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12" w:rsidRPr="00C33B12" w:rsidRDefault="00C33B12">
      <w:pPr>
        <w:rPr>
          <w:sz w:val="2"/>
        </w:rPr>
      </w:pPr>
    </w:p>
    <w:p w:rsidR="00B92920" w:rsidRDefault="00B92920" w:rsidP="00B92920">
      <w:pPr>
        <w:jc w:val="right"/>
        <w:sectPr w:rsidR="00B92920" w:rsidSect="004D101F">
          <w:headerReference w:type="default" r:id="rId8"/>
          <w:footerReference w:type="default" r:id="rId9"/>
          <w:footerReference w:type="first" r:id="rId10"/>
          <w:pgSz w:w="11906" w:h="16838" w:code="9"/>
          <w:pgMar w:top="2268" w:right="1418" w:bottom="1418" w:left="1418" w:header="567" w:footer="567" w:gutter="0"/>
          <w:cols w:space="708"/>
          <w:titlePg/>
          <w:docGrid w:linePitch="360"/>
        </w:sectPr>
      </w:pPr>
      <w:r w:rsidRPr="00D02120">
        <w:rPr>
          <w:noProof/>
          <w:lang w:val="en-AU" w:eastAsia="en-AU"/>
        </w:rPr>
        <w:drawing>
          <wp:inline distT="0" distB="0" distL="0" distR="0" wp14:anchorId="25747A72" wp14:editId="008A25E9">
            <wp:extent cx="1152525" cy="476250"/>
            <wp:effectExtent l="0" t="0" r="0" b="0"/>
            <wp:docPr id="9"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p w:rsidR="00D02120" w:rsidRDefault="00D02120" w:rsidP="00B92920"/>
    <w:p w:rsidR="00B92920" w:rsidRDefault="00B92920" w:rsidP="00B92920">
      <w:pPr>
        <w:pStyle w:val="Title"/>
      </w:pPr>
      <w:fldSimple w:instr=" DOCPROPERTY &quot;Title&quot; \* MERGEFORMAT ">
        <w:r>
          <w:t>Valuation of public mobile spectrum at 825-845 MHz and 870-890 MHz</w:t>
        </w:r>
      </w:fldSimple>
    </w:p>
    <w:p w:rsidR="00B92920" w:rsidRDefault="00B92920" w:rsidP="00B92920">
      <w:pPr>
        <w:pStyle w:val="Subtitle"/>
      </w:pPr>
      <w:r>
        <w:t xml:space="preserve">A </w:t>
      </w:r>
      <w:fldSimple w:instr=" DOCPROPERTY &quot;Document type&quot; \* MERGEFORMAT ">
        <w:r>
          <w:t>report</w:t>
        </w:r>
      </w:fldSimple>
      <w:r>
        <w:t xml:space="preserve"> for </w:t>
      </w:r>
      <w:fldSimple w:instr=" DOCPROPERTY &quot;Client Name&quot; \* MERGEFORMAT ">
        <w:r>
          <w:t>the Department of Broadband Communications and the Digital Economy</w:t>
        </w:r>
      </w:fldSimple>
    </w:p>
    <w:p w:rsidR="00B92920" w:rsidRDefault="00302A9C" w:rsidP="00B92920">
      <w:pPr>
        <w:pStyle w:val="Subtitle"/>
      </w:pPr>
      <w:fldSimple w:instr=" DOCPROPERTY &quot;Date&quot; \* MERGEFORMAT ">
        <w:r w:rsidR="00B92920">
          <w:t>15 September 2011</w:t>
        </w:r>
      </w:fldSimple>
    </w:p>
    <w:p w:rsidR="007768F8" w:rsidRDefault="004D101F" w:rsidP="00B92920">
      <w:r>
        <w:br w:type="page"/>
      </w:r>
      <w:r w:rsidR="007768F8">
        <w:lastRenderedPageBreak/>
        <w:t>Table of Contents</w:t>
      </w:r>
    </w:p>
    <w:p w:rsidR="002826E0" w:rsidRDefault="00D963FB">
      <w:pPr>
        <w:pStyle w:val="TOC1"/>
        <w:rPr>
          <w:rFonts w:asciiTheme="minorHAnsi" w:eastAsiaTheme="minorEastAsia" w:hAnsiTheme="minorHAnsi" w:cstheme="minorBidi"/>
          <w:noProof/>
          <w:color w:val="auto"/>
          <w:sz w:val="22"/>
          <w:szCs w:val="22"/>
          <w:lang w:val="en-AU" w:eastAsia="en-AU"/>
        </w:rPr>
      </w:pPr>
      <w:r w:rsidRPr="00E72033">
        <w:fldChar w:fldCharType="begin"/>
      </w:r>
      <w:r w:rsidR="007768F8" w:rsidRPr="00E72033">
        <w:instrText xml:space="preserve"> TOC </w:instrText>
      </w:r>
      <w:r w:rsidR="0079338C" w:rsidRPr="00E72033">
        <w:instrText xml:space="preserve">\t "Heading </w:instrText>
      </w:r>
      <w:r w:rsidR="007E3DBE" w:rsidRPr="00E72033">
        <w:instrText>6</w:instrText>
      </w:r>
      <w:r w:rsidR="0079338C" w:rsidRPr="00E72033">
        <w:instrText>,1</w:instrText>
      </w:r>
      <w:r w:rsidR="007E3DBE" w:rsidRPr="00E72033">
        <w:instrText>,Heading 7</w:instrText>
      </w:r>
      <w:r w:rsidR="00FB50BA" w:rsidRPr="00E72033">
        <w:instrText>,2</w:instrText>
      </w:r>
      <w:r w:rsidR="00DB50BA" w:rsidRPr="00E72033">
        <w:instrText xml:space="preserve">, Heading 1,1,Heading </w:instrText>
      </w:r>
      <w:r w:rsidR="00B030CB">
        <w:instrText>2</w:instrText>
      </w:r>
      <w:r w:rsidR="00DB50BA" w:rsidRPr="00E72033">
        <w:instrText>,2</w:instrText>
      </w:r>
      <w:r w:rsidR="00E72033">
        <w:instrText>,</w:instrText>
      </w:r>
      <w:r w:rsidR="00DB50BA" w:rsidRPr="00E72033">
        <w:instrText xml:space="preserve"> Heading 1 unnumbered,3,Heading 2 unnumbered,4</w:instrText>
      </w:r>
      <w:r w:rsidR="0079338C" w:rsidRPr="00E72033">
        <w:instrText>" \h \z</w:instrText>
      </w:r>
      <w:r w:rsidR="007768F8" w:rsidRPr="00E72033">
        <w:instrText xml:space="preserve"> </w:instrText>
      </w:r>
      <w:r w:rsidRPr="00E72033">
        <w:fldChar w:fldCharType="separate"/>
      </w:r>
      <w:hyperlink w:anchor="_Toc454453610" w:history="1">
        <w:r w:rsidR="002826E0" w:rsidRPr="003D0F58">
          <w:rPr>
            <w:rStyle w:val="Hyperlink"/>
            <w:noProof/>
          </w:rPr>
          <w:t>1</w:t>
        </w:r>
        <w:r w:rsidR="002826E0">
          <w:rPr>
            <w:rFonts w:asciiTheme="minorHAnsi" w:eastAsiaTheme="minorEastAsia" w:hAnsiTheme="minorHAnsi" w:cstheme="minorBidi"/>
            <w:noProof/>
            <w:color w:val="auto"/>
            <w:sz w:val="22"/>
            <w:szCs w:val="22"/>
            <w:lang w:val="en-AU" w:eastAsia="en-AU"/>
          </w:rPr>
          <w:tab/>
        </w:r>
        <w:r w:rsidR="002826E0" w:rsidRPr="003D0F58">
          <w:rPr>
            <w:rStyle w:val="Hyperlink"/>
            <w:noProof/>
          </w:rPr>
          <w:t>Executive Summary</w:t>
        </w:r>
        <w:r w:rsidR="002826E0">
          <w:rPr>
            <w:noProof/>
            <w:webHidden/>
          </w:rPr>
          <w:tab/>
        </w:r>
        <w:r w:rsidR="002826E0">
          <w:rPr>
            <w:noProof/>
            <w:webHidden/>
          </w:rPr>
          <w:fldChar w:fldCharType="begin"/>
        </w:r>
        <w:r w:rsidR="002826E0">
          <w:rPr>
            <w:noProof/>
            <w:webHidden/>
          </w:rPr>
          <w:instrText xml:space="preserve"> PAGEREF _Toc454453610 \h </w:instrText>
        </w:r>
        <w:r w:rsidR="002826E0">
          <w:rPr>
            <w:noProof/>
            <w:webHidden/>
          </w:rPr>
        </w:r>
        <w:r w:rsidR="002826E0">
          <w:rPr>
            <w:noProof/>
            <w:webHidden/>
          </w:rPr>
          <w:fldChar w:fldCharType="separate"/>
        </w:r>
        <w:r w:rsidR="00D61977">
          <w:rPr>
            <w:noProof/>
            <w:webHidden/>
          </w:rPr>
          <w:t>1</w:t>
        </w:r>
        <w:r w:rsidR="002826E0">
          <w:rPr>
            <w:noProof/>
            <w:webHidden/>
          </w:rPr>
          <w:fldChar w:fldCharType="end"/>
        </w:r>
      </w:hyperlink>
    </w:p>
    <w:p w:rsidR="002826E0" w:rsidRDefault="002826E0">
      <w:pPr>
        <w:pStyle w:val="TOC4"/>
        <w:rPr>
          <w:rFonts w:asciiTheme="minorHAnsi" w:eastAsiaTheme="minorEastAsia" w:hAnsiTheme="minorHAnsi" w:cstheme="minorBidi"/>
          <w:noProof/>
          <w:color w:val="auto"/>
          <w:sz w:val="22"/>
          <w:szCs w:val="22"/>
          <w:lang w:val="en-AU" w:eastAsia="en-AU"/>
        </w:rPr>
      </w:pPr>
      <w:hyperlink w:anchor="_Toc454453611" w:history="1">
        <w:r w:rsidRPr="003D0F58">
          <w:rPr>
            <w:rStyle w:val="Hyperlink"/>
            <w:noProof/>
          </w:rPr>
          <w:t>International evidence</w:t>
        </w:r>
        <w:r>
          <w:rPr>
            <w:noProof/>
            <w:webHidden/>
          </w:rPr>
          <w:tab/>
        </w:r>
        <w:r>
          <w:rPr>
            <w:noProof/>
            <w:webHidden/>
          </w:rPr>
          <w:fldChar w:fldCharType="begin"/>
        </w:r>
        <w:r>
          <w:rPr>
            <w:noProof/>
            <w:webHidden/>
          </w:rPr>
          <w:instrText xml:space="preserve"> PAGEREF _Toc454453611 \h </w:instrText>
        </w:r>
        <w:r>
          <w:rPr>
            <w:noProof/>
            <w:webHidden/>
          </w:rPr>
        </w:r>
        <w:r>
          <w:rPr>
            <w:noProof/>
            <w:webHidden/>
          </w:rPr>
          <w:fldChar w:fldCharType="separate"/>
        </w:r>
        <w:r w:rsidR="00D61977">
          <w:rPr>
            <w:noProof/>
            <w:webHidden/>
          </w:rPr>
          <w:t>1</w:t>
        </w:r>
        <w:r>
          <w:rPr>
            <w:noProof/>
            <w:webHidden/>
          </w:rPr>
          <w:fldChar w:fldCharType="end"/>
        </w:r>
      </w:hyperlink>
    </w:p>
    <w:p w:rsidR="002826E0" w:rsidRDefault="002826E0">
      <w:pPr>
        <w:pStyle w:val="TOC4"/>
        <w:rPr>
          <w:rFonts w:asciiTheme="minorHAnsi" w:eastAsiaTheme="minorEastAsia" w:hAnsiTheme="minorHAnsi" w:cstheme="minorBidi"/>
          <w:noProof/>
          <w:color w:val="auto"/>
          <w:sz w:val="22"/>
          <w:szCs w:val="22"/>
          <w:lang w:val="en-AU" w:eastAsia="en-AU"/>
        </w:rPr>
      </w:pPr>
      <w:hyperlink w:anchor="_Toc454453612" w:history="1">
        <w:r w:rsidRPr="003D0F58">
          <w:rPr>
            <w:rStyle w:val="Hyperlink"/>
            <w:noProof/>
          </w:rPr>
          <w:t>Modelled values</w:t>
        </w:r>
        <w:r>
          <w:rPr>
            <w:noProof/>
            <w:webHidden/>
          </w:rPr>
          <w:tab/>
        </w:r>
        <w:r>
          <w:rPr>
            <w:noProof/>
            <w:webHidden/>
          </w:rPr>
          <w:fldChar w:fldCharType="begin"/>
        </w:r>
        <w:r>
          <w:rPr>
            <w:noProof/>
            <w:webHidden/>
          </w:rPr>
          <w:instrText xml:space="preserve"> PAGEREF _Toc454453612 \h </w:instrText>
        </w:r>
        <w:r>
          <w:rPr>
            <w:noProof/>
            <w:webHidden/>
          </w:rPr>
        </w:r>
        <w:r>
          <w:rPr>
            <w:noProof/>
            <w:webHidden/>
          </w:rPr>
          <w:fldChar w:fldCharType="separate"/>
        </w:r>
        <w:r w:rsidR="00D61977">
          <w:rPr>
            <w:noProof/>
            <w:webHidden/>
          </w:rPr>
          <w:t>2</w:t>
        </w:r>
        <w:r>
          <w:rPr>
            <w:noProof/>
            <w:webHidden/>
          </w:rPr>
          <w:fldChar w:fldCharType="end"/>
        </w:r>
      </w:hyperlink>
    </w:p>
    <w:p w:rsidR="002826E0" w:rsidRDefault="002826E0">
      <w:pPr>
        <w:pStyle w:val="TOC4"/>
        <w:rPr>
          <w:rFonts w:asciiTheme="minorHAnsi" w:eastAsiaTheme="minorEastAsia" w:hAnsiTheme="minorHAnsi" w:cstheme="minorBidi"/>
          <w:noProof/>
          <w:color w:val="auto"/>
          <w:sz w:val="22"/>
          <w:szCs w:val="22"/>
          <w:lang w:val="en-AU" w:eastAsia="en-AU"/>
        </w:rPr>
      </w:pPr>
      <w:hyperlink w:anchor="_Toc454453613" w:history="1">
        <w:r w:rsidRPr="003D0F58">
          <w:rPr>
            <w:rStyle w:val="Hyperlink"/>
            <w:noProof/>
          </w:rPr>
          <w:t>Proposing a renewal price</w:t>
        </w:r>
        <w:r>
          <w:rPr>
            <w:noProof/>
            <w:webHidden/>
          </w:rPr>
          <w:tab/>
        </w:r>
        <w:r>
          <w:rPr>
            <w:noProof/>
            <w:webHidden/>
          </w:rPr>
          <w:fldChar w:fldCharType="begin"/>
        </w:r>
        <w:r>
          <w:rPr>
            <w:noProof/>
            <w:webHidden/>
          </w:rPr>
          <w:instrText xml:space="preserve"> PAGEREF _Toc454453613 \h </w:instrText>
        </w:r>
        <w:r>
          <w:rPr>
            <w:noProof/>
            <w:webHidden/>
          </w:rPr>
        </w:r>
        <w:r>
          <w:rPr>
            <w:noProof/>
            <w:webHidden/>
          </w:rPr>
          <w:fldChar w:fldCharType="separate"/>
        </w:r>
        <w:r w:rsidR="00D61977">
          <w:rPr>
            <w:noProof/>
            <w:webHidden/>
          </w:rPr>
          <w:t>3</w:t>
        </w:r>
        <w:r>
          <w:rPr>
            <w:noProof/>
            <w:webHidden/>
          </w:rPr>
          <w:fldChar w:fldCharType="end"/>
        </w:r>
      </w:hyperlink>
    </w:p>
    <w:p w:rsidR="002826E0" w:rsidRDefault="002826E0">
      <w:pPr>
        <w:pStyle w:val="TOC1"/>
        <w:rPr>
          <w:rFonts w:asciiTheme="minorHAnsi" w:eastAsiaTheme="minorEastAsia" w:hAnsiTheme="minorHAnsi" w:cstheme="minorBidi"/>
          <w:noProof/>
          <w:color w:val="auto"/>
          <w:sz w:val="22"/>
          <w:szCs w:val="22"/>
          <w:lang w:val="en-AU" w:eastAsia="en-AU"/>
        </w:rPr>
      </w:pPr>
      <w:hyperlink w:anchor="_Toc454453614" w:history="1">
        <w:r w:rsidRPr="003D0F58">
          <w:rPr>
            <w:rStyle w:val="Hyperlink"/>
            <w:noProof/>
          </w:rPr>
          <w:t>2</w:t>
        </w:r>
        <w:r>
          <w:rPr>
            <w:rFonts w:asciiTheme="minorHAnsi" w:eastAsiaTheme="minorEastAsia" w:hAnsiTheme="minorHAnsi" w:cstheme="minorBidi"/>
            <w:noProof/>
            <w:color w:val="auto"/>
            <w:sz w:val="22"/>
            <w:szCs w:val="22"/>
            <w:lang w:val="en-AU" w:eastAsia="en-AU"/>
          </w:rPr>
          <w:tab/>
        </w:r>
        <w:r w:rsidRPr="003D0F58">
          <w:rPr>
            <w:rStyle w:val="Hyperlink"/>
            <w:noProof/>
          </w:rPr>
          <w:t>Introduction</w:t>
        </w:r>
        <w:r>
          <w:rPr>
            <w:noProof/>
            <w:webHidden/>
          </w:rPr>
          <w:tab/>
        </w:r>
        <w:r>
          <w:rPr>
            <w:noProof/>
            <w:webHidden/>
          </w:rPr>
          <w:fldChar w:fldCharType="begin"/>
        </w:r>
        <w:r>
          <w:rPr>
            <w:noProof/>
            <w:webHidden/>
          </w:rPr>
          <w:instrText xml:space="preserve"> PAGEREF _Toc454453614 \h </w:instrText>
        </w:r>
        <w:r>
          <w:rPr>
            <w:noProof/>
            <w:webHidden/>
          </w:rPr>
        </w:r>
        <w:r>
          <w:rPr>
            <w:noProof/>
            <w:webHidden/>
          </w:rPr>
          <w:fldChar w:fldCharType="separate"/>
        </w:r>
        <w:r w:rsidR="00D61977">
          <w:rPr>
            <w:noProof/>
            <w:webHidden/>
          </w:rPr>
          <w:t>5</w:t>
        </w:r>
        <w:r>
          <w:rPr>
            <w:noProof/>
            <w:webHidden/>
          </w:rPr>
          <w:fldChar w:fldCharType="end"/>
        </w:r>
      </w:hyperlink>
    </w:p>
    <w:p w:rsidR="002826E0" w:rsidRDefault="002826E0">
      <w:pPr>
        <w:pStyle w:val="TOC1"/>
        <w:rPr>
          <w:rFonts w:asciiTheme="minorHAnsi" w:eastAsiaTheme="minorEastAsia" w:hAnsiTheme="minorHAnsi" w:cstheme="minorBidi"/>
          <w:noProof/>
          <w:color w:val="auto"/>
          <w:sz w:val="22"/>
          <w:szCs w:val="22"/>
          <w:lang w:val="en-AU" w:eastAsia="en-AU"/>
        </w:rPr>
      </w:pPr>
      <w:hyperlink w:anchor="_Toc454453615" w:history="1">
        <w:r w:rsidRPr="003D0F58">
          <w:rPr>
            <w:rStyle w:val="Hyperlink"/>
            <w:noProof/>
          </w:rPr>
          <w:t>3</w:t>
        </w:r>
        <w:r>
          <w:rPr>
            <w:rFonts w:asciiTheme="minorHAnsi" w:eastAsiaTheme="minorEastAsia" w:hAnsiTheme="minorHAnsi" w:cstheme="minorBidi"/>
            <w:noProof/>
            <w:color w:val="auto"/>
            <w:sz w:val="22"/>
            <w:szCs w:val="22"/>
            <w:lang w:val="en-AU" w:eastAsia="en-AU"/>
          </w:rPr>
          <w:tab/>
        </w:r>
        <w:r w:rsidRPr="003D0F58">
          <w:rPr>
            <w:rStyle w:val="Hyperlink"/>
            <w:noProof/>
          </w:rPr>
          <w:t>Context</w:t>
        </w:r>
        <w:r>
          <w:rPr>
            <w:noProof/>
            <w:webHidden/>
          </w:rPr>
          <w:tab/>
        </w:r>
        <w:r>
          <w:rPr>
            <w:noProof/>
            <w:webHidden/>
          </w:rPr>
          <w:fldChar w:fldCharType="begin"/>
        </w:r>
        <w:r>
          <w:rPr>
            <w:noProof/>
            <w:webHidden/>
          </w:rPr>
          <w:instrText xml:space="preserve"> PAGEREF _Toc454453615 \h </w:instrText>
        </w:r>
        <w:r>
          <w:rPr>
            <w:noProof/>
            <w:webHidden/>
          </w:rPr>
        </w:r>
        <w:r>
          <w:rPr>
            <w:noProof/>
            <w:webHidden/>
          </w:rPr>
          <w:fldChar w:fldCharType="separate"/>
        </w:r>
        <w:r w:rsidR="00D61977">
          <w:rPr>
            <w:noProof/>
            <w:webHidden/>
          </w:rPr>
          <w:t>6</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16" w:history="1">
        <w:r w:rsidRPr="003D0F58">
          <w:rPr>
            <w:rStyle w:val="Hyperlink"/>
            <w:noProof/>
          </w:rPr>
          <w:t>3.1</w:t>
        </w:r>
        <w:r>
          <w:rPr>
            <w:rFonts w:asciiTheme="minorHAnsi" w:eastAsiaTheme="minorEastAsia" w:hAnsiTheme="minorHAnsi" w:cstheme="minorBidi"/>
            <w:noProof/>
            <w:color w:val="auto"/>
            <w:sz w:val="22"/>
            <w:szCs w:val="22"/>
            <w:lang w:val="en-AU" w:eastAsia="en-AU"/>
          </w:rPr>
          <w:tab/>
        </w:r>
        <w:r w:rsidRPr="003D0F58">
          <w:rPr>
            <w:rStyle w:val="Hyperlink"/>
            <w:noProof/>
          </w:rPr>
          <w:t>Values obtained in initial Australian auctions</w:t>
        </w:r>
        <w:r>
          <w:rPr>
            <w:noProof/>
            <w:webHidden/>
          </w:rPr>
          <w:tab/>
        </w:r>
        <w:r>
          <w:rPr>
            <w:noProof/>
            <w:webHidden/>
          </w:rPr>
          <w:fldChar w:fldCharType="begin"/>
        </w:r>
        <w:r>
          <w:rPr>
            <w:noProof/>
            <w:webHidden/>
          </w:rPr>
          <w:instrText xml:space="preserve"> PAGEREF _Toc454453616 \h </w:instrText>
        </w:r>
        <w:r>
          <w:rPr>
            <w:noProof/>
            <w:webHidden/>
          </w:rPr>
        </w:r>
        <w:r>
          <w:rPr>
            <w:noProof/>
            <w:webHidden/>
          </w:rPr>
          <w:fldChar w:fldCharType="separate"/>
        </w:r>
        <w:r w:rsidR="00D61977">
          <w:rPr>
            <w:noProof/>
            <w:webHidden/>
          </w:rPr>
          <w:t>6</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17" w:history="1">
        <w:r w:rsidRPr="003D0F58">
          <w:rPr>
            <w:rStyle w:val="Hyperlink"/>
            <w:noProof/>
          </w:rPr>
          <w:t>3.2</w:t>
        </w:r>
        <w:r>
          <w:rPr>
            <w:rFonts w:asciiTheme="minorHAnsi" w:eastAsiaTheme="minorEastAsia" w:hAnsiTheme="minorHAnsi" w:cstheme="minorBidi"/>
            <w:noProof/>
            <w:color w:val="auto"/>
            <w:sz w:val="22"/>
            <w:szCs w:val="22"/>
            <w:lang w:val="en-AU" w:eastAsia="en-AU"/>
          </w:rPr>
          <w:tab/>
        </w:r>
        <w:r w:rsidRPr="003D0F58">
          <w:rPr>
            <w:rStyle w:val="Hyperlink"/>
            <w:noProof/>
          </w:rPr>
          <w:t>International auction and reissue values</w:t>
        </w:r>
        <w:r>
          <w:rPr>
            <w:noProof/>
            <w:webHidden/>
          </w:rPr>
          <w:tab/>
        </w:r>
        <w:r>
          <w:rPr>
            <w:noProof/>
            <w:webHidden/>
          </w:rPr>
          <w:fldChar w:fldCharType="begin"/>
        </w:r>
        <w:r>
          <w:rPr>
            <w:noProof/>
            <w:webHidden/>
          </w:rPr>
          <w:instrText xml:space="preserve"> PAGEREF _Toc454453617 \h </w:instrText>
        </w:r>
        <w:r>
          <w:rPr>
            <w:noProof/>
            <w:webHidden/>
          </w:rPr>
        </w:r>
        <w:r>
          <w:rPr>
            <w:noProof/>
            <w:webHidden/>
          </w:rPr>
          <w:fldChar w:fldCharType="separate"/>
        </w:r>
        <w:r w:rsidR="00D61977">
          <w:rPr>
            <w:noProof/>
            <w:webHidden/>
          </w:rPr>
          <w:t>6</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18" w:history="1">
        <w:r w:rsidRPr="003D0F58">
          <w:rPr>
            <w:rStyle w:val="Hyperlink"/>
            <w:noProof/>
          </w:rPr>
          <w:t>3.3</w:t>
        </w:r>
        <w:r>
          <w:rPr>
            <w:rFonts w:asciiTheme="minorHAnsi" w:eastAsiaTheme="minorEastAsia" w:hAnsiTheme="minorHAnsi" w:cstheme="minorBidi"/>
            <w:noProof/>
            <w:color w:val="auto"/>
            <w:sz w:val="22"/>
            <w:szCs w:val="22"/>
            <w:lang w:val="en-AU" w:eastAsia="en-AU"/>
          </w:rPr>
          <w:tab/>
        </w:r>
        <w:r w:rsidRPr="003D0F58">
          <w:rPr>
            <w:rStyle w:val="Hyperlink"/>
            <w:noProof/>
          </w:rPr>
          <w:t>Implications for reissue values</w:t>
        </w:r>
        <w:r>
          <w:rPr>
            <w:noProof/>
            <w:webHidden/>
          </w:rPr>
          <w:tab/>
        </w:r>
        <w:r>
          <w:rPr>
            <w:noProof/>
            <w:webHidden/>
          </w:rPr>
          <w:fldChar w:fldCharType="begin"/>
        </w:r>
        <w:r>
          <w:rPr>
            <w:noProof/>
            <w:webHidden/>
          </w:rPr>
          <w:instrText xml:space="preserve"> PAGEREF _Toc454453618 \h </w:instrText>
        </w:r>
        <w:r>
          <w:rPr>
            <w:noProof/>
            <w:webHidden/>
          </w:rPr>
        </w:r>
        <w:r>
          <w:rPr>
            <w:noProof/>
            <w:webHidden/>
          </w:rPr>
          <w:fldChar w:fldCharType="separate"/>
        </w:r>
        <w:r w:rsidR="00D61977">
          <w:rPr>
            <w:noProof/>
            <w:webHidden/>
          </w:rPr>
          <w:t>9</w:t>
        </w:r>
        <w:r>
          <w:rPr>
            <w:noProof/>
            <w:webHidden/>
          </w:rPr>
          <w:fldChar w:fldCharType="end"/>
        </w:r>
      </w:hyperlink>
    </w:p>
    <w:p w:rsidR="002826E0" w:rsidRDefault="002826E0">
      <w:pPr>
        <w:pStyle w:val="TOC1"/>
        <w:rPr>
          <w:rFonts w:asciiTheme="minorHAnsi" w:eastAsiaTheme="minorEastAsia" w:hAnsiTheme="minorHAnsi" w:cstheme="minorBidi"/>
          <w:noProof/>
          <w:color w:val="auto"/>
          <w:sz w:val="22"/>
          <w:szCs w:val="22"/>
          <w:lang w:val="en-AU" w:eastAsia="en-AU"/>
        </w:rPr>
      </w:pPr>
      <w:hyperlink w:anchor="_Toc454453619" w:history="1">
        <w:r w:rsidRPr="003D0F58">
          <w:rPr>
            <w:rStyle w:val="Hyperlink"/>
            <w:noProof/>
          </w:rPr>
          <w:t>4</w:t>
        </w:r>
        <w:r>
          <w:rPr>
            <w:rFonts w:asciiTheme="minorHAnsi" w:eastAsiaTheme="minorEastAsia" w:hAnsiTheme="minorHAnsi" w:cstheme="minorBidi"/>
            <w:noProof/>
            <w:color w:val="auto"/>
            <w:sz w:val="22"/>
            <w:szCs w:val="22"/>
            <w:lang w:val="en-AU" w:eastAsia="en-AU"/>
          </w:rPr>
          <w:tab/>
        </w:r>
        <w:r w:rsidRPr="003D0F58">
          <w:rPr>
            <w:rStyle w:val="Hyperlink"/>
            <w:noProof/>
          </w:rPr>
          <w:t>Valuation scenarios and approach</w:t>
        </w:r>
        <w:r>
          <w:rPr>
            <w:noProof/>
            <w:webHidden/>
          </w:rPr>
          <w:tab/>
        </w:r>
        <w:r>
          <w:rPr>
            <w:noProof/>
            <w:webHidden/>
          </w:rPr>
          <w:fldChar w:fldCharType="begin"/>
        </w:r>
        <w:r>
          <w:rPr>
            <w:noProof/>
            <w:webHidden/>
          </w:rPr>
          <w:instrText xml:space="preserve"> PAGEREF _Toc454453619 \h </w:instrText>
        </w:r>
        <w:r>
          <w:rPr>
            <w:noProof/>
            <w:webHidden/>
          </w:rPr>
        </w:r>
        <w:r>
          <w:rPr>
            <w:noProof/>
            <w:webHidden/>
          </w:rPr>
          <w:fldChar w:fldCharType="separate"/>
        </w:r>
        <w:r w:rsidR="00D61977">
          <w:rPr>
            <w:noProof/>
            <w:webHidden/>
          </w:rPr>
          <w:t>11</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20" w:history="1">
        <w:r w:rsidRPr="003D0F58">
          <w:rPr>
            <w:rStyle w:val="Hyperlink"/>
            <w:noProof/>
          </w:rPr>
          <w:t>4.1</w:t>
        </w:r>
        <w:r>
          <w:rPr>
            <w:rFonts w:asciiTheme="minorHAnsi" w:eastAsiaTheme="minorEastAsia" w:hAnsiTheme="minorHAnsi" w:cstheme="minorBidi"/>
            <w:noProof/>
            <w:color w:val="auto"/>
            <w:sz w:val="22"/>
            <w:szCs w:val="22"/>
            <w:lang w:val="en-AU" w:eastAsia="en-AU"/>
          </w:rPr>
          <w:tab/>
        </w:r>
        <w:r w:rsidRPr="003D0F58">
          <w:rPr>
            <w:rStyle w:val="Hyperlink"/>
            <w:noProof/>
          </w:rPr>
          <w:t>Introduction</w:t>
        </w:r>
        <w:r>
          <w:rPr>
            <w:noProof/>
            <w:webHidden/>
          </w:rPr>
          <w:tab/>
        </w:r>
        <w:r>
          <w:rPr>
            <w:noProof/>
            <w:webHidden/>
          </w:rPr>
          <w:fldChar w:fldCharType="begin"/>
        </w:r>
        <w:r>
          <w:rPr>
            <w:noProof/>
            <w:webHidden/>
          </w:rPr>
          <w:instrText xml:space="preserve"> PAGEREF _Toc454453620 \h </w:instrText>
        </w:r>
        <w:r>
          <w:rPr>
            <w:noProof/>
            <w:webHidden/>
          </w:rPr>
        </w:r>
        <w:r>
          <w:rPr>
            <w:noProof/>
            <w:webHidden/>
          </w:rPr>
          <w:fldChar w:fldCharType="separate"/>
        </w:r>
        <w:r w:rsidR="00D61977">
          <w:rPr>
            <w:noProof/>
            <w:webHidden/>
          </w:rPr>
          <w:t>11</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21" w:history="1">
        <w:r w:rsidRPr="003D0F58">
          <w:rPr>
            <w:rStyle w:val="Hyperlink"/>
            <w:noProof/>
          </w:rPr>
          <w:t>4.2</w:t>
        </w:r>
        <w:r>
          <w:rPr>
            <w:rFonts w:asciiTheme="minorHAnsi" w:eastAsiaTheme="minorEastAsia" w:hAnsiTheme="minorHAnsi" w:cstheme="minorBidi"/>
            <w:noProof/>
            <w:color w:val="auto"/>
            <w:sz w:val="22"/>
            <w:szCs w:val="22"/>
            <w:lang w:val="en-AU" w:eastAsia="en-AU"/>
          </w:rPr>
          <w:tab/>
        </w:r>
        <w:r w:rsidRPr="003D0F58">
          <w:rPr>
            <w:rStyle w:val="Hyperlink"/>
            <w:noProof/>
          </w:rPr>
          <w:t>Range of values</w:t>
        </w:r>
        <w:r>
          <w:rPr>
            <w:noProof/>
            <w:webHidden/>
          </w:rPr>
          <w:tab/>
        </w:r>
        <w:r>
          <w:rPr>
            <w:noProof/>
            <w:webHidden/>
          </w:rPr>
          <w:fldChar w:fldCharType="begin"/>
        </w:r>
        <w:r>
          <w:rPr>
            <w:noProof/>
            <w:webHidden/>
          </w:rPr>
          <w:instrText xml:space="preserve"> PAGEREF _Toc454453621 \h </w:instrText>
        </w:r>
        <w:r>
          <w:rPr>
            <w:noProof/>
            <w:webHidden/>
          </w:rPr>
        </w:r>
        <w:r>
          <w:rPr>
            <w:noProof/>
            <w:webHidden/>
          </w:rPr>
          <w:fldChar w:fldCharType="separate"/>
        </w:r>
        <w:r w:rsidR="00D61977">
          <w:rPr>
            <w:noProof/>
            <w:webHidden/>
          </w:rPr>
          <w:t>11</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22" w:history="1">
        <w:r w:rsidRPr="003D0F58">
          <w:rPr>
            <w:rStyle w:val="Hyperlink"/>
            <w:noProof/>
          </w:rPr>
          <w:t>4.3</w:t>
        </w:r>
        <w:r>
          <w:rPr>
            <w:rFonts w:asciiTheme="minorHAnsi" w:eastAsiaTheme="minorEastAsia" w:hAnsiTheme="minorHAnsi" w:cstheme="minorBidi"/>
            <w:noProof/>
            <w:color w:val="auto"/>
            <w:sz w:val="22"/>
            <w:szCs w:val="22"/>
            <w:lang w:val="en-AU" w:eastAsia="en-AU"/>
          </w:rPr>
          <w:tab/>
        </w:r>
        <w:r w:rsidRPr="003D0F58">
          <w:rPr>
            <w:rStyle w:val="Hyperlink"/>
            <w:noProof/>
          </w:rPr>
          <w:t>Major assumptions used for modelling value estimates</w:t>
        </w:r>
        <w:r>
          <w:rPr>
            <w:noProof/>
            <w:webHidden/>
          </w:rPr>
          <w:tab/>
        </w:r>
        <w:r>
          <w:rPr>
            <w:noProof/>
            <w:webHidden/>
          </w:rPr>
          <w:fldChar w:fldCharType="begin"/>
        </w:r>
        <w:r>
          <w:rPr>
            <w:noProof/>
            <w:webHidden/>
          </w:rPr>
          <w:instrText xml:space="preserve"> PAGEREF _Toc454453622 \h </w:instrText>
        </w:r>
        <w:r>
          <w:rPr>
            <w:noProof/>
            <w:webHidden/>
          </w:rPr>
        </w:r>
        <w:r>
          <w:rPr>
            <w:noProof/>
            <w:webHidden/>
          </w:rPr>
          <w:fldChar w:fldCharType="separate"/>
        </w:r>
        <w:r w:rsidR="00D61977">
          <w:rPr>
            <w:noProof/>
            <w:webHidden/>
          </w:rPr>
          <w:t>12</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23" w:history="1">
        <w:r w:rsidRPr="003D0F58">
          <w:rPr>
            <w:rStyle w:val="Hyperlink"/>
            <w:noProof/>
          </w:rPr>
          <w:t>4.4</w:t>
        </w:r>
        <w:r>
          <w:rPr>
            <w:rFonts w:asciiTheme="minorHAnsi" w:eastAsiaTheme="minorEastAsia" w:hAnsiTheme="minorHAnsi" w:cstheme="minorBidi"/>
            <w:noProof/>
            <w:color w:val="auto"/>
            <w:sz w:val="22"/>
            <w:szCs w:val="22"/>
            <w:lang w:val="en-AU" w:eastAsia="en-AU"/>
          </w:rPr>
          <w:tab/>
        </w:r>
        <w:r w:rsidRPr="003D0F58">
          <w:rPr>
            <w:rStyle w:val="Hyperlink"/>
            <w:noProof/>
          </w:rPr>
          <w:t>Typical operator valuation</w:t>
        </w:r>
        <w:r>
          <w:rPr>
            <w:noProof/>
            <w:webHidden/>
          </w:rPr>
          <w:tab/>
        </w:r>
        <w:r>
          <w:rPr>
            <w:noProof/>
            <w:webHidden/>
          </w:rPr>
          <w:fldChar w:fldCharType="begin"/>
        </w:r>
        <w:r>
          <w:rPr>
            <w:noProof/>
            <w:webHidden/>
          </w:rPr>
          <w:instrText xml:space="preserve"> PAGEREF _Toc454453623 \h </w:instrText>
        </w:r>
        <w:r>
          <w:rPr>
            <w:noProof/>
            <w:webHidden/>
          </w:rPr>
        </w:r>
        <w:r>
          <w:rPr>
            <w:noProof/>
            <w:webHidden/>
          </w:rPr>
          <w:fldChar w:fldCharType="separate"/>
        </w:r>
        <w:r w:rsidR="00D61977">
          <w:rPr>
            <w:noProof/>
            <w:webHidden/>
          </w:rPr>
          <w:t>14</w:t>
        </w:r>
        <w:r>
          <w:rPr>
            <w:noProof/>
            <w:webHidden/>
          </w:rPr>
          <w:fldChar w:fldCharType="end"/>
        </w:r>
      </w:hyperlink>
    </w:p>
    <w:p w:rsidR="002826E0" w:rsidRDefault="002826E0">
      <w:pPr>
        <w:pStyle w:val="TOC2"/>
        <w:rPr>
          <w:rFonts w:asciiTheme="minorHAnsi" w:eastAsiaTheme="minorEastAsia" w:hAnsiTheme="minorHAnsi" w:cstheme="minorBidi"/>
          <w:noProof/>
          <w:color w:val="auto"/>
          <w:sz w:val="22"/>
          <w:szCs w:val="22"/>
          <w:lang w:val="en-AU" w:eastAsia="en-AU"/>
        </w:rPr>
      </w:pPr>
      <w:hyperlink w:anchor="_Toc454453624" w:history="1">
        <w:r w:rsidRPr="003D0F58">
          <w:rPr>
            <w:rStyle w:val="Hyperlink"/>
            <w:noProof/>
          </w:rPr>
          <w:t>4.5</w:t>
        </w:r>
        <w:r>
          <w:rPr>
            <w:rFonts w:asciiTheme="minorHAnsi" w:eastAsiaTheme="minorEastAsia" w:hAnsiTheme="minorHAnsi" w:cstheme="minorBidi"/>
            <w:noProof/>
            <w:color w:val="auto"/>
            <w:sz w:val="22"/>
            <w:szCs w:val="22"/>
            <w:lang w:val="en-AU" w:eastAsia="en-AU"/>
          </w:rPr>
          <w:tab/>
        </w:r>
        <w:r w:rsidRPr="003D0F58">
          <w:rPr>
            <w:rStyle w:val="Hyperlink"/>
            <w:noProof/>
          </w:rPr>
          <w:t>Modelling results</w:t>
        </w:r>
        <w:r>
          <w:rPr>
            <w:noProof/>
            <w:webHidden/>
          </w:rPr>
          <w:tab/>
        </w:r>
        <w:r>
          <w:rPr>
            <w:noProof/>
            <w:webHidden/>
          </w:rPr>
          <w:fldChar w:fldCharType="begin"/>
        </w:r>
        <w:r>
          <w:rPr>
            <w:noProof/>
            <w:webHidden/>
          </w:rPr>
          <w:instrText xml:space="preserve"> PAGEREF _Toc454453624 \h </w:instrText>
        </w:r>
        <w:r>
          <w:rPr>
            <w:noProof/>
            <w:webHidden/>
          </w:rPr>
        </w:r>
        <w:r>
          <w:rPr>
            <w:noProof/>
            <w:webHidden/>
          </w:rPr>
          <w:fldChar w:fldCharType="separate"/>
        </w:r>
        <w:r w:rsidR="00D61977">
          <w:rPr>
            <w:noProof/>
            <w:webHidden/>
          </w:rPr>
          <w:t>15</w:t>
        </w:r>
        <w:r>
          <w:rPr>
            <w:noProof/>
            <w:webHidden/>
          </w:rPr>
          <w:fldChar w:fldCharType="end"/>
        </w:r>
      </w:hyperlink>
    </w:p>
    <w:p w:rsidR="002826E0" w:rsidRDefault="002826E0">
      <w:pPr>
        <w:pStyle w:val="TOC1"/>
        <w:rPr>
          <w:rFonts w:asciiTheme="minorHAnsi" w:eastAsiaTheme="minorEastAsia" w:hAnsiTheme="minorHAnsi" w:cstheme="minorBidi"/>
          <w:noProof/>
          <w:color w:val="auto"/>
          <w:sz w:val="22"/>
          <w:szCs w:val="22"/>
          <w:lang w:val="en-AU" w:eastAsia="en-AU"/>
        </w:rPr>
      </w:pPr>
      <w:hyperlink w:anchor="_Toc454453625" w:history="1">
        <w:r w:rsidRPr="003D0F58">
          <w:rPr>
            <w:rStyle w:val="Hyperlink"/>
            <w:noProof/>
          </w:rPr>
          <w:t>5</w:t>
        </w:r>
        <w:r>
          <w:rPr>
            <w:rFonts w:asciiTheme="minorHAnsi" w:eastAsiaTheme="minorEastAsia" w:hAnsiTheme="minorHAnsi" w:cstheme="minorBidi"/>
            <w:noProof/>
            <w:color w:val="auto"/>
            <w:sz w:val="22"/>
            <w:szCs w:val="22"/>
            <w:lang w:val="en-AU" w:eastAsia="en-AU"/>
          </w:rPr>
          <w:tab/>
        </w:r>
        <w:r w:rsidRPr="003D0F58">
          <w:rPr>
            <w:rStyle w:val="Hyperlink"/>
            <w:noProof/>
          </w:rPr>
          <w:t>Conclusions</w:t>
        </w:r>
        <w:r>
          <w:rPr>
            <w:noProof/>
            <w:webHidden/>
          </w:rPr>
          <w:tab/>
        </w:r>
        <w:r>
          <w:rPr>
            <w:noProof/>
            <w:webHidden/>
          </w:rPr>
          <w:fldChar w:fldCharType="begin"/>
        </w:r>
        <w:r>
          <w:rPr>
            <w:noProof/>
            <w:webHidden/>
          </w:rPr>
          <w:instrText xml:space="preserve"> PAGEREF _Toc454453625 \h </w:instrText>
        </w:r>
        <w:r>
          <w:rPr>
            <w:noProof/>
            <w:webHidden/>
          </w:rPr>
        </w:r>
        <w:r>
          <w:rPr>
            <w:noProof/>
            <w:webHidden/>
          </w:rPr>
          <w:fldChar w:fldCharType="separate"/>
        </w:r>
        <w:r w:rsidR="00D61977">
          <w:rPr>
            <w:noProof/>
            <w:webHidden/>
          </w:rPr>
          <w:t>18</w:t>
        </w:r>
        <w:r>
          <w:rPr>
            <w:noProof/>
            <w:webHidden/>
          </w:rPr>
          <w:fldChar w:fldCharType="end"/>
        </w:r>
      </w:hyperlink>
    </w:p>
    <w:p w:rsidR="002826E0" w:rsidRDefault="002826E0">
      <w:pPr>
        <w:pStyle w:val="TOC3"/>
        <w:rPr>
          <w:rFonts w:asciiTheme="minorHAnsi" w:eastAsiaTheme="minorEastAsia" w:hAnsiTheme="minorHAnsi" w:cstheme="minorBidi"/>
          <w:noProof/>
          <w:color w:val="auto"/>
          <w:sz w:val="22"/>
          <w:szCs w:val="22"/>
          <w:lang w:val="en-AU" w:eastAsia="en-AU"/>
        </w:rPr>
      </w:pPr>
      <w:hyperlink w:anchor="_Toc454453626" w:history="1">
        <w:r w:rsidRPr="003D0F58">
          <w:rPr>
            <w:rStyle w:val="Hyperlink"/>
            <w:noProof/>
          </w:rPr>
          <w:t>Appendix A: Modelling assumptions</w:t>
        </w:r>
        <w:r>
          <w:rPr>
            <w:noProof/>
            <w:webHidden/>
          </w:rPr>
          <w:tab/>
        </w:r>
        <w:r>
          <w:rPr>
            <w:noProof/>
            <w:webHidden/>
          </w:rPr>
          <w:fldChar w:fldCharType="begin"/>
        </w:r>
        <w:r>
          <w:rPr>
            <w:noProof/>
            <w:webHidden/>
          </w:rPr>
          <w:instrText xml:space="preserve"> PAGEREF _Toc454453626 \h </w:instrText>
        </w:r>
        <w:r>
          <w:rPr>
            <w:noProof/>
            <w:webHidden/>
          </w:rPr>
        </w:r>
        <w:r>
          <w:rPr>
            <w:noProof/>
            <w:webHidden/>
          </w:rPr>
          <w:fldChar w:fldCharType="separate"/>
        </w:r>
        <w:r w:rsidR="00D61977">
          <w:rPr>
            <w:noProof/>
            <w:webHidden/>
          </w:rPr>
          <w:t>20</w:t>
        </w:r>
        <w:r>
          <w:rPr>
            <w:noProof/>
            <w:webHidden/>
          </w:rPr>
          <w:fldChar w:fldCharType="end"/>
        </w:r>
      </w:hyperlink>
    </w:p>
    <w:p w:rsidR="002826E0" w:rsidRDefault="002826E0">
      <w:pPr>
        <w:pStyle w:val="TOC4"/>
        <w:tabs>
          <w:tab w:val="left" w:pos="851"/>
        </w:tabs>
        <w:rPr>
          <w:rFonts w:asciiTheme="minorHAnsi" w:eastAsiaTheme="minorEastAsia" w:hAnsiTheme="minorHAnsi" w:cstheme="minorBidi"/>
          <w:noProof/>
          <w:color w:val="auto"/>
          <w:sz w:val="22"/>
          <w:szCs w:val="22"/>
          <w:lang w:val="en-AU" w:eastAsia="en-AU"/>
        </w:rPr>
      </w:pPr>
      <w:hyperlink w:anchor="_Toc454453627" w:history="1">
        <w:r w:rsidRPr="003D0F58">
          <w:rPr>
            <w:rStyle w:val="Hyperlink"/>
            <w:noProof/>
          </w:rPr>
          <w:t>A.1</w:t>
        </w:r>
        <w:r>
          <w:rPr>
            <w:rFonts w:asciiTheme="minorHAnsi" w:eastAsiaTheme="minorEastAsia" w:hAnsiTheme="minorHAnsi" w:cstheme="minorBidi"/>
            <w:noProof/>
            <w:color w:val="auto"/>
            <w:sz w:val="22"/>
            <w:szCs w:val="22"/>
            <w:lang w:val="en-AU" w:eastAsia="en-AU"/>
          </w:rPr>
          <w:tab/>
        </w:r>
        <w:r w:rsidRPr="003D0F58">
          <w:rPr>
            <w:rStyle w:val="Hyperlink"/>
            <w:noProof/>
          </w:rPr>
          <w:t>Revenue forecasts</w:t>
        </w:r>
        <w:r>
          <w:rPr>
            <w:noProof/>
            <w:webHidden/>
          </w:rPr>
          <w:tab/>
        </w:r>
        <w:r>
          <w:rPr>
            <w:noProof/>
            <w:webHidden/>
          </w:rPr>
          <w:fldChar w:fldCharType="begin"/>
        </w:r>
        <w:r>
          <w:rPr>
            <w:noProof/>
            <w:webHidden/>
          </w:rPr>
          <w:instrText xml:space="preserve"> PAGEREF _Toc454453627 \h </w:instrText>
        </w:r>
        <w:r>
          <w:rPr>
            <w:noProof/>
            <w:webHidden/>
          </w:rPr>
        </w:r>
        <w:r>
          <w:rPr>
            <w:noProof/>
            <w:webHidden/>
          </w:rPr>
          <w:fldChar w:fldCharType="separate"/>
        </w:r>
        <w:r w:rsidR="00D61977">
          <w:rPr>
            <w:noProof/>
            <w:webHidden/>
          </w:rPr>
          <w:t>20</w:t>
        </w:r>
        <w:r>
          <w:rPr>
            <w:noProof/>
            <w:webHidden/>
          </w:rPr>
          <w:fldChar w:fldCharType="end"/>
        </w:r>
      </w:hyperlink>
    </w:p>
    <w:p w:rsidR="002826E0" w:rsidRDefault="002826E0">
      <w:pPr>
        <w:pStyle w:val="TOC4"/>
        <w:tabs>
          <w:tab w:val="left" w:pos="851"/>
        </w:tabs>
        <w:rPr>
          <w:rFonts w:asciiTheme="minorHAnsi" w:eastAsiaTheme="minorEastAsia" w:hAnsiTheme="minorHAnsi" w:cstheme="minorBidi"/>
          <w:noProof/>
          <w:color w:val="auto"/>
          <w:sz w:val="22"/>
          <w:szCs w:val="22"/>
          <w:lang w:val="en-AU" w:eastAsia="en-AU"/>
        </w:rPr>
      </w:pPr>
      <w:hyperlink w:anchor="_Toc454453628" w:history="1">
        <w:r w:rsidRPr="003D0F58">
          <w:rPr>
            <w:rStyle w:val="Hyperlink"/>
            <w:noProof/>
          </w:rPr>
          <w:t>A.2</w:t>
        </w:r>
        <w:r>
          <w:rPr>
            <w:rFonts w:asciiTheme="minorHAnsi" w:eastAsiaTheme="minorEastAsia" w:hAnsiTheme="minorHAnsi" w:cstheme="minorBidi"/>
            <w:noProof/>
            <w:color w:val="auto"/>
            <w:sz w:val="22"/>
            <w:szCs w:val="22"/>
            <w:lang w:val="en-AU" w:eastAsia="en-AU"/>
          </w:rPr>
          <w:tab/>
        </w:r>
        <w:r w:rsidRPr="003D0F58">
          <w:rPr>
            <w:rStyle w:val="Hyperlink"/>
            <w:noProof/>
          </w:rPr>
          <w:t>Cost assumptions</w:t>
        </w:r>
        <w:r>
          <w:rPr>
            <w:noProof/>
            <w:webHidden/>
          </w:rPr>
          <w:tab/>
        </w:r>
        <w:r>
          <w:rPr>
            <w:noProof/>
            <w:webHidden/>
          </w:rPr>
          <w:fldChar w:fldCharType="begin"/>
        </w:r>
        <w:r>
          <w:rPr>
            <w:noProof/>
            <w:webHidden/>
          </w:rPr>
          <w:instrText xml:space="preserve"> PAGEREF _Toc454453628 \h </w:instrText>
        </w:r>
        <w:r>
          <w:rPr>
            <w:noProof/>
            <w:webHidden/>
          </w:rPr>
        </w:r>
        <w:r>
          <w:rPr>
            <w:noProof/>
            <w:webHidden/>
          </w:rPr>
          <w:fldChar w:fldCharType="separate"/>
        </w:r>
        <w:r w:rsidR="00D61977">
          <w:rPr>
            <w:noProof/>
            <w:webHidden/>
          </w:rPr>
          <w:t>22</w:t>
        </w:r>
        <w:r>
          <w:rPr>
            <w:noProof/>
            <w:webHidden/>
          </w:rPr>
          <w:fldChar w:fldCharType="end"/>
        </w:r>
      </w:hyperlink>
    </w:p>
    <w:p w:rsidR="002826E0" w:rsidRDefault="002826E0">
      <w:pPr>
        <w:pStyle w:val="TOC4"/>
        <w:tabs>
          <w:tab w:val="left" w:pos="851"/>
        </w:tabs>
        <w:rPr>
          <w:rFonts w:asciiTheme="minorHAnsi" w:eastAsiaTheme="minorEastAsia" w:hAnsiTheme="minorHAnsi" w:cstheme="minorBidi"/>
          <w:noProof/>
          <w:color w:val="auto"/>
          <w:sz w:val="22"/>
          <w:szCs w:val="22"/>
          <w:lang w:val="en-AU" w:eastAsia="en-AU"/>
        </w:rPr>
      </w:pPr>
      <w:hyperlink w:anchor="_Toc454453629" w:history="1">
        <w:r w:rsidRPr="003D0F58">
          <w:rPr>
            <w:rStyle w:val="Hyperlink"/>
            <w:noProof/>
          </w:rPr>
          <w:t>A.4</w:t>
        </w:r>
        <w:r>
          <w:rPr>
            <w:rFonts w:asciiTheme="minorHAnsi" w:eastAsiaTheme="minorEastAsia" w:hAnsiTheme="minorHAnsi" w:cstheme="minorBidi"/>
            <w:noProof/>
            <w:color w:val="auto"/>
            <w:sz w:val="22"/>
            <w:szCs w:val="22"/>
            <w:lang w:val="en-AU" w:eastAsia="en-AU"/>
          </w:rPr>
          <w:tab/>
        </w:r>
        <w:r w:rsidRPr="003D0F58">
          <w:rPr>
            <w:rStyle w:val="Hyperlink"/>
            <w:noProof/>
          </w:rPr>
          <w:t>Discount rate</w:t>
        </w:r>
        <w:r>
          <w:rPr>
            <w:noProof/>
            <w:webHidden/>
          </w:rPr>
          <w:tab/>
        </w:r>
        <w:r>
          <w:rPr>
            <w:noProof/>
            <w:webHidden/>
          </w:rPr>
          <w:fldChar w:fldCharType="begin"/>
        </w:r>
        <w:r>
          <w:rPr>
            <w:noProof/>
            <w:webHidden/>
          </w:rPr>
          <w:instrText xml:space="preserve"> PAGEREF _Toc454453629 \h </w:instrText>
        </w:r>
        <w:r>
          <w:rPr>
            <w:noProof/>
            <w:webHidden/>
          </w:rPr>
        </w:r>
        <w:r>
          <w:rPr>
            <w:noProof/>
            <w:webHidden/>
          </w:rPr>
          <w:fldChar w:fldCharType="separate"/>
        </w:r>
        <w:r w:rsidR="00D61977">
          <w:rPr>
            <w:noProof/>
            <w:webHidden/>
          </w:rPr>
          <w:t>27</w:t>
        </w:r>
        <w:r>
          <w:rPr>
            <w:noProof/>
            <w:webHidden/>
          </w:rPr>
          <w:fldChar w:fldCharType="end"/>
        </w:r>
      </w:hyperlink>
    </w:p>
    <w:p w:rsidR="002826E0" w:rsidRDefault="002826E0">
      <w:pPr>
        <w:pStyle w:val="TOC4"/>
        <w:tabs>
          <w:tab w:val="left" w:pos="851"/>
        </w:tabs>
        <w:rPr>
          <w:rFonts w:asciiTheme="minorHAnsi" w:eastAsiaTheme="minorEastAsia" w:hAnsiTheme="minorHAnsi" w:cstheme="minorBidi"/>
          <w:noProof/>
          <w:color w:val="auto"/>
          <w:sz w:val="22"/>
          <w:szCs w:val="22"/>
          <w:lang w:val="en-AU" w:eastAsia="en-AU"/>
        </w:rPr>
      </w:pPr>
      <w:hyperlink w:anchor="_Toc454453630" w:history="1">
        <w:r w:rsidRPr="003D0F58">
          <w:rPr>
            <w:rStyle w:val="Hyperlink"/>
            <w:noProof/>
          </w:rPr>
          <w:t>A.3</w:t>
        </w:r>
        <w:r>
          <w:rPr>
            <w:rFonts w:asciiTheme="minorHAnsi" w:eastAsiaTheme="minorEastAsia" w:hAnsiTheme="minorHAnsi" w:cstheme="minorBidi"/>
            <w:noProof/>
            <w:color w:val="auto"/>
            <w:sz w:val="22"/>
            <w:szCs w:val="22"/>
            <w:lang w:val="en-AU" w:eastAsia="en-AU"/>
          </w:rPr>
          <w:tab/>
        </w:r>
        <w:r w:rsidRPr="003D0F58">
          <w:rPr>
            <w:rStyle w:val="Hyperlink"/>
            <w:noProof/>
          </w:rPr>
          <w:t>Inflation</w:t>
        </w:r>
        <w:r>
          <w:rPr>
            <w:noProof/>
            <w:webHidden/>
          </w:rPr>
          <w:tab/>
        </w:r>
        <w:r>
          <w:rPr>
            <w:noProof/>
            <w:webHidden/>
          </w:rPr>
          <w:fldChar w:fldCharType="begin"/>
        </w:r>
        <w:r>
          <w:rPr>
            <w:noProof/>
            <w:webHidden/>
          </w:rPr>
          <w:instrText xml:space="preserve"> PAGEREF _Toc454453630 \h </w:instrText>
        </w:r>
        <w:r>
          <w:rPr>
            <w:noProof/>
            <w:webHidden/>
          </w:rPr>
        </w:r>
        <w:r>
          <w:rPr>
            <w:noProof/>
            <w:webHidden/>
          </w:rPr>
          <w:fldChar w:fldCharType="separate"/>
        </w:r>
        <w:r w:rsidR="00D61977">
          <w:rPr>
            <w:noProof/>
            <w:webHidden/>
          </w:rPr>
          <w:t>27</w:t>
        </w:r>
        <w:r>
          <w:rPr>
            <w:noProof/>
            <w:webHidden/>
          </w:rPr>
          <w:fldChar w:fldCharType="end"/>
        </w:r>
      </w:hyperlink>
    </w:p>
    <w:p w:rsidR="007768F8" w:rsidRDefault="00D963FB" w:rsidP="007768F8">
      <w:pPr>
        <w:pStyle w:val="BodyText"/>
      </w:pPr>
      <w:r w:rsidRPr="00E72033">
        <w:fldChar w:fldCharType="end"/>
      </w:r>
    </w:p>
    <w:p w:rsidR="0023441C" w:rsidRDefault="0023441C" w:rsidP="00FB50BA">
      <w:pPr>
        <w:pStyle w:val="Heading1unnumbered"/>
        <w:sectPr w:rsidR="0023441C" w:rsidSect="00B92920">
          <w:type w:val="continuous"/>
          <w:pgSz w:w="11906" w:h="16838" w:code="9"/>
          <w:pgMar w:top="1276" w:right="1418" w:bottom="1418" w:left="1418" w:header="567" w:footer="567" w:gutter="0"/>
          <w:cols w:space="708"/>
          <w:titlePg/>
          <w:docGrid w:linePitch="360"/>
        </w:sectPr>
      </w:pPr>
    </w:p>
    <w:p w:rsidR="006731FD" w:rsidRDefault="00356139" w:rsidP="00356139">
      <w:pPr>
        <w:pStyle w:val="Heading1"/>
      </w:pPr>
      <w:bookmarkStart w:id="0" w:name="_Toc234210762"/>
      <w:bookmarkStart w:id="1" w:name="_Toc454453610"/>
      <w:r>
        <w:lastRenderedPageBreak/>
        <w:t>Executive Summary</w:t>
      </w:r>
      <w:bookmarkEnd w:id="0"/>
      <w:bookmarkEnd w:id="1"/>
    </w:p>
    <w:p w:rsidR="00021A4F" w:rsidRDefault="00AC4343" w:rsidP="00601461">
      <w:pPr>
        <w:pStyle w:val="BodyText"/>
      </w:pPr>
      <w:bookmarkStart w:id="2" w:name="_Toc234210763"/>
      <w:r>
        <w:t xml:space="preserve">Spectrum licences at </w:t>
      </w:r>
      <w:r w:rsidRPr="00356FD8">
        <w:t>825-845 MHz and 870-890 MHz (“800 MHz band”) will be</w:t>
      </w:r>
      <w:r>
        <w:t xml:space="preserve"> reissued </w:t>
      </w:r>
      <w:r w:rsidR="00581A5D">
        <w:t xml:space="preserve">upon expiry in </w:t>
      </w:r>
      <w:r>
        <w:t>2013</w:t>
      </w:r>
      <w:r w:rsidR="00581A5D">
        <w:t xml:space="preserve"> </w:t>
      </w:r>
      <w:r>
        <w:t>either through renewal at an administratively determined price or through price based reallocation (e.g. auction).</w:t>
      </w:r>
      <w:r w:rsidRPr="00ED62F5">
        <w:rPr>
          <w:rStyle w:val="FootnoteReference"/>
        </w:rPr>
        <w:t xml:space="preserve"> </w:t>
      </w:r>
      <w:r>
        <w:rPr>
          <w:rStyle w:val="FootnoteReference"/>
        </w:rPr>
        <w:footnoteReference w:id="1"/>
      </w:r>
      <w:r>
        <w:t xml:space="preserve"> Reissue will be subject to a price that provides an appropriate rate of return to the community and that reflects the scarcity and value of this important resource. </w:t>
      </w:r>
      <w:r w:rsidR="00CF04CA">
        <w:t>This report seeks to value licences for the purposes of setting government expectations with regard to licence reissue prices.</w:t>
      </w:r>
      <w:r w:rsidR="00CF04CA">
        <w:rPr>
          <w:rStyle w:val="FootnoteReference"/>
        </w:rPr>
        <w:footnoteReference w:id="2"/>
      </w:r>
      <w:r w:rsidR="00CF04CA">
        <w:t xml:space="preserve"> If licensees fail to meet the government’s price expectations then the spectrum will be auctioned</w:t>
      </w:r>
      <w:r w:rsidR="00015C18">
        <w:t>;</w:t>
      </w:r>
      <w:r w:rsidR="00CF04CA">
        <w:t xml:space="preserve"> therefore the value of spectrum yielded by an auction sets a lower bound on value. </w:t>
      </w:r>
      <w:r w:rsidR="00CF04CA">
        <w:rPr>
          <w:rStyle w:val="BodyTextChar"/>
        </w:rPr>
        <w:t>Licensees should be prepared to pay a premium for licence reissue because this removes the costs and uncertainty of engaging in an auction.</w:t>
      </w:r>
    </w:p>
    <w:p w:rsidR="00601461" w:rsidRDefault="00601461" w:rsidP="00601461">
      <w:pPr>
        <w:pStyle w:val="BodyText"/>
      </w:pPr>
      <w:r>
        <w:t xml:space="preserve">The spectrum licences to be valued are currently used to provide public mobile services (voice and data). It </w:t>
      </w:r>
      <w:r w:rsidR="002E166E">
        <w:t>is</w:t>
      </w:r>
      <w:r>
        <w:t xml:space="preserve"> assumed that the licences will continue to be used for thes</w:t>
      </w:r>
      <w:r w:rsidR="00987B7E">
        <w:t>e applications over the next 15 </w:t>
      </w:r>
      <w:r>
        <w:t>year licence period as the bands are used internationally for these applications.</w:t>
      </w:r>
    </w:p>
    <w:p w:rsidR="00021A4F" w:rsidRDefault="00601461" w:rsidP="00601461">
      <w:pPr>
        <w:pStyle w:val="BodyText"/>
      </w:pPr>
      <w:r>
        <w:t>There are three elements to the study:</w:t>
      </w:r>
    </w:p>
    <w:p w:rsidR="00021A4F" w:rsidRDefault="00601461" w:rsidP="00601461">
      <w:pPr>
        <w:pStyle w:val="BulletList1"/>
      </w:pPr>
      <w:r>
        <w:t>A review of international evidence on the value of spectrum licences in the same or similar frequency bands as revealed in auctions and licence renewal processes elsewhere.</w:t>
      </w:r>
    </w:p>
    <w:p w:rsidR="00021A4F" w:rsidRDefault="00601461" w:rsidP="00601461">
      <w:pPr>
        <w:pStyle w:val="BulletList1"/>
      </w:pPr>
      <w:r>
        <w:t>Modelling of values based on the projected revenues and costs of a hypothetical operator.</w:t>
      </w:r>
      <w:r w:rsidR="00021A4F">
        <w:t xml:space="preserve"> </w:t>
      </w:r>
      <w:r>
        <w:t>A spreadsheet business model was constructed and calibrated against data and projections for the Australian market.</w:t>
      </w:r>
    </w:p>
    <w:p w:rsidR="00021A4F" w:rsidRDefault="00601461" w:rsidP="00601461">
      <w:pPr>
        <w:pStyle w:val="BulletList1"/>
      </w:pPr>
      <w:r>
        <w:t xml:space="preserve">Consideration of the disruption costs that might be associated with auctioning licences and </w:t>
      </w:r>
      <w:r w:rsidR="00A02765">
        <w:t xml:space="preserve">proposing </w:t>
      </w:r>
      <w:r>
        <w:t xml:space="preserve">a </w:t>
      </w:r>
      <w:r w:rsidR="00A02765">
        <w:t xml:space="preserve">range of values for the </w:t>
      </w:r>
      <w:r>
        <w:t>renewal price.</w:t>
      </w:r>
    </w:p>
    <w:p w:rsidR="00601461" w:rsidRDefault="00601461" w:rsidP="0001007A">
      <w:pPr>
        <w:pStyle w:val="Heading2unnumbered"/>
      </w:pPr>
      <w:bookmarkStart w:id="3" w:name="_Toc454453611"/>
      <w:r w:rsidRPr="0001007A">
        <w:t>International</w:t>
      </w:r>
      <w:r>
        <w:t xml:space="preserve"> evidence</w:t>
      </w:r>
      <w:bookmarkEnd w:id="3"/>
    </w:p>
    <w:p w:rsidR="00021A4F" w:rsidRDefault="00601461" w:rsidP="00601461">
      <w:pPr>
        <w:pStyle w:val="BodyText"/>
      </w:pPr>
      <w:r>
        <w:t xml:space="preserve">The findings from a review of international evidence on spectrum value since the original auction of the Australian spectrum licences show that </w:t>
      </w:r>
      <w:r w:rsidR="00AC4343" w:rsidRPr="00DA277F">
        <w:t xml:space="preserve">the value of the 800 MHz band is now likely to exceed </w:t>
      </w:r>
      <w:r w:rsidR="00AC4343">
        <w:t xml:space="preserve">substantially </w:t>
      </w:r>
      <w:r w:rsidR="00AC4343" w:rsidRPr="00DA277F">
        <w:t>the original auction value</w:t>
      </w:r>
      <w:r w:rsidR="00701F78">
        <w:t xml:space="preserve"> in Australia</w:t>
      </w:r>
      <w:r w:rsidR="00AC4343" w:rsidRPr="00DA277F">
        <w:t>.</w:t>
      </w:r>
      <w:r>
        <w:t xml:space="preserve"> </w:t>
      </w:r>
      <w:r w:rsidR="002E166E">
        <w:t>More generally t</w:t>
      </w:r>
      <w:r w:rsidR="00AC4343">
        <w:t xml:space="preserve">here appears to be a strong view within the </w:t>
      </w:r>
      <w:r w:rsidR="00E84E95">
        <w:t xml:space="preserve">global </w:t>
      </w:r>
      <w:r w:rsidR="00AC4343">
        <w:t>mobile industry that sub 1 GHz spectrum carries a value premium to reflect the flexibility that it provides with regard to rural coverage and in-building penetration.</w:t>
      </w:r>
    </w:p>
    <w:p w:rsidR="00AC4343" w:rsidRDefault="00AC4343" w:rsidP="00601461">
      <w:pPr>
        <w:pStyle w:val="BodyText"/>
      </w:pPr>
      <w:r w:rsidRPr="00DA277F">
        <w:t xml:space="preserve">The </w:t>
      </w:r>
      <w:r>
        <w:t xml:space="preserve">recent </w:t>
      </w:r>
      <w:r w:rsidRPr="00DA277F">
        <w:t>international benchmarks and the current 900 MHz apparatus licence tax</w:t>
      </w:r>
      <w:r w:rsidR="0095743B">
        <w:rPr>
          <w:rStyle w:val="FootnoteReference"/>
        </w:rPr>
        <w:footnoteReference w:id="3"/>
      </w:r>
      <w:r w:rsidRPr="00DA277F">
        <w:t xml:space="preserve"> indicate </w:t>
      </w:r>
      <w:r>
        <w:t xml:space="preserve">that </w:t>
      </w:r>
      <w:r w:rsidR="00427C6F">
        <w:t xml:space="preserve">the </w:t>
      </w:r>
      <w:r w:rsidRPr="00DA277F">
        <w:t xml:space="preserve">range </w:t>
      </w:r>
      <w:r>
        <w:t xml:space="preserve">of representative auction </w:t>
      </w:r>
      <w:r w:rsidR="00427C6F">
        <w:t>benchmark</w:t>
      </w:r>
      <w:r w:rsidR="009C4932">
        <w:t xml:space="preserve"> </w:t>
      </w:r>
      <w:r>
        <w:t>values</w:t>
      </w:r>
      <w:r w:rsidR="009E32E0">
        <w:t xml:space="preserve"> from </w:t>
      </w:r>
      <w:r>
        <w:t>$0.5/MHz/pop to $1.2/MHz/pop</w:t>
      </w:r>
      <w:r w:rsidRPr="00DA277F">
        <w:t xml:space="preserve"> </w:t>
      </w:r>
      <w:r w:rsidR="00AF7DF2">
        <w:t>may</w:t>
      </w:r>
      <w:r w:rsidR="00AF7DF2" w:rsidRPr="00DA277F">
        <w:t xml:space="preserve"> be appropriate</w:t>
      </w:r>
      <w:r w:rsidR="00AF7DF2">
        <w:t xml:space="preserve"> </w:t>
      </w:r>
      <w:r w:rsidR="009E32E0">
        <w:t>(i.e. $0.5 to $1.2 per MHz per person within the licensed geographic area)</w:t>
      </w:r>
      <w:r>
        <w:t>.</w:t>
      </w:r>
    </w:p>
    <w:p w:rsidR="00601461" w:rsidRDefault="00601461" w:rsidP="00A56778">
      <w:pPr>
        <w:pStyle w:val="Heading2unnumbered"/>
      </w:pPr>
      <w:bookmarkStart w:id="4" w:name="_Toc454453612"/>
      <w:r>
        <w:lastRenderedPageBreak/>
        <w:t>Modelled values</w:t>
      </w:r>
      <w:bookmarkEnd w:id="4"/>
    </w:p>
    <w:p w:rsidR="00601461" w:rsidRDefault="00601461" w:rsidP="00601461">
      <w:pPr>
        <w:pStyle w:val="BodyText"/>
      </w:pPr>
      <w:r>
        <w:t xml:space="preserve">Values were calculated based on a hypothetical incumbent operator and assuming that the market continues to support three operators. The value of the spectrum </w:t>
      </w:r>
      <w:r w:rsidR="00603D03">
        <w:t xml:space="preserve">for a </w:t>
      </w:r>
      <w:r w:rsidR="00FA3428">
        <w:t>hypothetical</w:t>
      </w:r>
      <w:r w:rsidR="00603D03">
        <w:t xml:space="preserve"> operator having similar characteristics </w:t>
      </w:r>
      <w:r>
        <w:t xml:space="preserve">to the weakest of the three operators was modelled </w:t>
      </w:r>
      <w:r w:rsidR="0075543A">
        <w:t xml:space="preserve">since this </w:t>
      </w:r>
      <w:r w:rsidR="00DB4259">
        <w:t xml:space="preserve">would most likely determine a hypothetical auction price and </w:t>
      </w:r>
      <w:r>
        <w:t>the government would not want to set prices at a level that might result in further industry consolidation.</w:t>
      </w:r>
      <w:r w:rsidR="0075543A">
        <w:t xml:space="preserve"> </w:t>
      </w:r>
      <w:r w:rsidR="00426390">
        <w:t>We have assumed that spectrum in the 800 MHz band will be used primarily for deployment of 3G services over the licence period.</w:t>
      </w:r>
    </w:p>
    <w:p w:rsidR="00601461" w:rsidRPr="00E57815" w:rsidRDefault="00601461" w:rsidP="00601461">
      <w:pPr>
        <w:pStyle w:val="BodyText"/>
      </w:pPr>
      <w:r w:rsidRPr="00E57815">
        <w:t>To provide bounds on the value of the spectrum licences the following two measures</w:t>
      </w:r>
      <w:r>
        <w:t xml:space="preserve"> were modelled</w:t>
      </w:r>
      <w:r w:rsidRPr="00E57815">
        <w:t>:</w:t>
      </w:r>
    </w:p>
    <w:p w:rsidR="00601461" w:rsidRPr="00E57815" w:rsidRDefault="00601461" w:rsidP="00601461">
      <w:pPr>
        <w:pStyle w:val="BulletList1"/>
      </w:pPr>
      <w:r w:rsidRPr="00E57815">
        <w:rPr>
          <w:u w:val="single"/>
        </w:rPr>
        <w:t>Cost reduction</w:t>
      </w:r>
      <w:r w:rsidR="003C375F">
        <w:rPr>
          <w:u w:val="single"/>
        </w:rPr>
        <w:t xml:space="preserve"> value</w:t>
      </w:r>
      <w:r w:rsidRPr="00E57815">
        <w:t xml:space="preserve">: This is the value arising from the use of an incremental block of spectrum to reduce infrastructure costs. </w:t>
      </w:r>
      <w:r w:rsidRPr="00E57815">
        <w:rPr>
          <w:rStyle w:val="BodyTextChar"/>
        </w:rPr>
        <w:t>The cost reduction value is calculated by modelling infrastructure costs with and without additional spectrum. In congested areas additional spectrum allows more capacity to be deployed per site (and therefore fewer sites are required). The coverage and in-building penetration advantages of lower frequency bands were value</w:t>
      </w:r>
      <w:r w:rsidR="00FA3428">
        <w:rPr>
          <w:rStyle w:val="BodyTextChar"/>
        </w:rPr>
        <w:t>d</w:t>
      </w:r>
      <w:r w:rsidRPr="00E57815">
        <w:rPr>
          <w:rStyle w:val="BodyTextChar"/>
        </w:rPr>
        <w:t xml:space="preserve"> based on differences in the number of base stations needed to provide coverage. </w:t>
      </w:r>
      <w:r>
        <w:rPr>
          <w:rStyle w:val="BodyTextChar"/>
        </w:rPr>
        <w:t>It was</w:t>
      </w:r>
      <w:r w:rsidRPr="00E57815">
        <w:rPr>
          <w:rStyle w:val="BodyTextChar"/>
        </w:rPr>
        <w:t xml:space="preserve"> assumed that the minimum block size for efficient deployment of </w:t>
      </w:r>
      <w:r w:rsidR="00241AA9">
        <w:rPr>
          <w:rStyle w:val="BodyTextChar"/>
        </w:rPr>
        <w:t>3G services is 2x5 MHz</w:t>
      </w:r>
    </w:p>
    <w:p w:rsidR="00601461" w:rsidRPr="00E57815" w:rsidRDefault="00601461" w:rsidP="00601461">
      <w:pPr>
        <w:pStyle w:val="BulletList1"/>
      </w:pPr>
      <w:r w:rsidRPr="00E57815">
        <w:rPr>
          <w:u w:val="single"/>
        </w:rPr>
        <w:t>Full enterprise value</w:t>
      </w:r>
      <w:r w:rsidRPr="00E57815">
        <w:t xml:space="preserve">: This is the net present value (NPV) of total business </w:t>
      </w:r>
      <w:proofErr w:type="spellStart"/>
      <w:r w:rsidRPr="00E57815">
        <w:t>cashflows</w:t>
      </w:r>
      <w:proofErr w:type="spellEnd"/>
      <w:r w:rsidRPr="00E57815">
        <w:t xml:space="preserve"> (i.e. revenues less costs) that a mobile operator earns from all of its spectrum holding</w:t>
      </w:r>
      <w:r w:rsidR="009D48BD">
        <w:t>s</w:t>
      </w:r>
      <w:r w:rsidRPr="00E57815">
        <w:t>.</w:t>
      </w:r>
      <w:r w:rsidR="00021A4F">
        <w:t xml:space="preserve"> </w:t>
      </w:r>
      <w:r w:rsidRPr="00E57815">
        <w:t>This sets an upper bound on what might be charged on licence reissue. A price higher than this level would mean that the operator modelled would go out of business.</w:t>
      </w:r>
    </w:p>
    <w:p w:rsidR="00021A4F" w:rsidRDefault="00601461" w:rsidP="00601461">
      <w:pPr>
        <w:pStyle w:val="BodyText"/>
      </w:pPr>
      <w:r>
        <w:t xml:space="preserve">Licensees will be prepared to pay more than the cost reduction value for a licence </w:t>
      </w:r>
      <w:r w:rsidR="00D56306">
        <w:t xml:space="preserve">renewal </w:t>
      </w:r>
      <w:r>
        <w:t xml:space="preserve">because renewal removes the costs and uncertainty of going to auction (see </w:t>
      </w:r>
      <w:r w:rsidR="00D963FB">
        <w:fldChar w:fldCharType="begin"/>
      </w:r>
      <w:r w:rsidR="00D11EEA">
        <w:instrText xml:space="preserve"> REF _Ref234062979 </w:instrText>
      </w:r>
      <w:r w:rsidR="00D963FB">
        <w:fldChar w:fldCharType="separate"/>
      </w:r>
      <w:r w:rsidR="00D61977">
        <w:t>Figure</w:t>
      </w:r>
      <w:r w:rsidR="00D61977" w:rsidRPr="00C0159A">
        <w:t xml:space="preserve"> </w:t>
      </w:r>
      <w:r w:rsidR="00D61977">
        <w:rPr>
          <w:noProof/>
        </w:rPr>
        <w:t>1</w:t>
      </w:r>
      <w:r w:rsidR="00D963FB">
        <w:fldChar w:fldCharType="end"/>
      </w:r>
      <w:r>
        <w:t>).</w:t>
      </w:r>
    </w:p>
    <w:p w:rsidR="00601461" w:rsidRDefault="00601461" w:rsidP="00601461">
      <w:pPr>
        <w:pStyle w:val="FigureCaption"/>
        <w:rPr>
          <w:rStyle w:val="BodyTextChar"/>
        </w:rPr>
      </w:pPr>
      <w:bookmarkStart w:id="5" w:name="_Ref234062979"/>
      <w:r>
        <w:t>Figure</w:t>
      </w:r>
      <w:r w:rsidRPr="00C0159A">
        <w:t xml:space="preserve"> </w:t>
      </w:r>
      <w:r w:rsidR="00D963FB" w:rsidRPr="00C0159A">
        <w:fldChar w:fldCharType="begin"/>
      </w:r>
      <w:r w:rsidRPr="00C0159A">
        <w:instrText xml:space="preserve"> SEQ </w:instrText>
      </w:r>
      <w:r>
        <w:instrText>Figure</w:instrText>
      </w:r>
      <w:r w:rsidRPr="00C0159A">
        <w:instrText xml:space="preserve"> \* ARABIC \s 1 </w:instrText>
      </w:r>
      <w:r w:rsidR="00D963FB" w:rsidRPr="00C0159A">
        <w:fldChar w:fldCharType="separate"/>
      </w:r>
      <w:r w:rsidR="00D61977">
        <w:rPr>
          <w:noProof/>
        </w:rPr>
        <w:t>1</w:t>
      </w:r>
      <w:r w:rsidR="00D963FB" w:rsidRPr="00C0159A">
        <w:fldChar w:fldCharType="end"/>
      </w:r>
      <w:bookmarkEnd w:id="5"/>
      <w:r w:rsidRPr="00C0159A">
        <w:t xml:space="preserve">: </w:t>
      </w:r>
      <w:r>
        <w:t>Range of spectrum value measures</w:t>
      </w:r>
    </w:p>
    <w:p w:rsidR="00C36F15" w:rsidRDefault="00C36F15" w:rsidP="00601461">
      <w:pPr>
        <w:pStyle w:val="BodyText"/>
        <w:rPr>
          <w:rStyle w:val="BodyTextChar"/>
        </w:rPr>
      </w:pPr>
      <w:r w:rsidRPr="00C91989">
        <w:rPr>
          <w:noProof/>
          <w:lang w:val="en-AU" w:eastAsia="en-AU"/>
        </w:rPr>
        <w:drawing>
          <wp:inline distT="0" distB="0" distL="0" distR="0" wp14:anchorId="76FBBCEF" wp14:editId="328C15E9">
            <wp:extent cx="3800475" cy="2381250"/>
            <wp:effectExtent l="0" t="0" r="9525" b="0"/>
            <wp:docPr id="2" name="Picture 2" descr="Maximum value of licence = value of business supported by operators' spectrum.&#10;&#10;Go to auction.&#10;&#10;Middle  line is value to set on licence for renewal.&#10;&#10;Agree to renewal.&#10;&#10;Minimum value at auction = value of small blocks of spectrum in reducing infrastructure costs.&#10;&#10;This value of small blocks of spectrum in reducing infrastructure costs  leads to value to set on licence for renewal with value of certainty to operator from licence renewal." title="Range of spectrum valu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381250"/>
                    </a:xfrm>
                    <a:prstGeom prst="rect">
                      <a:avLst/>
                    </a:prstGeom>
                    <a:noFill/>
                    <a:ln>
                      <a:noFill/>
                    </a:ln>
                  </pic:spPr>
                </pic:pic>
              </a:graphicData>
            </a:graphic>
          </wp:inline>
        </w:drawing>
      </w:r>
    </w:p>
    <w:p w:rsidR="00601461" w:rsidRDefault="00601461" w:rsidP="00601461">
      <w:pPr>
        <w:pStyle w:val="AfterTable"/>
      </w:pPr>
      <w:r>
        <w:t>It was assumed that in future 3G services will be supplied using 800 MHz, 900 MHz and 2100 MHz spectrum and that LTE services will be supplied using 700 MHz, 1800 MHz and 2500 MHz spectrum.</w:t>
      </w:r>
      <w:r w:rsidR="00021A4F">
        <w:t xml:space="preserve"> </w:t>
      </w:r>
      <w:r>
        <w:t>Values for low, medium and high market assumpti</w:t>
      </w:r>
      <w:bookmarkStart w:id="6" w:name="_GoBack"/>
      <w:bookmarkEnd w:id="6"/>
      <w:r>
        <w:t>ons were estimated.</w:t>
      </w:r>
    </w:p>
    <w:p w:rsidR="00601461" w:rsidRDefault="00601461" w:rsidP="00C36F15">
      <w:pPr>
        <w:pStyle w:val="BodyText"/>
        <w:keepNext/>
      </w:pPr>
      <w:r>
        <w:lastRenderedPageBreak/>
        <w:t>From the modelling it was found that the main drivers of value are:</w:t>
      </w:r>
    </w:p>
    <w:p w:rsidR="00601461" w:rsidRDefault="00601461" w:rsidP="00601461">
      <w:pPr>
        <w:pStyle w:val="BulletList1"/>
      </w:pPr>
      <w:r>
        <w:t>The forecast growth in ARPU expected across the mobile sector. Higher ARPU growth increases the full enterprise valuation but has no impact on the cost reduction valuation.</w:t>
      </w:r>
    </w:p>
    <w:p w:rsidR="00601461" w:rsidRPr="00B36D57" w:rsidRDefault="00601461" w:rsidP="00601461">
      <w:pPr>
        <w:pStyle w:val="BulletList1"/>
      </w:pPr>
      <w:r>
        <w:t>The future growth in the data traffic that will be supported by the operators. This increases network deployment costs but is mitigated in part by the adoption of more spectrally efficient technology, namely LTE.</w:t>
      </w:r>
    </w:p>
    <w:p w:rsidR="00601461" w:rsidRDefault="00601461" w:rsidP="00601461">
      <w:pPr>
        <w:pStyle w:val="BulletList1"/>
      </w:pPr>
      <w:r>
        <w:t>The ability of s</w:t>
      </w:r>
      <w:r w:rsidR="00F732EE">
        <w:t>u</w:t>
      </w:r>
      <w:r>
        <w:t>b 1 GHz spectrum to deliver deep in-building coverage at comparatively lower cost</w:t>
      </w:r>
      <w:r w:rsidR="00897271">
        <w:t xml:space="preserve"> than higher frequency ranges</w:t>
      </w:r>
      <w:r>
        <w:t>.</w:t>
      </w:r>
    </w:p>
    <w:p w:rsidR="00601461" w:rsidRDefault="00601461" w:rsidP="00601461">
      <w:pPr>
        <w:pStyle w:val="BulletList1"/>
        <w:numPr>
          <w:ilvl w:val="0"/>
          <w:numId w:val="0"/>
        </w:numPr>
      </w:pPr>
      <w:r>
        <w:t xml:space="preserve">The medium scenario </w:t>
      </w:r>
      <w:r w:rsidR="00D56306">
        <w:t xml:space="preserve">provides </w:t>
      </w:r>
      <w:r>
        <w:t xml:space="preserve">our best estimate of the cost reduction value (i.e. a lower bound on the value that might be realised if there were an auction for the spectrum). The estimates of </w:t>
      </w:r>
      <w:r w:rsidR="00F732EE">
        <w:t xml:space="preserve">the </w:t>
      </w:r>
      <w:r>
        <w:t xml:space="preserve">value </w:t>
      </w:r>
      <w:r w:rsidR="00F732EE">
        <w:t xml:space="preserve">of 800 MHz spectrum </w:t>
      </w:r>
      <w:r>
        <w:t>for the medium scenario are:</w:t>
      </w:r>
    </w:p>
    <w:p w:rsidR="00601461" w:rsidRDefault="00601461" w:rsidP="00601461">
      <w:pPr>
        <w:pStyle w:val="BulletList1"/>
      </w:pPr>
      <w:r>
        <w:t>$0.97/MHz/pop for the cost reduction valuation</w:t>
      </w:r>
    </w:p>
    <w:p w:rsidR="00601461" w:rsidRDefault="00601461" w:rsidP="00601461">
      <w:pPr>
        <w:pStyle w:val="BulletList1"/>
      </w:pPr>
      <w:r>
        <w:t>$3.</w:t>
      </w:r>
      <w:r w:rsidR="00F1086A">
        <w:t>16</w:t>
      </w:r>
      <w:r>
        <w:t>/MHz/pop for the full enterprise valuation</w:t>
      </w:r>
      <w:r w:rsidR="005473AA">
        <w:t>.</w:t>
      </w:r>
    </w:p>
    <w:p w:rsidR="00601461" w:rsidRDefault="00601461" w:rsidP="00601461">
      <w:pPr>
        <w:pStyle w:val="BodyText"/>
      </w:pPr>
      <w:r>
        <w:t>The cost reduction valuation includes benefits from the ability to provide more cost effective in-building coverage in urban and suburban areas.</w:t>
      </w:r>
      <w:r w:rsidRPr="00601461">
        <w:t xml:space="preserve"> </w:t>
      </w:r>
      <w:r>
        <w:t>The</w:t>
      </w:r>
      <w:r w:rsidR="00897271">
        <w:t>se</w:t>
      </w:r>
      <w:r>
        <w:t xml:space="preserve"> benefits arise because, without sub 1 GHz spectrum, more sites are required to deliver enhanced in-building coverage.</w:t>
      </w:r>
    </w:p>
    <w:p w:rsidR="00601461" w:rsidRDefault="009849EC" w:rsidP="00A56778">
      <w:pPr>
        <w:pStyle w:val="Heading2unnumbered"/>
      </w:pPr>
      <w:bookmarkStart w:id="7" w:name="_Toc454453613"/>
      <w:r>
        <w:t xml:space="preserve">Proposing </w:t>
      </w:r>
      <w:r w:rsidR="00601461">
        <w:t>a renewal price</w:t>
      </w:r>
      <w:bookmarkEnd w:id="7"/>
    </w:p>
    <w:p w:rsidR="00021A4F" w:rsidRDefault="00601461" w:rsidP="00601461">
      <w:pPr>
        <w:pStyle w:val="BodyText"/>
      </w:pPr>
      <w:r>
        <w:t>The modelling results give a wide range of values under the differen</w:t>
      </w:r>
      <w:r w:rsidR="005473AA">
        <w:t>t</w:t>
      </w:r>
      <w:r>
        <w:t xml:space="preserve"> market scenarios. Values at the upper end of the range are not plausible based on international benchmarks.</w:t>
      </w:r>
    </w:p>
    <w:p w:rsidR="00601461" w:rsidRDefault="00601461" w:rsidP="00601461">
      <w:pPr>
        <w:pStyle w:val="BodyText"/>
      </w:pPr>
      <w:r>
        <w:t>From an operator’s perspective</w:t>
      </w:r>
      <w:r w:rsidRPr="007D29A4">
        <w:t xml:space="preserve"> </w:t>
      </w:r>
      <w:r>
        <w:t>there are also costs and risks associated with auctions:</w:t>
      </w:r>
    </w:p>
    <w:p w:rsidR="00601461" w:rsidRDefault="00601461" w:rsidP="00601461">
      <w:pPr>
        <w:pStyle w:val="BulletList1"/>
      </w:pPr>
      <w:r>
        <w:t>Operators may not be able to retain current spectrum holdings which can result in retuning and subscriber migration costs</w:t>
      </w:r>
    </w:p>
    <w:p w:rsidR="00021A4F" w:rsidRDefault="00601461" w:rsidP="00601461">
      <w:pPr>
        <w:pStyle w:val="BulletList1"/>
      </w:pPr>
      <w:r>
        <w:t>Risk of higher competitive intensity as a result of new market entry</w:t>
      </w:r>
    </w:p>
    <w:p w:rsidR="00601461" w:rsidRDefault="00601461" w:rsidP="00601461">
      <w:pPr>
        <w:pStyle w:val="BulletList1"/>
      </w:pPr>
      <w:r>
        <w:t>Disruption to investment financing as a result of uncertainty about future spectrum holdings, and the potential delays associated with an auction</w:t>
      </w:r>
    </w:p>
    <w:p w:rsidR="00021A4F" w:rsidRDefault="00601461" w:rsidP="00601461">
      <w:pPr>
        <w:pStyle w:val="BulletList1"/>
      </w:pPr>
      <w:r>
        <w:t>Costs of management time in preparing for and participating in the auction.</w:t>
      </w:r>
    </w:p>
    <w:p w:rsidR="00021A4F" w:rsidRDefault="00601461" w:rsidP="00601461">
      <w:pPr>
        <w:pStyle w:val="BodyText"/>
      </w:pPr>
      <w:r>
        <w:t xml:space="preserve">We have not attempted to quantify these individual impacts since they are specific to the individual operator’s circumstances and aspirations. </w:t>
      </w:r>
      <w:r w:rsidR="00902F6C">
        <w:t>However, prices should be uplifted to take account of the value to an operator in avoiding these costs and risks.</w:t>
      </w:r>
    </w:p>
    <w:p w:rsidR="00FB35D5" w:rsidRDefault="00FB35D5" w:rsidP="00601461">
      <w:pPr>
        <w:pStyle w:val="BodyText"/>
      </w:pPr>
      <w:r>
        <w:t>Although international benchmarks do not incorporate the value of avoiding an auction, they provide an indication of the potential willingness to pay under an auction outcome. Therefore the value of spectrum to operators may be higher than the levels indicated by recent international benchmarks, where operators take account of the costs and risks associated auctions of existing spectrum holdings.</w:t>
      </w:r>
    </w:p>
    <w:p w:rsidR="00902F6C" w:rsidRDefault="00A02765" w:rsidP="00A02765">
      <w:pPr>
        <w:pStyle w:val="BodyText"/>
      </w:pPr>
      <w:r w:rsidRPr="00E74737">
        <w:t>We have assumed a</w:t>
      </w:r>
      <w:r w:rsidR="00902F6C">
        <w:t>n</w:t>
      </w:r>
      <w:r w:rsidRPr="00E74737">
        <w:t xml:space="preserve"> uplift of </w:t>
      </w:r>
      <w:r>
        <w:t xml:space="preserve">between </w:t>
      </w:r>
      <w:r w:rsidRPr="00E74737">
        <w:t xml:space="preserve">25% </w:t>
      </w:r>
      <w:r>
        <w:t xml:space="preserve">and 50% </w:t>
      </w:r>
      <w:r w:rsidRPr="00E74737">
        <w:t>may be applied to the cost reduction valuation to take account of these factors and the option value that might otherwise raise auction prices above the cost reduction levels.</w:t>
      </w:r>
      <w:r>
        <w:t xml:space="preserve"> </w:t>
      </w:r>
      <w:r w:rsidR="009230E8" w:rsidRPr="009230E8">
        <w:rPr>
          <w:b/>
        </w:rPr>
        <w:t>This gives a range of potential prices between $1.21/MHz/pop and $1.46/MHz/pop.</w:t>
      </w:r>
    </w:p>
    <w:p w:rsidR="00021A4F" w:rsidRDefault="00902F6C">
      <w:pPr>
        <w:pStyle w:val="BodyText"/>
      </w:pPr>
      <w:r>
        <w:lastRenderedPageBreak/>
        <w:t>The choice of spectrum price within this range is a policy decision</w:t>
      </w:r>
      <w:r w:rsidR="00CD7E66">
        <w:t xml:space="preserve">, and </w:t>
      </w:r>
      <w:r>
        <w:t>DBCDE has conveyed the outcome of discussions between DBCDE and Government finance agencies, which have tended to support the adoption of a 50% premium.</w:t>
      </w:r>
    </w:p>
    <w:p w:rsidR="00D92719" w:rsidRDefault="00D92719" w:rsidP="00D92719">
      <w:pPr>
        <w:pStyle w:val="BodyText"/>
      </w:pPr>
      <w:r>
        <w:t>In setting Government expectations with regard to licence reissue prices, the following policy objectives should be taken into account:</w:t>
      </w:r>
    </w:p>
    <w:p w:rsidR="00D92719" w:rsidRPr="0006496D" w:rsidRDefault="00D92719" w:rsidP="00D92719">
      <w:pPr>
        <w:pStyle w:val="BulletList1"/>
      </w:pPr>
      <w:r>
        <w:t>Promoting efficient spectrum use</w:t>
      </w:r>
    </w:p>
    <w:p w:rsidR="00D92719" w:rsidRPr="0006496D" w:rsidRDefault="00D92719" w:rsidP="00D92719">
      <w:pPr>
        <w:pStyle w:val="BulletList1"/>
      </w:pPr>
      <w:r>
        <w:t>Obtaining a fair value for the public purse.</w:t>
      </w:r>
    </w:p>
    <w:p w:rsidR="00021A4F" w:rsidRDefault="00D92719" w:rsidP="004103DE">
      <w:pPr>
        <w:pStyle w:val="BodyText"/>
      </w:pPr>
      <w:r>
        <w:t>Efficiency points towards setting values that mimic the results of an auction (i.e. at or somewhat above the cost reduction value).</w:t>
      </w:r>
      <w:r w:rsidR="00021A4F">
        <w:t xml:space="preserve"> </w:t>
      </w:r>
      <w:r>
        <w:t>A fair value is one that does not take all of the benefit that an operator might gain from spectrum use (i.e. is less than the full valuation), yet takes account of the value that an operator would attribute to avoiding an auction.</w:t>
      </w:r>
      <w:r w:rsidR="00021A4F">
        <w:t xml:space="preserve"> </w:t>
      </w:r>
      <w:r w:rsidR="00A02765">
        <w:t xml:space="preserve">The choice of spectrum price within this range depends on the DBCDE’s view of the relative importance of </w:t>
      </w:r>
      <w:r w:rsidR="00CD7E66">
        <w:t>its</w:t>
      </w:r>
      <w:r w:rsidR="00A02765">
        <w:t xml:space="preserve"> policy objectives.</w:t>
      </w:r>
    </w:p>
    <w:p w:rsidR="00356139" w:rsidRPr="000B701B" w:rsidRDefault="00356139" w:rsidP="00356139">
      <w:pPr>
        <w:pStyle w:val="Heading1"/>
      </w:pPr>
      <w:bookmarkStart w:id="8" w:name="_Toc454453614"/>
      <w:r>
        <w:t>Introduction</w:t>
      </w:r>
      <w:bookmarkEnd w:id="2"/>
      <w:bookmarkEnd w:id="8"/>
    </w:p>
    <w:p w:rsidR="006731FD" w:rsidRDefault="00356139" w:rsidP="00356139">
      <w:pPr>
        <w:pStyle w:val="BodyText"/>
      </w:pPr>
      <w:r>
        <w:t xml:space="preserve">Spectrum licences at </w:t>
      </w:r>
      <w:r w:rsidR="00314D9D" w:rsidRPr="00356FD8">
        <w:t>825-845 MHz and 870-890 MHz (“</w:t>
      </w:r>
      <w:r w:rsidRPr="00356FD8">
        <w:t>800 MHz</w:t>
      </w:r>
      <w:r w:rsidR="00314D9D" w:rsidRPr="00356FD8">
        <w:t xml:space="preserve"> band”) </w:t>
      </w:r>
      <w:r w:rsidRPr="00356FD8">
        <w:t>will be</w:t>
      </w:r>
      <w:r>
        <w:t xml:space="preserve"> reissued </w:t>
      </w:r>
      <w:r w:rsidR="00581A5D">
        <w:t xml:space="preserve">upon expiry in </w:t>
      </w:r>
      <w:r>
        <w:t>2013</w:t>
      </w:r>
      <w:r w:rsidR="00581A5D">
        <w:t xml:space="preserve"> </w:t>
      </w:r>
      <w:r>
        <w:t>either through renewal at an administratively determined price or through price based reallocation (e.g. auction).</w:t>
      </w:r>
      <w:r w:rsidR="00ED62F5">
        <w:rPr>
          <w:rStyle w:val="FootnoteReference"/>
        </w:rPr>
        <w:footnoteReference w:id="4"/>
      </w:r>
      <w:r w:rsidR="00ED62F5">
        <w:t xml:space="preserve"> Reissue will be subject to a price that provides an appropriate rate of return to the community and that reflects the scarcity and value of this important resource. </w:t>
      </w:r>
      <w:r w:rsidR="00F53D1D">
        <w:t>An a</w:t>
      </w:r>
      <w:r w:rsidR="00ED62F5">
        <w:t xml:space="preserve">uction remains an option if the Minister </w:t>
      </w:r>
      <w:r w:rsidR="00977BC2">
        <w:t xml:space="preserve">for Broadband Communications and the Digital Economy </w:t>
      </w:r>
      <w:r w:rsidR="00ED62F5">
        <w:t>is not satisfied that renewal is in the public interest.</w:t>
      </w:r>
    </w:p>
    <w:p w:rsidR="00021A4F" w:rsidRDefault="00356139" w:rsidP="00356139">
      <w:pPr>
        <w:pStyle w:val="BodyText"/>
      </w:pPr>
      <w:r>
        <w:t xml:space="preserve">This </w:t>
      </w:r>
      <w:r w:rsidR="00314D9D">
        <w:t xml:space="preserve">report estimates the </w:t>
      </w:r>
      <w:r w:rsidR="002329AA">
        <w:t xml:space="preserve">range of </w:t>
      </w:r>
      <w:r w:rsidR="00314D9D">
        <w:t>value</w:t>
      </w:r>
      <w:r w:rsidR="002329AA">
        <w:t>s</w:t>
      </w:r>
      <w:r w:rsidR="00265E00">
        <w:t xml:space="preserve"> </w:t>
      </w:r>
      <w:r w:rsidR="00265E00" w:rsidRPr="00356FD8">
        <w:t>for 800 MHz</w:t>
      </w:r>
      <w:r w:rsidR="00314D9D" w:rsidRPr="00356FD8">
        <w:t xml:space="preserve"> </w:t>
      </w:r>
      <w:r w:rsidR="00DF505A" w:rsidRPr="00356FD8">
        <w:t>spectrum</w:t>
      </w:r>
      <w:r w:rsidR="00DF505A">
        <w:t xml:space="preserve"> </w:t>
      </w:r>
      <w:r w:rsidR="00314D9D">
        <w:t>that might be obtained at auction and recommends a</w:t>
      </w:r>
      <w:r w:rsidR="00A03801">
        <w:t>n appropriate</w:t>
      </w:r>
      <w:r w:rsidR="00314D9D">
        <w:t xml:space="preserve"> </w:t>
      </w:r>
      <w:r w:rsidR="00A96065">
        <w:t xml:space="preserve">range of values for the </w:t>
      </w:r>
      <w:r>
        <w:t>renewal</w:t>
      </w:r>
      <w:r w:rsidR="00A96065">
        <w:t xml:space="preserve"> price</w:t>
      </w:r>
      <w:r>
        <w:t>. The spectrum licences to be valued are currently used to provide public mobile services (voice and data).</w:t>
      </w:r>
      <w:r w:rsidR="00021A4F">
        <w:t xml:space="preserve"> </w:t>
      </w:r>
      <w:r>
        <w:t>We have assumed that the licences will continue to be used for these applications over the next 15 year licence period as the bands are used for these applications</w:t>
      </w:r>
      <w:r w:rsidR="0011228F" w:rsidRPr="0011228F">
        <w:t xml:space="preserve"> </w:t>
      </w:r>
      <w:r w:rsidR="0011228F">
        <w:t>internationally</w:t>
      </w:r>
      <w:r>
        <w:t>.</w:t>
      </w:r>
    </w:p>
    <w:p w:rsidR="00356139" w:rsidRDefault="00356139" w:rsidP="00356139">
      <w:pPr>
        <w:pStyle w:val="BodyText"/>
      </w:pPr>
      <w:r>
        <w:t>This report contains our findings and recommendations. The structure of the report is as follows</w:t>
      </w:r>
    </w:p>
    <w:p w:rsidR="00021A4F" w:rsidRDefault="00356139" w:rsidP="00356139">
      <w:pPr>
        <w:pStyle w:val="BulletList1"/>
      </w:pPr>
      <w:r>
        <w:t>Section 3 provides context for the valuation modelling.</w:t>
      </w:r>
      <w:r w:rsidR="00021A4F">
        <w:t xml:space="preserve"> </w:t>
      </w:r>
      <w:r>
        <w:t xml:space="preserve">It describes the spectrum licences we are valuing, the circumstances of the original auctions and compares the </w:t>
      </w:r>
      <w:r w:rsidR="00581A5D">
        <w:t>amounts paid</w:t>
      </w:r>
      <w:r>
        <w:t xml:space="preserve"> with international benchmarks from auctions and licence tenders at the time and more recently.</w:t>
      </w:r>
    </w:p>
    <w:p w:rsidR="00356139" w:rsidRDefault="00356139" w:rsidP="00356139">
      <w:pPr>
        <w:pStyle w:val="BulletList1"/>
      </w:pPr>
      <w:r>
        <w:t xml:space="preserve">Section 4 explains our approach to modelling spectrum value and the scenarios modelled (this is supported by Appendix A </w:t>
      </w:r>
      <w:r w:rsidR="00265E00">
        <w:t xml:space="preserve">which </w:t>
      </w:r>
      <w:r>
        <w:t>describe</w:t>
      </w:r>
      <w:r w:rsidR="00265E00">
        <w:t>s</w:t>
      </w:r>
      <w:r>
        <w:t xml:space="preserve"> the modelling approach and assumptions in more detail).</w:t>
      </w:r>
    </w:p>
    <w:p w:rsidR="00ED62F5" w:rsidRPr="0001250E" w:rsidRDefault="00356139" w:rsidP="00356139">
      <w:pPr>
        <w:pStyle w:val="BulletList1"/>
      </w:pPr>
      <w:r>
        <w:t>Section 5 contains the modelling results for the market scenario</w:t>
      </w:r>
      <w:r w:rsidR="00F856A2">
        <w:t>s</w:t>
      </w:r>
      <w:r w:rsidR="00A05AC8">
        <w:t>,</w:t>
      </w:r>
      <w:r>
        <w:t xml:space="preserve"> </w:t>
      </w:r>
      <w:r w:rsidR="00265E00">
        <w:t>commentary on our findings</w:t>
      </w:r>
      <w:r w:rsidR="00A03801">
        <w:t xml:space="preserve"> and our conclusions</w:t>
      </w:r>
      <w:r w:rsidR="00265E00">
        <w:t>.</w:t>
      </w:r>
    </w:p>
    <w:p w:rsidR="00356139" w:rsidRDefault="00356139" w:rsidP="00356139">
      <w:pPr>
        <w:pStyle w:val="Heading1"/>
      </w:pPr>
      <w:bookmarkStart w:id="9" w:name="_Toc232401701"/>
      <w:bookmarkStart w:id="10" w:name="_Toc234210764"/>
      <w:bookmarkStart w:id="11" w:name="_Toc454453615"/>
      <w:r>
        <w:t>Context</w:t>
      </w:r>
      <w:bookmarkEnd w:id="9"/>
      <w:bookmarkEnd w:id="10"/>
      <w:bookmarkEnd w:id="11"/>
    </w:p>
    <w:p w:rsidR="00356139" w:rsidRDefault="00356139" w:rsidP="00356139">
      <w:pPr>
        <w:pStyle w:val="Heading2"/>
      </w:pPr>
      <w:bookmarkStart w:id="12" w:name="_Toc232401702"/>
      <w:bookmarkStart w:id="13" w:name="_Toc234210765"/>
      <w:bookmarkStart w:id="14" w:name="_Toc454453616"/>
      <w:r>
        <w:t>Values obtained in initial Australian auctions</w:t>
      </w:r>
      <w:bookmarkEnd w:id="12"/>
      <w:bookmarkEnd w:id="13"/>
      <w:bookmarkEnd w:id="14"/>
    </w:p>
    <w:p w:rsidR="00560211" w:rsidRDefault="00560211" w:rsidP="00560211">
      <w:pPr>
        <w:pStyle w:val="BodyText"/>
      </w:pPr>
      <w:r>
        <w:t>In 1998 the Government sold 800MHz licences in two auctions.</w:t>
      </w:r>
      <w:r w:rsidR="00021A4F">
        <w:t xml:space="preserve"> </w:t>
      </w:r>
      <w:r>
        <w:t>A total of 2x20 MHz was auctioned for regions covering all of Australia. A third auction was held in 1999 for the one remaining licence for Remote Central Australia and this sold for $20,000.</w:t>
      </w:r>
      <w:r w:rsidR="00021A4F">
        <w:t xml:space="preserve"> </w:t>
      </w:r>
      <w:r w:rsidRPr="00356FD8">
        <w:t>The spectrum licences are due to expire in June 2013.</w:t>
      </w:r>
    </w:p>
    <w:p w:rsidR="00021A4F" w:rsidRDefault="00A03801" w:rsidP="00356139">
      <w:pPr>
        <w:pStyle w:val="BodyText"/>
      </w:pPr>
      <w:r w:rsidRPr="00356FD8">
        <w:t>Auction revenues totalled $219.7m and the value of individual licence</w:t>
      </w:r>
      <w:r w:rsidR="00DF505A" w:rsidRPr="00356FD8">
        <w:t xml:space="preserve">s ranged from </w:t>
      </w:r>
      <w:r w:rsidR="00A05AC8">
        <w:t>$</w:t>
      </w:r>
      <w:r w:rsidR="00DF505A" w:rsidRPr="00356FD8">
        <w:t>0.1 to $1.13 per MHz per person ($/MHz/pop) with a mean of $0.29/MHz/pop.</w:t>
      </w:r>
      <w:r w:rsidR="00DF505A" w:rsidRPr="00356FD8">
        <w:rPr>
          <w:rStyle w:val="FootnoteReference"/>
        </w:rPr>
        <w:footnoteReference w:id="5"/>
      </w:r>
      <w:r w:rsidR="00DF505A" w:rsidRPr="00356FD8">
        <w:t xml:space="preserve"> T</w:t>
      </w:r>
      <w:r w:rsidR="00356139" w:rsidRPr="00356FD8">
        <w:t>he payments reflected bidders’ expectations of the likely profitability of services at the time of the auctions.</w:t>
      </w:r>
    </w:p>
    <w:p w:rsidR="00021A4F" w:rsidRDefault="00A309A1" w:rsidP="00356139">
      <w:pPr>
        <w:pStyle w:val="BodyText"/>
      </w:pPr>
      <w:r>
        <w:t xml:space="preserve">The three incumbent operators also have access to </w:t>
      </w:r>
      <w:r w:rsidR="00356139">
        <w:t>900 MH</w:t>
      </w:r>
      <w:r w:rsidR="00265E00">
        <w:t>z</w:t>
      </w:r>
      <w:r w:rsidR="00356139">
        <w:t xml:space="preserve"> spectrum </w:t>
      </w:r>
      <w:r>
        <w:t xml:space="preserve">upon which they </w:t>
      </w:r>
      <w:r w:rsidR="00356139">
        <w:t xml:space="preserve">pay an annual licence tax which currently stands at around </w:t>
      </w:r>
      <w:r w:rsidR="00356139" w:rsidRPr="006917E2">
        <w:t>$2.</w:t>
      </w:r>
      <w:r w:rsidR="00215E00">
        <w:t>85</w:t>
      </w:r>
      <w:r w:rsidR="00215E00" w:rsidRPr="006917E2">
        <w:t>m</w:t>
      </w:r>
      <w:r w:rsidR="00356139" w:rsidRPr="006917E2">
        <w:t>/2x1MHz</w:t>
      </w:r>
      <w:r w:rsidR="00356139">
        <w:t>.</w:t>
      </w:r>
      <w:r w:rsidR="00426390">
        <w:rPr>
          <w:rStyle w:val="FootnoteReference"/>
        </w:rPr>
        <w:footnoteReference w:id="6"/>
      </w:r>
      <w:r w:rsidR="00356139" w:rsidRPr="006917E2">
        <w:t xml:space="preserve"> </w:t>
      </w:r>
      <w:r w:rsidR="00356139">
        <w:t xml:space="preserve">We have </w:t>
      </w:r>
      <w:r w:rsidR="007D2C56">
        <w:t>expressed this value in terms of $/</w:t>
      </w:r>
      <w:r w:rsidR="00356139">
        <w:t>MHz/pop by calculating the net present value (NPV) of payments over a 15 year period. This gives a value of $0.</w:t>
      </w:r>
      <w:r w:rsidR="00215E00">
        <w:t>48</w:t>
      </w:r>
      <w:r w:rsidR="00356139">
        <w:t>/MHz/pop</w:t>
      </w:r>
      <w:r w:rsidR="00740538">
        <w:t>.</w:t>
      </w:r>
      <w:r w:rsidR="00356139">
        <w:rPr>
          <w:rStyle w:val="FootnoteReference"/>
        </w:rPr>
        <w:footnoteReference w:id="7"/>
      </w:r>
    </w:p>
    <w:p w:rsidR="00021A4F" w:rsidRDefault="00560211" w:rsidP="00560211">
      <w:pPr>
        <w:pStyle w:val="BodyText"/>
      </w:pPr>
      <w:r>
        <w:t>We note the average price per MHz/pop paid for the 800 MHz licences is around 60% of the price currently paid by 900 MHz licensees.</w:t>
      </w:r>
      <w:r w:rsidR="00021A4F">
        <w:t xml:space="preserve"> </w:t>
      </w:r>
      <w:r>
        <w:t>Frequencies at 800 and 900 MHz have very similar propagation characteristics and can both be used to provide 3G services suggesting they should be valued similarly.</w:t>
      </w:r>
      <w:r w:rsidR="00021A4F">
        <w:t xml:space="preserve"> </w:t>
      </w:r>
      <w:r>
        <w:t>Hence going forward higher values for the 800 MHz band could be expected.</w:t>
      </w:r>
    </w:p>
    <w:p w:rsidR="00356139" w:rsidRDefault="00356139" w:rsidP="00356139">
      <w:pPr>
        <w:pStyle w:val="Heading2"/>
      </w:pPr>
      <w:bookmarkStart w:id="15" w:name="_Toc232401703"/>
      <w:bookmarkStart w:id="16" w:name="_Toc234210766"/>
      <w:bookmarkStart w:id="17" w:name="_Toc454453617"/>
      <w:r>
        <w:t xml:space="preserve">International auction </w:t>
      </w:r>
      <w:bookmarkEnd w:id="15"/>
      <w:r>
        <w:t>and reissue values</w:t>
      </w:r>
      <w:bookmarkEnd w:id="16"/>
      <w:bookmarkEnd w:id="17"/>
    </w:p>
    <w:p w:rsidR="00021A4F" w:rsidRDefault="00356139" w:rsidP="00356139">
      <w:pPr>
        <w:pStyle w:val="BodyText"/>
      </w:pPr>
      <w:r>
        <w:t xml:space="preserve">The international evidence given in </w:t>
      </w:r>
      <w:r w:rsidR="00D963FB">
        <w:fldChar w:fldCharType="begin"/>
      </w:r>
      <w:r w:rsidR="00D11EEA">
        <w:instrText xml:space="preserve"> REF _Ref233522035 </w:instrText>
      </w:r>
      <w:r w:rsidR="00D963FB">
        <w:fldChar w:fldCharType="separate"/>
      </w:r>
      <w:r w:rsidR="00D61977">
        <w:t>Figure</w:t>
      </w:r>
      <w:r w:rsidR="00D61977" w:rsidRPr="00C0159A">
        <w:t xml:space="preserve"> </w:t>
      </w:r>
      <w:r w:rsidR="00D61977">
        <w:rPr>
          <w:noProof/>
        </w:rPr>
        <w:t>3</w:t>
      </w:r>
      <w:r w:rsidR="00D61977" w:rsidRPr="00C0159A">
        <w:noBreakHyphen/>
      </w:r>
      <w:r w:rsidR="00D61977">
        <w:rPr>
          <w:noProof/>
        </w:rPr>
        <w:t>1</w:t>
      </w:r>
      <w:r w:rsidR="00D963FB">
        <w:fldChar w:fldCharType="end"/>
      </w:r>
      <w:r>
        <w:t xml:space="preserve"> shows a mixed pattern of values.</w:t>
      </w:r>
      <w:r w:rsidR="00021A4F">
        <w:t xml:space="preserve"> </w:t>
      </w:r>
      <w:r>
        <w:t>The Australian auction results are higher than the other 800 MHz auction results in the late 1990s and early 2000s.</w:t>
      </w:r>
      <w:r w:rsidR="00021A4F">
        <w:t xml:space="preserve"> </w:t>
      </w:r>
      <w:r>
        <w:t xml:space="preserve">However, </w:t>
      </w:r>
      <w:r w:rsidR="00CA5DAC">
        <w:t>t</w:t>
      </w:r>
      <w:r>
        <w:t>he higher values for the 800/900 MHz licence reissue in New Zealand</w:t>
      </w:r>
      <w:r w:rsidR="00356FD8">
        <w:t xml:space="preserve"> and the auctions </w:t>
      </w:r>
      <w:r w:rsidR="00C55736">
        <w:t xml:space="preserve">held since early 2008 </w:t>
      </w:r>
      <w:r w:rsidR="00356FD8">
        <w:t xml:space="preserve">in the US, Germany, </w:t>
      </w:r>
      <w:r w:rsidR="00C55736">
        <w:t xml:space="preserve">Korea, Spain, </w:t>
      </w:r>
      <w:r w:rsidR="00356FD8">
        <w:t xml:space="preserve">Sweden and Hong Kong </w:t>
      </w:r>
      <w:r w:rsidR="007E149C">
        <w:t xml:space="preserve">show that the value of the band </w:t>
      </w:r>
      <w:r w:rsidR="00BF4DC6">
        <w:t>has increased substantially</w:t>
      </w:r>
      <w:r w:rsidR="00C55736">
        <w:t>.</w:t>
      </w:r>
    </w:p>
    <w:p w:rsidR="00356139" w:rsidRDefault="00995DDC" w:rsidP="00356139">
      <w:pPr>
        <w:pStyle w:val="BodyText"/>
      </w:pPr>
      <w:r>
        <w:t>The highest benchmark value was for 900 MHz spectrum awarded by auction in Hong Kong in March 2011. Spectrum at 800 MHz (i.e. within the range of frequencies valued in this report) was auctioned at the same time and achieved 81% of the 900 MHz value. Although we do not consider the Hong Kong environment is directly comparable to Australia, it does illustrate how prices for the 800 MHz band can be similar to 900 MHz spectrum prices.</w:t>
      </w:r>
    </w:p>
    <w:p w:rsidR="001E00E1" w:rsidRDefault="00356139">
      <w:pPr>
        <w:pStyle w:val="FigureCaption"/>
      </w:pPr>
      <w:bookmarkStart w:id="18" w:name="_Ref233522035"/>
      <w:r>
        <w:t>Figure</w:t>
      </w:r>
      <w:r w:rsidRPr="00C0159A">
        <w:t xml:space="preserve"> </w:t>
      </w:r>
      <w:r w:rsidR="00D963FB">
        <w:fldChar w:fldCharType="begin"/>
      </w:r>
      <w:r w:rsidR="00D11EEA">
        <w:instrText xml:space="preserve"> STYLEREF 1 \s </w:instrText>
      </w:r>
      <w:r w:rsidR="00D963FB">
        <w:fldChar w:fldCharType="separate"/>
      </w:r>
      <w:r w:rsidR="00D61977">
        <w:rPr>
          <w:noProof/>
        </w:rPr>
        <w:t>3</w:t>
      </w:r>
      <w:r w:rsidR="00D963FB">
        <w:fldChar w:fldCharType="end"/>
      </w:r>
      <w:r w:rsidRPr="00C0159A">
        <w:noBreakHyphen/>
      </w:r>
      <w:r w:rsidR="00D963FB" w:rsidRPr="00C0159A">
        <w:fldChar w:fldCharType="begin"/>
      </w:r>
      <w:r w:rsidRPr="00C0159A">
        <w:instrText xml:space="preserve"> SEQ </w:instrText>
      </w:r>
      <w:r>
        <w:instrText>Figure</w:instrText>
      </w:r>
      <w:r w:rsidRPr="00C0159A">
        <w:instrText xml:space="preserve"> \* ARABIC \s 1 </w:instrText>
      </w:r>
      <w:r w:rsidR="00D963FB" w:rsidRPr="00C0159A">
        <w:fldChar w:fldCharType="separate"/>
      </w:r>
      <w:r w:rsidR="00D61977">
        <w:rPr>
          <w:noProof/>
        </w:rPr>
        <w:t>1</w:t>
      </w:r>
      <w:r w:rsidR="00D963FB" w:rsidRPr="00C0159A">
        <w:fldChar w:fldCharType="end"/>
      </w:r>
      <w:bookmarkEnd w:id="18"/>
      <w:r w:rsidRPr="00C0159A">
        <w:t xml:space="preserve">: </w:t>
      </w:r>
      <w:r>
        <w:t>International evidence on value per MHz pop at 700/800/900 MHz</w:t>
      </w:r>
      <w:r w:rsidR="001822A2">
        <w:t xml:space="preserve"> </w:t>
      </w:r>
      <w:r w:rsidR="00972B6F">
        <w:t>(local currencies are converted to Australian dollars using exchanges rates applicable at the time of the auction)</w:t>
      </w:r>
    </w:p>
    <w:p w:rsidR="00356139" w:rsidRDefault="00D02120" w:rsidP="00356139">
      <w:pPr>
        <w:pStyle w:val="BodyText"/>
      </w:pPr>
      <w:r w:rsidRPr="00FA0763">
        <w:rPr>
          <w:noProof/>
          <w:lang w:val="en-AU" w:eastAsia="en-AU"/>
        </w:rPr>
        <w:drawing>
          <wp:inline distT="0" distB="0" distL="0" distR="0" wp14:anchorId="43315380" wp14:editId="565D36C2">
            <wp:extent cx="5762625" cy="3771900"/>
            <wp:effectExtent l="0" t="0" r="9525" b="0"/>
            <wp:docPr id="6" name="Picture 2" descr="Time of auction between March 1997 and December 1999:&#10;USA just above $0.00 A$/MHz/pop&#10;AUS just above  $0.40 A$/MHz/pop&#10;USA just below $0.20 A$/MHz/pop.&#10;&#10;Time of auction between December 1999 and September 2002:&#10;USA just above $0.00 A$/MHz/pop&#10;NOR just about $0.20 A$/MHz/pop.&#10;&#10;Time of auction around April 2005:&#10;AUT  just $0.00 A$/MHz/pop.&#10;&#10;Time of auction around February 2008:&#10;HK just above $0.00 A$/MHz/pop&#10;BRA just above $0.00 A$/MHz/pop&#10;NZ just under $0.40 A$/MHz/pop&#10;USA just under $1.20 A$/MHz/pop.&#10;&#10;Time of auction between November 2010 and August 2013:&#10;HK just above $0.40 A$/MHz/pop&#10;ESP just below $0.40 A$/MHz/pop&#10;DNK just above $0.00 A$/MHz/pop&#10;GER just above $1.00 A$/MHz/pop&#10;HK just below $1.80 A$/MHz/pop&#10;ESP just below $0.60 A$/MHz/pop&#10;KOR just above $0.40 A$/MHz/pop&#10;USA just above $0.20 A$/MHz/pop&#10;SWE just under $0.60 A$/MHz/pop.&#10;&#10;&#10;Source: Plum Consulting, Regulator websites" title="Value/MHz/pop of international 700/800/900MHz auctions and licence renewals, 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771900"/>
                    </a:xfrm>
                    <a:prstGeom prst="rect">
                      <a:avLst/>
                    </a:prstGeom>
                    <a:noFill/>
                    <a:ln>
                      <a:noFill/>
                    </a:ln>
                  </pic:spPr>
                </pic:pic>
              </a:graphicData>
            </a:graphic>
          </wp:inline>
        </w:drawing>
      </w:r>
    </w:p>
    <w:p w:rsidR="00207EDF" w:rsidRDefault="00207EDF" w:rsidP="00972B6F">
      <w:pPr>
        <w:pStyle w:val="AfterTable"/>
      </w:pPr>
      <w:r>
        <w:t>R</w:t>
      </w:r>
      <w:r w:rsidR="00C8653C">
        <w:t xml:space="preserve">eserve prices set by regulators </w:t>
      </w:r>
      <w:r>
        <w:t xml:space="preserve">in Europe for forthcoming auctions generally exceed the original prices paid for the 800 MHz band in Australia (see </w:t>
      </w:r>
      <w:r w:rsidR="00D963FB">
        <w:fldChar w:fldCharType="begin"/>
      </w:r>
      <w:r w:rsidR="00F51F4E">
        <w:instrText xml:space="preserve"> REF _Ref302645990 </w:instrText>
      </w:r>
      <w:r w:rsidR="00D963FB">
        <w:fldChar w:fldCharType="separate"/>
      </w:r>
      <w:r w:rsidR="00D61977" w:rsidRPr="00C0159A">
        <w:t xml:space="preserve">Table </w:t>
      </w:r>
      <w:r w:rsidR="00D61977">
        <w:rPr>
          <w:noProof/>
        </w:rPr>
        <w:t>3</w:t>
      </w:r>
      <w:r w:rsidR="00D61977" w:rsidRPr="00C0159A">
        <w:noBreakHyphen/>
      </w:r>
      <w:r w:rsidR="00D61977">
        <w:rPr>
          <w:noProof/>
        </w:rPr>
        <w:t>1</w:t>
      </w:r>
      <w:r w:rsidR="00D963FB">
        <w:fldChar w:fldCharType="end"/>
      </w:r>
      <w:r w:rsidR="00F51F4E">
        <w:t>).</w:t>
      </w:r>
    </w:p>
    <w:p w:rsidR="00207EDF" w:rsidRDefault="00207EDF" w:rsidP="00B95293">
      <w:pPr>
        <w:pStyle w:val="TableCaption"/>
      </w:pPr>
      <w:bookmarkStart w:id="19" w:name="_Ref302645990"/>
      <w:r w:rsidRPr="00C0159A">
        <w:t xml:space="preserve">Table </w:t>
      </w:r>
      <w:r w:rsidR="00D963FB">
        <w:fldChar w:fldCharType="begin"/>
      </w:r>
      <w:r>
        <w:instrText xml:space="preserve"> STYLEREF 1 \s </w:instrText>
      </w:r>
      <w:r w:rsidR="00D963FB">
        <w:fldChar w:fldCharType="separate"/>
      </w:r>
      <w:r w:rsidR="00D61977">
        <w:rPr>
          <w:noProof/>
        </w:rPr>
        <w:t>3</w:t>
      </w:r>
      <w:r w:rsidR="00D963FB">
        <w:fldChar w:fldCharType="end"/>
      </w:r>
      <w:r w:rsidRPr="00C0159A">
        <w:noBreakHyphen/>
      </w:r>
      <w:r w:rsidR="00D963FB">
        <w:fldChar w:fldCharType="begin"/>
      </w:r>
      <w:r>
        <w:instrText xml:space="preserve"> SEQ Table \* ARABIC \s 1 </w:instrText>
      </w:r>
      <w:r w:rsidR="00D963FB">
        <w:fldChar w:fldCharType="separate"/>
      </w:r>
      <w:r w:rsidR="00D61977">
        <w:rPr>
          <w:noProof/>
        </w:rPr>
        <w:t>1</w:t>
      </w:r>
      <w:r w:rsidR="00D963FB">
        <w:fldChar w:fldCharType="end"/>
      </w:r>
      <w:bookmarkEnd w:id="19"/>
      <w:r w:rsidRPr="00C0159A">
        <w:t xml:space="preserve">: </w:t>
      </w:r>
      <w:r>
        <w:t>Reserve prices for forthcoming 800/900 MHz auctions</w:t>
      </w:r>
    </w:p>
    <w:tbl>
      <w:tblPr>
        <w:tblW w:w="9218"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170" w:type="dxa"/>
          <w:bottom w:w="57" w:type="dxa"/>
          <w:right w:w="170" w:type="dxa"/>
        </w:tblCellMar>
        <w:tblLook w:val="01E0" w:firstRow="1" w:lastRow="1" w:firstColumn="1" w:lastColumn="1" w:noHBand="0" w:noVBand="0"/>
        <w:tblDescription w:val="Reserve prices for forthcoming 800/900 MHz auctions"/>
      </w:tblPr>
      <w:tblGrid>
        <w:gridCol w:w="1702"/>
        <w:gridCol w:w="3259"/>
        <w:gridCol w:w="992"/>
        <w:gridCol w:w="1418"/>
        <w:gridCol w:w="1847"/>
      </w:tblGrid>
      <w:tr w:rsidR="00F51F4E" w:rsidRPr="00DE47A6" w:rsidTr="008A60E9">
        <w:trPr>
          <w:cantSplit/>
          <w:tblHeader/>
        </w:trPr>
        <w:tc>
          <w:tcPr>
            <w:tcW w:w="923" w:type="pct"/>
            <w:tcBorders>
              <w:top w:val="single" w:sz="2" w:space="0" w:color="FFFFFF"/>
              <w:left w:val="single" w:sz="2" w:space="0" w:color="FFFFFF"/>
              <w:bottom w:val="single" w:sz="2" w:space="0" w:color="FFFFFF"/>
              <w:right w:val="single" w:sz="2" w:space="0" w:color="FFFFFF"/>
              <w:tl2br w:val="nil"/>
              <w:tr2bl w:val="nil"/>
            </w:tcBorders>
            <w:shd w:val="clear" w:color="auto" w:fill="939598"/>
            <w:noWrap/>
            <w:hideMark/>
          </w:tcPr>
          <w:p w:rsidR="00F51F4E" w:rsidRPr="00DE47A6" w:rsidRDefault="00F51F4E" w:rsidP="00DE47A6">
            <w:pPr>
              <w:keepNext/>
              <w:keepLines/>
              <w:rPr>
                <w:color w:val="FFFFFF"/>
                <w:sz w:val="18"/>
                <w:szCs w:val="18"/>
              </w:rPr>
            </w:pPr>
            <w:r w:rsidRPr="00DE47A6">
              <w:rPr>
                <w:color w:val="FFFFFF"/>
                <w:sz w:val="18"/>
                <w:szCs w:val="18"/>
              </w:rPr>
              <w:t>Country</w:t>
            </w:r>
          </w:p>
        </w:tc>
        <w:tc>
          <w:tcPr>
            <w:tcW w:w="1768" w:type="pct"/>
            <w:tcBorders>
              <w:top w:val="single" w:sz="2" w:space="0" w:color="FFFFFF"/>
              <w:left w:val="single" w:sz="2" w:space="0" w:color="FFFFFF"/>
              <w:bottom w:val="single" w:sz="2" w:space="0" w:color="FFFFFF"/>
              <w:right w:val="single" w:sz="2" w:space="0" w:color="FFFFFF"/>
              <w:tl2br w:val="nil"/>
              <w:tr2bl w:val="nil"/>
            </w:tcBorders>
            <w:shd w:val="clear" w:color="auto" w:fill="939598"/>
            <w:hideMark/>
          </w:tcPr>
          <w:p w:rsidR="00F51F4E" w:rsidRPr="00DE47A6" w:rsidRDefault="00F51F4E" w:rsidP="00DE47A6">
            <w:pPr>
              <w:keepNext/>
              <w:keepLines/>
              <w:rPr>
                <w:color w:val="FFFFFF"/>
                <w:sz w:val="18"/>
                <w:szCs w:val="18"/>
              </w:rPr>
            </w:pPr>
            <w:r w:rsidRPr="00DE47A6">
              <w:rPr>
                <w:color w:val="FFFFFF"/>
                <w:sz w:val="18"/>
                <w:szCs w:val="18"/>
              </w:rPr>
              <w:t xml:space="preserve">Spectrum </w:t>
            </w:r>
            <w:r w:rsidR="00453CC3" w:rsidRPr="00DE47A6">
              <w:rPr>
                <w:color w:val="FFFFFF"/>
                <w:sz w:val="18"/>
                <w:szCs w:val="18"/>
              </w:rPr>
              <w:t>to be auctioned</w:t>
            </w:r>
          </w:p>
        </w:tc>
        <w:tc>
          <w:tcPr>
            <w:tcW w:w="538" w:type="pct"/>
            <w:tcBorders>
              <w:top w:val="single" w:sz="2" w:space="0" w:color="FFFFFF"/>
              <w:left w:val="single" w:sz="2" w:space="0" w:color="FFFFFF"/>
              <w:bottom w:val="single" w:sz="2" w:space="0" w:color="FFFFFF"/>
              <w:right w:val="single" w:sz="2" w:space="0" w:color="FFFFFF"/>
              <w:tl2br w:val="nil"/>
              <w:tr2bl w:val="nil"/>
            </w:tcBorders>
            <w:shd w:val="clear" w:color="auto" w:fill="939598"/>
            <w:hideMark/>
          </w:tcPr>
          <w:p w:rsidR="00F51F4E" w:rsidRPr="00DE47A6" w:rsidRDefault="00F51F4E" w:rsidP="00DE47A6">
            <w:pPr>
              <w:keepNext/>
              <w:keepLines/>
              <w:rPr>
                <w:color w:val="FFFFFF"/>
                <w:sz w:val="18"/>
                <w:szCs w:val="18"/>
              </w:rPr>
            </w:pPr>
            <w:r w:rsidRPr="00DE47A6">
              <w:rPr>
                <w:color w:val="FFFFFF"/>
                <w:sz w:val="18"/>
                <w:szCs w:val="18"/>
              </w:rPr>
              <w:t>Total MHz</w:t>
            </w:r>
          </w:p>
        </w:tc>
        <w:tc>
          <w:tcPr>
            <w:tcW w:w="769" w:type="pct"/>
            <w:tcBorders>
              <w:top w:val="single" w:sz="2" w:space="0" w:color="FFFFFF"/>
              <w:left w:val="single" w:sz="2" w:space="0" w:color="FFFFFF"/>
              <w:bottom w:val="single" w:sz="2" w:space="0" w:color="FFFFFF"/>
              <w:right w:val="single" w:sz="2" w:space="0" w:color="FFFFFF"/>
              <w:tl2br w:val="nil"/>
              <w:tr2bl w:val="nil"/>
            </w:tcBorders>
            <w:shd w:val="clear" w:color="auto" w:fill="939598"/>
            <w:hideMark/>
          </w:tcPr>
          <w:p w:rsidR="00F51F4E" w:rsidRPr="00DE47A6" w:rsidRDefault="00F51F4E" w:rsidP="00DE47A6">
            <w:pPr>
              <w:keepNext/>
              <w:keepLines/>
              <w:rPr>
                <w:color w:val="FFFFFF"/>
                <w:sz w:val="18"/>
                <w:szCs w:val="18"/>
              </w:rPr>
            </w:pPr>
            <w:r w:rsidRPr="00DE47A6">
              <w:rPr>
                <w:color w:val="FFFFFF"/>
                <w:sz w:val="18"/>
                <w:szCs w:val="18"/>
              </w:rPr>
              <w:t>Total reserve price</w:t>
            </w:r>
          </w:p>
        </w:tc>
        <w:tc>
          <w:tcPr>
            <w:tcW w:w="1002" w:type="pct"/>
            <w:tcBorders>
              <w:top w:val="single" w:sz="2" w:space="0" w:color="FFFFFF"/>
              <w:left w:val="single" w:sz="2" w:space="0" w:color="FFFFFF"/>
              <w:bottom w:val="single" w:sz="2" w:space="0" w:color="FFFFFF"/>
              <w:right w:val="single" w:sz="2" w:space="0" w:color="FFFFFF"/>
              <w:tl2br w:val="nil"/>
              <w:tr2bl w:val="nil"/>
            </w:tcBorders>
            <w:shd w:val="clear" w:color="auto" w:fill="939598"/>
            <w:hideMark/>
          </w:tcPr>
          <w:p w:rsidR="00F51F4E" w:rsidRPr="00DE47A6" w:rsidRDefault="00F51F4E" w:rsidP="00DE47A6">
            <w:pPr>
              <w:keepNext/>
              <w:keepLines/>
              <w:rPr>
                <w:color w:val="FFFFFF"/>
                <w:sz w:val="18"/>
                <w:szCs w:val="18"/>
              </w:rPr>
            </w:pPr>
            <w:r w:rsidRPr="00DE47A6">
              <w:rPr>
                <w:color w:val="FFFFFF"/>
                <w:sz w:val="18"/>
                <w:szCs w:val="18"/>
              </w:rPr>
              <w:t>Value/MHz/pop</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Belgium</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 xml:space="preserve">2x4.8 MHz (900 </w:t>
            </w:r>
            <w:r w:rsidR="00453CC3" w:rsidRPr="00DE47A6">
              <w:rPr>
                <w:sz w:val="18"/>
                <w:szCs w:val="18"/>
              </w:rPr>
              <w:t>MHz</w:t>
            </w:r>
            <w:r w:rsidRPr="00DE47A6">
              <w:rPr>
                <w:sz w:val="18"/>
                <w:szCs w:val="18"/>
              </w:rPr>
              <w:t>)</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9.6</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€31.5m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0.4316</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Hungary</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2x5 MHz; 2x4.8 MHz; 2x1 MHz</w:t>
            </w:r>
            <w:r w:rsidR="00453CC3" w:rsidRPr="00DE47A6">
              <w:rPr>
                <w:sz w:val="18"/>
                <w:szCs w:val="18"/>
              </w:rPr>
              <w:t xml:space="preserve"> (900 MHz)</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21.6</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€19.3m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0.1219</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Greece</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2x35 MHz in 14 lots</w:t>
            </w:r>
            <w:r w:rsidR="00453CC3" w:rsidRPr="00DE47A6">
              <w:rPr>
                <w:sz w:val="18"/>
                <w:szCs w:val="18"/>
              </w:rPr>
              <w:t xml:space="preserve"> (900 MHz)</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70</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€ 298m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0.5149</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Ireland</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 xml:space="preserve">2x30 MHz (800 band); 2x35 MHz (900 </w:t>
            </w:r>
            <w:r w:rsidR="00453CC3" w:rsidRPr="00DE47A6">
              <w:rPr>
                <w:sz w:val="18"/>
                <w:szCs w:val="18"/>
              </w:rPr>
              <w:t>MHz</w:t>
            </w:r>
            <w:r w:rsidRPr="00DE47A6">
              <w:rPr>
                <w:sz w:val="18"/>
                <w:szCs w:val="18"/>
              </w:rPr>
              <w:t>)</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130</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€ 260m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0.6116</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France</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2x30 MHz in 4 lots</w:t>
            </w:r>
            <w:r w:rsidR="00453CC3" w:rsidRPr="00DE47A6">
              <w:rPr>
                <w:sz w:val="18"/>
                <w:szCs w:val="18"/>
              </w:rPr>
              <w:t xml:space="preserve"> (800 MHz)</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60</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€1,800m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0.6334</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Switzerland</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 xml:space="preserve">2x30 MHz in 6 lots (800 </w:t>
            </w:r>
            <w:r w:rsidR="00453CC3" w:rsidRPr="00DE47A6">
              <w:rPr>
                <w:sz w:val="18"/>
                <w:szCs w:val="18"/>
              </w:rPr>
              <w:t>MHz</w:t>
            </w:r>
            <w:r w:rsidRPr="00DE47A6">
              <w:rPr>
                <w:sz w:val="18"/>
                <w:szCs w:val="18"/>
              </w:rPr>
              <w:t xml:space="preserve">); 2x35 MHz in 7 lots (900 </w:t>
            </w:r>
            <w:r w:rsidR="00453CC3" w:rsidRPr="00DE47A6">
              <w:rPr>
                <w:sz w:val="18"/>
                <w:szCs w:val="18"/>
              </w:rPr>
              <w:t>MHz</w:t>
            </w:r>
            <w:r w:rsidRPr="00DE47A6">
              <w:rPr>
                <w:sz w:val="18"/>
                <w:szCs w:val="18"/>
              </w:rPr>
              <w:t>)</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130</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€ 235m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0.3172</w:t>
            </w:r>
          </w:p>
        </w:tc>
      </w:tr>
      <w:tr w:rsidR="00F51F4E" w:rsidRPr="00DE47A6" w:rsidTr="008A60E9">
        <w:trPr>
          <w:cantSplit/>
        </w:trPr>
        <w:tc>
          <w:tcPr>
            <w:tcW w:w="923" w:type="pct"/>
            <w:shd w:val="clear" w:color="auto" w:fill="DCDDDE"/>
            <w:noWrap/>
            <w:hideMark/>
          </w:tcPr>
          <w:p w:rsidR="00F51F4E" w:rsidRPr="00DE47A6" w:rsidRDefault="00F51F4E" w:rsidP="00DE47A6">
            <w:pPr>
              <w:keepNext/>
              <w:keepLines/>
              <w:rPr>
                <w:sz w:val="18"/>
                <w:szCs w:val="18"/>
              </w:rPr>
            </w:pPr>
            <w:r w:rsidRPr="00DE47A6">
              <w:rPr>
                <w:sz w:val="18"/>
                <w:szCs w:val="18"/>
              </w:rPr>
              <w:t>Netherlands</w:t>
            </w:r>
          </w:p>
        </w:tc>
        <w:tc>
          <w:tcPr>
            <w:tcW w:w="1768" w:type="pct"/>
            <w:shd w:val="clear" w:color="auto" w:fill="DCDDDE"/>
            <w:hideMark/>
          </w:tcPr>
          <w:p w:rsidR="00F51F4E" w:rsidRPr="00DE47A6" w:rsidRDefault="00F51F4E" w:rsidP="00DE47A6">
            <w:pPr>
              <w:keepNext/>
              <w:keepLines/>
              <w:rPr>
                <w:sz w:val="18"/>
                <w:szCs w:val="18"/>
              </w:rPr>
            </w:pPr>
            <w:r w:rsidRPr="00DE47A6">
              <w:rPr>
                <w:sz w:val="18"/>
                <w:szCs w:val="18"/>
              </w:rPr>
              <w:t xml:space="preserve">2x30 MHz in 6 lots (800 </w:t>
            </w:r>
            <w:r w:rsidR="00453CC3" w:rsidRPr="00DE47A6">
              <w:rPr>
                <w:sz w:val="18"/>
                <w:szCs w:val="18"/>
              </w:rPr>
              <w:t>MHz)</w:t>
            </w:r>
            <w:r w:rsidRPr="00DE47A6">
              <w:rPr>
                <w:sz w:val="18"/>
                <w:szCs w:val="18"/>
              </w:rPr>
              <w:t>; 2x35 MHz</w:t>
            </w:r>
            <w:r w:rsidR="00021A4F">
              <w:rPr>
                <w:sz w:val="18"/>
                <w:szCs w:val="18"/>
              </w:rPr>
              <w:t xml:space="preserve"> </w:t>
            </w:r>
            <w:r w:rsidRPr="00DE47A6">
              <w:rPr>
                <w:sz w:val="18"/>
                <w:szCs w:val="18"/>
              </w:rPr>
              <w:t xml:space="preserve">in 7 lots (900 </w:t>
            </w:r>
            <w:r w:rsidR="00453CC3" w:rsidRPr="00DE47A6">
              <w:rPr>
                <w:sz w:val="18"/>
                <w:szCs w:val="18"/>
              </w:rPr>
              <w:t>MHz</w:t>
            </w:r>
            <w:r w:rsidRPr="00DE47A6">
              <w:rPr>
                <w:sz w:val="18"/>
                <w:szCs w:val="18"/>
              </w:rPr>
              <w:t xml:space="preserve">) </w:t>
            </w:r>
          </w:p>
        </w:tc>
        <w:tc>
          <w:tcPr>
            <w:tcW w:w="538" w:type="pct"/>
            <w:shd w:val="clear" w:color="auto" w:fill="DCDDDE"/>
            <w:hideMark/>
          </w:tcPr>
          <w:p w:rsidR="00F51F4E" w:rsidRPr="00DE47A6" w:rsidRDefault="00F51F4E" w:rsidP="00DE47A6">
            <w:pPr>
              <w:keepNext/>
              <w:keepLines/>
              <w:jc w:val="center"/>
              <w:rPr>
                <w:sz w:val="18"/>
                <w:szCs w:val="18"/>
              </w:rPr>
            </w:pPr>
            <w:r w:rsidRPr="00DE47A6">
              <w:rPr>
                <w:sz w:val="18"/>
                <w:szCs w:val="18"/>
              </w:rPr>
              <w:t>130</w:t>
            </w:r>
          </w:p>
        </w:tc>
        <w:tc>
          <w:tcPr>
            <w:tcW w:w="769" w:type="pct"/>
            <w:shd w:val="clear" w:color="auto" w:fill="DCDDDE"/>
            <w:hideMark/>
          </w:tcPr>
          <w:p w:rsidR="00F51F4E" w:rsidRPr="00DE47A6" w:rsidRDefault="00F51F4E" w:rsidP="00DE47A6">
            <w:pPr>
              <w:keepNext/>
              <w:keepLines/>
              <w:jc w:val="center"/>
              <w:rPr>
                <w:sz w:val="18"/>
                <w:szCs w:val="18"/>
              </w:rPr>
            </w:pPr>
            <w:r w:rsidRPr="00DE47A6">
              <w:rPr>
                <w:sz w:val="18"/>
                <w:szCs w:val="18"/>
              </w:rPr>
              <w:t>€ 414m</w:t>
            </w:r>
          </w:p>
        </w:tc>
        <w:tc>
          <w:tcPr>
            <w:tcW w:w="1002" w:type="pct"/>
            <w:shd w:val="clear" w:color="auto" w:fill="DCDDDE"/>
            <w:hideMark/>
          </w:tcPr>
          <w:p w:rsidR="00F51F4E" w:rsidRPr="00DE47A6" w:rsidRDefault="00F51F4E" w:rsidP="00DE47A6">
            <w:pPr>
              <w:keepNext/>
              <w:keepLines/>
              <w:jc w:val="center"/>
              <w:rPr>
                <w:sz w:val="18"/>
                <w:szCs w:val="18"/>
              </w:rPr>
            </w:pPr>
            <w:r w:rsidRPr="00DE47A6">
              <w:rPr>
                <w:sz w:val="18"/>
                <w:szCs w:val="18"/>
              </w:rPr>
              <w:t>AUD 0.2626</w:t>
            </w:r>
          </w:p>
        </w:tc>
      </w:tr>
    </w:tbl>
    <w:p w:rsidR="00207EDF" w:rsidRPr="008A298D" w:rsidRDefault="00207EDF" w:rsidP="008A298D">
      <w:pPr>
        <w:pStyle w:val="BodyText"/>
        <w:rPr>
          <w:i/>
        </w:rPr>
      </w:pPr>
      <w:r w:rsidRPr="008A298D">
        <w:rPr>
          <w:i/>
        </w:rPr>
        <w:t>Source: Plum</w:t>
      </w:r>
      <w:r w:rsidR="00F51F4E" w:rsidRPr="008A298D">
        <w:rPr>
          <w:i/>
        </w:rPr>
        <w:t xml:space="preserve"> analysis of data from</w:t>
      </w:r>
      <w:r w:rsidRPr="008A298D">
        <w:rPr>
          <w:i/>
        </w:rPr>
        <w:t xml:space="preserve"> regulator websites, Eurostat</w:t>
      </w:r>
    </w:p>
    <w:p w:rsidR="001E00E1" w:rsidRDefault="0094086E">
      <w:pPr>
        <w:pStyle w:val="AfterTable"/>
      </w:pPr>
      <w:r>
        <w:t>There have also been some trades of spectrum in the USA for spectrum in the 700 MHz band:</w:t>
      </w:r>
    </w:p>
    <w:p w:rsidR="0094086E" w:rsidRDefault="0094086E" w:rsidP="0094086E">
      <w:pPr>
        <w:pStyle w:val="BulletList1"/>
      </w:pPr>
      <w:r>
        <w:t>In February 2008, Aloha Spectrum Partners sold 12 MHz of spectrum at 700 MHz to AT&amp;T for US$2.5bn, which equates to a spectrum price of US$1.06/MHz/pop (A$1.17/MHz/pop using exchange rates at the time)</w:t>
      </w:r>
    </w:p>
    <w:p w:rsidR="0094086E" w:rsidRDefault="0094086E" w:rsidP="0094086E">
      <w:pPr>
        <w:pStyle w:val="BulletList1"/>
      </w:pPr>
      <w:r>
        <w:t>In December 2010, Qualcomm sold 12 MHz of spectrum at 700 MHz to AT&amp;T for US$1.925bn, which equates to a spectrum price of US$0.84/MHz/pop (A$0.85/MHz/pop using exchange rates at the time).</w:t>
      </w:r>
    </w:p>
    <w:p w:rsidR="00021A4F" w:rsidRDefault="00DB60D7" w:rsidP="00972B6F">
      <w:pPr>
        <w:pStyle w:val="AfterTable"/>
      </w:pPr>
      <w:r>
        <w:t xml:space="preserve">Recent auctions have exhibited prices that </w:t>
      </w:r>
      <w:r w:rsidR="00356FD8">
        <w:t xml:space="preserve">arguably </w:t>
      </w:r>
      <w:r>
        <w:t xml:space="preserve">reflect the importance of sub-1GHz bands for the provision of data services and the provision of high bandwidth services in buildings. The prices paid </w:t>
      </w:r>
      <w:r w:rsidR="00A05AC8">
        <w:t xml:space="preserve">for the 800 MHz spectrum </w:t>
      </w:r>
      <w:r>
        <w:t>in the German auction were many times higher than the 1</w:t>
      </w:r>
      <w:r w:rsidR="00C0150F">
        <w:t>.8</w:t>
      </w:r>
      <w:r>
        <w:t>, 2</w:t>
      </w:r>
      <w:r w:rsidR="00C0150F">
        <w:t>.</w:t>
      </w:r>
      <w:r>
        <w:t>1 and 2</w:t>
      </w:r>
      <w:r w:rsidR="00C0150F">
        <w:t>.</w:t>
      </w:r>
      <w:r>
        <w:t xml:space="preserve">5 </w:t>
      </w:r>
      <w:r w:rsidR="00C0150F">
        <w:t>G</w:t>
      </w:r>
      <w:r>
        <w:t>Hz spectrum awarded in the same auction</w:t>
      </w:r>
      <w:r w:rsidR="00B90C78">
        <w:t xml:space="preserve"> (6</w:t>
      </w:r>
      <w:r w:rsidR="00C0150F">
        <w:t>.8</w:t>
      </w:r>
      <w:r w:rsidR="005004AA">
        <w:t xml:space="preserve"> times</w:t>
      </w:r>
      <w:r w:rsidR="00B90C78">
        <w:t xml:space="preserve"> for the paired 2.1 GHz, </w:t>
      </w:r>
      <w:r w:rsidR="00AC1C57">
        <w:t xml:space="preserve">28 </w:t>
      </w:r>
      <w:r w:rsidR="005004AA">
        <w:t>times</w:t>
      </w:r>
      <w:r w:rsidR="00B90C78">
        <w:t xml:space="preserve"> for the 1</w:t>
      </w:r>
      <w:r w:rsidR="00C0150F">
        <w:t>.8</w:t>
      </w:r>
      <w:r w:rsidR="00B90C78">
        <w:t xml:space="preserve"> </w:t>
      </w:r>
      <w:r w:rsidR="00C0150F">
        <w:t>G</w:t>
      </w:r>
      <w:r w:rsidR="00B90C78">
        <w:t>Hz and 3</w:t>
      </w:r>
      <w:r w:rsidR="00C0150F">
        <w:t>2</w:t>
      </w:r>
      <w:r w:rsidR="005004AA">
        <w:t xml:space="preserve"> times </w:t>
      </w:r>
      <w:r w:rsidR="00B90C78">
        <w:t>for the 2.</w:t>
      </w:r>
      <w:r w:rsidR="00C0150F">
        <w:t xml:space="preserve">5 </w:t>
      </w:r>
      <w:r w:rsidR="00B90C78">
        <w:t>GHz spectrum)</w:t>
      </w:r>
      <w:r>
        <w:t>.</w:t>
      </w:r>
      <w:r w:rsidR="00AC1C57">
        <w:rPr>
          <w:rStyle w:val="FootnoteReference"/>
        </w:rPr>
        <w:footnoteReference w:id="8"/>
      </w:r>
      <w:r w:rsidR="0011228F">
        <w:t xml:space="preserve"> </w:t>
      </w:r>
      <w:r w:rsidR="0011228F">
        <w:rPr>
          <w:rStyle w:val="FootnoteReference"/>
        </w:rPr>
        <w:footnoteReference w:id="9"/>
      </w:r>
    </w:p>
    <w:p w:rsidR="00495C41" w:rsidRDefault="00E62F34" w:rsidP="00E62F34">
      <w:pPr>
        <w:pStyle w:val="BodyText"/>
      </w:pPr>
      <w:r>
        <w:t xml:space="preserve">The value of in-building coverage has been emphasised during debates internationally on the digital dividend spectrum and the liberalisation of spectrum at 900 </w:t>
      </w:r>
      <w:proofErr w:type="spellStart"/>
      <w:r>
        <w:t>MHz.</w:t>
      </w:r>
      <w:proofErr w:type="spellEnd"/>
      <w:r>
        <w:t xml:space="preserve"> In-building coverage can be achieved by deployment of </w:t>
      </w:r>
      <w:r w:rsidR="005004AA">
        <w:t xml:space="preserve">indoor base stations </w:t>
      </w:r>
      <w:r>
        <w:t>or increasing the density of outdoor sites (to reduce the maximum range to subscribers). For the latter approach, having access to frequencies below 1 GHz provides a propagation advantage that allows enhancement of in-building coverage at lower cost.</w:t>
      </w:r>
    </w:p>
    <w:p w:rsidR="00495C41" w:rsidRDefault="00495C41" w:rsidP="00E62F34">
      <w:pPr>
        <w:pStyle w:val="BodyText"/>
      </w:pPr>
      <w:r>
        <w:t>Many regulatory authorities are taking these propagation advantages into account when setting reserve prices for upcoming auctions of digital dividend spectrum.</w:t>
      </w:r>
      <w:r w:rsidR="00B90C78">
        <w:t xml:space="preserve"> For example:</w:t>
      </w:r>
    </w:p>
    <w:p w:rsidR="00495C41" w:rsidRDefault="00495C41" w:rsidP="00495C41">
      <w:pPr>
        <w:pStyle w:val="BulletList1"/>
      </w:pPr>
      <w:r>
        <w:t xml:space="preserve">Ofcom has indicated its potential reserve prices for the 800 MHz digital dividend spectrum </w:t>
      </w:r>
      <w:r w:rsidR="005004AA">
        <w:t>(790 to 862</w:t>
      </w:r>
      <w:r w:rsidR="009D48BD">
        <w:t xml:space="preserve"> MHz</w:t>
      </w:r>
      <w:r w:rsidR="005004AA">
        <w:t xml:space="preserve">) </w:t>
      </w:r>
      <w:r>
        <w:t xml:space="preserve">at £0.05 to £0.33/MHz/pop ($A0.08/MHz/pop to A$0.5/MHz/pop). Ofcom notes that it </w:t>
      </w:r>
      <w:r w:rsidRPr="000C7082">
        <w:rPr>
          <w:i/>
        </w:rPr>
        <w:t>“... would expect to use information such as international benchmarks to identify such a value. This would involve a degree of caution reflecting the uncertainties involved in extrapolating such data and the risks that reserve prices that are too high create for participation in the auction and efficiency.”</w:t>
      </w:r>
      <w:r>
        <w:t xml:space="preserve"> The </w:t>
      </w:r>
      <w:r w:rsidR="00B90C78">
        <w:t xml:space="preserve">reserve </w:t>
      </w:r>
      <w:r>
        <w:t xml:space="preserve">values suggested </w:t>
      </w:r>
      <w:r w:rsidR="00B90C78">
        <w:t xml:space="preserve">by Ofcom </w:t>
      </w:r>
      <w:r>
        <w:t xml:space="preserve">for the 1800 MHz and 2.5 GHz </w:t>
      </w:r>
      <w:r w:rsidR="00B90C78">
        <w:t xml:space="preserve">spectrum to be awarded in the same auction </w:t>
      </w:r>
      <w:r>
        <w:t xml:space="preserve">are half and a third of </w:t>
      </w:r>
      <w:r w:rsidR="00B90C78">
        <w:t>the 800 MHz</w:t>
      </w:r>
      <w:r>
        <w:t xml:space="preserve"> value respectively.</w:t>
      </w:r>
      <w:r>
        <w:rPr>
          <w:rStyle w:val="FootnoteReference"/>
        </w:rPr>
        <w:footnoteReference w:id="10"/>
      </w:r>
    </w:p>
    <w:p w:rsidR="00495C41" w:rsidRDefault="00495C41" w:rsidP="00495C41">
      <w:pPr>
        <w:pStyle w:val="BulletList1"/>
      </w:pPr>
      <w:r>
        <w:t xml:space="preserve">In France, </w:t>
      </w:r>
      <w:r w:rsidR="00D16D2D">
        <w:t xml:space="preserve">the Industry Minister </w:t>
      </w:r>
      <w:r>
        <w:t xml:space="preserve">has announced reserve prices for the </w:t>
      </w:r>
      <w:r w:rsidR="00CB170A">
        <w:t xml:space="preserve">800 MHz </w:t>
      </w:r>
      <w:r>
        <w:t xml:space="preserve">digital dividend </w:t>
      </w:r>
      <w:r w:rsidR="00CB170A">
        <w:t>spectrum</w:t>
      </w:r>
      <w:r w:rsidR="005567A9">
        <w:t xml:space="preserve"> with an average value of </w:t>
      </w:r>
      <w:r>
        <w:t xml:space="preserve">A$0.47/MHz/pop. The reserve prices </w:t>
      </w:r>
      <w:r w:rsidR="00D16D2D">
        <w:t>proposed</w:t>
      </w:r>
      <w:r>
        <w:t xml:space="preserve"> for the 2.5 GHz band are around a sixth of this value.</w:t>
      </w:r>
      <w:r>
        <w:rPr>
          <w:rStyle w:val="FootnoteReference"/>
        </w:rPr>
        <w:footnoteReference w:id="11"/>
      </w:r>
    </w:p>
    <w:p w:rsidR="00E62F34" w:rsidRDefault="00495C41" w:rsidP="00495C41">
      <w:pPr>
        <w:pStyle w:val="BulletList1"/>
      </w:pPr>
      <w:r>
        <w:t xml:space="preserve">In Ireland, </w:t>
      </w:r>
      <w:proofErr w:type="spellStart"/>
      <w:r>
        <w:t>ComReg</w:t>
      </w:r>
      <w:proofErr w:type="spellEnd"/>
      <w:r>
        <w:t xml:space="preserve"> intends to auction operators existing spectrum holdings at spectrum at 800, 900 and 1800 </w:t>
      </w:r>
      <w:proofErr w:type="spellStart"/>
      <w:r>
        <w:t>MHz.</w:t>
      </w:r>
      <w:proofErr w:type="spellEnd"/>
      <w:r>
        <w:t xml:space="preserve"> It proposes </w:t>
      </w:r>
      <w:r w:rsidR="00365956">
        <w:t xml:space="preserve">that the </w:t>
      </w:r>
      <w:r>
        <w:t xml:space="preserve">reserve price for the 800 and 900 MHz spectrum </w:t>
      </w:r>
      <w:r w:rsidR="00703917">
        <w:t>will</w:t>
      </w:r>
      <w:r w:rsidR="00365956">
        <w:t xml:space="preserve"> </w:t>
      </w:r>
      <w:r w:rsidR="00A85AFC">
        <w:t xml:space="preserve">be </w:t>
      </w:r>
      <w:r w:rsidR="00D16D2D">
        <w:t>€2</w:t>
      </w:r>
      <w:r w:rsidR="005C003D">
        <w:t>0</w:t>
      </w:r>
      <w:r w:rsidR="00D16D2D">
        <w:t>m per 2x5 MHz which is equivalent to €0.</w:t>
      </w:r>
      <w:r w:rsidR="00703917">
        <w:t>4</w:t>
      </w:r>
      <w:r w:rsidR="00D16D2D">
        <w:t>5/MHz/pop (A$0.</w:t>
      </w:r>
      <w:r w:rsidR="00703917">
        <w:t>61</w:t>
      </w:r>
      <w:r w:rsidR="00D16D2D">
        <w:t xml:space="preserve">/MHz/pop) and that the reserve price for the </w:t>
      </w:r>
      <w:r>
        <w:t>1800 MHz</w:t>
      </w:r>
      <w:r w:rsidR="00D16D2D">
        <w:t xml:space="preserve"> band </w:t>
      </w:r>
      <w:r w:rsidR="00703917">
        <w:t>spectrum will</w:t>
      </w:r>
      <w:r w:rsidR="00D16D2D">
        <w:t xml:space="preserve"> be half this value</w:t>
      </w:r>
      <w:r>
        <w:t>.</w:t>
      </w:r>
      <w:r w:rsidR="00365956">
        <w:rPr>
          <w:rStyle w:val="FootnoteReference"/>
        </w:rPr>
        <w:footnoteReference w:id="12"/>
      </w:r>
    </w:p>
    <w:p w:rsidR="00021A4F" w:rsidRDefault="00E62F34" w:rsidP="000771CF">
      <w:pPr>
        <w:pStyle w:val="BodyText"/>
      </w:pPr>
      <w:r>
        <w:t>The coverage benefits of digital dividend spectrum have been highlighted in</w:t>
      </w:r>
      <w:r w:rsidR="000771CF">
        <w:t xml:space="preserve"> the</w:t>
      </w:r>
      <w:r>
        <w:t xml:space="preserve"> Green Paper on the Australian Digital Dividend which describes the digital dividend as </w:t>
      </w:r>
      <w:r w:rsidRPr="00FF25F9">
        <w:rPr>
          <w:i/>
        </w:rPr>
        <w:t>“‘..’waterfront property’ because of its ability to carry signals over long distances, penetrate buildings and carry large amounts of data”</w:t>
      </w:r>
      <w:r w:rsidR="000771CF">
        <w:rPr>
          <w:i/>
        </w:rPr>
        <w:t xml:space="preserve">. </w:t>
      </w:r>
      <w:r w:rsidR="00C77E65">
        <w:t>Some</w:t>
      </w:r>
      <w:r w:rsidR="000771CF" w:rsidRPr="000771CF">
        <w:t xml:space="preserve"> r</w:t>
      </w:r>
      <w:r w:rsidRPr="000771CF">
        <w:t>esponses</w:t>
      </w:r>
      <w:r>
        <w:t xml:space="preserve"> to the </w:t>
      </w:r>
      <w:r w:rsidR="009D48BD">
        <w:t>G</w:t>
      </w:r>
      <w:r>
        <w:t xml:space="preserve">reen </w:t>
      </w:r>
      <w:r w:rsidR="009D48BD">
        <w:t>P</w:t>
      </w:r>
      <w:r>
        <w:t>aper stress the importance of low frequency spectrum for the development of in-building coverage in urban areas as well as lower cost provision of coverage in rural areas.</w:t>
      </w:r>
      <w:r w:rsidR="000771CF">
        <w:rPr>
          <w:rStyle w:val="FootnoteReference"/>
        </w:rPr>
        <w:footnoteReference w:id="13"/>
      </w:r>
    </w:p>
    <w:p w:rsidR="00356139" w:rsidRDefault="00356139" w:rsidP="00356139">
      <w:pPr>
        <w:pStyle w:val="Heading2"/>
      </w:pPr>
      <w:bookmarkStart w:id="20" w:name="_Toc232401704"/>
      <w:bookmarkStart w:id="21" w:name="_Toc234210767"/>
      <w:bookmarkStart w:id="22" w:name="_Toc454453618"/>
      <w:r>
        <w:t>Implications for reissue values</w:t>
      </w:r>
      <w:bookmarkEnd w:id="20"/>
      <w:bookmarkEnd w:id="21"/>
      <w:bookmarkEnd w:id="22"/>
    </w:p>
    <w:p w:rsidR="00021A4F" w:rsidRDefault="00356139" w:rsidP="00356139">
      <w:pPr>
        <w:pStyle w:val="BodyText"/>
      </w:pPr>
      <w:r>
        <w:t>Changes in technology, spectrum supply and market conditions are likely to mean that the value of licences at the time of reissue could be very different from historical auction receipts.</w:t>
      </w:r>
      <w:r w:rsidR="00021A4F">
        <w:t xml:space="preserve"> </w:t>
      </w:r>
      <w:r>
        <w:t>Here we consider the implications of the international evidence and specific aspects of the Australian context for reissue values.</w:t>
      </w:r>
    </w:p>
    <w:p w:rsidR="001822A2" w:rsidRDefault="00356139" w:rsidP="00356139">
      <w:pPr>
        <w:pStyle w:val="BodyText"/>
      </w:pPr>
      <w:r>
        <w:t xml:space="preserve">The </w:t>
      </w:r>
      <w:r w:rsidR="00AC097D">
        <w:t xml:space="preserve">apparatus licence tax paid by the 900 MHz licensees (when put on an equivalent basis) </w:t>
      </w:r>
      <w:r>
        <w:t>could provide a floor on the average values we would expect to be paid by cellular mobile operators in future, unless there were good reasons to expect values to have fallen over time.</w:t>
      </w:r>
    </w:p>
    <w:p w:rsidR="00021A4F" w:rsidRDefault="00E45D1D" w:rsidP="001822A2">
      <w:pPr>
        <w:pStyle w:val="BodyText"/>
      </w:pPr>
      <w:r>
        <w:t xml:space="preserve">There appears to be a strong view </w:t>
      </w:r>
      <w:r w:rsidR="002052F2">
        <w:t>with</w:t>
      </w:r>
      <w:r>
        <w:t xml:space="preserve">in the </w:t>
      </w:r>
      <w:r w:rsidR="0085306D">
        <w:t xml:space="preserve">global </w:t>
      </w:r>
      <w:r>
        <w:t xml:space="preserve">mobile industry that sub 1 GHz spectrum carries a value premium to reflect the flexibility that it provides with regard to rural coverage and in-building penetration. </w:t>
      </w:r>
      <w:r w:rsidR="001822A2" w:rsidRPr="00DA277F">
        <w:t>I</w:t>
      </w:r>
      <w:r w:rsidR="00356139" w:rsidRPr="00DA277F">
        <w:t xml:space="preserve">nternational benchmarks suggest that the value of the 800 MHz band is now likely to exceed </w:t>
      </w:r>
      <w:r w:rsidR="00972B6F">
        <w:t xml:space="preserve">substantially </w:t>
      </w:r>
      <w:r w:rsidR="00356139" w:rsidRPr="00DA277F">
        <w:t>the original auction value.</w:t>
      </w:r>
    </w:p>
    <w:p w:rsidR="00356139" w:rsidRDefault="00356139" w:rsidP="00356139">
      <w:pPr>
        <w:pStyle w:val="BodyText"/>
        <w:rPr>
          <w:rStyle w:val="BodyTextChar"/>
        </w:rPr>
      </w:pPr>
      <w:r w:rsidRPr="00DA277F">
        <w:t xml:space="preserve">The </w:t>
      </w:r>
      <w:r w:rsidR="002052F2">
        <w:t xml:space="preserve">recent </w:t>
      </w:r>
      <w:r w:rsidRPr="00DA277F">
        <w:t xml:space="preserve">international benchmarks and the current 900 MHz apparatus licence tax indicate </w:t>
      </w:r>
      <w:r w:rsidR="00972B6F">
        <w:t xml:space="preserve">that </w:t>
      </w:r>
      <w:r w:rsidR="00427C6F">
        <w:t xml:space="preserve">the </w:t>
      </w:r>
      <w:r w:rsidRPr="00DA277F">
        <w:t xml:space="preserve">range </w:t>
      </w:r>
      <w:r w:rsidR="00BA3AED">
        <w:t xml:space="preserve">of representative auction </w:t>
      </w:r>
      <w:r w:rsidR="00AC097D">
        <w:t xml:space="preserve">benchmark </w:t>
      </w:r>
      <w:r w:rsidR="00BA3AED">
        <w:t xml:space="preserve">values </w:t>
      </w:r>
      <w:r w:rsidR="00AC097D">
        <w:t xml:space="preserve">from </w:t>
      </w:r>
      <w:r w:rsidR="00BA3AED">
        <w:t>$0.5/MHz/pop to $1.2/MHz/pop</w:t>
      </w:r>
      <w:r w:rsidRPr="00DA277F">
        <w:t xml:space="preserve"> </w:t>
      </w:r>
      <w:r w:rsidR="00165C69">
        <w:t>may</w:t>
      </w:r>
      <w:r w:rsidRPr="00DA277F">
        <w:t xml:space="preserve"> be appropriate.</w:t>
      </w:r>
      <w:r w:rsidR="00021A4F">
        <w:t xml:space="preserve"> </w:t>
      </w:r>
      <w:r w:rsidR="00BA3AED">
        <w:t>Given t</w:t>
      </w:r>
      <w:r>
        <w:t xml:space="preserve">he </w:t>
      </w:r>
      <w:r w:rsidR="005004AA">
        <w:t xml:space="preserve">range </w:t>
      </w:r>
      <w:r>
        <w:t>in the</w:t>
      </w:r>
      <w:r w:rsidR="0085306D">
        <w:t>se</w:t>
      </w:r>
      <w:r>
        <w:t xml:space="preserve"> benchmarks</w:t>
      </w:r>
      <w:r w:rsidR="005004AA">
        <w:t>,</w:t>
      </w:r>
      <w:r>
        <w:t xml:space="preserve"> we consider that bottom-up modelling is required to </w:t>
      </w:r>
      <w:r w:rsidR="00BA3AED">
        <w:t xml:space="preserve">help </w:t>
      </w:r>
      <w:r>
        <w:t xml:space="preserve">establish values for the reissue of the </w:t>
      </w:r>
      <w:r w:rsidRPr="00DA277F">
        <w:t>800MHz</w:t>
      </w:r>
      <w:r w:rsidR="00597A70">
        <w:t xml:space="preserve"> </w:t>
      </w:r>
      <w:r>
        <w:t>licences. Our approach to the modelling and the results are addressed in the next section of this report.</w:t>
      </w:r>
    </w:p>
    <w:p w:rsidR="00021A4F" w:rsidRDefault="00356139" w:rsidP="00356139">
      <w:pPr>
        <w:pStyle w:val="Heading1"/>
        <w:rPr>
          <w:rStyle w:val="BodyTextChar"/>
        </w:rPr>
      </w:pPr>
      <w:bookmarkStart w:id="23" w:name="_Toc234210768"/>
      <w:bookmarkStart w:id="24" w:name="_Toc454453619"/>
      <w:r>
        <w:rPr>
          <w:rStyle w:val="BodyTextChar"/>
        </w:rPr>
        <w:t>Valuation scenarios and approach</w:t>
      </w:r>
      <w:bookmarkEnd w:id="23"/>
      <w:bookmarkEnd w:id="24"/>
    </w:p>
    <w:p w:rsidR="00CB22FC" w:rsidRDefault="00085CEA" w:rsidP="00085CEA">
      <w:pPr>
        <w:pStyle w:val="Heading2"/>
      </w:pPr>
      <w:bookmarkStart w:id="25" w:name="_Toc454453620"/>
      <w:r>
        <w:t>Introduction</w:t>
      </w:r>
      <w:bookmarkEnd w:id="25"/>
    </w:p>
    <w:p w:rsidR="00834475" w:rsidRDefault="00356139" w:rsidP="00356139">
      <w:pPr>
        <w:pStyle w:val="BodyText"/>
      </w:pPr>
      <w:r>
        <w:t xml:space="preserve">In this section we describe our approach to valuing spectrum licences used to deliver cellular mobile services </w:t>
      </w:r>
      <w:r w:rsidR="00597A70" w:rsidRPr="00DA277F">
        <w:t xml:space="preserve">in the </w:t>
      </w:r>
      <w:r w:rsidRPr="00DA277F">
        <w:t>800 MH</w:t>
      </w:r>
      <w:r w:rsidR="00597A70" w:rsidRPr="00DA277F">
        <w:t>z</w:t>
      </w:r>
      <w:r w:rsidR="00597A70">
        <w:t xml:space="preserve"> band</w:t>
      </w:r>
      <w:r>
        <w:t>.</w:t>
      </w:r>
      <w:r w:rsidR="00021A4F">
        <w:t xml:space="preserve"> </w:t>
      </w:r>
      <w:r>
        <w:t>We describe the scenarios</w:t>
      </w:r>
      <w:r w:rsidR="00546E19">
        <w:t xml:space="preserve"> </w:t>
      </w:r>
      <w:r>
        <w:t xml:space="preserve">and </w:t>
      </w:r>
      <w:r w:rsidR="00546E19">
        <w:t xml:space="preserve">key assumptions made in the modelling. </w:t>
      </w:r>
      <w:r>
        <w:t>More detail is presented in Appendix A.</w:t>
      </w:r>
    </w:p>
    <w:p w:rsidR="00834475" w:rsidRDefault="00834475" w:rsidP="00834475">
      <w:pPr>
        <w:pStyle w:val="BodyText"/>
      </w:pPr>
      <w:r>
        <w:t>Spectrum is purchased by mobile operators to reduce costs and/or to increase revenues.</w:t>
      </w:r>
      <w:r w:rsidR="00021A4F">
        <w:t xml:space="preserve"> </w:t>
      </w:r>
      <w:r>
        <w:t>Access to additional spectrum allows operators to reduce costs because fewer base stations are required.</w:t>
      </w:r>
      <w:r w:rsidR="00021A4F">
        <w:t xml:space="preserve"> </w:t>
      </w:r>
      <w:r>
        <w:t xml:space="preserve">Additional revenues might also be earned if service quality improves or </w:t>
      </w:r>
      <w:r w:rsidR="0075543A">
        <w:t xml:space="preserve">new applications and </w:t>
      </w:r>
      <w:r>
        <w:t>more traffic can be supported by the additional spectrum.</w:t>
      </w:r>
      <w:r w:rsidR="00426390">
        <w:t xml:space="preserve"> We have assumed that spectrum in the 800 MHz band will be used primarily for deployment of 3G services over the licence period.</w:t>
      </w:r>
    </w:p>
    <w:p w:rsidR="00546E19" w:rsidRDefault="00834475" w:rsidP="00546E19">
      <w:pPr>
        <w:pStyle w:val="BodyText"/>
      </w:pPr>
      <w:r>
        <w:t xml:space="preserve">We are seeking to value licences for the purposes of </w:t>
      </w:r>
      <w:r w:rsidR="0009374A">
        <w:t xml:space="preserve">setting government expectations with regard to </w:t>
      </w:r>
      <w:r>
        <w:t>licence reissue price</w:t>
      </w:r>
      <w:r w:rsidR="0009374A">
        <w:t>s</w:t>
      </w:r>
      <w:r>
        <w:t>.</w:t>
      </w:r>
      <w:r>
        <w:rPr>
          <w:rStyle w:val="FootnoteReference"/>
        </w:rPr>
        <w:footnoteReference w:id="14"/>
      </w:r>
      <w:r>
        <w:t xml:space="preserve"> </w:t>
      </w:r>
      <w:r w:rsidR="0009374A">
        <w:t>If l</w:t>
      </w:r>
      <w:r>
        <w:t xml:space="preserve">icensees </w:t>
      </w:r>
      <w:r w:rsidR="0009374A">
        <w:t>fail to meet the government’s price expectations then the spectrum will be auctioned</w:t>
      </w:r>
      <w:r w:rsidR="000F0C43">
        <w:t>, t</w:t>
      </w:r>
      <w:r w:rsidR="00546E19">
        <w:t>herefore t</w:t>
      </w:r>
      <w:r>
        <w:t>he value of spectrum yielded by an auction sets a lower bound on value</w:t>
      </w:r>
      <w:r w:rsidR="0009374A">
        <w:t>.</w:t>
      </w:r>
      <w:r>
        <w:t xml:space="preserve"> </w:t>
      </w:r>
      <w:r>
        <w:rPr>
          <w:rStyle w:val="BodyTextChar"/>
        </w:rPr>
        <w:t xml:space="preserve">Licensees </w:t>
      </w:r>
      <w:r w:rsidR="00546E19">
        <w:rPr>
          <w:rStyle w:val="BodyTextChar"/>
        </w:rPr>
        <w:t xml:space="preserve">should </w:t>
      </w:r>
      <w:r>
        <w:rPr>
          <w:rStyle w:val="BodyTextChar"/>
        </w:rPr>
        <w:t>be prepared to pay a premium for licence reissue because this removes the costs and uncertainty of engaging in an auction.</w:t>
      </w:r>
    </w:p>
    <w:p w:rsidR="002329AA" w:rsidRDefault="002329AA" w:rsidP="002329AA">
      <w:pPr>
        <w:pStyle w:val="Heading2"/>
      </w:pPr>
      <w:bookmarkStart w:id="26" w:name="_Toc454453621"/>
      <w:r>
        <w:t>Range of values</w:t>
      </w:r>
      <w:bookmarkEnd w:id="26"/>
    </w:p>
    <w:p w:rsidR="00021A4F" w:rsidRDefault="00834475" w:rsidP="00834475">
      <w:pPr>
        <w:pStyle w:val="BodyText"/>
        <w:rPr>
          <w:rStyle w:val="BodyTextChar"/>
        </w:rPr>
      </w:pPr>
      <w:r>
        <w:t xml:space="preserve">At a minimum the value revealed by an auction will be the value arising from the use of an incremental block of spectrum to reduce infrastructure costs – we call this the </w:t>
      </w:r>
      <w:r w:rsidRPr="00B66FC4">
        <w:rPr>
          <w:b/>
        </w:rPr>
        <w:t>cost reduction</w:t>
      </w:r>
      <w:r w:rsidR="00E74737" w:rsidRPr="00E74737">
        <w:rPr>
          <w:b/>
        </w:rPr>
        <w:t xml:space="preserve"> value</w:t>
      </w:r>
      <w:r>
        <w:t>.</w:t>
      </w:r>
      <w:r>
        <w:rPr>
          <w:rStyle w:val="BodyTextChar"/>
        </w:rPr>
        <w:t xml:space="preserve"> </w:t>
      </w:r>
      <w:r w:rsidR="001628F8">
        <w:rPr>
          <w:rStyle w:val="BodyTextChar"/>
        </w:rPr>
        <w:t>The cost reduction value is calculated by modelling infrastructure costs with and without additional spectrum. In congested areas</w:t>
      </w:r>
      <w:r>
        <w:t xml:space="preserve"> additional spectrum allows more capacity to be deployed per site </w:t>
      </w:r>
      <w:r w:rsidR="001628F8">
        <w:t>(</w:t>
      </w:r>
      <w:r>
        <w:t>and therefore fewer sites are required</w:t>
      </w:r>
      <w:r w:rsidR="001628F8">
        <w:t>)</w:t>
      </w:r>
      <w:r>
        <w:t xml:space="preserve">. However, it should be noted that </w:t>
      </w:r>
      <w:r w:rsidR="000F4E0D">
        <w:t>if</w:t>
      </w:r>
      <w:r>
        <w:t xml:space="preserve"> no areas have capacity limited sites then adding spectrum has no impact on costs</w:t>
      </w:r>
      <w:r w:rsidR="000F4E0D">
        <w:t>.</w:t>
      </w:r>
    </w:p>
    <w:p w:rsidR="00021A4F" w:rsidRDefault="00834475" w:rsidP="00834475">
      <w:pPr>
        <w:pStyle w:val="BodyText"/>
        <w:rPr>
          <w:rStyle w:val="BodyTextChar"/>
        </w:rPr>
      </w:pPr>
      <w:r>
        <w:t xml:space="preserve">Although </w:t>
      </w:r>
      <w:r w:rsidR="000F4E0D">
        <w:t xml:space="preserve">different frequency </w:t>
      </w:r>
      <w:r>
        <w:t>bands are largely substitutable in terms of providing capacity, they are very different in terms of their ability to cover geographic areas. Therefore we can expect differences in value between the bands. In particular, the propagation advantages of lower bands (700 MHz, 800 MHz and 900 MHz) enable them to provide coverage with few base stations in rural areas and deeper in-building penetration in urban and suburban areas. To assess this differential valuation between bands we considered the impact on a hypothetical operator of having less spectrum in the lower frequency bands</w:t>
      </w:r>
      <w:r w:rsidR="00110645">
        <w:t>.</w:t>
      </w:r>
      <w:r w:rsidR="001628F8" w:rsidRPr="001628F8">
        <w:rPr>
          <w:rStyle w:val="BodyTextChar"/>
        </w:rPr>
        <w:t xml:space="preserve"> </w:t>
      </w:r>
      <w:r w:rsidR="001628F8" w:rsidRPr="00E57815">
        <w:rPr>
          <w:rStyle w:val="BodyTextChar"/>
        </w:rPr>
        <w:t>The coverage and in-building penetration advantages of lower frequency bands were value</w:t>
      </w:r>
      <w:r w:rsidR="001628F8">
        <w:rPr>
          <w:rStyle w:val="BodyTextChar"/>
        </w:rPr>
        <w:t>d</w:t>
      </w:r>
      <w:r w:rsidR="001628F8" w:rsidRPr="00E57815">
        <w:rPr>
          <w:rStyle w:val="BodyTextChar"/>
        </w:rPr>
        <w:t xml:space="preserve"> based on differences in the number of base stations needed to provide coverage.</w:t>
      </w:r>
      <w:r w:rsidR="001628F8">
        <w:rPr>
          <w:rStyle w:val="BodyTextChar"/>
        </w:rPr>
        <w:t xml:space="preserve"> </w:t>
      </w:r>
      <w:r>
        <w:t xml:space="preserve">The difference in the </w:t>
      </w:r>
      <w:r w:rsidR="00030CD1" w:rsidRPr="00030CD1">
        <w:t>lifecycle costs</w:t>
      </w:r>
      <w:r w:rsidR="00030CD1">
        <w:rPr>
          <w:b/>
        </w:rPr>
        <w:t xml:space="preserve"> </w:t>
      </w:r>
      <w:r>
        <w:t>for the two cases provides a measure of the differential value between the high and low bands.</w:t>
      </w:r>
      <w:r w:rsidR="00241AA9" w:rsidRPr="00241AA9">
        <w:rPr>
          <w:rStyle w:val="BodyTextChar"/>
        </w:rPr>
        <w:t xml:space="preserve"> </w:t>
      </w:r>
      <w:r w:rsidR="00241AA9">
        <w:rPr>
          <w:rStyle w:val="BodyTextChar"/>
        </w:rPr>
        <w:t>It was</w:t>
      </w:r>
      <w:r w:rsidR="00241AA9" w:rsidRPr="00E57815">
        <w:rPr>
          <w:rStyle w:val="BodyTextChar"/>
        </w:rPr>
        <w:t xml:space="preserve"> assumed that the minimum block size for efficient deployment of </w:t>
      </w:r>
      <w:r w:rsidR="00CF2991">
        <w:rPr>
          <w:rStyle w:val="BodyTextChar"/>
        </w:rPr>
        <w:t>3G</w:t>
      </w:r>
      <w:r w:rsidR="00241AA9" w:rsidRPr="00E57815">
        <w:rPr>
          <w:rStyle w:val="BodyTextChar"/>
        </w:rPr>
        <w:t xml:space="preserve"> services is 2x</w:t>
      </w:r>
      <w:r w:rsidR="00CF2991">
        <w:rPr>
          <w:rStyle w:val="BodyTextChar"/>
        </w:rPr>
        <w:t>5</w:t>
      </w:r>
      <w:r w:rsidR="008A7FEE">
        <w:rPr>
          <w:rStyle w:val="BodyTextChar"/>
        </w:rPr>
        <w:t xml:space="preserve"> </w:t>
      </w:r>
      <w:proofErr w:type="spellStart"/>
      <w:r w:rsidR="00241AA9" w:rsidRPr="00E57815">
        <w:rPr>
          <w:rStyle w:val="BodyTextChar"/>
        </w:rPr>
        <w:t>MHz.</w:t>
      </w:r>
      <w:proofErr w:type="spellEnd"/>
    </w:p>
    <w:p w:rsidR="00241AA9" w:rsidRDefault="00834475" w:rsidP="00834475">
      <w:pPr>
        <w:pStyle w:val="BodyText"/>
      </w:pPr>
      <w:r w:rsidRPr="00066526">
        <w:t xml:space="preserve">The </w:t>
      </w:r>
      <w:r w:rsidRPr="00066526">
        <w:rPr>
          <w:b/>
        </w:rPr>
        <w:t>full enterprise value</w:t>
      </w:r>
      <w:r>
        <w:t xml:space="preserve"> of the spectrum is </w:t>
      </w:r>
      <w:r w:rsidRPr="00D1121A">
        <w:t xml:space="preserve">the </w:t>
      </w:r>
      <w:r>
        <w:t>net present value (</w:t>
      </w:r>
      <w:r w:rsidRPr="00D1121A">
        <w:t>NPV</w:t>
      </w:r>
      <w:r>
        <w:t>)</w:t>
      </w:r>
      <w:r w:rsidRPr="00D1121A">
        <w:t xml:space="preserve"> of </w:t>
      </w:r>
      <w:r>
        <w:t xml:space="preserve">total business </w:t>
      </w:r>
      <w:proofErr w:type="spellStart"/>
      <w:r>
        <w:t>cashflows</w:t>
      </w:r>
      <w:proofErr w:type="spellEnd"/>
      <w:r>
        <w:t xml:space="preserve"> (i.e. revenues less costs) that a mobile operator enjoys from all of its assumed spectrum holding</w:t>
      </w:r>
      <w:r w:rsidR="009D48BD">
        <w:t>s</w:t>
      </w:r>
      <w:r>
        <w:t xml:space="preserve">. This </w:t>
      </w:r>
      <w:r w:rsidR="00241AA9">
        <w:t xml:space="preserve">sets an upper bound on what might be charged for reissue. A price higher than this level would </w:t>
      </w:r>
      <w:r>
        <w:t>mean</w:t>
      </w:r>
      <w:r w:rsidR="00241AA9">
        <w:t xml:space="preserve"> that</w:t>
      </w:r>
      <w:r>
        <w:t xml:space="preserve"> the operator </w:t>
      </w:r>
      <w:r w:rsidR="00241AA9">
        <w:t>modelled would go out of business.</w:t>
      </w:r>
    </w:p>
    <w:p w:rsidR="00834475" w:rsidRDefault="00241AA9" w:rsidP="00241AA9">
      <w:pPr>
        <w:pStyle w:val="BodyText"/>
        <w:rPr>
          <w:rStyle w:val="BodyTextChar"/>
        </w:rPr>
      </w:pPr>
      <w:r>
        <w:t xml:space="preserve">Licensees will be prepared to pay more than the cost reduction value for a licence renewal </w:t>
      </w:r>
      <w:r w:rsidR="000F4E0D">
        <w:t xml:space="preserve">because renewal </w:t>
      </w:r>
      <w:r>
        <w:t xml:space="preserve">removes the costs and uncertainty of going to auction (see </w:t>
      </w:r>
      <w:r w:rsidR="00D963FB">
        <w:rPr>
          <w:rStyle w:val="BodyTextChar"/>
        </w:rPr>
        <w:fldChar w:fldCharType="begin"/>
      </w:r>
      <w:r w:rsidR="00834475">
        <w:rPr>
          <w:rStyle w:val="BodyTextChar"/>
        </w:rPr>
        <w:instrText xml:space="preserve"> REF _Ref233714554 </w:instrText>
      </w:r>
      <w:r w:rsidR="00D963FB">
        <w:rPr>
          <w:rStyle w:val="BodyTextChar"/>
        </w:rPr>
        <w:fldChar w:fldCharType="separate"/>
      </w:r>
      <w:r w:rsidR="00D61977">
        <w:t>Figure</w:t>
      </w:r>
      <w:r w:rsidR="00D61977" w:rsidRPr="00C0159A">
        <w:t xml:space="preserve"> </w:t>
      </w:r>
      <w:r w:rsidR="00D61977">
        <w:rPr>
          <w:noProof/>
        </w:rPr>
        <w:t>4</w:t>
      </w:r>
      <w:r w:rsidR="00D61977" w:rsidRPr="00C0159A">
        <w:noBreakHyphen/>
      </w:r>
      <w:r w:rsidR="00D61977">
        <w:rPr>
          <w:noProof/>
        </w:rPr>
        <w:t>1</w:t>
      </w:r>
      <w:r w:rsidR="00D963FB">
        <w:rPr>
          <w:rStyle w:val="BodyTextChar"/>
        </w:rPr>
        <w:fldChar w:fldCharType="end"/>
      </w:r>
      <w:r>
        <w:rPr>
          <w:rStyle w:val="BodyTextChar"/>
        </w:rPr>
        <w:t>)</w:t>
      </w:r>
      <w:r w:rsidR="00834475">
        <w:rPr>
          <w:rStyle w:val="BodyTextChar"/>
        </w:rPr>
        <w:t>.</w:t>
      </w:r>
    </w:p>
    <w:p w:rsidR="00834475" w:rsidRDefault="00834475" w:rsidP="00834475">
      <w:pPr>
        <w:pStyle w:val="FigureCaption"/>
        <w:rPr>
          <w:rStyle w:val="BodyTextChar"/>
        </w:rPr>
      </w:pPr>
      <w:bookmarkStart w:id="27" w:name="_Ref233714554"/>
      <w:r>
        <w:t>Figure</w:t>
      </w:r>
      <w:r w:rsidRPr="00C0159A">
        <w:t xml:space="preserve"> </w:t>
      </w:r>
      <w:r w:rsidR="00D963FB">
        <w:fldChar w:fldCharType="begin"/>
      </w:r>
      <w:r w:rsidR="00D11EEA">
        <w:instrText xml:space="preserve"> STYLEREF 1 \s </w:instrText>
      </w:r>
      <w:r w:rsidR="00D963FB">
        <w:fldChar w:fldCharType="separate"/>
      </w:r>
      <w:r w:rsidR="00D61977">
        <w:rPr>
          <w:noProof/>
        </w:rPr>
        <w:t>4</w:t>
      </w:r>
      <w:r w:rsidR="00D963FB">
        <w:fldChar w:fldCharType="end"/>
      </w:r>
      <w:r w:rsidRPr="00C0159A">
        <w:noBreakHyphen/>
      </w:r>
      <w:r w:rsidR="00D963FB" w:rsidRPr="00C0159A">
        <w:fldChar w:fldCharType="begin"/>
      </w:r>
      <w:r w:rsidRPr="00C0159A">
        <w:instrText xml:space="preserve"> SEQ </w:instrText>
      </w:r>
      <w:r>
        <w:instrText>Figure</w:instrText>
      </w:r>
      <w:r w:rsidRPr="00C0159A">
        <w:instrText xml:space="preserve"> \* ARABIC \s 1 </w:instrText>
      </w:r>
      <w:r w:rsidR="00D963FB" w:rsidRPr="00C0159A">
        <w:fldChar w:fldCharType="separate"/>
      </w:r>
      <w:r w:rsidR="00D61977">
        <w:rPr>
          <w:noProof/>
        </w:rPr>
        <w:t>1</w:t>
      </w:r>
      <w:r w:rsidR="00D963FB" w:rsidRPr="00C0159A">
        <w:fldChar w:fldCharType="end"/>
      </w:r>
      <w:bookmarkEnd w:id="27"/>
      <w:r w:rsidRPr="00C0159A">
        <w:t xml:space="preserve">: </w:t>
      </w:r>
      <w:r>
        <w:t>Range of spectrum value measures</w:t>
      </w:r>
    </w:p>
    <w:p w:rsidR="00834475" w:rsidRDefault="00D02120" w:rsidP="00834475">
      <w:pPr>
        <w:pStyle w:val="BodyText"/>
        <w:rPr>
          <w:rStyle w:val="BodyTextChar"/>
        </w:rPr>
      </w:pPr>
      <w:r w:rsidRPr="00FA0763">
        <w:rPr>
          <w:noProof/>
          <w:lang w:val="en-AU" w:eastAsia="en-AU"/>
        </w:rPr>
        <w:drawing>
          <wp:inline distT="0" distB="0" distL="0" distR="0" wp14:anchorId="47358EB9" wp14:editId="6CB12C1E">
            <wp:extent cx="4248150" cy="2657475"/>
            <wp:effectExtent l="0" t="0" r="0" b="9525"/>
            <wp:docPr id="3" name="Picture 9" descr="Maximum value of licence = value of business supported by operators' spectrum.&#10;&#10;Go to auction.&#10;&#10;Middle  line is value to set on licence for renewal.&#10;&#10;Agree to renewal.&#10;&#10;Minimum value at auction = value of small blocks of spectrum in reducing infrastructure costs.&#10;&#10;This value of small blocks of spectrum in reducing infrastructure costs  leads to value to set on licence for renewal with value of certainty to operator from licence renewal." title="Range of spectrum value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2657475"/>
                    </a:xfrm>
                    <a:prstGeom prst="rect">
                      <a:avLst/>
                    </a:prstGeom>
                    <a:noFill/>
                    <a:ln>
                      <a:noFill/>
                    </a:ln>
                  </pic:spPr>
                </pic:pic>
              </a:graphicData>
            </a:graphic>
          </wp:inline>
        </w:drawing>
      </w:r>
    </w:p>
    <w:p w:rsidR="00834475" w:rsidRDefault="00834475" w:rsidP="00834475">
      <w:pPr>
        <w:pStyle w:val="BodyText"/>
        <w:rPr>
          <w:rStyle w:val="BodyTextChar"/>
        </w:rPr>
      </w:pPr>
    </w:p>
    <w:p w:rsidR="00834475" w:rsidRDefault="00834475" w:rsidP="00834475">
      <w:pPr>
        <w:pStyle w:val="BodyText"/>
        <w:rPr>
          <w:rStyle w:val="BodyTextChar"/>
        </w:rPr>
      </w:pPr>
      <w:r>
        <w:rPr>
          <w:rStyle w:val="BodyTextChar"/>
        </w:rPr>
        <w:t>In principle mobile operators are also likely to value the investment and operating flexibility that access to additional spectrum provides when faced with uncertainty over future technology and market performance – this is often called the option value of spectrum.</w:t>
      </w:r>
      <w:r w:rsidR="00021A4F">
        <w:rPr>
          <w:rStyle w:val="BodyTextChar"/>
        </w:rPr>
        <w:t xml:space="preserve"> </w:t>
      </w:r>
      <w:r>
        <w:rPr>
          <w:rStyle w:val="BodyTextChar"/>
        </w:rPr>
        <w:t>In practice the option value is only known by the operator and so we do not attempt to estimate its value.</w:t>
      </w:r>
      <w:r w:rsidR="00021A4F">
        <w:rPr>
          <w:rStyle w:val="BodyTextChar"/>
        </w:rPr>
        <w:t xml:space="preserve"> </w:t>
      </w:r>
      <w:r>
        <w:rPr>
          <w:rStyle w:val="BodyTextChar"/>
        </w:rPr>
        <w:t xml:space="preserve">This means our </w:t>
      </w:r>
      <w:r w:rsidR="004273B7">
        <w:rPr>
          <w:rStyle w:val="BodyTextChar"/>
        </w:rPr>
        <w:t xml:space="preserve">cost reduction </w:t>
      </w:r>
      <w:r>
        <w:rPr>
          <w:rStyle w:val="BodyTextChar"/>
        </w:rPr>
        <w:t xml:space="preserve">value estimates </w:t>
      </w:r>
      <w:r w:rsidR="004273B7">
        <w:rPr>
          <w:rStyle w:val="BodyTextChar"/>
        </w:rPr>
        <w:t xml:space="preserve">can be expected to be </w:t>
      </w:r>
      <w:r w:rsidR="00BA3AED">
        <w:rPr>
          <w:rStyle w:val="BodyTextChar"/>
        </w:rPr>
        <w:t xml:space="preserve">a lower bound on </w:t>
      </w:r>
      <w:r w:rsidR="004273B7">
        <w:rPr>
          <w:rStyle w:val="BodyTextChar"/>
        </w:rPr>
        <w:t>operators’ willingness to pay for spectrum</w:t>
      </w:r>
      <w:r>
        <w:rPr>
          <w:rStyle w:val="BodyTextChar"/>
        </w:rPr>
        <w:t>.</w:t>
      </w:r>
    </w:p>
    <w:p w:rsidR="005866C0" w:rsidRDefault="005866C0" w:rsidP="00356139">
      <w:pPr>
        <w:pStyle w:val="Heading2"/>
      </w:pPr>
      <w:bookmarkStart w:id="28" w:name="_Toc234210769"/>
      <w:bookmarkStart w:id="29" w:name="_Toc454453622"/>
      <w:r>
        <w:t>Major assumptions used for modelling value estimates</w:t>
      </w:r>
      <w:bookmarkEnd w:id="29"/>
    </w:p>
    <w:bookmarkEnd w:id="28"/>
    <w:p w:rsidR="00021A4F" w:rsidRDefault="00356139" w:rsidP="00DD3AD0">
      <w:pPr>
        <w:pStyle w:val="BodyText"/>
      </w:pPr>
      <w:r>
        <w:t xml:space="preserve">The 15 year licences </w:t>
      </w:r>
      <w:r w:rsidR="005866C0">
        <w:t>are due to expire in 2013 h</w:t>
      </w:r>
      <w:r>
        <w:t xml:space="preserve">ence it is necessary to construct a view </w:t>
      </w:r>
      <w:r w:rsidR="005340E8">
        <w:t>of</w:t>
      </w:r>
      <w:r>
        <w:t xml:space="preserve"> the future development of the mobile sector over the period out to 20</w:t>
      </w:r>
      <w:r w:rsidR="004273B7">
        <w:t>28</w:t>
      </w:r>
      <w:r>
        <w:t xml:space="preserve">. </w:t>
      </w:r>
      <w:r w:rsidR="005866C0">
        <w:t>For our analysis we assumed that the</w:t>
      </w:r>
      <w:r w:rsidR="005340E8">
        <w:t xml:space="preserve"> existing three mobile </w:t>
      </w:r>
      <w:r w:rsidR="005866C0">
        <w:t xml:space="preserve">operators </w:t>
      </w:r>
      <w:r w:rsidR="005340E8">
        <w:t>would continue to supply mobile services</w:t>
      </w:r>
      <w:r w:rsidR="005866C0">
        <w:t xml:space="preserve"> and that each </w:t>
      </w:r>
      <w:r w:rsidR="00A51958">
        <w:t>operator’s 3G coverage w</w:t>
      </w:r>
      <w:r w:rsidR="0044046C">
        <w:t>ould</w:t>
      </w:r>
      <w:r w:rsidR="00A51958">
        <w:t xml:space="preserve"> be extended to match 2G coverage. In the longer term LTE will also extend to this level</w:t>
      </w:r>
      <w:r w:rsidR="00354DC5">
        <w:t xml:space="preserve"> of coverage</w:t>
      </w:r>
      <w:r w:rsidR="00A51958">
        <w:t>.</w:t>
      </w:r>
      <w:r w:rsidR="00A51958" w:rsidRPr="00A51958">
        <w:t xml:space="preserve"> </w:t>
      </w:r>
      <w:r w:rsidR="00A51958">
        <w:t>Coexistence is assumed to be permitted</w:t>
      </w:r>
      <w:r w:rsidR="004B3EFE">
        <w:t xml:space="preserve"> for all spectrum bands</w:t>
      </w:r>
      <w:r w:rsidR="00A51958">
        <w:t>.</w:t>
      </w:r>
      <w:r w:rsidR="00A51958">
        <w:rPr>
          <w:rStyle w:val="FootnoteReference"/>
        </w:rPr>
        <w:footnoteReference w:id="15"/>
      </w:r>
    </w:p>
    <w:p w:rsidR="00DD3AD0" w:rsidRDefault="005866C0" w:rsidP="00D019A6">
      <w:pPr>
        <w:pStyle w:val="BodyText"/>
      </w:pPr>
      <w:r>
        <w:t xml:space="preserve">We have </w:t>
      </w:r>
      <w:r w:rsidR="004B3EFE">
        <w:t xml:space="preserve">considered three </w:t>
      </w:r>
      <w:r>
        <w:t>scenarios to describe the possible evolution of the market environment</w:t>
      </w:r>
      <w:r w:rsidR="00DD3AD0">
        <w:t xml:space="preserve"> as detailed in </w:t>
      </w:r>
      <w:r w:rsidR="00D963FB">
        <w:fldChar w:fldCharType="begin"/>
      </w:r>
      <w:r w:rsidR="00D11EEA">
        <w:instrText xml:space="preserve"> REF _Ref295080976 </w:instrText>
      </w:r>
      <w:r w:rsidR="00D963FB">
        <w:fldChar w:fldCharType="separate"/>
      </w:r>
      <w:r w:rsidR="00D61977" w:rsidRPr="00C0159A">
        <w:t xml:space="preserve">Table </w:t>
      </w:r>
      <w:r w:rsidR="00D61977">
        <w:rPr>
          <w:noProof/>
        </w:rPr>
        <w:t>4</w:t>
      </w:r>
      <w:r w:rsidR="00D61977" w:rsidRPr="00C0159A">
        <w:noBreakHyphen/>
      </w:r>
      <w:r w:rsidR="00D61977">
        <w:rPr>
          <w:noProof/>
        </w:rPr>
        <w:t>1</w:t>
      </w:r>
      <w:r w:rsidR="00D963FB">
        <w:fldChar w:fldCharType="end"/>
      </w:r>
      <w:r w:rsidR="00DD3AD0">
        <w:t>.</w:t>
      </w:r>
    </w:p>
    <w:p w:rsidR="00DD3AD0" w:rsidRDefault="00DD3AD0">
      <w:pPr>
        <w:pStyle w:val="TableCaption"/>
      </w:pPr>
      <w:bookmarkStart w:id="30" w:name="_Ref295080976"/>
      <w:r w:rsidRPr="00C0159A">
        <w:t xml:space="preserve">Table </w:t>
      </w:r>
      <w:r w:rsidR="00D963FB">
        <w:fldChar w:fldCharType="begin"/>
      </w:r>
      <w:r w:rsidR="00D11EEA">
        <w:instrText xml:space="preserve"> STYLEREF 1 \s </w:instrText>
      </w:r>
      <w:r w:rsidR="00D963FB">
        <w:fldChar w:fldCharType="separate"/>
      </w:r>
      <w:r w:rsidR="00D61977">
        <w:rPr>
          <w:noProof/>
        </w:rPr>
        <w:t>4</w:t>
      </w:r>
      <w:r w:rsidR="00D963FB">
        <w:fldChar w:fldCharType="end"/>
      </w:r>
      <w:r w:rsidRPr="00C0159A">
        <w:noBreakHyphen/>
      </w:r>
      <w:r w:rsidR="00D963FB">
        <w:fldChar w:fldCharType="begin"/>
      </w:r>
      <w:r w:rsidR="00D11EEA">
        <w:instrText xml:space="preserve"> SEQ Table \* ARABIC \s 1 </w:instrText>
      </w:r>
      <w:r w:rsidR="00D963FB">
        <w:fldChar w:fldCharType="separate"/>
      </w:r>
      <w:r w:rsidR="00D61977">
        <w:rPr>
          <w:noProof/>
        </w:rPr>
        <w:t>1</w:t>
      </w:r>
      <w:r w:rsidR="00D963FB">
        <w:fldChar w:fldCharType="end"/>
      </w:r>
      <w:bookmarkEnd w:id="30"/>
      <w:r w:rsidRPr="00C0159A">
        <w:t xml:space="preserve">: </w:t>
      </w:r>
      <w:r w:rsidR="00F856A2">
        <w:t>S</w:t>
      </w:r>
      <w:r>
        <w:t>cenario definition</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Description w:val="Scenario definition"/>
      </w:tblPr>
      <w:tblGrid>
        <w:gridCol w:w="2267"/>
        <w:gridCol w:w="2267"/>
        <w:gridCol w:w="2268"/>
        <w:gridCol w:w="2268"/>
      </w:tblGrid>
      <w:tr w:rsidR="00DD3AD0" w:rsidRPr="00DE47A6" w:rsidTr="00DE47A6">
        <w:trPr>
          <w:cantSplit/>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DD3AD0" w:rsidRPr="00DE47A6" w:rsidRDefault="00DD3AD0" w:rsidP="00DE47A6">
            <w:pPr>
              <w:keepNext/>
              <w:rPr>
                <w:color w:val="FFFFFF"/>
                <w:sz w:val="18"/>
                <w:szCs w:val="18"/>
              </w:rPr>
            </w:pPr>
            <w:r w:rsidRPr="00DE47A6">
              <w:rPr>
                <w:color w:val="FFFFFF"/>
                <w:sz w:val="18"/>
                <w:szCs w:val="18"/>
              </w:rPr>
              <w:t>Value</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DD3AD0" w:rsidRPr="00DE47A6" w:rsidRDefault="00DD3AD0" w:rsidP="00DE47A6">
            <w:pPr>
              <w:keepNext/>
              <w:rPr>
                <w:color w:val="FFFFFF"/>
                <w:sz w:val="18"/>
                <w:szCs w:val="18"/>
              </w:rPr>
            </w:pPr>
            <w:r w:rsidRPr="00DE47A6">
              <w:rPr>
                <w:color w:val="FFFFFF"/>
                <w:sz w:val="18"/>
                <w:szCs w:val="18"/>
              </w:rPr>
              <w:t>Low</w:t>
            </w:r>
            <w:r w:rsidR="00F856A2" w:rsidRPr="00DE47A6">
              <w:rPr>
                <w:color w:val="FFFFFF"/>
                <w:sz w:val="18"/>
                <w:szCs w:val="18"/>
              </w:rPr>
              <w:t xml:space="preserve"> scenario</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DD3AD0" w:rsidRPr="00DE47A6" w:rsidRDefault="00DD3AD0" w:rsidP="00DE47A6">
            <w:pPr>
              <w:keepNext/>
              <w:rPr>
                <w:color w:val="FFFFFF"/>
                <w:sz w:val="18"/>
                <w:szCs w:val="18"/>
              </w:rPr>
            </w:pPr>
            <w:r w:rsidRPr="00DE47A6">
              <w:rPr>
                <w:color w:val="FFFFFF"/>
                <w:sz w:val="18"/>
                <w:szCs w:val="18"/>
              </w:rPr>
              <w:t>Medium</w:t>
            </w:r>
            <w:r w:rsidR="00F856A2" w:rsidRPr="00DE47A6">
              <w:rPr>
                <w:color w:val="FFFFFF"/>
                <w:sz w:val="18"/>
                <w:szCs w:val="18"/>
              </w:rPr>
              <w:t xml:space="preserve"> scenario</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DD3AD0" w:rsidRPr="00DE47A6" w:rsidRDefault="00DD3AD0" w:rsidP="00DE47A6">
            <w:pPr>
              <w:keepNext/>
              <w:rPr>
                <w:color w:val="FFFFFF"/>
                <w:sz w:val="18"/>
                <w:szCs w:val="18"/>
              </w:rPr>
            </w:pPr>
            <w:r w:rsidRPr="00DE47A6">
              <w:rPr>
                <w:color w:val="FFFFFF"/>
                <w:sz w:val="18"/>
                <w:szCs w:val="18"/>
              </w:rPr>
              <w:t>High</w:t>
            </w:r>
            <w:r w:rsidR="00F856A2" w:rsidRPr="00DE47A6">
              <w:rPr>
                <w:color w:val="FFFFFF"/>
                <w:sz w:val="18"/>
                <w:szCs w:val="18"/>
              </w:rPr>
              <w:t xml:space="preserve"> scenario</w:t>
            </w:r>
          </w:p>
        </w:tc>
      </w:tr>
      <w:tr w:rsidR="00DD3AD0" w:rsidRPr="00DE47A6" w:rsidTr="00DE47A6">
        <w:trPr>
          <w:cantSplit/>
        </w:trPr>
        <w:tc>
          <w:tcPr>
            <w:tcW w:w="1250" w:type="pct"/>
            <w:shd w:val="clear" w:color="auto" w:fill="DCDDDE"/>
          </w:tcPr>
          <w:p w:rsidR="00DD3AD0" w:rsidRPr="00DE47A6" w:rsidRDefault="00DD3AD0" w:rsidP="00E77B1A">
            <w:pPr>
              <w:rPr>
                <w:sz w:val="18"/>
                <w:szCs w:val="18"/>
              </w:rPr>
            </w:pPr>
            <w:r w:rsidRPr="00DE47A6">
              <w:rPr>
                <w:sz w:val="18"/>
                <w:szCs w:val="18"/>
              </w:rPr>
              <w:t>Population growth (year on year)</w:t>
            </w:r>
          </w:p>
        </w:tc>
        <w:tc>
          <w:tcPr>
            <w:tcW w:w="1250" w:type="pct"/>
            <w:shd w:val="clear" w:color="auto" w:fill="DCDDDE"/>
          </w:tcPr>
          <w:p w:rsidR="00DD3AD0" w:rsidRPr="00DE47A6" w:rsidRDefault="00DD3AD0" w:rsidP="00E77B1A">
            <w:pPr>
              <w:rPr>
                <w:sz w:val="18"/>
                <w:szCs w:val="18"/>
              </w:rPr>
            </w:pPr>
            <w:r w:rsidRPr="00DE47A6">
              <w:rPr>
                <w:sz w:val="18"/>
                <w:szCs w:val="18"/>
              </w:rPr>
              <w:t>1.0%</w:t>
            </w:r>
          </w:p>
        </w:tc>
        <w:tc>
          <w:tcPr>
            <w:tcW w:w="1250" w:type="pct"/>
            <w:shd w:val="clear" w:color="auto" w:fill="DCDDDE"/>
          </w:tcPr>
          <w:p w:rsidR="00DD3AD0" w:rsidRPr="00DE47A6" w:rsidRDefault="00DD3AD0" w:rsidP="00E77B1A">
            <w:pPr>
              <w:rPr>
                <w:sz w:val="18"/>
                <w:szCs w:val="18"/>
              </w:rPr>
            </w:pPr>
            <w:r w:rsidRPr="00DE47A6">
              <w:rPr>
                <w:sz w:val="18"/>
                <w:szCs w:val="18"/>
              </w:rPr>
              <w:t>1.2%</w:t>
            </w:r>
          </w:p>
        </w:tc>
        <w:tc>
          <w:tcPr>
            <w:tcW w:w="1250" w:type="pct"/>
            <w:shd w:val="clear" w:color="auto" w:fill="DCDDDE"/>
          </w:tcPr>
          <w:p w:rsidR="00DD3AD0" w:rsidRPr="00DE47A6" w:rsidRDefault="00DD3AD0" w:rsidP="00E77B1A">
            <w:pPr>
              <w:rPr>
                <w:sz w:val="18"/>
                <w:szCs w:val="18"/>
              </w:rPr>
            </w:pPr>
            <w:r w:rsidRPr="00DE47A6">
              <w:rPr>
                <w:sz w:val="18"/>
                <w:szCs w:val="18"/>
              </w:rPr>
              <w:t>1.6%</w:t>
            </w:r>
          </w:p>
        </w:tc>
      </w:tr>
      <w:tr w:rsidR="00DD3AD0" w:rsidRPr="00DE47A6" w:rsidTr="00DE47A6">
        <w:trPr>
          <w:cantSplit/>
        </w:trPr>
        <w:tc>
          <w:tcPr>
            <w:tcW w:w="1250" w:type="pct"/>
            <w:shd w:val="clear" w:color="auto" w:fill="DCDDDE"/>
          </w:tcPr>
          <w:p w:rsidR="00DD3AD0" w:rsidRPr="00DE47A6" w:rsidRDefault="00DD3AD0" w:rsidP="00E77B1A">
            <w:pPr>
              <w:rPr>
                <w:sz w:val="18"/>
                <w:szCs w:val="18"/>
              </w:rPr>
            </w:pPr>
            <w:r w:rsidRPr="00DE47A6">
              <w:rPr>
                <w:sz w:val="18"/>
                <w:szCs w:val="18"/>
              </w:rPr>
              <w:t>ARPU growth</w:t>
            </w:r>
          </w:p>
        </w:tc>
        <w:tc>
          <w:tcPr>
            <w:tcW w:w="1250" w:type="pct"/>
            <w:shd w:val="clear" w:color="auto" w:fill="DCDDDE"/>
          </w:tcPr>
          <w:p w:rsidR="00DD3AD0" w:rsidRPr="00DE47A6" w:rsidRDefault="00DD3AD0" w:rsidP="00E77B1A">
            <w:pPr>
              <w:rPr>
                <w:sz w:val="18"/>
                <w:szCs w:val="18"/>
              </w:rPr>
            </w:pPr>
            <w:r w:rsidRPr="00DE47A6">
              <w:rPr>
                <w:sz w:val="18"/>
                <w:szCs w:val="18"/>
              </w:rPr>
              <w:t>-0.5% p.a.</w:t>
            </w:r>
          </w:p>
        </w:tc>
        <w:tc>
          <w:tcPr>
            <w:tcW w:w="1250" w:type="pct"/>
            <w:shd w:val="clear" w:color="auto" w:fill="DCDDDE"/>
          </w:tcPr>
          <w:p w:rsidR="00DD3AD0" w:rsidRPr="00DE47A6" w:rsidRDefault="00DD3AD0" w:rsidP="00E77B1A">
            <w:pPr>
              <w:rPr>
                <w:sz w:val="18"/>
                <w:szCs w:val="18"/>
              </w:rPr>
            </w:pPr>
            <w:r w:rsidRPr="00DE47A6">
              <w:rPr>
                <w:sz w:val="18"/>
                <w:szCs w:val="18"/>
              </w:rPr>
              <w:t>0% p.a.</w:t>
            </w:r>
          </w:p>
        </w:tc>
        <w:tc>
          <w:tcPr>
            <w:tcW w:w="1250" w:type="pct"/>
            <w:shd w:val="clear" w:color="auto" w:fill="DCDDDE"/>
          </w:tcPr>
          <w:p w:rsidR="00DD3AD0" w:rsidRPr="00DE47A6" w:rsidRDefault="00DD3AD0" w:rsidP="00E77B1A">
            <w:pPr>
              <w:rPr>
                <w:sz w:val="18"/>
                <w:szCs w:val="18"/>
              </w:rPr>
            </w:pPr>
            <w:r w:rsidRPr="00DE47A6">
              <w:rPr>
                <w:sz w:val="18"/>
                <w:szCs w:val="18"/>
              </w:rPr>
              <w:t>0.5% p.a.</w:t>
            </w:r>
          </w:p>
        </w:tc>
      </w:tr>
      <w:tr w:rsidR="008573A5" w:rsidRPr="00DE47A6" w:rsidTr="00DE47A6">
        <w:trPr>
          <w:cantSplit/>
        </w:trPr>
        <w:tc>
          <w:tcPr>
            <w:tcW w:w="1250" w:type="pct"/>
            <w:shd w:val="clear" w:color="auto" w:fill="DCDDDE"/>
          </w:tcPr>
          <w:p w:rsidR="008573A5" w:rsidRPr="00DE47A6" w:rsidRDefault="008573A5" w:rsidP="00E77B1A">
            <w:pPr>
              <w:rPr>
                <w:sz w:val="18"/>
                <w:szCs w:val="18"/>
              </w:rPr>
            </w:pPr>
            <w:r w:rsidRPr="00DE47A6">
              <w:rPr>
                <w:sz w:val="18"/>
                <w:szCs w:val="18"/>
              </w:rPr>
              <w:t>Handset penetration</w:t>
            </w:r>
          </w:p>
        </w:tc>
        <w:tc>
          <w:tcPr>
            <w:tcW w:w="3750" w:type="pct"/>
            <w:gridSpan w:val="3"/>
            <w:shd w:val="clear" w:color="auto" w:fill="DCDDDE"/>
          </w:tcPr>
          <w:p w:rsidR="008573A5" w:rsidRPr="00DE47A6" w:rsidRDefault="008573A5" w:rsidP="00DE47A6">
            <w:pPr>
              <w:jc w:val="center"/>
              <w:rPr>
                <w:sz w:val="18"/>
                <w:szCs w:val="18"/>
              </w:rPr>
            </w:pPr>
            <w:r w:rsidRPr="00DE47A6">
              <w:rPr>
                <w:sz w:val="18"/>
                <w:szCs w:val="18"/>
              </w:rPr>
              <w:t>Linear growth to 120% in 2013, flat thereafter</w:t>
            </w:r>
          </w:p>
        </w:tc>
      </w:tr>
      <w:tr w:rsidR="00DD3AD0" w:rsidRPr="00DE47A6" w:rsidTr="00DE47A6">
        <w:trPr>
          <w:cantSplit/>
        </w:trPr>
        <w:tc>
          <w:tcPr>
            <w:tcW w:w="1250" w:type="pct"/>
            <w:shd w:val="clear" w:color="auto" w:fill="DCDDDE"/>
          </w:tcPr>
          <w:p w:rsidR="00DD3AD0" w:rsidRPr="00DE47A6" w:rsidRDefault="00DD3AD0" w:rsidP="00E77B1A">
            <w:pPr>
              <w:rPr>
                <w:sz w:val="18"/>
                <w:szCs w:val="18"/>
              </w:rPr>
            </w:pPr>
            <w:r w:rsidRPr="00DE47A6">
              <w:rPr>
                <w:sz w:val="18"/>
                <w:szCs w:val="18"/>
              </w:rPr>
              <w:t>Wireless modem penetration in 2014</w:t>
            </w:r>
          </w:p>
        </w:tc>
        <w:tc>
          <w:tcPr>
            <w:tcW w:w="1250" w:type="pct"/>
            <w:shd w:val="clear" w:color="auto" w:fill="DCDDDE"/>
          </w:tcPr>
          <w:p w:rsidR="00DD3AD0" w:rsidRPr="00DE47A6" w:rsidRDefault="00DD3AD0" w:rsidP="00E77B1A">
            <w:pPr>
              <w:rPr>
                <w:sz w:val="18"/>
                <w:szCs w:val="18"/>
              </w:rPr>
            </w:pPr>
            <w:r w:rsidRPr="00DE47A6">
              <w:rPr>
                <w:sz w:val="18"/>
                <w:szCs w:val="18"/>
              </w:rPr>
              <w:t>22%</w:t>
            </w:r>
          </w:p>
        </w:tc>
        <w:tc>
          <w:tcPr>
            <w:tcW w:w="1250" w:type="pct"/>
            <w:shd w:val="clear" w:color="auto" w:fill="DCDDDE"/>
          </w:tcPr>
          <w:p w:rsidR="00DD3AD0" w:rsidRPr="00DE47A6" w:rsidRDefault="00DD3AD0" w:rsidP="00E77B1A">
            <w:pPr>
              <w:rPr>
                <w:sz w:val="18"/>
                <w:szCs w:val="18"/>
              </w:rPr>
            </w:pPr>
            <w:r w:rsidRPr="00DE47A6">
              <w:rPr>
                <w:sz w:val="18"/>
                <w:szCs w:val="18"/>
              </w:rPr>
              <w:t>27%</w:t>
            </w:r>
          </w:p>
        </w:tc>
        <w:tc>
          <w:tcPr>
            <w:tcW w:w="1250" w:type="pct"/>
            <w:shd w:val="clear" w:color="auto" w:fill="DCDDDE"/>
          </w:tcPr>
          <w:p w:rsidR="00DD3AD0" w:rsidRPr="00DE47A6" w:rsidRDefault="00DD3AD0" w:rsidP="00E77B1A">
            <w:pPr>
              <w:rPr>
                <w:sz w:val="18"/>
                <w:szCs w:val="18"/>
              </w:rPr>
            </w:pPr>
            <w:r w:rsidRPr="00DE47A6">
              <w:rPr>
                <w:sz w:val="18"/>
                <w:szCs w:val="18"/>
              </w:rPr>
              <w:t>32%</w:t>
            </w:r>
          </w:p>
        </w:tc>
      </w:tr>
      <w:tr w:rsidR="00E77B1A" w:rsidRPr="00DE47A6" w:rsidTr="00DE47A6">
        <w:trPr>
          <w:cantSplit/>
        </w:trPr>
        <w:tc>
          <w:tcPr>
            <w:tcW w:w="1250" w:type="pct"/>
            <w:shd w:val="clear" w:color="auto" w:fill="DCDDDE"/>
          </w:tcPr>
          <w:p w:rsidR="00E77B1A" w:rsidRPr="00DE47A6" w:rsidRDefault="00E77B1A" w:rsidP="00E77B1A">
            <w:pPr>
              <w:rPr>
                <w:sz w:val="18"/>
                <w:szCs w:val="18"/>
              </w:rPr>
            </w:pPr>
            <w:r w:rsidRPr="00DE47A6">
              <w:rPr>
                <w:sz w:val="18"/>
                <w:szCs w:val="18"/>
              </w:rPr>
              <w:t xml:space="preserve">GSM </w:t>
            </w:r>
            <w:proofErr w:type="spellStart"/>
            <w:r w:rsidRPr="00DE47A6">
              <w:rPr>
                <w:sz w:val="18"/>
                <w:szCs w:val="18"/>
              </w:rPr>
              <w:t>refarming</w:t>
            </w:r>
            <w:proofErr w:type="spellEnd"/>
          </w:p>
        </w:tc>
        <w:tc>
          <w:tcPr>
            <w:tcW w:w="3750" w:type="pct"/>
            <w:gridSpan w:val="3"/>
            <w:shd w:val="clear" w:color="auto" w:fill="DCDDDE"/>
          </w:tcPr>
          <w:p w:rsidR="00E77B1A" w:rsidRPr="00DE47A6" w:rsidRDefault="00E77B1A" w:rsidP="00DE47A6">
            <w:pPr>
              <w:jc w:val="center"/>
              <w:rPr>
                <w:sz w:val="18"/>
                <w:szCs w:val="18"/>
              </w:rPr>
            </w:pPr>
            <w:r w:rsidRPr="00DE47A6">
              <w:rPr>
                <w:sz w:val="18"/>
                <w:szCs w:val="18"/>
              </w:rPr>
              <w:t>Linear decline in penetration (7.5% per year)</w:t>
            </w:r>
          </w:p>
        </w:tc>
      </w:tr>
      <w:tr w:rsidR="00E77B1A" w:rsidRPr="00DE47A6" w:rsidTr="00DE47A6">
        <w:trPr>
          <w:cantSplit/>
        </w:trPr>
        <w:tc>
          <w:tcPr>
            <w:tcW w:w="1250" w:type="pct"/>
            <w:shd w:val="clear" w:color="auto" w:fill="DCDDDE"/>
          </w:tcPr>
          <w:p w:rsidR="00E77B1A" w:rsidRPr="00DE47A6" w:rsidRDefault="00E77B1A" w:rsidP="00E77B1A">
            <w:pPr>
              <w:rPr>
                <w:sz w:val="18"/>
                <w:szCs w:val="18"/>
              </w:rPr>
            </w:pPr>
            <w:r w:rsidRPr="00DE47A6">
              <w:rPr>
                <w:sz w:val="18"/>
                <w:szCs w:val="18"/>
              </w:rPr>
              <w:t>LTE penetration</w:t>
            </w:r>
          </w:p>
        </w:tc>
        <w:tc>
          <w:tcPr>
            <w:tcW w:w="3750" w:type="pct"/>
            <w:gridSpan w:val="3"/>
            <w:shd w:val="clear" w:color="auto" w:fill="DCDDDE"/>
          </w:tcPr>
          <w:p w:rsidR="00E77B1A" w:rsidRPr="00DE47A6" w:rsidRDefault="00E77B1A" w:rsidP="00DE47A6">
            <w:pPr>
              <w:jc w:val="center"/>
              <w:rPr>
                <w:sz w:val="18"/>
                <w:szCs w:val="18"/>
              </w:rPr>
            </w:pPr>
            <w:r w:rsidRPr="00DE47A6">
              <w:rPr>
                <w:sz w:val="18"/>
                <w:szCs w:val="18"/>
              </w:rPr>
              <w:t>50% in 2021, 94% in 2028</w:t>
            </w:r>
          </w:p>
        </w:tc>
      </w:tr>
      <w:tr w:rsidR="00E77B1A" w:rsidRPr="00DE47A6" w:rsidTr="00DE47A6">
        <w:trPr>
          <w:cantSplit/>
        </w:trPr>
        <w:tc>
          <w:tcPr>
            <w:tcW w:w="1250" w:type="pct"/>
            <w:shd w:val="clear" w:color="auto" w:fill="DCDDDE"/>
          </w:tcPr>
          <w:p w:rsidR="00E77B1A" w:rsidRPr="00DE47A6" w:rsidRDefault="00E77B1A" w:rsidP="00E77B1A">
            <w:pPr>
              <w:rPr>
                <w:sz w:val="18"/>
                <w:szCs w:val="18"/>
              </w:rPr>
            </w:pPr>
            <w:r w:rsidRPr="00DE47A6">
              <w:rPr>
                <w:sz w:val="18"/>
                <w:szCs w:val="18"/>
              </w:rPr>
              <w:t>Data growth</w:t>
            </w:r>
            <w:r w:rsidR="00BA3AED" w:rsidRPr="00DE47A6">
              <w:rPr>
                <w:sz w:val="18"/>
                <w:szCs w:val="18"/>
              </w:rPr>
              <w:br/>
              <w:t xml:space="preserve">(see </w:t>
            </w:r>
            <w:fldSimple w:instr=" REF _Ref295084955  \* MERGEFORMAT ">
              <w:r w:rsidR="00D61977" w:rsidRPr="00D61977">
                <w:rPr>
                  <w:sz w:val="18"/>
                  <w:szCs w:val="18"/>
                </w:rPr>
                <w:t xml:space="preserve">Figure </w:t>
              </w:r>
              <w:r w:rsidR="00D61977" w:rsidRPr="00D61977">
                <w:rPr>
                  <w:noProof/>
                  <w:sz w:val="18"/>
                  <w:szCs w:val="18"/>
                </w:rPr>
                <w:t>4</w:t>
              </w:r>
              <w:r w:rsidR="00D61977" w:rsidRPr="00D61977">
                <w:rPr>
                  <w:noProof/>
                  <w:sz w:val="18"/>
                  <w:szCs w:val="18"/>
                </w:rPr>
                <w:noBreakHyphen/>
                <w:t>2</w:t>
              </w:r>
            </w:fldSimple>
            <w:r w:rsidR="00BA3AED" w:rsidRPr="00DE47A6">
              <w:rPr>
                <w:sz w:val="18"/>
                <w:szCs w:val="18"/>
              </w:rPr>
              <w:t>)</w:t>
            </w:r>
          </w:p>
        </w:tc>
        <w:tc>
          <w:tcPr>
            <w:tcW w:w="1250" w:type="pct"/>
            <w:shd w:val="clear" w:color="auto" w:fill="DCDDDE"/>
          </w:tcPr>
          <w:p w:rsidR="00E77B1A" w:rsidRPr="00DE47A6" w:rsidRDefault="00C162BC" w:rsidP="00914FD4">
            <w:pPr>
              <w:rPr>
                <w:sz w:val="18"/>
                <w:szCs w:val="18"/>
              </w:rPr>
            </w:pPr>
            <w:r w:rsidRPr="00DE47A6">
              <w:rPr>
                <w:sz w:val="18"/>
                <w:szCs w:val="18"/>
              </w:rPr>
              <w:t>Aligned with the ABI Research mobile traffic forecast (2011)</w:t>
            </w:r>
            <w:r w:rsidRPr="00DE47A6">
              <w:rPr>
                <w:rStyle w:val="FootnoteReference"/>
                <w:sz w:val="18"/>
                <w:szCs w:val="18"/>
              </w:rPr>
              <w:footnoteReference w:id="16"/>
            </w:r>
          </w:p>
        </w:tc>
        <w:tc>
          <w:tcPr>
            <w:tcW w:w="1250" w:type="pct"/>
            <w:shd w:val="clear" w:color="auto" w:fill="DCDDDE"/>
          </w:tcPr>
          <w:p w:rsidR="00E77B1A" w:rsidRPr="00DE47A6" w:rsidRDefault="00C162BC" w:rsidP="00C162BC">
            <w:pPr>
              <w:rPr>
                <w:sz w:val="18"/>
                <w:szCs w:val="18"/>
              </w:rPr>
            </w:pPr>
            <w:r w:rsidRPr="00DE47A6">
              <w:rPr>
                <w:sz w:val="18"/>
                <w:szCs w:val="18"/>
              </w:rPr>
              <w:t>Mid way between the high and low scenarios</w:t>
            </w:r>
          </w:p>
        </w:tc>
        <w:tc>
          <w:tcPr>
            <w:tcW w:w="1250" w:type="pct"/>
            <w:shd w:val="clear" w:color="auto" w:fill="DCDDDE"/>
          </w:tcPr>
          <w:p w:rsidR="00E77B1A" w:rsidRPr="00DE47A6" w:rsidRDefault="00E77B1A" w:rsidP="00BA3AED">
            <w:pPr>
              <w:rPr>
                <w:sz w:val="18"/>
                <w:szCs w:val="18"/>
              </w:rPr>
            </w:pPr>
            <w:r w:rsidRPr="00DE47A6">
              <w:rPr>
                <w:sz w:val="18"/>
                <w:szCs w:val="18"/>
              </w:rPr>
              <w:t xml:space="preserve">Aligned with Cisco </w:t>
            </w:r>
            <w:r w:rsidR="00BA3AED" w:rsidRPr="00DE47A6">
              <w:rPr>
                <w:sz w:val="18"/>
                <w:szCs w:val="18"/>
              </w:rPr>
              <w:t xml:space="preserve">mobile traffic </w:t>
            </w:r>
            <w:r w:rsidRPr="00DE47A6">
              <w:rPr>
                <w:sz w:val="18"/>
                <w:szCs w:val="18"/>
              </w:rPr>
              <w:t xml:space="preserve">forecast (2011) </w:t>
            </w:r>
            <w:r w:rsidR="00F56A22" w:rsidRPr="00DE47A6">
              <w:rPr>
                <w:rStyle w:val="FootnoteReference"/>
                <w:sz w:val="18"/>
                <w:szCs w:val="18"/>
              </w:rPr>
              <w:footnoteReference w:id="17"/>
            </w:r>
          </w:p>
        </w:tc>
      </w:tr>
    </w:tbl>
    <w:p w:rsidR="00F56A22" w:rsidRDefault="002B06A2" w:rsidP="00E77B1A">
      <w:pPr>
        <w:pStyle w:val="AfterTable"/>
      </w:pPr>
      <w:r>
        <w:t xml:space="preserve">A major driver of </w:t>
      </w:r>
      <w:r w:rsidR="00165C69">
        <w:t xml:space="preserve">both cost reduction and full enterprise </w:t>
      </w:r>
      <w:r>
        <w:t>valuation</w:t>
      </w:r>
      <w:r w:rsidR="00165C69">
        <w:t>s</w:t>
      </w:r>
      <w:r>
        <w:t xml:space="preserve"> is the data traffic forecast for the period of the licence. For </w:t>
      </w:r>
      <w:r w:rsidR="00F56A22">
        <w:t>the</w:t>
      </w:r>
      <w:r>
        <w:t xml:space="preserve"> high scenario, we have adopted the Cisco 2011 forecast for Western Europe</w:t>
      </w:r>
      <w:r w:rsidR="00897ADC">
        <w:t xml:space="preserve"> as being representative on a per capita basis of optimistic traffic levels in Australia.</w:t>
      </w:r>
      <w:r w:rsidR="00DA277F">
        <w:t xml:space="preserve"> </w:t>
      </w:r>
      <w:r w:rsidR="008A7374">
        <w:t>For the low scenario we have adopted the ABI Research forecast.</w:t>
      </w:r>
      <w:r w:rsidR="0011228F">
        <w:t xml:space="preserve"> </w:t>
      </w:r>
      <w:r w:rsidR="00DA277F">
        <w:t>The traffic profile</w:t>
      </w:r>
      <w:r w:rsidR="0044046C">
        <w:t>s</w:t>
      </w:r>
      <w:r w:rsidR="00DA277F">
        <w:t xml:space="preserve"> for the </w:t>
      </w:r>
      <w:r w:rsidR="00CF2991">
        <w:t xml:space="preserve">three market </w:t>
      </w:r>
      <w:r w:rsidR="00DA277F">
        <w:t>scenario</w:t>
      </w:r>
      <w:r w:rsidR="00CF2991">
        <w:t xml:space="preserve">s are </w:t>
      </w:r>
      <w:r w:rsidR="008D4656">
        <w:t xml:space="preserve">extrapolated using a </w:t>
      </w:r>
      <w:proofErr w:type="spellStart"/>
      <w:r w:rsidR="008D4656">
        <w:t>Gompertz</w:t>
      </w:r>
      <w:proofErr w:type="spellEnd"/>
      <w:r w:rsidR="008D4656">
        <w:t xml:space="preserve"> curve as shown in </w:t>
      </w:r>
      <w:r w:rsidR="00D963FB">
        <w:fldChar w:fldCharType="begin"/>
      </w:r>
      <w:r w:rsidR="00D11EEA">
        <w:instrText xml:space="preserve"> REF _Ref295084955 </w:instrText>
      </w:r>
      <w:r w:rsidR="00D963FB">
        <w:fldChar w:fldCharType="separate"/>
      </w:r>
      <w:r w:rsidR="00D61977">
        <w:t>Figure</w:t>
      </w:r>
      <w:r w:rsidR="00D61977" w:rsidRPr="00C0159A">
        <w:t xml:space="preserve"> </w:t>
      </w:r>
      <w:r w:rsidR="00D61977">
        <w:rPr>
          <w:noProof/>
        </w:rPr>
        <w:t>4</w:t>
      </w:r>
      <w:r w:rsidR="00D61977" w:rsidRPr="00C0159A">
        <w:noBreakHyphen/>
      </w:r>
      <w:r w:rsidR="00D61977">
        <w:rPr>
          <w:noProof/>
        </w:rPr>
        <w:t>2</w:t>
      </w:r>
      <w:r w:rsidR="00D963FB">
        <w:fldChar w:fldCharType="end"/>
      </w:r>
      <w:r w:rsidR="008A7374">
        <w:t xml:space="preserve"> which also illustrates the data forecasts made by IDATE for the UMTS Forum in May 2011</w:t>
      </w:r>
      <w:r w:rsidR="008A7374">
        <w:rPr>
          <w:rStyle w:val="FootnoteReference"/>
        </w:rPr>
        <w:footnoteReference w:id="18"/>
      </w:r>
      <w:r w:rsidR="008D4656">
        <w:t>.</w:t>
      </w:r>
    </w:p>
    <w:p w:rsidR="008D4656" w:rsidRDefault="008D4656">
      <w:pPr>
        <w:pStyle w:val="FigureCaption"/>
      </w:pPr>
      <w:bookmarkStart w:id="31" w:name="_Ref295084955"/>
      <w:r>
        <w:t>Figure</w:t>
      </w:r>
      <w:r w:rsidRPr="00C0159A">
        <w:t xml:space="preserve"> </w:t>
      </w:r>
      <w:r w:rsidR="00D963FB">
        <w:fldChar w:fldCharType="begin"/>
      </w:r>
      <w:r w:rsidR="00D11EEA">
        <w:instrText xml:space="preserve"> STYLEREF 1 \s </w:instrText>
      </w:r>
      <w:r w:rsidR="00D963FB">
        <w:fldChar w:fldCharType="separate"/>
      </w:r>
      <w:r w:rsidR="00D61977">
        <w:rPr>
          <w:noProof/>
        </w:rPr>
        <w:t>4</w:t>
      </w:r>
      <w:r w:rsidR="00D963FB">
        <w:fldChar w:fldCharType="end"/>
      </w:r>
      <w:r w:rsidRPr="00C0159A">
        <w:noBreakHyphen/>
      </w:r>
      <w:r w:rsidR="00D963FB" w:rsidRPr="00C0159A">
        <w:fldChar w:fldCharType="begin"/>
      </w:r>
      <w:r w:rsidRPr="00C0159A">
        <w:instrText xml:space="preserve"> SEQ </w:instrText>
      </w:r>
      <w:r>
        <w:instrText>Figure</w:instrText>
      </w:r>
      <w:r w:rsidRPr="00C0159A">
        <w:instrText xml:space="preserve"> \* ARABIC \s 1 </w:instrText>
      </w:r>
      <w:r w:rsidR="00D963FB" w:rsidRPr="00C0159A">
        <w:fldChar w:fldCharType="separate"/>
      </w:r>
      <w:r w:rsidR="00D61977">
        <w:rPr>
          <w:noProof/>
        </w:rPr>
        <w:t>2</w:t>
      </w:r>
      <w:r w:rsidR="00D963FB" w:rsidRPr="00C0159A">
        <w:fldChar w:fldCharType="end"/>
      </w:r>
      <w:bookmarkEnd w:id="31"/>
      <w:r w:rsidRPr="00C0159A">
        <w:t xml:space="preserve">: </w:t>
      </w:r>
      <w:r w:rsidR="008A7374">
        <w:t>Estimated total forecast mobile traffic in Australia 2010</w:t>
      </w:r>
      <w:r w:rsidR="00404966">
        <w:t>–</w:t>
      </w:r>
      <w:r w:rsidR="008A7374">
        <w:t>2028</w:t>
      </w:r>
    </w:p>
    <w:p w:rsidR="008D4656" w:rsidRPr="008D4656" w:rsidRDefault="00D02120" w:rsidP="008D4656">
      <w:pPr>
        <w:pStyle w:val="BodyText"/>
      </w:pPr>
      <w:r w:rsidRPr="00FA0763">
        <w:rPr>
          <w:noProof/>
          <w:lang w:val="en-AU" w:eastAsia="en-AU"/>
        </w:rPr>
        <w:drawing>
          <wp:inline distT="0" distB="0" distL="0" distR="0" wp14:anchorId="32332460" wp14:editId="6F073F41">
            <wp:extent cx="5762625" cy="3771900"/>
            <wp:effectExtent l="0" t="0" r="9525" b="0"/>
            <wp:docPr id="4" name="Picture 6" descr="Mobile traffic in Australia (P bytes per month) from 2010 to 2028.&#10;&#10;UMTS Forum in 2012 and 2020.&#10;&#10;Low scenario - ABI Research (2011) extrapolated from zero in 2010 to just below 300 P bytes per month.&#10;&#10;Medium scenario from zero in 2010 to just above 600 P bytes per month in 2028.&#10;&#10;High scenario - Cisco (2011) extrapolated, from zero in 2010 to just below 1000 P bytes per month in 2028.&#10;&#10;" title="Estimated total forecast mobile traffic in Australia 20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771900"/>
                    </a:xfrm>
                    <a:prstGeom prst="rect">
                      <a:avLst/>
                    </a:prstGeom>
                    <a:noFill/>
                    <a:ln>
                      <a:noFill/>
                    </a:ln>
                  </pic:spPr>
                </pic:pic>
              </a:graphicData>
            </a:graphic>
          </wp:inline>
        </w:drawing>
      </w:r>
    </w:p>
    <w:p w:rsidR="00F56A22" w:rsidRDefault="008D4656" w:rsidP="008D4656">
      <w:pPr>
        <w:pStyle w:val="BodyText"/>
        <w:rPr>
          <w:i/>
        </w:rPr>
      </w:pPr>
      <w:r>
        <w:rPr>
          <w:i/>
        </w:rPr>
        <w:t xml:space="preserve">Source: </w:t>
      </w:r>
      <w:r w:rsidRPr="00DD2697">
        <w:rPr>
          <w:i/>
        </w:rPr>
        <w:t>Cisco</w:t>
      </w:r>
      <w:r w:rsidR="007D28EA">
        <w:rPr>
          <w:i/>
        </w:rPr>
        <w:t>, ABI Research, UMTS Forum</w:t>
      </w:r>
      <w:r>
        <w:rPr>
          <w:i/>
        </w:rPr>
        <w:t xml:space="preserve"> </w:t>
      </w:r>
      <w:r w:rsidRPr="00DD2697">
        <w:rPr>
          <w:i/>
        </w:rPr>
        <w:t>and Plum estimates</w:t>
      </w:r>
    </w:p>
    <w:p w:rsidR="00834475" w:rsidRDefault="00834475" w:rsidP="00834475">
      <w:pPr>
        <w:pStyle w:val="Heading2"/>
      </w:pPr>
      <w:bookmarkStart w:id="32" w:name="_Toc454453623"/>
      <w:r>
        <w:t>Typical operator valuation</w:t>
      </w:r>
      <w:bookmarkEnd w:id="32"/>
    </w:p>
    <w:p w:rsidR="00411137" w:rsidRDefault="00411137" w:rsidP="00834475">
      <w:pPr>
        <w:pStyle w:val="BodyText"/>
      </w:pPr>
      <w:r>
        <w:t>S</w:t>
      </w:r>
      <w:r w:rsidR="00834475">
        <w:t>pectrum is to some extent substitutable in its ability to provide 3G and LTE services.</w:t>
      </w:r>
      <w:r w:rsidR="00021A4F">
        <w:t xml:space="preserve"> </w:t>
      </w:r>
      <w:r w:rsidR="00834475">
        <w:t>It follows that the valuation approach should consider the fact that other spectrum bands may be used to deliver the same service if an incremental amount of spectrum in one band is not obtained (i.e. the costs are spread across all bands capable of delivering the same services). To accommodate this we have modelled bands together that are likely to deliver the same services: specifically we have assumed that the 800 MHz, 900 MHz and 2</w:t>
      </w:r>
      <w:r w:rsidR="00625004">
        <w:t>.1</w:t>
      </w:r>
      <w:r w:rsidR="00834475">
        <w:t xml:space="preserve"> </w:t>
      </w:r>
      <w:r w:rsidR="00625004">
        <w:t>G</w:t>
      </w:r>
      <w:r w:rsidR="00834475">
        <w:t xml:space="preserve">Hz </w:t>
      </w:r>
      <w:r w:rsidR="00625004">
        <w:t xml:space="preserve">bands </w:t>
      </w:r>
      <w:r w:rsidR="00834475">
        <w:t xml:space="preserve">will be used to deliver 3G services. For </w:t>
      </w:r>
      <w:r w:rsidR="00DA277F">
        <w:t xml:space="preserve">this </w:t>
      </w:r>
      <w:r w:rsidR="00834475">
        <w:t>group of spectrum bands we have assumed that the hypothetical operator will deploy a single network and that the total revenues and traffic attributed to each technology can be spread across the respective group of three bands.</w:t>
      </w:r>
    </w:p>
    <w:p w:rsidR="00DA277F" w:rsidRDefault="00DA277F" w:rsidP="00834475">
      <w:pPr>
        <w:pStyle w:val="BodyText"/>
      </w:pPr>
      <w:r>
        <w:t xml:space="preserve">Together the 800, 900 and 2100 MHz bands </w:t>
      </w:r>
      <w:r w:rsidR="00914FD4">
        <w:t>comprise</w:t>
      </w:r>
      <w:r>
        <w:t xml:space="preserve"> a total 210 MHz of </w:t>
      </w:r>
      <w:r w:rsidR="00914FD4">
        <w:t xml:space="preserve">paired </w:t>
      </w:r>
      <w:r>
        <w:t xml:space="preserve">spectrum. We modelled the NPV of </w:t>
      </w:r>
      <w:r w:rsidR="00F03414">
        <w:t>a</w:t>
      </w:r>
      <w:r>
        <w:t xml:space="preserve"> hypothetical incumbent operator’s business case with a third of this spectrum (70 MHz) and an incremental 10 MHz (i.e. 2x5 MHz).</w:t>
      </w:r>
      <w:r w:rsidRPr="00DA277F">
        <w:t xml:space="preserve"> </w:t>
      </w:r>
      <w:r>
        <w:t xml:space="preserve">We consider the case where the </w:t>
      </w:r>
      <w:r w:rsidR="00F03414">
        <w:t xml:space="preserve">hypothetical </w:t>
      </w:r>
      <w:r>
        <w:t xml:space="preserve">operator has </w:t>
      </w:r>
      <w:r w:rsidR="007766B4">
        <w:t>27</w:t>
      </w:r>
      <w:r>
        <w:t>% market share</w:t>
      </w:r>
      <w:r w:rsidR="009D451B">
        <w:t>, based on the lowest current market share of the incumbent mobile operators</w:t>
      </w:r>
      <w:r>
        <w:t>.</w:t>
      </w:r>
    </w:p>
    <w:p w:rsidR="00356139" w:rsidRDefault="00356139" w:rsidP="002308FD">
      <w:pPr>
        <w:pStyle w:val="Heading2"/>
      </w:pPr>
      <w:bookmarkStart w:id="33" w:name="_Toc234210772"/>
      <w:bookmarkStart w:id="34" w:name="_Toc454453624"/>
      <w:r>
        <w:t>Modelling results</w:t>
      </w:r>
      <w:bookmarkEnd w:id="33"/>
      <w:bookmarkEnd w:id="34"/>
    </w:p>
    <w:p w:rsidR="001E00E1" w:rsidRDefault="00200FE8">
      <w:pPr>
        <w:pStyle w:val="Heading3"/>
      </w:pPr>
      <w:r>
        <w:t>Capacity related values</w:t>
      </w:r>
    </w:p>
    <w:p w:rsidR="00356139" w:rsidRDefault="00356139" w:rsidP="00356139">
      <w:pPr>
        <w:pStyle w:val="BodyText"/>
      </w:pPr>
      <w:r>
        <w:t>In assessing the cost reduction value where the spectrum is assumed to give only capacity enhancement we have assumed that the hypothetical operator will gain access to sufficient 800 or 900 MHz spectrum to provide long range coverage in rural areas and provide deep in-building penetration in urban and suburban areas.</w:t>
      </w:r>
    </w:p>
    <w:p w:rsidR="00F03414" w:rsidRDefault="00356139" w:rsidP="00356139">
      <w:pPr>
        <w:pStyle w:val="BodyText"/>
      </w:pPr>
      <w:r>
        <w:t xml:space="preserve">All NPVs are calculated </w:t>
      </w:r>
      <w:r w:rsidR="005C7EFF">
        <w:t xml:space="preserve">in </w:t>
      </w:r>
      <w:r>
        <w:t xml:space="preserve">2013 </w:t>
      </w:r>
      <w:r w:rsidR="005C7EFF">
        <w:t xml:space="preserve">prices </w:t>
      </w:r>
      <w:r>
        <w:t>for ease of comparison.</w:t>
      </w:r>
      <w:r w:rsidR="00021A4F">
        <w:t xml:space="preserve"> </w:t>
      </w:r>
      <w:r>
        <w:t xml:space="preserve">Values are expressed as a </w:t>
      </w:r>
      <w:r w:rsidR="00625004">
        <w:t>value per MHz per person (</w:t>
      </w:r>
      <w:r>
        <w:t>$/MHz/pop</w:t>
      </w:r>
      <w:r w:rsidR="00625004">
        <w:t>)</w:t>
      </w:r>
      <w:r>
        <w:t xml:space="preserve"> so they can be compared with the benchmarks discussed in Section 3</w:t>
      </w:r>
      <w:r w:rsidR="00625004">
        <w:t>.</w:t>
      </w:r>
      <w:r>
        <w:t xml:space="preserve"> </w:t>
      </w:r>
      <w:r w:rsidR="00DA277F">
        <w:t xml:space="preserve">The results for the </w:t>
      </w:r>
      <w:r w:rsidR="00F03414">
        <w:t xml:space="preserve">three market scenarios are detailed in </w:t>
      </w:r>
      <w:r w:rsidR="00D963FB">
        <w:fldChar w:fldCharType="begin"/>
      </w:r>
      <w:r w:rsidR="00D11EEA">
        <w:instrText xml:space="preserve"> REF _Ref295136071 </w:instrText>
      </w:r>
      <w:r w:rsidR="00D963FB">
        <w:fldChar w:fldCharType="separate"/>
      </w:r>
      <w:r w:rsidR="00D61977" w:rsidRPr="00C0159A">
        <w:t xml:space="preserve">Table </w:t>
      </w:r>
      <w:r w:rsidR="00D61977">
        <w:rPr>
          <w:noProof/>
        </w:rPr>
        <w:t>4</w:t>
      </w:r>
      <w:r w:rsidR="00D61977" w:rsidRPr="00C0159A">
        <w:noBreakHyphen/>
      </w:r>
      <w:r w:rsidR="00D61977">
        <w:rPr>
          <w:noProof/>
        </w:rPr>
        <w:t>2</w:t>
      </w:r>
      <w:r w:rsidR="00D963FB">
        <w:fldChar w:fldCharType="end"/>
      </w:r>
      <w:r w:rsidR="00F03414">
        <w:t>.</w:t>
      </w:r>
    </w:p>
    <w:p w:rsidR="00F03414" w:rsidRDefault="00F03414">
      <w:pPr>
        <w:pStyle w:val="TableCaption"/>
      </w:pPr>
      <w:bookmarkStart w:id="35" w:name="_Ref295136071"/>
      <w:r w:rsidRPr="00C0159A">
        <w:t xml:space="preserve">Table </w:t>
      </w:r>
      <w:r w:rsidR="00D963FB">
        <w:fldChar w:fldCharType="begin"/>
      </w:r>
      <w:r w:rsidR="00D11EEA">
        <w:instrText xml:space="preserve"> STYLEREF 1 \s </w:instrText>
      </w:r>
      <w:r w:rsidR="00D963FB">
        <w:fldChar w:fldCharType="separate"/>
      </w:r>
      <w:r w:rsidR="00D61977">
        <w:rPr>
          <w:noProof/>
        </w:rPr>
        <w:t>4</w:t>
      </w:r>
      <w:r w:rsidR="00D963FB">
        <w:fldChar w:fldCharType="end"/>
      </w:r>
      <w:r w:rsidRPr="00C0159A">
        <w:noBreakHyphen/>
      </w:r>
      <w:r w:rsidR="00D963FB">
        <w:fldChar w:fldCharType="begin"/>
      </w:r>
      <w:r w:rsidR="00D11EEA">
        <w:instrText xml:space="preserve"> SEQ Table \* ARABIC \s 1 </w:instrText>
      </w:r>
      <w:r w:rsidR="00D963FB">
        <w:fldChar w:fldCharType="separate"/>
      </w:r>
      <w:r w:rsidR="00D61977">
        <w:rPr>
          <w:noProof/>
        </w:rPr>
        <w:t>2</w:t>
      </w:r>
      <w:r w:rsidR="00D963FB">
        <w:fldChar w:fldCharType="end"/>
      </w:r>
      <w:bookmarkEnd w:id="35"/>
      <w:r w:rsidRPr="00C0159A">
        <w:t xml:space="preserve">: </w:t>
      </w:r>
      <w:r>
        <w:t xml:space="preserve">Estimates of </w:t>
      </w:r>
      <w:r w:rsidR="00F028DA">
        <w:t xml:space="preserve">capacity related </w:t>
      </w:r>
      <w:r>
        <w:t>values for the 800 MHz band</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3024"/>
        <w:gridCol w:w="3024"/>
        <w:gridCol w:w="3022"/>
      </w:tblGrid>
      <w:tr w:rsidR="00F03414" w:rsidRPr="00DE47A6" w:rsidTr="00DE47A6">
        <w:trPr>
          <w:cantSplit/>
          <w:tblHeader/>
        </w:trPr>
        <w:tc>
          <w:tcPr>
            <w:tcW w:w="166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F03414" w:rsidRPr="00DE47A6" w:rsidRDefault="00F03414" w:rsidP="00F03414">
            <w:pPr>
              <w:rPr>
                <w:color w:val="FFFFFF"/>
                <w:sz w:val="18"/>
                <w:szCs w:val="18"/>
              </w:rPr>
            </w:pPr>
            <w:r w:rsidRPr="00DE47A6">
              <w:rPr>
                <w:color w:val="FFFFFF"/>
                <w:sz w:val="18"/>
                <w:szCs w:val="18"/>
              </w:rPr>
              <w:t>Market scenario</w:t>
            </w:r>
          </w:p>
        </w:tc>
        <w:tc>
          <w:tcPr>
            <w:tcW w:w="166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F03414" w:rsidRPr="00DE47A6" w:rsidRDefault="00F03414" w:rsidP="00F03414">
            <w:pPr>
              <w:rPr>
                <w:color w:val="FFFFFF"/>
                <w:sz w:val="18"/>
                <w:szCs w:val="18"/>
              </w:rPr>
            </w:pPr>
            <w:r w:rsidRPr="00DE47A6">
              <w:rPr>
                <w:color w:val="FFFFFF"/>
                <w:sz w:val="18"/>
                <w:szCs w:val="18"/>
              </w:rPr>
              <w:t>Cost reduction value due to capacity provision</w:t>
            </w:r>
          </w:p>
        </w:tc>
        <w:tc>
          <w:tcPr>
            <w:tcW w:w="1666"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F03414" w:rsidRPr="00DE47A6" w:rsidRDefault="00F03414" w:rsidP="00F03414">
            <w:pPr>
              <w:rPr>
                <w:color w:val="FFFFFF"/>
                <w:sz w:val="18"/>
                <w:szCs w:val="18"/>
              </w:rPr>
            </w:pPr>
            <w:r w:rsidRPr="00DE47A6">
              <w:rPr>
                <w:color w:val="FFFFFF"/>
                <w:sz w:val="18"/>
                <w:szCs w:val="18"/>
              </w:rPr>
              <w:t>Full enterprise valuation</w:t>
            </w:r>
          </w:p>
        </w:tc>
      </w:tr>
      <w:tr w:rsidR="00F028DA" w:rsidRPr="00DE47A6" w:rsidTr="00DE47A6">
        <w:trPr>
          <w:cantSplit/>
        </w:trPr>
        <w:tc>
          <w:tcPr>
            <w:tcW w:w="1667" w:type="pct"/>
            <w:shd w:val="clear" w:color="auto" w:fill="DCDDDE"/>
          </w:tcPr>
          <w:p w:rsidR="00F028DA" w:rsidRPr="00DE47A6" w:rsidRDefault="00354DC5" w:rsidP="00F856A2">
            <w:pPr>
              <w:rPr>
                <w:sz w:val="18"/>
                <w:szCs w:val="18"/>
              </w:rPr>
            </w:pPr>
            <w:r w:rsidRPr="00DE47A6">
              <w:rPr>
                <w:sz w:val="18"/>
                <w:szCs w:val="18"/>
              </w:rPr>
              <w:t xml:space="preserve">Low </w:t>
            </w:r>
            <w:r w:rsidR="00F028DA" w:rsidRPr="00DE47A6">
              <w:rPr>
                <w:sz w:val="18"/>
                <w:szCs w:val="18"/>
              </w:rPr>
              <w:t>scenario</w:t>
            </w:r>
          </w:p>
        </w:tc>
        <w:tc>
          <w:tcPr>
            <w:tcW w:w="1667" w:type="pct"/>
            <w:shd w:val="clear" w:color="auto" w:fill="DCDDDE"/>
          </w:tcPr>
          <w:p w:rsidR="00F028DA" w:rsidRPr="00DE47A6" w:rsidRDefault="00F028DA" w:rsidP="00F03414">
            <w:pPr>
              <w:rPr>
                <w:sz w:val="18"/>
                <w:szCs w:val="18"/>
              </w:rPr>
            </w:pPr>
            <w:r w:rsidRPr="00DE47A6">
              <w:rPr>
                <w:sz w:val="18"/>
                <w:szCs w:val="18"/>
              </w:rPr>
              <w:t>$0.0/MHz/pop</w:t>
            </w:r>
          </w:p>
        </w:tc>
        <w:tc>
          <w:tcPr>
            <w:tcW w:w="1666" w:type="pct"/>
            <w:shd w:val="clear" w:color="auto" w:fill="DCDDDE"/>
          </w:tcPr>
          <w:p w:rsidR="00F028DA" w:rsidRPr="00DE47A6" w:rsidRDefault="00F028DA" w:rsidP="00F1086A">
            <w:pPr>
              <w:rPr>
                <w:sz w:val="18"/>
                <w:szCs w:val="18"/>
              </w:rPr>
            </w:pPr>
            <w:r w:rsidRPr="00DE47A6">
              <w:rPr>
                <w:sz w:val="18"/>
                <w:szCs w:val="18"/>
              </w:rPr>
              <w:t>$2.</w:t>
            </w:r>
            <w:r w:rsidR="00F1086A" w:rsidRPr="00DE47A6">
              <w:rPr>
                <w:sz w:val="18"/>
                <w:szCs w:val="18"/>
              </w:rPr>
              <w:t>58</w:t>
            </w:r>
            <w:r w:rsidRPr="00DE47A6">
              <w:rPr>
                <w:sz w:val="18"/>
                <w:szCs w:val="18"/>
              </w:rPr>
              <w:t>/MHz/pop</w:t>
            </w:r>
          </w:p>
        </w:tc>
      </w:tr>
      <w:tr w:rsidR="00F028DA" w:rsidRPr="00DE47A6" w:rsidTr="00DE47A6">
        <w:trPr>
          <w:cantSplit/>
        </w:trPr>
        <w:tc>
          <w:tcPr>
            <w:tcW w:w="1667" w:type="pct"/>
            <w:shd w:val="clear" w:color="auto" w:fill="DCDDDE"/>
          </w:tcPr>
          <w:p w:rsidR="00F028DA" w:rsidRPr="00DE47A6" w:rsidRDefault="00F028DA" w:rsidP="00F856A2">
            <w:pPr>
              <w:rPr>
                <w:sz w:val="18"/>
                <w:szCs w:val="18"/>
              </w:rPr>
            </w:pPr>
            <w:r w:rsidRPr="00DE47A6">
              <w:rPr>
                <w:sz w:val="18"/>
                <w:szCs w:val="18"/>
              </w:rPr>
              <w:t>Medium scenario</w:t>
            </w:r>
          </w:p>
        </w:tc>
        <w:tc>
          <w:tcPr>
            <w:tcW w:w="1667" w:type="pct"/>
            <w:shd w:val="clear" w:color="auto" w:fill="DCDDDE"/>
          </w:tcPr>
          <w:p w:rsidR="00F028DA" w:rsidRPr="00DE47A6" w:rsidRDefault="00F028DA" w:rsidP="007766B4">
            <w:pPr>
              <w:rPr>
                <w:sz w:val="18"/>
                <w:szCs w:val="18"/>
              </w:rPr>
            </w:pPr>
            <w:r w:rsidRPr="00DE47A6">
              <w:rPr>
                <w:sz w:val="18"/>
                <w:szCs w:val="18"/>
              </w:rPr>
              <w:t>$0.4</w:t>
            </w:r>
            <w:r w:rsidR="007766B4" w:rsidRPr="00DE47A6">
              <w:rPr>
                <w:sz w:val="18"/>
                <w:szCs w:val="18"/>
              </w:rPr>
              <w:t>2</w:t>
            </w:r>
            <w:r w:rsidRPr="00DE47A6">
              <w:rPr>
                <w:sz w:val="18"/>
                <w:szCs w:val="18"/>
              </w:rPr>
              <w:t>/MHz/pop</w:t>
            </w:r>
          </w:p>
        </w:tc>
        <w:tc>
          <w:tcPr>
            <w:tcW w:w="1666" w:type="pct"/>
            <w:shd w:val="clear" w:color="auto" w:fill="DCDDDE"/>
          </w:tcPr>
          <w:p w:rsidR="00F028DA" w:rsidRPr="00DE47A6" w:rsidRDefault="00F028DA" w:rsidP="00F1086A">
            <w:pPr>
              <w:rPr>
                <w:sz w:val="18"/>
                <w:szCs w:val="18"/>
              </w:rPr>
            </w:pPr>
            <w:r w:rsidRPr="00DE47A6">
              <w:rPr>
                <w:sz w:val="18"/>
                <w:szCs w:val="18"/>
              </w:rPr>
              <w:t>$3.</w:t>
            </w:r>
            <w:r w:rsidR="00F1086A" w:rsidRPr="00DE47A6">
              <w:rPr>
                <w:sz w:val="18"/>
                <w:szCs w:val="18"/>
              </w:rPr>
              <w:t>16</w:t>
            </w:r>
            <w:r w:rsidRPr="00DE47A6">
              <w:rPr>
                <w:sz w:val="18"/>
                <w:szCs w:val="18"/>
              </w:rPr>
              <w:t>/MHz/pop</w:t>
            </w:r>
          </w:p>
        </w:tc>
      </w:tr>
      <w:tr w:rsidR="00F028DA" w:rsidRPr="00DE47A6" w:rsidTr="00DE47A6">
        <w:trPr>
          <w:cantSplit/>
        </w:trPr>
        <w:tc>
          <w:tcPr>
            <w:tcW w:w="1667" w:type="pct"/>
            <w:shd w:val="clear" w:color="auto" w:fill="DCDDDE"/>
          </w:tcPr>
          <w:p w:rsidR="00F028DA" w:rsidRPr="00DE47A6" w:rsidRDefault="00354DC5" w:rsidP="00354DC5">
            <w:pPr>
              <w:rPr>
                <w:sz w:val="18"/>
                <w:szCs w:val="18"/>
              </w:rPr>
            </w:pPr>
            <w:r w:rsidRPr="00DE47A6">
              <w:rPr>
                <w:sz w:val="18"/>
                <w:szCs w:val="18"/>
              </w:rPr>
              <w:t xml:space="preserve">High </w:t>
            </w:r>
            <w:r w:rsidR="00F028DA" w:rsidRPr="00DE47A6">
              <w:rPr>
                <w:sz w:val="18"/>
                <w:szCs w:val="18"/>
              </w:rPr>
              <w:t>scenario</w:t>
            </w:r>
          </w:p>
        </w:tc>
        <w:tc>
          <w:tcPr>
            <w:tcW w:w="1667" w:type="pct"/>
            <w:shd w:val="clear" w:color="auto" w:fill="DCDDDE"/>
          </w:tcPr>
          <w:p w:rsidR="00F028DA" w:rsidRPr="00DE47A6" w:rsidRDefault="00F028DA" w:rsidP="007766B4">
            <w:pPr>
              <w:rPr>
                <w:sz w:val="18"/>
                <w:szCs w:val="18"/>
              </w:rPr>
            </w:pPr>
            <w:r w:rsidRPr="00DE47A6">
              <w:rPr>
                <w:sz w:val="18"/>
                <w:szCs w:val="18"/>
              </w:rPr>
              <w:t>$</w:t>
            </w:r>
            <w:r w:rsidR="007766B4" w:rsidRPr="00DE47A6">
              <w:rPr>
                <w:sz w:val="18"/>
                <w:szCs w:val="18"/>
              </w:rPr>
              <w:t>0</w:t>
            </w:r>
            <w:r w:rsidRPr="00DE47A6">
              <w:rPr>
                <w:sz w:val="18"/>
                <w:szCs w:val="18"/>
              </w:rPr>
              <w:t>.</w:t>
            </w:r>
            <w:r w:rsidR="007766B4" w:rsidRPr="00DE47A6">
              <w:rPr>
                <w:sz w:val="18"/>
                <w:szCs w:val="18"/>
              </w:rPr>
              <w:t>87</w:t>
            </w:r>
            <w:r w:rsidRPr="00DE47A6">
              <w:rPr>
                <w:sz w:val="18"/>
                <w:szCs w:val="18"/>
              </w:rPr>
              <w:t>/MHz/pop</w:t>
            </w:r>
          </w:p>
        </w:tc>
        <w:tc>
          <w:tcPr>
            <w:tcW w:w="1666" w:type="pct"/>
            <w:shd w:val="clear" w:color="auto" w:fill="DCDDDE"/>
          </w:tcPr>
          <w:p w:rsidR="00F028DA" w:rsidRPr="00DE47A6" w:rsidRDefault="00F028DA" w:rsidP="00F1086A">
            <w:pPr>
              <w:rPr>
                <w:sz w:val="18"/>
                <w:szCs w:val="18"/>
              </w:rPr>
            </w:pPr>
            <w:r w:rsidRPr="00DE47A6">
              <w:rPr>
                <w:sz w:val="18"/>
                <w:szCs w:val="18"/>
              </w:rPr>
              <w:t>$3.</w:t>
            </w:r>
            <w:r w:rsidR="00F1086A" w:rsidRPr="00DE47A6">
              <w:rPr>
                <w:sz w:val="18"/>
                <w:szCs w:val="18"/>
              </w:rPr>
              <w:t>38</w:t>
            </w:r>
            <w:r w:rsidRPr="00DE47A6">
              <w:rPr>
                <w:sz w:val="18"/>
                <w:szCs w:val="18"/>
              </w:rPr>
              <w:t>/MHz/pop</w:t>
            </w:r>
          </w:p>
        </w:tc>
      </w:tr>
    </w:tbl>
    <w:p w:rsidR="00BE01D3" w:rsidRDefault="00D11EEA">
      <w:pPr>
        <w:pStyle w:val="BodyText"/>
        <w:rPr>
          <w:i/>
        </w:rPr>
      </w:pPr>
      <w:r w:rsidRPr="00D11EEA">
        <w:rPr>
          <w:i/>
        </w:rPr>
        <w:t xml:space="preserve">Source: </w:t>
      </w:r>
      <w:r w:rsidR="005264EB">
        <w:rPr>
          <w:i/>
        </w:rPr>
        <w:t>A</w:t>
      </w:r>
      <w:r w:rsidRPr="00D11EEA">
        <w:rPr>
          <w:i/>
        </w:rPr>
        <w:t>nalysis undertaken by Plum Consulting</w:t>
      </w:r>
    </w:p>
    <w:p w:rsidR="001E00E1" w:rsidRDefault="00200FE8">
      <w:pPr>
        <w:pStyle w:val="Heading3"/>
      </w:pPr>
      <w:r>
        <w:t>Coverage related values</w:t>
      </w:r>
    </w:p>
    <w:p w:rsidR="00021A4F" w:rsidRDefault="00356139" w:rsidP="00F028DA">
      <w:pPr>
        <w:pStyle w:val="AfterTable"/>
      </w:pPr>
      <w:r>
        <w:t xml:space="preserve">The results </w:t>
      </w:r>
      <w:r w:rsidR="00F028DA">
        <w:t xml:space="preserve">in </w:t>
      </w:r>
      <w:r w:rsidR="00D963FB">
        <w:fldChar w:fldCharType="begin"/>
      </w:r>
      <w:r w:rsidR="00D11EEA">
        <w:instrText xml:space="preserve"> REF _Ref295136071 </w:instrText>
      </w:r>
      <w:r w:rsidR="00D963FB">
        <w:fldChar w:fldCharType="separate"/>
      </w:r>
      <w:r w:rsidR="00D61977" w:rsidRPr="00C0159A">
        <w:t xml:space="preserve">Table </w:t>
      </w:r>
      <w:r w:rsidR="00D61977">
        <w:rPr>
          <w:noProof/>
        </w:rPr>
        <w:t>4</w:t>
      </w:r>
      <w:r w:rsidR="00D61977" w:rsidRPr="00C0159A">
        <w:noBreakHyphen/>
      </w:r>
      <w:r w:rsidR="00D61977">
        <w:rPr>
          <w:noProof/>
        </w:rPr>
        <w:t>2</w:t>
      </w:r>
      <w:r w:rsidR="00D963FB">
        <w:fldChar w:fldCharType="end"/>
      </w:r>
      <w:r w:rsidR="00F028DA">
        <w:t xml:space="preserve"> </w:t>
      </w:r>
      <w:r w:rsidR="005264EB">
        <w:t>show</w:t>
      </w:r>
      <w:r>
        <w:t xml:space="preserve"> the cost reduction value of spectrum where the value is derived from capacity enhancement alone. To understand the differences in value between the 800/900 MHz bands and </w:t>
      </w:r>
      <w:r w:rsidR="004E5B50">
        <w:t xml:space="preserve">higher frequency bands </w:t>
      </w:r>
      <w:r>
        <w:t xml:space="preserve">we </w:t>
      </w:r>
      <w:r w:rsidR="00DE53A7">
        <w:t xml:space="preserve">also </w:t>
      </w:r>
      <w:r>
        <w:t xml:space="preserve">need to consider the </w:t>
      </w:r>
      <w:r w:rsidR="00DA277F">
        <w:t xml:space="preserve">additional </w:t>
      </w:r>
      <w:r w:rsidR="00DE53A7">
        <w:t>value from the greater coverage and in building penetration characteristics of lower frequency bands.</w:t>
      </w:r>
    </w:p>
    <w:p w:rsidR="00356139" w:rsidRDefault="00356139" w:rsidP="00356139">
      <w:pPr>
        <w:pStyle w:val="BodyText"/>
      </w:pPr>
      <w:r>
        <w:t xml:space="preserve">The lower frequency spectrum could be used for more cost effective coverage in rural areas and </w:t>
      </w:r>
      <w:r w:rsidR="004E5B50">
        <w:t xml:space="preserve">the difference in propagation capability suggests that </w:t>
      </w:r>
      <w:r w:rsidR="007766B4">
        <w:t xml:space="preserve">many more </w:t>
      </w:r>
      <w:r>
        <w:t xml:space="preserve">sites </w:t>
      </w:r>
      <w:r w:rsidR="007766B4">
        <w:t xml:space="preserve">would </w:t>
      </w:r>
      <w:r w:rsidR="004E5B50">
        <w:t xml:space="preserve">be </w:t>
      </w:r>
      <w:r>
        <w:t xml:space="preserve">required to cover the rural area </w:t>
      </w:r>
      <w:r w:rsidR="007766B4">
        <w:t>if</w:t>
      </w:r>
      <w:r>
        <w:t xml:space="preserve"> an MNO </w:t>
      </w:r>
      <w:r w:rsidR="007766B4">
        <w:t>were</w:t>
      </w:r>
      <w:r>
        <w:t xml:space="preserve"> denied access to spectrum in the </w:t>
      </w:r>
      <w:r w:rsidR="007766B4">
        <w:t xml:space="preserve">700, </w:t>
      </w:r>
      <w:r>
        <w:t xml:space="preserve">800 or 900 MHz bands. However, MNOs only need a modest amount of lower frequency spectrum for this purpose since traffic demands are not high in rural areas. With </w:t>
      </w:r>
      <w:r w:rsidR="007766B4">
        <w:t xml:space="preserve">2x135 </w:t>
      </w:r>
      <w:r>
        <w:t xml:space="preserve">MHz of </w:t>
      </w:r>
      <w:r w:rsidR="007766B4">
        <w:t xml:space="preserve">harmonised </w:t>
      </w:r>
      <w:r>
        <w:t xml:space="preserve">spectrum available in the </w:t>
      </w:r>
      <w:r w:rsidR="007766B4">
        <w:t xml:space="preserve">700, </w:t>
      </w:r>
      <w:r>
        <w:t>800 MHz and 900 MHz bands and rural sites remaining range limited, MNOs would be unlikely to have to compete at the margin for this spectrum</w:t>
      </w:r>
      <w:r w:rsidR="007766B4">
        <w:t xml:space="preserve"> in rural areas</w:t>
      </w:r>
      <w:r>
        <w:t xml:space="preserve">. Therefore </w:t>
      </w:r>
      <w:r w:rsidR="00A16174">
        <w:t xml:space="preserve">we do not consider that in this case the </w:t>
      </w:r>
      <w:r>
        <w:t>marginal value of 800 MHz spectrum is likely to be affected by rural coverage benefits.</w:t>
      </w:r>
    </w:p>
    <w:p w:rsidR="002F3169" w:rsidRDefault="00356139" w:rsidP="00356139">
      <w:pPr>
        <w:pStyle w:val="BodyText"/>
      </w:pPr>
      <w:r>
        <w:t xml:space="preserve">More significant benefits are likely to arise from the ability to provide more cost effective in-building coverage in urban and suburban areas since higher capacity is demanded in these environments. The benefits arise because, without </w:t>
      </w:r>
      <w:r w:rsidR="00F028DA">
        <w:t>sub 1 GHz</w:t>
      </w:r>
      <w:r>
        <w:t xml:space="preserve"> spectrum, more sites are required to deliver</w:t>
      </w:r>
      <w:r w:rsidR="00A16174">
        <w:t xml:space="preserve"> enhanced in-building coverage. A comparison between </w:t>
      </w:r>
      <w:r w:rsidR="002F3169">
        <w:t xml:space="preserve">the propagation characteristics of </w:t>
      </w:r>
      <w:r w:rsidR="00A16174">
        <w:t xml:space="preserve">800 MHz and 2100 MHz spectrum suggests that </w:t>
      </w:r>
      <w:r w:rsidR="007766B4">
        <w:t xml:space="preserve">at least </w:t>
      </w:r>
      <w:r w:rsidR="00A16174">
        <w:t>twice as many sites may be required in a given area to achieve the same degree of in-building coverage without access to the lower bands.</w:t>
      </w:r>
      <w:r w:rsidR="002308FD">
        <w:t xml:space="preserve"> </w:t>
      </w:r>
      <w:r w:rsidR="00EA094D">
        <w:t>While t</w:t>
      </w:r>
      <w:r w:rsidR="002308FD">
        <w:t>his value is uncertain</w:t>
      </w:r>
      <w:r w:rsidR="00EA094D">
        <w:rPr>
          <w:rStyle w:val="FootnoteReference"/>
        </w:rPr>
        <w:footnoteReference w:id="19"/>
      </w:r>
      <w:r w:rsidR="00EA094D">
        <w:t xml:space="preserve"> we use it together with data on actual </w:t>
      </w:r>
      <w:r w:rsidR="000477EF">
        <w:t xml:space="preserve">operator </w:t>
      </w:r>
      <w:r w:rsidR="00EA094D">
        <w:t>site numbers</w:t>
      </w:r>
      <w:r w:rsidR="000477EF">
        <w:rPr>
          <w:rStyle w:val="FootnoteReference"/>
        </w:rPr>
        <w:footnoteReference w:id="20"/>
      </w:r>
      <w:r w:rsidR="00021A4F">
        <w:t xml:space="preserve"> </w:t>
      </w:r>
      <w:r w:rsidR="005E350B">
        <w:t xml:space="preserve">and find that </w:t>
      </w:r>
      <w:r w:rsidR="001962C1">
        <w:t xml:space="preserve">an average of </w:t>
      </w:r>
      <w:r w:rsidR="005C7EFF">
        <w:t>73</w:t>
      </w:r>
      <w:r w:rsidR="002308FD">
        <w:t xml:space="preserve">% additional sites </w:t>
      </w:r>
      <w:r w:rsidR="00757309">
        <w:t xml:space="preserve">would </w:t>
      </w:r>
      <w:r w:rsidR="002308FD">
        <w:t>required in urban and suburban areas for the typical operator</w:t>
      </w:r>
      <w:r w:rsidR="00757309">
        <w:t>, if they were to fail to gain access to sub 1 GHz spectrum</w:t>
      </w:r>
      <w:r w:rsidR="002308FD">
        <w:t>.</w:t>
      </w:r>
    </w:p>
    <w:p w:rsidR="00021A4F" w:rsidRDefault="00757309" w:rsidP="002308FD">
      <w:pPr>
        <w:pStyle w:val="BodyText"/>
      </w:pPr>
      <w:r>
        <w:t xml:space="preserve">Attributing this </w:t>
      </w:r>
      <w:r w:rsidR="00887BC8">
        <w:t>additional cost</w:t>
      </w:r>
      <w:r>
        <w:t xml:space="preserve"> evenly </w:t>
      </w:r>
      <w:r w:rsidR="002308FD">
        <w:t xml:space="preserve">across </w:t>
      </w:r>
      <w:r w:rsidR="00887BC8">
        <w:t xml:space="preserve">a third of the spectrum in </w:t>
      </w:r>
      <w:r w:rsidR="002308FD">
        <w:t xml:space="preserve">sub 1 GHz </w:t>
      </w:r>
      <w:r w:rsidR="00887BC8">
        <w:t xml:space="preserve">public mobile </w:t>
      </w:r>
      <w:r w:rsidR="002308FD">
        <w:t xml:space="preserve">bands results in </w:t>
      </w:r>
      <w:r w:rsidR="0050176E">
        <w:t xml:space="preserve">an average coverage premium of </w:t>
      </w:r>
      <w:r w:rsidR="00356139">
        <w:t>$0.</w:t>
      </w:r>
      <w:r w:rsidR="002308FD">
        <w:t>5</w:t>
      </w:r>
      <w:r w:rsidR="007766B4">
        <w:t>5</w:t>
      </w:r>
      <w:r w:rsidR="00356139">
        <w:t>/MHz/pop.</w:t>
      </w:r>
    </w:p>
    <w:p w:rsidR="001E00E1" w:rsidRDefault="004600DD">
      <w:pPr>
        <w:pStyle w:val="Heading3"/>
      </w:pPr>
      <w:r>
        <w:t>Total value</w:t>
      </w:r>
    </w:p>
    <w:p w:rsidR="006D7442" w:rsidRDefault="00D963FB">
      <w:pPr>
        <w:pStyle w:val="BodyText"/>
      </w:pPr>
      <w:r>
        <w:fldChar w:fldCharType="begin"/>
      </w:r>
      <w:r w:rsidR="004600DD">
        <w:instrText xml:space="preserve"> REF _Ref302648815 </w:instrText>
      </w:r>
      <w:r>
        <w:fldChar w:fldCharType="separate"/>
      </w:r>
      <w:r w:rsidR="00D61977" w:rsidRPr="00C0159A">
        <w:t xml:space="preserve">Table </w:t>
      </w:r>
      <w:r w:rsidR="00D61977">
        <w:rPr>
          <w:noProof/>
        </w:rPr>
        <w:t>4</w:t>
      </w:r>
      <w:r w:rsidR="00D61977" w:rsidRPr="00C0159A">
        <w:noBreakHyphen/>
      </w:r>
      <w:r w:rsidR="00D61977">
        <w:rPr>
          <w:noProof/>
        </w:rPr>
        <w:t>3</w:t>
      </w:r>
      <w:r>
        <w:fldChar w:fldCharType="end"/>
      </w:r>
      <w:r w:rsidR="004600DD">
        <w:t xml:space="preserve"> summaries the modelling results for the cost reduction and full enterprise values.</w:t>
      </w:r>
    </w:p>
    <w:p w:rsidR="00757309" w:rsidRDefault="00757309" w:rsidP="00757309">
      <w:pPr>
        <w:pStyle w:val="TableCaption"/>
      </w:pPr>
      <w:bookmarkStart w:id="36" w:name="_Ref302648815"/>
      <w:r w:rsidRPr="00C0159A">
        <w:t xml:space="preserve">Table </w:t>
      </w:r>
      <w:r w:rsidR="00D963FB">
        <w:fldChar w:fldCharType="begin"/>
      </w:r>
      <w:r w:rsidR="00D11EEA">
        <w:instrText xml:space="preserve"> STYLEREF 1 \s </w:instrText>
      </w:r>
      <w:r w:rsidR="00D963FB">
        <w:fldChar w:fldCharType="separate"/>
      </w:r>
      <w:r w:rsidR="00D61977">
        <w:rPr>
          <w:noProof/>
        </w:rPr>
        <w:t>4</w:t>
      </w:r>
      <w:r w:rsidR="00D963FB">
        <w:fldChar w:fldCharType="end"/>
      </w:r>
      <w:r w:rsidRPr="00C0159A">
        <w:noBreakHyphen/>
      </w:r>
      <w:r w:rsidR="00D963FB">
        <w:fldChar w:fldCharType="begin"/>
      </w:r>
      <w:r w:rsidR="00D11EEA">
        <w:instrText xml:space="preserve"> SEQ Table \* ARABIC \s 1 </w:instrText>
      </w:r>
      <w:r w:rsidR="00D963FB">
        <w:fldChar w:fldCharType="separate"/>
      </w:r>
      <w:r w:rsidR="00D61977">
        <w:rPr>
          <w:noProof/>
        </w:rPr>
        <w:t>3</w:t>
      </w:r>
      <w:r w:rsidR="00D963FB">
        <w:fldChar w:fldCharType="end"/>
      </w:r>
      <w:bookmarkEnd w:id="36"/>
      <w:r w:rsidRPr="00C0159A">
        <w:t xml:space="preserve">: </w:t>
      </w:r>
      <w:r>
        <w:t xml:space="preserve">Estimates of </w:t>
      </w:r>
      <w:r w:rsidR="00332521">
        <w:t xml:space="preserve">coverage and capacity </w:t>
      </w:r>
      <w:r>
        <w:t>values for the 800 MHz band</w:t>
      </w:r>
    </w:p>
    <w:tbl>
      <w:tblPr>
        <w:tblW w:w="924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1848"/>
        <w:gridCol w:w="1848"/>
        <w:gridCol w:w="1848"/>
        <w:gridCol w:w="1848"/>
        <w:gridCol w:w="1848"/>
      </w:tblGrid>
      <w:tr w:rsidR="00757309" w:rsidRPr="00DE47A6" w:rsidTr="00DE47A6">
        <w:trPr>
          <w:tblHeader/>
        </w:trPr>
        <w:tc>
          <w:tcPr>
            <w:tcW w:w="100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757309" w:rsidRPr="00DE47A6" w:rsidRDefault="00757309" w:rsidP="00803411">
            <w:pPr>
              <w:rPr>
                <w:color w:val="FFFFFF"/>
                <w:sz w:val="18"/>
                <w:szCs w:val="18"/>
              </w:rPr>
            </w:pPr>
            <w:r w:rsidRPr="00DE47A6">
              <w:rPr>
                <w:color w:val="FFFFFF"/>
                <w:sz w:val="18"/>
                <w:szCs w:val="18"/>
              </w:rPr>
              <w:t>Market scenario</w:t>
            </w:r>
          </w:p>
        </w:tc>
        <w:tc>
          <w:tcPr>
            <w:tcW w:w="100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757309" w:rsidRPr="00DE47A6" w:rsidRDefault="00757309" w:rsidP="00803411">
            <w:pPr>
              <w:rPr>
                <w:color w:val="FFFFFF"/>
                <w:sz w:val="18"/>
                <w:szCs w:val="18"/>
              </w:rPr>
            </w:pPr>
            <w:r w:rsidRPr="00DE47A6">
              <w:rPr>
                <w:color w:val="FFFFFF"/>
                <w:sz w:val="18"/>
                <w:szCs w:val="18"/>
              </w:rPr>
              <w:t>Cost reduction value due to capacity provision</w:t>
            </w:r>
          </w:p>
        </w:tc>
        <w:tc>
          <w:tcPr>
            <w:tcW w:w="100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757309" w:rsidRPr="00DE47A6" w:rsidRDefault="00757309" w:rsidP="00757309">
            <w:pPr>
              <w:rPr>
                <w:color w:val="FFFFFF"/>
                <w:sz w:val="18"/>
                <w:szCs w:val="18"/>
              </w:rPr>
            </w:pPr>
            <w:r w:rsidRPr="00DE47A6">
              <w:rPr>
                <w:color w:val="FFFFFF"/>
                <w:sz w:val="18"/>
                <w:szCs w:val="18"/>
              </w:rPr>
              <w:t>Cost reduction value due to coverage enhancement</w:t>
            </w:r>
          </w:p>
        </w:tc>
        <w:tc>
          <w:tcPr>
            <w:tcW w:w="100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757309" w:rsidRPr="00DE47A6" w:rsidRDefault="00332521" w:rsidP="00332521">
            <w:pPr>
              <w:rPr>
                <w:color w:val="FFFFFF"/>
                <w:sz w:val="18"/>
                <w:szCs w:val="18"/>
              </w:rPr>
            </w:pPr>
            <w:r w:rsidRPr="00DE47A6">
              <w:rPr>
                <w:color w:val="FFFFFF"/>
                <w:sz w:val="18"/>
                <w:szCs w:val="18"/>
              </w:rPr>
              <w:t>Total c</w:t>
            </w:r>
            <w:r w:rsidR="00757309" w:rsidRPr="00DE47A6">
              <w:rPr>
                <w:color w:val="FFFFFF"/>
                <w:sz w:val="18"/>
                <w:szCs w:val="18"/>
              </w:rPr>
              <w:t>ost reduction valuation</w:t>
            </w:r>
          </w:p>
        </w:tc>
        <w:tc>
          <w:tcPr>
            <w:tcW w:w="100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757309" w:rsidRPr="00DE47A6" w:rsidRDefault="00757309" w:rsidP="00803411">
            <w:pPr>
              <w:rPr>
                <w:color w:val="FFFFFF"/>
                <w:sz w:val="18"/>
                <w:szCs w:val="18"/>
              </w:rPr>
            </w:pPr>
            <w:r w:rsidRPr="00DE47A6">
              <w:rPr>
                <w:color w:val="FFFFFF"/>
                <w:sz w:val="18"/>
                <w:szCs w:val="18"/>
              </w:rPr>
              <w:t>Full enterprise valuation</w:t>
            </w:r>
          </w:p>
        </w:tc>
      </w:tr>
      <w:tr w:rsidR="00757309" w:rsidRPr="00DE47A6" w:rsidTr="00DE47A6">
        <w:trPr>
          <w:cantSplit/>
        </w:trPr>
        <w:tc>
          <w:tcPr>
            <w:tcW w:w="1000" w:type="pct"/>
            <w:shd w:val="clear" w:color="auto" w:fill="DCDDDE"/>
          </w:tcPr>
          <w:p w:rsidR="00757309" w:rsidRPr="00DE47A6" w:rsidRDefault="00F521ED" w:rsidP="00F856A2">
            <w:pPr>
              <w:rPr>
                <w:sz w:val="18"/>
                <w:szCs w:val="18"/>
              </w:rPr>
            </w:pPr>
            <w:r w:rsidRPr="00DE47A6">
              <w:rPr>
                <w:sz w:val="18"/>
                <w:szCs w:val="18"/>
              </w:rPr>
              <w:t xml:space="preserve">Low </w:t>
            </w:r>
            <w:r w:rsidR="00757309" w:rsidRPr="00DE47A6">
              <w:rPr>
                <w:sz w:val="18"/>
                <w:szCs w:val="18"/>
              </w:rPr>
              <w:t>scenario</w:t>
            </w:r>
          </w:p>
        </w:tc>
        <w:tc>
          <w:tcPr>
            <w:tcW w:w="1000" w:type="pct"/>
            <w:shd w:val="clear" w:color="auto" w:fill="DCDDDE"/>
          </w:tcPr>
          <w:p w:rsidR="00757309" w:rsidRPr="00DE47A6" w:rsidRDefault="00757309" w:rsidP="00803411">
            <w:pPr>
              <w:rPr>
                <w:sz w:val="18"/>
                <w:szCs w:val="18"/>
              </w:rPr>
            </w:pPr>
            <w:r w:rsidRPr="00DE47A6">
              <w:rPr>
                <w:sz w:val="18"/>
                <w:szCs w:val="18"/>
              </w:rPr>
              <w:t>$0.0/MHz/pop</w:t>
            </w:r>
          </w:p>
        </w:tc>
        <w:tc>
          <w:tcPr>
            <w:tcW w:w="1000" w:type="pct"/>
            <w:shd w:val="clear" w:color="auto" w:fill="DCDDDE"/>
          </w:tcPr>
          <w:p w:rsidR="00757309" w:rsidRPr="00DE47A6" w:rsidRDefault="00757309" w:rsidP="007766B4">
            <w:pPr>
              <w:rPr>
                <w:sz w:val="18"/>
                <w:szCs w:val="18"/>
              </w:rPr>
            </w:pPr>
            <w:r w:rsidRPr="00DE47A6">
              <w:rPr>
                <w:sz w:val="18"/>
                <w:szCs w:val="18"/>
              </w:rPr>
              <w:t>$0.5</w:t>
            </w:r>
            <w:r w:rsidR="007766B4" w:rsidRPr="00DE47A6">
              <w:rPr>
                <w:sz w:val="18"/>
                <w:szCs w:val="18"/>
              </w:rPr>
              <w:t>5</w:t>
            </w:r>
            <w:r w:rsidRPr="00DE47A6">
              <w:rPr>
                <w:sz w:val="18"/>
                <w:szCs w:val="18"/>
              </w:rPr>
              <w:t>/MHz/pop</w:t>
            </w:r>
          </w:p>
        </w:tc>
        <w:tc>
          <w:tcPr>
            <w:tcW w:w="1000" w:type="pct"/>
            <w:shd w:val="clear" w:color="auto" w:fill="DCDDDE"/>
          </w:tcPr>
          <w:p w:rsidR="00757309" w:rsidRPr="00DE47A6" w:rsidRDefault="00757309" w:rsidP="007766B4">
            <w:pPr>
              <w:rPr>
                <w:sz w:val="18"/>
                <w:szCs w:val="18"/>
              </w:rPr>
            </w:pPr>
            <w:r w:rsidRPr="00DE47A6">
              <w:rPr>
                <w:sz w:val="18"/>
                <w:szCs w:val="18"/>
              </w:rPr>
              <w:t>$0.5</w:t>
            </w:r>
            <w:r w:rsidR="007766B4" w:rsidRPr="00DE47A6">
              <w:rPr>
                <w:sz w:val="18"/>
                <w:szCs w:val="18"/>
              </w:rPr>
              <w:t>5</w:t>
            </w:r>
            <w:r w:rsidRPr="00DE47A6">
              <w:rPr>
                <w:sz w:val="18"/>
                <w:szCs w:val="18"/>
              </w:rPr>
              <w:t>/MHz/pop</w:t>
            </w:r>
          </w:p>
        </w:tc>
        <w:tc>
          <w:tcPr>
            <w:tcW w:w="1000" w:type="pct"/>
            <w:shd w:val="clear" w:color="auto" w:fill="DCDDDE"/>
          </w:tcPr>
          <w:p w:rsidR="00757309" w:rsidRPr="00DE47A6" w:rsidRDefault="00757309" w:rsidP="00F1086A">
            <w:pPr>
              <w:rPr>
                <w:sz w:val="18"/>
                <w:szCs w:val="18"/>
              </w:rPr>
            </w:pPr>
            <w:r w:rsidRPr="00DE47A6">
              <w:rPr>
                <w:sz w:val="18"/>
                <w:szCs w:val="18"/>
              </w:rPr>
              <w:t>$2.</w:t>
            </w:r>
            <w:r w:rsidR="00F1086A" w:rsidRPr="00DE47A6">
              <w:rPr>
                <w:sz w:val="18"/>
                <w:szCs w:val="18"/>
              </w:rPr>
              <w:t>58</w:t>
            </w:r>
            <w:r w:rsidRPr="00DE47A6">
              <w:rPr>
                <w:sz w:val="18"/>
                <w:szCs w:val="18"/>
              </w:rPr>
              <w:t>/MHz/pop</w:t>
            </w:r>
          </w:p>
        </w:tc>
      </w:tr>
      <w:tr w:rsidR="00757309" w:rsidRPr="00DE47A6" w:rsidTr="00DE47A6">
        <w:trPr>
          <w:cantSplit/>
        </w:trPr>
        <w:tc>
          <w:tcPr>
            <w:tcW w:w="1000" w:type="pct"/>
            <w:shd w:val="clear" w:color="auto" w:fill="DCDDDE"/>
          </w:tcPr>
          <w:p w:rsidR="00757309" w:rsidRPr="00DE47A6" w:rsidRDefault="00757309" w:rsidP="00F856A2">
            <w:pPr>
              <w:rPr>
                <w:sz w:val="18"/>
                <w:szCs w:val="18"/>
              </w:rPr>
            </w:pPr>
            <w:r w:rsidRPr="00DE47A6">
              <w:rPr>
                <w:sz w:val="18"/>
                <w:szCs w:val="18"/>
              </w:rPr>
              <w:t>Medium scenario</w:t>
            </w:r>
          </w:p>
        </w:tc>
        <w:tc>
          <w:tcPr>
            <w:tcW w:w="1000" w:type="pct"/>
            <w:shd w:val="clear" w:color="auto" w:fill="DCDDDE"/>
          </w:tcPr>
          <w:p w:rsidR="00757309" w:rsidRPr="00DE47A6" w:rsidRDefault="00757309" w:rsidP="007766B4">
            <w:pPr>
              <w:rPr>
                <w:sz w:val="18"/>
                <w:szCs w:val="18"/>
              </w:rPr>
            </w:pPr>
            <w:r w:rsidRPr="00DE47A6">
              <w:rPr>
                <w:sz w:val="18"/>
                <w:szCs w:val="18"/>
              </w:rPr>
              <w:t>$0.4</w:t>
            </w:r>
            <w:r w:rsidR="007766B4" w:rsidRPr="00DE47A6">
              <w:rPr>
                <w:sz w:val="18"/>
                <w:szCs w:val="18"/>
              </w:rPr>
              <w:t>2</w:t>
            </w:r>
            <w:r w:rsidRPr="00DE47A6">
              <w:rPr>
                <w:sz w:val="18"/>
                <w:szCs w:val="18"/>
              </w:rPr>
              <w:t>/MHz/pop</w:t>
            </w:r>
          </w:p>
        </w:tc>
        <w:tc>
          <w:tcPr>
            <w:tcW w:w="1000" w:type="pct"/>
            <w:shd w:val="clear" w:color="auto" w:fill="DCDDDE"/>
          </w:tcPr>
          <w:p w:rsidR="00757309" w:rsidRPr="00DE47A6" w:rsidRDefault="00757309" w:rsidP="007766B4">
            <w:pPr>
              <w:rPr>
                <w:sz w:val="18"/>
                <w:szCs w:val="18"/>
              </w:rPr>
            </w:pPr>
            <w:r w:rsidRPr="00DE47A6">
              <w:rPr>
                <w:sz w:val="18"/>
                <w:szCs w:val="18"/>
              </w:rPr>
              <w:t>$0.5</w:t>
            </w:r>
            <w:r w:rsidR="007766B4" w:rsidRPr="00DE47A6">
              <w:rPr>
                <w:sz w:val="18"/>
                <w:szCs w:val="18"/>
              </w:rPr>
              <w:t>5</w:t>
            </w:r>
            <w:r w:rsidRPr="00DE47A6">
              <w:rPr>
                <w:sz w:val="18"/>
                <w:szCs w:val="18"/>
              </w:rPr>
              <w:t>/MHz/pop</w:t>
            </w:r>
          </w:p>
        </w:tc>
        <w:tc>
          <w:tcPr>
            <w:tcW w:w="1000" w:type="pct"/>
            <w:shd w:val="clear" w:color="auto" w:fill="DCDDDE"/>
          </w:tcPr>
          <w:p w:rsidR="00757309" w:rsidRPr="00DE47A6" w:rsidRDefault="00757309" w:rsidP="00757309">
            <w:pPr>
              <w:rPr>
                <w:sz w:val="18"/>
                <w:szCs w:val="18"/>
              </w:rPr>
            </w:pPr>
            <w:r w:rsidRPr="00DE47A6">
              <w:rPr>
                <w:sz w:val="18"/>
                <w:szCs w:val="18"/>
              </w:rPr>
              <w:t>$0.97/MHz/pop</w:t>
            </w:r>
          </w:p>
        </w:tc>
        <w:tc>
          <w:tcPr>
            <w:tcW w:w="1000" w:type="pct"/>
            <w:shd w:val="clear" w:color="auto" w:fill="DCDDDE"/>
          </w:tcPr>
          <w:p w:rsidR="00757309" w:rsidRPr="00DE47A6" w:rsidRDefault="00757309" w:rsidP="00F1086A">
            <w:pPr>
              <w:rPr>
                <w:sz w:val="18"/>
                <w:szCs w:val="18"/>
              </w:rPr>
            </w:pPr>
            <w:r w:rsidRPr="00DE47A6">
              <w:rPr>
                <w:sz w:val="18"/>
                <w:szCs w:val="18"/>
              </w:rPr>
              <w:t>$3.</w:t>
            </w:r>
            <w:r w:rsidR="00F1086A" w:rsidRPr="00DE47A6">
              <w:rPr>
                <w:sz w:val="18"/>
                <w:szCs w:val="18"/>
              </w:rPr>
              <w:t>16</w:t>
            </w:r>
            <w:r w:rsidRPr="00DE47A6">
              <w:rPr>
                <w:sz w:val="18"/>
                <w:szCs w:val="18"/>
              </w:rPr>
              <w:t>/MHz/pop</w:t>
            </w:r>
          </w:p>
        </w:tc>
      </w:tr>
      <w:tr w:rsidR="00757309" w:rsidRPr="00DE47A6" w:rsidTr="00DE47A6">
        <w:trPr>
          <w:cantSplit/>
        </w:trPr>
        <w:tc>
          <w:tcPr>
            <w:tcW w:w="1000" w:type="pct"/>
            <w:shd w:val="clear" w:color="auto" w:fill="DCDDDE"/>
          </w:tcPr>
          <w:p w:rsidR="00757309" w:rsidRPr="00DE47A6" w:rsidRDefault="00F521ED" w:rsidP="00F856A2">
            <w:pPr>
              <w:rPr>
                <w:sz w:val="18"/>
                <w:szCs w:val="18"/>
              </w:rPr>
            </w:pPr>
            <w:r w:rsidRPr="00DE47A6">
              <w:rPr>
                <w:sz w:val="18"/>
                <w:szCs w:val="18"/>
              </w:rPr>
              <w:t xml:space="preserve">High </w:t>
            </w:r>
            <w:r w:rsidR="00757309" w:rsidRPr="00DE47A6">
              <w:rPr>
                <w:sz w:val="18"/>
                <w:szCs w:val="18"/>
              </w:rPr>
              <w:t>scenario</w:t>
            </w:r>
          </w:p>
        </w:tc>
        <w:tc>
          <w:tcPr>
            <w:tcW w:w="1000" w:type="pct"/>
            <w:shd w:val="clear" w:color="auto" w:fill="DCDDDE"/>
          </w:tcPr>
          <w:p w:rsidR="00757309" w:rsidRPr="00DE47A6" w:rsidRDefault="00757309" w:rsidP="007766B4">
            <w:pPr>
              <w:rPr>
                <w:sz w:val="18"/>
                <w:szCs w:val="18"/>
              </w:rPr>
            </w:pPr>
            <w:r w:rsidRPr="00DE47A6">
              <w:rPr>
                <w:sz w:val="18"/>
                <w:szCs w:val="18"/>
              </w:rPr>
              <w:t>$</w:t>
            </w:r>
            <w:r w:rsidR="007766B4" w:rsidRPr="00DE47A6">
              <w:rPr>
                <w:sz w:val="18"/>
                <w:szCs w:val="18"/>
              </w:rPr>
              <w:t>0</w:t>
            </w:r>
            <w:r w:rsidRPr="00DE47A6">
              <w:rPr>
                <w:sz w:val="18"/>
                <w:szCs w:val="18"/>
              </w:rPr>
              <w:t>.</w:t>
            </w:r>
            <w:r w:rsidR="007766B4" w:rsidRPr="00DE47A6">
              <w:rPr>
                <w:sz w:val="18"/>
                <w:szCs w:val="18"/>
              </w:rPr>
              <w:t>87</w:t>
            </w:r>
            <w:r w:rsidRPr="00DE47A6">
              <w:rPr>
                <w:sz w:val="18"/>
                <w:szCs w:val="18"/>
              </w:rPr>
              <w:t>/MHz/pop</w:t>
            </w:r>
          </w:p>
        </w:tc>
        <w:tc>
          <w:tcPr>
            <w:tcW w:w="1000" w:type="pct"/>
            <w:shd w:val="clear" w:color="auto" w:fill="DCDDDE"/>
          </w:tcPr>
          <w:p w:rsidR="00757309" w:rsidRPr="00DE47A6" w:rsidRDefault="00757309" w:rsidP="007766B4">
            <w:pPr>
              <w:rPr>
                <w:sz w:val="18"/>
                <w:szCs w:val="18"/>
              </w:rPr>
            </w:pPr>
            <w:r w:rsidRPr="00DE47A6">
              <w:rPr>
                <w:sz w:val="18"/>
                <w:szCs w:val="18"/>
              </w:rPr>
              <w:t>$0.5</w:t>
            </w:r>
            <w:r w:rsidR="007766B4" w:rsidRPr="00DE47A6">
              <w:rPr>
                <w:sz w:val="18"/>
                <w:szCs w:val="18"/>
              </w:rPr>
              <w:t>5</w:t>
            </w:r>
            <w:r w:rsidRPr="00DE47A6">
              <w:rPr>
                <w:sz w:val="18"/>
                <w:szCs w:val="18"/>
              </w:rPr>
              <w:t>/MHz/pop</w:t>
            </w:r>
          </w:p>
        </w:tc>
        <w:tc>
          <w:tcPr>
            <w:tcW w:w="1000" w:type="pct"/>
            <w:shd w:val="clear" w:color="auto" w:fill="DCDDDE"/>
          </w:tcPr>
          <w:p w:rsidR="00757309" w:rsidRPr="00DE47A6" w:rsidRDefault="00757309" w:rsidP="007766B4">
            <w:pPr>
              <w:rPr>
                <w:sz w:val="18"/>
                <w:szCs w:val="18"/>
              </w:rPr>
            </w:pPr>
            <w:r w:rsidRPr="00DE47A6">
              <w:rPr>
                <w:sz w:val="18"/>
                <w:szCs w:val="18"/>
              </w:rPr>
              <w:t>$1.</w:t>
            </w:r>
            <w:r w:rsidR="007766B4" w:rsidRPr="00DE47A6">
              <w:rPr>
                <w:sz w:val="18"/>
                <w:szCs w:val="18"/>
              </w:rPr>
              <w:t>42</w:t>
            </w:r>
            <w:r w:rsidRPr="00DE47A6">
              <w:rPr>
                <w:sz w:val="18"/>
                <w:szCs w:val="18"/>
              </w:rPr>
              <w:t>/MHz/pop</w:t>
            </w:r>
          </w:p>
        </w:tc>
        <w:tc>
          <w:tcPr>
            <w:tcW w:w="1000" w:type="pct"/>
            <w:shd w:val="clear" w:color="auto" w:fill="DCDDDE"/>
          </w:tcPr>
          <w:p w:rsidR="00757309" w:rsidRPr="00DE47A6" w:rsidRDefault="00757309" w:rsidP="00F1086A">
            <w:pPr>
              <w:rPr>
                <w:sz w:val="18"/>
                <w:szCs w:val="18"/>
              </w:rPr>
            </w:pPr>
            <w:r w:rsidRPr="00DE47A6">
              <w:rPr>
                <w:sz w:val="18"/>
                <w:szCs w:val="18"/>
              </w:rPr>
              <w:t>$3.</w:t>
            </w:r>
            <w:r w:rsidR="00F1086A" w:rsidRPr="00DE47A6">
              <w:rPr>
                <w:sz w:val="18"/>
                <w:szCs w:val="18"/>
              </w:rPr>
              <w:t>38</w:t>
            </w:r>
            <w:r w:rsidRPr="00DE47A6">
              <w:rPr>
                <w:sz w:val="18"/>
                <w:szCs w:val="18"/>
              </w:rPr>
              <w:t>/MHz/pop</w:t>
            </w:r>
          </w:p>
        </w:tc>
      </w:tr>
    </w:tbl>
    <w:p w:rsidR="00BE01D3" w:rsidRDefault="00D11EEA">
      <w:pPr>
        <w:pStyle w:val="BodyText"/>
        <w:rPr>
          <w:i/>
        </w:rPr>
      </w:pPr>
      <w:r w:rsidRPr="00D11EEA">
        <w:rPr>
          <w:i/>
        </w:rPr>
        <w:t xml:space="preserve">Source: </w:t>
      </w:r>
      <w:r w:rsidR="00CD4C72">
        <w:rPr>
          <w:i/>
        </w:rPr>
        <w:t>A</w:t>
      </w:r>
      <w:r w:rsidRPr="00D11EEA">
        <w:rPr>
          <w:i/>
        </w:rPr>
        <w:t>nalysis undertaken by Plum Consulting</w:t>
      </w:r>
    </w:p>
    <w:p w:rsidR="00757309" w:rsidRPr="001E00E1" w:rsidRDefault="004600DD" w:rsidP="001E00E1">
      <w:pPr>
        <w:pStyle w:val="AfterTable"/>
      </w:pPr>
      <w:r>
        <w:t>T</w:t>
      </w:r>
      <w:r w:rsidR="00757309">
        <w:t xml:space="preserve">he medium scenario </w:t>
      </w:r>
      <w:r>
        <w:t xml:space="preserve">provides </w:t>
      </w:r>
      <w:r w:rsidR="00757309">
        <w:t xml:space="preserve">our best estimate of the cost reduction valuation and </w:t>
      </w:r>
      <w:r>
        <w:t xml:space="preserve">is </w:t>
      </w:r>
      <w:r w:rsidR="00757309">
        <w:t xml:space="preserve">a </w:t>
      </w:r>
      <w:r>
        <w:t xml:space="preserve">likely </w:t>
      </w:r>
      <w:r w:rsidR="00757309">
        <w:t>lower bound on values that would emerge in an auction. I</w:t>
      </w:r>
      <w:r w:rsidR="00507859">
        <w:t>t</w:t>
      </w:r>
      <w:r w:rsidR="00757309">
        <w:t xml:space="preserve"> should be noted that although the value related to coverage enhancement </w:t>
      </w:r>
      <w:r w:rsidR="009E64BE">
        <w:t xml:space="preserve">is </w:t>
      </w:r>
      <w:r w:rsidR="00757309">
        <w:t>the same across the three market scenarios, there is considerable variation in the low and high scenarios for the capacity related component of value.</w:t>
      </w:r>
    </w:p>
    <w:p w:rsidR="001E00E1" w:rsidRDefault="00757309" w:rsidP="005A00F7">
      <w:pPr>
        <w:pStyle w:val="BodyText"/>
      </w:pPr>
      <w:r>
        <w:t>I</w:t>
      </w:r>
      <w:r w:rsidR="002308FD">
        <w:t>n summary, o</w:t>
      </w:r>
      <w:r w:rsidR="00356139">
        <w:t xml:space="preserve">ur analysis suggests that incumbent MNOs would have a </w:t>
      </w:r>
      <w:r w:rsidR="002308FD">
        <w:t>minimum</w:t>
      </w:r>
      <w:r w:rsidR="00356139">
        <w:t xml:space="preserve"> value </w:t>
      </w:r>
      <w:r w:rsidR="002308FD">
        <w:t xml:space="preserve">at auction of </w:t>
      </w:r>
      <w:r w:rsidR="00356139">
        <w:t>$</w:t>
      </w:r>
      <w:r w:rsidR="002308FD">
        <w:t>0</w:t>
      </w:r>
      <w:r w:rsidR="00356139">
        <w:t>.</w:t>
      </w:r>
      <w:r w:rsidR="002308FD">
        <w:t>97</w:t>
      </w:r>
      <w:r w:rsidR="00356139">
        <w:t xml:space="preserve">/MHz/pop for the 800 MHz band. The corresponding full enterprise valuation </w:t>
      </w:r>
      <w:r w:rsidR="00354DC5">
        <w:t>is</w:t>
      </w:r>
      <w:r w:rsidR="00356139">
        <w:t xml:space="preserve"> $3.</w:t>
      </w:r>
      <w:r w:rsidR="00F1086A">
        <w:t>16</w:t>
      </w:r>
      <w:r w:rsidR="00356139">
        <w:t>/MHz/pop. The value of the 800 MHz band is driven by the ability of this low frequency spectrum to deliver deep in-building coverage at comparatively lower cost</w:t>
      </w:r>
      <w:r w:rsidR="00354DC5">
        <w:t xml:space="preserve"> as well as the capacity provided</w:t>
      </w:r>
      <w:r w:rsidR="00356139">
        <w:t>.</w:t>
      </w:r>
    </w:p>
    <w:p w:rsidR="00356139" w:rsidRDefault="001E00E1" w:rsidP="005A00F7">
      <w:pPr>
        <w:pStyle w:val="BodyText"/>
      </w:pPr>
      <w:r>
        <w:t>The number of MHz x population (MHz.pop) inherent within the licences currently held in the 800 MHz total</w:t>
      </w:r>
      <w:r w:rsidR="008E1EEB">
        <w:t>s</w:t>
      </w:r>
      <w:r>
        <w:t xml:space="preserve"> 904,100,000 MHz.pop</w:t>
      </w:r>
      <w:r w:rsidR="008B4AF4">
        <w:rPr>
          <w:rStyle w:val="FootnoteReference"/>
        </w:rPr>
        <w:footnoteReference w:id="21"/>
      </w:r>
      <w:r>
        <w:t xml:space="preserve">. This suggests for a typical operator having licences covering half of the </w:t>
      </w:r>
      <w:r w:rsidR="008B4AF4">
        <w:t xml:space="preserve">800 MHz </w:t>
      </w:r>
      <w:r>
        <w:t>band</w:t>
      </w:r>
      <w:r w:rsidR="008B4AF4">
        <w:t>, total spectrum prices could range from $438M</w:t>
      </w:r>
      <w:r>
        <w:t xml:space="preserve"> </w:t>
      </w:r>
      <w:r w:rsidR="008B4AF4">
        <w:t>to $1,428M.</w:t>
      </w:r>
      <w:r w:rsidR="00120E64">
        <w:t xml:space="preserve"> The precise values will depend on the actual MHz.pop inherent within the 800 MHz licences each operator holds. Full enterprise values may also be higher than the upper end of this range depending upon the actual market share of each operator.</w:t>
      </w:r>
    </w:p>
    <w:p w:rsidR="00356139" w:rsidRDefault="00356139" w:rsidP="00356139">
      <w:pPr>
        <w:pStyle w:val="Heading1"/>
      </w:pPr>
      <w:bookmarkStart w:id="37" w:name="_Toc234210780"/>
      <w:bookmarkStart w:id="38" w:name="_Toc454453625"/>
      <w:r>
        <w:t>Conclusions</w:t>
      </w:r>
      <w:bookmarkEnd w:id="37"/>
      <w:bookmarkEnd w:id="38"/>
    </w:p>
    <w:p w:rsidR="00592BCB" w:rsidRDefault="00592BCB" w:rsidP="00356139">
      <w:pPr>
        <w:pStyle w:val="BulletList1"/>
        <w:numPr>
          <w:ilvl w:val="0"/>
          <w:numId w:val="0"/>
        </w:numPr>
      </w:pPr>
      <w:r>
        <w:t>The results of our modelling suggest that operator valuations may lie within a range bounded by:</w:t>
      </w:r>
    </w:p>
    <w:p w:rsidR="00021A4F" w:rsidRDefault="00592BCB" w:rsidP="00592BCB">
      <w:pPr>
        <w:pStyle w:val="BulletList1"/>
      </w:pPr>
      <w:r>
        <w:t>A cost reduction valuation of $0.9</w:t>
      </w:r>
      <w:r w:rsidR="003F73BB">
        <w:t>7</w:t>
      </w:r>
      <w:r>
        <w:t>/MHz/pop, and</w:t>
      </w:r>
    </w:p>
    <w:p w:rsidR="00592BCB" w:rsidRDefault="00592BCB" w:rsidP="00592BCB">
      <w:pPr>
        <w:pStyle w:val="BulletList1"/>
      </w:pPr>
      <w:r>
        <w:t>A full enterprise valuation of $3.</w:t>
      </w:r>
      <w:r w:rsidR="00F1086A">
        <w:t>16</w:t>
      </w:r>
      <w:r>
        <w:t>/MHz/pop</w:t>
      </w:r>
    </w:p>
    <w:p w:rsidR="00592BCB" w:rsidRDefault="00592BCB" w:rsidP="00356139">
      <w:pPr>
        <w:pStyle w:val="BulletList1"/>
        <w:numPr>
          <w:ilvl w:val="0"/>
          <w:numId w:val="0"/>
        </w:numPr>
      </w:pPr>
      <w:r>
        <w:t xml:space="preserve">These results are our best estimate of operators valuations based on a medium scenario. </w:t>
      </w:r>
      <w:r w:rsidR="00356139">
        <w:t>The modelling results give a wide range of values, and those towards the high end are not plausible when compared with the experience in spectrum m</w:t>
      </w:r>
      <w:r>
        <w:t xml:space="preserve">arkets over the last 10 years. The cost reduction valuation lies within the range of recent </w:t>
      </w:r>
      <w:r w:rsidR="000E2333">
        <w:t xml:space="preserve">international auction </w:t>
      </w:r>
      <w:r>
        <w:t>benchmarks.</w:t>
      </w:r>
    </w:p>
    <w:p w:rsidR="00021A4F" w:rsidRDefault="00854156" w:rsidP="00854156">
      <w:pPr>
        <w:pStyle w:val="BodyText"/>
      </w:pPr>
      <w:r>
        <w:t xml:space="preserve">There are potentially substantial disruption costs to both operators and consumers if an auction is used to licence spectrum rather than renew licences. The most quantifiable consumer costs are associated with loss of coverage in remote rural areas and the potential need for an operator to migrate users from one band to another as a result of obtaining different spectrum to that currently held. While we consider the probability of such disruption is low </w:t>
      </w:r>
      <w:r w:rsidR="00E20524">
        <w:t xml:space="preserve">and </w:t>
      </w:r>
      <w:r>
        <w:t xml:space="preserve">could be mitigated in the auction design process, there is </w:t>
      </w:r>
      <w:r w:rsidR="00E20524">
        <w:t xml:space="preserve">always a </w:t>
      </w:r>
      <w:r>
        <w:t>risk of unforeseen events in an auction process.</w:t>
      </w:r>
    </w:p>
    <w:p w:rsidR="00080BAA" w:rsidRDefault="00080BAA" w:rsidP="00356139">
      <w:pPr>
        <w:pStyle w:val="BodyText"/>
      </w:pPr>
      <w:r>
        <w:t xml:space="preserve">From an operator’s perspective there are potential advantages and disadvantages from going to auction. On the positive side, an auction is an opportunity for operators to gain more spectrum and they may perceive that final prices will be lower than a reissue price. However there are </w:t>
      </w:r>
      <w:r w:rsidR="00854156">
        <w:t xml:space="preserve">also costs and risks </w:t>
      </w:r>
      <w:r>
        <w:t>associated with auctions:</w:t>
      </w:r>
    </w:p>
    <w:p w:rsidR="00080BAA" w:rsidRDefault="00080BAA" w:rsidP="00080BAA">
      <w:pPr>
        <w:pStyle w:val="BulletList1"/>
      </w:pPr>
      <w:r>
        <w:t>Operators may not be able to retain current spectrum holdings which can result in retuning and subscriber migration costs</w:t>
      </w:r>
    </w:p>
    <w:p w:rsidR="00021A4F" w:rsidRDefault="00080BAA" w:rsidP="00080BAA">
      <w:pPr>
        <w:pStyle w:val="BulletList1"/>
      </w:pPr>
      <w:r>
        <w:t>Risk of higher competitive intensity as a result of new market entry</w:t>
      </w:r>
    </w:p>
    <w:p w:rsidR="00080BAA" w:rsidRDefault="00080BAA" w:rsidP="00080BAA">
      <w:pPr>
        <w:pStyle w:val="BulletList1"/>
      </w:pPr>
      <w:r>
        <w:t>Disruption to investment financing as a result of uncertainty about future spectrum holdings, and the potential delays associated with an auction</w:t>
      </w:r>
    </w:p>
    <w:p w:rsidR="00021A4F" w:rsidRDefault="00080BAA" w:rsidP="00080BAA">
      <w:pPr>
        <w:pStyle w:val="BulletList1"/>
      </w:pPr>
      <w:r>
        <w:t>Costs of management time in preparing for and participating in the auction</w:t>
      </w:r>
      <w:r w:rsidR="00854156">
        <w:t>.</w:t>
      </w:r>
    </w:p>
    <w:p w:rsidR="00021A4F" w:rsidRDefault="00080BAA" w:rsidP="00356139">
      <w:pPr>
        <w:pStyle w:val="BodyText"/>
      </w:pPr>
      <w:r>
        <w:t>We have not attempted to quantify th</w:t>
      </w:r>
      <w:r w:rsidR="00854156">
        <w:t>ese</w:t>
      </w:r>
      <w:r>
        <w:t xml:space="preserve"> individual </w:t>
      </w:r>
      <w:r w:rsidR="00854156">
        <w:t xml:space="preserve">impacts since they are specific to the individual operator’s circumstances and aspirations. </w:t>
      </w:r>
      <w:r w:rsidR="00CD7E66">
        <w:t>However, prices should be uplifted to take account of the value to an operator in avoiding these costs and risks.</w:t>
      </w:r>
    </w:p>
    <w:p w:rsidR="00FB35D5" w:rsidRDefault="00FB35D5" w:rsidP="00FB35D5">
      <w:pPr>
        <w:pStyle w:val="BodyText"/>
      </w:pPr>
      <w:r>
        <w:t>Although international benchmarks do not incorporate the value of avoiding an auction, they provide an indication of the potential willingness to pay under an auction outcome. Therefore the value of spectrum to operators may be higher than the levels indicated by recent international benchmarks, where operators take account of the costs and risks associated auctions of existing spectrum holdings.</w:t>
      </w:r>
    </w:p>
    <w:p w:rsidR="00021A4F" w:rsidRDefault="008A5773" w:rsidP="008A5773">
      <w:pPr>
        <w:pStyle w:val="BodyText"/>
        <w:rPr>
          <w:b/>
        </w:rPr>
      </w:pPr>
      <w:r>
        <w:t>We have assumed a</w:t>
      </w:r>
      <w:r w:rsidR="00CD7E66">
        <w:t>n</w:t>
      </w:r>
      <w:r>
        <w:t xml:space="preserve"> uplift of between 25% and 50% may be applied to the cost reduction valuation to take account of these factors</w:t>
      </w:r>
      <w:r w:rsidRPr="00E74737">
        <w:t xml:space="preserve"> and the option value that might otherwise raise auction prices above the cost reduction levels</w:t>
      </w:r>
      <w:r w:rsidRPr="00C94B09">
        <w:t>.</w:t>
      </w:r>
      <w:r>
        <w:t xml:space="preserve"> </w:t>
      </w:r>
      <w:r w:rsidR="009230E8" w:rsidRPr="009230E8">
        <w:rPr>
          <w:b/>
        </w:rPr>
        <w:t>This gives a range of potential prices between $1.21/MHz/pop and $1.46/MHz/pop.</w:t>
      </w:r>
    </w:p>
    <w:p w:rsidR="00021A4F" w:rsidRDefault="00CD7E66" w:rsidP="00CD7E66">
      <w:pPr>
        <w:pStyle w:val="BodyText"/>
      </w:pPr>
      <w:r>
        <w:t>The choice of spectrum price within this range is a policy decision, and DBCDE has conveyed the outcome of discussions between DBCDE and Government finance agencies, which have tended to support the adoption of a 50% premium.</w:t>
      </w:r>
    </w:p>
    <w:p w:rsidR="00A00757" w:rsidRDefault="00A00757" w:rsidP="00A00757">
      <w:pPr>
        <w:pStyle w:val="BodyText"/>
      </w:pPr>
      <w:r>
        <w:t>In setting Government expectations with regard to licence reissue prices, the following policy objectives should be taken into account:</w:t>
      </w:r>
    </w:p>
    <w:p w:rsidR="00A00757" w:rsidRPr="0006496D" w:rsidRDefault="00A00757" w:rsidP="00A00757">
      <w:pPr>
        <w:pStyle w:val="BulletList1"/>
      </w:pPr>
      <w:r>
        <w:t>Promoting efficient spectrum use</w:t>
      </w:r>
    </w:p>
    <w:p w:rsidR="00A00757" w:rsidRPr="0006496D" w:rsidRDefault="00A00757" w:rsidP="00A00757">
      <w:pPr>
        <w:pStyle w:val="BulletList1"/>
      </w:pPr>
      <w:r>
        <w:t>Obtaining a fair value for the public purse.</w:t>
      </w:r>
    </w:p>
    <w:p w:rsidR="00CD7E66" w:rsidRDefault="00A00757" w:rsidP="00356139">
      <w:pPr>
        <w:pStyle w:val="BodyText"/>
      </w:pPr>
      <w:r>
        <w:t>Efficiency points towards setting values that mimic the results of an auction (i.e. at or somewhat above the cost reduction value).</w:t>
      </w:r>
      <w:r w:rsidR="00021A4F">
        <w:t xml:space="preserve"> </w:t>
      </w:r>
      <w:r>
        <w:t>A fair value is one that does not take all of the benefit that an operator might gain from spectrum use (i.e. is less than the full valuation), yet takes account of the value that an operator would attribute to avoiding an auction.</w:t>
      </w:r>
      <w:r w:rsidR="00021A4F">
        <w:t xml:space="preserve"> </w:t>
      </w:r>
      <w:r>
        <w:t>The choice of spectrum price within this range depends on the DBCDE’s view of the relative importance of its policy objectives.</w:t>
      </w:r>
    </w:p>
    <w:p w:rsidR="00C36F15" w:rsidRDefault="00C36F15">
      <w:pPr>
        <w:spacing w:after="0" w:line="240" w:lineRule="auto"/>
        <w:rPr>
          <w:rFonts w:eastAsia="Times New Roman"/>
          <w:sz w:val="20"/>
          <w:szCs w:val="24"/>
          <w:lang w:eastAsia="en-GB"/>
        </w:rPr>
      </w:pPr>
      <w:r>
        <w:br w:type="page"/>
      </w:r>
    </w:p>
    <w:p w:rsidR="00375BB6" w:rsidRDefault="00C36F15" w:rsidP="00021A4F">
      <w:pPr>
        <w:pStyle w:val="Heading1unnumbered"/>
      </w:pPr>
      <w:bookmarkStart w:id="39" w:name="_Toc234210781"/>
      <w:bookmarkStart w:id="40" w:name="_Toc454453626"/>
      <w:r>
        <w:t xml:space="preserve">Appendix A: </w:t>
      </w:r>
      <w:r w:rsidR="00356139">
        <w:t>Modelling assumptions</w:t>
      </w:r>
      <w:bookmarkEnd w:id="39"/>
      <w:bookmarkEnd w:id="40"/>
    </w:p>
    <w:p w:rsidR="000448A8" w:rsidRDefault="00C36F15" w:rsidP="00021A4F">
      <w:pPr>
        <w:pStyle w:val="Heading2unnumbered"/>
        <w:spacing w:before="360"/>
        <w:ind w:left="851" w:hanging="851"/>
      </w:pPr>
      <w:bookmarkStart w:id="41" w:name="_Toc234210782"/>
      <w:bookmarkStart w:id="42" w:name="_Toc295085669"/>
      <w:bookmarkStart w:id="43" w:name="_Toc454453627"/>
      <w:r>
        <w:t>A.1</w:t>
      </w:r>
      <w:r>
        <w:tab/>
      </w:r>
      <w:r w:rsidR="000448A8">
        <w:t>Revenue forecasts</w:t>
      </w:r>
      <w:bookmarkEnd w:id="41"/>
      <w:bookmarkEnd w:id="42"/>
      <w:bookmarkEnd w:id="43"/>
    </w:p>
    <w:p w:rsidR="000448A8" w:rsidRPr="00021A4F" w:rsidRDefault="00C36F15" w:rsidP="00021A4F">
      <w:pPr>
        <w:pStyle w:val="Heading3unnumbered"/>
        <w:ind w:left="851" w:hanging="851"/>
      </w:pPr>
      <w:r w:rsidRPr="00021A4F">
        <w:t>A.1.1</w:t>
      </w:r>
      <w:r w:rsidRPr="00021A4F">
        <w:tab/>
      </w:r>
      <w:r w:rsidR="000448A8" w:rsidRPr="00021A4F">
        <w:t>Population</w:t>
      </w:r>
    </w:p>
    <w:p w:rsidR="00095613" w:rsidRDefault="00737BC3" w:rsidP="00737BC3">
      <w:pPr>
        <w:pStyle w:val="BodyText"/>
      </w:pPr>
      <w:r>
        <w:t xml:space="preserve">Population forecasts are produced by the Australian Bureau of Statistics </w:t>
      </w:r>
      <w:r w:rsidR="00342992">
        <w:t xml:space="preserve">(ABS) </w:t>
      </w:r>
      <w:r>
        <w:t>and these are presented in the Intergenerational report 2010.</w:t>
      </w:r>
      <w:r>
        <w:rPr>
          <w:rStyle w:val="FootnoteReference"/>
        </w:rPr>
        <w:footnoteReference w:id="22"/>
      </w:r>
      <w:r w:rsidRPr="00737BC3">
        <w:t xml:space="preserve"> </w:t>
      </w:r>
      <w:r w:rsidR="00095613">
        <w:t>This predicts a single average growth rate of 1.2% per annum for the period 2010 to 2050.</w:t>
      </w:r>
    </w:p>
    <w:p w:rsidR="00021A4F" w:rsidRDefault="00095613" w:rsidP="00737BC3">
      <w:pPr>
        <w:pStyle w:val="BodyText"/>
      </w:pPr>
      <w:r>
        <w:t>The ABS</w:t>
      </w:r>
      <w:r w:rsidR="00821A62">
        <w:t>’s</w:t>
      </w:r>
      <w:r>
        <w:t xml:space="preserve"> most recent population forecasts </w:t>
      </w:r>
      <w:r w:rsidR="00737BC3">
        <w:t>project growth rates for the period to 2030</w:t>
      </w:r>
      <w:r>
        <w:t>;</w:t>
      </w:r>
      <w:r w:rsidR="00737BC3">
        <w:t xml:space="preserve"> the growth rates range from 1% p.a. (low </w:t>
      </w:r>
      <w:r w:rsidR="00342992">
        <w:t xml:space="preserve">growth </w:t>
      </w:r>
      <w:r w:rsidR="00737BC3">
        <w:t xml:space="preserve">scenario), 1.2% p.a. (mid </w:t>
      </w:r>
      <w:r w:rsidR="00342992">
        <w:t xml:space="preserve">growth </w:t>
      </w:r>
      <w:r w:rsidR="00737BC3">
        <w:t>scenario) and 1.6% p.a. (high growth scenario).</w:t>
      </w:r>
      <w:r w:rsidR="00021A4F">
        <w:t xml:space="preserve"> </w:t>
      </w:r>
      <w:r w:rsidR="00737BC3">
        <w:t>The higher population growth scenario has a younger population and hence a higher share of the population of working age.</w:t>
      </w:r>
    </w:p>
    <w:p w:rsidR="00737BC3" w:rsidRDefault="00737BC3" w:rsidP="00737BC3">
      <w:pPr>
        <w:pStyle w:val="BodyText"/>
      </w:pPr>
      <w:r>
        <w:t xml:space="preserve">To span the range of population growth forecasts reported above we </w:t>
      </w:r>
      <w:r w:rsidR="00342992">
        <w:t xml:space="preserve">have used the </w:t>
      </w:r>
      <w:r>
        <w:t>following low, medium and high population growth scenarios in our work:</w:t>
      </w:r>
    </w:p>
    <w:p w:rsidR="00737BC3" w:rsidRDefault="00737BC3" w:rsidP="00737BC3">
      <w:pPr>
        <w:pStyle w:val="BulletList1"/>
      </w:pPr>
      <w:r>
        <w:t xml:space="preserve">Low scenario: Population growth </w:t>
      </w:r>
      <w:r w:rsidR="00596225">
        <w:t>1</w:t>
      </w:r>
      <w:r>
        <w:t>.</w:t>
      </w:r>
      <w:r w:rsidR="00596225">
        <w:t>0</w:t>
      </w:r>
      <w:r>
        <w:t>% p.a.</w:t>
      </w:r>
    </w:p>
    <w:p w:rsidR="00737BC3" w:rsidRDefault="00737BC3" w:rsidP="00737BC3">
      <w:pPr>
        <w:pStyle w:val="BulletList1"/>
      </w:pPr>
      <w:r>
        <w:t>Medium scenario: Population growth 1.</w:t>
      </w:r>
      <w:r w:rsidR="00596225">
        <w:t>2</w:t>
      </w:r>
      <w:r>
        <w:t>% p.a.</w:t>
      </w:r>
    </w:p>
    <w:p w:rsidR="00021A4F" w:rsidRDefault="00737BC3" w:rsidP="00737BC3">
      <w:pPr>
        <w:pStyle w:val="BulletList1"/>
      </w:pPr>
      <w:r>
        <w:t>High scenario: population growth 1.6% p.a.</w:t>
      </w:r>
    </w:p>
    <w:p w:rsidR="00737BC3" w:rsidRDefault="00737BC3" w:rsidP="00737BC3">
      <w:pPr>
        <w:pStyle w:val="BodyText"/>
      </w:pPr>
      <w:r>
        <w:t xml:space="preserve">The population growth will be applied to the current population of Australia which </w:t>
      </w:r>
      <w:r w:rsidR="00342992">
        <w:t xml:space="preserve">was estimated at </w:t>
      </w:r>
      <w:r>
        <w:t>2</w:t>
      </w:r>
      <w:r w:rsidR="00342992">
        <w:t>2.5</w:t>
      </w:r>
      <w:r>
        <w:t xml:space="preserve"> million</w:t>
      </w:r>
      <w:r w:rsidR="00342992">
        <w:t xml:space="preserve"> for year end 2010 based on ABS statistics.</w:t>
      </w:r>
    </w:p>
    <w:p w:rsidR="000448A8" w:rsidRPr="00021A4F" w:rsidRDefault="00C36F15" w:rsidP="00021A4F">
      <w:pPr>
        <w:pStyle w:val="Heading3unnumbered"/>
        <w:ind w:left="851" w:hanging="851"/>
      </w:pPr>
      <w:r w:rsidRPr="00021A4F">
        <w:t>A.1.2</w:t>
      </w:r>
      <w:r w:rsidRPr="00021A4F">
        <w:tab/>
      </w:r>
      <w:r w:rsidR="00342992" w:rsidRPr="00021A4F">
        <w:t>S</w:t>
      </w:r>
      <w:r w:rsidR="000448A8" w:rsidRPr="00021A4F">
        <w:t>ubscriber</w:t>
      </w:r>
      <w:r w:rsidR="00342992" w:rsidRPr="00021A4F">
        <w:t xml:space="preserve"> penetration rate</w:t>
      </w:r>
    </w:p>
    <w:p w:rsidR="006E0FF5" w:rsidRDefault="00342992" w:rsidP="00342992">
      <w:pPr>
        <w:pStyle w:val="BodyText"/>
      </w:pPr>
      <w:r>
        <w:t>We considered two broad groups of subscribers that make up the subscriber base: handheld subscribers that make use of mobile service over handheld, voice-enabled devices and subscribers that only use mobile broadband data through non-voice devices such as wireless modems. At the end of 2010, population penetration of handheld subscribers was 105%, and population penetration of mobile broadband subscribers was 19%.</w:t>
      </w:r>
      <w:r w:rsidR="00596225">
        <w:rPr>
          <w:rStyle w:val="FootnoteReference"/>
        </w:rPr>
        <w:footnoteReference w:id="23"/>
      </w:r>
      <w:r w:rsidR="00596225">
        <w:t xml:space="preserve"> </w:t>
      </w:r>
      <w:r w:rsidR="00CA011C">
        <w:t xml:space="preserve">We have assumed that </w:t>
      </w:r>
      <w:r>
        <w:t>by 2015, aggregate mobile penetration will reach 152%</w:t>
      </w:r>
      <w:r w:rsidR="006E0FF5">
        <w:t>.</w:t>
      </w:r>
    </w:p>
    <w:p w:rsidR="006E0FF5" w:rsidRDefault="004758BE" w:rsidP="00342992">
      <w:pPr>
        <w:pStyle w:val="BodyText"/>
      </w:pPr>
      <w:r>
        <w:t>Consistent with these forecasts w</w:t>
      </w:r>
      <w:r w:rsidR="006E0FF5">
        <w:t>e have assumed that:</w:t>
      </w:r>
    </w:p>
    <w:p w:rsidR="006E0FF5" w:rsidRDefault="006E0FF5" w:rsidP="006E0FF5">
      <w:pPr>
        <w:pStyle w:val="BulletList1"/>
      </w:pPr>
      <w:r>
        <w:t>Handset penetration will rise to 120% in 2013 and be constant thereafter</w:t>
      </w:r>
    </w:p>
    <w:p w:rsidR="006E0FF5" w:rsidRDefault="006E0FF5" w:rsidP="006E0FF5">
      <w:pPr>
        <w:pStyle w:val="BulletList1"/>
      </w:pPr>
      <w:r>
        <w:t>Wireless modem penetration will rise to:</w:t>
      </w:r>
    </w:p>
    <w:p w:rsidR="006E0FF5" w:rsidRDefault="006E0FF5" w:rsidP="006E0FF5">
      <w:pPr>
        <w:pStyle w:val="BulletList2"/>
      </w:pPr>
      <w:r>
        <w:t>22% in the low scenario in 2015 and remain constant thereafter</w:t>
      </w:r>
    </w:p>
    <w:p w:rsidR="006E0FF5" w:rsidRDefault="006E0FF5" w:rsidP="006E0FF5">
      <w:pPr>
        <w:pStyle w:val="BulletList2"/>
      </w:pPr>
      <w:r>
        <w:t>27% in the medium scenario</w:t>
      </w:r>
      <w:r w:rsidRPr="006E0FF5">
        <w:t xml:space="preserve"> </w:t>
      </w:r>
      <w:r>
        <w:t>and remain constant thereafter</w:t>
      </w:r>
    </w:p>
    <w:p w:rsidR="00342992" w:rsidRDefault="006E0FF5" w:rsidP="006E0FF5">
      <w:pPr>
        <w:pStyle w:val="BulletList2"/>
      </w:pPr>
      <w:r>
        <w:t>32% in the high scenario</w:t>
      </w:r>
      <w:r w:rsidRPr="006E0FF5">
        <w:t xml:space="preserve"> </w:t>
      </w:r>
      <w:r>
        <w:t>and remain constant thereafter</w:t>
      </w:r>
    </w:p>
    <w:p w:rsidR="000448A8" w:rsidRDefault="006E0FF5" w:rsidP="000448A8">
      <w:pPr>
        <w:pStyle w:val="BodyText"/>
      </w:pPr>
      <w:r>
        <w:t>Both 3G and LTE technologies will support wireless modem use.</w:t>
      </w:r>
    </w:p>
    <w:p w:rsidR="000448A8" w:rsidRDefault="00C36F15" w:rsidP="00021A4F">
      <w:pPr>
        <w:pStyle w:val="Heading3unnumbered"/>
        <w:ind w:left="851" w:hanging="851"/>
      </w:pPr>
      <w:r>
        <w:t>A.1.3</w:t>
      </w:r>
      <w:r>
        <w:tab/>
      </w:r>
      <w:r w:rsidR="000448A8">
        <w:t>Split of subscribers between technologies</w:t>
      </w:r>
    </w:p>
    <w:p w:rsidR="000448A8" w:rsidRDefault="000448A8" w:rsidP="000448A8">
      <w:pPr>
        <w:pStyle w:val="BodyText"/>
      </w:pPr>
      <w:r>
        <w:t xml:space="preserve">Over the next </w:t>
      </w:r>
      <w:r w:rsidR="004758BE">
        <w:t xml:space="preserve">15 year licence period </w:t>
      </w:r>
      <w:r>
        <w:t>we expect the provision of 2G services to terminate, 3G will expand and LTE services will dominate by the end of the period.</w:t>
      </w:r>
      <w:r w:rsidR="00021A4F">
        <w:t xml:space="preserve"> </w:t>
      </w:r>
      <w:r>
        <w:t xml:space="preserve">Our assumed timings are as shown in </w:t>
      </w:r>
      <w:r w:rsidR="00D963FB">
        <w:fldChar w:fldCharType="begin"/>
      </w:r>
      <w:r w:rsidR="00D11EEA">
        <w:instrText xml:space="preserve"> REF _Ref232487913 </w:instrText>
      </w:r>
      <w:r w:rsidR="00D963FB">
        <w:fldChar w:fldCharType="separate"/>
      </w:r>
      <w:r w:rsidR="00D61977" w:rsidRPr="00C0159A">
        <w:t>Table</w:t>
      </w:r>
      <w:r w:rsidR="00D61977">
        <w:t xml:space="preserve"> A</w:t>
      </w:r>
      <w:r w:rsidR="00D61977" w:rsidRPr="00C0159A">
        <w:noBreakHyphen/>
      </w:r>
      <w:r w:rsidR="00D61977">
        <w:rPr>
          <w:noProof/>
        </w:rPr>
        <w:t>1</w:t>
      </w:r>
      <w:r w:rsidR="00D963FB">
        <w:fldChar w:fldCharType="end"/>
      </w:r>
      <w:r>
        <w:t>.</w:t>
      </w:r>
    </w:p>
    <w:p w:rsidR="006E0FF5" w:rsidRDefault="000448A8" w:rsidP="00021A4F">
      <w:pPr>
        <w:pStyle w:val="TableCaption"/>
      </w:pPr>
      <w:bookmarkStart w:id="44" w:name="_Ref232487913"/>
      <w:r w:rsidRPr="00C0159A">
        <w:t>Table</w:t>
      </w:r>
      <w:r w:rsidR="00021A4F">
        <w:t xml:space="preserve"> A</w:t>
      </w:r>
      <w:r w:rsidRPr="00C0159A">
        <w:noBreakHyphen/>
      </w:r>
      <w:r w:rsidR="00D963FB" w:rsidRPr="00C0159A">
        <w:fldChar w:fldCharType="begin"/>
      </w:r>
      <w:r w:rsidRPr="00C0159A">
        <w:instrText xml:space="preserve"> SEQ Table \* ARABIC \</w:instrText>
      </w:r>
      <w:r>
        <w:instrText>s 6</w:instrText>
      </w:r>
      <w:r w:rsidRPr="00C0159A">
        <w:instrText xml:space="preserve"> </w:instrText>
      </w:r>
      <w:r w:rsidR="00D963FB" w:rsidRPr="00C0159A">
        <w:fldChar w:fldCharType="separate"/>
      </w:r>
      <w:r w:rsidR="00D61977">
        <w:rPr>
          <w:noProof/>
        </w:rPr>
        <w:t>1</w:t>
      </w:r>
      <w:r w:rsidR="00D963FB" w:rsidRPr="00C0159A">
        <w:fldChar w:fldCharType="end"/>
      </w:r>
      <w:bookmarkEnd w:id="44"/>
      <w:r w:rsidRPr="00C0159A">
        <w:t xml:space="preserve">: </w:t>
      </w:r>
      <w:r>
        <w:t>Technology timings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3262"/>
        <w:gridCol w:w="5808"/>
      </w:tblGrid>
      <w:tr w:rsidR="006E0FF5" w:rsidRPr="00DE47A6" w:rsidTr="00DE47A6">
        <w:trPr>
          <w:cantSplit/>
          <w:tblHeader/>
        </w:trPr>
        <w:tc>
          <w:tcPr>
            <w:tcW w:w="1798"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6E0FF5" w:rsidRPr="00DE47A6" w:rsidRDefault="007A46C2" w:rsidP="006E0FF5">
            <w:pPr>
              <w:rPr>
                <w:color w:val="FFFFFF"/>
                <w:sz w:val="18"/>
                <w:szCs w:val="18"/>
              </w:rPr>
            </w:pPr>
            <w:r w:rsidRPr="00DE47A6">
              <w:rPr>
                <w:color w:val="FFFFFF"/>
                <w:sz w:val="18"/>
                <w:szCs w:val="18"/>
              </w:rPr>
              <w:t>Technology</w:t>
            </w:r>
          </w:p>
        </w:tc>
        <w:tc>
          <w:tcPr>
            <w:tcW w:w="3202"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6E0FF5" w:rsidRPr="00DE47A6" w:rsidRDefault="006E0FF5" w:rsidP="006E0FF5">
            <w:pPr>
              <w:rPr>
                <w:color w:val="FFFFFF"/>
                <w:sz w:val="18"/>
                <w:szCs w:val="18"/>
              </w:rPr>
            </w:pPr>
            <w:r w:rsidRPr="00DE47A6">
              <w:rPr>
                <w:color w:val="FFFFFF"/>
                <w:sz w:val="18"/>
                <w:szCs w:val="18"/>
              </w:rPr>
              <w:t>Timing</w:t>
            </w:r>
          </w:p>
        </w:tc>
      </w:tr>
      <w:tr w:rsidR="006E0FF5" w:rsidRPr="00DE47A6" w:rsidTr="00DE47A6">
        <w:trPr>
          <w:cantSplit/>
        </w:trPr>
        <w:tc>
          <w:tcPr>
            <w:tcW w:w="1798" w:type="pct"/>
            <w:shd w:val="clear" w:color="auto" w:fill="DCDDDE"/>
          </w:tcPr>
          <w:p w:rsidR="006E0FF5" w:rsidRPr="00DE47A6" w:rsidRDefault="006E0FF5" w:rsidP="006E0FF5">
            <w:pPr>
              <w:rPr>
                <w:sz w:val="18"/>
                <w:szCs w:val="18"/>
              </w:rPr>
            </w:pPr>
            <w:r w:rsidRPr="00DE47A6">
              <w:rPr>
                <w:sz w:val="18"/>
                <w:szCs w:val="18"/>
              </w:rPr>
              <w:t xml:space="preserve">2G </w:t>
            </w:r>
            <w:r w:rsidR="004758BE" w:rsidRPr="00DE47A6">
              <w:rPr>
                <w:sz w:val="18"/>
                <w:szCs w:val="18"/>
              </w:rPr>
              <w:t>handsets</w:t>
            </w:r>
          </w:p>
        </w:tc>
        <w:tc>
          <w:tcPr>
            <w:tcW w:w="3202" w:type="pct"/>
            <w:shd w:val="clear" w:color="auto" w:fill="DCDDDE"/>
          </w:tcPr>
          <w:p w:rsidR="006E0FF5" w:rsidRPr="00DE47A6" w:rsidRDefault="007A46C2" w:rsidP="007A46C2">
            <w:pPr>
              <w:rPr>
                <w:sz w:val="18"/>
                <w:szCs w:val="18"/>
              </w:rPr>
            </w:pPr>
            <w:r w:rsidRPr="00DE47A6">
              <w:rPr>
                <w:sz w:val="18"/>
                <w:szCs w:val="18"/>
              </w:rPr>
              <w:t>Penetration declines at 7.5% per annum until services cease in 2016</w:t>
            </w:r>
          </w:p>
        </w:tc>
      </w:tr>
      <w:tr w:rsidR="007A46C2" w:rsidRPr="00DE47A6" w:rsidTr="00DE47A6">
        <w:trPr>
          <w:cantSplit/>
        </w:trPr>
        <w:tc>
          <w:tcPr>
            <w:tcW w:w="1798" w:type="pct"/>
            <w:shd w:val="clear" w:color="auto" w:fill="DCDDDE"/>
          </w:tcPr>
          <w:p w:rsidR="007A46C2" w:rsidRPr="00DE47A6" w:rsidRDefault="007A46C2" w:rsidP="006E0FF5">
            <w:pPr>
              <w:rPr>
                <w:sz w:val="18"/>
                <w:szCs w:val="18"/>
              </w:rPr>
            </w:pPr>
            <w:r w:rsidRPr="00DE47A6">
              <w:rPr>
                <w:sz w:val="18"/>
                <w:szCs w:val="18"/>
              </w:rPr>
              <w:t>3G</w:t>
            </w:r>
            <w:r w:rsidR="004758BE" w:rsidRPr="00DE47A6">
              <w:rPr>
                <w:sz w:val="18"/>
                <w:szCs w:val="18"/>
              </w:rPr>
              <w:t xml:space="preserve"> handsets</w:t>
            </w:r>
          </w:p>
        </w:tc>
        <w:tc>
          <w:tcPr>
            <w:tcW w:w="3202" w:type="pct"/>
            <w:shd w:val="clear" w:color="auto" w:fill="DCDDDE"/>
          </w:tcPr>
          <w:p w:rsidR="007A46C2" w:rsidRPr="00DE47A6" w:rsidRDefault="007A46C2" w:rsidP="007A46C2">
            <w:pPr>
              <w:rPr>
                <w:sz w:val="18"/>
                <w:szCs w:val="18"/>
              </w:rPr>
            </w:pPr>
            <w:r w:rsidRPr="00DE47A6">
              <w:rPr>
                <w:sz w:val="18"/>
                <w:szCs w:val="18"/>
              </w:rPr>
              <w:t xml:space="preserve">Penetration of services peak in 2016 </w:t>
            </w:r>
          </w:p>
        </w:tc>
      </w:tr>
      <w:tr w:rsidR="006E0FF5" w:rsidRPr="00DE47A6" w:rsidTr="00DE47A6">
        <w:trPr>
          <w:cantSplit/>
        </w:trPr>
        <w:tc>
          <w:tcPr>
            <w:tcW w:w="1798" w:type="pct"/>
            <w:shd w:val="clear" w:color="auto" w:fill="DCDDDE"/>
          </w:tcPr>
          <w:p w:rsidR="006E0FF5" w:rsidRPr="00DE47A6" w:rsidRDefault="006E0FF5" w:rsidP="007A46C2">
            <w:pPr>
              <w:rPr>
                <w:sz w:val="18"/>
                <w:szCs w:val="18"/>
              </w:rPr>
            </w:pPr>
            <w:r w:rsidRPr="00DE47A6">
              <w:rPr>
                <w:sz w:val="18"/>
                <w:szCs w:val="18"/>
              </w:rPr>
              <w:t xml:space="preserve">LTE </w:t>
            </w:r>
            <w:r w:rsidR="004758BE" w:rsidRPr="00DE47A6">
              <w:rPr>
                <w:sz w:val="18"/>
                <w:szCs w:val="18"/>
              </w:rPr>
              <w:t>handsets</w:t>
            </w:r>
          </w:p>
        </w:tc>
        <w:tc>
          <w:tcPr>
            <w:tcW w:w="3202" w:type="pct"/>
            <w:shd w:val="clear" w:color="auto" w:fill="DCDDDE"/>
          </w:tcPr>
          <w:p w:rsidR="006E0FF5" w:rsidRPr="00DE47A6" w:rsidRDefault="007A46C2" w:rsidP="004758BE">
            <w:pPr>
              <w:rPr>
                <w:sz w:val="18"/>
                <w:szCs w:val="18"/>
              </w:rPr>
            </w:pPr>
            <w:r w:rsidRPr="00DE47A6">
              <w:rPr>
                <w:sz w:val="18"/>
                <w:szCs w:val="18"/>
              </w:rPr>
              <w:t xml:space="preserve">Launched in </w:t>
            </w:r>
            <w:r w:rsidR="004758BE" w:rsidRPr="00DE47A6">
              <w:rPr>
                <w:sz w:val="18"/>
                <w:szCs w:val="18"/>
              </w:rPr>
              <w:t xml:space="preserve">CBDs in </w:t>
            </w:r>
            <w:r w:rsidRPr="00DE47A6">
              <w:rPr>
                <w:sz w:val="18"/>
                <w:szCs w:val="18"/>
              </w:rPr>
              <w:t>2011 with large scale take up from 2013 onwards. 50% penetration achieved in 2020</w:t>
            </w:r>
          </w:p>
        </w:tc>
      </w:tr>
      <w:tr w:rsidR="004758BE" w:rsidRPr="00DE47A6" w:rsidTr="00DE47A6">
        <w:trPr>
          <w:cantSplit/>
        </w:trPr>
        <w:tc>
          <w:tcPr>
            <w:tcW w:w="1798" w:type="pct"/>
            <w:shd w:val="clear" w:color="auto" w:fill="DCDDDE"/>
          </w:tcPr>
          <w:p w:rsidR="004758BE" w:rsidRPr="00DE47A6" w:rsidRDefault="004758BE" w:rsidP="007A46C2">
            <w:pPr>
              <w:rPr>
                <w:sz w:val="18"/>
                <w:szCs w:val="18"/>
              </w:rPr>
            </w:pPr>
            <w:r w:rsidRPr="00DE47A6">
              <w:rPr>
                <w:sz w:val="18"/>
                <w:szCs w:val="18"/>
              </w:rPr>
              <w:t>Wireless modems</w:t>
            </w:r>
          </w:p>
        </w:tc>
        <w:tc>
          <w:tcPr>
            <w:tcW w:w="3202" w:type="pct"/>
            <w:shd w:val="clear" w:color="auto" w:fill="DCDDDE"/>
          </w:tcPr>
          <w:p w:rsidR="004758BE" w:rsidRPr="00DE47A6" w:rsidRDefault="004758BE" w:rsidP="004758BE">
            <w:pPr>
              <w:rPr>
                <w:sz w:val="18"/>
                <w:szCs w:val="18"/>
              </w:rPr>
            </w:pPr>
            <w:r w:rsidRPr="00DE47A6">
              <w:rPr>
                <w:sz w:val="18"/>
                <w:szCs w:val="18"/>
              </w:rPr>
              <w:t>Assumed to be distributed between 3G and LTE in the same proportion as handsets</w:t>
            </w:r>
          </w:p>
        </w:tc>
      </w:tr>
    </w:tbl>
    <w:p w:rsidR="004758BE" w:rsidRPr="004758BE" w:rsidRDefault="007D28EA" w:rsidP="000448A8">
      <w:pPr>
        <w:pStyle w:val="BodyText"/>
        <w:rPr>
          <w:i/>
        </w:rPr>
      </w:pPr>
      <w:r>
        <w:rPr>
          <w:i/>
        </w:rPr>
        <w:t xml:space="preserve">Source: </w:t>
      </w:r>
      <w:r w:rsidR="004758BE" w:rsidRPr="004758BE">
        <w:rPr>
          <w:i/>
        </w:rPr>
        <w:t>Plum assumptions</w:t>
      </w:r>
    </w:p>
    <w:p w:rsidR="000448A8" w:rsidRDefault="00C36F15" w:rsidP="00021A4F">
      <w:pPr>
        <w:pStyle w:val="Heading3unnumbered"/>
        <w:ind w:left="851" w:hanging="851"/>
      </w:pPr>
      <w:r>
        <w:t>A.1.4</w:t>
      </w:r>
      <w:r>
        <w:tab/>
      </w:r>
      <w:r w:rsidR="000448A8">
        <w:t>Average revenue per user</w:t>
      </w:r>
    </w:p>
    <w:p w:rsidR="00021A4F" w:rsidRDefault="000448A8" w:rsidP="000448A8">
      <w:pPr>
        <w:pStyle w:val="BodyText"/>
      </w:pPr>
      <w:r w:rsidRPr="002338FF">
        <w:t xml:space="preserve">In general levels of ARPU have been </w:t>
      </w:r>
      <w:r w:rsidR="008D2DFA">
        <w:t>relatively constant</w:t>
      </w:r>
      <w:r w:rsidRPr="002338FF">
        <w:t xml:space="preserve"> </w:t>
      </w:r>
      <w:r w:rsidR="008D2DFA">
        <w:t>in recent years</w:t>
      </w:r>
      <w:r w:rsidRPr="002338FF">
        <w:t xml:space="preserve">. </w:t>
      </w:r>
      <w:r w:rsidR="008D2DFA">
        <w:t>Following two consecutive years of steady ARPU growth between 2006 and 2008, growth of market ARPU declined between 2008 and 2009, and ARPU fell between 2009 and 2010.</w:t>
      </w:r>
    </w:p>
    <w:p w:rsidR="000448A8" w:rsidRDefault="000448A8" w:rsidP="000448A8">
      <w:pPr>
        <w:pStyle w:val="BodyText"/>
      </w:pPr>
      <w:r>
        <w:t xml:space="preserve">We have adopted the current mobile sector averages for the split between prepaid and postpaid subscriptions and we have assumed that this distribution will persist over the </w:t>
      </w:r>
      <w:r w:rsidR="008D2DFA">
        <w:t>15 year licence period</w:t>
      </w:r>
      <w:r>
        <w:t>. The sector average levels of ARPU are also adopted for the typical operator modelled. This is A$</w:t>
      </w:r>
      <w:r w:rsidRPr="00E33DD5">
        <w:t>2</w:t>
      </w:r>
      <w:r w:rsidR="00E33DD5" w:rsidRPr="00E33DD5">
        <w:t>3.8</w:t>
      </w:r>
      <w:r>
        <w:t>/month for prepaid and A$</w:t>
      </w:r>
      <w:r w:rsidR="00E33DD5">
        <w:t>72.4</w:t>
      </w:r>
      <w:r w:rsidR="00C37F4F">
        <w:t>/month</w:t>
      </w:r>
      <w:r>
        <w:t xml:space="preserve"> for postpaid ARPU.</w:t>
      </w:r>
      <w:r w:rsidR="002C6684" w:rsidRPr="002C6684">
        <w:rPr>
          <w:rStyle w:val="FootnoteReference"/>
        </w:rPr>
        <w:t xml:space="preserve"> </w:t>
      </w:r>
      <w:r w:rsidR="002C6684">
        <w:rPr>
          <w:rStyle w:val="FootnoteReference"/>
        </w:rPr>
        <w:footnoteReference w:id="24"/>
      </w:r>
      <w:r>
        <w:t xml:space="preserve"> For 3G mobile broadband subscriptions we have assumed that current ARPU is A$30/month which is at the lower end of the tariffs offered by 3G operators. LTE mobile broadband is assumed to command a 50% premium above the 3G mobile broadband ARPU.</w:t>
      </w:r>
    </w:p>
    <w:p w:rsidR="000448A8" w:rsidRDefault="000448A8" w:rsidP="000448A8">
      <w:pPr>
        <w:pStyle w:val="BodyText"/>
        <w:keepNext/>
      </w:pPr>
      <w:r>
        <w:t>We have adopted the following real growth assumptions which are assumed to apply for both prepaid and postpaid subscriptions.</w:t>
      </w:r>
    </w:p>
    <w:p w:rsidR="00021A4F" w:rsidRDefault="000448A8" w:rsidP="000448A8">
      <w:pPr>
        <w:pStyle w:val="BulletList1"/>
      </w:pPr>
      <w:r>
        <w:t>Low scenario:</w:t>
      </w:r>
      <w:r w:rsidR="00021A4F">
        <w:t xml:space="preserve"> </w:t>
      </w:r>
      <w:r>
        <w:t>–</w:t>
      </w:r>
      <w:r w:rsidR="004758BE">
        <w:t xml:space="preserve"> </w:t>
      </w:r>
      <w:r>
        <w:t xml:space="preserve">0.5% </w:t>
      </w:r>
      <w:r w:rsidR="004758BE">
        <w:t>year on year growth</w:t>
      </w:r>
    </w:p>
    <w:p w:rsidR="00021A4F" w:rsidRDefault="000448A8" w:rsidP="000448A8">
      <w:pPr>
        <w:pStyle w:val="BulletList1"/>
      </w:pPr>
      <w:r>
        <w:t xml:space="preserve">Medium scenario: 0% </w:t>
      </w:r>
      <w:r w:rsidR="004758BE">
        <w:t>year on year growth</w:t>
      </w:r>
    </w:p>
    <w:p w:rsidR="000448A8" w:rsidRPr="00F150AD" w:rsidRDefault="000448A8" w:rsidP="000448A8">
      <w:pPr>
        <w:pStyle w:val="BulletList1"/>
      </w:pPr>
      <w:r>
        <w:t>High scenario:</w:t>
      </w:r>
      <w:r w:rsidR="004758BE">
        <w:t xml:space="preserve"> +</w:t>
      </w:r>
      <w:r>
        <w:t xml:space="preserve"> 0.5%</w:t>
      </w:r>
      <w:r w:rsidR="004758BE">
        <w:t xml:space="preserve"> year on year growth</w:t>
      </w:r>
    </w:p>
    <w:p w:rsidR="000448A8" w:rsidRDefault="00C36F15" w:rsidP="00021A4F">
      <w:pPr>
        <w:pStyle w:val="Heading3unnumbered"/>
        <w:ind w:left="851" w:hanging="851"/>
      </w:pPr>
      <w:r>
        <w:t>A.1.5</w:t>
      </w:r>
      <w:r>
        <w:tab/>
      </w:r>
      <w:r w:rsidR="000448A8">
        <w:t>Market shares</w:t>
      </w:r>
    </w:p>
    <w:p w:rsidR="000448A8" w:rsidRDefault="000448A8" w:rsidP="000448A8">
      <w:pPr>
        <w:pStyle w:val="BodyText"/>
      </w:pPr>
      <w:r>
        <w:t>Th</w:t>
      </w:r>
      <w:r w:rsidR="00E33DD5">
        <w:t>e</w:t>
      </w:r>
      <w:r>
        <w:t xml:space="preserve"> hypothetical incumbent operator is assumed to have a market share of 2</w:t>
      </w:r>
      <w:r w:rsidR="002C6684">
        <w:t>7</w:t>
      </w:r>
      <w:r>
        <w:t>% in each of the bands modelled throughout the period under study</w:t>
      </w:r>
      <w:r w:rsidR="009D451B">
        <w:t>, based on the lowest market share of the incumbent mobile operators (VHA)</w:t>
      </w:r>
      <w:r>
        <w:t>.</w:t>
      </w:r>
    </w:p>
    <w:p w:rsidR="000448A8" w:rsidRDefault="00C36F15" w:rsidP="00021A4F">
      <w:pPr>
        <w:pStyle w:val="Heading2unnumbered"/>
        <w:ind w:left="851" w:hanging="851"/>
      </w:pPr>
      <w:bookmarkStart w:id="45" w:name="_Toc234210783"/>
      <w:bookmarkStart w:id="46" w:name="_Toc295085670"/>
      <w:bookmarkStart w:id="47" w:name="_Toc454453628"/>
      <w:r>
        <w:t>A.2</w:t>
      </w:r>
      <w:r>
        <w:tab/>
      </w:r>
      <w:r w:rsidR="000448A8">
        <w:t>Cost assumptions</w:t>
      </w:r>
      <w:bookmarkEnd w:id="45"/>
      <w:bookmarkEnd w:id="46"/>
      <w:bookmarkEnd w:id="47"/>
    </w:p>
    <w:p w:rsidR="009C4932" w:rsidRDefault="00C36F15" w:rsidP="00021A4F">
      <w:pPr>
        <w:pStyle w:val="Heading3unnumbered"/>
        <w:ind w:left="851" w:hanging="851"/>
      </w:pPr>
      <w:r>
        <w:t>A.2.1</w:t>
      </w:r>
      <w:r>
        <w:tab/>
      </w:r>
      <w:r w:rsidR="009C4932">
        <w:t>Capital and operating costs</w:t>
      </w:r>
    </w:p>
    <w:p w:rsidR="009C4932" w:rsidRDefault="009C4932" w:rsidP="009C4932">
      <w:pPr>
        <w:pStyle w:val="BodyText"/>
      </w:pPr>
      <w:r>
        <w:t xml:space="preserve">Capital cost assumptions are detailed in </w:t>
      </w:r>
      <w:r w:rsidR="00D963FB">
        <w:fldChar w:fldCharType="begin"/>
      </w:r>
      <w:r>
        <w:instrText xml:space="preserve"> REF _Ref295860563 </w:instrText>
      </w:r>
      <w:r w:rsidR="00D963FB">
        <w:fldChar w:fldCharType="separate"/>
      </w:r>
      <w:r w:rsidR="00D61977" w:rsidRPr="00C0159A">
        <w:t xml:space="preserve">Table </w:t>
      </w:r>
      <w:r w:rsidR="00D61977">
        <w:t>A</w:t>
      </w:r>
      <w:r w:rsidR="00D61977" w:rsidRPr="00C0159A">
        <w:noBreakHyphen/>
      </w:r>
      <w:r w:rsidR="00D963FB">
        <w:fldChar w:fldCharType="end"/>
      </w:r>
      <w:r w:rsidR="00B85D4F">
        <w:t>2</w:t>
      </w:r>
      <w:r>
        <w:t>.</w:t>
      </w:r>
    </w:p>
    <w:p w:rsidR="009C4932" w:rsidRDefault="009C4932" w:rsidP="009C4932">
      <w:pPr>
        <w:pStyle w:val="TableCaption"/>
      </w:pPr>
      <w:bookmarkStart w:id="48" w:name="_Ref295860563"/>
      <w:r w:rsidRPr="00C0159A">
        <w:t xml:space="preserve">Table </w:t>
      </w:r>
      <w:r w:rsidR="002826E0">
        <w:t>A</w:t>
      </w:r>
      <w:r w:rsidRPr="00C0159A">
        <w:noBreakHyphen/>
      </w:r>
      <w:bookmarkEnd w:id="48"/>
      <w:r w:rsidR="002826E0">
        <w:t>2</w:t>
      </w:r>
      <w:r>
        <w:t>: Capital cost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552"/>
        <w:gridCol w:w="6518"/>
      </w:tblGrid>
      <w:tr w:rsidR="009C4932" w:rsidRPr="00DE47A6" w:rsidTr="00DE47A6">
        <w:trPr>
          <w:cantSplit/>
          <w:tblHeader/>
        </w:trPr>
        <w:tc>
          <w:tcPr>
            <w:tcW w:w="140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9C4932" w:rsidRPr="00DE47A6" w:rsidRDefault="009C4932" w:rsidP="009C4932">
            <w:pPr>
              <w:rPr>
                <w:color w:val="FFFFFF"/>
                <w:sz w:val="18"/>
                <w:szCs w:val="18"/>
              </w:rPr>
            </w:pPr>
            <w:r w:rsidRPr="00DE47A6">
              <w:rPr>
                <w:color w:val="FFFFFF"/>
                <w:sz w:val="18"/>
                <w:szCs w:val="18"/>
              </w:rPr>
              <w:t>Item</w:t>
            </w:r>
          </w:p>
        </w:tc>
        <w:tc>
          <w:tcPr>
            <w:tcW w:w="3593"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9C4932" w:rsidRPr="00DE47A6" w:rsidRDefault="009C4932" w:rsidP="009C4932">
            <w:pPr>
              <w:rPr>
                <w:color w:val="FFFFFF"/>
                <w:sz w:val="18"/>
                <w:szCs w:val="18"/>
              </w:rPr>
            </w:pPr>
            <w:r w:rsidRPr="00DE47A6">
              <w:rPr>
                <w:color w:val="FFFFFF"/>
                <w:sz w:val="18"/>
                <w:szCs w:val="18"/>
              </w:rPr>
              <w:t>Description</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Site quantities</w:t>
            </w:r>
          </w:p>
        </w:tc>
        <w:tc>
          <w:tcPr>
            <w:tcW w:w="3593" w:type="pct"/>
            <w:shd w:val="clear" w:color="auto" w:fill="DCDDDE"/>
          </w:tcPr>
          <w:p w:rsidR="009C4932" w:rsidRPr="00DE47A6" w:rsidRDefault="009C4932" w:rsidP="009C4932">
            <w:pPr>
              <w:rPr>
                <w:sz w:val="18"/>
                <w:szCs w:val="18"/>
              </w:rPr>
            </w:pPr>
            <w:r w:rsidRPr="00DE47A6">
              <w:rPr>
                <w:sz w:val="18"/>
                <w:szCs w:val="18"/>
              </w:rPr>
              <w:t>A minimum number of sites to achieve 95% population coverage in the band being considered. These site numbers are estimated for three environment categories (urban, suburban and rural)</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Rollout</w:t>
            </w:r>
          </w:p>
        </w:tc>
        <w:tc>
          <w:tcPr>
            <w:tcW w:w="3593" w:type="pct"/>
            <w:shd w:val="clear" w:color="auto" w:fill="DCDDDE"/>
          </w:tcPr>
          <w:p w:rsidR="009C4932" w:rsidRPr="00DE47A6" w:rsidRDefault="009C4932" w:rsidP="009C4932">
            <w:pPr>
              <w:rPr>
                <w:sz w:val="18"/>
                <w:szCs w:val="18"/>
              </w:rPr>
            </w:pPr>
            <w:r w:rsidRPr="00DE47A6">
              <w:rPr>
                <w:sz w:val="18"/>
                <w:szCs w:val="18"/>
              </w:rPr>
              <w:t>For LTE network rollout we have assumed that for an incumbent operator coverage of urban and suburban areas is staged over 5 years. For rural areas it is staged over 10 years.</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Site establishment costs</w:t>
            </w:r>
          </w:p>
        </w:tc>
        <w:tc>
          <w:tcPr>
            <w:tcW w:w="3593" w:type="pct"/>
            <w:shd w:val="clear" w:color="auto" w:fill="DCDDDE"/>
          </w:tcPr>
          <w:p w:rsidR="009C4932" w:rsidRPr="00DE47A6" w:rsidRDefault="002425E5" w:rsidP="002425E5">
            <w:pPr>
              <w:rPr>
                <w:sz w:val="18"/>
                <w:szCs w:val="18"/>
              </w:rPr>
            </w:pPr>
            <w:r w:rsidRPr="00DE47A6">
              <w:rPr>
                <w:sz w:val="18"/>
                <w:szCs w:val="18"/>
              </w:rPr>
              <w:t>New sites are assumed to be $110k for site establishment.</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Network equipment</w:t>
            </w:r>
          </w:p>
        </w:tc>
        <w:tc>
          <w:tcPr>
            <w:tcW w:w="3593" w:type="pct"/>
            <w:shd w:val="clear" w:color="auto" w:fill="DCDDDE"/>
          </w:tcPr>
          <w:p w:rsidR="009C4932" w:rsidRPr="00DE47A6" w:rsidRDefault="009C4932" w:rsidP="00CA011C">
            <w:pPr>
              <w:rPr>
                <w:sz w:val="18"/>
                <w:szCs w:val="18"/>
              </w:rPr>
            </w:pPr>
            <w:r w:rsidRPr="00DE47A6">
              <w:rPr>
                <w:sz w:val="18"/>
                <w:szCs w:val="18"/>
              </w:rPr>
              <w:t xml:space="preserve">Network equipment and backhaul equipment is deployed at each site. Installed equipment costs </w:t>
            </w:r>
            <w:r w:rsidR="002425E5" w:rsidRPr="00DE47A6">
              <w:rPr>
                <w:sz w:val="18"/>
                <w:szCs w:val="18"/>
              </w:rPr>
              <w:t>pe</w:t>
            </w:r>
            <w:r w:rsidR="005C7EFF" w:rsidRPr="00DE47A6">
              <w:rPr>
                <w:sz w:val="18"/>
                <w:szCs w:val="18"/>
              </w:rPr>
              <w:t>r</w:t>
            </w:r>
            <w:r w:rsidR="002425E5" w:rsidRPr="00DE47A6">
              <w:rPr>
                <w:sz w:val="18"/>
                <w:szCs w:val="18"/>
              </w:rPr>
              <w:t xml:space="preserve"> site </w:t>
            </w:r>
            <w:r w:rsidRPr="00DE47A6">
              <w:rPr>
                <w:sz w:val="18"/>
                <w:szCs w:val="18"/>
              </w:rPr>
              <w:t xml:space="preserve">are </w:t>
            </w:r>
            <w:r w:rsidR="002425E5" w:rsidRPr="00DE47A6">
              <w:rPr>
                <w:sz w:val="18"/>
                <w:szCs w:val="18"/>
              </w:rPr>
              <w:t xml:space="preserve">assumed to be </w:t>
            </w:r>
            <w:r w:rsidR="00CA011C" w:rsidRPr="00DE47A6">
              <w:rPr>
                <w:sz w:val="18"/>
                <w:szCs w:val="18"/>
              </w:rPr>
              <w:t>$146k</w:t>
            </w:r>
            <w:r w:rsidR="002425E5" w:rsidRPr="00DE47A6">
              <w:rPr>
                <w:sz w:val="18"/>
                <w:szCs w:val="18"/>
              </w:rPr>
              <w:t>.</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Equipment lifetime</w:t>
            </w:r>
          </w:p>
        </w:tc>
        <w:tc>
          <w:tcPr>
            <w:tcW w:w="3593" w:type="pct"/>
            <w:shd w:val="clear" w:color="auto" w:fill="DCDDDE"/>
          </w:tcPr>
          <w:p w:rsidR="009C4932" w:rsidRPr="00DE47A6" w:rsidRDefault="009C4932" w:rsidP="009C4932">
            <w:pPr>
              <w:rPr>
                <w:sz w:val="18"/>
                <w:szCs w:val="18"/>
              </w:rPr>
            </w:pPr>
            <w:r w:rsidRPr="00DE47A6">
              <w:rPr>
                <w:sz w:val="18"/>
                <w:szCs w:val="18"/>
              </w:rPr>
              <w:t>Network equipment is assumed to have a lifetime of 10 years, therefore 10% of sites are re-equipped each year and 10% of the core network costs are incurred each year</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Existing network</w:t>
            </w:r>
          </w:p>
        </w:tc>
        <w:tc>
          <w:tcPr>
            <w:tcW w:w="3593" w:type="pct"/>
            <w:shd w:val="clear" w:color="auto" w:fill="DCDDDE"/>
          </w:tcPr>
          <w:p w:rsidR="009C4932" w:rsidRPr="00DE47A6" w:rsidRDefault="009C4932" w:rsidP="009C4932">
            <w:pPr>
              <w:rPr>
                <w:sz w:val="18"/>
                <w:szCs w:val="18"/>
              </w:rPr>
            </w:pPr>
            <w:r w:rsidRPr="00DE47A6">
              <w:rPr>
                <w:sz w:val="18"/>
                <w:szCs w:val="18"/>
              </w:rPr>
              <w:t>The 3G network is assumed to already exist and have a value of 50% of its replacement cost.</w:t>
            </w:r>
          </w:p>
        </w:tc>
      </w:tr>
      <w:tr w:rsidR="009C4932" w:rsidRPr="00DE47A6" w:rsidTr="00DE47A6">
        <w:trPr>
          <w:cantSplit/>
        </w:trPr>
        <w:tc>
          <w:tcPr>
            <w:tcW w:w="1407" w:type="pct"/>
            <w:shd w:val="clear" w:color="auto" w:fill="DCDDDE"/>
          </w:tcPr>
          <w:p w:rsidR="009C4932" w:rsidRPr="00DE47A6" w:rsidRDefault="009C4932" w:rsidP="009C4932">
            <w:pPr>
              <w:rPr>
                <w:sz w:val="18"/>
                <w:szCs w:val="18"/>
              </w:rPr>
            </w:pPr>
            <w:r w:rsidRPr="00DE47A6">
              <w:rPr>
                <w:sz w:val="18"/>
                <w:szCs w:val="18"/>
              </w:rPr>
              <w:t>Residual value</w:t>
            </w:r>
          </w:p>
        </w:tc>
        <w:tc>
          <w:tcPr>
            <w:tcW w:w="3593" w:type="pct"/>
            <w:shd w:val="clear" w:color="auto" w:fill="DCDDDE"/>
          </w:tcPr>
          <w:p w:rsidR="009C4932" w:rsidRPr="00DE47A6" w:rsidRDefault="009C4932" w:rsidP="009C4932">
            <w:pPr>
              <w:rPr>
                <w:sz w:val="18"/>
                <w:szCs w:val="18"/>
              </w:rPr>
            </w:pPr>
            <w:r w:rsidRPr="00DE47A6">
              <w:rPr>
                <w:sz w:val="18"/>
                <w:szCs w:val="18"/>
              </w:rPr>
              <w:t>The 3G network is assumed to have no residual value at the end of the 15 year licence period. The LTE network is assumed to have a residual value of 50% of historic deployment cost.</w:t>
            </w:r>
          </w:p>
        </w:tc>
      </w:tr>
    </w:tbl>
    <w:p w:rsidR="00BE01D3" w:rsidRDefault="00D11EEA">
      <w:pPr>
        <w:pStyle w:val="BodyText"/>
        <w:rPr>
          <w:i/>
        </w:rPr>
      </w:pPr>
      <w:r w:rsidRPr="00D11EEA">
        <w:rPr>
          <w:i/>
        </w:rPr>
        <w:t>Source: Plum assumptions</w:t>
      </w:r>
    </w:p>
    <w:p w:rsidR="00BE01D3" w:rsidRDefault="000448A8">
      <w:pPr>
        <w:pStyle w:val="AfterTable"/>
      </w:pPr>
      <w:r>
        <w:t>Operating cost</w:t>
      </w:r>
      <w:r w:rsidR="00D959B8">
        <w:t xml:space="preserve"> assumption</w:t>
      </w:r>
      <w:r>
        <w:t xml:space="preserve">s are </w:t>
      </w:r>
      <w:r w:rsidR="00D959B8">
        <w:t>detailed in</w:t>
      </w:r>
      <w:r w:rsidR="00C63DE4">
        <w:t xml:space="preserve"> Table A-3</w:t>
      </w:r>
      <w:r w:rsidR="00FA19C4">
        <w:t>.</w:t>
      </w:r>
    </w:p>
    <w:p w:rsidR="00D959B8" w:rsidRDefault="00C63DE4" w:rsidP="005F2BE2">
      <w:pPr>
        <w:pStyle w:val="TableCaption"/>
      </w:pPr>
      <w:bookmarkStart w:id="49" w:name="_Ref295860075"/>
      <w:r>
        <w:t>Table A-3</w:t>
      </w:r>
      <w:bookmarkEnd w:id="49"/>
      <w:r w:rsidR="00D959B8" w:rsidRPr="00C0159A">
        <w:t xml:space="preserve">: </w:t>
      </w:r>
      <w:r w:rsidR="00D959B8">
        <w:t>Operating cost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552"/>
        <w:gridCol w:w="6518"/>
      </w:tblGrid>
      <w:tr w:rsidR="00D959B8" w:rsidRPr="00DE47A6" w:rsidTr="00DE47A6">
        <w:trPr>
          <w:tblHeader/>
        </w:trPr>
        <w:tc>
          <w:tcPr>
            <w:tcW w:w="140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BE01D3" w:rsidRPr="00DE47A6" w:rsidRDefault="00D959B8" w:rsidP="00DE47A6">
            <w:pPr>
              <w:keepNext/>
              <w:keepLines/>
              <w:rPr>
                <w:sz w:val="18"/>
                <w:szCs w:val="18"/>
              </w:rPr>
            </w:pPr>
            <w:r w:rsidRPr="00DE47A6">
              <w:rPr>
                <w:color w:val="FFFFFF"/>
                <w:sz w:val="18"/>
                <w:szCs w:val="18"/>
              </w:rPr>
              <w:t>Item</w:t>
            </w:r>
          </w:p>
        </w:tc>
        <w:tc>
          <w:tcPr>
            <w:tcW w:w="3593"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BE01D3" w:rsidRPr="00DE47A6" w:rsidRDefault="00D959B8" w:rsidP="00DE47A6">
            <w:pPr>
              <w:keepNext/>
              <w:keepLines/>
              <w:rPr>
                <w:sz w:val="18"/>
                <w:szCs w:val="18"/>
              </w:rPr>
            </w:pPr>
            <w:r w:rsidRPr="00DE47A6">
              <w:rPr>
                <w:color w:val="FFFFFF"/>
                <w:sz w:val="18"/>
                <w:szCs w:val="18"/>
              </w:rPr>
              <w:t>Description</w:t>
            </w:r>
          </w:p>
        </w:tc>
      </w:tr>
      <w:tr w:rsidR="00D959B8" w:rsidRPr="00DE47A6" w:rsidTr="00DE47A6">
        <w:trPr>
          <w:cantSplit/>
        </w:trPr>
        <w:tc>
          <w:tcPr>
            <w:tcW w:w="1407" w:type="pct"/>
            <w:shd w:val="clear" w:color="auto" w:fill="DCDDDE"/>
          </w:tcPr>
          <w:p w:rsidR="00BE01D3" w:rsidRPr="00DE47A6" w:rsidRDefault="00D959B8" w:rsidP="00DE47A6">
            <w:pPr>
              <w:keepNext/>
              <w:keepLines/>
              <w:rPr>
                <w:sz w:val="18"/>
                <w:szCs w:val="18"/>
              </w:rPr>
            </w:pPr>
            <w:r w:rsidRPr="00DE47A6">
              <w:rPr>
                <w:sz w:val="18"/>
                <w:szCs w:val="18"/>
              </w:rPr>
              <w:t>Handset subsidies</w:t>
            </w:r>
          </w:p>
        </w:tc>
        <w:tc>
          <w:tcPr>
            <w:tcW w:w="3593" w:type="pct"/>
            <w:shd w:val="clear" w:color="auto" w:fill="DCDDDE"/>
          </w:tcPr>
          <w:p w:rsidR="00BE01D3" w:rsidRPr="00DE47A6" w:rsidRDefault="00D959B8" w:rsidP="00DE47A6">
            <w:pPr>
              <w:keepNext/>
              <w:keepLines/>
              <w:rPr>
                <w:sz w:val="18"/>
                <w:szCs w:val="18"/>
              </w:rPr>
            </w:pPr>
            <w:r w:rsidRPr="00DE47A6">
              <w:rPr>
                <w:sz w:val="18"/>
                <w:szCs w:val="18"/>
              </w:rPr>
              <w:t>Handset subsidies of A$179 per terminal are applied to all new additions and churned subscribers.</w:t>
            </w:r>
            <w:r w:rsidRPr="00DE47A6">
              <w:rPr>
                <w:rStyle w:val="FootnoteReference"/>
                <w:sz w:val="18"/>
                <w:szCs w:val="18"/>
              </w:rPr>
              <w:footnoteReference w:id="25"/>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Churn</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Churn was assumed to be 21% of total subscribers per annum for the purposes of analysis.</w:t>
            </w:r>
            <w:r w:rsidRPr="00DE47A6">
              <w:rPr>
                <w:rStyle w:val="FootnoteReference"/>
                <w:sz w:val="18"/>
                <w:szCs w:val="18"/>
              </w:rPr>
              <w:footnoteReference w:id="26"/>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Network maintenance</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Network maintenance will be estimated at 12% of cumulative capital network equipment costs</w:t>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Site rental</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Site rental will be driven by the total number of sites and typical base station site rents for Australia. We assumed $20,000/site/year.</w:t>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Core network costs</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Annual core network costs were based on 155 Mbit/s leased line prices</w:t>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Marketing and admin</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Marketing and admin costs were assumed to be 39% of service revenues.</w:t>
            </w:r>
          </w:p>
        </w:tc>
      </w:tr>
      <w:tr w:rsidR="00D959B8" w:rsidRPr="00DE47A6" w:rsidTr="00DE47A6">
        <w:trPr>
          <w:cantSplit/>
        </w:trPr>
        <w:tc>
          <w:tcPr>
            <w:tcW w:w="1407" w:type="pct"/>
            <w:shd w:val="clear" w:color="auto" w:fill="DCDDDE"/>
          </w:tcPr>
          <w:p w:rsidR="00D959B8" w:rsidRPr="00DE47A6" w:rsidRDefault="00D959B8" w:rsidP="00DE47A6">
            <w:pPr>
              <w:keepNext/>
              <w:keepLines/>
              <w:rPr>
                <w:sz w:val="18"/>
                <w:szCs w:val="18"/>
              </w:rPr>
            </w:pPr>
            <w:r w:rsidRPr="00DE47A6">
              <w:rPr>
                <w:sz w:val="18"/>
                <w:szCs w:val="18"/>
              </w:rPr>
              <w:t>Interconnection</w:t>
            </w:r>
          </w:p>
        </w:tc>
        <w:tc>
          <w:tcPr>
            <w:tcW w:w="3593" w:type="pct"/>
            <w:shd w:val="clear" w:color="auto" w:fill="DCDDDE"/>
          </w:tcPr>
          <w:p w:rsidR="00D959B8" w:rsidRPr="00DE47A6" w:rsidRDefault="00D959B8" w:rsidP="00DE47A6">
            <w:pPr>
              <w:keepNext/>
              <w:keepLines/>
              <w:rPr>
                <w:sz w:val="18"/>
                <w:szCs w:val="18"/>
              </w:rPr>
            </w:pPr>
            <w:r w:rsidRPr="00DE47A6">
              <w:rPr>
                <w:sz w:val="18"/>
                <w:szCs w:val="18"/>
              </w:rPr>
              <w:t>Interconnection costs were assumed to be 17% of service revenues.</w:t>
            </w:r>
          </w:p>
        </w:tc>
      </w:tr>
    </w:tbl>
    <w:p w:rsidR="007D28EA" w:rsidRPr="007D28EA" w:rsidRDefault="007D28EA" w:rsidP="005F2BE2">
      <w:pPr>
        <w:pStyle w:val="BodyText"/>
        <w:keepNext/>
        <w:keepLines/>
        <w:rPr>
          <w:i/>
        </w:rPr>
      </w:pPr>
      <w:r w:rsidRPr="007D28EA">
        <w:rPr>
          <w:i/>
        </w:rPr>
        <w:t>Source: Plum assumptions</w:t>
      </w:r>
    </w:p>
    <w:p w:rsidR="000448A8" w:rsidRDefault="00C36F15" w:rsidP="00021A4F">
      <w:pPr>
        <w:pStyle w:val="Heading3unnumbered"/>
        <w:ind w:left="851" w:hanging="851"/>
      </w:pPr>
      <w:r>
        <w:t>A.2.2</w:t>
      </w:r>
      <w:r>
        <w:tab/>
      </w:r>
      <w:r w:rsidR="009C4932">
        <w:t>S</w:t>
      </w:r>
      <w:r w:rsidR="000448A8">
        <w:t xml:space="preserve">ite </w:t>
      </w:r>
      <w:r w:rsidR="009C4932">
        <w:t xml:space="preserve">quantities </w:t>
      </w:r>
      <w:r w:rsidR="000448A8">
        <w:t>and traffic distribution</w:t>
      </w:r>
    </w:p>
    <w:p w:rsidR="000448A8" w:rsidRDefault="000448A8" w:rsidP="000448A8">
      <w:pPr>
        <w:pStyle w:val="BodyText"/>
      </w:pPr>
      <w:r>
        <w:t>The number of sites currently deployed by the operators is important for the study since it shows the number of sites available to each operator and an indication of the minimum number of sites required to achieve (almost) national population coverage.</w:t>
      </w:r>
    </w:p>
    <w:p w:rsidR="007D28EA" w:rsidRDefault="000448A8" w:rsidP="000448A8">
      <w:pPr>
        <w:pStyle w:val="BodyText"/>
      </w:pPr>
      <w:r>
        <w:t>The breakdown of sites</w:t>
      </w:r>
      <w:r w:rsidR="006C0911">
        <w:t xml:space="preserve"> </w:t>
      </w:r>
      <w:r>
        <w:t>by operator and environment are detailed in</w:t>
      </w:r>
      <w:r w:rsidR="00C63DE4">
        <w:t xml:space="preserve"> Table A-4</w:t>
      </w:r>
      <w:r>
        <w:t xml:space="preserve">. In general the </w:t>
      </w:r>
      <w:proofErr w:type="gramStart"/>
      <w:r>
        <w:t>Urban</w:t>
      </w:r>
      <w:proofErr w:type="gramEnd"/>
      <w:r>
        <w:t xml:space="preserve"> area </w:t>
      </w:r>
      <w:r w:rsidR="006C0911">
        <w:t xml:space="preserve">category </w:t>
      </w:r>
      <w:r>
        <w:t>comprises the Central Business Districts of Sydney, Melbourne, Brisbane, Perth and Adelaide. Suburban areas are the metropolitan areas of these cities plus towns having a population greater than 10,000. The remain</w:t>
      </w:r>
      <w:r w:rsidR="009407BE">
        <w:t>ing</w:t>
      </w:r>
      <w:r>
        <w:t xml:space="preserve"> areas having mobile coverage areas are assumed to be rural.</w:t>
      </w:r>
    </w:p>
    <w:p w:rsidR="007D28EA" w:rsidRDefault="00C63DE4" w:rsidP="006C0AC0">
      <w:pPr>
        <w:pStyle w:val="TableCaption"/>
      </w:pPr>
      <w:r>
        <w:t>Table A-4</w:t>
      </w:r>
      <w:r w:rsidR="007D28EA" w:rsidRPr="00C0159A">
        <w:t xml:space="preserve">: </w:t>
      </w:r>
      <w:r w:rsidR="007D28EA" w:rsidRPr="00033895">
        <w:rPr>
          <w:color w:val="808080"/>
        </w:rPr>
        <w:t>Number of sites by operator</w:t>
      </w:r>
    </w:p>
    <w:tbl>
      <w:tblPr>
        <w:tblW w:w="90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0" w:type="dxa"/>
          <w:bottom w:w="57" w:type="dxa"/>
          <w:right w:w="0" w:type="dxa"/>
        </w:tblCellMar>
        <w:tblLook w:val="01E0" w:firstRow="1" w:lastRow="1" w:firstColumn="1" w:lastColumn="1" w:noHBand="0" w:noVBand="0"/>
      </w:tblPr>
      <w:tblGrid>
        <w:gridCol w:w="2558"/>
        <w:gridCol w:w="1414"/>
        <w:gridCol w:w="1561"/>
        <w:gridCol w:w="1701"/>
        <w:gridCol w:w="1842"/>
      </w:tblGrid>
      <w:tr w:rsidR="006C0911" w:rsidRPr="00DE47A6" w:rsidTr="006C0911">
        <w:trPr>
          <w:cantSplit/>
        </w:trPr>
        <w:tc>
          <w:tcPr>
            <w:tcW w:w="1409" w:type="pct"/>
            <w:shd w:val="clear" w:color="auto" w:fill="939598"/>
          </w:tcPr>
          <w:p w:rsidR="006C0911" w:rsidRPr="00DE47A6" w:rsidRDefault="006C0911" w:rsidP="006C0AC0">
            <w:pPr>
              <w:keepNext/>
              <w:keepLines/>
              <w:spacing w:after="60"/>
              <w:ind w:left="170" w:right="170"/>
              <w:rPr>
                <w:color w:val="FFFFFF"/>
                <w:sz w:val="18"/>
              </w:rPr>
            </w:pPr>
            <w:r w:rsidRPr="00DE47A6">
              <w:rPr>
                <w:color w:val="FFFFFF"/>
                <w:sz w:val="18"/>
              </w:rPr>
              <w:t>Environment</w:t>
            </w:r>
          </w:p>
        </w:tc>
        <w:tc>
          <w:tcPr>
            <w:tcW w:w="779" w:type="pct"/>
            <w:shd w:val="clear" w:color="auto" w:fill="939598"/>
          </w:tcPr>
          <w:p w:rsidR="006C0911" w:rsidRPr="00DE47A6" w:rsidRDefault="006C0911" w:rsidP="006C0AC0">
            <w:pPr>
              <w:keepNext/>
              <w:keepLines/>
              <w:spacing w:after="60"/>
              <w:ind w:left="170" w:right="170"/>
              <w:rPr>
                <w:color w:val="FFFFFF"/>
                <w:sz w:val="18"/>
              </w:rPr>
            </w:pPr>
            <w:r w:rsidRPr="00DE47A6">
              <w:rPr>
                <w:color w:val="FFFFFF"/>
                <w:sz w:val="18"/>
              </w:rPr>
              <w:t>Telstra</w:t>
            </w:r>
          </w:p>
        </w:tc>
        <w:tc>
          <w:tcPr>
            <w:tcW w:w="860" w:type="pct"/>
            <w:shd w:val="clear" w:color="auto" w:fill="939598"/>
          </w:tcPr>
          <w:p w:rsidR="006C0911" w:rsidRPr="00DE47A6" w:rsidRDefault="006C0911" w:rsidP="006C0AC0">
            <w:pPr>
              <w:keepNext/>
              <w:keepLines/>
              <w:spacing w:after="60"/>
              <w:ind w:left="170" w:right="170"/>
              <w:rPr>
                <w:color w:val="FFFFFF"/>
                <w:sz w:val="18"/>
              </w:rPr>
            </w:pPr>
            <w:r w:rsidRPr="00DE47A6">
              <w:rPr>
                <w:color w:val="FFFFFF"/>
                <w:sz w:val="18"/>
              </w:rPr>
              <w:t>Optus</w:t>
            </w:r>
          </w:p>
        </w:tc>
        <w:tc>
          <w:tcPr>
            <w:tcW w:w="937" w:type="pct"/>
            <w:shd w:val="clear" w:color="auto" w:fill="939598"/>
          </w:tcPr>
          <w:p w:rsidR="006C0911" w:rsidRPr="00DE47A6" w:rsidRDefault="006C0911" w:rsidP="006C0AC0">
            <w:pPr>
              <w:keepNext/>
              <w:keepLines/>
              <w:spacing w:after="60"/>
              <w:ind w:left="170" w:right="170"/>
              <w:rPr>
                <w:color w:val="FFFFFF"/>
                <w:sz w:val="18"/>
              </w:rPr>
            </w:pPr>
            <w:r w:rsidRPr="00DE47A6">
              <w:rPr>
                <w:color w:val="FFFFFF"/>
                <w:sz w:val="18"/>
              </w:rPr>
              <w:t>VHA</w:t>
            </w:r>
          </w:p>
        </w:tc>
        <w:tc>
          <w:tcPr>
            <w:tcW w:w="1015" w:type="pct"/>
            <w:shd w:val="clear" w:color="auto" w:fill="939598"/>
          </w:tcPr>
          <w:p w:rsidR="006C0911" w:rsidRPr="00DE47A6" w:rsidRDefault="006C0911" w:rsidP="006C0AC0">
            <w:pPr>
              <w:keepNext/>
              <w:keepLines/>
              <w:spacing w:after="60"/>
              <w:ind w:left="170" w:right="170"/>
              <w:rPr>
                <w:color w:val="FFFFFF"/>
                <w:sz w:val="18"/>
              </w:rPr>
            </w:pPr>
            <w:r w:rsidRPr="00DE47A6">
              <w:rPr>
                <w:color w:val="FFFFFF"/>
                <w:sz w:val="18"/>
              </w:rPr>
              <w:t>Typical operator</w:t>
            </w:r>
          </w:p>
        </w:tc>
      </w:tr>
      <w:tr w:rsidR="000448A8" w:rsidRPr="00DE47A6" w:rsidTr="000448A8">
        <w:trPr>
          <w:cantSplit/>
        </w:trPr>
        <w:tc>
          <w:tcPr>
            <w:tcW w:w="5000" w:type="pct"/>
            <w:gridSpan w:val="5"/>
            <w:shd w:val="clear" w:color="auto" w:fill="DCDDDE"/>
          </w:tcPr>
          <w:p w:rsidR="000448A8" w:rsidRPr="00DE47A6" w:rsidRDefault="000448A8" w:rsidP="006C0AC0">
            <w:pPr>
              <w:keepNext/>
              <w:keepLines/>
              <w:spacing w:after="60"/>
              <w:ind w:left="170" w:right="170"/>
              <w:rPr>
                <w:rFonts w:cs="Arial"/>
                <w:sz w:val="18"/>
                <w:szCs w:val="18"/>
              </w:rPr>
            </w:pPr>
            <w:r w:rsidRPr="00DE47A6">
              <w:rPr>
                <w:i/>
                <w:sz w:val="18"/>
              </w:rPr>
              <w:t xml:space="preserve">Sites </w:t>
            </w:r>
          </w:p>
        </w:tc>
      </w:tr>
      <w:tr w:rsidR="006C0911" w:rsidRPr="00DE47A6" w:rsidTr="006C0911">
        <w:trPr>
          <w:cantSplit/>
        </w:trPr>
        <w:tc>
          <w:tcPr>
            <w:tcW w:w="1409" w:type="pct"/>
            <w:shd w:val="clear" w:color="auto" w:fill="DCDDDE"/>
          </w:tcPr>
          <w:p w:rsidR="006C0911" w:rsidRPr="00DE47A6" w:rsidRDefault="006C0911" w:rsidP="006C0AC0">
            <w:pPr>
              <w:keepNext/>
              <w:keepLines/>
              <w:spacing w:after="60"/>
              <w:ind w:left="170" w:right="170"/>
              <w:rPr>
                <w:sz w:val="18"/>
              </w:rPr>
            </w:pPr>
            <w:r w:rsidRPr="00DE47A6">
              <w:rPr>
                <w:sz w:val="18"/>
              </w:rPr>
              <w:t>Urban</w:t>
            </w:r>
          </w:p>
        </w:tc>
        <w:tc>
          <w:tcPr>
            <w:tcW w:w="779" w:type="pct"/>
            <w:shd w:val="clear" w:color="auto" w:fill="DCDDDE"/>
          </w:tcPr>
          <w:p w:rsidR="006C0911" w:rsidRPr="00DE47A6" w:rsidRDefault="006C0911" w:rsidP="006C0AC0">
            <w:pPr>
              <w:keepNext/>
              <w:keepLines/>
              <w:spacing w:after="60"/>
              <w:ind w:left="170" w:right="170"/>
              <w:rPr>
                <w:rFonts w:cs="Arial"/>
                <w:sz w:val="18"/>
                <w:szCs w:val="18"/>
              </w:rPr>
            </w:pPr>
            <w:r w:rsidRPr="00DE47A6">
              <w:rPr>
                <w:rFonts w:cs="Arial"/>
                <w:sz w:val="18"/>
                <w:szCs w:val="18"/>
              </w:rPr>
              <w:t>483</w:t>
            </w:r>
          </w:p>
        </w:tc>
        <w:tc>
          <w:tcPr>
            <w:tcW w:w="860" w:type="pct"/>
            <w:shd w:val="clear" w:color="auto" w:fill="DCDDDE"/>
          </w:tcPr>
          <w:p w:rsidR="006C0911" w:rsidRPr="00DE47A6" w:rsidRDefault="006C0911" w:rsidP="006C0AC0">
            <w:pPr>
              <w:keepNext/>
              <w:keepLines/>
              <w:spacing w:after="60"/>
              <w:ind w:left="170" w:right="170"/>
              <w:rPr>
                <w:rFonts w:cs="Arial"/>
                <w:sz w:val="18"/>
                <w:szCs w:val="18"/>
              </w:rPr>
            </w:pPr>
            <w:r w:rsidRPr="00DE47A6">
              <w:rPr>
                <w:rFonts w:cs="Arial"/>
                <w:sz w:val="18"/>
                <w:szCs w:val="18"/>
              </w:rPr>
              <w:t>369</w:t>
            </w:r>
          </w:p>
        </w:tc>
        <w:tc>
          <w:tcPr>
            <w:tcW w:w="937" w:type="pct"/>
            <w:shd w:val="clear" w:color="auto" w:fill="DCDDDE"/>
          </w:tcPr>
          <w:p w:rsidR="006C0911" w:rsidRPr="00DE47A6" w:rsidRDefault="006C0911" w:rsidP="006C0AC0">
            <w:pPr>
              <w:keepNext/>
              <w:keepLines/>
              <w:spacing w:after="60"/>
              <w:ind w:left="170" w:right="170"/>
              <w:rPr>
                <w:rFonts w:cs="Arial"/>
                <w:sz w:val="18"/>
                <w:szCs w:val="18"/>
              </w:rPr>
            </w:pPr>
            <w:r w:rsidRPr="00DE47A6">
              <w:rPr>
                <w:rFonts w:cs="Arial"/>
                <w:sz w:val="18"/>
                <w:szCs w:val="18"/>
              </w:rPr>
              <w:t>387</w:t>
            </w:r>
          </w:p>
        </w:tc>
        <w:tc>
          <w:tcPr>
            <w:tcW w:w="1015" w:type="pct"/>
            <w:shd w:val="clear" w:color="auto" w:fill="DCDDDE"/>
          </w:tcPr>
          <w:p w:rsidR="006C0911" w:rsidRPr="00DE47A6" w:rsidRDefault="006C0911" w:rsidP="006C0AC0">
            <w:pPr>
              <w:keepNext/>
              <w:keepLines/>
              <w:spacing w:after="60"/>
              <w:ind w:left="170" w:right="170"/>
              <w:rPr>
                <w:rFonts w:cs="Arial"/>
                <w:sz w:val="18"/>
                <w:szCs w:val="18"/>
              </w:rPr>
            </w:pPr>
            <w:r w:rsidRPr="00DE47A6">
              <w:rPr>
                <w:rFonts w:cs="Arial"/>
                <w:sz w:val="18"/>
                <w:szCs w:val="18"/>
              </w:rPr>
              <w:t>369</w:t>
            </w:r>
          </w:p>
        </w:tc>
      </w:tr>
      <w:tr w:rsidR="006C0911" w:rsidRPr="00DE47A6" w:rsidTr="006C0911">
        <w:trPr>
          <w:cantSplit/>
        </w:trPr>
        <w:tc>
          <w:tcPr>
            <w:tcW w:w="1409" w:type="pct"/>
            <w:shd w:val="clear" w:color="auto" w:fill="DCDDDE"/>
          </w:tcPr>
          <w:p w:rsidR="006C0911" w:rsidRPr="00DE47A6" w:rsidRDefault="006C0911" w:rsidP="006C0AC0">
            <w:pPr>
              <w:keepNext/>
              <w:keepLines/>
              <w:spacing w:after="60"/>
              <w:ind w:left="170" w:right="170"/>
              <w:rPr>
                <w:sz w:val="18"/>
              </w:rPr>
            </w:pPr>
            <w:r w:rsidRPr="00DE47A6">
              <w:rPr>
                <w:sz w:val="18"/>
              </w:rPr>
              <w:t>Suburban</w:t>
            </w:r>
          </w:p>
        </w:tc>
        <w:tc>
          <w:tcPr>
            <w:tcW w:w="779"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2662</w:t>
            </w:r>
          </w:p>
        </w:tc>
        <w:tc>
          <w:tcPr>
            <w:tcW w:w="860"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2217</w:t>
            </w:r>
          </w:p>
        </w:tc>
        <w:tc>
          <w:tcPr>
            <w:tcW w:w="937"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2855</w:t>
            </w:r>
          </w:p>
        </w:tc>
        <w:tc>
          <w:tcPr>
            <w:tcW w:w="1015"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2217</w:t>
            </w:r>
          </w:p>
        </w:tc>
      </w:tr>
      <w:tr w:rsidR="006C0911" w:rsidRPr="00DE47A6" w:rsidTr="006C0911">
        <w:trPr>
          <w:cantSplit/>
        </w:trPr>
        <w:tc>
          <w:tcPr>
            <w:tcW w:w="1409" w:type="pct"/>
            <w:shd w:val="clear" w:color="auto" w:fill="DCDDDE"/>
          </w:tcPr>
          <w:p w:rsidR="006C0911" w:rsidRPr="00DE47A6" w:rsidRDefault="006C0911" w:rsidP="006C0AC0">
            <w:pPr>
              <w:keepNext/>
              <w:keepLines/>
              <w:spacing w:after="60"/>
              <w:ind w:left="170" w:right="170"/>
              <w:rPr>
                <w:sz w:val="18"/>
              </w:rPr>
            </w:pPr>
            <w:r w:rsidRPr="00DE47A6">
              <w:rPr>
                <w:sz w:val="18"/>
              </w:rPr>
              <w:t>Rural</w:t>
            </w:r>
          </w:p>
        </w:tc>
        <w:tc>
          <w:tcPr>
            <w:tcW w:w="779"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5723</w:t>
            </w:r>
          </w:p>
        </w:tc>
        <w:tc>
          <w:tcPr>
            <w:tcW w:w="860"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4106</w:t>
            </w:r>
          </w:p>
        </w:tc>
        <w:tc>
          <w:tcPr>
            <w:tcW w:w="937"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2847</w:t>
            </w:r>
          </w:p>
        </w:tc>
        <w:tc>
          <w:tcPr>
            <w:tcW w:w="1015" w:type="pct"/>
            <w:shd w:val="clear" w:color="auto" w:fill="DCDDDE"/>
          </w:tcPr>
          <w:p w:rsidR="006C0911" w:rsidRPr="00DE47A6" w:rsidRDefault="0045732C" w:rsidP="006C0AC0">
            <w:pPr>
              <w:keepNext/>
              <w:keepLines/>
              <w:spacing w:after="60"/>
              <w:ind w:left="170" w:right="170"/>
              <w:rPr>
                <w:rFonts w:cs="Arial"/>
                <w:sz w:val="18"/>
                <w:szCs w:val="18"/>
              </w:rPr>
            </w:pPr>
            <w:r w:rsidRPr="00DE47A6">
              <w:rPr>
                <w:rFonts w:cs="Arial"/>
                <w:sz w:val="18"/>
                <w:szCs w:val="18"/>
              </w:rPr>
              <w:t>2847</w:t>
            </w:r>
          </w:p>
        </w:tc>
      </w:tr>
      <w:tr w:rsidR="000448A8" w:rsidRPr="00DE47A6" w:rsidDel="000C4874" w:rsidTr="000448A8">
        <w:trPr>
          <w:cantSplit/>
        </w:trPr>
        <w:tc>
          <w:tcPr>
            <w:tcW w:w="5000" w:type="pct"/>
            <w:gridSpan w:val="5"/>
            <w:shd w:val="clear" w:color="auto" w:fill="DCDDDE"/>
          </w:tcPr>
          <w:p w:rsidR="000448A8" w:rsidRPr="00DE47A6" w:rsidRDefault="000448A8" w:rsidP="006C0AC0">
            <w:pPr>
              <w:keepNext/>
              <w:keepLines/>
              <w:spacing w:after="60"/>
              <w:ind w:left="170" w:right="170"/>
              <w:rPr>
                <w:i/>
                <w:sz w:val="18"/>
              </w:rPr>
            </w:pPr>
            <w:r w:rsidRPr="00DE47A6">
              <w:rPr>
                <w:i/>
                <w:sz w:val="18"/>
              </w:rPr>
              <w:t>Notes</w:t>
            </w:r>
          </w:p>
          <w:p w:rsidR="000448A8" w:rsidRPr="00DE47A6" w:rsidRDefault="000448A8" w:rsidP="006C0AC0">
            <w:pPr>
              <w:keepNext/>
              <w:keepLines/>
              <w:spacing w:after="60"/>
              <w:ind w:left="170" w:right="170"/>
              <w:rPr>
                <w:rFonts w:cs="Arial"/>
                <w:sz w:val="18"/>
                <w:szCs w:val="18"/>
              </w:rPr>
            </w:pPr>
            <w:r w:rsidRPr="00DE47A6">
              <w:rPr>
                <w:rFonts w:cs="Arial"/>
                <w:sz w:val="18"/>
                <w:szCs w:val="18"/>
              </w:rPr>
              <w:t>Source: ACMA assignment database</w:t>
            </w:r>
            <w:r w:rsidR="0045732C" w:rsidRPr="00DE47A6">
              <w:rPr>
                <w:rFonts w:cs="Arial"/>
                <w:sz w:val="18"/>
                <w:szCs w:val="18"/>
              </w:rPr>
              <w:t xml:space="preserve"> (June 2011)</w:t>
            </w:r>
          </w:p>
          <w:p w:rsidR="000448A8" w:rsidRPr="00DE47A6" w:rsidDel="000C4874" w:rsidRDefault="000448A8" w:rsidP="006C0AC0">
            <w:pPr>
              <w:keepNext/>
              <w:keepLines/>
              <w:spacing w:after="60"/>
              <w:ind w:left="170" w:right="170"/>
              <w:rPr>
                <w:sz w:val="18"/>
                <w:szCs w:val="18"/>
              </w:rPr>
            </w:pPr>
            <w:r w:rsidRPr="00DE47A6">
              <w:rPr>
                <w:rFonts w:cs="Arial"/>
                <w:sz w:val="18"/>
                <w:szCs w:val="18"/>
              </w:rPr>
              <w:t xml:space="preserve">Derived from a list of unique site identifiers in the ACMA assignment database. “Typical” operator site numbers are based on </w:t>
            </w:r>
            <w:r w:rsidR="0045732C" w:rsidRPr="00DE47A6">
              <w:rPr>
                <w:rFonts w:cs="Arial"/>
                <w:sz w:val="18"/>
                <w:szCs w:val="18"/>
              </w:rPr>
              <w:t>the lowest number of sites in each environment</w:t>
            </w:r>
            <w:r w:rsidRPr="00DE47A6">
              <w:rPr>
                <w:rFonts w:cs="Arial"/>
                <w:sz w:val="18"/>
                <w:szCs w:val="18"/>
              </w:rPr>
              <w:t xml:space="preserve">. </w:t>
            </w:r>
          </w:p>
        </w:tc>
      </w:tr>
    </w:tbl>
    <w:p w:rsidR="00BE01D3" w:rsidRDefault="000448A8">
      <w:pPr>
        <w:pStyle w:val="AfterTable"/>
      </w:pPr>
      <w:r>
        <w:t xml:space="preserve">To understand the impact of traffic growth on the network, the traffic </w:t>
      </w:r>
      <w:r w:rsidR="006C0911">
        <w:t>is</w:t>
      </w:r>
      <w:r>
        <w:t xml:space="preserve"> distributed across urban, suburban and rural areas. We have assumed that traffic will be distributed according to population. The estimated population distribution across urban, suburban and rural areas is shown in</w:t>
      </w:r>
      <w:r w:rsidR="00C63DE4">
        <w:t xml:space="preserve"> Table A-5.</w:t>
      </w:r>
    </w:p>
    <w:p w:rsidR="000448A8" w:rsidRDefault="00C63DE4" w:rsidP="000448A8">
      <w:pPr>
        <w:pStyle w:val="TableCaption"/>
      </w:pPr>
      <w:r>
        <w:t>Table A-5</w:t>
      </w:r>
      <w:r w:rsidR="000448A8" w:rsidRPr="00C0159A">
        <w:t xml:space="preserve">: </w:t>
      </w:r>
      <w:r w:rsidR="000448A8">
        <w:t>Distribution of population by area type</w:t>
      </w:r>
    </w:p>
    <w:tbl>
      <w:tblPr>
        <w:tblW w:w="90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0" w:type="dxa"/>
          <w:bottom w:w="57" w:type="dxa"/>
          <w:right w:w="0" w:type="dxa"/>
        </w:tblCellMar>
        <w:tblLook w:val="01E0" w:firstRow="1" w:lastRow="1" w:firstColumn="1" w:lastColumn="1" w:noHBand="0" w:noVBand="0"/>
      </w:tblPr>
      <w:tblGrid>
        <w:gridCol w:w="3026"/>
        <w:gridCol w:w="3026"/>
        <w:gridCol w:w="3024"/>
      </w:tblGrid>
      <w:tr w:rsidR="006C0911" w:rsidRPr="00DE47A6" w:rsidTr="006C0911">
        <w:tc>
          <w:tcPr>
            <w:tcW w:w="1667" w:type="pct"/>
            <w:shd w:val="clear" w:color="auto" w:fill="939598"/>
          </w:tcPr>
          <w:p w:rsidR="006C0911" w:rsidRPr="00DE47A6" w:rsidRDefault="006C0911" w:rsidP="000448A8">
            <w:pPr>
              <w:keepNext/>
              <w:spacing w:after="60"/>
              <w:ind w:left="170" w:right="170"/>
              <w:rPr>
                <w:color w:val="FFFFFF"/>
                <w:sz w:val="18"/>
              </w:rPr>
            </w:pPr>
            <w:r w:rsidRPr="00DE47A6">
              <w:rPr>
                <w:color w:val="FFFFFF"/>
                <w:sz w:val="18"/>
              </w:rPr>
              <w:t>Area type</w:t>
            </w:r>
          </w:p>
        </w:tc>
        <w:tc>
          <w:tcPr>
            <w:tcW w:w="1667" w:type="pct"/>
            <w:shd w:val="clear" w:color="auto" w:fill="939598"/>
          </w:tcPr>
          <w:p w:rsidR="006C0911" w:rsidRPr="00DE47A6" w:rsidRDefault="006C0911" w:rsidP="000448A8">
            <w:pPr>
              <w:keepNext/>
              <w:spacing w:after="60"/>
              <w:ind w:left="170" w:right="170"/>
              <w:rPr>
                <w:color w:val="FFFFFF"/>
                <w:sz w:val="18"/>
              </w:rPr>
            </w:pPr>
            <w:r w:rsidRPr="00DE47A6">
              <w:rPr>
                <w:color w:val="FFFFFF"/>
                <w:sz w:val="18"/>
              </w:rPr>
              <w:t>Estimated population</w:t>
            </w:r>
          </w:p>
        </w:tc>
        <w:tc>
          <w:tcPr>
            <w:tcW w:w="1666" w:type="pct"/>
            <w:shd w:val="clear" w:color="auto" w:fill="939598"/>
          </w:tcPr>
          <w:p w:rsidR="006C0911" w:rsidRPr="00DE47A6" w:rsidRDefault="006C0911" w:rsidP="000448A8">
            <w:pPr>
              <w:keepNext/>
              <w:spacing w:after="60"/>
              <w:ind w:left="170" w:right="170"/>
              <w:rPr>
                <w:color w:val="FFFFFF"/>
                <w:sz w:val="18"/>
              </w:rPr>
            </w:pPr>
            <w:r w:rsidRPr="00DE47A6">
              <w:rPr>
                <w:color w:val="FFFFFF"/>
                <w:sz w:val="18"/>
              </w:rPr>
              <w:t>Proportion of total population</w:t>
            </w:r>
          </w:p>
        </w:tc>
      </w:tr>
      <w:tr w:rsidR="006C0911" w:rsidRPr="00DE47A6" w:rsidTr="006C0911">
        <w:tc>
          <w:tcPr>
            <w:tcW w:w="1667" w:type="pct"/>
            <w:shd w:val="clear" w:color="auto" w:fill="DCDDDE"/>
          </w:tcPr>
          <w:p w:rsidR="006C0911" w:rsidRPr="00DE47A6" w:rsidRDefault="006C0911" w:rsidP="000448A8">
            <w:pPr>
              <w:keepNext/>
              <w:spacing w:after="60"/>
              <w:ind w:left="170" w:right="170"/>
              <w:rPr>
                <w:sz w:val="18"/>
              </w:rPr>
            </w:pPr>
            <w:r w:rsidRPr="00DE47A6">
              <w:rPr>
                <w:sz w:val="18"/>
              </w:rPr>
              <w:t>Urban</w:t>
            </w:r>
          </w:p>
        </w:tc>
        <w:tc>
          <w:tcPr>
            <w:tcW w:w="1667" w:type="pct"/>
            <w:shd w:val="clear" w:color="auto" w:fill="DCDDDE"/>
          </w:tcPr>
          <w:p w:rsidR="006C0911" w:rsidRPr="00DE47A6" w:rsidRDefault="006C0911" w:rsidP="000448A8">
            <w:pPr>
              <w:keepNext/>
              <w:spacing w:after="60"/>
              <w:ind w:left="170" w:right="170"/>
              <w:rPr>
                <w:sz w:val="18"/>
              </w:rPr>
            </w:pPr>
            <w:r w:rsidRPr="00DE47A6">
              <w:rPr>
                <w:sz w:val="18"/>
              </w:rPr>
              <w:t>1,781,500</w:t>
            </w:r>
          </w:p>
        </w:tc>
        <w:tc>
          <w:tcPr>
            <w:tcW w:w="1666" w:type="pct"/>
            <w:shd w:val="clear" w:color="auto" w:fill="DCDDDE"/>
          </w:tcPr>
          <w:p w:rsidR="006C0911" w:rsidRPr="00DE47A6" w:rsidRDefault="006C0911" w:rsidP="000448A8">
            <w:pPr>
              <w:keepNext/>
              <w:spacing w:after="60"/>
              <w:ind w:left="170" w:right="170"/>
              <w:rPr>
                <w:sz w:val="18"/>
              </w:rPr>
            </w:pPr>
            <w:r w:rsidRPr="00DE47A6">
              <w:rPr>
                <w:sz w:val="18"/>
              </w:rPr>
              <w:t>8.1%</w:t>
            </w:r>
          </w:p>
        </w:tc>
      </w:tr>
      <w:tr w:rsidR="006C0911" w:rsidRPr="00DE47A6" w:rsidTr="006C0911">
        <w:tc>
          <w:tcPr>
            <w:tcW w:w="1667" w:type="pct"/>
            <w:shd w:val="clear" w:color="auto" w:fill="DCDDDE"/>
          </w:tcPr>
          <w:p w:rsidR="006C0911" w:rsidRPr="00DE47A6" w:rsidRDefault="006C0911" w:rsidP="000448A8">
            <w:pPr>
              <w:keepNext/>
              <w:spacing w:after="60"/>
              <w:ind w:left="170" w:right="170"/>
              <w:rPr>
                <w:sz w:val="18"/>
              </w:rPr>
            </w:pPr>
            <w:r w:rsidRPr="00DE47A6">
              <w:rPr>
                <w:sz w:val="18"/>
              </w:rPr>
              <w:t>Suburban</w:t>
            </w:r>
          </w:p>
        </w:tc>
        <w:tc>
          <w:tcPr>
            <w:tcW w:w="1667" w:type="pct"/>
            <w:shd w:val="clear" w:color="auto" w:fill="DCDDDE"/>
          </w:tcPr>
          <w:p w:rsidR="006C0911" w:rsidRPr="00DE47A6" w:rsidRDefault="006C0911" w:rsidP="000448A8">
            <w:pPr>
              <w:keepNext/>
              <w:spacing w:after="60"/>
              <w:ind w:left="170" w:right="170"/>
              <w:rPr>
                <w:sz w:val="18"/>
              </w:rPr>
            </w:pPr>
            <w:r w:rsidRPr="00DE47A6">
              <w:rPr>
                <w:sz w:val="18"/>
              </w:rPr>
              <w:t>15,567,000</w:t>
            </w:r>
          </w:p>
        </w:tc>
        <w:tc>
          <w:tcPr>
            <w:tcW w:w="1666" w:type="pct"/>
            <w:shd w:val="clear" w:color="auto" w:fill="DCDDDE"/>
          </w:tcPr>
          <w:p w:rsidR="006C0911" w:rsidRPr="00DE47A6" w:rsidRDefault="006C0911" w:rsidP="000448A8">
            <w:pPr>
              <w:keepNext/>
              <w:spacing w:after="60"/>
              <w:ind w:left="170" w:right="170"/>
              <w:rPr>
                <w:sz w:val="18"/>
              </w:rPr>
            </w:pPr>
            <w:r w:rsidRPr="00DE47A6">
              <w:rPr>
                <w:sz w:val="18"/>
              </w:rPr>
              <w:t>70.4%</w:t>
            </w:r>
          </w:p>
        </w:tc>
      </w:tr>
      <w:tr w:rsidR="006C0911" w:rsidRPr="00DE47A6" w:rsidTr="006C0911">
        <w:tc>
          <w:tcPr>
            <w:tcW w:w="1667" w:type="pct"/>
            <w:shd w:val="clear" w:color="auto" w:fill="DCDDDE"/>
          </w:tcPr>
          <w:p w:rsidR="006C0911" w:rsidRPr="00DE47A6" w:rsidRDefault="006C0911" w:rsidP="000448A8">
            <w:pPr>
              <w:keepNext/>
              <w:spacing w:after="60"/>
              <w:ind w:left="170" w:right="170"/>
              <w:rPr>
                <w:sz w:val="18"/>
              </w:rPr>
            </w:pPr>
            <w:r w:rsidRPr="00DE47A6">
              <w:rPr>
                <w:sz w:val="18"/>
              </w:rPr>
              <w:t>Rural</w:t>
            </w:r>
          </w:p>
        </w:tc>
        <w:tc>
          <w:tcPr>
            <w:tcW w:w="1667" w:type="pct"/>
            <w:shd w:val="clear" w:color="auto" w:fill="DCDDDE"/>
          </w:tcPr>
          <w:p w:rsidR="006C0911" w:rsidRPr="00DE47A6" w:rsidRDefault="006C0911" w:rsidP="000448A8">
            <w:pPr>
              <w:keepNext/>
              <w:spacing w:after="60"/>
              <w:ind w:left="170" w:right="170"/>
              <w:rPr>
                <w:sz w:val="18"/>
              </w:rPr>
            </w:pPr>
            <w:r w:rsidRPr="00DE47A6">
              <w:rPr>
                <w:sz w:val="18"/>
              </w:rPr>
              <w:t>4,759,000</w:t>
            </w:r>
          </w:p>
        </w:tc>
        <w:tc>
          <w:tcPr>
            <w:tcW w:w="1666" w:type="pct"/>
            <w:shd w:val="clear" w:color="auto" w:fill="DCDDDE"/>
          </w:tcPr>
          <w:p w:rsidR="006C0911" w:rsidRPr="00DE47A6" w:rsidRDefault="006C0911" w:rsidP="000448A8">
            <w:pPr>
              <w:keepNext/>
              <w:spacing w:after="60"/>
              <w:ind w:left="170" w:right="170"/>
              <w:rPr>
                <w:sz w:val="18"/>
              </w:rPr>
            </w:pPr>
            <w:r w:rsidRPr="00DE47A6">
              <w:rPr>
                <w:sz w:val="18"/>
              </w:rPr>
              <w:t>21.5%</w:t>
            </w:r>
          </w:p>
        </w:tc>
      </w:tr>
      <w:tr w:rsidR="006C0911" w:rsidRPr="00DE47A6" w:rsidTr="006C0911">
        <w:tc>
          <w:tcPr>
            <w:tcW w:w="5000" w:type="pct"/>
            <w:gridSpan w:val="3"/>
            <w:shd w:val="clear" w:color="auto" w:fill="DCDDDE"/>
          </w:tcPr>
          <w:p w:rsidR="006C0911" w:rsidRPr="00357F59" w:rsidRDefault="006C0911" w:rsidP="000448A8">
            <w:pPr>
              <w:pStyle w:val="BodyText"/>
              <w:ind w:left="170" w:right="170"/>
              <w:rPr>
                <w:sz w:val="18"/>
                <w:szCs w:val="18"/>
              </w:rPr>
            </w:pPr>
            <w:r w:rsidRPr="00357F59">
              <w:rPr>
                <w:sz w:val="18"/>
                <w:szCs w:val="18"/>
              </w:rPr>
              <w:t>Note</w:t>
            </w:r>
            <w:r w:rsidR="007D28EA">
              <w:rPr>
                <w:sz w:val="18"/>
                <w:szCs w:val="18"/>
              </w:rPr>
              <w:t>:</w:t>
            </w:r>
            <w:r w:rsidR="00021A4F">
              <w:rPr>
                <w:sz w:val="18"/>
                <w:szCs w:val="18"/>
              </w:rPr>
              <w:t xml:space="preserve"> </w:t>
            </w:r>
            <w:r w:rsidRPr="00357F59">
              <w:rPr>
                <w:sz w:val="18"/>
                <w:szCs w:val="18"/>
              </w:rPr>
              <w:t>Urban population also includes workforce and visitors Data were obtained from:</w:t>
            </w:r>
          </w:p>
          <w:p w:rsidR="006C0911" w:rsidRPr="004103DE" w:rsidRDefault="00302A9C" w:rsidP="000448A8">
            <w:pPr>
              <w:pStyle w:val="BodyText"/>
              <w:ind w:left="170" w:right="170"/>
              <w:rPr>
                <w:sz w:val="18"/>
                <w:szCs w:val="18"/>
              </w:rPr>
            </w:pPr>
            <w:hyperlink r:id="rId16" w:history="1">
              <w:r w:rsidR="00B36A6E" w:rsidRPr="00B36A6E">
                <w:rPr>
                  <w:rStyle w:val="Hyperlink"/>
                  <w:color w:val="auto"/>
                  <w:sz w:val="18"/>
                  <w:szCs w:val="18"/>
                </w:rPr>
                <w:t>www.citypopulation.de</w:t>
              </w:r>
            </w:hyperlink>
            <w:r w:rsidR="00B36A6E" w:rsidRPr="00B36A6E">
              <w:rPr>
                <w:sz w:val="18"/>
                <w:szCs w:val="18"/>
              </w:rPr>
              <w:t xml:space="preserve"> (based on 2006 Australian census data)..</w:t>
            </w:r>
            <w:r w:rsidR="00B36A6E" w:rsidRPr="00B36A6E">
              <w:rPr>
                <w:sz w:val="18"/>
                <w:szCs w:val="18"/>
              </w:rPr>
              <w:br/>
            </w:r>
            <w:hyperlink r:id="rId17" w:history="1">
              <w:r w:rsidR="00B36A6E" w:rsidRPr="00B36A6E">
                <w:rPr>
                  <w:rStyle w:val="Hyperlink"/>
                  <w:color w:val="auto"/>
                  <w:sz w:val="18"/>
                  <w:szCs w:val="18"/>
                </w:rPr>
                <w:t>http://cityofsydney.nsw.gov.au/AboutSydney/CityResearch/AtAGlance.asp</w:t>
              </w:r>
            </w:hyperlink>
            <w:r w:rsidR="00B36A6E" w:rsidRPr="00B36A6E">
              <w:rPr>
                <w:sz w:val="18"/>
                <w:szCs w:val="18"/>
              </w:rPr>
              <w:br/>
            </w:r>
            <w:hyperlink r:id="rId18" w:history="1">
              <w:r w:rsidR="00B36A6E" w:rsidRPr="00B36A6E">
                <w:rPr>
                  <w:rStyle w:val="Hyperlink"/>
                  <w:color w:val="auto"/>
                  <w:sz w:val="18"/>
                  <w:szCs w:val="18"/>
                </w:rPr>
                <w:t>http://www.melbourne.vic.gov.au/info.cfm?top=66&amp;pa=779&amp;pg=900</w:t>
              </w:r>
            </w:hyperlink>
            <w:r w:rsidR="00B36A6E" w:rsidRPr="00B36A6E">
              <w:rPr>
                <w:sz w:val="18"/>
                <w:szCs w:val="18"/>
              </w:rPr>
              <w:br/>
            </w:r>
            <w:hyperlink r:id="rId19" w:history="1">
              <w:r w:rsidR="00B36A6E" w:rsidRPr="00B36A6E">
                <w:rPr>
                  <w:rStyle w:val="Hyperlink"/>
                  <w:color w:val="auto"/>
                  <w:sz w:val="18"/>
                  <w:szCs w:val="18"/>
                </w:rPr>
                <w:t>http://www.brisbane.qld.gov.au/bccwr/about_council/documents/sept07_context_brisbane_mass_transit_investigation_lmt.pdf</w:t>
              </w:r>
            </w:hyperlink>
          </w:p>
        </w:tc>
      </w:tr>
    </w:tbl>
    <w:p w:rsidR="00BE01D3" w:rsidRDefault="000448A8">
      <w:pPr>
        <w:pStyle w:val="AfterTable"/>
      </w:pPr>
      <w:r>
        <w:t>Traffic estimates are formed by forecasting the average traffic per subscriber for 2G, 3G and LTE services and distributing the subscriber base across environments in proportion to population.</w:t>
      </w:r>
    </w:p>
    <w:p w:rsidR="000448A8" w:rsidRDefault="00C36F15" w:rsidP="00021A4F">
      <w:pPr>
        <w:pStyle w:val="Heading3unnumbered"/>
        <w:ind w:left="851" w:hanging="851"/>
      </w:pPr>
      <w:r>
        <w:t>A.2.3</w:t>
      </w:r>
      <w:r>
        <w:tab/>
      </w:r>
      <w:r w:rsidR="000448A8">
        <w:t>Traffic growth</w:t>
      </w:r>
    </w:p>
    <w:p w:rsidR="00021A4F" w:rsidRDefault="000448A8" w:rsidP="000448A8">
      <w:pPr>
        <w:pStyle w:val="BodyText"/>
      </w:pPr>
      <w:r>
        <w:t xml:space="preserve">Traffic is expected to grow substantially </w:t>
      </w:r>
      <w:r w:rsidR="00E5317E">
        <w:t xml:space="preserve">in </w:t>
      </w:r>
      <w:r>
        <w:t>the period to 20</w:t>
      </w:r>
      <w:r w:rsidR="00A26E9D">
        <w:t>28</w:t>
      </w:r>
      <w:r>
        <w:t xml:space="preserve">. Voice traffic </w:t>
      </w:r>
      <w:r w:rsidR="00E5317E">
        <w:t xml:space="preserve">growth </w:t>
      </w:r>
      <w:r>
        <w:t xml:space="preserve">has </w:t>
      </w:r>
      <w:r w:rsidR="0045732C">
        <w:t xml:space="preserve">declined in recent years and we have assumed that voice growth will slow from </w:t>
      </w:r>
      <w:r w:rsidR="00E5317E">
        <w:t>4.4</w:t>
      </w:r>
      <w:r w:rsidR="0045732C">
        <w:t>% p.a. in 2010</w:t>
      </w:r>
      <w:r w:rsidR="0057020F">
        <w:rPr>
          <w:rStyle w:val="FootnoteReference"/>
        </w:rPr>
        <w:footnoteReference w:id="27"/>
      </w:r>
      <w:r w:rsidR="0045732C">
        <w:t xml:space="preserve"> to zero growth in 2016. T</w:t>
      </w:r>
      <w:r>
        <w:t>here is considerable uncertainty regarding mobile data volumes demanded over the next few years and growth in the longer term is even more speculative since it relies on as yet unknown services and applications.</w:t>
      </w:r>
      <w:r w:rsidR="00840927">
        <w:t xml:space="preserve"> </w:t>
      </w:r>
      <w:r>
        <w:t>We have taken a top down approach to modelling mobile data traffic. We start with a forecast for total mobile data traffic in Australia and then break split this total between 3G</w:t>
      </w:r>
      <w:r w:rsidR="0045732C">
        <w:t xml:space="preserve"> and </w:t>
      </w:r>
      <w:r>
        <w:t xml:space="preserve">LTE </w:t>
      </w:r>
      <w:r w:rsidR="0045732C">
        <w:t>technologies</w:t>
      </w:r>
      <w:r>
        <w:t>.</w:t>
      </w:r>
    </w:p>
    <w:p w:rsidR="00840927" w:rsidRDefault="00FA19C4" w:rsidP="000448A8">
      <w:pPr>
        <w:pStyle w:val="BodyText"/>
      </w:pPr>
      <w:r>
        <w:t>A</w:t>
      </w:r>
      <w:r w:rsidR="0045732C">
        <w:t xml:space="preserve"> range of </w:t>
      </w:r>
      <w:r w:rsidR="000448A8">
        <w:t>forecast</w:t>
      </w:r>
      <w:r w:rsidR="0045732C">
        <w:t>s</w:t>
      </w:r>
      <w:r w:rsidR="000448A8">
        <w:t xml:space="preserve"> for </w:t>
      </w:r>
      <w:r w:rsidR="0045732C">
        <w:t xml:space="preserve">global mobile </w:t>
      </w:r>
      <w:r w:rsidR="000448A8">
        <w:t>data growth</w:t>
      </w:r>
      <w:r>
        <w:t xml:space="preserve"> were considered</w:t>
      </w:r>
      <w:r w:rsidR="0045732C">
        <w:t>.</w:t>
      </w:r>
      <w:r w:rsidR="000448A8">
        <w:t xml:space="preserve"> To perform the analysis we adopted the Western Europe data volumes per person, since we consider these more typical for Australia rather than the average across the Asia Pacific region.</w:t>
      </w:r>
      <w:r w:rsidR="00840927">
        <w:t xml:space="preserve"> </w:t>
      </w:r>
      <w:r w:rsidR="0045732C">
        <w:t>The forecasts from Cisco Systems</w:t>
      </w:r>
      <w:r w:rsidR="0045732C">
        <w:rPr>
          <w:rStyle w:val="FootnoteReference"/>
        </w:rPr>
        <w:footnoteReference w:id="28"/>
      </w:r>
      <w:r w:rsidR="0045732C">
        <w:t>, ABI Research</w:t>
      </w:r>
      <w:r w:rsidR="0045732C">
        <w:rPr>
          <w:rStyle w:val="FootnoteReference"/>
        </w:rPr>
        <w:footnoteReference w:id="29"/>
      </w:r>
      <w:r w:rsidR="0045732C">
        <w:t xml:space="preserve"> and IDATE</w:t>
      </w:r>
      <w:r w:rsidR="0045732C">
        <w:rPr>
          <w:rStyle w:val="FootnoteReference"/>
        </w:rPr>
        <w:footnoteReference w:id="30"/>
      </w:r>
      <w:r w:rsidR="0045732C">
        <w:t xml:space="preserve"> cover the period 2011 to 2015 for Western Europe.</w:t>
      </w:r>
    </w:p>
    <w:p w:rsidR="0057020F" w:rsidRDefault="00840927" w:rsidP="000448A8">
      <w:pPr>
        <w:pStyle w:val="BodyText"/>
      </w:pPr>
      <w:r>
        <w:t xml:space="preserve">The Cisco </w:t>
      </w:r>
      <w:r w:rsidR="0057020F">
        <w:t xml:space="preserve">and ABI </w:t>
      </w:r>
      <w:r>
        <w:t>forecast</w:t>
      </w:r>
      <w:r w:rsidR="0057020F">
        <w:t>s</w:t>
      </w:r>
      <w:r>
        <w:t xml:space="preserve"> </w:t>
      </w:r>
      <w:r w:rsidR="0057020F">
        <w:t>were</w:t>
      </w:r>
      <w:r>
        <w:t xml:space="preserve"> projected over the licence period by fitting a </w:t>
      </w:r>
      <w:proofErr w:type="spellStart"/>
      <w:r>
        <w:t>Gompertz</w:t>
      </w:r>
      <w:proofErr w:type="spellEnd"/>
      <w:r>
        <w:t xml:space="preserve"> curve</w:t>
      </w:r>
      <w:r w:rsidR="0057020F">
        <w:t>,</w:t>
      </w:r>
      <w:r>
        <w:t xml:space="preserve"> then scal</w:t>
      </w:r>
      <w:r w:rsidR="00CA011C">
        <w:t xml:space="preserve">ing </w:t>
      </w:r>
      <w:r>
        <w:t xml:space="preserve">to Australia by population. </w:t>
      </w:r>
      <w:r w:rsidR="0057020F">
        <w:t>We have adopted the Cisco and ABI forecasts as the traffic forecast for our high and low scenarios respectively. The medium forecast is mid</w:t>
      </w:r>
      <w:r w:rsidR="0011228F">
        <w:t>-</w:t>
      </w:r>
      <w:r w:rsidR="0057020F">
        <w:t>way between these two forecasts.</w:t>
      </w:r>
    </w:p>
    <w:p w:rsidR="000448A8" w:rsidRDefault="000448A8" w:rsidP="000448A8">
      <w:pPr>
        <w:pStyle w:val="BodyText"/>
      </w:pPr>
      <w:r>
        <w:t xml:space="preserve">The </w:t>
      </w:r>
      <w:r w:rsidR="00C11353">
        <w:t>projected monthly</w:t>
      </w:r>
      <w:r w:rsidR="00840927">
        <w:t xml:space="preserve"> traffic volume for Australia is </w:t>
      </w:r>
      <w:r>
        <w:t xml:space="preserve">shown </w:t>
      </w:r>
      <w:r w:rsidR="00C63DE4">
        <w:t>in Figure A-1</w:t>
      </w:r>
      <w:r>
        <w:t xml:space="preserve"> </w:t>
      </w:r>
      <w:r w:rsidR="00840927">
        <w:t xml:space="preserve">for all the </w:t>
      </w:r>
      <w:r>
        <w:t>scenario</w:t>
      </w:r>
      <w:r w:rsidR="00840927">
        <w:t>s</w:t>
      </w:r>
      <w:r>
        <w:t>.</w:t>
      </w:r>
    </w:p>
    <w:p w:rsidR="000448A8" w:rsidRDefault="00B85D4F" w:rsidP="000448A8">
      <w:pPr>
        <w:pStyle w:val="FigureCaption"/>
      </w:pPr>
      <w:r>
        <w:t>Figure A-1</w:t>
      </w:r>
      <w:r w:rsidR="000448A8" w:rsidRPr="00C0159A">
        <w:t xml:space="preserve">: </w:t>
      </w:r>
      <w:r w:rsidR="003D3D84">
        <w:t>Estimated t</w:t>
      </w:r>
      <w:r w:rsidR="000448A8">
        <w:t>otal forecast mobile traffic in Australia 20</w:t>
      </w:r>
      <w:r w:rsidR="00840927">
        <w:t>10</w:t>
      </w:r>
      <w:r w:rsidR="00526946">
        <w:t>–</w:t>
      </w:r>
      <w:r w:rsidR="000448A8">
        <w:t>20</w:t>
      </w:r>
      <w:r w:rsidR="00840927">
        <w:t>28</w:t>
      </w:r>
    </w:p>
    <w:p w:rsidR="000448A8" w:rsidRPr="00BB61D4" w:rsidRDefault="00D02120" w:rsidP="000448A8">
      <w:pPr>
        <w:pStyle w:val="BodyText"/>
      </w:pPr>
      <w:r w:rsidRPr="00FA0763">
        <w:rPr>
          <w:noProof/>
          <w:lang w:val="en-AU" w:eastAsia="en-AU"/>
        </w:rPr>
        <w:drawing>
          <wp:inline distT="0" distB="0" distL="0" distR="0" wp14:anchorId="04128C4A" wp14:editId="569CA71B">
            <wp:extent cx="5286375" cy="3457575"/>
            <wp:effectExtent l="0" t="0" r="9525" b="9525"/>
            <wp:docPr id="1" name="Picture 5" descr="Mobile traffic in Australia (P bytes per month) from 2010 to 2028.&#10;&#10;UMTS Forum in 2012 and 2020.&#10;&#10;Low scenario - ABI Research (2011) extrapolated from zero in 2010 to just below 300 P bytes per month.&#10;&#10;Medium scenario from zero in 2010 to just above 600 P bytes per month in 2028.&#10;&#10;High scenario - Cisco (2011) extrapolated, from zero in 2010 to around 950 P bytes per month in 2028.&#10;&#10;" title="Estimated total forecast mobile traffic in Australia 20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3457575"/>
                    </a:xfrm>
                    <a:prstGeom prst="rect">
                      <a:avLst/>
                    </a:prstGeom>
                    <a:noFill/>
                    <a:ln>
                      <a:noFill/>
                    </a:ln>
                  </pic:spPr>
                </pic:pic>
              </a:graphicData>
            </a:graphic>
          </wp:inline>
        </w:drawing>
      </w:r>
    </w:p>
    <w:p w:rsidR="0057020F" w:rsidRDefault="000448A8" w:rsidP="000448A8">
      <w:pPr>
        <w:pStyle w:val="BodyText"/>
        <w:rPr>
          <w:i/>
        </w:rPr>
      </w:pPr>
      <w:r w:rsidRPr="00DD2697">
        <w:rPr>
          <w:i/>
        </w:rPr>
        <w:t>Source</w:t>
      </w:r>
      <w:r w:rsidR="00703FB0">
        <w:rPr>
          <w:i/>
        </w:rPr>
        <w:t>s</w:t>
      </w:r>
      <w:r w:rsidRPr="00DD2697">
        <w:rPr>
          <w:i/>
        </w:rPr>
        <w:t>: Cisco</w:t>
      </w:r>
      <w:r w:rsidR="00703FB0">
        <w:rPr>
          <w:i/>
        </w:rPr>
        <w:t>, ABI Research, UMTS Forum</w:t>
      </w:r>
      <w:r w:rsidRPr="00DD2697">
        <w:rPr>
          <w:i/>
        </w:rPr>
        <w:t xml:space="preserve"> and Plum estimates</w:t>
      </w:r>
    </w:p>
    <w:p w:rsidR="0057020F" w:rsidRDefault="0057020F" w:rsidP="0057020F">
      <w:pPr>
        <w:pStyle w:val="BodyText"/>
      </w:pPr>
      <w:r>
        <w:t>The monthly projections are converted to busy hour figures by assuming 30 days in each month and 7.5% of daily traffic will occur in the busy hour.</w:t>
      </w:r>
    </w:p>
    <w:p w:rsidR="003D2AF1" w:rsidRDefault="00C36F15" w:rsidP="00021A4F">
      <w:pPr>
        <w:pStyle w:val="Heading3unnumbered"/>
        <w:ind w:left="851" w:hanging="851"/>
      </w:pPr>
      <w:r>
        <w:t>A.3</w:t>
      </w:r>
      <w:r>
        <w:tab/>
      </w:r>
      <w:r w:rsidR="003D2AF1" w:rsidRPr="00021A4F">
        <w:t>Network</w:t>
      </w:r>
      <w:r w:rsidR="003D2AF1">
        <w:t xml:space="preserve"> efficiency</w:t>
      </w:r>
    </w:p>
    <w:p w:rsidR="006D7321" w:rsidRDefault="00FA00CD" w:rsidP="006D7321">
      <w:pPr>
        <w:pStyle w:val="BodyText"/>
      </w:pPr>
      <w:r>
        <w:t xml:space="preserve">The traffic demand is converted into infrastructure demand using a set of spectral </w:t>
      </w:r>
      <w:r w:rsidR="003D2AF1">
        <w:t xml:space="preserve">efficiency assumptions </w:t>
      </w:r>
      <w:r>
        <w:t>and network efficiency assumptions. These are detailed in</w:t>
      </w:r>
      <w:r w:rsidR="00C63DE4">
        <w:t xml:space="preserve"> Table A-6</w:t>
      </w:r>
      <w:r>
        <w:t xml:space="preserve"> and </w:t>
      </w:r>
      <w:r w:rsidR="006D7321">
        <w:t>Table A</w:t>
      </w:r>
      <w:r w:rsidR="006D7321" w:rsidRPr="00C0159A">
        <w:noBreakHyphen/>
      </w:r>
      <w:r w:rsidR="007D28EA">
        <w:t>7</w:t>
      </w:r>
      <w:r w:rsidR="006D7321">
        <w:t xml:space="preserve"> </w:t>
      </w:r>
      <w:r>
        <w:t>respectively.</w:t>
      </w:r>
    </w:p>
    <w:p w:rsidR="006D7321" w:rsidRDefault="00C63DE4" w:rsidP="005F2BE2">
      <w:pPr>
        <w:pStyle w:val="TableCaption"/>
      </w:pPr>
      <w:r>
        <w:t>Table A-6</w:t>
      </w:r>
      <w:r w:rsidR="006D7321" w:rsidRPr="00C0159A">
        <w:t xml:space="preserve">: </w:t>
      </w:r>
      <w:r w:rsidR="006D7321">
        <w:t>Spectral efficiency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267"/>
        <w:gridCol w:w="2977"/>
        <w:gridCol w:w="3826"/>
      </w:tblGrid>
      <w:tr w:rsidR="00DD1EA2" w:rsidRPr="00DE47A6" w:rsidTr="00DE47A6">
        <w:trPr>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3D2AF1" w:rsidRPr="00DE47A6" w:rsidRDefault="003D2AF1" w:rsidP="00DE47A6">
            <w:pPr>
              <w:keepNext/>
              <w:keepLines/>
              <w:rPr>
                <w:color w:val="FFFFFF"/>
                <w:sz w:val="18"/>
                <w:szCs w:val="18"/>
              </w:rPr>
            </w:pPr>
            <w:r w:rsidRPr="00DE47A6">
              <w:rPr>
                <w:color w:val="FFFFFF"/>
                <w:sz w:val="18"/>
                <w:szCs w:val="18"/>
              </w:rPr>
              <w:t>Service</w:t>
            </w:r>
          </w:p>
        </w:tc>
        <w:tc>
          <w:tcPr>
            <w:tcW w:w="1641"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3D2AF1" w:rsidRPr="00DE47A6" w:rsidRDefault="003D2AF1" w:rsidP="00DE47A6">
            <w:pPr>
              <w:keepNext/>
              <w:keepLines/>
              <w:rPr>
                <w:color w:val="FFFFFF"/>
                <w:sz w:val="18"/>
                <w:szCs w:val="18"/>
              </w:rPr>
            </w:pPr>
            <w:r w:rsidRPr="00DE47A6">
              <w:rPr>
                <w:color w:val="FFFFFF"/>
                <w:sz w:val="18"/>
                <w:szCs w:val="18"/>
              </w:rPr>
              <w:t>Spectral efficiency in bits/Hz/cell</w:t>
            </w:r>
          </w:p>
        </w:tc>
        <w:tc>
          <w:tcPr>
            <w:tcW w:w="2109"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3D2AF1" w:rsidRPr="00DE47A6" w:rsidRDefault="003D2AF1" w:rsidP="00DE47A6">
            <w:pPr>
              <w:keepNext/>
              <w:keepLines/>
              <w:rPr>
                <w:color w:val="FFFFFF"/>
                <w:sz w:val="18"/>
                <w:szCs w:val="18"/>
              </w:rPr>
            </w:pPr>
            <w:r w:rsidRPr="00DE47A6">
              <w:rPr>
                <w:color w:val="FFFFFF"/>
                <w:sz w:val="18"/>
                <w:szCs w:val="18"/>
              </w:rPr>
              <w:t>Comments</w:t>
            </w:r>
          </w:p>
        </w:tc>
      </w:tr>
      <w:tr w:rsidR="00DD1EA2" w:rsidRPr="00DE47A6" w:rsidTr="00DE47A6">
        <w:trPr>
          <w:cantSplit/>
        </w:trPr>
        <w:tc>
          <w:tcPr>
            <w:tcW w:w="1250" w:type="pct"/>
            <w:shd w:val="clear" w:color="auto" w:fill="DCDDDE"/>
          </w:tcPr>
          <w:p w:rsidR="003D2AF1" w:rsidRPr="00DE47A6" w:rsidRDefault="003D2AF1" w:rsidP="00DE47A6">
            <w:pPr>
              <w:keepNext/>
              <w:keepLines/>
              <w:rPr>
                <w:sz w:val="18"/>
                <w:szCs w:val="18"/>
              </w:rPr>
            </w:pPr>
            <w:r w:rsidRPr="00DE47A6">
              <w:rPr>
                <w:sz w:val="18"/>
                <w:szCs w:val="18"/>
              </w:rPr>
              <w:t>GSM voice</w:t>
            </w:r>
          </w:p>
        </w:tc>
        <w:tc>
          <w:tcPr>
            <w:tcW w:w="1641" w:type="pct"/>
            <w:shd w:val="clear" w:color="auto" w:fill="DCDDDE"/>
          </w:tcPr>
          <w:p w:rsidR="003D2AF1" w:rsidRPr="00DE47A6" w:rsidRDefault="003D2AF1" w:rsidP="00DE47A6">
            <w:pPr>
              <w:keepNext/>
              <w:keepLines/>
              <w:rPr>
                <w:sz w:val="18"/>
                <w:szCs w:val="18"/>
              </w:rPr>
            </w:pPr>
            <w:r w:rsidRPr="00DE47A6">
              <w:rPr>
                <w:sz w:val="18"/>
                <w:szCs w:val="18"/>
              </w:rPr>
              <w:t>0.032</w:t>
            </w:r>
          </w:p>
        </w:tc>
        <w:tc>
          <w:tcPr>
            <w:tcW w:w="2109" w:type="pct"/>
            <w:shd w:val="clear" w:color="auto" w:fill="DCDDDE"/>
          </w:tcPr>
          <w:p w:rsidR="003D2AF1" w:rsidRPr="00DE47A6" w:rsidRDefault="00FA00CD" w:rsidP="00DE47A6">
            <w:pPr>
              <w:keepNext/>
              <w:keepLines/>
              <w:rPr>
                <w:sz w:val="18"/>
                <w:szCs w:val="18"/>
              </w:rPr>
            </w:pPr>
            <w:r w:rsidRPr="00DE47A6">
              <w:rPr>
                <w:sz w:val="18"/>
                <w:szCs w:val="18"/>
              </w:rPr>
              <w:t>Throughout the licence period</w:t>
            </w:r>
          </w:p>
        </w:tc>
      </w:tr>
      <w:tr w:rsidR="00DD1EA2" w:rsidRPr="00DE47A6" w:rsidTr="00DE47A6">
        <w:trPr>
          <w:cantSplit/>
        </w:trPr>
        <w:tc>
          <w:tcPr>
            <w:tcW w:w="1250" w:type="pct"/>
            <w:shd w:val="clear" w:color="auto" w:fill="DCDDDE"/>
          </w:tcPr>
          <w:p w:rsidR="003D2AF1" w:rsidRPr="00DE47A6" w:rsidRDefault="003D2AF1" w:rsidP="00DE47A6">
            <w:pPr>
              <w:keepNext/>
              <w:keepLines/>
              <w:rPr>
                <w:sz w:val="18"/>
                <w:szCs w:val="18"/>
              </w:rPr>
            </w:pPr>
            <w:r w:rsidRPr="00DE47A6">
              <w:rPr>
                <w:sz w:val="18"/>
                <w:szCs w:val="18"/>
              </w:rPr>
              <w:t>WCDMA voice</w:t>
            </w:r>
          </w:p>
        </w:tc>
        <w:tc>
          <w:tcPr>
            <w:tcW w:w="1641" w:type="pct"/>
            <w:shd w:val="clear" w:color="auto" w:fill="DCDDDE"/>
          </w:tcPr>
          <w:p w:rsidR="003D2AF1" w:rsidRPr="00DE47A6" w:rsidRDefault="003D2AF1" w:rsidP="00DE47A6">
            <w:pPr>
              <w:keepNext/>
              <w:keepLines/>
              <w:rPr>
                <w:sz w:val="18"/>
                <w:szCs w:val="18"/>
              </w:rPr>
            </w:pPr>
            <w:r w:rsidRPr="00DE47A6">
              <w:rPr>
                <w:sz w:val="18"/>
                <w:szCs w:val="18"/>
              </w:rPr>
              <w:t>0.114</w:t>
            </w:r>
          </w:p>
        </w:tc>
        <w:tc>
          <w:tcPr>
            <w:tcW w:w="2109" w:type="pct"/>
            <w:shd w:val="clear" w:color="auto" w:fill="DCDDDE"/>
          </w:tcPr>
          <w:p w:rsidR="003D2AF1" w:rsidRPr="00DE47A6" w:rsidRDefault="00FA00CD" w:rsidP="00DE47A6">
            <w:pPr>
              <w:keepNext/>
              <w:keepLines/>
              <w:rPr>
                <w:sz w:val="18"/>
                <w:szCs w:val="18"/>
              </w:rPr>
            </w:pPr>
            <w:r w:rsidRPr="00DE47A6">
              <w:rPr>
                <w:sz w:val="18"/>
                <w:szCs w:val="18"/>
              </w:rPr>
              <w:t>Throughout the licence period</w:t>
            </w:r>
          </w:p>
        </w:tc>
      </w:tr>
      <w:tr w:rsidR="00DD1EA2" w:rsidRPr="00DE47A6" w:rsidTr="00DE47A6">
        <w:trPr>
          <w:cantSplit/>
        </w:trPr>
        <w:tc>
          <w:tcPr>
            <w:tcW w:w="1250" w:type="pct"/>
            <w:shd w:val="clear" w:color="auto" w:fill="DCDDDE"/>
          </w:tcPr>
          <w:p w:rsidR="003D2AF1" w:rsidRPr="00DE47A6" w:rsidRDefault="003D2AF1" w:rsidP="00DE47A6">
            <w:pPr>
              <w:keepNext/>
              <w:keepLines/>
              <w:rPr>
                <w:sz w:val="18"/>
                <w:szCs w:val="18"/>
              </w:rPr>
            </w:pPr>
            <w:r w:rsidRPr="00DE47A6">
              <w:rPr>
                <w:sz w:val="18"/>
                <w:szCs w:val="18"/>
              </w:rPr>
              <w:t>LTE voice</w:t>
            </w:r>
          </w:p>
        </w:tc>
        <w:tc>
          <w:tcPr>
            <w:tcW w:w="1641" w:type="pct"/>
            <w:shd w:val="clear" w:color="auto" w:fill="DCDDDE"/>
          </w:tcPr>
          <w:p w:rsidR="003D2AF1" w:rsidRPr="00DE47A6" w:rsidRDefault="003D2AF1" w:rsidP="00DE47A6">
            <w:pPr>
              <w:keepNext/>
              <w:keepLines/>
              <w:rPr>
                <w:sz w:val="18"/>
                <w:szCs w:val="18"/>
              </w:rPr>
            </w:pPr>
            <w:r w:rsidRPr="00DE47A6">
              <w:rPr>
                <w:sz w:val="18"/>
                <w:szCs w:val="18"/>
              </w:rPr>
              <w:t>0.114</w:t>
            </w:r>
          </w:p>
        </w:tc>
        <w:tc>
          <w:tcPr>
            <w:tcW w:w="2109" w:type="pct"/>
            <w:shd w:val="clear" w:color="auto" w:fill="DCDDDE"/>
          </w:tcPr>
          <w:p w:rsidR="003D2AF1" w:rsidRPr="00DE47A6" w:rsidRDefault="00FA00CD" w:rsidP="00DE47A6">
            <w:pPr>
              <w:keepNext/>
              <w:keepLines/>
              <w:rPr>
                <w:sz w:val="18"/>
                <w:szCs w:val="18"/>
              </w:rPr>
            </w:pPr>
            <w:r w:rsidRPr="00DE47A6">
              <w:rPr>
                <w:sz w:val="18"/>
                <w:szCs w:val="18"/>
              </w:rPr>
              <w:t>Throughout the licence period</w:t>
            </w:r>
          </w:p>
        </w:tc>
      </w:tr>
      <w:tr w:rsidR="00DD1EA2" w:rsidRPr="00DE47A6" w:rsidTr="00DE47A6">
        <w:trPr>
          <w:cantSplit/>
        </w:trPr>
        <w:tc>
          <w:tcPr>
            <w:tcW w:w="1250" w:type="pct"/>
            <w:shd w:val="clear" w:color="auto" w:fill="DCDDDE"/>
          </w:tcPr>
          <w:p w:rsidR="003D2AF1" w:rsidRPr="00DE47A6" w:rsidRDefault="003D2AF1" w:rsidP="00DE47A6">
            <w:pPr>
              <w:keepNext/>
              <w:keepLines/>
              <w:rPr>
                <w:sz w:val="18"/>
                <w:szCs w:val="18"/>
              </w:rPr>
            </w:pPr>
            <w:r w:rsidRPr="00DE47A6">
              <w:rPr>
                <w:sz w:val="18"/>
                <w:szCs w:val="18"/>
              </w:rPr>
              <w:t>3G data</w:t>
            </w:r>
          </w:p>
        </w:tc>
        <w:tc>
          <w:tcPr>
            <w:tcW w:w="1641" w:type="pct"/>
            <w:shd w:val="clear" w:color="auto" w:fill="DCDDDE"/>
          </w:tcPr>
          <w:p w:rsidR="003D2AF1" w:rsidRPr="00DE47A6" w:rsidRDefault="003D2AF1" w:rsidP="00DE47A6">
            <w:pPr>
              <w:keepNext/>
              <w:keepLines/>
              <w:rPr>
                <w:sz w:val="18"/>
                <w:szCs w:val="18"/>
              </w:rPr>
            </w:pPr>
            <w:r w:rsidRPr="00DE47A6">
              <w:rPr>
                <w:sz w:val="18"/>
                <w:szCs w:val="18"/>
              </w:rPr>
              <w:t>0.48 – 1.1 *</w:t>
            </w:r>
          </w:p>
        </w:tc>
        <w:tc>
          <w:tcPr>
            <w:tcW w:w="2109" w:type="pct"/>
            <w:shd w:val="clear" w:color="auto" w:fill="DCDDDE"/>
          </w:tcPr>
          <w:p w:rsidR="003D2AF1" w:rsidRPr="00DE47A6" w:rsidRDefault="003D2AF1" w:rsidP="00DE47A6">
            <w:pPr>
              <w:keepNext/>
              <w:keepLines/>
              <w:rPr>
                <w:sz w:val="18"/>
                <w:szCs w:val="18"/>
              </w:rPr>
            </w:pPr>
            <w:r w:rsidRPr="00DE47A6">
              <w:rPr>
                <w:sz w:val="18"/>
                <w:szCs w:val="18"/>
              </w:rPr>
              <w:t xml:space="preserve">Spectral efficiency rises linearly to </w:t>
            </w:r>
            <w:r w:rsidR="00C11353" w:rsidRPr="00DE47A6">
              <w:rPr>
                <w:sz w:val="18"/>
                <w:szCs w:val="18"/>
              </w:rPr>
              <w:t>2021</w:t>
            </w:r>
            <w:r w:rsidR="00FA00CD" w:rsidRPr="00DE47A6">
              <w:rPr>
                <w:sz w:val="18"/>
                <w:szCs w:val="18"/>
              </w:rPr>
              <w:t>. Level thereafter</w:t>
            </w:r>
          </w:p>
        </w:tc>
      </w:tr>
      <w:tr w:rsidR="00DD1EA2" w:rsidRPr="00DE47A6" w:rsidTr="00DE47A6">
        <w:trPr>
          <w:cantSplit/>
        </w:trPr>
        <w:tc>
          <w:tcPr>
            <w:tcW w:w="1250" w:type="pct"/>
            <w:shd w:val="clear" w:color="auto" w:fill="DCDDDE"/>
          </w:tcPr>
          <w:p w:rsidR="003D2AF1" w:rsidRPr="00DE47A6" w:rsidRDefault="003D2AF1" w:rsidP="00DE47A6">
            <w:pPr>
              <w:keepNext/>
              <w:keepLines/>
              <w:rPr>
                <w:sz w:val="18"/>
                <w:szCs w:val="18"/>
              </w:rPr>
            </w:pPr>
            <w:r w:rsidRPr="00DE47A6">
              <w:rPr>
                <w:sz w:val="18"/>
                <w:szCs w:val="18"/>
              </w:rPr>
              <w:t>LTE data</w:t>
            </w:r>
          </w:p>
        </w:tc>
        <w:tc>
          <w:tcPr>
            <w:tcW w:w="1641" w:type="pct"/>
            <w:shd w:val="clear" w:color="auto" w:fill="DCDDDE"/>
          </w:tcPr>
          <w:p w:rsidR="003D2AF1" w:rsidRPr="00DE47A6" w:rsidRDefault="003D2AF1" w:rsidP="00DE47A6">
            <w:pPr>
              <w:keepNext/>
              <w:keepLines/>
              <w:rPr>
                <w:sz w:val="18"/>
                <w:szCs w:val="18"/>
              </w:rPr>
            </w:pPr>
            <w:r w:rsidRPr="00DE47A6">
              <w:rPr>
                <w:sz w:val="18"/>
                <w:szCs w:val="18"/>
              </w:rPr>
              <w:t xml:space="preserve">1.36 – </w:t>
            </w:r>
            <w:r w:rsidR="00775958" w:rsidRPr="00DE47A6">
              <w:rPr>
                <w:sz w:val="18"/>
                <w:szCs w:val="18"/>
              </w:rPr>
              <w:t>2.2</w:t>
            </w:r>
            <w:r w:rsidRPr="00DE47A6">
              <w:rPr>
                <w:sz w:val="18"/>
                <w:szCs w:val="18"/>
              </w:rPr>
              <w:t xml:space="preserve"> *</w:t>
            </w:r>
          </w:p>
        </w:tc>
        <w:tc>
          <w:tcPr>
            <w:tcW w:w="2109" w:type="pct"/>
            <w:shd w:val="clear" w:color="auto" w:fill="DCDDDE"/>
          </w:tcPr>
          <w:p w:rsidR="003D2AF1" w:rsidRPr="00DE47A6" w:rsidRDefault="003D2AF1" w:rsidP="00DE47A6">
            <w:pPr>
              <w:keepNext/>
              <w:keepLines/>
              <w:rPr>
                <w:sz w:val="18"/>
                <w:szCs w:val="18"/>
              </w:rPr>
            </w:pPr>
            <w:r w:rsidRPr="00DE47A6">
              <w:rPr>
                <w:sz w:val="18"/>
                <w:szCs w:val="18"/>
              </w:rPr>
              <w:t xml:space="preserve">Spectral efficiency rises linearly </w:t>
            </w:r>
            <w:r w:rsidR="00C11353" w:rsidRPr="00DE47A6">
              <w:rPr>
                <w:sz w:val="18"/>
                <w:szCs w:val="18"/>
              </w:rPr>
              <w:t>between</w:t>
            </w:r>
            <w:r w:rsidRPr="00DE47A6">
              <w:rPr>
                <w:sz w:val="18"/>
                <w:szCs w:val="18"/>
              </w:rPr>
              <w:t xml:space="preserve"> 2013 </w:t>
            </w:r>
            <w:r w:rsidR="00C11353" w:rsidRPr="00DE47A6">
              <w:rPr>
                <w:sz w:val="18"/>
                <w:szCs w:val="18"/>
              </w:rPr>
              <w:t xml:space="preserve">and </w:t>
            </w:r>
            <w:r w:rsidR="00775958" w:rsidRPr="00DE47A6">
              <w:rPr>
                <w:sz w:val="18"/>
                <w:szCs w:val="18"/>
              </w:rPr>
              <w:t>203</w:t>
            </w:r>
            <w:r w:rsidRPr="00DE47A6">
              <w:rPr>
                <w:sz w:val="18"/>
                <w:szCs w:val="18"/>
              </w:rPr>
              <w:t>2</w:t>
            </w:r>
            <w:r w:rsidR="00FA00CD" w:rsidRPr="00DE47A6">
              <w:rPr>
                <w:sz w:val="18"/>
                <w:szCs w:val="18"/>
              </w:rPr>
              <w:t xml:space="preserve">. </w:t>
            </w:r>
          </w:p>
        </w:tc>
      </w:tr>
      <w:tr w:rsidR="003D2AF1" w:rsidRPr="00DE47A6" w:rsidTr="00DE47A6">
        <w:trPr>
          <w:cantSplit/>
        </w:trPr>
        <w:tc>
          <w:tcPr>
            <w:tcW w:w="5000" w:type="pct"/>
            <w:gridSpan w:val="3"/>
            <w:shd w:val="clear" w:color="auto" w:fill="DCDDDE"/>
          </w:tcPr>
          <w:p w:rsidR="003D2AF1" w:rsidRPr="00DE47A6" w:rsidRDefault="00FA00CD" w:rsidP="00DE47A6">
            <w:pPr>
              <w:keepNext/>
              <w:keepLines/>
              <w:rPr>
                <w:sz w:val="18"/>
                <w:szCs w:val="18"/>
              </w:rPr>
            </w:pPr>
            <w:r w:rsidRPr="00DE47A6">
              <w:rPr>
                <w:sz w:val="18"/>
                <w:szCs w:val="18"/>
              </w:rPr>
              <w:t xml:space="preserve">* </w:t>
            </w:r>
            <w:r w:rsidR="003D2AF1" w:rsidRPr="00DE47A6">
              <w:rPr>
                <w:sz w:val="18"/>
                <w:szCs w:val="18"/>
              </w:rPr>
              <w:t xml:space="preserve">Values </w:t>
            </w:r>
            <w:r w:rsidR="00CA011C" w:rsidRPr="00DE47A6">
              <w:rPr>
                <w:sz w:val="18"/>
                <w:szCs w:val="18"/>
              </w:rPr>
              <w:t xml:space="preserve">sourced </w:t>
            </w:r>
            <w:r w:rsidR="003D2AF1" w:rsidRPr="00DE47A6">
              <w:rPr>
                <w:sz w:val="18"/>
                <w:szCs w:val="18"/>
              </w:rPr>
              <w:t xml:space="preserve">from the FCC </w:t>
            </w:r>
            <w:r w:rsidRPr="00DE47A6">
              <w:rPr>
                <w:sz w:val="18"/>
                <w:szCs w:val="18"/>
              </w:rPr>
              <w:t xml:space="preserve">National </w:t>
            </w:r>
            <w:r w:rsidR="003D2AF1" w:rsidRPr="00DE47A6">
              <w:rPr>
                <w:sz w:val="18"/>
                <w:szCs w:val="18"/>
              </w:rPr>
              <w:t xml:space="preserve">Broadband </w:t>
            </w:r>
            <w:r w:rsidRPr="00DE47A6">
              <w:rPr>
                <w:sz w:val="18"/>
                <w:szCs w:val="18"/>
              </w:rPr>
              <w:t xml:space="preserve">Plan. See </w:t>
            </w:r>
            <w:hyperlink r:id="rId21" w:history="1">
              <w:r w:rsidR="00B36A6E" w:rsidRPr="00DE47A6">
                <w:rPr>
                  <w:rStyle w:val="Hyperlink"/>
                  <w:color w:val="auto"/>
                  <w:sz w:val="18"/>
                  <w:szCs w:val="18"/>
                </w:rPr>
                <w:t>http://www.broadband.gov/plan/</w:t>
              </w:r>
            </w:hyperlink>
            <w:r w:rsidR="00775958" w:rsidRPr="00DE47A6">
              <w:rPr>
                <w:sz w:val="18"/>
                <w:szCs w:val="18"/>
              </w:rPr>
              <w:t xml:space="preserve"> and ITU-R Recommendation M.2134</w:t>
            </w:r>
          </w:p>
        </w:tc>
      </w:tr>
    </w:tbl>
    <w:p w:rsidR="006D7321" w:rsidRDefault="00C63DE4">
      <w:pPr>
        <w:pStyle w:val="TableCaption"/>
      </w:pPr>
      <w:bookmarkStart w:id="50" w:name="_Ref295167422"/>
      <w:r>
        <w:t>Table A-7</w:t>
      </w:r>
      <w:r w:rsidR="006D7321" w:rsidRPr="00C0159A">
        <w:t xml:space="preserve">: </w:t>
      </w:r>
      <w:r w:rsidR="006D7321">
        <w:t>Network efficiency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268"/>
        <w:gridCol w:w="2269"/>
        <w:gridCol w:w="4533"/>
      </w:tblGrid>
      <w:tr w:rsidR="00FA00CD" w:rsidRPr="00DE47A6" w:rsidTr="00DE47A6">
        <w:trPr>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bookmarkEnd w:id="50"/>
          <w:p w:rsidR="00FA00CD" w:rsidRPr="00DE47A6" w:rsidRDefault="00FA00CD" w:rsidP="00DD1EA2">
            <w:pPr>
              <w:rPr>
                <w:color w:val="FFFFFF"/>
                <w:sz w:val="18"/>
                <w:szCs w:val="18"/>
              </w:rPr>
            </w:pPr>
            <w:r w:rsidRPr="00DE47A6">
              <w:rPr>
                <w:color w:val="FFFFFF"/>
                <w:sz w:val="18"/>
                <w:szCs w:val="18"/>
              </w:rPr>
              <w:t>Aspect of deployment</w:t>
            </w:r>
          </w:p>
        </w:tc>
        <w:tc>
          <w:tcPr>
            <w:tcW w:w="1251"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FA00CD" w:rsidRPr="00DE47A6" w:rsidRDefault="00FA00CD" w:rsidP="00FA00CD">
            <w:pPr>
              <w:rPr>
                <w:color w:val="FFFFFF"/>
                <w:sz w:val="18"/>
                <w:szCs w:val="18"/>
              </w:rPr>
            </w:pPr>
            <w:r w:rsidRPr="00DE47A6">
              <w:rPr>
                <w:color w:val="FFFFFF"/>
                <w:sz w:val="18"/>
                <w:szCs w:val="18"/>
              </w:rPr>
              <w:t>Efficiency factor</w:t>
            </w:r>
          </w:p>
        </w:tc>
        <w:tc>
          <w:tcPr>
            <w:tcW w:w="2499"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FA00CD" w:rsidRPr="00DE47A6" w:rsidRDefault="00FA00CD" w:rsidP="00DD1EA2">
            <w:pPr>
              <w:rPr>
                <w:color w:val="FFFFFF"/>
                <w:sz w:val="18"/>
                <w:szCs w:val="18"/>
              </w:rPr>
            </w:pPr>
            <w:r w:rsidRPr="00DE47A6">
              <w:rPr>
                <w:color w:val="FFFFFF"/>
                <w:sz w:val="18"/>
                <w:szCs w:val="18"/>
              </w:rPr>
              <w:t>Comments</w:t>
            </w:r>
          </w:p>
        </w:tc>
      </w:tr>
      <w:tr w:rsidR="00FA00CD" w:rsidRPr="00DE47A6" w:rsidTr="00DE47A6">
        <w:trPr>
          <w:cantSplit/>
        </w:trPr>
        <w:tc>
          <w:tcPr>
            <w:tcW w:w="1250" w:type="pct"/>
            <w:shd w:val="clear" w:color="auto" w:fill="DCDDDE"/>
          </w:tcPr>
          <w:p w:rsidR="00FA00CD" w:rsidRPr="00DE47A6" w:rsidRDefault="00DD1EA2" w:rsidP="00DD1EA2">
            <w:pPr>
              <w:rPr>
                <w:sz w:val="18"/>
                <w:szCs w:val="18"/>
              </w:rPr>
            </w:pPr>
            <w:r w:rsidRPr="00DE47A6">
              <w:rPr>
                <w:sz w:val="18"/>
                <w:szCs w:val="18"/>
              </w:rPr>
              <w:t>Utilisation factor</w:t>
            </w:r>
          </w:p>
        </w:tc>
        <w:tc>
          <w:tcPr>
            <w:tcW w:w="1251" w:type="pct"/>
            <w:shd w:val="clear" w:color="auto" w:fill="DCDDDE"/>
          </w:tcPr>
          <w:p w:rsidR="00FA00CD" w:rsidRPr="00DE47A6" w:rsidRDefault="00FA00CD" w:rsidP="00DD1EA2">
            <w:pPr>
              <w:rPr>
                <w:sz w:val="18"/>
                <w:szCs w:val="18"/>
              </w:rPr>
            </w:pPr>
            <w:r w:rsidRPr="00DE47A6">
              <w:rPr>
                <w:sz w:val="18"/>
                <w:szCs w:val="18"/>
              </w:rPr>
              <w:t>60%</w:t>
            </w:r>
          </w:p>
        </w:tc>
        <w:tc>
          <w:tcPr>
            <w:tcW w:w="2499" w:type="pct"/>
            <w:shd w:val="clear" w:color="auto" w:fill="DCDDDE"/>
          </w:tcPr>
          <w:p w:rsidR="00FA00CD" w:rsidRPr="00DE47A6" w:rsidRDefault="00DD1EA2" w:rsidP="00DD1EA2">
            <w:pPr>
              <w:rPr>
                <w:sz w:val="18"/>
                <w:szCs w:val="18"/>
              </w:rPr>
            </w:pPr>
            <w:r w:rsidRPr="00DE47A6">
              <w:rPr>
                <w:sz w:val="18"/>
                <w:szCs w:val="18"/>
              </w:rPr>
              <w:t>Caters for imperfect matching of traffic demand to network capacity and build ahead.</w:t>
            </w:r>
          </w:p>
        </w:tc>
      </w:tr>
      <w:tr w:rsidR="00FA00CD" w:rsidRPr="00DE47A6" w:rsidTr="00DE47A6">
        <w:trPr>
          <w:cantSplit/>
        </w:trPr>
        <w:tc>
          <w:tcPr>
            <w:tcW w:w="1250" w:type="pct"/>
            <w:shd w:val="clear" w:color="auto" w:fill="DCDDDE"/>
          </w:tcPr>
          <w:p w:rsidR="00FA00CD" w:rsidRPr="00DE47A6" w:rsidRDefault="00FA00CD" w:rsidP="00DD1EA2">
            <w:pPr>
              <w:rPr>
                <w:sz w:val="18"/>
                <w:szCs w:val="18"/>
              </w:rPr>
            </w:pPr>
            <w:r w:rsidRPr="00DE47A6">
              <w:rPr>
                <w:sz w:val="18"/>
                <w:szCs w:val="18"/>
              </w:rPr>
              <w:t>Asymmetry factor</w:t>
            </w:r>
          </w:p>
        </w:tc>
        <w:tc>
          <w:tcPr>
            <w:tcW w:w="1251" w:type="pct"/>
            <w:shd w:val="clear" w:color="auto" w:fill="DCDDDE"/>
          </w:tcPr>
          <w:p w:rsidR="00FA00CD" w:rsidRPr="00DE47A6" w:rsidRDefault="00DD1EA2" w:rsidP="0011228F">
            <w:pPr>
              <w:rPr>
                <w:sz w:val="18"/>
                <w:szCs w:val="18"/>
              </w:rPr>
            </w:pPr>
            <w:r w:rsidRPr="00DE47A6">
              <w:rPr>
                <w:sz w:val="18"/>
                <w:szCs w:val="18"/>
              </w:rPr>
              <w:t>63%</w:t>
            </w:r>
            <w:r w:rsidR="0011228F" w:rsidRPr="00DE47A6">
              <w:rPr>
                <w:sz w:val="18"/>
                <w:szCs w:val="18"/>
              </w:rPr>
              <w:t xml:space="preserve"> to </w:t>
            </w:r>
            <w:r w:rsidRPr="00DE47A6">
              <w:rPr>
                <w:sz w:val="18"/>
                <w:szCs w:val="18"/>
              </w:rPr>
              <w:t>56%</w:t>
            </w:r>
          </w:p>
        </w:tc>
        <w:tc>
          <w:tcPr>
            <w:tcW w:w="2499" w:type="pct"/>
            <w:shd w:val="clear" w:color="auto" w:fill="DCDDDE"/>
          </w:tcPr>
          <w:p w:rsidR="00FA00CD" w:rsidRPr="00DE47A6" w:rsidRDefault="00DD1EA2" w:rsidP="00DD1EA2">
            <w:pPr>
              <w:rPr>
                <w:sz w:val="18"/>
                <w:szCs w:val="18"/>
              </w:rPr>
            </w:pPr>
            <w:r w:rsidRPr="00DE47A6">
              <w:rPr>
                <w:sz w:val="18"/>
                <w:szCs w:val="18"/>
              </w:rPr>
              <w:t xml:space="preserve">Represents the effective loading given that traffic is highly asymmetric with heavy bias in the downlink direction. </w:t>
            </w:r>
          </w:p>
        </w:tc>
      </w:tr>
      <w:tr w:rsidR="00FA00CD" w:rsidRPr="00DE47A6" w:rsidTr="00DE47A6">
        <w:trPr>
          <w:cantSplit/>
        </w:trPr>
        <w:tc>
          <w:tcPr>
            <w:tcW w:w="1250" w:type="pct"/>
            <w:shd w:val="clear" w:color="auto" w:fill="DCDDDE"/>
          </w:tcPr>
          <w:p w:rsidR="00FA00CD" w:rsidRPr="00DE47A6" w:rsidRDefault="00FA00CD" w:rsidP="00DD1EA2">
            <w:pPr>
              <w:rPr>
                <w:sz w:val="18"/>
                <w:szCs w:val="18"/>
              </w:rPr>
            </w:pPr>
            <w:r w:rsidRPr="00DE47A6">
              <w:rPr>
                <w:sz w:val="18"/>
                <w:szCs w:val="18"/>
              </w:rPr>
              <w:t>Multiple operator factor</w:t>
            </w:r>
          </w:p>
        </w:tc>
        <w:tc>
          <w:tcPr>
            <w:tcW w:w="1251" w:type="pct"/>
            <w:shd w:val="clear" w:color="auto" w:fill="DCDDDE"/>
          </w:tcPr>
          <w:p w:rsidR="00FA00CD" w:rsidRPr="00DE47A6" w:rsidRDefault="003D3D84" w:rsidP="00FA00CD">
            <w:pPr>
              <w:rPr>
                <w:sz w:val="18"/>
                <w:szCs w:val="18"/>
              </w:rPr>
            </w:pPr>
            <w:r w:rsidRPr="00DE47A6">
              <w:rPr>
                <w:sz w:val="18"/>
                <w:szCs w:val="18"/>
              </w:rPr>
              <w:t>80%</w:t>
            </w:r>
          </w:p>
        </w:tc>
        <w:tc>
          <w:tcPr>
            <w:tcW w:w="2499" w:type="pct"/>
            <w:shd w:val="clear" w:color="auto" w:fill="DCDDDE"/>
          </w:tcPr>
          <w:p w:rsidR="00FA00CD" w:rsidRPr="00DE47A6" w:rsidRDefault="00DD1EA2" w:rsidP="00DD1EA2">
            <w:pPr>
              <w:rPr>
                <w:sz w:val="18"/>
                <w:szCs w:val="18"/>
              </w:rPr>
            </w:pPr>
            <w:r w:rsidRPr="00DE47A6">
              <w:rPr>
                <w:sz w:val="18"/>
                <w:szCs w:val="18"/>
              </w:rPr>
              <w:t>Allows for the misalignment in spectrum holdings between operators relative to market shares.</w:t>
            </w:r>
          </w:p>
        </w:tc>
      </w:tr>
      <w:tr w:rsidR="00FA00CD" w:rsidRPr="00DE47A6" w:rsidTr="00DE47A6">
        <w:trPr>
          <w:cantSplit/>
        </w:trPr>
        <w:tc>
          <w:tcPr>
            <w:tcW w:w="1250" w:type="pct"/>
            <w:shd w:val="clear" w:color="auto" w:fill="DCDDDE"/>
          </w:tcPr>
          <w:p w:rsidR="00FA00CD" w:rsidRPr="00DE47A6" w:rsidRDefault="00FA00CD" w:rsidP="00DD1EA2">
            <w:pPr>
              <w:rPr>
                <w:sz w:val="18"/>
                <w:szCs w:val="18"/>
              </w:rPr>
            </w:pPr>
            <w:proofErr w:type="spellStart"/>
            <w:r w:rsidRPr="00DE47A6">
              <w:rPr>
                <w:sz w:val="18"/>
                <w:szCs w:val="18"/>
              </w:rPr>
              <w:t>QoS</w:t>
            </w:r>
            <w:proofErr w:type="spellEnd"/>
            <w:r w:rsidRPr="00DE47A6">
              <w:rPr>
                <w:sz w:val="18"/>
                <w:szCs w:val="18"/>
              </w:rPr>
              <w:t xml:space="preserve"> loading factor</w:t>
            </w:r>
          </w:p>
        </w:tc>
        <w:tc>
          <w:tcPr>
            <w:tcW w:w="1251" w:type="pct"/>
            <w:shd w:val="clear" w:color="auto" w:fill="DCDDDE"/>
          </w:tcPr>
          <w:p w:rsidR="00FA00CD" w:rsidRPr="00DE47A6" w:rsidRDefault="00FA00CD" w:rsidP="00DD1EA2">
            <w:pPr>
              <w:rPr>
                <w:sz w:val="18"/>
                <w:szCs w:val="18"/>
              </w:rPr>
            </w:pPr>
            <w:r w:rsidRPr="00DE47A6">
              <w:rPr>
                <w:sz w:val="18"/>
                <w:szCs w:val="18"/>
              </w:rPr>
              <w:t>100% to 74%</w:t>
            </w:r>
          </w:p>
        </w:tc>
        <w:tc>
          <w:tcPr>
            <w:tcW w:w="2499" w:type="pct"/>
            <w:shd w:val="clear" w:color="auto" w:fill="DCDDDE"/>
          </w:tcPr>
          <w:p w:rsidR="00FA00CD" w:rsidRPr="00DE47A6" w:rsidRDefault="00FA00CD" w:rsidP="00DD1EA2">
            <w:pPr>
              <w:rPr>
                <w:sz w:val="18"/>
                <w:szCs w:val="18"/>
              </w:rPr>
            </w:pPr>
            <w:r w:rsidRPr="00DE47A6">
              <w:rPr>
                <w:sz w:val="18"/>
                <w:szCs w:val="18"/>
              </w:rPr>
              <w:t xml:space="preserve">Usable capacity for mean traffic so that high bandwidth services can be </w:t>
            </w:r>
            <w:r w:rsidR="00DD1EA2" w:rsidRPr="00DE47A6">
              <w:rPr>
                <w:sz w:val="18"/>
                <w:szCs w:val="18"/>
              </w:rPr>
              <w:t xml:space="preserve">provided with adequate </w:t>
            </w:r>
            <w:proofErr w:type="spellStart"/>
            <w:r w:rsidR="00DD1EA2" w:rsidRPr="00DE47A6">
              <w:rPr>
                <w:sz w:val="18"/>
                <w:szCs w:val="18"/>
              </w:rPr>
              <w:t>QoS</w:t>
            </w:r>
            <w:proofErr w:type="spellEnd"/>
            <w:r w:rsidR="00DD1EA2" w:rsidRPr="00DE47A6">
              <w:rPr>
                <w:sz w:val="18"/>
                <w:szCs w:val="18"/>
              </w:rPr>
              <w:t xml:space="preserve">. Factor reduces </w:t>
            </w:r>
            <w:r w:rsidRPr="00DE47A6">
              <w:rPr>
                <w:sz w:val="18"/>
                <w:szCs w:val="18"/>
              </w:rPr>
              <w:t xml:space="preserve">linearly from 2013 to 2016. </w:t>
            </w:r>
          </w:p>
        </w:tc>
      </w:tr>
    </w:tbl>
    <w:p w:rsidR="007D28EA" w:rsidRPr="006B5FA6" w:rsidRDefault="007D28EA" w:rsidP="007D28EA">
      <w:pPr>
        <w:pStyle w:val="BodyText"/>
        <w:rPr>
          <w:i/>
        </w:rPr>
      </w:pPr>
      <w:bookmarkStart w:id="51" w:name="_Toc295054506"/>
      <w:bookmarkStart w:id="52" w:name="_Toc295059454"/>
      <w:bookmarkStart w:id="53" w:name="_Toc295059479"/>
      <w:bookmarkStart w:id="54" w:name="_Toc295085671"/>
      <w:bookmarkStart w:id="55" w:name="_Toc295168150"/>
      <w:bookmarkStart w:id="56" w:name="_Toc234210784"/>
      <w:bookmarkStart w:id="57" w:name="_Toc295085672"/>
      <w:bookmarkEnd w:id="51"/>
      <w:bookmarkEnd w:id="52"/>
      <w:bookmarkEnd w:id="53"/>
      <w:bookmarkEnd w:id="54"/>
      <w:bookmarkEnd w:id="55"/>
      <w:r w:rsidRPr="006B5FA6">
        <w:rPr>
          <w:i/>
        </w:rPr>
        <w:t>Source: Plum assumptions</w:t>
      </w:r>
    </w:p>
    <w:p w:rsidR="00021A4F" w:rsidRDefault="003D3D84">
      <w:pPr>
        <w:pStyle w:val="AfterTable"/>
      </w:pPr>
      <w:r>
        <w:t xml:space="preserve">These spectral efficiencies defined in </w:t>
      </w:r>
      <w:r w:rsidR="00B85D4F" w:rsidRPr="00C0159A">
        <w:t xml:space="preserve">Table </w:t>
      </w:r>
      <w:r w:rsidR="00C63DE4">
        <w:t xml:space="preserve">A-6 </w:t>
      </w:r>
      <w:r>
        <w:t>are multiplied by the network efficiency factors in Table A</w:t>
      </w:r>
      <w:r w:rsidRPr="00C0159A">
        <w:noBreakHyphen/>
      </w:r>
      <w:r w:rsidR="007D28EA">
        <w:t>7</w:t>
      </w:r>
      <w:r>
        <w:t xml:space="preserve"> to form an estimate of overall network efficiency.</w:t>
      </w:r>
    </w:p>
    <w:p w:rsidR="00C36F15" w:rsidRDefault="00C36F15" w:rsidP="00021A4F">
      <w:pPr>
        <w:pStyle w:val="Heading2unnumbered"/>
        <w:ind w:left="851" w:hanging="851"/>
      </w:pPr>
      <w:bookmarkStart w:id="58" w:name="_Toc454453629"/>
      <w:bookmarkEnd w:id="56"/>
      <w:bookmarkEnd w:id="57"/>
      <w:r>
        <w:t>A.4</w:t>
      </w:r>
      <w:r>
        <w:tab/>
        <w:t>Discount rate</w:t>
      </w:r>
      <w:bookmarkEnd w:id="58"/>
    </w:p>
    <w:p w:rsidR="00021A4F" w:rsidRDefault="00A26E9D" w:rsidP="000448A8">
      <w:pPr>
        <w:pStyle w:val="BodyText"/>
      </w:pPr>
      <w:r>
        <w:t xml:space="preserve">We have used a commercial </w:t>
      </w:r>
      <w:r w:rsidR="006D7321">
        <w:t xml:space="preserve">nominal pre-tax </w:t>
      </w:r>
      <w:r>
        <w:t>discount rate of 12 % for the analysis</w:t>
      </w:r>
      <w:r w:rsidR="009D451B">
        <w:t>,</w:t>
      </w:r>
      <w:r w:rsidR="001C594C">
        <w:t xml:space="preserve"> which is based on values adopted by </w:t>
      </w:r>
      <w:r w:rsidR="009D451B">
        <w:t>Australian Competition and Consumer Commission (ACCC)</w:t>
      </w:r>
      <w:r w:rsidR="001C594C">
        <w:t xml:space="preserve"> for analysis of mobile termination rates</w:t>
      </w:r>
      <w:r>
        <w:t>.</w:t>
      </w:r>
    </w:p>
    <w:p w:rsidR="00C36F15" w:rsidRDefault="00C36F15" w:rsidP="00021A4F">
      <w:pPr>
        <w:pStyle w:val="Heading2unnumbered"/>
        <w:ind w:left="851" w:hanging="851"/>
      </w:pPr>
      <w:bookmarkStart w:id="59" w:name="_Toc454453630"/>
      <w:r>
        <w:t>A.3</w:t>
      </w:r>
      <w:r>
        <w:tab/>
        <w:t>Inflation</w:t>
      </w:r>
      <w:bookmarkEnd w:id="59"/>
    </w:p>
    <w:p w:rsidR="000448A8" w:rsidRDefault="000448A8" w:rsidP="000448A8">
      <w:pPr>
        <w:pStyle w:val="BodyText"/>
      </w:pPr>
      <w:r>
        <w:t xml:space="preserve">All modelling </w:t>
      </w:r>
      <w:r w:rsidR="00A26E9D">
        <w:t>is</w:t>
      </w:r>
      <w:r>
        <w:t xml:space="preserve"> in nominal terms. </w:t>
      </w:r>
      <w:r w:rsidR="00A26E9D">
        <w:t>An inflation rate of 2.5% has been adopted as predicted in the Intergenerational report 2010 for the period 2015 to 2046.</w:t>
      </w:r>
      <w:r w:rsidR="00A26E9D" w:rsidRPr="00A26E9D">
        <w:rPr>
          <w:rStyle w:val="FootnoteReference"/>
        </w:rPr>
        <w:t xml:space="preserve"> </w:t>
      </w:r>
      <w:r w:rsidR="00A26E9D" w:rsidRPr="00DD1EA2">
        <w:rPr>
          <w:rStyle w:val="FootnoteReference"/>
        </w:rPr>
        <w:footnoteReference w:id="31"/>
      </w:r>
    </w:p>
    <w:sectPr w:rsidR="000448A8" w:rsidSect="0023441C">
      <w:headerReference w:type="default" r:id="rId22"/>
      <w:footerReference w:type="default" r:id="rId23"/>
      <w:headerReference w:type="first" r:id="rId24"/>
      <w:footerReference w:type="first" r:id="rId25"/>
      <w:pgSz w:w="11906" w:h="16838" w:code="9"/>
      <w:pgMar w:top="226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9C" w:rsidRDefault="00302A9C" w:rsidP="00A36772">
      <w:r>
        <w:separator/>
      </w:r>
    </w:p>
  </w:endnote>
  <w:endnote w:type="continuationSeparator" w:id="0">
    <w:p w:rsidR="00302A9C" w:rsidRDefault="00302A9C"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Pr="00C0159A" w:rsidRDefault="00302A9C" w:rsidP="00AF5918">
    <w:pPr>
      <w:pStyle w:val="FooterA4Portrait"/>
    </w:pPr>
    <w:r w:rsidRPr="00C0159A">
      <w:t xml:space="preserve">© Plum, </w:t>
    </w:r>
    <w:r>
      <w:fldChar w:fldCharType="begin"/>
    </w:r>
    <w:r>
      <w:instrText xml:space="preserve"> CREATEDATE \@ "yyyy" \* MERGEFORMAT </w:instrText>
    </w:r>
    <w:r>
      <w:fldChar w:fldCharType="separate"/>
    </w:r>
    <w:r w:rsidR="00D61977">
      <w:rPr>
        <w:noProof/>
      </w:rPr>
      <w:t>2016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Default="00302A9C">
    <w:pPr>
      <w:pStyle w:val="Footer"/>
    </w:pPr>
    <w:r w:rsidRPr="0023441C">
      <w:rPr>
        <w:b/>
      </w:rPr>
      <w:t>Plum Consulting</w:t>
    </w:r>
    <w:r>
      <w:t>, 26-27 Southampton Street, Covent Garden, London, WC2E 7RS</w:t>
    </w:r>
  </w:p>
  <w:p w:rsidR="00302A9C" w:rsidRDefault="00302A9C">
    <w:pPr>
      <w:pStyle w:val="Footer"/>
    </w:pPr>
    <w:r>
      <w:t xml:space="preserve">T: +44(20) 7047 1919, </w:t>
    </w:r>
    <w:r w:rsidRPr="0023441C">
      <w:rPr>
        <w:b/>
      </w:rPr>
      <w:t>www.plumconsulting.co.uk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Pr="00C0159A" w:rsidRDefault="00302A9C" w:rsidP="00AF5918">
    <w:pPr>
      <w:pStyle w:val="FooterA4Portrait"/>
    </w:pPr>
    <w:r w:rsidRPr="00C0159A">
      <w:t xml:space="preserve">© Plum, </w:t>
    </w:r>
    <w:r>
      <w:fldChar w:fldCharType="begin"/>
    </w:r>
    <w:r>
      <w:instrText xml:space="preserve"> CREATEDATE \@ "yyyy" \* MERGEFORMAT </w:instrText>
    </w:r>
    <w:r>
      <w:fldChar w:fldCharType="separate"/>
    </w:r>
    <w:r w:rsidR="00D61977">
      <w:rPr>
        <w:noProof/>
      </w:rPr>
      <w:t>2016</w:t>
    </w:r>
    <w:r>
      <w:fldChar w:fldCharType="end"/>
    </w:r>
    <w:r w:rsidRPr="00C0159A">
      <w:tab/>
    </w:r>
    <w:r w:rsidRPr="00C0159A">
      <w:tab/>
    </w:r>
    <w:r>
      <w:rPr>
        <w:rStyle w:val="PageNumber"/>
      </w:rPr>
      <w:fldChar w:fldCharType="begin"/>
    </w:r>
    <w:r>
      <w:rPr>
        <w:rStyle w:val="PageNumber"/>
      </w:rPr>
      <w:instrText xml:space="preserve"> PAGE </w:instrText>
    </w:r>
    <w:r>
      <w:rPr>
        <w:rStyle w:val="PageNumber"/>
      </w:rPr>
      <w:fldChar w:fldCharType="separate"/>
    </w:r>
    <w:r w:rsidR="00D61977">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Default="00302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9C" w:rsidRDefault="00302A9C" w:rsidP="00A36772">
      <w:r>
        <w:separator/>
      </w:r>
    </w:p>
  </w:footnote>
  <w:footnote w:type="continuationSeparator" w:id="0">
    <w:p w:rsidR="00302A9C" w:rsidRDefault="00302A9C" w:rsidP="00A36772">
      <w:r>
        <w:continuationSeparator/>
      </w:r>
    </w:p>
  </w:footnote>
  <w:footnote w:id="1">
    <w:p w:rsidR="00302A9C" w:rsidRDefault="00302A9C" w:rsidP="00AC4343">
      <w:pPr>
        <w:pStyle w:val="FootnoteText"/>
      </w:pPr>
      <w:r>
        <w:rPr>
          <w:rStyle w:val="FootnoteReference"/>
        </w:rPr>
        <w:footnoteRef/>
      </w:r>
      <w:r>
        <w:t xml:space="preserve"> Media release by Senator the Hon Stephen Conroy, Minister for Broadband, Communications and the Digital Economy, 4</w:t>
      </w:r>
      <w:r>
        <w:rPr>
          <w:vertAlign w:val="superscript"/>
        </w:rPr>
        <w:t> </w:t>
      </w:r>
      <w:r>
        <w:t xml:space="preserve">March 2010. See </w:t>
      </w:r>
      <w:r w:rsidRPr="00ED62F5">
        <w:t>http://www.minister.dbcde.gov.au/media/media_releases/2010/020</w:t>
      </w:r>
    </w:p>
  </w:footnote>
  <w:footnote w:id="2">
    <w:p w:rsidR="00302A9C" w:rsidRDefault="00302A9C" w:rsidP="00CF04CA">
      <w:pPr>
        <w:pStyle w:val="FootnoteText"/>
      </w:pPr>
      <w:r>
        <w:rPr>
          <w:rStyle w:val="FootnoteReference"/>
        </w:rPr>
        <w:footnoteRef/>
      </w:r>
      <w:r>
        <w:t xml:space="preserve"> The different approaches to calculating the opportunity cost of spectrum are discussed in “Opportunity cost pricing of spectrum”, ACMA, April 2009</w:t>
      </w:r>
    </w:p>
  </w:footnote>
  <w:footnote w:id="3">
    <w:p w:rsidR="00302A9C" w:rsidRDefault="00302A9C">
      <w:pPr>
        <w:pStyle w:val="FootnoteText"/>
      </w:pPr>
      <w:r>
        <w:rPr>
          <w:rStyle w:val="FootnoteReference"/>
        </w:rPr>
        <w:footnoteRef/>
      </w:r>
      <w:r>
        <w:t xml:space="preserve"> Apparatus licence fee schedule, the ACMA, April 2011. Available at </w:t>
      </w:r>
      <w:r w:rsidRPr="0095743B">
        <w:t>http://www.acma.gov.au/WEB/STANDARD/pc=PC_1614</w:t>
      </w:r>
    </w:p>
  </w:footnote>
  <w:footnote w:id="4">
    <w:p w:rsidR="00302A9C" w:rsidRDefault="00302A9C" w:rsidP="00ED62F5">
      <w:pPr>
        <w:pStyle w:val="FootnoteText"/>
      </w:pPr>
      <w:r>
        <w:rPr>
          <w:rStyle w:val="FootnoteReference"/>
        </w:rPr>
        <w:footnoteRef/>
      </w:r>
      <w:r>
        <w:t xml:space="preserve"> Media release by Senator the Hon Stephen Conroy, Minister for Broadband, Communications and the Digital Economy, 4</w:t>
      </w:r>
      <w:r>
        <w:rPr>
          <w:vertAlign w:val="superscript"/>
        </w:rPr>
        <w:t> </w:t>
      </w:r>
      <w:r>
        <w:t xml:space="preserve">March 2010. See </w:t>
      </w:r>
      <w:r w:rsidRPr="00ED62F5">
        <w:t>http://www.minister.dbcde.gov.au/media/media_releases/2010/020</w:t>
      </w:r>
    </w:p>
  </w:footnote>
  <w:footnote w:id="5">
    <w:p w:rsidR="00302A9C" w:rsidRDefault="00302A9C">
      <w:pPr>
        <w:pStyle w:val="FootnoteText"/>
      </w:pPr>
      <w:r>
        <w:rPr>
          <w:rStyle w:val="FootnoteReference"/>
        </w:rPr>
        <w:footnoteRef/>
      </w:r>
      <w:r>
        <w:t xml:space="preserve"> Source: ACMA website, Productivity Commission Report 2002 and analysis by Plum Consulting</w:t>
      </w:r>
    </w:p>
  </w:footnote>
  <w:footnote w:id="6">
    <w:p w:rsidR="00302A9C" w:rsidRDefault="00302A9C" w:rsidP="00426390">
      <w:pPr>
        <w:pStyle w:val="FootnoteText"/>
      </w:pPr>
      <w:r>
        <w:rPr>
          <w:rStyle w:val="FootnoteReference"/>
        </w:rPr>
        <w:footnoteRef/>
      </w:r>
      <w:r>
        <w:t xml:space="preserve"> Apparatus licence fee schedule, the ACMA, April 2011. Available at </w:t>
      </w:r>
      <w:r w:rsidRPr="0095743B">
        <w:t>http://www.acma.gov.au/WEB/STANDARD/pc=PC_1614</w:t>
      </w:r>
    </w:p>
  </w:footnote>
  <w:footnote w:id="7">
    <w:p w:rsidR="00302A9C" w:rsidRDefault="00302A9C" w:rsidP="00356139">
      <w:pPr>
        <w:pStyle w:val="FootnoteText"/>
      </w:pPr>
      <w:r>
        <w:rPr>
          <w:rStyle w:val="FootnoteReference"/>
        </w:rPr>
        <w:footnoteRef/>
      </w:r>
      <w:r>
        <w:t xml:space="preserve"> There are 2x25MHz of 900 MHz spectrum and so the total annual payment is $2.85m x25 = $71.25m. The calculations assume a population of 22.6m, 15 year licences and a 12% discount rate (based on values adopted by the Australian Competition and Consumer Commission (ACCC) for analysis of mobile termination rates).</w:t>
      </w:r>
    </w:p>
  </w:footnote>
  <w:footnote w:id="8">
    <w:p w:rsidR="00302A9C" w:rsidRPr="005C7EFF" w:rsidRDefault="00302A9C">
      <w:pPr>
        <w:pStyle w:val="FootnoteText"/>
      </w:pPr>
      <w:r>
        <w:rPr>
          <w:rStyle w:val="FootnoteReference"/>
        </w:rPr>
        <w:footnoteRef/>
      </w:r>
      <w:r>
        <w:t xml:space="preserve"> See the results web page for the auction of 800 MHz, 1.8 GHz, 2GHz and 2.6 GHz spectrum in May 2010 at </w:t>
      </w:r>
      <w:hyperlink r:id="rId1" w:anchor="doc138392bodyText1" w:history="1">
        <w:r w:rsidRPr="005C7EFF">
          <w:rPr>
            <w:rStyle w:val="Hyperlink"/>
            <w:color w:val="auto"/>
          </w:rPr>
          <w:t>http://www.bundesnetzagentur.de/cln_1931/DE/Sachgebiete/Telekommunikation/RegulierungTelekommunikation/Frequenzordnung/OeffentlicherMobilfunk/VergabeVerfahrenDrahtlosNetzzugang/vergabeVerfahrenDrahtlosNetzzugang_node.html#doc138392bodyText1</w:t>
        </w:r>
      </w:hyperlink>
    </w:p>
  </w:footnote>
  <w:footnote w:id="9">
    <w:p w:rsidR="00302A9C" w:rsidRDefault="00302A9C">
      <w:pPr>
        <w:pStyle w:val="FootnoteText"/>
      </w:pPr>
      <w:r>
        <w:rPr>
          <w:rStyle w:val="FootnoteReference"/>
        </w:rPr>
        <w:footnoteRef/>
      </w:r>
      <w:r>
        <w:t xml:space="preserve"> In Denmark re-farmed 900 MHz spectrum was sold for the reserve price largely because incumbent 900 MHz spectrum holders were not permitted to bid in the auction.</w:t>
      </w:r>
    </w:p>
  </w:footnote>
  <w:footnote w:id="10">
    <w:p w:rsidR="00302A9C" w:rsidRDefault="00302A9C" w:rsidP="00495C41">
      <w:pPr>
        <w:pStyle w:val="FootnoteText"/>
      </w:pPr>
      <w:r>
        <w:rPr>
          <w:rStyle w:val="FootnoteReference"/>
        </w:rPr>
        <w:footnoteRef/>
      </w:r>
      <w:r>
        <w:t xml:space="preserve"> “Consultation on assessment of future mobile competition and proposals for the award of 800 MHz and 2.6 GHz spectrum and related issues”, Ofcom, March 2011. See </w:t>
      </w:r>
      <w:r w:rsidRPr="00C77E65">
        <w:t>http://stakeholders.ofcom.org.uk/consultations/combined-award/</w:t>
      </w:r>
    </w:p>
  </w:footnote>
  <w:footnote w:id="11">
    <w:p w:rsidR="00302A9C" w:rsidRDefault="00302A9C" w:rsidP="00495C41">
      <w:pPr>
        <w:pStyle w:val="FootnoteText"/>
      </w:pPr>
      <w:r>
        <w:rPr>
          <w:rStyle w:val="FootnoteReference"/>
        </w:rPr>
        <w:footnoteRef/>
      </w:r>
      <w:r>
        <w:t xml:space="preserve"> Source: </w:t>
      </w:r>
      <w:proofErr w:type="spellStart"/>
      <w:r>
        <w:t>PolicyTracker</w:t>
      </w:r>
      <w:proofErr w:type="spellEnd"/>
      <w:r>
        <w:t>. See www.policytracker.com</w:t>
      </w:r>
    </w:p>
  </w:footnote>
  <w:footnote w:id="12">
    <w:p w:rsidR="00302A9C" w:rsidRPr="002052F2" w:rsidRDefault="00302A9C">
      <w:pPr>
        <w:pStyle w:val="FootnoteText"/>
      </w:pPr>
      <w:r>
        <w:rPr>
          <w:rStyle w:val="FootnoteReference"/>
        </w:rPr>
        <w:footnoteRef/>
      </w:r>
      <w:r>
        <w:t xml:space="preserve"> Release of the 800 MHz, 900 MHz and 1800 MHz radio spectrum bands, 11/60, 24 August 2011 </w:t>
      </w:r>
      <w:r w:rsidRPr="00703917">
        <w:t>http://www.comreg.ie/_fileupload/publications/ComReg1160.pdf</w:t>
      </w:r>
    </w:p>
  </w:footnote>
  <w:footnote w:id="13">
    <w:p w:rsidR="00302A9C" w:rsidRDefault="00302A9C">
      <w:pPr>
        <w:pStyle w:val="FootnoteText"/>
      </w:pPr>
      <w:r>
        <w:rPr>
          <w:rStyle w:val="FootnoteReference"/>
        </w:rPr>
        <w:footnoteRef/>
      </w:r>
      <w:r>
        <w:t xml:space="preserve"> For example, see responses from Crown Castle, GSM Association and VHA.</w:t>
      </w:r>
    </w:p>
  </w:footnote>
  <w:footnote w:id="14">
    <w:p w:rsidR="00302A9C" w:rsidRDefault="00302A9C" w:rsidP="00834475">
      <w:pPr>
        <w:pStyle w:val="FootnoteText"/>
      </w:pPr>
      <w:r>
        <w:rPr>
          <w:rStyle w:val="FootnoteReference"/>
        </w:rPr>
        <w:footnoteRef/>
      </w:r>
      <w:r>
        <w:t xml:space="preserve"> The different approaches to calculating the opportunity cost of spectrum are discussed in “Opportunity cost pricing of spectrum”, ACMA, April 2009</w:t>
      </w:r>
    </w:p>
  </w:footnote>
  <w:footnote w:id="15">
    <w:p w:rsidR="00302A9C" w:rsidRDefault="00302A9C" w:rsidP="00A51958">
      <w:pPr>
        <w:pStyle w:val="FootnoteText"/>
      </w:pPr>
      <w:r>
        <w:rPr>
          <w:rStyle w:val="FootnoteReference"/>
        </w:rPr>
        <w:footnoteRef/>
      </w:r>
      <w:r>
        <w:t xml:space="preserve"> It is assumed that this has a negligible impact on value because the process of global standards setting ensures harmful interference does not arise from allowing new devices in bands currently harmonised globally for mobile services. In this regard we note that the market benchmarks from other countries we refer to in Section 3 all permit some degree of co-existence (i.e. do not guarantee exclusivity).</w:t>
      </w:r>
    </w:p>
  </w:footnote>
  <w:footnote w:id="16">
    <w:p w:rsidR="00302A9C" w:rsidRDefault="00302A9C">
      <w:pPr>
        <w:pStyle w:val="FootnoteText"/>
      </w:pPr>
      <w:r>
        <w:rPr>
          <w:rStyle w:val="FootnoteReference"/>
        </w:rPr>
        <w:footnoteRef/>
      </w:r>
      <w:r>
        <w:t xml:space="preserve"> See: </w:t>
      </w:r>
      <w:r w:rsidRPr="00C162BC">
        <w:t>http://www.abiresearch.com/products/market_data</w:t>
      </w:r>
    </w:p>
  </w:footnote>
  <w:footnote w:id="17">
    <w:p w:rsidR="00302A9C" w:rsidRDefault="00302A9C">
      <w:pPr>
        <w:pStyle w:val="FootnoteText"/>
      </w:pPr>
      <w:r>
        <w:rPr>
          <w:rStyle w:val="FootnoteReference"/>
        </w:rPr>
        <w:footnoteRef/>
      </w:r>
      <w:r>
        <w:t xml:space="preserve"> Cisco Visual Networking Index: Global Mobile Data Traffic Forecast Update, 2010-2015. Dated 1 Feb 2011 and retrieved 6 June 2011. </w:t>
      </w:r>
      <w:r w:rsidRPr="00F56A22">
        <w:t>http://www.cisco.com/en/US/solutions/collateral/ns341/ns525/ns537/ns705/ns827/white_paper_c11-520862.html</w:t>
      </w:r>
    </w:p>
  </w:footnote>
  <w:footnote w:id="18">
    <w:p w:rsidR="00302A9C" w:rsidRDefault="00302A9C">
      <w:pPr>
        <w:pStyle w:val="FootnoteText"/>
      </w:pPr>
      <w:r>
        <w:rPr>
          <w:rStyle w:val="FootnoteReference"/>
        </w:rPr>
        <w:footnoteRef/>
      </w:r>
      <w:r>
        <w:t xml:space="preserve"> Mobile traffic forecasts 2010-2020: A report by the UMTS Forum, Executive summary. Prepared by IDATE May 2011.</w:t>
      </w:r>
    </w:p>
  </w:footnote>
  <w:footnote w:id="19">
    <w:p w:rsidR="00302A9C" w:rsidRDefault="00302A9C">
      <w:pPr>
        <w:pStyle w:val="FootnoteText"/>
      </w:pPr>
      <w:r>
        <w:rPr>
          <w:rStyle w:val="FootnoteReference"/>
        </w:rPr>
        <w:footnoteRef/>
      </w:r>
      <w:r>
        <w:t>Uncertainty is caused by the fact that the operator would have an alternative of deploying indoor base stations and the possibility that the amount of traffic originating from deep in-building locations may not demand substantial amounts of capacity.</w:t>
      </w:r>
    </w:p>
  </w:footnote>
  <w:footnote w:id="20">
    <w:p w:rsidR="00302A9C" w:rsidRDefault="00302A9C">
      <w:pPr>
        <w:pStyle w:val="FootnoteText"/>
      </w:pPr>
      <w:r>
        <w:rPr>
          <w:rStyle w:val="FootnoteReference"/>
        </w:rPr>
        <w:footnoteRef/>
      </w:r>
      <w:r>
        <w:t xml:space="preserve"> Some incumbent operators already have more sites than others and there has been considerable investment in site deployments over the last couple of years.</w:t>
      </w:r>
    </w:p>
  </w:footnote>
  <w:footnote w:id="21">
    <w:p w:rsidR="00302A9C" w:rsidRDefault="00302A9C">
      <w:pPr>
        <w:pStyle w:val="FootnoteText"/>
      </w:pPr>
      <w:r>
        <w:rPr>
          <w:rStyle w:val="FootnoteReference"/>
        </w:rPr>
        <w:footnoteRef/>
      </w:r>
      <w:r>
        <w:t xml:space="preserve"> Estimates of the MHz.pop figures were provided to the project team by the ACMA.</w:t>
      </w:r>
    </w:p>
  </w:footnote>
  <w:footnote w:id="22">
    <w:p w:rsidR="00302A9C" w:rsidRDefault="00302A9C" w:rsidP="00737BC3">
      <w:pPr>
        <w:pStyle w:val="FootnoteText"/>
      </w:pPr>
      <w:r>
        <w:rPr>
          <w:rStyle w:val="FootnoteReference"/>
        </w:rPr>
        <w:footnoteRef/>
      </w:r>
      <w:r>
        <w:t xml:space="preserve"> </w:t>
      </w:r>
      <w:r w:rsidRPr="00737BC3">
        <w:rPr>
          <w:rStyle w:val="HTMLCite"/>
          <w:rFonts w:cs="Arial"/>
          <w:color w:val="000000"/>
        </w:rPr>
        <w:t>http://www.treasury.gov.au/igr/igr2010/report/pdf/IGR_2010.pdf</w:t>
      </w:r>
    </w:p>
  </w:footnote>
  <w:footnote w:id="23">
    <w:p w:rsidR="00302A9C" w:rsidRDefault="00302A9C" w:rsidP="00596225">
      <w:pPr>
        <w:pStyle w:val="FootnoteText"/>
      </w:pPr>
      <w:r>
        <w:rPr>
          <w:rStyle w:val="FootnoteReference"/>
        </w:rPr>
        <w:footnoteRef/>
      </w:r>
      <w:r>
        <w:t xml:space="preserve"> Calculated from the total number of wireless broadband customers reported by Telstra, Optus and VHA’s periodic report for year-end 2010.</w:t>
      </w:r>
    </w:p>
  </w:footnote>
  <w:footnote w:id="24">
    <w:p w:rsidR="00302A9C" w:rsidRDefault="00302A9C" w:rsidP="002C6684">
      <w:pPr>
        <w:pStyle w:val="FootnoteText"/>
      </w:pPr>
      <w:r>
        <w:rPr>
          <w:rStyle w:val="FootnoteReference"/>
        </w:rPr>
        <w:footnoteRef/>
      </w:r>
      <w:r>
        <w:t xml:space="preserve"> Market prepaid and postpaid ARPU numbers are calculated based prepaid and postpaid ARPU figures reported by Optus and Telstra in their periodic financial reports in 2010.</w:t>
      </w:r>
    </w:p>
  </w:footnote>
  <w:footnote w:id="25">
    <w:p w:rsidR="00302A9C" w:rsidRDefault="00302A9C" w:rsidP="00D959B8">
      <w:pPr>
        <w:pStyle w:val="FootnoteText"/>
      </w:pPr>
      <w:r>
        <w:rPr>
          <w:rStyle w:val="FootnoteReference"/>
        </w:rPr>
        <w:footnoteRef/>
      </w:r>
      <w:r>
        <w:t xml:space="preserve"> Derived from the average of VHA’s reported year average for 2010 ($145/sub) and Optus’ average of the 4 quarterly figures for 2010 ($213.5/sub).</w:t>
      </w:r>
    </w:p>
  </w:footnote>
  <w:footnote w:id="26">
    <w:p w:rsidR="00302A9C" w:rsidRDefault="00302A9C" w:rsidP="00D959B8">
      <w:pPr>
        <w:pStyle w:val="FootnoteText"/>
      </w:pPr>
      <w:r>
        <w:rPr>
          <w:rStyle w:val="FootnoteReference"/>
        </w:rPr>
        <w:footnoteRef/>
      </w:r>
      <w:r>
        <w:t xml:space="preserve"> From SingTel’s quarterly MD&amp;A reports for 2010 in which monthly churn ranges from 1.5% to 1.7%. </w:t>
      </w:r>
    </w:p>
  </w:footnote>
  <w:footnote w:id="27">
    <w:p w:rsidR="00302A9C" w:rsidRDefault="00302A9C">
      <w:pPr>
        <w:pStyle w:val="FootnoteText"/>
      </w:pPr>
      <w:r>
        <w:rPr>
          <w:rStyle w:val="FootnoteReference"/>
        </w:rPr>
        <w:footnoteRef/>
      </w:r>
      <w:r>
        <w:t xml:space="preserve"> Source: Merrill Lynch Global Wireless Matrix 3Q10</w:t>
      </w:r>
    </w:p>
  </w:footnote>
  <w:footnote w:id="28">
    <w:p w:rsidR="00302A9C" w:rsidRDefault="00302A9C" w:rsidP="0045732C">
      <w:pPr>
        <w:pStyle w:val="FootnoteText"/>
      </w:pPr>
      <w:r>
        <w:rPr>
          <w:rStyle w:val="FootnoteReference"/>
        </w:rPr>
        <w:footnoteRef/>
      </w:r>
      <w:r>
        <w:t xml:space="preserve">Cisco Visual Networking Index: Global Mobile Data Traffic Forecast Update, 2010-2015. Dated 1 Feb 2011 and retrieved 6 June 2011. </w:t>
      </w:r>
      <w:r w:rsidRPr="00F56A22">
        <w:t>http://www.cisco.com/en/US/solutions/collateral/ns341/ns525/ns537/ns705/ns827/white_paper_c11-520862.html</w:t>
      </w:r>
    </w:p>
  </w:footnote>
  <w:footnote w:id="29">
    <w:p w:rsidR="00302A9C" w:rsidRDefault="00302A9C" w:rsidP="0045732C">
      <w:pPr>
        <w:pStyle w:val="FootnoteText"/>
      </w:pPr>
      <w:r>
        <w:rPr>
          <w:rStyle w:val="FootnoteReference"/>
        </w:rPr>
        <w:footnoteRef/>
      </w:r>
      <w:r>
        <w:t xml:space="preserve"> </w:t>
      </w:r>
      <w:r w:rsidRPr="004934D3">
        <w:t>http://www.abiresearch.com/products/market_data</w:t>
      </w:r>
    </w:p>
  </w:footnote>
  <w:footnote w:id="30">
    <w:p w:rsidR="00302A9C" w:rsidRDefault="00302A9C" w:rsidP="0045732C">
      <w:pPr>
        <w:pStyle w:val="FootnoteText"/>
      </w:pPr>
      <w:r>
        <w:rPr>
          <w:rStyle w:val="FootnoteReference"/>
        </w:rPr>
        <w:footnoteRef/>
      </w:r>
      <w:r>
        <w:t xml:space="preserve"> Mobile traffic forecasts 2010-2020: A report by the UMTS Forum, Executive summary. Prepared by IDATE May 2011.</w:t>
      </w:r>
    </w:p>
  </w:footnote>
  <w:footnote w:id="31">
    <w:p w:rsidR="00302A9C" w:rsidRDefault="00302A9C" w:rsidP="00A26E9D">
      <w:pPr>
        <w:pStyle w:val="FootnoteText"/>
      </w:pPr>
      <w:r w:rsidRPr="00CA011C">
        <w:rPr>
          <w:rStyle w:val="FootnoteReference"/>
        </w:rPr>
        <w:footnoteRef/>
      </w:r>
      <w:r w:rsidRPr="00CA011C">
        <w:t xml:space="preserve"> </w:t>
      </w:r>
      <w:hyperlink r:id="rId2" w:history="1">
        <w:r w:rsidRPr="00CA011C">
          <w:rPr>
            <w:rStyle w:val="Hyperlink"/>
            <w:color w:val="auto"/>
          </w:rPr>
          <w:t>http://www.treasury.gov.au/igr/igr2010/</w:t>
        </w:r>
      </w:hyperlink>
      <w:r>
        <w:t xml:space="preserve"> Appendix D: IGR 2007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Default="00302A9C" w:rsidP="0001007A">
    <w:pPr>
      <w:pStyle w:val="Header"/>
      <w:jc w:val="right"/>
    </w:pPr>
    <w:r w:rsidRPr="00D02120">
      <w:rPr>
        <w:noProof/>
        <w:lang w:val="en-AU" w:eastAsia="en-AU"/>
      </w:rPr>
      <w:drawing>
        <wp:inline distT="0" distB="0" distL="0" distR="0" wp14:anchorId="24C73945" wp14:editId="09ECDD84">
          <wp:extent cx="1152525" cy="476250"/>
          <wp:effectExtent l="0" t="0" r="0" b="0"/>
          <wp:docPr id="13"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Default="00302A9C" w:rsidP="00560A65">
    <w:pPr>
      <w:pStyle w:val="Header"/>
      <w:jc w:val="right"/>
    </w:pPr>
    <w:r w:rsidRPr="00D02120">
      <w:rPr>
        <w:noProof/>
        <w:lang w:val="en-AU" w:eastAsia="en-AU"/>
      </w:rPr>
      <w:drawing>
        <wp:inline distT="0" distB="0" distL="0" distR="0" wp14:anchorId="3BD85554" wp14:editId="754E50AD">
          <wp:extent cx="1152525" cy="476250"/>
          <wp:effectExtent l="0" t="0" r="0" b="0"/>
          <wp:docPr id="5"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C" w:rsidRPr="0023441C" w:rsidRDefault="00302A9C" w:rsidP="00234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B6E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124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506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A0AB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A046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C03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A0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C2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20C3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346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6B9"/>
    <w:multiLevelType w:val="hybridMultilevel"/>
    <w:tmpl w:val="46A0E1F0"/>
    <w:lvl w:ilvl="0" w:tplc="A9604796">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95B2B"/>
    <w:multiLevelType w:val="multilevel"/>
    <w:tmpl w:val="EF644E52"/>
    <w:name w:val="HeadingListTemplate"/>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1134"/>
        </w:tabs>
        <w:ind w:left="1134" w:hanging="1134"/>
      </w:pPr>
    </w:lvl>
    <w:lvl w:ilvl="3">
      <w:start w:val="1"/>
      <w:numFmt w:val="decimal"/>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upperLetter"/>
      <w:lvlRestart w:val="0"/>
      <w:pStyle w:val="Heading6"/>
      <w:suff w:val="space"/>
      <w:lvlText w:val="Appendix %6:"/>
      <w:lvlJc w:val="left"/>
      <w:pPr>
        <w:tabs>
          <w:tab w:val="num" w:pos="0"/>
        </w:tabs>
        <w:ind w:left="0" w:firstLine="0"/>
      </w:pPr>
    </w:lvl>
    <w:lvl w:ilvl="6">
      <w:start w:val="1"/>
      <w:numFmt w:val="decimal"/>
      <w:pStyle w:val="Heading7"/>
      <w:lvlText w:val="%6.%7"/>
      <w:lvlJc w:val="left"/>
      <w:pPr>
        <w:tabs>
          <w:tab w:val="num" w:pos="1758"/>
        </w:tabs>
        <w:ind w:left="1758" w:hanging="907"/>
      </w:pPr>
    </w:lvl>
    <w:lvl w:ilvl="7">
      <w:start w:val="1"/>
      <w:numFmt w:val="decimal"/>
      <w:pStyle w:val="Heading8"/>
      <w:lvlText w:val="%6.%7.%8"/>
      <w:lvlJc w:val="left"/>
      <w:pPr>
        <w:tabs>
          <w:tab w:val="num" w:pos="1134"/>
        </w:tabs>
        <w:ind w:left="1134" w:hanging="1134"/>
      </w:pPr>
    </w:lvl>
    <w:lvl w:ilvl="8">
      <w:start w:val="1"/>
      <w:numFmt w:val="decimal"/>
      <w:lvlText w:val="%6.%7.%8.%9"/>
      <w:lvlJc w:val="left"/>
      <w:pPr>
        <w:tabs>
          <w:tab w:val="num" w:pos="1361"/>
        </w:tabs>
        <w:ind w:left="1361" w:hanging="1361"/>
      </w:pPr>
    </w:lvl>
  </w:abstractNum>
  <w:abstractNum w:abstractNumId="12" w15:restartNumberingAfterBreak="0">
    <w:nsid w:val="168528CE"/>
    <w:multiLevelType w:val="hybridMultilevel"/>
    <w:tmpl w:val="EAEA9D1E"/>
    <w:lvl w:ilvl="0" w:tplc="7C485B52">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E00EA"/>
    <w:multiLevelType w:val="hybridMultilevel"/>
    <w:tmpl w:val="88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17793"/>
    <w:multiLevelType w:val="hybridMultilevel"/>
    <w:tmpl w:val="2A264E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51B134F"/>
    <w:multiLevelType w:val="hybridMultilevel"/>
    <w:tmpl w:val="7498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D303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9429C1"/>
    <w:multiLevelType w:val="multilevel"/>
    <w:tmpl w:val="F8429C64"/>
    <w:lvl w:ilvl="0">
      <w:start w:val="1"/>
      <w:numFmt w:val="decimal"/>
      <w:lvlRestart w:val="0"/>
      <w:lvlText w:val="%1"/>
      <w:lvlJc w:val="left"/>
      <w:pPr>
        <w:tabs>
          <w:tab w:val="num" w:pos="680"/>
        </w:tabs>
        <w:ind w:left="680" w:hanging="680"/>
      </w:pPr>
    </w:lvl>
    <w:lvl w:ilvl="1">
      <w:start w:val="1"/>
      <w:numFmt w:val="decimal"/>
      <w:lvlText w:val="%1.%2"/>
      <w:lvlJc w:val="left"/>
      <w:pPr>
        <w:tabs>
          <w:tab w:val="num" w:pos="907"/>
        </w:tabs>
        <w:ind w:left="907" w:hanging="907"/>
      </w:pPr>
    </w:lvl>
    <w:lvl w:ilvl="2">
      <w:start w:val="1"/>
      <w:numFmt w:val="decimal"/>
      <w:lvlRestart w:val="0"/>
      <w:lvlText w:val="%1.%2.%3"/>
      <w:lvlJc w:val="left"/>
      <w:pPr>
        <w:tabs>
          <w:tab w:val="num" w:pos="1134"/>
        </w:tabs>
        <w:ind w:left="1134" w:hanging="1134"/>
      </w:pPr>
    </w:lvl>
    <w:lvl w:ilvl="3">
      <w:start w:val="1"/>
      <w:numFmt w:val="decimal"/>
      <w:lvlRestart w:val="0"/>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18" w15:restartNumberingAfterBreak="0">
    <w:nsid w:val="4854072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D343B7"/>
    <w:multiLevelType w:val="multilevel"/>
    <w:tmpl w:val="E392DB6A"/>
    <w:lvl w:ilvl="0">
      <w:start w:val="1"/>
      <w:numFmt w:val="decimal"/>
      <w:lvlRestart w:val="0"/>
      <w:lvlText w:val="%1"/>
      <w:lvlJc w:val="left"/>
      <w:pPr>
        <w:tabs>
          <w:tab w:val="num" w:pos="680"/>
        </w:tabs>
        <w:ind w:left="680" w:hanging="680"/>
      </w:pPr>
    </w:lvl>
    <w:lvl w:ilvl="1">
      <w:start w:val="1"/>
      <w:numFmt w:val="decimal"/>
      <w:lvlText w:val="%1.%2"/>
      <w:lvlJc w:val="left"/>
      <w:pPr>
        <w:tabs>
          <w:tab w:val="num" w:pos="907"/>
        </w:tabs>
        <w:ind w:left="907" w:hanging="907"/>
      </w:pPr>
    </w:lvl>
    <w:lvl w:ilvl="2">
      <w:start w:val="1"/>
      <w:numFmt w:val="decimal"/>
      <w:lvlRestart w:val="0"/>
      <w:lvlText w:val="%1.%2.%3"/>
      <w:lvlJc w:val="left"/>
      <w:pPr>
        <w:tabs>
          <w:tab w:val="num" w:pos="1134"/>
        </w:tabs>
        <w:ind w:left="1134" w:hanging="1134"/>
      </w:pPr>
    </w:lvl>
    <w:lvl w:ilvl="3">
      <w:start w:val="1"/>
      <w:numFmt w:val="decimal"/>
      <w:lvlRestart w:val="0"/>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20" w15:restartNumberingAfterBreak="0">
    <w:nsid w:val="4E205713"/>
    <w:multiLevelType w:val="hybridMultilevel"/>
    <w:tmpl w:val="7F4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462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A632899"/>
    <w:multiLevelType w:val="multilevel"/>
    <w:tmpl w:val="E4F2AF86"/>
    <w:name w:val="NumberListTemplate"/>
    <w:lvl w:ilvl="0">
      <w:start w:val="1"/>
      <w:numFmt w:val="decimal"/>
      <w:suff w:val="nothing"/>
      <w:lvlText w:val=""/>
      <w:lvlJc w:val="left"/>
      <w:pPr>
        <w:tabs>
          <w:tab w:val="num" w:pos="0"/>
        </w:tabs>
        <w:ind w:left="0" w:firstLine="0"/>
      </w:pPr>
    </w:lvl>
    <w:lvl w:ilvl="1">
      <w:start w:val="1"/>
      <w:numFmt w:val="lowerRoman"/>
      <w:pStyle w:val="NumberedList1"/>
      <w:lvlText w:val="%2."/>
      <w:lvlJc w:val="left"/>
      <w:pPr>
        <w:tabs>
          <w:tab w:val="num" w:pos="397"/>
        </w:tabs>
        <w:ind w:left="397" w:hanging="397"/>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23" w15:restartNumberingAfterBreak="0">
    <w:nsid w:val="6E3A6E47"/>
    <w:multiLevelType w:val="hybridMultilevel"/>
    <w:tmpl w:val="C05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73B1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B5E2026"/>
    <w:multiLevelType w:val="hybridMultilevel"/>
    <w:tmpl w:val="135650B4"/>
    <w:lvl w:ilvl="0" w:tplc="E256B8E2">
      <w:start w:val="1"/>
      <w:numFmt w:val="bullet"/>
      <w:lvlText w:val=""/>
      <w:lvlJc w:val="left"/>
      <w:pPr>
        <w:tabs>
          <w:tab w:val="num" w:pos="360"/>
        </w:tabs>
        <w:ind w:left="360" w:hanging="360"/>
      </w:pPr>
      <w:rPr>
        <w:rFonts w:ascii="Symbol" w:hAnsi="Symbol" w:hint="default"/>
        <w:color w:val="4F2683"/>
      </w:rPr>
    </w:lvl>
    <w:lvl w:ilvl="1" w:tplc="638EAD7A" w:tentative="1">
      <w:start w:val="1"/>
      <w:numFmt w:val="bullet"/>
      <w:lvlText w:val="o"/>
      <w:lvlJc w:val="left"/>
      <w:pPr>
        <w:tabs>
          <w:tab w:val="num" w:pos="1440"/>
        </w:tabs>
        <w:ind w:left="1440" w:hanging="360"/>
      </w:pPr>
      <w:rPr>
        <w:rFonts w:ascii="Courier New" w:hAnsi="Courier New" w:hint="default"/>
      </w:rPr>
    </w:lvl>
    <w:lvl w:ilvl="2" w:tplc="A858B3AE" w:tentative="1">
      <w:start w:val="1"/>
      <w:numFmt w:val="bullet"/>
      <w:lvlText w:val=""/>
      <w:lvlJc w:val="left"/>
      <w:pPr>
        <w:tabs>
          <w:tab w:val="num" w:pos="2160"/>
        </w:tabs>
        <w:ind w:left="2160" w:hanging="360"/>
      </w:pPr>
      <w:rPr>
        <w:rFonts w:ascii="Wingdings" w:hAnsi="Wingdings" w:hint="default"/>
      </w:rPr>
    </w:lvl>
    <w:lvl w:ilvl="3" w:tplc="D1C29238" w:tentative="1">
      <w:start w:val="1"/>
      <w:numFmt w:val="bullet"/>
      <w:lvlText w:val=""/>
      <w:lvlJc w:val="left"/>
      <w:pPr>
        <w:tabs>
          <w:tab w:val="num" w:pos="2880"/>
        </w:tabs>
        <w:ind w:left="2880" w:hanging="360"/>
      </w:pPr>
      <w:rPr>
        <w:rFonts w:ascii="Symbol" w:hAnsi="Symbol" w:hint="default"/>
      </w:rPr>
    </w:lvl>
    <w:lvl w:ilvl="4" w:tplc="DEEEEBCC" w:tentative="1">
      <w:start w:val="1"/>
      <w:numFmt w:val="bullet"/>
      <w:lvlText w:val="o"/>
      <w:lvlJc w:val="left"/>
      <w:pPr>
        <w:tabs>
          <w:tab w:val="num" w:pos="3600"/>
        </w:tabs>
        <w:ind w:left="3600" w:hanging="360"/>
      </w:pPr>
      <w:rPr>
        <w:rFonts w:ascii="Courier New" w:hAnsi="Courier New" w:hint="default"/>
      </w:rPr>
    </w:lvl>
    <w:lvl w:ilvl="5" w:tplc="9CEEE43C" w:tentative="1">
      <w:start w:val="1"/>
      <w:numFmt w:val="bullet"/>
      <w:lvlText w:val=""/>
      <w:lvlJc w:val="left"/>
      <w:pPr>
        <w:tabs>
          <w:tab w:val="num" w:pos="4320"/>
        </w:tabs>
        <w:ind w:left="4320" w:hanging="360"/>
      </w:pPr>
      <w:rPr>
        <w:rFonts w:ascii="Wingdings" w:hAnsi="Wingdings" w:hint="default"/>
      </w:rPr>
    </w:lvl>
    <w:lvl w:ilvl="6" w:tplc="9550B8D4" w:tentative="1">
      <w:start w:val="1"/>
      <w:numFmt w:val="bullet"/>
      <w:lvlText w:val=""/>
      <w:lvlJc w:val="left"/>
      <w:pPr>
        <w:tabs>
          <w:tab w:val="num" w:pos="5040"/>
        </w:tabs>
        <w:ind w:left="5040" w:hanging="360"/>
      </w:pPr>
      <w:rPr>
        <w:rFonts w:ascii="Symbol" w:hAnsi="Symbol" w:hint="default"/>
      </w:rPr>
    </w:lvl>
    <w:lvl w:ilvl="7" w:tplc="0B54EA32" w:tentative="1">
      <w:start w:val="1"/>
      <w:numFmt w:val="bullet"/>
      <w:lvlText w:val="o"/>
      <w:lvlJc w:val="left"/>
      <w:pPr>
        <w:tabs>
          <w:tab w:val="num" w:pos="5760"/>
        </w:tabs>
        <w:ind w:left="5760" w:hanging="360"/>
      </w:pPr>
      <w:rPr>
        <w:rFonts w:ascii="Courier New" w:hAnsi="Courier New" w:hint="default"/>
      </w:rPr>
    </w:lvl>
    <w:lvl w:ilvl="8" w:tplc="2A625D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D5E4E"/>
    <w:multiLevelType w:val="multilevel"/>
    <w:tmpl w:val="E4D67C04"/>
    <w:name w:val="BulletListTemplate2"/>
    <w:lvl w:ilvl="0">
      <w:start w:val="1"/>
      <w:numFmt w:val="decimal"/>
      <w:lvlText w:val=""/>
      <w:lvlJc w:val="left"/>
      <w:pPr>
        <w:tabs>
          <w:tab w:val="num" w:pos="280"/>
        </w:tabs>
        <w:ind w:left="280" w:hanging="280"/>
      </w:pPr>
      <w:rPr>
        <w:rFonts w:ascii="Symbol" w:hAnsi="Symbol" w:hint="default"/>
        <w:color w:val="4F2683"/>
      </w:rPr>
    </w:lvl>
    <w:lvl w:ilvl="1">
      <w:start w:val="1"/>
      <w:numFmt w:val="lowerLetter"/>
      <w:lvlText w:val="–"/>
      <w:lvlJc w:val="left"/>
      <w:pPr>
        <w:tabs>
          <w:tab w:val="num" w:pos="560"/>
        </w:tabs>
        <w:ind w:left="560" w:hanging="280"/>
      </w:pPr>
      <w:rPr>
        <w:rFonts w:ascii="Arial" w:hAnsi="Arial" w:cs="Arial"/>
        <w:color w:val="4F2683"/>
      </w:rPr>
    </w:lvl>
    <w:lvl w:ilvl="2">
      <w:start w:val="1"/>
      <w:numFmt w:val="lowerRoman"/>
      <w:lvlText w:val="–"/>
      <w:lvlJc w:val="left"/>
      <w:pPr>
        <w:tabs>
          <w:tab w:val="num" w:pos="860"/>
        </w:tabs>
        <w:ind w:left="860" w:hanging="300"/>
      </w:pPr>
      <w:rPr>
        <w:rFonts w:ascii="Arial" w:hAnsi="Arial" w:cs="Arial"/>
        <w:color w:val="4F2683"/>
      </w:rPr>
    </w:lvl>
    <w:lvl w:ilvl="3">
      <w:start w:val="1"/>
      <w:numFmt w:val="decimal"/>
      <w:lvlText w:val="·"/>
      <w:lvlJc w:val="left"/>
      <w:pPr>
        <w:tabs>
          <w:tab w:val="num" w:pos="1360"/>
        </w:tabs>
        <w:ind w:left="1360" w:hanging="340"/>
      </w:pPr>
      <w:rPr>
        <w:rFonts w:ascii="Symbol" w:hAnsi="Symbol" w:hint="default"/>
      </w:rPr>
    </w:lvl>
    <w:lvl w:ilvl="4">
      <w:start w:val="1"/>
      <w:numFmt w:val="lowerLetter"/>
      <w:lvlText w:val="·"/>
      <w:lvlJc w:val="left"/>
      <w:pPr>
        <w:tabs>
          <w:tab w:val="num" w:pos="1700"/>
        </w:tabs>
        <w:ind w:left="1700" w:hanging="340"/>
      </w:pPr>
      <w:rPr>
        <w:rFonts w:ascii="Symbol" w:hAnsi="Symbol" w:hint="default"/>
      </w:rPr>
    </w:lvl>
    <w:lvl w:ilvl="5">
      <w:start w:val="1"/>
      <w:numFmt w:val="lowerRoman"/>
      <w:lvlText w:val="·"/>
      <w:lvlJc w:val="left"/>
      <w:pPr>
        <w:tabs>
          <w:tab w:val="num" w:pos="2040"/>
        </w:tabs>
        <w:ind w:left="2040" w:hanging="340"/>
      </w:pPr>
      <w:rPr>
        <w:rFonts w:ascii="Symbol" w:hAnsi="Symbol" w:hint="default"/>
      </w:rPr>
    </w:lvl>
    <w:lvl w:ilvl="6">
      <w:start w:val="1"/>
      <w:numFmt w:val="decimal"/>
      <w:lvlText w:val="·"/>
      <w:lvlJc w:val="left"/>
      <w:pPr>
        <w:tabs>
          <w:tab w:val="num" w:pos="2380"/>
        </w:tabs>
        <w:ind w:left="2380" w:hanging="340"/>
      </w:pPr>
      <w:rPr>
        <w:rFonts w:ascii="Symbol" w:hAnsi="Symbol" w:hint="default"/>
      </w:rPr>
    </w:lvl>
    <w:lvl w:ilvl="7">
      <w:start w:val="1"/>
      <w:numFmt w:val="lowerLetter"/>
      <w:lvlText w:val="·"/>
      <w:lvlJc w:val="left"/>
      <w:pPr>
        <w:tabs>
          <w:tab w:val="num" w:pos="2720"/>
        </w:tabs>
        <w:ind w:left="2720" w:hanging="340"/>
      </w:pPr>
      <w:rPr>
        <w:rFonts w:ascii="Symbol" w:hAnsi="Symbol" w:hint="default"/>
      </w:rPr>
    </w:lvl>
    <w:lvl w:ilvl="8">
      <w:start w:val="1"/>
      <w:numFmt w:val="lowerRoman"/>
      <w:lvlText w:val="·"/>
      <w:lvlJc w:val="left"/>
      <w:pPr>
        <w:tabs>
          <w:tab w:val="num" w:pos="3060"/>
        </w:tabs>
        <w:ind w:left="3060" w:hanging="340"/>
      </w:pPr>
      <w:rPr>
        <w:rFonts w:ascii="Symbol" w:hAnsi="Symbol" w:hint="default"/>
      </w:rPr>
    </w:lvl>
  </w:abstractNum>
  <w:abstractNum w:abstractNumId="27" w15:restartNumberingAfterBreak="0">
    <w:nsid w:val="7E8172D4"/>
    <w:multiLevelType w:val="multilevel"/>
    <w:tmpl w:val="121866B2"/>
    <w:lvl w:ilvl="0">
      <w:start w:val="1"/>
      <w:numFmt w:val="decimal"/>
      <w:pStyle w:val="BulletList1"/>
      <w:lvlText w:val=""/>
      <w:lvlJc w:val="left"/>
      <w:pPr>
        <w:tabs>
          <w:tab w:val="num" w:pos="400"/>
        </w:tabs>
        <w:ind w:left="400" w:hanging="400"/>
      </w:pPr>
      <w:rPr>
        <w:rFonts w:ascii="Symbol" w:hAnsi="Symbol" w:hint="default"/>
        <w:color w:val="4F2683"/>
      </w:rPr>
    </w:lvl>
    <w:lvl w:ilvl="1">
      <w:start w:val="1"/>
      <w:numFmt w:val="lowerLetter"/>
      <w:pStyle w:val="BulletList2"/>
      <w:lvlText w:val="–"/>
      <w:lvlJc w:val="left"/>
      <w:pPr>
        <w:tabs>
          <w:tab w:val="num" w:pos="800"/>
        </w:tabs>
        <w:ind w:left="800" w:hanging="400"/>
      </w:pPr>
      <w:rPr>
        <w:rFonts w:ascii="Arial" w:hAnsi="Arial" w:cs="Arial"/>
        <w:color w:val="4F2683"/>
      </w:rPr>
    </w:lvl>
    <w:lvl w:ilvl="2">
      <w:start w:val="1"/>
      <w:numFmt w:val="lowerRoman"/>
      <w:pStyle w:val="BulletList3"/>
      <w:lvlText w:val="–"/>
      <w:lvlJc w:val="left"/>
      <w:pPr>
        <w:tabs>
          <w:tab w:val="num" w:pos="1200"/>
        </w:tabs>
        <w:ind w:left="1200" w:hanging="400"/>
      </w:pPr>
      <w:rPr>
        <w:rFonts w:ascii="Arial" w:hAnsi="Arial" w:cs="Arial"/>
        <w:color w:val="4F2683"/>
      </w:rPr>
    </w:lvl>
    <w:lvl w:ilvl="3">
      <w:start w:val="1"/>
      <w:numFmt w:val="decimal"/>
      <w:pStyle w:val="BulletList4"/>
      <w:lvlText w:val="·"/>
      <w:lvlJc w:val="left"/>
      <w:pPr>
        <w:tabs>
          <w:tab w:val="num" w:pos="1360"/>
        </w:tabs>
        <w:ind w:left="1360" w:hanging="340"/>
      </w:pPr>
      <w:rPr>
        <w:rFonts w:ascii="Symbol" w:hAnsi="Symbol" w:hint="default"/>
      </w:rPr>
    </w:lvl>
    <w:lvl w:ilvl="4">
      <w:start w:val="1"/>
      <w:numFmt w:val="lowerLetter"/>
      <w:pStyle w:val="BulletList5"/>
      <w:lvlText w:val="·"/>
      <w:lvlJc w:val="left"/>
      <w:pPr>
        <w:tabs>
          <w:tab w:val="num" w:pos="1700"/>
        </w:tabs>
        <w:ind w:left="1700" w:hanging="340"/>
      </w:pPr>
      <w:rPr>
        <w:rFonts w:ascii="Symbol" w:hAnsi="Symbol" w:hint="default"/>
      </w:rPr>
    </w:lvl>
    <w:lvl w:ilvl="5">
      <w:start w:val="1"/>
      <w:numFmt w:val="lowerRoman"/>
      <w:pStyle w:val="BulletList6"/>
      <w:lvlText w:val="·"/>
      <w:lvlJc w:val="left"/>
      <w:pPr>
        <w:tabs>
          <w:tab w:val="num" w:pos="2040"/>
        </w:tabs>
        <w:ind w:left="2040" w:hanging="340"/>
      </w:pPr>
      <w:rPr>
        <w:rFonts w:ascii="Symbol" w:hAnsi="Symbol" w:hint="default"/>
      </w:rPr>
    </w:lvl>
    <w:lvl w:ilvl="6">
      <w:start w:val="1"/>
      <w:numFmt w:val="decimal"/>
      <w:pStyle w:val="BulletList7"/>
      <w:lvlText w:val="·"/>
      <w:lvlJc w:val="left"/>
      <w:pPr>
        <w:tabs>
          <w:tab w:val="num" w:pos="2380"/>
        </w:tabs>
        <w:ind w:left="2380" w:hanging="340"/>
      </w:pPr>
      <w:rPr>
        <w:rFonts w:ascii="Symbol" w:hAnsi="Symbol" w:hint="default"/>
      </w:rPr>
    </w:lvl>
    <w:lvl w:ilvl="7">
      <w:start w:val="1"/>
      <w:numFmt w:val="lowerLetter"/>
      <w:pStyle w:val="BulletList8"/>
      <w:lvlText w:val="·"/>
      <w:lvlJc w:val="left"/>
      <w:pPr>
        <w:tabs>
          <w:tab w:val="num" w:pos="2720"/>
        </w:tabs>
        <w:ind w:left="2720" w:hanging="340"/>
      </w:pPr>
      <w:rPr>
        <w:rFonts w:ascii="Symbol" w:hAnsi="Symbol" w:hint="default"/>
      </w:rPr>
    </w:lvl>
    <w:lvl w:ilvl="8">
      <w:start w:val="1"/>
      <w:numFmt w:val="lowerRoman"/>
      <w:pStyle w:val="BulletList9"/>
      <w:lvlText w:val="·"/>
      <w:lvlJc w:val="left"/>
      <w:pPr>
        <w:tabs>
          <w:tab w:val="num" w:pos="3060"/>
        </w:tabs>
        <w:ind w:left="3060" w:hanging="340"/>
      </w:pPr>
      <w:rPr>
        <w:rFonts w:ascii="Symbol" w:hAnsi="Symbol" w:hint="default"/>
      </w:rPr>
    </w:lvl>
  </w:abstractNum>
  <w:num w:numId="1">
    <w:abstractNumId w:val="27"/>
  </w:num>
  <w:num w:numId="2">
    <w:abstractNumId w:val="22"/>
  </w:num>
  <w:num w:numId="3">
    <w:abstractNumId w:val="11"/>
  </w:num>
  <w:num w:numId="4">
    <w:abstractNumId w:val="19"/>
  </w:num>
  <w:num w:numId="5">
    <w:abstractNumId w:val="17"/>
  </w:num>
  <w:num w:numId="6">
    <w:abstractNumId w:val="26"/>
  </w:num>
  <w:num w:numId="7">
    <w:abstractNumId w:val="2"/>
  </w:num>
  <w:num w:numId="8">
    <w:abstractNumId w:val="24"/>
  </w:num>
  <w:num w:numId="9">
    <w:abstractNumId w:val="16"/>
  </w:num>
  <w:num w:numId="10">
    <w:abstractNumId w:val="18"/>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
  </w:num>
  <w:num w:numId="20">
    <w:abstractNumId w:val="0"/>
  </w:num>
  <w:num w:numId="21">
    <w:abstractNumId w:val="12"/>
  </w:num>
  <w:num w:numId="22">
    <w:abstractNumId w:val="13"/>
  </w:num>
  <w:num w:numId="23">
    <w:abstractNumId w:val="25"/>
  </w:num>
  <w:num w:numId="24">
    <w:abstractNumId w:val="10"/>
  </w:num>
  <w:num w:numId="25">
    <w:abstractNumId w:val="23"/>
  </w:num>
  <w:num w:numId="26">
    <w:abstractNumId w:val="15"/>
  </w:num>
  <w:num w:numId="27">
    <w:abstractNumId w:val="2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A28" w:allStyles="0" w:customStyles="0" w:latentStyles="0" w:stylesInUse="1"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720"/>
  <w:clickAndTypeStyle w:val="BodyText"/>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F"/>
    <w:rsid w:val="000017E0"/>
    <w:rsid w:val="00002E54"/>
    <w:rsid w:val="0001007A"/>
    <w:rsid w:val="00015C18"/>
    <w:rsid w:val="00021A4F"/>
    <w:rsid w:val="00022E8D"/>
    <w:rsid w:val="00023FA3"/>
    <w:rsid w:val="00023FA6"/>
    <w:rsid w:val="000259FD"/>
    <w:rsid w:val="00030CD1"/>
    <w:rsid w:val="000448A8"/>
    <w:rsid w:val="00045E55"/>
    <w:rsid w:val="000477EF"/>
    <w:rsid w:val="00050899"/>
    <w:rsid w:val="00051D61"/>
    <w:rsid w:val="00061061"/>
    <w:rsid w:val="000771CF"/>
    <w:rsid w:val="00080BAA"/>
    <w:rsid w:val="00085CEA"/>
    <w:rsid w:val="0008748D"/>
    <w:rsid w:val="0009374A"/>
    <w:rsid w:val="00094B03"/>
    <w:rsid w:val="00095613"/>
    <w:rsid w:val="000962B3"/>
    <w:rsid w:val="000B4911"/>
    <w:rsid w:val="000B73BC"/>
    <w:rsid w:val="000D4372"/>
    <w:rsid w:val="000E2333"/>
    <w:rsid w:val="000E696F"/>
    <w:rsid w:val="000F0C43"/>
    <w:rsid w:val="000F1886"/>
    <w:rsid w:val="000F4E0D"/>
    <w:rsid w:val="001032C0"/>
    <w:rsid w:val="00110645"/>
    <w:rsid w:val="0011228F"/>
    <w:rsid w:val="001122C5"/>
    <w:rsid w:val="00120E64"/>
    <w:rsid w:val="00122409"/>
    <w:rsid w:val="001259DD"/>
    <w:rsid w:val="00140403"/>
    <w:rsid w:val="00146737"/>
    <w:rsid w:val="00154DF8"/>
    <w:rsid w:val="001610E3"/>
    <w:rsid w:val="001628F8"/>
    <w:rsid w:val="00165C69"/>
    <w:rsid w:val="00166E27"/>
    <w:rsid w:val="00167179"/>
    <w:rsid w:val="001723B6"/>
    <w:rsid w:val="00177057"/>
    <w:rsid w:val="00180723"/>
    <w:rsid w:val="001822A2"/>
    <w:rsid w:val="001955E3"/>
    <w:rsid w:val="001962C1"/>
    <w:rsid w:val="001A3F5B"/>
    <w:rsid w:val="001B04CF"/>
    <w:rsid w:val="001B56ED"/>
    <w:rsid w:val="001C594C"/>
    <w:rsid w:val="001D1CB6"/>
    <w:rsid w:val="001D2544"/>
    <w:rsid w:val="001D3635"/>
    <w:rsid w:val="001E00E1"/>
    <w:rsid w:val="001F0AC8"/>
    <w:rsid w:val="001F61F0"/>
    <w:rsid w:val="001F7D94"/>
    <w:rsid w:val="00200FE8"/>
    <w:rsid w:val="002032E6"/>
    <w:rsid w:val="002038A0"/>
    <w:rsid w:val="002052F2"/>
    <w:rsid w:val="00207EDF"/>
    <w:rsid w:val="00211545"/>
    <w:rsid w:val="00215E00"/>
    <w:rsid w:val="002215C1"/>
    <w:rsid w:val="00221B79"/>
    <w:rsid w:val="002229A3"/>
    <w:rsid w:val="00223DA4"/>
    <w:rsid w:val="0023075E"/>
    <w:rsid w:val="002308FD"/>
    <w:rsid w:val="002329AA"/>
    <w:rsid w:val="0023441C"/>
    <w:rsid w:val="00241AA9"/>
    <w:rsid w:val="002425E5"/>
    <w:rsid w:val="0025296F"/>
    <w:rsid w:val="00253074"/>
    <w:rsid w:val="00265E00"/>
    <w:rsid w:val="00271710"/>
    <w:rsid w:val="00280ECF"/>
    <w:rsid w:val="002826E0"/>
    <w:rsid w:val="00283CA7"/>
    <w:rsid w:val="00293C6C"/>
    <w:rsid w:val="002A0E81"/>
    <w:rsid w:val="002A15E6"/>
    <w:rsid w:val="002A2CD4"/>
    <w:rsid w:val="002A3A97"/>
    <w:rsid w:val="002B06A2"/>
    <w:rsid w:val="002B18A3"/>
    <w:rsid w:val="002B249E"/>
    <w:rsid w:val="002B4338"/>
    <w:rsid w:val="002C37D7"/>
    <w:rsid w:val="002C6684"/>
    <w:rsid w:val="002E0BA4"/>
    <w:rsid w:val="002E166E"/>
    <w:rsid w:val="002F0F81"/>
    <w:rsid w:val="002F19F2"/>
    <w:rsid w:val="002F3169"/>
    <w:rsid w:val="00301775"/>
    <w:rsid w:val="0030281A"/>
    <w:rsid w:val="00302A9C"/>
    <w:rsid w:val="003052DF"/>
    <w:rsid w:val="00306B65"/>
    <w:rsid w:val="003102A2"/>
    <w:rsid w:val="003105C5"/>
    <w:rsid w:val="003125F5"/>
    <w:rsid w:val="003138B5"/>
    <w:rsid w:val="00314D9D"/>
    <w:rsid w:val="00316062"/>
    <w:rsid w:val="003169C3"/>
    <w:rsid w:val="00327514"/>
    <w:rsid w:val="00332521"/>
    <w:rsid w:val="003345AD"/>
    <w:rsid w:val="00341EE4"/>
    <w:rsid w:val="00342278"/>
    <w:rsid w:val="00342992"/>
    <w:rsid w:val="00346A6D"/>
    <w:rsid w:val="00354DC5"/>
    <w:rsid w:val="00356139"/>
    <w:rsid w:val="00356FD8"/>
    <w:rsid w:val="00365956"/>
    <w:rsid w:val="00375BB6"/>
    <w:rsid w:val="0038342F"/>
    <w:rsid w:val="003862BF"/>
    <w:rsid w:val="003C304A"/>
    <w:rsid w:val="003C3360"/>
    <w:rsid w:val="003C375F"/>
    <w:rsid w:val="003D1510"/>
    <w:rsid w:val="003D2AF1"/>
    <w:rsid w:val="003D3D84"/>
    <w:rsid w:val="003D7517"/>
    <w:rsid w:val="003D77F7"/>
    <w:rsid w:val="003E1B2E"/>
    <w:rsid w:val="003E3984"/>
    <w:rsid w:val="003F4D00"/>
    <w:rsid w:val="003F56C1"/>
    <w:rsid w:val="003F73BB"/>
    <w:rsid w:val="004016BF"/>
    <w:rsid w:val="00402202"/>
    <w:rsid w:val="00403D7D"/>
    <w:rsid w:val="00404966"/>
    <w:rsid w:val="00404E68"/>
    <w:rsid w:val="00405A09"/>
    <w:rsid w:val="004103DE"/>
    <w:rsid w:val="00411137"/>
    <w:rsid w:val="00414398"/>
    <w:rsid w:val="0041633D"/>
    <w:rsid w:val="00421615"/>
    <w:rsid w:val="004258DF"/>
    <w:rsid w:val="00426390"/>
    <w:rsid w:val="004273B7"/>
    <w:rsid w:val="00427C6F"/>
    <w:rsid w:val="0044046C"/>
    <w:rsid w:val="00440ABA"/>
    <w:rsid w:val="0044184B"/>
    <w:rsid w:val="00441E19"/>
    <w:rsid w:val="00444335"/>
    <w:rsid w:val="004467F2"/>
    <w:rsid w:val="00446D1A"/>
    <w:rsid w:val="0044706E"/>
    <w:rsid w:val="004473E8"/>
    <w:rsid w:val="00453CC3"/>
    <w:rsid w:val="0045732C"/>
    <w:rsid w:val="004600DD"/>
    <w:rsid w:val="00460C14"/>
    <w:rsid w:val="004758BE"/>
    <w:rsid w:val="00481C9D"/>
    <w:rsid w:val="00483ED4"/>
    <w:rsid w:val="004934D3"/>
    <w:rsid w:val="004941BF"/>
    <w:rsid w:val="00495C41"/>
    <w:rsid w:val="004B3EFE"/>
    <w:rsid w:val="004D101F"/>
    <w:rsid w:val="004D2EDB"/>
    <w:rsid w:val="004E09EE"/>
    <w:rsid w:val="004E5B50"/>
    <w:rsid w:val="004F43D4"/>
    <w:rsid w:val="004F79E0"/>
    <w:rsid w:val="005004AA"/>
    <w:rsid w:val="0050176E"/>
    <w:rsid w:val="00502FE1"/>
    <w:rsid w:val="00504201"/>
    <w:rsid w:val="00507859"/>
    <w:rsid w:val="0051226E"/>
    <w:rsid w:val="00516782"/>
    <w:rsid w:val="00520FFF"/>
    <w:rsid w:val="00521C73"/>
    <w:rsid w:val="005264EB"/>
    <w:rsid w:val="00526946"/>
    <w:rsid w:val="005340E8"/>
    <w:rsid w:val="00536A1B"/>
    <w:rsid w:val="00541AB2"/>
    <w:rsid w:val="00546E19"/>
    <w:rsid w:val="005473AA"/>
    <w:rsid w:val="005567A9"/>
    <w:rsid w:val="00560211"/>
    <w:rsid w:val="00560A65"/>
    <w:rsid w:val="00564CC4"/>
    <w:rsid w:val="005667EB"/>
    <w:rsid w:val="0057020F"/>
    <w:rsid w:val="00570558"/>
    <w:rsid w:val="00572210"/>
    <w:rsid w:val="00581A5D"/>
    <w:rsid w:val="005866C0"/>
    <w:rsid w:val="00590EB5"/>
    <w:rsid w:val="00592BCB"/>
    <w:rsid w:val="00596225"/>
    <w:rsid w:val="00597A70"/>
    <w:rsid w:val="005A00F7"/>
    <w:rsid w:val="005B202B"/>
    <w:rsid w:val="005B3B8E"/>
    <w:rsid w:val="005C003D"/>
    <w:rsid w:val="005C7EFF"/>
    <w:rsid w:val="005D104E"/>
    <w:rsid w:val="005D2D23"/>
    <w:rsid w:val="005D4689"/>
    <w:rsid w:val="005E19FD"/>
    <w:rsid w:val="005E34A0"/>
    <w:rsid w:val="005E350B"/>
    <w:rsid w:val="005E55CC"/>
    <w:rsid w:val="005E68DC"/>
    <w:rsid w:val="005F2BE2"/>
    <w:rsid w:val="005F6A89"/>
    <w:rsid w:val="00601461"/>
    <w:rsid w:val="00603D03"/>
    <w:rsid w:val="006066F7"/>
    <w:rsid w:val="006118C5"/>
    <w:rsid w:val="00613749"/>
    <w:rsid w:val="0062288F"/>
    <w:rsid w:val="00622BF6"/>
    <w:rsid w:val="00625004"/>
    <w:rsid w:val="00657A8D"/>
    <w:rsid w:val="006656E3"/>
    <w:rsid w:val="00667B80"/>
    <w:rsid w:val="006731FD"/>
    <w:rsid w:val="00691546"/>
    <w:rsid w:val="006A269B"/>
    <w:rsid w:val="006A7221"/>
    <w:rsid w:val="006B012A"/>
    <w:rsid w:val="006C0911"/>
    <w:rsid w:val="006C0AC0"/>
    <w:rsid w:val="006D67D4"/>
    <w:rsid w:val="006D7321"/>
    <w:rsid w:val="006D7442"/>
    <w:rsid w:val="006D7FF2"/>
    <w:rsid w:val="006E0FF5"/>
    <w:rsid w:val="006E1505"/>
    <w:rsid w:val="006E2995"/>
    <w:rsid w:val="006F11BD"/>
    <w:rsid w:val="00701F78"/>
    <w:rsid w:val="0070335D"/>
    <w:rsid w:val="00703917"/>
    <w:rsid w:val="00703FB0"/>
    <w:rsid w:val="007147B9"/>
    <w:rsid w:val="00737705"/>
    <w:rsid w:val="007378FD"/>
    <w:rsid w:val="00737BC3"/>
    <w:rsid w:val="00740538"/>
    <w:rsid w:val="0074197B"/>
    <w:rsid w:val="00746E75"/>
    <w:rsid w:val="0075543A"/>
    <w:rsid w:val="00757309"/>
    <w:rsid w:val="007744C3"/>
    <w:rsid w:val="00775958"/>
    <w:rsid w:val="007766B4"/>
    <w:rsid w:val="007768F8"/>
    <w:rsid w:val="007844FB"/>
    <w:rsid w:val="00790D06"/>
    <w:rsid w:val="0079338C"/>
    <w:rsid w:val="007A05AA"/>
    <w:rsid w:val="007A1110"/>
    <w:rsid w:val="007A2CA1"/>
    <w:rsid w:val="007A46C2"/>
    <w:rsid w:val="007B4EE1"/>
    <w:rsid w:val="007C6A3C"/>
    <w:rsid w:val="007C78EF"/>
    <w:rsid w:val="007D2809"/>
    <w:rsid w:val="007D28EA"/>
    <w:rsid w:val="007D2C56"/>
    <w:rsid w:val="007E149C"/>
    <w:rsid w:val="007E3187"/>
    <w:rsid w:val="007E3DBE"/>
    <w:rsid w:val="007E6145"/>
    <w:rsid w:val="00803411"/>
    <w:rsid w:val="00811C82"/>
    <w:rsid w:val="00821A62"/>
    <w:rsid w:val="00834475"/>
    <w:rsid w:val="00835073"/>
    <w:rsid w:val="00840927"/>
    <w:rsid w:val="0085306D"/>
    <w:rsid w:val="00854156"/>
    <w:rsid w:val="008551B5"/>
    <w:rsid w:val="0085644C"/>
    <w:rsid w:val="00857001"/>
    <w:rsid w:val="008573A5"/>
    <w:rsid w:val="008579CF"/>
    <w:rsid w:val="00864DD9"/>
    <w:rsid w:val="00867448"/>
    <w:rsid w:val="008808FB"/>
    <w:rsid w:val="00880909"/>
    <w:rsid w:val="00887BC8"/>
    <w:rsid w:val="00897271"/>
    <w:rsid w:val="00897ADC"/>
    <w:rsid w:val="008A16C3"/>
    <w:rsid w:val="008A298D"/>
    <w:rsid w:val="008A5773"/>
    <w:rsid w:val="008A60E9"/>
    <w:rsid w:val="008A7374"/>
    <w:rsid w:val="008A7FEE"/>
    <w:rsid w:val="008B288C"/>
    <w:rsid w:val="008B4A71"/>
    <w:rsid w:val="008B4AF4"/>
    <w:rsid w:val="008B4C00"/>
    <w:rsid w:val="008C0596"/>
    <w:rsid w:val="008C45C9"/>
    <w:rsid w:val="008D2DFA"/>
    <w:rsid w:val="008D4656"/>
    <w:rsid w:val="008E1EEB"/>
    <w:rsid w:val="008E5470"/>
    <w:rsid w:val="008E6311"/>
    <w:rsid w:val="008F2986"/>
    <w:rsid w:val="008F3961"/>
    <w:rsid w:val="00900167"/>
    <w:rsid w:val="00902F6C"/>
    <w:rsid w:val="00911A51"/>
    <w:rsid w:val="00914FD4"/>
    <w:rsid w:val="00916F4B"/>
    <w:rsid w:val="009230E8"/>
    <w:rsid w:val="00926607"/>
    <w:rsid w:val="00935321"/>
    <w:rsid w:val="009407BE"/>
    <w:rsid w:val="0094086E"/>
    <w:rsid w:val="00954F6D"/>
    <w:rsid w:val="0095743B"/>
    <w:rsid w:val="00972B6F"/>
    <w:rsid w:val="00977BC2"/>
    <w:rsid w:val="00982977"/>
    <w:rsid w:val="009849EC"/>
    <w:rsid w:val="00987B7E"/>
    <w:rsid w:val="00995DDC"/>
    <w:rsid w:val="0099699C"/>
    <w:rsid w:val="009A3C5B"/>
    <w:rsid w:val="009B1E7A"/>
    <w:rsid w:val="009B2724"/>
    <w:rsid w:val="009C1EA5"/>
    <w:rsid w:val="009C2C9F"/>
    <w:rsid w:val="009C4932"/>
    <w:rsid w:val="009D1764"/>
    <w:rsid w:val="009D1FB6"/>
    <w:rsid w:val="009D376B"/>
    <w:rsid w:val="009D451B"/>
    <w:rsid w:val="009D479B"/>
    <w:rsid w:val="009D48BD"/>
    <w:rsid w:val="009D6528"/>
    <w:rsid w:val="009E0040"/>
    <w:rsid w:val="009E1D38"/>
    <w:rsid w:val="009E32E0"/>
    <w:rsid w:val="009E5FBC"/>
    <w:rsid w:val="009E64BE"/>
    <w:rsid w:val="009E7534"/>
    <w:rsid w:val="00A006EF"/>
    <w:rsid w:val="00A00757"/>
    <w:rsid w:val="00A02765"/>
    <w:rsid w:val="00A03801"/>
    <w:rsid w:val="00A03D54"/>
    <w:rsid w:val="00A05AC8"/>
    <w:rsid w:val="00A119BA"/>
    <w:rsid w:val="00A120EC"/>
    <w:rsid w:val="00A14B2E"/>
    <w:rsid w:val="00A16174"/>
    <w:rsid w:val="00A227F7"/>
    <w:rsid w:val="00A244BD"/>
    <w:rsid w:val="00A26E9D"/>
    <w:rsid w:val="00A309A1"/>
    <w:rsid w:val="00A325DE"/>
    <w:rsid w:val="00A36772"/>
    <w:rsid w:val="00A507A3"/>
    <w:rsid w:val="00A51958"/>
    <w:rsid w:val="00A56778"/>
    <w:rsid w:val="00A62B60"/>
    <w:rsid w:val="00A637F3"/>
    <w:rsid w:val="00A66165"/>
    <w:rsid w:val="00A818E8"/>
    <w:rsid w:val="00A82E13"/>
    <w:rsid w:val="00A85AFC"/>
    <w:rsid w:val="00A86951"/>
    <w:rsid w:val="00A90883"/>
    <w:rsid w:val="00A92901"/>
    <w:rsid w:val="00A94B8E"/>
    <w:rsid w:val="00A96065"/>
    <w:rsid w:val="00AB40D4"/>
    <w:rsid w:val="00AC097D"/>
    <w:rsid w:val="00AC1C57"/>
    <w:rsid w:val="00AC4343"/>
    <w:rsid w:val="00AC503D"/>
    <w:rsid w:val="00AD0D48"/>
    <w:rsid w:val="00AD48CF"/>
    <w:rsid w:val="00AE2757"/>
    <w:rsid w:val="00AE5E7D"/>
    <w:rsid w:val="00AF0F13"/>
    <w:rsid w:val="00AF5918"/>
    <w:rsid w:val="00AF69A4"/>
    <w:rsid w:val="00AF7DF2"/>
    <w:rsid w:val="00B01402"/>
    <w:rsid w:val="00B030CB"/>
    <w:rsid w:val="00B077FF"/>
    <w:rsid w:val="00B07986"/>
    <w:rsid w:val="00B07B7A"/>
    <w:rsid w:val="00B07F6F"/>
    <w:rsid w:val="00B15EF5"/>
    <w:rsid w:val="00B173FE"/>
    <w:rsid w:val="00B23473"/>
    <w:rsid w:val="00B24A38"/>
    <w:rsid w:val="00B3019D"/>
    <w:rsid w:val="00B329D0"/>
    <w:rsid w:val="00B3534C"/>
    <w:rsid w:val="00B36A6E"/>
    <w:rsid w:val="00B36FC9"/>
    <w:rsid w:val="00B40C61"/>
    <w:rsid w:val="00B521E8"/>
    <w:rsid w:val="00B63608"/>
    <w:rsid w:val="00B737C1"/>
    <w:rsid w:val="00B76CEC"/>
    <w:rsid w:val="00B8181E"/>
    <w:rsid w:val="00B8195D"/>
    <w:rsid w:val="00B82837"/>
    <w:rsid w:val="00B85D4F"/>
    <w:rsid w:val="00B90C78"/>
    <w:rsid w:val="00B92840"/>
    <w:rsid w:val="00B92920"/>
    <w:rsid w:val="00B95293"/>
    <w:rsid w:val="00B958FE"/>
    <w:rsid w:val="00BA3AED"/>
    <w:rsid w:val="00BB57AA"/>
    <w:rsid w:val="00BB7D81"/>
    <w:rsid w:val="00BD0722"/>
    <w:rsid w:val="00BD1FEB"/>
    <w:rsid w:val="00BD22AB"/>
    <w:rsid w:val="00BD363B"/>
    <w:rsid w:val="00BD3748"/>
    <w:rsid w:val="00BD4C7C"/>
    <w:rsid w:val="00BD6798"/>
    <w:rsid w:val="00BD7B2B"/>
    <w:rsid w:val="00BE01D3"/>
    <w:rsid w:val="00BE5E01"/>
    <w:rsid w:val="00BF371C"/>
    <w:rsid w:val="00BF4DC6"/>
    <w:rsid w:val="00BF543F"/>
    <w:rsid w:val="00BF6AC4"/>
    <w:rsid w:val="00C0150F"/>
    <w:rsid w:val="00C0159A"/>
    <w:rsid w:val="00C023B2"/>
    <w:rsid w:val="00C070D3"/>
    <w:rsid w:val="00C11353"/>
    <w:rsid w:val="00C162BC"/>
    <w:rsid w:val="00C164AC"/>
    <w:rsid w:val="00C1673A"/>
    <w:rsid w:val="00C26EF8"/>
    <w:rsid w:val="00C33B12"/>
    <w:rsid w:val="00C36F15"/>
    <w:rsid w:val="00C37F4F"/>
    <w:rsid w:val="00C52759"/>
    <w:rsid w:val="00C5299F"/>
    <w:rsid w:val="00C55736"/>
    <w:rsid w:val="00C57B62"/>
    <w:rsid w:val="00C63DE4"/>
    <w:rsid w:val="00C648C2"/>
    <w:rsid w:val="00C65A61"/>
    <w:rsid w:val="00C77E65"/>
    <w:rsid w:val="00C8273A"/>
    <w:rsid w:val="00C843E2"/>
    <w:rsid w:val="00C8653C"/>
    <w:rsid w:val="00C927F0"/>
    <w:rsid w:val="00C94B09"/>
    <w:rsid w:val="00C97023"/>
    <w:rsid w:val="00CA011C"/>
    <w:rsid w:val="00CA4F2B"/>
    <w:rsid w:val="00CA5DAC"/>
    <w:rsid w:val="00CB170A"/>
    <w:rsid w:val="00CB22FC"/>
    <w:rsid w:val="00CC4D42"/>
    <w:rsid w:val="00CD30E7"/>
    <w:rsid w:val="00CD4C72"/>
    <w:rsid w:val="00CD7E66"/>
    <w:rsid w:val="00CE3C36"/>
    <w:rsid w:val="00CF04CA"/>
    <w:rsid w:val="00CF2991"/>
    <w:rsid w:val="00CF3C71"/>
    <w:rsid w:val="00D019A6"/>
    <w:rsid w:val="00D02120"/>
    <w:rsid w:val="00D0222C"/>
    <w:rsid w:val="00D0400E"/>
    <w:rsid w:val="00D0666D"/>
    <w:rsid w:val="00D11EEA"/>
    <w:rsid w:val="00D16410"/>
    <w:rsid w:val="00D16D2D"/>
    <w:rsid w:val="00D17B68"/>
    <w:rsid w:val="00D316BD"/>
    <w:rsid w:val="00D31B82"/>
    <w:rsid w:val="00D359B2"/>
    <w:rsid w:val="00D53CD7"/>
    <w:rsid w:val="00D56306"/>
    <w:rsid w:val="00D612F1"/>
    <w:rsid w:val="00D61977"/>
    <w:rsid w:val="00D67C80"/>
    <w:rsid w:val="00D92719"/>
    <w:rsid w:val="00D958B6"/>
    <w:rsid w:val="00D959B8"/>
    <w:rsid w:val="00D963FB"/>
    <w:rsid w:val="00D97784"/>
    <w:rsid w:val="00DA1CD9"/>
    <w:rsid w:val="00DA277F"/>
    <w:rsid w:val="00DB4259"/>
    <w:rsid w:val="00DB48AC"/>
    <w:rsid w:val="00DB50BA"/>
    <w:rsid w:val="00DB60D7"/>
    <w:rsid w:val="00DC0554"/>
    <w:rsid w:val="00DD1EA2"/>
    <w:rsid w:val="00DD3AD0"/>
    <w:rsid w:val="00DE2844"/>
    <w:rsid w:val="00DE47A6"/>
    <w:rsid w:val="00DE53A7"/>
    <w:rsid w:val="00DF26D7"/>
    <w:rsid w:val="00DF505A"/>
    <w:rsid w:val="00DF62A1"/>
    <w:rsid w:val="00DF6811"/>
    <w:rsid w:val="00DF68D1"/>
    <w:rsid w:val="00DF6EBB"/>
    <w:rsid w:val="00E012F1"/>
    <w:rsid w:val="00E024E6"/>
    <w:rsid w:val="00E0635D"/>
    <w:rsid w:val="00E20524"/>
    <w:rsid w:val="00E2795F"/>
    <w:rsid w:val="00E33DD5"/>
    <w:rsid w:val="00E423F5"/>
    <w:rsid w:val="00E448B4"/>
    <w:rsid w:val="00E45AAC"/>
    <w:rsid w:val="00E45D1D"/>
    <w:rsid w:val="00E5317E"/>
    <w:rsid w:val="00E5766A"/>
    <w:rsid w:val="00E62F34"/>
    <w:rsid w:val="00E64297"/>
    <w:rsid w:val="00E70916"/>
    <w:rsid w:val="00E72033"/>
    <w:rsid w:val="00E74737"/>
    <w:rsid w:val="00E77B1A"/>
    <w:rsid w:val="00E84E95"/>
    <w:rsid w:val="00E97E39"/>
    <w:rsid w:val="00EA094D"/>
    <w:rsid w:val="00EB141F"/>
    <w:rsid w:val="00EC4B0D"/>
    <w:rsid w:val="00ED11E5"/>
    <w:rsid w:val="00ED454B"/>
    <w:rsid w:val="00ED62F5"/>
    <w:rsid w:val="00ED6991"/>
    <w:rsid w:val="00EE2A66"/>
    <w:rsid w:val="00EE5970"/>
    <w:rsid w:val="00F028DA"/>
    <w:rsid w:val="00F03414"/>
    <w:rsid w:val="00F065A1"/>
    <w:rsid w:val="00F1086A"/>
    <w:rsid w:val="00F22CAC"/>
    <w:rsid w:val="00F46158"/>
    <w:rsid w:val="00F51F4E"/>
    <w:rsid w:val="00F521ED"/>
    <w:rsid w:val="00F53D1D"/>
    <w:rsid w:val="00F567BF"/>
    <w:rsid w:val="00F56A22"/>
    <w:rsid w:val="00F57DCC"/>
    <w:rsid w:val="00F66E71"/>
    <w:rsid w:val="00F732EE"/>
    <w:rsid w:val="00F82DD5"/>
    <w:rsid w:val="00F856A2"/>
    <w:rsid w:val="00FA00CD"/>
    <w:rsid w:val="00FA19C4"/>
    <w:rsid w:val="00FA1EC8"/>
    <w:rsid w:val="00FA3428"/>
    <w:rsid w:val="00FB35D5"/>
    <w:rsid w:val="00FB50BA"/>
    <w:rsid w:val="00FC0F96"/>
    <w:rsid w:val="00FD0ADF"/>
    <w:rsid w:val="00FD3651"/>
    <w:rsid w:val="00FD55D4"/>
    <w:rsid w:val="00FE7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semiHidden="1" w:unhideWhenUsed="1"/>
    <w:lsdException w:name="footnote reference" w:uiPriority="99"/>
    <w:lsdException w:name="Body Text" w:qFormat="1"/>
    <w:lsdException w:name="Hyperlink" w:uiPriority="99"/>
    <w:lsdException w:name="Strong" w:uiPriority="22"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99"/>
    <w:pPr>
      <w:spacing w:after="200" w:line="276" w:lineRule="auto"/>
    </w:pPr>
    <w:rPr>
      <w:rFonts w:ascii="Arial" w:eastAsia="Arial" w:hAnsi="Arial"/>
      <w:sz w:val="22"/>
      <w:szCs w:val="22"/>
      <w:lang w:val="en-GB" w:eastAsia="en-US"/>
    </w:rPr>
  </w:style>
  <w:style w:type="paragraph" w:styleId="Heading1">
    <w:name w:val="heading 1"/>
    <w:aliases w:val="ParaNum,Hoofdstuk,TOC,H1,IP Chapter Title"/>
    <w:basedOn w:val="Base"/>
    <w:next w:val="BodyText"/>
    <w:link w:val="Heading1Char"/>
    <w:qFormat/>
    <w:rsid w:val="0099699C"/>
    <w:pPr>
      <w:keepNext/>
      <w:keepLines/>
      <w:pageBreakBefore/>
      <w:numPr>
        <w:numId w:val="3"/>
      </w:numPr>
      <w:spacing w:after="240" w:line="240" w:lineRule="auto"/>
      <w:outlineLvl w:val="0"/>
    </w:pPr>
    <w:rPr>
      <w:rFonts w:cs="Arial"/>
      <w:b/>
      <w:bCs/>
      <w:color w:val="4F2683"/>
      <w:sz w:val="32"/>
      <w:szCs w:val="32"/>
    </w:rPr>
  </w:style>
  <w:style w:type="paragraph" w:styleId="Heading2">
    <w:name w:val="heading 2"/>
    <w:aliases w:val="2,h2,rio,Major"/>
    <w:basedOn w:val="Heading1"/>
    <w:next w:val="BodyText"/>
    <w:link w:val="Heading2Char"/>
    <w:qFormat/>
    <w:rsid w:val="00C1673A"/>
    <w:pPr>
      <w:pageBreakBefore w:val="0"/>
      <w:numPr>
        <w:ilvl w:val="1"/>
      </w:numPr>
      <w:spacing w:before="480" w:line="360" w:lineRule="exact"/>
      <w:outlineLvl w:val="1"/>
    </w:pPr>
    <w:rPr>
      <w:bCs w:val="0"/>
      <w:iCs/>
      <w:sz w:val="28"/>
      <w:szCs w:val="28"/>
    </w:rPr>
  </w:style>
  <w:style w:type="paragraph" w:styleId="Heading3">
    <w:name w:val="heading 3"/>
    <w:basedOn w:val="Heading2"/>
    <w:next w:val="BodyText"/>
    <w:link w:val="Heading3Char"/>
    <w:qFormat/>
    <w:rsid w:val="00C1673A"/>
    <w:pPr>
      <w:numPr>
        <w:ilvl w:val="2"/>
      </w:numPr>
      <w:spacing w:line="320" w:lineRule="exact"/>
      <w:outlineLvl w:val="2"/>
    </w:pPr>
    <w:rPr>
      <w:bCs/>
      <w:sz w:val="24"/>
      <w:szCs w:val="26"/>
    </w:rPr>
  </w:style>
  <w:style w:type="paragraph" w:styleId="Heading4">
    <w:name w:val="heading 4"/>
    <w:basedOn w:val="Heading8"/>
    <w:next w:val="BodyText"/>
    <w:link w:val="Heading4Char"/>
    <w:qFormat/>
    <w:rsid w:val="00C36F15"/>
    <w:pPr>
      <w:numPr>
        <w:ilvl w:val="0"/>
        <w:numId w:val="0"/>
      </w:numPr>
      <w:ind w:left="851" w:hanging="851"/>
      <w:outlineLvl w:val="3"/>
    </w:pPr>
  </w:style>
  <w:style w:type="paragraph" w:styleId="Heading5">
    <w:name w:val="heading 5"/>
    <w:basedOn w:val="Heading4"/>
    <w:next w:val="BodyText"/>
    <w:link w:val="Heading5Char"/>
    <w:qFormat/>
    <w:rsid w:val="009E1D38"/>
    <w:pPr>
      <w:numPr>
        <w:ilvl w:val="4"/>
      </w:numPr>
      <w:ind w:left="851" w:hanging="851"/>
      <w:outlineLvl w:val="4"/>
    </w:pPr>
    <w:rPr>
      <w:bCs w:val="0"/>
      <w:iCs/>
    </w:rPr>
  </w:style>
  <w:style w:type="paragraph" w:styleId="Heading6">
    <w:name w:val="heading 6"/>
    <w:basedOn w:val="Heading1"/>
    <w:next w:val="BodyText"/>
    <w:link w:val="Heading6Char"/>
    <w:qFormat/>
    <w:rsid w:val="009E1D38"/>
    <w:pPr>
      <w:numPr>
        <w:ilvl w:val="5"/>
      </w:numPr>
      <w:outlineLvl w:val="5"/>
    </w:pPr>
    <w:rPr>
      <w:bCs w:val="0"/>
      <w:szCs w:val="22"/>
    </w:rPr>
  </w:style>
  <w:style w:type="paragraph" w:styleId="Heading7">
    <w:name w:val="heading 7"/>
    <w:basedOn w:val="Heading2"/>
    <w:next w:val="BodyText"/>
    <w:link w:val="Heading7Char"/>
    <w:qFormat/>
    <w:rsid w:val="009E1D38"/>
    <w:pPr>
      <w:numPr>
        <w:ilvl w:val="6"/>
      </w:numPr>
      <w:outlineLvl w:val="6"/>
    </w:pPr>
  </w:style>
  <w:style w:type="paragraph" w:styleId="Heading8">
    <w:name w:val="heading 8"/>
    <w:basedOn w:val="Heading3"/>
    <w:next w:val="BodyText"/>
    <w:link w:val="Heading8Char"/>
    <w:qFormat/>
    <w:rsid w:val="009E1D38"/>
    <w:pPr>
      <w:numPr>
        <w:ilvl w:val="7"/>
      </w:numPr>
      <w:outlineLvl w:val="7"/>
    </w:pPr>
    <w:rPr>
      <w:iCs w:val="0"/>
    </w:rPr>
  </w:style>
  <w:style w:type="paragraph" w:styleId="Heading9">
    <w:name w:val="heading 9"/>
    <w:basedOn w:val="Heading4"/>
    <w:next w:val="BodyText"/>
    <w:link w:val="Heading9Char"/>
    <w:qFormat/>
    <w:rsid w:val="009E1D38"/>
    <w:pPr>
      <w:numPr>
        <w:ilvl w:val="8"/>
      </w:numPr>
      <w:ind w:left="851" w:hanging="851"/>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4941BF"/>
    <w:pPr>
      <w:numPr>
        <w:ilvl w:val="1"/>
      </w:numPr>
    </w:pPr>
  </w:style>
  <w:style w:type="paragraph" w:customStyle="1" w:styleId="Base">
    <w:name w:val="Base"/>
    <w:basedOn w:val="Normal"/>
    <w:link w:val="BaseChar"/>
    <w:rsid w:val="00444335"/>
    <w:pPr>
      <w:spacing w:after="0" w:line="287" w:lineRule="auto"/>
    </w:pPr>
    <w:rPr>
      <w:rFonts w:eastAsia="Times New Roman"/>
      <w:sz w:val="20"/>
      <w:szCs w:val="24"/>
      <w:lang w:eastAsia="en-GB"/>
    </w:rPr>
  </w:style>
  <w:style w:type="paragraph" w:styleId="BodyText">
    <w:name w:val="Body Text"/>
    <w:aliases w:val="bt,heading3,Body Text - Level 2,Body,b,(Ctrl Shift B),Body Text Char1 Char,Body Text Char1 Char Char,NoticeText-List"/>
    <w:basedOn w:val="Base"/>
    <w:link w:val="BodyTextChar"/>
    <w:qFormat/>
    <w:rsid w:val="00D359B2"/>
    <w:pPr>
      <w:spacing w:before="120" w:after="120" w:line="288" w:lineRule="auto"/>
    </w:pPr>
  </w:style>
  <w:style w:type="paragraph" w:customStyle="1" w:styleId="BulletList1">
    <w:name w:val="Bullet List 1"/>
    <w:basedOn w:val="Base"/>
    <w:link w:val="BulletList1Char"/>
    <w:qFormat/>
    <w:rsid w:val="004941BF"/>
    <w:pPr>
      <w:numPr>
        <w:numId w:val="1"/>
      </w:numPr>
      <w:spacing w:before="120" w:after="120"/>
    </w:pPr>
  </w:style>
  <w:style w:type="paragraph" w:customStyle="1" w:styleId="BulletList3">
    <w:name w:val="Bullet List 3"/>
    <w:basedOn w:val="BulletList2"/>
    <w:qFormat/>
    <w:rsid w:val="004941BF"/>
    <w:pPr>
      <w:numPr>
        <w:ilvl w:val="2"/>
      </w:numPr>
    </w:pPr>
  </w:style>
  <w:style w:type="paragraph" w:customStyle="1" w:styleId="BulletList4">
    <w:name w:val="Bullet List 4"/>
    <w:basedOn w:val="BulletList3"/>
    <w:rsid w:val="004941BF"/>
    <w:pPr>
      <w:numPr>
        <w:ilvl w:val="3"/>
      </w:numPr>
    </w:pPr>
  </w:style>
  <w:style w:type="paragraph" w:customStyle="1" w:styleId="BulletList5">
    <w:name w:val="Bullet List 5"/>
    <w:basedOn w:val="BulletList4"/>
    <w:rsid w:val="004941BF"/>
    <w:pPr>
      <w:numPr>
        <w:ilvl w:val="4"/>
      </w:numPr>
    </w:pPr>
  </w:style>
  <w:style w:type="paragraph" w:customStyle="1" w:styleId="BulletList6">
    <w:name w:val="Bullet List 6"/>
    <w:basedOn w:val="BulletList5"/>
    <w:rsid w:val="004941BF"/>
    <w:pPr>
      <w:numPr>
        <w:ilvl w:val="5"/>
      </w:numPr>
    </w:pPr>
  </w:style>
  <w:style w:type="paragraph" w:customStyle="1" w:styleId="BulletList7">
    <w:name w:val="Bullet List 7"/>
    <w:basedOn w:val="BulletList6"/>
    <w:rsid w:val="004941BF"/>
    <w:pPr>
      <w:numPr>
        <w:ilvl w:val="6"/>
      </w:numPr>
    </w:pPr>
  </w:style>
  <w:style w:type="paragraph" w:customStyle="1" w:styleId="BulletList8">
    <w:name w:val="Bullet List 8"/>
    <w:basedOn w:val="BulletList7"/>
    <w:rsid w:val="004941BF"/>
    <w:pPr>
      <w:numPr>
        <w:ilvl w:val="7"/>
      </w:numPr>
    </w:pPr>
  </w:style>
  <w:style w:type="paragraph" w:customStyle="1" w:styleId="BulletList9">
    <w:name w:val="Bullet List 9"/>
    <w:basedOn w:val="BulletList8"/>
    <w:rsid w:val="004941BF"/>
    <w:pPr>
      <w:numPr>
        <w:ilvl w:val="8"/>
      </w:numPr>
    </w:pPr>
  </w:style>
  <w:style w:type="paragraph" w:customStyle="1" w:styleId="NumberedList1">
    <w:name w:val="Numbered List 1"/>
    <w:basedOn w:val="Base"/>
    <w:qFormat/>
    <w:rsid w:val="004941BF"/>
    <w:pPr>
      <w:numPr>
        <w:ilvl w:val="1"/>
        <w:numId w:val="2"/>
      </w:numPr>
    </w:pPr>
  </w:style>
  <w:style w:type="paragraph" w:customStyle="1" w:styleId="NumberedList2">
    <w:name w:val="Numbered List 2"/>
    <w:basedOn w:val="NumberedList1"/>
    <w:rsid w:val="004941BF"/>
    <w:pPr>
      <w:numPr>
        <w:ilvl w:val="2"/>
      </w:numPr>
    </w:pPr>
  </w:style>
  <w:style w:type="paragraph" w:customStyle="1" w:styleId="NumberedList3">
    <w:name w:val="Numbered List 3"/>
    <w:basedOn w:val="NumberedList2"/>
    <w:rsid w:val="004941BF"/>
    <w:pPr>
      <w:numPr>
        <w:ilvl w:val="3"/>
      </w:numPr>
    </w:pPr>
  </w:style>
  <w:style w:type="paragraph" w:customStyle="1" w:styleId="NumberedList4">
    <w:name w:val="Numbered List 4"/>
    <w:basedOn w:val="NumberedList3"/>
    <w:rsid w:val="004941BF"/>
    <w:pPr>
      <w:numPr>
        <w:ilvl w:val="4"/>
      </w:numPr>
    </w:pPr>
  </w:style>
  <w:style w:type="paragraph" w:customStyle="1" w:styleId="NumberedList5">
    <w:name w:val="Numbered List 5"/>
    <w:basedOn w:val="NumberedList4"/>
    <w:rsid w:val="004941BF"/>
    <w:pPr>
      <w:numPr>
        <w:ilvl w:val="5"/>
      </w:numPr>
    </w:pPr>
  </w:style>
  <w:style w:type="paragraph" w:customStyle="1" w:styleId="NumberedList6">
    <w:name w:val="Numbered List 6"/>
    <w:basedOn w:val="NumberedList5"/>
    <w:rsid w:val="004941BF"/>
    <w:pPr>
      <w:numPr>
        <w:ilvl w:val="6"/>
      </w:numPr>
    </w:pPr>
  </w:style>
  <w:style w:type="paragraph" w:customStyle="1" w:styleId="NumberedList7">
    <w:name w:val="Numbered List 7"/>
    <w:basedOn w:val="NumberedList6"/>
    <w:rsid w:val="004941BF"/>
    <w:pPr>
      <w:numPr>
        <w:ilvl w:val="7"/>
      </w:numPr>
    </w:pPr>
  </w:style>
  <w:style w:type="paragraph" w:customStyle="1" w:styleId="NumberedList8">
    <w:name w:val="Numbered List 8"/>
    <w:basedOn w:val="NumberedList7"/>
    <w:rsid w:val="004941BF"/>
    <w:pPr>
      <w:numPr>
        <w:ilvl w:val="8"/>
      </w:numPr>
    </w:pPr>
  </w:style>
  <w:style w:type="paragraph" w:styleId="Header">
    <w:name w:val="header"/>
    <w:basedOn w:val="Normal"/>
    <w:link w:val="HeaderChar"/>
    <w:rsid w:val="00D67C80"/>
    <w:pPr>
      <w:tabs>
        <w:tab w:val="center" w:pos="4153"/>
        <w:tab w:val="right" w:pos="8306"/>
      </w:tabs>
      <w:spacing w:after="0" w:line="240" w:lineRule="auto"/>
    </w:pPr>
    <w:rPr>
      <w:rFonts w:ascii="Times New Roman" w:eastAsia="Times New Roman" w:hAnsi="Times New Roman"/>
      <w:sz w:val="20"/>
      <w:szCs w:val="24"/>
      <w:lang w:eastAsia="en-GB"/>
    </w:rPr>
  </w:style>
  <w:style w:type="paragraph" w:styleId="TOC1">
    <w:name w:val="toc 1"/>
    <w:basedOn w:val="Base"/>
    <w:next w:val="Normal"/>
    <w:uiPriority w:val="39"/>
    <w:rsid w:val="005D4689"/>
    <w:pPr>
      <w:tabs>
        <w:tab w:val="right" w:leader="dot" w:pos="9072"/>
      </w:tabs>
      <w:spacing w:before="240" w:line="288" w:lineRule="auto"/>
      <w:ind w:left="567" w:right="567" w:hanging="567"/>
    </w:pPr>
    <w:rPr>
      <w:color w:val="4F2683"/>
    </w:rPr>
  </w:style>
  <w:style w:type="paragraph" w:styleId="TOC2">
    <w:name w:val="toc 2"/>
    <w:basedOn w:val="TOC1"/>
    <w:next w:val="Normal"/>
    <w:uiPriority w:val="39"/>
    <w:rsid w:val="007768F8"/>
    <w:pPr>
      <w:spacing w:before="0"/>
      <w:ind w:left="851" w:hanging="709"/>
    </w:pPr>
  </w:style>
  <w:style w:type="paragraph" w:styleId="TOC3">
    <w:name w:val="toc 3"/>
    <w:basedOn w:val="TOC1"/>
    <w:next w:val="Normal"/>
    <w:uiPriority w:val="39"/>
    <w:rsid w:val="00DB50BA"/>
    <w:pPr>
      <w:ind w:left="0" w:firstLine="0"/>
    </w:pPr>
  </w:style>
  <w:style w:type="paragraph" w:styleId="TOC4">
    <w:name w:val="toc 4"/>
    <w:basedOn w:val="TOC2"/>
    <w:next w:val="Normal"/>
    <w:uiPriority w:val="39"/>
    <w:rsid w:val="00DB50BA"/>
    <w:pPr>
      <w:ind w:left="142" w:firstLine="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link w:val="FooterChar"/>
    <w:rsid w:val="00C0159A"/>
    <w:pPr>
      <w:tabs>
        <w:tab w:val="center" w:pos="4536"/>
        <w:tab w:val="right" w:pos="9072"/>
      </w:tabs>
    </w:pPr>
    <w:rPr>
      <w:color w:val="4F2683"/>
      <w:sz w:val="16"/>
    </w:rPr>
  </w:style>
  <w:style w:type="table" w:styleId="TableGrid">
    <w:name w:val="Table Grid"/>
    <w:basedOn w:val="TableNormal"/>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159A"/>
  </w:style>
  <w:style w:type="table" w:customStyle="1" w:styleId="PlumTable">
    <w:name w:val="Plum Table"/>
    <w:basedOn w:val="TableNormal"/>
    <w:rsid w:val="00521C73"/>
    <w:pPr>
      <w:spacing w:after="60"/>
    </w:pPr>
    <w:rPr>
      <w:rFonts w:ascii="Arial" w:hAnsi="Arial"/>
      <w:sz w:val="18"/>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Pr>
    <w:trPr>
      <w:cantSplit/>
    </w:trPr>
    <w:tcPr>
      <w:shd w:val="clear" w:color="auto" w:fill="DCDDDE"/>
    </w:tcPr>
    <w:tblStylePr w:type="firstRow">
      <w:rPr>
        <w:color w:val="FFFFFF"/>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939598"/>
      </w:tcPr>
    </w:tblStylePr>
  </w:style>
  <w:style w:type="character" w:styleId="Hyperlink">
    <w:name w:val="Hyperlink"/>
    <w:basedOn w:val="DefaultParagraphFont"/>
    <w:uiPriority w:val="99"/>
    <w:rsid w:val="00521C73"/>
    <w:rPr>
      <w:color w:val="A2A5A8"/>
      <w:u w:val="single"/>
    </w:rPr>
  </w:style>
  <w:style w:type="character" w:styleId="FollowedHyperlink">
    <w:name w:val="FollowedHyperlink"/>
    <w:basedOn w:val="DefaultParagraphFont"/>
    <w:rsid w:val="00342278"/>
    <w:rPr>
      <w:color w:val="BCBEC0"/>
      <w:u w:val="single"/>
    </w:rPr>
  </w:style>
  <w:style w:type="paragraph" w:customStyle="1" w:styleId="TableCaption">
    <w:name w:val="Table Caption"/>
    <w:basedOn w:val="BodyText"/>
    <w:next w:val="BodyText"/>
    <w:rsid w:val="00280ECF"/>
    <w:pPr>
      <w:keepNext/>
      <w:keepLines/>
      <w:spacing w:before="360"/>
    </w:pPr>
    <w:rPr>
      <w:b/>
      <w:color w:val="939598"/>
    </w:rPr>
  </w:style>
  <w:style w:type="paragraph" w:styleId="Title">
    <w:name w:val="Title"/>
    <w:basedOn w:val="Normal"/>
    <w:link w:val="TitleChar"/>
    <w:rsid w:val="001259DD"/>
    <w:pPr>
      <w:spacing w:after="480" w:line="240" w:lineRule="auto"/>
      <w:ind w:right="2835"/>
      <w:outlineLvl w:val="0"/>
    </w:pPr>
    <w:rPr>
      <w:rFonts w:eastAsia="Times New Roman" w:cs="Arial"/>
      <w:bCs/>
      <w:color w:val="4F2683"/>
      <w:kern w:val="28"/>
      <w:sz w:val="48"/>
      <w:szCs w:val="32"/>
      <w:lang w:eastAsia="en-GB"/>
    </w:rPr>
  </w:style>
  <w:style w:type="paragraph" w:customStyle="1" w:styleId="FooterA4Portrait">
    <w:name w:val="Footer A4 Portrait"/>
    <w:basedOn w:val="Footer"/>
    <w:rsid w:val="00177057"/>
  </w:style>
  <w:style w:type="paragraph" w:customStyle="1" w:styleId="FooterA4Landscape">
    <w:name w:val="Footer A4 Landscape"/>
    <w:basedOn w:val="FooterA4Portrait"/>
    <w:rsid w:val="00AF5918"/>
    <w:pPr>
      <w:tabs>
        <w:tab w:val="clear" w:pos="4536"/>
        <w:tab w:val="clear" w:pos="9072"/>
        <w:tab w:val="center" w:pos="7002"/>
        <w:tab w:val="right" w:pos="13608"/>
      </w:tabs>
    </w:pPr>
  </w:style>
  <w:style w:type="paragraph" w:styleId="Subtitle">
    <w:name w:val="Subtitle"/>
    <w:basedOn w:val="Title"/>
    <w:link w:val="SubtitleChar"/>
    <w:rsid w:val="004D101F"/>
    <w:pPr>
      <w:spacing w:after="240"/>
    </w:pPr>
    <w:rPr>
      <w:sz w:val="24"/>
    </w:rPr>
  </w:style>
  <w:style w:type="paragraph" w:customStyle="1" w:styleId="TocTitle">
    <w:name w:val="Toc Title"/>
    <w:basedOn w:val="BodyText"/>
    <w:rsid w:val="007768F8"/>
    <w:rPr>
      <w:b/>
      <w:color w:val="4F2683"/>
    </w:r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ootnote Text Char3"/>
    <w:basedOn w:val="Base"/>
    <w:link w:val="FootnoteTextChar"/>
    <w:uiPriority w:val="99"/>
    <w:semiHidden/>
    <w:rsid w:val="004473E8"/>
    <w:pPr>
      <w:spacing w:after="40" w:line="285" w:lineRule="auto"/>
    </w:pPr>
    <w:rPr>
      <w:sz w:val="16"/>
      <w:szCs w:val="20"/>
    </w:rPr>
  </w:style>
  <w:style w:type="paragraph" w:customStyle="1" w:styleId="Heading1unnumbered">
    <w:name w:val="Heading 1 unnumbered"/>
    <w:basedOn w:val="Heading1"/>
    <w:next w:val="BodyText"/>
    <w:qFormat/>
    <w:rsid w:val="007768F8"/>
    <w:pPr>
      <w:numPr>
        <w:numId w:val="0"/>
      </w:numPr>
    </w:pPr>
  </w:style>
  <w:style w:type="paragraph" w:customStyle="1" w:styleId="Heading2unnumbered">
    <w:name w:val="Heading 2 unnumbered"/>
    <w:basedOn w:val="Heading3unnumbered"/>
    <w:next w:val="BodyText"/>
    <w:qFormat/>
    <w:rsid w:val="0001007A"/>
    <w:pPr>
      <w:outlineLvl w:val="1"/>
    </w:pPr>
  </w:style>
  <w:style w:type="character" w:styleId="FootnoteReference">
    <w:name w:val="footnote reference"/>
    <w:aliases w:val="Appel note de bas de p,Footnote"/>
    <w:basedOn w:val="DefaultParagraphFont"/>
    <w:uiPriority w:val="99"/>
    <w:semiHidden/>
    <w:rsid w:val="00B3019D"/>
    <w:rPr>
      <w:vertAlign w:val="superscript"/>
    </w:rPr>
  </w:style>
  <w:style w:type="paragraph" w:customStyle="1" w:styleId="FigureCaption">
    <w:name w:val="Figure Caption"/>
    <w:basedOn w:val="TableCaption"/>
    <w:next w:val="BodyText"/>
    <w:rsid w:val="003102A2"/>
  </w:style>
  <w:style w:type="paragraph" w:customStyle="1" w:styleId="AfterTable">
    <w:name w:val="After Table"/>
    <w:basedOn w:val="BodyText"/>
    <w:next w:val="BodyText"/>
    <w:qFormat/>
    <w:rsid w:val="00211545"/>
    <w:pPr>
      <w:spacing w:before="360"/>
    </w:pPr>
  </w:style>
  <w:style w:type="paragraph" w:customStyle="1" w:styleId="Subheading">
    <w:name w:val="Subheading"/>
    <w:basedOn w:val="BodyText"/>
    <w:next w:val="BodyText"/>
    <w:rsid w:val="00D16410"/>
    <w:pPr>
      <w:keepLines/>
    </w:pPr>
    <w:rPr>
      <w:b/>
      <w:color w:val="4F2683"/>
    </w:rPr>
  </w:style>
  <w:style w:type="character" w:styleId="CommentReference">
    <w:name w:val="annotation reference"/>
    <w:basedOn w:val="DefaultParagraphFont"/>
    <w:semiHidden/>
    <w:rsid w:val="00146737"/>
    <w:rPr>
      <w:sz w:val="16"/>
      <w:szCs w:val="16"/>
    </w:rPr>
  </w:style>
  <w:style w:type="paragraph" w:customStyle="1" w:styleId="TableBullet">
    <w:name w:val="Table Bullet"/>
    <w:basedOn w:val="BulletList1"/>
    <w:qFormat/>
    <w:rsid w:val="006118C5"/>
    <w:pPr>
      <w:tabs>
        <w:tab w:val="left" w:pos="454"/>
      </w:tabs>
      <w:spacing w:before="0" w:after="60" w:line="240" w:lineRule="auto"/>
      <w:ind w:left="448" w:right="170" w:hanging="278"/>
    </w:pPr>
    <w:rPr>
      <w:sz w:val="18"/>
    </w:rPr>
  </w:style>
  <w:style w:type="paragraph" w:customStyle="1" w:styleId="TableNote">
    <w:name w:val="Table Note"/>
    <w:basedOn w:val="BodyText"/>
    <w:next w:val="BodyText"/>
    <w:qFormat/>
    <w:rsid w:val="004941BF"/>
    <w:pPr>
      <w:spacing w:before="0"/>
    </w:pPr>
    <w:rPr>
      <w:sz w:val="18"/>
    </w:rPr>
  </w:style>
  <w:style w:type="paragraph" w:styleId="CommentText">
    <w:name w:val="annotation text"/>
    <w:basedOn w:val="Normal"/>
    <w:link w:val="CommentTextChar"/>
    <w:semiHidden/>
    <w:rsid w:val="00146737"/>
    <w:rPr>
      <w:szCs w:val="20"/>
    </w:rPr>
  </w:style>
  <w:style w:type="paragraph" w:styleId="CommentSubject">
    <w:name w:val="annotation subject"/>
    <w:basedOn w:val="CommentText"/>
    <w:next w:val="CommentText"/>
    <w:link w:val="CommentSubjectChar"/>
    <w:semiHidden/>
    <w:rsid w:val="00146737"/>
    <w:rPr>
      <w:b/>
      <w:bCs/>
    </w:rPr>
  </w:style>
  <w:style w:type="paragraph" w:styleId="BalloonText">
    <w:name w:val="Balloon Text"/>
    <w:basedOn w:val="Normal"/>
    <w:link w:val="BalloonTextChar"/>
    <w:semiHidden/>
    <w:rsid w:val="00146737"/>
    <w:pPr>
      <w:spacing w:after="0" w:line="240" w:lineRule="auto"/>
    </w:pPr>
    <w:rPr>
      <w:rFonts w:ascii="Tahoma" w:eastAsia="Times New Roman" w:hAnsi="Tahoma" w:cs="Tahoma"/>
      <w:sz w:val="16"/>
      <w:szCs w:val="16"/>
      <w:lang w:eastAsia="en-GB"/>
    </w:rPr>
  </w:style>
  <w:style w:type="table" w:customStyle="1" w:styleId="PlumPanel">
    <w:name w:val="Plum Panel"/>
    <w:basedOn w:val="PlumTable"/>
    <w:rsid w:val="00E97E39"/>
    <w:rPr>
      <w:sz w:val="20"/>
    </w:rPr>
    <w:tblPr/>
    <w:tcPr>
      <w:shd w:val="clear" w:color="auto" w:fill="DCDDDE"/>
    </w:tcPr>
    <w:tblStylePr w:type="firstRow">
      <w:rPr>
        <w:color w:val="auto"/>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DCDDDE"/>
      </w:tcPr>
    </w:tblStylePr>
  </w:style>
  <w:style w:type="numbering" w:styleId="111111">
    <w:name w:val="Outline List 2"/>
    <w:basedOn w:val="NoList"/>
    <w:rsid w:val="00AE5E7D"/>
    <w:pPr>
      <w:numPr>
        <w:numId w:val="9"/>
      </w:numPr>
    </w:pPr>
  </w:style>
  <w:style w:type="paragraph" w:customStyle="1" w:styleId="Heading3unnumbered">
    <w:name w:val="Heading 3 unnumbered"/>
    <w:basedOn w:val="Heading3"/>
    <w:next w:val="BodyText"/>
    <w:qFormat/>
    <w:rsid w:val="008B4A71"/>
    <w:pPr>
      <w:numPr>
        <w:ilvl w:val="0"/>
        <w:numId w:val="0"/>
      </w:numPr>
    </w:pPr>
  </w:style>
  <w:style w:type="numbering" w:styleId="1ai">
    <w:name w:val="Outline List 1"/>
    <w:basedOn w:val="NoList"/>
    <w:rsid w:val="00AE5E7D"/>
    <w:pPr>
      <w:numPr>
        <w:numId w:val="10"/>
      </w:numPr>
    </w:pPr>
  </w:style>
  <w:style w:type="numbering" w:styleId="ArticleSection">
    <w:name w:val="Outline List 3"/>
    <w:basedOn w:val="NoList"/>
    <w:rsid w:val="00AE5E7D"/>
    <w:pPr>
      <w:numPr>
        <w:numId w:val="11"/>
      </w:numPr>
    </w:pPr>
  </w:style>
  <w:style w:type="paragraph" w:styleId="Bibliography">
    <w:name w:val="Bibliography"/>
    <w:basedOn w:val="Normal"/>
    <w:next w:val="Normal"/>
    <w:uiPriority w:val="37"/>
    <w:semiHidden/>
    <w:unhideWhenUsed/>
    <w:rsid w:val="00AE5E7D"/>
    <w:pPr>
      <w:spacing w:after="0" w:line="240" w:lineRule="auto"/>
    </w:pPr>
    <w:rPr>
      <w:rFonts w:ascii="Times New Roman" w:eastAsia="Times New Roman" w:hAnsi="Times New Roman"/>
      <w:sz w:val="20"/>
      <w:szCs w:val="24"/>
      <w:lang w:eastAsia="en-GB"/>
    </w:rPr>
  </w:style>
  <w:style w:type="paragraph" w:styleId="BlockText">
    <w:name w:val="Block Text"/>
    <w:basedOn w:val="Normal"/>
    <w:rsid w:val="00AE5E7D"/>
    <w:pPr>
      <w:spacing w:after="120" w:line="240" w:lineRule="auto"/>
      <w:ind w:left="1440" w:right="1440"/>
    </w:pPr>
    <w:rPr>
      <w:rFonts w:ascii="Times New Roman" w:eastAsia="Times New Roman" w:hAnsi="Times New Roman"/>
      <w:sz w:val="20"/>
      <w:szCs w:val="24"/>
      <w:lang w:eastAsia="en-GB"/>
    </w:rPr>
  </w:style>
  <w:style w:type="paragraph" w:styleId="BodyText2">
    <w:name w:val="Body Text 2"/>
    <w:basedOn w:val="Normal"/>
    <w:link w:val="BodyText2Char"/>
    <w:rsid w:val="00AE5E7D"/>
    <w:pPr>
      <w:spacing w:after="120" w:line="480" w:lineRule="auto"/>
    </w:pPr>
    <w:rPr>
      <w:rFonts w:ascii="Times New Roman" w:eastAsia="Times New Roman" w:hAnsi="Times New Roman"/>
      <w:sz w:val="20"/>
      <w:szCs w:val="24"/>
      <w:lang w:eastAsia="en-GB"/>
    </w:rPr>
  </w:style>
  <w:style w:type="character" w:customStyle="1" w:styleId="BodyText2Char">
    <w:name w:val="Body Text 2 Char"/>
    <w:basedOn w:val="DefaultParagraphFont"/>
    <w:link w:val="BodyText2"/>
    <w:rsid w:val="00AE5E7D"/>
    <w:rPr>
      <w:szCs w:val="24"/>
    </w:rPr>
  </w:style>
  <w:style w:type="paragraph" w:styleId="BodyText3">
    <w:name w:val="Body Text 3"/>
    <w:basedOn w:val="Normal"/>
    <w:link w:val="BodyText3Char"/>
    <w:rsid w:val="00AE5E7D"/>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AE5E7D"/>
    <w:rPr>
      <w:sz w:val="16"/>
      <w:szCs w:val="16"/>
    </w:rPr>
  </w:style>
  <w:style w:type="paragraph" w:styleId="BodyTextFirstIndent">
    <w:name w:val="Body Text First Indent"/>
    <w:basedOn w:val="BodyText"/>
    <w:link w:val="BodyTextFirstIndentChar"/>
    <w:rsid w:val="00AE5E7D"/>
    <w:pPr>
      <w:spacing w:before="0" w:line="240" w:lineRule="auto"/>
      <w:ind w:firstLine="210"/>
    </w:pPr>
    <w:rPr>
      <w:rFonts w:ascii="Times New Roman" w:hAnsi="Times New Roman"/>
    </w:rPr>
  </w:style>
  <w:style w:type="character" w:customStyle="1" w:styleId="BaseChar">
    <w:name w:val="Base Char"/>
    <w:basedOn w:val="DefaultParagraphFont"/>
    <w:link w:val="Base"/>
    <w:rsid w:val="00AE5E7D"/>
    <w:rPr>
      <w:rFonts w:ascii="Arial" w:hAnsi="Arial"/>
      <w:szCs w:val="24"/>
    </w:rPr>
  </w:style>
  <w:style w:type="character" w:customStyle="1" w:styleId="BodyTextChar">
    <w:name w:val="Body Text Char"/>
    <w:aliases w:val="bt Char,heading3 Char,Body Text - Level 2 Char,Body Char,b Char,(Ctrl Shift B) Char,Body Text Char1 Char Char1,Body Text Char1 Char Char Char,NoticeText-List Char"/>
    <w:basedOn w:val="BaseChar"/>
    <w:link w:val="BodyText"/>
    <w:rsid w:val="00AE5E7D"/>
    <w:rPr>
      <w:rFonts w:ascii="Arial" w:hAnsi="Arial"/>
      <w:szCs w:val="24"/>
    </w:rPr>
  </w:style>
  <w:style w:type="character" w:customStyle="1" w:styleId="BodyTextFirstIndentChar">
    <w:name w:val="Body Text First Indent Char"/>
    <w:basedOn w:val="BodyTextChar"/>
    <w:link w:val="BodyTextFirstIndent"/>
    <w:rsid w:val="00AE5E7D"/>
    <w:rPr>
      <w:rFonts w:ascii="Arial" w:hAnsi="Arial"/>
      <w:szCs w:val="24"/>
    </w:rPr>
  </w:style>
  <w:style w:type="paragraph" w:styleId="BodyTextIndent">
    <w:name w:val="Body Text Indent"/>
    <w:basedOn w:val="Normal"/>
    <w:link w:val="BodyTextIndentChar"/>
    <w:rsid w:val="00AE5E7D"/>
    <w:pPr>
      <w:spacing w:after="120" w:line="240" w:lineRule="auto"/>
      <w:ind w:left="283"/>
    </w:pPr>
    <w:rPr>
      <w:rFonts w:ascii="Times New Roman" w:eastAsia="Times New Roman" w:hAnsi="Times New Roman"/>
      <w:sz w:val="20"/>
      <w:szCs w:val="24"/>
      <w:lang w:eastAsia="en-GB"/>
    </w:rPr>
  </w:style>
  <w:style w:type="character" w:customStyle="1" w:styleId="BodyTextIndentChar">
    <w:name w:val="Body Text Indent Char"/>
    <w:basedOn w:val="DefaultParagraphFont"/>
    <w:link w:val="BodyTextIndent"/>
    <w:rsid w:val="00AE5E7D"/>
    <w:rPr>
      <w:szCs w:val="24"/>
    </w:rPr>
  </w:style>
  <w:style w:type="paragraph" w:styleId="BodyTextFirstIndent2">
    <w:name w:val="Body Text First Indent 2"/>
    <w:basedOn w:val="BodyTextIndent"/>
    <w:link w:val="BodyTextFirstIndent2Char"/>
    <w:rsid w:val="00AE5E7D"/>
    <w:pPr>
      <w:ind w:firstLine="210"/>
    </w:pPr>
  </w:style>
  <w:style w:type="character" w:customStyle="1" w:styleId="BodyTextFirstIndent2Char">
    <w:name w:val="Body Text First Indent 2 Char"/>
    <w:basedOn w:val="BodyTextIndentChar"/>
    <w:link w:val="BodyTextFirstIndent2"/>
    <w:rsid w:val="00AE5E7D"/>
    <w:rPr>
      <w:szCs w:val="24"/>
    </w:rPr>
  </w:style>
  <w:style w:type="paragraph" w:styleId="BodyTextIndent2">
    <w:name w:val="Body Text Indent 2"/>
    <w:basedOn w:val="Normal"/>
    <w:link w:val="BodyTextIndent2Char"/>
    <w:rsid w:val="00AE5E7D"/>
    <w:pPr>
      <w:spacing w:after="120" w:line="480" w:lineRule="auto"/>
      <w:ind w:left="283"/>
    </w:pPr>
    <w:rPr>
      <w:rFonts w:ascii="Times New Roman" w:eastAsia="Times New Roman" w:hAnsi="Times New Roman"/>
      <w:sz w:val="20"/>
      <w:szCs w:val="24"/>
      <w:lang w:eastAsia="en-GB"/>
    </w:rPr>
  </w:style>
  <w:style w:type="character" w:customStyle="1" w:styleId="BodyTextIndent2Char">
    <w:name w:val="Body Text Indent 2 Char"/>
    <w:basedOn w:val="DefaultParagraphFont"/>
    <w:link w:val="BodyTextIndent2"/>
    <w:rsid w:val="00AE5E7D"/>
    <w:rPr>
      <w:szCs w:val="24"/>
    </w:rPr>
  </w:style>
  <w:style w:type="paragraph" w:styleId="BodyTextIndent3">
    <w:name w:val="Body Text Indent 3"/>
    <w:basedOn w:val="Normal"/>
    <w:link w:val="BodyTextIndent3Char"/>
    <w:rsid w:val="00AE5E7D"/>
    <w:pPr>
      <w:spacing w:after="120" w:line="240" w:lineRule="auto"/>
      <w:ind w:left="283"/>
    </w:pPr>
    <w:rPr>
      <w:rFonts w:ascii="Times New Roman" w:eastAsia="Times New Roman" w:hAnsi="Times New Roman"/>
      <w:sz w:val="16"/>
      <w:szCs w:val="16"/>
      <w:lang w:eastAsia="en-GB"/>
    </w:rPr>
  </w:style>
  <w:style w:type="character" w:customStyle="1" w:styleId="BodyTextIndent3Char">
    <w:name w:val="Body Text Indent 3 Char"/>
    <w:basedOn w:val="DefaultParagraphFont"/>
    <w:link w:val="BodyTextIndent3"/>
    <w:rsid w:val="00AE5E7D"/>
    <w:rPr>
      <w:sz w:val="16"/>
      <w:szCs w:val="16"/>
    </w:rPr>
  </w:style>
  <w:style w:type="character" w:styleId="BookTitle">
    <w:name w:val="Book Title"/>
    <w:basedOn w:val="DefaultParagraphFont"/>
    <w:uiPriority w:val="33"/>
    <w:rsid w:val="00AE5E7D"/>
    <w:rPr>
      <w:b/>
      <w:bCs/>
      <w:smallCaps/>
      <w:spacing w:val="5"/>
    </w:rPr>
  </w:style>
  <w:style w:type="paragraph" w:styleId="Caption">
    <w:name w:val="caption"/>
    <w:basedOn w:val="Normal"/>
    <w:next w:val="Normal"/>
    <w:semiHidden/>
    <w:unhideWhenUsed/>
    <w:rsid w:val="00AE5E7D"/>
    <w:rPr>
      <w:b/>
      <w:bCs/>
      <w:szCs w:val="20"/>
    </w:rPr>
  </w:style>
  <w:style w:type="paragraph" w:styleId="Closing">
    <w:name w:val="Closing"/>
    <w:basedOn w:val="Normal"/>
    <w:link w:val="ClosingChar"/>
    <w:rsid w:val="00AE5E7D"/>
    <w:pPr>
      <w:spacing w:after="0" w:line="240" w:lineRule="auto"/>
      <w:ind w:left="4252"/>
    </w:pPr>
    <w:rPr>
      <w:rFonts w:ascii="Times New Roman" w:eastAsia="Times New Roman" w:hAnsi="Times New Roman"/>
      <w:sz w:val="20"/>
      <w:szCs w:val="24"/>
      <w:lang w:eastAsia="en-GB"/>
    </w:rPr>
  </w:style>
  <w:style w:type="character" w:customStyle="1" w:styleId="ClosingChar">
    <w:name w:val="Closing Char"/>
    <w:basedOn w:val="DefaultParagraphFont"/>
    <w:link w:val="Closing"/>
    <w:rsid w:val="00AE5E7D"/>
    <w:rPr>
      <w:szCs w:val="24"/>
    </w:rPr>
  </w:style>
  <w:style w:type="table" w:customStyle="1" w:styleId="ColorfulGrid1">
    <w:name w:val="Colorful Grid1"/>
    <w:basedOn w:val="TableNormal"/>
    <w:uiPriority w:val="73"/>
    <w:rsid w:val="00AE5E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E5E7D"/>
    <w:rPr>
      <w:color w:val="000000"/>
    </w:rPr>
    <w:tblPr>
      <w:tblStyleRowBandSize w:val="1"/>
      <w:tblStyleColBandSize w:val="1"/>
      <w:tblBorders>
        <w:insideH w:val="single" w:sz="4" w:space="0" w:color="FFFFFF"/>
      </w:tblBorders>
    </w:tblPr>
    <w:tcPr>
      <w:shd w:val="clear" w:color="auto" w:fill="E9E9EA"/>
    </w:tcPr>
    <w:tblStylePr w:type="firstRow">
      <w:rPr>
        <w:b/>
        <w:bCs/>
      </w:rPr>
      <w:tblPr/>
      <w:tcPr>
        <w:shd w:val="clear" w:color="auto" w:fill="D3D4D5"/>
      </w:tcPr>
    </w:tblStylePr>
    <w:tblStylePr w:type="lastRow">
      <w:rPr>
        <w:b/>
        <w:bCs/>
        <w:color w:val="000000"/>
      </w:rPr>
      <w:tblPr/>
      <w:tcPr>
        <w:shd w:val="clear" w:color="auto" w:fill="D3D4D5"/>
      </w:tcPr>
    </w:tblStylePr>
    <w:tblStylePr w:type="firstCol">
      <w:rPr>
        <w:color w:val="FFFFFF"/>
      </w:rPr>
      <w:tblPr/>
      <w:tcPr>
        <w:shd w:val="clear" w:color="auto" w:fill="6D6F72"/>
      </w:tcPr>
    </w:tblStylePr>
    <w:tblStylePr w:type="lastCol">
      <w:rPr>
        <w:color w:val="FFFFFF"/>
      </w:rPr>
      <w:tblPr/>
      <w:tcPr>
        <w:shd w:val="clear" w:color="auto" w:fill="6D6F72"/>
      </w:tcPr>
    </w:tblStylePr>
    <w:tblStylePr w:type="band1Vert">
      <w:tblPr/>
      <w:tcPr>
        <w:shd w:val="clear" w:color="auto" w:fill="C9CACB"/>
      </w:tcPr>
    </w:tblStylePr>
    <w:tblStylePr w:type="band1Horz">
      <w:tblPr/>
      <w:tcPr>
        <w:shd w:val="clear" w:color="auto" w:fill="C9CACB"/>
      </w:tcPr>
    </w:tblStylePr>
  </w:style>
  <w:style w:type="table" w:styleId="ColorfulGrid-Accent2">
    <w:name w:val="Colorful Grid Accent 2"/>
    <w:basedOn w:val="TableNormal"/>
    <w:uiPriority w:val="73"/>
    <w:rsid w:val="00AE5E7D"/>
    <w:rPr>
      <w:color w:val="000000"/>
    </w:rPr>
    <w:tblPr>
      <w:tblStyleRowBandSize w:val="1"/>
      <w:tblStyleColBandSize w:val="1"/>
      <w:tblBorders>
        <w:insideH w:val="single" w:sz="4" w:space="0" w:color="FFFFFF"/>
      </w:tblBorders>
    </w:tblPr>
    <w:tcPr>
      <w:shd w:val="clear" w:color="auto" w:fill="DACAEF"/>
    </w:tcPr>
    <w:tblStylePr w:type="firstRow">
      <w:rPr>
        <w:b/>
        <w:bCs/>
      </w:rPr>
      <w:tblPr/>
      <w:tcPr>
        <w:shd w:val="clear" w:color="auto" w:fill="B695E0"/>
      </w:tcPr>
    </w:tblStylePr>
    <w:tblStylePr w:type="lastRow">
      <w:rPr>
        <w:b/>
        <w:bCs/>
        <w:color w:val="000000"/>
      </w:rPr>
      <w:tblPr/>
      <w:tcPr>
        <w:shd w:val="clear" w:color="auto" w:fill="B695E0"/>
      </w:tcPr>
    </w:tblStylePr>
    <w:tblStylePr w:type="firstCol">
      <w:rPr>
        <w:color w:val="FFFFFF"/>
      </w:rPr>
      <w:tblPr/>
      <w:tcPr>
        <w:shd w:val="clear" w:color="auto" w:fill="3A1C61"/>
      </w:tcPr>
    </w:tblStylePr>
    <w:tblStylePr w:type="lastCol">
      <w:rPr>
        <w:color w:val="FFFFFF"/>
      </w:rPr>
      <w:tblPr/>
      <w:tcPr>
        <w:shd w:val="clear" w:color="auto" w:fill="3A1C61"/>
      </w:tcPr>
    </w:tblStylePr>
    <w:tblStylePr w:type="band1Vert">
      <w:tblPr/>
      <w:tcPr>
        <w:shd w:val="clear" w:color="auto" w:fill="A47BD8"/>
      </w:tcPr>
    </w:tblStylePr>
    <w:tblStylePr w:type="band1Horz">
      <w:tblPr/>
      <w:tcPr>
        <w:shd w:val="clear" w:color="auto" w:fill="A47BD8"/>
      </w:tcPr>
    </w:tblStylePr>
  </w:style>
  <w:style w:type="table" w:styleId="ColorfulGrid-Accent3">
    <w:name w:val="Colorful Grid Accent 3"/>
    <w:basedOn w:val="TableNormal"/>
    <w:uiPriority w:val="73"/>
    <w:rsid w:val="00AE5E7D"/>
    <w:rPr>
      <w:color w:val="000000"/>
    </w:rPr>
    <w:tblPr>
      <w:tblStyleRowBandSize w:val="1"/>
      <w:tblStyleColBandSize w:val="1"/>
      <w:tblBorders>
        <w:insideH w:val="single" w:sz="4" w:space="0" w:color="FFFFFF"/>
      </w:tblBorders>
    </w:tblPr>
    <w:tcPr>
      <w:shd w:val="clear" w:color="auto" w:fill="FBCDE7"/>
    </w:tcPr>
    <w:tblStylePr w:type="firstRow">
      <w:rPr>
        <w:b/>
        <w:bCs/>
      </w:rPr>
      <w:tblPr/>
      <w:tcPr>
        <w:shd w:val="clear" w:color="auto" w:fill="F89BCF"/>
      </w:tcPr>
    </w:tblStylePr>
    <w:tblStylePr w:type="lastRow">
      <w:rPr>
        <w:b/>
        <w:bCs/>
        <w:color w:val="000000"/>
      </w:rPr>
      <w:tblPr/>
      <w:tcPr>
        <w:shd w:val="clear" w:color="auto" w:fill="F89BCF"/>
      </w:tcPr>
    </w:tblStylePr>
    <w:tblStylePr w:type="firstCol">
      <w:rPr>
        <w:color w:val="FFFFFF"/>
      </w:rPr>
      <w:tblPr/>
      <w:tcPr>
        <w:shd w:val="clear" w:color="auto" w:fill="AC0B64"/>
      </w:tcPr>
    </w:tblStylePr>
    <w:tblStylePr w:type="lastCol">
      <w:rPr>
        <w:color w:val="FFFFFF"/>
      </w:rPr>
      <w:tblPr/>
      <w:tcPr>
        <w:shd w:val="clear" w:color="auto" w:fill="AC0B64"/>
      </w:tcPr>
    </w:tblStylePr>
    <w:tblStylePr w:type="band1Vert">
      <w:tblPr/>
      <w:tcPr>
        <w:shd w:val="clear" w:color="auto" w:fill="F783C3"/>
      </w:tcPr>
    </w:tblStylePr>
    <w:tblStylePr w:type="band1Horz">
      <w:tblPr/>
      <w:tcPr>
        <w:shd w:val="clear" w:color="auto" w:fill="F783C3"/>
      </w:tcPr>
    </w:tblStylePr>
  </w:style>
  <w:style w:type="table" w:styleId="ColorfulGrid-Accent4">
    <w:name w:val="Colorful Grid Accent 4"/>
    <w:basedOn w:val="TableNormal"/>
    <w:uiPriority w:val="73"/>
    <w:rsid w:val="00AE5E7D"/>
    <w:rPr>
      <w:color w:val="000000"/>
    </w:rPr>
    <w:tblPr>
      <w:tblStyleRowBandSize w:val="1"/>
      <w:tblStyleColBandSize w:val="1"/>
      <w:tblBorders>
        <w:insideH w:val="single" w:sz="4" w:space="0" w:color="FFFFFF"/>
      </w:tblBorders>
    </w:tblPr>
    <w:tcPr>
      <w:shd w:val="clear" w:color="auto" w:fill="FCE8D1"/>
    </w:tcPr>
    <w:tblStylePr w:type="firstRow">
      <w:rPr>
        <w:b/>
        <w:bCs/>
      </w:rPr>
      <w:tblPr/>
      <w:tcPr>
        <w:shd w:val="clear" w:color="auto" w:fill="FAD1A4"/>
      </w:tcPr>
    </w:tblStylePr>
    <w:tblStylePr w:type="lastRow">
      <w:rPr>
        <w:b/>
        <w:bCs/>
        <w:color w:val="000000"/>
      </w:rPr>
      <w:tblPr/>
      <w:tcPr>
        <w:shd w:val="clear" w:color="auto" w:fill="FAD1A4"/>
      </w:tcPr>
    </w:tblStylePr>
    <w:tblStylePr w:type="firstCol">
      <w:rPr>
        <w:color w:val="FFFFFF"/>
      </w:rPr>
      <w:tblPr/>
      <w:tcPr>
        <w:shd w:val="clear" w:color="auto" w:fill="C16B0A"/>
      </w:tcPr>
    </w:tblStylePr>
    <w:tblStylePr w:type="lastCol">
      <w:rPr>
        <w:color w:val="FFFFFF"/>
      </w:rPr>
      <w:tblPr/>
      <w:tcPr>
        <w:shd w:val="clear" w:color="auto" w:fill="C16B0A"/>
      </w:tcPr>
    </w:tblStylePr>
    <w:tblStylePr w:type="band1Vert">
      <w:tblPr/>
      <w:tcPr>
        <w:shd w:val="clear" w:color="auto" w:fill="F9C68E"/>
      </w:tcPr>
    </w:tblStylePr>
    <w:tblStylePr w:type="band1Horz">
      <w:tblPr/>
      <w:tcPr>
        <w:shd w:val="clear" w:color="auto" w:fill="F9C68E"/>
      </w:tcPr>
    </w:tblStylePr>
  </w:style>
  <w:style w:type="table" w:styleId="ColorfulGrid-Accent5">
    <w:name w:val="Colorful Grid Accent 5"/>
    <w:basedOn w:val="TableNormal"/>
    <w:uiPriority w:val="73"/>
    <w:rsid w:val="00AE5E7D"/>
    <w:rPr>
      <w:color w:val="000000"/>
    </w:rPr>
    <w:tblPr>
      <w:tblStyleRowBandSize w:val="1"/>
      <w:tblStyleColBandSize w:val="1"/>
      <w:tblBorders>
        <w:insideH w:val="single" w:sz="4" w:space="0" w:color="FFFFFF"/>
      </w:tblBorders>
    </w:tblPr>
    <w:tcPr>
      <w:shd w:val="clear" w:color="auto" w:fill="FEF0D3"/>
    </w:tcPr>
    <w:tblStylePr w:type="firstRow">
      <w:rPr>
        <w:b/>
        <w:bCs/>
      </w:rPr>
      <w:tblPr/>
      <w:tcPr>
        <w:shd w:val="clear" w:color="auto" w:fill="FEE2A7"/>
      </w:tcPr>
    </w:tblStylePr>
    <w:tblStylePr w:type="lastRow">
      <w:rPr>
        <w:b/>
        <w:bCs/>
        <w:color w:val="000000"/>
      </w:rPr>
      <w:tblPr/>
      <w:tcPr>
        <w:shd w:val="clear" w:color="auto" w:fill="FEE2A7"/>
      </w:tcPr>
    </w:tblStylePr>
    <w:tblStylePr w:type="firstCol">
      <w:rPr>
        <w:color w:val="FFFFFF"/>
      </w:rPr>
      <w:tblPr/>
      <w:tcPr>
        <w:shd w:val="clear" w:color="auto" w:fill="D69302"/>
      </w:tcPr>
    </w:tblStylePr>
    <w:tblStylePr w:type="lastCol">
      <w:rPr>
        <w:color w:val="FFFFFF"/>
      </w:rPr>
      <w:tblPr/>
      <w:tcPr>
        <w:shd w:val="clear" w:color="auto" w:fill="D69302"/>
      </w:tcPr>
    </w:tblStylePr>
    <w:tblStylePr w:type="band1Vert">
      <w:tblPr/>
      <w:tcPr>
        <w:shd w:val="clear" w:color="auto" w:fill="FEDC91"/>
      </w:tcPr>
    </w:tblStylePr>
    <w:tblStylePr w:type="band1Horz">
      <w:tblPr/>
      <w:tcPr>
        <w:shd w:val="clear" w:color="auto" w:fill="FEDC91"/>
      </w:tcPr>
    </w:tblStylePr>
  </w:style>
  <w:style w:type="table" w:styleId="ColorfulGrid-Accent6">
    <w:name w:val="Colorful Grid Accent 6"/>
    <w:basedOn w:val="TableNormal"/>
    <w:uiPriority w:val="73"/>
    <w:rsid w:val="00AE5E7D"/>
    <w:rPr>
      <w:color w:val="000000"/>
    </w:rPr>
    <w:tblPr>
      <w:tblStyleRowBandSize w:val="1"/>
      <w:tblStyleColBandSize w:val="1"/>
      <w:tblBorders>
        <w:insideH w:val="single" w:sz="4" w:space="0" w:color="FFFFFF"/>
      </w:tblBorders>
    </w:tblPr>
    <w:tcPr>
      <w:shd w:val="clear" w:color="auto" w:fill="F7F8F8"/>
    </w:tcPr>
    <w:tblStylePr w:type="firstRow">
      <w:rPr>
        <w:b/>
        <w:bCs/>
      </w:rPr>
      <w:tblPr/>
      <w:tcPr>
        <w:shd w:val="clear" w:color="auto" w:fill="F0F1F1"/>
      </w:tcPr>
    </w:tblStylePr>
    <w:tblStylePr w:type="lastRow">
      <w:rPr>
        <w:b/>
        <w:bCs/>
        <w:color w:val="000000"/>
      </w:rPr>
      <w:tblPr/>
      <w:tcPr>
        <w:shd w:val="clear" w:color="auto" w:fill="F0F1F1"/>
      </w:tcPr>
    </w:tblStylePr>
    <w:tblStylePr w:type="firstCol">
      <w:rPr>
        <w:color w:val="FFFFFF"/>
      </w:rPr>
      <w:tblPr/>
      <w:tcPr>
        <w:shd w:val="clear" w:color="auto" w:fill="A2A5A8"/>
      </w:tcPr>
    </w:tblStylePr>
    <w:tblStylePr w:type="lastCol">
      <w:rPr>
        <w:color w:val="FFFFFF"/>
      </w:rPr>
      <w:tblPr/>
      <w:tcPr>
        <w:shd w:val="clear" w:color="auto" w:fill="A2A5A8"/>
      </w:tcPr>
    </w:tblStylePr>
    <w:tblStylePr w:type="band1Vert">
      <w:tblPr/>
      <w:tcPr>
        <w:shd w:val="clear" w:color="auto" w:fill="EDEDEE"/>
      </w:tcPr>
    </w:tblStylePr>
    <w:tblStylePr w:type="band1Horz">
      <w:tblPr/>
      <w:tcPr>
        <w:shd w:val="clear" w:color="auto" w:fill="EDEDEE"/>
      </w:tcPr>
    </w:tblStylePr>
  </w:style>
  <w:style w:type="table" w:customStyle="1" w:styleId="ColorfulList1">
    <w:name w:val="Colorful List1"/>
    <w:basedOn w:val="TableNormal"/>
    <w:uiPriority w:val="72"/>
    <w:rsid w:val="00AE5E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E5E7D"/>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cPr>
    </w:tblStylePr>
    <w:tblStylePr w:type="band1Horz">
      <w:tblPr/>
      <w:tcPr>
        <w:shd w:val="clear" w:color="auto" w:fill="E9E9EA"/>
      </w:tcPr>
    </w:tblStylePr>
  </w:style>
  <w:style w:type="table" w:styleId="ColorfulList-Accent2">
    <w:name w:val="Colorful List Accent 2"/>
    <w:basedOn w:val="TableNormal"/>
    <w:uiPriority w:val="72"/>
    <w:rsid w:val="00AE5E7D"/>
    <w:rPr>
      <w:color w:val="000000"/>
    </w:rPr>
    <w:tblPr>
      <w:tblStyleRowBandSize w:val="1"/>
      <w:tblStyleColBandSize w:val="1"/>
    </w:tblPr>
    <w:tcPr>
      <w:shd w:val="clear" w:color="auto" w:fill="EDE4F7"/>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BDEC"/>
      </w:tcPr>
    </w:tblStylePr>
    <w:tblStylePr w:type="band1Horz">
      <w:tblPr/>
      <w:tcPr>
        <w:shd w:val="clear" w:color="auto" w:fill="DACAEF"/>
      </w:tcPr>
    </w:tblStylePr>
  </w:style>
  <w:style w:type="table" w:styleId="ColorfulList-Accent3">
    <w:name w:val="Colorful List Accent 3"/>
    <w:basedOn w:val="TableNormal"/>
    <w:uiPriority w:val="72"/>
    <w:rsid w:val="00AE5E7D"/>
    <w:rPr>
      <w:color w:val="000000"/>
    </w:rPr>
    <w:tblPr>
      <w:tblStyleRowBandSize w:val="1"/>
      <w:tblStyleColBandSize w:val="1"/>
    </w:tblPr>
    <w:tcPr>
      <w:shd w:val="clear" w:color="auto" w:fill="FDE6F3"/>
    </w:tcPr>
    <w:tblStylePr w:type="firstRow">
      <w:rPr>
        <w:b/>
        <w:bCs/>
        <w:color w:val="FFFFFF"/>
      </w:rPr>
      <w:tblPr/>
      <w:tcPr>
        <w:tcBorders>
          <w:bottom w:val="single" w:sz="12" w:space="0" w:color="FFFFFF"/>
        </w:tcBorders>
        <w:shd w:val="clear" w:color="auto" w:fill="CE720B"/>
      </w:tcPr>
    </w:tblStylePr>
    <w:tblStylePr w:type="lastRow">
      <w:rPr>
        <w:b/>
        <w:bCs/>
        <w:color w:val="CE72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1E1"/>
      </w:tcPr>
    </w:tblStylePr>
    <w:tblStylePr w:type="band1Horz">
      <w:tblPr/>
      <w:tcPr>
        <w:shd w:val="clear" w:color="auto" w:fill="FBCDE7"/>
      </w:tcPr>
    </w:tblStylePr>
  </w:style>
  <w:style w:type="table" w:styleId="ColorfulList-Accent4">
    <w:name w:val="Colorful List Accent 4"/>
    <w:basedOn w:val="TableNormal"/>
    <w:uiPriority w:val="72"/>
    <w:rsid w:val="00AE5E7D"/>
    <w:rPr>
      <w:color w:val="000000"/>
    </w:rPr>
    <w:tblPr>
      <w:tblStyleRowBandSize w:val="1"/>
      <w:tblStyleColBandSize w:val="1"/>
    </w:tblPr>
    <w:tcPr>
      <w:shd w:val="clear" w:color="auto" w:fill="FDF3E8"/>
    </w:tcPr>
    <w:tblStylePr w:type="firstRow">
      <w:rPr>
        <w:b/>
        <w:bCs/>
        <w:color w:val="FFFFFF"/>
      </w:rPr>
      <w:tblPr/>
      <w:tcPr>
        <w:tcBorders>
          <w:bottom w:val="single" w:sz="12" w:space="0" w:color="FFFFFF"/>
        </w:tcBorders>
        <w:shd w:val="clear" w:color="auto" w:fill="B70C6B"/>
      </w:tcPr>
    </w:tblStylePr>
    <w:tblStylePr w:type="lastRow">
      <w:rPr>
        <w:b/>
        <w:bCs/>
        <w:color w:val="B70C6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3C6"/>
      </w:tcPr>
    </w:tblStylePr>
    <w:tblStylePr w:type="band1Horz">
      <w:tblPr/>
      <w:tcPr>
        <w:shd w:val="clear" w:color="auto" w:fill="FCE8D1"/>
      </w:tcPr>
    </w:tblStylePr>
  </w:style>
  <w:style w:type="table" w:styleId="ColorfulList-Accent5">
    <w:name w:val="Colorful List Accent 5"/>
    <w:basedOn w:val="TableNormal"/>
    <w:uiPriority w:val="72"/>
    <w:rsid w:val="00AE5E7D"/>
    <w:rPr>
      <w:color w:val="000000"/>
    </w:rPr>
    <w:tblPr>
      <w:tblStyleRowBandSize w:val="1"/>
      <w:tblStyleColBandSize w:val="1"/>
    </w:tblPr>
    <w:tcPr>
      <w:shd w:val="clear" w:color="auto" w:fill="FEF8E9"/>
    </w:tcPr>
    <w:tblStylePr w:type="firstRow">
      <w:rPr>
        <w:b/>
        <w:bCs/>
        <w:color w:val="FFFFFF"/>
      </w:rPr>
      <w:tblPr/>
      <w:tcPr>
        <w:tcBorders>
          <w:bottom w:val="single" w:sz="12" w:space="0" w:color="FFFFFF"/>
        </w:tcBorders>
        <w:shd w:val="clear" w:color="auto" w:fill="AEB0B3"/>
      </w:tcPr>
    </w:tblStylePr>
    <w:tblStylePr w:type="lastRow">
      <w:rPr>
        <w:b/>
        <w:bCs/>
        <w:color w:val="AEB0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8"/>
      </w:tcPr>
    </w:tblStylePr>
    <w:tblStylePr w:type="band1Horz">
      <w:tblPr/>
      <w:tcPr>
        <w:shd w:val="clear" w:color="auto" w:fill="FEF0D3"/>
      </w:tcPr>
    </w:tblStylePr>
  </w:style>
  <w:style w:type="table" w:styleId="ColorfulList-Accent6">
    <w:name w:val="Colorful List Accent 6"/>
    <w:basedOn w:val="TableNormal"/>
    <w:uiPriority w:val="72"/>
    <w:rsid w:val="00AE5E7D"/>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E49D02"/>
      </w:tcPr>
    </w:tblStylePr>
    <w:tblStylePr w:type="lastRow">
      <w:rPr>
        <w:b/>
        <w:bCs/>
        <w:color w:val="E49D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7F8F8"/>
      </w:tcPr>
    </w:tblStylePr>
  </w:style>
  <w:style w:type="table" w:customStyle="1" w:styleId="ColorfulShading1">
    <w:name w:val="Colorful Shading1"/>
    <w:basedOn w:val="TableNormal"/>
    <w:uiPriority w:val="71"/>
    <w:rsid w:val="00AE5E7D"/>
    <w:rPr>
      <w:color w:val="000000"/>
    </w:rPr>
    <w:tblPr>
      <w:tblStyleRowBandSize w:val="1"/>
      <w:tblStyleColBandSize w:val="1"/>
      <w:tblBorders>
        <w:top w:val="single" w:sz="24" w:space="0" w:color="4F268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E5E7D"/>
    <w:rPr>
      <w:color w:val="000000"/>
    </w:rPr>
    <w:tblPr>
      <w:tblStyleRowBandSize w:val="1"/>
      <w:tblStyleColBandSize w:val="1"/>
      <w:tblBorders>
        <w:top w:val="single" w:sz="24" w:space="0" w:color="4F2683"/>
        <w:left w:val="single" w:sz="4" w:space="0" w:color="939598"/>
        <w:bottom w:val="single" w:sz="4" w:space="0" w:color="939598"/>
        <w:right w:val="single" w:sz="4" w:space="0" w:color="939598"/>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7595B"/>
      </w:tcPr>
    </w:tblStylePr>
    <w:tblStylePr w:type="firstCol">
      <w:rPr>
        <w:color w:val="FFFFFF"/>
      </w:rPr>
      <w:tblPr/>
      <w:tcPr>
        <w:tcBorders>
          <w:top w:val="nil"/>
          <w:left w:val="nil"/>
          <w:bottom w:val="nil"/>
          <w:right w:val="nil"/>
          <w:insideH w:val="single" w:sz="4" w:space="0" w:color="57595B"/>
          <w:insideV w:val="nil"/>
        </w:tcBorders>
        <w:shd w:val="clear" w:color="auto" w:fill="57595B"/>
      </w:tcPr>
    </w:tblStylePr>
    <w:tblStylePr w:type="lastCol">
      <w:rPr>
        <w:color w:val="FFFFFF"/>
      </w:rPr>
      <w:tblPr/>
      <w:tcPr>
        <w:tcBorders>
          <w:top w:val="nil"/>
          <w:left w:val="nil"/>
          <w:bottom w:val="nil"/>
          <w:right w:val="nil"/>
          <w:insideH w:val="nil"/>
          <w:insideV w:val="nil"/>
        </w:tcBorders>
        <w:shd w:val="clear" w:color="auto" w:fill="57595B"/>
      </w:tcPr>
    </w:tblStylePr>
    <w:tblStylePr w:type="band1Vert">
      <w:tblPr/>
      <w:tcPr>
        <w:shd w:val="clear" w:color="auto" w:fill="D3D4D5"/>
      </w:tcPr>
    </w:tblStylePr>
    <w:tblStylePr w:type="band1Horz">
      <w:tblPr/>
      <w:tcPr>
        <w:shd w:val="clear" w:color="auto" w:fill="C9CACB"/>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E5E7D"/>
    <w:rPr>
      <w:color w:val="000000"/>
    </w:rPr>
    <w:tblPr>
      <w:tblStyleRowBandSize w:val="1"/>
      <w:tblStyleColBandSize w:val="1"/>
      <w:tblBorders>
        <w:top w:val="single" w:sz="24" w:space="0" w:color="4F2683"/>
        <w:left w:val="single" w:sz="4" w:space="0" w:color="4F2683"/>
        <w:bottom w:val="single" w:sz="4" w:space="0" w:color="4F2683"/>
        <w:right w:val="single" w:sz="4" w:space="0" w:color="4F2683"/>
        <w:insideH w:val="single" w:sz="4" w:space="0" w:color="FFFFFF"/>
        <w:insideV w:val="single" w:sz="4" w:space="0" w:color="FFFFFF"/>
      </w:tblBorders>
    </w:tblPr>
    <w:tcPr>
      <w:shd w:val="clear" w:color="auto" w:fill="EDE4F7"/>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164E"/>
      </w:tcPr>
    </w:tblStylePr>
    <w:tblStylePr w:type="firstCol">
      <w:rPr>
        <w:color w:val="FFFFFF"/>
      </w:rPr>
      <w:tblPr/>
      <w:tcPr>
        <w:tcBorders>
          <w:top w:val="nil"/>
          <w:left w:val="nil"/>
          <w:bottom w:val="nil"/>
          <w:right w:val="nil"/>
          <w:insideH w:val="single" w:sz="4" w:space="0" w:color="2F164E"/>
          <w:insideV w:val="nil"/>
        </w:tcBorders>
        <w:shd w:val="clear" w:color="auto" w:fill="2F164E"/>
      </w:tcPr>
    </w:tblStylePr>
    <w:tblStylePr w:type="lastCol">
      <w:rPr>
        <w:color w:val="FFFFFF"/>
      </w:rPr>
      <w:tblPr/>
      <w:tcPr>
        <w:tcBorders>
          <w:top w:val="nil"/>
          <w:left w:val="nil"/>
          <w:bottom w:val="nil"/>
          <w:right w:val="nil"/>
          <w:insideH w:val="nil"/>
          <w:insideV w:val="nil"/>
        </w:tcBorders>
        <w:shd w:val="clear" w:color="auto" w:fill="2F164E"/>
      </w:tcPr>
    </w:tblStylePr>
    <w:tblStylePr w:type="band1Vert">
      <w:tblPr/>
      <w:tcPr>
        <w:shd w:val="clear" w:color="auto" w:fill="B695E0"/>
      </w:tcPr>
    </w:tblStylePr>
    <w:tblStylePr w:type="band1Horz">
      <w:tblPr/>
      <w:tcPr>
        <w:shd w:val="clear" w:color="auto" w:fill="A47BD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E5E7D"/>
    <w:rPr>
      <w:color w:val="000000"/>
    </w:rPr>
    <w:tblPr>
      <w:tblStyleRowBandSize w:val="1"/>
      <w:tblStyleColBandSize w:val="1"/>
      <w:tblBorders>
        <w:top w:val="single" w:sz="24" w:space="0" w:color="F38F1D"/>
        <w:left w:val="single" w:sz="4" w:space="0" w:color="E60F87"/>
        <w:bottom w:val="single" w:sz="4" w:space="0" w:color="E60F87"/>
        <w:right w:val="single" w:sz="4" w:space="0" w:color="E60F87"/>
        <w:insideH w:val="single" w:sz="4" w:space="0" w:color="FFFFFF"/>
        <w:insideV w:val="single" w:sz="4" w:space="0" w:color="FFFFFF"/>
      </w:tblBorders>
    </w:tblPr>
    <w:tcPr>
      <w:shd w:val="clear" w:color="auto" w:fill="FDE6F3"/>
    </w:tcPr>
    <w:tblStylePr w:type="firstRow">
      <w:rPr>
        <w:b/>
        <w:bCs/>
      </w:rPr>
      <w:tblPr/>
      <w:tcPr>
        <w:tcBorders>
          <w:top w:val="nil"/>
          <w:left w:val="nil"/>
          <w:bottom w:val="single" w:sz="24" w:space="0" w:color="F38F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90950"/>
      </w:tcPr>
    </w:tblStylePr>
    <w:tblStylePr w:type="firstCol">
      <w:rPr>
        <w:color w:val="FFFFFF"/>
      </w:rPr>
      <w:tblPr/>
      <w:tcPr>
        <w:tcBorders>
          <w:top w:val="nil"/>
          <w:left w:val="nil"/>
          <w:bottom w:val="nil"/>
          <w:right w:val="nil"/>
          <w:insideH w:val="single" w:sz="4" w:space="0" w:color="890950"/>
          <w:insideV w:val="nil"/>
        </w:tcBorders>
        <w:shd w:val="clear" w:color="auto" w:fill="890950"/>
      </w:tcPr>
    </w:tblStylePr>
    <w:tblStylePr w:type="lastCol">
      <w:rPr>
        <w:color w:val="FFFFFF"/>
      </w:rPr>
      <w:tblPr/>
      <w:tcPr>
        <w:tcBorders>
          <w:top w:val="nil"/>
          <w:left w:val="nil"/>
          <w:bottom w:val="nil"/>
          <w:right w:val="nil"/>
          <w:insideH w:val="nil"/>
          <w:insideV w:val="nil"/>
        </w:tcBorders>
        <w:shd w:val="clear" w:color="auto" w:fill="890950"/>
      </w:tcPr>
    </w:tblStylePr>
    <w:tblStylePr w:type="band1Vert">
      <w:tblPr/>
      <w:tcPr>
        <w:shd w:val="clear" w:color="auto" w:fill="F89BCF"/>
      </w:tcPr>
    </w:tblStylePr>
    <w:tblStylePr w:type="band1Horz">
      <w:tblPr/>
      <w:tcPr>
        <w:shd w:val="clear" w:color="auto" w:fill="F783C3"/>
      </w:tcPr>
    </w:tblStylePr>
  </w:style>
  <w:style w:type="table" w:styleId="ColorfulShading-Accent4">
    <w:name w:val="Colorful Shading Accent 4"/>
    <w:basedOn w:val="TableNormal"/>
    <w:uiPriority w:val="71"/>
    <w:rsid w:val="00AE5E7D"/>
    <w:rPr>
      <w:color w:val="000000"/>
    </w:rPr>
    <w:tblPr>
      <w:tblStyleRowBandSize w:val="1"/>
      <w:tblStyleColBandSize w:val="1"/>
      <w:tblBorders>
        <w:top w:val="single" w:sz="24" w:space="0" w:color="E60F87"/>
        <w:left w:val="single" w:sz="4" w:space="0" w:color="F38F1D"/>
        <w:bottom w:val="single" w:sz="4" w:space="0" w:color="F38F1D"/>
        <w:right w:val="single" w:sz="4" w:space="0" w:color="F38F1D"/>
        <w:insideH w:val="single" w:sz="4" w:space="0" w:color="FFFFFF"/>
        <w:insideV w:val="single" w:sz="4" w:space="0" w:color="FFFFFF"/>
      </w:tblBorders>
    </w:tblPr>
    <w:tcPr>
      <w:shd w:val="clear" w:color="auto" w:fill="FDF3E8"/>
    </w:tcPr>
    <w:tblStylePr w:type="firstRow">
      <w:rPr>
        <w:b/>
        <w:bCs/>
      </w:rPr>
      <w:tblPr/>
      <w:tcPr>
        <w:tcBorders>
          <w:top w:val="nil"/>
          <w:left w:val="nil"/>
          <w:bottom w:val="single" w:sz="24" w:space="0" w:color="E60F8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A5508"/>
      </w:tcPr>
    </w:tblStylePr>
    <w:tblStylePr w:type="firstCol">
      <w:rPr>
        <w:color w:val="FFFFFF"/>
      </w:rPr>
      <w:tblPr/>
      <w:tcPr>
        <w:tcBorders>
          <w:top w:val="nil"/>
          <w:left w:val="nil"/>
          <w:bottom w:val="nil"/>
          <w:right w:val="nil"/>
          <w:insideH w:val="single" w:sz="4" w:space="0" w:color="9A5508"/>
          <w:insideV w:val="nil"/>
        </w:tcBorders>
        <w:shd w:val="clear" w:color="auto" w:fill="9A5508"/>
      </w:tcPr>
    </w:tblStylePr>
    <w:tblStylePr w:type="lastCol">
      <w:rPr>
        <w:color w:val="FFFFFF"/>
      </w:rPr>
      <w:tblPr/>
      <w:tcPr>
        <w:tcBorders>
          <w:top w:val="nil"/>
          <w:left w:val="nil"/>
          <w:bottom w:val="nil"/>
          <w:right w:val="nil"/>
          <w:insideH w:val="nil"/>
          <w:insideV w:val="nil"/>
        </w:tcBorders>
        <w:shd w:val="clear" w:color="auto" w:fill="9A5508"/>
      </w:tcPr>
    </w:tblStylePr>
    <w:tblStylePr w:type="band1Vert">
      <w:tblPr/>
      <w:tcPr>
        <w:shd w:val="clear" w:color="auto" w:fill="FAD1A4"/>
      </w:tcPr>
    </w:tblStylePr>
    <w:tblStylePr w:type="band1Horz">
      <w:tblPr/>
      <w:tcPr>
        <w:shd w:val="clear" w:color="auto" w:fill="F9C68E"/>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E5E7D"/>
    <w:rPr>
      <w:color w:val="000000"/>
    </w:rPr>
    <w:tblPr>
      <w:tblStyleRowBandSize w:val="1"/>
      <w:tblStyleColBandSize w:val="1"/>
      <w:tblBorders>
        <w:top w:val="single" w:sz="24" w:space="0" w:color="DCDDDE"/>
        <w:left w:val="single" w:sz="4" w:space="0" w:color="FDB924"/>
        <w:bottom w:val="single" w:sz="4" w:space="0" w:color="FDB924"/>
        <w:right w:val="single" w:sz="4" w:space="0" w:color="FDB924"/>
        <w:insideH w:val="single" w:sz="4" w:space="0" w:color="FFFFFF"/>
        <w:insideV w:val="single" w:sz="4" w:space="0" w:color="FFFFFF"/>
      </w:tblBorders>
    </w:tblPr>
    <w:tcPr>
      <w:shd w:val="clear" w:color="auto" w:fill="FEF8E9"/>
    </w:tcPr>
    <w:tblStylePr w:type="firstRow">
      <w:rPr>
        <w:b/>
        <w:bCs/>
      </w:rPr>
      <w:tblPr/>
      <w:tcPr>
        <w:tcBorders>
          <w:top w:val="nil"/>
          <w:left w:val="nil"/>
          <w:bottom w:val="single" w:sz="24" w:space="0" w:color="DCDDD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B7601"/>
      </w:tcPr>
    </w:tblStylePr>
    <w:tblStylePr w:type="firstCol">
      <w:rPr>
        <w:color w:val="FFFFFF"/>
      </w:rPr>
      <w:tblPr/>
      <w:tcPr>
        <w:tcBorders>
          <w:top w:val="nil"/>
          <w:left w:val="nil"/>
          <w:bottom w:val="nil"/>
          <w:right w:val="nil"/>
          <w:insideH w:val="single" w:sz="4" w:space="0" w:color="AB7601"/>
          <w:insideV w:val="nil"/>
        </w:tcBorders>
        <w:shd w:val="clear" w:color="auto" w:fill="AB7601"/>
      </w:tcPr>
    </w:tblStylePr>
    <w:tblStylePr w:type="lastCol">
      <w:rPr>
        <w:color w:val="FFFFFF"/>
      </w:rPr>
      <w:tblPr/>
      <w:tcPr>
        <w:tcBorders>
          <w:top w:val="nil"/>
          <w:left w:val="nil"/>
          <w:bottom w:val="nil"/>
          <w:right w:val="nil"/>
          <w:insideH w:val="nil"/>
          <w:insideV w:val="nil"/>
        </w:tcBorders>
        <w:shd w:val="clear" w:color="auto" w:fill="AB7601"/>
      </w:tcPr>
    </w:tblStylePr>
    <w:tblStylePr w:type="band1Vert">
      <w:tblPr/>
      <w:tcPr>
        <w:shd w:val="clear" w:color="auto" w:fill="FEE2A7"/>
      </w:tcPr>
    </w:tblStylePr>
    <w:tblStylePr w:type="band1Horz">
      <w:tblPr/>
      <w:tcPr>
        <w:shd w:val="clear" w:color="auto" w:fill="FEDC9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E5E7D"/>
    <w:rPr>
      <w:color w:val="000000"/>
    </w:rPr>
    <w:tblPr>
      <w:tblStyleRowBandSize w:val="1"/>
      <w:tblStyleColBandSize w:val="1"/>
      <w:tblBorders>
        <w:top w:val="single" w:sz="24" w:space="0" w:color="FDB924"/>
        <w:left w:val="single" w:sz="4" w:space="0" w:color="DCDDDE"/>
        <w:bottom w:val="single" w:sz="4" w:space="0" w:color="DCDDDE"/>
        <w:right w:val="single" w:sz="4" w:space="0" w:color="DCDDDE"/>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FDB9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08488"/>
      </w:tcPr>
    </w:tblStylePr>
    <w:tblStylePr w:type="firstCol">
      <w:rPr>
        <w:color w:val="FFFFFF"/>
      </w:rPr>
      <w:tblPr/>
      <w:tcPr>
        <w:tcBorders>
          <w:top w:val="nil"/>
          <w:left w:val="nil"/>
          <w:bottom w:val="nil"/>
          <w:right w:val="nil"/>
          <w:insideH w:val="single" w:sz="4" w:space="0" w:color="808488"/>
          <w:insideV w:val="nil"/>
        </w:tcBorders>
        <w:shd w:val="clear" w:color="auto" w:fill="808488"/>
      </w:tcPr>
    </w:tblStylePr>
    <w:tblStylePr w:type="lastCol">
      <w:rPr>
        <w:color w:val="FFFFFF"/>
      </w:rPr>
      <w:tblPr/>
      <w:tcPr>
        <w:tcBorders>
          <w:top w:val="nil"/>
          <w:left w:val="nil"/>
          <w:bottom w:val="nil"/>
          <w:right w:val="nil"/>
          <w:insideH w:val="nil"/>
          <w:insideV w:val="nil"/>
        </w:tcBorders>
        <w:shd w:val="clear" w:color="auto" w:fill="808488"/>
      </w:tcPr>
    </w:tblStylePr>
    <w:tblStylePr w:type="band1Vert">
      <w:tblPr/>
      <w:tcPr>
        <w:shd w:val="clear" w:color="auto" w:fill="F0F1F1"/>
      </w:tcPr>
    </w:tblStylePr>
    <w:tblStylePr w:type="band1Horz">
      <w:tblPr/>
      <w:tcPr>
        <w:shd w:val="clear" w:color="auto" w:fill="EDEDEE"/>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AE5E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E5E7D"/>
    <w:rPr>
      <w:color w:val="FFFFFF"/>
    </w:rPr>
    <w:tblPr>
      <w:tblStyleRowBandSize w:val="1"/>
      <w:tblStyleColBandSize w:val="1"/>
    </w:tblPr>
    <w:tcPr>
      <w:shd w:val="clear" w:color="auto" w:fill="9395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84A4C"/>
      </w:tcPr>
    </w:tblStylePr>
    <w:tblStylePr w:type="firstCol">
      <w:tblPr/>
      <w:tcPr>
        <w:tcBorders>
          <w:top w:val="nil"/>
          <w:left w:val="nil"/>
          <w:bottom w:val="nil"/>
          <w:right w:val="single" w:sz="18" w:space="0" w:color="FFFFFF"/>
          <w:insideH w:val="nil"/>
          <w:insideV w:val="nil"/>
        </w:tcBorders>
        <w:shd w:val="clear" w:color="auto" w:fill="6D6F72"/>
      </w:tcPr>
    </w:tblStylePr>
    <w:tblStylePr w:type="lastCol">
      <w:tblPr/>
      <w:tcPr>
        <w:tcBorders>
          <w:top w:val="nil"/>
          <w:left w:val="single" w:sz="18" w:space="0" w:color="FFFFFF"/>
          <w:bottom w:val="nil"/>
          <w:right w:val="nil"/>
          <w:insideH w:val="nil"/>
          <w:insideV w:val="nil"/>
        </w:tcBorders>
        <w:shd w:val="clear" w:color="auto" w:fill="6D6F72"/>
      </w:tcPr>
    </w:tblStylePr>
    <w:tblStylePr w:type="band1Vert">
      <w:tblPr/>
      <w:tcPr>
        <w:tcBorders>
          <w:top w:val="nil"/>
          <w:left w:val="nil"/>
          <w:bottom w:val="nil"/>
          <w:right w:val="nil"/>
          <w:insideH w:val="nil"/>
          <w:insideV w:val="nil"/>
        </w:tcBorders>
        <w:shd w:val="clear" w:color="auto" w:fill="6D6F72"/>
      </w:tcPr>
    </w:tblStylePr>
    <w:tblStylePr w:type="band1Horz">
      <w:tblPr/>
      <w:tcPr>
        <w:tcBorders>
          <w:top w:val="nil"/>
          <w:left w:val="nil"/>
          <w:bottom w:val="nil"/>
          <w:right w:val="nil"/>
          <w:insideH w:val="nil"/>
          <w:insideV w:val="nil"/>
        </w:tcBorders>
        <w:shd w:val="clear" w:color="auto" w:fill="6D6F72"/>
      </w:tcPr>
    </w:tblStylePr>
  </w:style>
  <w:style w:type="table" w:styleId="DarkList-Accent2">
    <w:name w:val="Dark List Accent 2"/>
    <w:basedOn w:val="TableNormal"/>
    <w:uiPriority w:val="70"/>
    <w:rsid w:val="00AE5E7D"/>
    <w:rPr>
      <w:color w:val="FFFFFF"/>
    </w:rPr>
    <w:tblPr>
      <w:tblStyleRowBandSize w:val="1"/>
      <w:tblStyleColBandSize w:val="1"/>
    </w:tblPr>
    <w:tcPr>
      <w:shd w:val="clear" w:color="auto" w:fill="4F268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1341"/>
      </w:tcPr>
    </w:tblStylePr>
    <w:tblStylePr w:type="firstCol">
      <w:tblPr/>
      <w:tcPr>
        <w:tcBorders>
          <w:top w:val="nil"/>
          <w:left w:val="nil"/>
          <w:bottom w:val="nil"/>
          <w:right w:val="single" w:sz="18" w:space="0" w:color="FFFFFF"/>
          <w:insideH w:val="nil"/>
          <w:insideV w:val="nil"/>
        </w:tcBorders>
        <w:shd w:val="clear" w:color="auto" w:fill="3A1C61"/>
      </w:tcPr>
    </w:tblStylePr>
    <w:tblStylePr w:type="lastCol">
      <w:tblPr/>
      <w:tcPr>
        <w:tcBorders>
          <w:top w:val="nil"/>
          <w:left w:val="single" w:sz="18" w:space="0" w:color="FFFFFF"/>
          <w:bottom w:val="nil"/>
          <w:right w:val="nil"/>
          <w:insideH w:val="nil"/>
          <w:insideV w:val="nil"/>
        </w:tcBorders>
        <w:shd w:val="clear" w:color="auto" w:fill="3A1C61"/>
      </w:tcPr>
    </w:tblStylePr>
    <w:tblStylePr w:type="band1Vert">
      <w:tblPr/>
      <w:tcPr>
        <w:tcBorders>
          <w:top w:val="nil"/>
          <w:left w:val="nil"/>
          <w:bottom w:val="nil"/>
          <w:right w:val="nil"/>
          <w:insideH w:val="nil"/>
          <w:insideV w:val="nil"/>
        </w:tcBorders>
        <w:shd w:val="clear" w:color="auto" w:fill="3A1C61"/>
      </w:tcPr>
    </w:tblStylePr>
    <w:tblStylePr w:type="band1Horz">
      <w:tblPr/>
      <w:tcPr>
        <w:tcBorders>
          <w:top w:val="nil"/>
          <w:left w:val="nil"/>
          <w:bottom w:val="nil"/>
          <w:right w:val="nil"/>
          <w:insideH w:val="nil"/>
          <w:insideV w:val="nil"/>
        </w:tcBorders>
        <w:shd w:val="clear" w:color="auto" w:fill="3A1C61"/>
      </w:tcPr>
    </w:tblStylePr>
  </w:style>
  <w:style w:type="table" w:styleId="DarkList-Accent3">
    <w:name w:val="Dark List Accent 3"/>
    <w:basedOn w:val="TableNormal"/>
    <w:uiPriority w:val="70"/>
    <w:rsid w:val="00AE5E7D"/>
    <w:rPr>
      <w:color w:val="FFFFFF"/>
    </w:rPr>
    <w:tblPr>
      <w:tblStyleRowBandSize w:val="1"/>
      <w:tblStyleColBandSize w:val="1"/>
    </w:tblPr>
    <w:tcPr>
      <w:shd w:val="clear" w:color="auto" w:fill="E60F8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20743"/>
      </w:tcPr>
    </w:tblStylePr>
    <w:tblStylePr w:type="firstCol">
      <w:tblPr/>
      <w:tcPr>
        <w:tcBorders>
          <w:top w:val="nil"/>
          <w:left w:val="nil"/>
          <w:bottom w:val="nil"/>
          <w:right w:val="single" w:sz="18" w:space="0" w:color="FFFFFF"/>
          <w:insideH w:val="nil"/>
          <w:insideV w:val="nil"/>
        </w:tcBorders>
        <w:shd w:val="clear" w:color="auto" w:fill="AC0B64"/>
      </w:tcPr>
    </w:tblStylePr>
    <w:tblStylePr w:type="lastCol">
      <w:tblPr/>
      <w:tcPr>
        <w:tcBorders>
          <w:top w:val="nil"/>
          <w:left w:val="single" w:sz="18" w:space="0" w:color="FFFFFF"/>
          <w:bottom w:val="nil"/>
          <w:right w:val="nil"/>
          <w:insideH w:val="nil"/>
          <w:insideV w:val="nil"/>
        </w:tcBorders>
        <w:shd w:val="clear" w:color="auto" w:fill="AC0B64"/>
      </w:tcPr>
    </w:tblStylePr>
    <w:tblStylePr w:type="band1Vert">
      <w:tblPr/>
      <w:tcPr>
        <w:tcBorders>
          <w:top w:val="nil"/>
          <w:left w:val="nil"/>
          <w:bottom w:val="nil"/>
          <w:right w:val="nil"/>
          <w:insideH w:val="nil"/>
          <w:insideV w:val="nil"/>
        </w:tcBorders>
        <w:shd w:val="clear" w:color="auto" w:fill="AC0B64"/>
      </w:tcPr>
    </w:tblStylePr>
    <w:tblStylePr w:type="band1Horz">
      <w:tblPr/>
      <w:tcPr>
        <w:tcBorders>
          <w:top w:val="nil"/>
          <w:left w:val="nil"/>
          <w:bottom w:val="nil"/>
          <w:right w:val="nil"/>
          <w:insideH w:val="nil"/>
          <w:insideV w:val="nil"/>
        </w:tcBorders>
        <w:shd w:val="clear" w:color="auto" w:fill="AC0B64"/>
      </w:tcPr>
    </w:tblStylePr>
  </w:style>
  <w:style w:type="table" w:styleId="DarkList-Accent4">
    <w:name w:val="Dark List Accent 4"/>
    <w:basedOn w:val="TableNormal"/>
    <w:uiPriority w:val="70"/>
    <w:rsid w:val="00AE5E7D"/>
    <w:rPr>
      <w:color w:val="FFFFFF"/>
    </w:rPr>
    <w:tblPr>
      <w:tblStyleRowBandSize w:val="1"/>
      <w:tblStyleColBandSize w:val="1"/>
    </w:tblPr>
    <w:tcPr>
      <w:shd w:val="clear" w:color="auto" w:fill="F38F1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4707"/>
      </w:tcPr>
    </w:tblStylePr>
    <w:tblStylePr w:type="firstCol">
      <w:tblPr/>
      <w:tcPr>
        <w:tcBorders>
          <w:top w:val="nil"/>
          <w:left w:val="nil"/>
          <w:bottom w:val="nil"/>
          <w:right w:val="single" w:sz="18" w:space="0" w:color="FFFFFF"/>
          <w:insideH w:val="nil"/>
          <w:insideV w:val="nil"/>
        </w:tcBorders>
        <w:shd w:val="clear" w:color="auto" w:fill="C16B0A"/>
      </w:tcPr>
    </w:tblStylePr>
    <w:tblStylePr w:type="lastCol">
      <w:tblPr/>
      <w:tcPr>
        <w:tcBorders>
          <w:top w:val="nil"/>
          <w:left w:val="single" w:sz="18" w:space="0" w:color="FFFFFF"/>
          <w:bottom w:val="nil"/>
          <w:right w:val="nil"/>
          <w:insideH w:val="nil"/>
          <w:insideV w:val="nil"/>
        </w:tcBorders>
        <w:shd w:val="clear" w:color="auto" w:fill="C16B0A"/>
      </w:tcPr>
    </w:tblStylePr>
    <w:tblStylePr w:type="band1Vert">
      <w:tblPr/>
      <w:tcPr>
        <w:tcBorders>
          <w:top w:val="nil"/>
          <w:left w:val="nil"/>
          <w:bottom w:val="nil"/>
          <w:right w:val="nil"/>
          <w:insideH w:val="nil"/>
          <w:insideV w:val="nil"/>
        </w:tcBorders>
        <w:shd w:val="clear" w:color="auto" w:fill="C16B0A"/>
      </w:tcPr>
    </w:tblStylePr>
    <w:tblStylePr w:type="band1Horz">
      <w:tblPr/>
      <w:tcPr>
        <w:tcBorders>
          <w:top w:val="nil"/>
          <w:left w:val="nil"/>
          <w:bottom w:val="nil"/>
          <w:right w:val="nil"/>
          <w:insideH w:val="nil"/>
          <w:insideV w:val="nil"/>
        </w:tcBorders>
        <w:shd w:val="clear" w:color="auto" w:fill="C16B0A"/>
      </w:tcPr>
    </w:tblStylePr>
  </w:style>
  <w:style w:type="table" w:styleId="DarkList-Accent5">
    <w:name w:val="Dark List Accent 5"/>
    <w:basedOn w:val="TableNormal"/>
    <w:uiPriority w:val="70"/>
    <w:rsid w:val="00AE5E7D"/>
    <w:rPr>
      <w:color w:val="FFFFFF"/>
    </w:rPr>
    <w:tblPr>
      <w:tblStyleRowBandSize w:val="1"/>
      <w:tblStyleColBandSize w:val="1"/>
    </w:tblPr>
    <w:tcPr>
      <w:shd w:val="clear" w:color="auto" w:fill="FDB9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E6201"/>
      </w:tcPr>
    </w:tblStylePr>
    <w:tblStylePr w:type="firstCol">
      <w:tblPr/>
      <w:tcPr>
        <w:tcBorders>
          <w:top w:val="nil"/>
          <w:left w:val="nil"/>
          <w:bottom w:val="nil"/>
          <w:right w:val="single" w:sz="18" w:space="0" w:color="FFFFFF"/>
          <w:insideH w:val="nil"/>
          <w:insideV w:val="nil"/>
        </w:tcBorders>
        <w:shd w:val="clear" w:color="auto" w:fill="D69302"/>
      </w:tcPr>
    </w:tblStylePr>
    <w:tblStylePr w:type="lastCol">
      <w:tblPr/>
      <w:tcPr>
        <w:tcBorders>
          <w:top w:val="nil"/>
          <w:left w:val="single" w:sz="18" w:space="0" w:color="FFFFFF"/>
          <w:bottom w:val="nil"/>
          <w:right w:val="nil"/>
          <w:insideH w:val="nil"/>
          <w:insideV w:val="nil"/>
        </w:tcBorders>
        <w:shd w:val="clear" w:color="auto" w:fill="D69302"/>
      </w:tcPr>
    </w:tblStylePr>
    <w:tblStylePr w:type="band1Vert">
      <w:tblPr/>
      <w:tcPr>
        <w:tcBorders>
          <w:top w:val="nil"/>
          <w:left w:val="nil"/>
          <w:bottom w:val="nil"/>
          <w:right w:val="nil"/>
          <w:insideH w:val="nil"/>
          <w:insideV w:val="nil"/>
        </w:tcBorders>
        <w:shd w:val="clear" w:color="auto" w:fill="D69302"/>
      </w:tcPr>
    </w:tblStylePr>
    <w:tblStylePr w:type="band1Horz">
      <w:tblPr/>
      <w:tcPr>
        <w:tcBorders>
          <w:top w:val="nil"/>
          <w:left w:val="nil"/>
          <w:bottom w:val="nil"/>
          <w:right w:val="nil"/>
          <w:insideH w:val="nil"/>
          <w:insideV w:val="nil"/>
        </w:tcBorders>
        <w:shd w:val="clear" w:color="auto" w:fill="D69302"/>
      </w:tcPr>
    </w:tblStylePr>
  </w:style>
  <w:style w:type="table" w:styleId="DarkList-Accent6">
    <w:name w:val="Dark List Accent 6"/>
    <w:basedOn w:val="TableNormal"/>
    <w:uiPriority w:val="70"/>
    <w:rsid w:val="00AE5E7D"/>
    <w:rPr>
      <w:color w:val="FFFFFF"/>
    </w:rPr>
    <w:tblPr>
      <w:tblStyleRowBandSize w:val="1"/>
      <w:tblStyleColBandSize w:val="1"/>
    </w:tblPr>
    <w:tcPr>
      <w:shd w:val="clear" w:color="auto" w:fill="DCDDD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A6D71"/>
      </w:tcPr>
    </w:tblStylePr>
    <w:tblStylePr w:type="firstCol">
      <w:tblPr/>
      <w:tcPr>
        <w:tcBorders>
          <w:top w:val="nil"/>
          <w:left w:val="nil"/>
          <w:bottom w:val="nil"/>
          <w:right w:val="single" w:sz="18" w:space="0" w:color="FFFFFF"/>
          <w:insideH w:val="nil"/>
          <w:insideV w:val="nil"/>
        </w:tcBorders>
        <w:shd w:val="clear" w:color="auto" w:fill="A2A5A8"/>
      </w:tcPr>
    </w:tblStylePr>
    <w:tblStylePr w:type="lastCol">
      <w:tblPr/>
      <w:tcPr>
        <w:tcBorders>
          <w:top w:val="nil"/>
          <w:left w:val="single" w:sz="18" w:space="0" w:color="FFFFFF"/>
          <w:bottom w:val="nil"/>
          <w:right w:val="nil"/>
          <w:insideH w:val="nil"/>
          <w:insideV w:val="nil"/>
        </w:tcBorders>
        <w:shd w:val="clear" w:color="auto" w:fill="A2A5A8"/>
      </w:tcPr>
    </w:tblStylePr>
    <w:tblStylePr w:type="band1Vert">
      <w:tblPr/>
      <w:tcPr>
        <w:tcBorders>
          <w:top w:val="nil"/>
          <w:left w:val="nil"/>
          <w:bottom w:val="nil"/>
          <w:right w:val="nil"/>
          <w:insideH w:val="nil"/>
          <w:insideV w:val="nil"/>
        </w:tcBorders>
        <w:shd w:val="clear" w:color="auto" w:fill="A2A5A8"/>
      </w:tcPr>
    </w:tblStylePr>
    <w:tblStylePr w:type="band1Horz">
      <w:tblPr/>
      <w:tcPr>
        <w:tcBorders>
          <w:top w:val="nil"/>
          <w:left w:val="nil"/>
          <w:bottom w:val="nil"/>
          <w:right w:val="nil"/>
          <w:insideH w:val="nil"/>
          <w:insideV w:val="nil"/>
        </w:tcBorders>
        <w:shd w:val="clear" w:color="auto" w:fill="A2A5A8"/>
      </w:tcPr>
    </w:tblStylePr>
  </w:style>
  <w:style w:type="paragraph" w:styleId="Date">
    <w:name w:val="Date"/>
    <w:basedOn w:val="Normal"/>
    <w:next w:val="Normal"/>
    <w:link w:val="DateChar"/>
    <w:rsid w:val="00AE5E7D"/>
    <w:pPr>
      <w:spacing w:after="0" w:line="240" w:lineRule="auto"/>
    </w:pPr>
    <w:rPr>
      <w:rFonts w:ascii="Times New Roman" w:eastAsia="Times New Roman" w:hAnsi="Times New Roman"/>
      <w:sz w:val="20"/>
      <w:szCs w:val="24"/>
      <w:lang w:eastAsia="en-GB"/>
    </w:rPr>
  </w:style>
  <w:style w:type="character" w:customStyle="1" w:styleId="DateChar">
    <w:name w:val="Date Char"/>
    <w:basedOn w:val="DefaultParagraphFont"/>
    <w:link w:val="Date"/>
    <w:rsid w:val="00AE5E7D"/>
    <w:rPr>
      <w:szCs w:val="24"/>
    </w:rPr>
  </w:style>
  <w:style w:type="paragraph" w:styleId="DocumentMap">
    <w:name w:val="Document Map"/>
    <w:basedOn w:val="Normal"/>
    <w:link w:val="DocumentMapChar"/>
    <w:rsid w:val="00AE5E7D"/>
    <w:pPr>
      <w:spacing w:after="0" w:line="240" w:lineRule="auto"/>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AE5E7D"/>
    <w:rPr>
      <w:rFonts w:ascii="Tahoma" w:hAnsi="Tahoma" w:cs="Tahoma"/>
      <w:sz w:val="16"/>
      <w:szCs w:val="16"/>
    </w:rPr>
  </w:style>
  <w:style w:type="paragraph" w:styleId="E-mailSignature">
    <w:name w:val="E-mail Signature"/>
    <w:basedOn w:val="Normal"/>
    <w:link w:val="E-mailSignatureChar"/>
    <w:rsid w:val="00AE5E7D"/>
    <w:pPr>
      <w:spacing w:after="0" w:line="240" w:lineRule="auto"/>
    </w:pPr>
    <w:rPr>
      <w:rFonts w:ascii="Times New Roman" w:eastAsia="Times New Roman" w:hAnsi="Times New Roman"/>
      <w:sz w:val="20"/>
      <w:szCs w:val="24"/>
      <w:lang w:eastAsia="en-GB"/>
    </w:rPr>
  </w:style>
  <w:style w:type="character" w:customStyle="1" w:styleId="E-mailSignatureChar">
    <w:name w:val="E-mail Signature Char"/>
    <w:basedOn w:val="DefaultParagraphFont"/>
    <w:link w:val="E-mailSignature"/>
    <w:rsid w:val="00AE5E7D"/>
    <w:rPr>
      <w:szCs w:val="24"/>
    </w:rPr>
  </w:style>
  <w:style w:type="character" w:styleId="Emphasis">
    <w:name w:val="Emphasis"/>
    <w:basedOn w:val="DefaultParagraphFont"/>
    <w:rsid w:val="00AE5E7D"/>
    <w:rPr>
      <w:i/>
      <w:iCs/>
    </w:rPr>
  </w:style>
  <w:style w:type="character" w:styleId="EndnoteReference">
    <w:name w:val="endnote reference"/>
    <w:basedOn w:val="DefaultParagraphFont"/>
    <w:rsid w:val="00AE5E7D"/>
    <w:rPr>
      <w:vertAlign w:val="superscript"/>
    </w:rPr>
  </w:style>
  <w:style w:type="paragraph" w:styleId="EndnoteText">
    <w:name w:val="endnote text"/>
    <w:basedOn w:val="Normal"/>
    <w:link w:val="EndnoteTextChar"/>
    <w:rsid w:val="00AE5E7D"/>
    <w:pPr>
      <w:spacing w:after="0" w:line="240" w:lineRule="auto"/>
    </w:pPr>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rsid w:val="00AE5E7D"/>
  </w:style>
  <w:style w:type="paragraph" w:styleId="EnvelopeAddress">
    <w:name w:val="envelope address"/>
    <w:basedOn w:val="Normal"/>
    <w:rsid w:val="00AE5E7D"/>
    <w:pPr>
      <w:framePr w:w="7920" w:h="1980" w:hRule="exact" w:hSpace="180" w:wrap="auto" w:hAnchor="page" w:xAlign="center" w:yAlign="bottom"/>
      <w:spacing w:after="0" w:line="240" w:lineRule="auto"/>
      <w:ind w:left="2880"/>
    </w:pPr>
    <w:rPr>
      <w:rFonts w:eastAsia="Times New Roman"/>
      <w:sz w:val="24"/>
      <w:szCs w:val="24"/>
      <w:lang w:eastAsia="en-GB"/>
    </w:rPr>
  </w:style>
  <w:style w:type="paragraph" w:styleId="EnvelopeReturn">
    <w:name w:val="envelope return"/>
    <w:basedOn w:val="Normal"/>
    <w:rsid w:val="00AE5E7D"/>
    <w:pPr>
      <w:spacing w:after="0" w:line="240" w:lineRule="auto"/>
    </w:pPr>
    <w:rPr>
      <w:rFonts w:eastAsia="Times New Roman"/>
      <w:sz w:val="20"/>
      <w:szCs w:val="20"/>
      <w:lang w:eastAsia="en-GB"/>
    </w:rPr>
  </w:style>
  <w:style w:type="character" w:styleId="HTMLAcronym">
    <w:name w:val="HTML Acronym"/>
    <w:basedOn w:val="DefaultParagraphFont"/>
    <w:rsid w:val="00AE5E7D"/>
  </w:style>
  <w:style w:type="paragraph" w:styleId="HTMLAddress">
    <w:name w:val="HTML Address"/>
    <w:basedOn w:val="Normal"/>
    <w:link w:val="HTMLAddressChar"/>
    <w:rsid w:val="00AE5E7D"/>
    <w:pPr>
      <w:spacing w:after="0" w:line="240" w:lineRule="auto"/>
    </w:pPr>
    <w:rPr>
      <w:rFonts w:ascii="Times New Roman" w:eastAsia="Times New Roman" w:hAnsi="Times New Roman"/>
      <w:i/>
      <w:iCs/>
      <w:sz w:val="20"/>
      <w:szCs w:val="24"/>
      <w:lang w:eastAsia="en-GB"/>
    </w:rPr>
  </w:style>
  <w:style w:type="character" w:customStyle="1" w:styleId="HTMLAddressChar">
    <w:name w:val="HTML Address Char"/>
    <w:basedOn w:val="DefaultParagraphFont"/>
    <w:link w:val="HTMLAddress"/>
    <w:rsid w:val="00AE5E7D"/>
    <w:rPr>
      <w:i/>
      <w:iCs/>
      <w:szCs w:val="24"/>
    </w:rPr>
  </w:style>
  <w:style w:type="character" w:styleId="HTMLCite">
    <w:name w:val="HTML Cite"/>
    <w:basedOn w:val="DefaultParagraphFont"/>
    <w:rsid w:val="00AE5E7D"/>
    <w:rPr>
      <w:i/>
      <w:iCs/>
    </w:rPr>
  </w:style>
  <w:style w:type="character" w:styleId="HTMLCode">
    <w:name w:val="HTML Code"/>
    <w:basedOn w:val="DefaultParagraphFont"/>
    <w:rsid w:val="00AE5E7D"/>
    <w:rPr>
      <w:rFonts w:ascii="Courier New" w:hAnsi="Courier New" w:cs="Courier New"/>
      <w:sz w:val="20"/>
      <w:szCs w:val="20"/>
    </w:rPr>
  </w:style>
  <w:style w:type="character" w:styleId="HTMLDefinition">
    <w:name w:val="HTML Definition"/>
    <w:basedOn w:val="DefaultParagraphFont"/>
    <w:rsid w:val="00AE5E7D"/>
    <w:rPr>
      <w:i/>
      <w:iCs/>
    </w:rPr>
  </w:style>
  <w:style w:type="character" w:styleId="HTMLKeyboard">
    <w:name w:val="HTML Keyboard"/>
    <w:basedOn w:val="DefaultParagraphFont"/>
    <w:rsid w:val="00AE5E7D"/>
    <w:rPr>
      <w:rFonts w:ascii="Courier New" w:hAnsi="Courier New" w:cs="Courier New"/>
      <w:sz w:val="20"/>
      <w:szCs w:val="20"/>
    </w:rPr>
  </w:style>
  <w:style w:type="paragraph" w:styleId="HTMLPreformatted">
    <w:name w:val="HTML Preformatted"/>
    <w:basedOn w:val="Normal"/>
    <w:link w:val="HTMLPreformattedChar"/>
    <w:rsid w:val="00AE5E7D"/>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AE5E7D"/>
    <w:rPr>
      <w:rFonts w:ascii="Courier New" w:hAnsi="Courier New" w:cs="Courier New"/>
    </w:rPr>
  </w:style>
  <w:style w:type="character" w:styleId="HTMLSample">
    <w:name w:val="HTML Sample"/>
    <w:basedOn w:val="DefaultParagraphFont"/>
    <w:rsid w:val="00AE5E7D"/>
    <w:rPr>
      <w:rFonts w:ascii="Courier New" w:hAnsi="Courier New" w:cs="Courier New"/>
    </w:rPr>
  </w:style>
  <w:style w:type="character" w:styleId="HTMLTypewriter">
    <w:name w:val="HTML Typewriter"/>
    <w:basedOn w:val="DefaultParagraphFont"/>
    <w:rsid w:val="00AE5E7D"/>
    <w:rPr>
      <w:rFonts w:ascii="Courier New" w:hAnsi="Courier New" w:cs="Courier New"/>
      <w:sz w:val="20"/>
      <w:szCs w:val="20"/>
    </w:rPr>
  </w:style>
  <w:style w:type="character" w:styleId="HTMLVariable">
    <w:name w:val="HTML Variable"/>
    <w:basedOn w:val="DefaultParagraphFont"/>
    <w:rsid w:val="00AE5E7D"/>
    <w:rPr>
      <w:i/>
      <w:iCs/>
    </w:rPr>
  </w:style>
  <w:style w:type="paragraph" w:styleId="Index1">
    <w:name w:val="index 1"/>
    <w:basedOn w:val="Normal"/>
    <w:next w:val="Normal"/>
    <w:autoRedefine/>
    <w:rsid w:val="00AE5E7D"/>
    <w:pPr>
      <w:spacing w:after="0" w:line="240" w:lineRule="auto"/>
      <w:ind w:left="200" w:hanging="200"/>
    </w:pPr>
    <w:rPr>
      <w:rFonts w:ascii="Times New Roman" w:eastAsia="Times New Roman" w:hAnsi="Times New Roman"/>
      <w:sz w:val="20"/>
      <w:szCs w:val="24"/>
      <w:lang w:eastAsia="en-GB"/>
    </w:rPr>
  </w:style>
  <w:style w:type="paragraph" w:styleId="Index2">
    <w:name w:val="index 2"/>
    <w:basedOn w:val="Normal"/>
    <w:next w:val="Normal"/>
    <w:autoRedefine/>
    <w:rsid w:val="00AE5E7D"/>
    <w:pPr>
      <w:spacing w:after="0" w:line="240" w:lineRule="auto"/>
      <w:ind w:left="400" w:hanging="200"/>
    </w:pPr>
    <w:rPr>
      <w:rFonts w:ascii="Times New Roman" w:eastAsia="Times New Roman" w:hAnsi="Times New Roman"/>
      <w:sz w:val="20"/>
      <w:szCs w:val="24"/>
      <w:lang w:eastAsia="en-GB"/>
    </w:rPr>
  </w:style>
  <w:style w:type="paragraph" w:styleId="Index3">
    <w:name w:val="index 3"/>
    <w:basedOn w:val="Normal"/>
    <w:next w:val="Normal"/>
    <w:autoRedefine/>
    <w:rsid w:val="00AE5E7D"/>
    <w:pPr>
      <w:spacing w:after="0" w:line="240" w:lineRule="auto"/>
      <w:ind w:left="600" w:hanging="200"/>
    </w:pPr>
    <w:rPr>
      <w:rFonts w:ascii="Times New Roman" w:eastAsia="Times New Roman" w:hAnsi="Times New Roman"/>
      <w:sz w:val="20"/>
      <w:szCs w:val="24"/>
      <w:lang w:eastAsia="en-GB"/>
    </w:rPr>
  </w:style>
  <w:style w:type="paragraph" w:styleId="Index4">
    <w:name w:val="index 4"/>
    <w:basedOn w:val="Normal"/>
    <w:next w:val="Normal"/>
    <w:autoRedefine/>
    <w:rsid w:val="00AE5E7D"/>
    <w:pPr>
      <w:spacing w:after="0" w:line="240" w:lineRule="auto"/>
      <w:ind w:left="800" w:hanging="200"/>
    </w:pPr>
    <w:rPr>
      <w:rFonts w:ascii="Times New Roman" w:eastAsia="Times New Roman" w:hAnsi="Times New Roman"/>
      <w:sz w:val="20"/>
      <w:szCs w:val="24"/>
      <w:lang w:eastAsia="en-GB"/>
    </w:rPr>
  </w:style>
  <w:style w:type="paragraph" w:styleId="Index5">
    <w:name w:val="index 5"/>
    <w:basedOn w:val="Normal"/>
    <w:next w:val="Normal"/>
    <w:autoRedefine/>
    <w:rsid w:val="00AE5E7D"/>
    <w:pPr>
      <w:spacing w:after="0" w:line="240" w:lineRule="auto"/>
      <w:ind w:left="1000" w:hanging="200"/>
    </w:pPr>
    <w:rPr>
      <w:rFonts w:ascii="Times New Roman" w:eastAsia="Times New Roman" w:hAnsi="Times New Roman"/>
      <w:sz w:val="20"/>
      <w:szCs w:val="24"/>
      <w:lang w:eastAsia="en-GB"/>
    </w:rPr>
  </w:style>
  <w:style w:type="paragraph" w:styleId="Index6">
    <w:name w:val="index 6"/>
    <w:basedOn w:val="Normal"/>
    <w:next w:val="Normal"/>
    <w:autoRedefine/>
    <w:rsid w:val="00AE5E7D"/>
    <w:pPr>
      <w:spacing w:after="0" w:line="240" w:lineRule="auto"/>
      <w:ind w:left="1200" w:hanging="200"/>
    </w:pPr>
    <w:rPr>
      <w:rFonts w:ascii="Times New Roman" w:eastAsia="Times New Roman" w:hAnsi="Times New Roman"/>
      <w:sz w:val="20"/>
      <w:szCs w:val="24"/>
      <w:lang w:eastAsia="en-GB"/>
    </w:rPr>
  </w:style>
  <w:style w:type="paragraph" w:styleId="Index7">
    <w:name w:val="index 7"/>
    <w:basedOn w:val="Normal"/>
    <w:next w:val="Normal"/>
    <w:autoRedefine/>
    <w:rsid w:val="00AE5E7D"/>
    <w:pPr>
      <w:spacing w:after="0" w:line="240" w:lineRule="auto"/>
      <w:ind w:left="1400" w:hanging="200"/>
    </w:pPr>
    <w:rPr>
      <w:rFonts w:ascii="Times New Roman" w:eastAsia="Times New Roman" w:hAnsi="Times New Roman"/>
      <w:sz w:val="20"/>
      <w:szCs w:val="24"/>
      <w:lang w:eastAsia="en-GB"/>
    </w:rPr>
  </w:style>
  <w:style w:type="paragraph" w:styleId="Index8">
    <w:name w:val="index 8"/>
    <w:basedOn w:val="Normal"/>
    <w:next w:val="Normal"/>
    <w:autoRedefine/>
    <w:rsid w:val="00AE5E7D"/>
    <w:pPr>
      <w:spacing w:after="0" w:line="240" w:lineRule="auto"/>
      <w:ind w:left="1600" w:hanging="200"/>
    </w:pPr>
    <w:rPr>
      <w:rFonts w:ascii="Times New Roman" w:eastAsia="Times New Roman" w:hAnsi="Times New Roman"/>
      <w:sz w:val="20"/>
      <w:szCs w:val="24"/>
      <w:lang w:eastAsia="en-GB"/>
    </w:rPr>
  </w:style>
  <w:style w:type="paragraph" w:styleId="Index9">
    <w:name w:val="index 9"/>
    <w:basedOn w:val="Normal"/>
    <w:next w:val="Normal"/>
    <w:autoRedefine/>
    <w:rsid w:val="00AE5E7D"/>
    <w:pPr>
      <w:spacing w:after="0" w:line="240" w:lineRule="auto"/>
      <w:ind w:left="1800" w:hanging="200"/>
    </w:pPr>
    <w:rPr>
      <w:rFonts w:ascii="Times New Roman" w:eastAsia="Times New Roman" w:hAnsi="Times New Roman"/>
      <w:sz w:val="20"/>
      <w:szCs w:val="24"/>
      <w:lang w:eastAsia="en-GB"/>
    </w:rPr>
  </w:style>
  <w:style w:type="paragraph" w:styleId="IndexHeading">
    <w:name w:val="index heading"/>
    <w:basedOn w:val="Normal"/>
    <w:next w:val="Index1"/>
    <w:rsid w:val="00AE5E7D"/>
    <w:pPr>
      <w:spacing w:after="0" w:line="240" w:lineRule="auto"/>
    </w:pPr>
    <w:rPr>
      <w:rFonts w:eastAsia="Times New Roman"/>
      <w:b/>
      <w:bCs/>
      <w:sz w:val="20"/>
      <w:szCs w:val="24"/>
      <w:lang w:eastAsia="en-GB"/>
    </w:rPr>
  </w:style>
  <w:style w:type="character" w:styleId="IntenseEmphasis">
    <w:name w:val="Intense Emphasis"/>
    <w:basedOn w:val="DefaultParagraphFont"/>
    <w:uiPriority w:val="21"/>
    <w:rsid w:val="00AE5E7D"/>
    <w:rPr>
      <w:b/>
      <w:bCs/>
      <w:i/>
      <w:iCs/>
      <w:color w:val="939598"/>
    </w:rPr>
  </w:style>
  <w:style w:type="paragraph" w:styleId="IntenseQuote">
    <w:name w:val="Intense Quote"/>
    <w:basedOn w:val="Normal"/>
    <w:next w:val="Normal"/>
    <w:link w:val="IntenseQuoteChar"/>
    <w:uiPriority w:val="30"/>
    <w:rsid w:val="00AE5E7D"/>
    <w:pPr>
      <w:pBdr>
        <w:bottom w:val="single" w:sz="4" w:space="4" w:color="939598"/>
      </w:pBdr>
      <w:spacing w:before="200" w:after="280" w:line="240" w:lineRule="auto"/>
      <w:ind w:left="936" w:right="936"/>
    </w:pPr>
    <w:rPr>
      <w:rFonts w:ascii="Times New Roman" w:eastAsia="Times New Roman" w:hAnsi="Times New Roman"/>
      <w:b/>
      <w:bCs/>
      <w:i/>
      <w:iCs/>
      <w:color w:val="939598"/>
      <w:sz w:val="20"/>
      <w:szCs w:val="24"/>
      <w:lang w:eastAsia="en-GB"/>
    </w:rPr>
  </w:style>
  <w:style w:type="character" w:customStyle="1" w:styleId="IntenseQuoteChar">
    <w:name w:val="Intense Quote Char"/>
    <w:basedOn w:val="DefaultParagraphFont"/>
    <w:link w:val="IntenseQuote"/>
    <w:uiPriority w:val="30"/>
    <w:rsid w:val="00AE5E7D"/>
    <w:rPr>
      <w:b/>
      <w:bCs/>
      <w:i/>
      <w:iCs/>
      <w:color w:val="939598"/>
      <w:szCs w:val="24"/>
    </w:rPr>
  </w:style>
  <w:style w:type="character" w:styleId="IntenseReference">
    <w:name w:val="Intense Reference"/>
    <w:basedOn w:val="DefaultParagraphFont"/>
    <w:uiPriority w:val="32"/>
    <w:rsid w:val="00AE5E7D"/>
    <w:rPr>
      <w:b/>
      <w:bCs/>
      <w:smallCaps/>
      <w:color w:val="4F2683"/>
      <w:spacing w:val="5"/>
      <w:u w:val="single"/>
    </w:rPr>
  </w:style>
  <w:style w:type="table" w:customStyle="1" w:styleId="LightGrid1">
    <w:name w:val="Light Grid1"/>
    <w:basedOn w:val="TableNormal"/>
    <w:uiPriority w:val="62"/>
    <w:rsid w:val="00AE5E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AE5E7D"/>
    <w:tblPr>
      <w:tblStyleRowBandSize w:val="1"/>
      <w:tblStyleCol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Pr>
    <w:tblStylePr w:type="firstRow">
      <w:pPr>
        <w:spacing w:before="0" w:after="0" w:line="240" w:lineRule="auto"/>
      </w:pPr>
      <w:rPr>
        <w:rFonts w:ascii="Arial" w:eastAsia="Times New Roman" w:hAnsi="Arial" w:cs="Times New Roman"/>
        <w:b/>
        <w:bCs/>
      </w:rPr>
      <w:tblPr/>
      <w:tcPr>
        <w:tcBorders>
          <w:top w:val="single" w:sz="8" w:space="0" w:color="939598"/>
          <w:left w:val="single" w:sz="8" w:space="0" w:color="939598"/>
          <w:bottom w:val="single" w:sz="18" w:space="0" w:color="939598"/>
          <w:right w:val="single" w:sz="8" w:space="0" w:color="939598"/>
          <w:insideH w:val="nil"/>
          <w:insideV w:val="single" w:sz="8" w:space="0" w:color="939598"/>
        </w:tcBorders>
      </w:tcPr>
    </w:tblStylePr>
    <w:tblStylePr w:type="lastRow">
      <w:pPr>
        <w:spacing w:before="0" w:after="0" w:line="240" w:lineRule="auto"/>
      </w:pPr>
      <w:rPr>
        <w:rFonts w:ascii="Arial" w:eastAsia="Times New Roman" w:hAnsi="Arial" w:cs="Times New Roman"/>
        <w:b/>
        <w:bCs/>
      </w:rPr>
      <w:tblPr/>
      <w:tcPr>
        <w:tcBorders>
          <w:top w:val="double" w:sz="6" w:space="0" w:color="939598"/>
          <w:left w:val="single" w:sz="8" w:space="0" w:color="939598"/>
          <w:bottom w:val="single" w:sz="8" w:space="0" w:color="939598"/>
          <w:right w:val="single" w:sz="8" w:space="0" w:color="939598"/>
          <w:insideH w:val="nil"/>
          <w:insideV w:val="single" w:sz="8" w:space="0" w:color="93959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39598"/>
          <w:left w:val="single" w:sz="8" w:space="0" w:color="939598"/>
          <w:bottom w:val="single" w:sz="8" w:space="0" w:color="939598"/>
          <w:right w:val="single" w:sz="8" w:space="0" w:color="939598"/>
        </w:tcBorders>
      </w:tcPr>
    </w:tblStylePr>
    <w:tblStylePr w:type="band1Vert">
      <w:tblPr/>
      <w:tcPr>
        <w:tcBorders>
          <w:top w:val="single" w:sz="8" w:space="0" w:color="939598"/>
          <w:left w:val="single" w:sz="8" w:space="0" w:color="939598"/>
          <w:bottom w:val="single" w:sz="8" w:space="0" w:color="939598"/>
          <w:right w:val="single" w:sz="8" w:space="0" w:color="939598"/>
        </w:tcBorders>
        <w:shd w:val="clear" w:color="auto" w:fill="E4E4E5"/>
      </w:tcPr>
    </w:tblStylePr>
    <w:tblStylePr w:type="band1Horz">
      <w:tblPr/>
      <w:tcPr>
        <w:tcBorders>
          <w:top w:val="single" w:sz="8" w:space="0" w:color="939598"/>
          <w:left w:val="single" w:sz="8" w:space="0" w:color="939598"/>
          <w:bottom w:val="single" w:sz="8" w:space="0" w:color="939598"/>
          <w:right w:val="single" w:sz="8" w:space="0" w:color="939598"/>
          <w:insideV w:val="single" w:sz="8" w:space="0" w:color="939598"/>
        </w:tcBorders>
        <w:shd w:val="clear" w:color="auto" w:fill="E4E4E5"/>
      </w:tcPr>
    </w:tblStylePr>
    <w:tblStylePr w:type="band2Horz">
      <w:tblPr/>
      <w:tcPr>
        <w:tcBorders>
          <w:top w:val="single" w:sz="8" w:space="0" w:color="939598"/>
          <w:left w:val="single" w:sz="8" w:space="0" w:color="939598"/>
          <w:bottom w:val="single" w:sz="8" w:space="0" w:color="939598"/>
          <w:right w:val="single" w:sz="8" w:space="0" w:color="939598"/>
          <w:insideV w:val="single" w:sz="8" w:space="0" w:color="939598"/>
        </w:tcBorders>
      </w:tcPr>
    </w:tblStylePr>
  </w:style>
  <w:style w:type="table" w:styleId="LightGrid-Accent2">
    <w:name w:val="Light Grid Accent 2"/>
    <w:basedOn w:val="TableNormal"/>
    <w:uiPriority w:val="62"/>
    <w:rsid w:val="00AE5E7D"/>
    <w:tblPr>
      <w:tblStyleRowBandSize w:val="1"/>
      <w:tblStyleColBandSize w:val="1"/>
      <w:tblBorders>
        <w:top w:val="single" w:sz="8" w:space="0" w:color="4F2683"/>
        <w:left w:val="single" w:sz="8" w:space="0" w:color="4F2683"/>
        <w:bottom w:val="single" w:sz="8" w:space="0" w:color="4F2683"/>
        <w:right w:val="single" w:sz="8" w:space="0" w:color="4F2683"/>
        <w:insideH w:val="single" w:sz="8" w:space="0" w:color="4F2683"/>
        <w:insideV w:val="single" w:sz="8" w:space="0" w:color="4F2683"/>
      </w:tblBorders>
    </w:tblPr>
    <w:tblStylePr w:type="firstRow">
      <w:pPr>
        <w:spacing w:before="0" w:after="0" w:line="240" w:lineRule="auto"/>
      </w:pPr>
      <w:rPr>
        <w:rFonts w:ascii="Arial" w:eastAsia="Times New Roman" w:hAnsi="Arial" w:cs="Times New Roman"/>
        <w:b/>
        <w:bCs/>
      </w:rPr>
      <w:tblPr/>
      <w:tcPr>
        <w:tcBorders>
          <w:top w:val="single" w:sz="8" w:space="0" w:color="4F2683"/>
          <w:left w:val="single" w:sz="8" w:space="0" w:color="4F2683"/>
          <w:bottom w:val="single" w:sz="18" w:space="0" w:color="4F2683"/>
          <w:right w:val="single" w:sz="8" w:space="0" w:color="4F2683"/>
          <w:insideH w:val="nil"/>
          <w:insideV w:val="single" w:sz="8" w:space="0" w:color="4F2683"/>
        </w:tcBorders>
      </w:tcPr>
    </w:tblStylePr>
    <w:tblStylePr w:type="lastRow">
      <w:pPr>
        <w:spacing w:before="0" w:after="0" w:line="240" w:lineRule="auto"/>
      </w:pPr>
      <w:rPr>
        <w:rFonts w:ascii="Arial" w:eastAsia="Times New Roman" w:hAnsi="Arial" w:cs="Times New Roman"/>
        <w:b/>
        <w:bCs/>
      </w:rPr>
      <w:tblPr/>
      <w:tcPr>
        <w:tcBorders>
          <w:top w:val="double" w:sz="6" w:space="0" w:color="4F2683"/>
          <w:left w:val="single" w:sz="8" w:space="0" w:color="4F2683"/>
          <w:bottom w:val="single" w:sz="8" w:space="0" w:color="4F2683"/>
          <w:right w:val="single" w:sz="8" w:space="0" w:color="4F2683"/>
          <w:insideH w:val="nil"/>
          <w:insideV w:val="single" w:sz="8" w:space="0" w:color="4F268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2683"/>
          <w:left w:val="single" w:sz="8" w:space="0" w:color="4F2683"/>
          <w:bottom w:val="single" w:sz="8" w:space="0" w:color="4F2683"/>
          <w:right w:val="single" w:sz="8" w:space="0" w:color="4F2683"/>
        </w:tcBorders>
      </w:tcPr>
    </w:tblStylePr>
    <w:tblStylePr w:type="band1Vert">
      <w:tblPr/>
      <w:tcPr>
        <w:tcBorders>
          <w:top w:val="single" w:sz="8" w:space="0" w:color="4F2683"/>
          <w:left w:val="single" w:sz="8" w:space="0" w:color="4F2683"/>
          <w:bottom w:val="single" w:sz="8" w:space="0" w:color="4F2683"/>
          <w:right w:val="single" w:sz="8" w:space="0" w:color="4F2683"/>
        </w:tcBorders>
        <w:shd w:val="clear" w:color="auto" w:fill="D1BDEC"/>
      </w:tcPr>
    </w:tblStylePr>
    <w:tblStylePr w:type="band1Horz">
      <w:tblPr/>
      <w:tcPr>
        <w:tcBorders>
          <w:top w:val="single" w:sz="8" w:space="0" w:color="4F2683"/>
          <w:left w:val="single" w:sz="8" w:space="0" w:color="4F2683"/>
          <w:bottom w:val="single" w:sz="8" w:space="0" w:color="4F2683"/>
          <w:right w:val="single" w:sz="8" w:space="0" w:color="4F2683"/>
          <w:insideV w:val="single" w:sz="8" w:space="0" w:color="4F2683"/>
        </w:tcBorders>
        <w:shd w:val="clear" w:color="auto" w:fill="D1BDEC"/>
      </w:tcPr>
    </w:tblStylePr>
    <w:tblStylePr w:type="band2Horz">
      <w:tblPr/>
      <w:tcPr>
        <w:tcBorders>
          <w:top w:val="single" w:sz="8" w:space="0" w:color="4F2683"/>
          <w:left w:val="single" w:sz="8" w:space="0" w:color="4F2683"/>
          <w:bottom w:val="single" w:sz="8" w:space="0" w:color="4F2683"/>
          <w:right w:val="single" w:sz="8" w:space="0" w:color="4F2683"/>
          <w:insideV w:val="single" w:sz="8" w:space="0" w:color="4F2683"/>
        </w:tcBorders>
      </w:tcPr>
    </w:tblStylePr>
  </w:style>
  <w:style w:type="table" w:styleId="LightGrid-Accent3">
    <w:name w:val="Light Grid Accent 3"/>
    <w:basedOn w:val="TableNormal"/>
    <w:uiPriority w:val="62"/>
    <w:rsid w:val="00AE5E7D"/>
    <w:tblPr>
      <w:tblStyleRowBandSize w:val="1"/>
      <w:tblStyleColBandSize w:val="1"/>
      <w:tblBorders>
        <w:top w:val="single" w:sz="8" w:space="0" w:color="E60F87"/>
        <w:left w:val="single" w:sz="8" w:space="0" w:color="E60F87"/>
        <w:bottom w:val="single" w:sz="8" w:space="0" w:color="E60F87"/>
        <w:right w:val="single" w:sz="8" w:space="0" w:color="E60F87"/>
        <w:insideH w:val="single" w:sz="8" w:space="0" w:color="E60F87"/>
        <w:insideV w:val="single" w:sz="8" w:space="0" w:color="E60F87"/>
      </w:tblBorders>
    </w:tblPr>
    <w:tblStylePr w:type="firstRow">
      <w:pPr>
        <w:spacing w:before="0" w:after="0" w:line="240" w:lineRule="auto"/>
      </w:pPr>
      <w:rPr>
        <w:rFonts w:ascii="Arial" w:eastAsia="Times New Roman" w:hAnsi="Arial" w:cs="Times New Roman"/>
        <w:b/>
        <w:bCs/>
      </w:rPr>
      <w:tblPr/>
      <w:tcPr>
        <w:tcBorders>
          <w:top w:val="single" w:sz="8" w:space="0" w:color="E60F87"/>
          <w:left w:val="single" w:sz="8" w:space="0" w:color="E60F87"/>
          <w:bottom w:val="single" w:sz="18" w:space="0" w:color="E60F87"/>
          <w:right w:val="single" w:sz="8" w:space="0" w:color="E60F87"/>
          <w:insideH w:val="nil"/>
          <w:insideV w:val="single" w:sz="8" w:space="0" w:color="E60F87"/>
        </w:tcBorders>
      </w:tcPr>
    </w:tblStylePr>
    <w:tblStylePr w:type="lastRow">
      <w:pPr>
        <w:spacing w:before="0" w:after="0" w:line="240" w:lineRule="auto"/>
      </w:pPr>
      <w:rPr>
        <w:rFonts w:ascii="Arial" w:eastAsia="Times New Roman" w:hAnsi="Arial" w:cs="Times New Roman"/>
        <w:b/>
        <w:bCs/>
      </w:rPr>
      <w:tblPr/>
      <w:tcPr>
        <w:tcBorders>
          <w:top w:val="double" w:sz="6" w:space="0" w:color="E60F87"/>
          <w:left w:val="single" w:sz="8" w:space="0" w:color="E60F87"/>
          <w:bottom w:val="single" w:sz="8" w:space="0" w:color="E60F87"/>
          <w:right w:val="single" w:sz="8" w:space="0" w:color="E60F87"/>
          <w:insideH w:val="nil"/>
          <w:insideV w:val="single" w:sz="8" w:space="0" w:color="E60F8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60F87"/>
          <w:left w:val="single" w:sz="8" w:space="0" w:color="E60F87"/>
          <w:bottom w:val="single" w:sz="8" w:space="0" w:color="E60F87"/>
          <w:right w:val="single" w:sz="8" w:space="0" w:color="E60F87"/>
        </w:tcBorders>
      </w:tcPr>
    </w:tblStylePr>
    <w:tblStylePr w:type="band1Vert">
      <w:tblPr/>
      <w:tcPr>
        <w:tcBorders>
          <w:top w:val="single" w:sz="8" w:space="0" w:color="E60F87"/>
          <w:left w:val="single" w:sz="8" w:space="0" w:color="E60F87"/>
          <w:bottom w:val="single" w:sz="8" w:space="0" w:color="E60F87"/>
          <w:right w:val="single" w:sz="8" w:space="0" w:color="E60F87"/>
        </w:tcBorders>
        <w:shd w:val="clear" w:color="auto" w:fill="FBC1E1"/>
      </w:tcPr>
    </w:tblStylePr>
    <w:tblStylePr w:type="band1Horz">
      <w:tblPr/>
      <w:tcPr>
        <w:tcBorders>
          <w:top w:val="single" w:sz="8" w:space="0" w:color="E60F87"/>
          <w:left w:val="single" w:sz="8" w:space="0" w:color="E60F87"/>
          <w:bottom w:val="single" w:sz="8" w:space="0" w:color="E60F87"/>
          <w:right w:val="single" w:sz="8" w:space="0" w:color="E60F87"/>
          <w:insideV w:val="single" w:sz="8" w:space="0" w:color="E60F87"/>
        </w:tcBorders>
        <w:shd w:val="clear" w:color="auto" w:fill="FBC1E1"/>
      </w:tcPr>
    </w:tblStylePr>
    <w:tblStylePr w:type="band2Horz">
      <w:tblPr/>
      <w:tcPr>
        <w:tcBorders>
          <w:top w:val="single" w:sz="8" w:space="0" w:color="E60F87"/>
          <w:left w:val="single" w:sz="8" w:space="0" w:color="E60F87"/>
          <w:bottom w:val="single" w:sz="8" w:space="0" w:color="E60F87"/>
          <w:right w:val="single" w:sz="8" w:space="0" w:color="E60F87"/>
          <w:insideV w:val="single" w:sz="8" w:space="0" w:color="E60F87"/>
        </w:tcBorders>
      </w:tcPr>
    </w:tblStylePr>
  </w:style>
  <w:style w:type="table" w:styleId="LightGrid-Accent4">
    <w:name w:val="Light Grid Accent 4"/>
    <w:basedOn w:val="TableNormal"/>
    <w:uiPriority w:val="62"/>
    <w:rsid w:val="00AE5E7D"/>
    <w:tblPr>
      <w:tblStyleRowBandSize w:val="1"/>
      <w:tblStyleColBandSize w:val="1"/>
      <w:tblBorders>
        <w:top w:val="single" w:sz="8" w:space="0" w:color="F38F1D"/>
        <w:left w:val="single" w:sz="8" w:space="0" w:color="F38F1D"/>
        <w:bottom w:val="single" w:sz="8" w:space="0" w:color="F38F1D"/>
        <w:right w:val="single" w:sz="8" w:space="0" w:color="F38F1D"/>
        <w:insideH w:val="single" w:sz="8" w:space="0" w:color="F38F1D"/>
        <w:insideV w:val="single" w:sz="8" w:space="0" w:color="F38F1D"/>
      </w:tblBorders>
    </w:tblPr>
    <w:tblStylePr w:type="firstRow">
      <w:pPr>
        <w:spacing w:before="0" w:after="0" w:line="240" w:lineRule="auto"/>
      </w:pPr>
      <w:rPr>
        <w:rFonts w:ascii="Arial" w:eastAsia="Times New Roman" w:hAnsi="Arial" w:cs="Times New Roman"/>
        <w:b/>
        <w:bCs/>
      </w:rPr>
      <w:tblPr/>
      <w:tcPr>
        <w:tcBorders>
          <w:top w:val="single" w:sz="8" w:space="0" w:color="F38F1D"/>
          <w:left w:val="single" w:sz="8" w:space="0" w:color="F38F1D"/>
          <w:bottom w:val="single" w:sz="18" w:space="0" w:color="F38F1D"/>
          <w:right w:val="single" w:sz="8" w:space="0" w:color="F38F1D"/>
          <w:insideH w:val="nil"/>
          <w:insideV w:val="single" w:sz="8" w:space="0" w:color="F38F1D"/>
        </w:tcBorders>
      </w:tcPr>
    </w:tblStylePr>
    <w:tblStylePr w:type="lastRow">
      <w:pPr>
        <w:spacing w:before="0" w:after="0" w:line="240" w:lineRule="auto"/>
      </w:pPr>
      <w:rPr>
        <w:rFonts w:ascii="Arial" w:eastAsia="Times New Roman" w:hAnsi="Arial" w:cs="Times New Roman"/>
        <w:b/>
        <w:bCs/>
      </w:rPr>
      <w:tblPr/>
      <w:tcPr>
        <w:tcBorders>
          <w:top w:val="double" w:sz="6" w:space="0" w:color="F38F1D"/>
          <w:left w:val="single" w:sz="8" w:space="0" w:color="F38F1D"/>
          <w:bottom w:val="single" w:sz="8" w:space="0" w:color="F38F1D"/>
          <w:right w:val="single" w:sz="8" w:space="0" w:color="F38F1D"/>
          <w:insideH w:val="nil"/>
          <w:insideV w:val="single" w:sz="8" w:space="0" w:color="F38F1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38F1D"/>
          <w:left w:val="single" w:sz="8" w:space="0" w:color="F38F1D"/>
          <w:bottom w:val="single" w:sz="8" w:space="0" w:color="F38F1D"/>
          <w:right w:val="single" w:sz="8" w:space="0" w:color="F38F1D"/>
        </w:tcBorders>
      </w:tcPr>
    </w:tblStylePr>
    <w:tblStylePr w:type="band1Vert">
      <w:tblPr/>
      <w:tcPr>
        <w:tcBorders>
          <w:top w:val="single" w:sz="8" w:space="0" w:color="F38F1D"/>
          <w:left w:val="single" w:sz="8" w:space="0" w:color="F38F1D"/>
          <w:bottom w:val="single" w:sz="8" w:space="0" w:color="F38F1D"/>
          <w:right w:val="single" w:sz="8" w:space="0" w:color="F38F1D"/>
        </w:tcBorders>
        <w:shd w:val="clear" w:color="auto" w:fill="FCE3C6"/>
      </w:tcPr>
    </w:tblStylePr>
    <w:tblStylePr w:type="band1Horz">
      <w:tblPr/>
      <w:tcPr>
        <w:tcBorders>
          <w:top w:val="single" w:sz="8" w:space="0" w:color="F38F1D"/>
          <w:left w:val="single" w:sz="8" w:space="0" w:color="F38F1D"/>
          <w:bottom w:val="single" w:sz="8" w:space="0" w:color="F38F1D"/>
          <w:right w:val="single" w:sz="8" w:space="0" w:color="F38F1D"/>
          <w:insideV w:val="single" w:sz="8" w:space="0" w:color="F38F1D"/>
        </w:tcBorders>
        <w:shd w:val="clear" w:color="auto" w:fill="FCE3C6"/>
      </w:tcPr>
    </w:tblStylePr>
    <w:tblStylePr w:type="band2Horz">
      <w:tblPr/>
      <w:tcPr>
        <w:tcBorders>
          <w:top w:val="single" w:sz="8" w:space="0" w:color="F38F1D"/>
          <w:left w:val="single" w:sz="8" w:space="0" w:color="F38F1D"/>
          <w:bottom w:val="single" w:sz="8" w:space="0" w:color="F38F1D"/>
          <w:right w:val="single" w:sz="8" w:space="0" w:color="F38F1D"/>
          <w:insideV w:val="single" w:sz="8" w:space="0" w:color="F38F1D"/>
        </w:tcBorders>
      </w:tcPr>
    </w:tblStylePr>
  </w:style>
  <w:style w:type="table" w:styleId="LightGrid-Accent5">
    <w:name w:val="Light Grid Accent 5"/>
    <w:basedOn w:val="TableNormal"/>
    <w:uiPriority w:val="62"/>
    <w:rsid w:val="00AE5E7D"/>
    <w:tblPr>
      <w:tblStyleRowBandSize w:val="1"/>
      <w:tblStyleColBandSize w:val="1"/>
      <w:tblBorders>
        <w:top w:val="single" w:sz="8" w:space="0" w:color="FDB924"/>
        <w:left w:val="single" w:sz="8" w:space="0" w:color="FDB924"/>
        <w:bottom w:val="single" w:sz="8" w:space="0" w:color="FDB924"/>
        <w:right w:val="single" w:sz="8" w:space="0" w:color="FDB924"/>
        <w:insideH w:val="single" w:sz="8" w:space="0" w:color="FDB924"/>
        <w:insideV w:val="single" w:sz="8" w:space="0" w:color="FDB924"/>
      </w:tblBorders>
    </w:tblPr>
    <w:tblStylePr w:type="firstRow">
      <w:pPr>
        <w:spacing w:before="0" w:after="0" w:line="240" w:lineRule="auto"/>
      </w:pPr>
      <w:rPr>
        <w:rFonts w:ascii="Arial" w:eastAsia="Times New Roman" w:hAnsi="Arial" w:cs="Times New Roman"/>
        <w:b/>
        <w:bCs/>
      </w:rPr>
      <w:tblPr/>
      <w:tcPr>
        <w:tcBorders>
          <w:top w:val="single" w:sz="8" w:space="0" w:color="FDB924"/>
          <w:left w:val="single" w:sz="8" w:space="0" w:color="FDB924"/>
          <w:bottom w:val="single" w:sz="18" w:space="0" w:color="FDB924"/>
          <w:right w:val="single" w:sz="8" w:space="0" w:color="FDB924"/>
          <w:insideH w:val="nil"/>
          <w:insideV w:val="single" w:sz="8" w:space="0" w:color="FDB924"/>
        </w:tcBorders>
      </w:tcPr>
    </w:tblStylePr>
    <w:tblStylePr w:type="lastRow">
      <w:pPr>
        <w:spacing w:before="0" w:after="0" w:line="240" w:lineRule="auto"/>
      </w:pPr>
      <w:rPr>
        <w:rFonts w:ascii="Arial" w:eastAsia="Times New Roman" w:hAnsi="Arial" w:cs="Times New Roman"/>
        <w:b/>
        <w:bCs/>
      </w:rPr>
      <w:tblPr/>
      <w:tcPr>
        <w:tcBorders>
          <w:top w:val="double" w:sz="6" w:space="0" w:color="FDB924"/>
          <w:left w:val="single" w:sz="8" w:space="0" w:color="FDB924"/>
          <w:bottom w:val="single" w:sz="8" w:space="0" w:color="FDB924"/>
          <w:right w:val="single" w:sz="8" w:space="0" w:color="FDB924"/>
          <w:insideH w:val="nil"/>
          <w:insideV w:val="single" w:sz="8" w:space="0" w:color="FDB92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DB924"/>
          <w:left w:val="single" w:sz="8" w:space="0" w:color="FDB924"/>
          <w:bottom w:val="single" w:sz="8" w:space="0" w:color="FDB924"/>
          <w:right w:val="single" w:sz="8" w:space="0" w:color="FDB924"/>
        </w:tcBorders>
      </w:tcPr>
    </w:tblStylePr>
    <w:tblStylePr w:type="band1Vert">
      <w:tblPr/>
      <w:tcPr>
        <w:tcBorders>
          <w:top w:val="single" w:sz="8" w:space="0" w:color="FDB924"/>
          <w:left w:val="single" w:sz="8" w:space="0" w:color="FDB924"/>
          <w:bottom w:val="single" w:sz="8" w:space="0" w:color="FDB924"/>
          <w:right w:val="single" w:sz="8" w:space="0" w:color="FDB924"/>
        </w:tcBorders>
        <w:shd w:val="clear" w:color="auto" w:fill="FEEDC8"/>
      </w:tcPr>
    </w:tblStylePr>
    <w:tblStylePr w:type="band1Horz">
      <w:tblPr/>
      <w:tcPr>
        <w:tcBorders>
          <w:top w:val="single" w:sz="8" w:space="0" w:color="FDB924"/>
          <w:left w:val="single" w:sz="8" w:space="0" w:color="FDB924"/>
          <w:bottom w:val="single" w:sz="8" w:space="0" w:color="FDB924"/>
          <w:right w:val="single" w:sz="8" w:space="0" w:color="FDB924"/>
          <w:insideV w:val="single" w:sz="8" w:space="0" w:color="FDB924"/>
        </w:tcBorders>
        <w:shd w:val="clear" w:color="auto" w:fill="FEEDC8"/>
      </w:tcPr>
    </w:tblStylePr>
    <w:tblStylePr w:type="band2Horz">
      <w:tblPr/>
      <w:tcPr>
        <w:tcBorders>
          <w:top w:val="single" w:sz="8" w:space="0" w:color="FDB924"/>
          <w:left w:val="single" w:sz="8" w:space="0" w:color="FDB924"/>
          <w:bottom w:val="single" w:sz="8" w:space="0" w:color="FDB924"/>
          <w:right w:val="single" w:sz="8" w:space="0" w:color="FDB924"/>
          <w:insideV w:val="single" w:sz="8" w:space="0" w:color="FDB924"/>
        </w:tcBorders>
      </w:tcPr>
    </w:tblStylePr>
  </w:style>
  <w:style w:type="table" w:styleId="LightGrid-Accent6">
    <w:name w:val="Light Grid Accent 6"/>
    <w:basedOn w:val="TableNormal"/>
    <w:uiPriority w:val="62"/>
    <w:rsid w:val="00AE5E7D"/>
    <w:tblPr>
      <w:tblStyleRowBandSize w:val="1"/>
      <w:tblStyleColBandSize w:val="1"/>
      <w:tblBorders>
        <w:top w:val="single" w:sz="8" w:space="0" w:color="DCDDDE"/>
        <w:left w:val="single" w:sz="8" w:space="0" w:color="DCDDDE"/>
        <w:bottom w:val="single" w:sz="8" w:space="0" w:color="DCDDDE"/>
        <w:right w:val="single" w:sz="8" w:space="0" w:color="DCDDDE"/>
        <w:insideH w:val="single" w:sz="8" w:space="0" w:color="DCDDDE"/>
        <w:insideV w:val="single" w:sz="8" w:space="0" w:color="DCDDDE"/>
      </w:tblBorders>
    </w:tblPr>
    <w:tblStylePr w:type="firstRow">
      <w:pPr>
        <w:spacing w:before="0" w:after="0" w:line="240" w:lineRule="auto"/>
      </w:pPr>
      <w:rPr>
        <w:rFonts w:ascii="Arial" w:eastAsia="Times New Roman" w:hAnsi="Arial" w:cs="Times New Roman"/>
        <w:b/>
        <w:bCs/>
      </w:rPr>
      <w:tblPr/>
      <w:tcPr>
        <w:tcBorders>
          <w:top w:val="single" w:sz="8" w:space="0" w:color="DCDDDE"/>
          <w:left w:val="single" w:sz="8" w:space="0" w:color="DCDDDE"/>
          <w:bottom w:val="single" w:sz="18" w:space="0" w:color="DCDDDE"/>
          <w:right w:val="single" w:sz="8" w:space="0" w:color="DCDDDE"/>
          <w:insideH w:val="nil"/>
          <w:insideV w:val="single" w:sz="8" w:space="0" w:color="DCDDDE"/>
        </w:tcBorders>
      </w:tcPr>
    </w:tblStylePr>
    <w:tblStylePr w:type="lastRow">
      <w:pPr>
        <w:spacing w:before="0" w:after="0" w:line="240" w:lineRule="auto"/>
      </w:pPr>
      <w:rPr>
        <w:rFonts w:ascii="Arial" w:eastAsia="Times New Roman" w:hAnsi="Arial" w:cs="Times New Roman"/>
        <w:b/>
        <w:bCs/>
      </w:rPr>
      <w:tblPr/>
      <w:tcPr>
        <w:tcBorders>
          <w:top w:val="double" w:sz="6" w:space="0" w:color="DCDDDE"/>
          <w:left w:val="single" w:sz="8" w:space="0" w:color="DCDDDE"/>
          <w:bottom w:val="single" w:sz="8" w:space="0" w:color="DCDDDE"/>
          <w:right w:val="single" w:sz="8" w:space="0" w:color="DCDDDE"/>
          <w:insideH w:val="nil"/>
          <w:insideV w:val="single" w:sz="8" w:space="0" w:color="DCDDD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CDDDE"/>
          <w:left w:val="single" w:sz="8" w:space="0" w:color="DCDDDE"/>
          <w:bottom w:val="single" w:sz="8" w:space="0" w:color="DCDDDE"/>
          <w:right w:val="single" w:sz="8" w:space="0" w:color="DCDDDE"/>
        </w:tcBorders>
      </w:tcPr>
    </w:tblStylePr>
    <w:tblStylePr w:type="band1Vert">
      <w:tblPr/>
      <w:tcPr>
        <w:tcBorders>
          <w:top w:val="single" w:sz="8" w:space="0" w:color="DCDDDE"/>
          <w:left w:val="single" w:sz="8" w:space="0" w:color="DCDDDE"/>
          <w:bottom w:val="single" w:sz="8" w:space="0" w:color="DCDDDE"/>
          <w:right w:val="single" w:sz="8" w:space="0" w:color="DCDDDE"/>
        </w:tcBorders>
        <w:shd w:val="clear" w:color="auto" w:fill="F6F6F6"/>
      </w:tcPr>
    </w:tblStylePr>
    <w:tblStylePr w:type="band1Horz">
      <w:tblPr/>
      <w:tcPr>
        <w:tcBorders>
          <w:top w:val="single" w:sz="8" w:space="0" w:color="DCDDDE"/>
          <w:left w:val="single" w:sz="8" w:space="0" w:color="DCDDDE"/>
          <w:bottom w:val="single" w:sz="8" w:space="0" w:color="DCDDDE"/>
          <w:right w:val="single" w:sz="8" w:space="0" w:color="DCDDDE"/>
          <w:insideV w:val="single" w:sz="8" w:space="0" w:color="DCDDDE"/>
        </w:tcBorders>
        <w:shd w:val="clear" w:color="auto" w:fill="F6F6F6"/>
      </w:tcPr>
    </w:tblStylePr>
    <w:tblStylePr w:type="band2Horz">
      <w:tblPr/>
      <w:tcPr>
        <w:tcBorders>
          <w:top w:val="single" w:sz="8" w:space="0" w:color="DCDDDE"/>
          <w:left w:val="single" w:sz="8" w:space="0" w:color="DCDDDE"/>
          <w:bottom w:val="single" w:sz="8" w:space="0" w:color="DCDDDE"/>
          <w:right w:val="single" w:sz="8" w:space="0" w:color="DCDDDE"/>
          <w:insideV w:val="single" w:sz="8" w:space="0" w:color="DCDDDE"/>
        </w:tcBorders>
      </w:tcPr>
    </w:tblStylePr>
  </w:style>
  <w:style w:type="table" w:customStyle="1" w:styleId="LightList1">
    <w:name w:val="Light List1"/>
    <w:basedOn w:val="TableNormal"/>
    <w:uiPriority w:val="61"/>
    <w:rsid w:val="00AE5E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E5E7D"/>
    <w:tblPr>
      <w:tblStyleRowBandSize w:val="1"/>
      <w:tblStyleColBandSize w:val="1"/>
      <w:tblBorders>
        <w:top w:val="single" w:sz="8" w:space="0" w:color="939598"/>
        <w:left w:val="single" w:sz="8" w:space="0" w:color="939598"/>
        <w:bottom w:val="single" w:sz="8" w:space="0" w:color="939598"/>
        <w:right w:val="single" w:sz="8" w:space="0" w:color="939598"/>
      </w:tblBorders>
    </w:tblPr>
    <w:tblStylePr w:type="firstRow">
      <w:pPr>
        <w:spacing w:before="0" w:after="0" w:line="240" w:lineRule="auto"/>
      </w:pPr>
      <w:rPr>
        <w:b/>
        <w:bCs/>
        <w:color w:val="FFFFFF"/>
      </w:rPr>
      <w:tblPr/>
      <w:tcPr>
        <w:shd w:val="clear" w:color="auto" w:fill="939598"/>
      </w:tcPr>
    </w:tblStylePr>
    <w:tblStylePr w:type="lastRow">
      <w:pPr>
        <w:spacing w:before="0" w:after="0" w:line="240" w:lineRule="auto"/>
      </w:pPr>
      <w:rPr>
        <w:b/>
        <w:bCs/>
      </w:rPr>
      <w:tblPr/>
      <w:tcPr>
        <w:tcBorders>
          <w:top w:val="double" w:sz="6" w:space="0" w:color="939598"/>
          <w:left w:val="single" w:sz="8" w:space="0" w:color="939598"/>
          <w:bottom w:val="single" w:sz="8" w:space="0" w:color="939598"/>
          <w:right w:val="single" w:sz="8" w:space="0" w:color="939598"/>
        </w:tcBorders>
      </w:tcPr>
    </w:tblStylePr>
    <w:tblStylePr w:type="firstCol">
      <w:rPr>
        <w:b/>
        <w:bCs/>
      </w:rPr>
    </w:tblStylePr>
    <w:tblStylePr w:type="lastCol">
      <w:rPr>
        <w:b/>
        <w:bCs/>
      </w:rPr>
    </w:tblStylePr>
    <w:tblStylePr w:type="band1Vert">
      <w:tblPr/>
      <w:tcPr>
        <w:tcBorders>
          <w:top w:val="single" w:sz="8" w:space="0" w:color="939598"/>
          <w:left w:val="single" w:sz="8" w:space="0" w:color="939598"/>
          <w:bottom w:val="single" w:sz="8" w:space="0" w:color="939598"/>
          <w:right w:val="single" w:sz="8" w:space="0" w:color="939598"/>
        </w:tcBorders>
      </w:tcPr>
    </w:tblStylePr>
    <w:tblStylePr w:type="band1Horz">
      <w:tblPr/>
      <w:tcPr>
        <w:tcBorders>
          <w:top w:val="single" w:sz="8" w:space="0" w:color="939598"/>
          <w:left w:val="single" w:sz="8" w:space="0" w:color="939598"/>
          <w:bottom w:val="single" w:sz="8" w:space="0" w:color="939598"/>
          <w:right w:val="single" w:sz="8" w:space="0" w:color="939598"/>
        </w:tcBorders>
      </w:tcPr>
    </w:tblStylePr>
  </w:style>
  <w:style w:type="table" w:styleId="LightList-Accent2">
    <w:name w:val="Light List Accent 2"/>
    <w:basedOn w:val="TableNormal"/>
    <w:uiPriority w:val="61"/>
    <w:rsid w:val="00AE5E7D"/>
    <w:tblPr>
      <w:tblStyleRowBandSize w:val="1"/>
      <w:tblStyleColBandSize w:val="1"/>
      <w:tblBorders>
        <w:top w:val="single" w:sz="8" w:space="0" w:color="4F2683"/>
        <w:left w:val="single" w:sz="8" w:space="0" w:color="4F2683"/>
        <w:bottom w:val="single" w:sz="8" w:space="0" w:color="4F2683"/>
        <w:right w:val="single" w:sz="8" w:space="0" w:color="4F2683"/>
      </w:tblBorders>
    </w:tblPr>
    <w:tblStylePr w:type="firstRow">
      <w:pPr>
        <w:spacing w:before="0" w:after="0" w:line="240" w:lineRule="auto"/>
      </w:pPr>
      <w:rPr>
        <w:b/>
        <w:bCs/>
        <w:color w:val="FFFFFF"/>
      </w:rPr>
      <w:tblPr/>
      <w:tcPr>
        <w:shd w:val="clear" w:color="auto" w:fill="4F2683"/>
      </w:tcPr>
    </w:tblStylePr>
    <w:tblStylePr w:type="lastRow">
      <w:pPr>
        <w:spacing w:before="0" w:after="0" w:line="240" w:lineRule="auto"/>
      </w:pPr>
      <w:rPr>
        <w:b/>
        <w:bCs/>
      </w:rPr>
      <w:tblPr/>
      <w:tcPr>
        <w:tcBorders>
          <w:top w:val="double" w:sz="6" w:space="0" w:color="4F2683"/>
          <w:left w:val="single" w:sz="8" w:space="0" w:color="4F2683"/>
          <w:bottom w:val="single" w:sz="8" w:space="0" w:color="4F2683"/>
          <w:right w:val="single" w:sz="8" w:space="0" w:color="4F2683"/>
        </w:tcBorders>
      </w:tcPr>
    </w:tblStylePr>
    <w:tblStylePr w:type="firstCol">
      <w:rPr>
        <w:b/>
        <w:bCs/>
      </w:rPr>
    </w:tblStylePr>
    <w:tblStylePr w:type="lastCol">
      <w:rPr>
        <w:b/>
        <w:bCs/>
      </w:rPr>
    </w:tblStylePr>
    <w:tblStylePr w:type="band1Vert">
      <w:tblPr/>
      <w:tcPr>
        <w:tcBorders>
          <w:top w:val="single" w:sz="8" w:space="0" w:color="4F2683"/>
          <w:left w:val="single" w:sz="8" w:space="0" w:color="4F2683"/>
          <w:bottom w:val="single" w:sz="8" w:space="0" w:color="4F2683"/>
          <w:right w:val="single" w:sz="8" w:space="0" w:color="4F2683"/>
        </w:tcBorders>
      </w:tcPr>
    </w:tblStylePr>
    <w:tblStylePr w:type="band1Horz">
      <w:tblPr/>
      <w:tcPr>
        <w:tcBorders>
          <w:top w:val="single" w:sz="8" w:space="0" w:color="4F2683"/>
          <w:left w:val="single" w:sz="8" w:space="0" w:color="4F2683"/>
          <w:bottom w:val="single" w:sz="8" w:space="0" w:color="4F2683"/>
          <w:right w:val="single" w:sz="8" w:space="0" w:color="4F2683"/>
        </w:tcBorders>
      </w:tcPr>
    </w:tblStylePr>
  </w:style>
  <w:style w:type="table" w:styleId="LightList-Accent3">
    <w:name w:val="Light List Accent 3"/>
    <w:basedOn w:val="TableNormal"/>
    <w:uiPriority w:val="61"/>
    <w:rsid w:val="00AE5E7D"/>
    <w:tblPr>
      <w:tblStyleRowBandSize w:val="1"/>
      <w:tblStyleColBandSize w:val="1"/>
      <w:tblBorders>
        <w:top w:val="single" w:sz="8" w:space="0" w:color="E60F87"/>
        <w:left w:val="single" w:sz="8" w:space="0" w:color="E60F87"/>
        <w:bottom w:val="single" w:sz="8" w:space="0" w:color="E60F87"/>
        <w:right w:val="single" w:sz="8" w:space="0" w:color="E60F87"/>
      </w:tblBorders>
    </w:tblPr>
    <w:tblStylePr w:type="firstRow">
      <w:pPr>
        <w:spacing w:before="0" w:after="0" w:line="240" w:lineRule="auto"/>
      </w:pPr>
      <w:rPr>
        <w:b/>
        <w:bCs/>
        <w:color w:val="FFFFFF"/>
      </w:rPr>
      <w:tblPr/>
      <w:tcPr>
        <w:shd w:val="clear" w:color="auto" w:fill="E60F87"/>
      </w:tcPr>
    </w:tblStylePr>
    <w:tblStylePr w:type="lastRow">
      <w:pPr>
        <w:spacing w:before="0" w:after="0" w:line="240" w:lineRule="auto"/>
      </w:pPr>
      <w:rPr>
        <w:b/>
        <w:bCs/>
      </w:rPr>
      <w:tblPr/>
      <w:tcPr>
        <w:tcBorders>
          <w:top w:val="double" w:sz="6" w:space="0" w:color="E60F87"/>
          <w:left w:val="single" w:sz="8" w:space="0" w:color="E60F87"/>
          <w:bottom w:val="single" w:sz="8" w:space="0" w:color="E60F87"/>
          <w:right w:val="single" w:sz="8" w:space="0" w:color="E60F87"/>
        </w:tcBorders>
      </w:tcPr>
    </w:tblStylePr>
    <w:tblStylePr w:type="firstCol">
      <w:rPr>
        <w:b/>
        <w:bCs/>
      </w:rPr>
    </w:tblStylePr>
    <w:tblStylePr w:type="lastCol">
      <w:rPr>
        <w:b/>
        <w:bCs/>
      </w:rPr>
    </w:tblStylePr>
    <w:tblStylePr w:type="band1Vert">
      <w:tblPr/>
      <w:tcPr>
        <w:tcBorders>
          <w:top w:val="single" w:sz="8" w:space="0" w:color="E60F87"/>
          <w:left w:val="single" w:sz="8" w:space="0" w:color="E60F87"/>
          <w:bottom w:val="single" w:sz="8" w:space="0" w:color="E60F87"/>
          <w:right w:val="single" w:sz="8" w:space="0" w:color="E60F87"/>
        </w:tcBorders>
      </w:tcPr>
    </w:tblStylePr>
    <w:tblStylePr w:type="band1Horz">
      <w:tblPr/>
      <w:tcPr>
        <w:tcBorders>
          <w:top w:val="single" w:sz="8" w:space="0" w:color="E60F87"/>
          <w:left w:val="single" w:sz="8" w:space="0" w:color="E60F87"/>
          <w:bottom w:val="single" w:sz="8" w:space="0" w:color="E60F87"/>
          <w:right w:val="single" w:sz="8" w:space="0" w:color="E60F87"/>
        </w:tcBorders>
      </w:tcPr>
    </w:tblStylePr>
  </w:style>
  <w:style w:type="table" w:styleId="LightList-Accent4">
    <w:name w:val="Light List Accent 4"/>
    <w:basedOn w:val="TableNormal"/>
    <w:uiPriority w:val="61"/>
    <w:rsid w:val="00AE5E7D"/>
    <w:tblPr>
      <w:tblStyleRowBandSize w:val="1"/>
      <w:tblStyleColBandSize w:val="1"/>
      <w:tblBorders>
        <w:top w:val="single" w:sz="8" w:space="0" w:color="F38F1D"/>
        <w:left w:val="single" w:sz="8" w:space="0" w:color="F38F1D"/>
        <w:bottom w:val="single" w:sz="8" w:space="0" w:color="F38F1D"/>
        <w:right w:val="single" w:sz="8" w:space="0" w:color="F38F1D"/>
      </w:tblBorders>
    </w:tblPr>
    <w:tblStylePr w:type="firstRow">
      <w:pPr>
        <w:spacing w:before="0" w:after="0" w:line="240" w:lineRule="auto"/>
      </w:pPr>
      <w:rPr>
        <w:b/>
        <w:bCs/>
        <w:color w:val="FFFFFF"/>
      </w:rPr>
      <w:tblPr/>
      <w:tcPr>
        <w:shd w:val="clear" w:color="auto" w:fill="F38F1D"/>
      </w:tcPr>
    </w:tblStylePr>
    <w:tblStylePr w:type="lastRow">
      <w:pPr>
        <w:spacing w:before="0" w:after="0" w:line="240" w:lineRule="auto"/>
      </w:pPr>
      <w:rPr>
        <w:b/>
        <w:bCs/>
      </w:rPr>
      <w:tblPr/>
      <w:tcPr>
        <w:tcBorders>
          <w:top w:val="double" w:sz="6" w:space="0" w:color="F38F1D"/>
          <w:left w:val="single" w:sz="8" w:space="0" w:color="F38F1D"/>
          <w:bottom w:val="single" w:sz="8" w:space="0" w:color="F38F1D"/>
          <w:right w:val="single" w:sz="8" w:space="0" w:color="F38F1D"/>
        </w:tcBorders>
      </w:tcPr>
    </w:tblStylePr>
    <w:tblStylePr w:type="firstCol">
      <w:rPr>
        <w:b/>
        <w:bCs/>
      </w:rPr>
    </w:tblStylePr>
    <w:tblStylePr w:type="lastCol">
      <w:rPr>
        <w:b/>
        <w:bCs/>
      </w:rPr>
    </w:tblStylePr>
    <w:tblStylePr w:type="band1Vert">
      <w:tblPr/>
      <w:tcPr>
        <w:tcBorders>
          <w:top w:val="single" w:sz="8" w:space="0" w:color="F38F1D"/>
          <w:left w:val="single" w:sz="8" w:space="0" w:color="F38F1D"/>
          <w:bottom w:val="single" w:sz="8" w:space="0" w:color="F38F1D"/>
          <w:right w:val="single" w:sz="8" w:space="0" w:color="F38F1D"/>
        </w:tcBorders>
      </w:tcPr>
    </w:tblStylePr>
    <w:tblStylePr w:type="band1Horz">
      <w:tblPr/>
      <w:tcPr>
        <w:tcBorders>
          <w:top w:val="single" w:sz="8" w:space="0" w:color="F38F1D"/>
          <w:left w:val="single" w:sz="8" w:space="0" w:color="F38F1D"/>
          <w:bottom w:val="single" w:sz="8" w:space="0" w:color="F38F1D"/>
          <w:right w:val="single" w:sz="8" w:space="0" w:color="F38F1D"/>
        </w:tcBorders>
      </w:tcPr>
    </w:tblStylePr>
  </w:style>
  <w:style w:type="table" w:styleId="LightList-Accent5">
    <w:name w:val="Light List Accent 5"/>
    <w:basedOn w:val="TableNormal"/>
    <w:uiPriority w:val="61"/>
    <w:rsid w:val="00AE5E7D"/>
    <w:tblPr>
      <w:tblStyleRowBandSize w:val="1"/>
      <w:tblStyleColBandSize w:val="1"/>
      <w:tblBorders>
        <w:top w:val="single" w:sz="8" w:space="0" w:color="FDB924"/>
        <w:left w:val="single" w:sz="8" w:space="0" w:color="FDB924"/>
        <w:bottom w:val="single" w:sz="8" w:space="0" w:color="FDB924"/>
        <w:right w:val="single" w:sz="8" w:space="0" w:color="FDB924"/>
      </w:tblBorders>
    </w:tblPr>
    <w:tblStylePr w:type="firstRow">
      <w:pPr>
        <w:spacing w:before="0" w:after="0" w:line="240" w:lineRule="auto"/>
      </w:pPr>
      <w:rPr>
        <w:b/>
        <w:bCs/>
        <w:color w:val="FFFFFF"/>
      </w:rPr>
      <w:tblPr/>
      <w:tcPr>
        <w:shd w:val="clear" w:color="auto" w:fill="FDB924"/>
      </w:tcPr>
    </w:tblStylePr>
    <w:tblStylePr w:type="lastRow">
      <w:pPr>
        <w:spacing w:before="0" w:after="0" w:line="240" w:lineRule="auto"/>
      </w:pPr>
      <w:rPr>
        <w:b/>
        <w:bCs/>
      </w:rPr>
      <w:tblPr/>
      <w:tcPr>
        <w:tcBorders>
          <w:top w:val="double" w:sz="6" w:space="0" w:color="FDB924"/>
          <w:left w:val="single" w:sz="8" w:space="0" w:color="FDB924"/>
          <w:bottom w:val="single" w:sz="8" w:space="0" w:color="FDB924"/>
          <w:right w:val="single" w:sz="8" w:space="0" w:color="FDB924"/>
        </w:tcBorders>
      </w:tcPr>
    </w:tblStylePr>
    <w:tblStylePr w:type="firstCol">
      <w:rPr>
        <w:b/>
        <w:bCs/>
      </w:rPr>
    </w:tblStylePr>
    <w:tblStylePr w:type="lastCol">
      <w:rPr>
        <w:b/>
        <w:bCs/>
      </w:rPr>
    </w:tblStylePr>
    <w:tblStylePr w:type="band1Vert">
      <w:tblPr/>
      <w:tcPr>
        <w:tcBorders>
          <w:top w:val="single" w:sz="8" w:space="0" w:color="FDB924"/>
          <w:left w:val="single" w:sz="8" w:space="0" w:color="FDB924"/>
          <w:bottom w:val="single" w:sz="8" w:space="0" w:color="FDB924"/>
          <w:right w:val="single" w:sz="8" w:space="0" w:color="FDB924"/>
        </w:tcBorders>
      </w:tcPr>
    </w:tblStylePr>
    <w:tblStylePr w:type="band1Horz">
      <w:tblPr/>
      <w:tcPr>
        <w:tcBorders>
          <w:top w:val="single" w:sz="8" w:space="0" w:color="FDB924"/>
          <w:left w:val="single" w:sz="8" w:space="0" w:color="FDB924"/>
          <w:bottom w:val="single" w:sz="8" w:space="0" w:color="FDB924"/>
          <w:right w:val="single" w:sz="8" w:space="0" w:color="FDB924"/>
        </w:tcBorders>
      </w:tcPr>
    </w:tblStylePr>
  </w:style>
  <w:style w:type="table" w:styleId="LightList-Accent6">
    <w:name w:val="Light List Accent 6"/>
    <w:basedOn w:val="TableNormal"/>
    <w:uiPriority w:val="61"/>
    <w:rsid w:val="00AE5E7D"/>
    <w:tblPr>
      <w:tblStyleRowBandSize w:val="1"/>
      <w:tblStyleColBandSize w:val="1"/>
      <w:tblBorders>
        <w:top w:val="single" w:sz="8" w:space="0" w:color="DCDDDE"/>
        <w:left w:val="single" w:sz="8" w:space="0" w:color="DCDDDE"/>
        <w:bottom w:val="single" w:sz="8" w:space="0" w:color="DCDDDE"/>
        <w:right w:val="single" w:sz="8" w:space="0" w:color="DCDDDE"/>
      </w:tblBorders>
    </w:tblPr>
    <w:tblStylePr w:type="firstRow">
      <w:pPr>
        <w:spacing w:before="0" w:after="0" w:line="240" w:lineRule="auto"/>
      </w:pPr>
      <w:rPr>
        <w:b/>
        <w:bCs/>
        <w:color w:val="FFFFFF"/>
      </w:rPr>
      <w:tblPr/>
      <w:tcPr>
        <w:shd w:val="clear" w:color="auto" w:fill="DCDDDE"/>
      </w:tcPr>
    </w:tblStylePr>
    <w:tblStylePr w:type="lastRow">
      <w:pPr>
        <w:spacing w:before="0" w:after="0" w:line="240" w:lineRule="auto"/>
      </w:pPr>
      <w:rPr>
        <w:b/>
        <w:bCs/>
      </w:rPr>
      <w:tblPr/>
      <w:tcPr>
        <w:tcBorders>
          <w:top w:val="double" w:sz="6" w:space="0" w:color="DCDDDE"/>
          <w:left w:val="single" w:sz="8" w:space="0" w:color="DCDDDE"/>
          <w:bottom w:val="single" w:sz="8" w:space="0" w:color="DCDDDE"/>
          <w:right w:val="single" w:sz="8" w:space="0" w:color="DCDDDE"/>
        </w:tcBorders>
      </w:tcPr>
    </w:tblStylePr>
    <w:tblStylePr w:type="firstCol">
      <w:rPr>
        <w:b/>
        <w:bCs/>
      </w:rPr>
    </w:tblStylePr>
    <w:tblStylePr w:type="lastCol">
      <w:rPr>
        <w:b/>
        <w:bCs/>
      </w:rPr>
    </w:tblStylePr>
    <w:tblStylePr w:type="band1Vert">
      <w:tblPr/>
      <w:tcPr>
        <w:tcBorders>
          <w:top w:val="single" w:sz="8" w:space="0" w:color="DCDDDE"/>
          <w:left w:val="single" w:sz="8" w:space="0" w:color="DCDDDE"/>
          <w:bottom w:val="single" w:sz="8" w:space="0" w:color="DCDDDE"/>
          <w:right w:val="single" w:sz="8" w:space="0" w:color="DCDDDE"/>
        </w:tcBorders>
      </w:tcPr>
    </w:tblStylePr>
    <w:tblStylePr w:type="band1Horz">
      <w:tblPr/>
      <w:tcPr>
        <w:tcBorders>
          <w:top w:val="single" w:sz="8" w:space="0" w:color="DCDDDE"/>
          <w:left w:val="single" w:sz="8" w:space="0" w:color="DCDDDE"/>
          <w:bottom w:val="single" w:sz="8" w:space="0" w:color="DCDDDE"/>
          <w:right w:val="single" w:sz="8" w:space="0" w:color="DCDDDE"/>
        </w:tcBorders>
      </w:tcPr>
    </w:tblStylePr>
  </w:style>
  <w:style w:type="table" w:customStyle="1" w:styleId="LightShading1">
    <w:name w:val="Light Shading1"/>
    <w:basedOn w:val="TableNormal"/>
    <w:uiPriority w:val="60"/>
    <w:rsid w:val="00AE5E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AE5E7D"/>
    <w:rPr>
      <w:color w:val="6D6F72"/>
    </w:rPr>
    <w:tblPr>
      <w:tblStyleRowBandSize w:val="1"/>
      <w:tblStyleColBandSize w:val="1"/>
      <w:tblBorders>
        <w:top w:val="single" w:sz="8" w:space="0" w:color="939598"/>
        <w:bottom w:val="single" w:sz="8" w:space="0" w:color="939598"/>
      </w:tblBorders>
    </w:tblPr>
    <w:tblStylePr w:type="firstRow">
      <w:pPr>
        <w:spacing w:before="0" w:after="0" w:line="240" w:lineRule="auto"/>
      </w:pPr>
      <w:rPr>
        <w:b/>
        <w:bCs/>
      </w:rPr>
      <w:tblPr/>
      <w:tcPr>
        <w:tcBorders>
          <w:top w:val="single" w:sz="8" w:space="0" w:color="939598"/>
          <w:left w:val="nil"/>
          <w:bottom w:val="single" w:sz="8" w:space="0" w:color="939598"/>
          <w:right w:val="nil"/>
          <w:insideH w:val="nil"/>
          <w:insideV w:val="nil"/>
        </w:tcBorders>
      </w:tcPr>
    </w:tblStylePr>
    <w:tblStylePr w:type="lastRow">
      <w:pPr>
        <w:spacing w:before="0" w:after="0" w:line="240" w:lineRule="auto"/>
      </w:pPr>
      <w:rPr>
        <w:b/>
        <w:bCs/>
      </w:rPr>
      <w:tblPr/>
      <w:tcPr>
        <w:tcBorders>
          <w:top w:val="single" w:sz="8" w:space="0" w:color="939598"/>
          <w:left w:val="nil"/>
          <w:bottom w:val="single" w:sz="8" w:space="0" w:color="9395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cPr>
    </w:tblStylePr>
    <w:tblStylePr w:type="band1Horz">
      <w:tblPr/>
      <w:tcPr>
        <w:tcBorders>
          <w:left w:val="nil"/>
          <w:right w:val="nil"/>
          <w:insideH w:val="nil"/>
          <w:insideV w:val="nil"/>
        </w:tcBorders>
        <w:shd w:val="clear" w:color="auto" w:fill="E4E4E5"/>
      </w:tcPr>
    </w:tblStylePr>
  </w:style>
  <w:style w:type="table" w:styleId="LightShading-Accent2">
    <w:name w:val="Light Shading Accent 2"/>
    <w:basedOn w:val="TableNormal"/>
    <w:uiPriority w:val="60"/>
    <w:rsid w:val="00AE5E7D"/>
    <w:rPr>
      <w:color w:val="3A1C61"/>
    </w:rPr>
    <w:tblPr>
      <w:tblStyleRowBandSize w:val="1"/>
      <w:tblStyleColBandSize w:val="1"/>
      <w:tblBorders>
        <w:top w:val="single" w:sz="8" w:space="0" w:color="4F2683"/>
        <w:bottom w:val="single" w:sz="8" w:space="0" w:color="4F2683"/>
      </w:tblBorders>
    </w:tblPr>
    <w:tblStylePr w:type="firstRow">
      <w:pPr>
        <w:spacing w:before="0" w:after="0" w:line="240" w:lineRule="auto"/>
      </w:pPr>
      <w:rPr>
        <w:b/>
        <w:bCs/>
      </w:rPr>
      <w:tblPr/>
      <w:tcPr>
        <w:tcBorders>
          <w:top w:val="single" w:sz="8" w:space="0" w:color="4F2683"/>
          <w:left w:val="nil"/>
          <w:bottom w:val="single" w:sz="8" w:space="0" w:color="4F2683"/>
          <w:right w:val="nil"/>
          <w:insideH w:val="nil"/>
          <w:insideV w:val="nil"/>
        </w:tcBorders>
      </w:tcPr>
    </w:tblStylePr>
    <w:tblStylePr w:type="lastRow">
      <w:pPr>
        <w:spacing w:before="0" w:after="0" w:line="240" w:lineRule="auto"/>
      </w:pPr>
      <w:rPr>
        <w:b/>
        <w:bCs/>
      </w:rPr>
      <w:tblPr/>
      <w:tcPr>
        <w:tcBorders>
          <w:top w:val="single" w:sz="8" w:space="0" w:color="4F2683"/>
          <w:left w:val="nil"/>
          <w:bottom w:val="single" w:sz="8" w:space="0" w:color="4F268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BDEC"/>
      </w:tcPr>
    </w:tblStylePr>
    <w:tblStylePr w:type="band1Horz">
      <w:tblPr/>
      <w:tcPr>
        <w:tcBorders>
          <w:left w:val="nil"/>
          <w:right w:val="nil"/>
          <w:insideH w:val="nil"/>
          <w:insideV w:val="nil"/>
        </w:tcBorders>
        <w:shd w:val="clear" w:color="auto" w:fill="D1BDEC"/>
      </w:tcPr>
    </w:tblStylePr>
  </w:style>
  <w:style w:type="table" w:styleId="LightShading-Accent3">
    <w:name w:val="Light Shading Accent 3"/>
    <w:basedOn w:val="TableNormal"/>
    <w:uiPriority w:val="60"/>
    <w:rsid w:val="00AE5E7D"/>
    <w:rPr>
      <w:color w:val="AC0B64"/>
    </w:rPr>
    <w:tblPr>
      <w:tblStyleRowBandSize w:val="1"/>
      <w:tblStyleColBandSize w:val="1"/>
      <w:tblBorders>
        <w:top w:val="single" w:sz="8" w:space="0" w:color="E60F87"/>
        <w:bottom w:val="single" w:sz="8" w:space="0" w:color="E60F87"/>
      </w:tblBorders>
    </w:tblPr>
    <w:tblStylePr w:type="firstRow">
      <w:pPr>
        <w:spacing w:before="0" w:after="0" w:line="240" w:lineRule="auto"/>
      </w:pPr>
      <w:rPr>
        <w:b/>
        <w:bCs/>
      </w:rPr>
      <w:tblPr/>
      <w:tcPr>
        <w:tcBorders>
          <w:top w:val="single" w:sz="8" w:space="0" w:color="E60F87"/>
          <w:left w:val="nil"/>
          <w:bottom w:val="single" w:sz="8" w:space="0" w:color="E60F87"/>
          <w:right w:val="nil"/>
          <w:insideH w:val="nil"/>
          <w:insideV w:val="nil"/>
        </w:tcBorders>
      </w:tcPr>
    </w:tblStylePr>
    <w:tblStylePr w:type="lastRow">
      <w:pPr>
        <w:spacing w:before="0" w:after="0" w:line="240" w:lineRule="auto"/>
      </w:pPr>
      <w:rPr>
        <w:b/>
        <w:bCs/>
      </w:rPr>
      <w:tblPr/>
      <w:tcPr>
        <w:tcBorders>
          <w:top w:val="single" w:sz="8" w:space="0" w:color="E60F87"/>
          <w:left w:val="nil"/>
          <w:bottom w:val="single" w:sz="8" w:space="0" w:color="E60F8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E1"/>
      </w:tcPr>
    </w:tblStylePr>
    <w:tblStylePr w:type="band1Horz">
      <w:tblPr/>
      <w:tcPr>
        <w:tcBorders>
          <w:left w:val="nil"/>
          <w:right w:val="nil"/>
          <w:insideH w:val="nil"/>
          <w:insideV w:val="nil"/>
        </w:tcBorders>
        <w:shd w:val="clear" w:color="auto" w:fill="FBC1E1"/>
      </w:tcPr>
    </w:tblStylePr>
  </w:style>
  <w:style w:type="table" w:styleId="LightShading-Accent4">
    <w:name w:val="Light Shading Accent 4"/>
    <w:basedOn w:val="TableNormal"/>
    <w:uiPriority w:val="60"/>
    <w:rsid w:val="00AE5E7D"/>
    <w:rPr>
      <w:color w:val="C16B0A"/>
    </w:rPr>
    <w:tblPr>
      <w:tblStyleRowBandSize w:val="1"/>
      <w:tblStyleColBandSize w:val="1"/>
      <w:tblBorders>
        <w:top w:val="single" w:sz="8" w:space="0" w:color="F38F1D"/>
        <w:bottom w:val="single" w:sz="8" w:space="0" w:color="F38F1D"/>
      </w:tblBorders>
    </w:tblPr>
    <w:tblStylePr w:type="firstRow">
      <w:pPr>
        <w:spacing w:before="0" w:after="0" w:line="240" w:lineRule="auto"/>
      </w:pPr>
      <w:rPr>
        <w:b/>
        <w:bCs/>
      </w:rPr>
      <w:tblPr/>
      <w:tcPr>
        <w:tcBorders>
          <w:top w:val="single" w:sz="8" w:space="0" w:color="F38F1D"/>
          <w:left w:val="nil"/>
          <w:bottom w:val="single" w:sz="8" w:space="0" w:color="F38F1D"/>
          <w:right w:val="nil"/>
          <w:insideH w:val="nil"/>
          <w:insideV w:val="nil"/>
        </w:tcBorders>
      </w:tcPr>
    </w:tblStylePr>
    <w:tblStylePr w:type="lastRow">
      <w:pPr>
        <w:spacing w:before="0" w:after="0" w:line="240" w:lineRule="auto"/>
      </w:pPr>
      <w:rPr>
        <w:b/>
        <w:bCs/>
      </w:rPr>
      <w:tblPr/>
      <w:tcPr>
        <w:tcBorders>
          <w:top w:val="single" w:sz="8" w:space="0" w:color="F38F1D"/>
          <w:left w:val="nil"/>
          <w:bottom w:val="single" w:sz="8" w:space="0" w:color="F38F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3C6"/>
      </w:tcPr>
    </w:tblStylePr>
    <w:tblStylePr w:type="band1Horz">
      <w:tblPr/>
      <w:tcPr>
        <w:tcBorders>
          <w:left w:val="nil"/>
          <w:right w:val="nil"/>
          <w:insideH w:val="nil"/>
          <w:insideV w:val="nil"/>
        </w:tcBorders>
        <w:shd w:val="clear" w:color="auto" w:fill="FCE3C6"/>
      </w:tcPr>
    </w:tblStylePr>
  </w:style>
  <w:style w:type="table" w:styleId="LightShading-Accent5">
    <w:name w:val="Light Shading Accent 5"/>
    <w:basedOn w:val="TableNormal"/>
    <w:uiPriority w:val="60"/>
    <w:rsid w:val="00AE5E7D"/>
    <w:rPr>
      <w:color w:val="D69302"/>
    </w:rPr>
    <w:tblPr>
      <w:tblStyleRowBandSize w:val="1"/>
      <w:tblStyleColBandSize w:val="1"/>
      <w:tblBorders>
        <w:top w:val="single" w:sz="8" w:space="0" w:color="FDB924"/>
        <w:bottom w:val="single" w:sz="8" w:space="0" w:color="FDB924"/>
      </w:tblBorders>
    </w:tblPr>
    <w:tblStylePr w:type="firstRow">
      <w:pPr>
        <w:spacing w:before="0" w:after="0" w:line="240" w:lineRule="auto"/>
      </w:pPr>
      <w:rPr>
        <w:b/>
        <w:bCs/>
      </w:rPr>
      <w:tblPr/>
      <w:tcPr>
        <w:tcBorders>
          <w:top w:val="single" w:sz="8" w:space="0" w:color="FDB924"/>
          <w:left w:val="nil"/>
          <w:bottom w:val="single" w:sz="8" w:space="0" w:color="FDB924"/>
          <w:right w:val="nil"/>
          <w:insideH w:val="nil"/>
          <w:insideV w:val="nil"/>
        </w:tcBorders>
      </w:tcPr>
    </w:tblStylePr>
    <w:tblStylePr w:type="lastRow">
      <w:pPr>
        <w:spacing w:before="0" w:after="0" w:line="240" w:lineRule="auto"/>
      </w:pPr>
      <w:rPr>
        <w:b/>
        <w:bCs/>
      </w:rPr>
      <w:tblPr/>
      <w:tcPr>
        <w:tcBorders>
          <w:top w:val="single" w:sz="8" w:space="0" w:color="FDB924"/>
          <w:left w:val="nil"/>
          <w:bottom w:val="single" w:sz="8" w:space="0" w:color="FDB9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8"/>
      </w:tcPr>
    </w:tblStylePr>
    <w:tblStylePr w:type="band1Horz">
      <w:tblPr/>
      <w:tcPr>
        <w:tcBorders>
          <w:left w:val="nil"/>
          <w:right w:val="nil"/>
          <w:insideH w:val="nil"/>
          <w:insideV w:val="nil"/>
        </w:tcBorders>
        <w:shd w:val="clear" w:color="auto" w:fill="FEEDC8"/>
      </w:tcPr>
    </w:tblStylePr>
  </w:style>
  <w:style w:type="table" w:styleId="LightShading-Accent6">
    <w:name w:val="Light Shading Accent 6"/>
    <w:basedOn w:val="TableNormal"/>
    <w:uiPriority w:val="60"/>
    <w:rsid w:val="00AE5E7D"/>
    <w:rPr>
      <w:color w:val="A2A5A8"/>
    </w:rPr>
    <w:tblPr>
      <w:tblStyleRowBandSize w:val="1"/>
      <w:tblStyleColBandSize w:val="1"/>
      <w:tblBorders>
        <w:top w:val="single" w:sz="8" w:space="0" w:color="DCDDDE"/>
        <w:bottom w:val="single" w:sz="8" w:space="0" w:color="DCDDDE"/>
      </w:tblBorders>
    </w:tblPr>
    <w:tblStylePr w:type="firstRow">
      <w:pPr>
        <w:spacing w:before="0" w:after="0" w:line="240" w:lineRule="auto"/>
      </w:pPr>
      <w:rPr>
        <w:b/>
        <w:bCs/>
      </w:rPr>
      <w:tblPr/>
      <w:tcPr>
        <w:tcBorders>
          <w:top w:val="single" w:sz="8" w:space="0" w:color="DCDDDE"/>
          <w:left w:val="nil"/>
          <w:bottom w:val="single" w:sz="8" w:space="0" w:color="DCDDDE"/>
          <w:right w:val="nil"/>
          <w:insideH w:val="nil"/>
          <w:insideV w:val="nil"/>
        </w:tcBorders>
      </w:tcPr>
    </w:tblStylePr>
    <w:tblStylePr w:type="lastRow">
      <w:pPr>
        <w:spacing w:before="0" w:after="0" w:line="240" w:lineRule="auto"/>
      </w:pPr>
      <w:rPr>
        <w:b/>
        <w:bCs/>
      </w:rPr>
      <w:tblPr/>
      <w:tcPr>
        <w:tcBorders>
          <w:top w:val="single" w:sz="8" w:space="0" w:color="DCDDDE"/>
          <w:left w:val="nil"/>
          <w:bottom w:val="single" w:sz="8" w:space="0" w:color="DCDDD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character" w:styleId="LineNumber">
    <w:name w:val="line number"/>
    <w:basedOn w:val="DefaultParagraphFont"/>
    <w:rsid w:val="00AE5E7D"/>
  </w:style>
  <w:style w:type="paragraph" w:styleId="List">
    <w:name w:val="List"/>
    <w:basedOn w:val="Normal"/>
    <w:rsid w:val="00AE5E7D"/>
    <w:pPr>
      <w:spacing w:after="0" w:line="240" w:lineRule="auto"/>
      <w:ind w:left="283" w:hanging="283"/>
      <w:contextualSpacing/>
    </w:pPr>
    <w:rPr>
      <w:rFonts w:ascii="Times New Roman" w:eastAsia="Times New Roman" w:hAnsi="Times New Roman"/>
      <w:sz w:val="20"/>
      <w:szCs w:val="24"/>
      <w:lang w:eastAsia="en-GB"/>
    </w:rPr>
  </w:style>
  <w:style w:type="paragraph" w:styleId="List2">
    <w:name w:val="List 2"/>
    <w:basedOn w:val="Normal"/>
    <w:rsid w:val="00AE5E7D"/>
    <w:pPr>
      <w:spacing w:after="0" w:line="240" w:lineRule="auto"/>
      <w:ind w:left="566" w:hanging="283"/>
      <w:contextualSpacing/>
    </w:pPr>
    <w:rPr>
      <w:rFonts w:ascii="Times New Roman" w:eastAsia="Times New Roman" w:hAnsi="Times New Roman"/>
      <w:sz w:val="20"/>
      <w:szCs w:val="24"/>
      <w:lang w:eastAsia="en-GB"/>
    </w:rPr>
  </w:style>
  <w:style w:type="paragraph" w:styleId="List3">
    <w:name w:val="List 3"/>
    <w:basedOn w:val="Normal"/>
    <w:rsid w:val="00AE5E7D"/>
    <w:pPr>
      <w:spacing w:after="0" w:line="240" w:lineRule="auto"/>
      <w:ind w:left="849" w:hanging="283"/>
      <w:contextualSpacing/>
    </w:pPr>
    <w:rPr>
      <w:rFonts w:ascii="Times New Roman" w:eastAsia="Times New Roman" w:hAnsi="Times New Roman"/>
      <w:sz w:val="20"/>
      <w:szCs w:val="24"/>
      <w:lang w:eastAsia="en-GB"/>
    </w:rPr>
  </w:style>
  <w:style w:type="paragraph" w:styleId="List4">
    <w:name w:val="List 4"/>
    <w:basedOn w:val="Normal"/>
    <w:rsid w:val="00AE5E7D"/>
    <w:pPr>
      <w:spacing w:after="0" w:line="240" w:lineRule="auto"/>
      <w:ind w:left="1132" w:hanging="283"/>
      <w:contextualSpacing/>
    </w:pPr>
    <w:rPr>
      <w:rFonts w:ascii="Times New Roman" w:eastAsia="Times New Roman" w:hAnsi="Times New Roman"/>
      <w:sz w:val="20"/>
      <w:szCs w:val="24"/>
      <w:lang w:eastAsia="en-GB"/>
    </w:rPr>
  </w:style>
  <w:style w:type="paragraph" w:styleId="List5">
    <w:name w:val="List 5"/>
    <w:basedOn w:val="Normal"/>
    <w:rsid w:val="00AE5E7D"/>
    <w:pPr>
      <w:spacing w:after="0" w:line="240" w:lineRule="auto"/>
      <w:ind w:left="1415" w:hanging="283"/>
      <w:contextualSpacing/>
    </w:pPr>
    <w:rPr>
      <w:rFonts w:ascii="Times New Roman" w:eastAsia="Times New Roman" w:hAnsi="Times New Roman"/>
      <w:sz w:val="20"/>
      <w:szCs w:val="24"/>
      <w:lang w:eastAsia="en-GB"/>
    </w:rPr>
  </w:style>
  <w:style w:type="paragraph" w:styleId="ListBullet">
    <w:name w:val="List Bullet"/>
    <w:basedOn w:val="Normal"/>
    <w:rsid w:val="00AE5E7D"/>
    <w:pPr>
      <w:numPr>
        <w:numId w:val="12"/>
      </w:numPr>
      <w:spacing w:after="0" w:line="240" w:lineRule="auto"/>
      <w:contextualSpacing/>
    </w:pPr>
    <w:rPr>
      <w:rFonts w:ascii="Times New Roman" w:eastAsia="Times New Roman" w:hAnsi="Times New Roman"/>
      <w:sz w:val="20"/>
      <w:szCs w:val="24"/>
      <w:lang w:eastAsia="en-GB"/>
    </w:rPr>
  </w:style>
  <w:style w:type="paragraph" w:styleId="ListBullet2">
    <w:name w:val="List Bullet 2"/>
    <w:basedOn w:val="Normal"/>
    <w:rsid w:val="00AE5E7D"/>
    <w:pPr>
      <w:numPr>
        <w:numId w:val="13"/>
      </w:numPr>
      <w:spacing w:after="0" w:line="240" w:lineRule="auto"/>
      <w:contextualSpacing/>
    </w:pPr>
    <w:rPr>
      <w:rFonts w:ascii="Times New Roman" w:eastAsia="Times New Roman" w:hAnsi="Times New Roman"/>
      <w:sz w:val="20"/>
      <w:szCs w:val="24"/>
      <w:lang w:eastAsia="en-GB"/>
    </w:rPr>
  </w:style>
  <w:style w:type="paragraph" w:styleId="ListBullet3">
    <w:name w:val="List Bullet 3"/>
    <w:basedOn w:val="Normal"/>
    <w:rsid w:val="00AE5E7D"/>
    <w:pPr>
      <w:numPr>
        <w:numId w:val="14"/>
      </w:numPr>
      <w:spacing w:after="0" w:line="240" w:lineRule="auto"/>
      <w:contextualSpacing/>
    </w:pPr>
    <w:rPr>
      <w:rFonts w:ascii="Times New Roman" w:eastAsia="Times New Roman" w:hAnsi="Times New Roman"/>
      <w:sz w:val="20"/>
      <w:szCs w:val="24"/>
      <w:lang w:eastAsia="en-GB"/>
    </w:rPr>
  </w:style>
  <w:style w:type="paragraph" w:styleId="ListBullet4">
    <w:name w:val="List Bullet 4"/>
    <w:basedOn w:val="Normal"/>
    <w:rsid w:val="00AE5E7D"/>
    <w:pPr>
      <w:numPr>
        <w:numId w:val="15"/>
      </w:numPr>
      <w:spacing w:after="0" w:line="240" w:lineRule="auto"/>
      <w:contextualSpacing/>
    </w:pPr>
    <w:rPr>
      <w:rFonts w:ascii="Times New Roman" w:eastAsia="Times New Roman" w:hAnsi="Times New Roman"/>
      <w:sz w:val="20"/>
      <w:szCs w:val="24"/>
      <w:lang w:eastAsia="en-GB"/>
    </w:rPr>
  </w:style>
  <w:style w:type="paragraph" w:styleId="ListBullet5">
    <w:name w:val="List Bullet 5"/>
    <w:basedOn w:val="Normal"/>
    <w:rsid w:val="00AE5E7D"/>
    <w:pPr>
      <w:numPr>
        <w:numId w:val="16"/>
      </w:numPr>
      <w:spacing w:after="0" w:line="240" w:lineRule="auto"/>
      <w:contextualSpacing/>
    </w:pPr>
    <w:rPr>
      <w:rFonts w:ascii="Times New Roman" w:eastAsia="Times New Roman" w:hAnsi="Times New Roman"/>
      <w:sz w:val="20"/>
      <w:szCs w:val="24"/>
      <w:lang w:eastAsia="en-GB"/>
    </w:rPr>
  </w:style>
  <w:style w:type="paragraph" w:styleId="ListContinue">
    <w:name w:val="List Continue"/>
    <w:basedOn w:val="Normal"/>
    <w:rsid w:val="00AE5E7D"/>
    <w:pPr>
      <w:spacing w:after="120" w:line="240" w:lineRule="auto"/>
      <w:ind w:left="283"/>
      <w:contextualSpacing/>
    </w:pPr>
    <w:rPr>
      <w:rFonts w:ascii="Times New Roman" w:eastAsia="Times New Roman" w:hAnsi="Times New Roman"/>
      <w:sz w:val="20"/>
      <w:szCs w:val="24"/>
      <w:lang w:eastAsia="en-GB"/>
    </w:rPr>
  </w:style>
  <w:style w:type="paragraph" w:styleId="ListContinue2">
    <w:name w:val="List Continue 2"/>
    <w:basedOn w:val="Normal"/>
    <w:rsid w:val="00AE5E7D"/>
    <w:pPr>
      <w:spacing w:after="120" w:line="240" w:lineRule="auto"/>
      <w:ind w:left="566"/>
      <w:contextualSpacing/>
    </w:pPr>
    <w:rPr>
      <w:rFonts w:ascii="Times New Roman" w:eastAsia="Times New Roman" w:hAnsi="Times New Roman"/>
      <w:sz w:val="20"/>
      <w:szCs w:val="24"/>
      <w:lang w:eastAsia="en-GB"/>
    </w:rPr>
  </w:style>
  <w:style w:type="paragraph" w:styleId="ListContinue3">
    <w:name w:val="List Continue 3"/>
    <w:basedOn w:val="Normal"/>
    <w:rsid w:val="00AE5E7D"/>
    <w:pPr>
      <w:spacing w:after="120" w:line="240" w:lineRule="auto"/>
      <w:ind w:left="849"/>
      <w:contextualSpacing/>
    </w:pPr>
    <w:rPr>
      <w:rFonts w:ascii="Times New Roman" w:eastAsia="Times New Roman" w:hAnsi="Times New Roman"/>
      <w:sz w:val="20"/>
      <w:szCs w:val="24"/>
      <w:lang w:eastAsia="en-GB"/>
    </w:rPr>
  </w:style>
  <w:style w:type="paragraph" w:styleId="ListContinue4">
    <w:name w:val="List Continue 4"/>
    <w:basedOn w:val="Normal"/>
    <w:rsid w:val="00AE5E7D"/>
    <w:pPr>
      <w:spacing w:after="120" w:line="240" w:lineRule="auto"/>
      <w:ind w:left="1132"/>
      <w:contextualSpacing/>
    </w:pPr>
    <w:rPr>
      <w:rFonts w:ascii="Times New Roman" w:eastAsia="Times New Roman" w:hAnsi="Times New Roman"/>
      <w:sz w:val="20"/>
      <w:szCs w:val="24"/>
      <w:lang w:eastAsia="en-GB"/>
    </w:rPr>
  </w:style>
  <w:style w:type="paragraph" w:styleId="ListContinue5">
    <w:name w:val="List Continue 5"/>
    <w:basedOn w:val="Normal"/>
    <w:rsid w:val="00AE5E7D"/>
    <w:pPr>
      <w:spacing w:after="120" w:line="240" w:lineRule="auto"/>
      <w:ind w:left="1415"/>
      <w:contextualSpacing/>
    </w:pPr>
    <w:rPr>
      <w:rFonts w:ascii="Times New Roman" w:eastAsia="Times New Roman" w:hAnsi="Times New Roman"/>
      <w:sz w:val="20"/>
      <w:szCs w:val="24"/>
      <w:lang w:eastAsia="en-GB"/>
    </w:rPr>
  </w:style>
  <w:style w:type="paragraph" w:styleId="ListNumber">
    <w:name w:val="List Number"/>
    <w:basedOn w:val="Normal"/>
    <w:rsid w:val="00AE5E7D"/>
    <w:pPr>
      <w:numPr>
        <w:numId w:val="17"/>
      </w:numPr>
      <w:spacing w:after="0" w:line="240" w:lineRule="auto"/>
      <w:contextualSpacing/>
    </w:pPr>
    <w:rPr>
      <w:rFonts w:ascii="Times New Roman" w:eastAsia="Times New Roman" w:hAnsi="Times New Roman"/>
      <w:sz w:val="20"/>
      <w:szCs w:val="24"/>
      <w:lang w:eastAsia="en-GB"/>
    </w:rPr>
  </w:style>
  <w:style w:type="paragraph" w:styleId="ListNumber2">
    <w:name w:val="List Number 2"/>
    <w:basedOn w:val="Normal"/>
    <w:rsid w:val="00AE5E7D"/>
    <w:pPr>
      <w:numPr>
        <w:numId w:val="18"/>
      </w:numPr>
      <w:spacing w:after="0" w:line="240" w:lineRule="auto"/>
      <w:contextualSpacing/>
    </w:pPr>
    <w:rPr>
      <w:rFonts w:ascii="Times New Roman" w:eastAsia="Times New Roman" w:hAnsi="Times New Roman"/>
      <w:sz w:val="20"/>
      <w:szCs w:val="24"/>
      <w:lang w:eastAsia="en-GB"/>
    </w:rPr>
  </w:style>
  <w:style w:type="paragraph" w:styleId="ListNumber3">
    <w:name w:val="List Number 3"/>
    <w:basedOn w:val="Normal"/>
    <w:rsid w:val="00AE5E7D"/>
    <w:pPr>
      <w:numPr>
        <w:numId w:val="7"/>
      </w:numPr>
      <w:spacing w:after="0" w:line="240" w:lineRule="auto"/>
      <w:contextualSpacing/>
    </w:pPr>
    <w:rPr>
      <w:rFonts w:ascii="Times New Roman" w:eastAsia="Times New Roman" w:hAnsi="Times New Roman"/>
      <w:sz w:val="20"/>
      <w:szCs w:val="24"/>
      <w:lang w:eastAsia="en-GB"/>
    </w:rPr>
  </w:style>
  <w:style w:type="paragraph" w:styleId="ListNumber4">
    <w:name w:val="List Number 4"/>
    <w:basedOn w:val="Normal"/>
    <w:rsid w:val="00AE5E7D"/>
    <w:pPr>
      <w:numPr>
        <w:numId w:val="19"/>
      </w:numPr>
      <w:spacing w:after="0" w:line="240" w:lineRule="auto"/>
      <w:contextualSpacing/>
    </w:pPr>
    <w:rPr>
      <w:rFonts w:ascii="Times New Roman" w:eastAsia="Times New Roman" w:hAnsi="Times New Roman"/>
      <w:sz w:val="20"/>
      <w:szCs w:val="24"/>
      <w:lang w:eastAsia="en-GB"/>
    </w:rPr>
  </w:style>
  <w:style w:type="paragraph" w:styleId="ListNumber5">
    <w:name w:val="List Number 5"/>
    <w:basedOn w:val="Normal"/>
    <w:rsid w:val="00AE5E7D"/>
    <w:pPr>
      <w:numPr>
        <w:numId w:val="20"/>
      </w:numPr>
      <w:spacing w:after="0" w:line="240" w:lineRule="auto"/>
      <w:contextualSpacing/>
    </w:pPr>
    <w:rPr>
      <w:rFonts w:ascii="Times New Roman" w:eastAsia="Times New Roman" w:hAnsi="Times New Roman"/>
      <w:sz w:val="20"/>
      <w:szCs w:val="24"/>
      <w:lang w:eastAsia="en-GB"/>
    </w:rPr>
  </w:style>
  <w:style w:type="paragraph" w:styleId="ListParagraph">
    <w:name w:val="List Paragraph"/>
    <w:basedOn w:val="Normal"/>
    <w:uiPriority w:val="34"/>
    <w:qFormat/>
    <w:rsid w:val="00AE5E7D"/>
    <w:pPr>
      <w:spacing w:after="0" w:line="240" w:lineRule="auto"/>
      <w:ind w:left="720"/>
    </w:pPr>
    <w:rPr>
      <w:rFonts w:ascii="Times New Roman" w:eastAsia="Times New Roman" w:hAnsi="Times New Roman"/>
      <w:sz w:val="20"/>
      <w:szCs w:val="24"/>
      <w:lang w:eastAsia="en-GB"/>
    </w:rPr>
  </w:style>
  <w:style w:type="paragraph" w:styleId="MacroText">
    <w:name w:val="macro"/>
    <w:link w:val="MacroTextChar"/>
    <w:rsid w:val="00AE5E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basedOn w:val="DefaultParagraphFont"/>
    <w:link w:val="MacroText"/>
    <w:rsid w:val="00AE5E7D"/>
    <w:rPr>
      <w:rFonts w:ascii="Courier New" w:hAnsi="Courier New" w:cs="Courier New"/>
      <w:lang w:val="en-GB" w:eastAsia="en-GB" w:bidi="ar-SA"/>
    </w:rPr>
  </w:style>
  <w:style w:type="table" w:customStyle="1" w:styleId="MediumGrid11">
    <w:name w:val="Medium Grid 11"/>
    <w:basedOn w:val="TableNormal"/>
    <w:uiPriority w:val="67"/>
    <w:rsid w:val="00AE5E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E5E7D"/>
    <w:tblPr>
      <w:tblStyleRowBandSize w:val="1"/>
      <w:tblStyleColBandSize w:val="1"/>
      <w:tblBorders>
        <w:top w:val="single" w:sz="8" w:space="0" w:color="ADAFB1"/>
        <w:left w:val="single" w:sz="8" w:space="0" w:color="ADAFB1"/>
        <w:bottom w:val="single" w:sz="8" w:space="0" w:color="ADAFB1"/>
        <w:right w:val="single" w:sz="8" w:space="0" w:color="ADAFB1"/>
        <w:insideH w:val="single" w:sz="8" w:space="0" w:color="ADAFB1"/>
        <w:insideV w:val="single" w:sz="8" w:space="0" w:color="ADAFB1"/>
      </w:tblBorders>
    </w:tblPr>
    <w:tcPr>
      <w:shd w:val="clear" w:color="auto" w:fill="E4E4E5"/>
    </w:tcPr>
    <w:tblStylePr w:type="firstRow">
      <w:rPr>
        <w:b/>
        <w:bCs/>
      </w:rPr>
    </w:tblStylePr>
    <w:tblStylePr w:type="lastRow">
      <w:rPr>
        <w:b/>
        <w:bCs/>
      </w:rPr>
      <w:tblPr/>
      <w:tcPr>
        <w:tcBorders>
          <w:top w:val="single" w:sz="18" w:space="0" w:color="ADAFB1"/>
        </w:tcBorders>
      </w:tcPr>
    </w:tblStylePr>
    <w:tblStylePr w:type="firstCol">
      <w:rPr>
        <w:b/>
        <w:bCs/>
      </w:rPr>
    </w:tblStylePr>
    <w:tblStylePr w:type="lastCol">
      <w:rPr>
        <w:b/>
        <w:bCs/>
      </w:rPr>
    </w:tblStylePr>
    <w:tblStylePr w:type="band1Vert">
      <w:tblPr/>
      <w:tcPr>
        <w:shd w:val="clear" w:color="auto" w:fill="C9CACB"/>
      </w:tcPr>
    </w:tblStylePr>
    <w:tblStylePr w:type="band1Horz">
      <w:tblPr/>
      <w:tcPr>
        <w:shd w:val="clear" w:color="auto" w:fill="C9CACB"/>
      </w:tcPr>
    </w:tblStylePr>
  </w:style>
  <w:style w:type="table" w:styleId="MediumGrid1-Accent2">
    <w:name w:val="Medium Grid 1 Accent 2"/>
    <w:basedOn w:val="TableNormal"/>
    <w:uiPriority w:val="67"/>
    <w:rsid w:val="00AE5E7D"/>
    <w:tblPr>
      <w:tblStyleRowBandSize w:val="1"/>
      <w:tblStyleColBandSize w:val="1"/>
      <w:tblBorders>
        <w:top w:val="single" w:sz="8" w:space="0" w:color="7639C5"/>
        <w:left w:val="single" w:sz="8" w:space="0" w:color="7639C5"/>
        <w:bottom w:val="single" w:sz="8" w:space="0" w:color="7639C5"/>
        <w:right w:val="single" w:sz="8" w:space="0" w:color="7639C5"/>
        <w:insideH w:val="single" w:sz="8" w:space="0" w:color="7639C5"/>
        <w:insideV w:val="single" w:sz="8" w:space="0" w:color="7639C5"/>
      </w:tblBorders>
    </w:tblPr>
    <w:tcPr>
      <w:shd w:val="clear" w:color="auto" w:fill="D1BDEC"/>
    </w:tcPr>
    <w:tblStylePr w:type="firstRow">
      <w:rPr>
        <w:b/>
        <w:bCs/>
      </w:rPr>
    </w:tblStylePr>
    <w:tblStylePr w:type="lastRow">
      <w:rPr>
        <w:b/>
        <w:bCs/>
      </w:rPr>
      <w:tblPr/>
      <w:tcPr>
        <w:tcBorders>
          <w:top w:val="single" w:sz="18" w:space="0" w:color="7639C5"/>
        </w:tcBorders>
      </w:tcPr>
    </w:tblStylePr>
    <w:tblStylePr w:type="firstCol">
      <w:rPr>
        <w:b/>
        <w:bCs/>
      </w:rPr>
    </w:tblStylePr>
    <w:tblStylePr w:type="lastCol">
      <w:rPr>
        <w:b/>
        <w:bCs/>
      </w:rPr>
    </w:tblStylePr>
    <w:tblStylePr w:type="band1Vert">
      <w:tblPr/>
      <w:tcPr>
        <w:shd w:val="clear" w:color="auto" w:fill="A47BD8"/>
      </w:tcPr>
    </w:tblStylePr>
    <w:tblStylePr w:type="band1Horz">
      <w:tblPr/>
      <w:tcPr>
        <w:shd w:val="clear" w:color="auto" w:fill="A47BD8"/>
      </w:tcPr>
    </w:tblStylePr>
  </w:style>
  <w:style w:type="table" w:styleId="MediumGrid1-Accent3">
    <w:name w:val="Medium Grid 1 Accent 3"/>
    <w:basedOn w:val="TableNormal"/>
    <w:uiPriority w:val="67"/>
    <w:rsid w:val="00AE5E7D"/>
    <w:tblPr>
      <w:tblStyleRowBandSize w:val="1"/>
      <w:tblStyleColBandSize w:val="1"/>
      <w:tblBorders>
        <w:top w:val="single" w:sz="8" w:space="0" w:color="F244A5"/>
        <w:left w:val="single" w:sz="8" w:space="0" w:color="F244A5"/>
        <w:bottom w:val="single" w:sz="8" w:space="0" w:color="F244A5"/>
        <w:right w:val="single" w:sz="8" w:space="0" w:color="F244A5"/>
        <w:insideH w:val="single" w:sz="8" w:space="0" w:color="F244A5"/>
        <w:insideV w:val="single" w:sz="8" w:space="0" w:color="F244A5"/>
      </w:tblBorders>
    </w:tblPr>
    <w:tcPr>
      <w:shd w:val="clear" w:color="auto" w:fill="FBC1E1"/>
    </w:tcPr>
    <w:tblStylePr w:type="firstRow">
      <w:rPr>
        <w:b/>
        <w:bCs/>
      </w:rPr>
    </w:tblStylePr>
    <w:tblStylePr w:type="lastRow">
      <w:rPr>
        <w:b/>
        <w:bCs/>
      </w:rPr>
      <w:tblPr/>
      <w:tcPr>
        <w:tcBorders>
          <w:top w:val="single" w:sz="18" w:space="0" w:color="F244A5"/>
        </w:tcBorders>
      </w:tcPr>
    </w:tblStylePr>
    <w:tblStylePr w:type="firstCol">
      <w:rPr>
        <w:b/>
        <w:bCs/>
      </w:rPr>
    </w:tblStylePr>
    <w:tblStylePr w:type="lastCol">
      <w:rPr>
        <w:b/>
        <w:bCs/>
      </w:rPr>
    </w:tblStylePr>
    <w:tblStylePr w:type="band1Vert">
      <w:tblPr/>
      <w:tcPr>
        <w:shd w:val="clear" w:color="auto" w:fill="F783C3"/>
      </w:tcPr>
    </w:tblStylePr>
    <w:tblStylePr w:type="band1Horz">
      <w:tblPr/>
      <w:tcPr>
        <w:shd w:val="clear" w:color="auto" w:fill="F783C3"/>
      </w:tcPr>
    </w:tblStylePr>
  </w:style>
  <w:style w:type="table" w:styleId="MediumGrid1-Accent4">
    <w:name w:val="Medium Grid 1 Accent 4"/>
    <w:basedOn w:val="TableNormal"/>
    <w:uiPriority w:val="67"/>
    <w:rsid w:val="00AE5E7D"/>
    <w:tblPr>
      <w:tblStyleRowBandSize w:val="1"/>
      <w:tblStyleColBandSize w:val="1"/>
      <w:tblBorders>
        <w:top w:val="single" w:sz="8" w:space="0" w:color="F6AA55"/>
        <w:left w:val="single" w:sz="8" w:space="0" w:color="F6AA55"/>
        <w:bottom w:val="single" w:sz="8" w:space="0" w:color="F6AA55"/>
        <w:right w:val="single" w:sz="8" w:space="0" w:color="F6AA55"/>
        <w:insideH w:val="single" w:sz="8" w:space="0" w:color="F6AA55"/>
        <w:insideV w:val="single" w:sz="8" w:space="0" w:color="F6AA55"/>
      </w:tblBorders>
    </w:tblPr>
    <w:tcPr>
      <w:shd w:val="clear" w:color="auto" w:fill="FCE3C6"/>
    </w:tcPr>
    <w:tblStylePr w:type="firstRow">
      <w:rPr>
        <w:b/>
        <w:bCs/>
      </w:rPr>
    </w:tblStylePr>
    <w:tblStylePr w:type="lastRow">
      <w:rPr>
        <w:b/>
        <w:bCs/>
      </w:rPr>
      <w:tblPr/>
      <w:tcPr>
        <w:tcBorders>
          <w:top w:val="single" w:sz="18" w:space="0" w:color="F6AA55"/>
        </w:tcBorders>
      </w:tcPr>
    </w:tblStylePr>
    <w:tblStylePr w:type="firstCol">
      <w:rPr>
        <w:b/>
        <w:bCs/>
      </w:rPr>
    </w:tblStylePr>
    <w:tblStylePr w:type="lastCol">
      <w:rPr>
        <w:b/>
        <w:bCs/>
      </w:rPr>
    </w:tblStylePr>
    <w:tblStylePr w:type="band1Vert">
      <w:tblPr/>
      <w:tcPr>
        <w:shd w:val="clear" w:color="auto" w:fill="F9C68E"/>
      </w:tcPr>
    </w:tblStylePr>
    <w:tblStylePr w:type="band1Horz">
      <w:tblPr/>
      <w:tcPr>
        <w:shd w:val="clear" w:color="auto" w:fill="F9C68E"/>
      </w:tcPr>
    </w:tblStylePr>
  </w:style>
  <w:style w:type="table" w:styleId="MediumGrid1-Accent5">
    <w:name w:val="Medium Grid 1 Accent 5"/>
    <w:basedOn w:val="TableNormal"/>
    <w:uiPriority w:val="67"/>
    <w:rsid w:val="00AE5E7D"/>
    <w:tblPr>
      <w:tblStyleRowBandSize w:val="1"/>
      <w:tblStyleColBandSize w:val="1"/>
      <w:tblBorders>
        <w:top w:val="single" w:sz="8" w:space="0" w:color="FDCA5A"/>
        <w:left w:val="single" w:sz="8" w:space="0" w:color="FDCA5A"/>
        <w:bottom w:val="single" w:sz="8" w:space="0" w:color="FDCA5A"/>
        <w:right w:val="single" w:sz="8" w:space="0" w:color="FDCA5A"/>
        <w:insideH w:val="single" w:sz="8" w:space="0" w:color="FDCA5A"/>
        <w:insideV w:val="single" w:sz="8" w:space="0" w:color="FDCA5A"/>
      </w:tblBorders>
    </w:tblPr>
    <w:tcPr>
      <w:shd w:val="clear" w:color="auto" w:fill="FEEDC8"/>
    </w:tcPr>
    <w:tblStylePr w:type="firstRow">
      <w:rPr>
        <w:b/>
        <w:bCs/>
      </w:rPr>
    </w:tblStylePr>
    <w:tblStylePr w:type="lastRow">
      <w:rPr>
        <w:b/>
        <w:bCs/>
      </w:rPr>
      <w:tblPr/>
      <w:tcPr>
        <w:tcBorders>
          <w:top w:val="single" w:sz="18" w:space="0" w:color="FDCA5A"/>
        </w:tcBorders>
      </w:tcPr>
    </w:tblStylePr>
    <w:tblStylePr w:type="firstCol">
      <w:rPr>
        <w:b/>
        <w:bCs/>
      </w:rPr>
    </w:tblStylePr>
    <w:tblStylePr w:type="lastCol">
      <w:rPr>
        <w:b/>
        <w:bCs/>
      </w:rPr>
    </w:tblStylePr>
    <w:tblStylePr w:type="band1Vert">
      <w:tblPr/>
      <w:tcPr>
        <w:shd w:val="clear" w:color="auto" w:fill="FEDC91"/>
      </w:tcPr>
    </w:tblStylePr>
    <w:tblStylePr w:type="band1Horz">
      <w:tblPr/>
      <w:tcPr>
        <w:shd w:val="clear" w:color="auto" w:fill="FEDC91"/>
      </w:tcPr>
    </w:tblStylePr>
  </w:style>
  <w:style w:type="table" w:styleId="MediumGrid1-Accent6">
    <w:name w:val="Medium Grid 1 Accent 6"/>
    <w:basedOn w:val="TableNormal"/>
    <w:uiPriority w:val="67"/>
    <w:rsid w:val="00AE5E7D"/>
    <w:tblPr>
      <w:tblStyleRowBandSize w:val="1"/>
      <w:tblStyleColBandSize w:val="1"/>
      <w:tblBorders>
        <w:top w:val="single" w:sz="8" w:space="0" w:color="E4E5E6"/>
        <w:left w:val="single" w:sz="8" w:space="0" w:color="E4E5E6"/>
        <w:bottom w:val="single" w:sz="8" w:space="0" w:color="E4E5E6"/>
        <w:right w:val="single" w:sz="8" w:space="0" w:color="E4E5E6"/>
        <w:insideH w:val="single" w:sz="8" w:space="0" w:color="E4E5E6"/>
        <w:insideV w:val="single" w:sz="8" w:space="0" w:color="E4E5E6"/>
      </w:tblBorders>
    </w:tblPr>
    <w:tcPr>
      <w:shd w:val="clear" w:color="auto" w:fill="F6F6F6"/>
    </w:tcPr>
    <w:tblStylePr w:type="firstRow">
      <w:rPr>
        <w:b/>
        <w:bCs/>
      </w:rPr>
    </w:tblStylePr>
    <w:tblStylePr w:type="lastRow">
      <w:rPr>
        <w:b/>
        <w:bCs/>
      </w:rPr>
      <w:tblPr/>
      <w:tcPr>
        <w:tcBorders>
          <w:top w:val="single" w:sz="18" w:space="0" w:color="E4E5E6"/>
        </w:tcBorders>
      </w:tcPr>
    </w:tblStylePr>
    <w:tblStylePr w:type="firstCol">
      <w:rPr>
        <w:b/>
        <w:bCs/>
      </w:rPr>
    </w:tblStylePr>
    <w:tblStylePr w:type="lastCol">
      <w:rPr>
        <w:b/>
        <w:bCs/>
      </w:rPr>
    </w:tblStylePr>
    <w:tblStylePr w:type="band1Vert">
      <w:tblPr/>
      <w:tcPr>
        <w:shd w:val="clear" w:color="auto" w:fill="EDEDEE"/>
      </w:tcPr>
    </w:tblStylePr>
    <w:tblStylePr w:type="band1Horz">
      <w:tblPr/>
      <w:tcPr>
        <w:shd w:val="clear" w:color="auto" w:fill="EDEDEE"/>
      </w:tcPr>
    </w:tblStylePr>
  </w:style>
  <w:style w:type="table" w:customStyle="1" w:styleId="MediumGrid21">
    <w:name w:val="Medium Grid 21"/>
    <w:basedOn w:val="TableNormal"/>
    <w:uiPriority w:val="68"/>
    <w:rsid w:val="00AE5E7D"/>
    <w:rPr>
      <w:rFonts w:ascii="Arial"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E5E7D"/>
    <w:rPr>
      <w:rFonts w:ascii="Arial" w:hAnsi="Arial"/>
      <w:color w:val="000000"/>
    </w:rPr>
    <w:tblPr>
      <w:tblStyleRowBandSize w:val="1"/>
      <w:tblStyleCol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Pr>
    <w:tcPr>
      <w:shd w:val="clear" w:color="auto" w:fill="E4E4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9EA"/>
      </w:tcPr>
    </w:tblStylePr>
    <w:tblStylePr w:type="band1Vert">
      <w:tblPr/>
      <w:tcPr>
        <w:shd w:val="clear" w:color="auto" w:fill="C9CACB"/>
      </w:tcPr>
    </w:tblStylePr>
    <w:tblStylePr w:type="band1Horz">
      <w:tblPr/>
      <w:tcPr>
        <w:tcBorders>
          <w:insideH w:val="single" w:sz="6" w:space="0" w:color="939598"/>
          <w:insideV w:val="single" w:sz="6" w:space="0" w:color="939598"/>
        </w:tcBorders>
        <w:shd w:val="clear" w:color="auto" w:fill="C9CACB"/>
      </w:tcPr>
    </w:tblStylePr>
    <w:tblStylePr w:type="nwCell">
      <w:tblPr/>
      <w:tcPr>
        <w:shd w:val="clear" w:color="auto" w:fill="FFFFFF"/>
      </w:tcPr>
    </w:tblStylePr>
  </w:style>
  <w:style w:type="table" w:styleId="MediumGrid2-Accent2">
    <w:name w:val="Medium Grid 2 Accent 2"/>
    <w:basedOn w:val="TableNormal"/>
    <w:uiPriority w:val="68"/>
    <w:rsid w:val="00AE5E7D"/>
    <w:rPr>
      <w:rFonts w:ascii="Arial" w:hAnsi="Arial"/>
      <w:color w:val="000000"/>
    </w:rPr>
    <w:tblPr>
      <w:tblStyleRowBandSize w:val="1"/>
      <w:tblStyleColBandSize w:val="1"/>
      <w:tblBorders>
        <w:top w:val="single" w:sz="8" w:space="0" w:color="4F2683"/>
        <w:left w:val="single" w:sz="8" w:space="0" w:color="4F2683"/>
        <w:bottom w:val="single" w:sz="8" w:space="0" w:color="4F2683"/>
        <w:right w:val="single" w:sz="8" w:space="0" w:color="4F2683"/>
        <w:insideH w:val="single" w:sz="8" w:space="0" w:color="4F2683"/>
        <w:insideV w:val="single" w:sz="8" w:space="0" w:color="4F2683"/>
      </w:tblBorders>
    </w:tblPr>
    <w:tcPr>
      <w:shd w:val="clear" w:color="auto" w:fill="D1BDEC"/>
    </w:tcPr>
    <w:tblStylePr w:type="firstRow">
      <w:rPr>
        <w:b/>
        <w:bCs/>
        <w:color w:val="000000"/>
      </w:rPr>
      <w:tblPr/>
      <w:tcPr>
        <w:shd w:val="clear" w:color="auto" w:fill="EDE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CAEF"/>
      </w:tcPr>
    </w:tblStylePr>
    <w:tblStylePr w:type="band1Vert">
      <w:tblPr/>
      <w:tcPr>
        <w:shd w:val="clear" w:color="auto" w:fill="A47BD8"/>
      </w:tcPr>
    </w:tblStylePr>
    <w:tblStylePr w:type="band1Horz">
      <w:tblPr/>
      <w:tcPr>
        <w:tcBorders>
          <w:insideH w:val="single" w:sz="6" w:space="0" w:color="4F2683"/>
          <w:insideV w:val="single" w:sz="6" w:space="0" w:color="4F2683"/>
        </w:tcBorders>
        <w:shd w:val="clear" w:color="auto" w:fill="A47BD8"/>
      </w:tcPr>
    </w:tblStylePr>
    <w:tblStylePr w:type="nwCell">
      <w:tblPr/>
      <w:tcPr>
        <w:shd w:val="clear" w:color="auto" w:fill="FFFFFF"/>
      </w:tcPr>
    </w:tblStylePr>
  </w:style>
  <w:style w:type="table" w:styleId="MediumGrid2-Accent3">
    <w:name w:val="Medium Grid 2 Accent 3"/>
    <w:basedOn w:val="TableNormal"/>
    <w:uiPriority w:val="68"/>
    <w:rsid w:val="00AE5E7D"/>
    <w:rPr>
      <w:rFonts w:ascii="Arial" w:hAnsi="Arial"/>
      <w:color w:val="000000"/>
    </w:rPr>
    <w:tblPr>
      <w:tblStyleRowBandSize w:val="1"/>
      <w:tblStyleColBandSize w:val="1"/>
      <w:tblBorders>
        <w:top w:val="single" w:sz="8" w:space="0" w:color="E60F87"/>
        <w:left w:val="single" w:sz="8" w:space="0" w:color="E60F87"/>
        <w:bottom w:val="single" w:sz="8" w:space="0" w:color="E60F87"/>
        <w:right w:val="single" w:sz="8" w:space="0" w:color="E60F87"/>
        <w:insideH w:val="single" w:sz="8" w:space="0" w:color="E60F87"/>
        <w:insideV w:val="single" w:sz="8" w:space="0" w:color="E60F87"/>
      </w:tblBorders>
    </w:tblPr>
    <w:tcPr>
      <w:shd w:val="clear" w:color="auto" w:fill="FBC1E1"/>
    </w:tcPr>
    <w:tblStylePr w:type="firstRow">
      <w:rPr>
        <w:b/>
        <w:bCs/>
        <w:color w:val="000000"/>
      </w:rPr>
      <w:tblPr/>
      <w:tcPr>
        <w:shd w:val="clear" w:color="auto" w:fill="FDE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CDE7"/>
      </w:tcPr>
    </w:tblStylePr>
    <w:tblStylePr w:type="band1Vert">
      <w:tblPr/>
      <w:tcPr>
        <w:shd w:val="clear" w:color="auto" w:fill="F783C3"/>
      </w:tcPr>
    </w:tblStylePr>
    <w:tblStylePr w:type="band1Horz">
      <w:tblPr/>
      <w:tcPr>
        <w:tcBorders>
          <w:insideH w:val="single" w:sz="6" w:space="0" w:color="E60F87"/>
          <w:insideV w:val="single" w:sz="6" w:space="0" w:color="E60F87"/>
        </w:tcBorders>
        <w:shd w:val="clear" w:color="auto" w:fill="F783C3"/>
      </w:tcPr>
    </w:tblStylePr>
    <w:tblStylePr w:type="nwCell">
      <w:tblPr/>
      <w:tcPr>
        <w:shd w:val="clear" w:color="auto" w:fill="FFFFFF"/>
      </w:tcPr>
    </w:tblStylePr>
  </w:style>
  <w:style w:type="table" w:styleId="MediumGrid2-Accent4">
    <w:name w:val="Medium Grid 2 Accent 4"/>
    <w:basedOn w:val="TableNormal"/>
    <w:uiPriority w:val="68"/>
    <w:rsid w:val="00AE5E7D"/>
    <w:rPr>
      <w:rFonts w:ascii="Arial" w:hAnsi="Arial"/>
      <w:color w:val="000000"/>
    </w:rPr>
    <w:tblPr>
      <w:tblStyleRowBandSize w:val="1"/>
      <w:tblStyleColBandSize w:val="1"/>
      <w:tblBorders>
        <w:top w:val="single" w:sz="8" w:space="0" w:color="F38F1D"/>
        <w:left w:val="single" w:sz="8" w:space="0" w:color="F38F1D"/>
        <w:bottom w:val="single" w:sz="8" w:space="0" w:color="F38F1D"/>
        <w:right w:val="single" w:sz="8" w:space="0" w:color="F38F1D"/>
        <w:insideH w:val="single" w:sz="8" w:space="0" w:color="F38F1D"/>
        <w:insideV w:val="single" w:sz="8" w:space="0" w:color="F38F1D"/>
      </w:tblBorders>
    </w:tblPr>
    <w:tcPr>
      <w:shd w:val="clear" w:color="auto" w:fill="FCE3C6"/>
    </w:tcPr>
    <w:tblStylePr w:type="firstRow">
      <w:rPr>
        <w:b/>
        <w:bCs/>
        <w:color w:val="000000"/>
      </w:rPr>
      <w:tblPr/>
      <w:tcPr>
        <w:shd w:val="clear" w:color="auto" w:fill="FDF3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8D1"/>
      </w:tcPr>
    </w:tblStylePr>
    <w:tblStylePr w:type="band1Vert">
      <w:tblPr/>
      <w:tcPr>
        <w:shd w:val="clear" w:color="auto" w:fill="F9C68E"/>
      </w:tcPr>
    </w:tblStylePr>
    <w:tblStylePr w:type="band1Horz">
      <w:tblPr/>
      <w:tcPr>
        <w:tcBorders>
          <w:insideH w:val="single" w:sz="6" w:space="0" w:color="F38F1D"/>
          <w:insideV w:val="single" w:sz="6" w:space="0" w:color="F38F1D"/>
        </w:tcBorders>
        <w:shd w:val="clear" w:color="auto" w:fill="F9C68E"/>
      </w:tcPr>
    </w:tblStylePr>
    <w:tblStylePr w:type="nwCell">
      <w:tblPr/>
      <w:tcPr>
        <w:shd w:val="clear" w:color="auto" w:fill="FFFFFF"/>
      </w:tcPr>
    </w:tblStylePr>
  </w:style>
  <w:style w:type="table" w:styleId="MediumGrid2-Accent5">
    <w:name w:val="Medium Grid 2 Accent 5"/>
    <w:basedOn w:val="TableNormal"/>
    <w:uiPriority w:val="68"/>
    <w:rsid w:val="00AE5E7D"/>
    <w:rPr>
      <w:rFonts w:ascii="Arial" w:hAnsi="Arial"/>
      <w:color w:val="000000"/>
    </w:rPr>
    <w:tblPr>
      <w:tblStyleRowBandSize w:val="1"/>
      <w:tblStyleColBandSize w:val="1"/>
      <w:tblBorders>
        <w:top w:val="single" w:sz="8" w:space="0" w:color="FDB924"/>
        <w:left w:val="single" w:sz="8" w:space="0" w:color="FDB924"/>
        <w:bottom w:val="single" w:sz="8" w:space="0" w:color="FDB924"/>
        <w:right w:val="single" w:sz="8" w:space="0" w:color="FDB924"/>
        <w:insideH w:val="single" w:sz="8" w:space="0" w:color="FDB924"/>
        <w:insideV w:val="single" w:sz="8" w:space="0" w:color="FDB924"/>
      </w:tblBorders>
    </w:tblPr>
    <w:tcPr>
      <w:shd w:val="clear" w:color="auto" w:fill="FEEDC8"/>
    </w:tcPr>
    <w:tblStylePr w:type="firstRow">
      <w:rPr>
        <w:b/>
        <w:bCs/>
        <w:color w:val="000000"/>
      </w:rPr>
      <w:tblPr/>
      <w:tcPr>
        <w:shd w:val="clear" w:color="auto" w:fill="FEF8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D3"/>
      </w:tcPr>
    </w:tblStylePr>
    <w:tblStylePr w:type="band1Vert">
      <w:tblPr/>
      <w:tcPr>
        <w:shd w:val="clear" w:color="auto" w:fill="FEDC91"/>
      </w:tcPr>
    </w:tblStylePr>
    <w:tblStylePr w:type="band1Horz">
      <w:tblPr/>
      <w:tcPr>
        <w:tcBorders>
          <w:insideH w:val="single" w:sz="6" w:space="0" w:color="FDB924"/>
          <w:insideV w:val="single" w:sz="6" w:space="0" w:color="FDB924"/>
        </w:tcBorders>
        <w:shd w:val="clear" w:color="auto" w:fill="FEDC91"/>
      </w:tcPr>
    </w:tblStylePr>
    <w:tblStylePr w:type="nwCell">
      <w:tblPr/>
      <w:tcPr>
        <w:shd w:val="clear" w:color="auto" w:fill="FFFFFF"/>
      </w:tcPr>
    </w:tblStylePr>
  </w:style>
  <w:style w:type="table" w:styleId="MediumGrid2-Accent6">
    <w:name w:val="Medium Grid 2 Accent 6"/>
    <w:basedOn w:val="TableNormal"/>
    <w:uiPriority w:val="68"/>
    <w:rsid w:val="00AE5E7D"/>
    <w:rPr>
      <w:rFonts w:ascii="Arial" w:hAnsi="Arial"/>
      <w:color w:val="000000"/>
    </w:rPr>
    <w:tblPr>
      <w:tblStyleRowBandSize w:val="1"/>
      <w:tblStyleColBandSize w:val="1"/>
      <w:tblBorders>
        <w:top w:val="single" w:sz="8" w:space="0" w:color="DCDDDE"/>
        <w:left w:val="single" w:sz="8" w:space="0" w:color="DCDDDE"/>
        <w:bottom w:val="single" w:sz="8" w:space="0" w:color="DCDDDE"/>
        <w:right w:val="single" w:sz="8" w:space="0" w:color="DCDDDE"/>
        <w:insideH w:val="single" w:sz="8" w:space="0" w:color="DCDDDE"/>
        <w:insideV w:val="single" w:sz="8" w:space="0" w:color="DCDDDE"/>
      </w:tblBorders>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8F8"/>
      </w:tcPr>
    </w:tblStylePr>
    <w:tblStylePr w:type="band1Vert">
      <w:tblPr/>
      <w:tcPr>
        <w:shd w:val="clear" w:color="auto" w:fill="EDEDEE"/>
      </w:tcPr>
    </w:tblStylePr>
    <w:tblStylePr w:type="band1Horz">
      <w:tblPr/>
      <w:tcPr>
        <w:tcBorders>
          <w:insideH w:val="single" w:sz="6" w:space="0" w:color="DCDDDE"/>
          <w:insideV w:val="single" w:sz="6" w:space="0" w:color="DCDDDE"/>
        </w:tcBorders>
        <w:shd w:val="clear" w:color="auto" w:fill="EDEDEE"/>
      </w:tcPr>
    </w:tblStylePr>
    <w:tblStylePr w:type="nwCell">
      <w:tblPr/>
      <w:tcPr>
        <w:shd w:val="clear" w:color="auto" w:fill="FFFFFF"/>
      </w:tcPr>
    </w:tblStylePr>
  </w:style>
  <w:style w:type="table" w:customStyle="1" w:styleId="MediumGrid31">
    <w:name w:val="Medium Grid 31"/>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4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395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395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395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395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CA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CACB"/>
      </w:tcPr>
    </w:tblStylePr>
  </w:style>
  <w:style w:type="table" w:styleId="MediumGrid3-Accent2">
    <w:name w:val="Medium Grid 3 Accent 2"/>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BD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268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268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268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268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7B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7BD8"/>
      </w:tcPr>
    </w:tblStylePr>
  </w:style>
  <w:style w:type="table" w:styleId="MediumGrid3-Accent3">
    <w:name w:val="Medium Grid 3 Accent 3"/>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C1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60F8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60F8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60F8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60F8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783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83C3"/>
      </w:tcPr>
    </w:tblStylePr>
  </w:style>
  <w:style w:type="table" w:styleId="MediumGrid3-Accent4">
    <w:name w:val="Medium Grid 3 Accent 4"/>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3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8F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8F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8F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8F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C6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C68E"/>
      </w:tcPr>
    </w:tblStylePr>
  </w:style>
  <w:style w:type="table" w:styleId="MediumGrid3-Accent5">
    <w:name w:val="Medium Grid 3 Accent 5"/>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9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9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9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9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C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C91"/>
      </w:tcPr>
    </w:tblStylePr>
  </w:style>
  <w:style w:type="table" w:styleId="MediumGrid3-Accent6">
    <w:name w:val="Medium Grid 3 Accent 6"/>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6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CDDD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CDDD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CDDD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CDDD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DEDE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EDEE"/>
      </w:tcPr>
    </w:tblStylePr>
  </w:style>
  <w:style w:type="table" w:customStyle="1" w:styleId="MediumList11">
    <w:name w:val="Medium List 11"/>
    <w:basedOn w:val="TableNormal"/>
    <w:uiPriority w:val="65"/>
    <w:rsid w:val="00AE5E7D"/>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F268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AE5E7D"/>
    <w:rPr>
      <w:color w:val="000000"/>
    </w:rPr>
    <w:tblPr>
      <w:tblStyleRowBandSize w:val="1"/>
      <w:tblStyleColBandSize w:val="1"/>
      <w:tblBorders>
        <w:top w:val="single" w:sz="8" w:space="0" w:color="939598"/>
        <w:bottom w:val="single" w:sz="8" w:space="0" w:color="939598"/>
      </w:tblBorders>
    </w:tblPr>
    <w:tblStylePr w:type="firstRow">
      <w:rPr>
        <w:rFonts w:ascii="Arial" w:eastAsia="Times New Roman" w:hAnsi="Arial" w:cs="Times New Roman"/>
      </w:rPr>
      <w:tblPr/>
      <w:tcPr>
        <w:tcBorders>
          <w:top w:val="nil"/>
          <w:bottom w:val="single" w:sz="8" w:space="0" w:color="939598"/>
        </w:tcBorders>
      </w:tcPr>
    </w:tblStylePr>
    <w:tblStylePr w:type="lastRow">
      <w:rPr>
        <w:b/>
        <w:bCs/>
        <w:color w:val="4F2683"/>
      </w:rPr>
      <w:tblPr/>
      <w:tcPr>
        <w:tcBorders>
          <w:top w:val="single" w:sz="8" w:space="0" w:color="939598"/>
          <w:bottom w:val="single" w:sz="8" w:space="0" w:color="939598"/>
        </w:tcBorders>
      </w:tcPr>
    </w:tblStylePr>
    <w:tblStylePr w:type="firstCol">
      <w:rPr>
        <w:b/>
        <w:bCs/>
      </w:rPr>
    </w:tblStylePr>
    <w:tblStylePr w:type="lastCol">
      <w:rPr>
        <w:b/>
        <w:bCs/>
      </w:rPr>
      <w:tblPr/>
      <w:tcPr>
        <w:tcBorders>
          <w:top w:val="single" w:sz="8" w:space="0" w:color="939598"/>
          <w:bottom w:val="single" w:sz="8" w:space="0" w:color="939598"/>
        </w:tcBorders>
      </w:tcPr>
    </w:tblStylePr>
    <w:tblStylePr w:type="band1Vert">
      <w:tblPr/>
      <w:tcPr>
        <w:shd w:val="clear" w:color="auto" w:fill="E4E4E5"/>
      </w:tcPr>
    </w:tblStylePr>
    <w:tblStylePr w:type="band1Horz">
      <w:tblPr/>
      <w:tcPr>
        <w:shd w:val="clear" w:color="auto" w:fill="E4E4E5"/>
      </w:tcPr>
    </w:tblStylePr>
  </w:style>
  <w:style w:type="table" w:styleId="MediumList1-Accent2">
    <w:name w:val="Medium List 1 Accent 2"/>
    <w:basedOn w:val="TableNormal"/>
    <w:uiPriority w:val="65"/>
    <w:rsid w:val="00AE5E7D"/>
    <w:rPr>
      <w:color w:val="000000"/>
    </w:rPr>
    <w:tblPr>
      <w:tblStyleRowBandSize w:val="1"/>
      <w:tblStyleColBandSize w:val="1"/>
      <w:tblBorders>
        <w:top w:val="single" w:sz="8" w:space="0" w:color="4F2683"/>
        <w:bottom w:val="single" w:sz="8" w:space="0" w:color="4F2683"/>
      </w:tblBorders>
    </w:tblPr>
    <w:tblStylePr w:type="firstRow">
      <w:rPr>
        <w:rFonts w:ascii="Arial" w:eastAsia="Times New Roman" w:hAnsi="Arial" w:cs="Times New Roman"/>
      </w:rPr>
      <w:tblPr/>
      <w:tcPr>
        <w:tcBorders>
          <w:top w:val="nil"/>
          <w:bottom w:val="single" w:sz="8" w:space="0" w:color="4F2683"/>
        </w:tcBorders>
      </w:tcPr>
    </w:tblStylePr>
    <w:tblStylePr w:type="lastRow">
      <w:rPr>
        <w:b/>
        <w:bCs/>
        <w:color w:val="4F2683"/>
      </w:rPr>
      <w:tblPr/>
      <w:tcPr>
        <w:tcBorders>
          <w:top w:val="single" w:sz="8" w:space="0" w:color="4F2683"/>
          <w:bottom w:val="single" w:sz="8" w:space="0" w:color="4F2683"/>
        </w:tcBorders>
      </w:tcPr>
    </w:tblStylePr>
    <w:tblStylePr w:type="firstCol">
      <w:rPr>
        <w:b/>
        <w:bCs/>
      </w:rPr>
    </w:tblStylePr>
    <w:tblStylePr w:type="lastCol">
      <w:rPr>
        <w:b/>
        <w:bCs/>
      </w:rPr>
      <w:tblPr/>
      <w:tcPr>
        <w:tcBorders>
          <w:top w:val="single" w:sz="8" w:space="0" w:color="4F2683"/>
          <w:bottom w:val="single" w:sz="8" w:space="0" w:color="4F2683"/>
        </w:tcBorders>
      </w:tcPr>
    </w:tblStylePr>
    <w:tblStylePr w:type="band1Vert">
      <w:tblPr/>
      <w:tcPr>
        <w:shd w:val="clear" w:color="auto" w:fill="D1BDEC"/>
      </w:tcPr>
    </w:tblStylePr>
    <w:tblStylePr w:type="band1Horz">
      <w:tblPr/>
      <w:tcPr>
        <w:shd w:val="clear" w:color="auto" w:fill="D1BDEC"/>
      </w:tcPr>
    </w:tblStylePr>
  </w:style>
  <w:style w:type="table" w:styleId="MediumList1-Accent3">
    <w:name w:val="Medium List 1 Accent 3"/>
    <w:basedOn w:val="TableNormal"/>
    <w:uiPriority w:val="65"/>
    <w:rsid w:val="00AE5E7D"/>
    <w:rPr>
      <w:color w:val="000000"/>
    </w:rPr>
    <w:tblPr>
      <w:tblStyleRowBandSize w:val="1"/>
      <w:tblStyleColBandSize w:val="1"/>
      <w:tblBorders>
        <w:top w:val="single" w:sz="8" w:space="0" w:color="E60F87"/>
        <w:bottom w:val="single" w:sz="8" w:space="0" w:color="E60F87"/>
      </w:tblBorders>
    </w:tblPr>
    <w:tblStylePr w:type="firstRow">
      <w:rPr>
        <w:rFonts w:ascii="Arial" w:eastAsia="Times New Roman" w:hAnsi="Arial" w:cs="Times New Roman"/>
      </w:rPr>
      <w:tblPr/>
      <w:tcPr>
        <w:tcBorders>
          <w:top w:val="nil"/>
          <w:bottom w:val="single" w:sz="8" w:space="0" w:color="E60F87"/>
        </w:tcBorders>
      </w:tcPr>
    </w:tblStylePr>
    <w:tblStylePr w:type="lastRow">
      <w:rPr>
        <w:b/>
        <w:bCs/>
        <w:color w:val="4F2683"/>
      </w:rPr>
      <w:tblPr/>
      <w:tcPr>
        <w:tcBorders>
          <w:top w:val="single" w:sz="8" w:space="0" w:color="E60F87"/>
          <w:bottom w:val="single" w:sz="8" w:space="0" w:color="E60F87"/>
        </w:tcBorders>
      </w:tcPr>
    </w:tblStylePr>
    <w:tblStylePr w:type="firstCol">
      <w:rPr>
        <w:b/>
        <w:bCs/>
      </w:rPr>
    </w:tblStylePr>
    <w:tblStylePr w:type="lastCol">
      <w:rPr>
        <w:b/>
        <w:bCs/>
      </w:rPr>
      <w:tblPr/>
      <w:tcPr>
        <w:tcBorders>
          <w:top w:val="single" w:sz="8" w:space="0" w:color="E60F87"/>
          <w:bottom w:val="single" w:sz="8" w:space="0" w:color="E60F87"/>
        </w:tcBorders>
      </w:tcPr>
    </w:tblStylePr>
    <w:tblStylePr w:type="band1Vert">
      <w:tblPr/>
      <w:tcPr>
        <w:shd w:val="clear" w:color="auto" w:fill="FBC1E1"/>
      </w:tcPr>
    </w:tblStylePr>
    <w:tblStylePr w:type="band1Horz">
      <w:tblPr/>
      <w:tcPr>
        <w:shd w:val="clear" w:color="auto" w:fill="FBC1E1"/>
      </w:tcPr>
    </w:tblStylePr>
  </w:style>
  <w:style w:type="table" w:styleId="MediumList1-Accent4">
    <w:name w:val="Medium List 1 Accent 4"/>
    <w:basedOn w:val="TableNormal"/>
    <w:uiPriority w:val="65"/>
    <w:rsid w:val="00AE5E7D"/>
    <w:rPr>
      <w:color w:val="000000"/>
    </w:rPr>
    <w:tblPr>
      <w:tblStyleRowBandSize w:val="1"/>
      <w:tblStyleColBandSize w:val="1"/>
      <w:tblBorders>
        <w:top w:val="single" w:sz="8" w:space="0" w:color="F38F1D"/>
        <w:bottom w:val="single" w:sz="8" w:space="0" w:color="F38F1D"/>
      </w:tblBorders>
    </w:tblPr>
    <w:tblStylePr w:type="firstRow">
      <w:rPr>
        <w:rFonts w:ascii="Arial" w:eastAsia="Times New Roman" w:hAnsi="Arial" w:cs="Times New Roman"/>
      </w:rPr>
      <w:tblPr/>
      <w:tcPr>
        <w:tcBorders>
          <w:top w:val="nil"/>
          <w:bottom w:val="single" w:sz="8" w:space="0" w:color="F38F1D"/>
        </w:tcBorders>
      </w:tcPr>
    </w:tblStylePr>
    <w:tblStylePr w:type="lastRow">
      <w:rPr>
        <w:b/>
        <w:bCs/>
        <w:color w:val="4F2683"/>
      </w:rPr>
      <w:tblPr/>
      <w:tcPr>
        <w:tcBorders>
          <w:top w:val="single" w:sz="8" w:space="0" w:color="F38F1D"/>
          <w:bottom w:val="single" w:sz="8" w:space="0" w:color="F38F1D"/>
        </w:tcBorders>
      </w:tcPr>
    </w:tblStylePr>
    <w:tblStylePr w:type="firstCol">
      <w:rPr>
        <w:b/>
        <w:bCs/>
      </w:rPr>
    </w:tblStylePr>
    <w:tblStylePr w:type="lastCol">
      <w:rPr>
        <w:b/>
        <w:bCs/>
      </w:rPr>
      <w:tblPr/>
      <w:tcPr>
        <w:tcBorders>
          <w:top w:val="single" w:sz="8" w:space="0" w:color="F38F1D"/>
          <w:bottom w:val="single" w:sz="8" w:space="0" w:color="F38F1D"/>
        </w:tcBorders>
      </w:tcPr>
    </w:tblStylePr>
    <w:tblStylePr w:type="band1Vert">
      <w:tblPr/>
      <w:tcPr>
        <w:shd w:val="clear" w:color="auto" w:fill="FCE3C6"/>
      </w:tcPr>
    </w:tblStylePr>
    <w:tblStylePr w:type="band1Horz">
      <w:tblPr/>
      <w:tcPr>
        <w:shd w:val="clear" w:color="auto" w:fill="FCE3C6"/>
      </w:tcPr>
    </w:tblStylePr>
  </w:style>
  <w:style w:type="table" w:styleId="MediumList1-Accent5">
    <w:name w:val="Medium List 1 Accent 5"/>
    <w:basedOn w:val="TableNormal"/>
    <w:uiPriority w:val="65"/>
    <w:rsid w:val="00AE5E7D"/>
    <w:rPr>
      <w:color w:val="000000"/>
    </w:rPr>
    <w:tblPr>
      <w:tblStyleRowBandSize w:val="1"/>
      <w:tblStyleColBandSize w:val="1"/>
      <w:tblBorders>
        <w:top w:val="single" w:sz="8" w:space="0" w:color="FDB924"/>
        <w:bottom w:val="single" w:sz="8" w:space="0" w:color="FDB924"/>
      </w:tblBorders>
    </w:tblPr>
    <w:tblStylePr w:type="firstRow">
      <w:rPr>
        <w:rFonts w:ascii="Arial" w:eastAsia="Times New Roman" w:hAnsi="Arial" w:cs="Times New Roman"/>
      </w:rPr>
      <w:tblPr/>
      <w:tcPr>
        <w:tcBorders>
          <w:top w:val="nil"/>
          <w:bottom w:val="single" w:sz="8" w:space="0" w:color="FDB924"/>
        </w:tcBorders>
      </w:tcPr>
    </w:tblStylePr>
    <w:tblStylePr w:type="lastRow">
      <w:rPr>
        <w:b/>
        <w:bCs/>
        <w:color w:val="4F2683"/>
      </w:rPr>
      <w:tblPr/>
      <w:tcPr>
        <w:tcBorders>
          <w:top w:val="single" w:sz="8" w:space="0" w:color="FDB924"/>
          <w:bottom w:val="single" w:sz="8" w:space="0" w:color="FDB924"/>
        </w:tcBorders>
      </w:tcPr>
    </w:tblStylePr>
    <w:tblStylePr w:type="firstCol">
      <w:rPr>
        <w:b/>
        <w:bCs/>
      </w:rPr>
    </w:tblStylePr>
    <w:tblStylePr w:type="lastCol">
      <w:rPr>
        <w:b/>
        <w:bCs/>
      </w:rPr>
      <w:tblPr/>
      <w:tcPr>
        <w:tcBorders>
          <w:top w:val="single" w:sz="8" w:space="0" w:color="FDB924"/>
          <w:bottom w:val="single" w:sz="8" w:space="0" w:color="FDB924"/>
        </w:tcBorders>
      </w:tcPr>
    </w:tblStylePr>
    <w:tblStylePr w:type="band1Vert">
      <w:tblPr/>
      <w:tcPr>
        <w:shd w:val="clear" w:color="auto" w:fill="FEEDC8"/>
      </w:tcPr>
    </w:tblStylePr>
    <w:tblStylePr w:type="band1Horz">
      <w:tblPr/>
      <w:tcPr>
        <w:shd w:val="clear" w:color="auto" w:fill="FEEDC8"/>
      </w:tcPr>
    </w:tblStylePr>
  </w:style>
  <w:style w:type="table" w:styleId="MediumList1-Accent6">
    <w:name w:val="Medium List 1 Accent 6"/>
    <w:basedOn w:val="TableNormal"/>
    <w:uiPriority w:val="65"/>
    <w:rsid w:val="00AE5E7D"/>
    <w:rPr>
      <w:color w:val="000000"/>
    </w:rPr>
    <w:tblPr>
      <w:tblStyleRowBandSize w:val="1"/>
      <w:tblStyleColBandSize w:val="1"/>
      <w:tblBorders>
        <w:top w:val="single" w:sz="8" w:space="0" w:color="DCDDDE"/>
        <w:bottom w:val="single" w:sz="8" w:space="0" w:color="DCDDDE"/>
      </w:tblBorders>
    </w:tblPr>
    <w:tblStylePr w:type="firstRow">
      <w:rPr>
        <w:rFonts w:ascii="Arial" w:eastAsia="Times New Roman" w:hAnsi="Arial" w:cs="Times New Roman"/>
      </w:rPr>
      <w:tblPr/>
      <w:tcPr>
        <w:tcBorders>
          <w:top w:val="nil"/>
          <w:bottom w:val="single" w:sz="8" w:space="0" w:color="DCDDDE"/>
        </w:tcBorders>
      </w:tcPr>
    </w:tblStylePr>
    <w:tblStylePr w:type="lastRow">
      <w:rPr>
        <w:b/>
        <w:bCs/>
        <w:color w:val="4F2683"/>
      </w:rPr>
      <w:tblPr/>
      <w:tcPr>
        <w:tcBorders>
          <w:top w:val="single" w:sz="8" w:space="0" w:color="DCDDDE"/>
          <w:bottom w:val="single" w:sz="8" w:space="0" w:color="DCDDDE"/>
        </w:tcBorders>
      </w:tcPr>
    </w:tblStylePr>
    <w:tblStylePr w:type="firstCol">
      <w:rPr>
        <w:b/>
        <w:bCs/>
      </w:rPr>
    </w:tblStylePr>
    <w:tblStylePr w:type="lastCol">
      <w:rPr>
        <w:b/>
        <w:bCs/>
      </w:rPr>
      <w:tblPr/>
      <w:tcPr>
        <w:tcBorders>
          <w:top w:val="single" w:sz="8" w:space="0" w:color="DCDDDE"/>
          <w:bottom w:val="single" w:sz="8" w:space="0" w:color="DCDDDE"/>
        </w:tcBorders>
      </w:tcPr>
    </w:tblStylePr>
    <w:tblStylePr w:type="band1Vert">
      <w:tblPr/>
      <w:tcPr>
        <w:shd w:val="clear" w:color="auto" w:fill="F6F6F6"/>
      </w:tcPr>
    </w:tblStylePr>
    <w:tblStylePr w:type="band1Horz">
      <w:tblPr/>
      <w:tcPr>
        <w:shd w:val="clear" w:color="auto" w:fill="F6F6F6"/>
      </w:tcPr>
    </w:tblStylePr>
  </w:style>
  <w:style w:type="table" w:customStyle="1" w:styleId="MediumList21">
    <w:name w:val="Medium List 21"/>
    <w:basedOn w:val="TableNormal"/>
    <w:uiPriority w:val="66"/>
    <w:rsid w:val="00AE5E7D"/>
    <w:rPr>
      <w:rFonts w:ascii="Arial"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E5E7D"/>
    <w:rPr>
      <w:rFonts w:ascii="Arial" w:hAnsi="Arial"/>
      <w:color w:val="000000"/>
    </w:rPr>
    <w:tblPr>
      <w:tblStyleRowBandSize w:val="1"/>
      <w:tblStyleColBandSize w:val="1"/>
      <w:tblBorders>
        <w:top w:val="single" w:sz="8" w:space="0" w:color="939598"/>
        <w:left w:val="single" w:sz="8" w:space="0" w:color="939598"/>
        <w:bottom w:val="single" w:sz="8" w:space="0" w:color="939598"/>
        <w:right w:val="single" w:sz="8" w:space="0" w:color="939598"/>
      </w:tblBorders>
    </w:tblPr>
    <w:tblStylePr w:type="firstRow">
      <w:rPr>
        <w:sz w:val="24"/>
        <w:szCs w:val="24"/>
      </w:rPr>
      <w:tblPr/>
      <w:tcPr>
        <w:tcBorders>
          <w:top w:val="nil"/>
          <w:left w:val="nil"/>
          <w:bottom w:val="single" w:sz="24" w:space="0" w:color="939598"/>
          <w:right w:val="nil"/>
          <w:insideH w:val="nil"/>
          <w:insideV w:val="nil"/>
        </w:tcBorders>
        <w:shd w:val="clear" w:color="auto" w:fill="FFFFFF"/>
      </w:tcPr>
    </w:tblStylePr>
    <w:tblStylePr w:type="lastRow">
      <w:tblPr/>
      <w:tcPr>
        <w:tcBorders>
          <w:top w:val="single" w:sz="8" w:space="0" w:color="939598"/>
          <w:left w:val="nil"/>
          <w:bottom w:val="nil"/>
          <w:right w:val="nil"/>
          <w:insideH w:val="nil"/>
          <w:insideV w:val="nil"/>
        </w:tcBorders>
        <w:shd w:val="clear" w:color="auto" w:fill="FFFFFF"/>
      </w:tcPr>
    </w:tblStylePr>
    <w:tblStylePr w:type="firstCol">
      <w:tblPr/>
      <w:tcPr>
        <w:tcBorders>
          <w:top w:val="nil"/>
          <w:left w:val="nil"/>
          <w:bottom w:val="nil"/>
          <w:right w:val="single" w:sz="8" w:space="0" w:color="939598"/>
          <w:insideH w:val="nil"/>
          <w:insideV w:val="nil"/>
        </w:tcBorders>
        <w:shd w:val="clear" w:color="auto" w:fill="FFFFFF"/>
      </w:tcPr>
    </w:tblStylePr>
    <w:tblStylePr w:type="lastCol">
      <w:tblPr/>
      <w:tcPr>
        <w:tcBorders>
          <w:top w:val="nil"/>
          <w:left w:val="single" w:sz="8" w:space="0" w:color="9395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4E5"/>
      </w:tcPr>
    </w:tblStylePr>
    <w:tblStylePr w:type="band1Horz">
      <w:tblPr/>
      <w:tcPr>
        <w:tcBorders>
          <w:top w:val="nil"/>
          <w:bottom w:val="nil"/>
          <w:insideH w:val="nil"/>
          <w:insideV w:val="nil"/>
        </w:tcBorders>
        <w:shd w:val="clear" w:color="auto" w:fill="E4E4E5"/>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E5E7D"/>
    <w:rPr>
      <w:rFonts w:ascii="Arial" w:hAnsi="Arial"/>
      <w:color w:val="000000"/>
    </w:rPr>
    <w:tblPr>
      <w:tblStyleRowBandSize w:val="1"/>
      <w:tblStyleColBandSize w:val="1"/>
      <w:tblBorders>
        <w:top w:val="single" w:sz="8" w:space="0" w:color="4F2683"/>
        <w:left w:val="single" w:sz="8" w:space="0" w:color="4F2683"/>
        <w:bottom w:val="single" w:sz="8" w:space="0" w:color="4F2683"/>
        <w:right w:val="single" w:sz="8" w:space="0" w:color="4F2683"/>
      </w:tblBorders>
    </w:tblPr>
    <w:tblStylePr w:type="firstRow">
      <w:rPr>
        <w:sz w:val="24"/>
        <w:szCs w:val="24"/>
      </w:rPr>
      <w:tblPr/>
      <w:tcPr>
        <w:tcBorders>
          <w:top w:val="nil"/>
          <w:left w:val="nil"/>
          <w:bottom w:val="single" w:sz="24" w:space="0" w:color="4F2683"/>
          <w:right w:val="nil"/>
          <w:insideH w:val="nil"/>
          <w:insideV w:val="nil"/>
        </w:tcBorders>
        <w:shd w:val="clear" w:color="auto" w:fill="FFFFFF"/>
      </w:tcPr>
    </w:tblStylePr>
    <w:tblStylePr w:type="lastRow">
      <w:tblPr/>
      <w:tcPr>
        <w:tcBorders>
          <w:top w:val="single" w:sz="8" w:space="0" w:color="4F2683"/>
          <w:left w:val="nil"/>
          <w:bottom w:val="nil"/>
          <w:right w:val="nil"/>
          <w:insideH w:val="nil"/>
          <w:insideV w:val="nil"/>
        </w:tcBorders>
        <w:shd w:val="clear" w:color="auto" w:fill="FFFFFF"/>
      </w:tcPr>
    </w:tblStylePr>
    <w:tblStylePr w:type="firstCol">
      <w:tblPr/>
      <w:tcPr>
        <w:tcBorders>
          <w:top w:val="nil"/>
          <w:left w:val="nil"/>
          <w:bottom w:val="nil"/>
          <w:right w:val="single" w:sz="8" w:space="0" w:color="4F2683"/>
          <w:insideH w:val="nil"/>
          <w:insideV w:val="nil"/>
        </w:tcBorders>
        <w:shd w:val="clear" w:color="auto" w:fill="FFFFFF"/>
      </w:tcPr>
    </w:tblStylePr>
    <w:tblStylePr w:type="lastCol">
      <w:tblPr/>
      <w:tcPr>
        <w:tcBorders>
          <w:top w:val="nil"/>
          <w:left w:val="single" w:sz="8" w:space="0" w:color="4F268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1BDEC"/>
      </w:tcPr>
    </w:tblStylePr>
    <w:tblStylePr w:type="band1Horz">
      <w:tblPr/>
      <w:tcPr>
        <w:tcBorders>
          <w:top w:val="nil"/>
          <w:bottom w:val="nil"/>
          <w:insideH w:val="nil"/>
          <w:insideV w:val="nil"/>
        </w:tcBorders>
        <w:shd w:val="clear" w:color="auto" w:fill="D1BDEC"/>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E5E7D"/>
    <w:rPr>
      <w:rFonts w:ascii="Arial" w:hAnsi="Arial"/>
      <w:color w:val="000000"/>
    </w:rPr>
    <w:tblPr>
      <w:tblStyleRowBandSize w:val="1"/>
      <w:tblStyleColBandSize w:val="1"/>
      <w:tblBorders>
        <w:top w:val="single" w:sz="8" w:space="0" w:color="E60F87"/>
        <w:left w:val="single" w:sz="8" w:space="0" w:color="E60F87"/>
        <w:bottom w:val="single" w:sz="8" w:space="0" w:color="E60F87"/>
        <w:right w:val="single" w:sz="8" w:space="0" w:color="E60F87"/>
      </w:tblBorders>
    </w:tblPr>
    <w:tblStylePr w:type="firstRow">
      <w:rPr>
        <w:sz w:val="24"/>
        <w:szCs w:val="24"/>
      </w:rPr>
      <w:tblPr/>
      <w:tcPr>
        <w:tcBorders>
          <w:top w:val="nil"/>
          <w:left w:val="nil"/>
          <w:bottom w:val="single" w:sz="24" w:space="0" w:color="E60F87"/>
          <w:right w:val="nil"/>
          <w:insideH w:val="nil"/>
          <w:insideV w:val="nil"/>
        </w:tcBorders>
        <w:shd w:val="clear" w:color="auto" w:fill="FFFFFF"/>
      </w:tcPr>
    </w:tblStylePr>
    <w:tblStylePr w:type="lastRow">
      <w:tblPr/>
      <w:tcPr>
        <w:tcBorders>
          <w:top w:val="single" w:sz="8" w:space="0" w:color="E60F87"/>
          <w:left w:val="nil"/>
          <w:bottom w:val="nil"/>
          <w:right w:val="nil"/>
          <w:insideH w:val="nil"/>
          <w:insideV w:val="nil"/>
        </w:tcBorders>
        <w:shd w:val="clear" w:color="auto" w:fill="FFFFFF"/>
      </w:tcPr>
    </w:tblStylePr>
    <w:tblStylePr w:type="firstCol">
      <w:tblPr/>
      <w:tcPr>
        <w:tcBorders>
          <w:top w:val="nil"/>
          <w:left w:val="nil"/>
          <w:bottom w:val="nil"/>
          <w:right w:val="single" w:sz="8" w:space="0" w:color="E60F87"/>
          <w:insideH w:val="nil"/>
          <w:insideV w:val="nil"/>
        </w:tcBorders>
        <w:shd w:val="clear" w:color="auto" w:fill="FFFFFF"/>
      </w:tcPr>
    </w:tblStylePr>
    <w:tblStylePr w:type="lastCol">
      <w:tblPr/>
      <w:tcPr>
        <w:tcBorders>
          <w:top w:val="nil"/>
          <w:left w:val="single" w:sz="8" w:space="0" w:color="E60F8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C1E1"/>
      </w:tcPr>
    </w:tblStylePr>
    <w:tblStylePr w:type="band1Horz">
      <w:tblPr/>
      <w:tcPr>
        <w:tcBorders>
          <w:top w:val="nil"/>
          <w:bottom w:val="nil"/>
          <w:insideH w:val="nil"/>
          <w:insideV w:val="nil"/>
        </w:tcBorders>
        <w:shd w:val="clear" w:color="auto" w:fill="FBC1E1"/>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E5E7D"/>
    <w:rPr>
      <w:rFonts w:ascii="Arial" w:hAnsi="Arial"/>
      <w:color w:val="000000"/>
    </w:rPr>
    <w:tblPr>
      <w:tblStyleRowBandSize w:val="1"/>
      <w:tblStyleColBandSize w:val="1"/>
      <w:tblBorders>
        <w:top w:val="single" w:sz="8" w:space="0" w:color="F38F1D"/>
        <w:left w:val="single" w:sz="8" w:space="0" w:color="F38F1D"/>
        <w:bottom w:val="single" w:sz="8" w:space="0" w:color="F38F1D"/>
        <w:right w:val="single" w:sz="8" w:space="0" w:color="F38F1D"/>
      </w:tblBorders>
    </w:tblPr>
    <w:tblStylePr w:type="firstRow">
      <w:rPr>
        <w:sz w:val="24"/>
        <w:szCs w:val="24"/>
      </w:rPr>
      <w:tblPr/>
      <w:tcPr>
        <w:tcBorders>
          <w:top w:val="nil"/>
          <w:left w:val="nil"/>
          <w:bottom w:val="single" w:sz="24" w:space="0" w:color="F38F1D"/>
          <w:right w:val="nil"/>
          <w:insideH w:val="nil"/>
          <w:insideV w:val="nil"/>
        </w:tcBorders>
        <w:shd w:val="clear" w:color="auto" w:fill="FFFFFF"/>
      </w:tcPr>
    </w:tblStylePr>
    <w:tblStylePr w:type="lastRow">
      <w:tblPr/>
      <w:tcPr>
        <w:tcBorders>
          <w:top w:val="single" w:sz="8" w:space="0" w:color="F38F1D"/>
          <w:left w:val="nil"/>
          <w:bottom w:val="nil"/>
          <w:right w:val="nil"/>
          <w:insideH w:val="nil"/>
          <w:insideV w:val="nil"/>
        </w:tcBorders>
        <w:shd w:val="clear" w:color="auto" w:fill="FFFFFF"/>
      </w:tcPr>
    </w:tblStylePr>
    <w:tblStylePr w:type="firstCol">
      <w:tblPr/>
      <w:tcPr>
        <w:tcBorders>
          <w:top w:val="nil"/>
          <w:left w:val="nil"/>
          <w:bottom w:val="nil"/>
          <w:right w:val="single" w:sz="8" w:space="0" w:color="F38F1D"/>
          <w:insideH w:val="nil"/>
          <w:insideV w:val="nil"/>
        </w:tcBorders>
        <w:shd w:val="clear" w:color="auto" w:fill="FFFFFF"/>
      </w:tcPr>
    </w:tblStylePr>
    <w:tblStylePr w:type="lastCol">
      <w:tblPr/>
      <w:tcPr>
        <w:tcBorders>
          <w:top w:val="nil"/>
          <w:left w:val="single" w:sz="8" w:space="0" w:color="F38F1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3C6"/>
      </w:tcPr>
    </w:tblStylePr>
    <w:tblStylePr w:type="band1Horz">
      <w:tblPr/>
      <w:tcPr>
        <w:tcBorders>
          <w:top w:val="nil"/>
          <w:bottom w:val="nil"/>
          <w:insideH w:val="nil"/>
          <w:insideV w:val="nil"/>
        </w:tcBorders>
        <w:shd w:val="clear" w:color="auto" w:fill="FCE3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E5E7D"/>
    <w:rPr>
      <w:rFonts w:ascii="Arial" w:hAnsi="Arial"/>
      <w:color w:val="000000"/>
    </w:rPr>
    <w:tblPr>
      <w:tblStyleRowBandSize w:val="1"/>
      <w:tblStyleColBandSize w:val="1"/>
      <w:tblBorders>
        <w:top w:val="single" w:sz="8" w:space="0" w:color="FDB924"/>
        <w:left w:val="single" w:sz="8" w:space="0" w:color="FDB924"/>
        <w:bottom w:val="single" w:sz="8" w:space="0" w:color="FDB924"/>
        <w:right w:val="single" w:sz="8" w:space="0" w:color="FDB924"/>
      </w:tblBorders>
    </w:tblPr>
    <w:tblStylePr w:type="firstRow">
      <w:rPr>
        <w:sz w:val="24"/>
        <w:szCs w:val="24"/>
      </w:rPr>
      <w:tblPr/>
      <w:tcPr>
        <w:tcBorders>
          <w:top w:val="nil"/>
          <w:left w:val="nil"/>
          <w:bottom w:val="single" w:sz="24" w:space="0" w:color="FDB924"/>
          <w:right w:val="nil"/>
          <w:insideH w:val="nil"/>
          <w:insideV w:val="nil"/>
        </w:tcBorders>
        <w:shd w:val="clear" w:color="auto" w:fill="FFFFFF"/>
      </w:tcPr>
    </w:tblStylePr>
    <w:tblStylePr w:type="lastRow">
      <w:tblPr/>
      <w:tcPr>
        <w:tcBorders>
          <w:top w:val="single" w:sz="8" w:space="0" w:color="FDB924"/>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924"/>
          <w:insideH w:val="nil"/>
          <w:insideV w:val="nil"/>
        </w:tcBorders>
        <w:shd w:val="clear" w:color="auto" w:fill="FFFFFF"/>
      </w:tcPr>
    </w:tblStylePr>
    <w:tblStylePr w:type="lastCol">
      <w:tblPr/>
      <w:tcPr>
        <w:tcBorders>
          <w:top w:val="nil"/>
          <w:left w:val="single" w:sz="8" w:space="0" w:color="FDB9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8"/>
      </w:tcPr>
    </w:tblStylePr>
    <w:tblStylePr w:type="band1Horz">
      <w:tblPr/>
      <w:tcPr>
        <w:tcBorders>
          <w:top w:val="nil"/>
          <w:bottom w:val="nil"/>
          <w:insideH w:val="nil"/>
          <w:insideV w:val="nil"/>
        </w:tcBorders>
        <w:shd w:val="clear" w:color="auto" w:fill="FEEDC8"/>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E5E7D"/>
    <w:rPr>
      <w:rFonts w:ascii="Arial" w:hAnsi="Arial"/>
      <w:color w:val="000000"/>
    </w:rPr>
    <w:tblPr>
      <w:tblStyleRowBandSize w:val="1"/>
      <w:tblStyleColBandSize w:val="1"/>
      <w:tblBorders>
        <w:top w:val="single" w:sz="8" w:space="0" w:color="DCDDDE"/>
        <w:left w:val="single" w:sz="8" w:space="0" w:color="DCDDDE"/>
        <w:bottom w:val="single" w:sz="8" w:space="0" w:color="DCDDDE"/>
        <w:right w:val="single" w:sz="8" w:space="0" w:color="DCDDDE"/>
      </w:tblBorders>
    </w:tblPr>
    <w:tblStylePr w:type="firstRow">
      <w:rPr>
        <w:sz w:val="24"/>
        <w:szCs w:val="24"/>
      </w:rPr>
      <w:tblPr/>
      <w:tcPr>
        <w:tcBorders>
          <w:top w:val="nil"/>
          <w:left w:val="nil"/>
          <w:bottom w:val="single" w:sz="24" w:space="0" w:color="DCDDDE"/>
          <w:right w:val="nil"/>
          <w:insideH w:val="nil"/>
          <w:insideV w:val="nil"/>
        </w:tcBorders>
        <w:shd w:val="clear" w:color="auto" w:fill="FFFFFF"/>
      </w:tcPr>
    </w:tblStylePr>
    <w:tblStylePr w:type="lastRow">
      <w:tblPr/>
      <w:tcPr>
        <w:tcBorders>
          <w:top w:val="single" w:sz="8" w:space="0" w:color="DCDDDE"/>
          <w:left w:val="nil"/>
          <w:bottom w:val="nil"/>
          <w:right w:val="nil"/>
          <w:insideH w:val="nil"/>
          <w:insideV w:val="nil"/>
        </w:tcBorders>
        <w:shd w:val="clear" w:color="auto" w:fill="FFFFFF"/>
      </w:tcPr>
    </w:tblStylePr>
    <w:tblStylePr w:type="firstCol">
      <w:tblPr/>
      <w:tcPr>
        <w:tcBorders>
          <w:top w:val="nil"/>
          <w:left w:val="nil"/>
          <w:bottom w:val="nil"/>
          <w:right w:val="single" w:sz="8" w:space="0" w:color="DCDDDE"/>
          <w:insideH w:val="nil"/>
          <w:insideV w:val="nil"/>
        </w:tcBorders>
        <w:shd w:val="clear" w:color="auto" w:fill="FFFFFF"/>
      </w:tcPr>
    </w:tblStylePr>
    <w:tblStylePr w:type="lastCol">
      <w:tblPr/>
      <w:tcPr>
        <w:tcBorders>
          <w:top w:val="nil"/>
          <w:left w:val="single" w:sz="8" w:space="0" w:color="DCDDD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6F6"/>
      </w:tcPr>
    </w:tblStylePr>
    <w:tblStylePr w:type="band1Horz">
      <w:tblPr/>
      <w:tcPr>
        <w:tcBorders>
          <w:top w:val="nil"/>
          <w:bottom w:val="nil"/>
          <w:insideH w:val="nil"/>
          <w:insideV w:val="nil"/>
        </w:tcBorders>
        <w:shd w:val="clear" w:color="auto" w:fill="F6F6F6"/>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AE5E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E5E7D"/>
    <w:tblPr>
      <w:tblStyleRowBandSize w:val="1"/>
      <w:tblStyleColBandSize w:val="1"/>
      <w:tblBorders>
        <w:top w:val="single" w:sz="8" w:space="0" w:color="ADAFB1"/>
        <w:left w:val="single" w:sz="8" w:space="0" w:color="ADAFB1"/>
        <w:bottom w:val="single" w:sz="8" w:space="0" w:color="ADAFB1"/>
        <w:right w:val="single" w:sz="8" w:space="0" w:color="ADAFB1"/>
        <w:insideH w:val="single" w:sz="8" w:space="0" w:color="ADAFB1"/>
      </w:tblBorders>
    </w:tblPr>
    <w:tblStylePr w:type="firstRow">
      <w:pPr>
        <w:spacing w:before="0" w:after="0" w:line="240" w:lineRule="auto"/>
      </w:pPr>
      <w:rPr>
        <w:b/>
        <w:bCs/>
        <w:color w:val="FFFFFF"/>
      </w:rPr>
      <w:tblPr/>
      <w:tcPr>
        <w:tcBorders>
          <w:top w:val="single" w:sz="8" w:space="0" w:color="ADAFB1"/>
          <w:left w:val="single" w:sz="8" w:space="0" w:color="ADAFB1"/>
          <w:bottom w:val="single" w:sz="8" w:space="0" w:color="ADAFB1"/>
          <w:right w:val="single" w:sz="8" w:space="0" w:color="ADAFB1"/>
          <w:insideH w:val="nil"/>
          <w:insideV w:val="nil"/>
        </w:tcBorders>
        <w:shd w:val="clear" w:color="auto" w:fill="939598"/>
      </w:tcPr>
    </w:tblStylePr>
    <w:tblStylePr w:type="lastRow">
      <w:pPr>
        <w:spacing w:before="0" w:after="0" w:line="240" w:lineRule="auto"/>
      </w:pPr>
      <w:rPr>
        <w:b/>
        <w:bCs/>
      </w:rPr>
      <w:tblPr/>
      <w:tcPr>
        <w:tcBorders>
          <w:top w:val="double" w:sz="6" w:space="0" w:color="ADAFB1"/>
          <w:left w:val="single" w:sz="8" w:space="0" w:color="ADAFB1"/>
          <w:bottom w:val="single" w:sz="8" w:space="0" w:color="ADAFB1"/>
          <w:right w:val="single" w:sz="8" w:space="0" w:color="ADAFB1"/>
          <w:insideH w:val="nil"/>
          <w:insideV w:val="nil"/>
        </w:tcBorders>
      </w:tcPr>
    </w:tblStylePr>
    <w:tblStylePr w:type="firstCol">
      <w:rPr>
        <w:b/>
        <w:bCs/>
      </w:rPr>
    </w:tblStylePr>
    <w:tblStylePr w:type="lastCol">
      <w:rPr>
        <w:b/>
        <w:bCs/>
      </w:rPr>
    </w:tblStylePr>
    <w:tblStylePr w:type="band1Vert">
      <w:tblPr/>
      <w:tcPr>
        <w:shd w:val="clear" w:color="auto" w:fill="E4E4E5"/>
      </w:tcPr>
    </w:tblStylePr>
    <w:tblStylePr w:type="band1Horz">
      <w:tblPr/>
      <w:tcPr>
        <w:tcBorders>
          <w:insideH w:val="nil"/>
          <w:insideV w:val="nil"/>
        </w:tcBorders>
        <w:shd w:val="clear" w:color="auto" w:fill="E4E4E5"/>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E5E7D"/>
    <w:tblPr>
      <w:tblStyleRowBandSize w:val="1"/>
      <w:tblStyleColBandSize w:val="1"/>
      <w:tblBorders>
        <w:top w:val="single" w:sz="8" w:space="0" w:color="7639C5"/>
        <w:left w:val="single" w:sz="8" w:space="0" w:color="7639C5"/>
        <w:bottom w:val="single" w:sz="8" w:space="0" w:color="7639C5"/>
        <w:right w:val="single" w:sz="8" w:space="0" w:color="7639C5"/>
        <w:insideH w:val="single" w:sz="8" w:space="0" w:color="7639C5"/>
      </w:tblBorders>
    </w:tblPr>
    <w:tblStylePr w:type="firstRow">
      <w:pPr>
        <w:spacing w:before="0" w:after="0" w:line="240" w:lineRule="auto"/>
      </w:pPr>
      <w:rPr>
        <w:b/>
        <w:bCs/>
        <w:color w:val="FFFFFF"/>
      </w:rPr>
      <w:tblPr/>
      <w:tcPr>
        <w:tcBorders>
          <w:top w:val="single" w:sz="8" w:space="0" w:color="7639C5"/>
          <w:left w:val="single" w:sz="8" w:space="0" w:color="7639C5"/>
          <w:bottom w:val="single" w:sz="8" w:space="0" w:color="7639C5"/>
          <w:right w:val="single" w:sz="8" w:space="0" w:color="7639C5"/>
          <w:insideH w:val="nil"/>
          <w:insideV w:val="nil"/>
        </w:tcBorders>
        <w:shd w:val="clear" w:color="auto" w:fill="4F2683"/>
      </w:tcPr>
    </w:tblStylePr>
    <w:tblStylePr w:type="lastRow">
      <w:pPr>
        <w:spacing w:before="0" w:after="0" w:line="240" w:lineRule="auto"/>
      </w:pPr>
      <w:rPr>
        <w:b/>
        <w:bCs/>
      </w:rPr>
      <w:tblPr/>
      <w:tcPr>
        <w:tcBorders>
          <w:top w:val="double" w:sz="6" w:space="0" w:color="7639C5"/>
          <w:left w:val="single" w:sz="8" w:space="0" w:color="7639C5"/>
          <w:bottom w:val="single" w:sz="8" w:space="0" w:color="7639C5"/>
          <w:right w:val="single" w:sz="8" w:space="0" w:color="7639C5"/>
          <w:insideH w:val="nil"/>
          <w:insideV w:val="nil"/>
        </w:tcBorders>
      </w:tcPr>
    </w:tblStylePr>
    <w:tblStylePr w:type="firstCol">
      <w:rPr>
        <w:b/>
        <w:bCs/>
      </w:rPr>
    </w:tblStylePr>
    <w:tblStylePr w:type="lastCol">
      <w:rPr>
        <w:b/>
        <w:bCs/>
      </w:rPr>
    </w:tblStylePr>
    <w:tblStylePr w:type="band1Vert">
      <w:tblPr/>
      <w:tcPr>
        <w:shd w:val="clear" w:color="auto" w:fill="D1BDEC"/>
      </w:tcPr>
    </w:tblStylePr>
    <w:tblStylePr w:type="band1Horz">
      <w:tblPr/>
      <w:tcPr>
        <w:tcBorders>
          <w:insideH w:val="nil"/>
          <w:insideV w:val="nil"/>
        </w:tcBorders>
        <w:shd w:val="clear" w:color="auto" w:fill="D1BDEC"/>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E5E7D"/>
    <w:tblPr>
      <w:tblStyleRowBandSize w:val="1"/>
      <w:tblStyleColBandSize w:val="1"/>
      <w:tblBorders>
        <w:top w:val="single" w:sz="8" w:space="0" w:color="F244A5"/>
        <w:left w:val="single" w:sz="8" w:space="0" w:color="F244A5"/>
        <w:bottom w:val="single" w:sz="8" w:space="0" w:color="F244A5"/>
        <w:right w:val="single" w:sz="8" w:space="0" w:color="F244A5"/>
        <w:insideH w:val="single" w:sz="8" w:space="0" w:color="F244A5"/>
      </w:tblBorders>
    </w:tblPr>
    <w:tblStylePr w:type="firstRow">
      <w:pPr>
        <w:spacing w:before="0" w:after="0" w:line="240" w:lineRule="auto"/>
      </w:pPr>
      <w:rPr>
        <w:b/>
        <w:bCs/>
        <w:color w:val="FFFFFF"/>
      </w:rPr>
      <w:tblPr/>
      <w:tcPr>
        <w:tcBorders>
          <w:top w:val="single" w:sz="8" w:space="0" w:color="F244A5"/>
          <w:left w:val="single" w:sz="8" w:space="0" w:color="F244A5"/>
          <w:bottom w:val="single" w:sz="8" w:space="0" w:color="F244A5"/>
          <w:right w:val="single" w:sz="8" w:space="0" w:color="F244A5"/>
          <w:insideH w:val="nil"/>
          <w:insideV w:val="nil"/>
        </w:tcBorders>
        <w:shd w:val="clear" w:color="auto" w:fill="E60F87"/>
      </w:tcPr>
    </w:tblStylePr>
    <w:tblStylePr w:type="lastRow">
      <w:pPr>
        <w:spacing w:before="0" w:after="0" w:line="240" w:lineRule="auto"/>
      </w:pPr>
      <w:rPr>
        <w:b/>
        <w:bCs/>
      </w:rPr>
      <w:tblPr/>
      <w:tcPr>
        <w:tcBorders>
          <w:top w:val="double" w:sz="6" w:space="0" w:color="F244A5"/>
          <w:left w:val="single" w:sz="8" w:space="0" w:color="F244A5"/>
          <w:bottom w:val="single" w:sz="8" w:space="0" w:color="F244A5"/>
          <w:right w:val="single" w:sz="8" w:space="0" w:color="F244A5"/>
          <w:insideH w:val="nil"/>
          <w:insideV w:val="nil"/>
        </w:tcBorders>
      </w:tcPr>
    </w:tblStylePr>
    <w:tblStylePr w:type="firstCol">
      <w:rPr>
        <w:b/>
        <w:bCs/>
      </w:rPr>
    </w:tblStylePr>
    <w:tblStylePr w:type="lastCol">
      <w:rPr>
        <w:b/>
        <w:bCs/>
      </w:rPr>
    </w:tblStylePr>
    <w:tblStylePr w:type="band1Vert">
      <w:tblPr/>
      <w:tcPr>
        <w:shd w:val="clear" w:color="auto" w:fill="FBC1E1"/>
      </w:tcPr>
    </w:tblStylePr>
    <w:tblStylePr w:type="band1Horz">
      <w:tblPr/>
      <w:tcPr>
        <w:tcBorders>
          <w:insideH w:val="nil"/>
          <w:insideV w:val="nil"/>
        </w:tcBorders>
        <w:shd w:val="clear" w:color="auto" w:fill="FBC1E1"/>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E5E7D"/>
    <w:tblPr>
      <w:tblStyleRowBandSize w:val="1"/>
      <w:tblStyleColBandSize w:val="1"/>
      <w:tblBorders>
        <w:top w:val="single" w:sz="8" w:space="0" w:color="F6AA55"/>
        <w:left w:val="single" w:sz="8" w:space="0" w:color="F6AA55"/>
        <w:bottom w:val="single" w:sz="8" w:space="0" w:color="F6AA55"/>
        <w:right w:val="single" w:sz="8" w:space="0" w:color="F6AA55"/>
        <w:insideH w:val="single" w:sz="8" w:space="0" w:color="F6AA55"/>
      </w:tblBorders>
    </w:tblPr>
    <w:tblStylePr w:type="firstRow">
      <w:pPr>
        <w:spacing w:before="0" w:after="0" w:line="240" w:lineRule="auto"/>
      </w:pPr>
      <w:rPr>
        <w:b/>
        <w:bCs/>
        <w:color w:val="FFFFFF"/>
      </w:rPr>
      <w:tblPr/>
      <w:tcPr>
        <w:tcBorders>
          <w:top w:val="single" w:sz="8" w:space="0" w:color="F6AA55"/>
          <w:left w:val="single" w:sz="8" w:space="0" w:color="F6AA55"/>
          <w:bottom w:val="single" w:sz="8" w:space="0" w:color="F6AA55"/>
          <w:right w:val="single" w:sz="8" w:space="0" w:color="F6AA55"/>
          <w:insideH w:val="nil"/>
          <w:insideV w:val="nil"/>
        </w:tcBorders>
        <w:shd w:val="clear" w:color="auto" w:fill="F38F1D"/>
      </w:tcPr>
    </w:tblStylePr>
    <w:tblStylePr w:type="lastRow">
      <w:pPr>
        <w:spacing w:before="0" w:after="0" w:line="240" w:lineRule="auto"/>
      </w:pPr>
      <w:rPr>
        <w:b/>
        <w:bCs/>
      </w:rPr>
      <w:tblPr/>
      <w:tcPr>
        <w:tcBorders>
          <w:top w:val="double" w:sz="6" w:space="0" w:color="F6AA55"/>
          <w:left w:val="single" w:sz="8" w:space="0" w:color="F6AA55"/>
          <w:bottom w:val="single" w:sz="8" w:space="0" w:color="F6AA55"/>
          <w:right w:val="single" w:sz="8" w:space="0" w:color="F6AA55"/>
          <w:insideH w:val="nil"/>
          <w:insideV w:val="nil"/>
        </w:tcBorders>
      </w:tcPr>
    </w:tblStylePr>
    <w:tblStylePr w:type="firstCol">
      <w:rPr>
        <w:b/>
        <w:bCs/>
      </w:rPr>
    </w:tblStylePr>
    <w:tblStylePr w:type="lastCol">
      <w:rPr>
        <w:b/>
        <w:bCs/>
      </w:rPr>
    </w:tblStylePr>
    <w:tblStylePr w:type="band1Vert">
      <w:tblPr/>
      <w:tcPr>
        <w:shd w:val="clear" w:color="auto" w:fill="FCE3C6"/>
      </w:tcPr>
    </w:tblStylePr>
    <w:tblStylePr w:type="band1Horz">
      <w:tblPr/>
      <w:tcPr>
        <w:tcBorders>
          <w:insideH w:val="nil"/>
          <w:insideV w:val="nil"/>
        </w:tcBorders>
        <w:shd w:val="clear" w:color="auto" w:fill="FCE3C6"/>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E5E7D"/>
    <w:tblPr>
      <w:tblStyleRowBandSize w:val="1"/>
      <w:tblStyleColBandSize w:val="1"/>
      <w:tblBorders>
        <w:top w:val="single" w:sz="8" w:space="0" w:color="FDCA5A"/>
        <w:left w:val="single" w:sz="8" w:space="0" w:color="FDCA5A"/>
        <w:bottom w:val="single" w:sz="8" w:space="0" w:color="FDCA5A"/>
        <w:right w:val="single" w:sz="8" w:space="0" w:color="FDCA5A"/>
        <w:insideH w:val="single" w:sz="8" w:space="0" w:color="FDCA5A"/>
      </w:tblBorders>
    </w:tblPr>
    <w:tblStylePr w:type="firstRow">
      <w:pPr>
        <w:spacing w:before="0" w:after="0" w:line="240" w:lineRule="auto"/>
      </w:pPr>
      <w:rPr>
        <w:b/>
        <w:bCs/>
        <w:color w:val="FFFFFF"/>
      </w:rPr>
      <w:tblPr/>
      <w:tcPr>
        <w:tcBorders>
          <w:top w:val="single" w:sz="8" w:space="0" w:color="FDCA5A"/>
          <w:left w:val="single" w:sz="8" w:space="0" w:color="FDCA5A"/>
          <w:bottom w:val="single" w:sz="8" w:space="0" w:color="FDCA5A"/>
          <w:right w:val="single" w:sz="8" w:space="0" w:color="FDCA5A"/>
          <w:insideH w:val="nil"/>
          <w:insideV w:val="nil"/>
        </w:tcBorders>
        <w:shd w:val="clear" w:color="auto" w:fill="FDB924"/>
      </w:tcPr>
    </w:tblStylePr>
    <w:tblStylePr w:type="lastRow">
      <w:pPr>
        <w:spacing w:before="0" w:after="0" w:line="240" w:lineRule="auto"/>
      </w:pPr>
      <w:rPr>
        <w:b/>
        <w:bCs/>
      </w:rPr>
      <w:tblPr/>
      <w:tcPr>
        <w:tcBorders>
          <w:top w:val="double" w:sz="6" w:space="0" w:color="FDCA5A"/>
          <w:left w:val="single" w:sz="8" w:space="0" w:color="FDCA5A"/>
          <w:bottom w:val="single" w:sz="8" w:space="0" w:color="FDCA5A"/>
          <w:right w:val="single" w:sz="8" w:space="0" w:color="FDCA5A"/>
          <w:insideH w:val="nil"/>
          <w:insideV w:val="nil"/>
        </w:tcBorders>
      </w:tcPr>
    </w:tblStylePr>
    <w:tblStylePr w:type="firstCol">
      <w:rPr>
        <w:b/>
        <w:bCs/>
      </w:rPr>
    </w:tblStylePr>
    <w:tblStylePr w:type="lastCol">
      <w:rPr>
        <w:b/>
        <w:bCs/>
      </w:rPr>
    </w:tblStylePr>
    <w:tblStylePr w:type="band1Vert">
      <w:tblPr/>
      <w:tcPr>
        <w:shd w:val="clear" w:color="auto" w:fill="FEEDC8"/>
      </w:tcPr>
    </w:tblStylePr>
    <w:tblStylePr w:type="band1Horz">
      <w:tblPr/>
      <w:tcPr>
        <w:tcBorders>
          <w:insideH w:val="nil"/>
          <w:insideV w:val="nil"/>
        </w:tcBorders>
        <w:shd w:val="clear" w:color="auto" w:fill="FEEDC8"/>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E5E7D"/>
    <w:tblPr>
      <w:tblStyleRowBandSize w:val="1"/>
      <w:tblStyleColBandSize w:val="1"/>
      <w:tblBorders>
        <w:top w:val="single" w:sz="8" w:space="0" w:color="E4E5E6"/>
        <w:left w:val="single" w:sz="8" w:space="0" w:color="E4E5E6"/>
        <w:bottom w:val="single" w:sz="8" w:space="0" w:color="E4E5E6"/>
        <w:right w:val="single" w:sz="8" w:space="0" w:color="E4E5E6"/>
        <w:insideH w:val="single" w:sz="8" w:space="0" w:color="E4E5E6"/>
      </w:tblBorders>
    </w:tblPr>
    <w:tblStylePr w:type="firstRow">
      <w:pPr>
        <w:spacing w:before="0" w:after="0" w:line="240" w:lineRule="auto"/>
      </w:pPr>
      <w:rPr>
        <w:b/>
        <w:bCs/>
        <w:color w:val="FFFFFF"/>
      </w:rPr>
      <w:tblPr/>
      <w:tcPr>
        <w:tcBorders>
          <w:top w:val="single" w:sz="8" w:space="0" w:color="E4E5E6"/>
          <w:left w:val="single" w:sz="8" w:space="0" w:color="E4E5E6"/>
          <w:bottom w:val="single" w:sz="8" w:space="0" w:color="E4E5E6"/>
          <w:right w:val="single" w:sz="8" w:space="0" w:color="E4E5E6"/>
          <w:insideH w:val="nil"/>
          <w:insideV w:val="nil"/>
        </w:tcBorders>
        <w:shd w:val="clear" w:color="auto" w:fill="DCDDDE"/>
      </w:tcPr>
    </w:tblStylePr>
    <w:tblStylePr w:type="lastRow">
      <w:pPr>
        <w:spacing w:before="0" w:after="0" w:line="240" w:lineRule="auto"/>
      </w:pPr>
      <w:rPr>
        <w:b/>
        <w:bCs/>
      </w:rPr>
      <w:tblPr/>
      <w:tcPr>
        <w:tcBorders>
          <w:top w:val="double" w:sz="6" w:space="0" w:color="E4E5E6"/>
          <w:left w:val="single" w:sz="8" w:space="0" w:color="E4E5E6"/>
          <w:bottom w:val="single" w:sz="8" w:space="0" w:color="E4E5E6"/>
          <w:right w:val="single" w:sz="8" w:space="0" w:color="E4E5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395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39598"/>
      </w:tcPr>
    </w:tblStylePr>
    <w:tblStylePr w:type="lastCol">
      <w:rPr>
        <w:b/>
        <w:bCs/>
        <w:color w:val="FFFFFF"/>
      </w:rPr>
      <w:tblPr/>
      <w:tcPr>
        <w:tcBorders>
          <w:left w:val="nil"/>
          <w:right w:val="nil"/>
          <w:insideH w:val="nil"/>
          <w:insideV w:val="nil"/>
        </w:tcBorders>
        <w:shd w:val="clear" w:color="auto" w:fill="9395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268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2683"/>
      </w:tcPr>
    </w:tblStylePr>
    <w:tblStylePr w:type="lastCol">
      <w:rPr>
        <w:b/>
        <w:bCs/>
        <w:color w:val="FFFFFF"/>
      </w:rPr>
      <w:tblPr/>
      <w:tcPr>
        <w:tcBorders>
          <w:left w:val="nil"/>
          <w:right w:val="nil"/>
          <w:insideH w:val="nil"/>
          <w:insideV w:val="nil"/>
        </w:tcBorders>
        <w:shd w:val="clear" w:color="auto" w:fill="4F268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60F8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60F87"/>
      </w:tcPr>
    </w:tblStylePr>
    <w:tblStylePr w:type="lastCol">
      <w:rPr>
        <w:b/>
        <w:bCs/>
        <w:color w:val="FFFFFF"/>
      </w:rPr>
      <w:tblPr/>
      <w:tcPr>
        <w:tcBorders>
          <w:left w:val="nil"/>
          <w:right w:val="nil"/>
          <w:insideH w:val="nil"/>
          <w:insideV w:val="nil"/>
        </w:tcBorders>
        <w:shd w:val="clear" w:color="auto" w:fill="E60F8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8F1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38F1D"/>
      </w:tcPr>
    </w:tblStylePr>
    <w:tblStylePr w:type="lastCol">
      <w:rPr>
        <w:b/>
        <w:bCs/>
        <w:color w:val="FFFFFF"/>
      </w:rPr>
      <w:tblPr/>
      <w:tcPr>
        <w:tcBorders>
          <w:left w:val="nil"/>
          <w:right w:val="nil"/>
          <w:insideH w:val="nil"/>
          <w:insideV w:val="nil"/>
        </w:tcBorders>
        <w:shd w:val="clear" w:color="auto" w:fill="F38F1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9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924"/>
      </w:tcPr>
    </w:tblStylePr>
    <w:tblStylePr w:type="lastCol">
      <w:rPr>
        <w:b/>
        <w:bCs/>
        <w:color w:val="FFFFFF"/>
      </w:rPr>
      <w:tblPr/>
      <w:tcPr>
        <w:tcBorders>
          <w:left w:val="nil"/>
          <w:right w:val="nil"/>
          <w:insideH w:val="nil"/>
          <w:insideV w:val="nil"/>
        </w:tcBorders>
        <w:shd w:val="clear" w:color="auto" w:fill="FDB9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CDDD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CDDDE"/>
      </w:tcPr>
    </w:tblStylePr>
    <w:tblStylePr w:type="lastCol">
      <w:rPr>
        <w:b/>
        <w:bCs/>
        <w:color w:val="FFFFFF"/>
      </w:rPr>
      <w:tblPr/>
      <w:tcPr>
        <w:tcBorders>
          <w:left w:val="nil"/>
          <w:right w:val="nil"/>
          <w:insideH w:val="nil"/>
          <w:insideV w:val="nil"/>
        </w:tcBorders>
        <w:shd w:val="clear" w:color="auto" w:fill="DCDDD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E5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lang w:eastAsia="en-GB"/>
    </w:rPr>
  </w:style>
  <w:style w:type="character" w:customStyle="1" w:styleId="MessageHeaderChar">
    <w:name w:val="Message Header Char"/>
    <w:basedOn w:val="DefaultParagraphFont"/>
    <w:link w:val="MessageHeader"/>
    <w:rsid w:val="00AE5E7D"/>
    <w:rPr>
      <w:rFonts w:ascii="Arial" w:eastAsia="Times New Roman" w:hAnsi="Arial" w:cs="Times New Roman"/>
      <w:sz w:val="24"/>
      <w:szCs w:val="24"/>
      <w:shd w:val="pct20" w:color="auto" w:fill="auto"/>
    </w:rPr>
  </w:style>
  <w:style w:type="paragraph" w:styleId="NoSpacing">
    <w:name w:val="No Spacing"/>
    <w:uiPriority w:val="1"/>
    <w:rsid w:val="00AE5E7D"/>
    <w:rPr>
      <w:szCs w:val="24"/>
      <w:lang w:val="en-GB" w:eastAsia="en-GB"/>
    </w:rPr>
  </w:style>
  <w:style w:type="paragraph" w:styleId="NormalWeb">
    <w:name w:val="Normal (Web)"/>
    <w:basedOn w:val="Normal"/>
    <w:uiPriority w:val="99"/>
    <w:rsid w:val="00AE5E7D"/>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AE5E7D"/>
    <w:pPr>
      <w:spacing w:after="0" w:line="240" w:lineRule="auto"/>
      <w:ind w:left="720"/>
    </w:pPr>
    <w:rPr>
      <w:rFonts w:ascii="Times New Roman" w:eastAsia="Times New Roman" w:hAnsi="Times New Roman"/>
      <w:sz w:val="20"/>
      <w:szCs w:val="24"/>
      <w:lang w:eastAsia="en-GB"/>
    </w:rPr>
  </w:style>
  <w:style w:type="paragraph" w:styleId="NoteHeading">
    <w:name w:val="Note Heading"/>
    <w:basedOn w:val="Normal"/>
    <w:next w:val="Normal"/>
    <w:link w:val="NoteHeadingChar"/>
    <w:rsid w:val="00AE5E7D"/>
    <w:pPr>
      <w:spacing w:after="0" w:line="240" w:lineRule="auto"/>
    </w:pPr>
    <w:rPr>
      <w:rFonts w:ascii="Times New Roman" w:eastAsia="Times New Roman" w:hAnsi="Times New Roman"/>
      <w:sz w:val="20"/>
      <w:szCs w:val="24"/>
      <w:lang w:eastAsia="en-GB"/>
    </w:rPr>
  </w:style>
  <w:style w:type="character" w:customStyle="1" w:styleId="NoteHeadingChar">
    <w:name w:val="Note Heading Char"/>
    <w:basedOn w:val="DefaultParagraphFont"/>
    <w:link w:val="NoteHeading"/>
    <w:rsid w:val="00AE5E7D"/>
    <w:rPr>
      <w:szCs w:val="24"/>
    </w:rPr>
  </w:style>
  <w:style w:type="character" w:styleId="PlaceholderText">
    <w:name w:val="Placeholder Text"/>
    <w:basedOn w:val="DefaultParagraphFont"/>
    <w:uiPriority w:val="99"/>
    <w:semiHidden/>
    <w:rsid w:val="00AE5E7D"/>
    <w:rPr>
      <w:color w:val="808080"/>
    </w:rPr>
  </w:style>
  <w:style w:type="paragraph" w:styleId="PlainText">
    <w:name w:val="Plain Text"/>
    <w:basedOn w:val="Normal"/>
    <w:link w:val="PlainTextChar"/>
    <w:rsid w:val="00AE5E7D"/>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AE5E7D"/>
    <w:rPr>
      <w:rFonts w:ascii="Courier New" w:hAnsi="Courier New" w:cs="Courier New"/>
    </w:rPr>
  </w:style>
  <w:style w:type="paragraph" w:styleId="Quote">
    <w:name w:val="Quote"/>
    <w:basedOn w:val="Normal"/>
    <w:next w:val="Normal"/>
    <w:link w:val="QuoteChar"/>
    <w:uiPriority w:val="29"/>
    <w:rsid w:val="00AE5E7D"/>
    <w:pPr>
      <w:spacing w:after="0" w:line="240" w:lineRule="auto"/>
    </w:pPr>
    <w:rPr>
      <w:rFonts w:ascii="Times New Roman" w:eastAsia="Times New Roman" w:hAnsi="Times New Roman"/>
      <w:i/>
      <w:iCs/>
      <w:color w:val="000000"/>
      <w:sz w:val="20"/>
      <w:szCs w:val="24"/>
      <w:lang w:eastAsia="en-GB"/>
    </w:rPr>
  </w:style>
  <w:style w:type="character" w:customStyle="1" w:styleId="QuoteChar">
    <w:name w:val="Quote Char"/>
    <w:basedOn w:val="DefaultParagraphFont"/>
    <w:link w:val="Quote"/>
    <w:uiPriority w:val="29"/>
    <w:rsid w:val="00AE5E7D"/>
    <w:rPr>
      <w:i/>
      <w:iCs/>
      <w:color w:val="000000"/>
      <w:szCs w:val="24"/>
    </w:rPr>
  </w:style>
  <w:style w:type="paragraph" w:styleId="Salutation">
    <w:name w:val="Salutation"/>
    <w:basedOn w:val="Normal"/>
    <w:next w:val="Normal"/>
    <w:link w:val="SalutationChar"/>
    <w:rsid w:val="00AE5E7D"/>
    <w:pPr>
      <w:spacing w:after="0" w:line="240" w:lineRule="auto"/>
    </w:pPr>
    <w:rPr>
      <w:rFonts w:ascii="Times New Roman" w:eastAsia="Times New Roman" w:hAnsi="Times New Roman"/>
      <w:sz w:val="20"/>
      <w:szCs w:val="24"/>
      <w:lang w:eastAsia="en-GB"/>
    </w:rPr>
  </w:style>
  <w:style w:type="character" w:customStyle="1" w:styleId="SalutationChar">
    <w:name w:val="Salutation Char"/>
    <w:basedOn w:val="DefaultParagraphFont"/>
    <w:link w:val="Salutation"/>
    <w:rsid w:val="00AE5E7D"/>
    <w:rPr>
      <w:szCs w:val="24"/>
    </w:rPr>
  </w:style>
  <w:style w:type="paragraph" w:styleId="Signature">
    <w:name w:val="Signature"/>
    <w:basedOn w:val="Normal"/>
    <w:link w:val="SignatureChar"/>
    <w:rsid w:val="00AE5E7D"/>
    <w:pPr>
      <w:spacing w:after="0" w:line="240" w:lineRule="auto"/>
      <w:ind w:left="4252"/>
    </w:pPr>
    <w:rPr>
      <w:rFonts w:ascii="Times New Roman" w:eastAsia="Times New Roman" w:hAnsi="Times New Roman"/>
      <w:sz w:val="20"/>
      <w:szCs w:val="24"/>
      <w:lang w:eastAsia="en-GB"/>
    </w:rPr>
  </w:style>
  <w:style w:type="character" w:customStyle="1" w:styleId="SignatureChar">
    <w:name w:val="Signature Char"/>
    <w:basedOn w:val="DefaultParagraphFont"/>
    <w:link w:val="Signature"/>
    <w:rsid w:val="00AE5E7D"/>
    <w:rPr>
      <w:szCs w:val="24"/>
    </w:rPr>
  </w:style>
  <w:style w:type="character" w:styleId="Strong">
    <w:name w:val="Strong"/>
    <w:basedOn w:val="DefaultParagraphFont"/>
    <w:uiPriority w:val="22"/>
    <w:qFormat/>
    <w:rsid w:val="00AE5E7D"/>
    <w:rPr>
      <w:b/>
      <w:bCs/>
    </w:rPr>
  </w:style>
  <w:style w:type="character" w:styleId="SubtleEmphasis">
    <w:name w:val="Subtle Emphasis"/>
    <w:basedOn w:val="DefaultParagraphFont"/>
    <w:uiPriority w:val="19"/>
    <w:rsid w:val="00AE5E7D"/>
    <w:rPr>
      <w:i/>
      <w:iCs/>
      <w:color w:val="808080"/>
    </w:rPr>
  </w:style>
  <w:style w:type="character" w:styleId="SubtleReference">
    <w:name w:val="Subtle Reference"/>
    <w:basedOn w:val="DefaultParagraphFont"/>
    <w:uiPriority w:val="31"/>
    <w:rsid w:val="00AE5E7D"/>
    <w:rPr>
      <w:smallCaps/>
      <w:color w:val="4F2683"/>
      <w:u w:val="single"/>
    </w:rPr>
  </w:style>
  <w:style w:type="table" w:styleId="Table3Deffects1">
    <w:name w:val="Table 3D effects 1"/>
    <w:basedOn w:val="TableNormal"/>
    <w:rsid w:val="00AE5E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5E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5E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E5E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5E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5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5E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5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5E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5E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5E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5E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5E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5E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5E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E5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5E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5E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5E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5E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5E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5E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5E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5E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5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5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5E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5E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5E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5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5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E5E7D"/>
    <w:pPr>
      <w:spacing w:after="0" w:line="240" w:lineRule="auto"/>
      <w:ind w:left="200" w:hanging="200"/>
    </w:pPr>
    <w:rPr>
      <w:rFonts w:ascii="Times New Roman" w:eastAsia="Times New Roman" w:hAnsi="Times New Roman"/>
      <w:sz w:val="20"/>
      <w:szCs w:val="24"/>
      <w:lang w:eastAsia="en-GB"/>
    </w:rPr>
  </w:style>
  <w:style w:type="paragraph" w:styleId="TableofFigures">
    <w:name w:val="table of figures"/>
    <w:basedOn w:val="Normal"/>
    <w:next w:val="Normal"/>
    <w:rsid w:val="00AE5E7D"/>
    <w:pPr>
      <w:spacing w:after="0" w:line="240" w:lineRule="auto"/>
    </w:pPr>
    <w:rPr>
      <w:rFonts w:ascii="Times New Roman" w:eastAsia="Times New Roman" w:hAnsi="Times New Roman"/>
      <w:sz w:val="20"/>
      <w:szCs w:val="24"/>
      <w:lang w:eastAsia="en-GB"/>
    </w:rPr>
  </w:style>
  <w:style w:type="table" w:styleId="TableProfessional">
    <w:name w:val="Table Professional"/>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E5E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5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5E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5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5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E5E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5E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5E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E5E7D"/>
    <w:pPr>
      <w:spacing w:before="120" w:after="0" w:line="240" w:lineRule="auto"/>
    </w:pPr>
    <w:rPr>
      <w:rFonts w:eastAsia="Times New Roman"/>
      <w:b/>
      <w:bCs/>
      <w:sz w:val="24"/>
      <w:szCs w:val="24"/>
      <w:lang w:eastAsia="en-GB"/>
    </w:rPr>
  </w:style>
  <w:style w:type="paragraph" w:styleId="TOCHeading">
    <w:name w:val="TOC Heading"/>
    <w:basedOn w:val="Heading1"/>
    <w:next w:val="Normal"/>
    <w:uiPriority w:val="39"/>
    <w:semiHidden/>
    <w:unhideWhenUsed/>
    <w:rsid w:val="00AE5E7D"/>
    <w:pPr>
      <w:keepLines w:val="0"/>
      <w:pageBreakBefore w:val="0"/>
      <w:numPr>
        <w:numId w:val="0"/>
      </w:numPr>
      <w:spacing w:before="240" w:after="60"/>
      <w:outlineLvl w:val="9"/>
    </w:pPr>
    <w:rPr>
      <w:rFonts w:cs="Times New Roman"/>
      <w:color w:val="auto"/>
      <w:kern w:val="32"/>
    </w:rPr>
  </w:style>
  <w:style w:type="character" w:customStyle="1" w:styleId="Heading1Char">
    <w:name w:val="Heading 1 Char"/>
    <w:aliases w:val="ParaNum Char,Hoofdstuk Char,TOC Char,H1 Char,IP Chapter Title Char"/>
    <w:basedOn w:val="DefaultParagraphFont"/>
    <w:link w:val="Heading1"/>
    <w:rsid w:val="00356139"/>
    <w:rPr>
      <w:rFonts w:ascii="Arial" w:hAnsi="Arial" w:cs="Arial"/>
      <w:b/>
      <w:bCs/>
      <w:color w:val="4F2683"/>
      <w:sz w:val="32"/>
      <w:szCs w:val="32"/>
    </w:rPr>
  </w:style>
  <w:style w:type="character" w:customStyle="1" w:styleId="Heading2Char">
    <w:name w:val="Heading 2 Char"/>
    <w:aliases w:val="2 Char,h2 Char,rio Char,Major Char"/>
    <w:basedOn w:val="DefaultParagraphFont"/>
    <w:link w:val="Heading2"/>
    <w:rsid w:val="00356139"/>
    <w:rPr>
      <w:rFonts w:ascii="Arial" w:hAnsi="Arial" w:cs="Arial"/>
      <w:b/>
      <w:iCs/>
      <w:color w:val="4F2683"/>
      <w:sz w:val="28"/>
      <w:szCs w:val="28"/>
    </w:rPr>
  </w:style>
  <w:style w:type="character" w:customStyle="1" w:styleId="Heading3Char">
    <w:name w:val="Heading 3 Char"/>
    <w:basedOn w:val="DefaultParagraphFont"/>
    <w:link w:val="Heading3"/>
    <w:locked/>
    <w:rsid w:val="00356139"/>
    <w:rPr>
      <w:rFonts w:ascii="Arial" w:hAnsi="Arial" w:cs="Arial"/>
      <w:b/>
      <w:bCs/>
      <w:iCs/>
      <w:color w:val="4F2683"/>
      <w:sz w:val="24"/>
      <w:szCs w:val="26"/>
    </w:rPr>
  </w:style>
  <w:style w:type="character" w:customStyle="1" w:styleId="Heading4Char">
    <w:name w:val="Heading 4 Char"/>
    <w:basedOn w:val="DefaultParagraphFont"/>
    <w:link w:val="Heading4"/>
    <w:rsid w:val="00C36F15"/>
    <w:rPr>
      <w:rFonts w:ascii="Arial" w:hAnsi="Arial" w:cs="Arial"/>
      <w:b/>
      <w:bCs/>
      <w:color w:val="4F2683"/>
      <w:sz w:val="24"/>
      <w:szCs w:val="26"/>
      <w:lang w:val="en-GB" w:eastAsia="en-GB"/>
    </w:rPr>
  </w:style>
  <w:style w:type="character" w:customStyle="1" w:styleId="Heading5Char">
    <w:name w:val="Heading 5 Char"/>
    <w:basedOn w:val="DefaultParagraphFont"/>
    <w:link w:val="Heading5"/>
    <w:rsid w:val="00356139"/>
    <w:rPr>
      <w:rFonts w:ascii="Arial" w:hAnsi="Arial" w:cs="Arial"/>
      <w:b/>
      <w:bCs/>
      <w:color w:val="4F2683"/>
      <w:szCs w:val="26"/>
    </w:rPr>
  </w:style>
  <w:style w:type="character" w:customStyle="1" w:styleId="Heading6Char">
    <w:name w:val="Heading 6 Char"/>
    <w:basedOn w:val="DefaultParagraphFont"/>
    <w:link w:val="Heading6"/>
    <w:rsid w:val="00356139"/>
    <w:rPr>
      <w:rFonts w:ascii="Arial" w:hAnsi="Arial" w:cs="Arial"/>
      <w:b/>
      <w:color w:val="4F2683"/>
      <w:sz w:val="32"/>
      <w:szCs w:val="22"/>
    </w:rPr>
  </w:style>
  <w:style w:type="character" w:customStyle="1" w:styleId="Heading7Char">
    <w:name w:val="Heading 7 Char"/>
    <w:basedOn w:val="DefaultParagraphFont"/>
    <w:link w:val="Heading7"/>
    <w:rsid w:val="00356139"/>
    <w:rPr>
      <w:rFonts w:ascii="Arial" w:hAnsi="Arial" w:cs="Arial"/>
      <w:b/>
      <w:iCs/>
      <w:color w:val="4F2683"/>
      <w:sz w:val="28"/>
      <w:szCs w:val="28"/>
    </w:rPr>
  </w:style>
  <w:style w:type="character" w:customStyle="1" w:styleId="Heading8Char">
    <w:name w:val="Heading 8 Char"/>
    <w:basedOn w:val="DefaultParagraphFont"/>
    <w:link w:val="Heading8"/>
    <w:rsid w:val="00356139"/>
    <w:rPr>
      <w:rFonts w:ascii="Arial" w:hAnsi="Arial" w:cs="Arial"/>
      <w:b/>
      <w:bCs/>
      <w:color w:val="4F2683"/>
      <w:sz w:val="24"/>
      <w:szCs w:val="26"/>
    </w:rPr>
  </w:style>
  <w:style w:type="character" w:customStyle="1" w:styleId="Heading9Char">
    <w:name w:val="Heading 9 Char"/>
    <w:basedOn w:val="DefaultParagraphFont"/>
    <w:link w:val="Heading9"/>
    <w:rsid w:val="00356139"/>
    <w:rPr>
      <w:rFonts w:ascii="Arial" w:hAnsi="Arial" w:cs="Arial"/>
      <w:b/>
      <w:iCs/>
      <w:color w:val="4F2683"/>
      <w:szCs w:val="22"/>
    </w:rPr>
  </w:style>
  <w:style w:type="character" w:customStyle="1" w:styleId="HeaderChar">
    <w:name w:val="Header Char"/>
    <w:basedOn w:val="DefaultParagraphFont"/>
    <w:link w:val="Header"/>
    <w:rsid w:val="00356139"/>
    <w:rPr>
      <w:szCs w:val="24"/>
    </w:rPr>
  </w:style>
  <w:style w:type="character" w:customStyle="1" w:styleId="FooterChar">
    <w:name w:val="Footer Char"/>
    <w:basedOn w:val="DefaultParagraphFont"/>
    <w:link w:val="Footer"/>
    <w:rsid w:val="00356139"/>
    <w:rPr>
      <w:rFonts w:ascii="Arial" w:hAnsi="Arial"/>
      <w:color w:val="4F2683"/>
      <w:sz w:val="16"/>
      <w:szCs w:val="24"/>
    </w:rPr>
  </w:style>
  <w:style w:type="character" w:customStyle="1" w:styleId="TitleChar">
    <w:name w:val="Title Char"/>
    <w:basedOn w:val="DefaultParagraphFont"/>
    <w:link w:val="Title"/>
    <w:rsid w:val="001259DD"/>
    <w:rPr>
      <w:rFonts w:ascii="Arial" w:hAnsi="Arial" w:cs="Arial"/>
      <w:bCs/>
      <w:color w:val="4F2683"/>
      <w:kern w:val="28"/>
      <w:sz w:val="48"/>
      <w:szCs w:val="32"/>
      <w:lang w:val="en-GB" w:eastAsia="en-GB"/>
    </w:rPr>
  </w:style>
  <w:style w:type="character" w:customStyle="1" w:styleId="SubtitleChar">
    <w:name w:val="Subtitle Char"/>
    <w:basedOn w:val="DefaultParagraphFont"/>
    <w:link w:val="Subtitle"/>
    <w:rsid w:val="00356139"/>
    <w:rPr>
      <w:rFonts w:ascii="Arial" w:hAnsi="Arial" w:cs="Arial"/>
      <w:bCs/>
      <w:color w:val="4F2683"/>
      <w:kern w:val="28"/>
      <w:sz w:val="24"/>
      <w:szCs w:val="32"/>
    </w:rPr>
  </w:style>
  <w:style w:type="character" w:customStyle="1" w:styleId="FootnoteTextChar">
    <w:name w:val="Footnote Text Char"/>
    <w:aliases w:val="Footnote Text Char1 Char,Footnote Text Char Char Char,Footnote Text Char2 Char Char Char,Footnote Text Char3 Char1 Char Char Char,Footnote Text Char2 Char1 Char1 Char Char Char,Footnote Text Char3 Char1 Char Char Char Char Char"/>
    <w:basedOn w:val="DefaultParagraphFont"/>
    <w:link w:val="FootnoteText"/>
    <w:uiPriority w:val="99"/>
    <w:semiHidden/>
    <w:rsid w:val="00356139"/>
    <w:rPr>
      <w:rFonts w:ascii="Arial" w:hAnsi="Arial"/>
      <w:sz w:val="16"/>
    </w:rPr>
  </w:style>
  <w:style w:type="character" w:customStyle="1" w:styleId="CommentTextChar">
    <w:name w:val="Comment Text Char"/>
    <w:basedOn w:val="DefaultParagraphFont"/>
    <w:link w:val="CommentText"/>
    <w:semiHidden/>
    <w:rsid w:val="00356139"/>
  </w:style>
  <w:style w:type="character" w:customStyle="1" w:styleId="CommentSubjectChar">
    <w:name w:val="Comment Subject Char"/>
    <w:basedOn w:val="CommentTextChar"/>
    <w:link w:val="CommentSubject"/>
    <w:semiHidden/>
    <w:rsid w:val="00356139"/>
    <w:rPr>
      <w:b/>
      <w:bCs/>
    </w:rPr>
  </w:style>
  <w:style w:type="character" w:customStyle="1" w:styleId="BalloonTextChar">
    <w:name w:val="Balloon Text Char"/>
    <w:basedOn w:val="DefaultParagraphFont"/>
    <w:link w:val="BalloonText"/>
    <w:semiHidden/>
    <w:rsid w:val="00356139"/>
    <w:rPr>
      <w:rFonts w:ascii="Tahoma" w:hAnsi="Tahoma" w:cs="Tahoma"/>
      <w:sz w:val="16"/>
      <w:szCs w:val="16"/>
    </w:rPr>
  </w:style>
  <w:style w:type="character" w:customStyle="1" w:styleId="FootnoteTextChar4">
    <w:name w:val="Footnote Text Char4"/>
    <w:aliases w:val="Footnote Text Char1 Char1,Footnote Text Char Char Char1,Footnote Text Char2 Char Char Char1,Footnote Text Char3 Char1 Char Char Char1,Footnote Text Char2 Char1 Char1 Char Char Char1,Footnote Text Char3 Char1 Char Char Char Char Char1"/>
    <w:basedOn w:val="DefaultParagraphFont"/>
    <w:uiPriority w:val="99"/>
    <w:semiHidden/>
    <w:locked/>
    <w:rsid w:val="00356139"/>
    <w:rPr>
      <w:rFonts w:ascii="Arial" w:hAnsi="Arial"/>
      <w:sz w:val="16"/>
      <w:lang w:val="en-GB" w:eastAsia="en-GB"/>
    </w:rPr>
  </w:style>
  <w:style w:type="character" w:customStyle="1" w:styleId="BulletList1Char">
    <w:name w:val="Bullet List 1 Char"/>
    <w:basedOn w:val="DefaultParagraphFont"/>
    <w:link w:val="BulletList1"/>
    <w:uiPriority w:val="99"/>
    <w:locked/>
    <w:rsid w:val="00356139"/>
    <w:rPr>
      <w:rFonts w:ascii="Arial" w:hAnsi="Arial"/>
      <w:szCs w:val="24"/>
    </w:rPr>
  </w:style>
  <w:style w:type="paragraph" w:customStyle="1" w:styleId="StyleHeading22h2rioMajorCustomColorRGB7938131">
    <w:name w:val="Style Heading 22h2rioMajor + Custom Color(RGB(7938131))"/>
    <w:basedOn w:val="Heading2"/>
    <w:uiPriority w:val="99"/>
    <w:rsid w:val="00356139"/>
    <w:pPr>
      <w:numPr>
        <w:ilvl w:val="0"/>
        <w:numId w:val="0"/>
      </w:numPr>
      <w:tabs>
        <w:tab w:val="num" w:pos="907"/>
      </w:tabs>
      <w:spacing w:before="240" w:after="60" w:line="280" w:lineRule="atLeast"/>
      <w:ind w:left="907" w:hanging="907"/>
    </w:pPr>
    <w:rPr>
      <w:bCs/>
      <w:iCs w:val="0"/>
      <w:kern w:val="32"/>
    </w:rPr>
  </w:style>
  <w:style w:type="paragraph" w:styleId="Revision">
    <w:name w:val="Revision"/>
    <w:hidden/>
    <w:uiPriority w:val="99"/>
    <w:semiHidden/>
    <w:rsid w:val="00356139"/>
    <w:rPr>
      <w:sz w:val="24"/>
      <w:szCs w:val="24"/>
      <w:lang w:val="en-GB" w:eastAsia="en-GB"/>
    </w:rPr>
  </w:style>
  <w:style w:type="paragraph" w:customStyle="1" w:styleId="Default">
    <w:name w:val="Default"/>
    <w:rsid w:val="00C77E65"/>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03430">
      <w:bodyDiv w:val="1"/>
      <w:marLeft w:val="0"/>
      <w:marRight w:val="0"/>
      <w:marTop w:val="0"/>
      <w:marBottom w:val="0"/>
      <w:divBdr>
        <w:top w:val="none" w:sz="0" w:space="0" w:color="auto"/>
        <w:left w:val="none" w:sz="0" w:space="0" w:color="auto"/>
        <w:bottom w:val="none" w:sz="0" w:space="0" w:color="auto"/>
        <w:right w:val="none" w:sz="0" w:space="0" w:color="auto"/>
      </w:divBdr>
    </w:div>
    <w:div w:id="1270242273">
      <w:bodyDiv w:val="1"/>
      <w:marLeft w:val="0"/>
      <w:marRight w:val="0"/>
      <w:marTop w:val="0"/>
      <w:marBottom w:val="0"/>
      <w:divBdr>
        <w:top w:val="none" w:sz="0" w:space="0" w:color="auto"/>
        <w:left w:val="none" w:sz="0" w:space="0" w:color="auto"/>
        <w:bottom w:val="none" w:sz="0" w:space="0" w:color="auto"/>
        <w:right w:val="none" w:sz="0" w:space="0" w:color="auto"/>
      </w:divBdr>
    </w:div>
    <w:div w:id="13862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www.melbourne.vic.gov.au/info.cfm?top=66&amp;pa=779&amp;pg=9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roadband.gov/plan/"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cityofsydney.nsw.gov.au/AboutSydney/CityResearch/AtAGlance.as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itypopulation.de"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brisbane.qld.gov.au/bccwr/about_council/documents/sept07_context_brisbane_mass_transit_investigation_lm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reasury.gov.au/igr/igr2010/" TargetMode="External"/><Relationship Id="rId1" Type="http://schemas.openxmlformats.org/officeDocument/2006/relationships/hyperlink" Target="http://www.bundesnetzagentur.de/cln_1931/DE/Sachgebiete/Telekommunikation/RegulierungTelekommunikation/Frequenzordnung/OeffentlicherMobilfunk/VergabeVerfahrenDrahtlosNetzzugang/vergabeVerfahrenDrahtlosNetzzugang_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FB27-CF2B-44BD-AFE9-5902BEB7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7399</Words>
  <Characters>42177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Valuation of public mobile spectrum at 825-845 MHz and 870-890 MHz</vt:lpstr>
    </vt:vector>
  </TitlesOfParts>
  <Company/>
  <LinksUpToDate>false</LinksUpToDate>
  <CharactersWithSpaces>49478</CharactersWithSpaces>
  <SharedDoc>false</SharedDoc>
  <HLinks>
    <vt:vector size="156" baseType="variant">
      <vt:variant>
        <vt:i4>6815779</vt:i4>
      </vt:variant>
      <vt:variant>
        <vt:i4>281</vt:i4>
      </vt:variant>
      <vt:variant>
        <vt:i4>0</vt:i4>
      </vt:variant>
      <vt:variant>
        <vt:i4>5</vt:i4>
      </vt:variant>
      <vt:variant>
        <vt:lpwstr>http://www.broadband.gov/plan/</vt:lpwstr>
      </vt:variant>
      <vt:variant>
        <vt:lpwstr/>
      </vt:variant>
      <vt:variant>
        <vt:i4>5636198</vt:i4>
      </vt:variant>
      <vt:variant>
        <vt:i4>260</vt:i4>
      </vt:variant>
      <vt:variant>
        <vt:i4>0</vt:i4>
      </vt:variant>
      <vt:variant>
        <vt:i4>5</vt:i4>
      </vt:variant>
      <vt:variant>
        <vt:lpwstr>http://www.brisbane.qld.gov.au/bccwr/about_council/documents/sept07_context_brisbane_mass_transit_investigation_lmt.pdf</vt:lpwstr>
      </vt:variant>
      <vt:variant>
        <vt:lpwstr/>
      </vt:variant>
      <vt:variant>
        <vt:i4>1114127</vt:i4>
      </vt:variant>
      <vt:variant>
        <vt:i4>257</vt:i4>
      </vt:variant>
      <vt:variant>
        <vt:i4>0</vt:i4>
      </vt:variant>
      <vt:variant>
        <vt:i4>5</vt:i4>
      </vt:variant>
      <vt:variant>
        <vt:lpwstr>http://www.melbourne.vic.gov.au/info.cfm?top=66&amp;pa=779&amp;pg=900</vt:lpwstr>
      </vt:variant>
      <vt:variant>
        <vt:lpwstr/>
      </vt:variant>
      <vt:variant>
        <vt:i4>327697</vt:i4>
      </vt:variant>
      <vt:variant>
        <vt:i4>254</vt:i4>
      </vt:variant>
      <vt:variant>
        <vt:i4>0</vt:i4>
      </vt:variant>
      <vt:variant>
        <vt:i4>5</vt:i4>
      </vt:variant>
      <vt:variant>
        <vt:lpwstr>http://cityofsydney.nsw.gov.au/AboutSydney/CityResearch/AtAGlance.asp</vt:lpwstr>
      </vt:variant>
      <vt:variant>
        <vt:lpwstr/>
      </vt:variant>
      <vt:variant>
        <vt:i4>88</vt:i4>
      </vt:variant>
      <vt:variant>
        <vt:i4>251</vt:i4>
      </vt:variant>
      <vt:variant>
        <vt:i4>0</vt:i4>
      </vt:variant>
      <vt:variant>
        <vt:i4>5</vt:i4>
      </vt:variant>
      <vt:variant>
        <vt:lpwstr>http://www.citypopulation.de/</vt:lpwstr>
      </vt:variant>
      <vt:variant>
        <vt:lpwstr/>
      </vt:variant>
      <vt:variant>
        <vt:i4>1572917</vt:i4>
      </vt:variant>
      <vt:variant>
        <vt:i4>124</vt:i4>
      </vt:variant>
      <vt:variant>
        <vt:i4>0</vt:i4>
      </vt:variant>
      <vt:variant>
        <vt:i4>5</vt:i4>
      </vt:variant>
      <vt:variant>
        <vt:lpwstr/>
      </vt:variant>
      <vt:variant>
        <vt:lpwstr>_Toc303851060</vt:lpwstr>
      </vt:variant>
      <vt:variant>
        <vt:i4>1769525</vt:i4>
      </vt:variant>
      <vt:variant>
        <vt:i4>118</vt:i4>
      </vt:variant>
      <vt:variant>
        <vt:i4>0</vt:i4>
      </vt:variant>
      <vt:variant>
        <vt:i4>5</vt:i4>
      </vt:variant>
      <vt:variant>
        <vt:lpwstr/>
      </vt:variant>
      <vt:variant>
        <vt:lpwstr>_Toc303851059</vt:lpwstr>
      </vt:variant>
      <vt:variant>
        <vt:i4>1769525</vt:i4>
      </vt:variant>
      <vt:variant>
        <vt:i4>112</vt:i4>
      </vt:variant>
      <vt:variant>
        <vt:i4>0</vt:i4>
      </vt:variant>
      <vt:variant>
        <vt:i4>5</vt:i4>
      </vt:variant>
      <vt:variant>
        <vt:lpwstr/>
      </vt:variant>
      <vt:variant>
        <vt:lpwstr>_Toc303851058</vt:lpwstr>
      </vt:variant>
      <vt:variant>
        <vt:i4>1769525</vt:i4>
      </vt:variant>
      <vt:variant>
        <vt:i4>106</vt:i4>
      </vt:variant>
      <vt:variant>
        <vt:i4>0</vt:i4>
      </vt:variant>
      <vt:variant>
        <vt:i4>5</vt:i4>
      </vt:variant>
      <vt:variant>
        <vt:lpwstr/>
      </vt:variant>
      <vt:variant>
        <vt:lpwstr>_Toc303851057</vt:lpwstr>
      </vt:variant>
      <vt:variant>
        <vt:i4>1769525</vt:i4>
      </vt:variant>
      <vt:variant>
        <vt:i4>100</vt:i4>
      </vt:variant>
      <vt:variant>
        <vt:i4>0</vt:i4>
      </vt:variant>
      <vt:variant>
        <vt:i4>5</vt:i4>
      </vt:variant>
      <vt:variant>
        <vt:lpwstr/>
      </vt:variant>
      <vt:variant>
        <vt:lpwstr>_Toc303851056</vt:lpwstr>
      </vt:variant>
      <vt:variant>
        <vt:i4>1769525</vt:i4>
      </vt:variant>
      <vt:variant>
        <vt:i4>94</vt:i4>
      </vt:variant>
      <vt:variant>
        <vt:i4>0</vt:i4>
      </vt:variant>
      <vt:variant>
        <vt:i4>5</vt:i4>
      </vt:variant>
      <vt:variant>
        <vt:lpwstr/>
      </vt:variant>
      <vt:variant>
        <vt:lpwstr>_Toc303851055</vt:lpwstr>
      </vt:variant>
      <vt:variant>
        <vt:i4>1769525</vt:i4>
      </vt:variant>
      <vt:variant>
        <vt:i4>88</vt:i4>
      </vt:variant>
      <vt:variant>
        <vt:i4>0</vt:i4>
      </vt:variant>
      <vt:variant>
        <vt:i4>5</vt:i4>
      </vt:variant>
      <vt:variant>
        <vt:lpwstr/>
      </vt:variant>
      <vt:variant>
        <vt:lpwstr>_Toc303851054</vt:lpwstr>
      </vt:variant>
      <vt:variant>
        <vt:i4>1769525</vt:i4>
      </vt:variant>
      <vt:variant>
        <vt:i4>82</vt:i4>
      </vt:variant>
      <vt:variant>
        <vt:i4>0</vt:i4>
      </vt:variant>
      <vt:variant>
        <vt:i4>5</vt:i4>
      </vt:variant>
      <vt:variant>
        <vt:lpwstr/>
      </vt:variant>
      <vt:variant>
        <vt:lpwstr>_Toc303851053</vt:lpwstr>
      </vt:variant>
      <vt:variant>
        <vt:i4>1769525</vt:i4>
      </vt:variant>
      <vt:variant>
        <vt:i4>76</vt:i4>
      </vt:variant>
      <vt:variant>
        <vt:i4>0</vt:i4>
      </vt:variant>
      <vt:variant>
        <vt:i4>5</vt:i4>
      </vt:variant>
      <vt:variant>
        <vt:lpwstr/>
      </vt:variant>
      <vt:variant>
        <vt:lpwstr>_Toc303851052</vt:lpwstr>
      </vt:variant>
      <vt:variant>
        <vt:i4>1769525</vt:i4>
      </vt:variant>
      <vt:variant>
        <vt:i4>70</vt:i4>
      </vt:variant>
      <vt:variant>
        <vt:i4>0</vt:i4>
      </vt:variant>
      <vt:variant>
        <vt:i4>5</vt:i4>
      </vt:variant>
      <vt:variant>
        <vt:lpwstr/>
      </vt:variant>
      <vt:variant>
        <vt:lpwstr>_Toc303851051</vt:lpwstr>
      </vt:variant>
      <vt:variant>
        <vt:i4>1769525</vt:i4>
      </vt:variant>
      <vt:variant>
        <vt:i4>64</vt:i4>
      </vt:variant>
      <vt:variant>
        <vt:i4>0</vt:i4>
      </vt:variant>
      <vt:variant>
        <vt:i4>5</vt:i4>
      </vt:variant>
      <vt:variant>
        <vt:lpwstr/>
      </vt:variant>
      <vt:variant>
        <vt:lpwstr>_Toc303851050</vt:lpwstr>
      </vt:variant>
      <vt:variant>
        <vt:i4>1703989</vt:i4>
      </vt:variant>
      <vt:variant>
        <vt:i4>58</vt:i4>
      </vt:variant>
      <vt:variant>
        <vt:i4>0</vt:i4>
      </vt:variant>
      <vt:variant>
        <vt:i4>5</vt:i4>
      </vt:variant>
      <vt:variant>
        <vt:lpwstr/>
      </vt:variant>
      <vt:variant>
        <vt:lpwstr>_Toc303851049</vt:lpwstr>
      </vt:variant>
      <vt:variant>
        <vt:i4>1703989</vt:i4>
      </vt:variant>
      <vt:variant>
        <vt:i4>52</vt:i4>
      </vt:variant>
      <vt:variant>
        <vt:i4>0</vt:i4>
      </vt:variant>
      <vt:variant>
        <vt:i4>5</vt:i4>
      </vt:variant>
      <vt:variant>
        <vt:lpwstr/>
      </vt:variant>
      <vt:variant>
        <vt:lpwstr>_Toc303851048</vt:lpwstr>
      </vt:variant>
      <vt:variant>
        <vt:i4>1703989</vt:i4>
      </vt:variant>
      <vt:variant>
        <vt:i4>46</vt:i4>
      </vt:variant>
      <vt:variant>
        <vt:i4>0</vt:i4>
      </vt:variant>
      <vt:variant>
        <vt:i4>5</vt:i4>
      </vt:variant>
      <vt:variant>
        <vt:lpwstr/>
      </vt:variant>
      <vt:variant>
        <vt:lpwstr>_Toc303851047</vt:lpwstr>
      </vt:variant>
      <vt:variant>
        <vt:i4>1703989</vt:i4>
      </vt:variant>
      <vt:variant>
        <vt:i4>40</vt:i4>
      </vt:variant>
      <vt:variant>
        <vt:i4>0</vt:i4>
      </vt:variant>
      <vt:variant>
        <vt:i4>5</vt:i4>
      </vt:variant>
      <vt:variant>
        <vt:lpwstr/>
      </vt:variant>
      <vt:variant>
        <vt:lpwstr>_Toc303851046</vt:lpwstr>
      </vt:variant>
      <vt:variant>
        <vt:i4>1703989</vt:i4>
      </vt:variant>
      <vt:variant>
        <vt:i4>34</vt:i4>
      </vt:variant>
      <vt:variant>
        <vt:i4>0</vt:i4>
      </vt:variant>
      <vt:variant>
        <vt:i4>5</vt:i4>
      </vt:variant>
      <vt:variant>
        <vt:lpwstr/>
      </vt:variant>
      <vt:variant>
        <vt:lpwstr>_Toc303851045</vt:lpwstr>
      </vt:variant>
      <vt:variant>
        <vt:i4>1703989</vt:i4>
      </vt:variant>
      <vt:variant>
        <vt:i4>28</vt:i4>
      </vt:variant>
      <vt:variant>
        <vt:i4>0</vt:i4>
      </vt:variant>
      <vt:variant>
        <vt:i4>5</vt:i4>
      </vt:variant>
      <vt:variant>
        <vt:lpwstr/>
      </vt:variant>
      <vt:variant>
        <vt:lpwstr>_Toc303851044</vt:lpwstr>
      </vt:variant>
      <vt:variant>
        <vt:i4>1703989</vt:i4>
      </vt:variant>
      <vt:variant>
        <vt:i4>22</vt:i4>
      </vt:variant>
      <vt:variant>
        <vt:i4>0</vt:i4>
      </vt:variant>
      <vt:variant>
        <vt:i4>5</vt:i4>
      </vt:variant>
      <vt:variant>
        <vt:lpwstr/>
      </vt:variant>
      <vt:variant>
        <vt:lpwstr>_Toc303851043</vt:lpwstr>
      </vt:variant>
      <vt:variant>
        <vt:i4>1703989</vt:i4>
      </vt:variant>
      <vt:variant>
        <vt:i4>16</vt:i4>
      </vt:variant>
      <vt:variant>
        <vt:i4>0</vt:i4>
      </vt:variant>
      <vt:variant>
        <vt:i4>5</vt:i4>
      </vt:variant>
      <vt:variant>
        <vt:lpwstr/>
      </vt:variant>
      <vt:variant>
        <vt:lpwstr>_Toc303851042</vt:lpwstr>
      </vt:variant>
      <vt:variant>
        <vt:i4>2162748</vt:i4>
      </vt:variant>
      <vt:variant>
        <vt:i4>3</vt:i4>
      </vt:variant>
      <vt:variant>
        <vt:i4>0</vt:i4>
      </vt:variant>
      <vt:variant>
        <vt:i4>5</vt:i4>
      </vt:variant>
      <vt:variant>
        <vt:lpwstr>http://www.treasury.gov.au/igr/igr2010/</vt:lpwstr>
      </vt:variant>
      <vt:variant>
        <vt:lpwstr/>
      </vt:variant>
      <vt:variant>
        <vt:i4>8061036</vt:i4>
      </vt:variant>
      <vt:variant>
        <vt:i4>0</vt:i4>
      </vt:variant>
      <vt:variant>
        <vt:i4>0</vt:i4>
      </vt:variant>
      <vt:variant>
        <vt:i4>5</vt:i4>
      </vt:variant>
      <vt:variant>
        <vt:lpwstr>http://www.bundesnetzagentur.de/cln_1931/DE/Sachgebiete/Telekommunikation/RegulierungTelekommunikation/Frequenzordnung/OeffentlicherMobilfunk/VergabeVerfahrenDrahtlosNetzzugang/vergabeVerfahrenDrahtlosNetzzugang_node.html</vt:lpwstr>
      </vt:variant>
      <vt:variant>
        <vt:lpwstr>doc138392bodyText1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public mobile spectrum at 825-845 MHz and 870-890 MHz</dc:title>
  <dc:subject/>
  <dc:creator/>
  <cp:keywords/>
  <cp:lastModifiedBy/>
  <cp:revision>1</cp:revision>
  <dcterms:created xsi:type="dcterms:W3CDTF">2016-06-23T00:05:00Z</dcterms:created>
  <dcterms:modified xsi:type="dcterms:W3CDTF">2016-06-23T04:47:00Z</dcterms:modified>
</cp:coreProperties>
</file>