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585F6" w14:textId="59466060" w:rsidR="00A02326" w:rsidRDefault="00A02326" w:rsidP="00A02326">
      <w:pPr>
        <w:spacing w:after="360"/>
      </w:pPr>
      <w:r>
        <w:rPr>
          <w:noProof/>
          <w:lang w:val="en-AU"/>
        </w:rPr>
        <w:drawing>
          <wp:inline distT="0" distB="0" distL="0" distR="0" wp14:anchorId="7BEC3583" wp14:editId="0CCB3537">
            <wp:extent cx="1759923" cy="926275"/>
            <wp:effectExtent l="0" t="0" r="0" b="7620"/>
            <wp:docPr id="1" name="Picture 1" descr="Logo: Australian Gover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government-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4113" cy="928480"/>
                    </a:xfrm>
                    <a:prstGeom prst="rect">
                      <a:avLst/>
                    </a:prstGeom>
                  </pic:spPr>
                </pic:pic>
              </a:graphicData>
            </a:graphic>
          </wp:inline>
        </w:drawing>
      </w:r>
    </w:p>
    <w:p w14:paraId="2A6AC006" w14:textId="702C2015" w:rsidR="00AB3A37" w:rsidRPr="0033431E" w:rsidRDefault="00AB3A37" w:rsidP="00906109">
      <w:pPr>
        <w:pStyle w:val="Heading1"/>
      </w:pPr>
      <w:r w:rsidRPr="00CB063F">
        <w:t>Telecommunicatio</w:t>
      </w:r>
      <w:r w:rsidR="00906109">
        <w:t>ns Universal Service Obligation</w:t>
      </w:r>
    </w:p>
    <w:p w14:paraId="5C5576E0" w14:textId="154F45A5" w:rsidR="00AB3A37" w:rsidRPr="0033431E" w:rsidRDefault="00AB3A37" w:rsidP="00906109">
      <w:pPr>
        <w:pStyle w:val="Heading2"/>
      </w:pPr>
      <w:r w:rsidRPr="0033431E">
        <w:t xml:space="preserve">Terms of </w:t>
      </w:r>
      <w:r>
        <w:t>R</w:t>
      </w:r>
      <w:r w:rsidRPr="0033431E">
        <w:t>eference</w:t>
      </w:r>
    </w:p>
    <w:p w14:paraId="03A64B25" w14:textId="77777777" w:rsidR="00AB3A37" w:rsidRPr="00E9713E" w:rsidRDefault="00AB3A37" w:rsidP="00906109">
      <w:r w:rsidRPr="00E9713E">
        <w:t xml:space="preserve">I, Scott Morrison, Treasurer, pursuant to Parts 2 and 3 of the </w:t>
      </w:r>
      <w:r w:rsidRPr="00E9713E">
        <w:rPr>
          <w:i/>
          <w:iCs/>
        </w:rPr>
        <w:t>Productivity Commission Act 1998</w:t>
      </w:r>
      <w:r w:rsidRPr="00E9713E">
        <w:t>, hereby request that the Productivity Commission undertake an inquiry into the future direction of a universal service obligation in an evolving telecommunications market.</w:t>
      </w:r>
    </w:p>
    <w:p w14:paraId="1D9D6AF6" w14:textId="77777777" w:rsidR="00AB3A37" w:rsidRPr="0033431E" w:rsidRDefault="00AB3A37" w:rsidP="00906109">
      <w:pPr>
        <w:pStyle w:val="Heading3"/>
      </w:pPr>
      <w:r w:rsidRPr="00906109">
        <w:t>Backg</w:t>
      </w:r>
      <w:bookmarkStart w:id="0" w:name="_GoBack"/>
      <w:bookmarkEnd w:id="0"/>
      <w:r w:rsidRPr="00906109">
        <w:t>round</w:t>
      </w:r>
    </w:p>
    <w:p w14:paraId="6A31430C" w14:textId="77777777" w:rsidR="00AB3A37" w:rsidRPr="00E9713E" w:rsidRDefault="00AB3A37" w:rsidP="00906109">
      <w:r w:rsidRPr="00E9713E">
        <w:t xml:space="preserve">Historically the standard voice telephone service has provided </w:t>
      </w:r>
      <w:r>
        <w:t>the basis of a ubiquitous tele</w:t>
      </w:r>
      <w:r w:rsidRPr="00E9713E">
        <w:t xml:space="preserve">communications service </w:t>
      </w:r>
      <w:r>
        <w:t>which has been a fundamental part of Australian society</w:t>
      </w:r>
      <w:r w:rsidRPr="00E9713E">
        <w:t xml:space="preserve">. </w:t>
      </w:r>
      <w:r>
        <w:t>To ensure the benefits of this basic service are as widely available as possible, t</w:t>
      </w:r>
      <w:r w:rsidRPr="00E9713E">
        <w:t xml:space="preserve">he </w:t>
      </w:r>
      <w:r>
        <w:t xml:space="preserve">regulated </w:t>
      </w:r>
      <w:r w:rsidRPr="00E9713E">
        <w:t>standard telephone service and payphones Universal Service Obligation (USO) provides for access to a standard telephone</w:t>
      </w:r>
      <w:r>
        <w:t xml:space="preserve"> service</w:t>
      </w:r>
      <w:r w:rsidRPr="00E9713E">
        <w:t xml:space="preserve"> and payphone services to consumers</w:t>
      </w:r>
      <w:r>
        <w:t>, where provision of those services might</w:t>
      </w:r>
      <w:r w:rsidRPr="00E9713E">
        <w:t xml:space="preserve"> otherwise not be commercially </w:t>
      </w:r>
      <w:r>
        <w:t>viable</w:t>
      </w:r>
      <w:r w:rsidRPr="00E9713E">
        <w:t xml:space="preserve">. </w:t>
      </w:r>
      <w:r>
        <w:t>The USO is supported by a combination of ongoing funding from the Australian Government and an annual levy on carriers.</w:t>
      </w:r>
    </w:p>
    <w:p w14:paraId="597CD032" w14:textId="77777777" w:rsidR="00AB3A37" w:rsidRDefault="00AB3A37" w:rsidP="00906109">
      <w:r w:rsidRPr="00E9713E">
        <w:t>The Australian telecommunications sector has undergone significant change</w:t>
      </w:r>
      <w:r>
        <w:t>s over the last two decades, in market structure and technology,</w:t>
      </w:r>
      <w:r w:rsidRPr="00E9713E">
        <w:t xml:space="preserve"> and will continue to evolve. </w:t>
      </w:r>
      <w:r>
        <w:t>There has been</w:t>
      </w:r>
      <w:r w:rsidRPr="00E9713E">
        <w:t xml:space="preserve"> rapid and continuing technological development</w:t>
      </w:r>
      <w:r>
        <w:t xml:space="preserve"> and innovation across the industry, with significant </w:t>
      </w:r>
      <w:r w:rsidRPr="00E9713E">
        <w:t>expansion in the availability</w:t>
      </w:r>
      <w:r>
        <w:t xml:space="preserve">, </w:t>
      </w:r>
      <w:r w:rsidRPr="00E9713E">
        <w:t>use</w:t>
      </w:r>
      <w:r>
        <w:t xml:space="preserve"> and sophistication</w:t>
      </w:r>
      <w:r w:rsidRPr="00E9713E">
        <w:t xml:space="preserve"> of mobile services, </w:t>
      </w:r>
      <w:r>
        <w:t>and</w:t>
      </w:r>
      <w:r w:rsidRPr="00E9713E">
        <w:t xml:space="preserve"> </w:t>
      </w:r>
      <w:r>
        <w:t xml:space="preserve">ever </w:t>
      </w:r>
      <w:r w:rsidRPr="00E9713E">
        <w:t>increasing demand for broadband</w:t>
      </w:r>
      <w:r>
        <w:t xml:space="preserve"> data services (including Voice </w:t>
      </w:r>
      <w:proofErr w:type="gramStart"/>
      <w:r>
        <w:t>Over</w:t>
      </w:r>
      <w:proofErr w:type="gramEnd"/>
      <w:r>
        <w:t xml:space="preserve"> Internet Protocol services)</w:t>
      </w:r>
      <w:r w:rsidRPr="00E9713E">
        <w:t>.</w:t>
      </w:r>
      <w:r>
        <w:t xml:space="preserve"> Demand for standard (fixed line) voice services and payphones has reduced and continues to decline.</w:t>
      </w:r>
    </w:p>
    <w:p w14:paraId="121E1CDD" w14:textId="4185E4B6" w:rsidR="00AB3A37" w:rsidRDefault="00AB3A37" w:rsidP="00906109">
      <w:r w:rsidRPr="00E9713E">
        <w:t xml:space="preserve">The Australian Government is rolling out the National Broadband Network (NBN) </w:t>
      </w:r>
      <w:r w:rsidRPr="00906109">
        <w:t>which</w:t>
      </w:r>
      <w:r w:rsidRPr="00E9713E">
        <w:t xml:space="preserve"> will use a range of technologies to provide a </w:t>
      </w:r>
      <w:r>
        <w:t xml:space="preserve">capped price </w:t>
      </w:r>
      <w:r w:rsidRPr="00E9713E">
        <w:t>wholesale</w:t>
      </w:r>
      <w:r>
        <w:t>-</w:t>
      </w:r>
      <w:r w:rsidRPr="00E9713E">
        <w:t xml:space="preserve">only </w:t>
      </w:r>
      <w:r>
        <w:t xml:space="preserve">broadband </w:t>
      </w:r>
      <w:r w:rsidRPr="00E9713E">
        <w:t xml:space="preserve">platform to all premises. </w:t>
      </w:r>
      <w:r>
        <w:t>NBN Co will deliver fast broadband to Australian premises as the infrastructure ‘provider of last resort’. The availability of universal broadband will provide a platform for increased competition in the development of retail produ</w:t>
      </w:r>
      <w:r w:rsidR="00906109">
        <w:t>cts and services for consumers.</w:t>
      </w:r>
    </w:p>
    <w:p w14:paraId="1ED1C2C6" w14:textId="01CBCE08" w:rsidR="00AB3A37" w:rsidRPr="00E9713E" w:rsidRDefault="00AB3A37" w:rsidP="00906109">
      <w:r w:rsidRPr="00E9713E">
        <w:t>In the context of these and other changes</w:t>
      </w:r>
      <w:r>
        <w:t>, the current USO arr</w:t>
      </w:r>
      <w:r w:rsidR="00A02326">
        <w:t>angements may not be effective.</w:t>
      </w:r>
    </w:p>
    <w:p w14:paraId="7029F2E1" w14:textId="77777777" w:rsidR="00AB3A37" w:rsidRDefault="00AB3A37" w:rsidP="00A02326">
      <w:pPr>
        <w:pStyle w:val="Heading3"/>
        <w:keepNext/>
        <w:rPr>
          <w:szCs w:val="24"/>
        </w:rPr>
      </w:pPr>
      <w:r w:rsidRPr="0033431E">
        <w:t>Scope of the inquiry</w:t>
      </w:r>
    </w:p>
    <w:p w14:paraId="1457907C" w14:textId="106916B0" w:rsidR="00AB3A37" w:rsidRDefault="00AB3A37" w:rsidP="00906109">
      <w:r>
        <w:t xml:space="preserve">The </w:t>
      </w:r>
      <w:r w:rsidRPr="00E9713E">
        <w:t xml:space="preserve">primary policy question to be addressed </w:t>
      </w:r>
      <w:r>
        <w:t>in this inquiry is to what extent</w:t>
      </w:r>
      <w:r w:rsidRPr="00E9713E">
        <w:t>, in the evolving Australian telecommunications market</w:t>
      </w:r>
      <w:r>
        <w:t>,</w:t>
      </w:r>
      <w:r w:rsidRPr="00E9713E">
        <w:t xml:space="preserve"> </w:t>
      </w:r>
      <w:r>
        <w:t>Government policies may be required to support universal access to a minimum level of reta</w:t>
      </w:r>
      <w:r w:rsidR="00A02326">
        <w:t>il telecommunications services.</w:t>
      </w:r>
    </w:p>
    <w:p w14:paraId="2AEFFF51" w14:textId="77777777" w:rsidR="00AB3A37" w:rsidRDefault="00AB3A37" w:rsidP="00906109">
      <w:r>
        <w:t>This will involve a consideration of the nature, scope and objectives of a universal service obligation, whether the retail market for relevant services will deliver appropriate outcomes for consumers without Government intervention and, if not, what options should be considered by Government to deliver universal services and</w:t>
      </w:r>
      <w:r w:rsidRPr="00F371E0">
        <w:t xml:space="preserve"> </w:t>
      </w:r>
      <w:r>
        <w:t>the costs and benefits of these interventions.</w:t>
      </w:r>
    </w:p>
    <w:p w14:paraId="4AE1D69F" w14:textId="27ACF800" w:rsidR="00AB3A37" w:rsidRPr="00E9713E" w:rsidRDefault="00AB3A37" w:rsidP="00906109">
      <w:r w:rsidRPr="00E9713E">
        <w:t xml:space="preserve">In undertaking this inquiry, </w:t>
      </w:r>
      <w:r>
        <w:t xml:space="preserve">should </w:t>
      </w:r>
      <w:r w:rsidRPr="00E9713E">
        <w:t xml:space="preserve">the Commission recommend the retention of </w:t>
      </w:r>
      <w:r>
        <w:t>Government interventions in the market</w:t>
      </w:r>
      <w:r w:rsidRPr="00E9713E">
        <w:t xml:space="preserve">, </w:t>
      </w:r>
      <w:r>
        <w:t>it should make recommendations on</w:t>
      </w:r>
      <w:r w:rsidR="00A02326">
        <w:t>:</w:t>
      </w:r>
    </w:p>
    <w:p w14:paraId="54F37A70" w14:textId="77777777" w:rsidR="00AB3A37" w:rsidRDefault="00AB3A37" w:rsidP="00A02326">
      <w:pPr>
        <w:pStyle w:val="ListParagraph"/>
        <w:numPr>
          <w:ilvl w:val="0"/>
          <w:numId w:val="5"/>
        </w:numPr>
        <w:ind w:left="567" w:hanging="567"/>
      </w:pPr>
      <w:r w:rsidRPr="003B3C67">
        <w:t xml:space="preserve">what objectives are appropriate for </w:t>
      </w:r>
      <w:r>
        <w:t>a</w:t>
      </w:r>
      <w:r w:rsidRPr="003B3C67">
        <w:t xml:space="preserve"> universal service obligation arrangement or its equivalent</w:t>
      </w:r>
      <w:r w:rsidRPr="00F371E0">
        <w:t>;</w:t>
      </w:r>
    </w:p>
    <w:p w14:paraId="1BACEB03" w14:textId="77777777" w:rsidR="00AB3A37" w:rsidRPr="003B3C67" w:rsidRDefault="00AB3A37" w:rsidP="00A02326">
      <w:pPr>
        <w:pStyle w:val="ListParagraph"/>
        <w:numPr>
          <w:ilvl w:val="0"/>
          <w:numId w:val="5"/>
        </w:numPr>
        <w:ind w:left="567" w:hanging="567"/>
      </w:pPr>
      <w:r w:rsidRPr="003B3C67">
        <w:t xml:space="preserve">what would be the scope of </w:t>
      </w:r>
      <w:r>
        <w:t>the services</w:t>
      </w:r>
      <w:r w:rsidRPr="003B3C67">
        <w:t xml:space="preserve"> needed to be provided to achieve those objectives;</w:t>
      </w:r>
    </w:p>
    <w:p w14:paraId="53C0A123" w14:textId="1C0212C1" w:rsidR="00AB3A37" w:rsidRPr="0035618F" w:rsidRDefault="00AB3A37" w:rsidP="00A02326">
      <w:pPr>
        <w:pStyle w:val="ListParagraph"/>
        <w:numPr>
          <w:ilvl w:val="0"/>
          <w:numId w:val="5"/>
        </w:numPr>
        <w:ind w:left="567" w:hanging="567"/>
      </w:pPr>
      <w:r w:rsidRPr="0035618F">
        <w:t xml:space="preserve">whether particular sections of the Australian community have differing needs to which additional Government intervention should be directed e.g. low income, </w:t>
      </w:r>
      <w:r w:rsidR="0035618F" w:rsidRPr="0035618F">
        <w:t xml:space="preserve">rural and regional; </w:t>
      </w:r>
    </w:p>
    <w:p w14:paraId="1FF2ADC2" w14:textId="77777777" w:rsidR="00AB3A37" w:rsidRDefault="00AB3A37" w:rsidP="00A02326">
      <w:pPr>
        <w:pStyle w:val="ListParagraph"/>
        <w:numPr>
          <w:ilvl w:val="0"/>
          <w:numId w:val="5"/>
        </w:numPr>
        <w:ind w:left="567" w:hanging="567"/>
      </w:pPr>
      <w:r>
        <w:t>who</w:t>
      </w:r>
      <w:r w:rsidRPr="00E8677C">
        <w:t xml:space="preserve"> should bear cost or regulatory burdens from those interventions, if any; </w:t>
      </w:r>
    </w:p>
    <w:p w14:paraId="3C00B07C" w14:textId="77777777" w:rsidR="00AB3A37" w:rsidRPr="00E8677C" w:rsidRDefault="00AB3A37" w:rsidP="00A02326">
      <w:pPr>
        <w:pStyle w:val="ListParagraph"/>
        <w:numPr>
          <w:ilvl w:val="0"/>
          <w:numId w:val="5"/>
        </w:numPr>
        <w:ind w:left="567" w:hanging="567"/>
      </w:pPr>
      <w:r>
        <w:t xml:space="preserve">the optimal funding model(s); </w:t>
      </w:r>
      <w:r w:rsidRPr="00E8677C">
        <w:t>and</w:t>
      </w:r>
    </w:p>
    <w:p w14:paraId="017F6A0E" w14:textId="76255014" w:rsidR="00AB3A37" w:rsidRPr="00E9713E" w:rsidRDefault="00AB3A37" w:rsidP="00A02326">
      <w:pPr>
        <w:pStyle w:val="ListParagraph"/>
        <w:numPr>
          <w:ilvl w:val="0"/>
          <w:numId w:val="5"/>
        </w:numPr>
        <w:ind w:left="567" w:hanging="567"/>
      </w:pPr>
      <w:proofErr w:type="gramStart"/>
      <w:r w:rsidRPr="00E9713E">
        <w:t>transitional</w:t>
      </w:r>
      <w:proofErr w:type="gramEnd"/>
      <w:r w:rsidRPr="00E9713E">
        <w:t xml:space="preserve"> arrangements from the current </w:t>
      </w:r>
      <w:r>
        <w:t xml:space="preserve">USO </w:t>
      </w:r>
      <w:r w:rsidR="00A02326">
        <w:t>model.</w:t>
      </w:r>
    </w:p>
    <w:p w14:paraId="753C45D0" w14:textId="77777777" w:rsidR="00AB3A37" w:rsidRPr="00E9713E" w:rsidRDefault="00AB3A37" w:rsidP="00906109">
      <w:r w:rsidRPr="00E9713E">
        <w:t>The Commission should</w:t>
      </w:r>
      <w:r>
        <w:t xml:space="preserve"> also</w:t>
      </w:r>
      <w:r w:rsidRPr="00E9713E">
        <w:t xml:space="preserve"> have regard to:</w:t>
      </w:r>
    </w:p>
    <w:p w14:paraId="244F27C0" w14:textId="77777777" w:rsidR="00AB3A37" w:rsidRDefault="00AB3A37" w:rsidP="00A02326">
      <w:pPr>
        <w:pStyle w:val="ListParagraph"/>
        <w:numPr>
          <w:ilvl w:val="0"/>
          <w:numId w:val="5"/>
        </w:numPr>
        <w:ind w:left="567" w:hanging="567"/>
      </w:pPr>
      <w:r>
        <w:t>the need for a durable framework that is flexible enough to accommodate technological changes;</w:t>
      </w:r>
    </w:p>
    <w:p w14:paraId="0BB4B144" w14:textId="77777777" w:rsidR="00AB3A37" w:rsidRPr="00113132" w:rsidRDefault="00AB3A37" w:rsidP="00A02326">
      <w:pPr>
        <w:pStyle w:val="ListParagraph"/>
        <w:numPr>
          <w:ilvl w:val="0"/>
          <w:numId w:val="5"/>
        </w:numPr>
        <w:ind w:left="567" w:hanging="567"/>
      </w:pPr>
      <w:r>
        <w:t>the role of, and impact on competition in relevant markets;</w:t>
      </w:r>
    </w:p>
    <w:p w14:paraId="2E01403E" w14:textId="77777777" w:rsidR="00AB3A37" w:rsidRDefault="00AB3A37" w:rsidP="00A02326">
      <w:pPr>
        <w:pStyle w:val="ListParagraph"/>
        <w:numPr>
          <w:ilvl w:val="0"/>
          <w:numId w:val="5"/>
        </w:numPr>
        <w:ind w:left="567" w:hanging="567"/>
      </w:pPr>
      <w:r w:rsidRPr="00E9713E">
        <w:t>contractual commitments that the Government has for the provision of the existing USO;</w:t>
      </w:r>
    </w:p>
    <w:p w14:paraId="010A4964" w14:textId="77777777" w:rsidR="00AB3A37" w:rsidRDefault="00AB3A37" w:rsidP="00A02326">
      <w:pPr>
        <w:pStyle w:val="ListParagraph"/>
        <w:numPr>
          <w:ilvl w:val="0"/>
          <w:numId w:val="5"/>
        </w:numPr>
        <w:ind w:left="567" w:hanging="567"/>
      </w:pPr>
      <w:r>
        <w:t>t</w:t>
      </w:r>
      <w:r w:rsidRPr="00113132">
        <w:t>he significant investments already made by Government, including in the NBN rollout;</w:t>
      </w:r>
    </w:p>
    <w:p w14:paraId="02AE4405" w14:textId="77777777" w:rsidR="00AB3A37" w:rsidRPr="00E9713E" w:rsidRDefault="00AB3A37" w:rsidP="00A02326">
      <w:pPr>
        <w:pStyle w:val="ListParagraph"/>
        <w:numPr>
          <w:ilvl w:val="0"/>
          <w:numId w:val="5"/>
        </w:numPr>
        <w:ind w:left="567" w:hanging="567"/>
      </w:pPr>
      <w:r w:rsidRPr="00E9713E">
        <w:t xml:space="preserve">the current telecommunications regulatory framework and the Government’s response to the 2014 </w:t>
      </w:r>
      <w:proofErr w:type="spellStart"/>
      <w:r w:rsidRPr="00E9713E">
        <w:t>Vertigan</w:t>
      </w:r>
      <w:proofErr w:type="spellEnd"/>
      <w:r w:rsidRPr="00E9713E">
        <w:t xml:space="preserve"> NBN Market and Regulation Report;  </w:t>
      </w:r>
    </w:p>
    <w:p w14:paraId="72741A41" w14:textId="77777777" w:rsidR="00AB3A37" w:rsidRPr="00E9713E" w:rsidRDefault="00AB3A37" w:rsidP="00A02326">
      <w:pPr>
        <w:pStyle w:val="ListParagraph"/>
        <w:numPr>
          <w:ilvl w:val="0"/>
          <w:numId w:val="5"/>
        </w:numPr>
        <w:ind w:left="567" w:hanging="567"/>
      </w:pPr>
      <w:r w:rsidRPr="00E9713E">
        <w:t xml:space="preserve">additional policy reviews being undertaken by Government on a broader </w:t>
      </w:r>
      <w:r>
        <w:t>range</w:t>
      </w:r>
      <w:r w:rsidRPr="00E9713E">
        <w:t xml:space="preserve"> of telecommunications consumer protections;</w:t>
      </w:r>
    </w:p>
    <w:p w14:paraId="6B201BEB" w14:textId="77777777" w:rsidR="00AB3A37" w:rsidRPr="00E9713E" w:rsidRDefault="00AB3A37" w:rsidP="00A02326">
      <w:pPr>
        <w:pStyle w:val="ListParagraph"/>
        <w:numPr>
          <w:ilvl w:val="0"/>
          <w:numId w:val="5"/>
        </w:numPr>
        <w:ind w:left="567" w:hanging="567"/>
      </w:pPr>
      <w:r w:rsidRPr="00E9713E">
        <w:t xml:space="preserve">relevant approaches adopted in other countries, particularly those with similar characteristics to Australia; and </w:t>
      </w:r>
    </w:p>
    <w:p w14:paraId="49DBF20B" w14:textId="24359C43" w:rsidR="00AB3A37" w:rsidRPr="00E9713E" w:rsidRDefault="00AB3A37" w:rsidP="00A02326">
      <w:pPr>
        <w:pStyle w:val="ListParagraph"/>
        <w:numPr>
          <w:ilvl w:val="0"/>
          <w:numId w:val="5"/>
        </w:numPr>
        <w:ind w:left="567" w:hanging="567"/>
      </w:pPr>
      <w:proofErr w:type="gramStart"/>
      <w:r w:rsidRPr="00E9713E">
        <w:t>the</w:t>
      </w:r>
      <w:proofErr w:type="gramEnd"/>
      <w:r w:rsidRPr="00E9713E">
        <w:t xml:space="preserve"> report of the 2015 Regional Telecommunications Review and the Govern</w:t>
      </w:r>
      <w:r w:rsidR="00A02326">
        <w:t>ment’s response to that report.</w:t>
      </w:r>
    </w:p>
    <w:p w14:paraId="03C2C720" w14:textId="77777777" w:rsidR="00AB3A37" w:rsidRPr="0033431E" w:rsidRDefault="00AB3A37" w:rsidP="00906109">
      <w:pPr>
        <w:pStyle w:val="Heading3"/>
      </w:pPr>
      <w:r w:rsidRPr="0033431E">
        <w:t>Process</w:t>
      </w:r>
    </w:p>
    <w:p w14:paraId="42A09ECF" w14:textId="77777777" w:rsidR="00AB3A37" w:rsidRPr="00E9713E" w:rsidRDefault="00AB3A37" w:rsidP="00906109">
      <w:r w:rsidRPr="00E9713E">
        <w:t xml:space="preserve">The Commission </w:t>
      </w:r>
      <w:r>
        <w:t xml:space="preserve">is to </w:t>
      </w:r>
      <w:r w:rsidRPr="00E9713E">
        <w:t xml:space="preserve">undertake an appropriate public consultation process, </w:t>
      </w:r>
      <w:r>
        <w:t xml:space="preserve">including holding hearings, </w:t>
      </w:r>
      <w:r w:rsidRPr="00E9713E">
        <w:t xml:space="preserve">inviting </w:t>
      </w:r>
      <w:r>
        <w:t xml:space="preserve">public </w:t>
      </w:r>
      <w:r w:rsidRPr="00E9713E">
        <w:t xml:space="preserve">submissions from industry, consumer groups and the broader </w:t>
      </w:r>
      <w:r>
        <w:t>community</w:t>
      </w:r>
      <w:r w:rsidRPr="00E9713E">
        <w:t xml:space="preserve"> and releasing a draft report to the public.</w:t>
      </w:r>
    </w:p>
    <w:p w14:paraId="4236B530" w14:textId="77777777" w:rsidR="00AB3A37" w:rsidRPr="00E9713E" w:rsidRDefault="00AB3A37" w:rsidP="00906109">
      <w:r w:rsidRPr="00E9713E">
        <w:t xml:space="preserve">The final Report </w:t>
      </w:r>
      <w:r>
        <w:t>should be p</w:t>
      </w:r>
      <w:r w:rsidRPr="00E9713E">
        <w:t xml:space="preserve">rovided to the Government within </w:t>
      </w:r>
      <w:r>
        <w:t>12</w:t>
      </w:r>
      <w:r w:rsidRPr="00E9713E">
        <w:t xml:space="preserve"> months of the receipt of these Terms of Reference.</w:t>
      </w:r>
    </w:p>
    <w:p w14:paraId="47D1BFB0" w14:textId="77777777" w:rsidR="00AB3A37" w:rsidRPr="00E9713E" w:rsidRDefault="00AB3A37" w:rsidP="00906109"/>
    <w:p w14:paraId="3728BA8A" w14:textId="0B21DDFE" w:rsidR="0033431E" w:rsidRPr="00AB3A37" w:rsidRDefault="00AB3A37" w:rsidP="00906109">
      <w:r w:rsidRPr="00E248D4">
        <w:t>Scott Morrison</w:t>
      </w:r>
      <w:r w:rsidRPr="00E248D4">
        <w:br/>
        <w:t>Treasurer</w:t>
      </w:r>
    </w:p>
    <w:sectPr w:rsidR="0033431E" w:rsidRPr="00AB3A37" w:rsidSect="00A02326">
      <w:footerReference w:type="default" r:id="rId12"/>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8BA91" w14:textId="77777777" w:rsidR="0077493F" w:rsidRDefault="00AB3A37" w:rsidP="00906109">
      <w:r>
        <w:separator/>
      </w:r>
    </w:p>
  </w:endnote>
  <w:endnote w:type="continuationSeparator" w:id="0">
    <w:p w14:paraId="3728BA93" w14:textId="77777777" w:rsidR="0077493F" w:rsidRDefault="00AB3A37" w:rsidP="0090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455960"/>
      <w:docPartObj>
        <w:docPartGallery w:val="Page Numbers (Bottom of Page)"/>
        <w:docPartUnique/>
      </w:docPartObj>
    </w:sdtPr>
    <w:sdtEndPr>
      <w:rPr>
        <w:noProof/>
      </w:rPr>
    </w:sdtEndPr>
    <w:sdtContent>
      <w:p w14:paraId="3728BA8B" w14:textId="77777777" w:rsidR="00E9713E" w:rsidRDefault="00AB3A37" w:rsidP="00906109">
        <w:pPr>
          <w:pStyle w:val="Footer"/>
        </w:pPr>
        <w:r>
          <w:fldChar w:fldCharType="begin"/>
        </w:r>
        <w:r>
          <w:instrText xml:space="preserve"> PAGE   \* MERGEFORMAT </w:instrText>
        </w:r>
        <w:r>
          <w:fldChar w:fldCharType="separate"/>
        </w:r>
        <w:r w:rsidR="00A0232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8BA8D" w14:textId="77777777" w:rsidR="0077493F" w:rsidRDefault="00AB3A37" w:rsidP="00906109">
      <w:r>
        <w:separator/>
      </w:r>
    </w:p>
  </w:footnote>
  <w:footnote w:type="continuationSeparator" w:id="0">
    <w:p w14:paraId="3728BA8F" w14:textId="77777777" w:rsidR="0077493F" w:rsidRDefault="00AB3A37" w:rsidP="00906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B19D1"/>
    <w:multiLevelType w:val="hybridMultilevel"/>
    <w:tmpl w:val="FAE6D0DA"/>
    <w:lvl w:ilvl="0" w:tplc="9CEC7854">
      <w:start w:val="1"/>
      <w:numFmt w:val="bullet"/>
      <w:lvlText w:val=""/>
      <w:lvlJc w:val="left"/>
      <w:pPr>
        <w:ind w:left="720" w:hanging="360"/>
      </w:pPr>
      <w:rPr>
        <w:rFonts w:ascii="Symbol" w:hAnsi="Symbol" w:hint="default"/>
      </w:rPr>
    </w:lvl>
    <w:lvl w:ilvl="1" w:tplc="A83EBBFA" w:tentative="1">
      <w:start w:val="1"/>
      <w:numFmt w:val="bullet"/>
      <w:lvlText w:val="o"/>
      <w:lvlJc w:val="left"/>
      <w:pPr>
        <w:ind w:left="1440" w:hanging="360"/>
      </w:pPr>
      <w:rPr>
        <w:rFonts w:ascii="Courier New" w:hAnsi="Courier New" w:cs="Courier New" w:hint="default"/>
      </w:rPr>
    </w:lvl>
    <w:lvl w:ilvl="2" w:tplc="F19EF446" w:tentative="1">
      <w:start w:val="1"/>
      <w:numFmt w:val="bullet"/>
      <w:lvlText w:val=""/>
      <w:lvlJc w:val="left"/>
      <w:pPr>
        <w:ind w:left="2160" w:hanging="360"/>
      </w:pPr>
      <w:rPr>
        <w:rFonts w:ascii="Wingdings" w:hAnsi="Wingdings" w:hint="default"/>
      </w:rPr>
    </w:lvl>
    <w:lvl w:ilvl="3" w:tplc="E3FAB120" w:tentative="1">
      <w:start w:val="1"/>
      <w:numFmt w:val="bullet"/>
      <w:lvlText w:val=""/>
      <w:lvlJc w:val="left"/>
      <w:pPr>
        <w:ind w:left="2880" w:hanging="360"/>
      </w:pPr>
      <w:rPr>
        <w:rFonts w:ascii="Symbol" w:hAnsi="Symbol" w:hint="default"/>
      </w:rPr>
    </w:lvl>
    <w:lvl w:ilvl="4" w:tplc="BF688A18" w:tentative="1">
      <w:start w:val="1"/>
      <w:numFmt w:val="bullet"/>
      <w:lvlText w:val="o"/>
      <w:lvlJc w:val="left"/>
      <w:pPr>
        <w:ind w:left="3600" w:hanging="360"/>
      </w:pPr>
      <w:rPr>
        <w:rFonts w:ascii="Courier New" w:hAnsi="Courier New" w:cs="Courier New" w:hint="default"/>
      </w:rPr>
    </w:lvl>
    <w:lvl w:ilvl="5" w:tplc="2CB236A6" w:tentative="1">
      <w:start w:val="1"/>
      <w:numFmt w:val="bullet"/>
      <w:lvlText w:val=""/>
      <w:lvlJc w:val="left"/>
      <w:pPr>
        <w:ind w:left="4320" w:hanging="360"/>
      </w:pPr>
      <w:rPr>
        <w:rFonts w:ascii="Wingdings" w:hAnsi="Wingdings" w:hint="default"/>
      </w:rPr>
    </w:lvl>
    <w:lvl w:ilvl="6" w:tplc="E30603E2" w:tentative="1">
      <w:start w:val="1"/>
      <w:numFmt w:val="bullet"/>
      <w:lvlText w:val=""/>
      <w:lvlJc w:val="left"/>
      <w:pPr>
        <w:ind w:left="5040" w:hanging="360"/>
      </w:pPr>
      <w:rPr>
        <w:rFonts w:ascii="Symbol" w:hAnsi="Symbol" w:hint="default"/>
      </w:rPr>
    </w:lvl>
    <w:lvl w:ilvl="7" w:tplc="69C891DC" w:tentative="1">
      <w:start w:val="1"/>
      <w:numFmt w:val="bullet"/>
      <w:lvlText w:val="o"/>
      <w:lvlJc w:val="left"/>
      <w:pPr>
        <w:ind w:left="5760" w:hanging="360"/>
      </w:pPr>
      <w:rPr>
        <w:rFonts w:ascii="Courier New" w:hAnsi="Courier New" w:cs="Courier New" w:hint="default"/>
      </w:rPr>
    </w:lvl>
    <w:lvl w:ilvl="8" w:tplc="4D96C1AA" w:tentative="1">
      <w:start w:val="1"/>
      <w:numFmt w:val="bullet"/>
      <w:lvlText w:val=""/>
      <w:lvlJc w:val="left"/>
      <w:pPr>
        <w:ind w:left="6480" w:hanging="360"/>
      </w:pPr>
      <w:rPr>
        <w:rFonts w:ascii="Wingdings" w:hAnsi="Wingdings" w:hint="default"/>
      </w:rPr>
    </w:lvl>
  </w:abstractNum>
  <w:abstractNum w:abstractNumId="1" w15:restartNumberingAfterBreak="0">
    <w:nsid w:val="2C545BBE"/>
    <w:multiLevelType w:val="hybridMultilevel"/>
    <w:tmpl w:val="9C107CCE"/>
    <w:lvl w:ilvl="0" w:tplc="BF023664">
      <w:start w:val="1"/>
      <w:numFmt w:val="bullet"/>
      <w:lvlText w:val=""/>
      <w:lvlJc w:val="left"/>
      <w:pPr>
        <w:ind w:left="773" w:hanging="360"/>
      </w:pPr>
      <w:rPr>
        <w:rFonts w:ascii="Symbol" w:hAnsi="Symbol" w:hint="default"/>
      </w:rPr>
    </w:lvl>
    <w:lvl w:ilvl="1" w:tplc="1762917A" w:tentative="1">
      <w:start w:val="1"/>
      <w:numFmt w:val="bullet"/>
      <w:lvlText w:val="o"/>
      <w:lvlJc w:val="left"/>
      <w:pPr>
        <w:ind w:left="1493" w:hanging="360"/>
      </w:pPr>
      <w:rPr>
        <w:rFonts w:ascii="Courier New" w:hAnsi="Courier New" w:cs="Courier New" w:hint="default"/>
      </w:rPr>
    </w:lvl>
    <w:lvl w:ilvl="2" w:tplc="99389544" w:tentative="1">
      <w:start w:val="1"/>
      <w:numFmt w:val="bullet"/>
      <w:lvlText w:val=""/>
      <w:lvlJc w:val="left"/>
      <w:pPr>
        <w:ind w:left="2213" w:hanging="360"/>
      </w:pPr>
      <w:rPr>
        <w:rFonts w:ascii="Wingdings" w:hAnsi="Wingdings" w:hint="default"/>
      </w:rPr>
    </w:lvl>
    <w:lvl w:ilvl="3" w:tplc="D90E6850" w:tentative="1">
      <w:start w:val="1"/>
      <w:numFmt w:val="bullet"/>
      <w:lvlText w:val=""/>
      <w:lvlJc w:val="left"/>
      <w:pPr>
        <w:ind w:left="2933" w:hanging="360"/>
      </w:pPr>
      <w:rPr>
        <w:rFonts w:ascii="Symbol" w:hAnsi="Symbol" w:hint="default"/>
      </w:rPr>
    </w:lvl>
    <w:lvl w:ilvl="4" w:tplc="6308C75E" w:tentative="1">
      <w:start w:val="1"/>
      <w:numFmt w:val="bullet"/>
      <w:lvlText w:val="o"/>
      <w:lvlJc w:val="left"/>
      <w:pPr>
        <w:ind w:left="3653" w:hanging="360"/>
      </w:pPr>
      <w:rPr>
        <w:rFonts w:ascii="Courier New" w:hAnsi="Courier New" w:cs="Courier New" w:hint="default"/>
      </w:rPr>
    </w:lvl>
    <w:lvl w:ilvl="5" w:tplc="04F44290" w:tentative="1">
      <w:start w:val="1"/>
      <w:numFmt w:val="bullet"/>
      <w:lvlText w:val=""/>
      <w:lvlJc w:val="left"/>
      <w:pPr>
        <w:ind w:left="4373" w:hanging="360"/>
      </w:pPr>
      <w:rPr>
        <w:rFonts w:ascii="Wingdings" w:hAnsi="Wingdings" w:hint="default"/>
      </w:rPr>
    </w:lvl>
    <w:lvl w:ilvl="6" w:tplc="11F2E244" w:tentative="1">
      <w:start w:val="1"/>
      <w:numFmt w:val="bullet"/>
      <w:lvlText w:val=""/>
      <w:lvlJc w:val="left"/>
      <w:pPr>
        <w:ind w:left="5093" w:hanging="360"/>
      </w:pPr>
      <w:rPr>
        <w:rFonts w:ascii="Symbol" w:hAnsi="Symbol" w:hint="default"/>
      </w:rPr>
    </w:lvl>
    <w:lvl w:ilvl="7" w:tplc="E7C63472" w:tentative="1">
      <w:start w:val="1"/>
      <w:numFmt w:val="bullet"/>
      <w:lvlText w:val="o"/>
      <w:lvlJc w:val="left"/>
      <w:pPr>
        <w:ind w:left="5813" w:hanging="360"/>
      </w:pPr>
      <w:rPr>
        <w:rFonts w:ascii="Courier New" w:hAnsi="Courier New" w:cs="Courier New" w:hint="default"/>
      </w:rPr>
    </w:lvl>
    <w:lvl w:ilvl="8" w:tplc="460EEBAE" w:tentative="1">
      <w:start w:val="1"/>
      <w:numFmt w:val="bullet"/>
      <w:lvlText w:val=""/>
      <w:lvlJc w:val="left"/>
      <w:pPr>
        <w:ind w:left="6533" w:hanging="360"/>
      </w:pPr>
      <w:rPr>
        <w:rFonts w:ascii="Wingdings" w:hAnsi="Wingdings" w:hint="default"/>
      </w:rPr>
    </w:lvl>
  </w:abstractNum>
  <w:abstractNum w:abstractNumId="2" w15:restartNumberingAfterBreak="0">
    <w:nsid w:val="61E60DB5"/>
    <w:multiLevelType w:val="multilevel"/>
    <w:tmpl w:val="10F4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93B0B"/>
    <w:multiLevelType w:val="multilevel"/>
    <w:tmpl w:val="BA92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B5092"/>
    <w:multiLevelType w:val="multilevel"/>
    <w:tmpl w:val="4A74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814E6C"/>
    <w:multiLevelType w:val="multilevel"/>
    <w:tmpl w:val="B3600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37"/>
    <w:rsid w:val="00296C10"/>
    <w:rsid w:val="0035618F"/>
    <w:rsid w:val="003A1DE2"/>
    <w:rsid w:val="006323AB"/>
    <w:rsid w:val="006D7F3C"/>
    <w:rsid w:val="0077493F"/>
    <w:rsid w:val="00906109"/>
    <w:rsid w:val="00A02326"/>
    <w:rsid w:val="00A107E2"/>
    <w:rsid w:val="00AB3A37"/>
    <w:rsid w:val="00E55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BA60"/>
  <w15:docId w15:val="{C8B1147C-5BA9-46D2-AA6E-27AC861A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326"/>
    <w:pPr>
      <w:shd w:val="clear" w:color="auto" w:fill="FFFFFF"/>
      <w:spacing w:after="240" w:line="240" w:lineRule="auto"/>
    </w:pPr>
    <w:rPr>
      <w:rFonts w:eastAsia="Times New Roman" w:cs="Times New Roman"/>
      <w:spacing w:val="7"/>
      <w:szCs w:val="24"/>
      <w:lang w:val="en" w:eastAsia="en-AU"/>
    </w:rPr>
  </w:style>
  <w:style w:type="paragraph" w:styleId="Heading1">
    <w:name w:val="heading 1"/>
    <w:basedOn w:val="Normal"/>
    <w:next w:val="Normal"/>
    <w:link w:val="Heading1Char"/>
    <w:uiPriority w:val="9"/>
    <w:qFormat/>
    <w:rsid w:val="00A02326"/>
    <w:pPr>
      <w:outlineLvl w:val="0"/>
    </w:pPr>
    <w:rPr>
      <w:rFonts w:ascii="Calibri Light" w:hAnsi="Calibri Light"/>
      <w:b/>
      <w:kern w:val="36"/>
      <w:sz w:val="40"/>
      <w:szCs w:val="51"/>
    </w:rPr>
  </w:style>
  <w:style w:type="paragraph" w:styleId="Heading2">
    <w:name w:val="heading 2"/>
    <w:basedOn w:val="Normal"/>
    <w:next w:val="Normal"/>
    <w:link w:val="Heading2Char"/>
    <w:uiPriority w:val="9"/>
    <w:unhideWhenUsed/>
    <w:qFormat/>
    <w:rsid w:val="00A02326"/>
    <w:pPr>
      <w:spacing w:before="100" w:beforeAutospacing="1"/>
      <w:outlineLvl w:val="1"/>
    </w:pPr>
    <w:rPr>
      <w:rFonts w:ascii="Calibri Light" w:hAnsi="Calibri Light"/>
      <w:b/>
      <w:sz w:val="32"/>
      <w:szCs w:val="42"/>
    </w:rPr>
  </w:style>
  <w:style w:type="paragraph" w:styleId="Heading3">
    <w:name w:val="heading 3"/>
    <w:basedOn w:val="Normal"/>
    <w:next w:val="Normal"/>
    <w:link w:val="Heading3Char"/>
    <w:uiPriority w:val="9"/>
    <w:unhideWhenUsed/>
    <w:qFormat/>
    <w:rsid w:val="00A02326"/>
    <w:pPr>
      <w:spacing w:before="100" w:beforeAutospacing="1"/>
      <w:outlineLvl w:val="2"/>
    </w:pPr>
    <w:rPr>
      <w:rFonts w:ascii="Calibri Light" w:hAnsi="Calibri Light"/>
      <w:b/>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31E"/>
    <w:rPr>
      <w:rFonts w:ascii="Segoe UI" w:hAnsi="Segoe UI" w:cs="Segoe UI"/>
      <w:sz w:val="18"/>
      <w:szCs w:val="18"/>
    </w:rPr>
  </w:style>
  <w:style w:type="paragraph" w:styleId="ListParagraph">
    <w:name w:val="List Paragraph"/>
    <w:basedOn w:val="Normal"/>
    <w:uiPriority w:val="34"/>
    <w:qFormat/>
    <w:rsid w:val="009327C3"/>
    <w:pPr>
      <w:ind w:left="720"/>
      <w:contextualSpacing/>
    </w:pPr>
  </w:style>
  <w:style w:type="character" w:styleId="CommentReference">
    <w:name w:val="annotation reference"/>
    <w:basedOn w:val="DefaultParagraphFont"/>
    <w:uiPriority w:val="99"/>
    <w:semiHidden/>
    <w:unhideWhenUsed/>
    <w:rsid w:val="001163B1"/>
    <w:rPr>
      <w:sz w:val="16"/>
      <w:szCs w:val="16"/>
    </w:rPr>
  </w:style>
  <w:style w:type="paragraph" w:styleId="CommentText">
    <w:name w:val="annotation text"/>
    <w:basedOn w:val="Normal"/>
    <w:link w:val="CommentTextChar"/>
    <w:uiPriority w:val="99"/>
    <w:semiHidden/>
    <w:unhideWhenUsed/>
    <w:rsid w:val="001163B1"/>
    <w:rPr>
      <w:sz w:val="20"/>
      <w:szCs w:val="20"/>
    </w:rPr>
  </w:style>
  <w:style w:type="character" w:customStyle="1" w:styleId="CommentTextChar">
    <w:name w:val="Comment Text Char"/>
    <w:basedOn w:val="DefaultParagraphFont"/>
    <w:link w:val="CommentText"/>
    <w:uiPriority w:val="99"/>
    <w:semiHidden/>
    <w:rsid w:val="001163B1"/>
    <w:rPr>
      <w:sz w:val="20"/>
      <w:szCs w:val="20"/>
    </w:rPr>
  </w:style>
  <w:style w:type="paragraph" w:styleId="CommentSubject">
    <w:name w:val="annotation subject"/>
    <w:basedOn w:val="CommentText"/>
    <w:next w:val="CommentText"/>
    <w:link w:val="CommentSubjectChar"/>
    <w:uiPriority w:val="99"/>
    <w:semiHidden/>
    <w:unhideWhenUsed/>
    <w:rsid w:val="001163B1"/>
    <w:rPr>
      <w:b/>
      <w:bCs/>
    </w:rPr>
  </w:style>
  <w:style w:type="character" w:customStyle="1" w:styleId="CommentSubjectChar">
    <w:name w:val="Comment Subject Char"/>
    <w:basedOn w:val="CommentTextChar"/>
    <w:link w:val="CommentSubject"/>
    <w:uiPriority w:val="99"/>
    <w:semiHidden/>
    <w:rsid w:val="001163B1"/>
    <w:rPr>
      <w:b/>
      <w:bCs/>
      <w:sz w:val="20"/>
      <w:szCs w:val="20"/>
    </w:rPr>
  </w:style>
  <w:style w:type="paragraph" w:styleId="Header">
    <w:name w:val="header"/>
    <w:basedOn w:val="Normal"/>
    <w:link w:val="HeaderChar"/>
    <w:uiPriority w:val="99"/>
    <w:unhideWhenUsed/>
    <w:rsid w:val="00E9713E"/>
    <w:pPr>
      <w:tabs>
        <w:tab w:val="center" w:pos="4513"/>
        <w:tab w:val="right" w:pos="9026"/>
      </w:tabs>
    </w:pPr>
  </w:style>
  <w:style w:type="character" w:customStyle="1" w:styleId="HeaderChar">
    <w:name w:val="Header Char"/>
    <w:basedOn w:val="DefaultParagraphFont"/>
    <w:link w:val="Header"/>
    <w:uiPriority w:val="99"/>
    <w:rsid w:val="00E9713E"/>
  </w:style>
  <w:style w:type="paragraph" w:styleId="Footer">
    <w:name w:val="footer"/>
    <w:basedOn w:val="Normal"/>
    <w:link w:val="FooterChar"/>
    <w:uiPriority w:val="99"/>
    <w:unhideWhenUsed/>
    <w:rsid w:val="00E9713E"/>
    <w:pPr>
      <w:tabs>
        <w:tab w:val="center" w:pos="4513"/>
        <w:tab w:val="right" w:pos="9026"/>
      </w:tabs>
    </w:pPr>
  </w:style>
  <w:style w:type="character" w:customStyle="1" w:styleId="FooterChar">
    <w:name w:val="Footer Char"/>
    <w:basedOn w:val="DefaultParagraphFont"/>
    <w:link w:val="Footer"/>
    <w:uiPriority w:val="99"/>
    <w:rsid w:val="00E9713E"/>
  </w:style>
  <w:style w:type="paragraph" w:styleId="Revision">
    <w:name w:val="Revision"/>
    <w:hidden/>
    <w:uiPriority w:val="99"/>
    <w:semiHidden/>
    <w:rsid w:val="00C54785"/>
    <w:pPr>
      <w:spacing w:after="0" w:line="240" w:lineRule="auto"/>
    </w:pPr>
  </w:style>
  <w:style w:type="character" w:customStyle="1" w:styleId="Heading1Char">
    <w:name w:val="Heading 1 Char"/>
    <w:basedOn w:val="DefaultParagraphFont"/>
    <w:link w:val="Heading1"/>
    <w:uiPriority w:val="9"/>
    <w:rsid w:val="00A02326"/>
    <w:rPr>
      <w:rFonts w:ascii="Calibri Light" w:eastAsia="Times New Roman" w:hAnsi="Calibri Light" w:cs="Times New Roman"/>
      <w:b/>
      <w:spacing w:val="7"/>
      <w:kern w:val="36"/>
      <w:sz w:val="40"/>
      <w:szCs w:val="51"/>
      <w:shd w:val="clear" w:color="auto" w:fill="FFFFFF"/>
      <w:lang w:val="en" w:eastAsia="en-AU"/>
    </w:rPr>
  </w:style>
  <w:style w:type="character" w:customStyle="1" w:styleId="Heading2Char">
    <w:name w:val="Heading 2 Char"/>
    <w:basedOn w:val="DefaultParagraphFont"/>
    <w:link w:val="Heading2"/>
    <w:uiPriority w:val="9"/>
    <w:rsid w:val="00A02326"/>
    <w:rPr>
      <w:rFonts w:ascii="Calibri Light" w:eastAsia="Times New Roman" w:hAnsi="Calibri Light" w:cs="Times New Roman"/>
      <w:b/>
      <w:spacing w:val="7"/>
      <w:sz w:val="32"/>
      <w:szCs w:val="42"/>
      <w:shd w:val="clear" w:color="auto" w:fill="FFFFFF"/>
      <w:lang w:val="en" w:eastAsia="en-AU"/>
    </w:rPr>
  </w:style>
  <w:style w:type="character" w:customStyle="1" w:styleId="Heading3Char">
    <w:name w:val="Heading 3 Char"/>
    <w:basedOn w:val="DefaultParagraphFont"/>
    <w:link w:val="Heading3"/>
    <w:uiPriority w:val="9"/>
    <w:rsid w:val="00A02326"/>
    <w:rPr>
      <w:rFonts w:ascii="Calibri Light" w:eastAsia="Times New Roman" w:hAnsi="Calibri Light" w:cs="Times New Roman"/>
      <w:b/>
      <w:spacing w:val="7"/>
      <w:sz w:val="24"/>
      <w:szCs w:val="36"/>
      <w:shd w:val="clear" w:color="auto" w:fill="FFFFFF"/>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C3AB6F0-9922-44AF-9E3C-E52AAC673F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AEF28055716BB4587012C4CEE64D52B" ma:contentTypeVersion="" ma:contentTypeDescription="PDMS Document Site Content Type" ma:contentTypeScope="" ma:versionID="81acee90343ffab655a3ac17fae99d98">
  <xsd:schema xmlns:xsd="http://www.w3.org/2001/XMLSchema" xmlns:xs="http://www.w3.org/2001/XMLSchema" xmlns:p="http://schemas.microsoft.com/office/2006/metadata/properties" xmlns:ns2="0C3AB6F0-9922-44AF-9E3C-E52AAC673F31" targetNamespace="http://schemas.microsoft.com/office/2006/metadata/properties" ma:root="true" ma:fieldsID="d05d93fd016b3e0eda89b18f0c459e86" ns2:_="">
    <xsd:import namespace="0C3AB6F0-9922-44AF-9E3C-E52AAC673F3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AB6F0-9922-44AF-9E3C-E52AAC673F3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77E60-E5C8-4BDD-A33A-675D0D28F7BE}">
  <ds:schemaRefs>
    <ds:schemaRef ds:uri="http://purl.org/dc/terms/"/>
    <ds:schemaRef ds:uri="http://schemas.openxmlformats.org/package/2006/metadata/core-properties"/>
    <ds:schemaRef ds:uri="http://schemas.microsoft.com/office/2006/documentManagement/types"/>
    <ds:schemaRef ds:uri="0C3AB6F0-9922-44AF-9E3C-E52AAC673F3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99E0FA8-5EA9-4A15-81CD-8E32CF7F92DF}">
  <ds:schemaRefs/>
</ds:datastoreItem>
</file>

<file path=customXml/itemProps3.xml><?xml version="1.0" encoding="utf-8"?>
<ds:datastoreItem xmlns:ds="http://schemas.openxmlformats.org/officeDocument/2006/customXml" ds:itemID="{8E5BADD7-72AB-4B6E-B63A-34E8ADFC2334}">
  <ds:schemaRefs/>
</ds:datastoreItem>
</file>

<file path=customXml/itemProps4.xml><?xml version="1.0" encoding="utf-8"?>
<ds:datastoreItem xmlns:ds="http://schemas.openxmlformats.org/officeDocument/2006/customXml" ds:itemID="{BB49F82D-BD4E-4A65-9030-990DF043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Telecommunications Universal Service Obligation—Terms of Reference</vt:lpstr>
    </vt:vector>
  </TitlesOfParts>
  <Company>Department of Communications</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Universal Service Obligation—Terms of Reference</dc:title>
  <dc:creator>Spaseski, Sylvia</dc:creator>
  <cp:lastModifiedBy>Theresa Hall</cp:lastModifiedBy>
  <cp:revision>4</cp:revision>
  <cp:lastPrinted>2016-04-22T07:44:00Z</cp:lastPrinted>
  <dcterms:created xsi:type="dcterms:W3CDTF">2016-04-22T07:20:00Z</dcterms:created>
  <dcterms:modified xsi:type="dcterms:W3CDTF">2016-04-22T07:46:00Z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09 March 2016</vt:lpwstr>
  </property>
  <property fmtid="{D5CDD505-2E9C-101B-9397-08002B2CF9AE}" pid="4" name="ClearanceDueDate">
    <vt:lpwstr>29 February 2016</vt:lpwstr>
  </property>
  <property fmtid="{D5CDD505-2E9C-101B-9397-08002B2CF9AE}" pid="5" name="ContentTypeId">
    <vt:lpwstr>0x010100348D01E61E107C4DA4B97E380EA20D47004B7320C8138A8C40B01B3DC2E108E51E</vt:lpwstr>
  </property>
  <property fmtid="{D5CDD505-2E9C-101B-9397-08002B2CF9AE}" pid="6" name="Electorates">
    <vt:lpwstr> </vt:lpwstr>
  </property>
  <property fmtid="{D5CDD505-2E9C-101B-9397-08002B2CF9AE}" pid="7" name="GroupResponsible">
    <vt:lpwstr>Branch Consumer Access</vt:lpwstr>
  </property>
  <property fmtid="{D5CDD505-2E9C-101B-9397-08002B2CF9AE}" pid="8" name="HandlingProtocol">
    <vt:lpwstr>Standard</vt:lpwstr>
  </property>
  <property fmtid="{D5CDD505-2E9C-101B-9397-08002B2CF9AE}" pid="9" name="InformationMinister">
    <vt:lpwstr>Fiona Nash</vt:lpwstr>
  </property>
  <property fmtid="{D5CDD505-2E9C-101B-9397-08002B2CF9AE}" pid="10" name="LastClearingOfficer">
    <vt:lpwstr>Lila Martinez</vt:lpwstr>
  </property>
  <property fmtid="{D5CDD505-2E9C-101B-9397-08002B2CF9AE}" pid="11" name="Ministers">
    <vt:lpwstr>Mitch Fifield, Fiona Nash</vt:lpwstr>
  </property>
  <property fmtid="{D5CDD505-2E9C-101B-9397-08002B2CF9AE}" pid="12" name="PdrId">
    <vt:lpwstr>MS16-000203</vt:lpwstr>
  </property>
  <property fmtid="{D5CDD505-2E9C-101B-9397-08002B2CF9AE}" pid="13" name="Principal">
    <vt:lpwstr>Minister Fifield</vt:lpwstr>
  </property>
  <property fmtid="{D5CDD505-2E9C-101B-9397-08002B2CF9AE}" pid="14" name="ReasonForSensitivity">
    <vt:lpwstr/>
  </property>
  <property fmtid="{D5CDD505-2E9C-101B-9397-08002B2CF9AE}" pid="15" name="RecordPoint_ActiveItemListId">
    <vt:lpwstr>{0c61c3a0-7318-4128-8d17-64456560370c}</vt:lpwstr>
  </property>
  <property fmtid="{D5CDD505-2E9C-101B-9397-08002B2CF9AE}" pid="16" name="RecordPoint_ActiveItemSiteId">
    <vt:lpwstr>{a3a280d1-e8f1-4ce7-94f0-aaa2322da0dd}</vt:lpwstr>
  </property>
  <property fmtid="{D5CDD505-2E9C-101B-9397-08002B2CF9AE}" pid="17" name="RecordPoint_ActiveItemUniqueId">
    <vt:lpwstr>{0e3d6a98-4d82-4b3b-9a31-080c15210e2d}</vt:lpwstr>
  </property>
  <property fmtid="{D5CDD505-2E9C-101B-9397-08002B2CF9AE}" pid="18" name="RecordPoint_ActiveItemWebId">
    <vt:lpwstr>{02bf35b4-6132-4f8f-af3f-8ee2ef296cf9}</vt:lpwstr>
  </property>
  <property fmtid="{D5CDD505-2E9C-101B-9397-08002B2CF9AE}" pid="19" name="RecordPoint_WorkflowType">
    <vt:lpwstr>ActiveSubmitStub</vt:lpwstr>
  </property>
  <property fmtid="{D5CDD505-2E9C-101B-9397-08002B2CF9AE}" pid="20" name="RegisteredDate">
    <vt:lpwstr>26 February 2016</vt:lpwstr>
  </property>
  <property fmtid="{D5CDD505-2E9C-101B-9397-08002B2CF9AE}" pid="21" name="RequestedAction">
    <vt:lpwstr>Signature</vt:lpwstr>
  </property>
  <property fmtid="{D5CDD505-2E9C-101B-9397-08002B2CF9AE}" pid="22" name="ResponsibleMinister">
    <vt:lpwstr>Mitch Fifield</vt:lpwstr>
  </property>
  <property fmtid="{D5CDD505-2E9C-101B-9397-08002B2CF9AE}" pid="23" name="SecurityClassification">
    <vt:lpwstr>For Official Use Only (FOUO)  </vt:lpwstr>
  </property>
  <property fmtid="{D5CDD505-2E9C-101B-9397-08002B2CF9AE}" pid="24" name="Subject">
    <vt:lpwstr>Terms of Reference for Productivity Commission Inquiry into the Universal Service Obligation</vt:lpwstr>
  </property>
  <property fmtid="{D5CDD505-2E9C-101B-9397-08002B2CF9AE}" pid="25" name="TaskSeqNo">
    <vt:lpwstr>2</vt:lpwstr>
  </property>
  <property fmtid="{D5CDD505-2E9C-101B-9397-08002B2CF9AE}" pid="26" name="TemplateSubType">
    <vt:lpwstr>Standard With Letter</vt:lpwstr>
  </property>
  <property fmtid="{D5CDD505-2E9C-101B-9397-08002B2CF9AE}" pid="27" name="TemplateType">
    <vt:lpwstr>Information Submission</vt:lpwstr>
  </property>
  <property fmtid="{D5CDD505-2E9C-101B-9397-08002B2CF9AE}" pid="28" name="TrustedGroups">
    <vt:lpwstr>Parliamentary Coordinator MS, DLO, Ministerial Staff - Coalition 2013, Business Administrator, Limited Distribution MS</vt:lpwstr>
  </property>
  <property fmtid="{D5CDD505-2E9C-101B-9397-08002B2CF9AE}" pid="29" name="TSYRecordClass">
    <vt:lpwstr>2;#TSY RA-8748 - Retain as national archives|243f2231-dbfc-4282-b24a-c9b768286bd0</vt:lpwstr>
  </property>
  <property fmtid="{D5CDD505-2E9C-101B-9397-08002B2CF9AE}" pid="30" name="_dlc_DocIdItemGuid">
    <vt:lpwstr>0e3d6a98-4d82-4b3b-9a31-080c15210e2d</vt:lpwstr>
  </property>
  <property fmtid="{D5CDD505-2E9C-101B-9397-08002B2CF9AE}" pid="31" name="_NewReviewCycle">
    <vt:lpwstr/>
  </property>
</Properties>
</file>