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1E4" w:rsidRDefault="00A55EBE">
      <w:pPr>
        <w:rPr>
          <w:rFonts w:ascii="Century Gothic" w:hAnsi="Century Gothic"/>
        </w:rPr>
      </w:pPr>
      <w:r>
        <w:rPr>
          <w:rFonts w:ascii="Century Gothic" w:hAnsi="Century Gothic"/>
          <w:noProof/>
          <w:lang w:eastAsia="en-AU"/>
        </w:rPr>
        <w:drawing>
          <wp:inline distT="0" distB="0" distL="0" distR="0" wp14:anchorId="738AE149" wp14:editId="31F1AFBF">
            <wp:extent cx="3124200" cy="13018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Telecom-Group-Po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1662" cy="1317418"/>
                    </a:xfrm>
                    <a:prstGeom prst="rect">
                      <a:avLst/>
                    </a:prstGeom>
                  </pic:spPr>
                </pic:pic>
              </a:graphicData>
            </a:graphic>
          </wp:inline>
        </w:drawing>
      </w:r>
    </w:p>
    <w:p w:rsidR="00A55EBE" w:rsidRPr="00EF5772" w:rsidRDefault="00EF5772">
      <w:pPr>
        <w:rPr>
          <w:rFonts w:ascii="Century Gothic" w:hAnsi="Century Gothic"/>
          <w:b/>
          <w:sz w:val="36"/>
          <w:szCs w:val="36"/>
        </w:rPr>
      </w:pPr>
      <w:r w:rsidRPr="00EF5772">
        <w:rPr>
          <w:rFonts w:ascii="Century Gothic" w:hAnsi="Century Gothic"/>
          <w:b/>
          <w:sz w:val="36"/>
          <w:szCs w:val="36"/>
        </w:rPr>
        <w:t>Comments on Consumer Safeguards Review Part A Discussion Paper</w:t>
      </w:r>
    </w:p>
    <w:p w:rsidR="00EF5772" w:rsidRPr="00EF5772" w:rsidRDefault="00EF5772">
      <w:pPr>
        <w:rPr>
          <w:rFonts w:ascii="Century Gothic" w:hAnsi="Century Gothic"/>
          <w:b/>
          <w:sz w:val="28"/>
          <w:szCs w:val="28"/>
        </w:rPr>
      </w:pPr>
      <w:r w:rsidRPr="00EF5772">
        <w:rPr>
          <w:rFonts w:ascii="Century Gothic" w:hAnsi="Century Gothic"/>
          <w:b/>
          <w:sz w:val="28"/>
          <w:szCs w:val="28"/>
        </w:rPr>
        <w:t>July 2018</w:t>
      </w:r>
    </w:p>
    <w:p w:rsidR="00997A42" w:rsidRPr="00874898" w:rsidRDefault="00997A42">
      <w:pPr>
        <w:rPr>
          <w:rFonts w:ascii="Century Gothic" w:hAnsi="Century Gothic"/>
        </w:rPr>
      </w:pPr>
    </w:p>
    <w:p w:rsidR="00997A42" w:rsidRPr="00874898" w:rsidRDefault="00997A42">
      <w:pPr>
        <w:rPr>
          <w:rFonts w:ascii="Century Gothic" w:hAnsi="Century Gothic"/>
        </w:rPr>
      </w:pPr>
      <w:bookmarkStart w:id="0" w:name="_GoBack"/>
      <w:r w:rsidRPr="00874898">
        <w:rPr>
          <w:rFonts w:ascii="Century Gothic" w:hAnsi="Century Gothic"/>
        </w:rPr>
        <w:t xml:space="preserve">Macquarie Telecom Group </w:t>
      </w:r>
      <w:bookmarkEnd w:id="0"/>
      <w:r w:rsidRPr="00874898">
        <w:rPr>
          <w:rFonts w:ascii="Century Gothic" w:hAnsi="Century Gothic"/>
        </w:rPr>
        <w:t>appreciates the opportunity to comment on the Consumer Safeguards Review Part A consultation paper.</w:t>
      </w:r>
    </w:p>
    <w:p w:rsidR="00D72542" w:rsidRDefault="00FD799F">
      <w:pPr>
        <w:rPr>
          <w:rFonts w:ascii="Century Gothic" w:hAnsi="Century Gothic"/>
        </w:rPr>
      </w:pPr>
      <w:r w:rsidRPr="00874898">
        <w:rPr>
          <w:rFonts w:ascii="Century Gothic" w:hAnsi="Century Gothic"/>
        </w:rPr>
        <w:t xml:space="preserve">Macquarie believes the communications industry’s relationship with its customers is in a state of deep malaise, and </w:t>
      </w:r>
      <w:r w:rsidR="00874898" w:rsidRPr="00874898">
        <w:rPr>
          <w:rFonts w:ascii="Century Gothic" w:hAnsi="Century Gothic"/>
        </w:rPr>
        <w:t xml:space="preserve">recent sharp increases in consumer complaints were not only predictable, but predicted. </w:t>
      </w:r>
    </w:p>
    <w:p w:rsidR="00D72542" w:rsidRDefault="00D72542">
      <w:pPr>
        <w:rPr>
          <w:rFonts w:ascii="Century Gothic" w:hAnsi="Century Gothic"/>
        </w:rPr>
      </w:pPr>
      <w:r>
        <w:rPr>
          <w:rFonts w:ascii="Century Gothic" w:hAnsi="Century Gothic"/>
        </w:rPr>
        <w:t>Macquarie has for some years warned the rollout of the NBN would inevitably result in service disruption to some extent, and the many years of high level of customer complaints indicated there was no reservoir of goodwill to see the industry through this period.</w:t>
      </w:r>
    </w:p>
    <w:p w:rsidR="00D72542" w:rsidRDefault="00D72542">
      <w:pPr>
        <w:rPr>
          <w:rFonts w:ascii="Century Gothic" w:hAnsi="Century Gothic"/>
        </w:rPr>
      </w:pPr>
      <w:r>
        <w:rPr>
          <w:rFonts w:ascii="Century Gothic" w:hAnsi="Century Gothic"/>
        </w:rPr>
        <w:t xml:space="preserve">Unfortunately, these concerns were out of step with the largest participants in the industry, and their </w:t>
      </w:r>
      <w:r w:rsidR="00A34CEF">
        <w:rPr>
          <w:rFonts w:ascii="Century Gothic" w:hAnsi="Century Gothic"/>
        </w:rPr>
        <w:t>dismissal of the warning signs was largely reflected in TIO reports downplaying the continuing very high level of complaints against the industry. Both the large companies, industry representative bodies and the TIO tended to look for “green shoots” when the absolute number of complaints was consistently at a level completely beyond that of any other industry.</w:t>
      </w:r>
    </w:p>
    <w:p w:rsidR="00997A42" w:rsidRDefault="00874898">
      <w:pPr>
        <w:rPr>
          <w:rFonts w:ascii="Century Gothic" w:hAnsi="Century Gothic"/>
        </w:rPr>
      </w:pPr>
      <w:r w:rsidRPr="00874898">
        <w:rPr>
          <w:rFonts w:ascii="Century Gothic" w:hAnsi="Century Gothic"/>
        </w:rPr>
        <w:t xml:space="preserve">That the industry and the TIO failed to meaningfully act ahead of this rise is indicative of </w:t>
      </w:r>
      <w:r>
        <w:rPr>
          <w:rFonts w:ascii="Century Gothic" w:hAnsi="Century Gothic"/>
        </w:rPr>
        <w:t>the need for fundamental changes to the complaint handling processes by both the industry and by an independent agency to which unresolved complaints can be referred.</w:t>
      </w:r>
      <w:r w:rsidR="00620A69">
        <w:rPr>
          <w:rFonts w:ascii="Century Gothic" w:hAnsi="Century Gothic"/>
        </w:rPr>
        <w:t xml:space="preserve"> While we do not suggest the TIO acted in bad faith at any time, it is reasonable to ask if the TIO is insufficiently independent of industry – especially the biggest providers – and consequently is too narrow in its sources of advice and experience. </w:t>
      </w:r>
    </w:p>
    <w:p w:rsidR="00620A69" w:rsidRDefault="00874898">
      <w:pPr>
        <w:rPr>
          <w:rFonts w:ascii="Century Gothic" w:hAnsi="Century Gothic"/>
        </w:rPr>
      </w:pPr>
      <w:r>
        <w:rPr>
          <w:rFonts w:ascii="Century Gothic" w:hAnsi="Century Gothic"/>
        </w:rPr>
        <w:t>Macquarie submits</w:t>
      </w:r>
      <w:r w:rsidR="00620A69">
        <w:rPr>
          <w:rFonts w:ascii="Century Gothic" w:hAnsi="Century Gothic"/>
        </w:rPr>
        <w:t xml:space="preserve"> the underlying cause of poor customer service is</w:t>
      </w:r>
      <w:r>
        <w:rPr>
          <w:rFonts w:ascii="Century Gothic" w:hAnsi="Century Gothic"/>
        </w:rPr>
        <w:t xml:space="preserve"> a lack of competitiveness in communications markets</w:t>
      </w:r>
      <w:r w:rsidR="00620A69">
        <w:rPr>
          <w:rFonts w:ascii="Century Gothic" w:hAnsi="Century Gothic"/>
        </w:rPr>
        <w:t>. This</w:t>
      </w:r>
      <w:r>
        <w:rPr>
          <w:rFonts w:ascii="Century Gothic" w:hAnsi="Century Gothic"/>
        </w:rPr>
        <w:t xml:space="preserve"> means there are insufficient market incentives for companies to genuinely prioritise and invest in consumer satisfaction</w:t>
      </w:r>
      <w:r w:rsidR="00442874">
        <w:rPr>
          <w:rFonts w:ascii="Century Gothic" w:hAnsi="Century Gothic"/>
        </w:rPr>
        <w:t xml:space="preserve">. </w:t>
      </w:r>
    </w:p>
    <w:p w:rsidR="00874898" w:rsidRDefault="00442874">
      <w:pPr>
        <w:rPr>
          <w:rFonts w:ascii="Century Gothic" w:hAnsi="Century Gothic"/>
        </w:rPr>
      </w:pPr>
      <w:r>
        <w:rPr>
          <w:rFonts w:ascii="Century Gothic" w:hAnsi="Century Gothic"/>
        </w:rPr>
        <w:lastRenderedPageBreak/>
        <w:t>In the absence of competitive pressure to drives to better service, most large providers instead prioritise cost cutting. Much of the cost cutting comes directly at the expense of customer service.</w:t>
      </w:r>
      <w:r w:rsidR="00620A69">
        <w:rPr>
          <w:rFonts w:ascii="Century Gothic" w:hAnsi="Century Gothic"/>
        </w:rPr>
        <w:t xml:space="preserve"> This includes the wholesale offshoring of customer support by the largest RSPs in the past decade, for example.</w:t>
      </w:r>
    </w:p>
    <w:p w:rsidR="00442874" w:rsidRDefault="00620A69">
      <w:pPr>
        <w:rPr>
          <w:rFonts w:ascii="Century Gothic" w:hAnsi="Century Gothic"/>
        </w:rPr>
      </w:pPr>
      <w:r>
        <w:rPr>
          <w:rFonts w:ascii="Century Gothic" w:hAnsi="Century Gothic"/>
        </w:rPr>
        <w:t>By way of contrast, i</w:t>
      </w:r>
      <w:r w:rsidR="00442874">
        <w:rPr>
          <w:rFonts w:ascii="Century Gothic" w:hAnsi="Century Gothic"/>
        </w:rPr>
        <w:t>t is clear the communications companies who have historically delivered the highest level of service, and recorded the best customer satisfaction ratings, have been entrants and challengers, with Macquarie as a prime example.</w:t>
      </w:r>
    </w:p>
    <w:p w:rsidR="00442874" w:rsidRDefault="00442874">
      <w:pPr>
        <w:rPr>
          <w:rFonts w:ascii="Century Gothic" w:hAnsi="Century Gothic"/>
        </w:rPr>
      </w:pPr>
      <w:r>
        <w:rPr>
          <w:rFonts w:ascii="Century Gothic" w:hAnsi="Century Gothic"/>
        </w:rPr>
        <w:t>Macquarie believes all policy and regulation should prioritise encouraging competition, or, at the very least, be designed such that it does nothing to create barriers to entry or disadvantage challenger companies.</w:t>
      </w:r>
    </w:p>
    <w:p w:rsidR="00442874" w:rsidRDefault="00442F99">
      <w:pPr>
        <w:rPr>
          <w:rFonts w:ascii="Century Gothic" w:hAnsi="Century Gothic"/>
        </w:rPr>
      </w:pPr>
      <w:r>
        <w:rPr>
          <w:rFonts w:ascii="Century Gothic" w:hAnsi="Century Gothic"/>
        </w:rPr>
        <w:t>It is clear, however, t</w:t>
      </w:r>
      <w:r w:rsidR="00442874">
        <w:rPr>
          <w:rFonts w:ascii="Century Gothic" w:hAnsi="Century Gothic"/>
        </w:rPr>
        <w:t xml:space="preserve">he present crisis in customer confidence </w:t>
      </w:r>
      <w:r w:rsidR="00722E81">
        <w:rPr>
          <w:rFonts w:ascii="Century Gothic" w:hAnsi="Century Gothic"/>
        </w:rPr>
        <w:t>requires action beyond what could be achieved in the short term by improving competitive conditions.</w:t>
      </w:r>
      <w:r w:rsidR="00620A69">
        <w:rPr>
          <w:rFonts w:ascii="Century Gothic" w:hAnsi="Century Gothic"/>
        </w:rPr>
        <w:t xml:space="preserve"> It means action to directly improve customer experience is justified and necessary.</w:t>
      </w:r>
    </w:p>
    <w:p w:rsidR="005A4C6E" w:rsidRDefault="005A4C6E">
      <w:pPr>
        <w:rPr>
          <w:rFonts w:ascii="Century Gothic" w:hAnsi="Century Gothic"/>
        </w:rPr>
      </w:pPr>
      <w:r>
        <w:rPr>
          <w:rFonts w:ascii="Century Gothic" w:hAnsi="Century Gothic"/>
        </w:rPr>
        <w:t xml:space="preserve">The level of regard in which the industry is held is so low that all providers – even those with genuine commitment to customer care – are tarred with the same brush. This </w:t>
      </w:r>
      <w:r w:rsidR="00B34626">
        <w:rPr>
          <w:rFonts w:ascii="Century Gothic" w:hAnsi="Century Gothic"/>
        </w:rPr>
        <w:t>is hampering the willingness of consumers to transition to the NBN</w:t>
      </w:r>
      <w:r w:rsidR="00442F99">
        <w:rPr>
          <w:rFonts w:ascii="Century Gothic" w:hAnsi="Century Gothic"/>
        </w:rPr>
        <w:t xml:space="preserve"> at a crucial time in its rollout</w:t>
      </w:r>
      <w:r w:rsidR="00B34626">
        <w:rPr>
          <w:rFonts w:ascii="Century Gothic" w:hAnsi="Century Gothic"/>
        </w:rPr>
        <w:t xml:space="preserve">, as </w:t>
      </w:r>
      <w:r w:rsidR="00442F99">
        <w:rPr>
          <w:rFonts w:ascii="Century Gothic" w:hAnsi="Century Gothic"/>
        </w:rPr>
        <w:t>consumers</w:t>
      </w:r>
      <w:r w:rsidR="00B34626">
        <w:rPr>
          <w:rFonts w:ascii="Century Gothic" w:hAnsi="Century Gothic"/>
        </w:rPr>
        <w:t xml:space="preserve"> have come to expect disruption and poor complaint resolution.</w:t>
      </w:r>
    </w:p>
    <w:p w:rsidR="00C17B18" w:rsidRDefault="00442F99">
      <w:pPr>
        <w:rPr>
          <w:rFonts w:ascii="Century Gothic" w:hAnsi="Century Gothic"/>
        </w:rPr>
      </w:pPr>
      <w:r>
        <w:rPr>
          <w:rFonts w:ascii="Century Gothic" w:hAnsi="Century Gothic"/>
        </w:rPr>
        <w:t>So low is t</w:t>
      </w:r>
      <w:r w:rsidR="00C17B18">
        <w:rPr>
          <w:rFonts w:ascii="Century Gothic" w:hAnsi="Century Gothic"/>
        </w:rPr>
        <w:t xml:space="preserve">he community’s confidence in the communications industry that tinkering with the present arrangements and institutions is insufficient. The TIO has proved </w:t>
      </w:r>
      <w:r w:rsidR="00BA26B9">
        <w:rPr>
          <w:rFonts w:ascii="Century Gothic" w:hAnsi="Century Gothic"/>
        </w:rPr>
        <w:t>ineffective</w:t>
      </w:r>
      <w:r w:rsidR="00C17B18">
        <w:rPr>
          <w:rFonts w:ascii="Century Gothic" w:hAnsi="Century Gothic"/>
        </w:rPr>
        <w:t xml:space="preserve"> </w:t>
      </w:r>
      <w:r w:rsidR="00BA26B9">
        <w:rPr>
          <w:rFonts w:ascii="Century Gothic" w:hAnsi="Century Gothic"/>
        </w:rPr>
        <w:t>at</w:t>
      </w:r>
      <w:r w:rsidR="00C17B18">
        <w:rPr>
          <w:rFonts w:ascii="Century Gothic" w:hAnsi="Century Gothic"/>
        </w:rPr>
        <w:t xml:space="preserve"> driving the cultural change necessary. </w:t>
      </w:r>
      <w:r w:rsidR="000F661A">
        <w:rPr>
          <w:rFonts w:ascii="Century Gothic" w:hAnsi="Century Gothic"/>
        </w:rPr>
        <w:t xml:space="preserve">Macquarie sees no evidence this is likely to change. </w:t>
      </w:r>
      <w:r w:rsidR="00C17B18">
        <w:rPr>
          <w:rFonts w:ascii="Century Gothic" w:hAnsi="Century Gothic"/>
        </w:rPr>
        <w:t>It is reasonable to conclude that the co-regulatory model now needs to be replaced with a fully independent regulator.</w:t>
      </w:r>
    </w:p>
    <w:p w:rsidR="00C17B18" w:rsidRDefault="00C17B18">
      <w:pPr>
        <w:rPr>
          <w:rFonts w:ascii="Century Gothic" w:hAnsi="Century Gothic"/>
        </w:rPr>
      </w:pPr>
      <w:r>
        <w:rPr>
          <w:rFonts w:ascii="Century Gothic" w:hAnsi="Century Gothic"/>
        </w:rPr>
        <w:t xml:space="preserve">For these reasons, Macquarie supports the proposal for a new </w:t>
      </w:r>
      <w:r w:rsidR="00442F99">
        <w:rPr>
          <w:rFonts w:ascii="Century Gothic" w:hAnsi="Century Gothic"/>
        </w:rPr>
        <w:t>external dispute resolution agency</w:t>
      </w:r>
      <w:r>
        <w:rPr>
          <w:rFonts w:ascii="Century Gothic" w:hAnsi="Century Gothic"/>
        </w:rPr>
        <w:t xml:space="preserve"> to replace the TIO, independent of industry.</w:t>
      </w:r>
    </w:p>
    <w:p w:rsidR="00C17B18" w:rsidRDefault="00C17B18">
      <w:pPr>
        <w:rPr>
          <w:rFonts w:ascii="Century Gothic" w:hAnsi="Century Gothic"/>
        </w:rPr>
      </w:pPr>
      <w:r>
        <w:rPr>
          <w:rFonts w:ascii="Century Gothic" w:hAnsi="Century Gothic"/>
        </w:rPr>
        <w:t>In addition, Macquarie believes the following measures should be put in place.</w:t>
      </w:r>
    </w:p>
    <w:p w:rsidR="000F661A" w:rsidRDefault="00442F99" w:rsidP="00442F99">
      <w:pPr>
        <w:pStyle w:val="ListParagraph"/>
        <w:numPr>
          <w:ilvl w:val="0"/>
          <w:numId w:val="1"/>
        </w:numPr>
        <w:rPr>
          <w:rFonts w:ascii="Century Gothic" w:hAnsi="Century Gothic"/>
        </w:rPr>
      </w:pPr>
      <w:r>
        <w:rPr>
          <w:rFonts w:ascii="Century Gothic" w:hAnsi="Century Gothic"/>
        </w:rPr>
        <w:t>C</w:t>
      </w:r>
      <w:r w:rsidR="000F661A">
        <w:rPr>
          <w:rFonts w:ascii="Century Gothic" w:hAnsi="Century Gothic"/>
        </w:rPr>
        <w:t xml:space="preserve">onsistent customer complaint </w:t>
      </w:r>
      <w:r>
        <w:rPr>
          <w:rFonts w:ascii="Century Gothic" w:hAnsi="Century Gothic"/>
        </w:rPr>
        <w:t>handling policies</w:t>
      </w:r>
      <w:r w:rsidR="000F661A">
        <w:rPr>
          <w:rFonts w:ascii="Century Gothic" w:hAnsi="Century Gothic"/>
        </w:rPr>
        <w:t xml:space="preserve"> and process</w:t>
      </w:r>
      <w:r>
        <w:rPr>
          <w:rFonts w:ascii="Century Gothic" w:hAnsi="Century Gothic"/>
        </w:rPr>
        <w:t>es</w:t>
      </w:r>
      <w:r w:rsidR="000F661A">
        <w:rPr>
          <w:rFonts w:ascii="Century Gothic" w:hAnsi="Century Gothic"/>
        </w:rPr>
        <w:t xml:space="preserve"> and clear communication about those processes is an important </w:t>
      </w:r>
      <w:r w:rsidR="00CD4B7D">
        <w:rPr>
          <w:rFonts w:ascii="Century Gothic" w:hAnsi="Century Gothic"/>
        </w:rPr>
        <w:t>for customers. Guid</w:t>
      </w:r>
      <w:r>
        <w:rPr>
          <w:rFonts w:ascii="Century Gothic" w:hAnsi="Century Gothic"/>
        </w:rPr>
        <w:t>ance should be giving to businesses in developing these</w:t>
      </w:r>
      <w:r w:rsidR="00CD4B7D">
        <w:rPr>
          <w:rFonts w:ascii="Century Gothic" w:hAnsi="Century Gothic"/>
        </w:rPr>
        <w:t xml:space="preserve"> </w:t>
      </w:r>
      <w:r w:rsidR="000F661A">
        <w:rPr>
          <w:rFonts w:ascii="Century Gothic" w:hAnsi="Century Gothic"/>
        </w:rPr>
        <w:t>such that</w:t>
      </w:r>
      <w:r w:rsidR="00CD4B7D">
        <w:rPr>
          <w:rFonts w:ascii="Century Gothic" w:hAnsi="Century Gothic"/>
        </w:rPr>
        <w:t>, to the greatest extent possible, the standard interactions with customers elicit</w:t>
      </w:r>
      <w:r w:rsidR="000F661A">
        <w:rPr>
          <w:rFonts w:ascii="Century Gothic" w:hAnsi="Century Gothic"/>
        </w:rPr>
        <w:t xml:space="preserve"> the information that might be required for reporting by any external dispute resolution body.</w:t>
      </w:r>
      <w:r w:rsidR="00CD4B7D">
        <w:rPr>
          <w:rFonts w:ascii="Century Gothic" w:hAnsi="Century Gothic"/>
        </w:rPr>
        <w:t xml:space="preserve"> Th</w:t>
      </w:r>
      <w:r>
        <w:rPr>
          <w:rFonts w:ascii="Century Gothic" w:hAnsi="Century Gothic"/>
        </w:rPr>
        <w:t>is would minimise costs and regulatory burden.</w:t>
      </w:r>
    </w:p>
    <w:p w:rsidR="00C17B18" w:rsidRDefault="0044739F" w:rsidP="00C17B18">
      <w:pPr>
        <w:pStyle w:val="ListParagraph"/>
        <w:numPr>
          <w:ilvl w:val="0"/>
          <w:numId w:val="1"/>
        </w:numPr>
        <w:rPr>
          <w:rFonts w:ascii="Century Gothic" w:hAnsi="Century Gothic"/>
        </w:rPr>
      </w:pPr>
      <w:r>
        <w:rPr>
          <w:rFonts w:ascii="Century Gothic" w:hAnsi="Century Gothic"/>
        </w:rPr>
        <w:t>There should be c</w:t>
      </w:r>
      <w:r w:rsidR="00C17B18">
        <w:rPr>
          <w:rFonts w:ascii="Century Gothic" w:hAnsi="Century Gothic"/>
        </w:rPr>
        <w:t xml:space="preserve">ontinuous reporting of consumer complaints. In addition to monthly and quarterly reporting of complaints, Macquarie submits a “live” rolling daily number of complaints should be published. Macquarie </w:t>
      </w:r>
      <w:r>
        <w:rPr>
          <w:rFonts w:ascii="Century Gothic" w:hAnsi="Century Gothic"/>
        </w:rPr>
        <w:t>has for three years published</w:t>
      </w:r>
      <w:r w:rsidR="00C17B18">
        <w:rPr>
          <w:rFonts w:ascii="Century Gothic" w:hAnsi="Century Gothic"/>
        </w:rPr>
        <w:t xml:space="preserve"> its own Net Promoter Score on a rolling monthly basis updated daily on its website. This transparency </w:t>
      </w:r>
      <w:r>
        <w:rPr>
          <w:rFonts w:ascii="Century Gothic" w:hAnsi="Century Gothic"/>
        </w:rPr>
        <w:t>engenders both</w:t>
      </w:r>
      <w:r w:rsidR="00C17B18">
        <w:rPr>
          <w:rFonts w:ascii="Century Gothic" w:hAnsi="Century Gothic"/>
        </w:rPr>
        <w:t xml:space="preserve"> consumer confidence and internal discipline. A similar initiative could be an important </w:t>
      </w:r>
      <w:r w:rsidR="00C17B18">
        <w:rPr>
          <w:rFonts w:ascii="Century Gothic" w:hAnsi="Century Gothic"/>
        </w:rPr>
        <w:lastRenderedPageBreak/>
        <w:t>message to the communications industry of the cultural change demanded by the community</w:t>
      </w:r>
      <w:r>
        <w:rPr>
          <w:rFonts w:ascii="Century Gothic" w:hAnsi="Century Gothic"/>
        </w:rPr>
        <w:t xml:space="preserve"> and the EDR</w:t>
      </w:r>
      <w:r w:rsidR="00C17B18">
        <w:rPr>
          <w:rFonts w:ascii="Century Gothic" w:hAnsi="Century Gothic"/>
        </w:rPr>
        <w:t>.</w:t>
      </w:r>
    </w:p>
    <w:p w:rsidR="00C17B18" w:rsidRDefault="00C17B18" w:rsidP="00C17B18">
      <w:pPr>
        <w:pStyle w:val="ListParagraph"/>
        <w:numPr>
          <w:ilvl w:val="0"/>
          <w:numId w:val="1"/>
        </w:numPr>
        <w:rPr>
          <w:rFonts w:ascii="Century Gothic" w:hAnsi="Century Gothic"/>
        </w:rPr>
      </w:pPr>
      <w:r>
        <w:rPr>
          <w:rFonts w:ascii="Century Gothic" w:hAnsi="Century Gothic"/>
        </w:rPr>
        <w:t>Monthly and quarterly reporting of complaints, with analysis of the trends and types and sources of complaints</w:t>
      </w:r>
      <w:r w:rsidR="0044739F">
        <w:rPr>
          <w:rFonts w:ascii="Century Gothic" w:hAnsi="Century Gothic"/>
        </w:rPr>
        <w:t>, to provide a basis for continuous improvement</w:t>
      </w:r>
      <w:r>
        <w:rPr>
          <w:rFonts w:ascii="Century Gothic" w:hAnsi="Century Gothic"/>
        </w:rPr>
        <w:t xml:space="preserve">. </w:t>
      </w:r>
      <w:r w:rsidR="00354948">
        <w:rPr>
          <w:rFonts w:ascii="Century Gothic" w:hAnsi="Century Gothic"/>
        </w:rPr>
        <w:t>In addition to highlighting areas of concerns</w:t>
      </w:r>
      <w:r w:rsidR="0044739F">
        <w:rPr>
          <w:rFonts w:ascii="Century Gothic" w:hAnsi="Century Gothic"/>
        </w:rPr>
        <w:t xml:space="preserve"> –</w:t>
      </w:r>
      <w:r w:rsidR="00354948">
        <w:rPr>
          <w:rFonts w:ascii="Century Gothic" w:hAnsi="Century Gothic"/>
        </w:rPr>
        <w:t xml:space="preserve"> such as clusters of complaints around technologies, locations or service types</w:t>
      </w:r>
      <w:r w:rsidR="0044739F">
        <w:rPr>
          <w:rFonts w:ascii="Century Gothic" w:hAnsi="Century Gothic"/>
        </w:rPr>
        <w:t xml:space="preserve"> –</w:t>
      </w:r>
      <w:r w:rsidR="00354948">
        <w:rPr>
          <w:rFonts w:ascii="Century Gothic" w:hAnsi="Century Gothic"/>
        </w:rPr>
        <w:t xml:space="preserve"> good an</w:t>
      </w:r>
      <w:r w:rsidR="0044739F">
        <w:rPr>
          <w:rFonts w:ascii="Century Gothic" w:hAnsi="Century Gothic"/>
        </w:rPr>
        <w:t>d bad performing RSPs</w:t>
      </w:r>
      <w:r w:rsidR="00354948">
        <w:rPr>
          <w:rFonts w:ascii="Century Gothic" w:hAnsi="Century Gothic"/>
        </w:rPr>
        <w:t xml:space="preserve"> should be identified. Calling out consistently good performers would facilitate more informed consumer behaviour and encourage companies to put greater commercial value on </w:t>
      </w:r>
      <w:r w:rsidR="008C4756">
        <w:rPr>
          <w:rFonts w:ascii="Century Gothic" w:hAnsi="Century Gothic"/>
        </w:rPr>
        <w:t xml:space="preserve">their </w:t>
      </w:r>
      <w:r w:rsidR="00354948">
        <w:rPr>
          <w:rFonts w:ascii="Century Gothic" w:hAnsi="Century Gothic"/>
        </w:rPr>
        <w:t>customer service reputations.</w:t>
      </w:r>
    </w:p>
    <w:p w:rsidR="00354948" w:rsidRDefault="00354948" w:rsidP="00C17B18">
      <w:pPr>
        <w:pStyle w:val="ListParagraph"/>
        <w:numPr>
          <w:ilvl w:val="0"/>
          <w:numId w:val="1"/>
        </w:numPr>
        <w:rPr>
          <w:rFonts w:ascii="Century Gothic" w:hAnsi="Century Gothic"/>
        </w:rPr>
      </w:pPr>
      <w:r>
        <w:rPr>
          <w:rFonts w:ascii="Century Gothic" w:hAnsi="Century Gothic"/>
        </w:rPr>
        <w:t>Mechanisms to require poor performers to “own” the obligation to improve</w:t>
      </w:r>
      <w:r w:rsidR="008C4756">
        <w:rPr>
          <w:rFonts w:ascii="Century Gothic" w:hAnsi="Century Gothic"/>
        </w:rPr>
        <w:t xml:space="preserve"> should be implemented</w:t>
      </w:r>
      <w:r>
        <w:rPr>
          <w:rFonts w:ascii="Century Gothic" w:hAnsi="Century Gothic"/>
        </w:rPr>
        <w:t xml:space="preserve">. Macquarie has previously </w:t>
      </w:r>
      <w:r w:rsidR="00DD44E3">
        <w:rPr>
          <w:rFonts w:ascii="Century Gothic" w:hAnsi="Century Gothic"/>
        </w:rPr>
        <w:t>proposed poorly performed companies are required to offer rectification plans. This would consist of initiatives these companies themselves propose and commit to in order to improve their individual performance.</w:t>
      </w:r>
    </w:p>
    <w:p w:rsidR="00DD44E3" w:rsidRDefault="00DD44E3" w:rsidP="00C17B18">
      <w:pPr>
        <w:pStyle w:val="ListParagraph"/>
        <w:numPr>
          <w:ilvl w:val="0"/>
          <w:numId w:val="1"/>
        </w:numPr>
        <w:rPr>
          <w:rFonts w:ascii="Century Gothic" w:hAnsi="Century Gothic"/>
        </w:rPr>
      </w:pPr>
      <w:r>
        <w:rPr>
          <w:rFonts w:ascii="Century Gothic" w:hAnsi="Century Gothic"/>
        </w:rPr>
        <w:t xml:space="preserve">Enforcement mechanisms </w:t>
      </w:r>
      <w:r w:rsidR="008C4756">
        <w:rPr>
          <w:rFonts w:ascii="Century Gothic" w:hAnsi="Century Gothic"/>
        </w:rPr>
        <w:t>must include</w:t>
      </w:r>
      <w:r>
        <w:rPr>
          <w:rFonts w:ascii="Century Gothic" w:hAnsi="Century Gothic"/>
        </w:rPr>
        <w:t xml:space="preserve"> materially meaningful sanctions. Those companies that had lodged rectification plans but have failed to demonstrate improvement or delivered against their self-nominated commitments should face meaningful financial sanctions from a government agency. This mechanism would cause responsibility for the meeting of commitments to be elevated in importance within the management structures of companies. Customer satisfaction and complaint management is evidently not presently a commitment owned in the highest levels of many poorly performing communications companies. Changing this is key to reforming culture.</w:t>
      </w:r>
    </w:p>
    <w:p w:rsidR="00BE4CA6" w:rsidRDefault="00BE4CA6">
      <w:pPr>
        <w:rPr>
          <w:rFonts w:ascii="Century Gothic" w:hAnsi="Century Gothic"/>
        </w:rPr>
      </w:pPr>
      <w:r>
        <w:rPr>
          <w:rFonts w:ascii="Century Gothic" w:hAnsi="Century Gothic"/>
        </w:rPr>
        <w:t>History has shown the no amount of regulation can be sustainably effective at changing behaviour in communications markets if the underlying incentives are driving companies to behave is a different way. For this reason, elevating competition is likely to be the only way to truly transform behaviour.</w:t>
      </w:r>
    </w:p>
    <w:p w:rsidR="00BE4CA6" w:rsidRDefault="00BE4CA6">
      <w:pPr>
        <w:rPr>
          <w:rFonts w:ascii="Century Gothic" w:hAnsi="Century Gothic"/>
        </w:rPr>
      </w:pPr>
      <w:r>
        <w:rPr>
          <w:rFonts w:ascii="Century Gothic" w:hAnsi="Century Gothic"/>
        </w:rPr>
        <w:t xml:space="preserve">However, creating strong incentives aligned as closely as possible to the underlying business interests of individual RSPs is more likely to go some way toward changing </w:t>
      </w:r>
      <w:r w:rsidR="007F4D94">
        <w:rPr>
          <w:rFonts w:ascii="Century Gothic" w:hAnsi="Century Gothic"/>
        </w:rPr>
        <w:t>overall industry performance than trying to tinker with arrangements such as the funding model for the TIO.</w:t>
      </w:r>
    </w:p>
    <w:p w:rsidR="00722E81" w:rsidRDefault="000F661A">
      <w:pPr>
        <w:rPr>
          <w:rFonts w:ascii="Century Gothic" w:hAnsi="Century Gothic"/>
        </w:rPr>
      </w:pPr>
      <w:r>
        <w:rPr>
          <w:rFonts w:ascii="Century Gothic" w:hAnsi="Century Gothic"/>
        </w:rPr>
        <w:t>There are important principles and t</w:t>
      </w:r>
      <w:r w:rsidR="00C17B18">
        <w:rPr>
          <w:rFonts w:ascii="Century Gothic" w:hAnsi="Century Gothic"/>
        </w:rPr>
        <w:t>ransitionary issues</w:t>
      </w:r>
      <w:r>
        <w:rPr>
          <w:rFonts w:ascii="Century Gothic" w:hAnsi="Century Gothic"/>
        </w:rPr>
        <w:t xml:space="preserve"> that must be considered in the design and transition to a new model.</w:t>
      </w:r>
    </w:p>
    <w:p w:rsidR="000F661A" w:rsidRDefault="000F661A">
      <w:pPr>
        <w:rPr>
          <w:rFonts w:ascii="Century Gothic" w:hAnsi="Century Gothic"/>
        </w:rPr>
      </w:pPr>
      <w:r>
        <w:rPr>
          <w:rFonts w:ascii="Century Gothic" w:hAnsi="Century Gothic"/>
        </w:rPr>
        <w:t xml:space="preserve">The funding model should be designed such that </w:t>
      </w:r>
      <w:r w:rsidR="007F4D94">
        <w:rPr>
          <w:rFonts w:ascii="Century Gothic" w:hAnsi="Century Gothic"/>
        </w:rPr>
        <w:t xml:space="preserve">it encourages </w:t>
      </w:r>
      <w:r>
        <w:rPr>
          <w:rFonts w:ascii="Century Gothic" w:hAnsi="Century Gothic"/>
        </w:rPr>
        <w:t xml:space="preserve">competitive entry and challenger businesses to the greatest extent possible. The imposition of regulatory and reporting </w:t>
      </w:r>
      <w:r w:rsidR="00555283">
        <w:rPr>
          <w:rFonts w:ascii="Century Gothic" w:hAnsi="Century Gothic"/>
        </w:rPr>
        <w:t xml:space="preserve">obligations should scale up with </w:t>
      </w:r>
      <w:r w:rsidR="007F4D94">
        <w:rPr>
          <w:rFonts w:ascii="Century Gothic" w:hAnsi="Century Gothic"/>
        </w:rPr>
        <w:t xml:space="preserve">both size of business and </w:t>
      </w:r>
      <w:r w:rsidR="00555283">
        <w:rPr>
          <w:rFonts w:ascii="Century Gothic" w:hAnsi="Century Gothic"/>
        </w:rPr>
        <w:t>poor performance</w:t>
      </w:r>
      <w:r w:rsidR="007F4D94">
        <w:rPr>
          <w:rFonts w:ascii="Century Gothic" w:hAnsi="Century Gothic"/>
        </w:rPr>
        <w:t>.</w:t>
      </w:r>
      <w:r w:rsidR="00555283">
        <w:rPr>
          <w:rFonts w:ascii="Century Gothic" w:hAnsi="Century Gothic"/>
        </w:rPr>
        <w:t xml:space="preserve"> </w:t>
      </w:r>
    </w:p>
    <w:p w:rsidR="00555283" w:rsidRDefault="00555283">
      <w:pPr>
        <w:rPr>
          <w:rFonts w:ascii="Century Gothic" w:hAnsi="Century Gothic"/>
        </w:rPr>
      </w:pPr>
      <w:r>
        <w:rPr>
          <w:rFonts w:ascii="Century Gothic" w:hAnsi="Century Gothic"/>
        </w:rPr>
        <w:t xml:space="preserve">Measuring performance is central to improvement. The transition from one model to another should seek to establish a baseline that is allows meaningful comparison </w:t>
      </w:r>
      <w:r>
        <w:rPr>
          <w:rFonts w:ascii="Century Gothic" w:hAnsi="Century Gothic"/>
        </w:rPr>
        <w:lastRenderedPageBreak/>
        <w:t>over time, rather than starting at “year zero”. This would overcome suspicion that changes were intended to hide poor performance.</w:t>
      </w:r>
    </w:p>
    <w:p w:rsidR="00982D1F" w:rsidRDefault="0026719D">
      <w:pPr>
        <w:rPr>
          <w:rFonts w:ascii="Century Gothic" w:hAnsi="Century Gothic"/>
        </w:rPr>
      </w:pPr>
      <w:r>
        <w:rPr>
          <w:rFonts w:ascii="Century Gothic" w:hAnsi="Century Gothic"/>
        </w:rPr>
        <w:t>Macquarie would be pleased to address any of these issues in more details if the Department requires.</w:t>
      </w:r>
    </w:p>
    <w:p w:rsidR="0026719D" w:rsidRDefault="0026719D">
      <w:pPr>
        <w:rPr>
          <w:rFonts w:ascii="Century Gothic" w:hAnsi="Century Gothic"/>
        </w:rPr>
      </w:pPr>
      <w:r>
        <w:rPr>
          <w:rFonts w:ascii="Century Gothic" w:hAnsi="Century Gothic"/>
        </w:rPr>
        <w:t>Contact: David Forman</w:t>
      </w:r>
    </w:p>
    <w:p w:rsidR="0026719D" w:rsidRDefault="0026719D">
      <w:pPr>
        <w:rPr>
          <w:rFonts w:ascii="Century Gothic" w:hAnsi="Century Gothic"/>
        </w:rPr>
      </w:pPr>
      <w:r>
        <w:rPr>
          <w:rFonts w:ascii="Century Gothic" w:hAnsi="Century Gothic"/>
        </w:rPr>
        <w:t>Senior Manager, Industry &amp; Policy</w:t>
      </w:r>
    </w:p>
    <w:p w:rsidR="0026719D" w:rsidRDefault="0026719D">
      <w:pPr>
        <w:rPr>
          <w:rFonts w:ascii="Century Gothic" w:hAnsi="Century Gothic"/>
        </w:rPr>
      </w:pPr>
    </w:p>
    <w:p w:rsidR="0026719D" w:rsidRDefault="0026719D">
      <w:pPr>
        <w:rPr>
          <w:rFonts w:ascii="Century Gothic" w:hAnsi="Century Gothic"/>
        </w:rPr>
      </w:pPr>
    </w:p>
    <w:p w:rsidR="00555283" w:rsidRDefault="00555283">
      <w:pPr>
        <w:rPr>
          <w:rFonts w:ascii="Century Gothic" w:hAnsi="Century Gothic"/>
        </w:rPr>
      </w:pPr>
    </w:p>
    <w:p w:rsidR="00555283" w:rsidRDefault="00555283">
      <w:pPr>
        <w:rPr>
          <w:rFonts w:ascii="Century Gothic" w:hAnsi="Century Gothic"/>
        </w:rPr>
      </w:pPr>
    </w:p>
    <w:p w:rsidR="00442874" w:rsidRDefault="00442874">
      <w:pPr>
        <w:rPr>
          <w:rFonts w:ascii="Century Gothic" w:hAnsi="Century Gothic"/>
        </w:rPr>
      </w:pPr>
    </w:p>
    <w:p w:rsidR="00442874" w:rsidRPr="00874898" w:rsidRDefault="00442874">
      <w:pPr>
        <w:rPr>
          <w:rFonts w:ascii="Century Gothic" w:hAnsi="Century Gothic"/>
        </w:rPr>
      </w:pPr>
    </w:p>
    <w:sectPr w:rsidR="00442874" w:rsidRPr="008748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AD66C2"/>
    <w:multiLevelType w:val="hybridMultilevel"/>
    <w:tmpl w:val="8534A9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A42"/>
    <w:rsid w:val="000F661A"/>
    <w:rsid w:val="00266B86"/>
    <w:rsid w:val="0026719D"/>
    <w:rsid w:val="00354948"/>
    <w:rsid w:val="00442874"/>
    <w:rsid w:val="00442F99"/>
    <w:rsid w:val="0044739F"/>
    <w:rsid w:val="004B0276"/>
    <w:rsid w:val="00555283"/>
    <w:rsid w:val="005A4C6E"/>
    <w:rsid w:val="00620A69"/>
    <w:rsid w:val="006748A5"/>
    <w:rsid w:val="00722E81"/>
    <w:rsid w:val="007F4D94"/>
    <w:rsid w:val="00874898"/>
    <w:rsid w:val="00897309"/>
    <w:rsid w:val="008C4756"/>
    <w:rsid w:val="00982D1F"/>
    <w:rsid w:val="00997A42"/>
    <w:rsid w:val="009D7AC2"/>
    <w:rsid w:val="00A34CEF"/>
    <w:rsid w:val="00A55EBE"/>
    <w:rsid w:val="00B34626"/>
    <w:rsid w:val="00BA26B9"/>
    <w:rsid w:val="00BE4CA6"/>
    <w:rsid w:val="00C17B18"/>
    <w:rsid w:val="00C56F23"/>
    <w:rsid w:val="00CD4B7D"/>
    <w:rsid w:val="00CE527B"/>
    <w:rsid w:val="00D72542"/>
    <w:rsid w:val="00D80A19"/>
    <w:rsid w:val="00DD44E3"/>
    <w:rsid w:val="00EF5772"/>
    <w:rsid w:val="00FD79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CEA6D0-33F3-4829-8463-8C0E87EA9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B18"/>
    <w:pPr>
      <w:ind w:left="720"/>
      <w:contextualSpacing/>
    </w:pPr>
  </w:style>
  <w:style w:type="character" w:styleId="Hyperlink">
    <w:name w:val="Hyperlink"/>
    <w:basedOn w:val="DefaultParagraphFont"/>
    <w:uiPriority w:val="99"/>
    <w:unhideWhenUsed/>
    <w:rsid w:val="0026719D"/>
    <w:rPr>
      <w:color w:val="0000FF" w:themeColor="hyperlink"/>
      <w:u w:val="single"/>
    </w:rPr>
  </w:style>
  <w:style w:type="character" w:customStyle="1" w:styleId="UnresolvedMention">
    <w:name w:val="Unresolved Mention"/>
    <w:basedOn w:val="DefaultParagraphFont"/>
    <w:uiPriority w:val="99"/>
    <w:semiHidden/>
    <w:unhideWhenUsed/>
    <w:rsid w:val="0026719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4F298E9CA044498A09F072C47C9E64" ma:contentTypeVersion="0" ma:contentTypeDescription="Create a new document." ma:contentTypeScope="" ma:versionID="1871b62a6bc14945bfc2eef67338259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E15C42-9065-45CC-9A16-0E3A2139AD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023848-FF7E-4436-8E3A-5291E89E48CA}">
  <ds:schemaRefs>
    <ds:schemaRef ds:uri="http://schemas.microsoft.com/sharepoint/v3/contenttype/forms"/>
  </ds:schemaRefs>
</ds:datastoreItem>
</file>

<file path=customXml/itemProps3.xml><?xml version="1.0" encoding="utf-8"?>
<ds:datastoreItem xmlns:ds="http://schemas.openxmlformats.org/officeDocument/2006/customXml" ds:itemID="{8AF61FEC-9E19-491B-81C5-301964F688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4</Pages>
  <Words>1162</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David Forman</dc:creator>
  <cp:keywords/>
  <dc:description/>
  <cp:lastModifiedBy>Reid, Jay</cp:lastModifiedBy>
  <cp:revision>10</cp:revision>
  <dcterms:created xsi:type="dcterms:W3CDTF">2018-07-19T02:40:00Z</dcterms:created>
  <dcterms:modified xsi:type="dcterms:W3CDTF">2018-08-09T23:16:00Z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0x010100B14F298E9CA044498A09F072C47C9E64</vt:lpwstr>
  </property>
  <property fmtid="{D5CDD505-2E9C-101B-9397-08002B2CF9AE}" pid="3" name="TrimRevisionNumber">
    <vt:i4>1</vt:i4>
  </property>
</Properties>
</file>