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32A24D4B" w:rsidR="00CE0B71" w:rsidRDefault="00CE0B71" w:rsidP="00CE0B71">
      <w:pPr>
        <w:pStyle w:val="Heading2"/>
      </w:pPr>
      <w:r>
        <w:t xml:space="preserve">Submission – </w:t>
      </w:r>
      <w:bookmarkStart w:id="0" w:name="_GoBack"/>
      <w:r w:rsidR="00533F16">
        <w:t xml:space="preserve">Keir </w:t>
      </w:r>
      <w:proofErr w:type="spellStart"/>
      <w:r w:rsidR="00533F16">
        <w:t>Winesmith</w:t>
      </w:r>
      <w:proofErr w:type="spellEnd"/>
      <w:r w:rsidR="008E1877" w:rsidRPr="008E1877">
        <w:t xml:space="preserve"> </w:t>
      </w:r>
      <w:bookmarkEnd w:id="0"/>
      <w:r w:rsidR="00C7022A">
        <w:t>(</w:t>
      </w:r>
      <w:r w:rsidR="00533F16">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192AA10"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Absolutely not. They do not outbid on high profile sporting events like the NRL or AFL and only pick up shows that the commercial channels overlook or aren't interested in.</w:t>
      </w:r>
    </w:p>
    <w:p w14:paraId="3939E464" w14:textId="45912FE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4C91FC7A" w14:textId="77777777" w:rsidR="00533F16" w:rsidRPr="00533F16" w:rsidRDefault="00533F16" w:rsidP="00533F16">
      <w:pPr>
        <w:pStyle w:val="Heading3-notshowing"/>
        <w:rPr>
          <w:rFonts w:asciiTheme="minorHAnsi" w:eastAsiaTheme="minorEastAsia" w:hAnsiTheme="minorHAnsi" w:cstheme="minorBidi"/>
          <w:b w:val="0"/>
          <w:color w:val="auto"/>
          <w:sz w:val="22"/>
          <w:szCs w:val="22"/>
          <w:lang w:eastAsia="zh-TW"/>
        </w:rPr>
      </w:pPr>
      <w:r w:rsidRPr="00533F16">
        <w:rPr>
          <w:rFonts w:asciiTheme="minorHAnsi" w:eastAsiaTheme="minorEastAsia" w:hAnsiTheme="minorHAnsi" w:cstheme="minorBidi"/>
          <w:b w:val="0"/>
          <w:color w:val="auto"/>
          <w:sz w:val="22"/>
          <w:szCs w:val="22"/>
          <w:lang w:eastAsia="zh-TW"/>
        </w:rPr>
        <w:t xml:space="preserve">The public broadcasters are highly regulated and scrutinized, I believe </w:t>
      </w:r>
      <w:proofErr w:type="spellStart"/>
      <w:proofErr w:type="gramStart"/>
      <w:r w:rsidRPr="00533F16">
        <w:rPr>
          <w:rFonts w:asciiTheme="minorHAnsi" w:eastAsiaTheme="minorEastAsia" w:hAnsiTheme="minorHAnsi" w:cstheme="minorBidi"/>
          <w:b w:val="0"/>
          <w:color w:val="auto"/>
          <w:sz w:val="22"/>
          <w:szCs w:val="22"/>
          <w:lang w:eastAsia="zh-TW"/>
        </w:rPr>
        <w:t>their are</w:t>
      </w:r>
      <w:proofErr w:type="spellEnd"/>
      <w:proofErr w:type="gramEnd"/>
      <w:r w:rsidRPr="00533F16">
        <w:rPr>
          <w:rFonts w:asciiTheme="minorHAnsi" w:eastAsiaTheme="minorEastAsia" w:hAnsiTheme="minorHAnsi" w:cstheme="minorBidi"/>
          <w:b w:val="0"/>
          <w:color w:val="auto"/>
          <w:sz w:val="22"/>
          <w:szCs w:val="22"/>
          <w:lang w:eastAsia="zh-TW"/>
        </w:rPr>
        <w:t xml:space="preserve"> adverse impacts on those public broadcasters, however is important that they stay independent and impartial. I don't see any major or notable adverse effects on the commercial broadcasters other than that they have to do better programming than they would if </w:t>
      </w:r>
      <w:proofErr w:type="gramStart"/>
      <w:r w:rsidRPr="00533F16">
        <w:rPr>
          <w:rFonts w:asciiTheme="minorHAnsi" w:eastAsiaTheme="minorEastAsia" w:hAnsiTheme="minorHAnsi" w:cstheme="minorBidi"/>
          <w:b w:val="0"/>
          <w:color w:val="auto"/>
          <w:sz w:val="22"/>
          <w:szCs w:val="22"/>
          <w:lang w:eastAsia="zh-TW"/>
        </w:rPr>
        <w:t>neither SBS or</w:t>
      </w:r>
      <w:proofErr w:type="gramEnd"/>
      <w:r w:rsidRPr="00533F16">
        <w:rPr>
          <w:rFonts w:asciiTheme="minorHAnsi" w:eastAsiaTheme="minorEastAsia" w:hAnsiTheme="minorHAnsi" w:cstheme="minorBidi"/>
          <w:b w:val="0"/>
          <w:color w:val="auto"/>
          <w:sz w:val="22"/>
          <w:szCs w:val="22"/>
          <w:lang w:eastAsia="zh-TW"/>
        </w:rPr>
        <w:t xml:space="preserve"> ABC were around. Or if they were merged or privatized. If there were, I think the quality and diversity of programming in Australia would be massively and adversely impacted. </w:t>
      </w:r>
    </w:p>
    <w:p w14:paraId="5AC8074E" w14:textId="0ABDCC98"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2043D4AE"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Yes, absolutely. Overly burdensome at times, on the national broadcasters, but that's a reasonable price to pay for their continued trustworthy independence.</w:t>
      </w:r>
    </w:p>
    <w:p w14:paraId="30AD4AE1" w14:textId="55AE299D"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4C3C456C"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 xml:space="preserve">No. This feels like a made a scenario, looking an excuse to make a political point. </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5FF2AC81"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Yes, absolutely.</w:t>
      </w:r>
    </w:p>
    <w:p w14:paraId="67E40410" w14:textId="6F2FBEE7"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23BDE195"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 xml:space="preserve">Yes they do. With exceptional consistency across traditional broadcasting and in the digital space. </w:t>
      </w:r>
    </w:p>
    <w:p w14:paraId="19638F91" w14:textId="0A6C5D47" w:rsidR="00387A1B" w:rsidRDefault="00CE0B71" w:rsidP="00D7718B">
      <w:pPr>
        <w:pStyle w:val="Heading3"/>
        <w:rPr>
          <w:bCs/>
        </w:rPr>
      </w:pPr>
      <w:r w:rsidRPr="006B035D">
        <w:rPr>
          <w:bCs/>
        </w:rPr>
        <w:t>Question 14: Do you have comment on these guiding principles?</w:t>
      </w:r>
    </w:p>
    <w:p w14:paraId="36447D97" w14:textId="77777777"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 xml:space="preserve">The Australian media landscape is something that all Australians should be proud of, anything that </w:t>
      </w:r>
      <w:proofErr w:type="spellStart"/>
      <w:r w:rsidRPr="00533F16">
        <w:rPr>
          <w:rFonts w:asciiTheme="minorHAnsi" w:eastAsiaTheme="minorEastAsia" w:hAnsiTheme="minorHAnsi" w:cstheme="minorBidi"/>
          <w:b w:val="0"/>
          <w:color w:val="auto"/>
          <w:sz w:val="22"/>
          <w:szCs w:val="22"/>
        </w:rPr>
        <w:t>curtialis</w:t>
      </w:r>
      <w:proofErr w:type="spellEnd"/>
      <w:r w:rsidRPr="00533F16">
        <w:rPr>
          <w:rFonts w:asciiTheme="minorHAnsi" w:eastAsiaTheme="minorEastAsia" w:hAnsiTheme="minorHAnsi" w:cstheme="minorBidi"/>
          <w:b w:val="0"/>
          <w:color w:val="auto"/>
          <w:sz w:val="22"/>
          <w:szCs w:val="22"/>
        </w:rPr>
        <w:t xml:space="preserve">, minimises, or otherwise seeks to diminish or remove the ABC and SBS should be considered with great caution. These questions, and their intent, seem to be written by someone with a vested financial or power sharing interest in a commercial media entity looking to use regulation to remove a perceived competitor. </w:t>
      </w:r>
    </w:p>
    <w:p w14:paraId="1B8C3770" w14:textId="259A94A0" w:rsidR="004C441D" w:rsidRPr="004C441D" w:rsidRDefault="004C441D" w:rsidP="00533F16">
      <w:pPr>
        <w:rPr>
          <w:lang w:eastAsia="en-US"/>
        </w:rPr>
      </w:pP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33F16">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33F16">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33F16">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33F16">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semiHidden/>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DEF7CF315B40A36D5B07BEAE394C" ma:contentTypeVersion="0" ma:contentTypeDescription="Create a new document." ma:contentTypeScope="" ma:versionID="01b3ff7b1d2a28f35bccd67a5a625a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20683134-3A07-4236-81F0-E7F009E5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CD4337-32CE-4FAC-A32C-67142331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467</Words>
  <Characters>2552</Characters>
  <Application>Microsoft Office Word</Application>
  <DocSecurity>4</DocSecurity>
  <Lines>45</Lines>
  <Paragraphs>16</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Keir Winesmith Submission - 22 June 2018.docx</dc:title>
  <dc:subject/>
  <dc:creator>Dang, Jasmen</dc:creator>
  <cp:keywords/>
  <dc:description>May 2018</dc:description>
  <cp:lastModifiedBy>O'DONNELL, Sally</cp:lastModifiedBy>
  <cp:revision>2</cp:revision>
  <dcterms:created xsi:type="dcterms:W3CDTF">2018-07-10T01:04:00Z</dcterms:created>
  <dcterms:modified xsi:type="dcterms:W3CDTF">2018-07-10T01:04:00Z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0x010100AEF3DEF7CF315B40A36D5B07BEAE394C</vt:lpwstr>
  </property>
  <property fmtid="{D5CDD505-2E9C-101B-9397-08002B2CF9AE}" pid="3" name="TrimRevisionNumber">
    <vt:i4>1</vt:i4>
  </property>
</Properties>
</file>