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8202" w14:textId="77777777" w:rsidR="00E776FC" w:rsidRPr="003E4A25" w:rsidRDefault="00E776FC" w:rsidP="006D287B">
      <w:pPr>
        <w:pStyle w:val="Heading1"/>
      </w:pPr>
      <w:r w:rsidRPr="003E4A25">
        <w:t>Introducti</w:t>
      </w:r>
      <w:r w:rsidRPr="006D287B">
        <w:rPr>
          <w:rStyle w:val="Heading1Char"/>
        </w:rPr>
        <w:t>o</w:t>
      </w:r>
      <w:r w:rsidRPr="003E4A25">
        <w:t>n</w:t>
      </w:r>
    </w:p>
    <w:p w14:paraId="56C76F07" w14:textId="77777777" w:rsidR="00132FB9" w:rsidRPr="003E4A25" w:rsidRDefault="00132FB9" w:rsidP="00132FB9">
      <w:pPr>
        <w:pStyle w:val="ListParagraph"/>
        <w:ind w:left="0"/>
      </w:pPr>
    </w:p>
    <w:p w14:paraId="3BFB3363" w14:textId="77777777" w:rsidR="000746A6" w:rsidRDefault="005715B5" w:rsidP="00132FB9">
      <w:pPr>
        <w:pStyle w:val="ListParagraph"/>
        <w:ind w:left="0"/>
      </w:pPr>
      <w:r w:rsidRPr="003E4A25">
        <w:t>In this personal submission, I am drawing on my many years of experience representing the public interest and consumers in communications policy</w:t>
      </w:r>
      <w:r w:rsidR="000746A6">
        <w:t>.</w:t>
      </w:r>
      <w:r w:rsidRPr="003E4A25">
        <w:t xml:space="preserve"> </w:t>
      </w:r>
    </w:p>
    <w:p w14:paraId="2EEF409F" w14:textId="77777777" w:rsidR="00D109A7" w:rsidRDefault="00D109A7" w:rsidP="00132FB9">
      <w:pPr>
        <w:pStyle w:val="ListParagraph"/>
        <w:ind w:left="0"/>
      </w:pPr>
    </w:p>
    <w:p w14:paraId="2B8EDD91" w14:textId="77777777" w:rsidR="007B696C" w:rsidRPr="003E4A25" w:rsidRDefault="00D109A7" w:rsidP="00132FB9">
      <w:pPr>
        <w:pStyle w:val="ListParagraph"/>
        <w:ind w:left="0"/>
      </w:pPr>
      <w:r>
        <w:t xml:space="preserve">I have, variously, been the </w:t>
      </w:r>
      <w:r w:rsidR="005715B5" w:rsidRPr="003E4A25">
        <w:t>research and policy advisory t</w:t>
      </w:r>
      <w:r>
        <w:t xml:space="preserve">o the Communications Law Centre, </w:t>
      </w:r>
      <w:r w:rsidR="005715B5" w:rsidRPr="003E4A25">
        <w:t>Project Manager of Consumer Codes with the Australian Commu</w:t>
      </w:r>
      <w:r w:rsidR="006C15D1">
        <w:t>nications Industry Forum (ACIF</w:t>
      </w:r>
      <w:r w:rsidR="00D077A6">
        <w:t>),</w:t>
      </w:r>
      <w:r w:rsidR="003E26BA">
        <w:t xml:space="preserve"> </w:t>
      </w:r>
      <w:r w:rsidR="00D077A6">
        <w:t>advisor to the Australian Democrats on communications policy</w:t>
      </w:r>
      <w:r w:rsidR="006C15D1">
        <w:t xml:space="preserve">, </w:t>
      </w:r>
      <w:r>
        <w:t>and</w:t>
      </w:r>
      <w:r w:rsidR="007B696C" w:rsidRPr="003E4A25">
        <w:t xml:space="preserve"> Executive Director of the Internet </w:t>
      </w:r>
      <w:r>
        <w:t>Society of Austral</w:t>
      </w:r>
      <w:r w:rsidR="00150AE7">
        <w:t>ia (ISOC-AU), during which time</w:t>
      </w:r>
      <w:r>
        <w:t xml:space="preserve"> </w:t>
      </w:r>
      <w:r w:rsidR="007B696C" w:rsidRPr="003E4A25">
        <w:t xml:space="preserve">ISOC-AU received grants under s. 593 of the </w:t>
      </w:r>
      <w:r w:rsidR="00D077A6">
        <w:t>Act</w:t>
      </w:r>
      <w:r w:rsidR="007B696C" w:rsidRPr="003E4A25">
        <w:t xml:space="preserve">. </w:t>
      </w:r>
    </w:p>
    <w:p w14:paraId="22D6DA4C" w14:textId="77777777" w:rsidR="007B696C" w:rsidRPr="003E4A25" w:rsidRDefault="007B696C" w:rsidP="00132FB9">
      <w:pPr>
        <w:pStyle w:val="ListParagraph"/>
        <w:ind w:left="0"/>
      </w:pPr>
    </w:p>
    <w:p w14:paraId="27814830" w14:textId="77777777" w:rsidR="00D109A7" w:rsidRDefault="00D109A7" w:rsidP="00132FB9">
      <w:pPr>
        <w:pStyle w:val="ListParagraph"/>
        <w:ind w:left="0"/>
      </w:pPr>
      <w:r>
        <w:t xml:space="preserve">I was part of the small </w:t>
      </w:r>
      <w:r w:rsidR="007B696C" w:rsidRPr="003E4A25">
        <w:t xml:space="preserve">working group on </w:t>
      </w:r>
      <w:r w:rsidR="00150AE7">
        <w:t xml:space="preserve">consumer representation convened by the Minister </w:t>
      </w:r>
      <w:r>
        <w:t>to establish what became ACCAN</w:t>
      </w:r>
      <w:r w:rsidR="00150AE7">
        <w:t>,</w:t>
      </w:r>
      <w:r>
        <w:t xml:space="preserve"> and on its formation</w:t>
      </w:r>
      <w:r w:rsidR="0053211B" w:rsidRPr="003E4A25">
        <w:t xml:space="preserve"> I joined the ACCAN Board as Deputy Chair</w:t>
      </w:r>
      <w:r>
        <w:t>. I</w:t>
      </w:r>
      <w:r w:rsidR="0053211B" w:rsidRPr="003E4A25">
        <w:t xml:space="preserve"> remained on the ACCAN Board, save one year for Board rotation as required under ACCAN’s Constitution, and am no longer on the ACCAN Board, again as required under the Constitution.</w:t>
      </w:r>
    </w:p>
    <w:p w14:paraId="25BB2438" w14:textId="77777777" w:rsidR="00D109A7" w:rsidRDefault="00D109A7" w:rsidP="00132FB9">
      <w:pPr>
        <w:pStyle w:val="ListParagraph"/>
        <w:ind w:left="0"/>
      </w:pPr>
    </w:p>
    <w:p w14:paraId="17693676" w14:textId="77777777" w:rsidR="007635A2" w:rsidRPr="003E4A25" w:rsidRDefault="006C15D1" w:rsidP="00132FB9">
      <w:pPr>
        <w:pStyle w:val="ListParagraph"/>
        <w:ind w:left="0"/>
      </w:pPr>
      <w:r>
        <w:t>T</w:t>
      </w:r>
      <w:r w:rsidR="00D109A7">
        <w:t xml:space="preserve">he questions raised by this Issues Paper are ones that I have </w:t>
      </w:r>
      <w:r>
        <w:t xml:space="preserve">addressed </w:t>
      </w:r>
      <w:r w:rsidR="00D109A7">
        <w:t>over the past several years.</w:t>
      </w:r>
      <w:r w:rsidR="000746A6">
        <w:t xml:space="preserve">  For me, t</w:t>
      </w:r>
      <w:r w:rsidR="00D109A7">
        <w:t xml:space="preserve">his </w:t>
      </w:r>
      <w:r w:rsidR="007635A2" w:rsidRPr="003E4A25">
        <w:t>Review raise</w:t>
      </w:r>
      <w:r w:rsidR="00D109A7">
        <w:t>s</w:t>
      </w:r>
      <w:r w:rsidR="007635A2" w:rsidRPr="003E4A25">
        <w:t xml:space="preserve"> four main issues:</w:t>
      </w:r>
    </w:p>
    <w:p w14:paraId="3A5B1699" w14:textId="77777777" w:rsidR="007635A2" w:rsidRPr="003E4A25" w:rsidRDefault="007635A2" w:rsidP="00132FB9">
      <w:pPr>
        <w:pStyle w:val="ListParagraph"/>
        <w:ind w:left="0"/>
      </w:pPr>
    </w:p>
    <w:p w14:paraId="537EBB3B" w14:textId="77777777" w:rsidR="004F260D" w:rsidRPr="003E4A25" w:rsidRDefault="007635A2" w:rsidP="007635A2">
      <w:pPr>
        <w:pStyle w:val="ListParagraph"/>
        <w:numPr>
          <w:ilvl w:val="0"/>
          <w:numId w:val="7"/>
        </w:numPr>
      </w:pPr>
      <w:r w:rsidRPr="003E4A25">
        <w:t xml:space="preserve">Is there a continuing need for direct funding </w:t>
      </w:r>
      <w:r w:rsidR="004F260D" w:rsidRPr="003E4A25">
        <w:t>under s. 593, and if so, should it be used for other than the current purposes of consumer representation and research?</w:t>
      </w:r>
    </w:p>
    <w:p w14:paraId="3FE1A37F" w14:textId="77777777" w:rsidR="00A21D87" w:rsidRPr="003E4A25" w:rsidRDefault="004F260D" w:rsidP="007635A2">
      <w:pPr>
        <w:pStyle w:val="ListParagraph"/>
        <w:numPr>
          <w:ilvl w:val="0"/>
          <w:numId w:val="7"/>
        </w:numPr>
      </w:pPr>
      <w:r w:rsidRPr="003E4A25">
        <w:t>If the current funding is to continue</w:t>
      </w:r>
      <w:r w:rsidR="00A21D87" w:rsidRPr="003E4A25">
        <w:t>, should that funding go to a telecommunications specific organisation or organisations, or to a general consumer body or bodies?</w:t>
      </w:r>
    </w:p>
    <w:p w14:paraId="4E4A098A" w14:textId="77777777" w:rsidR="00A21D87" w:rsidRPr="003E4A25" w:rsidRDefault="00A21D87" w:rsidP="007635A2">
      <w:pPr>
        <w:pStyle w:val="ListParagraph"/>
        <w:numPr>
          <w:ilvl w:val="0"/>
          <w:numId w:val="7"/>
        </w:numPr>
      </w:pPr>
      <w:r w:rsidRPr="003E4A25">
        <w:t>Given that ACCAN has been the sole recipient of funding under s. 593, has it done the following:</w:t>
      </w:r>
    </w:p>
    <w:p w14:paraId="095CDB23" w14:textId="77777777" w:rsidR="00A21D87" w:rsidRPr="003E4A25" w:rsidRDefault="00A21D87" w:rsidP="00A21D87">
      <w:pPr>
        <w:pStyle w:val="ListParagraph"/>
        <w:numPr>
          <w:ilvl w:val="1"/>
          <w:numId w:val="7"/>
        </w:numPr>
      </w:pPr>
      <w:r w:rsidRPr="003E4A25">
        <w:t>Effectively engage with a broad range of stakeholders</w:t>
      </w:r>
    </w:p>
    <w:p w14:paraId="4A4F85B0" w14:textId="77777777" w:rsidR="00A21D87" w:rsidRPr="003E4A25" w:rsidRDefault="00A21D87" w:rsidP="00A21D87">
      <w:pPr>
        <w:pStyle w:val="ListParagraph"/>
        <w:numPr>
          <w:ilvl w:val="1"/>
          <w:numId w:val="7"/>
        </w:numPr>
      </w:pPr>
      <w:r w:rsidRPr="003E4A25">
        <w:t>Struck an appropriate balance between general and specific consumer needs</w:t>
      </w:r>
    </w:p>
    <w:p w14:paraId="67C87EB6" w14:textId="77777777" w:rsidR="00A21D87" w:rsidRPr="003E4A25" w:rsidRDefault="00A21D87" w:rsidP="00A21D87">
      <w:pPr>
        <w:pStyle w:val="ListParagraph"/>
        <w:numPr>
          <w:ilvl w:val="0"/>
          <w:numId w:val="7"/>
        </w:numPr>
      </w:pPr>
      <w:r w:rsidRPr="003E4A25">
        <w:t>Given the Issues Paper’s recognition of the need for consumer related research, currently funded under ACCAN’s Independent Grants Program (IGP):</w:t>
      </w:r>
    </w:p>
    <w:p w14:paraId="11B1FACA" w14:textId="77777777" w:rsidR="00A21D87" w:rsidRPr="003E4A25" w:rsidRDefault="00A21D87" w:rsidP="00A21D87">
      <w:pPr>
        <w:pStyle w:val="ListParagraph"/>
        <w:numPr>
          <w:ilvl w:val="1"/>
          <w:numId w:val="7"/>
        </w:numPr>
      </w:pPr>
      <w:r w:rsidRPr="003E4A25">
        <w:t>Should Government undertake its own consumer research, either wholly or partly replacing the IGP funding</w:t>
      </w:r>
    </w:p>
    <w:p w14:paraId="73EED5B8" w14:textId="77777777" w:rsidR="007635A2" w:rsidRPr="003E4A25" w:rsidRDefault="004F260D" w:rsidP="00A21D87">
      <w:pPr>
        <w:pStyle w:val="ListParagraph"/>
        <w:numPr>
          <w:ilvl w:val="1"/>
          <w:numId w:val="7"/>
        </w:numPr>
      </w:pPr>
      <w:r w:rsidRPr="003E4A25">
        <w:t>Has the research undertaken under the</w:t>
      </w:r>
      <w:r w:rsidR="003E26BA">
        <w:t xml:space="preserve"> IGP proven useful to consumers</w:t>
      </w:r>
      <w:r w:rsidRPr="003E4A25">
        <w:t xml:space="preserve"> and/or influenced policy, </w:t>
      </w:r>
    </w:p>
    <w:p w14:paraId="2C89F8D8" w14:textId="77777777" w:rsidR="004F260D" w:rsidRPr="003E4A25" w:rsidRDefault="004F260D" w:rsidP="006D287B">
      <w:pPr>
        <w:pStyle w:val="Heading1"/>
      </w:pPr>
      <w:r w:rsidRPr="003E4A25">
        <w:t>Direct Funding?</w:t>
      </w:r>
    </w:p>
    <w:p w14:paraId="441C39D4" w14:textId="77777777" w:rsidR="004F260D" w:rsidRPr="003E4A25" w:rsidRDefault="004F260D" w:rsidP="00CA0449">
      <w:pPr>
        <w:pStyle w:val="ListParagraph"/>
        <w:ind w:left="0"/>
      </w:pPr>
    </w:p>
    <w:p w14:paraId="09E35F2C" w14:textId="77777777" w:rsidR="00DC1470" w:rsidRDefault="005F492A" w:rsidP="003E4A25">
      <w:pPr>
        <w:pStyle w:val="ListParagraph"/>
        <w:ind w:left="0"/>
      </w:pPr>
      <w:r w:rsidRPr="003E4A25">
        <w:t>In 1996,</w:t>
      </w:r>
      <w:r w:rsidR="003E4A25" w:rsidRPr="003E4A25">
        <w:t xml:space="preserve"> the Government recognised that</w:t>
      </w:r>
      <w:r w:rsidRPr="003E4A25">
        <w:t xml:space="preserve"> </w:t>
      </w:r>
      <w:r w:rsidR="003E4A25">
        <w:t xml:space="preserve">its </w:t>
      </w:r>
      <w:r w:rsidRPr="003E4A25">
        <w:t>p</w:t>
      </w:r>
      <w:r w:rsidR="003E4A25" w:rsidRPr="003E4A25">
        <w:t>roposed co-regulatory structure</w:t>
      </w:r>
      <w:r w:rsidRPr="003E4A25">
        <w:t xml:space="preserve"> required </w:t>
      </w:r>
      <w:r w:rsidR="003E4A25" w:rsidRPr="003E4A25">
        <w:t xml:space="preserve">informed </w:t>
      </w:r>
      <w:r w:rsidRPr="003E4A25">
        <w:t xml:space="preserve">consumer participation </w:t>
      </w:r>
      <w:r w:rsidR="003E4A25">
        <w:t>in the process.  This was particularly true, given the breadth of co</w:t>
      </w:r>
      <w:r w:rsidR="00150AE7">
        <w:t>nsumer issues in communications</w:t>
      </w:r>
      <w:r w:rsidR="003E4A25">
        <w:t xml:space="preserve"> including the needs of rural </w:t>
      </w:r>
      <w:r w:rsidR="000746A6">
        <w:t xml:space="preserve">and </w:t>
      </w:r>
      <w:r w:rsidR="00150AE7">
        <w:t>remote Australians</w:t>
      </w:r>
      <w:r w:rsidR="003E4A25">
        <w:t xml:space="preserve"> as well as the special needs of people with </w:t>
      </w:r>
      <w:r w:rsidR="003E4A25">
        <w:lastRenderedPageBreak/>
        <w:t xml:space="preserve">disabilities or those from culturally and linguistically diverse backgrounds. </w:t>
      </w:r>
      <w:r w:rsidR="000746A6">
        <w:t xml:space="preserve"> And, as the Issues Paper demonstrates</w:t>
      </w:r>
      <w:r w:rsidR="000746A6">
        <w:rPr>
          <w:rStyle w:val="FootnoteReference"/>
        </w:rPr>
        <w:footnoteReference w:id="1"/>
      </w:r>
      <w:r w:rsidR="000746A6">
        <w:t>, the market now is a far more complex and c</w:t>
      </w:r>
      <w:r w:rsidR="006C15D1">
        <w:t xml:space="preserve">onfusing one than was the case </w:t>
      </w:r>
      <w:r w:rsidR="000746A6">
        <w:t>twenty years ago.</w:t>
      </w:r>
    </w:p>
    <w:p w14:paraId="72C6D6B3" w14:textId="77777777" w:rsidR="00DC1470" w:rsidRDefault="00DC1470" w:rsidP="003E4A25">
      <w:pPr>
        <w:pStyle w:val="ListParagraph"/>
        <w:ind w:left="0"/>
      </w:pPr>
    </w:p>
    <w:p w14:paraId="51278850" w14:textId="77777777" w:rsidR="00BB25B2" w:rsidRDefault="0070775D" w:rsidP="00663195">
      <w:r>
        <w:t xml:space="preserve">More generally, </w:t>
      </w:r>
      <w:r w:rsidR="00BB25B2">
        <w:t xml:space="preserve">one of the outcomes of the </w:t>
      </w:r>
      <w:r>
        <w:t>Productivity Commission</w:t>
      </w:r>
      <w:r w:rsidR="002E4D03">
        <w:t>’</w:t>
      </w:r>
      <w:r w:rsidR="00150AE7">
        <w:t>s</w:t>
      </w:r>
      <w:r>
        <w:t xml:space="preserve"> inquiry into  Australia’s Consumer Policy Framework</w:t>
      </w:r>
      <w:r w:rsidR="00BB25B2">
        <w:t xml:space="preserve"> </w:t>
      </w:r>
      <w:r w:rsidR="00663195">
        <w:t>echoed the need for Consumer support; for ‘…</w:t>
      </w:r>
      <w:r w:rsidR="00663195" w:rsidRPr="00663195">
        <w:t>enabling the confident participation of consumers in markets in which both consumers and suppliers can trade fairly and in good faith.</w:t>
      </w:r>
      <w:r w:rsidR="00663195">
        <w:t>’</w:t>
      </w:r>
      <w:r w:rsidR="00663195">
        <w:rPr>
          <w:rStyle w:val="FootnoteReference"/>
        </w:rPr>
        <w:footnoteReference w:id="2"/>
      </w:r>
      <w:r w:rsidR="00663195" w:rsidRPr="00663195">
        <w:t xml:space="preserve"> </w:t>
      </w:r>
      <w:r w:rsidR="00BB25B2">
        <w:t>Indeed, although the Commission’s call was for a national consumer policy body, it recognised the need for that body to be adequately resourced, including the ability to undertake policy-related research.</w:t>
      </w:r>
      <w:r w:rsidR="00BB25B2">
        <w:rPr>
          <w:rStyle w:val="FootnoteReference"/>
        </w:rPr>
        <w:footnoteReference w:id="3"/>
      </w:r>
    </w:p>
    <w:p w14:paraId="74A5457E" w14:textId="77777777" w:rsidR="00BB25B2" w:rsidRDefault="00BB25B2" w:rsidP="00663195"/>
    <w:p w14:paraId="0367EA37" w14:textId="77777777" w:rsidR="006A7FD7" w:rsidRDefault="006C15D1" w:rsidP="00663195">
      <w:r>
        <w:t>T</w:t>
      </w:r>
      <w:r w:rsidR="006A7FD7">
        <w:t>he recent establishment of the industry funded organisation Energy Consu</w:t>
      </w:r>
      <w:r>
        <w:t>mers Australia demonstrat</w:t>
      </w:r>
      <w:r w:rsidR="00D077A6">
        <w:t>es Governments’ (in this case, S</w:t>
      </w:r>
      <w:r>
        <w:t xml:space="preserve">tates) recognition of the </w:t>
      </w:r>
      <w:r w:rsidR="006A7FD7">
        <w:t xml:space="preserve">need for a well funded organisation that is </w:t>
      </w:r>
      <w:r w:rsidR="00150AE7">
        <w:t xml:space="preserve">adequately </w:t>
      </w:r>
      <w:r w:rsidR="006A7FD7">
        <w:t>resourced to advocate for and undertake research on behalf of residential and small business energy consumers, particularly in a competitive market</w:t>
      </w:r>
      <w:r w:rsidR="00150AE7">
        <w:t>,</w:t>
      </w:r>
      <w:r w:rsidR="006A7FD7">
        <w:t xml:space="preserve"> for what are essential services.</w:t>
      </w:r>
    </w:p>
    <w:p w14:paraId="4490E1C6" w14:textId="77777777" w:rsidR="006A7FD7" w:rsidRDefault="006A7FD7" w:rsidP="00663195"/>
    <w:p w14:paraId="05323FB3" w14:textId="77777777" w:rsidR="00826E44" w:rsidRDefault="006A7FD7" w:rsidP="00663195">
      <w:r>
        <w:t xml:space="preserve"> If there is a need for a</w:t>
      </w:r>
      <w:r w:rsidR="00D70CBE">
        <w:t>n</w:t>
      </w:r>
      <w:r>
        <w:t xml:space="preserve"> industry funded consumer organisation for energy, the need is far stronger in the t</w:t>
      </w:r>
      <w:r w:rsidR="000746A6">
        <w:t>elecommunications market</w:t>
      </w:r>
      <w:r w:rsidR="00150AE7">
        <w:t>. L</w:t>
      </w:r>
      <w:r>
        <w:t xml:space="preserve">ike energy, </w:t>
      </w:r>
      <w:r w:rsidR="00150AE7">
        <w:t xml:space="preserve">telecommunications </w:t>
      </w:r>
      <w:r>
        <w:t xml:space="preserve">an essential service for consumers, but with a market that is </w:t>
      </w:r>
      <w:r w:rsidR="006C15D1">
        <w:t xml:space="preserve">far </w:t>
      </w:r>
      <w:r>
        <w:t>more complex with far more</w:t>
      </w:r>
      <w:r w:rsidR="00150AE7">
        <w:t xml:space="preserve"> products and services on offer</w:t>
      </w:r>
      <w:r>
        <w:t xml:space="preserve"> from far more industry participants. </w:t>
      </w:r>
      <w:r w:rsidR="00826E44">
        <w:t>Indeed, as the telecommunications market grows ever more complex, ACCAN’s role in educating and informing consumers is becoming ever more critical.</w:t>
      </w:r>
    </w:p>
    <w:p w14:paraId="73C2768A" w14:textId="77777777" w:rsidR="000746A6" w:rsidRDefault="000746A6" w:rsidP="00663195"/>
    <w:p w14:paraId="064A7509" w14:textId="77777777" w:rsidR="00663195" w:rsidRPr="00663195" w:rsidRDefault="000746A6" w:rsidP="00663195">
      <w:r>
        <w:t xml:space="preserve">The final question in this issue is whether s. 593 funding should be used for purposes other than consumer representation and research.  In one sense, the answer is a clear no.  The Act will not allow it.  In a broader sense, I also believe the answer is no.  In </w:t>
      </w:r>
      <w:r w:rsidR="003D52DC">
        <w:t>the broadest sense of the terms</w:t>
      </w:r>
      <w:r>
        <w:t xml:space="preserve">, </w:t>
      </w:r>
      <w:r w:rsidR="003D52DC">
        <w:t xml:space="preserve">representation and research </w:t>
      </w:r>
      <w:r>
        <w:t>are the fundamental tasks of a consumer organisation</w:t>
      </w:r>
      <w:r w:rsidR="00150AE7">
        <w:t xml:space="preserve"> to inform</w:t>
      </w:r>
      <w:r w:rsidR="002E4D03">
        <w:t xml:space="preserve"> and educate</w:t>
      </w:r>
      <w:r>
        <w:t xml:space="preserve"> consumers about the </w:t>
      </w:r>
      <w:r w:rsidR="002E4D03">
        <w:t>increasingly complex m</w:t>
      </w:r>
      <w:r>
        <w:t>arket</w:t>
      </w:r>
      <w:r w:rsidR="003D52DC">
        <w:t>(s)</w:t>
      </w:r>
      <w:r w:rsidR="00150AE7">
        <w:t xml:space="preserve"> and provide</w:t>
      </w:r>
      <w:r w:rsidR="003D52DC">
        <w:t xml:space="preserve"> evidence for informed advocacy on consumers’ behalf.</w:t>
      </w:r>
    </w:p>
    <w:p w14:paraId="71789922" w14:textId="77777777" w:rsidR="004F260D" w:rsidRPr="003E4A25" w:rsidRDefault="00DC1470" w:rsidP="006D287B">
      <w:pPr>
        <w:pStyle w:val="Heading1"/>
      </w:pPr>
      <w:r w:rsidRPr="00DC1470">
        <w:lastRenderedPageBreak/>
        <w:t>Funding General or Telecommunications Specific Consumer Organisations</w:t>
      </w:r>
      <w:r w:rsidR="00170EE4">
        <w:t>?</w:t>
      </w:r>
    </w:p>
    <w:p w14:paraId="3A979667" w14:textId="77777777" w:rsidR="005137A7" w:rsidRDefault="00133B44" w:rsidP="006D287B">
      <w:pPr>
        <w:rPr>
          <w:b/>
          <w:bCs/>
        </w:rPr>
      </w:pPr>
      <w:r>
        <w:t>Under current arrangements, ACCAN is funded by a levy on telecommunications industry</w:t>
      </w:r>
      <w:r w:rsidR="005137A7">
        <w:t xml:space="preserve"> participants</w:t>
      </w:r>
      <w:r>
        <w:t xml:space="preserve">.  </w:t>
      </w:r>
      <w:r w:rsidRPr="00133B44">
        <w:t xml:space="preserve"> </w:t>
      </w:r>
      <w:r w:rsidR="005137A7">
        <w:t xml:space="preserve">I imagine that those participants would be reluctant to continue funding a consumer organisation(s) whose remit went beyond consumer and small business issues in telecommunications.  Indeed, if the funding mechanism were to be under s. 593(2), such funding </w:t>
      </w:r>
      <w:r w:rsidR="005137A7" w:rsidRPr="005137A7">
        <w:t>must</w:t>
      </w:r>
      <w:r w:rsidR="005137A7">
        <w:t xml:space="preserve"> be spent on assistance to a person or organisation ‘</w:t>
      </w:r>
      <w:r w:rsidR="005137A7" w:rsidRPr="005137A7">
        <w:t>relating to telecommunications’.</w:t>
      </w:r>
    </w:p>
    <w:p w14:paraId="6471BA5E" w14:textId="77777777" w:rsidR="005137A7" w:rsidRDefault="005137A7" w:rsidP="005137A7"/>
    <w:p w14:paraId="7A0796E4" w14:textId="77777777" w:rsidR="003B4D31" w:rsidRDefault="005137A7" w:rsidP="005137A7">
      <w:r>
        <w:t xml:space="preserve">A related issue is whether s. 593 funding should be used to fund different telecommunications-related </w:t>
      </w:r>
      <w:r w:rsidR="00D077A6">
        <w:t xml:space="preserve">consumer </w:t>
      </w:r>
      <w:r>
        <w:t xml:space="preserve">organisations.  </w:t>
      </w:r>
      <w:r w:rsidR="006C15D1">
        <w:t>When s. 593</w:t>
      </w:r>
      <w:r w:rsidR="003B4D31">
        <w:t xml:space="preserve"> funding was first allocated, </w:t>
      </w:r>
      <w:r w:rsidR="006C15D1">
        <w:t xml:space="preserve">it </w:t>
      </w:r>
      <w:r w:rsidR="003B4D31">
        <w:t>was split among several organisations including ISOC-AU, CTN and other groups, particularly in the disability sector. The outcome, from the Government’s point of view</w:t>
      </w:r>
      <w:r w:rsidR="006C15D1">
        <w:t>,</w:t>
      </w:r>
      <w:r w:rsidR="003B4D31">
        <w:t xml:space="preserve"> was a great deal of expense in administering a number of small grants, and because the grants were necessarily small, for outcomes that could not have significant</w:t>
      </w:r>
      <w:r w:rsidR="00150AE7">
        <w:t xml:space="preserve"> </w:t>
      </w:r>
      <w:r w:rsidR="003B4D31">
        <w:t>outcomes.</w:t>
      </w:r>
    </w:p>
    <w:p w14:paraId="10349481" w14:textId="77777777" w:rsidR="003B4D31" w:rsidRDefault="003B4D31" w:rsidP="005137A7"/>
    <w:p w14:paraId="4C31CD16" w14:textId="77777777" w:rsidR="005137A7" w:rsidRDefault="003B4D31" w:rsidP="005137A7">
      <w:r>
        <w:t>ACCAN was established to directly address those problems.  One consumer focussed telecommunications organisation is far less costly to administer, and because it is well fun</w:t>
      </w:r>
      <w:bookmarkStart w:id="0" w:name="_GoBack"/>
      <w:bookmarkEnd w:id="0"/>
      <w:r>
        <w:t>ded, can have a far greater and longer lasting impact on the development of policy and on maintaining close links with the variety of telecommunications stakeholders (Government, regulators, industry, small business and consumer organisations).</w:t>
      </w:r>
    </w:p>
    <w:p w14:paraId="2D95B5FC" w14:textId="77777777" w:rsidR="004F260D" w:rsidRPr="003E4A25" w:rsidRDefault="004F260D" w:rsidP="006D287B">
      <w:pPr>
        <w:pStyle w:val="Heading1"/>
      </w:pPr>
      <w:r w:rsidRPr="003E4A25">
        <w:t>ACCAN’s Performance</w:t>
      </w:r>
      <w:r w:rsidR="00170EE4">
        <w:t>?</w:t>
      </w:r>
    </w:p>
    <w:p w14:paraId="63735B16" w14:textId="77777777" w:rsidR="003B4D31" w:rsidRDefault="003B4D31" w:rsidP="00132FB9">
      <w:pPr>
        <w:pStyle w:val="ListParagraph"/>
      </w:pPr>
    </w:p>
    <w:p w14:paraId="5B7A5353" w14:textId="77777777" w:rsidR="004F260D" w:rsidRPr="003E4A25" w:rsidRDefault="00F8570E" w:rsidP="00F8570E">
      <w:pPr>
        <w:pStyle w:val="ListParagraph"/>
        <w:ind w:left="0"/>
      </w:pPr>
      <w:r>
        <w:t xml:space="preserve">The Minister’s Office is in a far better position than most to judge ACCAN’s performance.  Under its contract with the Department, ACCAN regularly reports against a wide range of metrics including submissions made, policies developed, </w:t>
      </w:r>
      <w:r w:rsidR="00B57E48">
        <w:t xml:space="preserve">meetings </w:t>
      </w:r>
      <w:r>
        <w:t xml:space="preserve">with </w:t>
      </w:r>
      <w:r w:rsidR="006E2732">
        <w:t xml:space="preserve">all </w:t>
      </w:r>
      <w:r>
        <w:t>stakeholders</w:t>
      </w:r>
      <w:r w:rsidR="00B57E48">
        <w:t xml:space="preserve"> (Government, regulators, industry, consumer groups and civil society)</w:t>
      </w:r>
      <w:r>
        <w:t xml:space="preserve">, </w:t>
      </w:r>
      <w:r w:rsidR="006C15D1">
        <w:t>and media exposure</w:t>
      </w:r>
      <w:r>
        <w:t>.  All of those metrics well establish the very important role that ACCAN has played in representing both the needs and interests of consumers generally, and of consumers with special needs.</w:t>
      </w:r>
    </w:p>
    <w:p w14:paraId="7EDB8C69" w14:textId="77777777" w:rsidR="00392CD0" w:rsidRDefault="004F260D" w:rsidP="006D287B">
      <w:pPr>
        <w:pStyle w:val="Heading1"/>
      </w:pPr>
      <w:r w:rsidRPr="003E4A25">
        <w:t>Funding Research</w:t>
      </w:r>
      <w:r w:rsidR="00170EE4">
        <w:t>?</w:t>
      </w:r>
    </w:p>
    <w:p w14:paraId="47A6A29D" w14:textId="77777777" w:rsidR="00734FD8" w:rsidRDefault="00734FD8" w:rsidP="00392CD0"/>
    <w:p w14:paraId="5EB92E49" w14:textId="77777777" w:rsidR="00B11B98" w:rsidRDefault="00734FD8" w:rsidP="00392CD0">
      <w:r>
        <w:t>The Issues Paper asks whether research funded under ACCAN’s Independent Grants Program (IGP) has</w:t>
      </w:r>
      <w:r w:rsidR="00D70CBE">
        <w:t xml:space="preserve"> influenced Government policy or</w:t>
      </w:r>
      <w:r>
        <w:t xml:space="preserve"> industry behaviour.  In my view</w:t>
      </w:r>
      <w:r w:rsidR="00A10578">
        <w:t xml:space="preserve"> </w:t>
      </w:r>
      <w:r w:rsidR="00B11B98">
        <w:t xml:space="preserve">the question </w:t>
      </w:r>
      <w:r w:rsidR="00A10578">
        <w:t xml:space="preserve">should be broader, asking </w:t>
      </w:r>
      <w:r w:rsidR="006C15D1">
        <w:t xml:space="preserve">about the </w:t>
      </w:r>
      <w:r w:rsidR="00150AE7">
        <w:t xml:space="preserve">many </w:t>
      </w:r>
      <w:r w:rsidR="006C15D1">
        <w:t xml:space="preserve">roles </w:t>
      </w:r>
      <w:r w:rsidR="00A10578">
        <w:t xml:space="preserve">research has played in the development of policy positions, in advocacy work with Government and industry, in providing consumer feedback in regulatory forums and in </w:t>
      </w:r>
      <w:r w:rsidR="00826E44">
        <w:t xml:space="preserve">educating </w:t>
      </w:r>
      <w:r w:rsidR="00A10578">
        <w:t xml:space="preserve">consumers and small businesses </w:t>
      </w:r>
      <w:r w:rsidR="00826E44">
        <w:t xml:space="preserve">on </w:t>
      </w:r>
      <w:r w:rsidR="00D077A6">
        <w:t xml:space="preserve">complex, often confusing </w:t>
      </w:r>
      <w:r w:rsidR="00A10578">
        <w:t>industry issues.</w:t>
      </w:r>
    </w:p>
    <w:p w14:paraId="01318AC7" w14:textId="77777777" w:rsidR="00B11B98" w:rsidRDefault="00B11B98" w:rsidP="00392CD0"/>
    <w:p w14:paraId="64A5A91E" w14:textId="77777777" w:rsidR="00B11B98" w:rsidRDefault="00B11B98" w:rsidP="00392CD0">
      <w:r>
        <w:t>The selection criteria for grants under the IGP reflect that breadth</w:t>
      </w:r>
      <w:r w:rsidR="007B4FFE">
        <w:t xml:space="preserve"> of purpose</w:t>
      </w:r>
      <w:r>
        <w:t xml:space="preserve">.   </w:t>
      </w:r>
      <w:r w:rsidR="007B4FFE">
        <w:t xml:space="preserve">IGP </w:t>
      </w:r>
      <w:r>
        <w:t xml:space="preserve">projects can fit into </w:t>
      </w:r>
      <w:r w:rsidR="007B4FFE">
        <w:t xml:space="preserve">one or more of </w:t>
      </w:r>
      <w:r>
        <w:t>the following areas:</w:t>
      </w:r>
    </w:p>
    <w:p w14:paraId="4255BFE9" w14:textId="77777777" w:rsidR="00B11B98" w:rsidRDefault="00B11B98" w:rsidP="00392CD0"/>
    <w:p w14:paraId="6EB0350B" w14:textId="77777777" w:rsidR="00B11B98" w:rsidRDefault="00B11B98" w:rsidP="00B11B98">
      <w:pPr>
        <w:pStyle w:val="ListParagraph"/>
        <w:numPr>
          <w:ilvl w:val="0"/>
          <w:numId w:val="8"/>
        </w:numPr>
      </w:pPr>
      <w:r>
        <w:t>Representation – undertaking policy work, participating in regulatory  reviews of developing a group’s capacity of advocate on consume r issues</w:t>
      </w:r>
    </w:p>
    <w:p w14:paraId="78EFDA4F" w14:textId="77777777" w:rsidR="00B11B98" w:rsidRDefault="00B11B98" w:rsidP="00B11B98">
      <w:pPr>
        <w:pStyle w:val="ListParagraph"/>
        <w:numPr>
          <w:ilvl w:val="0"/>
          <w:numId w:val="8"/>
        </w:numPr>
      </w:pPr>
      <w:r>
        <w:t>Education – empowering consumers and communities to develop education tools, conduct workshops or peer education initiatives</w:t>
      </w:r>
    </w:p>
    <w:p w14:paraId="2496F785" w14:textId="77777777" w:rsidR="00B11B98" w:rsidRDefault="00B11B98" w:rsidP="00B11B98">
      <w:pPr>
        <w:pStyle w:val="ListParagraph"/>
        <w:numPr>
          <w:ilvl w:val="0"/>
          <w:numId w:val="8"/>
        </w:numPr>
      </w:pPr>
      <w:r>
        <w:t>Research – into social, economic or technological effects, experiences and implications of communications for consumers</w:t>
      </w:r>
      <w:r>
        <w:rPr>
          <w:rStyle w:val="FootnoteReference"/>
        </w:rPr>
        <w:footnoteReference w:id="4"/>
      </w:r>
    </w:p>
    <w:p w14:paraId="4EA275AB" w14:textId="77777777" w:rsidR="00392CD0" w:rsidRDefault="00392CD0" w:rsidP="00392CD0"/>
    <w:p w14:paraId="4988FE7B" w14:textId="77777777" w:rsidR="00174CB6" w:rsidRDefault="00820B4A" w:rsidP="00174CB6">
      <w:pPr>
        <w:ind w:left="360"/>
      </w:pPr>
      <w:r>
        <w:t xml:space="preserve">The variety of outcomes from grants under the </w:t>
      </w:r>
      <w:r w:rsidR="00150AE7">
        <w:t xml:space="preserve">program </w:t>
      </w:r>
      <w:r>
        <w:t>reflect that diversity.</w:t>
      </w:r>
      <w:r w:rsidR="007B4FFE">
        <w:t xml:space="preserve">  The outcomes of IGP grants are far too numerous to name individually.</w:t>
      </w:r>
      <w:r w:rsidR="007B4FFE">
        <w:rPr>
          <w:rStyle w:val="FootnoteReference"/>
        </w:rPr>
        <w:footnoteReference w:id="5"/>
      </w:r>
      <w:r w:rsidR="007B4FFE">
        <w:t xml:space="preserve">  However, </w:t>
      </w:r>
      <w:r w:rsidR="00150AE7">
        <w:t>t</w:t>
      </w:r>
      <w:r w:rsidR="007B4FFE">
        <w:t xml:space="preserve">o illustrate the breadth of outcomes. I will note a few projects as follows: </w:t>
      </w:r>
    </w:p>
    <w:p w14:paraId="27979AF6" w14:textId="77777777" w:rsidR="00174CB6" w:rsidRDefault="00174CB6" w:rsidP="00174CB6">
      <w:pPr>
        <w:ind w:left="360"/>
      </w:pPr>
    </w:p>
    <w:p w14:paraId="7E20A6E1" w14:textId="77777777" w:rsidR="00174CB6" w:rsidRDefault="00174CB6" w:rsidP="002719B4">
      <w:pPr>
        <w:pStyle w:val="ListParagraph"/>
        <w:numPr>
          <w:ilvl w:val="0"/>
          <w:numId w:val="9"/>
        </w:numPr>
      </w:pPr>
      <w:r>
        <w:t>Grant undertaken by UTS: Mind the Gap on refugees and communications technology – now forming the</w:t>
      </w:r>
      <w:r w:rsidR="002719B4">
        <w:t xml:space="preserve"> basis for training </w:t>
      </w:r>
      <w:r>
        <w:t>through the refugee community – and being used overseas by UNHCR</w:t>
      </w:r>
    </w:p>
    <w:p w14:paraId="45AF0BEF" w14:textId="77777777" w:rsidR="00174CB6" w:rsidRDefault="00174CB6" w:rsidP="00174CB6">
      <w:pPr>
        <w:pStyle w:val="ListParagraph"/>
        <w:numPr>
          <w:ilvl w:val="0"/>
          <w:numId w:val="9"/>
        </w:numPr>
      </w:pPr>
      <w:r>
        <w:t>Grant undertaken by the Univ. of Melb</w:t>
      </w:r>
      <w:r w:rsidR="00D70CBE">
        <w:t>ourne</w:t>
      </w:r>
      <w:r>
        <w:t xml:space="preserve"> on Death and the Internet: Consumer issues for Planning and Managing Death on Line –</w:t>
      </w:r>
      <w:r w:rsidR="002719B4">
        <w:t xml:space="preserve"> used by ISP</w:t>
      </w:r>
      <w:r>
        <w:t>s in shaping the</w:t>
      </w:r>
      <w:r w:rsidR="00D70CBE">
        <w:t>ir</w:t>
      </w:r>
      <w:r>
        <w:t xml:space="preserve"> processes for handling digital legacy management</w:t>
      </w:r>
    </w:p>
    <w:p w14:paraId="6769B5F3" w14:textId="77777777" w:rsidR="00174CB6" w:rsidRDefault="00174CB6" w:rsidP="00174CB6">
      <w:pPr>
        <w:pStyle w:val="ListParagraph"/>
        <w:numPr>
          <w:ilvl w:val="0"/>
          <w:numId w:val="9"/>
        </w:numPr>
      </w:pPr>
      <w:r>
        <w:t>Women’s Legal Service NSW and Wesnet – producing legal guides for frontline domestic violence workers – providing some of the evidence that let to the Prime Minister’s funding on domestic violence</w:t>
      </w:r>
    </w:p>
    <w:p w14:paraId="5D761B38" w14:textId="77777777" w:rsidR="00A7593B" w:rsidRDefault="00A7593B" w:rsidP="00174CB6">
      <w:pPr>
        <w:pStyle w:val="ListParagraph"/>
        <w:numPr>
          <w:ilvl w:val="0"/>
          <w:numId w:val="9"/>
        </w:numPr>
      </w:pPr>
      <w:r>
        <w:t>Media Access Australia - Sociability: Social Media for People with a Disability – referred to on the US Government Guidelines for social media in its DigitalGov program</w:t>
      </w:r>
    </w:p>
    <w:p w14:paraId="16FF1B6C" w14:textId="77777777" w:rsidR="002719B4" w:rsidRDefault="002719B4" w:rsidP="00174CB6">
      <w:pPr>
        <w:pStyle w:val="ListParagraph"/>
        <w:numPr>
          <w:ilvl w:val="0"/>
          <w:numId w:val="9"/>
        </w:numPr>
      </w:pPr>
      <w:r>
        <w:t>Queensland Report on Aboriginal Media - produce printed and audio resources in five key Indigenous languages providing much-needed information on phone costs, how to deal with communications problems, and how to resolve issues with phone charges and billing to remote communities.</w:t>
      </w:r>
    </w:p>
    <w:p w14:paraId="53CBBD2C" w14:textId="77777777" w:rsidR="002719B4" w:rsidRDefault="002719B4" w:rsidP="002719B4">
      <w:pPr>
        <w:pStyle w:val="ListParagraph"/>
        <w:ind w:left="1080"/>
      </w:pPr>
    </w:p>
    <w:p w14:paraId="4A253100" w14:textId="77777777" w:rsidR="00174CB6" w:rsidRDefault="002719B4" w:rsidP="002719B4">
      <w:pPr>
        <w:pStyle w:val="ListParagraph"/>
      </w:pPr>
      <w:r>
        <w:t>The above is just a fraction of the compl</w:t>
      </w:r>
      <w:r w:rsidR="00150AE7">
        <w:t>eted grants, but illustrates the</w:t>
      </w:r>
      <w:r>
        <w:t xml:space="preserve"> breadth of research undertaken under the IGP, and the vital information and support it provides not only in the development of policy, but in meeting the information needed by </w:t>
      </w:r>
      <w:r w:rsidR="00150AE7">
        <w:t xml:space="preserve">all </w:t>
      </w:r>
      <w:r>
        <w:t>Australian telecommunications consumers.</w:t>
      </w:r>
    </w:p>
    <w:p w14:paraId="26C6E4DA" w14:textId="77777777" w:rsidR="006D287B" w:rsidRPr="003E4A25" w:rsidRDefault="006D287B" w:rsidP="00BA4009"/>
    <w:sectPr w:rsidR="006D287B" w:rsidRPr="003E4A25" w:rsidSect="00BA4009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87E33" w14:textId="77777777" w:rsidR="007D0243" w:rsidRDefault="006B60F8">
      <w:r>
        <w:separator/>
      </w:r>
    </w:p>
  </w:endnote>
  <w:endnote w:type="continuationSeparator" w:id="0">
    <w:p w14:paraId="1EBE1A37" w14:textId="77777777" w:rsidR="007D0243" w:rsidRDefault="006B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A61C9" w14:textId="77777777" w:rsidR="002E4D03" w:rsidRDefault="008F67D2" w:rsidP="00AF3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4D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963DCD" w14:textId="77777777" w:rsidR="002E4D03" w:rsidRDefault="002E4D03" w:rsidP="00AF3F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6FAE4" w14:textId="77777777" w:rsidR="002E4D03" w:rsidRDefault="008F67D2" w:rsidP="00AF3F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E4D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87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463C848" w14:textId="77777777" w:rsidR="002E4D03" w:rsidRDefault="002E4D03" w:rsidP="00AF3F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B4491" w14:textId="77777777" w:rsidR="007D0243" w:rsidRDefault="006B60F8">
      <w:r>
        <w:separator/>
      </w:r>
    </w:p>
  </w:footnote>
  <w:footnote w:type="continuationSeparator" w:id="0">
    <w:p w14:paraId="69C75F47" w14:textId="77777777" w:rsidR="007D0243" w:rsidRDefault="006B60F8">
      <w:r>
        <w:continuationSeparator/>
      </w:r>
    </w:p>
  </w:footnote>
  <w:footnote w:id="1">
    <w:p w14:paraId="558ADE15" w14:textId="77777777" w:rsidR="002E4D03" w:rsidRDefault="002E4D03">
      <w:pPr>
        <w:pStyle w:val="FootnoteText"/>
      </w:pPr>
      <w:r>
        <w:rPr>
          <w:rStyle w:val="FootnoteReference"/>
        </w:rPr>
        <w:footnoteRef/>
      </w:r>
      <w:r>
        <w:t xml:space="preserve"> Issues Paper, p. 5.</w:t>
      </w:r>
    </w:p>
  </w:footnote>
  <w:footnote w:id="2">
    <w:p w14:paraId="4B76B667" w14:textId="77777777" w:rsidR="002E4D03" w:rsidRDefault="002E4D03">
      <w:pPr>
        <w:pStyle w:val="FootnoteText"/>
      </w:pPr>
      <w:r>
        <w:rPr>
          <w:rStyle w:val="FootnoteReference"/>
        </w:rPr>
        <w:footnoteRef/>
      </w:r>
      <w:r>
        <w:t xml:space="preserve"> Productivity Commission, </w:t>
      </w:r>
      <w:r w:rsidRPr="00663195">
        <w:rPr>
          <w:i/>
        </w:rPr>
        <w:t>Review of Australia’s Consumer Policy Framework: Productivity Inquiry Report</w:t>
      </w:r>
      <w:r>
        <w:t xml:space="preserve"> Volume 1, 2008, p. 2.</w:t>
      </w:r>
    </w:p>
  </w:footnote>
  <w:footnote w:id="3">
    <w:p w14:paraId="2440610A" w14:textId="77777777" w:rsidR="002E4D03" w:rsidRDefault="002E4D03">
      <w:pPr>
        <w:pStyle w:val="FootnoteText"/>
      </w:pPr>
      <w:r>
        <w:rPr>
          <w:rStyle w:val="FootnoteReference"/>
        </w:rPr>
        <w:footnoteRef/>
      </w:r>
      <w:r>
        <w:t xml:space="preserve"> Ibid Recommendation 11.3, p 74.</w:t>
      </w:r>
    </w:p>
  </w:footnote>
  <w:footnote w:id="4">
    <w:p w14:paraId="54D78B62" w14:textId="77777777" w:rsidR="002E4D03" w:rsidRDefault="002E4D03">
      <w:pPr>
        <w:pStyle w:val="FootnoteText"/>
      </w:pPr>
      <w:r>
        <w:rPr>
          <w:rStyle w:val="FootnoteReference"/>
        </w:rPr>
        <w:footnoteRef/>
      </w:r>
      <w:r>
        <w:t xml:space="preserve"> See ACCAN, </w:t>
      </w:r>
      <w:r w:rsidRPr="00B11B98">
        <w:rPr>
          <w:i/>
        </w:rPr>
        <w:t>Grant Scheme 2016 Guidelines</w:t>
      </w:r>
      <w:r>
        <w:t>, p. 1.</w:t>
      </w:r>
    </w:p>
  </w:footnote>
  <w:footnote w:id="5">
    <w:p w14:paraId="6C0B04C4" w14:textId="77777777" w:rsidR="002E4D03" w:rsidRDefault="002E4D03">
      <w:pPr>
        <w:pStyle w:val="FootnoteText"/>
      </w:pPr>
      <w:r>
        <w:rPr>
          <w:rStyle w:val="FootnoteReference"/>
        </w:rPr>
        <w:footnoteRef/>
      </w:r>
      <w:r>
        <w:t xml:space="preserve"> See ACCAN’s website: &lt;</w:t>
      </w:r>
      <w:r w:rsidRPr="007B4FFE">
        <w:t>http://accan.org.au/grants/completed-grants</w:t>
      </w:r>
      <w:r>
        <w:t>&gt;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3642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F0E88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E9E7AB3"/>
    <w:multiLevelType w:val="hybridMultilevel"/>
    <w:tmpl w:val="E17A807E"/>
    <w:lvl w:ilvl="0" w:tplc="4BA456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A3F"/>
    <w:multiLevelType w:val="hybridMultilevel"/>
    <w:tmpl w:val="A47C9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80A9A"/>
    <w:multiLevelType w:val="hybridMultilevel"/>
    <w:tmpl w:val="CA20A1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2F2D20"/>
    <w:multiLevelType w:val="hybridMultilevel"/>
    <w:tmpl w:val="F49808D6"/>
    <w:lvl w:ilvl="0" w:tplc="3CD2CED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E3B410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866A1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40E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89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7BF28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E3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4C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DBC23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E02EE"/>
    <w:multiLevelType w:val="hybridMultilevel"/>
    <w:tmpl w:val="131A27D4"/>
    <w:lvl w:ilvl="0" w:tplc="4BA456BE">
      <w:start w:val="1"/>
      <w:numFmt w:val="lowerLetter"/>
      <w:lvlText w:val="%1."/>
      <w:lvlJc w:val="left"/>
      <w:pPr>
        <w:ind w:left="720" w:hanging="360"/>
      </w:pPr>
    </w:lvl>
    <w:lvl w:ilvl="1" w:tplc="39FE1742" w:tentative="1">
      <w:start w:val="1"/>
      <w:numFmt w:val="lowerLetter"/>
      <w:lvlText w:val="%2."/>
      <w:lvlJc w:val="left"/>
      <w:pPr>
        <w:ind w:left="1440" w:hanging="360"/>
      </w:pPr>
    </w:lvl>
    <w:lvl w:ilvl="2" w:tplc="A84CDBE2" w:tentative="1">
      <w:start w:val="1"/>
      <w:numFmt w:val="lowerRoman"/>
      <w:lvlText w:val="%3."/>
      <w:lvlJc w:val="right"/>
      <w:pPr>
        <w:ind w:left="2160" w:hanging="180"/>
      </w:pPr>
    </w:lvl>
    <w:lvl w:ilvl="3" w:tplc="FDA2FAF6" w:tentative="1">
      <w:start w:val="1"/>
      <w:numFmt w:val="decimal"/>
      <w:lvlText w:val="%4."/>
      <w:lvlJc w:val="left"/>
      <w:pPr>
        <w:ind w:left="2880" w:hanging="360"/>
      </w:pPr>
    </w:lvl>
    <w:lvl w:ilvl="4" w:tplc="3B0800A4" w:tentative="1">
      <w:start w:val="1"/>
      <w:numFmt w:val="lowerLetter"/>
      <w:lvlText w:val="%5."/>
      <w:lvlJc w:val="left"/>
      <w:pPr>
        <w:ind w:left="3600" w:hanging="360"/>
      </w:pPr>
    </w:lvl>
    <w:lvl w:ilvl="5" w:tplc="0AC23714" w:tentative="1">
      <w:start w:val="1"/>
      <w:numFmt w:val="lowerRoman"/>
      <w:lvlText w:val="%6."/>
      <w:lvlJc w:val="right"/>
      <w:pPr>
        <w:ind w:left="4320" w:hanging="180"/>
      </w:pPr>
    </w:lvl>
    <w:lvl w:ilvl="6" w:tplc="680E619C" w:tentative="1">
      <w:start w:val="1"/>
      <w:numFmt w:val="decimal"/>
      <w:lvlText w:val="%7."/>
      <w:lvlJc w:val="left"/>
      <w:pPr>
        <w:ind w:left="5040" w:hanging="360"/>
      </w:pPr>
    </w:lvl>
    <w:lvl w:ilvl="7" w:tplc="041AC002" w:tentative="1">
      <w:start w:val="1"/>
      <w:numFmt w:val="lowerLetter"/>
      <w:lvlText w:val="%8."/>
      <w:lvlJc w:val="left"/>
      <w:pPr>
        <w:ind w:left="5760" w:hanging="360"/>
      </w:pPr>
    </w:lvl>
    <w:lvl w:ilvl="8" w:tplc="A8B6D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3DD4"/>
    <w:multiLevelType w:val="hybridMultilevel"/>
    <w:tmpl w:val="78D4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01E9C"/>
    <w:multiLevelType w:val="hybridMultilevel"/>
    <w:tmpl w:val="14D6BC42"/>
    <w:lvl w:ilvl="0" w:tplc="4BA456BE">
      <w:start w:val="1"/>
      <w:numFmt w:val="decimal"/>
      <w:lvlText w:val="%1."/>
      <w:lvlJc w:val="left"/>
      <w:pPr>
        <w:ind w:left="720" w:hanging="360"/>
      </w:pPr>
    </w:lvl>
    <w:lvl w:ilvl="1" w:tplc="39FE1742" w:tentative="1">
      <w:start w:val="1"/>
      <w:numFmt w:val="lowerLetter"/>
      <w:lvlText w:val="%2."/>
      <w:lvlJc w:val="left"/>
      <w:pPr>
        <w:ind w:left="1440" w:hanging="360"/>
      </w:pPr>
    </w:lvl>
    <w:lvl w:ilvl="2" w:tplc="A84CDBE2" w:tentative="1">
      <w:start w:val="1"/>
      <w:numFmt w:val="lowerRoman"/>
      <w:lvlText w:val="%3."/>
      <w:lvlJc w:val="right"/>
      <w:pPr>
        <w:ind w:left="2160" w:hanging="180"/>
      </w:pPr>
    </w:lvl>
    <w:lvl w:ilvl="3" w:tplc="FDA2FAF6" w:tentative="1">
      <w:start w:val="1"/>
      <w:numFmt w:val="decimal"/>
      <w:lvlText w:val="%4."/>
      <w:lvlJc w:val="left"/>
      <w:pPr>
        <w:ind w:left="2880" w:hanging="360"/>
      </w:pPr>
    </w:lvl>
    <w:lvl w:ilvl="4" w:tplc="3B0800A4" w:tentative="1">
      <w:start w:val="1"/>
      <w:numFmt w:val="lowerLetter"/>
      <w:lvlText w:val="%5."/>
      <w:lvlJc w:val="left"/>
      <w:pPr>
        <w:ind w:left="3600" w:hanging="360"/>
      </w:pPr>
    </w:lvl>
    <w:lvl w:ilvl="5" w:tplc="0AC23714" w:tentative="1">
      <w:start w:val="1"/>
      <w:numFmt w:val="lowerRoman"/>
      <w:lvlText w:val="%6."/>
      <w:lvlJc w:val="right"/>
      <w:pPr>
        <w:ind w:left="4320" w:hanging="180"/>
      </w:pPr>
    </w:lvl>
    <w:lvl w:ilvl="6" w:tplc="680E619C" w:tentative="1">
      <w:start w:val="1"/>
      <w:numFmt w:val="decimal"/>
      <w:lvlText w:val="%7."/>
      <w:lvlJc w:val="left"/>
      <w:pPr>
        <w:ind w:left="5040" w:hanging="360"/>
      </w:pPr>
    </w:lvl>
    <w:lvl w:ilvl="7" w:tplc="041AC002" w:tentative="1">
      <w:start w:val="1"/>
      <w:numFmt w:val="lowerLetter"/>
      <w:lvlText w:val="%8."/>
      <w:lvlJc w:val="left"/>
      <w:pPr>
        <w:ind w:left="5760" w:hanging="360"/>
      </w:pPr>
    </w:lvl>
    <w:lvl w:ilvl="8" w:tplc="A8B6D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4A26"/>
    <w:multiLevelType w:val="hybridMultilevel"/>
    <w:tmpl w:val="12247644"/>
    <w:lvl w:ilvl="0" w:tplc="33C221C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7536E"/>
    <w:multiLevelType w:val="hybridMultilevel"/>
    <w:tmpl w:val="DC90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09"/>
    <w:rsid w:val="00045024"/>
    <w:rsid w:val="000746A6"/>
    <w:rsid w:val="00132FB9"/>
    <w:rsid w:val="00133B44"/>
    <w:rsid w:val="00150AE7"/>
    <w:rsid w:val="00170EE4"/>
    <w:rsid w:val="00174CB6"/>
    <w:rsid w:val="002275DB"/>
    <w:rsid w:val="00230BF3"/>
    <w:rsid w:val="00257390"/>
    <w:rsid w:val="002719B4"/>
    <w:rsid w:val="00272F19"/>
    <w:rsid w:val="002E4D03"/>
    <w:rsid w:val="00392CD0"/>
    <w:rsid w:val="00395C19"/>
    <w:rsid w:val="003B4D31"/>
    <w:rsid w:val="003D52DC"/>
    <w:rsid w:val="003E26BA"/>
    <w:rsid w:val="003E4A25"/>
    <w:rsid w:val="003E709F"/>
    <w:rsid w:val="004F260D"/>
    <w:rsid w:val="005137A7"/>
    <w:rsid w:val="0053211B"/>
    <w:rsid w:val="005715B5"/>
    <w:rsid w:val="005F492A"/>
    <w:rsid w:val="00663195"/>
    <w:rsid w:val="006A7FD7"/>
    <w:rsid w:val="006B60F8"/>
    <w:rsid w:val="006C15D1"/>
    <w:rsid w:val="006D287B"/>
    <w:rsid w:val="006E2732"/>
    <w:rsid w:val="006E62E9"/>
    <w:rsid w:val="0070775D"/>
    <w:rsid w:val="00714E46"/>
    <w:rsid w:val="00734FD8"/>
    <w:rsid w:val="007635A2"/>
    <w:rsid w:val="007B4FFE"/>
    <w:rsid w:val="007B696C"/>
    <w:rsid w:val="007D0243"/>
    <w:rsid w:val="00820B4A"/>
    <w:rsid w:val="00826E44"/>
    <w:rsid w:val="008F67D2"/>
    <w:rsid w:val="0094667A"/>
    <w:rsid w:val="00A10578"/>
    <w:rsid w:val="00A21D87"/>
    <w:rsid w:val="00A7593B"/>
    <w:rsid w:val="00AF3FB6"/>
    <w:rsid w:val="00B11B98"/>
    <w:rsid w:val="00B57E48"/>
    <w:rsid w:val="00BA4009"/>
    <w:rsid w:val="00BB25B2"/>
    <w:rsid w:val="00CA0449"/>
    <w:rsid w:val="00CB21DD"/>
    <w:rsid w:val="00D02FA7"/>
    <w:rsid w:val="00D077A6"/>
    <w:rsid w:val="00D109A7"/>
    <w:rsid w:val="00D70CBE"/>
    <w:rsid w:val="00D95B4E"/>
    <w:rsid w:val="00DC1470"/>
    <w:rsid w:val="00E776FC"/>
    <w:rsid w:val="00EA3E1E"/>
    <w:rsid w:val="00F857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8733D2"/>
  <w15:docId w15:val="{A70275F1-777D-49F7-A637-E8289959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B5"/>
  </w:style>
  <w:style w:type="paragraph" w:styleId="Heading1">
    <w:name w:val="heading 1"/>
    <w:basedOn w:val="Heading2"/>
    <w:next w:val="Normal"/>
    <w:link w:val="Heading1Char"/>
    <w:rsid w:val="006D287B"/>
    <w:pPr>
      <w:outlineLvl w:val="0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rsid w:val="00132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40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A4009"/>
  </w:style>
  <w:style w:type="paragraph" w:customStyle="1" w:styleId="Bulletlevel1">
    <w:name w:val="Bullet level 1"/>
    <w:basedOn w:val="Normal"/>
    <w:qFormat/>
    <w:rsid w:val="00BA4009"/>
    <w:pPr>
      <w:numPr>
        <w:numId w:val="4"/>
      </w:numPr>
      <w:spacing w:after="240"/>
      <w:ind w:left="567" w:hanging="567"/>
      <w:contextualSpacing/>
    </w:pPr>
    <w:rPr>
      <w:sz w:val="22"/>
      <w:szCs w:val="22"/>
    </w:rPr>
  </w:style>
  <w:style w:type="paragraph" w:customStyle="1" w:styleId="Default">
    <w:name w:val="Default"/>
    <w:rsid w:val="00132FB9"/>
    <w:pPr>
      <w:widowControl w:val="0"/>
      <w:autoSpaceDE w:val="0"/>
      <w:autoSpaceDN w:val="0"/>
      <w:adjustRightInd w:val="0"/>
    </w:pPr>
    <w:rPr>
      <w:rFonts w:ascii="Calibri Light" w:hAnsi="Calibri Light" w:cs="Calibri Light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rsid w:val="006D287B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132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rsid w:val="00663195"/>
  </w:style>
  <w:style w:type="character" w:customStyle="1" w:styleId="FootnoteTextChar">
    <w:name w:val="Footnote Text Char"/>
    <w:basedOn w:val="DefaultParagraphFont"/>
    <w:link w:val="FootnoteText"/>
    <w:rsid w:val="00663195"/>
  </w:style>
  <w:style w:type="character" w:styleId="FootnoteReference">
    <w:name w:val="footnote reference"/>
    <w:basedOn w:val="DefaultParagraphFont"/>
    <w:rsid w:val="00663195"/>
    <w:rPr>
      <w:vertAlign w:val="superscript"/>
    </w:rPr>
  </w:style>
  <w:style w:type="paragraph" w:styleId="Footer">
    <w:name w:val="footer"/>
    <w:basedOn w:val="Normal"/>
    <w:link w:val="FooterChar"/>
    <w:rsid w:val="00AF3F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3FB6"/>
  </w:style>
  <w:style w:type="character" w:styleId="PageNumber">
    <w:name w:val="page number"/>
    <w:basedOn w:val="DefaultParagraphFont"/>
    <w:rsid w:val="00AF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585EE9E20F942A35BE6D6D12CE284" ma:contentTypeVersion="0" ma:contentTypeDescription="Create a new document." ma:contentTypeScope="" ma:versionID="933249710d4465955d7daabd7abd2a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16B86-2888-49C6-BD21-C3F1DDF0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F009-5A6F-44C2-94C3-B6E6646EFD4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1FE21E-CDF0-4850-A914-679F0E000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Holly Raiche.docx</vt:lpstr>
    </vt:vector>
  </TitlesOfParts>
  <Company>ISOC-AU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Consumer representation: Review of section 593 of the Telecommunications Act 1997―Holly Raiche</dc:title>
  <dc:subject/>
  <dc:creator>Trial User HOLLY RAICHE</dc:creator>
  <cp:keywords/>
  <cp:lastModifiedBy>th</cp:lastModifiedBy>
  <cp:revision>3</cp:revision>
  <dcterms:created xsi:type="dcterms:W3CDTF">2017-01-23T03:50:00Z</dcterms:created>
  <dcterms:modified xsi:type="dcterms:W3CDTF">2017-01-23T03:52:00Z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0x010100DFF585EE9E20F942A35BE6D6D12CE284</vt:lpwstr>
  </property>
</Properties>
</file>