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84" w:rsidRDefault="00C62384" w:rsidP="00C62384">
      <w:pPr>
        <w:ind w:right="-205"/>
        <w:rPr>
          <w:rFonts w:asciiTheme="minorHAnsi" w:hAnsiTheme="minorHAnsi"/>
          <w:sz w:val="22"/>
          <w:szCs w:val="22"/>
        </w:rPr>
      </w:pPr>
    </w:p>
    <w:p w:rsidR="00C62384" w:rsidRPr="00C62384" w:rsidRDefault="00C62384" w:rsidP="00C62384">
      <w:pPr>
        <w:ind w:right="-205"/>
        <w:rPr>
          <w:rFonts w:asciiTheme="minorHAnsi" w:hAnsiTheme="minorHAnsi"/>
          <w:sz w:val="22"/>
          <w:szCs w:val="22"/>
        </w:rPr>
      </w:pPr>
      <w:r>
        <w:rPr>
          <w:rFonts w:asciiTheme="minorHAnsi" w:hAnsiTheme="minorHAnsi"/>
          <w:sz w:val="22"/>
          <w:szCs w:val="22"/>
        </w:rPr>
        <w:t>25 July 2018</w:t>
      </w:r>
    </w:p>
    <w:p w:rsidR="00C62384" w:rsidRPr="00C62384" w:rsidRDefault="00C62384" w:rsidP="00C62384">
      <w:pPr>
        <w:ind w:right="-205"/>
        <w:rPr>
          <w:rFonts w:asciiTheme="minorHAnsi" w:hAnsiTheme="minorHAnsi"/>
          <w:sz w:val="22"/>
          <w:szCs w:val="22"/>
        </w:rPr>
      </w:pPr>
    </w:p>
    <w:p w:rsidR="00C62384" w:rsidRPr="00C62384" w:rsidRDefault="00C62384" w:rsidP="00C62384">
      <w:pPr>
        <w:ind w:right="-205"/>
        <w:rPr>
          <w:rFonts w:asciiTheme="minorHAnsi" w:hAnsiTheme="minorHAnsi"/>
          <w:sz w:val="22"/>
          <w:szCs w:val="22"/>
        </w:rPr>
      </w:pPr>
    </w:p>
    <w:p w:rsidR="00C62384" w:rsidRPr="00C62384" w:rsidRDefault="00C62384" w:rsidP="00C62384">
      <w:pPr>
        <w:ind w:right="-205"/>
        <w:rPr>
          <w:rFonts w:asciiTheme="minorHAnsi" w:hAnsiTheme="minorHAnsi"/>
          <w:sz w:val="22"/>
          <w:szCs w:val="22"/>
        </w:rPr>
      </w:pPr>
    </w:p>
    <w:p w:rsidR="00C62384" w:rsidRDefault="00C62384" w:rsidP="00C62384">
      <w:pPr>
        <w:ind w:right="-205"/>
        <w:rPr>
          <w:rFonts w:asciiTheme="minorHAnsi" w:hAnsiTheme="minorHAnsi"/>
          <w:sz w:val="22"/>
          <w:szCs w:val="22"/>
        </w:rPr>
      </w:pPr>
      <w:r w:rsidRPr="00C62384">
        <w:rPr>
          <w:rFonts w:asciiTheme="minorHAnsi" w:hAnsiTheme="minorHAnsi"/>
          <w:sz w:val="22"/>
          <w:szCs w:val="22"/>
        </w:rPr>
        <w:t xml:space="preserve">Consumer Safeguards Review </w:t>
      </w:r>
    </w:p>
    <w:p w:rsidR="00C62384" w:rsidRDefault="00C62384" w:rsidP="00C62384">
      <w:pPr>
        <w:ind w:right="-205"/>
        <w:rPr>
          <w:rFonts w:asciiTheme="minorHAnsi" w:hAnsiTheme="minorHAnsi"/>
          <w:sz w:val="22"/>
          <w:szCs w:val="22"/>
        </w:rPr>
      </w:pPr>
      <w:r w:rsidRPr="00C62384">
        <w:rPr>
          <w:rFonts w:asciiTheme="minorHAnsi" w:hAnsiTheme="minorHAnsi"/>
          <w:sz w:val="22"/>
          <w:szCs w:val="22"/>
        </w:rPr>
        <w:t xml:space="preserve">Department of Communications and the Arts </w:t>
      </w:r>
    </w:p>
    <w:p w:rsidR="00C62384" w:rsidRDefault="00C62384" w:rsidP="00C62384">
      <w:pPr>
        <w:ind w:right="-205"/>
        <w:rPr>
          <w:rFonts w:asciiTheme="minorHAnsi" w:hAnsiTheme="minorHAnsi"/>
          <w:sz w:val="22"/>
          <w:szCs w:val="22"/>
        </w:rPr>
      </w:pPr>
      <w:r w:rsidRPr="00C62384">
        <w:rPr>
          <w:rFonts w:asciiTheme="minorHAnsi" w:hAnsiTheme="minorHAnsi"/>
          <w:sz w:val="22"/>
          <w:szCs w:val="22"/>
        </w:rPr>
        <w:t xml:space="preserve">GPO Box 2154 </w:t>
      </w:r>
    </w:p>
    <w:p w:rsidR="0035113E" w:rsidRPr="00C62384" w:rsidRDefault="00C62384" w:rsidP="00C62384">
      <w:pPr>
        <w:ind w:right="-205"/>
        <w:rPr>
          <w:rFonts w:asciiTheme="minorHAnsi" w:hAnsiTheme="minorHAnsi"/>
          <w:sz w:val="22"/>
          <w:szCs w:val="22"/>
        </w:rPr>
      </w:pPr>
      <w:r w:rsidRPr="00C62384">
        <w:rPr>
          <w:rFonts w:asciiTheme="minorHAnsi" w:hAnsiTheme="minorHAnsi"/>
          <w:sz w:val="22"/>
          <w:szCs w:val="22"/>
        </w:rPr>
        <w:t>CANBERRA ACT 2601</w:t>
      </w:r>
    </w:p>
    <w:p w:rsidR="00C62384" w:rsidRPr="00C62384" w:rsidRDefault="00C62384" w:rsidP="00C62384">
      <w:pPr>
        <w:ind w:right="-205"/>
        <w:rPr>
          <w:rFonts w:asciiTheme="minorHAnsi" w:hAnsiTheme="minorHAnsi"/>
          <w:sz w:val="22"/>
          <w:szCs w:val="22"/>
        </w:rPr>
      </w:pPr>
    </w:p>
    <w:p w:rsidR="00C62384" w:rsidRDefault="00C62384" w:rsidP="00C62384">
      <w:pPr>
        <w:ind w:right="-205"/>
        <w:rPr>
          <w:rStyle w:val="A9"/>
          <w:rFonts w:asciiTheme="minorHAnsi" w:hAnsiTheme="minorHAnsi"/>
          <w:sz w:val="22"/>
          <w:szCs w:val="22"/>
          <w:u w:val="none"/>
        </w:rPr>
      </w:pPr>
      <w:r w:rsidRPr="00C62384">
        <w:rPr>
          <w:rStyle w:val="A9"/>
          <w:rFonts w:asciiTheme="minorHAnsi" w:hAnsiTheme="minorHAnsi"/>
          <w:sz w:val="22"/>
          <w:szCs w:val="22"/>
          <w:u w:val="none"/>
        </w:rPr>
        <w:t xml:space="preserve">By email: </w:t>
      </w:r>
      <w:proofErr w:type="spellStart"/>
      <w:r w:rsidRPr="00C62384">
        <w:rPr>
          <w:rStyle w:val="A9"/>
          <w:rFonts w:asciiTheme="minorHAnsi" w:hAnsiTheme="minorHAnsi"/>
          <w:sz w:val="22"/>
          <w:szCs w:val="22"/>
          <w:u w:val="none"/>
        </w:rPr>
        <w:t>consumersafeguardsreview</w:t>
      </w:r>
      <w:proofErr w:type="spellEnd"/>
      <w:r w:rsidRPr="00C62384">
        <w:rPr>
          <w:rStyle w:val="A9"/>
          <w:rFonts w:asciiTheme="minorHAnsi" w:hAnsiTheme="minorHAnsi"/>
          <w:sz w:val="22"/>
          <w:szCs w:val="22"/>
          <w:u w:val="none"/>
        </w:rPr>
        <w:t>@ communications.gov.au</w:t>
      </w:r>
    </w:p>
    <w:p w:rsidR="00C62384" w:rsidRDefault="00C62384" w:rsidP="00C62384">
      <w:pPr>
        <w:ind w:right="-205"/>
        <w:rPr>
          <w:rStyle w:val="A9"/>
          <w:rFonts w:asciiTheme="minorHAnsi" w:hAnsiTheme="minorHAnsi"/>
          <w:sz w:val="22"/>
          <w:szCs w:val="22"/>
          <w:u w:val="none"/>
        </w:rPr>
      </w:pPr>
    </w:p>
    <w:p w:rsidR="00C62384" w:rsidRDefault="00C62384" w:rsidP="00C62384">
      <w:pPr>
        <w:ind w:right="-205"/>
        <w:rPr>
          <w:rStyle w:val="A9"/>
          <w:rFonts w:asciiTheme="minorHAnsi" w:hAnsiTheme="minorHAnsi"/>
          <w:sz w:val="22"/>
          <w:szCs w:val="22"/>
          <w:u w:val="none"/>
        </w:rPr>
      </w:pPr>
    </w:p>
    <w:p w:rsidR="00C62384" w:rsidRDefault="00C62384" w:rsidP="00C62384">
      <w:pPr>
        <w:ind w:right="-205"/>
        <w:rPr>
          <w:rStyle w:val="A9"/>
          <w:rFonts w:asciiTheme="minorHAnsi" w:hAnsiTheme="minorHAnsi"/>
          <w:sz w:val="22"/>
          <w:szCs w:val="22"/>
          <w:u w:val="none"/>
        </w:rPr>
      </w:pPr>
      <w:r>
        <w:rPr>
          <w:rStyle w:val="A9"/>
          <w:rFonts w:asciiTheme="minorHAnsi" w:hAnsiTheme="minorHAnsi"/>
          <w:sz w:val="22"/>
          <w:szCs w:val="22"/>
          <w:u w:val="none"/>
        </w:rPr>
        <w:t>Dear Sir/Madam</w:t>
      </w:r>
    </w:p>
    <w:p w:rsidR="00A416BA" w:rsidRDefault="00A416BA" w:rsidP="00C62384">
      <w:pPr>
        <w:ind w:right="-205"/>
        <w:rPr>
          <w:rStyle w:val="A9"/>
          <w:rFonts w:asciiTheme="minorHAnsi" w:hAnsiTheme="minorHAnsi"/>
          <w:sz w:val="22"/>
          <w:szCs w:val="22"/>
          <w:u w:val="none"/>
        </w:rPr>
      </w:pPr>
    </w:p>
    <w:p w:rsidR="00A416BA" w:rsidRPr="00A416BA" w:rsidRDefault="00A416BA" w:rsidP="00C62384">
      <w:pPr>
        <w:ind w:right="-205"/>
        <w:rPr>
          <w:rStyle w:val="A9"/>
          <w:rFonts w:asciiTheme="minorHAnsi" w:hAnsiTheme="minorHAnsi"/>
          <w:b/>
          <w:sz w:val="22"/>
          <w:szCs w:val="22"/>
          <w:u w:val="none"/>
        </w:rPr>
      </w:pPr>
      <w:r w:rsidRPr="00A416BA">
        <w:rPr>
          <w:rStyle w:val="A9"/>
          <w:rFonts w:asciiTheme="minorHAnsi" w:hAnsiTheme="minorHAnsi"/>
          <w:b/>
          <w:sz w:val="22"/>
          <w:szCs w:val="22"/>
          <w:u w:val="none"/>
        </w:rPr>
        <w:t>Re</w:t>
      </w:r>
      <w:r w:rsidR="00724385">
        <w:rPr>
          <w:rStyle w:val="A9"/>
          <w:rFonts w:asciiTheme="minorHAnsi" w:hAnsiTheme="minorHAnsi"/>
          <w:b/>
          <w:sz w:val="22"/>
          <w:szCs w:val="22"/>
          <w:u w:val="none"/>
        </w:rPr>
        <w:t>:</w:t>
      </w:r>
      <w:r w:rsidRPr="00A416BA">
        <w:rPr>
          <w:rStyle w:val="A9"/>
          <w:rFonts w:asciiTheme="minorHAnsi" w:hAnsiTheme="minorHAnsi"/>
          <w:b/>
          <w:sz w:val="22"/>
          <w:szCs w:val="22"/>
          <w:u w:val="none"/>
        </w:rPr>
        <w:t xml:space="preserve"> Consumer Safeguards Review – Part A</w:t>
      </w:r>
      <w:r>
        <w:rPr>
          <w:rStyle w:val="A9"/>
          <w:rFonts w:asciiTheme="minorHAnsi" w:hAnsiTheme="minorHAnsi"/>
          <w:b/>
          <w:sz w:val="22"/>
          <w:szCs w:val="22"/>
          <w:u w:val="none"/>
        </w:rPr>
        <w:t>:</w:t>
      </w:r>
      <w:r w:rsidRPr="00A416BA">
        <w:rPr>
          <w:rStyle w:val="A9"/>
          <w:rFonts w:asciiTheme="minorHAnsi" w:hAnsiTheme="minorHAnsi"/>
          <w:b/>
          <w:sz w:val="22"/>
          <w:szCs w:val="22"/>
          <w:u w:val="none"/>
        </w:rPr>
        <w:t xml:space="preserve"> Redress and Complaints Handling</w:t>
      </w:r>
    </w:p>
    <w:p w:rsidR="00C62384" w:rsidRDefault="00C62384" w:rsidP="00C62384">
      <w:pPr>
        <w:ind w:right="-205"/>
        <w:rPr>
          <w:rStyle w:val="A9"/>
          <w:rFonts w:asciiTheme="minorHAnsi" w:hAnsiTheme="minorHAnsi"/>
          <w:sz w:val="22"/>
          <w:szCs w:val="22"/>
          <w:u w:val="none"/>
        </w:rPr>
      </w:pPr>
    </w:p>
    <w:p w:rsidR="00A416BA" w:rsidRDefault="00C62384" w:rsidP="00C62384">
      <w:pPr>
        <w:ind w:right="-205"/>
        <w:rPr>
          <w:rStyle w:val="A9"/>
          <w:rFonts w:asciiTheme="minorHAnsi" w:hAnsiTheme="minorHAnsi"/>
          <w:sz w:val="22"/>
          <w:szCs w:val="22"/>
          <w:u w:val="none"/>
        </w:rPr>
      </w:pPr>
      <w:r>
        <w:rPr>
          <w:rStyle w:val="A9"/>
          <w:rFonts w:asciiTheme="minorHAnsi" w:hAnsiTheme="minorHAnsi"/>
          <w:sz w:val="22"/>
          <w:szCs w:val="22"/>
          <w:u w:val="none"/>
        </w:rPr>
        <w:t xml:space="preserve">The Financial and Consumer Right Council (FCRC) welcomes the opportunity to make a submission on the review of consumer safeguards in the telecommunications industry. </w:t>
      </w:r>
      <w:r w:rsidR="00A416BA">
        <w:rPr>
          <w:rStyle w:val="A9"/>
          <w:rFonts w:asciiTheme="minorHAnsi" w:hAnsiTheme="minorHAnsi"/>
          <w:sz w:val="22"/>
          <w:szCs w:val="22"/>
          <w:u w:val="none"/>
        </w:rPr>
        <w:t>This submission is in response to the consultation paper produced in Part A of the Review process, seeking to ensure consumers:</w:t>
      </w:r>
    </w:p>
    <w:p w:rsidR="00A416BA" w:rsidRDefault="00A416BA" w:rsidP="00C62384">
      <w:pPr>
        <w:ind w:right="-205"/>
        <w:rPr>
          <w:rStyle w:val="A9"/>
          <w:rFonts w:asciiTheme="minorHAnsi" w:hAnsiTheme="minorHAnsi"/>
          <w:sz w:val="22"/>
          <w:szCs w:val="22"/>
          <w:u w:val="none"/>
        </w:rPr>
      </w:pPr>
    </w:p>
    <w:p w:rsidR="00A416BA" w:rsidRPr="00A416BA" w:rsidRDefault="00A416BA" w:rsidP="00A416BA">
      <w:pPr>
        <w:ind w:right="-205"/>
        <w:rPr>
          <w:rStyle w:val="A9"/>
          <w:rFonts w:asciiTheme="minorHAnsi" w:hAnsiTheme="minorHAnsi"/>
          <w:i/>
          <w:sz w:val="22"/>
          <w:szCs w:val="22"/>
          <w:u w:val="none"/>
        </w:rPr>
      </w:pPr>
      <w:r w:rsidRPr="00A416BA">
        <w:rPr>
          <w:rStyle w:val="A9"/>
          <w:rFonts w:asciiTheme="minorHAnsi" w:hAnsiTheme="minorHAnsi"/>
          <w:i/>
          <w:sz w:val="22"/>
          <w:szCs w:val="22"/>
          <w:u w:val="none"/>
        </w:rPr>
        <w:t>Can access an effective complaints handling and redress scheme that provides transparency and accountability of telecommunications providers for their performance</w:t>
      </w:r>
    </w:p>
    <w:p w:rsidR="00A416BA" w:rsidRDefault="00A416BA" w:rsidP="00C62384">
      <w:pPr>
        <w:ind w:right="-205"/>
        <w:rPr>
          <w:rStyle w:val="A9"/>
          <w:rFonts w:asciiTheme="minorHAnsi" w:hAnsiTheme="minorHAnsi"/>
          <w:sz w:val="22"/>
          <w:szCs w:val="22"/>
          <w:u w:val="none"/>
        </w:rPr>
      </w:pPr>
    </w:p>
    <w:p w:rsidR="00A416BA" w:rsidRDefault="00A416BA" w:rsidP="00C62384">
      <w:pPr>
        <w:ind w:right="-205"/>
        <w:rPr>
          <w:rStyle w:val="A9"/>
          <w:rFonts w:asciiTheme="minorHAnsi" w:hAnsiTheme="minorHAnsi"/>
          <w:sz w:val="22"/>
          <w:szCs w:val="22"/>
          <w:u w:val="none"/>
        </w:rPr>
      </w:pPr>
    </w:p>
    <w:p w:rsidR="00A416BA" w:rsidRPr="00724385" w:rsidRDefault="00A416BA" w:rsidP="00724385">
      <w:pPr>
        <w:pStyle w:val="ListParagraph"/>
        <w:numPr>
          <w:ilvl w:val="0"/>
          <w:numId w:val="14"/>
        </w:numPr>
        <w:ind w:right="-205"/>
        <w:rPr>
          <w:rStyle w:val="A9"/>
          <w:rFonts w:asciiTheme="minorHAnsi" w:hAnsiTheme="minorHAnsi"/>
          <w:b/>
          <w:sz w:val="22"/>
          <w:szCs w:val="22"/>
          <w:u w:val="none"/>
        </w:rPr>
      </w:pPr>
      <w:r w:rsidRPr="00724385">
        <w:rPr>
          <w:rStyle w:val="A9"/>
          <w:rFonts w:asciiTheme="minorHAnsi" w:hAnsiTheme="minorHAnsi"/>
          <w:b/>
          <w:sz w:val="22"/>
          <w:szCs w:val="22"/>
          <w:u w:val="none"/>
        </w:rPr>
        <w:t>Context of the Review</w:t>
      </w:r>
    </w:p>
    <w:p w:rsidR="00724385" w:rsidRDefault="00724385" w:rsidP="008E7D9D">
      <w:pPr>
        <w:ind w:right="-205"/>
        <w:rPr>
          <w:rStyle w:val="A9"/>
          <w:rFonts w:asciiTheme="minorHAnsi" w:hAnsiTheme="minorHAnsi"/>
          <w:sz w:val="22"/>
          <w:szCs w:val="22"/>
          <w:u w:val="none"/>
        </w:rPr>
      </w:pPr>
    </w:p>
    <w:p w:rsidR="008E7D9D" w:rsidRDefault="008E7D9D" w:rsidP="008E7D9D">
      <w:pPr>
        <w:ind w:right="-205"/>
        <w:rPr>
          <w:rStyle w:val="A9"/>
          <w:rFonts w:asciiTheme="minorHAnsi" w:hAnsiTheme="minorHAnsi"/>
          <w:sz w:val="22"/>
          <w:szCs w:val="22"/>
          <w:u w:val="none"/>
        </w:rPr>
      </w:pPr>
      <w:r>
        <w:rPr>
          <w:rStyle w:val="A9"/>
          <w:rFonts w:asciiTheme="minorHAnsi" w:hAnsiTheme="minorHAnsi"/>
          <w:sz w:val="22"/>
          <w:szCs w:val="22"/>
          <w:u w:val="none"/>
        </w:rPr>
        <w:t xml:space="preserve">The review comes in the wake of the FCRC report </w:t>
      </w:r>
      <w:r>
        <w:rPr>
          <w:rStyle w:val="A9"/>
          <w:rFonts w:asciiTheme="minorHAnsi" w:hAnsiTheme="minorHAnsi"/>
          <w:i/>
          <w:sz w:val="22"/>
          <w:szCs w:val="22"/>
          <w:u w:val="none"/>
        </w:rPr>
        <w:t>Rank the Telco</w:t>
      </w:r>
      <w:r>
        <w:rPr>
          <w:rStyle w:val="FootnoteReference"/>
          <w:rFonts w:asciiTheme="minorHAnsi" w:hAnsiTheme="minorHAnsi" w:cs="Muli Light"/>
          <w:i/>
          <w:color w:val="000000"/>
          <w:sz w:val="22"/>
          <w:szCs w:val="22"/>
        </w:rPr>
        <w:footnoteReference w:id="1"/>
      </w:r>
      <w:r>
        <w:rPr>
          <w:rStyle w:val="A9"/>
          <w:rFonts w:asciiTheme="minorHAnsi" w:hAnsiTheme="minorHAnsi"/>
          <w:sz w:val="22"/>
          <w:szCs w:val="22"/>
          <w:u w:val="none"/>
        </w:rPr>
        <w:t xml:space="preserve">, which demonstrated extremely poor consumer practices in relation to hardship were endemic in the telecommunications industry. </w:t>
      </w:r>
    </w:p>
    <w:p w:rsidR="00C24CD8" w:rsidRDefault="00C24CD8" w:rsidP="008E7D9D">
      <w:pPr>
        <w:ind w:right="-205"/>
        <w:rPr>
          <w:rStyle w:val="A9"/>
          <w:rFonts w:asciiTheme="minorHAnsi" w:hAnsiTheme="minorHAnsi"/>
          <w:sz w:val="22"/>
          <w:szCs w:val="22"/>
          <w:u w:val="none"/>
        </w:rPr>
      </w:pPr>
    </w:p>
    <w:p w:rsidR="00C24CD8" w:rsidRDefault="00724385" w:rsidP="00C24CD8">
      <w:pPr>
        <w:ind w:right="-205"/>
        <w:rPr>
          <w:rStyle w:val="A9"/>
          <w:rFonts w:asciiTheme="minorHAnsi" w:hAnsiTheme="minorHAnsi"/>
          <w:sz w:val="22"/>
          <w:szCs w:val="22"/>
          <w:u w:val="none"/>
        </w:rPr>
      </w:pPr>
      <w:r>
        <w:rPr>
          <w:rStyle w:val="A9"/>
          <w:rFonts w:asciiTheme="minorHAnsi" w:hAnsiTheme="minorHAnsi"/>
          <w:sz w:val="22"/>
          <w:szCs w:val="22"/>
          <w:u w:val="none"/>
        </w:rPr>
        <w:t>A</w:t>
      </w:r>
      <w:r w:rsidR="00C24CD8">
        <w:rPr>
          <w:rStyle w:val="A9"/>
          <w:rFonts w:asciiTheme="minorHAnsi" w:hAnsiTheme="minorHAnsi"/>
          <w:sz w:val="22"/>
          <w:szCs w:val="22"/>
          <w:u w:val="none"/>
        </w:rPr>
        <w:t xml:space="preserve">n industry sector </w:t>
      </w:r>
      <w:proofErr w:type="gramStart"/>
      <w:r>
        <w:rPr>
          <w:rStyle w:val="A9"/>
          <w:rFonts w:asciiTheme="minorHAnsi" w:hAnsiTheme="minorHAnsi"/>
          <w:sz w:val="22"/>
          <w:szCs w:val="22"/>
          <w:u w:val="none"/>
        </w:rPr>
        <w:t>can be judged</w:t>
      </w:r>
      <w:proofErr w:type="gramEnd"/>
      <w:r>
        <w:rPr>
          <w:rStyle w:val="A9"/>
          <w:rFonts w:asciiTheme="minorHAnsi" w:hAnsiTheme="minorHAnsi"/>
          <w:sz w:val="22"/>
          <w:szCs w:val="22"/>
          <w:u w:val="none"/>
        </w:rPr>
        <w:t xml:space="preserve"> by </w:t>
      </w:r>
      <w:r w:rsidR="00C24CD8">
        <w:rPr>
          <w:rStyle w:val="A9"/>
          <w:rFonts w:asciiTheme="minorHAnsi" w:hAnsiTheme="minorHAnsi"/>
          <w:sz w:val="22"/>
          <w:szCs w:val="22"/>
          <w:u w:val="none"/>
        </w:rPr>
        <w:t xml:space="preserve">the way that sector responds to the most vulnerable in our society. </w:t>
      </w:r>
      <w:r>
        <w:rPr>
          <w:rStyle w:val="A9"/>
          <w:rFonts w:asciiTheme="minorHAnsi" w:hAnsiTheme="minorHAnsi"/>
          <w:sz w:val="22"/>
          <w:szCs w:val="22"/>
          <w:u w:val="none"/>
        </w:rPr>
        <w:t>A</w:t>
      </w:r>
      <w:r w:rsidR="00C24CD8">
        <w:rPr>
          <w:rStyle w:val="A9"/>
          <w:rFonts w:asciiTheme="minorHAnsi" w:hAnsiTheme="minorHAnsi"/>
          <w:sz w:val="22"/>
          <w:szCs w:val="22"/>
          <w:u w:val="none"/>
        </w:rPr>
        <w:t>n industry sector that is, in effect, a utility sector – where access to services is fundamental to an individual or family’s ability to function in our society</w:t>
      </w:r>
      <w:r>
        <w:rPr>
          <w:rStyle w:val="A9"/>
          <w:rFonts w:asciiTheme="minorHAnsi" w:hAnsiTheme="minorHAnsi"/>
          <w:sz w:val="22"/>
          <w:szCs w:val="22"/>
          <w:u w:val="none"/>
        </w:rPr>
        <w:t xml:space="preserve"> </w:t>
      </w:r>
      <w:r w:rsidR="00556A47">
        <w:rPr>
          <w:rStyle w:val="A9"/>
          <w:rFonts w:asciiTheme="minorHAnsi" w:hAnsiTheme="minorHAnsi"/>
          <w:sz w:val="22"/>
          <w:szCs w:val="22"/>
          <w:u w:val="none"/>
        </w:rPr>
        <w:t xml:space="preserve">- </w:t>
      </w:r>
      <w:r>
        <w:rPr>
          <w:rStyle w:val="A9"/>
          <w:rFonts w:asciiTheme="minorHAnsi" w:hAnsiTheme="minorHAnsi"/>
          <w:sz w:val="22"/>
          <w:szCs w:val="22"/>
          <w:u w:val="none"/>
        </w:rPr>
        <w:t>must</w:t>
      </w:r>
      <w:r w:rsidR="00556A47">
        <w:rPr>
          <w:rStyle w:val="A9"/>
          <w:rFonts w:asciiTheme="minorHAnsi" w:hAnsiTheme="minorHAnsi"/>
          <w:sz w:val="22"/>
          <w:szCs w:val="22"/>
          <w:u w:val="none"/>
        </w:rPr>
        <w:t xml:space="preserve"> be required to</w:t>
      </w:r>
      <w:r>
        <w:rPr>
          <w:rStyle w:val="A9"/>
          <w:rFonts w:asciiTheme="minorHAnsi" w:hAnsiTheme="minorHAnsi"/>
          <w:sz w:val="22"/>
          <w:szCs w:val="22"/>
          <w:u w:val="none"/>
        </w:rPr>
        <w:t xml:space="preserve"> meet community standards</w:t>
      </w:r>
      <w:r w:rsidR="00556A47">
        <w:rPr>
          <w:rStyle w:val="A9"/>
          <w:rFonts w:asciiTheme="minorHAnsi" w:hAnsiTheme="minorHAnsi"/>
          <w:sz w:val="22"/>
          <w:szCs w:val="22"/>
          <w:u w:val="none"/>
        </w:rPr>
        <w:t xml:space="preserve"> in that regard</w:t>
      </w:r>
      <w:r w:rsidR="00C24CD8">
        <w:rPr>
          <w:rStyle w:val="A9"/>
          <w:rFonts w:asciiTheme="minorHAnsi" w:hAnsiTheme="minorHAnsi"/>
          <w:sz w:val="22"/>
          <w:szCs w:val="22"/>
          <w:u w:val="none"/>
        </w:rPr>
        <w:t xml:space="preserve">. </w:t>
      </w:r>
    </w:p>
    <w:p w:rsidR="008E7D9D" w:rsidRDefault="008E7D9D" w:rsidP="008E7D9D">
      <w:pPr>
        <w:ind w:right="-205"/>
        <w:rPr>
          <w:rStyle w:val="A9"/>
          <w:rFonts w:asciiTheme="minorHAnsi" w:hAnsiTheme="minorHAnsi"/>
          <w:sz w:val="22"/>
          <w:szCs w:val="22"/>
          <w:u w:val="none"/>
        </w:rPr>
      </w:pPr>
    </w:p>
    <w:p w:rsidR="00556A47" w:rsidRDefault="008E7D9D" w:rsidP="008E7D9D">
      <w:pPr>
        <w:ind w:right="-205"/>
        <w:rPr>
          <w:rStyle w:val="A9"/>
          <w:rFonts w:asciiTheme="minorHAnsi" w:hAnsiTheme="minorHAnsi"/>
          <w:sz w:val="22"/>
          <w:szCs w:val="22"/>
          <w:u w:val="none"/>
        </w:rPr>
      </w:pPr>
      <w:r>
        <w:rPr>
          <w:rStyle w:val="A9"/>
          <w:rFonts w:asciiTheme="minorHAnsi" w:hAnsiTheme="minorHAnsi"/>
          <w:sz w:val="22"/>
          <w:szCs w:val="22"/>
          <w:u w:val="none"/>
        </w:rPr>
        <w:t>In our research, the telecommunications sector was rated as worse than the banks, and worse than the energy retail sector</w:t>
      </w:r>
      <w:r w:rsidR="00724385">
        <w:rPr>
          <w:rStyle w:val="A9"/>
          <w:rFonts w:asciiTheme="minorHAnsi" w:hAnsiTheme="minorHAnsi"/>
          <w:sz w:val="22"/>
          <w:szCs w:val="22"/>
          <w:u w:val="none"/>
        </w:rPr>
        <w:t xml:space="preserve"> were rated</w:t>
      </w:r>
      <w:r>
        <w:rPr>
          <w:rStyle w:val="A9"/>
          <w:rFonts w:asciiTheme="minorHAnsi" w:hAnsiTheme="minorHAnsi"/>
          <w:sz w:val="22"/>
          <w:szCs w:val="22"/>
          <w:u w:val="none"/>
        </w:rPr>
        <w:t xml:space="preserve"> when we </w:t>
      </w:r>
      <w:r w:rsidR="00724385">
        <w:rPr>
          <w:rStyle w:val="A9"/>
          <w:rFonts w:asciiTheme="minorHAnsi" w:hAnsiTheme="minorHAnsi"/>
          <w:sz w:val="22"/>
          <w:szCs w:val="22"/>
          <w:u w:val="none"/>
        </w:rPr>
        <w:t xml:space="preserve">initiated </w:t>
      </w:r>
      <w:r>
        <w:rPr>
          <w:rStyle w:val="A9"/>
          <w:rFonts w:asciiTheme="minorHAnsi" w:hAnsiTheme="minorHAnsi"/>
          <w:sz w:val="22"/>
          <w:szCs w:val="22"/>
          <w:u w:val="none"/>
        </w:rPr>
        <w:t>rating those industries</w:t>
      </w:r>
      <w:r w:rsidR="00C24CD8">
        <w:rPr>
          <w:rStyle w:val="A9"/>
          <w:rFonts w:asciiTheme="minorHAnsi" w:hAnsiTheme="minorHAnsi"/>
          <w:sz w:val="22"/>
          <w:szCs w:val="22"/>
          <w:u w:val="none"/>
        </w:rPr>
        <w:t xml:space="preserve"> (that is, when they were at their worst)</w:t>
      </w:r>
      <w:r>
        <w:rPr>
          <w:rStyle w:val="A9"/>
          <w:rFonts w:asciiTheme="minorHAnsi" w:hAnsiTheme="minorHAnsi"/>
          <w:sz w:val="22"/>
          <w:szCs w:val="22"/>
          <w:u w:val="none"/>
        </w:rPr>
        <w:t>. It is no surprise to us that the level of complaints to the TIO are so high. These are clear signs that</w:t>
      </w:r>
      <w:r w:rsidR="00556A47">
        <w:rPr>
          <w:rStyle w:val="A9"/>
          <w:rFonts w:asciiTheme="minorHAnsi" w:hAnsiTheme="minorHAnsi"/>
          <w:sz w:val="22"/>
          <w:szCs w:val="22"/>
          <w:u w:val="none"/>
        </w:rPr>
        <w:t xml:space="preserve"> the telecommunications sector is out of step with community standards in its treatment of consumers.</w:t>
      </w:r>
    </w:p>
    <w:p w:rsidR="00556A47" w:rsidRDefault="00556A47" w:rsidP="008E7D9D">
      <w:pPr>
        <w:ind w:right="-205"/>
        <w:rPr>
          <w:rStyle w:val="A9"/>
          <w:rFonts w:asciiTheme="minorHAnsi" w:hAnsiTheme="minorHAnsi"/>
          <w:sz w:val="22"/>
          <w:szCs w:val="22"/>
          <w:u w:val="none"/>
        </w:rPr>
      </w:pPr>
    </w:p>
    <w:p w:rsidR="00A67DDF" w:rsidRDefault="00556A47" w:rsidP="00C62384">
      <w:pPr>
        <w:ind w:right="-205"/>
        <w:rPr>
          <w:rStyle w:val="A9"/>
          <w:rFonts w:asciiTheme="minorHAnsi" w:hAnsiTheme="minorHAnsi"/>
          <w:sz w:val="22"/>
          <w:szCs w:val="22"/>
          <w:u w:val="none"/>
        </w:rPr>
      </w:pPr>
      <w:r>
        <w:rPr>
          <w:rStyle w:val="A9"/>
          <w:rFonts w:asciiTheme="minorHAnsi" w:hAnsiTheme="minorHAnsi"/>
          <w:sz w:val="22"/>
          <w:szCs w:val="22"/>
          <w:u w:val="none"/>
        </w:rPr>
        <w:lastRenderedPageBreak/>
        <w:t>T</w:t>
      </w:r>
      <w:r w:rsidR="008E7D9D">
        <w:rPr>
          <w:rStyle w:val="A9"/>
          <w:rFonts w:asciiTheme="minorHAnsi" w:hAnsiTheme="minorHAnsi"/>
          <w:sz w:val="22"/>
          <w:szCs w:val="22"/>
          <w:u w:val="none"/>
        </w:rPr>
        <w:t xml:space="preserve">here is significant work required of government </w:t>
      </w:r>
      <w:proofErr w:type="gramStart"/>
      <w:r w:rsidR="008E7D9D">
        <w:rPr>
          <w:rStyle w:val="A9"/>
          <w:rFonts w:asciiTheme="minorHAnsi" w:hAnsiTheme="minorHAnsi"/>
          <w:sz w:val="22"/>
          <w:szCs w:val="22"/>
          <w:u w:val="none"/>
        </w:rPr>
        <w:t>to better protect</w:t>
      </w:r>
      <w:proofErr w:type="gramEnd"/>
      <w:r w:rsidR="008E7D9D">
        <w:rPr>
          <w:rStyle w:val="A9"/>
          <w:rFonts w:asciiTheme="minorHAnsi" w:hAnsiTheme="minorHAnsi"/>
          <w:sz w:val="22"/>
          <w:szCs w:val="22"/>
          <w:u w:val="none"/>
        </w:rPr>
        <w:t xml:space="preserve"> consumers in the telecommunications sector.</w:t>
      </w:r>
      <w:r>
        <w:rPr>
          <w:rStyle w:val="A9"/>
          <w:rFonts w:asciiTheme="minorHAnsi" w:hAnsiTheme="minorHAnsi"/>
          <w:sz w:val="22"/>
          <w:szCs w:val="22"/>
          <w:u w:val="none"/>
        </w:rPr>
        <w:t xml:space="preserve"> </w:t>
      </w:r>
      <w:r w:rsidR="00A67DDF">
        <w:rPr>
          <w:rStyle w:val="A9"/>
          <w:rFonts w:asciiTheme="minorHAnsi" w:hAnsiTheme="minorHAnsi"/>
          <w:sz w:val="22"/>
          <w:szCs w:val="22"/>
          <w:u w:val="none"/>
        </w:rPr>
        <w:t xml:space="preserve">For too long the industry itself has attempted to have its cake and eat it too. It </w:t>
      </w:r>
      <w:r w:rsidR="008E7D9D">
        <w:rPr>
          <w:rStyle w:val="A9"/>
          <w:rFonts w:asciiTheme="minorHAnsi" w:hAnsiTheme="minorHAnsi"/>
          <w:sz w:val="22"/>
          <w:szCs w:val="22"/>
          <w:u w:val="none"/>
        </w:rPr>
        <w:t>argues</w:t>
      </w:r>
      <w:r w:rsidR="00A67DDF">
        <w:rPr>
          <w:rStyle w:val="A9"/>
          <w:rFonts w:asciiTheme="minorHAnsi" w:hAnsiTheme="minorHAnsi"/>
          <w:sz w:val="22"/>
          <w:szCs w:val="22"/>
          <w:u w:val="none"/>
        </w:rPr>
        <w:t xml:space="preserve"> its importance and centrality to society and the economy for the purposes of government support and consumer </w:t>
      </w:r>
      <w:r w:rsidR="00724385">
        <w:rPr>
          <w:rStyle w:val="A9"/>
          <w:rFonts w:asciiTheme="minorHAnsi" w:hAnsiTheme="minorHAnsi"/>
          <w:sz w:val="22"/>
          <w:szCs w:val="22"/>
          <w:u w:val="none"/>
        </w:rPr>
        <w:t>marketing, but it resists acknowledging</w:t>
      </w:r>
      <w:r w:rsidR="00A67DDF">
        <w:rPr>
          <w:rStyle w:val="A9"/>
          <w:rFonts w:asciiTheme="minorHAnsi" w:hAnsiTheme="minorHAnsi"/>
          <w:sz w:val="22"/>
          <w:szCs w:val="22"/>
          <w:u w:val="none"/>
        </w:rPr>
        <w:t xml:space="preserve"> </w:t>
      </w:r>
      <w:r w:rsidR="00C24CD8">
        <w:rPr>
          <w:rStyle w:val="A9"/>
          <w:rFonts w:asciiTheme="minorHAnsi" w:hAnsiTheme="minorHAnsi"/>
          <w:sz w:val="22"/>
          <w:szCs w:val="22"/>
          <w:u w:val="none"/>
        </w:rPr>
        <w:t>it provides utility services</w:t>
      </w:r>
      <w:r w:rsidR="00A67DDF">
        <w:rPr>
          <w:rStyle w:val="A9"/>
          <w:rFonts w:asciiTheme="minorHAnsi" w:hAnsiTheme="minorHAnsi"/>
          <w:sz w:val="22"/>
          <w:szCs w:val="22"/>
          <w:u w:val="none"/>
        </w:rPr>
        <w:t xml:space="preserve"> for fear of</w:t>
      </w:r>
      <w:r w:rsidR="008E7D9D">
        <w:rPr>
          <w:rStyle w:val="A9"/>
          <w:rFonts w:asciiTheme="minorHAnsi" w:hAnsiTheme="minorHAnsi"/>
          <w:sz w:val="22"/>
          <w:szCs w:val="22"/>
          <w:u w:val="none"/>
        </w:rPr>
        <w:t xml:space="preserve"> the obligations that could ensue. </w:t>
      </w:r>
    </w:p>
    <w:p w:rsidR="008E7D9D" w:rsidRDefault="008E7D9D" w:rsidP="00C62384">
      <w:pPr>
        <w:ind w:right="-205"/>
        <w:rPr>
          <w:rStyle w:val="A9"/>
          <w:rFonts w:asciiTheme="minorHAnsi" w:hAnsiTheme="minorHAnsi"/>
          <w:sz w:val="22"/>
          <w:szCs w:val="22"/>
          <w:u w:val="none"/>
        </w:rPr>
      </w:pPr>
    </w:p>
    <w:p w:rsidR="008E7D9D" w:rsidRPr="008E7D9D" w:rsidRDefault="008E7D9D" w:rsidP="00FE0639">
      <w:pPr>
        <w:shd w:val="clear" w:color="auto" w:fill="E7E6E6" w:themeFill="background2"/>
        <w:ind w:right="-205"/>
        <w:rPr>
          <w:rStyle w:val="A9"/>
          <w:rFonts w:asciiTheme="minorHAnsi" w:hAnsiTheme="minorHAnsi"/>
          <w:i/>
          <w:sz w:val="22"/>
          <w:szCs w:val="22"/>
          <w:u w:val="none"/>
        </w:rPr>
      </w:pPr>
      <w:r w:rsidRPr="008E7D9D">
        <w:rPr>
          <w:rStyle w:val="A9"/>
          <w:rFonts w:asciiTheme="minorHAnsi" w:hAnsiTheme="minorHAnsi"/>
          <w:i/>
          <w:sz w:val="22"/>
          <w:szCs w:val="22"/>
          <w:u w:val="none"/>
        </w:rPr>
        <w:t xml:space="preserve">Recommendation 1: </w:t>
      </w:r>
    </w:p>
    <w:p w:rsidR="00724385" w:rsidRDefault="008E7D9D" w:rsidP="00FE0639">
      <w:pPr>
        <w:shd w:val="clear" w:color="auto" w:fill="E7E6E6" w:themeFill="background2"/>
        <w:ind w:right="-205"/>
        <w:rPr>
          <w:rStyle w:val="A9"/>
          <w:rFonts w:asciiTheme="minorHAnsi" w:hAnsiTheme="minorHAnsi"/>
          <w:sz w:val="22"/>
          <w:szCs w:val="22"/>
          <w:u w:val="none"/>
        </w:rPr>
      </w:pPr>
      <w:r>
        <w:rPr>
          <w:rStyle w:val="A9"/>
          <w:rFonts w:asciiTheme="minorHAnsi" w:hAnsiTheme="minorHAnsi"/>
          <w:sz w:val="22"/>
          <w:szCs w:val="22"/>
          <w:u w:val="none"/>
        </w:rPr>
        <w:t xml:space="preserve">That the Consumer Safeguard Review </w:t>
      </w:r>
      <w:r w:rsidR="00724385">
        <w:rPr>
          <w:rStyle w:val="A9"/>
          <w:rFonts w:asciiTheme="minorHAnsi" w:hAnsiTheme="minorHAnsi"/>
          <w:sz w:val="22"/>
          <w:szCs w:val="22"/>
          <w:u w:val="none"/>
        </w:rPr>
        <w:t>ident</w:t>
      </w:r>
      <w:r w:rsidR="00C24CD8">
        <w:rPr>
          <w:rStyle w:val="A9"/>
          <w:rFonts w:asciiTheme="minorHAnsi" w:hAnsiTheme="minorHAnsi"/>
          <w:sz w:val="22"/>
          <w:szCs w:val="22"/>
          <w:u w:val="none"/>
        </w:rPr>
        <w:t>if</w:t>
      </w:r>
      <w:r w:rsidR="00724385">
        <w:rPr>
          <w:rStyle w:val="A9"/>
          <w:rFonts w:asciiTheme="minorHAnsi" w:hAnsiTheme="minorHAnsi"/>
          <w:sz w:val="22"/>
          <w:szCs w:val="22"/>
          <w:u w:val="none"/>
        </w:rPr>
        <w:t xml:space="preserve">y </w:t>
      </w:r>
      <w:r w:rsidR="00C24CD8">
        <w:rPr>
          <w:rStyle w:val="A9"/>
          <w:rFonts w:asciiTheme="minorHAnsi" w:hAnsiTheme="minorHAnsi"/>
          <w:sz w:val="22"/>
          <w:szCs w:val="22"/>
          <w:u w:val="none"/>
        </w:rPr>
        <w:t>policy implications of t</w:t>
      </w:r>
      <w:r>
        <w:rPr>
          <w:rStyle w:val="A9"/>
          <w:rFonts w:asciiTheme="minorHAnsi" w:hAnsiTheme="minorHAnsi"/>
          <w:sz w:val="22"/>
          <w:szCs w:val="22"/>
          <w:u w:val="none"/>
        </w:rPr>
        <w:t>he telec</w:t>
      </w:r>
      <w:r w:rsidR="00C24CD8">
        <w:rPr>
          <w:rStyle w:val="A9"/>
          <w:rFonts w:asciiTheme="minorHAnsi" w:hAnsiTheme="minorHAnsi"/>
          <w:sz w:val="22"/>
          <w:szCs w:val="22"/>
          <w:u w:val="none"/>
        </w:rPr>
        <w:t>ommunications sector providing</w:t>
      </w:r>
      <w:r>
        <w:rPr>
          <w:rStyle w:val="A9"/>
          <w:rFonts w:asciiTheme="minorHAnsi" w:hAnsiTheme="minorHAnsi"/>
          <w:sz w:val="22"/>
          <w:szCs w:val="22"/>
          <w:u w:val="none"/>
        </w:rPr>
        <w:t xml:space="preserve"> utility services, and </w:t>
      </w:r>
      <w:r w:rsidR="00C24CD8">
        <w:rPr>
          <w:rStyle w:val="A9"/>
          <w:rFonts w:asciiTheme="minorHAnsi" w:hAnsiTheme="minorHAnsi"/>
          <w:sz w:val="22"/>
          <w:szCs w:val="22"/>
          <w:u w:val="none"/>
        </w:rPr>
        <w:t xml:space="preserve">make </w:t>
      </w:r>
      <w:r w:rsidR="00724385">
        <w:rPr>
          <w:rStyle w:val="A9"/>
          <w:rFonts w:asciiTheme="minorHAnsi" w:hAnsiTheme="minorHAnsi"/>
          <w:sz w:val="22"/>
          <w:szCs w:val="22"/>
          <w:u w:val="none"/>
        </w:rPr>
        <w:t xml:space="preserve">recommendations that </w:t>
      </w:r>
      <w:r w:rsidR="00556A47">
        <w:rPr>
          <w:rStyle w:val="A9"/>
          <w:rFonts w:asciiTheme="minorHAnsi" w:hAnsiTheme="minorHAnsi"/>
          <w:sz w:val="22"/>
          <w:szCs w:val="22"/>
          <w:u w:val="none"/>
        </w:rPr>
        <w:t xml:space="preserve">will meet community standards regarding </w:t>
      </w:r>
      <w:r w:rsidR="00724385">
        <w:rPr>
          <w:rStyle w:val="A9"/>
          <w:rFonts w:asciiTheme="minorHAnsi" w:hAnsiTheme="minorHAnsi"/>
          <w:sz w:val="22"/>
          <w:szCs w:val="22"/>
          <w:u w:val="none"/>
        </w:rPr>
        <w:t>consumer right</w:t>
      </w:r>
      <w:r w:rsidR="00556A47">
        <w:rPr>
          <w:rStyle w:val="A9"/>
          <w:rFonts w:asciiTheme="minorHAnsi" w:hAnsiTheme="minorHAnsi"/>
          <w:sz w:val="22"/>
          <w:szCs w:val="22"/>
          <w:u w:val="none"/>
        </w:rPr>
        <w:t>s in a utility sector, with a strong regulatory regime</w:t>
      </w:r>
      <w:r w:rsidR="00724385">
        <w:rPr>
          <w:rStyle w:val="A9"/>
          <w:rFonts w:asciiTheme="minorHAnsi" w:hAnsiTheme="minorHAnsi"/>
          <w:sz w:val="22"/>
          <w:szCs w:val="22"/>
          <w:u w:val="none"/>
        </w:rPr>
        <w:t>:</w:t>
      </w:r>
    </w:p>
    <w:p w:rsidR="00724385" w:rsidRPr="00724385" w:rsidRDefault="00C24CD8" w:rsidP="00FE0639">
      <w:pPr>
        <w:pStyle w:val="ListParagraph"/>
        <w:numPr>
          <w:ilvl w:val="0"/>
          <w:numId w:val="13"/>
        </w:numPr>
        <w:shd w:val="clear" w:color="auto" w:fill="E7E6E6" w:themeFill="background2"/>
        <w:ind w:right="-205"/>
        <w:rPr>
          <w:rStyle w:val="A9"/>
          <w:rFonts w:asciiTheme="minorHAnsi" w:hAnsiTheme="minorHAnsi"/>
          <w:sz w:val="22"/>
          <w:szCs w:val="22"/>
          <w:u w:val="none"/>
        </w:rPr>
      </w:pPr>
      <w:r w:rsidRPr="00724385">
        <w:rPr>
          <w:rStyle w:val="A9"/>
          <w:rFonts w:asciiTheme="minorHAnsi" w:hAnsiTheme="minorHAnsi"/>
          <w:sz w:val="22"/>
          <w:szCs w:val="22"/>
          <w:u w:val="none"/>
        </w:rPr>
        <w:t xml:space="preserve">establishing and maintaining </w:t>
      </w:r>
      <w:r w:rsidR="00724385" w:rsidRPr="00724385">
        <w:rPr>
          <w:rStyle w:val="A9"/>
          <w:rFonts w:asciiTheme="minorHAnsi" w:hAnsiTheme="minorHAnsi"/>
          <w:sz w:val="22"/>
          <w:szCs w:val="22"/>
          <w:u w:val="none"/>
        </w:rPr>
        <w:t>universal access to basic services</w:t>
      </w:r>
    </w:p>
    <w:p w:rsidR="00724385" w:rsidRPr="00724385" w:rsidRDefault="00556A47" w:rsidP="00FE0639">
      <w:pPr>
        <w:pStyle w:val="ListParagraph"/>
        <w:numPr>
          <w:ilvl w:val="0"/>
          <w:numId w:val="13"/>
        </w:numPr>
        <w:shd w:val="clear" w:color="auto" w:fill="E7E6E6" w:themeFill="background2"/>
        <w:ind w:right="-205"/>
        <w:rPr>
          <w:rStyle w:val="A9"/>
          <w:rFonts w:asciiTheme="minorHAnsi" w:hAnsiTheme="minorHAnsi"/>
          <w:sz w:val="22"/>
          <w:szCs w:val="22"/>
          <w:u w:val="none"/>
        </w:rPr>
      </w:pPr>
      <w:r>
        <w:rPr>
          <w:rStyle w:val="A9"/>
          <w:rFonts w:asciiTheme="minorHAnsi" w:hAnsiTheme="minorHAnsi"/>
          <w:sz w:val="22"/>
          <w:szCs w:val="22"/>
          <w:u w:val="none"/>
        </w:rPr>
        <w:t xml:space="preserve">establishing </w:t>
      </w:r>
      <w:r w:rsidR="00724385" w:rsidRPr="00724385">
        <w:rPr>
          <w:rStyle w:val="A9"/>
          <w:rFonts w:asciiTheme="minorHAnsi" w:hAnsiTheme="minorHAnsi"/>
          <w:sz w:val="22"/>
          <w:szCs w:val="22"/>
          <w:u w:val="none"/>
        </w:rPr>
        <w:t>required performance standards, including compensation for service failures</w:t>
      </w:r>
    </w:p>
    <w:p w:rsidR="008E7D9D" w:rsidRDefault="00556A47" w:rsidP="00FE0639">
      <w:pPr>
        <w:pStyle w:val="ListParagraph"/>
        <w:numPr>
          <w:ilvl w:val="0"/>
          <w:numId w:val="13"/>
        </w:numPr>
        <w:shd w:val="clear" w:color="auto" w:fill="E7E6E6" w:themeFill="background2"/>
        <w:ind w:right="-205"/>
        <w:rPr>
          <w:rStyle w:val="A9"/>
          <w:rFonts w:asciiTheme="minorHAnsi" w:hAnsiTheme="minorHAnsi"/>
          <w:sz w:val="22"/>
          <w:szCs w:val="22"/>
          <w:u w:val="none"/>
        </w:rPr>
      </w:pPr>
      <w:r>
        <w:rPr>
          <w:rStyle w:val="A9"/>
          <w:rFonts w:asciiTheme="minorHAnsi" w:hAnsiTheme="minorHAnsi"/>
          <w:sz w:val="22"/>
          <w:szCs w:val="22"/>
          <w:u w:val="none"/>
        </w:rPr>
        <w:t xml:space="preserve">establishing </w:t>
      </w:r>
      <w:r w:rsidR="00C24CD8" w:rsidRPr="00724385">
        <w:rPr>
          <w:rStyle w:val="A9"/>
          <w:rFonts w:asciiTheme="minorHAnsi" w:hAnsiTheme="minorHAnsi"/>
          <w:sz w:val="22"/>
          <w:szCs w:val="22"/>
          <w:u w:val="none"/>
        </w:rPr>
        <w:t>strong</w:t>
      </w:r>
      <w:r>
        <w:rPr>
          <w:rStyle w:val="A9"/>
          <w:rFonts w:asciiTheme="minorHAnsi" w:hAnsiTheme="minorHAnsi"/>
          <w:sz w:val="22"/>
          <w:szCs w:val="22"/>
          <w:u w:val="none"/>
        </w:rPr>
        <w:t>, accessible and</w:t>
      </w:r>
      <w:r w:rsidR="00C24CD8" w:rsidRPr="00724385">
        <w:rPr>
          <w:rStyle w:val="A9"/>
          <w:rFonts w:asciiTheme="minorHAnsi" w:hAnsiTheme="minorHAnsi"/>
          <w:sz w:val="22"/>
          <w:szCs w:val="22"/>
          <w:u w:val="none"/>
        </w:rPr>
        <w:t xml:space="preserve"> independent</w:t>
      </w:r>
      <w:r w:rsidR="008E7D9D" w:rsidRPr="00724385">
        <w:rPr>
          <w:rStyle w:val="A9"/>
          <w:rFonts w:asciiTheme="minorHAnsi" w:hAnsiTheme="minorHAnsi"/>
          <w:sz w:val="22"/>
          <w:szCs w:val="22"/>
          <w:u w:val="none"/>
        </w:rPr>
        <w:t xml:space="preserve"> redress and complaints handling </w:t>
      </w:r>
      <w:r w:rsidR="00C24CD8" w:rsidRPr="00724385">
        <w:rPr>
          <w:rStyle w:val="A9"/>
          <w:rFonts w:asciiTheme="minorHAnsi" w:hAnsiTheme="minorHAnsi"/>
          <w:sz w:val="22"/>
          <w:szCs w:val="22"/>
          <w:u w:val="none"/>
        </w:rPr>
        <w:t>processes external to industry interests</w:t>
      </w:r>
      <w:r w:rsidR="006566C0">
        <w:rPr>
          <w:rStyle w:val="A9"/>
          <w:rFonts w:asciiTheme="minorHAnsi" w:hAnsiTheme="minorHAnsi"/>
          <w:sz w:val="22"/>
          <w:szCs w:val="22"/>
          <w:u w:val="none"/>
        </w:rPr>
        <w:t>, along with meaningful enforcement mechanisms</w:t>
      </w:r>
      <w:r w:rsidR="00D640A9" w:rsidRPr="00724385">
        <w:rPr>
          <w:rStyle w:val="A9"/>
          <w:rFonts w:asciiTheme="minorHAnsi" w:hAnsiTheme="minorHAnsi"/>
          <w:sz w:val="22"/>
          <w:szCs w:val="22"/>
          <w:u w:val="none"/>
        </w:rPr>
        <w:t>; and,</w:t>
      </w:r>
    </w:p>
    <w:p w:rsidR="00D640A9" w:rsidRPr="00724385" w:rsidRDefault="00D640A9" w:rsidP="00FE0639">
      <w:pPr>
        <w:pStyle w:val="ListParagraph"/>
        <w:numPr>
          <w:ilvl w:val="0"/>
          <w:numId w:val="13"/>
        </w:numPr>
        <w:shd w:val="clear" w:color="auto" w:fill="E7E6E6" w:themeFill="background2"/>
        <w:ind w:right="-205"/>
        <w:rPr>
          <w:rStyle w:val="A9"/>
          <w:rFonts w:asciiTheme="minorHAnsi" w:hAnsiTheme="minorHAnsi"/>
          <w:sz w:val="22"/>
          <w:szCs w:val="22"/>
          <w:u w:val="none"/>
        </w:rPr>
      </w:pPr>
      <w:proofErr w:type="gramStart"/>
      <w:r>
        <w:rPr>
          <w:rStyle w:val="A9"/>
          <w:rFonts w:asciiTheme="minorHAnsi" w:hAnsiTheme="minorHAnsi"/>
          <w:sz w:val="22"/>
          <w:szCs w:val="22"/>
          <w:u w:val="none"/>
        </w:rPr>
        <w:t>establishing</w:t>
      </w:r>
      <w:proofErr w:type="gramEnd"/>
      <w:r>
        <w:rPr>
          <w:rStyle w:val="A9"/>
          <w:rFonts w:asciiTheme="minorHAnsi" w:hAnsiTheme="minorHAnsi"/>
          <w:sz w:val="22"/>
          <w:szCs w:val="22"/>
          <w:u w:val="none"/>
        </w:rPr>
        <w:t xml:space="preserve"> obligations to provide a wider range of meaningful assistance to customers in hardship.</w:t>
      </w:r>
    </w:p>
    <w:p w:rsidR="008E7D9D" w:rsidRDefault="008E7D9D" w:rsidP="00C62384">
      <w:pPr>
        <w:ind w:right="-205"/>
        <w:rPr>
          <w:rStyle w:val="A9"/>
          <w:rFonts w:asciiTheme="minorHAnsi" w:hAnsiTheme="minorHAnsi"/>
          <w:sz w:val="22"/>
          <w:szCs w:val="22"/>
          <w:u w:val="none"/>
        </w:rPr>
      </w:pPr>
    </w:p>
    <w:p w:rsidR="006566C0" w:rsidRPr="00724385" w:rsidRDefault="006566C0" w:rsidP="006566C0">
      <w:pPr>
        <w:pStyle w:val="ListParagraph"/>
        <w:numPr>
          <w:ilvl w:val="0"/>
          <w:numId w:val="14"/>
        </w:numPr>
        <w:ind w:right="-205"/>
        <w:rPr>
          <w:rStyle w:val="A9"/>
          <w:rFonts w:asciiTheme="minorHAnsi" w:hAnsiTheme="minorHAnsi"/>
          <w:b/>
          <w:sz w:val="22"/>
          <w:szCs w:val="22"/>
          <w:u w:val="none"/>
        </w:rPr>
      </w:pPr>
      <w:r w:rsidRPr="00724385">
        <w:rPr>
          <w:rStyle w:val="A9"/>
          <w:rFonts w:asciiTheme="minorHAnsi" w:hAnsiTheme="minorHAnsi"/>
          <w:b/>
          <w:sz w:val="22"/>
          <w:szCs w:val="22"/>
          <w:u w:val="none"/>
        </w:rPr>
        <w:t xml:space="preserve">Response to the Consultation Paper </w:t>
      </w:r>
      <w:r>
        <w:rPr>
          <w:rStyle w:val="A9"/>
          <w:rFonts w:asciiTheme="minorHAnsi" w:hAnsiTheme="minorHAnsi"/>
          <w:b/>
          <w:sz w:val="22"/>
          <w:szCs w:val="22"/>
          <w:u w:val="none"/>
        </w:rPr>
        <w:t>Issue</w:t>
      </w:r>
      <w:r w:rsidRPr="00724385">
        <w:rPr>
          <w:rStyle w:val="A9"/>
          <w:rFonts w:asciiTheme="minorHAnsi" w:hAnsiTheme="minorHAnsi"/>
          <w:b/>
          <w:sz w:val="22"/>
          <w:szCs w:val="22"/>
          <w:u w:val="none"/>
        </w:rPr>
        <w:t>s</w:t>
      </w:r>
    </w:p>
    <w:p w:rsidR="006566C0" w:rsidRDefault="006566C0" w:rsidP="006566C0">
      <w:pPr>
        <w:ind w:right="-205"/>
        <w:rPr>
          <w:rStyle w:val="A9"/>
          <w:rFonts w:asciiTheme="minorHAnsi" w:hAnsiTheme="minorHAnsi"/>
          <w:sz w:val="22"/>
          <w:szCs w:val="22"/>
          <w:u w:val="none"/>
        </w:rPr>
      </w:pPr>
    </w:p>
    <w:p w:rsidR="006566C0" w:rsidRDefault="006566C0" w:rsidP="006566C0">
      <w:pPr>
        <w:ind w:right="-205"/>
        <w:rPr>
          <w:rStyle w:val="A9"/>
          <w:rFonts w:asciiTheme="minorHAnsi" w:hAnsiTheme="minorHAnsi"/>
          <w:sz w:val="22"/>
          <w:szCs w:val="22"/>
          <w:u w:val="none"/>
        </w:rPr>
      </w:pPr>
      <w:r>
        <w:rPr>
          <w:rStyle w:val="A9"/>
          <w:rFonts w:asciiTheme="minorHAnsi" w:hAnsiTheme="minorHAnsi"/>
          <w:sz w:val="22"/>
          <w:szCs w:val="22"/>
          <w:u w:val="none"/>
        </w:rPr>
        <w:t>The Consultation paper makes a number of proposals for reform building on an intertwined set of propositions:</w:t>
      </w:r>
    </w:p>
    <w:p w:rsidR="006566C0" w:rsidRDefault="006566C0" w:rsidP="006566C0">
      <w:pPr>
        <w:ind w:right="-205"/>
        <w:rPr>
          <w:rStyle w:val="A9"/>
          <w:rFonts w:asciiTheme="minorHAnsi" w:hAnsiTheme="minorHAnsi"/>
          <w:sz w:val="22"/>
          <w:szCs w:val="22"/>
          <w:u w:val="none"/>
        </w:rPr>
      </w:pPr>
    </w:p>
    <w:p w:rsidR="006566C0" w:rsidRPr="00792C43" w:rsidRDefault="006566C0" w:rsidP="006566C0">
      <w:pPr>
        <w:pStyle w:val="ListParagraph"/>
        <w:numPr>
          <w:ilvl w:val="0"/>
          <w:numId w:val="19"/>
        </w:numPr>
        <w:ind w:right="-205"/>
        <w:rPr>
          <w:rStyle w:val="A9"/>
          <w:rFonts w:asciiTheme="minorHAnsi" w:hAnsiTheme="minorHAnsi"/>
          <w:sz w:val="22"/>
          <w:szCs w:val="22"/>
          <w:u w:val="none"/>
        </w:rPr>
      </w:pPr>
      <w:r w:rsidRPr="00792C43">
        <w:rPr>
          <w:rStyle w:val="A9"/>
          <w:rFonts w:asciiTheme="minorHAnsi" w:hAnsiTheme="minorHAnsi"/>
          <w:sz w:val="22"/>
          <w:szCs w:val="22"/>
          <w:u w:val="none"/>
        </w:rPr>
        <w:t>Industry should take more responsibility for dealing with its own complaints</w:t>
      </w:r>
      <w:r w:rsidR="00663E64">
        <w:rPr>
          <w:rStyle w:val="A9"/>
          <w:rFonts w:asciiTheme="minorHAnsi" w:hAnsiTheme="minorHAnsi"/>
          <w:sz w:val="22"/>
          <w:szCs w:val="22"/>
          <w:u w:val="none"/>
        </w:rPr>
        <w:t>, with accountability driven by ‘direct regulation’</w:t>
      </w:r>
    </w:p>
    <w:p w:rsidR="006566C0" w:rsidRPr="00663E64" w:rsidRDefault="006566C0" w:rsidP="00141D45">
      <w:pPr>
        <w:pStyle w:val="ListParagraph"/>
        <w:numPr>
          <w:ilvl w:val="0"/>
          <w:numId w:val="19"/>
        </w:numPr>
        <w:ind w:right="-205"/>
        <w:rPr>
          <w:rStyle w:val="A9"/>
          <w:rFonts w:asciiTheme="minorHAnsi" w:hAnsiTheme="minorHAnsi"/>
          <w:sz w:val="22"/>
          <w:szCs w:val="22"/>
          <w:u w:val="none"/>
        </w:rPr>
      </w:pPr>
      <w:r w:rsidRPr="00663E64">
        <w:rPr>
          <w:rStyle w:val="A9"/>
          <w:rFonts w:asciiTheme="minorHAnsi" w:hAnsiTheme="minorHAnsi"/>
          <w:sz w:val="22"/>
          <w:szCs w:val="22"/>
          <w:u w:val="none"/>
        </w:rPr>
        <w:t>TIO has been subject to industry capture and direct regulation would work better to improve industry complaint handling</w:t>
      </w:r>
      <w:r w:rsidR="00663E64">
        <w:rPr>
          <w:rStyle w:val="A9"/>
          <w:rFonts w:asciiTheme="minorHAnsi" w:hAnsiTheme="minorHAnsi"/>
          <w:sz w:val="22"/>
          <w:szCs w:val="22"/>
          <w:u w:val="none"/>
        </w:rPr>
        <w:t>, w</w:t>
      </w:r>
      <w:r w:rsidR="00663E64" w:rsidRPr="00663E64">
        <w:rPr>
          <w:rStyle w:val="A9"/>
          <w:rFonts w:asciiTheme="minorHAnsi" w:hAnsiTheme="minorHAnsi"/>
          <w:sz w:val="22"/>
          <w:szCs w:val="22"/>
          <w:u w:val="none"/>
        </w:rPr>
        <w:t xml:space="preserve">hile </w:t>
      </w:r>
      <w:r w:rsidR="00663E64">
        <w:rPr>
          <w:rStyle w:val="A9"/>
          <w:rFonts w:asciiTheme="minorHAnsi" w:hAnsiTheme="minorHAnsi"/>
          <w:sz w:val="22"/>
          <w:szCs w:val="22"/>
          <w:u w:val="none"/>
        </w:rPr>
        <w:t>t</w:t>
      </w:r>
      <w:r w:rsidRPr="00663E64">
        <w:rPr>
          <w:rStyle w:val="A9"/>
          <w:rFonts w:asciiTheme="minorHAnsi" w:hAnsiTheme="minorHAnsi"/>
          <w:sz w:val="22"/>
          <w:szCs w:val="22"/>
          <w:u w:val="none"/>
        </w:rPr>
        <w:t xml:space="preserve">he TIO should be replaced by a narrower </w:t>
      </w:r>
      <w:r w:rsidR="00FE0639">
        <w:rPr>
          <w:rStyle w:val="A9"/>
          <w:rFonts w:asciiTheme="minorHAnsi" w:hAnsiTheme="minorHAnsi"/>
          <w:sz w:val="22"/>
          <w:szCs w:val="22"/>
          <w:u w:val="none"/>
        </w:rPr>
        <w:t>external dispute resolution (</w:t>
      </w:r>
      <w:r w:rsidRPr="00663E64">
        <w:rPr>
          <w:rStyle w:val="A9"/>
          <w:rFonts w:asciiTheme="minorHAnsi" w:hAnsiTheme="minorHAnsi"/>
          <w:sz w:val="22"/>
          <w:szCs w:val="22"/>
          <w:u w:val="none"/>
        </w:rPr>
        <w:t>EDR</w:t>
      </w:r>
      <w:r w:rsidR="00FE0639">
        <w:rPr>
          <w:rStyle w:val="A9"/>
          <w:rFonts w:asciiTheme="minorHAnsi" w:hAnsiTheme="minorHAnsi"/>
          <w:sz w:val="22"/>
          <w:szCs w:val="22"/>
          <w:u w:val="none"/>
        </w:rPr>
        <w:t>)</w:t>
      </w:r>
      <w:r w:rsidRPr="00663E64">
        <w:rPr>
          <w:rStyle w:val="A9"/>
          <w:rFonts w:asciiTheme="minorHAnsi" w:hAnsiTheme="minorHAnsi"/>
          <w:sz w:val="22"/>
          <w:szCs w:val="22"/>
          <w:u w:val="none"/>
        </w:rPr>
        <w:t xml:space="preserve"> scheme focused on ‘complex complaints’</w:t>
      </w:r>
    </w:p>
    <w:p w:rsidR="006566C0" w:rsidRPr="00792C43" w:rsidRDefault="006566C0" w:rsidP="006566C0">
      <w:pPr>
        <w:pStyle w:val="ListParagraph"/>
        <w:numPr>
          <w:ilvl w:val="0"/>
          <w:numId w:val="19"/>
        </w:numPr>
        <w:ind w:right="-205"/>
        <w:rPr>
          <w:rStyle w:val="A9"/>
          <w:rFonts w:asciiTheme="minorHAnsi" w:hAnsiTheme="minorHAnsi"/>
          <w:sz w:val="22"/>
          <w:szCs w:val="22"/>
          <w:u w:val="none"/>
        </w:rPr>
      </w:pPr>
      <w:r w:rsidRPr="00792C43">
        <w:rPr>
          <w:rStyle w:val="A9"/>
          <w:rFonts w:asciiTheme="minorHAnsi" w:hAnsiTheme="minorHAnsi"/>
          <w:sz w:val="22"/>
          <w:szCs w:val="22"/>
          <w:u w:val="none"/>
        </w:rPr>
        <w:t>Industry complaint data should be centrally collected and analysed</w:t>
      </w:r>
    </w:p>
    <w:p w:rsidR="006566C0" w:rsidRDefault="006566C0" w:rsidP="006566C0">
      <w:pPr>
        <w:ind w:right="-205"/>
        <w:rPr>
          <w:rStyle w:val="A9"/>
          <w:rFonts w:asciiTheme="minorHAnsi" w:hAnsiTheme="minorHAnsi"/>
          <w:sz w:val="22"/>
          <w:szCs w:val="22"/>
          <w:u w:val="none"/>
        </w:rPr>
      </w:pPr>
    </w:p>
    <w:p w:rsidR="00CC4AD8" w:rsidRPr="00CC4AD8" w:rsidRDefault="00CC4AD8" w:rsidP="006566C0">
      <w:pPr>
        <w:ind w:right="-205"/>
        <w:rPr>
          <w:rStyle w:val="A9"/>
          <w:rFonts w:asciiTheme="minorHAnsi" w:hAnsiTheme="minorHAnsi"/>
          <w:i/>
          <w:sz w:val="22"/>
          <w:szCs w:val="22"/>
          <w:u w:val="none"/>
        </w:rPr>
      </w:pPr>
      <w:r w:rsidRPr="00CC4AD8">
        <w:rPr>
          <w:rStyle w:val="A9"/>
          <w:rFonts w:asciiTheme="minorHAnsi" w:hAnsiTheme="minorHAnsi"/>
          <w:i/>
          <w:sz w:val="22"/>
          <w:szCs w:val="22"/>
          <w:u w:val="none"/>
        </w:rPr>
        <w:t>Direct Regulation</w:t>
      </w:r>
    </w:p>
    <w:p w:rsidR="00DD253F" w:rsidRDefault="006566C0" w:rsidP="006566C0">
      <w:pPr>
        <w:ind w:right="-205"/>
        <w:rPr>
          <w:rStyle w:val="A9"/>
          <w:rFonts w:asciiTheme="minorHAnsi" w:hAnsiTheme="minorHAnsi"/>
          <w:sz w:val="22"/>
          <w:szCs w:val="22"/>
          <w:u w:val="none"/>
        </w:rPr>
      </w:pPr>
      <w:r>
        <w:rPr>
          <w:rStyle w:val="A9"/>
          <w:rFonts w:asciiTheme="minorHAnsi" w:hAnsiTheme="minorHAnsi"/>
          <w:sz w:val="22"/>
          <w:szCs w:val="22"/>
          <w:u w:val="none"/>
        </w:rPr>
        <w:t xml:space="preserve">The consultation paper leans heavily on the new ACMA Complaints Handling Standard as a direct regulation mechanism that should effectively remove the need for the TIO as a widely accessible EDR scheme. This is despite this new Standard </w:t>
      </w:r>
      <w:proofErr w:type="gramStart"/>
      <w:r>
        <w:rPr>
          <w:rStyle w:val="A9"/>
          <w:rFonts w:asciiTheme="minorHAnsi" w:hAnsiTheme="minorHAnsi"/>
          <w:sz w:val="22"/>
          <w:szCs w:val="22"/>
          <w:u w:val="none"/>
        </w:rPr>
        <w:t>having only just been introduced</w:t>
      </w:r>
      <w:proofErr w:type="gramEnd"/>
      <w:r>
        <w:rPr>
          <w:rStyle w:val="A9"/>
          <w:rFonts w:asciiTheme="minorHAnsi" w:hAnsiTheme="minorHAnsi"/>
          <w:sz w:val="22"/>
          <w:szCs w:val="22"/>
          <w:u w:val="none"/>
        </w:rPr>
        <w:t>, and its capacity to actually influence industry complaint handling</w:t>
      </w:r>
      <w:r w:rsidR="00CC4AD8">
        <w:rPr>
          <w:rStyle w:val="A9"/>
          <w:rFonts w:asciiTheme="minorHAnsi" w:hAnsiTheme="minorHAnsi"/>
          <w:sz w:val="22"/>
          <w:szCs w:val="22"/>
          <w:u w:val="none"/>
        </w:rPr>
        <w:t xml:space="preserve"> behaviour</w:t>
      </w:r>
      <w:r>
        <w:rPr>
          <w:rStyle w:val="A9"/>
          <w:rFonts w:asciiTheme="minorHAnsi" w:hAnsiTheme="minorHAnsi"/>
          <w:sz w:val="22"/>
          <w:szCs w:val="22"/>
          <w:u w:val="none"/>
        </w:rPr>
        <w:t xml:space="preserve"> being so far untested.</w:t>
      </w:r>
      <w:r w:rsidR="00DD253F">
        <w:rPr>
          <w:rStyle w:val="A9"/>
          <w:rFonts w:asciiTheme="minorHAnsi" w:hAnsiTheme="minorHAnsi"/>
          <w:sz w:val="22"/>
          <w:szCs w:val="22"/>
          <w:u w:val="none"/>
        </w:rPr>
        <w:t xml:space="preserve"> </w:t>
      </w:r>
    </w:p>
    <w:p w:rsidR="00CC4AD8" w:rsidRDefault="00CC4AD8" w:rsidP="006566C0">
      <w:pPr>
        <w:ind w:right="-205"/>
        <w:rPr>
          <w:rStyle w:val="A9"/>
          <w:rFonts w:asciiTheme="minorHAnsi" w:hAnsiTheme="minorHAnsi"/>
          <w:sz w:val="22"/>
          <w:szCs w:val="22"/>
          <w:u w:val="none"/>
        </w:rPr>
      </w:pPr>
    </w:p>
    <w:p w:rsidR="00DD253F" w:rsidRDefault="00290A1F" w:rsidP="00DD253F">
      <w:pPr>
        <w:ind w:right="-205"/>
        <w:rPr>
          <w:rStyle w:val="A9"/>
          <w:rFonts w:asciiTheme="minorHAnsi" w:hAnsiTheme="minorHAnsi"/>
          <w:sz w:val="22"/>
          <w:szCs w:val="22"/>
          <w:u w:val="none"/>
        </w:rPr>
      </w:pPr>
      <w:r>
        <w:rPr>
          <w:rStyle w:val="A9"/>
          <w:rFonts w:asciiTheme="minorHAnsi" w:hAnsiTheme="minorHAnsi"/>
          <w:sz w:val="22"/>
          <w:szCs w:val="22"/>
          <w:u w:val="none"/>
        </w:rPr>
        <w:t>T</w:t>
      </w:r>
      <w:r w:rsidR="00DD253F">
        <w:rPr>
          <w:rStyle w:val="A9"/>
          <w:rFonts w:asciiTheme="minorHAnsi" w:hAnsiTheme="minorHAnsi"/>
          <w:sz w:val="22"/>
          <w:szCs w:val="22"/>
          <w:u w:val="none"/>
        </w:rPr>
        <w:t>he T</w:t>
      </w:r>
      <w:r w:rsidR="00F74650">
        <w:rPr>
          <w:rStyle w:val="A9"/>
          <w:rFonts w:asciiTheme="minorHAnsi" w:hAnsiTheme="minorHAnsi"/>
          <w:sz w:val="22"/>
          <w:szCs w:val="22"/>
          <w:u w:val="none"/>
        </w:rPr>
        <w:t>elecommunications Consumer Protections</w:t>
      </w:r>
      <w:bookmarkStart w:id="0" w:name="_GoBack"/>
      <w:bookmarkEnd w:id="0"/>
      <w:r w:rsidR="00F74650">
        <w:rPr>
          <w:rStyle w:val="A9"/>
          <w:rFonts w:asciiTheme="minorHAnsi" w:hAnsiTheme="minorHAnsi"/>
          <w:sz w:val="22"/>
          <w:szCs w:val="22"/>
          <w:u w:val="none"/>
        </w:rPr>
        <w:t xml:space="preserve"> (T</w:t>
      </w:r>
      <w:r w:rsidR="00DD253F">
        <w:rPr>
          <w:rStyle w:val="A9"/>
          <w:rFonts w:asciiTheme="minorHAnsi" w:hAnsiTheme="minorHAnsi"/>
          <w:sz w:val="22"/>
          <w:szCs w:val="22"/>
          <w:u w:val="none"/>
        </w:rPr>
        <w:t>CP</w:t>
      </w:r>
      <w:r w:rsidR="00F74650">
        <w:rPr>
          <w:rStyle w:val="A9"/>
          <w:rFonts w:asciiTheme="minorHAnsi" w:hAnsiTheme="minorHAnsi"/>
          <w:sz w:val="22"/>
          <w:szCs w:val="22"/>
          <w:u w:val="none"/>
        </w:rPr>
        <w:t>)</w:t>
      </w:r>
      <w:r w:rsidR="00DD253F">
        <w:rPr>
          <w:rStyle w:val="A9"/>
          <w:rFonts w:asciiTheme="minorHAnsi" w:hAnsiTheme="minorHAnsi"/>
          <w:sz w:val="22"/>
          <w:szCs w:val="22"/>
          <w:u w:val="none"/>
        </w:rPr>
        <w:t xml:space="preserve"> Code </w:t>
      </w:r>
      <w:r>
        <w:rPr>
          <w:rStyle w:val="A9"/>
          <w:rFonts w:asciiTheme="minorHAnsi" w:hAnsiTheme="minorHAnsi"/>
          <w:sz w:val="22"/>
          <w:szCs w:val="22"/>
          <w:u w:val="none"/>
        </w:rPr>
        <w:t xml:space="preserve">has been the </w:t>
      </w:r>
      <w:r w:rsidR="00325460">
        <w:rPr>
          <w:rStyle w:val="A9"/>
          <w:rFonts w:asciiTheme="minorHAnsi" w:hAnsiTheme="minorHAnsi"/>
          <w:sz w:val="22"/>
          <w:szCs w:val="22"/>
          <w:u w:val="none"/>
        </w:rPr>
        <w:t>vehicle for</w:t>
      </w:r>
      <w:r>
        <w:rPr>
          <w:rStyle w:val="A9"/>
          <w:rFonts w:asciiTheme="minorHAnsi" w:hAnsiTheme="minorHAnsi"/>
          <w:sz w:val="22"/>
          <w:szCs w:val="22"/>
          <w:u w:val="none"/>
        </w:rPr>
        <w:t xml:space="preserve"> </w:t>
      </w:r>
      <w:r w:rsidR="00DD253F">
        <w:rPr>
          <w:rStyle w:val="A9"/>
          <w:rFonts w:asciiTheme="minorHAnsi" w:hAnsiTheme="minorHAnsi"/>
          <w:sz w:val="22"/>
          <w:szCs w:val="22"/>
          <w:u w:val="none"/>
        </w:rPr>
        <w:t>attempt</w:t>
      </w:r>
      <w:r>
        <w:rPr>
          <w:rStyle w:val="A9"/>
          <w:rFonts w:asciiTheme="minorHAnsi" w:hAnsiTheme="minorHAnsi"/>
          <w:sz w:val="22"/>
          <w:szCs w:val="22"/>
          <w:u w:val="none"/>
        </w:rPr>
        <w:t>s</w:t>
      </w:r>
      <w:r w:rsidR="00DD253F">
        <w:rPr>
          <w:rStyle w:val="A9"/>
          <w:rFonts w:asciiTheme="minorHAnsi" w:hAnsiTheme="minorHAnsi"/>
          <w:sz w:val="22"/>
          <w:szCs w:val="22"/>
          <w:u w:val="none"/>
        </w:rPr>
        <w:t xml:space="preserve"> to set and require </w:t>
      </w:r>
      <w:proofErr w:type="gramStart"/>
      <w:r w:rsidR="00DD253F">
        <w:rPr>
          <w:rStyle w:val="A9"/>
          <w:rFonts w:asciiTheme="minorHAnsi" w:hAnsiTheme="minorHAnsi"/>
          <w:sz w:val="22"/>
          <w:szCs w:val="22"/>
          <w:u w:val="none"/>
        </w:rPr>
        <w:t>complaint handling</w:t>
      </w:r>
      <w:proofErr w:type="gramEnd"/>
      <w:r w:rsidR="00DD253F">
        <w:rPr>
          <w:rStyle w:val="A9"/>
          <w:rFonts w:asciiTheme="minorHAnsi" w:hAnsiTheme="minorHAnsi"/>
          <w:sz w:val="22"/>
          <w:szCs w:val="22"/>
          <w:u w:val="none"/>
        </w:rPr>
        <w:t xml:space="preserve"> standards from industry over many years, with little appreciable impact. It is unclear what the ACMA, with</w:t>
      </w:r>
      <w:r w:rsidR="00325460">
        <w:rPr>
          <w:rStyle w:val="A9"/>
          <w:rFonts w:asciiTheme="minorHAnsi" w:hAnsiTheme="minorHAnsi"/>
          <w:sz w:val="22"/>
          <w:szCs w:val="22"/>
          <w:u w:val="none"/>
        </w:rPr>
        <w:t xml:space="preserve"> relatively</w:t>
      </w:r>
      <w:r w:rsidR="00DD253F">
        <w:rPr>
          <w:rStyle w:val="A9"/>
          <w:rFonts w:asciiTheme="minorHAnsi" w:hAnsiTheme="minorHAnsi"/>
          <w:sz w:val="22"/>
          <w:szCs w:val="22"/>
          <w:u w:val="none"/>
        </w:rPr>
        <w:t xml:space="preserve"> little experience or expertise in taking enforcement actions, will do to improve on this. </w:t>
      </w:r>
    </w:p>
    <w:p w:rsidR="00DD253F" w:rsidRDefault="00DD253F" w:rsidP="00DD253F">
      <w:pPr>
        <w:ind w:right="-205"/>
        <w:rPr>
          <w:rStyle w:val="A9"/>
          <w:rFonts w:asciiTheme="minorHAnsi" w:hAnsiTheme="minorHAnsi"/>
          <w:sz w:val="22"/>
          <w:szCs w:val="22"/>
          <w:u w:val="none"/>
        </w:rPr>
      </w:pPr>
    </w:p>
    <w:p w:rsidR="006566C0" w:rsidRDefault="00DD253F" w:rsidP="006566C0">
      <w:pPr>
        <w:ind w:right="-205"/>
        <w:rPr>
          <w:rStyle w:val="A9"/>
          <w:rFonts w:asciiTheme="minorHAnsi" w:hAnsiTheme="minorHAnsi"/>
          <w:sz w:val="22"/>
          <w:szCs w:val="22"/>
          <w:u w:val="none"/>
        </w:rPr>
      </w:pPr>
      <w:proofErr w:type="gramStart"/>
      <w:r>
        <w:rPr>
          <w:rStyle w:val="A9"/>
          <w:rFonts w:asciiTheme="minorHAnsi" w:hAnsiTheme="minorHAnsi"/>
          <w:sz w:val="22"/>
          <w:szCs w:val="22"/>
          <w:u w:val="none"/>
        </w:rPr>
        <w:t>Also</w:t>
      </w:r>
      <w:proofErr w:type="gramEnd"/>
      <w:r>
        <w:rPr>
          <w:rStyle w:val="A9"/>
          <w:rFonts w:asciiTheme="minorHAnsi" w:hAnsiTheme="minorHAnsi"/>
          <w:sz w:val="22"/>
          <w:szCs w:val="22"/>
          <w:u w:val="none"/>
        </w:rPr>
        <w:t xml:space="preserve">, just because industry is required to follow a process, there is no guarantee that the substantive outcomes from that process for consumers will actually be fair or reasonable. Substantive outcomes in consumer complaints are not amenable to </w:t>
      </w:r>
      <w:proofErr w:type="gramStart"/>
      <w:r>
        <w:rPr>
          <w:rStyle w:val="A9"/>
          <w:rFonts w:asciiTheme="minorHAnsi" w:hAnsiTheme="minorHAnsi"/>
          <w:sz w:val="22"/>
          <w:szCs w:val="22"/>
          <w:u w:val="none"/>
        </w:rPr>
        <w:t>being directly regulated</w:t>
      </w:r>
      <w:proofErr w:type="gramEnd"/>
      <w:r>
        <w:rPr>
          <w:rStyle w:val="A9"/>
          <w:rFonts w:asciiTheme="minorHAnsi" w:hAnsiTheme="minorHAnsi"/>
          <w:sz w:val="22"/>
          <w:szCs w:val="22"/>
          <w:u w:val="none"/>
        </w:rPr>
        <w:t xml:space="preserve">, </w:t>
      </w:r>
      <w:r>
        <w:rPr>
          <w:rStyle w:val="A9"/>
          <w:rFonts w:asciiTheme="minorHAnsi" w:hAnsiTheme="minorHAnsi"/>
          <w:sz w:val="22"/>
          <w:szCs w:val="22"/>
          <w:u w:val="none"/>
        </w:rPr>
        <w:lastRenderedPageBreak/>
        <w:t>and the paper provides no evidence to support the use of regulation to replace EDR as a mechanism to deal with the undefined category of ‘non-complex complaints’.</w:t>
      </w:r>
    </w:p>
    <w:p w:rsidR="006566C0" w:rsidRDefault="006566C0" w:rsidP="006566C0">
      <w:pPr>
        <w:ind w:right="-205"/>
        <w:rPr>
          <w:rStyle w:val="A9"/>
          <w:rFonts w:asciiTheme="minorHAnsi" w:hAnsiTheme="minorHAnsi"/>
          <w:sz w:val="22"/>
          <w:szCs w:val="22"/>
          <w:u w:val="none"/>
        </w:rPr>
      </w:pPr>
    </w:p>
    <w:p w:rsidR="00CC4AD8" w:rsidRPr="00CC4AD8" w:rsidRDefault="00CC4AD8" w:rsidP="006566C0">
      <w:pPr>
        <w:ind w:right="-205"/>
        <w:rPr>
          <w:rStyle w:val="A9"/>
          <w:rFonts w:asciiTheme="minorHAnsi" w:hAnsiTheme="minorHAnsi"/>
          <w:i/>
          <w:sz w:val="22"/>
          <w:szCs w:val="22"/>
          <w:u w:val="none"/>
        </w:rPr>
      </w:pPr>
      <w:r w:rsidRPr="00CC4AD8">
        <w:rPr>
          <w:rStyle w:val="A9"/>
          <w:rFonts w:asciiTheme="minorHAnsi" w:hAnsiTheme="minorHAnsi"/>
          <w:i/>
          <w:sz w:val="22"/>
          <w:szCs w:val="22"/>
          <w:u w:val="none"/>
        </w:rPr>
        <w:t>E</w:t>
      </w:r>
      <w:r w:rsidR="00E00427">
        <w:rPr>
          <w:rStyle w:val="A9"/>
          <w:rFonts w:asciiTheme="minorHAnsi" w:hAnsiTheme="minorHAnsi"/>
          <w:i/>
          <w:sz w:val="22"/>
          <w:szCs w:val="22"/>
          <w:u w:val="none"/>
        </w:rPr>
        <w:t>xternal Dispute Resolution</w:t>
      </w:r>
    </w:p>
    <w:p w:rsidR="00FE0639" w:rsidRPr="0035500D" w:rsidRDefault="00CC4AD8" w:rsidP="0035500D">
      <w:pPr>
        <w:pStyle w:val="ListParagraph"/>
        <w:numPr>
          <w:ilvl w:val="0"/>
          <w:numId w:val="20"/>
        </w:numPr>
        <w:ind w:right="-205"/>
        <w:rPr>
          <w:rStyle w:val="A9"/>
          <w:rFonts w:asciiTheme="minorHAnsi" w:hAnsiTheme="minorHAnsi"/>
          <w:sz w:val="22"/>
          <w:szCs w:val="22"/>
          <w:u w:val="none"/>
        </w:rPr>
      </w:pPr>
      <w:r w:rsidRPr="0035500D">
        <w:rPr>
          <w:rStyle w:val="A9"/>
          <w:rFonts w:asciiTheme="minorHAnsi" w:hAnsiTheme="minorHAnsi"/>
          <w:sz w:val="22"/>
          <w:szCs w:val="22"/>
          <w:u w:val="none"/>
        </w:rPr>
        <w:t xml:space="preserve">There is no evidence provided </w:t>
      </w:r>
      <w:r w:rsidR="00663E64" w:rsidRPr="0035500D">
        <w:rPr>
          <w:rStyle w:val="A9"/>
          <w:rFonts w:asciiTheme="minorHAnsi" w:hAnsiTheme="minorHAnsi"/>
          <w:sz w:val="22"/>
          <w:szCs w:val="22"/>
          <w:u w:val="none"/>
        </w:rPr>
        <w:t>in the paper that supports</w:t>
      </w:r>
      <w:r w:rsidRPr="0035500D">
        <w:rPr>
          <w:rStyle w:val="A9"/>
          <w:rFonts w:asciiTheme="minorHAnsi" w:hAnsiTheme="minorHAnsi"/>
          <w:sz w:val="22"/>
          <w:szCs w:val="22"/>
          <w:u w:val="none"/>
        </w:rPr>
        <w:t xml:space="preserve"> the abolition of the TIO and its replacement with a ‘complex complaints’ EDR scheme.</w:t>
      </w:r>
      <w:r w:rsidR="00B2537E" w:rsidRPr="0035500D">
        <w:rPr>
          <w:rStyle w:val="A9"/>
          <w:rFonts w:asciiTheme="minorHAnsi" w:hAnsiTheme="minorHAnsi"/>
          <w:sz w:val="22"/>
          <w:szCs w:val="22"/>
          <w:u w:val="none"/>
        </w:rPr>
        <w:t xml:space="preserve"> </w:t>
      </w:r>
      <w:r w:rsidR="00663E64" w:rsidRPr="0035500D">
        <w:rPr>
          <w:rStyle w:val="A9"/>
          <w:rFonts w:asciiTheme="minorHAnsi" w:hAnsiTheme="minorHAnsi"/>
          <w:sz w:val="22"/>
          <w:szCs w:val="22"/>
          <w:u w:val="none"/>
        </w:rPr>
        <w:t xml:space="preserve">Even if there is some truth to </w:t>
      </w:r>
      <w:r w:rsidR="00B2537E" w:rsidRPr="0035500D">
        <w:rPr>
          <w:rStyle w:val="A9"/>
          <w:rFonts w:asciiTheme="minorHAnsi" w:hAnsiTheme="minorHAnsi"/>
          <w:sz w:val="22"/>
          <w:szCs w:val="22"/>
          <w:u w:val="none"/>
        </w:rPr>
        <w:t>the paper’s argument that the TIO is too close to industry</w:t>
      </w:r>
      <w:r w:rsidR="00663E64" w:rsidRPr="0035500D">
        <w:rPr>
          <w:rStyle w:val="A9"/>
          <w:rFonts w:asciiTheme="minorHAnsi" w:hAnsiTheme="minorHAnsi"/>
          <w:sz w:val="22"/>
          <w:szCs w:val="22"/>
          <w:u w:val="none"/>
        </w:rPr>
        <w:t xml:space="preserve">, the argument </w:t>
      </w:r>
      <w:proofErr w:type="gramStart"/>
      <w:r w:rsidR="00663E64" w:rsidRPr="0035500D">
        <w:rPr>
          <w:rStyle w:val="A9"/>
          <w:rFonts w:asciiTheme="minorHAnsi" w:hAnsiTheme="minorHAnsi"/>
          <w:sz w:val="22"/>
          <w:szCs w:val="22"/>
          <w:u w:val="none"/>
        </w:rPr>
        <w:t>is based</w:t>
      </w:r>
      <w:proofErr w:type="gramEnd"/>
      <w:r w:rsidR="00663E64" w:rsidRPr="0035500D">
        <w:rPr>
          <w:rStyle w:val="A9"/>
          <w:rFonts w:asciiTheme="minorHAnsi" w:hAnsiTheme="minorHAnsi"/>
          <w:sz w:val="22"/>
          <w:szCs w:val="22"/>
          <w:u w:val="none"/>
        </w:rPr>
        <w:t xml:space="preserve"> on structural arrangements common to all industry ombudsman schemes. </w:t>
      </w:r>
    </w:p>
    <w:p w:rsidR="00E00427" w:rsidRDefault="00E00427" w:rsidP="00CC4AD8">
      <w:pPr>
        <w:ind w:right="-205"/>
        <w:rPr>
          <w:rStyle w:val="A9"/>
          <w:rFonts w:asciiTheme="minorHAnsi" w:hAnsiTheme="minorHAnsi"/>
          <w:sz w:val="22"/>
          <w:szCs w:val="22"/>
          <w:u w:val="none"/>
        </w:rPr>
      </w:pPr>
    </w:p>
    <w:p w:rsidR="00E00427" w:rsidRDefault="00E00427" w:rsidP="0035500D">
      <w:pPr>
        <w:ind w:left="405" w:right="-205"/>
        <w:rPr>
          <w:rStyle w:val="A9"/>
          <w:rFonts w:asciiTheme="minorHAnsi" w:hAnsiTheme="minorHAnsi"/>
          <w:sz w:val="22"/>
          <w:szCs w:val="22"/>
          <w:u w:val="none"/>
        </w:rPr>
      </w:pPr>
      <w:r>
        <w:rPr>
          <w:rStyle w:val="A9"/>
          <w:rFonts w:asciiTheme="minorHAnsi" w:hAnsiTheme="minorHAnsi"/>
          <w:sz w:val="22"/>
          <w:szCs w:val="22"/>
          <w:u w:val="none"/>
        </w:rPr>
        <w:t>If the new Complaint Handling Standard works as intended, it would naturally follow that complaints to the TIO would then decline, and we would have clear evidence of its impact; if it doesn’t we will need the TIO in its current form to be there to assist consumers. Either way, to abolish the TIO at this point would significantly disadvantage consumers while obscuring any capacity to assess how the new direct regulation arrangements are working, based on good comparative data.</w:t>
      </w:r>
    </w:p>
    <w:p w:rsidR="00E00427" w:rsidRDefault="00E00427" w:rsidP="00E00427">
      <w:pPr>
        <w:ind w:right="-205"/>
        <w:rPr>
          <w:rStyle w:val="A9"/>
          <w:rFonts w:asciiTheme="minorHAnsi" w:hAnsiTheme="minorHAnsi"/>
          <w:sz w:val="22"/>
          <w:szCs w:val="22"/>
          <w:u w:val="none"/>
        </w:rPr>
      </w:pPr>
    </w:p>
    <w:p w:rsidR="00E00427" w:rsidRPr="00F869B8" w:rsidRDefault="00E00427" w:rsidP="00E00427">
      <w:pPr>
        <w:shd w:val="clear" w:color="auto" w:fill="E7E6E6" w:themeFill="background2"/>
        <w:ind w:right="-205"/>
        <w:rPr>
          <w:rStyle w:val="A9"/>
          <w:rFonts w:asciiTheme="minorHAnsi" w:hAnsiTheme="minorHAnsi"/>
          <w:i/>
          <w:sz w:val="22"/>
          <w:szCs w:val="22"/>
          <w:u w:val="none"/>
        </w:rPr>
      </w:pPr>
      <w:r w:rsidRPr="00F869B8">
        <w:rPr>
          <w:rStyle w:val="A9"/>
          <w:rFonts w:asciiTheme="minorHAnsi" w:hAnsiTheme="minorHAnsi"/>
          <w:i/>
          <w:sz w:val="22"/>
          <w:szCs w:val="22"/>
          <w:u w:val="none"/>
        </w:rPr>
        <w:t>Recommendation 2</w:t>
      </w:r>
    </w:p>
    <w:p w:rsidR="00E00427" w:rsidRDefault="00E00427" w:rsidP="00E00427">
      <w:pPr>
        <w:shd w:val="clear" w:color="auto" w:fill="E7E6E6" w:themeFill="background2"/>
        <w:ind w:right="-205"/>
        <w:rPr>
          <w:rStyle w:val="A9"/>
          <w:rFonts w:asciiTheme="minorHAnsi" w:hAnsiTheme="minorHAnsi"/>
          <w:sz w:val="22"/>
          <w:szCs w:val="22"/>
          <w:u w:val="none"/>
        </w:rPr>
      </w:pPr>
      <w:r>
        <w:rPr>
          <w:rStyle w:val="A9"/>
          <w:rFonts w:asciiTheme="minorHAnsi" w:hAnsiTheme="minorHAnsi"/>
          <w:sz w:val="22"/>
          <w:szCs w:val="22"/>
          <w:u w:val="none"/>
        </w:rPr>
        <w:t xml:space="preserve">That the ACMA consult with consumer organisations on the implementation and enforcement of its new </w:t>
      </w:r>
      <w:proofErr w:type="gramStart"/>
      <w:r>
        <w:rPr>
          <w:rStyle w:val="A9"/>
          <w:rFonts w:asciiTheme="minorHAnsi" w:hAnsiTheme="minorHAnsi"/>
          <w:sz w:val="22"/>
          <w:szCs w:val="22"/>
          <w:u w:val="none"/>
        </w:rPr>
        <w:t>complaint handling</w:t>
      </w:r>
      <w:proofErr w:type="gramEnd"/>
      <w:r>
        <w:rPr>
          <w:rStyle w:val="A9"/>
          <w:rFonts w:asciiTheme="minorHAnsi" w:hAnsiTheme="minorHAnsi"/>
          <w:sz w:val="22"/>
          <w:szCs w:val="22"/>
          <w:u w:val="none"/>
        </w:rPr>
        <w:t xml:space="preserve"> standard, and assess its impacts in conjunction with the TIO after 18 months and 3 years.</w:t>
      </w:r>
    </w:p>
    <w:p w:rsidR="00E00427" w:rsidRDefault="00E00427" w:rsidP="00CC4AD8">
      <w:pPr>
        <w:ind w:right="-205"/>
        <w:rPr>
          <w:rStyle w:val="A9"/>
          <w:rFonts w:asciiTheme="minorHAnsi" w:hAnsiTheme="minorHAnsi"/>
          <w:sz w:val="22"/>
          <w:szCs w:val="22"/>
          <w:u w:val="none"/>
        </w:rPr>
      </w:pPr>
    </w:p>
    <w:p w:rsidR="00B2537E" w:rsidRPr="0035500D" w:rsidRDefault="00325460" w:rsidP="0035500D">
      <w:pPr>
        <w:pStyle w:val="ListParagraph"/>
        <w:numPr>
          <w:ilvl w:val="0"/>
          <w:numId w:val="20"/>
        </w:numPr>
        <w:ind w:right="-205"/>
        <w:rPr>
          <w:rStyle w:val="A9"/>
          <w:rFonts w:asciiTheme="minorHAnsi" w:hAnsiTheme="minorHAnsi"/>
          <w:sz w:val="22"/>
          <w:szCs w:val="22"/>
          <w:u w:val="none"/>
        </w:rPr>
      </w:pPr>
      <w:r w:rsidRPr="0035500D">
        <w:rPr>
          <w:rStyle w:val="A9"/>
          <w:rFonts w:asciiTheme="minorHAnsi" w:hAnsiTheme="minorHAnsi"/>
          <w:sz w:val="22"/>
          <w:szCs w:val="22"/>
          <w:u w:val="none"/>
        </w:rPr>
        <w:t>Wholesale abolition of the TIO and replacing it with a different scheme</w:t>
      </w:r>
      <w:r w:rsidR="00B2537E" w:rsidRPr="0035500D">
        <w:rPr>
          <w:rStyle w:val="A9"/>
          <w:rFonts w:asciiTheme="minorHAnsi" w:hAnsiTheme="minorHAnsi"/>
          <w:sz w:val="22"/>
          <w:szCs w:val="22"/>
          <w:u w:val="none"/>
        </w:rPr>
        <w:t xml:space="preserve"> is a high risk and high cost solution, with consumers bearing most of the risk and cost. </w:t>
      </w:r>
      <w:r w:rsidR="00663E64" w:rsidRPr="0035500D">
        <w:rPr>
          <w:rStyle w:val="A9"/>
          <w:rFonts w:asciiTheme="minorHAnsi" w:hAnsiTheme="minorHAnsi"/>
          <w:sz w:val="22"/>
          <w:szCs w:val="22"/>
          <w:u w:val="none"/>
        </w:rPr>
        <w:t>Funding and g</w:t>
      </w:r>
      <w:r w:rsidR="00B2537E" w:rsidRPr="0035500D">
        <w:rPr>
          <w:rStyle w:val="A9"/>
          <w:rFonts w:asciiTheme="minorHAnsi" w:hAnsiTheme="minorHAnsi"/>
          <w:sz w:val="22"/>
          <w:szCs w:val="22"/>
          <w:u w:val="none"/>
        </w:rPr>
        <w:t xml:space="preserve">overnance reform </w:t>
      </w:r>
      <w:r w:rsidR="00FE0639" w:rsidRPr="0035500D">
        <w:rPr>
          <w:rStyle w:val="A9"/>
          <w:rFonts w:asciiTheme="minorHAnsi" w:hAnsiTheme="minorHAnsi"/>
          <w:sz w:val="22"/>
          <w:szCs w:val="22"/>
          <w:u w:val="none"/>
        </w:rPr>
        <w:t>are</w:t>
      </w:r>
      <w:r w:rsidR="00B2537E" w:rsidRPr="0035500D">
        <w:rPr>
          <w:rStyle w:val="A9"/>
          <w:rFonts w:asciiTheme="minorHAnsi" w:hAnsiTheme="minorHAnsi"/>
          <w:sz w:val="22"/>
          <w:szCs w:val="22"/>
          <w:u w:val="none"/>
        </w:rPr>
        <w:t xml:space="preserve"> </w:t>
      </w:r>
      <w:proofErr w:type="gramStart"/>
      <w:r w:rsidR="00B2537E" w:rsidRPr="0035500D">
        <w:rPr>
          <w:rStyle w:val="A9"/>
          <w:rFonts w:asciiTheme="minorHAnsi" w:hAnsiTheme="minorHAnsi"/>
          <w:sz w:val="22"/>
          <w:szCs w:val="22"/>
          <w:u w:val="none"/>
        </w:rPr>
        <w:t>more appropriate mechanism</w:t>
      </w:r>
      <w:r w:rsidR="00FE0639" w:rsidRPr="0035500D">
        <w:rPr>
          <w:rStyle w:val="A9"/>
          <w:rFonts w:asciiTheme="minorHAnsi" w:hAnsiTheme="minorHAnsi"/>
          <w:sz w:val="22"/>
          <w:szCs w:val="22"/>
          <w:u w:val="none"/>
        </w:rPr>
        <w:t>s to address industry influence over industry ombudsman schemes</w:t>
      </w:r>
      <w:proofErr w:type="gramEnd"/>
      <w:r w:rsidR="00B2537E" w:rsidRPr="0035500D">
        <w:rPr>
          <w:rStyle w:val="A9"/>
          <w:rFonts w:asciiTheme="minorHAnsi" w:hAnsiTheme="minorHAnsi"/>
          <w:sz w:val="22"/>
          <w:szCs w:val="22"/>
          <w:u w:val="none"/>
        </w:rPr>
        <w:t>.</w:t>
      </w:r>
    </w:p>
    <w:p w:rsidR="00E00427" w:rsidRDefault="00E00427" w:rsidP="00CC4AD8">
      <w:pPr>
        <w:ind w:right="-205"/>
        <w:rPr>
          <w:rStyle w:val="A9"/>
          <w:rFonts w:asciiTheme="minorHAnsi" w:hAnsiTheme="minorHAnsi"/>
          <w:sz w:val="22"/>
          <w:szCs w:val="22"/>
          <w:u w:val="none"/>
        </w:rPr>
      </w:pPr>
    </w:p>
    <w:p w:rsidR="00E00427" w:rsidRDefault="00E00427" w:rsidP="0035500D">
      <w:pPr>
        <w:ind w:left="405" w:right="-205"/>
        <w:rPr>
          <w:rStyle w:val="A9"/>
          <w:rFonts w:asciiTheme="minorHAnsi" w:hAnsiTheme="minorHAnsi"/>
          <w:sz w:val="22"/>
          <w:szCs w:val="22"/>
          <w:u w:val="none"/>
        </w:rPr>
      </w:pPr>
      <w:r>
        <w:rPr>
          <w:rStyle w:val="A9"/>
          <w:rFonts w:asciiTheme="minorHAnsi" w:hAnsiTheme="minorHAnsi"/>
          <w:sz w:val="22"/>
          <w:szCs w:val="22"/>
          <w:u w:val="none"/>
        </w:rPr>
        <w:t>The consultation paper’s proposed new EDR scheme would be (is designed to be) less accessible to consumers, and establishing it would divert significant resources away from resolving consumer complaints and into a new body that would take years to develop. The paper is silent about how its governance and jurisdiction would operate, and there is no indication it would be anything more than a poor duplication of elements of the TIO, less accessible to consumers and involving significant transaction costs to set up.</w:t>
      </w:r>
    </w:p>
    <w:p w:rsidR="007419A9" w:rsidRDefault="007419A9" w:rsidP="00CC4AD8">
      <w:pPr>
        <w:ind w:right="-205"/>
        <w:rPr>
          <w:rStyle w:val="A9"/>
          <w:rFonts w:asciiTheme="minorHAnsi" w:hAnsiTheme="minorHAnsi"/>
          <w:sz w:val="22"/>
          <w:szCs w:val="22"/>
          <w:u w:val="none"/>
        </w:rPr>
      </w:pPr>
    </w:p>
    <w:p w:rsidR="007419A9" w:rsidRPr="007419A9" w:rsidRDefault="00325460" w:rsidP="0035500D">
      <w:pPr>
        <w:ind w:left="405" w:right="-205"/>
        <w:rPr>
          <w:rStyle w:val="A9"/>
          <w:rFonts w:asciiTheme="minorHAnsi" w:hAnsiTheme="minorHAnsi"/>
          <w:b/>
          <w:sz w:val="22"/>
          <w:szCs w:val="22"/>
          <w:u w:val="none"/>
        </w:rPr>
      </w:pPr>
      <w:r>
        <w:rPr>
          <w:rStyle w:val="A9"/>
          <w:rFonts w:asciiTheme="minorHAnsi" w:hAnsiTheme="minorHAnsi"/>
          <w:sz w:val="22"/>
          <w:szCs w:val="22"/>
          <w:u w:val="none"/>
        </w:rPr>
        <w:t xml:space="preserve">The </w:t>
      </w:r>
      <w:r w:rsidR="00AA4A6A">
        <w:rPr>
          <w:rStyle w:val="A9"/>
          <w:rFonts w:asciiTheme="minorHAnsi" w:hAnsiTheme="minorHAnsi"/>
          <w:sz w:val="22"/>
          <w:szCs w:val="22"/>
          <w:u w:val="none"/>
        </w:rPr>
        <w:t xml:space="preserve">recent external review of the </w:t>
      </w:r>
      <w:r w:rsidR="007419A9">
        <w:rPr>
          <w:rStyle w:val="A9"/>
          <w:rFonts w:asciiTheme="minorHAnsi" w:hAnsiTheme="minorHAnsi"/>
          <w:sz w:val="22"/>
          <w:szCs w:val="22"/>
          <w:u w:val="none"/>
        </w:rPr>
        <w:t>TIO</w:t>
      </w:r>
      <w:r w:rsidR="00AA4A6A">
        <w:rPr>
          <w:rStyle w:val="A9"/>
          <w:rFonts w:asciiTheme="minorHAnsi" w:hAnsiTheme="minorHAnsi"/>
          <w:sz w:val="22"/>
          <w:szCs w:val="22"/>
          <w:u w:val="none"/>
        </w:rPr>
        <w:t xml:space="preserve"> provides a significant and considered analysis of the TIO’s perfo</w:t>
      </w:r>
      <w:r w:rsidR="00E00427">
        <w:rPr>
          <w:rStyle w:val="A9"/>
          <w:rFonts w:asciiTheme="minorHAnsi" w:hAnsiTheme="minorHAnsi"/>
          <w:sz w:val="22"/>
          <w:szCs w:val="22"/>
          <w:u w:val="none"/>
        </w:rPr>
        <w:t xml:space="preserve">rmance. Consequently, </w:t>
      </w:r>
      <w:r w:rsidR="00AA4A6A">
        <w:rPr>
          <w:rStyle w:val="A9"/>
          <w:rFonts w:asciiTheme="minorHAnsi" w:hAnsiTheme="minorHAnsi"/>
          <w:sz w:val="22"/>
          <w:szCs w:val="22"/>
          <w:u w:val="none"/>
        </w:rPr>
        <w:t>the TIO</w:t>
      </w:r>
      <w:r w:rsidR="007419A9">
        <w:rPr>
          <w:rStyle w:val="A9"/>
          <w:rFonts w:asciiTheme="minorHAnsi" w:hAnsiTheme="minorHAnsi"/>
          <w:sz w:val="22"/>
          <w:szCs w:val="22"/>
          <w:u w:val="none"/>
        </w:rPr>
        <w:t xml:space="preserve"> has been engaged in some significant reforms to its complaint handling procedures, systemic work, and to its</w:t>
      </w:r>
      <w:r w:rsidR="00FE0639">
        <w:rPr>
          <w:rStyle w:val="A9"/>
          <w:rFonts w:asciiTheme="minorHAnsi" w:hAnsiTheme="minorHAnsi"/>
          <w:sz w:val="22"/>
          <w:szCs w:val="22"/>
          <w:u w:val="none"/>
        </w:rPr>
        <w:t xml:space="preserve"> fee structures</w:t>
      </w:r>
      <w:r w:rsidR="007419A9">
        <w:rPr>
          <w:rStyle w:val="A9"/>
          <w:rFonts w:asciiTheme="minorHAnsi" w:hAnsiTheme="minorHAnsi"/>
          <w:sz w:val="22"/>
          <w:szCs w:val="22"/>
          <w:u w:val="none"/>
        </w:rPr>
        <w:t xml:space="preserve">. </w:t>
      </w:r>
      <w:r w:rsidR="00E00427">
        <w:rPr>
          <w:rStyle w:val="A9"/>
          <w:rFonts w:asciiTheme="minorHAnsi" w:hAnsiTheme="minorHAnsi"/>
          <w:sz w:val="22"/>
          <w:szCs w:val="22"/>
          <w:u w:val="none"/>
        </w:rPr>
        <w:t xml:space="preserve">The consultation paper makes little mention of the review and subsequent changes, instead providing an unconvincing generalised account of the </w:t>
      </w:r>
      <w:proofErr w:type="gramStart"/>
      <w:r w:rsidR="00E00427">
        <w:rPr>
          <w:rStyle w:val="A9"/>
          <w:rFonts w:asciiTheme="minorHAnsi" w:hAnsiTheme="minorHAnsi"/>
          <w:sz w:val="22"/>
          <w:szCs w:val="22"/>
          <w:u w:val="none"/>
        </w:rPr>
        <w:t>TIO’s</w:t>
      </w:r>
      <w:proofErr w:type="gramEnd"/>
      <w:r w:rsidR="00E00427">
        <w:rPr>
          <w:rStyle w:val="A9"/>
          <w:rFonts w:asciiTheme="minorHAnsi" w:hAnsiTheme="minorHAnsi"/>
          <w:sz w:val="22"/>
          <w:szCs w:val="22"/>
          <w:u w:val="none"/>
        </w:rPr>
        <w:t xml:space="preserve"> alleged weaknesses which looks more off the cuff than considered. Rather than abolishing the TIO, the most appropriate course of action would be to allow the TIO’s reforms to </w:t>
      </w:r>
      <w:proofErr w:type="gramStart"/>
      <w:r w:rsidR="00E00427">
        <w:rPr>
          <w:rStyle w:val="A9"/>
          <w:rFonts w:asciiTheme="minorHAnsi" w:hAnsiTheme="minorHAnsi"/>
          <w:sz w:val="22"/>
          <w:szCs w:val="22"/>
          <w:u w:val="none"/>
        </w:rPr>
        <w:t>get</w:t>
      </w:r>
      <w:proofErr w:type="gramEnd"/>
      <w:r w:rsidR="00E00427">
        <w:rPr>
          <w:rStyle w:val="A9"/>
          <w:rFonts w:asciiTheme="minorHAnsi" w:hAnsiTheme="minorHAnsi"/>
          <w:sz w:val="22"/>
          <w:szCs w:val="22"/>
          <w:u w:val="none"/>
        </w:rPr>
        <w:t xml:space="preserve"> fully implemented and then to assess their</w:t>
      </w:r>
      <w:r w:rsidR="007419A9">
        <w:rPr>
          <w:rStyle w:val="A9"/>
          <w:rFonts w:asciiTheme="minorHAnsi" w:hAnsiTheme="minorHAnsi"/>
          <w:sz w:val="22"/>
          <w:szCs w:val="22"/>
          <w:u w:val="none"/>
        </w:rPr>
        <w:t xml:space="preserve"> impacts.</w:t>
      </w:r>
      <w:r w:rsidR="00E00427">
        <w:rPr>
          <w:rStyle w:val="A9"/>
          <w:rFonts w:asciiTheme="minorHAnsi" w:hAnsiTheme="minorHAnsi"/>
          <w:sz w:val="22"/>
          <w:szCs w:val="22"/>
          <w:u w:val="none"/>
        </w:rPr>
        <w:t xml:space="preserve"> </w:t>
      </w:r>
    </w:p>
    <w:p w:rsidR="00B2537E" w:rsidRDefault="00B2537E" w:rsidP="00CC4AD8">
      <w:pPr>
        <w:ind w:right="-205"/>
        <w:rPr>
          <w:rStyle w:val="A9"/>
          <w:rFonts w:asciiTheme="minorHAnsi" w:hAnsiTheme="minorHAnsi"/>
          <w:sz w:val="22"/>
          <w:szCs w:val="22"/>
          <w:u w:val="none"/>
        </w:rPr>
      </w:pPr>
    </w:p>
    <w:p w:rsidR="00FE0639" w:rsidRPr="00F31C84" w:rsidRDefault="00E00427" w:rsidP="0035500D">
      <w:pPr>
        <w:shd w:val="clear" w:color="auto" w:fill="E7E6E6" w:themeFill="background2"/>
        <w:ind w:right="-205"/>
        <w:rPr>
          <w:rStyle w:val="A9"/>
          <w:rFonts w:asciiTheme="minorHAnsi" w:hAnsiTheme="minorHAnsi"/>
          <w:i/>
          <w:sz w:val="22"/>
          <w:szCs w:val="22"/>
          <w:u w:val="none"/>
        </w:rPr>
      </w:pPr>
      <w:r w:rsidRPr="00F31C84">
        <w:rPr>
          <w:rStyle w:val="A9"/>
          <w:rFonts w:asciiTheme="minorHAnsi" w:hAnsiTheme="minorHAnsi"/>
          <w:i/>
          <w:sz w:val="22"/>
          <w:szCs w:val="22"/>
          <w:u w:val="none"/>
        </w:rPr>
        <w:t>Recommendation 3</w:t>
      </w:r>
    </w:p>
    <w:p w:rsidR="00E00427" w:rsidRDefault="00F31C84" w:rsidP="0035500D">
      <w:pPr>
        <w:shd w:val="clear" w:color="auto" w:fill="E7E6E6" w:themeFill="background2"/>
        <w:ind w:right="-205"/>
        <w:rPr>
          <w:rStyle w:val="A9"/>
          <w:rFonts w:asciiTheme="minorHAnsi" w:hAnsiTheme="minorHAnsi"/>
          <w:sz w:val="22"/>
          <w:szCs w:val="22"/>
          <w:u w:val="none"/>
        </w:rPr>
      </w:pPr>
      <w:r>
        <w:rPr>
          <w:rStyle w:val="A9"/>
          <w:rFonts w:asciiTheme="minorHAnsi" w:hAnsiTheme="minorHAnsi"/>
          <w:sz w:val="22"/>
          <w:szCs w:val="22"/>
          <w:u w:val="none"/>
        </w:rPr>
        <w:t xml:space="preserve">Support the TIO’s current reforms to funding, complaint handling and </w:t>
      </w:r>
      <w:proofErr w:type="spellStart"/>
      <w:r>
        <w:rPr>
          <w:rStyle w:val="A9"/>
          <w:rFonts w:asciiTheme="minorHAnsi" w:hAnsiTheme="minorHAnsi"/>
          <w:sz w:val="22"/>
          <w:szCs w:val="22"/>
          <w:u w:val="none"/>
        </w:rPr>
        <w:t>systemics</w:t>
      </w:r>
      <w:proofErr w:type="spellEnd"/>
      <w:r>
        <w:rPr>
          <w:rStyle w:val="A9"/>
          <w:rFonts w:asciiTheme="minorHAnsi" w:hAnsiTheme="minorHAnsi"/>
          <w:sz w:val="22"/>
          <w:szCs w:val="22"/>
          <w:u w:val="none"/>
        </w:rPr>
        <w:t>, and undertake an assessment of their impacts after 2 years.</w:t>
      </w:r>
    </w:p>
    <w:p w:rsidR="00CC4AD8" w:rsidRDefault="00CC4AD8" w:rsidP="006566C0">
      <w:pPr>
        <w:ind w:right="-205"/>
        <w:rPr>
          <w:rStyle w:val="A9"/>
          <w:rFonts w:asciiTheme="minorHAnsi" w:hAnsiTheme="minorHAnsi"/>
          <w:sz w:val="22"/>
          <w:szCs w:val="22"/>
          <w:u w:val="none"/>
        </w:rPr>
      </w:pPr>
    </w:p>
    <w:p w:rsidR="0035500D" w:rsidRDefault="0035500D" w:rsidP="006566C0">
      <w:pPr>
        <w:ind w:right="-205"/>
        <w:rPr>
          <w:rStyle w:val="A9"/>
          <w:rFonts w:asciiTheme="minorHAnsi" w:hAnsiTheme="minorHAnsi"/>
          <w:sz w:val="22"/>
          <w:szCs w:val="22"/>
          <w:u w:val="none"/>
        </w:rPr>
      </w:pPr>
    </w:p>
    <w:p w:rsidR="00CC4AD8" w:rsidRPr="00B2537E" w:rsidRDefault="00CC4AD8" w:rsidP="006566C0">
      <w:pPr>
        <w:ind w:right="-205"/>
        <w:rPr>
          <w:rStyle w:val="A9"/>
          <w:rFonts w:asciiTheme="minorHAnsi" w:hAnsiTheme="minorHAnsi"/>
          <w:i/>
          <w:sz w:val="22"/>
          <w:szCs w:val="22"/>
          <w:u w:val="none"/>
        </w:rPr>
      </w:pPr>
      <w:r w:rsidRPr="00B2537E">
        <w:rPr>
          <w:rStyle w:val="A9"/>
          <w:rFonts w:asciiTheme="minorHAnsi" w:hAnsiTheme="minorHAnsi"/>
          <w:i/>
          <w:sz w:val="22"/>
          <w:szCs w:val="22"/>
          <w:u w:val="none"/>
        </w:rPr>
        <w:t>Complaints Data</w:t>
      </w:r>
    </w:p>
    <w:p w:rsidR="00CC4AD8" w:rsidRDefault="00B2537E" w:rsidP="006566C0">
      <w:pPr>
        <w:ind w:right="-205"/>
        <w:rPr>
          <w:rStyle w:val="A9"/>
          <w:rFonts w:asciiTheme="minorHAnsi" w:hAnsiTheme="minorHAnsi"/>
          <w:sz w:val="22"/>
          <w:szCs w:val="22"/>
          <w:u w:val="none"/>
        </w:rPr>
      </w:pPr>
      <w:r>
        <w:rPr>
          <w:rStyle w:val="A9"/>
          <w:rFonts w:asciiTheme="minorHAnsi" w:hAnsiTheme="minorHAnsi"/>
          <w:sz w:val="22"/>
          <w:szCs w:val="22"/>
          <w:u w:val="none"/>
        </w:rPr>
        <w:t xml:space="preserve">The new proposed EDR scheme would be smaller and narrower in its consideration of consumer complaints and this </w:t>
      </w:r>
      <w:proofErr w:type="gramStart"/>
      <w:r>
        <w:rPr>
          <w:rStyle w:val="A9"/>
          <w:rFonts w:asciiTheme="minorHAnsi" w:hAnsiTheme="minorHAnsi"/>
          <w:sz w:val="22"/>
          <w:szCs w:val="22"/>
          <w:u w:val="none"/>
        </w:rPr>
        <w:t>would,</w:t>
      </w:r>
      <w:r w:rsidR="00CC4AD8">
        <w:rPr>
          <w:rStyle w:val="A9"/>
          <w:rFonts w:asciiTheme="minorHAnsi" w:hAnsiTheme="minorHAnsi"/>
          <w:sz w:val="22"/>
          <w:szCs w:val="22"/>
          <w:u w:val="none"/>
        </w:rPr>
        <w:t xml:space="preserve"> of necessity</w:t>
      </w:r>
      <w:r>
        <w:rPr>
          <w:rStyle w:val="A9"/>
          <w:rFonts w:asciiTheme="minorHAnsi" w:hAnsiTheme="minorHAnsi"/>
          <w:sz w:val="22"/>
          <w:szCs w:val="22"/>
          <w:u w:val="none"/>
        </w:rPr>
        <w:t>,</w:t>
      </w:r>
      <w:r w:rsidR="00CC4AD8">
        <w:rPr>
          <w:rStyle w:val="A9"/>
          <w:rFonts w:asciiTheme="minorHAnsi" w:hAnsiTheme="minorHAnsi"/>
          <w:sz w:val="22"/>
          <w:szCs w:val="22"/>
          <w:u w:val="none"/>
        </w:rPr>
        <w:t xml:space="preserve"> reduce</w:t>
      </w:r>
      <w:proofErr w:type="gramEnd"/>
      <w:r w:rsidR="00CC4AD8">
        <w:rPr>
          <w:rStyle w:val="A9"/>
          <w:rFonts w:asciiTheme="minorHAnsi" w:hAnsiTheme="minorHAnsi"/>
          <w:sz w:val="22"/>
          <w:szCs w:val="22"/>
          <w:u w:val="none"/>
        </w:rPr>
        <w:t xml:space="preserve"> the information we have about consumer complaints and increase reliance on industry to record complaints data. </w:t>
      </w:r>
    </w:p>
    <w:p w:rsidR="00290A1F" w:rsidRDefault="00290A1F" w:rsidP="006566C0">
      <w:pPr>
        <w:ind w:right="-205"/>
        <w:rPr>
          <w:rStyle w:val="A9"/>
          <w:rFonts w:asciiTheme="minorHAnsi" w:hAnsiTheme="minorHAnsi"/>
          <w:sz w:val="22"/>
          <w:szCs w:val="22"/>
          <w:u w:val="none"/>
        </w:rPr>
      </w:pPr>
    </w:p>
    <w:p w:rsidR="00290A1F" w:rsidRDefault="00290A1F" w:rsidP="006566C0">
      <w:pPr>
        <w:ind w:right="-205"/>
        <w:rPr>
          <w:rStyle w:val="A9"/>
          <w:rFonts w:asciiTheme="minorHAnsi" w:hAnsiTheme="minorHAnsi"/>
          <w:sz w:val="22"/>
          <w:szCs w:val="22"/>
          <w:u w:val="none"/>
        </w:rPr>
      </w:pPr>
      <w:r>
        <w:rPr>
          <w:rStyle w:val="A9"/>
          <w:rFonts w:asciiTheme="minorHAnsi" w:hAnsiTheme="minorHAnsi"/>
          <w:sz w:val="22"/>
          <w:szCs w:val="22"/>
          <w:u w:val="none"/>
        </w:rPr>
        <w:t xml:space="preserve">It can be anticipated that industry will work hard to minimise complaints data (without </w:t>
      </w:r>
      <w:r w:rsidR="00FE0639">
        <w:rPr>
          <w:rStyle w:val="A9"/>
          <w:rFonts w:asciiTheme="minorHAnsi" w:hAnsiTheme="minorHAnsi"/>
          <w:sz w:val="22"/>
          <w:szCs w:val="22"/>
          <w:u w:val="none"/>
        </w:rPr>
        <w:t xml:space="preserve">necessarily </w:t>
      </w:r>
      <w:r>
        <w:rPr>
          <w:rStyle w:val="A9"/>
          <w:rFonts w:asciiTheme="minorHAnsi" w:hAnsiTheme="minorHAnsi"/>
          <w:sz w:val="22"/>
          <w:szCs w:val="22"/>
          <w:u w:val="none"/>
        </w:rPr>
        <w:t>improving consumer experience or outcomes), probably through an array of mechanisms already in use (and resulting in high TIO complaint numbers), such as making its complaint processes inaccessible; redefining complaint</w:t>
      </w:r>
      <w:r w:rsidR="00FE0639">
        <w:rPr>
          <w:rStyle w:val="A9"/>
          <w:rFonts w:asciiTheme="minorHAnsi" w:hAnsiTheme="minorHAnsi"/>
          <w:sz w:val="22"/>
          <w:szCs w:val="22"/>
          <w:u w:val="none"/>
        </w:rPr>
        <w:t>s as some other form of contact,</w:t>
      </w:r>
      <w:r>
        <w:rPr>
          <w:rStyle w:val="A9"/>
          <w:rFonts w:asciiTheme="minorHAnsi" w:hAnsiTheme="minorHAnsi"/>
          <w:sz w:val="22"/>
          <w:szCs w:val="22"/>
          <w:u w:val="none"/>
        </w:rPr>
        <w:t xml:space="preserve"> </w:t>
      </w:r>
      <w:r w:rsidR="00FE0639">
        <w:rPr>
          <w:rStyle w:val="A9"/>
          <w:rFonts w:asciiTheme="minorHAnsi" w:hAnsiTheme="minorHAnsi"/>
          <w:sz w:val="22"/>
          <w:szCs w:val="22"/>
          <w:u w:val="none"/>
        </w:rPr>
        <w:t xml:space="preserve">and </w:t>
      </w:r>
      <w:r>
        <w:rPr>
          <w:rStyle w:val="A9"/>
          <w:rFonts w:asciiTheme="minorHAnsi" w:hAnsiTheme="minorHAnsi"/>
          <w:sz w:val="22"/>
          <w:szCs w:val="22"/>
          <w:u w:val="none"/>
        </w:rPr>
        <w:t>redefining unresolved complaints as ‘resolved’.</w:t>
      </w:r>
    </w:p>
    <w:p w:rsidR="00F869B8" w:rsidRDefault="00F869B8" w:rsidP="006566C0">
      <w:pPr>
        <w:ind w:right="-205"/>
        <w:rPr>
          <w:rStyle w:val="A9"/>
          <w:rFonts w:asciiTheme="minorHAnsi" w:hAnsiTheme="minorHAnsi"/>
          <w:sz w:val="22"/>
          <w:szCs w:val="22"/>
          <w:u w:val="none"/>
        </w:rPr>
      </w:pPr>
    </w:p>
    <w:p w:rsidR="00F869B8" w:rsidRPr="00F869B8" w:rsidRDefault="0035500D" w:rsidP="00FE0639">
      <w:pPr>
        <w:shd w:val="clear" w:color="auto" w:fill="E7E6E6" w:themeFill="background2"/>
        <w:ind w:right="-205"/>
        <w:rPr>
          <w:rStyle w:val="A9"/>
          <w:rFonts w:asciiTheme="minorHAnsi" w:hAnsiTheme="minorHAnsi"/>
          <w:i/>
          <w:sz w:val="22"/>
          <w:szCs w:val="22"/>
          <w:u w:val="none"/>
        </w:rPr>
      </w:pPr>
      <w:r>
        <w:rPr>
          <w:rStyle w:val="A9"/>
          <w:rFonts w:asciiTheme="minorHAnsi" w:hAnsiTheme="minorHAnsi"/>
          <w:i/>
          <w:sz w:val="22"/>
          <w:szCs w:val="22"/>
          <w:u w:val="none"/>
        </w:rPr>
        <w:t>Recommendation 4</w:t>
      </w:r>
    </w:p>
    <w:p w:rsidR="00F869B8" w:rsidRDefault="00F869B8" w:rsidP="00FE0639">
      <w:pPr>
        <w:shd w:val="clear" w:color="auto" w:fill="E7E6E6" w:themeFill="background2"/>
        <w:ind w:right="-205"/>
        <w:rPr>
          <w:rStyle w:val="A9"/>
          <w:rFonts w:asciiTheme="minorHAnsi" w:hAnsiTheme="minorHAnsi"/>
          <w:sz w:val="22"/>
          <w:szCs w:val="22"/>
          <w:u w:val="none"/>
        </w:rPr>
      </w:pPr>
      <w:r>
        <w:rPr>
          <w:rStyle w:val="A9"/>
          <w:rFonts w:asciiTheme="minorHAnsi" w:hAnsiTheme="minorHAnsi"/>
          <w:sz w:val="22"/>
          <w:szCs w:val="22"/>
          <w:u w:val="none"/>
        </w:rPr>
        <w:t>That the ACMA and TIO, in consultation with consumer organisations, develop consistent and thorough processes of complaint data collection, analysis and reporting.</w:t>
      </w:r>
    </w:p>
    <w:p w:rsidR="00E30C37" w:rsidRDefault="00E30C37" w:rsidP="00C62384">
      <w:pPr>
        <w:ind w:right="-205"/>
        <w:rPr>
          <w:rStyle w:val="A9"/>
          <w:rFonts w:asciiTheme="minorHAnsi" w:hAnsiTheme="minorHAnsi"/>
          <w:sz w:val="22"/>
          <w:szCs w:val="22"/>
          <w:u w:val="none"/>
        </w:rPr>
      </w:pPr>
    </w:p>
    <w:p w:rsidR="007419A9" w:rsidRDefault="007419A9" w:rsidP="00724385">
      <w:pPr>
        <w:pStyle w:val="ListParagraph"/>
        <w:numPr>
          <w:ilvl w:val="0"/>
          <w:numId w:val="14"/>
        </w:numPr>
        <w:ind w:right="-205"/>
        <w:rPr>
          <w:rStyle w:val="A9"/>
          <w:rFonts w:asciiTheme="minorHAnsi" w:hAnsiTheme="minorHAnsi"/>
          <w:b/>
          <w:sz w:val="22"/>
          <w:szCs w:val="22"/>
          <w:u w:val="none"/>
        </w:rPr>
      </w:pPr>
      <w:r>
        <w:rPr>
          <w:rStyle w:val="A9"/>
          <w:rFonts w:asciiTheme="minorHAnsi" w:hAnsiTheme="minorHAnsi"/>
          <w:b/>
          <w:sz w:val="22"/>
          <w:szCs w:val="22"/>
          <w:u w:val="none"/>
        </w:rPr>
        <w:t>Other comments</w:t>
      </w:r>
    </w:p>
    <w:p w:rsidR="007419A9" w:rsidRDefault="007419A9" w:rsidP="007419A9">
      <w:pPr>
        <w:ind w:right="-205"/>
        <w:rPr>
          <w:rStyle w:val="A9"/>
          <w:rFonts w:asciiTheme="minorHAnsi" w:hAnsiTheme="minorHAnsi"/>
          <w:b/>
          <w:sz w:val="22"/>
          <w:szCs w:val="22"/>
          <w:u w:val="none"/>
        </w:rPr>
      </w:pPr>
    </w:p>
    <w:p w:rsidR="00C24CD8" w:rsidRPr="007419A9" w:rsidRDefault="00724385" w:rsidP="007419A9">
      <w:pPr>
        <w:ind w:right="-205"/>
        <w:rPr>
          <w:rStyle w:val="A9"/>
          <w:rFonts w:asciiTheme="minorHAnsi" w:hAnsiTheme="minorHAnsi"/>
          <w:b/>
          <w:sz w:val="22"/>
          <w:szCs w:val="22"/>
          <w:u w:val="none"/>
        </w:rPr>
      </w:pPr>
      <w:r w:rsidRPr="007419A9">
        <w:rPr>
          <w:rStyle w:val="A9"/>
          <w:rFonts w:asciiTheme="minorHAnsi" w:hAnsiTheme="minorHAnsi"/>
          <w:b/>
          <w:sz w:val="22"/>
          <w:szCs w:val="22"/>
          <w:u w:val="none"/>
        </w:rPr>
        <w:t>The TIO complaints J Curve</w:t>
      </w:r>
    </w:p>
    <w:p w:rsidR="002C0221" w:rsidRDefault="00526A3D" w:rsidP="00556A47">
      <w:pPr>
        <w:pStyle w:val="ListParagraph"/>
        <w:ind w:left="0" w:right="-205"/>
        <w:rPr>
          <w:rStyle w:val="A9"/>
          <w:rFonts w:asciiTheme="minorHAnsi" w:hAnsiTheme="minorHAnsi"/>
          <w:sz w:val="22"/>
          <w:szCs w:val="22"/>
          <w:u w:val="none"/>
        </w:rPr>
      </w:pPr>
      <w:r>
        <w:rPr>
          <w:rStyle w:val="A9"/>
          <w:rFonts w:asciiTheme="minorHAnsi" w:hAnsiTheme="minorHAnsi"/>
          <w:sz w:val="22"/>
          <w:szCs w:val="22"/>
          <w:u w:val="none"/>
        </w:rPr>
        <w:t xml:space="preserve">The Consultation paper notes that complaints received by the TIO have increased significantly in the last year, and are heading back to levels last seen in 2012-2013. </w:t>
      </w:r>
      <w:r w:rsidR="001D2D0D">
        <w:rPr>
          <w:rStyle w:val="A9"/>
          <w:rFonts w:asciiTheme="minorHAnsi" w:hAnsiTheme="minorHAnsi"/>
          <w:sz w:val="22"/>
          <w:szCs w:val="22"/>
          <w:u w:val="none"/>
        </w:rPr>
        <w:t>This reflects how deep</w:t>
      </w:r>
      <w:r w:rsidR="00C904C5">
        <w:rPr>
          <w:rStyle w:val="A9"/>
          <w:rFonts w:asciiTheme="minorHAnsi" w:hAnsiTheme="minorHAnsi"/>
          <w:sz w:val="22"/>
          <w:szCs w:val="22"/>
          <w:u w:val="none"/>
        </w:rPr>
        <w:t>-</w:t>
      </w:r>
      <w:r w:rsidR="001D2D0D">
        <w:rPr>
          <w:rStyle w:val="A9"/>
          <w:rFonts w:asciiTheme="minorHAnsi" w:hAnsiTheme="minorHAnsi"/>
          <w:sz w:val="22"/>
          <w:szCs w:val="22"/>
          <w:u w:val="none"/>
        </w:rPr>
        <w:t>seated the problems in the sector are when it comes to consumer safeguards</w:t>
      </w:r>
      <w:r w:rsidR="002C0221">
        <w:rPr>
          <w:rStyle w:val="A9"/>
          <w:rFonts w:asciiTheme="minorHAnsi" w:hAnsiTheme="minorHAnsi"/>
          <w:sz w:val="22"/>
          <w:szCs w:val="22"/>
          <w:u w:val="none"/>
        </w:rPr>
        <w:t>. Our observation is that every time there is a small (and temporary) decline in some complaint figures</w:t>
      </w:r>
      <w:r w:rsidR="00D640A9">
        <w:rPr>
          <w:rStyle w:val="A9"/>
          <w:rFonts w:asciiTheme="minorHAnsi" w:hAnsiTheme="minorHAnsi"/>
          <w:sz w:val="22"/>
          <w:szCs w:val="22"/>
          <w:u w:val="none"/>
        </w:rPr>
        <w:t xml:space="preserve">, it </w:t>
      </w:r>
      <w:proofErr w:type="gramStart"/>
      <w:r w:rsidR="002C0221">
        <w:rPr>
          <w:rStyle w:val="A9"/>
          <w:rFonts w:asciiTheme="minorHAnsi" w:hAnsiTheme="minorHAnsi"/>
          <w:sz w:val="22"/>
          <w:szCs w:val="22"/>
          <w:u w:val="none"/>
        </w:rPr>
        <w:t>is heralded</w:t>
      </w:r>
      <w:proofErr w:type="gramEnd"/>
      <w:r w:rsidR="002C0221">
        <w:rPr>
          <w:rStyle w:val="A9"/>
          <w:rFonts w:asciiTheme="minorHAnsi" w:hAnsiTheme="minorHAnsi"/>
          <w:sz w:val="22"/>
          <w:szCs w:val="22"/>
          <w:u w:val="none"/>
        </w:rPr>
        <w:t xml:space="preserve"> by industry as showing that ongoing efforts to improve performance are starting to work. Worsening figures </w:t>
      </w:r>
      <w:proofErr w:type="gramStart"/>
      <w:r w:rsidR="002C0221">
        <w:rPr>
          <w:rStyle w:val="A9"/>
          <w:rFonts w:asciiTheme="minorHAnsi" w:hAnsiTheme="minorHAnsi"/>
          <w:sz w:val="22"/>
          <w:szCs w:val="22"/>
          <w:u w:val="none"/>
        </w:rPr>
        <w:t>are generally attributed</w:t>
      </w:r>
      <w:proofErr w:type="gramEnd"/>
      <w:r w:rsidR="002C0221">
        <w:rPr>
          <w:rStyle w:val="A9"/>
          <w:rFonts w:asciiTheme="minorHAnsi" w:hAnsiTheme="minorHAnsi"/>
          <w:sz w:val="22"/>
          <w:szCs w:val="22"/>
          <w:u w:val="none"/>
        </w:rPr>
        <w:t xml:space="preserve"> to one off issues. However, the longer-term trend is clear</w:t>
      </w:r>
      <w:r w:rsidR="00C904C5">
        <w:rPr>
          <w:rStyle w:val="A9"/>
          <w:rFonts w:asciiTheme="minorHAnsi" w:hAnsiTheme="minorHAnsi"/>
          <w:sz w:val="22"/>
          <w:szCs w:val="22"/>
          <w:u w:val="none"/>
        </w:rPr>
        <w:t xml:space="preserve"> – providing reasonable customer service</w:t>
      </w:r>
      <w:r w:rsidR="00D640A9">
        <w:rPr>
          <w:rStyle w:val="A9"/>
          <w:rFonts w:asciiTheme="minorHAnsi" w:hAnsiTheme="minorHAnsi"/>
          <w:sz w:val="22"/>
          <w:szCs w:val="22"/>
          <w:u w:val="none"/>
        </w:rPr>
        <w:t xml:space="preserve"> and</w:t>
      </w:r>
      <w:r w:rsidR="00C904C5">
        <w:rPr>
          <w:rStyle w:val="A9"/>
          <w:rFonts w:asciiTheme="minorHAnsi" w:hAnsiTheme="minorHAnsi"/>
          <w:sz w:val="22"/>
          <w:szCs w:val="22"/>
          <w:u w:val="none"/>
        </w:rPr>
        <w:t xml:space="preserve"> </w:t>
      </w:r>
      <w:proofErr w:type="spellStart"/>
      <w:r w:rsidR="00C904C5">
        <w:rPr>
          <w:rStyle w:val="A9"/>
          <w:rFonts w:asciiTheme="minorHAnsi" w:hAnsiTheme="minorHAnsi"/>
          <w:sz w:val="22"/>
          <w:szCs w:val="22"/>
          <w:u w:val="none"/>
        </w:rPr>
        <w:t>well functioning</w:t>
      </w:r>
      <w:proofErr w:type="spellEnd"/>
      <w:r w:rsidR="00C904C5">
        <w:rPr>
          <w:rStyle w:val="A9"/>
          <w:rFonts w:asciiTheme="minorHAnsi" w:hAnsiTheme="minorHAnsi"/>
          <w:sz w:val="22"/>
          <w:szCs w:val="22"/>
          <w:u w:val="none"/>
        </w:rPr>
        <w:t xml:space="preserve"> services involve costs that are too tempting for telco managers meeting KPIs to periodically cut, given there is a lag between the cuts and the damage to service, and very weak, industry controlled compliance requirements</w:t>
      </w:r>
      <w:r w:rsidR="002C0221">
        <w:rPr>
          <w:rStyle w:val="A9"/>
          <w:rFonts w:asciiTheme="minorHAnsi" w:hAnsiTheme="minorHAnsi"/>
          <w:sz w:val="22"/>
          <w:szCs w:val="22"/>
          <w:u w:val="none"/>
        </w:rPr>
        <w:t xml:space="preserve">. </w:t>
      </w:r>
    </w:p>
    <w:p w:rsidR="002C0221" w:rsidRDefault="002C0221" w:rsidP="00556A47">
      <w:pPr>
        <w:pStyle w:val="ListParagraph"/>
        <w:ind w:left="0" w:right="-205"/>
        <w:rPr>
          <w:rStyle w:val="A9"/>
          <w:rFonts w:asciiTheme="minorHAnsi" w:hAnsiTheme="minorHAnsi"/>
          <w:sz w:val="22"/>
          <w:szCs w:val="22"/>
          <w:u w:val="none"/>
        </w:rPr>
      </w:pPr>
    </w:p>
    <w:p w:rsidR="002C0221" w:rsidRDefault="002C0221" w:rsidP="00556A47">
      <w:pPr>
        <w:pStyle w:val="ListParagraph"/>
        <w:ind w:left="0" w:right="-205"/>
        <w:rPr>
          <w:rStyle w:val="A9"/>
          <w:rFonts w:asciiTheme="minorHAnsi" w:hAnsiTheme="minorHAnsi"/>
          <w:sz w:val="22"/>
          <w:szCs w:val="22"/>
          <w:u w:val="none"/>
        </w:rPr>
      </w:pPr>
      <w:r>
        <w:rPr>
          <w:rStyle w:val="A9"/>
          <w:rFonts w:asciiTheme="minorHAnsi" w:hAnsiTheme="minorHAnsi"/>
          <w:sz w:val="22"/>
          <w:szCs w:val="22"/>
          <w:u w:val="none"/>
        </w:rPr>
        <w:t>We have yet another example, along with the energy sector, of market failure in a utility sector. It is clear that robust regulatory processes that set a floor of community standards under the market</w:t>
      </w:r>
      <w:r w:rsidR="00F869B8">
        <w:rPr>
          <w:rStyle w:val="A9"/>
          <w:rFonts w:asciiTheme="minorHAnsi" w:hAnsiTheme="minorHAnsi"/>
          <w:sz w:val="22"/>
          <w:szCs w:val="22"/>
          <w:u w:val="none"/>
        </w:rPr>
        <w:t>, with an accessible and effective EDR scheme as part of enforcement,</w:t>
      </w:r>
      <w:r>
        <w:rPr>
          <w:rStyle w:val="A9"/>
          <w:rFonts w:asciiTheme="minorHAnsi" w:hAnsiTheme="minorHAnsi"/>
          <w:sz w:val="22"/>
          <w:szCs w:val="22"/>
          <w:u w:val="none"/>
        </w:rPr>
        <w:t xml:space="preserve"> is the only real solution to these problems</w:t>
      </w:r>
    </w:p>
    <w:p w:rsidR="00526A3D" w:rsidRPr="00526A3D" w:rsidRDefault="00526A3D" w:rsidP="00526A3D">
      <w:pPr>
        <w:pStyle w:val="ListParagraph"/>
        <w:ind w:left="0" w:right="-205"/>
        <w:rPr>
          <w:rStyle w:val="A9"/>
          <w:rFonts w:asciiTheme="minorHAnsi" w:hAnsiTheme="minorHAnsi"/>
          <w:sz w:val="22"/>
          <w:szCs w:val="22"/>
          <w:u w:val="none"/>
        </w:rPr>
      </w:pPr>
    </w:p>
    <w:p w:rsidR="00556A47" w:rsidRDefault="00556A47" w:rsidP="00556A47">
      <w:pPr>
        <w:pStyle w:val="ListParagraph"/>
        <w:ind w:right="-205"/>
        <w:rPr>
          <w:rStyle w:val="A9"/>
          <w:rFonts w:asciiTheme="minorHAnsi" w:hAnsiTheme="minorHAnsi"/>
          <w:b/>
          <w:sz w:val="22"/>
          <w:szCs w:val="22"/>
          <w:u w:val="none"/>
        </w:rPr>
      </w:pPr>
    </w:p>
    <w:p w:rsidR="00556A47" w:rsidRPr="007419A9" w:rsidRDefault="00556A47" w:rsidP="007419A9">
      <w:pPr>
        <w:ind w:right="-205"/>
        <w:rPr>
          <w:rStyle w:val="A9"/>
          <w:rFonts w:asciiTheme="minorHAnsi" w:hAnsiTheme="minorHAnsi"/>
          <w:b/>
          <w:sz w:val="22"/>
          <w:szCs w:val="22"/>
          <w:u w:val="none"/>
        </w:rPr>
      </w:pPr>
      <w:r w:rsidRPr="007419A9">
        <w:rPr>
          <w:rStyle w:val="A9"/>
          <w:rFonts w:asciiTheme="minorHAnsi" w:hAnsiTheme="minorHAnsi"/>
          <w:b/>
          <w:sz w:val="22"/>
          <w:szCs w:val="22"/>
          <w:u w:val="none"/>
        </w:rPr>
        <w:t>TCP Code review process</w:t>
      </w:r>
    </w:p>
    <w:p w:rsidR="005A25B6" w:rsidRDefault="00C904C5" w:rsidP="00C62384">
      <w:pPr>
        <w:ind w:right="-205"/>
        <w:rPr>
          <w:rStyle w:val="A9"/>
          <w:rFonts w:asciiTheme="minorHAnsi" w:hAnsiTheme="minorHAnsi"/>
          <w:sz w:val="22"/>
          <w:szCs w:val="22"/>
          <w:u w:val="none"/>
        </w:rPr>
      </w:pPr>
      <w:r>
        <w:rPr>
          <w:rStyle w:val="A9"/>
          <w:rFonts w:asciiTheme="minorHAnsi" w:hAnsiTheme="minorHAnsi"/>
          <w:sz w:val="22"/>
          <w:szCs w:val="22"/>
          <w:u w:val="none"/>
        </w:rPr>
        <w:t xml:space="preserve">The one-sided, industry controlled process of reviewing the Telecommunications Consumer Protection (TCP) Code is completely out of step with other </w:t>
      </w:r>
      <w:r w:rsidR="005A25B6">
        <w:rPr>
          <w:rStyle w:val="A9"/>
          <w:rFonts w:asciiTheme="minorHAnsi" w:hAnsiTheme="minorHAnsi"/>
          <w:sz w:val="22"/>
          <w:szCs w:val="22"/>
          <w:u w:val="none"/>
        </w:rPr>
        <w:t xml:space="preserve">utility </w:t>
      </w:r>
      <w:r>
        <w:rPr>
          <w:rStyle w:val="A9"/>
          <w:rFonts w:asciiTheme="minorHAnsi" w:hAnsiTheme="minorHAnsi"/>
          <w:sz w:val="22"/>
          <w:szCs w:val="22"/>
          <w:u w:val="none"/>
        </w:rPr>
        <w:t xml:space="preserve">industry code processes, and inappropriate in a utility sector context. </w:t>
      </w:r>
    </w:p>
    <w:p w:rsidR="005A25B6" w:rsidRDefault="005A25B6" w:rsidP="00C62384">
      <w:pPr>
        <w:ind w:right="-205"/>
        <w:rPr>
          <w:rStyle w:val="A9"/>
          <w:rFonts w:asciiTheme="minorHAnsi" w:hAnsiTheme="minorHAnsi"/>
          <w:sz w:val="22"/>
          <w:szCs w:val="22"/>
          <w:u w:val="none"/>
        </w:rPr>
      </w:pPr>
    </w:p>
    <w:p w:rsidR="00724385" w:rsidRDefault="005A25B6" w:rsidP="00C62384">
      <w:pPr>
        <w:ind w:right="-205"/>
        <w:rPr>
          <w:rStyle w:val="A9"/>
          <w:rFonts w:asciiTheme="minorHAnsi" w:hAnsiTheme="minorHAnsi"/>
          <w:sz w:val="22"/>
          <w:szCs w:val="22"/>
          <w:u w:val="none"/>
        </w:rPr>
      </w:pPr>
      <w:r>
        <w:rPr>
          <w:rStyle w:val="A9"/>
          <w:rFonts w:asciiTheme="minorHAnsi" w:hAnsiTheme="minorHAnsi"/>
          <w:sz w:val="22"/>
          <w:szCs w:val="22"/>
          <w:u w:val="none"/>
        </w:rPr>
        <w:t>The attitude of the industry to consumer advocates demonstrates how out of touch it is with community standards</w:t>
      </w:r>
      <w:r w:rsidR="00261FA3">
        <w:rPr>
          <w:rStyle w:val="A9"/>
          <w:rFonts w:asciiTheme="minorHAnsi" w:hAnsiTheme="minorHAnsi"/>
          <w:sz w:val="22"/>
          <w:szCs w:val="22"/>
          <w:u w:val="none"/>
        </w:rPr>
        <w:t>, and how deep an inherent antagonism to consumers runs in the industry</w:t>
      </w:r>
      <w:r>
        <w:rPr>
          <w:rStyle w:val="A9"/>
          <w:rFonts w:asciiTheme="minorHAnsi" w:hAnsiTheme="minorHAnsi"/>
          <w:sz w:val="22"/>
          <w:szCs w:val="22"/>
          <w:u w:val="none"/>
        </w:rPr>
        <w:t>.</w:t>
      </w:r>
      <w:r w:rsidR="00F869B8">
        <w:rPr>
          <w:rStyle w:val="A9"/>
          <w:rFonts w:asciiTheme="minorHAnsi" w:hAnsiTheme="minorHAnsi"/>
          <w:sz w:val="22"/>
          <w:szCs w:val="22"/>
          <w:u w:val="none"/>
        </w:rPr>
        <w:t xml:space="preserve"> </w:t>
      </w:r>
      <w:r w:rsidR="00C904C5">
        <w:rPr>
          <w:rStyle w:val="A9"/>
          <w:rFonts w:asciiTheme="minorHAnsi" w:hAnsiTheme="minorHAnsi"/>
          <w:sz w:val="22"/>
          <w:szCs w:val="22"/>
          <w:u w:val="none"/>
        </w:rPr>
        <w:t xml:space="preserve">The inadequacies of the process flow through into a Code that does not </w:t>
      </w:r>
      <w:r w:rsidR="00D640A9">
        <w:rPr>
          <w:rStyle w:val="A9"/>
          <w:rFonts w:asciiTheme="minorHAnsi" w:hAnsiTheme="minorHAnsi"/>
          <w:sz w:val="22"/>
          <w:szCs w:val="22"/>
          <w:u w:val="none"/>
        </w:rPr>
        <w:t>create a clear</w:t>
      </w:r>
      <w:r>
        <w:rPr>
          <w:rStyle w:val="A9"/>
          <w:rFonts w:asciiTheme="minorHAnsi" w:hAnsiTheme="minorHAnsi"/>
          <w:sz w:val="22"/>
          <w:szCs w:val="22"/>
          <w:u w:val="none"/>
        </w:rPr>
        <w:t xml:space="preserve"> and enforceable set of consumer protections, and makes it difficult for the TIO to resolve consumer complaints with fair outcomes.</w:t>
      </w:r>
    </w:p>
    <w:p w:rsidR="001D7AEC" w:rsidRDefault="001D7AEC" w:rsidP="00C62384">
      <w:pPr>
        <w:ind w:right="-205"/>
        <w:rPr>
          <w:rStyle w:val="A9"/>
          <w:rFonts w:asciiTheme="minorHAnsi" w:hAnsiTheme="minorHAnsi"/>
          <w:sz w:val="22"/>
          <w:szCs w:val="22"/>
          <w:u w:val="none"/>
        </w:rPr>
      </w:pPr>
    </w:p>
    <w:p w:rsidR="005A25B6" w:rsidRPr="005A25B6" w:rsidRDefault="001D7AEC" w:rsidP="001D7AEC">
      <w:pPr>
        <w:shd w:val="clear" w:color="auto" w:fill="E7E6E6" w:themeFill="background2"/>
        <w:ind w:right="-205"/>
        <w:rPr>
          <w:rStyle w:val="A9"/>
          <w:rFonts w:asciiTheme="minorHAnsi" w:hAnsiTheme="minorHAnsi"/>
          <w:i/>
          <w:sz w:val="22"/>
          <w:szCs w:val="22"/>
          <w:u w:val="none"/>
        </w:rPr>
      </w:pPr>
      <w:r>
        <w:rPr>
          <w:rStyle w:val="A9"/>
          <w:rFonts w:asciiTheme="minorHAnsi" w:hAnsiTheme="minorHAnsi"/>
          <w:i/>
          <w:sz w:val="22"/>
          <w:szCs w:val="22"/>
          <w:u w:val="none"/>
        </w:rPr>
        <w:t xml:space="preserve">Recommendation </w:t>
      </w:r>
      <w:r w:rsidR="0035500D">
        <w:rPr>
          <w:rStyle w:val="A9"/>
          <w:rFonts w:asciiTheme="minorHAnsi" w:hAnsiTheme="minorHAnsi"/>
          <w:i/>
          <w:sz w:val="22"/>
          <w:szCs w:val="22"/>
          <w:u w:val="none"/>
        </w:rPr>
        <w:t>5</w:t>
      </w:r>
    </w:p>
    <w:p w:rsidR="005A25B6" w:rsidRDefault="005A25B6" w:rsidP="001D7AEC">
      <w:pPr>
        <w:shd w:val="clear" w:color="auto" w:fill="E7E6E6" w:themeFill="background2"/>
        <w:ind w:right="-205"/>
        <w:rPr>
          <w:rStyle w:val="A9"/>
          <w:rFonts w:asciiTheme="minorHAnsi" w:hAnsiTheme="minorHAnsi"/>
          <w:sz w:val="22"/>
          <w:szCs w:val="22"/>
          <w:u w:val="none"/>
        </w:rPr>
      </w:pPr>
      <w:r>
        <w:rPr>
          <w:rStyle w:val="A9"/>
          <w:rFonts w:asciiTheme="minorHAnsi" w:hAnsiTheme="minorHAnsi"/>
          <w:sz w:val="22"/>
          <w:szCs w:val="22"/>
          <w:u w:val="none"/>
        </w:rPr>
        <w:t xml:space="preserve">The TCP Code review process as currently operating </w:t>
      </w:r>
      <w:proofErr w:type="gramStart"/>
      <w:r>
        <w:rPr>
          <w:rStyle w:val="A9"/>
          <w:rFonts w:asciiTheme="minorHAnsi" w:hAnsiTheme="minorHAnsi"/>
          <w:sz w:val="22"/>
          <w:szCs w:val="22"/>
          <w:u w:val="none"/>
        </w:rPr>
        <w:t>should be ended</w:t>
      </w:r>
      <w:proofErr w:type="gramEnd"/>
      <w:r>
        <w:rPr>
          <w:rStyle w:val="A9"/>
          <w:rFonts w:asciiTheme="minorHAnsi" w:hAnsiTheme="minorHAnsi"/>
          <w:sz w:val="22"/>
          <w:szCs w:val="22"/>
          <w:u w:val="none"/>
        </w:rPr>
        <w:t xml:space="preserve"> and a new review process should sit with the TIO to manage, be funded separately, and include funding and support for extensive consumer advocate involvement. Industry should be consulted on the Code review, but not control or dominate the process.</w:t>
      </w:r>
    </w:p>
    <w:p w:rsidR="00F869B8" w:rsidRDefault="00F869B8" w:rsidP="00C62384">
      <w:pPr>
        <w:ind w:right="-205"/>
        <w:rPr>
          <w:rStyle w:val="A9"/>
          <w:rFonts w:asciiTheme="minorHAnsi" w:hAnsiTheme="minorHAnsi"/>
          <w:sz w:val="22"/>
          <w:szCs w:val="22"/>
          <w:u w:val="none"/>
        </w:rPr>
      </w:pPr>
    </w:p>
    <w:p w:rsidR="00F869B8" w:rsidRDefault="0035500D" w:rsidP="001D7AEC">
      <w:pPr>
        <w:shd w:val="clear" w:color="auto" w:fill="E7E6E6" w:themeFill="background2"/>
        <w:ind w:right="-205"/>
        <w:rPr>
          <w:rStyle w:val="A9"/>
          <w:rFonts w:asciiTheme="minorHAnsi" w:hAnsiTheme="minorHAnsi"/>
          <w:i/>
          <w:sz w:val="22"/>
          <w:szCs w:val="22"/>
          <w:u w:val="none"/>
        </w:rPr>
      </w:pPr>
      <w:r>
        <w:rPr>
          <w:rStyle w:val="A9"/>
          <w:rFonts w:asciiTheme="minorHAnsi" w:hAnsiTheme="minorHAnsi"/>
          <w:i/>
          <w:sz w:val="22"/>
          <w:szCs w:val="22"/>
          <w:u w:val="none"/>
        </w:rPr>
        <w:t>Recommendation 6</w:t>
      </w:r>
    </w:p>
    <w:p w:rsidR="00F869B8" w:rsidRDefault="00F869B8" w:rsidP="001D7AEC">
      <w:pPr>
        <w:shd w:val="clear" w:color="auto" w:fill="E7E6E6" w:themeFill="background2"/>
        <w:ind w:right="-205"/>
        <w:rPr>
          <w:rStyle w:val="A9"/>
          <w:rFonts w:asciiTheme="minorHAnsi" w:hAnsiTheme="minorHAnsi"/>
          <w:sz w:val="22"/>
          <w:szCs w:val="22"/>
          <w:u w:val="none"/>
        </w:rPr>
      </w:pPr>
      <w:r>
        <w:rPr>
          <w:rStyle w:val="A9"/>
          <w:rFonts w:asciiTheme="minorHAnsi" w:hAnsiTheme="minorHAnsi"/>
          <w:sz w:val="22"/>
          <w:szCs w:val="22"/>
          <w:u w:val="none"/>
        </w:rPr>
        <w:t xml:space="preserve">The ACMA </w:t>
      </w:r>
      <w:r w:rsidR="0035500D">
        <w:rPr>
          <w:rStyle w:val="A9"/>
          <w:rFonts w:asciiTheme="minorHAnsi" w:hAnsiTheme="minorHAnsi"/>
          <w:sz w:val="22"/>
          <w:szCs w:val="22"/>
          <w:u w:val="none"/>
        </w:rPr>
        <w:t xml:space="preserve">should </w:t>
      </w:r>
      <w:r>
        <w:rPr>
          <w:rStyle w:val="A9"/>
          <w:rFonts w:asciiTheme="minorHAnsi" w:hAnsiTheme="minorHAnsi"/>
          <w:sz w:val="22"/>
          <w:szCs w:val="22"/>
          <w:u w:val="none"/>
        </w:rPr>
        <w:t xml:space="preserve">review the </w:t>
      </w:r>
      <w:r w:rsidR="001D7AEC">
        <w:rPr>
          <w:rStyle w:val="A9"/>
          <w:rFonts w:asciiTheme="minorHAnsi" w:hAnsiTheme="minorHAnsi"/>
          <w:sz w:val="22"/>
          <w:szCs w:val="22"/>
          <w:u w:val="none"/>
        </w:rPr>
        <w:t xml:space="preserve">TCP </w:t>
      </w:r>
      <w:r>
        <w:rPr>
          <w:rStyle w:val="A9"/>
          <w:rFonts w:asciiTheme="minorHAnsi" w:hAnsiTheme="minorHAnsi"/>
          <w:sz w:val="22"/>
          <w:szCs w:val="22"/>
          <w:u w:val="none"/>
        </w:rPr>
        <w:t xml:space="preserve">Code with a view to incorporating key elements into </w:t>
      </w:r>
      <w:r w:rsidR="001D7AEC">
        <w:rPr>
          <w:rStyle w:val="A9"/>
          <w:rFonts w:asciiTheme="minorHAnsi" w:hAnsiTheme="minorHAnsi"/>
          <w:sz w:val="22"/>
          <w:szCs w:val="22"/>
          <w:u w:val="none"/>
        </w:rPr>
        <w:t>direct r</w:t>
      </w:r>
      <w:r>
        <w:rPr>
          <w:rStyle w:val="A9"/>
          <w:rFonts w:asciiTheme="minorHAnsi" w:hAnsiTheme="minorHAnsi"/>
          <w:sz w:val="22"/>
          <w:szCs w:val="22"/>
          <w:u w:val="none"/>
        </w:rPr>
        <w:t>egulation.</w:t>
      </w:r>
    </w:p>
    <w:p w:rsidR="00F869B8" w:rsidRDefault="00F869B8" w:rsidP="00C62384">
      <w:pPr>
        <w:ind w:right="-205"/>
        <w:rPr>
          <w:rStyle w:val="A9"/>
          <w:rFonts w:asciiTheme="minorHAnsi" w:hAnsiTheme="minorHAnsi"/>
          <w:sz w:val="22"/>
          <w:szCs w:val="22"/>
          <w:u w:val="none"/>
        </w:rPr>
      </w:pPr>
    </w:p>
    <w:p w:rsidR="00C62384" w:rsidRPr="00724385" w:rsidRDefault="00724385" w:rsidP="00C62384">
      <w:pPr>
        <w:ind w:right="-205"/>
        <w:rPr>
          <w:rStyle w:val="A9"/>
          <w:rFonts w:asciiTheme="minorHAnsi" w:hAnsiTheme="minorHAnsi"/>
          <w:b/>
          <w:sz w:val="22"/>
          <w:szCs w:val="22"/>
          <w:u w:val="none"/>
        </w:rPr>
      </w:pPr>
      <w:r w:rsidRPr="00724385">
        <w:rPr>
          <w:rStyle w:val="A9"/>
          <w:rFonts w:asciiTheme="minorHAnsi" w:hAnsiTheme="minorHAnsi"/>
          <w:b/>
          <w:sz w:val="22"/>
          <w:szCs w:val="22"/>
          <w:u w:val="none"/>
        </w:rPr>
        <w:t>Conclusion</w:t>
      </w:r>
    </w:p>
    <w:p w:rsidR="00724385" w:rsidRDefault="00724385" w:rsidP="00C62384">
      <w:pPr>
        <w:ind w:right="-205"/>
        <w:rPr>
          <w:rStyle w:val="A9"/>
          <w:rFonts w:asciiTheme="minorHAnsi" w:hAnsiTheme="minorHAnsi"/>
          <w:sz w:val="22"/>
          <w:szCs w:val="22"/>
          <w:u w:val="none"/>
        </w:rPr>
      </w:pPr>
    </w:p>
    <w:p w:rsidR="005A25B6" w:rsidRDefault="005A25B6" w:rsidP="00C62384">
      <w:pPr>
        <w:ind w:right="-205"/>
        <w:rPr>
          <w:rStyle w:val="A9"/>
          <w:rFonts w:asciiTheme="minorHAnsi" w:hAnsiTheme="minorHAnsi"/>
          <w:sz w:val="22"/>
          <w:szCs w:val="22"/>
          <w:u w:val="none"/>
        </w:rPr>
      </w:pPr>
      <w:r>
        <w:rPr>
          <w:rStyle w:val="A9"/>
          <w:rFonts w:asciiTheme="minorHAnsi" w:hAnsiTheme="minorHAnsi"/>
          <w:sz w:val="22"/>
          <w:szCs w:val="22"/>
          <w:u w:val="none"/>
        </w:rPr>
        <w:t>This review provides an important opportunity to bring an industry essential to all Australians into the 21</w:t>
      </w:r>
      <w:r w:rsidRPr="005A25B6">
        <w:rPr>
          <w:rStyle w:val="A9"/>
          <w:rFonts w:asciiTheme="minorHAnsi" w:hAnsiTheme="minorHAnsi"/>
          <w:sz w:val="22"/>
          <w:szCs w:val="22"/>
          <w:u w:val="none"/>
          <w:vertAlign w:val="superscript"/>
        </w:rPr>
        <w:t>st</w:t>
      </w:r>
      <w:r>
        <w:rPr>
          <w:rStyle w:val="A9"/>
          <w:rFonts w:asciiTheme="minorHAnsi" w:hAnsiTheme="minorHAnsi"/>
          <w:sz w:val="22"/>
          <w:szCs w:val="22"/>
          <w:u w:val="none"/>
        </w:rPr>
        <w:t xml:space="preserve"> Century when it comes to meeting community standards on service and respect for consumers and their rights. </w:t>
      </w:r>
    </w:p>
    <w:p w:rsidR="005A25B6" w:rsidRDefault="005A25B6" w:rsidP="00C62384">
      <w:pPr>
        <w:ind w:right="-205"/>
        <w:rPr>
          <w:rStyle w:val="A9"/>
          <w:rFonts w:asciiTheme="minorHAnsi" w:hAnsiTheme="minorHAnsi"/>
          <w:sz w:val="22"/>
          <w:szCs w:val="22"/>
          <w:u w:val="none"/>
        </w:rPr>
      </w:pPr>
    </w:p>
    <w:p w:rsidR="00724385" w:rsidRDefault="005A25B6" w:rsidP="00C62384">
      <w:pPr>
        <w:ind w:right="-205"/>
        <w:rPr>
          <w:rStyle w:val="A9"/>
          <w:rFonts w:asciiTheme="minorHAnsi" w:hAnsiTheme="minorHAnsi"/>
          <w:sz w:val="22"/>
          <w:szCs w:val="22"/>
          <w:u w:val="none"/>
        </w:rPr>
      </w:pPr>
      <w:r>
        <w:rPr>
          <w:rStyle w:val="A9"/>
          <w:rFonts w:asciiTheme="minorHAnsi" w:hAnsiTheme="minorHAnsi"/>
          <w:sz w:val="22"/>
          <w:szCs w:val="22"/>
          <w:u w:val="none"/>
        </w:rPr>
        <w:t xml:space="preserve">The industry needs to </w:t>
      </w:r>
      <w:proofErr w:type="gramStart"/>
      <w:r>
        <w:rPr>
          <w:rStyle w:val="A9"/>
          <w:rFonts w:asciiTheme="minorHAnsi" w:hAnsiTheme="minorHAnsi"/>
          <w:sz w:val="22"/>
          <w:szCs w:val="22"/>
          <w:u w:val="none"/>
        </w:rPr>
        <w:t>be supported</w:t>
      </w:r>
      <w:proofErr w:type="gramEnd"/>
      <w:r>
        <w:rPr>
          <w:rStyle w:val="A9"/>
          <w:rFonts w:asciiTheme="minorHAnsi" w:hAnsiTheme="minorHAnsi"/>
          <w:sz w:val="22"/>
          <w:szCs w:val="22"/>
          <w:u w:val="none"/>
        </w:rPr>
        <w:t xml:space="preserve"> by clear and transparent regulation and independent external complaints processes, building off what is already in place but with a shift towards publicly mandated obligations</w:t>
      </w:r>
      <w:r w:rsidR="007419A9">
        <w:rPr>
          <w:rStyle w:val="A9"/>
          <w:rFonts w:asciiTheme="minorHAnsi" w:hAnsiTheme="minorHAnsi"/>
          <w:sz w:val="22"/>
          <w:szCs w:val="22"/>
          <w:u w:val="none"/>
        </w:rPr>
        <w:t xml:space="preserve"> creating</w:t>
      </w:r>
      <w:r>
        <w:rPr>
          <w:rStyle w:val="A9"/>
          <w:rFonts w:asciiTheme="minorHAnsi" w:hAnsiTheme="minorHAnsi"/>
          <w:sz w:val="22"/>
          <w:szCs w:val="22"/>
          <w:u w:val="none"/>
        </w:rPr>
        <w:t xml:space="preserve"> a level playing field</w:t>
      </w:r>
      <w:r w:rsidR="007419A9">
        <w:rPr>
          <w:rStyle w:val="A9"/>
          <w:rFonts w:asciiTheme="minorHAnsi" w:hAnsiTheme="minorHAnsi"/>
          <w:sz w:val="22"/>
          <w:szCs w:val="22"/>
          <w:u w:val="none"/>
        </w:rPr>
        <w:t xml:space="preserve"> better able to meet consumer needs.</w:t>
      </w:r>
    </w:p>
    <w:p w:rsidR="00E30C37" w:rsidRDefault="00E30C37" w:rsidP="00C62384">
      <w:pPr>
        <w:ind w:right="-205"/>
        <w:rPr>
          <w:rStyle w:val="A9"/>
          <w:rFonts w:asciiTheme="minorHAnsi" w:hAnsiTheme="minorHAnsi"/>
          <w:sz w:val="22"/>
          <w:szCs w:val="22"/>
          <w:u w:val="none"/>
        </w:rPr>
      </w:pPr>
    </w:p>
    <w:p w:rsidR="00E30C37" w:rsidRDefault="00E30C37" w:rsidP="00C62384">
      <w:pPr>
        <w:ind w:right="-205"/>
        <w:rPr>
          <w:rStyle w:val="A9"/>
          <w:rFonts w:asciiTheme="minorHAnsi" w:hAnsiTheme="minorHAnsi"/>
          <w:sz w:val="22"/>
          <w:szCs w:val="22"/>
          <w:u w:val="none"/>
        </w:rPr>
      </w:pPr>
      <w:r>
        <w:rPr>
          <w:rStyle w:val="A9"/>
          <w:rFonts w:asciiTheme="minorHAnsi" w:hAnsiTheme="minorHAnsi"/>
          <w:sz w:val="22"/>
          <w:szCs w:val="22"/>
          <w:u w:val="none"/>
        </w:rPr>
        <w:t>Yours sincerely</w:t>
      </w:r>
    </w:p>
    <w:p w:rsidR="00E30C37" w:rsidRDefault="00E30C37" w:rsidP="00C62384">
      <w:pPr>
        <w:ind w:right="-205"/>
        <w:rPr>
          <w:rStyle w:val="A9"/>
          <w:rFonts w:asciiTheme="minorHAnsi" w:hAnsiTheme="minorHAnsi"/>
          <w:sz w:val="22"/>
          <w:szCs w:val="22"/>
          <w:u w:val="none"/>
        </w:rPr>
      </w:pPr>
    </w:p>
    <w:p w:rsidR="001D7AEC" w:rsidRDefault="00865271" w:rsidP="00C62384">
      <w:pPr>
        <w:ind w:right="-205"/>
        <w:rPr>
          <w:rStyle w:val="A9"/>
          <w:rFonts w:asciiTheme="minorHAnsi" w:hAnsiTheme="minorHAnsi"/>
          <w:sz w:val="22"/>
          <w:szCs w:val="22"/>
          <w:u w:val="none"/>
        </w:rPr>
      </w:pPr>
      <w:r w:rsidRPr="00865271">
        <w:rPr>
          <w:rStyle w:val="A9"/>
          <w:rFonts w:asciiTheme="minorHAnsi" w:hAnsiTheme="minorHAnsi"/>
          <w:noProof/>
          <w:sz w:val="22"/>
          <w:szCs w:val="22"/>
          <w:u w:val="none"/>
          <w:lang w:eastAsia="en-AU"/>
        </w:rPr>
        <w:drawing>
          <wp:inline distT="0" distB="0" distL="0" distR="0">
            <wp:extent cx="1276350" cy="830912"/>
            <wp:effectExtent l="0" t="0" r="0" b="7620"/>
            <wp:docPr id="2" name="Picture 2" descr="S:\Administration\Logos and Letterheads\Signatures\Sandy-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Logos and Letterheads\Signatures\Sandy-Ro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606" cy="836937"/>
                    </a:xfrm>
                    <a:prstGeom prst="rect">
                      <a:avLst/>
                    </a:prstGeom>
                    <a:noFill/>
                    <a:ln>
                      <a:noFill/>
                    </a:ln>
                  </pic:spPr>
                </pic:pic>
              </a:graphicData>
            </a:graphic>
          </wp:inline>
        </w:drawing>
      </w:r>
    </w:p>
    <w:p w:rsidR="00E30C37" w:rsidRDefault="00E30C37" w:rsidP="00C62384">
      <w:pPr>
        <w:ind w:right="-205"/>
        <w:rPr>
          <w:rStyle w:val="A9"/>
          <w:rFonts w:asciiTheme="minorHAnsi" w:hAnsiTheme="minorHAnsi"/>
          <w:sz w:val="22"/>
          <w:szCs w:val="22"/>
          <w:u w:val="none"/>
        </w:rPr>
      </w:pPr>
      <w:r>
        <w:rPr>
          <w:rStyle w:val="A9"/>
          <w:rFonts w:asciiTheme="minorHAnsi" w:hAnsiTheme="minorHAnsi"/>
          <w:sz w:val="22"/>
          <w:szCs w:val="22"/>
          <w:u w:val="none"/>
        </w:rPr>
        <w:t xml:space="preserve">Dr </w:t>
      </w:r>
      <w:r w:rsidRPr="00E30C37">
        <w:rPr>
          <w:rStyle w:val="A9"/>
          <w:rFonts w:asciiTheme="minorHAnsi" w:hAnsiTheme="minorHAnsi"/>
          <w:sz w:val="22"/>
          <w:szCs w:val="22"/>
          <w:u w:val="none"/>
        </w:rPr>
        <w:t>Sandy Ross</w:t>
      </w:r>
    </w:p>
    <w:p w:rsidR="00E30C37" w:rsidRDefault="00E30C37" w:rsidP="00C62384">
      <w:pPr>
        <w:ind w:right="-205"/>
        <w:rPr>
          <w:rStyle w:val="A9"/>
          <w:rFonts w:asciiTheme="minorHAnsi" w:hAnsiTheme="minorHAnsi"/>
          <w:sz w:val="22"/>
          <w:szCs w:val="22"/>
          <w:u w:val="none"/>
        </w:rPr>
      </w:pPr>
      <w:r>
        <w:rPr>
          <w:rStyle w:val="A9"/>
          <w:rFonts w:asciiTheme="minorHAnsi" w:hAnsiTheme="minorHAnsi"/>
          <w:sz w:val="22"/>
          <w:szCs w:val="22"/>
          <w:u w:val="none"/>
        </w:rPr>
        <w:t>Executive Officer</w:t>
      </w:r>
    </w:p>
    <w:p w:rsidR="00C62384" w:rsidRDefault="00C62384" w:rsidP="00C62384">
      <w:pPr>
        <w:ind w:right="-205"/>
        <w:rPr>
          <w:rStyle w:val="A9"/>
          <w:rFonts w:asciiTheme="minorHAnsi" w:hAnsiTheme="minorHAnsi"/>
          <w:sz w:val="22"/>
          <w:szCs w:val="22"/>
          <w:u w:val="none"/>
        </w:rPr>
      </w:pPr>
    </w:p>
    <w:p w:rsidR="001D7AEC" w:rsidRDefault="0035500D" w:rsidP="00C62384">
      <w:pPr>
        <w:ind w:right="-205"/>
        <w:rPr>
          <w:rStyle w:val="A9"/>
          <w:rFonts w:asciiTheme="minorHAnsi" w:hAnsiTheme="minorHAnsi"/>
          <w:sz w:val="22"/>
          <w:szCs w:val="22"/>
          <w:u w:val="none"/>
        </w:rPr>
      </w:pPr>
      <w:r>
        <w:rPr>
          <w:rStyle w:val="A9"/>
          <w:rFonts w:asciiTheme="minorHAnsi" w:hAnsiTheme="minorHAnsi"/>
          <w:sz w:val="22"/>
          <w:szCs w:val="22"/>
          <w:u w:val="none"/>
        </w:rPr>
        <w:br w:type="column"/>
      </w:r>
      <w:r w:rsidR="001D7AEC">
        <w:rPr>
          <w:rStyle w:val="A9"/>
          <w:rFonts w:asciiTheme="minorHAnsi" w:hAnsiTheme="minorHAnsi"/>
          <w:sz w:val="22"/>
          <w:szCs w:val="22"/>
          <w:u w:val="none"/>
        </w:rPr>
        <w:lastRenderedPageBreak/>
        <w:t>__________________________________________________________________</w:t>
      </w:r>
    </w:p>
    <w:p w:rsidR="00C62384" w:rsidRPr="00772E32" w:rsidRDefault="00C62384" w:rsidP="00C62384">
      <w:pPr>
        <w:ind w:right="-205"/>
        <w:rPr>
          <w:rStyle w:val="A9"/>
          <w:rFonts w:asciiTheme="minorHAnsi" w:hAnsiTheme="minorHAnsi"/>
          <w:b/>
          <w:i/>
          <w:sz w:val="22"/>
          <w:szCs w:val="22"/>
          <w:u w:val="none"/>
        </w:rPr>
      </w:pPr>
      <w:r w:rsidRPr="00772E32">
        <w:rPr>
          <w:rStyle w:val="A9"/>
          <w:rFonts w:asciiTheme="minorHAnsi" w:hAnsiTheme="minorHAnsi"/>
          <w:b/>
          <w:i/>
          <w:sz w:val="22"/>
          <w:szCs w:val="22"/>
          <w:u w:val="none"/>
        </w:rPr>
        <w:t>About FCRC</w:t>
      </w:r>
    </w:p>
    <w:p w:rsidR="00772E32" w:rsidRDefault="00772E32" w:rsidP="00C62384">
      <w:pPr>
        <w:ind w:right="-205"/>
        <w:rPr>
          <w:rStyle w:val="A9"/>
          <w:rFonts w:asciiTheme="minorHAnsi" w:hAnsiTheme="minorHAnsi"/>
          <w:sz w:val="22"/>
          <w:szCs w:val="22"/>
          <w:u w:val="none"/>
        </w:rPr>
      </w:pPr>
      <w:r>
        <w:rPr>
          <w:rStyle w:val="A9"/>
          <w:rFonts w:asciiTheme="minorHAnsi" w:hAnsiTheme="minorHAnsi"/>
          <w:sz w:val="22"/>
          <w:szCs w:val="22"/>
          <w:u w:val="none"/>
        </w:rPr>
        <w:t xml:space="preserve">FCRC is the peak </w:t>
      </w:r>
      <w:r w:rsidR="00C62384">
        <w:rPr>
          <w:rStyle w:val="A9"/>
          <w:rFonts w:asciiTheme="minorHAnsi" w:hAnsiTheme="minorHAnsi"/>
          <w:sz w:val="22"/>
          <w:szCs w:val="22"/>
          <w:u w:val="none"/>
        </w:rPr>
        <w:t xml:space="preserve">body </w:t>
      </w:r>
      <w:r>
        <w:rPr>
          <w:rStyle w:val="A9"/>
          <w:rFonts w:asciiTheme="minorHAnsi" w:hAnsiTheme="minorHAnsi"/>
          <w:sz w:val="22"/>
          <w:szCs w:val="22"/>
          <w:u w:val="none"/>
        </w:rPr>
        <w:t>for</w:t>
      </w:r>
      <w:r w:rsidR="00C62384">
        <w:rPr>
          <w:rStyle w:val="A9"/>
          <w:rFonts w:asciiTheme="minorHAnsi" w:hAnsiTheme="minorHAnsi"/>
          <w:sz w:val="22"/>
          <w:szCs w:val="22"/>
          <w:u w:val="none"/>
        </w:rPr>
        <w:t xml:space="preserve"> financial counsellors in Victoria. </w:t>
      </w:r>
      <w:proofErr w:type="gramStart"/>
      <w:r>
        <w:rPr>
          <w:rStyle w:val="A9"/>
          <w:rFonts w:asciiTheme="minorHAnsi" w:hAnsiTheme="minorHAnsi"/>
          <w:sz w:val="22"/>
          <w:szCs w:val="22"/>
          <w:u w:val="none"/>
        </w:rPr>
        <w:t>It is a non-profit organisation whose purpose is to:</w:t>
      </w:r>
      <w:proofErr w:type="gramEnd"/>
    </w:p>
    <w:p w:rsidR="00772E32" w:rsidRDefault="00772E32" w:rsidP="00C62384">
      <w:pPr>
        <w:ind w:right="-205"/>
        <w:rPr>
          <w:rStyle w:val="A9"/>
          <w:rFonts w:asciiTheme="minorHAnsi" w:hAnsiTheme="minorHAnsi"/>
          <w:sz w:val="22"/>
          <w:szCs w:val="22"/>
          <w:u w:val="none"/>
        </w:rPr>
      </w:pPr>
    </w:p>
    <w:p w:rsidR="00772E32" w:rsidRPr="00E30C37" w:rsidRDefault="00772E32" w:rsidP="00E30C37">
      <w:pPr>
        <w:pStyle w:val="ListParagraph"/>
        <w:numPr>
          <w:ilvl w:val="0"/>
          <w:numId w:val="12"/>
        </w:numPr>
        <w:ind w:right="-205"/>
        <w:rPr>
          <w:rStyle w:val="A9"/>
          <w:rFonts w:asciiTheme="minorHAnsi" w:hAnsiTheme="minorHAnsi"/>
          <w:sz w:val="22"/>
          <w:szCs w:val="22"/>
          <w:u w:val="none"/>
        </w:rPr>
      </w:pPr>
      <w:r w:rsidRPr="00E30C37">
        <w:rPr>
          <w:rStyle w:val="A9"/>
          <w:rFonts w:asciiTheme="minorHAnsi" w:hAnsiTheme="minorHAnsi"/>
          <w:sz w:val="22"/>
          <w:szCs w:val="22"/>
          <w:u w:val="none"/>
        </w:rPr>
        <w:t>Advocate for vulnerable Victorians who are experiencing financial difficulty</w:t>
      </w:r>
    </w:p>
    <w:p w:rsidR="00772E32" w:rsidRPr="00E30C37" w:rsidRDefault="00E30C37" w:rsidP="00E30C37">
      <w:pPr>
        <w:pStyle w:val="ListParagraph"/>
        <w:numPr>
          <w:ilvl w:val="0"/>
          <w:numId w:val="12"/>
        </w:numPr>
        <w:ind w:right="-205"/>
        <w:rPr>
          <w:rStyle w:val="A9"/>
          <w:rFonts w:asciiTheme="minorHAnsi" w:hAnsiTheme="minorHAnsi"/>
          <w:sz w:val="22"/>
          <w:szCs w:val="22"/>
          <w:u w:val="none"/>
        </w:rPr>
      </w:pPr>
      <w:r w:rsidRPr="00E30C37">
        <w:rPr>
          <w:rStyle w:val="A9"/>
          <w:rFonts w:asciiTheme="minorHAnsi" w:hAnsiTheme="minorHAnsi"/>
          <w:sz w:val="22"/>
          <w:szCs w:val="22"/>
          <w:u w:val="none"/>
        </w:rPr>
        <w:t>Support the financial counselling sector through casework, advocacy and law reform</w:t>
      </w:r>
    </w:p>
    <w:p w:rsidR="00E30C37" w:rsidRPr="00E30C37" w:rsidRDefault="00E30C37" w:rsidP="00E30C37">
      <w:pPr>
        <w:pStyle w:val="ListParagraph"/>
        <w:numPr>
          <w:ilvl w:val="0"/>
          <w:numId w:val="12"/>
        </w:numPr>
        <w:ind w:right="-205"/>
        <w:rPr>
          <w:rStyle w:val="A9"/>
          <w:rFonts w:asciiTheme="minorHAnsi" w:hAnsiTheme="minorHAnsi"/>
          <w:sz w:val="22"/>
          <w:szCs w:val="22"/>
          <w:u w:val="none"/>
        </w:rPr>
      </w:pPr>
      <w:r w:rsidRPr="00E30C37">
        <w:rPr>
          <w:rStyle w:val="A9"/>
          <w:rFonts w:asciiTheme="minorHAnsi" w:hAnsiTheme="minorHAnsi"/>
          <w:sz w:val="22"/>
          <w:szCs w:val="22"/>
          <w:u w:val="none"/>
        </w:rPr>
        <w:t>Adopt and maintain industry best practice</w:t>
      </w:r>
    </w:p>
    <w:p w:rsidR="00772E32" w:rsidRDefault="00772E32" w:rsidP="00C62384">
      <w:pPr>
        <w:ind w:right="-205"/>
        <w:rPr>
          <w:rStyle w:val="A9"/>
          <w:rFonts w:asciiTheme="minorHAnsi" w:hAnsiTheme="minorHAnsi"/>
          <w:sz w:val="22"/>
          <w:szCs w:val="22"/>
          <w:u w:val="none"/>
        </w:rPr>
      </w:pPr>
    </w:p>
    <w:p w:rsidR="00C62384" w:rsidRDefault="00C62384" w:rsidP="00C62384">
      <w:pPr>
        <w:ind w:right="-205"/>
        <w:rPr>
          <w:rStyle w:val="A9"/>
          <w:rFonts w:asciiTheme="minorHAnsi" w:hAnsiTheme="minorHAnsi"/>
          <w:sz w:val="22"/>
          <w:szCs w:val="22"/>
          <w:u w:val="none"/>
        </w:rPr>
      </w:pPr>
      <w:r>
        <w:rPr>
          <w:rStyle w:val="A9"/>
          <w:rFonts w:asciiTheme="minorHAnsi" w:hAnsiTheme="minorHAnsi"/>
          <w:sz w:val="22"/>
          <w:szCs w:val="22"/>
          <w:u w:val="none"/>
        </w:rPr>
        <w:t xml:space="preserve">Financial counsellors </w:t>
      </w:r>
      <w:r w:rsidR="00772E32">
        <w:rPr>
          <w:rStyle w:val="A9"/>
          <w:rFonts w:asciiTheme="minorHAnsi" w:hAnsiTheme="minorHAnsi"/>
          <w:sz w:val="22"/>
          <w:szCs w:val="22"/>
          <w:u w:val="none"/>
        </w:rPr>
        <w:t>provide free and independent advice and advocacy for people on low incomes, in debt, or otherwise in financial vulnerability. Loss of employment, marriage breakdown, family violence, natural disasters and the easy availability of credit are some of the common reasons people seek assistance.</w:t>
      </w:r>
    </w:p>
    <w:p w:rsidR="00772E32" w:rsidRDefault="00772E32" w:rsidP="00C62384">
      <w:pPr>
        <w:ind w:right="-205"/>
        <w:rPr>
          <w:rStyle w:val="A9"/>
          <w:rFonts w:asciiTheme="minorHAnsi" w:hAnsiTheme="minorHAnsi"/>
          <w:sz w:val="22"/>
          <w:szCs w:val="22"/>
          <w:u w:val="none"/>
        </w:rPr>
      </w:pPr>
    </w:p>
    <w:p w:rsidR="00772E32" w:rsidRDefault="00772E32" w:rsidP="00C62384">
      <w:pPr>
        <w:ind w:right="-205"/>
        <w:rPr>
          <w:rStyle w:val="A9"/>
          <w:rFonts w:asciiTheme="minorHAnsi" w:hAnsiTheme="minorHAnsi"/>
          <w:sz w:val="22"/>
          <w:szCs w:val="22"/>
          <w:u w:val="none"/>
        </w:rPr>
      </w:pPr>
      <w:r>
        <w:rPr>
          <w:rStyle w:val="A9"/>
          <w:rFonts w:asciiTheme="minorHAnsi" w:hAnsiTheme="minorHAnsi"/>
          <w:sz w:val="22"/>
          <w:szCs w:val="22"/>
          <w:u w:val="none"/>
        </w:rPr>
        <w:t xml:space="preserve">Financial counsellors operate under an ASIC credit licence exemption to provide information, support and advocacy to enable their clients to gain control of their financial situation. The focus for financial counsellors is always on the needs of their and clients and services are free, confidential and impartial. Most </w:t>
      </w:r>
      <w:proofErr w:type="gramStart"/>
      <w:r>
        <w:rPr>
          <w:rStyle w:val="A9"/>
          <w:rFonts w:asciiTheme="minorHAnsi" w:hAnsiTheme="minorHAnsi"/>
          <w:sz w:val="22"/>
          <w:szCs w:val="22"/>
          <w:u w:val="none"/>
        </w:rPr>
        <w:t>are employed</w:t>
      </w:r>
      <w:proofErr w:type="gramEnd"/>
      <w:r>
        <w:rPr>
          <w:rStyle w:val="A9"/>
          <w:rFonts w:asciiTheme="minorHAnsi" w:hAnsiTheme="minorHAnsi"/>
          <w:sz w:val="22"/>
          <w:szCs w:val="22"/>
          <w:u w:val="none"/>
        </w:rPr>
        <w:t xml:space="preserve"> by not-for-profit agencies, primarily funded by state and federal governments. </w:t>
      </w:r>
    </w:p>
    <w:p w:rsidR="00772E32" w:rsidRDefault="00772E32" w:rsidP="00C62384">
      <w:pPr>
        <w:ind w:right="-205"/>
        <w:rPr>
          <w:rStyle w:val="A9"/>
          <w:rFonts w:asciiTheme="minorHAnsi" w:hAnsiTheme="minorHAnsi"/>
          <w:sz w:val="22"/>
          <w:szCs w:val="22"/>
          <w:u w:val="none"/>
        </w:rPr>
      </w:pPr>
    </w:p>
    <w:p w:rsidR="00261FA3" w:rsidRDefault="00772E32" w:rsidP="00C62384">
      <w:pPr>
        <w:ind w:right="-205"/>
        <w:rPr>
          <w:rStyle w:val="A9"/>
          <w:rFonts w:asciiTheme="minorHAnsi" w:hAnsiTheme="minorHAnsi"/>
          <w:sz w:val="22"/>
          <w:szCs w:val="22"/>
          <w:u w:val="none"/>
        </w:rPr>
      </w:pPr>
      <w:r>
        <w:rPr>
          <w:rStyle w:val="A9"/>
          <w:rFonts w:asciiTheme="minorHAnsi" w:hAnsiTheme="minorHAnsi"/>
          <w:sz w:val="22"/>
          <w:szCs w:val="22"/>
          <w:u w:val="none"/>
        </w:rPr>
        <w:t>FCRC supports financial counsellors by providing training and professional developm</w:t>
      </w:r>
      <w:r w:rsidR="00E30C37">
        <w:rPr>
          <w:rStyle w:val="A9"/>
          <w:rFonts w:asciiTheme="minorHAnsi" w:hAnsiTheme="minorHAnsi"/>
          <w:sz w:val="22"/>
          <w:szCs w:val="22"/>
          <w:u w:val="none"/>
        </w:rPr>
        <w:t xml:space="preserve">ent and advocacy on </w:t>
      </w:r>
      <w:r>
        <w:rPr>
          <w:rStyle w:val="A9"/>
          <w:rFonts w:asciiTheme="minorHAnsi" w:hAnsiTheme="minorHAnsi"/>
          <w:sz w:val="22"/>
          <w:szCs w:val="22"/>
          <w:u w:val="none"/>
        </w:rPr>
        <w:t xml:space="preserve">the systemic issues around debt and hardship identified by financial counsellors in their case </w:t>
      </w:r>
      <w:r w:rsidR="00E30C37">
        <w:rPr>
          <w:rStyle w:val="A9"/>
          <w:rFonts w:asciiTheme="minorHAnsi" w:hAnsiTheme="minorHAnsi"/>
          <w:sz w:val="22"/>
          <w:szCs w:val="22"/>
          <w:u w:val="none"/>
        </w:rPr>
        <w:t xml:space="preserve">and outreach </w:t>
      </w:r>
      <w:r>
        <w:rPr>
          <w:rStyle w:val="A9"/>
          <w:rFonts w:asciiTheme="minorHAnsi" w:hAnsiTheme="minorHAnsi"/>
          <w:sz w:val="22"/>
          <w:szCs w:val="22"/>
          <w:u w:val="none"/>
        </w:rPr>
        <w:t>work</w:t>
      </w:r>
      <w:r w:rsidR="00E30C37">
        <w:rPr>
          <w:rStyle w:val="A9"/>
          <w:rFonts w:asciiTheme="minorHAnsi" w:hAnsiTheme="minorHAnsi"/>
          <w:sz w:val="22"/>
          <w:szCs w:val="22"/>
          <w:u w:val="none"/>
        </w:rPr>
        <w:t>.</w:t>
      </w:r>
    </w:p>
    <w:sectPr w:rsidR="00261FA3" w:rsidSect="0035113E">
      <w:headerReference w:type="even" r:id="rId9"/>
      <w:headerReference w:type="default" r:id="rId10"/>
      <w:footerReference w:type="even" r:id="rId11"/>
      <w:footerReference w:type="default" r:id="rId12"/>
      <w:headerReference w:type="first" r:id="rId13"/>
      <w:footerReference w:type="first" r:id="rId14"/>
      <w:pgSz w:w="11900" w:h="16840"/>
      <w:pgMar w:top="2410" w:right="1800" w:bottom="1843" w:left="1800"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469" w:rsidRDefault="00BD4469">
      <w:r>
        <w:separator/>
      </w:r>
    </w:p>
  </w:endnote>
  <w:endnote w:type="continuationSeparator" w:id="0">
    <w:p w:rsidR="00BD4469" w:rsidRDefault="00BD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Light">
    <w:altName w:val="Muli Light"/>
    <w:panose1 w:val="00000000000000000000"/>
    <w:charset w:val="00"/>
    <w:family w:val="swiss"/>
    <w:notTrueType/>
    <w:pitch w:val="default"/>
    <w:sig w:usb0="00000003" w:usb1="00000000" w:usb2="00000000" w:usb3="00000000" w:csb0="00000001" w:csb1="00000000"/>
  </w:font>
  <w:font w:name="Muli SemiBold">
    <w:altName w:val="Muli Sem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8B" w:rsidRDefault="00F06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351806"/>
      <w:docPartObj>
        <w:docPartGallery w:val="Page Numbers (Bottom of Page)"/>
        <w:docPartUnique/>
      </w:docPartObj>
    </w:sdtPr>
    <w:sdtEndPr>
      <w:rPr>
        <w:noProof/>
      </w:rPr>
    </w:sdtEndPr>
    <w:sdtContent>
      <w:p w:rsidR="007419A9" w:rsidRDefault="007419A9">
        <w:pPr>
          <w:pStyle w:val="Footer"/>
          <w:jc w:val="right"/>
        </w:pPr>
        <w:r>
          <w:fldChar w:fldCharType="begin"/>
        </w:r>
        <w:r>
          <w:instrText xml:space="preserve"> PAGE   \* MERGEFORMAT </w:instrText>
        </w:r>
        <w:r>
          <w:fldChar w:fldCharType="separate"/>
        </w:r>
        <w:r w:rsidR="00F74650">
          <w:rPr>
            <w:noProof/>
          </w:rPr>
          <w:t>6</w:t>
        </w:r>
        <w:r>
          <w:rPr>
            <w:noProof/>
          </w:rPr>
          <w:fldChar w:fldCharType="end"/>
        </w:r>
      </w:p>
    </w:sdtContent>
  </w:sdt>
  <w:p w:rsidR="0035113E" w:rsidRPr="00FC7EA4" w:rsidRDefault="00F74650" w:rsidP="00FC7EA4">
    <w:pPr>
      <w:pStyle w:val="Footer"/>
      <w:jc w:val="center"/>
      <w:rPr>
        <w:rFonts w:ascii="Arial Narrow" w:hAnsi="Arial Narrow"/>
        <w:color w:val="808080" w:themeColor="background1"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8B" w:rsidRDefault="00F0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469" w:rsidRDefault="00BD4469">
      <w:r>
        <w:separator/>
      </w:r>
    </w:p>
  </w:footnote>
  <w:footnote w:type="continuationSeparator" w:id="0">
    <w:p w:rsidR="00BD4469" w:rsidRDefault="00BD4469">
      <w:r>
        <w:continuationSeparator/>
      </w:r>
    </w:p>
  </w:footnote>
  <w:footnote w:id="1">
    <w:p w:rsidR="008E7D9D" w:rsidRDefault="008E7D9D" w:rsidP="008E7D9D">
      <w:pPr>
        <w:pStyle w:val="FootnoteText"/>
      </w:pPr>
      <w:r>
        <w:rPr>
          <w:rStyle w:val="FootnoteReference"/>
        </w:rPr>
        <w:footnoteRef/>
      </w:r>
      <w:r>
        <w:t xml:space="preserve"> </w:t>
      </w:r>
      <w:r>
        <w:rPr>
          <w:rStyle w:val="A9"/>
          <w:rFonts w:asciiTheme="minorHAnsi" w:hAnsiTheme="minorHAnsi"/>
          <w:sz w:val="22"/>
          <w:szCs w:val="22"/>
          <w:u w:val="none"/>
        </w:rPr>
        <w:t xml:space="preserve">FCRC 2017. </w:t>
      </w:r>
      <w:r w:rsidRPr="00E30C37">
        <w:rPr>
          <w:rStyle w:val="A9"/>
          <w:rFonts w:asciiTheme="minorHAnsi" w:hAnsiTheme="minorHAnsi"/>
          <w:b/>
          <w:sz w:val="22"/>
          <w:szCs w:val="22"/>
          <w:u w:val="none"/>
        </w:rPr>
        <w:t>Rank the Telco</w:t>
      </w:r>
      <w:r>
        <w:rPr>
          <w:rStyle w:val="A9"/>
          <w:rFonts w:asciiTheme="minorHAnsi" w:hAnsiTheme="minorHAnsi"/>
          <w:sz w:val="22"/>
          <w:szCs w:val="22"/>
          <w:u w:val="none"/>
        </w:rPr>
        <w:t>. April 2017. Financial and Consumer Rights Council,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8B" w:rsidRDefault="00F06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3E" w:rsidRDefault="00BD4469">
    <w:pPr>
      <w:pStyle w:val="Header"/>
    </w:pPr>
    <w:r>
      <w:rPr>
        <w:noProof/>
        <w:lang w:eastAsia="en-AU"/>
      </w:rPr>
      <w:drawing>
        <wp:anchor distT="0" distB="0" distL="114300" distR="114300" simplePos="0" relativeHeight="251657216" behindDoc="0" locked="0" layoutInCell="1" allowOverlap="1">
          <wp:simplePos x="0" y="0"/>
          <wp:positionH relativeFrom="margin">
            <wp:posOffset>-561975</wp:posOffset>
          </wp:positionH>
          <wp:positionV relativeFrom="margin">
            <wp:posOffset>-1371600</wp:posOffset>
          </wp:positionV>
          <wp:extent cx="1902460" cy="1069975"/>
          <wp:effectExtent l="0" t="0" r="0" b="0"/>
          <wp:wrapSquare wrapText="bothSides"/>
          <wp:docPr id="1" name="Picture 1" descr="S:\Administration\Logos and Letterheads\FCRC logos\2016 Logo\fcrc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Logos and Letterheads\FCRC logos\2016 Logo\fcrc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8B" w:rsidRDefault="00F0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A0932"/>
    <w:multiLevelType w:val="hybridMultilevel"/>
    <w:tmpl w:val="C50E07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F6CBB4"/>
    <w:multiLevelType w:val="hybridMultilevel"/>
    <w:tmpl w:val="5082E1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A210E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7C"/>
    <w:multiLevelType w:val="singleLevel"/>
    <w:tmpl w:val="0AE8BDCE"/>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B44678CE"/>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16AC394C"/>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3378EF0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3990A54E"/>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9BF21252"/>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75047AA8"/>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B99E9C54"/>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42844CB8"/>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424838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5D6308"/>
    <w:multiLevelType w:val="hybridMultilevel"/>
    <w:tmpl w:val="E316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063FF"/>
    <w:multiLevelType w:val="hybridMultilevel"/>
    <w:tmpl w:val="EB989D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923828"/>
    <w:multiLevelType w:val="hybridMultilevel"/>
    <w:tmpl w:val="7D4E789E"/>
    <w:lvl w:ilvl="0" w:tplc="8D268CA8">
      <w:start w:val="1"/>
      <w:numFmt w:val="upp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6" w15:restartNumberingAfterBreak="0">
    <w:nsid w:val="457F6545"/>
    <w:multiLevelType w:val="hybridMultilevel"/>
    <w:tmpl w:val="31C0D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C72F01"/>
    <w:multiLevelType w:val="hybridMultilevel"/>
    <w:tmpl w:val="DC96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E0F66"/>
    <w:multiLevelType w:val="hybridMultilevel"/>
    <w:tmpl w:val="E35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F1316F"/>
    <w:multiLevelType w:val="hybridMultilevel"/>
    <w:tmpl w:val="728824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2"/>
  </w:num>
  <w:num w:numId="3">
    <w:abstractNumId w:val="10"/>
  </w:num>
  <w:num w:numId="4">
    <w:abstractNumId w:val="9"/>
  </w:num>
  <w:num w:numId="5">
    <w:abstractNumId w:val="8"/>
  </w:num>
  <w:num w:numId="6">
    <w:abstractNumId w:val="7"/>
  </w:num>
  <w:num w:numId="7">
    <w:abstractNumId w:val="11"/>
  </w:num>
  <w:num w:numId="8">
    <w:abstractNumId w:val="6"/>
  </w:num>
  <w:num w:numId="9">
    <w:abstractNumId w:val="5"/>
  </w:num>
  <w:num w:numId="10">
    <w:abstractNumId w:val="4"/>
  </w:num>
  <w:num w:numId="11">
    <w:abstractNumId w:val="3"/>
  </w:num>
  <w:num w:numId="12">
    <w:abstractNumId w:val="17"/>
  </w:num>
  <w:num w:numId="13">
    <w:abstractNumId w:val="18"/>
  </w:num>
  <w:num w:numId="14">
    <w:abstractNumId w:val="19"/>
  </w:num>
  <w:num w:numId="15">
    <w:abstractNumId w:val="0"/>
  </w:num>
  <w:num w:numId="16">
    <w:abstractNumId w:val="14"/>
  </w:num>
  <w:num w:numId="17">
    <w:abstractNumId w:val="1"/>
  </w:num>
  <w:num w:numId="18">
    <w:abstractNumId w:val="16"/>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69"/>
    <w:rsid w:val="001D2D0D"/>
    <w:rsid w:val="001D7AEC"/>
    <w:rsid w:val="00261FA3"/>
    <w:rsid w:val="00290A1F"/>
    <w:rsid w:val="002C0221"/>
    <w:rsid w:val="00325460"/>
    <w:rsid w:val="0035500D"/>
    <w:rsid w:val="004B035C"/>
    <w:rsid w:val="00526A3D"/>
    <w:rsid w:val="00556A47"/>
    <w:rsid w:val="005A25B6"/>
    <w:rsid w:val="006566C0"/>
    <w:rsid w:val="00663E64"/>
    <w:rsid w:val="0068349D"/>
    <w:rsid w:val="00724385"/>
    <w:rsid w:val="007419A9"/>
    <w:rsid w:val="00772E32"/>
    <w:rsid w:val="00792C43"/>
    <w:rsid w:val="00865271"/>
    <w:rsid w:val="008E7D9D"/>
    <w:rsid w:val="00A416BA"/>
    <w:rsid w:val="00A67DDF"/>
    <w:rsid w:val="00AA4A6A"/>
    <w:rsid w:val="00B2537E"/>
    <w:rsid w:val="00BD4469"/>
    <w:rsid w:val="00C24CD8"/>
    <w:rsid w:val="00C62384"/>
    <w:rsid w:val="00C904C5"/>
    <w:rsid w:val="00CC4AD8"/>
    <w:rsid w:val="00D640A9"/>
    <w:rsid w:val="00DD253F"/>
    <w:rsid w:val="00E00427"/>
    <w:rsid w:val="00E30C37"/>
    <w:rsid w:val="00F0658B"/>
    <w:rsid w:val="00F31C84"/>
    <w:rsid w:val="00F74650"/>
    <w:rsid w:val="00F869B8"/>
    <w:rsid w:val="00FC7EA4"/>
    <w:rsid w:val="00FE0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29156DC"/>
  <w15:chartTrackingRefBased/>
  <w15:docId w15:val="{ED84A251-AC3E-4E00-8ABB-A0702D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113E"/>
    <w:pPr>
      <w:tabs>
        <w:tab w:val="center" w:pos="4320"/>
        <w:tab w:val="right" w:pos="8640"/>
      </w:tabs>
    </w:pPr>
  </w:style>
  <w:style w:type="paragraph" w:styleId="Footer">
    <w:name w:val="footer"/>
    <w:basedOn w:val="Normal"/>
    <w:link w:val="FooterChar"/>
    <w:uiPriority w:val="99"/>
    <w:rsid w:val="0035113E"/>
    <w:pPr>
      <w:tabs>
        <w:tab w:val="center" w:pos="4320"/>
        <w:tab w:val="right" w:pos="8640"/>
      </w:tabs>
    </w:pPr>
  </w:style>
  <w:style w:type="character" w:customStyle="1" w:styleId="FooterChar">
    <w:name w:val="Footer Char"/>
    <w:basedOn w:val="DefaultParagraphFont"/>
    <w:link w:val="Footer"/>
    <w:uiPriority w:val="99"/>
    <w:rsid w:val="00FC7EA4"/>
    <w:rPr>
      <w:sz w:val="24"/>
      <w:szCs w:val="24"/>
      <w:lang w:eastAsia="en-US"/>
    </w:rPr>
  </w:style>
  <w:style w:type="paragraph" w:customStyle="1" w:styleId="Default">
    <w:name w:val="Default"/>
    <w:rsid w:val="00C62384"/>
    <w:pPr>
      <w:autoSpaceDE w:val="0"/>
      <w:autoSpaceDN w:val="0"/>
      <w:adjustRightInd w:val="0"/>
    </w:pPr>
    <w:rPr>
      <w:rFonts w:ascii="Muli Light" w:hAnsi="Muli Light" w:cs="Muli Light"/>
      <w:color w:val="000000"/>
      <w:sz w:val="24"/>
      <w:szCs w:val="24"/>
    </w:rPr>
  </w:style>
  <w:style w:type="paragraph" w:customStyle="1" w:styleId="Pa11">
    <w:name w:val="Pa11"/>
    <w:basedOn w:val="Default"/>
    <w:next w:val="Default"/>
    <w:uiPriority w:val="99"/>
    <w:rsid w:val="00C62384"/>
    <w:pPr>
      <w:spacing w:line="181" w:lineRule="atLeast"/>
    </w:pPr>
    <w:rPr>
      <w:rFonts w:cs="Times New Roman"/>
      <w:color w:val="auto"/>
    </w:rPr>
  </w:style>
  <w:style w:type="character" w:customStyle="1" w:styleId="A9">
    <w:name w:val="A9"/>
    <w:uiPriority w:val="99"/>
    <w:rsid w:val="00C62384"/>
    <w:rPr>
      <w:rFonts w:cs="Muli Light"/>
      <w:color w:val="000000"/>
      <w:sz w:val="18"/>
      <w:szCs w:val="18"/>
      <w:u w:val="single"/>
    </w:rPr>
  </w:style>
  <w:style w:type="paragraph" w:styleId="ListParagraph">
    <w:name w:val="List Paragraph"/>
    <w:basedOn w:val="Normal"/>
    <w:uiPriority w:val="34"/>
    <w:qFormat/>
    <w:rsid w:val="00E30C37"/>
    <w:pPr>
      <w:ind w:left="720"/>
      <w:contextualSpacing/>
    </w:pPr>
  </w:style>
  <w:style w:type="paragraph" w:styleId="FootnoteText">
    <w:name w:val="footnote text"/>
    <w:basedOn w:val="Normal"/>
    <w:link w:val="FootnoteTextChar"/>
    <w:uiPriority w:val="99"/>
    <w:semiHidden/>
    <w:unhideWhenUsed/>
    <w:rsid w:val="00E30C37"/>
    <w:rPr>
      <w:sz w:val="20"/>
      <w:szCs w:val="20"/>
    </w:rPr>
  </w:style>
  <w:style w:type="character" w:customStyle="1" w:styleId="FootnoteTextChar">
    <w:name w:val="Footnote Text Char"/>
    <w:basedOn w:val="DefaultParagraphFont"/>
    <w:link w:val="FootnoteText"/>
    <w:uiPriority w:val="99"/>
    <w:semiHidden/>
    <w:rsid w:val="00E30C37"/>
    <w:rPr>
      <w:lang w:eastAsia="en-US"/>
    </w:rPr>
  </w:style>
  <w:style w:type="character" w:styleId="FootnoteReference">
    <w:name w:val="footnote reference"/>
    <w:basedOn w:val="DefaultParagraphFont"/>
    <w:uiPriority w:val="99"/>
    <w:semiHidden/>
    <w:unhideWhenUsed/>
    <w:rsid w:val="00E30C37"/>
    <w:rPr>
      <w:vertAlign w:val="superscript"/>
    </w:rPr>
  </w:style>
  <w:style w:type="character" w:customStyle="1" w:styleId="A4">
    <w:name w:val="A4"/>
    <w:uiPriority w:val="99"/>
    <w:rsid w:val="00261FA3"/>
    <w:rPr>
      <w:rFonts w:cs="Muli Light"/>
      <w:color w:val="000000"/>
      <w:sz w:val="16"/>
      <w:szCs w:val="16"/>
    </w:rPr>
  </w:style>
  <w:style w:type="paragraph" w:customStyle="1" w:styleId="Pa1">
    <w:name w:val="Pa1"/>
    <w:basedOn w:val="Default"/>
    <w:next w:val="Default"/>
    <w:uiPriority w:val="99"/>
    <w:rsid w:val="00261FA3"/>
    <w:pPr>
      <w:spacing w:line="241" w:lineRule="atLeast"/>
    </w:pPr>
    <w:rPr>
      <w:rFonts w:ascii="Muli SemiBold" w:hAnsi="Muli Semi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F553E3ECDD5F4D8929250173EC4B86" ma:contentTypeVersion="0" ma:contentTypeDescription="Create a new document." ma:contentTypeScope="" ma:versionID="27f014f370378b15db91788f1abb9b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3F767-8880-4C2E-96E1-E92B6EC446F0}">
  <ds:schemaRefs>
    <ds:schemaRef ds:uri="http://schemas.openxmlformats.org/officeDocument/2006/bibliography"/>
  </ds:schemaRefs>
</ds:datastoreItem>
</file>

<file path=customXml/itemProps2.xml><?xml version="1.0" encoding="utf-8"?>
<ds:datastoreItem xmlns:ds="http://schemas.openxmlformats.org/officeDocument/2006/customXml" ds:itemID="{266BC1E8-58D4-4C49-8FF5-21A7CEA335AA}"/>
</file>

<file path=customXml/itemProps3.xml><?xml version="1.0" encoding="utf-8"?>
<ds:datastoreItem xmlns:ds="http://schemas.openxmlformats.org/officeDocument/2006/customXml" ds:itemID="{43BCD135-44E3-47F7-B553-FC4BA9CBBD6A}"/>
</file>

<file path=customXml/itemProps4.xml><?xml version="1.0" encoding="utf-8"?>
<ds:datastoreItem xmlns:ds="http://schemas.openxmlformats.org/officeDocument/2006/customXml" ds:itemID="{FC3C9B83-9DE9-422F-BBC8-23DF40C5A4BA}"/>
</file>

<file path=docProps/app.xml><?xml version="1.0" encoding="utf-8"?>
<Properties xmlns="http://schemas.openxmlformats.org/officeDocument/2006/extended-properties" xmlns:vt="http://schemas.openxmlformats.org/officeDocument/2006/docPropsVTypes">
  <Template>Normal</Template>
  <TotalTime>1393</TotalTime>
  <Pages>6</Pages>
  <Words>1862</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12329</CharactersWithSpaces>
  <SharedDoc>false</SharedDoc>
  <HLinks>
    <vt:vector size="12" baseType="variant">
      <vt:variant>
        <vt:i4>393312</vt:i4>
      </vt:variant>
      <vt:variant>
        <vt:i4>1579</vt:i4>
      </vt:variant>
      <vt:variant>
        <vt:i4>1048</vt:i4>
      </vt:variant>
      <vt:variant>
        <vt:i4>1</vt:i4>
      </vt:variant>
      <vt:variant>
        <vt:lpwstr>logo for letterhead</vt:lpwstr>
      </vt:variant>
      <vt:variant>
        <vt:lpwstr/>
      </vt:variant>
      <vt:variant>
        <vt:i4>7536744</vt:i4>
      </vt:variant>
      <vt:variant>
        <vt:i4>1610</vt:i4>
      </vt:variant>
      <vt:variant>
        <vt:i4>1049</vt:i4>
      </vt:variant>
      <vt:variant>
        <vt:i4>1</vt:i4>
      </vt:variant>
      <vt:variant>
        <vt:lpwstr>address for 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Degenhardt</dc:creator>
  <cp:keywords/>
  <cp:lastModifiedBy>Sandy Ross</cp:lastModifiedBy>
  <cp:revision>8</cp:revision>
  <cp:lastPrinted>2007-03-15T00:01:00Z</cp:lastPrinted>
  <dcterms:created xsi:type="dcterms:W3CDTF">2018-07-23T05:52:00Z</dcterms:created>
  <dcterms:modified xsi:type="dcterms:W3CDTF">2018-07-25T08:27:00Z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0x010100C1F553E3ECDD5F4D8929250173EC4B86</vt:lpwstr>
  </property>
  <property fmtid="{D5CDD505-2E9C-101B-9397-08002B2CF9AE}" pid="3" name="TrimRevisionNumber">
    <vt:i4>1</vt:i4>
  </property>
</Properties>
</file>