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77E1" w14:textId="39F50E6F" w:rsidR="000F7B05" w:rsidRDefault="007D26AD">
      <w:pPr>
        <w:pStyle w:val="UTSBodytext"/>
        <w:tabs>
          <w:tab w:val="left" w:pos="1276"/>
        </w:tabs>
      </w:pPr>
      <w:r>
        <w:rPr>
          <w:noProof/>
          <w:lang w:eastAsia="en-AU"/>
        </w:rPr>
        <mc:AlternateContent>
          <mc:Choice Requires="wps">
            <w:drawing>
              <wp:anchor distT="0" distB="0" distL="114300" distR="114300" simplePos="0" relativeHeight="251659776" behindDoc="0" locked="0" layoutInCell="1" allowOverlap="1" wp14:anchorId="522624F6" wp14:editId="030034C5">
                <wp:simplePos x="0" y="0"/>
                <wp:positionH relativeFrom="column">
                  <wp:posOffset>-103505</wp:posOffset>
                </wp:positionH>
                <wp:positionV relativeFrom="paragraph">
                  <wp:posOffset>-3146425</wp:posOffset>
                </wp:positionV>
                <wp:extent cx="3789680" cy="1162050"/>
                <wp:effectExtent l="0" t="0"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1710" w14:textId="77777777" w:rsidR="00461B0C" w:rsidRPr="002963B6" w:rsidRDefault="0028757B" w:rsidP="00127C76">
                            <w:pPr>
                              <w:pStyle w:val="UTSHeading1"/>
                              <w:rPr>
                                <w:noProof w:val="0"/>
                                <w:sz w:val="40"/>
                              </w:rPr>
                            </w:pPr>
                            <w:r>
                              <w:rPr>
                                <w:caps w:val="0"/>
                                <w:noProof w:val="0"/>
                                <w:sz w:val="40"/>
                              </w:rPr>
                              <w:t>Digital Technology Hub</w:t>
                            </w:r>
                          </w:p>
                          <w:p w14:paraId="09317AD0" w14:textId="77777777" w:rsidR="00461B0C" w:rsidRDefault="0028757B" w:rsidP="00127C76">
                            <w:pPr>
                              <w:pStyle w:val="UTSHeading2"/>
                              <w:rPr>
                                <w:caps w:val="0"/>
                                <w:noProof w:val="0"/>
                                <w:sz w:val="28"/>
                              </w:rPr>
                            </w:pPr>
                            <w:r>
                              <w:rPr>
                                <w:caps w:val="0"/>
                                <w:noProof w:val="0"/>
                                <w:sz w:val="28"/>
                              </w:rPr>
                              <w:t xml:space="preserve">Consultation </w:t>
                            </w:r>
                            <w:r w:rsidR="00461B0C">
                              <w:rPr>
                                <w:caps w:val="0"/>
                                <w:noProof w:val="0"/>
                                <w:sz w:val="28"/>
                              </w:rPr>
                              <w:t xml:space="preserve">Paper, </w:t>
                            </w:r>
                            <w:r>
                              <w:rPr>
                                <w:caps w:val="0"/>
                                <w:noProof w:val="0"/>
                                <w:sz w:val="28"/>
                              </w:rPr>
                              <w:t>January 2020</w:t>
                            </w:r>
                            <w:r w:rsidR="00461B0C">
                              <w:rPr>
                                <w:caps w:val="0"/>
                                <w:noProof w:val="0"/>
                                <w:sz w:val="28"/>
                              </w:rPr>
                              <w:t xml:space="preserve"> </w:t>
                            </w:r>
                            <w:r w:rsidR="00461B0C">
                              <w:rPr>
                                <w:caps w:val="0"/>
                                <w:noProof w:val="0"/>
                                <w:sz w:val="28"/>
                              </w:rPr>
                              <w:br/>
                            </w:r>
                          </w:p>
                          <w:p w14:paraId="4A41214E" w14:textId="77777777" w:rsidR="00461B0C" w:rsidRDefault="00461B0C" w:rsidP="00127C76">
                            <w:pPr>
                              <w:pStyle w:val="UTSHeading2"/>
                              <w:rPr>
                                <w:caps w:val="0"/>
                                <w:noProof w:val="0"/>
                                <w:sz w:val="28"/>
                              </w:rPr>
                            </w:pPr>
                          </w:p>
                          <w:p w14:paraId="3FA77977" w14:textId="77777777" w:rsidR="00461B0C" w:rsidRDefault="00461B0C" w:rsidP="00127C76">
                            <w:pPr>
                              <w:pStyle w:val="UTSHeading2"/>
                              <w:rPr>
                                <w:caps w:val="0"/>
                                <w:noProof w:val="0"/>
                                <w:sz w:val="28"/>
                              </w:rPr>
                            </w:pPr>
                          </w:p>
                          <w:p w14:paraId="16EB92B0" w14:textId="77777777" w:rsidR="00461B0C" w:rsidRPr="001F3906" w:rsidRDefault="00461B0C" w:rsidP="003F3EEA">
                            <w:pPr>
                              <w:pStyle w:val="UTSHeading2"/>
                              <w:rPr>
                                <w:noProof w:val="0"/>
                                <w:sz w:val="28"/>
                              </w:rPr>
                            </w:pPr>
                            <w:r>
                              <w:rPr>
                                <w:caps w:val="0"/>
                                <w:noProof w:val="0"/>
                                <w:sz w:val="28"/>
                              </w:rPr>
                              <w:t xml:space="preserve">Submission to Department of Infrastructure, Transport, </w:t>
                            </w:r>
                            <w:r>
                              <w:rPr>
                                <w:caps w:val="0"/>
                                <w:noProof w:val="0"/>
                                <w:sz w:val="28"/>
                              </w:rPr>
                              <w:br/>
                              <w:t>Regional Development and Communications</w:t>
                            </w:r>
                          </w:p>
                          <w:p w14:paraId="66673636" w14:textId="77777777" w:rsidR="00461B0C" w:rsidRDefault="00461B0C" w:rsidP="00127C76">
                            <w:pPr>
                              <w:pStyle w:val="UTSHeading2"/>
                              <w:rPr>
                                <w:noProof w:val="0"/>
                              </w:rPr>
                            </w:pPr>
                          </w:p>
                          <w:p w14:paraId="2097B260" w14:textId="77777777" w:rsidR="00461B0C" w:rsidRDefault="00461B0C" w:rsidP="00127C76">
                            <w:pPr>
                              <w:pStyle w:val="UTSHeading1"/>
                              <w:spacing w:before="20" w:after="200"/>
                              <w:rPr>
                                <w:noProof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24F6" id="_x0000_t202" coordsize="21600,21600" o:spt="202" path="m,l,21600r21600,l21600,xe">
                <v:stroke joinstyle="miter"/>
                <v:path gradientshapeok="t" o:connecttype="rect"/>
              </v:shapetype>
              <v:shape id="Text Box 5" o:spid="_x0000_s1026" type="#_x0000_t202" style="position:absolute;margin-left:-8.15pt;margin-top:-247.75pt;width:298.4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x2tgIAALo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" filled="f" stroked="f">
                <v:textbox>
                  <w:txbxContent>
                    <w:p w14:paraId="0A701710" w14:textId="77777777" w:rsidR="00461B0C" w:rsidRPr="002963B6" w:rsidRDefault="0028757B" w:rsidP="00127C76">
                      <w:pPr>
                        <w:pStyle w:val="UTSHeading1"/>
                        <w:rPr>
                          <w:noProof w:val="0"/>
                          <w:sz w:val="40"/>
                        </w:rPr>
                      </w:pPr>
                      <w:r>
                        <w:rPr>
                          <w:caps w:val="0"/>
                          <w:noProof w:val="0"/>
                          <w:sz w:val="40"/>
                        </w:rPr>
                        <w:t>Digital Technology Hub</w:t>
                      </w:r>
                    </w:p>
                    <w:p w14:paraId="09317AD0" w14:textId="77777777" w:rsidR="00461B0C" w:rsidRDefault="0028757B" w:rsidP="00127C76">
                      <w:pPr>
                        <w:pStyle w:val="UTSHeading2"/>
                        <w:rPr>
                          <w:caps w:val="0"/>
                          <w:noProof w:val="0"/>
                          <w:sz w:val="28"/>
                        </w:rPr>
                      </w:pPr>
                      <w:r>
                        <w:rPr>
                          <w:caps w:val="0"/>
                          <w:noProof w:val="0"/>
                          <w:sz w:val="28"/>
                        </w:rPr>
                        <w:t xml:space="preserve">Consultation </w:t>
                      </w:r>
                      <w:r w:rsidR="00461B0C">
                        <w:rPr>
                          <w:caps w:val="0"/>
                          <w:noProof w:val="0"/>
                          <w:sz w:val="28"/>
                        </w:rPr>
                        <w:t xml:space="preserve">Paper, </w:t>
                      </w:r>
                      <w:r>
                        <w:rPr>
                          <w:caps w:val="0"/>
                          <w:noProof w:val="0"/>
                          <w:sz w:val="28"/>
                        </w:rPr>
                        <w:t>January 2020</w:t>
                      </w:r>
                      <w:r w:rsidR="00461B0C">
                        <w:rPr>
                          <w:caps w:val="0"/>
                          <w:noProof w:val="0"/>
                          <w:sz w:val="28"/>
                        </w:rPr>
                        <w:t xml:space="preserve"> </w:t>
                      </w:r>
                      <w:r w:rsidR="00461B0C">
                        <w:rPr>
                          <w:caps w:val="0"/>
                          <w:noProof w:val="0"/>
                          <w:sz w:val="28"/>
                        </w:rPr>
                        <w:br/>
                      </w:r>
                    </w:p>
                    <w:p w14:paraId="4A41214E" w14:textId="77777777" w:rsidR="00461B0C" w:rsidRDefault="00461B0C" w:rsidP="00127C76">
                      <w:pPr>
                        <w:pStyle w:val="UTSHeading2"/>
                        <w:rPr>
                          <w:caps w:val="0"/>
                          <w:noProof w:val="0"/>
                          <w:sz w:val="28"/>
                        </w:rPr>
                      </w:pPr>
                    </w:p>
                    <w:p w14:paraId="3FA77977" w14:textId="77777777" w:rsidR="00461B0C" w:rsidRDefault="00461B0C" w:rsidP="00127C76">
                      <w:pPr>
                        <w:pStyle w:val="UTSHeading2"/>
                        <w:rPr>
                          <w:caps w:val="0"/>
                          <w:noProof w:val="0"/>
                          <w:sz w:val="28"/>
                        </w:rPr>
                      </w:pPr>
                    </w:p>
                    <w:p w14:paraId="16EB92B0" w14:textId="77777777" w:rsidR="00461B0C" w:rsidRPr="001F3906" w:rsidRDefault="00461B0C" w:rsidP="003F3EEA">
                      <w:pPr>
                        <w:pStyle w:val="UTSHeading2"/>
                        <w:rPr>
                          <w:noProof w:val="0"/>
                          <w:sz w:val="28"/>
                        </w:rPr>
                      </w:pPr>
                      <w:r>
                        <w:rPr>
                          <w:caps w:val="0"/>
                          <w:noProof w:val="0"/>
                          <w:sz w:val="28"/>
                        </w:rPr>
                        <w:t xml:space="preserve">Submission to Department of Infrastructure, Transport, </w:t>
                      </w:r>
                      <w:r>
                        <w:rPr>
                          <w:caps w:val="0"/>
                          <w:noProof w:val="0"/>
                          <w:sz w:val="28"/>
                        </w:rPr>
                        <w:br/>
                        <w:t>Regional Development and Communications</w:t>
                      </w:r>
                    </w:p>
                    <w:p w14:paraId="66673636" w14:textId="77777777" w:rsidR="00461B0C" w:rsidRDefault="00461B0C" w:rsidP="00127C76">
                      <w:pPr>
                        <w:pStyle w:val="UTSHeading2"/>
                        <w:rPr>
                          <w:noProof w:val="0"/>
                        </w:rPr>
                      </w:pPr>
                    </w:p>
                    <w:p w14:paraId="2097B260" w14:textId="77777777" w:rsidR="00461B0C" w:rsidRDefault="00461B0C" w:rsidP="00127C76">
                      <w:pPr>
                        <w:pStyle w:val="UTSHeading1"/>
                        <w:spacing w:before="20" w:after="200"/>
                        <w:rPr>
                          <w:noProof w:val="0"/>
                        </w:rPr>
                      </w:pPr>
                    </w:p>
                  </w:txbxContent>
                </v:textbox>
              </v:shape>
            </w:pict>
          </mc:Fallback>
        </mc:AlternateContent>
      </w:r>
    </w:p>
    <w:p w14:paraId="41A1A7DD" w14:textId="77777777" w:rsidR="003C514B" w:rsidRDefault="003C514B">
      <w:pPr>
        <w:pStyle w:val="UTSBodytext"/>
        <w:tabs>
          <w:tab w:val="left" w:pos="1276"/>
        </w:tabs>
      </w:pPr>
    </w:p>
    <w:p w14:paraId="71B19ACE" w14:textId="77777777" w:rsidR="003C514B" w:rsidRDefault="003C514B">
      <w:pPr>
        <w:pStyle w:val="UTSBodytext"/>
        <w:tabs>
          <w:tab w:val="left" w:pos="1276"/>
        </w:tabs>
      </w:pPr>
    </w:p>
    <w:p w14:paraId="458CC2A7" w14:textId="77777777" w:rsidR="003C514B" w:rsidRDefault="003C514B">
      <w:pPr>
        <w:pStyle w:val="UTSBodytext"/>
        <w:tabs>
          <w:tab w:val="left" w:pos="1276"/>
        </w:tabs>
      </w:pPr>
    </w:p>
    <w:p w14:paraId="44145736" w14:textId="4EF238C8" w:rsidR="00E26B14" w:rsidRPr="00512765" w:rsidRDefault="007D26AD">
      <w:pPr>
        <w:pStyle w:val="UTSBodytext"/>
        <w:tabs>
          <w:tab w:val="left" w:pos="1276"/>
        </w:tabs>
      </w:pPr>
      <w:r>
        <w:rPr>
          <w:noProof/>
          <w:lang w:eastAsia="en-AU"/>
        </w:rPr>
        <mc:AlternateContent>
          <mc:Choice Requires="wps">
            <w:drawing>
              <wp:anchor distT="0" distB="0" distL="114300" distR="114300" simplePos="0" relativeHeight="251657728" behindDoc="0" locked="0" layoutInCell="1" allowOverlap="1" wp14:anchorId="1C64D972" wp14:editId="73318CC4">
                <wp:simplePos x="0" y="0"/>
                <wp:positionH relativeFrom="column">
                  <wp:posOffset>2075180</wp:posOffset>
                </wp:positionH>
                <wp:positionV relativeFrom="paragraph">
                  <wp:posOffset>-8012430</wp:posOffset>
                </wp:positionV>
                <wp:extent cx="2496185" cy="2571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51C9" w14:textId="77777777" w:rsidR="00461B0C" w:rsidRPr="00127C76" w:rsidRDefault="00461B0C">
                            <w:pPr>
                              <w:pStyle w:val="UTSHeading3"/>
                              <w:rPr>
                                <w:b/>
                                <w:noProof w:val="0"/>
                                <w:color w:val="7F7F7F" w:themeColor="text1" w:themeTint="80"/>
                                <w:sz w:val="40"/>
                                <w:szCs w:val="40"/>
                              </w:rPr>
                            </w:pPr>
                            <w:r w:rsidRPr="00127C76">
                              <w:rPr>
                                <w:b/>
                                <w:noProof w:val="0"/>
                                <w:color w:val="7F7F7F" w:themeColor="text1" w:themeTint="80"/>
                                <w:sz w:val="40"/>
                                <w:szCs w:val="40"/>
                              </w:rPr>
                              <w:t>CENTRE FOR MEDIA TRANSITION</w:t>
                            </w:r>
                          </w:p>
                          <w:p w14:paraId="1B8F6F74" w14:textId="77777777" w:rsidR="00461B0C" w:rsidRDefault="00461B0C">
                            <w:pPr>
                              <w:pStyle w:val="UTSHeading2"/>
                              <w:rPr>
                                <w:noProof w:val="0"/>
                              </w:rPr>
                            </w:pPr>
                          </w:p>
                          <w:p w14:paraId="68B36A0A" w14:textId="77777777" w:rsidR="00461B0C" w:rsidRDefault="00461B0C">
                            <w:pPr>
                              <w:pStyle w:val="UTSHeading1"/>
                              <w:spacing w:before="20" w:after="200"/>
                              <w:rPr>
                                <w:noProof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D972" id="Text Box 3" o:spid="_x0000_s1027" type="#_x0000_t202" style="position:absolute;margin-left:163.4pt;margin-top:-630.9pt;width:196.5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yB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" filled="f" stroked="f">
                <v:textbox>
                  <w:txbxContent>
                    <w:p w14:paraId="5F3551C9" w14:textId="77777777" w:rsidR="00461B0C" w:rsidRPr="00127C76" w:rsidRDefault="00461B0C">
                      <w:pPr>
                        <w:pStyle w:val="UTSHeading3"/>
                        <w:rPr>
                          <w:b/>
                          <w:noProof w:val="0"/>
                          <w:color w:val="7F7F7F" w:themeColor="text1" w:themeTint="80"/>
                          <w:sz w:val="40"/>
                          <w:szCs w:val="40"/>
                        </w:rPr>
                      </w:pPr>
                      <w:r w:rsidRPr="00127C76">
                        <w:rPr>
                          <w:b/>
                          <w:noProof w:val="0"/>
                          <w:color w:val="7F7F7F" w:themeColor="text1" w:themeTint="80"/>
                          <w:sz w:val="40"/>
                          <w:szCs w:val="40"/>
                        </w:rPr>
                        <w:t>CENTRE FOR MEDIA TRANSITION</w:t>
                      </w:r>
                    </w:p>
                    <w:p w14:paraId="1B8F6F74" w14:textId="77777777" w:rsidR="00461B0C" w:rsidRDefault="00461B0C">
                      <w:pPr>
                        <w:pStyle w:val="UTSHeading2"/>
                        <w:rPr>
                          <w:noProof w:val="0"/>
                        </w:rPr>
                      </w:pPr>
                    </w:p>
                    <w:p w14:paraId="68B36A0A" w14:textId="77777777" w:rsidR="00461B0C" w:rsidRDefault="00461B0C">
                      <w:pPr>
                        <w:pStyle w:val="UTSHeading1"/>
                        <w:spacing w:before="20" w:after="200"/>
                        <w:rPr>
                          <w:noProof w:val="0"/>
                        </w:rPr>
                      </w:pPr>
                    </w:p>
                  </w:txbxContent>
                </v:textbox>
              </v:shape>
            </w:pict>
          </mc:Fallback>
        </mc:AlternateContent>
      </w:r>
    </w:p>
    <w:p w14:paraId="5B628496" w14:textId="77777777" w:rsidR="00E26B14" w:rsidRPr="00512765" w:rsidRDefault="00127C76">
      <w:pPr>
        <w:pStyle w:val="UTSBodytext"/>
        <w:tabs>
          <w:tab w:val="left" w:pos="1276"/>
        </w:tabs>
      </w:pPr>
      <w:r>
        <w:t>DATE:</w:t>
      </w:r>
      <w:r>
        <w:tab/>
      </w:r>
      <w:r w:rsidR="0028757B">
        <w:t xml:space="preserve">21 </w:t>
      </w:r>
      <w:r w:rsidR="003F3EEA">
        <w:t>February</w:t>
      </w:r>
      <w:r w:rsidR="0076589F">
        <w:t xml:space="preserve"> 2020</w:t>
      </w:r>
      <w:bookmarkStart w:id="0" w:name="_GoBack"/>
      <w:bookmarkEnd w:id="0"/>
    </w:p>
    <w:p w14:paraId="6D8563C1" w14:textId="77777777" w:rsidR="002B5245" w:rsidRPr="00512765" w:rsidRDefault="002B5245" w:rsidP="00127C76">
      <w:pPr>
        <w:pStyle w:val="UTSBodytext"/>
      </w:pPr>
    </w:p>
    <w:p w14:paraId="3150C738" w14:textId="77777777" w:rsidR="000F7B05" w:rsidRDefault="000F7B05">
      <w:pPr>
        <w:spacing w:before="0"/>
        <w:rPr>
          <w:b/>
          <w:color w:val="800000"/>
          <w:sz w:val="26"/>
          <w:szCs w:val="26"/>
        </w:rPr>
      </w:pPr>
      <w:r>
        <w:br w:type="page"/>
      </w:r>
    </w:p>
    <w:p w14:paraId="02F77C99" w14:textId="77777777" w:rsidR="00FE08F1" w:rsidRPr="009C3FF6" w:rsidRDefault="00FE08F1" w:rsidP="009402B8">
      <w:pPr>
        <w:pStyle w:val="Heading2"/>
      </w:pPr>
      <w:r w:rsidRPr="009C3FF6">
        <w:lastRenderedPageBreak/>
        <w:t xml:space="preserve">About the Centre for Media Transition </w:t>
      </w:r>
    </w:p>
    <w:p w14:paraId="6B73B778" w14:textId="77777777" w:rsidR="00FE08F1" w:rsidRDefault="00FE08F1" w:rsidP="009402B8">
      <w:pPr>
        <w:pStyle w:val="Heading1"/>
      </w:pPr>
    </w:p>
    <w:p w14:paraId="51527825" w14:textId="77777777" w:rsidR="00FE08F1" w:rsidRPr="00FE08F1" w:rsidRDefault="00FE08F1" w:rsidP="00FE08F1">
      <w:pPr>
        <w:spacing w:after="80" w:line="276" w:lineRule="auto"/>
        <w:rPr>
          <w:rFonts w:eastAsia="Calibri"/>
          <w:sz w:val="20"/>
          <w:lang w:eastAsia="en-AU"/>
        </w:rPr>
      </w:pPr>
      <w:r w:rsidRPr="00FE08F1">
        <w:rPr>
          <w:rFonts w:eastAsia="Calibri"/>
          <w:sz w:val="20"/>
          <w:lang w:eastAsia="en-AU"/>
        </w:rPr>
        <w:t>The Centre for Media Transition is an interdisciplinary research centre established jointly by the Faculty of Law and the Faculty of</w:t>
      </w:r>
      <w:r>
        <w:rPr>
          <w:rFonts w:eastAsia="Calibri"/>
          <w:sz w:val="20"/>
          <w:lang w:eastAsia="en-AU"/>
        </w:rPr>
        <w:t xml:space="preserve"> Arts and Social Sciences at </w:t>
      </w:r>
      <w:r w:rsidR="0031576D">
        <w:rPr>
          <w:rFonts w:eastAsia="Calibri"/>
          <w:sz w:val="20"/>
          <w:lang w:eastAsia="en-AU"/>
        </w:rPr>
        <w:t xml:space="preserve">the </w:t>
      </w:r>
      <w:r>
        <w:rPr>
          <w:rFonts w:eastAsia="Calibri"/>
          <w:sz w:val="20"/>
          <w:lang w:eastAsia="en-AU"/>
        </w:rPr>
        <w:t>University of Technology Sydney</w:t>
      </w:r>
      <w:r w:rsidRPr="00FE08F1">
        <w:rPr>
          <w:rFonts w:eastAsia="Calibri"/>
          <w:sz w:val="20"/>
          <w:lang w:eastAsia="en-AU"/>
        </w:rPr>
        <w:t>.</w:t>
      </w:r>
    </w:p>
    <w:p w14:paraId="63D81674" w14:textId="77777777" w:rsidR="00FE08F1" w:rsidRDefault="00FE08F1" w:rsidP="00FE08F1">
      <w:pPr>
        <w:spacing w:after="80" w:line="276" w:lineRule="auto"/>
        <w:rPr>
          <w:rFonts w:eastAsia="Calibri"/>
          <w:sz w:val="20"/>
          <w:lang w:eastAsia="en-AU"/>
        </w:rPr>
      </w:pPr>
      <w:r w:rsidRPr="00FE08F1">
        <w:rPr>
          <w:rFonts w:eastAsia="Calibri"/>
          <w:sz w:val="20"/>
          <w:lang w:eastAsia="en-AU"/>
        </w:rPr>
        <w:t>We investigate key areas of media evolution and transition, including: journalism and industry best practice; new business models; and regulatory adaptation. We work with industry, public and private institutions to explore the ongoing movements and pressures wrought by disruption. Emphasising the impact and promise of new technologies, we aim to understand how digital transition can be harnessed to develop local media and to enhance the role of journalism in democratic, civil society.</w:t>
      </w:r>
    </w:p>
    <w:p w14:paraId="73E2595F" w14:textId="77777777" w:rsidR="003F3EEA" w:rsidRDefault="003F3EEA" w:rsidP="00FE08F1">
      <w:pPr>
        <w:spacing w:after="80" w:line="276" w:lineRule="auto"/>
        <w:rPr>
          <w:rFonts w:eastAsia="Calibri"/>
          <w:sz w:val="20"/>
          <w:lang w:eastAsia="en-AU"/>
        </w:rPr>
      </w:pPr>
    </w:p>
    <w:p w14:paraId="4D8B8DAB" w14:textId="77777777" w:rsidR="003F3EEA" w:rsidRDefault="003F3EEA" w:rsidP="00FE08F1">
      <w:pPr>
        <w:spacing w:after="80" w:line="276" w:lineRule="auto"/>
        <w:rPr>
          <w:rFonts w:eastAsia="Calibri"/>
          <w:sz w:val="20"/>
          <w:lang w:eastAsia="en-AU"/>
        </w:rPr>
      </w:pPr>
      <w:r>
        <w:rPr>
          <w:rFonts w:eastAsia="Calibri"/>
          <w:sz w:val="20"/>
          <w:lang w:eastAsia="en-AU"/>
        </w:rPr>
        <w:t>This submission was prepared by:</w:t>
      </w:r>
    </w:p>
    <w:p w14:paraId="7DC6B235" w14:textId="77777777" w:rsidR="003F3EEA" w:rsidRPr="008B6895" w:rsidRDefault="00A44854" w:rsidP="008B6895">
      <w:pPr>
        <w:pStyle w:val="ListParagraph"/>
        <w:numPr>
          <w:ilvl w:val="0"/>
          <w:numId w:val="24"/>
        </w:numPr>
        <w:spacing w:after="80" w:line="276" w:lineRule="auto"/>
        <w:rPr>
          <w:rFonts w:eastAsia="Calibri"/>
          <w:sz w:val="20"/>
          <w:lang w:eastAsia="en-AU"/>
        </w:rPr>
      </w:pPr>
      <w:r w:rsidRPr="008B6895">
        <w:rPr>
          <w:rFonts w:eastAsia="Calibri"/>
          <w:sz w:val="20"/>
          <w:lang w:eastAsia="en-AU"/>
        </w:rPr>
        <w:t xml:space="preserve">Dr </w:t>
      </w:r>
      <w:r w:rsidR="00F87E77" w:rsidRPr="008B6895">
        <w:rPr>
          <w:rFonts w:eastAsia="Calibri"/>
          <w:sz w:val="20"/>
          <w:lang w:eastAsia="en-AU"/>
        </w:rPr>
        <w:t>Karen Lee</w:t>
      </w:r>
    </w:p>
    <w:p w14:paraId="4AAF9A55" w14:textId="77777777" w:rsidR="00A44854" w:rsidRPr="008B6895" w:rsidRDefault="00A44854" w:rsidP="008B6895">
      <w:pPr>
        <w:pStyle w:val="ListParagraph"/>
        <w:numPr>
          <w:ilvl w:val="0"/>
          <w:numId w:val="24"/>
        </w:numPr>
        <w:spacing w:after="80" w:line="276" w:lineRule="auto"/>
        <w:rPr>
          <w:rFonts w:eastAsia="Calibri"/>
          <w:sz w:val="20"/>
          <w:lang w:eastAsia="en-AU"/>
        </w:rPr>
      </w:pPr>
      <w:r w:rsidRPr="008B6895">
        <w:rPr>
          <w:rFonts w:eastAsia="Calibri"/>
          <w:sz w:val="20"/>
          <w:lang w:eastAsia="en-AU"/>
        </w:rPr>
        <w:t>Dr Derek Wilding</w:t>
      </w:r>
    </w:p>
    <w:p w14:paraId="4DC08B1D" w14:textId="77777777" w:rsidR="00FE08F1" w:rsidRPr="00FE08F1" w:rsidRDefault="00FE08F1" w:rsidP="00FE08F1">
      <w:pPr>
        <w:spacing w:after="80" w:line="276" w:lineRule="auto"/>
        <w:rPr>
          <w:rFonts w:eastAsia="Calibri"/>
          <w:sz w:val="20"/>
          <w:lang w:eastAsia="en-AU"/>
        </w:rPr>
      </w:pPr>
    </w:p>
    <w:p w14:paraId="6EA5C860" w14:textId="77777777" w:rsidR="00FE08F1" w:rsidRDefault="00FE08F1" w:rsidP="009402B8">
      <w:pPr>
        <w:pStyle w:val="Heading1"/>
      </w:pPr>
    </w:p>
    <w:p w14:paraId="6904F9D7" w14:textId="77777777" w:rsidR="00FE08F1" w:rsidRPr="00FE08F1" w:rsidRDefault="00FE08F1" w:rsidP="00FE08F1"/>
    <w:p w14:paraId="7EF1ADC1" w14:textId="77777777" w:rsidR="00FE08F1" w:rsidRPr="00FE08F1" w:rsidRDefault="00FE08F1" w:rsidP="00FE08F1">
      <w:pPr>
        <w:spacing w:after="80" w:line="276" w:lineRule="auto"/>
        <w:rPr>
          <w:rFonts w:eastAsia="Calibri"/>
          <w:b/>
          <w:sz w:val="18"/>
          <w:szCs w:val="24"/>
          <w:lang w:eastAsia="en-AU"/>
        </w:rPr>
      </w:pPr>
      <w:bookmarkStart w:id="1" w:name="_Toc506903363"/>
      <w:bookmarkStart w:id="2" w:name="_Toc506903418"/>
      <w:bookmarkStart w:id="3" w:name="_Toc506903910"/>
      <w:bookmarkStart w:id="4" w:name="_Toc506904259"/>
      <w:r w:rsidRPr="00FE08F1">
        <w:rPr>
          <w:rFonts w:eastAsia="Calibri"/>
          <w:b/>
          <w:sz w:val="18"/>
          <w:szCs w:val="24"/>
          <w:lang w:eastAsia="en-AU"/>
        </w:rPr>
        <w:t>Contact</w:t>
      </w:r>
      <w:bookmarkEnd w:id="1"/>
      <w:bookmarkEnd w:id="2"/>
      <w:bookmarkEnd w:id="3"/>
      <w:bookmarkEnd w:id="4"/>
      <w:r w:rsidRPr="00FE08F1">
        <w:rPr>
          <w:rFonts w:eastAsia="Calibri"/>
          <w:b/>
          <w:sz w:val="18"/>
          <w:szCs w:val="24"/>
          <w:lang w:eastAsia="en-AU"/>
        </w:rPr>
        <w:t xml:space="preserve"> </w:t>
      </w:r>
    </w:p>
    <w:p w14:paraId="18A3C099" w14:textId="77777777" w:rsidR="00FE08F1" w:rsidRDefault="00FE08F1" w:rsidP="00FE08F1">
      <w:pPr>
        <w:spacing w:after="80" w:line="276" w:lineRule="auto"/>
        <w:rPr>
          <w:rFonts w:eastAsia="Calibri"/>
          <w:sz w:val="18"/>
          <w:szCs w:val="24"/>
          <w:lang w:eastAsia="en-AU"/>
        </w:rPr>
      </w:pPr>
      <w:r w:rsidRPr="00FE08F1">
        <w:rPr>
          <w:rFonts w:eastAsia="Calibri"/>
          <w:sz w:val="18"/>
          <w:szCs w:val="24"/>
          <w:lang w:eastAsia="en-AU"/>
        </w:rPr>
        <w:t>Centre for Media Transition</w:t>
      </w:r>
      <w:r w:rsidR="003F3EEA">
        <w:rPr>
          <w:rFonts w:eastAsia="Calibri"/>
          <w:sz w:val="18"/>
          <w:szCs w:val="24"/>
          <w:lang w:eastAsia="en-AU"/>
        </w:rPr>
        <w:br/>
        <w:t>Faculty of Law</w:t>
      </w:r>
      <w:r w:rsidR="00E20751">
        <w:rPr>
          <w:rFonts w:eastAsia="Calibri"/>
          <w:sz w:val="18"/>
          <w:szCs w:val="24"/>
          <w:lang w:eastAsia="en-AU"/>
        </w:rPr>
        <w:t>, University of Technology Sydney</w:t>
      </w:r>
      <w:r w:rsidRPr="00FE08F1">
        <w:rPr>
          <w:rFonts w:eastAsia="Calibri"/>
          <w:sz w:val="18"/>
          <w:szCs w:val="24"/>
          <w:lang w:eastAsia="en-AU"/>
        </w:rPr>
        <w:br/>
        <w:t xml:space="preserve">Building </w:t>
      </w:r>
      <w:r w:rsidR="00BF4971">
        <w:rPr>
          <w:rFonts w:eastAsia="Calibri"/>
          <w:sz w:val="18"/>
          <w:szCs w:val="24"/>
          <w:lang w:eastAsia="en-AU"/>
        </w:rPr>
        <w:t>2</w:t>
      </w:r>
      <w:r w:rsidRPr="00FE08F1">
        <w:rPr>
          <w:rFonts w:eastAsia="Calibri"/>
          <w:sz w:val="18"/>
          <w:szCs w:val="24"/>
          <w:lang w:eastAsia="en-AU"/>
        </w:rPr>
        <w:t xml:space="preserve">, Level </w:t>
      </w:r>
      <w:r w:rsidR="00BF4971">
        <w:rPr>
          <w:rFonts w:eastAsia="Calibri"/>
          <w:sz w:val="18"/>
          <w:szCs w:val="24"/>
          <w:lang w:eastAsia="en-AU"/>
        </w:rPr>
        <w:t>15</w:t>
      </w:r>
      <w:r w:rsidR="00BC41FA">
        <w:rPr>
          <w:rFonts w:eastAsia="Calibri"/>
          <w:sz w:val="18"/>
          <w:szCs w:val="24"/>
          <w:lang w:eastAsia="en-AU"/>
        </w:rPr>
        <w:t xml:space="preserve">        </w:t>
      </w:r>
      <w:r w:rsidRPr="00FE08F1">
        <w:rPr>
          <w:rFonts w:eastAsia="Calibri"/>
          <w:sz w:val="18"/>
          <w:szCs w:val="24"/>
          <w:lang w:eastAsia="en-AU"/>
        </w:rPr>
        <w:br/>
        <w:t xml:space="preserve">UTS City Campus, </w:t>
      </w:r>
      <w:r w:rsidR="00BF4971">
        <w:rPr>
          <w:rFonts w:eastAsia="Calibri"/>
          <w:sz w:val="18"/>
          <w:szCs w:val="24"/>
          <w:lang w:eastAsia="en-AU"/>
        </w:rPr>
        <w:t>Broadway</w:t>
      </w:r>
      <w:r w:rsidR="00BF4971">
        <w:rPr>
          <w:rFonts w:eastAsia="Calibri"/>
          <w:sz w:val="18"/>
          <w:szCs w:val="24"/>
          <w:lang w:eastAsia="en-AU"/>
        </w:rPr>
        <w:br/>
      </w:r>
      <w:r w:rsidRPr="00FE08F1">
        <w:rPr>
          <w:rFonts w:eastAsia="Calibri"/>
          <w:sz w:val="18"/>
          <w:szCs w:val="24"/>
          <w:lang w:eastAsia="en-AU"/>
        </w:rPr>
        <w:t xml:space="preserve">PO Box 123, Broadway NSW 2007 </w:t>
      </w:r>
    </w:p>
    <w:p w14:paraId="5D206E3E" w14:textId="77777777" w:rsidR="00FE08F1" w:rsidRDefault="00FE08F1" w:rsidP="00FE08F1">
      <w:pPr>
        <w:spacing w:after="80" w:line="276" w:lineRule="auto"/>
        <w:rPr>
          <w:rFonts w:eastAsia="Calibri"/>
          <w:sz w:val="18"/>
          <w:szCs w:val="24"/>
          <w:lang w:eastAsia="en-AU"/>
        </w:rPr>
      </w:pPr>
      <w:r>
        <w:rPr>
          <w:rFonts w:eastAsia="Calibri"/>
          <w:sz w:val="18"/>
          <w:szCs w:val="24"/>
          <w:lang w:eastAsia="en-AU"/>
        </w:rPr>
        <w:t>cmt@uts.edu.au</w:t>
      </w:r>
      <w:r>
        <w:rPr>
          <w:rFonts w:eastAsia="Calibri"/>
          <w:sz w:val="18"/>
          <w:szCs w:val="24"/>
          <w:lang w:eastAsia="en-AU"/>
        </w:rPr>
        <w:br/>
        <w:t>+61 2 9514 9669</w:t>
      </w:r>
    </w:p>
    <w:p w14:paraId="4032375C" w14:textId="77777777" w:rsidR="00FE08F1" w:rsidRPr="00FE08F1" w:rsidRDefault="00831269" w:rsidP="00FE08F1">
      <w:pPr>
        <w:spacing w:after="80" w:line="276" w:lineRule="auto"/>
        <w:rPr>
          <w:rFonts w:eastAsia="Calibri"/>
          <w:sz w:val="18"/>
          <w:szCs w:val="24"/>
          <w:lang w:eastAsia="en-AU"/>
        </w:rPr>
      </w:pPr>
      <w:hyperlink r:id="rId11" w:history="1">
        <w:r w:rsidR="00FE08F1">
          <w:rPr>
            <w:rFonts w:eastAsia="Calibri"/>
            <w:color w:val="0F4BEB"/>
            <w:sz w:val="16"/>
            <w:u w:val="single"/>
            <w:lang w:eastAsia="en-AU"/>
          </w:rPr>
          <w:t>cmt.uts.edu.au</w:t>
        </w:r>
      </w:hyperlink>
    </w:p>
    <w:p w14:paraId="6182A168" w14:textId="77777777" w:rsidR="00FE08F1" w:rsidRDefault="00FE08F1" w:rsidP="009402B8">
      <w:pPr>
        <w:pStyle w:val="Heading1"/>
      </w:pPr>
    </w:p>
    <w:p w14:paraId="6B76FC94" w14:textId="77777777" w:rsidR="00FE08F1" w:rsidRDefault="00FE08F1" w:rsidP="009402B8">
      <w:pPr>
        <w:pStyle w:val="Heading1"/>
      </w:pPr>
    </w:p>
    <w:p w14:paraId="4EC4A5E3" w14:textId="77777777" w:rsidR="00FE08F1" w:rsidRDefault="00FE08F1">
      <w:pPr>
        <w:spacing w:before="0"/>
        <w:rPr>
          <w:b/>
          <w:color w:val="800000"/>
          <w:sz w:val="26"/>
          <w:szCs w:val="26"/>
        </w:rPr>
      </w:pPr>
      <w:r>
        <w:br w:type="page"/>
      </w:r>
    </w:p>
    <w:p w14:paraId="691CD37F" w14:textId="77777777" w:rsidR="00363C9C" w:rsidRDefault="00363C9C">
      <w:pPr>
        <w:spacing w:before="0"/>
        <w:rPr>
          <w:rFonts w:cs="Arial"/>
          <w:b/>
          <w:sz w:val="28"/>
          <w:szCs w:val="28"/>
        </w:rPr>
      </w:pPr>
    </w:p>
    <w:p w14:paraId="11EAADC5" w14:textId="77777777" w:rsidR="002D7BA7" w:rsidRDefault="002D7BA7" w:rsidP="00A311C0">
      <w:pPr>
        <w:pStyle w:val="Heading1"/>
        <w:jc w:val="both"/>
      </w:pPr>
      <w:r>
        <w:t xml:space="preserve">1.  Introduction </w:t>
      </w:r>
    </w:p>
    <w:p w14:paraId="23ADC37B" w14:textId="77777777" w:rsidR="00461B0C" w:rsidRDefault="00461B0C" w:rsidP="00A311C0">
      <w:pPr>
        <w:jc w:val="both"/>
      </w:pPr>
      <w:r w:rsidRPr="00512765">
        <w:t>Thank you for the opportunity to contribute to this</w:t>
      </w:r>
      <w:r w:rsidR="009402B8">
        <w:t xml:space="preserve"> consultation on the Digital Technology Hub</w:t>
      </w:r>
      <w:r w:rsidRPr="00512765">
        <w:t>.</w:t>
      </w:r>
      <w:r>
        <w:t xml:space="preserve"> </w:t>
      </w:r>
    </w:p>
    <w:p w14:paraId="5C310C0A" w14:textId="5E3D395F" w:rsidR="00421F4F" w:rsidRDefault="00461B0C" w:rsidP="00A311C0">
      <w:pPr>
        <w:jc w:val="both"/>
      </w:pPr>
      <w:r>
        <w:t xml:space="preserve">Our submission addresses questions </w:t>
      </w:r>
      <w:r w:rsidR="009402B8">
        <w:t>1</w:t>
      </w:r>
      <w:r w:rsidR="00E12A8F">
        <w:t xml:space="preserve"> </w:t>
      </w:r>
      <w:r w:rsidR="00DB4998">
        <w:t xml:space="preserve">and 9 </w:t>
      </w:r>
      <w:r w:rsidR="009402B8">
        <w:t xml:space="preserve">posed </w:t>
      </w:r>
      <w:r>
        <w:t xml:space="preserve">by the Department. </w:t>
      </w:r>
    </w:p>
    <w:p w14:paraId="3848812C" w14:textId="11B1DA17" w:rsidR="00976578" w:rsidRDefault="00976578" w:rsidP="00A311C0">
      <w:pPr>
        <w:jc w:val="both"/>
      </w:pPr>
      <w:r>
        <w:t xml:space="preserve">We are </w:t>
      </w:r>
      <w:r w:rsidR="00E30C04">
        <w:t xml:space="preserve">Dr </w:t>
      </w:r>
      <w:r>
        <w:t>Derek Wilding</w:t>
      </w:r>
      <w:r w:rsidR="00A11C9C">
        <w:t>, Co-director of the Centre for Media Transition,</w:t>
      </w:r>
      <w:r>
        <w:t xml:space="preserve"> and Dr Karen Lee</w:t>
      </w:r>
      <w:r w:rsidR="00A11C9C">
        <w:t>, senior lecture</w:t>
      </w:r>
      <w:r w:rsidR="001145DC">
        <w:t>r</w:t>
      </w:r>
      <w:r w:rsidR="00A11C9C">
        <w:t xml:space="preserve"> in the Faculty of Law at UTS. </w:t>
      </w:r>
    </w:p>
    <w:p w14:paraId="60A7CAF9" w14:textId="77777777" w:rsidR="009402B8" w:rsidRDefault="009402B8" w:rsidP="00A311C0">
      <w:pPr>
        <w:jc w:val="both"/>
      </w:pPr>
    </w:p>
    <w:p w14:paraId="2022AF84" w14:textId="77777777" w:rsidR="009402B8" w:rsidRDefault="009402B8" w:rsidP="00A311C0">
      <w:pPr>
        <w:pStyle w:val="Heading1"/>
        <w:jc w:val="both"/>
      </w:pPr>
      <w:r>
        <w:t>2.  Question 1</w:t>
      </w:r>
    </w:p>
    <w:p w14:paraId="691ABC35" w14:textId="0B8388E5" w:rsidR="00D85428" w:rsidRDefault="00976578" w:rsidP="00D85428">
      <w:pPr>
        <w:jc w:val="both"/>
      </w:pPr>
      <w:r>
        <w:t>In November 2019, we</w:t>
      </w:r>
      <w:r w:rsidR="00A11C9C">
        <w:t xml:space="preserve"> completed an 18-month </w:t>
      </w:r>
      <w:r w:rsidR="00A11C9C">
        <w:rPr>
          <w:sz w:val="23"/>
          <w:szCs w:val="23"/>
        </w:rPr>
        <w:t xml:space="preserve">research project, funded by the Australian Communications Consumer Action Network (ACCAN), examining consumer and public </w:t>
      </w:r>
      <w:r w:rsidR="00CD76BB">
        <w:rPr>
          <w:sz w:val="23"/>
          <w:szCs w:val="23"/>
        </w:rPr>
        <w:t xml:space="preserve">engagement </w:t>
      </w:r>
      <w:r w:rsidR="00A11C9C">
        <w:rPr>
          <w:sz w:val="23"/>
          <w:szCs w:val="23"/>
        </w:rPr>
        <w:t>in industry rule-making in a converged communications environment.</w:t>
      </w:r>
    </w:p>
    <w:p w14:paraId="1D9799FC" w14:textId="601D0597" w:rsidR="001145DC" w:rsidRDefault="00A11C9C" w:rsidP="0067796D">
      <w:pPr>
        <w:spacing w:before="0"/>
        <w:jc w:val="both"/>
        <w:rPr>
          <w:sz w:val="23"/>
          <w:szCs w:val="23"/>
        </w:rPr>
      </w:pPr>
      <w:r>
        <w:rPr>
          <w:sz w:val="23"/>
          <w:szCs w:val="23"/>
        </w:rPr>
        <w:t xml:space="preserve"> </w:t>
      </w:r>
    </w:p>
    <w:p w14:paraId="2E4FC3C2" w14:textId="3B976ACA" w:rsidR="0067796D" w:rsidRDefault="001D5779" w:rsidP="0067796D">
      <w:pPr>
        <w:spacing w:before="0"/>
        <w:jc w:val="both"/>
        <w:rPr>
          <w:sz w:val="23"/>
          <w:szCs w:val="23"/>
        </w:rPr>
      </w:pPr>
      <w:r>
        <w:rPr>
          <w:sz w:val="23"/>
          <w:szCs w:val="23"/>
        </w:rPr>
        <w:t>As part of the project, we identified 20 self- and co-regulatory industry bodies and schemes (referred to below as ‘</w:t>
      </w:r>
      <w:r w:rsidR="001145DC">
        <w:rPr>
          <w:sz w:val="23"/>
          <w:szCs w:val="23"/>
        </w:rPr>
        <w:t>industry schemes’) operating in the advertising, media, and o</w:t>
      </w:r>
      <w:r w:rsidR="008A6456">
        <w:rPr>
          <w:sz w:val="23"/>
          <w:szCs w:val="23"/>
        </w:rPr>
        <w:t>nline telecommunications sectors</w:t>
      </w:r>
      <w:r w:rsidR="00B67F54">
        <w:rPr>
          <w:sz w:val="23"/>
          <w:szCs w:val="23"/>
        </w:rPr>
        <w:t xml:space="preserve"> (</w:t>
      </w:r>
      <w:r w:rsidR="00011E83">
        <w:rPr>
          <w:sz w:val="23"/>
          <w:szCs w:val="23"/>
        </w:rPr>
        <w:t>collectively referred to as the ‘communications industry’)</w:t>
      </w:r>
      <w:r w:rsidR="00D85428">
        <w:rPr>
          <w:sz w:val="23"/>
          <w:szCs w:val="23"/>
        </w:rPr>
        <w:t>.</w:t>
      </w:r>
      <w:r w:rsidR="001145DC">
        <w:rPr>
          <w:sz w:val="23"/>
          <w:szCs w:val="23"/>
        </w:rPr>
        <w:t xml:space="preserve"> </w:t>
      </w:r>
      <w:r w:rsidR="00CD76BB">
        <w:rPr>
          <w:sz w:val="23"/>
          <w:szCs w:val="23"/>
        </w:rPr>
        <w:t>The schemes included the co-regulatory codes of practice administered by the telecommunications and broadcasting peak bodies, Communications Alliance and Free TV Australia; the self-regulatory press and advertising schemes operated by the Australian Press Council and the Australian Association of National Advertisers; the domain name registration scheme operated by .au Domain Administration Limited (</w:t>
      </w:r>
      <w:proofErr w:type="spellStart"/>
      <w:r w:rsidR="00CD76BB">
        <w:rPr>
          <w:sz w:val="23"/>
          <w:szCs w:val="23"/>
        </w:rPr>
        <w:t>auDA</w:t>
      </w:r>
      <w:proofErr w:type="spellEnd"/>
      <w:r w:rsidR="00CD76BB">
        <w:rPr>
          <w:sz w:val="23"/>
          <w:szCs w:val="23"/>
        </w:rPr>
        <w:t>); and the cross</w:t>
      </w:r>
      <w:r w:rsidR="00D94913">
        <w:rPr>
          <w:sz w:val="23"/>
          <w:szCs w:val="23"/>
        </w:rPr>
        <w:t>-sector rule-making of Standards Australia.</w:t>
      </w:r>
    </w:p>
    <w:p w14:paraId="30169F6A" w14:textId="1BE15392" w:rsidR="00CD76BB" w:rsidRDefault="00CD76BB" w:rsidP="0067796D">
      <w:pPr>
        <w:spacing w:before="0"/>
        <w:jc w:val="both"/>
        <w:rPr>
          <w:sz w:val="23"/>
          <w:szCs w:val="23"/>
        </w:rPr>
      </w:pPr>
      <w:r>
        <w:rPr>
          <w:sz w:val="23"/>
          <w:szCs w:val="23"/>
        </w:rPr>
        <w:t xml:space="preserve"> </w:t>
      </w:r>
    </w:p>
    <w:p w14:paraId="53057F25" w14:textId="350EAB60" w:rsidR="00143E1A" w:rsidRDefault="00CD76BB" w:rsidP="0067796D">
      <w:pPr>
        <w:spacing w:before="0"/>
        <w:jc w:val="both"/>
        <w:rPr>
          <w:sz w:val="23"/>
          <w:szCs w:val="23"/>
        </w:rPr>
      </w:pPr>
      <w:r>
        <w:rPr>
          <w:sz w:val="23"/>
          <w:szCs w:val="23"/>
        </w:rPr>
        <w:t>We also gathered information about the mechanisms these schemes use to engage with consumers and ci</w:t>
      </w:r>
      <w:r w:rsidR="00D94913">
        <w:rPr>
          <w:sz w:val="23"/>
          <w:szCs w:val="23"/>
        </w:rPr>
        <w:t xml:space="preserve">tizens </w:t>
      </w:r>
      <w:r w:rsidR="0067796D">
        <w:rPr>
          <w:sz w:val="23"/>
          <w:szCs w:val="23"/>
        </w:rPr>
        <w:t xml:space="preserve">during rule-making </w:t>
      </w:r>
      <w:r w:rsidR="00D94913">
        <w:rPr>
          <w:sz w:val="23"/>
          <w:szCs w:val="23"/>
        </w:rPr>
        <w:t xml:space="preserve">and found that the most common mechanism </w:t>
      </w:r>
      <w:r w:rsidR="0067796D">
        <w:rPr>
          <w:sz w:val="23"/>
          <w:szCs w:val="23"/>
        </w:rPr>
        <w:t xml:space="preserve">deployed </w:t>
      </w:r>
      <w:r w:rsidR="00D94913">
        <w:rPr>
          <w:sz w:val="23"/>
          <w:szCs w:val="23"/>
        </w:rPr>
        <w:t xml:space="preserve">was </w:t>
      </w:r>
      <w:r w:rsidR="00BD33F6">
        <w:rPr>
          <w:sz w:val="23"/>
          <w:szCs w:val="23"/>
        </w:rPr>
        <w:t>the provision of an opportunity to make written submissions on draft rules.</w:t>
      </w:r>
    </w:p>
    <w:p w14:paraId="1A5D2D8C" w14:textId="77777777" w:rsidR="00182576" w:rsidRDefault="00182576" w:rsidP="00143E1A">
      <w:pPr>
        <w:spacing w:before="0"/>
        <w:jc w:val="both"/>
        <w:rPr>
          <w:sz w:val="23"/>
          <w:szCs w:val="23"/>
        </w:rPr>
      </w:pPr>
    </w:p>
    <w:p w14:paraId="005CA20B" w14:textId="2CCC9081" w:rsidR="00497690" w:rsidRDefault="00BD33F6" w:rsidP="00182576">
      <w:pPr>
        <w:autoSpaceDE w:val="0"/>
        <w:autoSpaceDN w:val="0"/>
        <w:adjustRightInd w:val="0"/>
        <w:spacing w:before="0"/>
        <w:jc w:val="both"/>
        <w:rPr>
          <w:rFonts w:cs="Arial"/>
          <w:sz w:val="23"/>
          <w:szCs w:val="23"/>
        </w:rPr>
      </w:pPr>
      <w:r w:rsidRPr="00182576">
        <w:rPr>
          <w:rFonts w:cs="Arial"/>
          <w:sz w:val="23"/>
          <w:szCs w:val="23"/>
        </w:rPr>
        <w:t xml:space="preserve">However, as we highlight in our report </w:t>
      </w:r>
      <w:hyperlink r:id="rId12" w:history="1">
        <w:r w:rsidR="008E1D75" w:rsidRPr="00182576">
          <w:rPr>
            <w:rStyle w:val="Hyperlink"/>
            <w:rFonts w:cs="Arial"/>
            <w:sz w:val="23"/>
            <w:szCs w:val="23"/>
          </w:rPr>
          <w:t>Responsive Engagement: Involving Consumers and Citizens in Communications Industry Rule-making</w:t>
        </w:r>
      </w:hyperlink>
      <w:r w:rsidR="008E1D75" w:rsidRPr="00182576">
        <w:rPr>
          <w:rFonts w:cs="Arial"/>
          <w:sz w:val="23"/>
          <w:szCs w:val="23"/>
        </w:rPr>
        <w:t>,</w:t>
      </w:r>
      <w:r w:rsidR="009F6894">
        <w:rPr>
          <w:rFonts w:cs="Arial"/>
          <w:sz w:val="23"/>
          <w:szCs w:val="23"/>
        </w:rPr>
        <w:t xml:space="preserve"> a summary of which appeared in the December 2019 edition of the </w:t>
      </w:r>
      <w:r w:rsidR="009F6894">
        <w:rPr>
          <w:rFonts w:cs="Arial"/>
          <w:i/>
          <w:sz w:val="23"/>
          <w:szCs w:val="23"/>
        </w:rPr>
        <w:t>Communication</w:t>
      </w:r>
      <w:r w:rsidR="00E61B1F">
        <w:rPr>
          <w:rFonts w:cs="Arial"/>
          <w:i/>
          <w:sz w:val="23"/>
          <w:szCs w:val="23"/>
        </w:rPr>
        <w:t>s</w:t>
      </w:r>
      <w:r w:rsidR="009F6894">
        <w:rPr>
          <w:rFonts w:cs="Arial"/>
          <w:i/>
          <w:sz w:val="23"/>
          <w:szCs w:val="23"/>
        </w:rPr>
        <w:t xml:space="preserve"> Law </w:t>
      </w:r>
      <w:r w:rsidR="009F6894" w:rsidRPr="009F6894">
        <w:rPr>
          <w:rFonts w:cs="Arial"/>
          <w:i/>
          <w:sz w:val="23"/>
          <w:szCs w:val="23"/>
        </w:rPr>
        <w:t>Bulletin</w:t>
      </w:r>
      <w:r w:rsidR="009F6894">
        <w:rPr>
          <w:rFonts w:cs="Arial"/>
          <w:sz w:val="23"/>
          <w:szCs w:val="23"/>
        </w:rPr>
        <w:t xml:space="preserve"> published by the Communications and Media Law Association</w:t>
      </w:r>
      <w:r w:rsidR="00E61B1F">
        <w:rPr>
          <w:rFonts w:cs="Arial"/>
          <w:sz w:val="23"/>
          <w:szCs w:val="23"/>
        </w:rPr>
        <w:t>)</w:t>
      </w:r>
      <w:r w:rsidR="009F6894">
        <w:rPr>
          <w:rFonts w:cs="Arial"/>
          <w:sz w:val="23"/>
          <w:szCs w:val="23"/>
        </w:rPr>
        <w:t xml:space="preserve">, </w:t>
      </w:r>
      <w:r w:rsidR="008E1D75" w:rsidRPr="009F6894">
        <w:rPr>
          <w:rFonts w:cs="Arial"/>
          <w:sz w:val="23"/>
          <w:szCs w:val="23"/>
        </w:rPr>
        <w:t>there</w:t>
      </w:r>
      <w:r w:rsidR="008E1D75" w:rsidRPr="00182576">
        <w:rPr>
          <w:rFonts w:cs="Arial"/>
          <w:sz w:val="23"/>
          <w:szCs w:val="23"/>
        </w:rPr>
        <w:t xml:space="preserve"> are a number of stakeholders—stakeholders such as </w:t>
      </w:r>
      <w:r w:rsidR="00D53A76">
        <w:rPr>
          <w:rFonts w:cs="Arial"/>
          <w:sz w:val="23"/>
          <w:szCs w:val="23"/>
        </w:rPr>
        <w:t xml:space="preserve">small businesses, and </w:t>
      </w:r>
      <w:r w:rsidR="00B824A4" w:rsidRPr="00182576">
        <w:rPr>
          <w:rFonts w:cs="Arial"/>
          <w:sz w:val="23"/>
          <w:szCs w:val="23"/>
        </w:rPr>
        <w:t xml:space="preserve">individuals residing in regional, rural and remote areas of Australia—who </w:t>
      </w:r>
      <w:r w:rsidR="00116428" w:rsidRPr="00182576">
        <w:rPr>
          <w:rFonts w:cs="Arial"/>
          <w:sz w:val="23"/>
          <w:szCs w:val="23"/>
        </w:rPr>
        <w:t xml:space="preserve">are missing from industry public engagement exercises. They do not participate even though they have </w:t>
      </w:r>
      <w:r w:rsidR="00583C4C" w:rsidRPr="00182576">
        <w:rPr>
          <w:rFonts w:cs="Arial"/>
          <w:sz w:val="23"/>
          <w:szCs w:val="23"/>
        </w:rPr>
        <w:t>‘information</w:t>
      </w:r>
      <w:r w:rsidR="00182576" w:rsidRPr="00182576">
        <w:rPr>
          <w:rFonts w:cs="Arial"/>
          <w:sz w:val="23"/>
          <w:szCs w:val="23"/>
        </w:rPr>
        <w:t xml:space="preserve"> [known by them] about impacts, </w:t>
      </w:r>
      <w:r w:rsidR="00583C4C" w:rsidRPr="00182576">
        <w:rPr>
          <w:rFonts w:cs="Arial"/>
          <w:sz w:val="23"/>
          <w:szCs w:val="23"/>
        </w:rPr>
        <w:t>problems, enforceability, contributory causes, [and] unintended consequences’</w:t>
      </w:r>
      <w:r w:rsidR="00497690">
        <w:rPr>
          <w:rStyle w:val="FootnoteReference"/>
          <w:rFonts w:cs="Arial"/>
          <w:sz w:val="23"/>
          <w:szCs w:val="23"/>
        </w:rPr>
        <w:footnoteReference w:id="1"/>
      </w:r>
      <w:r w:rsidR="00583C4C" w:rsidRPr="00182576">
        <w:rPr>
          <w:rFonts w:cs="Arial"/>
          <w:sz w:val="23"/>
          <w:szCs w:val="23"/>
        </w:rPr>
        <w:t xml:space="preserve"> of </w:t>
      </w:r>
      <w:r w:rsidR="00497690">
        <w:rPr>
          <w:rFonts w:cs="Arial"/>
          <w:sz w:val="23"/>
          <w:szCs w:val="23"/>
        </w:rPr>
        <w:t>rules proposed by industry</w:t>
      </w:r>
      <w:r w:rsidR="00E61B1F">
        <w:rPr>
          <w:rFonts w:cs="Arial"/>
          <w:sz w:val="23"/>
          <w:szCs w:val="23"/>
        </w:rPr>
        <w:t xml:space="preserve"> that affect them</w:t>
      </w:r>
      <w:r w:rsidR="00497690">
        <w:rPr>
          <w:rFonts w:cs="Arial"/>
          <w:sz w:val="23"/>
          <w:szCs w:val="23"/>
        </w:rPr>
        <w:t>.</w:t>
      </w:r>
      <w:r w:rsidR="0067796D">
        <w:rPr>
          <w:rFonts w:cs="Arial"/>
          <w:sz w:val="23"/>
          <w:szCs w:val="23"/>
        </w:rPr>
        <w:t xml:space="preserve"> </w:t>
      </w:r>
    </w:p>
    <w:p w14:paraId="4125DF68" w14:textId="77777777" w:rsidR="00497690" w:rsidRDefault="00497690" w:rsidP="00182576">
      <w:pPr>
        <w:autoSpaceDE w:val="0"/>
        <w:autoSpaceDN w:val="0"/>
        <w:adjustRightInd w:val="0"/>
        <w:spacing w:before="0"/>
        <w:jc w:val="both"/>
        <w:rPr>
          <w:rFonts w:cs="Arial"/>
          <w:sz w:val="23"/>
          <w:szCs w:val="23"/>
        </w:rPr>
      </w:pPr>
    </w:p>
    <w:p w14:paraId="0F16BB94" w14:textId="57207722" w:rsidR="00497690" w:rsidRDefault="00002E85" w:rsidP="00182576">
      <w:pPr>
        <w:autoSpaceDE w:val="0"/>
        <w:autoSpaceDN w:val="0"/>
        <w:adjustRightInd w:val="0"/>
        <w:spacing w:before="0"/>
        <w:jc w:val="both"/>
        <w:rPr>
          <w:rFonts w:cs="Arial"/>
          <w:sz w:val="23"/>
          <w:szCs w:val="23"/>
        </w:rPr>
      </w:pPr>
      <w:r>
        <w:rPr>
          <w:rFonts w:cs="Arial"/>
          <w:sz w:val="23"/>
          <w:szCs w:val="23"/>
        </w:rPr>
        <w:t xml:space="preserve">These </w:t>
      </w:r>
      <w:r w:rsidR="00F2295B">
        <w:rPr>
          <w:rFonts w:cs="Arial"/>
          <w:sz w:val="23"/>
          <w:szCs w:val="23"/>
        </w:rPr>
        <w:t>missing stakeholders confront a number of barriers to participation, including technical complexity</w:t>
      </w:r>
      <w:r w:rsidR="005A0232">
        <w:rPr>
          <w:rFonts w:cs="Arial"/>
          <w:sz w:val="23"/>
          <w:szCs w:val="23"/>
        </w:rPr>
        <w:t xml:space="preserve"> and motivational barriers such as competing demands for their time and attention, distrust of the rule-maker and cynicism about the likely effect public engagement will have on the final outcome. However, one of the most significant barriers</w:t>
      </w:r>
      <w:r w:rsidR="000513A6">
        <w:rPr>
          <w:rFonts w:cs="Arial"/>
          <w:sz w:val="23"/>
          <w:szCs w:val="23"/>
        </w:rPr>
        <w:t xml:space="preserve"> </w:t>
      </w:r>
      <w:r w:rsidR="005A0232">
        <w:rPr>
          <w:rFonts w:cs="Arial"/>
          <w:sz w:val="23"/>
          <w:szCs w:val="23"/>
        </w:rPr>
        <w:t xml:space="preserve">is a lack of awareness </w:t>
      </w:r>
      <w:r>
        <w:rPr>
          <w:rFonts w:cs="Arial"/>
          <w:sz w:val="23"/>
          <w:szCs w:val="23"/>
        </w:rPr>
        <w:t xml:space="preserve">about the opportunities to </w:t>
      </w:r>
      <w:r w:rsidR="004A2417">
        <w:rPr>
          <w:rFonts w:cs="Arial"/>
          <w:sz w:val="23"/>
          <w:szCs w:val="23"/>
        </w:rPr>
        <w:t xml:space="preserve">submit written comments. </w:t>
      </w:r>
      <w:r w:rsidR="00BB62A3">
        <w:rPr>
          <w:rFonts w:cs="Arial"/>
          <w:sz w:val="23"/>
          <w:szCs w:val="23"/>
        </w:rPr>
        <w:t>I</w:t>
      </w:r>
      <w:r w:rsidR="004A2417">
        <w:rPr>
          <w:rFonts w:cs="Arial"/>
          <w:sz w:val="23"/>
          <w:szCs w:val="23"/>
        </w:rPr>
        <w:t>nvitations to make written submissions are published on the websites of industry</w:t>
      </w:r>
      <w:r w:rsidR="008A6456">
        <w:rPr>
          <w:rFonts w:cs="Arial"/>
          <w:sz w:val="23"/>
          <w:szCs w:val="23"/>
        </w:rPr>
        <w:t xml:space="preserve"> schemes</w:t>
      </w:r>
      <w:r w:rsidR="004A2417">
        <w:rPr>
          <w:rFonts w:cs="Arial"/>
          <w:sz w:val="23"/>
          <w:szCs w:val="23"/>
        </w:rPr>
        <w:t xml:space="preserve">, but many consumers and citizens, including those living in regional, rural and remote areas, are unlikely to know who these industry bodies are. </w:t>
      </w:r>
      <w:r w:rsidR="00246F54">
        <w:rPr>
          <w:rFonts w:cs="Arial"/>
          <w:sz w:val="23"/>
          <w:szCs w:val="23"/>
        </w:rPr>
        <w:t>I</w:t>
      </w:r>
      <w:r w:rsidR="00F70B96">
        <w:rPr>
          <w:rFonts w:cs="Arial"/>
          <w:sz w:val="23"/>
          <w:szCs w:val="23"/>
        </w:rPr>
        <w:t xml:space="preserve">ndustry advertisements inviting written submissions are placed in major newspapers and other fora, but they may not be seen by or </w:t>
      </w:r>
      <w:r w:rsidR="008A6456">
        <w:rPr>
          <w:rFonts w:cs="Arial"/>
          <w:sz w:val="23"/>
          <w:szCs w:val="23"/>
        </w:rPr>
        <w:t xml:space="preserve">sufficiently </w:t>
      </w:r>
      <w:r w:rsidR="00F70B96">
        <w:rPr>
          <w:rFonts w:cs="Arial"/>
          <w:sz w:val="23"/>
          <w:szCs w:val="23"/>
        </w:rPr>
        <w:t>targeted at</w:t>
      </w:r>
      <w:r w:rsidR="00246F54">
        <w:rPr>
          <w:rFonts w:cs="Arial"/>
          <w:sz w:val="23"/>
          <w:szCs w:val="23"/>
        </w:rPr>
        <w:t xml:space="preserve"> missing stakeholders</w:t>
      </w:r>
      <w:r w:rsidR="00F70B96">
        <w:rPr>
          <w:rFonts w:cs="Arial"/>
          <w:sz w:val="23"/>
          <w:szCs w:val="23"/>
        </w:rPr>
        <w:t xml:space="preserve">. </w:t>
      </w:r>
      <w:r w:rsidR="008A6456">
        <w:rPr>
          <w:rFonts w:cs="Arial"/>
          <w:sz w:val="23"/>
          <w:szCs w:val="23"/>
        </w:rPr>
        <w:t>F</w:t>
      </w:r>
      <w:r w:rsidR="004A2417">
        <w:rPr>
          <w:rFonts w:cs="Arial"/>
          <w:sz w:val="23"/>
          <w:szCs w:val="23"/>
        </w:rPr>
        <w:t>or th</w:t>
      </w:r>
      <w:r w:rsidR="00BA44D5">
        <w:rPr>
          <w:rFonts w:cs="Arial"/>
          <w:sz w:val="23"/>
          <w:szCs w:val="23"/>
        </w:rPr>
        <w:t>ese</w:t>
      </w:r>
      <w:r w:rsidR="004A2417">
        <w:rPr>
          <w:rFonts w:cs="Arial"/>
          <w:sz w:val="23"/>
          <w:szCs w:val="23"/>
        </w:rPr>
        <w:t xml:space="preserve"> reason</w:t>
      </w:r>
      <w:r w:rsidR="00BA44D5">
        <w:rPr>
          <w:rFonts w:cs="Arial"/>
          <w:sz w:val="23"/>
          <w:szCs w:val="23"/>
        </w:rPr>
        <w:t>s</w:t>
      </w:r>
      <w:r w:rsidR="008A6456">
        <w:rPr>
          <w:rFonts w:cs="Arial"/>
          <w:sz w:val="23"/>
          <w:szCs w:val="23"/>
        </w:rPr>
        <w:t xml:space="preserve">, </w:t>
      </w:r>
      <w:r w:rsidR="004A2417">
        <w:rPr>
          <w:rFonts w:cs="Arial"/>
          <w:sz w:val="23"/>
          <w:szCs w:val="23"/>
        </w:rPr>
        <w:t xml:space="preserve">we recommended that all consultation documents issued by the 20 schemes </w:t>
      </w:r>
      <w:r w:rsidR="0067796D">
        <w:rPr>
          <w:rFonts w:cs="Arial"/>
          <w:sz w:val="23"/>
          <w:szCs w:val="23"/>
        </w:rPr>
        <w:t>be published on single website hosted by a government regulator</w:t>
      </w:r>
      <w:r w:rsidR="00D53A76">
        <w:rPr>
          <w:rFonts w:cs="Arial"/>
          <w:sz w:val="23"/>
          <w:szCs w:val="23"/>
        </w:rPr>
        <w:t xml:space="preserve"> such as ACMA</w:t>
      </w:r>
      <w:r w:rsidR="00F70B96">
        <w:rPr>
          <w:rFonts w:cs="Arial"/>
          <w:sz w:val="23"/>
          <w:szCs w:val="23"/>
        </w:rPr>
        <w:t xml:space="preserve"> with which </w:t>
      </w:r>
      <w:r w:rsidR="00246F54">
        <w:rPr>
          <w:rFonts w:cs="Arial"/>
          <w:sz w:val="23"/>
          <w:szCs w:val="23"/>
        </w:rPr>
        <w:lastRenderedPageBreak/>
        <w:t xml:space="preserve">consumers and citizens </w:t>
      </w:r>
      <w:r w:rsidR="00C4266F">
        <w:rPr>
          <w:rFonts w:cs="Arial"/>
          <w:sz w:val="23"/>
          <w:szCs w:val="23"/>
        </w:rPr>
        <w:t>may be more familiar</w:t>
      </w:r>
      <w:r w:rsidR="0067796D">
        <w:rPr>
          <w:rFonts w:cs="Arial"/>
          <w:sz w:val="23"/>
          <w:szCs w:val="23"/>
        </w:rPr>
        <w:t>.</w:t>
      </w:r>
      <w:r w:rsidR="009F5AE9">
        <w:rPr>
          <w:rFonts w:cs="Arial"/>
          <w:sz w:val="23"/>
          <w:szCs w:val="23"/>
        </w:rPr>
        <w:t xml:space="preserve"> </w:t>
      </w:r>
      <w:r w:rsidR="008A6456">
        <w:rPr>
          <w:rFonts w:cs="Arial"/>
          <w:sz w:val="23"/>
          <w:szCs w:val="23"/>
        </w:rPr>
        <w:t xml:space="preserve">The relevant pages from our report are </w:t>
      </w:r>
      <w:r w:rsidR="000513A6">
        <w:rPr>
          <w:rFonts w:cs="Arial"/>
          <w:sz w:val="23"/>
          <w:szCs w:val="23"/>
        </w:rPr>
        <w:t>extracted in the annexure to this submission.</w:t>
      </w:r>
      <w:r w:rsidR="009F6894">
        <w:rPr>
          <w:rFonts w:cs="Arial"/>
          <w:sz w:val="23"/>
          <w:szCs w:val="23"/>
        </w:rPr>
        <w:t xml:space="preserve"> </w:t>
      </w:r>
    </w:p>
    <w:p w14:paraId="470CE691" w14:textId="63E835E7" w:rsidR="002A4E1B" w:rsidRDefault="006847E6" w:rsidP="002A4E1B">
      <w:pPr>
        <w:jc w:val="both"/>
        <w:rPr>
          <w:rFonts w:cstheme="minorHAnsi"/>
          <w:sz w:val="24"/>
          <w:szCs w:val="24"/>
        </w:rPr>
      </w:pPr>
      <w:r>
        <w:rPr>
          <w:rFonts w:cs="Arial"/>
          <w:sz w:val="23"/>
          <w:szCs w:val="23"/>
        </w:rPr>
        <w:t>W</w:t>
      </w:r>
      <w:r w:rsidR="0067796D">
        <w:rPr>
          <w:rFonts w:cs="Arial"/>
          <w:sz w:val="23"/>
          <w:szCs w:val="23"/>
        </w:rPr>
        <w:t xml:space="preserve">e believe the </w:t>
      </w:r>
      <w:r w:rsidR="00D53A76">
        <w:rPr>
          <w:rFonts w:cs="Arial"/>
          <w:sz w:val="23"/>
          <w:szCs w:val="23"/>
        </w:rPr>
        <w:t xml:space="preserve">proposed </w:t>
      </w:r>
      <w:r w:rsidR="00002E85">
        <w:rPr>
          <w:rFonts w:cs="Arial"/>
          <w:sz w:val="23"/>
          <w:szCs w:val="23"/>
        </w:rPr>
        <w:t xml:space="preserve">Digital </w:t>
      </w:r>
      <w:r w:rsidR="00D53A76">
        <w:rPr>
          <w:rFonts w:cs="Arial"/>
          <w:sz w:val="23"/>
          <w:szCs w:val="23"/>
        </w:rPr>
        <w:t xml:space="preserve">Technology Hub </w:t>
      </w:r>
      <w:r w:rsidR="0037621C">
        <w:rPr>
          <w:rFonts w:cs="Arial"/>
          <w:sz w:val="23"/>
          <w:szCs w:val="23"/>
        </w:rPr>
        <w:t xml:space="preserve">(DTH) </w:t>
      </w:r>
      <w:r w:rsidR="00D53A76">
        <w:rPr>
          <w:rFonts w:cs="Arial"/>
          <w:sz w:val="23"/>
          <w:szCs w:val="23"/>
        </w:rPr>
        <w:t xml:space="preserve">could </w:t>
      </w:r>
      <w:r w:rsidR="00E979AE">
        <w:rPr>
          <w:rFonts w:cs="Arial"/>
          <w:sz w:val="23"/>
          <w:szCs w:val="23"/>
        </w:rPr>
        <w:t xml:space="preserve">also </w:t>
      </w:r>
      <w:r w:rsidR="00D53A76">
        <w:rPr>
          <w:rFonts w:cs="Arial"/>
          <w:sz w:val="23"/>
          <w:szCs w:val="23"/>
        </w:rPr>
        <w:t xml:space="preserve">play an important role </w:t>
      </w:r>
      <w:r>
        <w:rPr>
          <w:rFonts w:cs="Arial"/>
          <w:sz w:val="23"/>
          <w:szCs w:val="23"/>
        </w:rPr>
        <w:t>in overcoming the lack of awareness</w:t>
      </w:r>
      <w:r w:rsidR="00BC2B05">
        <w:rPr>
          <w:rFonts w:cs="Arial"/>
          <w:sz w:val="23"/>
          <w:szCs w:val="23"/>
        </w:rPr>
        <w:t xml:space="preserve"> barrier we identified</w:t>
      </w:r>
      <w:r>
        <w:rPr>
          <w:rFonts w:cs="Arial"/>
          <w:sz w:val="23"/>
          <w:szCs w:val="23"/>
        </w:rPr>
        <w:t xml:space="preserve">. For example, it could have a dedicated webpage that </w:t>
      </w:r>
      <w:r w:rsidR="00BF6131">
        <w:rPr>
          <w:rFonts w:cs="Arial"/>
          <w:sz w:val="23"/>
          <w:szCs w:val="23"/>
        </w:rPr>
        <w:t>highlight</w:t>
      </w:r>
      <w:r>
        <w:rPr>
          <w:rFonts w:cs="Arial"/>
          <w:sz w:val="23"/>
          <w:szCs w:val="23"/>
        </w:rPr>
        <w:t xml:space="preserve">ed </w:t>
      </w:r>
      <w:r w:rsidR="00860F4C">
        <w:rPr>
          <w:rFonts w:cs="Arial"/>
          <w:sz w:val="23"/>
          <w:szCs w:val="23"/>
        </w:rPr>
        <w:t xml:space="preserve">opportunities for citizens and consumers to </w:t>
      </w:r>
      <w:r w:rsidR="00C4266F">
        <w:rPr>
          <w:rFonts w:cs="Arial"/>
          <w:sz w:val="23"/>
          <w:szCs w:val="23"/>
        </w:rPr>
        <w:t xml:space="preserve">participate </w:t>
      </w:r>
      <w:r>
        <w:rPr>
          <w:rFonts w:cs="Arial"/>
          <w:sz w:val="23"/>
          <w:szCs w:val="23"/>
        </w:rPr>
        <w:t xml:space="preserve">in industry engagement exercises, including opportunities to </w:t>
      </w:r>
      <w:r w:rsidR="0068395C">
        <w:rPr>
          <w:rFonts w:cs="Arial"/>
          <w:sz w:val="23"/>
          <w:szCs w:val="23"/>
        </w:rPr>
        <w:t xml:space="preserve">submit written comments, along with </w:t>
      </w:r>
      <w:r w:rsidR="00C4266F">
        <w:rPr>
          <w:rFonts w:cs="Arial"/>
          <w:sz w:val="23"/>
          <w:szCs w:val="23"/>
        </w:rPr>
        <w:t xml:space="preserve">some </w:t>
      </w:r>
      <w:r w:rsidR="0068395C">
        <w:rPr>
          <w:rFonts w:cs="Arial"/>
          <w:sz w:val="23"/>
          <w:szCs w:val="23"/>
        </w:rPr>
        <w:t xml:space="preserve">information about the particular scheme that </w:t>
      </w:r>
      <w:r w:rsidR="00B80E5B">
        <w:rPr>
          <w:rFonts w:cs="Arial"/>
          <w:sz w:val="23"/>
          <w:szCs w:val="23"/>
        </w:rPr>
        <w:t xml:space="preserve">is undertaking </w:t>
      </w:r>
      <w:r w:rsidR="00C4266F">
        <w:rPr>
          <w:rFonts w:cs="Arial"/>
          <w:sz w:val="23"/>
          <w:szCs w:val="23"/>
        </w:rPr>
        <w:t xml:space="preserve">the </w:t>
      </w:r>
      <w:r w:rsidR="00B80E5B">
        <w:rPr>
          <w:rFonts w:cs="Arial"/>
          <w:sz w:val="23"/>
          <w:szCs w:val="23"/>
        </w:rPr>
        <w:t>engagement activit</w:t>
      </w:r>
      <w:r w:rsidR="00C4266F">
        <w:rPr>
          <w:rFonts w:cs="Arial"/>
          <w:sz w:val="23"/>
          <w:szCs w:val="23"/>
        </w:rPr>
        <w:t>y</w:t>
      </w:r>
      <w:r w:rsidR="00B80E5B">
        <w:rPr>
          <w:rFonts w:cs="Arial"/>
          <w:sz w:val="23"/>
          <w:szCs w:val="23"/>
        </w:rPr>
        <w:t>.</w:t>
      </w:r>
      <w:r w:rsidR="0068395C">
        <w:rPr>
          <w:rFonts w:cs="Arial"/>
          <w:sz w:val="23"/>
          <w:szCs w:val="23"/>
        </w:rPr>
        <w:t xml:space="preserve"> </w:t>
      </w:r>
      <w:r w:rsidR="00BB62A3">
        <w:rPr>
          <w:rFonts w:cs="Arial"/>
          <w:sz w:val="23"/>
          <w:szCs w:val="23"/>
        </w:rPr>
        <w:t>Information included on the D</w:t>
      </w:r>
      <w:r w:rsidR="00D62D95">
        <w:rPr>
          <w:rFonts w:cs="Arial"/>
          <w:sz w:val="23"/>
          <w:szCs w:val="23"/>
        </w:rPr>
        <w:t>TH</w:t>
      </w:r>
      <w:r w:rsidR="00BB62A3">
        <w:rPr>
          <w:rFonts w:cs="Arial"/>
          <w:sz w:val="23"/>
          <w:szCs w:val="23"/>
        </w:rPr>
        <w:t xml:space="preserve"> would reinforce </w:t>
      </w:r>
      <w:r w:rsidR="00C4266F">
        <w:rPr>
          <w:rFonts w:cs="Arial"/>
          <w:sz w:val="23"/>
          <w:szCs w:val="23"/>
        </w:rPr>
        <w:t>efforts already being made by industry and</w:t>
      </w:r>
      <w:r w:rsidR="002A4E1B">
        <w:rPr>
          <w:rFonts w:cs="Arial"/>
          <w:sz w:val="23"/>
          <w:szCs w:val="23"/>
        </w:rPr>
        <w:t>,</w:t>
      </w:r>
      <w:r w:rsidR="00C4266F">
        <w:rPr>
          <w:rFonts w:cs="Arial"/>
          <w:sz w:val="23"/>
          <w:szCs w:val="23"/>
        </w:rPr>
        <w:t xml:space="preserve"> if the Department acts on our recommendation</w:t>
      </w:r>
      <w:r w:rsidR="002A4E1B">
        <w:rPr>
          <w:rFonts w:cs="Arial"/>
          <w:sz w:val="23"/>
          <w:szCs w:val="23"/>
        </w:rPr>
        <w:t>,</w:t>
      </w:r>
      <w:r w:rsidR="00C4266F">
        <w:rPr>
          <w:rFonts w:cs="Arial"/>
          <w:sz w:val="23"/>
          <w:szCs w:val="23"/>
        </w:rPr>
        <w:t xml:space="preserve"> </w:t>
      </w:r>
      <w:r w:rsidR="00BC2B05">
        <w:rPr>
          <w:rFonts w:cs="Arial"/>
          <w:sz w:val="23"/>
          <w:szCs w:val="23"/>
        </w:rPr>
        <w:t xml:space="preserve">a </w:t>
      </w:r>
      <w:r w:rsidR="00C4266F">
        <w:rPr>
          <w:rFonts w:cs="Arial"/>
          <w:sz w:val="23"/>
          <w:szCs w:val="23"/>
        </w:rPr>
        <w:t>government regulator.</w:t>
      </w:r>
      <w:r w:rsidR="002A4E1B">
        <w:rPr>
          <w:rFonts w:cs="Arial"/>
          <w:sz w:val="23"/>
          <w:szCs w:val="23"/>
        </w:rPr>
        <w:t xml:space="preserve"> As we explain in our report, </w:t>
      </w:r>
      <w:r w:rsidR="00246F54">
        <w:rPr>
          <w:rFonts w:cs="Arial"/>
          <w:sz w:val="23"/>
          <w:szCs w:val="23"/>
        </w:rPr>
        <w:t xml:space="preserve">encouraging </w:t>
      </w:r>
      <w:r w:rsidR="002A4E1B">
        <w:rPr>
          <w:rFonts w:cs="Arial"/>
          <w:sz w:val="23"/>
          <w:szCs w:val="23"/>
        </w:rPr>
        <w:t xml:space="preserve">greater consumer and citizen engagement </w:t>
      </w:r>
      <w:r w:rsidR="00246F54">
        <w:rPr>
          <w:rFonts w:cs="Arial"/>
          <w:sz w:val="23"/>
          <w:szCs w:val="23"/>
        </w:rPr>
        <w:t xml:space="preserve">by reducing barriers to participation is </w:t>
      </w:r>
      <w:r w:rsidR="002A4E1B">
        <w:rPr>
          <w:rFonts w:cs="Arial"/>
          <w:sz w:val="23"/>
          <w:szCs w:val="23"/>
        </w:rPr>
        <w:t xml:space="preserve">desirable because </w:t>
      </w:r>
      <w:r w:rsidR="00246F54">
        <w:rPr>
          <w:rFonts w:cs="Arial"/>
          <w:sz w:val="23"/>
          <w:szCs w:val="23"/>
        </w:rPr>
        <w:t xml:space="preserve">it </w:t>
      </w:r>
      <w:r w:rsidR="00BC2B05">
        <w:rPr>
          <w:rFonts w:cs="Arial"/>
          <w:sz w:val="23"/>
          <w:szCs w:val="23"/>
        </w:rPr>
        <w:t xml:space="preserve">is said to </w:t>
      </w:r>
      <w:r w:rsidR="002A4E1B">
        <w:rPr>
          <w:rFonts w:cs="Arial"/>
          <w:sz w:val="23"/>
          <w:szCs w:val="23"/>
        </w:rPr>
        <w:t>make industry regulation more responsive</w:t>
      </w:r>
      <w:r w:rsidR="00BC2B05">
        <w:rPr>
          <w:rFonts w:cs="Arial"/>
          <w:sz w:val="23"/>
          <w:szCs w:val="23"/>
        </w:rPr>
        <w:t xml:space="preserve"> and effective.</w:t>
      </w:r>
    </w:p>
    <w:p w14:paraId="5D7809AB" w14:textId="10AE665F" w:rsidR="006847E6" w:rsidRDefault="006847E6" w:rsidP="00182576">
      <w:pPr>
        <w:autoSpaceDE w:val="0"/>
        <w:autoSpaceDN w:val="0"/>
        <w:adjustRightInd w:val="0"/>
        <w:spacing w:before="0"/>
        <w:jc w:val="both"/>
        <w:rPr>
          <w:rFonts w:cs="Arial"/>
          <w:sz w:val="23"/>
          <w:szCs w:val="23"/>
        </w:rPr>
      </w:pPr>
    </w:p>
    <w:p w14:paraId="2B6E6DBC" w14:textId="2D2F22FA" w:rsidR="0037621C" w:rsidRDefault="0037621C" w:rsidP="00182576">
      <w:pPr>
        <w:autoSpaceDE w:val="0"/>
        <w:autoSpaceDN w:val="0"/>
        <w:adjustRightInd w:val="0"/>
        <w:spacing w:before="0"/>
        <w:jc w:val="both"/>
        <w:rPr>
          <w:rFonts w:cs="Arial"/>
          <w:sz w:val="23"/>
          <w:szCs w:val="23"/>
        </w:rPr>
      </w:pPr>
      <w:r>
        <w:rPr>
          <w:rFonts w:cs="Arial"/>
          <w:sz w:val="23"/>
          <w:szCs w:val="23"/>
        </w:rPr>
        <w:t>T</w:t>
      </w:r>
      <w:r w:rsidR="00C4266F">
        <w:rPr>
          <w:rFonts w:cs="Arial"/>
          <w:sz w:val="23"/>
          <w:szCs w:val="23"/>
        </w:rPr>
        <w:t xml:space="preserve">he focus of our </w:t>
      </w:r>
      <w:r>
        <w:rPr>
          <w:rFonts w:cs="Arial"/>
          <w:sz w:val="23"/>
          <w:szCs w:val="23"/>
        </w:rPr>
        <w:t xml:space="preserve">report </w:t>
      </w:r>
      <w:r w:rsidR="00C4266F">
        <w:rPr>
          <w:rFonts w:cs="Arial"/>
          <w:sz w:val="23"/>
          <w:szCs w:val="23"/>
        </w:rPr>
        <w:t xml:space="preserve">and recommendations was on responsive engagement in the </w:t>
      </w:r>
      <w:r>
        <w:rPr>
          <w:rFonts w:cs="Arial"/>
          <w:sz w:val="23"/>
          <w:szCs w:val="23"/>
        </w:rPr>
        <w:t xml:space="preserve">context of industry rule-making, but the DTH could be used to disseminate information about consultation exercises </w:t>
      </w:r>
      <w:r w:rsidR="00E979AE">
        <w:rPr>
          <w:rFonts w:cs="Arial"/>
          <w:sz w:val="23"/>
          <w:szCs w:val="23"/>
        </w:rPr>
        <w:t xml:space="preserve">relating to the communications </w:t>
      </w:r>
      <w:r w:rsidR="00011E83">
        <w:rPr>
          <w:rFonts w:cs="Arial"/>
          <w:sz w:val="23"/>
          <w:szCs w:val="23"/>
        </w:rPr>
        <w:t xml:space="preserve">industry </w:t>
      </w:r>
      <w:r>
        <w:rPr>
          <w:rFonts w:cs="Arial"/>
          <w:sz w:val="23"/>
          <w:szCs w:val="23"/>
        </w:rPr>
        <w:t xml:space="preserve">undertaken by the Department of Infrastructure, Transport, Regional Development and Communications or regulators such as ACMA and the </w:t>
      </w:r>
      <w:proofErr w:type="spellStart"/>
      <w:r>
        <w:rPr>
          <w:rFonts w:cs="Arial"/>
          <w:sz w:val="23"/>
          <w:szCs w:val="23"/>
        </w:rPr>
        <w:t>eSafety</w:t>
      </w:r>
      <w:proofErr w:type="spellEnd"/>
      <w:r>
        <w:rPr>
          <w:rFonts w:cs="Arial"/>
          <w:sz w:val="23"/>
          <w:szCs w:val="23"/>
        </w:rPr>
        <w:t xml:space="preserve"> Commissioner</w:t>
      </w:r>
      <w:r w:rsidR="00E979AE">
        <w:rPr>
          <w:rFonts w:cs="Arial"/>
          <w:sz w:val="23"/>
          <w:szCs w:val="23"/>
        </w:rPr>
        <w:t xml:space="preserve"> as well</w:t>
      </w:r>
      <w:r>
        <w:rPr>
          <w:rFonts w:cs="Arial"/>
          <w:sz w:val="23"/>
          <w:szCs w:val="23"/>
        </w:rPr>
        <w:t xml:space="preserve">. Research conducted in the United States suggests the missing stakeholders we identified are likely to face the same or similar barriers to participation </w:t>
      </w:r>
      <w:r w:rsidR="00856D1E">
        <w:rPr>
          <w:rFonts w:cs="Arial"/>
          <w:sz w:val="23"/>
          <w:szCs w:val="23"/>
        </w:rPr>
        <w:t>when government departments and agencies consult on draft legislative instruments.</w:t>
      </w:r>
    </w:p>
    <w:p w14:paraId="6D79AE69" w14:textId="00E2996F" w:rsidR="00BC2B05" w:rsidRDefault="00BC2B05" w:rsidP="00182576">
      <w:pPr>
        <w:autoSpaceDE w:val="0"/>
        <w:autoSpaceDN w:val="0"/>
        <w:adjustRightInd w:val="0"/>
        <w:spacing w:before="0"/>
        <w:jc w:val="both"/>
        <w:rPr>
          <w:rFonts w:cs="Arial"/>
          <w:sz w:val="23"/>
          <w:szCs w:val="23"/>
        </w:rPr>
      </w:pPr>
    </w:p>
    <w:p w14:paraId="597D4475" w14:textId="4A241F59" w:rsidR="00D163BE" w:rsidRDefault="00E979AE" w:rsidP="00182576">
      <w:pPr>
        <w:autoSpaceDE w:val="0"/>
        <w:autoSpaceDN w:val="0"/>
        <w:adjustRightInd w:val="0"/>
        <w:spacing w:before="0"/>
        <w:jc w:val="both"/>
        <w:rPr>
          <w:rFonts w:cs="Arial"/>
          <w:sz w:val="23"/>
          <w:szCs w:val="23"/>
        </w:rPr>
      </w:pPr>
      <w:r>
        <w:rPr>
          <w:rFonts w:cs="Arial"/>
          <w:sz w:val="23"/>
          <w:szCs w:val="23"/>
        </w:rPr>
        <w:t xml:space="preserve">Finally, we would also suggest that information included on the DTH for consumers and citizens should not be limited to telecommunications services, as the consultation paper </w:t>
      </w:r>
      <w:r w:rsidR="00556874">
        <w:rPr>
          <w:rFonts w:cs="Arial"/>
          <w:sz w:val="23"/>
          <w:szCs w:val="23"/>
        </w:rPr>
        <w:t xml:space="preserve">indicates </w:t>
      </w:r>
      <w:r>
        <w:rPr>
          <w:rFonts w:cs="Arial"/>
          <w:sz w:val="23"/>
          <w:szCs w:val="23"/>
        </w:rPr>
        <w:t xml:space="preserve">on p.5. </w:t>
      </w:r>
      <w:r w:rsidR="00E12A8F">
        <w:rPr>
          <w:rFonts w:cs="Arial"/>
          <w:sz w:val="23"/>
          <w:szCs w:val="23"/>
        </w:rPr>
        <w:t>Rather, information on t</w:t>
      </w:r>
      <w:r w:rsidR="00FA5E04">
        <w:rPr>
          <w:rFonts w:cs="Arial"/>
          <w:sz w:val="23"/>
          <w:szCs w:val="23"/>
        </w:rPr>
        <w:t xml:space="preserve">he DTH should reflect the </w:t>
      </w:r>
      <w:r w:rsidR="00E12A8F">
        <w:rPr>
          <w:rFonts w:cs="Arial"/>
          <w:sz w:val="23"/>
          <w:szCs w:val="23"/>
        </w:rPr>
        <w:t xml:space="preserve">wider changes occurring in the communications industry. </w:t>
      </w:r>
      <w:r w:rsidR="00AE41B3">
        <w:rPr>
          <w:rFonts w:cs="Arial"/>
          <w:sz w:val="23"/>
          <w:szCs w:val="23"/>
        </w:rPr>
        <w:t>For example, a</w:t>
      </w:r>
      <w:r w:rsidR="00D163BE">
        <w:rPr>
          <w:rFonts w:cs="Arial"/>
          <w:sz w:val="23"/>
          <w:szCs w:val="23"/>
        </w:rPr>
        <w:t>s the demand for video-on-demand streaming services such as Netflix, Foxtel and Spotify continues to grow, i</w:t>
      </w:r>
      <w:r w:rsidR="00011E83">
        <w:rPr>
          <w:rFonts w:cs="Arial"/>
          <w:sz w:val="23"/>
          <w:szCs w:val="23"/>
        </w:rPr>
        <w:t xml:space="preserve">t is increasingly difficult for </w:t>
      </w:r>
      <w:r w:rsidR="00D163BE">
        <w:rPr>
          <w:rFonts w:cs="Arial"/>
          <w:sz w:val="23"/>
          <w:szCs w:val="23"/>
        </w:rPr>
        <w:t xml:space="preserve">all </w:t>
      </w:r>
      <w:r w:rsidR="00011E83">
        <w:rPr>
          <w:rFonts w:cs="Arial"/>
          <w:sz w:val="23"/>
          <w:szCs w:val="23"/>
        </w:rPr>
        <w:t>consumers</w:t>
      </w:r>
      <w:r w:rsidR="00D163BE">
        <w:rPr>
          <w:rFonts w:cs="Arial"/>
          <w:sz w:val="23"/>
          <w:szCs w:val="23"/>
        </w:rPr>
        <w:t>, including those living in regional, rural and remote areas of Australia,</w:t>
      </w:r>
      <w:r w:rsidR="00011E83">
        <w:rPr>
          <w:rFonts w:cs="Arial"/>
          <w:sz w:val="23"/>
          <w:szCs w:val="23"/>
        </w:rPr>
        <w:t xml:space="preserve"> to distinguish between telecommunications and content services </w:t>
      </w:r>
      <w:r w:rsidR="00D163BE">
        <w:rPr>
          <w:rFonts w:cs="Arial"/>
          <w:sz w:val="23"/>
          <w:szCs w:val="23"/>
        </w:rPr>
        <w:t xml:space="preserve">because many telecommunications customers receive content services </w:t>
      </w:r>
      <w:r w:rsidR="00011E83">
        <w:rPr>
          <w:rFonts w:cs="Arial"/>
          <w:sz w:val="23"/>
          <w:szCs w:val="23"/>
        </w:rPr>
        <w:t>as part of their phone packages</w:t>
      </w:r>
      <w:r w:rsidR="00D163BE">
        <w:rPr>
          <w:rFonts w:cs="Arial"/>
          <w:sz w:val="23"/>
          <w:szCs w:val="23"/>
        </w:rPr>
        <w:t xml:space="preserve">. Consumers are therefore </w:t>
      </w:r>
      <w:r w:rsidR="00011E83">
        <w:rPr>
          <w:rFonts w:cs="Arial"/>
          <w:sz w:val="23"/>
          <w:szCs w:val="23"/>
        </w:rPr>
        <w:t xml:space="preserve">likely to </w:t>
      </w:r>
      <w:r w:rsidR="00732A3B">
        <w:rPr>
          <w:rFonts w:cs="Arial"/>
          <w:sz w:val="23"/>
          <w:szCs w:val="23"/>
        </w:rPr>
        <w:t xml:space="preserve">also </w:t>
      </w:r>
      <w:r w:rsidR="00011E83">
        <w:rPr>
          <w:rFonts w:cs="Arial"/>
          <w:sz w:val="23"/>
          <w:szCs w:val="23"/>
        </w:rPr>
        <w:t>need information about how to resolve disputes concerning the customer-related aspects of content service provision.</w:t>
      </w:r>
      <w:r w:rsidR="00D163BE">
        <w:rPr>
          <w:rFonts w:cs="Arial"/>
          <w:sz w:val="23"/>
          <w:szCs w:val="23"/>
        </w:rPr>
        <w:t xml:space="preserve"> </w:t>
      </w:r>
      <w:r w:rsidR="00E12A8F">
        <w:rPr>
          <w:rFonts w:cs="Arial"/>
          <w:sz w:val="23"/>
          <w:szCs w:val="23"/>
        </w:rPr>
        <w:t>Similarly, i</w:t>
      </w:r>
      <w:r w:rsidR="00AE41B3">
        <w:rPr>
          <w:rFonts w:cs="Arial"/>
          <w:sz w:val="23"/>
          <w:szCs w:val="23"/>
        </w:rPr>
        <w:t xml:space="preserve">nformation about the work of the </w:t>
      </w:r>
      <w:proofErr w:type="spellStart"/>
      <w:r w:rsidR="00AE41B3">
        <w:rPr>
          <w:rFonts w:cs="Arial"/>
          <w:sz w:val="23"/>
          <w:szCs w:val="23"/>
        </w:rPr>
        <w:t>eSafety</w:t>
      </w:r>
      <w:proofErr w:type="spellEnd"/>
      <w:r w:rsidR="00AE41B3">
        <w:rPr>
          <w:rFonts w:cs="Arial"/>
          <w:sz w:val="23"/>
          <w:szCs w:val="23"/>
        </w:rPr>
        <w:t xml:space="preserve"> Commissioner and the current and proposed schemes </w:t>
      </w:r>
      <w:r w:rsidR="00FA5E04">
        <w:rPr>
          <w:rFonts w:cs="Arial"/>
          <w:sz w:val="23"/>
          <w:szCs w:val="23"/>
        </w:rPr>
        <w:t xml:space="preserve">she oversees </w:t>
      </w:r>
      <w:r w:rsidR="007E0BE6">
        <w:rPr>
          <w:rFonts w:cs="Arial"/>
          <w:sz w:val="23"/>
          <w:szCs w:val="23"/>
        </w:rPr>
        <w:t>relating to cyberbul</w:t>
      </w:r>
      <w:r w:rsidR="00FA5E04">
        <w:rPr>
          <w:rFonts w:cs="Arial"/>
          <w:sz w:val="23"/>
          <w:szCs w:val="23"/>
        </w:rPr>
        <w:t>l</w:t>
      </w:r>
      <w:r w:rsidR="007E0BE6">
        <w:rPr>
          <w:rFonts w:cs="Arial"/>
          <w:sz w:val="23"/>
          <w:szCs w:val="23"/>
        </w:rPr>
        <w:t>ying, image-based abuse</w:t>
      </w:r>
      <w:r w:rsidR="00FA5E04">
        <w:rPr>
          <w:rFonts w:cs="Arial"/>
          <w:sz w:val="23"/>
          <w:szCs w:val="23"/>
        </w:rPr>
        <w:t>, and illegal and harmful online content</w:t>
      </w:r>
      <w:r w:rsidR="00E12A8F">
        <w:rPr>
          <w:rFonts w:cs="Arial"/>
          <w:sz w:val="23"/>
          <w:szCs w:val="23"/>
        </w:rPr>
        <w:t xml:space="preserve"> should be included</w:t>
      </w:r>
      <w:r w:rsidR="00FA5E04">
        <w:rPr>
          <w:rFonts w:cs="Arial"/>
          <w:sz w:val="23"/>
          <w:szCs w:val="23"/>
        </w:rPr>
        <w:t>.</w:t>
      </w:r>
    </w:p>
    <w:p w14:paraId="71181A8D" w14:textId="77777777" w:rsidR="00D163BE" w:rsidRDefault="00D163BE" w:rsidP="00182576">
      <w:pPr>
        <w:autoSpaceDE w:val="0"/>
        <w:autoSpaceDN w:val="0"/>
        <w:adjustRightInd w:val="0"/>
        <w:spacing w:before="0"/>
        <w:jc w:val="both"/>
        <w:rPr>
          <w:rFonts w:cs="Arial"/>
          <w:sz w:val="23"/>
          <w:szCs w:val="23"/>
        </w:rPr>
      </w:pPr>
    </w:p>
    <w:p w14:paraId="7E0CE747" w14:textId="41975A31" w:rsidR="009402B8" w:rsidRDefault="00DB4998" w:rsidP="00A311C0">
      <w:pPr>
        <w:pStyle w:val="Heading1"/>
        <w:jc w:val="both"/>
      </w:pPr>
      <w:r>
        <w:t>3</w:t>
      </w:r>
      <w:r w:rsidR="009402B8">
        <w:t xml:space="preserve">.  Question </w:t>
      </w:r>
      <w:r w:rsidR="002A4E1B">
        <w:t>9</w:t>
      </w:r>
    </w:p>
    <w:p w14:paraId="2380F740" w14:textId="78B570E3" w:rsidR="00260ABB" w:rsidRDefault="00D2795B" w:rsidP="00777E7B">
      <w:pPr>
        <w:jc w:val="both"/>
        <w:rPr>
          <w:sz w:val="23"/>
          <w:szCs w:val="23"/>
        </w:rPr>
      </w:pPr>
      <w:r w:rsidRPr="00777E7B">
        <w:rPr>
          <w:sz w:val="23"/>
          <w:szCs w:val="23"/>
        </w:rPr>
        <w:t xml:space="preserve">We believe the Government should continue to fund the DTH beyond its initial two year funding period. However, if </w:t>
      </w:r>
      <w:r w:rsidR="00556874">
        <w:rPr>
          <w:sz w:val="23"/>
          <w:szCs w:val="23"/>
        </w:rPr>
        <w:t>g</w:t>
      </w:r>
      <w:r w:rsidRPr="00777E7B">
        <w:rPr>
          <w:sz w:val="23"/>
          <w:szCs w:val="23"/>
        </w:rPr>
        <w:t xml:space="preserve">overnment funding is not forthcoming, the Department should explore the possibility of </w:t>
      </w:r>
      <w:r w:rsidR="004E297E" w:rsidRPr="00777E7B">
        <w:rPr>
          <w:sz w:val="23"/>
          <w:szCs w:val="23"/>
        </w:rPr>
        <w:t xml:space="preserve">ACMA </w:t>
      </w:r>
      <w:r w:rsidRPr="00777E7B">
        <w:rPr>
          <w:sz w:val="23"/>
          <w:szCs w:val="23"/>
        </w:rPr>
        <w:t xml:space="preserve">recovering </w:t>
      </w:r>
      <w:r w:rsidR="004E297E" w:rsidRPr="00777E7B">
        <w:rPr>
          <w:sz w:val="23"/>
          <w:szCs w:val="23"/>
        </w:rPr>
        <w:t xml:space="preserve">at least some of </w:t>
      </w:r>
      <w:r w:rsidRPr="00777E7B">
        <w:rPr>
          <w:sz w:val="23"/>
          <w:szCs w:val="23"/>
        </w:rPr>
        <w:t>the cost of the DTH from</w:t>
      </w:r>
      <w:r w:rsidR="004E297E" w:rsidRPr="00777E7B">
        <w:rPr>
          <w:sz w:val="23"/>
          <w:szCs w:val="23"/>
        </w:rPr>
        <w:t xml:space="preserve"> carrier licence fees (as it does for the costs of developing consumer-related codes of practice for the purposes of Part 6 of the </w:t>
      </w:r>
      <w:r w:rsidR="004E297E" w:rsidRPr="00777E7B">
        <w:rPr>
          <w:i/>
          <w:sz w:val="23"/>
          <w:szCs w:val="23"/>
        </w:rPr>
        <w:t>Telecommunications Act 1997</w:t>
      </w:r>
      <w:r w:rsidR="004E297E" w:rsidRPr="00777E7B">
        <w:rPr>
          <w:sz w:val="23"/>
          <w:szCs w:val="23"/>
        </w:rPr>
        <w:t xml:space="preserve"> (</w:t>
      </w:r>
      <w:proofErr w:type="spellStart"/>
      <w:r w:rsidR="004E297E" w:rsidRPr="00777E7B">
        <w:rPr>
          <w:sz w:val="23"/>
          <w:szCs w:val="23"/>
        </w:rPr>
        <w:t>Cth</w:t>
      </w:r>
      <w:proofErr w:type="spellEnd"/>
      <w:r w:rsidR="004E297E" w:rsidRPr="00777E7B">
        <w:rPr>
          <w:sz w:val="23"/>
          <w:szCs w:val="23"/>
        </w:rPr>
        <w:t>)</w:t>
      </w:r>
      <w:r w:rsidR="00556874">
        <w:rPr>
          <w:sz w:val="23"/>
          <w:szCs w:val="23"/>
        </w:rPr>
        <w:t>)</w:t>
      </w:r>
      <w:r w:rsidR="004E297E" w:rsidRPr="00777E7B">
        <w:rPr>
          <w:sz w:val="23"/>
          <w:szCs w:val="23"/>
        </w:rPr>
        <w:t xml:space="preserve">. If the Department decides to include information relating to </w:t>
      </w:r>
      <w:proofErr w:type="spellStart"/>
      <w:r w:rsidR="004E297E" w:rsidRPr="00777E7B">
        <w:rPr>
          <w:sz w:val="23"/>
          <w:szCs w:val="23"/>
        </w:rPr>
        <w:t>eSafety</w:t>
      </w:r>
      <w:proofErr w:type="spellEnd"/>
      <w:r w:rsidR="004E297E" w:rsidRPr="00777E7B">
        <w:rPr>
          <w:sz w:val="23"/>
          <w:szCs w:val="23"/>
        </w:rPr>
        <w:t xml:space="preserve"> on the DTH, it should </w:t>
      </w:r>
      <w:r w:rsidR="00777E7B" w:rsidRPr="00777E7B">
        <w:rPr>
          <w:sz w:val="23"/>
          <w:szCs w:val="23"/>
        </w:rPr>
        <w:t xml:space="preserve">also </w:t>
      </w:r>
      <w:r w:rsidR="004E297E" w:rsidRPr="00777E7B">
        <w:rPr>
          <w:sz w:val="23"/>
          <w:szCs w:val="23"/>
        </w:rPr>
        <w:t xml:space="preserve">consider designing a mechanism that would allow </w:t>
      </w:r>
      <w:r w:rsidR="00777E7B" w:rsidRPr="00777E7B">
        <w:rPr>
          <w:sz w:val="23"/>
          <w:szCs w:val="23"/>
        </w:rPr>
        <w:t xml:space="preserve">it to recoup the </w:t>
      </w:r>
      <w:r w:rsidR="00260ABB">
        <w:rPr>
          <w:sz w:val="23"/>
          <w:szCs w:val="23"/>
        </w:rPr>
        <w:t>related costs from the largest digital platform providers —Google and Facebook</w:t>
      </w:r>
      <w:r w:rsidR="00777E7B" w:rsidRPr="00777E7B">
        <w:rPr>
          <w:sz w:val="23"/>
          <w:szCs w:val="23"/>
        </w:rPr>
        <w:t xml:space="preserve">. </w:t>
      </w:r>
    </w:p>
    <w:p w14:paraId="61B8C5E8" w14:textId="733218FF" w:rsidR="00D2795B" w:rsidRPr="00777E7B" w:rsidRDefault="00777E7B" w:rsidP="00777E7B">
      <w:pPr>
        <w:jc w:val="both"/>
        <w:rPr>
          <w:sz w:val="23"/>
          <w:szCs w:val="23"/>
        </w:rPr>
      </w:pPr>
      <w:r w:rsidRPr="00777E7B">
        <w:rPr>
          <w:sz w:val="23"/>
          <w:szCs w:val="23"/>
        </w:rPr>
        <w:t>We are opposed to the idea of paid advertising unless providers of communications services that are the subject of the DTH are prohibited from advertising</w:t>
      </w:r>
      <w:r w:rsidR="00276DC6">
        <w:rPr>
          <w:sz w:val="23"/>
          <w:szCs w:val="23"/>
        </w:rPr>
        <w:t xml:space="preserve"> on it</w:t>
      </w:r>
      <w:r w:rsidRPr="00777E7B">
        <w:rPr>
          <w:sz w:val="23"/>
          <w:szCs w:val="23"/>
        </w:rPr>
        <w:t xml:space="preserve">. </w:t>
      </w:r>
      <w:r>
        <w:rPr>
          <w:sz w:val="23"/>
          <w:szCs w:val="23"/>
        </w:rPr>
        <w:t xml:space="preserve">Permitting </w:t>
      </w:r>
      <w:r w:rsidRPr="00777E7B">
        <w:rPr>
          <w:sz w:val="23"/>
          <w:szCs w:val="23"/>
        </w:rPr>
        <w:t xml:space="preserve">paid advertising </w:t>
      </w:r>
      <w:r>
        <w:rPr>
          <w:sz w:val="23"/>
          <w:szCs w:val="23"/>
        </w:rPr>
        <w:t xml:space="preserve">by </w:t>
      </w:r>
      <w:r w:rsidRPr="00777E7B">
        <w:rPr>
          <w:sz w:val="23"/>
          <w:szCs w:val="23"/>
        </w:rPr>
        <w:t xml:space="preserve">such providers would </w:t>
      </w:r>
      <w:r w:rsidR="0032536B">
        <w:rPr>
          <w:sz w:val="23"/>
          <w:szCs w:val="23"/>
        </w:rPr>
        <w:t>create the appearance of, and possibly give rise to, conflict of interests</w:t>
      </w:r>
      <w:r w:rsidR="00260ABB">
        <w:rPr>
          <w:sz w:val="23"/>
          <w:szCs w:val="23"/>
        </w:rPr>
        <w:t xml:space="preserve">, thereby </w:t>
      </w:r>
      <w:r w:rsidRPr="00777E7B">
        <w:rPr>
          <w:sz w:val="23"/>
          <w:szCs w:val="23"/>
        </w:rPr>
        <w:t>undermin</w:t>
      </w:r>
      <w:r w:rsidR="00260ABB">
        <w:rPr>
          <w:sz w:val="23"/>
          <w:szCs w:val="23"/>
        </w:rPr>
        <w:t>ing</w:t>
      </w:r>
      <w:r>
        <w:rPr>
          <w:sz w:val="23"/>
          <w:szCs w:val="23"/>
        </w:rPr>
        <w:t xml:space="preserve"> </w:t>
      </w:r>
      <w:r w:rsidRPr="00777E7B">
        <w:rPr>
          <w:sz w:val="23"/>
          <w:szCs w:val="23"/>
        </w:rPr>
        <w:t>the</w:t>
      </w:r>
      <w:r>
        <w:rPr>
          <w:sz w:val="23"/>
          <w:szCs w:val="23"/>
        </w:rPr>
        <w:t xml:space="preserve"> </w:t>
      </w:r>
      <w:r w:rsidR="00260ABB">
        <w:rPr>
          <w:sz w:val="23"/>
          <w:szCs w:val="23"/>
        </w:rPr>
        <w:t xml:space="preserve">Department’s </w:t>
      </w:r>
      <w:r>
        <w:rPr>
          <w:sz w:val="23"/>
          <w:szCs w:val="23"/>
        </w:rPr>
        <w:t xml:space="preserve">stated objective of </w:t>
      </w:r>
      <w:r w:rsidR="0032536B">
        <w:rPr>
          <w:sz w:val="23"/>
          <w:szCs w:val="23"/>
        </w:rPr>
        <w:t>‘providing independent and factual information’.</w:t>
      </w:r>
      <w:r w:rsidRPr="00777E7B">
        <w:rPr>
          <w:sz w:val="23"/>
          <w:szCs w:val="23"/>
        </w:rPr>
        <w:t xml:space="preserve">  </w:t>
      </w:r>
    </w:p>
    <w:p w14:paraId="50119477" w14:textId="5EE0DCD8" w:rsidR="009402B8" w:rsidRPr="00777E7B" w:rsidRDefault="009402B8" w:rsidP="009402B8">
      <w:pPr>
        <w:rPr>
          <w:sz w:val="23"/>
          <w:szCs w:val="23"/>
        </w:rPr>
      </w:pPr>
    </w:p>
    <w:p w14:paraId="4D7974DE" w14:textId="77777777" w:rsidR="009402B8" w:rsidRDefault="009402B8" w:rsidP="009402B8"/>
    <w:p w14:paraId="4785481B" w14:textId="77777777" w:rsidR="009402B8" w:rsidRDefault="009402B8">
      <w:pPr>
        <w:spacing w:before="0"/>
      </w:pPr>
      <w:r>
        <w:br w:type="page"/>
      </w:r>
    </w:p>
    <w:p w14:paraId="48BF837C" w14:textId="08A518CE" w:rsidR="000513A6" w:rsidRDefault="000513A6" w:rsidP="009402B8">
      <w:pPr>
        <w:pStyle w:val="Heading1"/>
      </w:pPr>
      <w:r>
        <w:lastRenderedPageBreak/>
        <w:t>ANNEXURE</w:t>
      </w:r>
    </w:p>
    <w:p w14:paraId="5F2C1D62" w14:textId="7AF29EB5" w:rsidR="000D2464" w:rsidRDefault="009402B8" w:rsidP="009402B8">
      <w:pPr>
        <w:pStyle w:val="Heading1"/>
      </w:pPr>
      <w:r>
        <w:t xml:space="preserve">Extract from Karen Lee and Derek Wilding, </w:t>
      </w:r>
      <w:r>
        <w:rPr>
          <w:i/>
        </w:rPr>
        <w:t>Responsive Engagement: Involving Consumers and Citizens in Communications Industry Rule-making</w:t>
      </w:r>
      <w:r>
        <w:t xml:space="preserve"> (</w:t>
      </w:r>
      <w:r w:rsidR="000D2464">
        <w:t>2019)</w:t>
      </w:r>
    </w:p>
    <w:p w14:paraId="3A700FD2" w14:textId="77777777" w:rsidR="00066D83" w:rsidRPr="003C7470" w:rsidRDefault="00066D83" w:rsidP="00066D83">
      <w:pPr>
        <w:pStyle w:val="Heading3"/>
      </w:pPr>
      <w:bookmarkStart w:id="5" w:name="_Toc25084021"/>
      <w:bookmarkStart w:id="6" w:name="_Toc25138290"/>
      <w:r>
        <w:t xml:space="preserve">6.1.2 </w:t>
      </w:r>
      <w:r w:rsidRPr="003C7470">
        <w:t>The Au</w:t>
      </w:r>
      <w:r>
        <w:t>stralian s</w:t>
      </w:r>
      <w:r w:rsidRPr="003C7470">
        <w:t xml:space="preserve">elf- and </w:t>
      </w:r>
      <w:r>
        <w:t>c</w:t>
      </w:r>
      <w:r w:rsidRPr="003C7470">
        <w:t xml:space="preserve">o-regulatory </w:t>
      </w:r>
      <w:r>
        <w:t>r</w:t>
      </w:r>
      <w:r w:rsidRPr="003C7470">
        <w:t xml:space="preserve">ule-making </w:t>
      </w:r>
      <w:r>
        <w:t>c</w:t>
      </w:r>
      <w:r w:rsidRPr="003C7470">
        <w:t>ontext</w:t>
      </w:r>
      <w:bookmarkEnd w:id="5"/>
      <w:bookmarkEnd w:id="6"/>
    </w:p>
    <w:p w14:paraId="781BAF3F" w14:textId="77777777" w:rsidR="00066D83" w:rsidRPr="00066D83" w:rsidRDefault="00066D83" w:rsidP="00066D83">
      <w:pPr>
        <w:pStyle w:val="Bodycopy"/>
        <w:rPr>
          <w:rFonts w:asciiTheme="majorHAnsi" w:hAnsiTheme="majorHAnsi" w:cstheme="majorHAnsi"/>
          <w:sz w:val="22"/>
          <w:szCs w:val="22"/>
          <w:u w:val="none"/>
          <w:lang w:val="en-US" w:eastAsia="ja-JP"/>
        </w:rPr>
      </w:pPr>
      <w:r w:rsidRPr="00066D83">
        <w:rPr>
          <w:rFonts w:asciiTheme="majorHAnsi" w:hAnsiTheme="majorHAnsi" w:cstheme="majorHAnsi"/>
          <w:sz w:val="22"/>
          <w:szCs w:val="22"/>
          <w:u w:val="none"/>
          <w:lang w:eastAsia="ja-JP"/>
        </w:rPr>
        <w:t xml:space="preserve">As explained in section 5.2.3, Consumer Round Table participants identified (and Industry Round Table representatives appear to have accepted) that a number of stakeholders who could enhance industry rule-making are not submitting written comments when industry offers them that opportunity. These missing stakeholders included young people, small businesses, a variety of individuals from vulnerable communities and often the relatively small organisations that in several cases represent their interests. Round Table participants also identified a number of barriers to their participation including submission fatigue, technical complexity and motivational barriers, such as competing demands for their time and attention, distrust of the rule-maker and cynicism about the likely effect public consultation will have on the final outcome.  Although not specifically mentioned by any </w:t>
      </w:r>
      <w:r w:rsidRPr="00066D83">
        <w:rPr>
          <w:rFonts w:asciiTheme="majorHAnsi" w:hAnsiTheme="majorHAnsi" w:cstheme="majorHAnsi"/>
          <w:sz w:val="22"/>
          <w:szCs w:val="22"/>
          <w:u w:val="none"/>
        </w:rPr>
        <w:t>Round Table participant, we would also suggest that missing stakeholders likely face two additional barriers (barriers that Farina et al found in their research): a lack of awareness that draft rules proposed by industry schemes may affect them and/or that they can participate, and information overload. The limited amount of public communication provided by the industry schemes that we were able to locate contains much jargon and uses terminology that missing stakeholders are unlikely to understand without assistance.</w:t>
      </w:r>
    </w:p>
    <w:p w14:paraId="591EFA6C" w14:textId="77777777" w:rsidR="00066D83" w:rsidRPr="00066D83" w:rsidRDefault="00066D83" w:rsidP="00066D83">
      <w:pPr>
        <w:pStyle w:val="Bodycopy"/>
        <w:rPr>
          <w:rFonts w:asciiTheme="majorHAnsi" w:hAnsiTheme="majorHAnsi" w:cstheme="majorHAnsi"/>
          <w:sz w:val="22"/>
          <w:szCs w:val="22"/>
          <w:u w:val="none"/>
        </w:rPr>
      </w:pPr>
      <w:r w:rsidRPr="00066D83">
        <w:rPr>
          <w:rFonts w:asciiTheme="majorHAnsi" w:hAnsiTheme="majorHAnsi" w:cstheme="majorHAnsi"/>
          <w:sz w:val="22"/>
          <w:szCs w:val="22"/>
          <w:u w:val="none"/>
        </w:rPr>
        <w:t xml:space="preserve">The precise steps that would need to be taken to reduce these participation barriers will vary from rule to rule and turn on the specific industry body and scheme and the specific stakeholders the rule-maker is seeking to attract. Nevertheless, our research of the 19 schemes carried out for the project indicates there are some additional measures that industry schemes could take to reduce participation barriers faced by stakeholders who do not currently participate in their public engagement processes. Below, we identify possible measures to increase participation by individual consumers and citizens as well as by organisations representing their interests. </w:t>
      </w:r>
    </w:p>
    <w:p w14:paraId="1479E8DD" w14:textId="77777777" w:rsidR="00066D83" w:rsidRPr="003C7470" w:rsidRDefault="00066D83" w:rsidP="00066D83">
      <w:pPr>
        <w:pStyle w:val="Heading4"/>
      </w:pPr>
      <w:r w:rsidRPr="003C7470">
        <w:t xml:space="preserve">Possible </w:t>
      </w:r>
      <w:r>
        <w:t>m</w:t>
      </w:r>
      <w:r w:rsidRPr="003C7470">
        <w:t xml:space="preserve">easures </w:t>
      </w:r>
      <w:r>
        <w:t>to assist individual consumers and c</w:t>
      </w:r>
      <w:r w:rsidRPr="003C7470">
        <w:t xml:space="preserve">itizens  </w:t>
      </w:r>
    </w:p>
    <w:p w14:paraId="23E721C8" w14:textId="77777777" w:rsidR="00066D83" w:rsidRPr="00066D83" w:rsidRDefault="00066D83" w:rsidP="00066D83">
      <w:pPr>
        <w:rPr>
          <w:rFonts w:ascii="Calibri" w:hAnsi="Calibri" w:cs="Calibri"/>
        </w:rPr>
      </w:pPr>
      <w:r w:rsidRPr="00066D83">
        <w:rPr>
          <w:rFonts w:ascii="Calibri" w:hAnsi="Calibri" w:cs="Calibri"/>
        </w:rPr>
        <w:t xml:space="preserve">First, to maximise the chances of missing stakeholders reading consultation documents, including issue papers, </w:t>
      </w:r>
      <w:r w:rsidRPr="00066D83">
        <w:rPr>
          <w:rFonts w:ascii="Calibri" w:hAnsi="Calibri" w:cs="Calibri"/>
          <w:b/>
        </w:rPr>
        <w:t xml:space="preserve">all documentation could also be published by industry self- and co-regulatory industry schemes on a single website hosted by a government regulator such as ACMA. </w:t>
      </w:r>
      <w:r w:rsidRPr="00066D83">
        <w:rPr>
          <w:rFonts w:ascii="Calibri" w:hAnsi="Calibri" w:cs="Calibri"/>
        </w:rPr>
        <w:t xml:space="preserve">We note ACMA already performs a similar function when it issues alerts advertising opportunities to make written submissions to consultation documents published by </w:t>
      </w:r>
      <w:proofErr w:type="spellStart"/>
      <w:r w:rsidRPr="00066D83">
        <w:rPr>
          <w:rFonts w:ascii="Calibri" w:hAnsi="Calibri" w:cs="Calibri"/>
        </w:rPr>
        <w:t>Comms</w:t>
      </w:r>
      <w:proofErr w:type="spellEnd"/>
      <w:r w:rsidRPr="00066D83">
        <w:rPr>
          <w:rFonts w:ascii="Calibri" w:hAnsi="Calibri" w:cs="Calibri"/>
        </w:rPr>
        <w:t xml:space="preserve"> Alliance, CRA and Free TV.  As was noted in Section 3.21.1, industry publicises the opportunity to make written submissions on consultation documents on their websites (often in conjunction with other means). However, advertising those opportunities on their websites assumes consumers, citizens and any other organisations representing their interests know of the relevant schemes and regularly look at those websites. In the UK and the US, for example, there are websites that effectively serve as ‘one-stop shops’ for consumers and citizens. Information relating to all ongoing consultations by UK departments, agencies and public bodies is published on </w:t>
      </w:r>
      <w:hyperlink r:id="rId13" w:tooltip="UK Government home page" w:history="1">
        <w:r w:rsidRPr="00066D83">
          <w:rPr>
            <w:rStyle w:val="Hyperlink"/>
            <w:rFonts w:ascii="Calibri" w:hAnsi="Calibri" w:cs="Calibri"/>
          </w:rPr>
          <w:t>www.gov.uk</w:t>
        </w:r>
      </w:hyperlink>
      <w:r w:rsidRPr="00066D83">
        <w:rPr>
          <w:rFonts w:ascii="Calibri" w:hAnsi="Calibri" w:cs="Calibri"/>
        </w:rPr>
        <w:t>.</w:t>
      </w:r>
      <w:r w:rsidRPr="00066D83">
        <w:rPr>
          <w:rFonts w:ascii="Calibri" w:hAnsi="Calibri" w:cs="Calibri"/>
          <w:vertAlign w:val="superscript"/>
        </w:rPr>
        <w:footnoteReference w:id="2"/>
      </w:r>
      <w:r w:rsidRPr="00066D83">
        <w:rPr>
          <w:rFonts w:ascii="Calibri" w:hAnsi="Calibri" w:cs="Calibri"/>
        </w:rPr>
        <w:t xml:space="preserve"> In the US, all notices of rule-making are published at </w:t>
      </w:r>
      <w:hyperlink r:id="rId14" w:tooltip="US Regulations home page" w:history="1">
        <w:r w:rsidRPr="00066D83">
          <w:rPr>
            <w:rStyle w:val="Hyperlink"/>
            <w:rFonts w:ascii="Calibri" w:hAnsi="Calibri" w:cs="Calibri"/>
          </w:rPr>
          <w:t>www.regulations.gov</w:t>
        </w:r>
      </w:hyperlink>
      <w:r w:rsidRPr="00066D83">
        <w:rPr>
          <w:rFonts w:ascii="Calibri" w:hAnsi="Calibri" w:cs="Calibri"/>
        </w:rPr>
        <w:t xml:space="preserve">. Publication on a single website will not alleviate all participation barriers, but it may assist some consumers and citizens. </w:t>
      </w:r>
    </w:p>
    <w:p w14:paraId="7507B1AC" w14:textId="77777777" w:rsidR="00066D83" w:rsidRPr="00066D83" w:rsidRDefault="00066D83" w:rsidP="00066D83">
      <w:pPr>
        <w:rPr>
          <w:rFonts w:ascii="Calibri" w:hAnsi="Calibri" w:cs="Calibri"/>
        </w:rPr>
      </w:pPr>
      <w:r w:rsidRPr="00066D83">
        <w:rPr>
          <w:rFonts w:ascii="Calibri" w:hAnsi="Calibri" w:cs="Calibri"/>
        </w:rPr>
        <w:t xml:space="preserve">Second, </w:t>
      </w:r>
      <w:r w:rsidRPr="00066D83">
        <w:rPr>
          <w:rFonts w:ascii="Calibri" w:hAnsi="Calibri" w:cs="Calibri"/>
          <w:b/>
        </w:rPr>
        <w:t>ACMA (or any future regulatory authority) could publicise (via its communication channels) opportunities provided by industry schemes for consumers, citizens and related organisations to engage with their rule-making processes.</w:t>
      </w:r>
      <w:r w:rsidRPr="00066D83">
        <w:rPr>
          <w:rFonts w:ascii="Calibri" w:hAnsi="Calibri" w:cs="Calibri"/>
        </w:rPr>
        <w:t xml:space="preserve"> As noted above, ACMA already performs this function in relation to </w:t>
      </w:r>
      <w:r w:rsidRPr="00066D83">
        <w:rPr>
          <w:rFonts w:ascii="Calibri" w:hAnsi="Calibri" w:cs="Calibri"/>
        </w:rPr>
        <w:lastRenderedPageBreak/>
        <w:t xml:space="preserve">consultation documents published by </w:t>
      </w:r>
      <w:proofErr w:type="spellStart"/>
      <w:r w:rsidRPr="00066D83">
        <w:rPr>
          <w:rFonts w:ascii="Calibri" w:hAnsi="Calibri" w:cs="Calibri"/>
        </w:rPr>
        <w:t>Comms</w:t>
      </w:r>
      <w:proofErr w:type="spellEnd"/>
      <w:r w:rsidRPr="00066D83">
        <w:rPr>
          <w:rFonts w:ascii="Calibri" w:hAnsi="Calibri" w:cs="Calibri"/>
        </w:rPr>
        <w:t xml:space="preserve"> Alliance, CRA and Free TV, and we see no reason why ACMA could not do the same for other industry schemes.</w:t>
      </w:r>
    </w:p>
    <w:p w14:paraId="43380048" w14:textId="77777777" w:rsidR="00066D83" w:rsidRPr="00066D83" w:rsidRDefault="00066D83" w:rsidP="00066D83">
      <w:pPr>
        <w:rPr>
          <w:rFonts w:ascii="Calibri" w:hAnsi="Calibri" w:cs="Calibri"/>
        </w:rPr>
      </w:pPr>
      <w:r w:rsidRPr="00066D83">
        <w:rPr>
          <w:rFonts w:ascii="Calibri" w:hAnsi="Calibri" w:cs="Calibri"/>
        </w:rPr>
        <w:t xml:space="preserve">Third, in order to make it easier for consumers and citizens to identify proposed amendments to existing rules, </w:t>
      </w:r>
      <w:r w:rsidRPr="00066D83">
        <w:rPr>
          <w:rFonts w:ascii="Calibri" w:hAnsi="Calibri" w:cs="Calibri"/>
          <w:b/>
        </w:rPr>
        <w:t>industry schemes could issue a marked-up (redline) version of proposed rules</w:t>
      </w:r>
      <w:r w:rsidRPr="00066D83">
        <w:rPr>
          <w:rFonts w:ascii="Calibri" w:hAnsi="Calibri" w:cs="Calibri"/>
        </w:rPr>
        <w:t xml:space="preserve">. According to our research, only </w:t>
      </w:r>
      <w:proofErr w:type="spellStart"/>
      <w:r w:rsidRPr="00066D83">
        <w:rPr>
          <w:rFonts w:ascii="Calibri" w:hAnsi="Calibri" w:cs="Calibri"/>
        </w:rPr>
        <w:t>auDA</w:t>
      </w:r>
      <w:proofErr w:type="spellEnd"/>
      <w:r w:rsidRPr="00066D83">
        <w:rPr>
          <w:rFonts w:ascii="Calibri" w:hAnsi="Calibri" w:cs="Calibri"/>
        </w:rPr>
        <w:t xml:space="preserve"> requires publication of a redline version of the changes to its policies.</w:t>
      </w:r>
      <w:r w:rsidRPr="00066D83">
        <w:rPr>
          <w:rFonts w:ascii="Calibri" w:hAnsi="Calibri" w:cs="Calibri"/>
          <w:vertAlign w:val="superscript"/>
        </w:rPr>
        <w:footnoteReference w:id="3"/>
      </w:r>
      <w:r w:rsidRPr="00066D83">
        <w:rPr>
          <w:rFonts w:ascii="Calibri" w:hAnsi="Calibri" w:cs="Calibri"/>
        </w:rPr>
        <w:t xml:space="preserve"> We note </w:t>
      </w:r>
      <w:proofErr w:type="spellStart"/>
      <w:r w:rsidRPr="00066D83">
        <w:rPr>
          <w:rFonts w:ascii="Calibri" w:hAnsi="Calibri" w:cs="Calibri"/>
        </w:rPr>
        <w:t>cameron.ralph.khoury</w:t>
      </w:r>
      <w:proofErr w:type="spellEnd"/>
      <w:r w:rsidRPr="00066D83">
        <w:rPr>
          <w:rFonts w:ascii="Calibri" w:hAnsi="Calibri" w:cs="Calibri"/>
        </w:rPr>
        <w:t xml:space="preserve"> made a similar recommendation in 2018 following its review of Standards Australia’s technical governance.</w:t>
      </w:r>
    </w:p>
    <w:p w14:paraId="566F9A1B" w14:textId="77777777" w:rsidR="00066D83" w:rsidRPr="00066D83" w:rsidRDefault="00066D83" w:rsidP="00066D83">
      <w:pPr>
        <w:rPr>
          <w:rFonts w:ascii="Calibri" w:hAnsi="Calibri" w:cs="Calibri"/>
        </w:rPr>
      </w:pPr>
      <w:r w:rsidRPr="00066D83">
        <w:rPr>
          <w:rFonts w:ascii="Calibri" w:hAnsi="Calibri" w:cs="Calibri"/>
        </w:rPr>
        <w:t xml:space="preserve">Fourth, to help overcome motivational barriers, </w:t>
      </w:r>
      <w:r w:rsidRPr="00066D83">
        <w:rPr>
          <w:rFonts w:ascii="Calibri" w:hAnsi="Calibri" w:cs="Calibri"/>
          <w:b/>
        </w:rPr>
        <w:t>industry schemes could publish statements explaining how consultation processes have shaped the rules they have adopted and write directly to individuals explaining if their comments were accepted or rejected, and if rejected, why</w:t>
      </w:r>
      <w:r w:rsidRPr="00066D83">
        <w:rPr>
          <w:rFonts w:ascii="Calibri" w:hAnsi="Calibri" w:cs="Calibri"/>
        </w:rPr>
        <w:t>. There is some overseas precedent for this measure. For example, it is the practice of the UK Committee of Advertising Practice (CAP), which is responsible for drafting the UK Code of Non-broadcast Advertising and Direct and Promotional Advertising Code, and the UK Code of Broadcast Advertising, to publish such a statement.</w:t>
      </w:r>
      <w:r w:rsidRPr="00066D83">
        <w:rPr>
          <w:rFonts w:ascii="Calibri" w:hAnsi="Calibri" w:cs="Calibri"/>
          <w:vertAlign w:val="superscript"/>
        </w:rPr>
        <w:footnoteReference w:id="4"/>
      </w:r>
      <w:r w:rsidRPr="00066D83">
        <w:rPr>
          <w:rFonts w:ascii="Calibri" w:hAnsi="Calibri" w:cs="Calibri"/>
        </w:rPr>
        <w:t xml:space="preserve"> As already mentioned in Section 3.21.1 above, in Australia, </w:t>
      </w:r>
      <w:proofErr w:type="spellStart"/>
      <w:r w:rsidRPr="00066D83">
        <w:rPr>
          <w:rFonts w:ascii="Calibri" w:hAnsi="Calibri" w:cs="Calibri"/>
        </w:rPr>
        <w:t>auDA</w:t>
      </w:r>
      <w:proofErr w:type="spellEnd"/>
      <w:r w:rsidRPr="00066D83">
        <w:rPr>
          <w:rFonts w:ascii="Calibri" w:hAnsi="Calibri" w:cs="Calibri"/>
        </w:rPr>
        <w:t xml:space="preserve"> now requires advisory committees to represent stakeholders’ views and the rationale for accepting some stakeholder input in their draft reports, which must be published (August 2018, para 39). </w:t>
      </w:r>
      <w:proofErr w:type="spellStart"/>
      <w:r w:rsidRPr="00066D83">
        <w:rPr>
          <w:rFonts w:ascii="Calibri" w:hAnsi="Calibri" w:cs="Calibri"/>
        </w:rPr>
        <w:t>Comms</w:t>
      </w:r>
      <w:proofErr w:type="spellEnd"/>
      <w:r w:rsidRPr="00066D83">
        <w:rPr>
          <w:rFonts w:ascii="Calibri" w:hAnsi="Calibri" w:cs="Calibri"/>
        </w:rPr>
        <w:t xml:space="preserve"> Alliance requires reasons for not incorporating certain comments in amended draft documents to be recorded in meeting minutes. Authors of comments are also advised in writing about the action taken (June 2007, s 6.5(a)). </w:t>
      </w:r>
    </w:p>
    <w:p w14:paraId="1277D062" w14:textId="77777777" w:rsidR="00066D83" w:rsidRPr="00066D83" w:rsidRDefault="00066D83" w:rsidP="00066D83">
      <w:pPr>
        <w:rPr>
          <w:rFonts w:ascii="Calibri" w:hAnsi="Calibri" w:cs="Calibri"/>
        </w:rPr>
      </w:pPr>
      <w:r w:rsidRPr="00066D83">
        <w:rPr>
          <w:rFonts w:ascii="Calibri" w:hAnsi="Calibri" w:cs="Calibri"/>
        </w:rPr>
        <w:t xml:space="preserve">Fifth, to help overcome motivational barriers, </w:t>
      </w:r>
      <w:r w:rsidRPr="00066D83">
        <w:rPr>
          <w:rFonts w:ascii="Calibri" w:hAnsi="Calibri" w:cs="Calibri"/>
          <w:b/>
        </w:rPr>
        <w:t>consumers and citizens could become involved during the ‘formative stage’</w:t>
      </w:r>
      <w:r w:rsidRPr="00066D83">
        <w:rPr>
          <w:rFonts w:ascii="Calibri" w:hAnsi="Calibri" w:cs="Calibri"/>
        </w:rPr>
        <w:t xml:space="preserve"> of rule-making where their input is arguably more likely to have an effect on the final outcome. For example, industry schemes could invite consumers and citizens to provide input into issue papers, including the formulation of questions they pose, and/or ask them to make submissions in response to them. </w:t>
      </w:r>
    </w:p>
    <w:p w14:paraId="1981F986" w14:textId="77777777" w:rsidR="00066D83" w:rsidRPr="00066D83" w:rsidRDefault="00066D83" w:rsidP="00066D83">
      <w:pPr>
        <w:rPr>
          <w:rFonts w:ascii="Calibri" w:hAnsi="Calibri" w:cs="Calibri"/>
        </w:rPr>
      </w:pPr>
      <w:r w:rsidRPr="00066D83">
        <w:rPr>
          <w:rFonts w:ascii="Calibri" w:hAnsi="Calibri" w:cs="Calibri"/>
        </w:rPr>
        <w:t xml:space="preserve">Sixth, where members of industry schemes have an existing relationship with customers, they could </w:t>
      </w:r>
      <w:r w:rsidRPr="00066D83">
        <w:rPr>
          <w:rFonts w:ascii="Calibri" w:hAnsi="Calibri" w:cs="Calibri"/>
          <w:b/>
        </w:rPr>
        <w:t>solicit customer participation by advertising opportunities to comment on draft rules in bill messages and/or via email</w:t>
      </w:r>
      <w:r w:rsidRPr="00066D83">
        <w:rPr>
          <w:rFonts w:ascii="Calibri" w:hAnsi="Calibri" w:cs="Calibri"/>
        </w:rPr>
        <w:t xml:space="preserve">. In the UK, one of the ways that at least one water company is engaging with its customers when preparing its business plans for regulatory price control reviews is through bill messages (Hand, Metcalfe &amp; </w:t>
      </w:r>
      <w:proofErr w:type="spellStart"/>
      <w:r w:rsidRPr="00066D83">
        <w:rPr>
          <w:rFonts w:ascii="Calibri" w:hAnsi="Calibri" w:cs="Calibri"/>
        </w:rPr>
        <w:t>Rundhammer</w:t>
      </w:r>
      <w:proofErr w:type="spellEnd"/>
      <w:r w:rsidRPr="00066D83">
        <w:rPr>
          <w:rFonts w:ascii="Calibri" w:hAnsi="Calibri" w:cs="Calibri"/>
        </w:rPr>
        <w:t xml:space="preserve"> 2018 p. 12).</w:t>
      </w:r>
      <w:r w:rsidRPr="00066D83">
        <w:rPr>
          <w:rFonts w:ascii="Calibri" w:hAnsi="Calibri" w:cs="Calibri"/>
          <w:vertAlign w:val="superscript"/>
        </w:rPr>
        <w:footnoteReference w:id="5"/>
      </w:r>
      <w:r w:rsidRPr="00066D83">
        <w:rPr>
          <w:rFonts w:ascii="Calibri" w:hAnsi="Calibri" w:cs="Calibri"/>
        </w:rPr>
        <w:t xml:space="preserve"> In Australia, broadcasters have the email addresses of viewers who have registered and accessed their catch-up television services. Where appropriate, they could notify their viewers of draft rules and opportunities to comment on them.</w:t>
      </w:r>
    </w:p>
    <w:p w14:paraId="2A4E4CD1" w14:textId="77777777" w:rsidR="00066D83" w:rsidRPr="00066D83" w:rsidRDefault="00066D83" w:rsidP="00066D83">
      <w:pPr>
        <w:rPr>
          <w:rFonts w:ascii="Calibri" w:hAnsi="Calibri" w:cs="Calibri"/>
        </w:rPr>
      </w:pPr>
      <w:r w:rsidRPr="00066D83">
        <w:rPr>
          <w:rFonts w:ascii="Calibri" w:hAnsi="Calibri" w:cs="Calibri"/>
        </w:rPr>
        <w:t xml:space="preserve">Seventh, industry could make use of </w:t>
      </w:r>
      <w:r w:rsidRPr="00066D83">
        <w:rPr>
          <w:rFonts w:ascii="Calibri" w:hAnsi="Calibri" w:cs="Calibri"/>
          <w:b/>
        </w:rPr>
        <w:t>information layering and plain English explanations of terminology</w:t>
      </w:r>
      <w:r w:rsidRPr="00066D83">
        <w:rPr>
          <w:rFonts w:ascii="Calibri" w:hAnsi="Calibri" w:cs="Calibri"/>
        </w:rPr>
        <w:t>. The limited amount of public communication provided by industry bodies and schemes that we were able to locate contains much jargon and uses terminology that it is unreasonable to assume missing stakeholders are likely to understand without assistance. As the CWA representative stated:</w:t>
      </w:r>
    </w:p>
    <w:p w14:paraId="18E5BE2D" w14:textId="77777777" w:rsidR="00066D83" w:rsidRPr="00066D83" w:rsidRDefault="00066D83" w:rsidP="00066D83">
      <w:pPr>
        <w:ind w:left="720"/>
        <w:rPr>
          <w:rFonts w:ascii="Calibri" w:hAnsi="Calibri" w:cs="Calibri"/>
        </w:rPr>
      </w:pPr>
      <w:r w:rsidRPr="00066D83">
        <w:rPr>
          <w:rFonts w:ascii="Calibri" w:hAnsi="Calibri" w:cs="Calibri"/>
        </w:rPr>
        <w:t xml:space="preserve">… </w:t>
      </w:r>
      <w:proofErr w:type="gramStart"/>
      <w:r w:rsidRPr="00066D83">
        <w:rPr>
          <w:rFonts w:ascii="Calibri" w:hAnsi="Calibri" w:cs="Calibri"/>
        </w:rPr>
        <w:t>they</w:t>
      </w:r>
      <w:proofErr w:type="gramEnd"/>
      <w:r w:rsidRPr="00066D83">
        <w:rPr>
          <w:rFonts w:ascii="Calibri" w:hAnsi="Calibri" w:cs="Calibri"/>
        </w:rPr>
        <w:t xml:space="preserve"> use language that the average person or disadvantaged people might not necessarily understand. So, it's about using basic language and trying to deliver the message from the point of view of somebody who actually has a limited knowledge of the subject or what you're trying to deliver.</w:t>
      </w:r>
    </w:p>
    <w:p w14:paraId="40BD8C6E" w14:textId="77777777" w:rsidR="00066D83" w:rsidRPr="00066D83" w:rsidRDefault="00066D83" w:rsidP="00066D83">
      <w:pPr>
        <w:rPr>
          <w:rFonts w:ascii="Calibri" w:hAnsi="Calibri" w:cs="Calibri"/>
        </w:rPr>
      </w:pPr>
      <w:r w:rsidRPr="00066D83">
        <w:rPr>
          <w:rFonts w:ascii="Calibri" w:hAnsi="Calibri" w:cs="Calibri"/>
        </w:rPr>
        <w:t xml:space="preserve">Eighth, </w:t>
      </w:r>
      <w:r w:rsidRPr="00066D83">
        <w:rPr>
          <w:rFonts w:ascii="Calibri" w:hAnsi="Calibri" w:cs="Calibri"/>
          <w:b/>
        </w:rPr>
        <w:t>where significant difficulties reaching a critical mass of individual consumers or citizens are encountered, industry schemes could tailor consumer and public engagement so that an adequate range of consumer and citizen views is solicited.</w:t>
      </w:r>
      <w:r w:rsidRPr="00066D83">
        <w:rPr>
          <w:rFonts w:ascii="Calibri" w:hAnsi="Calibri" w:cs="Calibri"/>
        </w:rPr>
        <w:t xml:space="preserve"> Tailored engagement could include holding meetings between rule-makers and representatives from peak consumer and public interest organisations on a one-on-one basis and/or adoption of one or more of the alternative mechanisms discussed in section 6.2 below. </w:t>
      </w:r>
    </w:p>
    <w:p w14:paraId="42C127C2" w14:textId="77777777" w:rsidR="00066D83" w:rsidRPr="00066D83" w:rsidRDefault="00066D83" w:rsidP="00066D83">
      <w:pPr>
        <w:ind w:left="720"/>
        <w:rPr>
          <w:rFonts w:asciiTheme="majorHAnsi" w:hAnsiTheme="majorHAnsi" w:cstheme="majorHAnsi"/>
          <w:b/>
        </w:rPr>
      </w:pPr>
      <w:r w:rsidRPr="00066D83">
        <w:rPr>
          <w:rFonts w:asciiTheme="majorHAnsi" w:hAnsiTheme="majorHAnsi" w:cstheme="majorHAnsi"/>
          <w:b/>
        </w:rPr>
        <w:t>Recommendation 1: Industry schemes could consider adopting the following range of measures to facilitate the participation of consumers and citizens in their rule-making processes:</w:t>
      </w:r>
    </w:p>
    <w:p w14:paraId="071F287A"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r w:rsidRPr="00066D83">
        <w:rPr>
          <w:rFonts w:asciiTheme="majorHAnsi" w:hAnsiTheme="majorHAnsi" w:cstheme="majorHAnsi"/>
          <w:b/>
        </w:rPr>
        <w:t xml:space="preserve">publishing all consultation documents on a single website hosted by a government regulator such as ACMA which should also publicise these engagement opportunities (via its communication channels) </w:t>
      </w:r>
    </w:p>
    <w:p w14:paraId="5160927B"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r w:rsidRPr="00066D83">
        <w:rPr>
          <w:rFonts w:asciiTheme="majorHAnsi" w:hAnsiTheme="majorHAnsi" w:cstheme="majorHAnsi"/>
          <w:b/>
        </w:rPr>
        <w:t>issuing marked-up (redline) versions of proposed rules</w:t>
      </w:r>
    </w:p>
    <w:p w14:paraId="00E06170"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r w:rsidRPr="00066D83">
        <w:rPr>
          <w:rFonts w:asciiTheme="majorHAnsi" w:hAnsiTheme="majorHAnsi" w:cstheme="majorHAnsi"/>
          <w:b/>
        </w:rPr>
        <w:t>publishing statements explaining how consultation processes have shaped the rules they have adopted and writing directly to individuals explaining if their comments were accepted or rejected, and if rejected, why</w:t>
      </w:r>
    </w:p>
    <w:p w14:paraId="3B06B69E"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r w:rsidRPr="00066D83">
        <w:rPr>
          <w:rFonts w:asciiTheme="majorHAnsi" w:hAnsiTheme="majorHAnsi" w:cstheme="majorHAnsi"/>
          <w:b/>
        </w:rPr>
        <w:t>involving consumers and citizens during the ‘formative stage’ of rule-making by seeking their input into issue papers, including the formulation of any questions they pose</w:t>
      </w:r>
    </w:p>
    <w:p w14:paraId="0B989655"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r w:rsidRPr="00066D83">
        <w:rPr>
          <w:rFonts w:asciiTheme="majorHAnsi" w:hAnsiTheme="majorHAnsi" w:cstheme="majorHAnsi"/>
          <w:b/>
        </w:rPr>
        <w:t>soliciting customer participation by advertising opportunities to comment on draft rules in bill messages and/or via email</w:t>
      </w:r>
    </w:p>
    <w:p w14:paraId="77CBEC07" w14:textId="77777777" w:rsidR="00066D83" w:rsidRPr="00066D83" w:rsidRDefault="00066D83" w:rsidP="00066D83">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asciiTheme="majorHAnsi" w:hAnsiTheme="majorHAnsi" w:cstheme="majorHAnsi"/>
          <w:b/>
        </w:rPr>
      </w:pPr>
      <w:proofErr w:type="gramStart"/>
      <w:r w:rsidRPr="00066D83">
        <w:rPr>
          <w:rFonts w:asciiTheme="majorHAnsi" w:hAnsiTheme="majorHAnsi" w:cstheme="majorHAnsi"/>
          <w:b/>
        </w:rPr>
        <w:t>using</w:t>
      </w:r>
      <w:proofErr w:type="gramEnd"/>
      <w:r w:rsidRPr="00066D83">
        <w:rPr>
          <w:rFonts w:asciiTheme="majorHAnsi" w:hAnsiTheme="majorHAnsi" w:cstheme="majorHAnsi"/>
        </w:rPr>
        <w:t xml:space="preserve"> </w:t>
      </w:r>
      <w:r w:rsidRPr="00066D83">
        <w:rPr>
          <w:rFonts w:asciiTheme="majorHAnsi" w:hAnsiTheme="majorHAnsi" w:cstheme="majorHAnsi"/>
          <w:b/>
        </w:rPr>
        <w:t>information layering and plain English explanations of terminology.</w:t>
      </w:r>
    </w:p>
    <w:p w14:paraId="652ACEBD" w14:textId="77777777" w:rsidR="00A311C0" w:rsidRPr="00200723" w:rsidRDefault="00066D83" w:rsidP="00200723">
      <w:pPr>
        <w:ind w:left="720"/>
        <w:rPr>
          <w:rFonts w:asciiTheme="majorHAnsi" w:hAnsiTheme="majorHAnsi" w:cstheme="majorHAnsi"/>
          <w:b/>
        </w:rPr>
        <w:sectPr w:rsidR="00A311C0" w:rsidRPr="00200723" w:rsidSect="003C514B">
          <w:headerReference w:type="even" r:id="rId15"/>
          <w:headerReference w:type="default" r:id="rId16"/>
          <w:footerReference w:type="default" r:id="rId17"/>
          <w:headerReference w:type="first" r:id="rId18"/>
          <w:footerReference w:type="first" r:id="rId19"/>
          <w:pgSz w:w="11899" w:h="16838"/>
          <w:pgMar w:top="1276" w:right="1134" w:bottom="993" w:left="1134" w:header="709" w:footer="588" w:gutter="0"/>
          <w:cols w:space="708"/>
          <w:titlePg/>
        </w:sectPr>
      </w:pPr>
      <w:r w:rsidRPr="00066D83">
        <w:rPr>
          <w:rFonts w:asciiTheme="majorHAnsi" w:hAnsiTheme="majorHAnsi" w:cstheme="majorHAnsi"/>
          <w:b/>
        </w:rPr>
        <w:t xml:space="preserve">Recommendation 2: If industry schemes experience difficulties reaching a critical mass of individual consumers or citizens, they could tailor their consumer and public engagement practices so that an adequate range of consumer and citizen views is </w:t>
      </w:r>
      <w:r w:rsidR="00200723">
        <w:rPr>
          <w:rFonts w:asciiTheme="majorHAnsi" w:hAnsiTheme="majorHAnsi" w:cstheme="majorHAnsi"/>
          <w:b/>
        </w:rPr>
        <w:t>solicited.</w:t>
      </w:r>
    </w:p>
    <w:p w14:paraId="364A0ECA" w14:textId="77777777" w:rsidR="003132E9" w:rsidRDefault="003132E9" w:rsidP="00200723"/>
    <w:sectPr w:rsidR="003132E9" w:rsidSect="003C514B">
      <w:headerReference w:type="first" r:id="rId20"/>
      <w:pgSz w:w="11899" w:h="16838"/>
      <w:pgMar w:top="1276" w:right="1134" w:bottom="993" w:left="1134" w:header="709" w:footer="5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8DC4" w14:textId="77777777" w:rsidR="00A8347B" w:rsidRDefault="00A8347B">
      <w:r>
        <w:separator/>
      </w:r>
    </w:p>
  </w:endnote>
  <w:endnote w:type="continuationSeparator" w:id="0">
    <w:p w14:paraId="7A45B649" w14:textId="77777777" w:rsidR="00A8347B" w:rsidRDefault="00A8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525D" w14:textId="77777777" w:rsidR="00461B0C" w:rsidRDefault="00461B0C">
    <w:pPr>
      <w:pStyle w:val="UTSFooter"/>
      <w:tabs>
        <w:tab w:val="left" w:pos="10065"/>
      </w:tabs>
    </w:pPr>
  </w:p>
  <w:p w14:paraId="1CB49427" w14:textId="77777777" w:rsidR="00461B0C" w:rsidRDefault="00461B0C">
    <w:pPr>
      <w:pStyle w:val="UTSFooter"/>
      <w:tabs>
        <w:tab w:val="left" w:pos="10065"/>
      </w:tabs>
    </w:pPr>
  </w:p>
  <w:p w14:paraId="56A451E4" w14:textId="4279A150" w:rsidR="00461B0C" w:rsidRDefault="00461B0C" w:rsidP="00D91D36">
    <w:pPr>
      <w:pStyle w:val="UTSFooter"/>
      <w:tabs>
        <w:tab w:val="left" w:pos="6521"/>
        <w:tab w:val="left" w:pos="10065"/>
      </w:tabs>
      <w:ind w:right="-150"/>
    </w:pPr>
    <w:r>
      <w:t xml:space="preserve">Centre for Media Transition – Submission – </w:t>
    </w:r>
    <w:r w:rsidR="0028757B">
      <w:t>Digital Technology Hub</w:t>
    </w:r>
    <w:r>
      <w:t xml:space="preserve">, </w:t>
    </w:r>
    <w:r w:rsidR="0028757B">
      <w:t xml:space="preserve">Consultation </w:t>
    </w:r>
    <w:r>
      <w:t>Paper</w:t>
    </w:r>
    <w:r>
      <w:br/>
    </w:r>
    <w:r>
      <w:br/>
    </w:r>
    <w:r w:rsidR="00116445">
      <w:fldChar w:fldCharType="begin"/>
    </w:r>
    <w:r>
      <w:instrText xml:space="preserve"> PAGE </w:instrText>
    </w:r>
    <w:r w:rsidR="00116445">
      <w:fldChar w:fldCharType="separate"/>
    </w:r>
    <w:r w:rsidR="00831269">
      <w:t>4</w:t>
    </w:r>
    <w:r w:rsidR="001164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4" w:space="0" w:color="auto"/>
      </w:tblBorders>
      <w:tblLook w:val="0000" w:firstRow="0" w:lastRow="0" w:firstColumn="0" w:lastColumn="0" w:noHBand="0" w:noVBand="0"/>
    </w:tblPr>
    <w:tblGrid>
      <w:gridCol w:w="9523"/>
    </w:tblGrid>
    <w:tr w:rsidR="00461B0C" w14:paraId="4745A506" w14:textId="77777777" w:rsidTr="00184E0A">
      <w:tc>
        <w:tcPr>
          <w:tcW w:w="10306" w:type="dxa"/>
        </w:tcPr>
        <w:p w14:paraId="3E9723CF" w14:textId="77777777" w:rsidR="00461B0C" w:rsidRDefault="00461B0C" w:rsidP="009402B8">
          <w:pPr>
            <w:pStyle w:val="Heading1"/>
          </w:pPr>
        </w:p>
      </w:tc>
    </w:tr>
  </w:tbl>
  <w:p w14:paraId="55D8B570" w14:textId="77777777" w:rsidR="00461B0C" w:rsidRDefault="0046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D1B8" w14:textId="77777777" w:rsidR="00A8347B" w:rsidRDefault="00A8347B">
      <w:r>
        <w:separator/>
      </w:r>
    </w:p>
  </w:footnote>
  <w:footnote w:type="continuationSeparator" w:id="0">
    <w:p w14:paraId="40E06014" w14:textId="77777777" w:rsidR="00A8347B" w:rsidRDefault="00A8347B">
      <w:r>
        <w:continuationSeparator/>
      </w:r>
    </w:p>
  </w:footnote>
  <w:footnote w:id="1">
    <w:p w14:paraId="3944FFF6" w14:textId="49EA99D8" w:rsidR="00497690" w:rsidRPr="00497690" w:rsidRDefault="00497690">
      <w:pPr>
        <w:pStyle w:val="FootnoteText"/>
      </w:pPr>
      <w:r>
        <w:rPr>
          <w:rStyle w:val="FootnoteReference"/>
        </w:rPr>
        <w:footnoteRef/>
      </w:r>
      <w:r>
        <w:t xml:space="preserve"> Cynthia R Farina, Mary Newhart, Josiah </w:t>
      </w:r>
      <w:proofErr w:type="spellStart"/>
      <w:r>
        <w:t>Heidt</w:t>
      </w:r>
      <w:proofErr w:type="spellEnd"/>
      <w:r>
        <w:t xml:space="preserve"> and </w:t>
      </w:r>
      <w:proofErr w:type="spellStart"/>
      <w:r>
        <w:t>CeRI</w:t>
      </w:r>
      <w:proofErr w:type="spellEnd"/>
      <w:r>
        <w:t xml:space="preserve">, ‘Rulemaking vs Democracy: Judging and Nudging Public Participation That Counts’ (2012) 2 </w:t>
      </w:r>
      <w:r>
        <w:rPr>
          <w:i/>
        </w:rPr>
        <w:t>Michigan Journal of Environmental and Administrative Law</w:t>
      </w:r>
      <w:r>
        <w:t xml:space="preserve"> 123, 148.</w:t>
      </w:r>
    </w:p>
  </w:footnote>
  <w:footnote w:id="2">
    <w:p w14:paraId="0DE14D04" w14:textId="77777777" w:rsidR="00066D83" w:rsidRPr="00200723" w:rsidRDefault="00066D83" w:rsidP="00066D83">
      <w:pPr>
        <w:rPr>
          <w:rFonts w:asciiTheme="majorHAnsi" w:hAnsiTheme="majorHAnsi" w:cstheme="majorHAnsi"/>
          <w:sz w:val="20"/>
        </w:rPr>
      </w:pPr>
      <w:r w:rsidRPr="00200723">
        <w:rPr>
          <w:rStyle w:val="FootnoteReference"/>
          <w:rFonts w:asciiTheme="majorHAnsi" w:hAnsiTheme="majorHAnsi" w:cstheme="majorHAnsi"/>
          <w:sz w:val="20"/>
        </w:rPr>
        <w:footnoteRef/>
      </w:r>
      <w:r w:rsidRPr="00200723">
        <w:rPr>
          <w:rFonts w:asciiTheme="majorHAnsi" w:hAnsiTheme="majorHAnsi" w:cstheme="majorHAnsi"/>
          <w:sz w:val="20"/>
        </w:rPr>
        <w:t xml:space="preserve"> See </w:t>
      </w:r>
      <w:hyperlink r:id="rId1" w:tooltip="Link to UK government policy papers website" w:history="1">
        <w:r w:rsidRPr="00200723">
          <w:rPr>
            <w:rStyle w:val="Hyperlink"/>
            <w:rFonts w:asciiTheme="majorHAnsi" w:hAnsiTheme="majorHAnsi" w:cstheme="majorHAnsi"/>
            <w:sz w:val="20"/>
          </w:rPr>
          <w:t>&lt;https://www.gov.uk/government/publications?publication_filter_option=consultations/&gt;</w:t>
        </w:r>
      </w:hyperlink>
      <w:r w:rsidRPr="00200723">
        <w:rPr>
          <w:rFonts w:asciiTheme="majorHAnsi" w:hAnsiTheme="majorHAnsi" w:cstheme="majorHAnsi"/>
          <w:sz w:val="20"/>
        </w:rPr>
        <w:t>.</w:t>
      </w:r>
    </w:p>
  </w:footnote>
  <w:footnote w:id="3">
    <w:p w14:paraId="175438BF" w14:textId="77777777" w:rsidR="00066D83" w:rsidRPr="00200723" w:rsidRDefault="00066D83" w:rsidP="00066D83">
      <w:pPr>
        <w:pStyle w:val="FootnoteText"/>
        <w:rPr>
          <w:rFonts w:ascii="Calibri" w:hAnsi="Calibri" w:cs="Calibri"/>
        </w:rPr>
      </w:pPr>
      <w:r w:rsidRPr="00200723">
        <w:rPr>
          <w:rStyle w:val="FootnoteReference"/>
          <w:rFonts w:ascii="Calibri" w:hAnsi="Calibri" w:cs="Calibri"/>
          <w:sz w:val="20"/>
        </w:rPr>
        <w:footnoteRef/>
      </w:r>
      <w:r w:rsidRPr="00200723">
        <w:rPr>
          <w:rFonts w:ascii="Calibri" w:hAnsi="Calibri" w:cs="Calibri"/>
          <w:sz w:val="20"/>
        </w:rPr>
        <w:t xml:space="preserve"> See </w:t>
      </w:r>
      <w:r w:rsidRPr="00200723">
        <w:rPr>
          <w:rFonts w:ascii="Calibri" w:hAnsi="Calibri" w:cs="Calibri"/>
        </w:rPr>
        <w:t>section 3.21.1 above.</w:t>
      </w:r>
    </w:p>
  </w:footnote>
  <w:footnote w:id="4">
    <w:p w14:paraId="1511A3E6" w14:textId="77777777" w:rsidR="00066D83" w:rsidRPr="00200723" w:rsidRDefault="00066D83" w:rsidP="00066D83">
      <w:pPr>
        <w:pStyle w:val="FootnoteText"/>
        <w:rPr>
          <w:rFonts w:ascii="Calibri" w:hAnsi="Calibri" w:cs="Calibri"/>
        </w:rPr>
      </w:pPr>
      <w:r w:rsidRPr="00200723">
        <w:rPr>
          <w:rStyle w:val="FootnoteReference"/>
          <w:rFonts w:ascii="Calibri" w:hAnsi="Calibri" w:cs="Calibri"/>
        </w:rPr>
        <w:footnoteRef/>
      </w:r>
      <w:r w:rsidRPr="00200723">
        <w:rPr>
          <w:rFonts w:ascii="Calibri" w:hAnsi="Calibri" w:cs="Calibri"/>
        </w:rPr>
        <w:t xml:space="preserve"> Advertising Standards Authority (ASA), </w:t>
      </w:r>
      <w:r w:rsidRPr="00200723">
        <w:rPr>
          <w:rFonts w:ascii="Calibri" w:hAnsi="Calibri" w:cs="Calibri"/>
          <w:i/>
          <w:iCs/>
        </w:rPr>
        <w:t>How We Consult</w:t>
      </w:r>
      <w:r w:rsidRPr="00200723">
        <w:rPr>
          <w:rFonts w:ascii="Calibri" w:hAnsi="Calibri" w:cs="Calibri"/>
        </w:rPr>
        <w:t xml:space="preserve"> (Web Page) </w:t>
      </w:r>
      <w:hyperlink r:id="rId2" w:tooltip="Link to Advertising Standards Authority How We Consult Web Page" w:history="1">
        <w:r w:rsidRPr="00200723">
          <w:rPr>
            <w:rStyle w:val="Hyperlink"/>
            <w:rFonts w:ascii="Calibri" w:hAnsi="Calibri" w:cs="Calibri"/>
          </w:rPr>
          <w:t>&lt;https://www.asa.org.uk/about-asa-and-cap/the-work-we-do/how-we-consult.html&gt;</w:t>
        </w:r>
      </w:hyperlink>
      <w:r w:rsidRPr="00200723">
        <w:rPr>
          <w:rFonts w:ascii="Calibri" w:hAnsi="Calibri" w:cs="Calibri"/>
        </w:rPr>
        <w:t>.</w:t>
      </w:r>
    </w:p>
  </w:footnote>
  <w:footnote w:id="5">
    <w:p w14:paraId="60C95DFC" w14:textId="77777777" w:rsidR="00066D83" w:rsidRPr="00200723" w:rsidRDefault="00066D83" w:rsidP="00066D83">
      <w:pPr>
        <w:pStyle w:val="FootnoteText"/>
        <w:rPr>
          <w:rFonts w:ascii="Calibri" w:hAnsi="Calibri" w:cs="Calibri"/>
        </w:rPr>
      </w:pPr>
      <w:r w:rsidRPr="00200723">
        <w:rPr>
          <w:rStyle w:val="FootnoteReference"/>
          <w:rFonts w:ascii="Calibri" w:hAnsi="Calibri" w:cs="Calibri"/>
        </w:rPr>
        <w:footnoteRef/>
      </w:r>
      <w:r w:rsidRPr="00200723">
        <w:rPr>
          <w:rFonts w:ascii="Calibri" w:hAnsi="Calibri" w:cs="Calibri"/>
        </w:rPr>
        <w:t xml:space="preserve"> See also section 6.2.2 below.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BBFC" w14:textId="58082B64" w:rsidR="00461B0C" w:rsidRDefault="00461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18E8" w14:textId="4C757458" w:rsidR="00461B0C" w:rsidRDefault="0046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4F25" w14:textId="2BE7006D" w:rsidR="00461B0C" w:rsidRDefault="00461B0C" w:rsidP="00210BE3">
    <w:pPr>
      <w:ind w:hanging="284"/>
    </w:pPr>
    <w:r>
      <w:rPr>
        <w:noProof/>
        <w:lang w:eastAsia="en-AU"/>
      </w:rPr>
      <w:drawing>
        <wp:inline distT="0" distB="0" distL="0" distR="0" wp14:anchorId="096ABED0" wp14:editId="5F26EC61">
          <wp:extent cx="1401868" cy="6051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1">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ve="http://schemas.openxmlformats.org/markup-compatibility/2006"/>
                    </a:ext>
                  </a:extLst>
                </pic:spPr>
              </pic:pic>
            </a:graphicData>
          </a:graphic>
        </wp:inline>
      </w:drawing>
    </w:r>
  </w:p>
  <w:p w14:paraId="298C17FB" w14:textId="77777777" w:rsidR="00461B0C" w:rsidRPr="002963B6" w:rsidRDefault="00461B0C" w:rsidP="003C514B">
    <w:pPr>
      <w:rPr>
        <w:b/>
        <w:sz w:val="28"/>
        <w:szCs w:val="28"/>
      </w:rPr>
    </w:pPr>
    <w:r w:rsidRPr="002963B6">
      <w:rPr>
        <w:b/>
        <w:sz w:val="28"/>
        <w:szCs w:val="28"/>
      </w:rPr>
      <w:t>CENTRE FOR MEDIA TRANSITION</w:t>
    </w:r>
  </w:p>
  <w:p w14:paraId="7E80D458" w14:textId="77777777" w:rsidR="00461B0C" w:rsidRDefault="00461B0C"/>
  <w:p w14:paraId="2F5F1DD8" w14:textId="77777777" w:rsidR="00461B0C" w:rsidRDefault="00461B0C"/>
  <w:p w14:paraId="6F08B445" w14:textId="77777777" w:rsidR="00461B0C" w:rsidRDefault="00461B0C"/>
  <w:p w14:paraId="3BF89BE0" w14:textId="77777777" w:rsidR="00461B0C" w:rsidRDefault="00461B0C"/>
  <w:p w14:paraId="4B80ADED" w14:textId="77777777" w:rsidR="00461B0C" w:rsidRDefault="00461B0C"/>
  <w:p w14:paraId="229D36DD" w14:textId="77777777" w:rsidR="00461B0C" w:rsidRDefault="00461B0C"/>
  <w:p w14:paraId="044E86FE" w14:textId="77777777" w:rsidR="00461B0C" w:rsidRDefault="00461B0C"/>
  <w:p w14:paraId="539D756B" w14:textId="77777777" w:rsidR="00461B0C" w:rsidRDefault="00461B0C"/>
  <w:p w14:paraId="5AAE7E15" w14:textId="77777777" w:rsidR="00461B0C" w:rsidRDefault="00461B0C"/>
  <w:p w14:paraId="7327E143" w14:textId="77777777" w:rsidR="00461B0C" w:rsidRDefault="00461B0C"/>
  <w:p w14:paraId="5BF9CE49" w14:textId="77777777" w:rsidR="00461B0C" w:rsidRDefault="00461B0C"/>
  <w:p w14:paraId="196BA59B" w14:textId="77777777" w:rsidR="00461B0C" w:rsidRDefault="00461B0C"/>
  <w:p w14:paraId="51BCF20A" w14:textId="77777777" w:rsidR="00461B0C" w:rsidRDefault="00461B0C"/>
  <w:p w14:paraId="589E5574" w14:textId="77777777" w:rsidR="00461B0C" w:rsidRDefault="00461B0C"/>
  <w:p w14:paraId="4D412B97" w14:textId="77777777" w:rsidR="00461B0C" w:rsidRDefault="00461B0C"/>
  <w:p w14:paraId="583221A3" w14:textId="77777777" w:rsidR="00461B0C" w:rsidRDefault="00461B0C"/>
  <w:p w14:paraId="164145A1" w14:textId="77777777" w:rsidR="00461B0C" w:rsidRDefault="00461B0C" w:rsidP="00E26B14">
    <w:pPr>
      <w:tabs>
        <w:tab w:val="left" w:pos="1501"/>
      </w:tabs>
    </w:pPr>
    <w:r>
      <w:tab/>
    </w:r>
  </w:p>
  <w:p w14:paraId="6118FC0A" w14:textId="77777777" w:rsidR="00461B0C" w:rsidRDefault="00461B0C"/>
  <w:p w14:paraId="168A0193" w14:textId="77777777" w:rsidR="00461B0C" w:rsidRDefault="00461B0C"/>
  <w:p w14:paraId="476B1422" w14:textId="77777777" w:rsidR="00461B0C" w:rsidRDefault="00461B0C"/>
  <w:p w14:paraId="71F02AE0" w14:textId="77777777" w:rsidR="00461B0C" w:rsidRDefault="00461B0C"/>
  <w:p w14:paraId="25A9BB01" w14:textId="77777777" w:rsidR="00461B0C" w:rsidRDefault="00461B0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A259" w14:textId="762AAA5C" w:rsidR="00066D83" w:rsidRPr="002963B6" w:rsidRDefault="007D26AD" w:rsidP="00066D83">
    <w:pPr>
      <w:ind w:hanging="284"/>
      <w:rPr>
        <w:b/>
        <w:sz w:val="28"/>
        <w:szCs w:val="28"/>
      </w:rPr>
    </w:pPr>
    <w:r>
      <w:rPr>
        <w:noProof/>
        <w:lang w:eastAsia="en-AU"/>
      </w:rPr>
      <mc:AlternateContent>
        <mc:Choice Requires="wps">
          <w:drawing>
            <wp:anchor distT="0" distB="0" distL="114300" distR="114300" simplePos="0" relativeHeight="251671552" behindDoc="1" locked="0" layoutInCell="0" allowOverlap="1" wp14:anchorId="734735A1" wp14:editId="2DBE3CAE">
              <wp:simplePos x="0" y="0"/>
              <wp:positionH relativeFrom="margin">
                <wp:align>center</wp:align>
              </wp:positionH>
              <wp:positionV relativeFrom="margin">
                <wp:align>center</wp:align>
              </wp:positionV>
              <wp:extent cx="6115050" cy="203835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2038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FE65CD" w14:textId="77777777" w:rsidR="007D26AD" w:rsidRDefault="007D26AD" w:rsidP="007D26AD">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4735A1" id="_x0000_t202" coordsize="21600,21600" o:spt="202" path="m,l,21600r21600,l21600,xe">
              <v:stroke joinstyle="miter"/>
              <v:path gradientshapeok="t" o:connecttype="rect"/>
            </v:shapetype>
            <v:shape id="WordArt 5" o:spid="_x0000_s1028" type="#_x0000_t202" style="position:absolute;margin-left:0;margin-top:0;width:481.5pt;height:160.5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" o:allowincell="f" filled="f" stroked="f">
              <v:stroke joinstyle="round"/>
              <o:lock v:ext="edit" shapetype="t"/>
              <v:textbox style="mso-fit-shape-to-text:t">
                <w:txbxContent>
                  <w:p w14:paraId="30FE65CD" w14:textId="77777777" w:rsidR="007D26AD" w:rsidRDefault="007D26AD" w:rsidP="007D26AD">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p w14:paraId="336A14A9" w14:textId="77777777" w:rsidR="00066D83" w:rsidRDefault="00066D83"/>
  <w:p w14:paraId="07A7798E" w14:textId="77777777" w:rsidR="00066D83" w:rsidRDefault="00066D83"/>
  <w:p w14:paraId="3EEEEE1D" w14:textId="77777777" w:rsidR="00066D83" w:rsidRDefault="00066D83"/>
  <w:p w14:paraId="6F31AAD8" w14:textId="77777777" w:rsidR="00066D83" w:rsidRDefault="00066D83"/>
  <w:p w14:paraId="5F741847" w14:textId="77777777" w:rsidR="00066D83" w:rsidRDefault="00066D83"/>
  <w:p w14:paraId="03D446B8" w14:textId="77777777" w:rsidR="00066D83" w:rsidRDefault="00066D83"/>
  <w:p w14:paraId="01A9BC0B" w14:textId="77777777" w:rsidR="00066D83" w:rsidRDefault="00066D83"/>
  <w:p w14:paraId="679F9223" w14:textId="77777777" w:rsidR="00066D83" w:rsidRDefault="00066D83"/>
  <w:p w14:paraId="6FB645FE" w14:textId="77777777" w:rsidR="00066D83" w:rsidRDefault="00066D83"/>
  <w:p w14:paraId="3EA8218D" w14:textId="77777777" w:rsidR="00066D83" w:rsidRDefault="00066D83"/>
  <w:p w14:paraId="531BF6DD" w14:textId="77777777" w:rsidR="00066D83" w:rsidRDefault="00066D83"/>
  <w:p w14:paraId="72DA518D" w14:textId="77777777" w:rsidR="00066D83" w:rsidRDefault="00066D83"/>
  <w:p w14:paraId="3C778330" w14:textId="77777777" w:rsidR="00066D83" w:rsidRDefault="00066D83"/>
  <w:p w14:paraId="4FF090BE" w14:textId="77777777" w:rsidR="00066D83" w:rsidRDefault="00066D83"/>
  <w:p w14:paraId="5AEDADBA" w14:textId="77777777" w:rsidR="00066D83" w:rsidRDefault="00066D83"/>
  <w:p w14:paraId="6B2E9734" w14:textId="77777777" w:rsidR="00066D83" w:rsidRDefault="00066D83"/>
  <w:p w14:paraId="756B8F89" w14:textId="77777777" w:rsidR="00066D83" w:rsidRDefault="00066D83" w:rsidP="00E26B14">
    <w:pPr>
      <w:tabs>
        <w:tab w:val="left" w:pos="1501"/>
      </w:tabs>
    </w:pPr>
    <w:r>
      <w:tab/>
    </w:r>
  </w:p>
  <w:p w14:paraId="3A6E7F78" w14:textId="77777777" w:rsidR="00066D83" w:rsidRDefault="00066D83"/>
  <w:p w14:paraId="3C1CEC72" w14:textId="77777777" w:rsidR="00066D83" w:rsidRDefault="00066D83"/>
  <w:p w14:paraId="3CA7A0B0" w14:textId="77777777" w:rsidR="00066D83" w:rsidRDefault="00066D83"/>
  <w:p w14:paraId="05CC6086" w14:textId="77777777" w:rsidR="00066D83" w:rsidRDefault="00066D83"/>
  <w:p w14:paraId="0C9FAD54" w14:textId="77777777" w:rsidR="00066D83" w:rsidRDefault="00066D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996"/>
    <w:multiLevelType w:val="hybridMultilevel"/>
    <w:tmpl w:val="BDF87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44B6F"/>
    <w:multiLevelType w:val="hybridMultilevel"/>
    <w:tmpl w:val="C890D8F0"/>
    <w:lvl w:ilvl="0" w:tplc="13C8682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A41"/>
    <w:multiLevelType w:val="hybridMultilevel"/>
    <w:tmpl w:val="A0649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9312ED"/>
    <w:multiLevelType w:val="multilevel"/>
    <w:tmpl w:val="0C09001D"/>
    <w:styleLink w:val="Style2"/>
    <w:lvl w:ilvl="0">
      <w:start w:val="1"/>
      <w:numFmt w:val="upp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E96830"/>
    <w:multiLevelType w:val="hybridMultilevel"/>
    <w:tmpl w:val="81DC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14406"/>
    <w:multiLevelType w:val="hybridMultilevel"/>
    <w:tmpl w:val="69FEBB46"/>
    <w:lvl w:ilvl="0" w:tplc="5BF07652">
      <w:start w:val="1"/>
      <w:numFmt w:val="upperLetter"/>
      <w:lvlText w:val="%1)"/>
      <w:lvlJc w:val="left"/>
      <w:pPr>
        <w:ind w:left="720" w:hanging="360"/>
      </w:pPr>
      <w:rPr>
        <w:rFonts w:hint="default"/>
        <w:b w:val="0"/>
      </w:rPr>
    </w:lvl>
    <w:lvl w:ilvl="1" w:tplc="DE74C550">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595DD3"/>
    <w:multiLevelType w:val="hybridMultilevel"/>
    <w:tmpl w:val="41DC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01144"/>
    <w:multiLevelType w:val="hybridMultilevel"/>
    <w:tmpl w:val="6FF6D018"/>
    <w:lvl w:ilvl="0" w:tplc="BF826E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354D24"/>
    <w:multiLevelType w:val="multilevel"/>
    <w:tmpl w:val="0C09001D"/>
    <w:numStyleLink w:val="Style2"/>
  </w:abstractNum>
  <w:abstractNum w:abstractNumId="9" w15:restartNumberingAfterBreak="0">
    <w:nsid w:val="48FF2F90"/>
    <w:multiLevelType w:val="hybridMultilevel"/>
    <w:tmpl w:val="D1B25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3129D4"/>
    <w:multiLevelType w:val="multilevel"/>
    <w:tmpl w:val="B6AA16CC"/>
    <w:numStyleLink w:val="Style1"/>
  </w:abstractNum>
  <w:abstractNum w:abstractNumId="11" w15:restartNumberingAfterBreak="0">
    <w:nsid w:val="544119A8"/>
    <w:multiLevelType w:val="hybridMultilevel"/>
    <w:tmpl w:val="11101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6D2ACC"/>
    <w:multiLevelType w:val="hybridMultilevel"/>
    <w:tmpl w:val="30F81D6A"/>
    <w:lvl w:ilvl="0" w:tplc="3D6825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0660F"/>
    <w:multiLevelType w:val="hybridMultilevel"/>
    <w:tmpl w:val="1E50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95461"/>
    <w:multiLevelType w:val="hybridMultilevel"/>
    <w:tmpl w:val="375887C4"/>
    <w:lvl w:ilvl="0" w:tplc="BF826E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626B3"/>
    <w:multiLevelType w:val="hybridMultilevel"/>
    <w:tmpl w:val="EE304970"/>
    <w:lvl w:ilvl="0" w:tplc="F9DE79D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22430"/>
    <w:multiLevelType w:val="hybridMultilevel"/>
    <w:tmpl w:val="1E1A3C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05037FD"/>
    <w:multiLevelType w:val="hybridMultilevel"/>
    <w:tmpl w:val="75A8266E"/>
    <w:lvl w:ilvl="0" w:tplc="943ADA30">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AD5906"/>
    <w:multiLevelType w:val="hybridMultilevel"/>
    <w:tmpl w:val="021EB71C"/>
    <w:lvl w:ilvl="0" w:tplc="DFA2E806">
      <w:start w:val="1"/>
      <w:numFmt w:val="bullet"/>
      <w:pStyle w:val="UTSBodytextbulleted"/>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F3CFC"/>
    <w:multiLevelType w:val="hybridMultilevel"/>
    <w:tmpl w:val="BAD4E090"/>
    <w:lvl w:ilvl="0" w:tplc="2D94EB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30497"/>
    <w:multiLevelType w:val="multilevel"/>
    <w:tmpl w:val="B6AA16CC"/>
    <w:styleLink w:val="Style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9D4F76"/>
    <w:multiLevelType w:val="hybridMultilevel"/>
    <w:tmpl w:val="7562A3EC"/>
    <w:lvl w:ilvl="0" w:tplc="BF826E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E65A1"/>
    <w:multiLevelType w:val="hybridMultilevel"/>
    <w:tmpl w:val="C0F02A9C"/>
    <w:lvl w:ilvl="0" w:tplc="3D682576">
      <w:start w:val="1"/>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B4BDF"/>
    <w:multiLevelType w:val="hybridMultilevel"/>
    <w:tmpl w:val="BA1C32F0"/>
    <w:lvl w:ilvl="0" w:tplc="3D682576">
      <w:start w:val="1"/>
      <w:numFmt w:val="bullet"/>
      <w:lvlText w:val="-"/>
      <w:lvlJc w:val="left"/>
      <w:pPr>
        <w:ind w:left="720" w:hanging="360"/>
      </w:pPr>
      <w:rPr>
        <w:rFonts w:ascii="Arial" w:eastAsia="Times New Roman" w:hAnsi="Arial" w:cs="Arial" w:hint="default"/>
      </w:rPr>
    </w:lvl>
    <w:lvl w:ilvl="1" w:tplc="3D682576">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E68EF"/>
    <w:multiLevelType w:val="hybridMultilevel"/>
    <w:tmpl w:val="074AE5C2"/>
    <w:lvl w:ilvl="0" w:tplc="BB94CAA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30E23"/>
    <w:multiLevelType w:val="hybridMultilevel"/>
    <w:tmpl w:val="BEB81D5E"/>
    <w:lvl w:ilvl="0" w:tplc="BF826E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17"/>
  </w:num>
  <w:num w:numId="5">
    <w:abstractNumId w:val="5"/>
  </w:num>
  <w:num w:numId="6">
    <w:abstractNumId w:val="7"/>
  </w:num>
  <w:num w:numId="7">
    <w:abstractNumId w:val="21"/>
  </w:num>
  <w:num w:numId="8">
    <w:abstractNumId w:val="10"/>
  </w:num>
  <w:num w:numId="9">
    <w:abstractNumId w:val="20"/>
  </w:num>
  <w:num w:numId="10">
    <w:abstractNumId w:val="14"/>
  </w:num>
  <w:num w:numId="11">
    <w:abstractNumId w:val="3"/>
  </w:num>
  <w:num w:numId="12">
    <w:abstractNumId w:val="8"/>
    <w:lvlOverride w:ilvl="0">
      <w:lvl w:ilvl="0">
        <w:start w:val="1"/>
        <w:numFmt w:val="upperLetter"/>
        <w:lvlText w:val="%1)"/>
        <w:lvlJc w:val="left"/>
        <w:pPr>
          <w:ind w:left="360" w:hanging="360"/>
        </w:pPr>
        <w:rPr>
          <w:b w:val="0"/>
        </w:rPr>
      </w:lvl>
    </w:lvlOverride>
    <w:lvlOverride w:ilvl="1">
      <w:lvl w:ilvl="1">
        <w:start w:val="1"/>
        <w:numFmt w:val="lowerRoman"/>
        <w:lvlText w:val="%2)"/>
        <w:lvlJc w:val="left"/>
        <w:pPr>
          <w:ind w:left="720" w:hanging="360"/>
        </w:pPr>
        <w:rPr>
          <w:b w:val="0"/>
        </w:rPr>
      </w:lvl>
    </w:lvlOverride>
  </w:num>
  <w:num w:numId="13">
    <w:abstractNumId w:val="25"/>
  </w:num>
  <w:num w:numId="14">
    <w:abstractNumId w:val="19"/>
  </w:num>
  <w:num w:numId="15">
    <w:abstractNumId w:val="4"/>
  </w:num>
  <w:num w:numId="16">
    <w:abstractNumId w:val="1"/>
  </w:num>
  <w:num w:numId="17">
    <w:abstractNumId w:val="22"/>
  </w:num>
  <w:num w:numId="18">
    <w:abstractNumId w:val="24"/>
  </w:num>
  <w:num w:numId="19">
    <w:abstractNumId w:val="15"/>
  </w:num>
  <w:num w:numId="20">
    <w:abstractNumId w:val="9"/>
  </w:num>
  <w:num w:numId="21">
    <w:abstractNumId w:val="2"/>
  </w:num>
  <w:num w:numId="22">
    <w:abstractNumId w:val="6"/>
  </w:num>
  <w:num w:numId="23">
    <w:abstractNumId w:val="13"/>
  </w:num>
  <w:num w:numId="24">
    <w:abstractNumId w:val="12"/>
  </w:num>
  <w:num w:numId="25">
    <w:abstractNumId w:val="23"/>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E3"/>
    <w:rsid w:val="00002E85"/>
    <w:rsid w:val="000031FB"/>
    <w:rsid w:val="00004596"/>
    <w:rsid w:val="00006BF1"/>
    <w:rsid w:val="00010AC6"/>
    <w:rsid w:val="00011E83"/>
    <w:rsid w:val="00014468"/>
    <w:rsid w:val="000152C8"/>
    <w:rsid w:val="00015495"/>
    <w:rsid w:val="000203B1"/>
    <w:rsid w:val="000227B8"/>
    <w:rsid w:val="00023EB7"/>
    <w:rsid w:val="00024D1D"/>
    <w:rsid w:val="0002617C"/>
    <w:rsid w:val="00032791"/>
    <w:rsid w:val="000338E4"/>
    <w:rsid w:val="000513A6"/>
    <w:rsid w:val="000569E1"/>
    <w:rsid w:val="00057A20"/>
    <w:rsid w:val="000637FC"/>
    <w:rsid w:val="00064671"/>
    <w:rsid w:val="00066328"/>
    <w:rsid w:val="00066D83"/>
    <w:rsid w:val="000739C9"/>
    <w:rsid w:val="00076F7D"/>
    <w:rsid w:val="000770E4"/>
    <w:rsid w:val="00090B25"/>
    <w:rsid w:val="00092EC5"/>
    <w:rsid w:val="00092F16"/>
    <w:rsid w:val="00093565"/>
    <w:rsid w:val="00094A66"/>
    <w:rsid w:val="00095629"/>
    <w:rsid w:val="000A0FC1"/>
    <w:rsid w:val="000A32C4"/>
    <w:rsid w:val="000A390F"/>
    <w:rsid w:val="000A485E"/>
    <w:rsid w:val="000A7965"/>
    <w:rsid w:val="000A7F33"/>
    <w:rsid w:val="000B517C"/>
    <w:rsid w:val="000C4FD5"/>
    <w:rsid w:val="000D1914"/>
    <w:rsid w:val="000D2464"/>
    <w:rsid w:val="000D2960"/>
    <w:rsid w:val="000E1B9C"/>
    <w:rsid w:val="000E3199"/>
    <w:rsid w:val="000E37A7"/>
    <w:rsid w:val="000E3A92"/>
    <w:rsid w:val="000F20DD"/>
    <w:rsid w:val="000F2764"/>
    <w:rsid w:val="000F5B73"/>
    <w:rsid w:val="000F7B05"/>
    <w:rsid w:val="00103494"/>
    <w:rsid w:val="00105F96"/>
    <w:rsid w:val="00106C4A"/>
    <w:rsid w:val="0011171F"/>
    <w:rsid w:val="001145DC"/>
    <w:rsid w:val="00116428"/>
    <w:rsid w:val="00116445"/>
    <w:rsid w:val="00116B5D"/>
    <w:rsid w:val="00117CDE"/>
    <w:rsid w:val="00121A49"/>
    <w:rsid w:val="00121D17"/>
    <w:rsid w:val="00123695"/>
    <w:rsid w:val="00126040"/>
    <w:rsid w:val="00126C9A"/>
    <w:rsid w:val="00127C76"/>
    <w:rsid w:val="00132C6E"/>
    <w:rsid w:val="001359BF"/>
    <w:rsid w:val="00136750"/>
    <w:rsid w:val="001413B0"/>
    <w:rsid w:val="00143DDF"/>
    <w:rsid w:val="00143E1A"/>
    <w:rsid w:val="00146FB6"/>
    <w:rsid w:val="00160FE1"/>
    <w:rsid w:val="001679BD"/>
    <w:rsid w:val="00167B39"/>
    <w:rsid w:val="00172C7A"/>
    <w:rsid w:val="00173FE9"/>
    <w:rsid w:val="001774B6"/>
    <w:rsid w:val="00180ABD"/>
    <w:rsid w:val="001814EB"/>
    <w:rsid w:val="00181923"/>
    <w:rsid w:val="00182576"/>
    <w:rsid w:val="001838AB"/>
    <w:rsid w:val="001848E4"/>
    <w:rsid w:val="00184E0A"/>
    <w:rsid w:val="00184FC6"/>
    <w:rsid w:val="0018709C"/>
    <w:rsid w:val="001871E2"/>
    <w:rsid w:val="00187CC9"/>
    <w:rsid w:val="00190FD3"/>
    <w:rsid w:val="00191520"/>
    <w:rsid w:val="00195BE6"/>
    <w:rsid w:val="001964FA"/>
    <w:rsid w:val="001A3336"/>
    <w:rsid w:val="001B763C"/>
    <w:rsid w:val="001C0DCA"/>
    <w:rsid w:val="001C27EF"/>
    <w:rsid w:val="001C574D"/>
    <w:rsid w:val="001C586C"/>
    <w:rsid w:val="001C6620"/>
    <w:rsid w:val="001C7916"/>
    <w:rsid w:val="001D5779"/>
    <w:rsid w:val="001D7A9E"/>
    <w:rsid w:val="001E0B42"/>
    <w:rsid w:val="001E7EA0"/>
    <w:rsid w:val="001F32C4"/>
    <w:rsid w:val="001F375B"/>
    <w:rsid w:val="001F3906"/>
    <w:rsid w:val="001F4AA6"/>
    <w:rsid w:val="001F6280"/>
    <w:rsid w:val="001F66CE"/>
    <w:rsid w:val="001F7A96"/>
    <w:rsid w:val="00200534"/>
    <w:rsid w:val="00200723"/>
    <w:rsid w:val="00205F9E"/>
    <w:rsid w:val="00210BE3"/>
    <w:rsid w:val="00214E54"/>
    <w:rsid w:val="002153D7"/>
    <w:rsid w:val="002158FC"/>
    <w:rsid w:val="00217BD9"/>
    <w:rsid w:val="0022168A"/>
    <w:rsid w:val="00223D1C"/>
    <w:rsid w:val="00224AC4"/>
    <w:rsid w:val="00225417"/>
    <w:rsid w:val="002303B5"/>
    <w:rsid w:val="00232C23"/>
    <w:rsid w:val="0024170E"/>
    <w:rsid w:val="00242BAB"/>
    <w:rsid w:val="00245EC0"/>
    <w:rsid w:val="00246F54"/>
    <w:rsid w:val="00252560"/>
    <w:rsid w:val="00252AD8"/>
    <w:rsid w:val="00254D5F"/>
    <w:rsid w:val="002555C3"/>
    <w:rsid w:val="00260ABB"/>
    <w:rsid w:val="00276DC6"/>
    <w:rsid w:val="00281AA9"/>
    <w:rsid w:val="00285BC3"/>
    <w:rsid w:val="0028757B"/>
    <w:rsid w:val="002963B6"/>
    <w:rsid w:val="00296F15"/>
    <w:rsid w:val="00297F44"/>
    <w:rsid w:val="002A4E1B"/>
    <w:rsid w:val="002A4E4E"/>
    <w:rsid w:val="002A5618"/>
    <w:rsid w:val="002A67C6"/>
    <w:rsid w:val="002B07E1"/>
    <w:rsid w:val="002B2377"/>
    <w:rsid w:val="002B4A3B"/>
    <w:rsid w:val="002B5245"/>
    <w:rsid w:val="002C31CA"/>
    <w:rsid w:val="002C48E8"/>
    <w:rsid w:val="002C6FA3"/>
    <w:rsid w:val="002D2E39"/>
    <w:rsid w:val="002D3588"/>
    <w:rsid w:val="002D7266"/>
    <w:rsid w:val="002D7BA7"/>
    <w:rsid w:val="002F22F5"/>
    <w:rsid w:val="002F2809"/>
    <w:rsid w:val="002F4DEB"/>
    <w:rsid w:val="002F525F"/>
    <w:rsid w:val="002F56C2"/>
    <w:rsid w:val="002F73FF"/>
    <w:rsid w:val="002F7CB9"/>
    <w:rsid w:val="002F7E69"/>
    <w:rsid w:val="00300AA6"/>
    <w:rsid w:val="00310D39"/>
    <w:rsid w:val="003126E5"/>
    <w:rsid w:val="003132E9"/>
    <w:rsid w:val="0031576D"/>
    <w:rsid w:val="00316AB7"/>
    <w:rsid w:val="003228B1"/>
    <w:rsid w:val="00324043"/>
    <w:rsid w:val="0032536B"/>
    <w:rsid w:val="00325587"/>
    <w:rsid w:val="00327ADB"/>
    <w:rsid w:val="0033641F"/>
    <w:rsid w:val="0033659A"/>
    <w:rsid w:val="003377C1"/>
    <w:rsid w:val="00343127"/>
    <w:rsid w:val="0034480F"/>
    <w:rsid w:val="0035418D"/>
    <w:rsid w:val="0035479C"/>
    <w:rsid w:val="00363C9C"/>
    <w:rsid w:val="00366B96"/>
    <w:rsid w:val="00367297"/>
    <w:rsid w:val="00367C7D"/>
    <w:rsid w:val="003701BA"/>
    <w:rsid w:val="00372217"/>
    <w:rsid w:val="003757FD"/>
    <w:rsid w:val="0037621C"/>
    <w:rsid w:val="00380B07"/>
    <w:rsid w:val="00385098"/>
    <w:rsid w:val="003856E5"/>
    <w:rsid w:val="003860C6"/>
    <w:rsid w:val="00393B7B"/>
    <w:rsid w:val="003947DA"/>
    <w:rsid w:val="003951A5"/>
    <w:rsid w:val="003A3CA9"/>
    <w:rsid w:val="003A590B"/>
    <w:rsid w:val="003B0474"/>
    <w:rsid w:val="003B1E58"/>
    <w:rsid w:val="003B2099"/>
    <w:rsid w:val="003B3611"/>
    <w:rsid w:val="003B52B2"/>
    <w:rsid w:val="003C514B"/>
    <w:rsid w:val="003C51EF"/>
    <w:rsid w:val="003C700A"/>
    <w:rsid w:val="003D7F4A"/>
    <w:rsid w:val="003D7F86"/>
    <w:rsid w:val="003E2644"/>
    <w:rsid w:val="003E51A2"/>
    <w:rsid w:val="003F24F1"/>
    <w:rsid w:val="003F3706"/>
    <w:rsid w:val="003F3EEA"/>
    <w:rsid w:val="00407BCC"/>
    <w:rsid w:val="00410DAD"/>
    <w:rsid w:val="004164E0"/>
    <w:rsid w:val="00421F4F"/>
    <w:rsid w:val="004225EB"/>
    <w:rsid w:val="004228E5"/>
    <w:rsid w:val="00423BCF"/>
    <w:rsid w:val="00424826"/>
    <w:rsid w:val="00425E70"/>
    <w:rsid w:val="004357A0"/>
    <w:rsid w:val="0044228C"/>
    <w:rsid w:val="00445A0D"/>
    <w:rsid w:val="00450CAF"/>
    <w:rsid w:val="004514F5"/>
    <w:rsid w:val="004561BE"/>
    <w:rsid w:val="00457553"/>
    <w:rsid w:val="00460180"/>
    <w:rsid w:val="00461B0C"/>
    <w:rsid w:val="00462336"/>
    <w:rsid w:val="004655CE"/>
    <w:rsid w:val="00466A19"/>
    <w:rsid w:val="00477B06"/>
    <w:rsid w:val="00480D2E"/>
    <w:rsid w:val="004828AF"/>
    <w:rsid w:val="00486D38"/>
    <w:rsid w:val="0048762F"/>
    <w:rsid w:val="00492EAA"/>
    <w:rsid w:val="00495E7F"/>
    <w:rsid w:val="004971E2"/>
    <w:rsid w:val="00497690"/>
    <w:rsid w:val="00497BD6"/>
    <w:rsid w:val="004A2417"/>
    <w:rsid w:val="004A5377"/>
    <w:rsid w:val="004A7DBA"/>
    <w:rsid w:val="004B0AB7"/>
    <w:rsid w:val="004B7045"/>
    <w:rsid w:val="004C4FA9"/>
    <w:rsid w:val="004C50FF"/>
    <w:rsid w:val="004D1BA4"/>
    <w:rsid w:val="004D21F8"/>
    <w:rsid w:val="004D3DE7"/>
    <w:rsid w:val="004D7841"/>
    <w:rsid w:val="004E297E"/>
    <w:rsid w:val="004E304D"/>
    <w:rsid w:val="004E4832"/>
    <w:rsid w:val="004E4FE8"/>
    <w:rsid w:val="004E5606"/>
    <w:rsid w:val="004E63DD"/>
    <w:rsid w:val="004F5B7D"/>
    <w:rsid w:val="004F732E"/>
    <w:rsid w:val="00505220"/>
    <w:rsid w:val="00506038"/>
    <w:rsid w:val="005068BF"/>
    <w:rsid w:val="00507778"/>
    <w:rsid w:val="00511E42"/>
    <w:rsid w:val="00512765"/>
    <w:rsid w:val="0051411E"/>
    <w:rsid w:val="00517A54"/>
    <w:rsid w:val="0052636D"/>
    <w:rsid w:val="005372AA"/>
    <w:rsid w:val="00541798"/>
    <w:rsid w:val="00546B83"/>
    <w:rsid w:val="00546FC6"/>
    <w:rsid w:val="0054709B"/>
    <w:rsid w:val="00552CB3"/>
    <w:rsid w:val="00556874"/>
    <w:rsid w:val="00561C29"/>
    <w:rsid w:val="00565B53"/>
    <w:rsid w:val="00567BFC"/>
    <w:rsid w:val="00574E70"/>
    <w:rsid w:val="0057607E"/>
    <w:rsid w:val="005800E7"/>
    <w:rsid w:val="00580BD3"/>
    <w:rsid w:val="00581BB2"/>
    <w:rsid w:val="00583C4C"/>
    <w:rsid w:val="0058485A"/>
    <w:rsid w:val="00584CF6"/>
    <w:rsid w:val="00585918"/>
    <w:rsid w:val="005865C8"/>
    <w:rsid w:val="0059294B"/>
    <w:rsid w:val="005931D6"/>
    <w:rsid w:val="00594FB1"/>
    <w:rsid w:val="005A0232"/>
    <w:rsid w:val="005A6224"/>
    <w:rsid w:val="005A72A4"/>
    <w:rsid w:val="005B0D5D"/>
    <w:rsid w:val="005B10AF"/>
    <w:rsid w:val="005B2ABF"/>
    <w:rsid w:val="005B4DF5"/>
    <w:rsid w:val="005C119D"/>
    <w:rsid w:val="005C46CB"/>
    <w:rsid w:val="005C5B08"/>
    <w:rsid w:val="005C7C3B"/>
    <w:rsid w:val="005D2E16"/>
    <w:rsid w:val="005D2E3C"/>
    <w:rsid w:val="005D52EC"/>
    <w:rsid w:val="005E02C8"/>
    <w:rsid w:val="005E24B8"/>
    <w:rsid w:val="005E4E91"/>
    <w:rsid w:val="005E72B8"/>
    <w:rsid w:val="005E7E57"/>
    <w:rsid w:val="005F0A5A"/>
    <w:rsid w:val="005F2318"/>
    <w:rsid w:val="00602442"/>
    <w:rsid w:val="00602691"/>
    <w:rsid w:val="006077E2"/>
    <w:rsid w:val="00611869"/>
    <w:rsid w:val="006203D8"/>
    <w:rsid w:val="0064197A"/>
    <w:rsid w:val="006419B5"/>
    <w:rsid w:val="00641CE8"/>
    <w:rsid w:val="00645F97"/>
    <w:rsid w:val="00646566"/>
    <w:rsid w:val="006535CA"/>
    <w:rsid w:val="006628FA"/>
    <w:rsid w:val="006632E2"/>
    <w:rsid w:val="00664B60"/>
    <w:rsid w:val="0066598E"/>
    <w:rsid w:val="0067043A"/>
    <w:rsid w:val="006749E1"/>
    <w:rsid w:val="00675585"/>
    <w:rsid w:val="0067796D"/>
    <w:rsid w:val="00680386"/>
    <w:rsid w:val="00680A1D"/>
    <w:rsid w:val="00680E9A"/>
    <w:rsid w:val="0068395C"/>
    <w:rsid w:val="006847E6"/>
    <w:rsid w:val="006915FA"/>
    <w:rsid w:val="00692988"/>
    <w:rsid w:val="00693971"/>
    <w:rsid w:val="00694ACF"/>
    <w:rsid w:val="006A2A1F"/>
    <w:rsid w:val="006A3A79"/>
    <w:rsid w:val="006A5B94"/>
    <w:rsid w:val="006A734F"/>
    <w:rsid w:val="006B2407"/>
    <w:rsid w:val="006B4C39"/>
    <w:rsid w:val="006B5B7D"/>
    <w:rsid w:val="006C6752"/>
    <w:rsid w:val="006D069F"/>
    <w:rsid w:val="006D172C"/>
    <w:rsid w:val="006D1B6C"/>
    <w:rsid w:val="006D3080"/>
    <w:rsid w:val="006D4165"/>
    <w:rsid w:val="006D6796"/>
    <w:rsid w:val="006E2445"/>
    <w:rsid w:val="006E65C5"/>
    <w:rsid w:val="006F36AA"/>
    <w:rsid w:val="006F43A4"/>
    <w:rsid w:val="006F492C"/>
    <w:rsid w:val="007007F7"/>
    <w:rsid w:val="00705848"/>
    <w:rsid w:val="00710032"/>
    <w:rsid w:val="0071210B"/>
    <w:rsid w:val="007138F2"/>
    <w:rsid w:val="00714F23"/>
    <w:rsid w:val="007232D9"/>
    <w:rsid w:val="00725500"/>
    <w:rsid w:val="00732A3B"/>
    <w:rsid w:val="0073516E"/>
    <w:rsid w:val="00735EF4"/>
    <w:rsid w:val="00736926"/>
    <w:rsid w:val="00745007"/>
    <w:rsid w:val="00747CE3"/>
    <w:rsid w:val="007521BA"/>
    <w:rsid w:val="0076012A"/>
    <w:rsid w:val="0076589F"/>
    <w:rsid w:val="00766CF5"/>
    <w:rsid w:val="007670A2"/>
    <w:rsid w:val="0077019C"/>
    <w:rsid w:val="00773E83"/>
    <w:rsid w:val="007778E2"/>
    <w:rsid w:val="00777E7B"/>
    <w:rsid w:val="00781D58"/>
    <w:rsid w:val="00782B71"/>
    <w:rsid w:val="00787E6A"/>
    <w:rsid w:val="0079016C"/>
    <w:rsid w:val="007905E5"/>
    <w:rsid w:val="00790AB7"/>
    <w:rsid w:val="00794092"/>
    <w:rsid w:val="00796548"/>
    <w:rsid w:val="007A1FE8"/>
    <w:rsid w:val="007A2A02"/>
    <w:rsid w:val="007A2ABA"/>
    <w:rsid w:val="007A4B36"/>
    <w:rsid w:val="007B0069"/>
    <w:rsid w:val="007B149A"/>
    <w:rsid w:val="007B32B4"/>
    <w:rsid w:val="007B3E75"/>
    <w:rsid w:val="007B52BC"/>
    <w:rsid w:val="007B5B21"/>
    <w:rsid w:val="007B5F5F"/>
    <w:rsid w:val="007C02B4"/>
    <w:rsid w:val="007C0CEE"/>
    <w:rsid w:val="007C6B7C"/>
    <w:rsid w:val="007D26AD"/>
    <w:rsid w:val="007D5FC2"/>
    <w:rsid w:val="007E0BE6"/>
    <w:rsid w:val="007E6ED4"/>
    <w:rsid w:val="007F1E4C"/>
    <w:rsid w:val="007F2040"/>
    <w:rsid w:val="007F2143"/>
    <w:rsid w:val="007F49AB"/>
    <w:rsid w:val="007F6292"/>
    <w:rsid w:val="007F7E07"/>
    <w:rsid w:val="008006BD"/>
    <w:rsid w:val="00807D84"/>
    <w:rsid w:val="00815FE7"/>
    <w:rsid w:val="00827D87"/>
    <w:rsid w:val="00831269"/>
    <w:rsid w:val="00833062"/>
    <w:rsid w:val="00841110"/>
    <w:rsid w:val="0084205C"/>
    <w:rsid w:val="00843A47"/>
    <w:rsid w:val="00853F94"/>
    <w:rsid w:val="00854B72"/>
    <w:rsid w:val="008557AA"/>
    <w:rsid w:val="00856D1E"/>
    <w:rsid w:val="0086049D"/>
    <w:rsid w:val="00860F4C"/>
    <w:rsid w:val="008644A4"/>
    <w:rsid w:val="00866DDC"/>
    <w:rsid w:val="008706C4"/>
    <w:rsid w:val="00875232"/>
    <w:rsid w:val="0087667A"/>
    <w:rsid w:val="00880057"/>
    <w:rsid w:val="00881544"/>
    <w:rsid w:val="00881B9F"/>
    <w:rsid w:val="00881C83"/>
    <w:rsid w:val="00882244"/>
    <w:rsid w:val="00882301"/>
    <w:rsid w:val="0088412C"/>
    <w:rsid w:val="00886ADF"/>
    <w:rsid w:val="00886B01"/>
    <w:rsid w:val="00892A6E"/>
    <w:rsid w:val="00893149"/>
    <w:rsid w:val="008935F0"/>
    <w:rsid w:val="00895094"/>
    <w:rsid w:val="00896659"/>
    <w:rsid w:val="008978F0"/>
    <w:rsid w:val="008A5548"/>
    <w:rsid w:val="008A5D96"/>
    <w:rsid w:val="008A6456"/>
    <w:rsid w:val="008B2110"/>
    <w:rsid w:val="008B28AD"/>
    <w:rsid w:val="008B5F89"/>
    <w:rsid w:val="008B6895"/>
    <w:rsid w:val="008C6ADD"/>
    <w:rsid w:val="008C7A40"/>
    <w:rsid w:val="008D0F39"/>
    <w:rsid w:val="008D55B2"/>
    <w:rsid w:val="008E1D75"/>
    <w:rsid w:val="008F1414"/>
    <w:rsid w:val="008F2003"/>
    <w:rsid w:val="008F2483"/>
    <w:rsid w:val="008F43F7"/>
    <w:rsid w:val="008F4881"/>
    <w:rsid w:val="008F5576"/>
    <w:rsid w:val="008F7425"/>
    <w:rsid w:val="00900CD5"/>
    <w:rsid w:val="00904202"/>
    <w:rsid w:val="00906221"/>
    <w:rsid w:val="00907E7A"/>
    <w:rsid w:val="00911665"/>
    <w:rsid w:val="00913625"/>
    <w:rsid w:val="009140CA"/>
    <w:rsid w:val="00922CA1"/>
    <w:rsid w:val="00924CB2"/>
    <w:rsid w:val="00925155"/>
    <w:rsid w:val="00925C67"/>
    <w:rsid w:val="009310AE"/>
    <w:rsid w:val="009315F4"/>
    <w:rsid w:val="00932792"/>
    <w:rsid w:val="009341B6"/>
    <w:rsid w:val="00934757"/>
    <w:rsid w:val="009375D4"/>
    <w:rsid w:val="009402B8"/>
    <w:rsid w:val="00940C71"/>
    <w:rsid w:val="00941913"/>
    <w:rsid w:val="009439AF"/>
    <w:rsid w:val="00944F80"/>
    <w:rsid w:val="00945AFC"/>
    <w:rsid w:val="00946A10"/>
    <w:rsid w:val="009547BC"/>
    <w:rsid w:val="009551C2"/>
    <w:rsid w:val="00961603"/>
    <w:rsid w:val="00962530"/>
    <w:rsid w:val="00962BFF"/>
    <w:rsid w:val="009642D3"/>
    <w:rsid w:val="00964C8A"/>
    <w:rsid w:val="00965E2D"/>
    <w:rsid w:val="00971B10"/>
    <w:rsid w:val="00972995"/>
    <w:rsid w:val="00972E1A"/>
    <w:rsid w:val="009730D7"/>
    <w:rsid w:val="00976578"/>
    <w:rsid w:val="00980B4B"/>
    <w:rsid w:val="009879EF"/>
    <w:rsid w:val="009909EF"/>
    <w:rsid w:val="00995D12"/>
    <w:rsid w:val="00995F13"/>
    <w:rsid w:val="009A3D1E"/>
    <w:rsid w:val="009A7956"/>
    <w:rsid w:val="009B1882"/>
    <w:rsid w:val="009B69FE"/>
    <w:rsid w:val="009C3FF6"/>
    <w:rsid w:val="009C61C8"/>
    <w:rsid w:val="009D0635"/>
    <w:rsid w:val="009D1AAD"/>
    <w:rsid w:val="009D2366"/>
    <w:rsid w:val="009E510F"/>
    <w:rsid w:val="009E6477"/>
    <w:rsid w:val="009F489F"/>
    <w:rsid w:val="009F4DB9"/>
    <w:rsid w:val="009F5AE9"/>
    <w:rsid w:val="009F6894"/>
    <w:rsid w:val="009F76A3"/>
    <w:rsid w:val="00A04B04"/>
    <w:rsid w:val="00A07930"/>
    <w:rsid w:val="00A10F15"/>
    <w:rsid w:val="00A11B45"/>
    <w:rsid w:val="00A11C9C"/>
    <w:rsid w:val="00A12B92"/>
    <w:rsid w:val="00A311C0"/>
    <w:rsid w:val="00A31217"/>
    <w:rsid w:val="00A37613"/>
    <w:rsid w:val="00A4226E"/>
    <w:rsid w:val="00A44854"/>
    <w:rsid w:val="00A46989"/>
    <w:rsid w:val="00A508EB"/>
    <w:rsid w:val="00A50AC1"/>
    <w:rsid w:val="00A53839"/>
    <w:rsid w:val="00A6071C"/>
    <w:rsid w:val="00A6556D"/>
    <w:rsid w:val="00A664B8"/>
    <w:rsid w:val="00A71D11"/>
    <w:rsid w:val="00A73E9C"/>
    <w:rsid w:val="00A75734"/>
    <w:rsid w:val="00A76281"/>
    <w:rsid w:val="00A77B37"/>
    <w:rsid w:val="00A8347B"/>
    <w:rsid w:val="00A86BD8"/>
    <w:rsid w:val="00A95571"/>
    <w:rsid w:val="00AA1984"/>
    <w:rsid w:val="00AA2BD7"/>
    <w:rsid w:val="00AA3D52"/>
    <w:rsid w:val="00AA4EBA"/>
    <w:rsid w:val="00AA665C"/>
    <w:rsid w:val="00AA7D9F"/>
    <w:rsid w:val="00AB1B36"/>
    <w:rsid w:val="00AB2FDC"/>
    <w:rsid w:val="00AB3C33"/>
    <w:rsid w:val="00AB4785"/>
    <w:rsid w:val="00AC06F5"/>
    <w:rsid w:val="00AC16E2"/>
    <w:rsid w:val="00AC317A"/>
    <w:rsid w:val="00AC526F"/>
    <w:rsid w:val="00AD0A94"/>
    <w:rsid w:val="00AD1037"/>
    <w:rsid w:val="00AD1F9D"/>
    <w:rsid w:val="00AD312B"/>
    <w:rsid w:val="00AD7682"/>
    <w:rsid w:val="00AD7950"/>
    <w:rsid w:val="00AE07DD"/>
    <w:rsid w:val="00AE41B3"/>
    <w:rsid w:val="00AE54AC"/>
    <w:rsid w:val="00AE602F"/>
    <w:rsid w:val="00AE646E"/>
    <w:rsid w:val="00AF1402"/>
    <w:rsid w:val="00AF640D"/>
    <w:rsid w:val="00B1083D"/>
    <w:rsid w:val="00B11636"/>
    <w:rsid w:val="00B12BCD"/>
    <w:rsid w:val="00B17416"/>
    <w:rsid w:val="00B17884"/>
    <w:rsid w:val="00B326FD"/>
    <w:rsid w:val="00B36BCC"/>
    <w:rsid w:val="00B40B5B"/>
    <w:rsid w:val="00B41C7F"/>
    <w:rsid w:val="00B4706A"/>
    <w:rsid w:val="00B51D6E"/>
    <w:rsid w:val="00B5272E"/>
    <w:rsid w:val="00B537D8"/>
    <w:rsid w:val="00B54045"/>
    <w:rsid w:val="00B54D91"/>
    <w:rsid w:val="00B62427"/>
    <w:rsid w:val="00B67F54"/>
    <w:rsid w:val="00B713CF"/>
    <w:rsid w:val="00B714A7"/>
    <w:rsid w:val="00B71B9C"/>
    <w:rsid w:val="00B76455"/>
    <w:rsid w:val="00B80E5B"/>
    <w:rsid w:val="00B824A4"/>
    <w:rsid w:val="00B832C7"/>
    <w:rsid w:val="00BA2EC8"/>
    <w:rsid w:val="00BA3FCD"/>
    <w:rsid w:val="00BA44D5"/>
    <w:rsid w:val="00BA5A10"/>
    <w:rsid w:val="00BA6414"/>
    <w:rsid w:val="00BB4EDC"/>
    <w:rsid w:val="00BB4F98"/>
    <w:rsid w:val="00BB62A3"/>
    <w:rsid w:val="00BC2AF7"/>
    <w:rsid w:val="00BC2B05"/>
    <w:rsid w:val="00BC2F26"/>
    <w:rsid w:val="00BC41FA"/>
    <w:rsid w:val="00BC6F8B"/>
    <w:rsid w:val="00BD0F4C"/>
    <w:rsid w:val="00BD15FC"/>
    <w:rsid w:val="00BD32FD"/>
    <w:rsid w:val="00BD33F6"/>
    <w:rsid w:val="00BD37E7"/>
    <w:rsid w:val="00BE3EFA"/>
    <w:rsid w:val="00BE66FF"/>
    <w:rsid w:val="00BF1B03"/>
    <w:rsid w:val="00BF4971"/>
    <w:rsid w:val="00BF6131"/>
    <w:rsid w:val="00C01E09"/>
    <w:rsid w:val="00C05CB1"/>
    <w:rsid w:val="00C1102D"/>
    <w:rsid w:val="00C142F5"/>
    <w:rsid w:val="00C16305"/>
    <w:rsid w:val="00C22FEC"/>
    <w:rsid w:val="00C237BE"/>
    <w:rsid w:val="00C257E7"/>
    <w:rsid w:val="00C300CE"/>
    <w:rsid w:val="00C361E5"/>
    <w:rsid w:val="00C37764"/>
    <w:rsid w:val="00C4077F"/>
    <w:rsid w:val="00C4266F"/>
    <w:rsid w:val="00C4299A"/>
    <w:rsid w:val="00C44489"/>
    <w:rsid w:val="00C467BC"/>
    <w:rsid w:val="00C47060"/>
    <w:rsid w:val="00C50560"/>
    <w:rsid w:val="00C54A4B"/>
    <w:rsid w:val="00C56D18"/>
    <w:rsid w:val="00C56EEB"/>
    <w:rsid w:val="00C601FB"/>
    <w:rsid w:val="00C6072B"/>
    <w:rsid w:val="00C61E81"/>
    <w:rsid w:val="00C63189"/>
    <w:rsid w:val="00C63F84"/>
    <w:rsid w:val="00C66FBB"/>
    <w:rsid w:val="00C735CD"/>
    <w:rsid w:val="00C7649C"/>
    <w:rsid w:val="00C804AF"/>
    <w:rsid w:val="00C8057C"/>
    <w:rsid w:val="00C82DA4"/>
    <w:rsid w:val="00C84289"/>
    <w:rsid w:val="00C904A5"/>
    <w:rsid w:val="00C93F79"/>
    <w:rsid w:val="00C95F85"/>
    <w:rsid w:val="00C95FA8"/>
    <w:rsid w:val="00CA13BF"/>
    <w:rsid w:val="00CA6235"/>
    <w:rsid w:val="00CA62D8"/>
    <w:rsid w:val="00CB0611"/>
    <w:rsid w:val="00CB2F69"/>
    <w:rsid w:val="00CB425C"/>
    <w:rsid w:val="00CB4997"/>
    <w:rsid w:val="00CB5EA6"/>
    <w:rsid w:val="00CB737E"/>
    <w:rsid w:val="00CC4286"/>
    <w:rsid w:val="00CC4FF2"/>
    <w:rsid w:val="00CC50A6"/>
    <w:rsid w:val="00CC6830"/>
    <w:rsid w:val="00CD6390"/>
    <w:rsid w:val="00CD76BB"/>
    <w:rsid w:val="00CE0D43"/>
    <w:rsid w:val="00CE2378"/>
    <w:rsid w:val="00CE3231"/>
    <w:rsid w:val="00CE4DFB"/>
    <w:rsid w:val="00CE61A2"/>
    <w:rsid w:val="00CE7941"/>
    <w:rsid w:val="00CF05E1"/>
    <w:rsid w:val="00CF1E65"/>
    <w:rsid w:val="00CF216A"/>
    <w:rsid w:val="00CF3711"/>
    <w:rsid w:val="00CF3B2B"/>
    <w:rsid w:val="00CF449D"/>
    <w:rsid w:val="00CF4C96"/>
    <w:rsid w:val="00CF61AF"/>
    <w:rsid w:val="00D0374F"/>
    <w:rsid w:val="00D05838"/>
    <w:rsid w:val="00D06BDB"/>
    <w:rsid w:val="00D07708"/>
    <w:rsid w:val="00D07A97"/>
    <w:rsid w:val="00D13FC4"/>
    <w:rsid w:val="00D16372"/>
    <w:rsid w:val="00D163BE"/>
    <w:rsid w:val="00D1665B"/>
    <w:rsid w:val="00D16D10"/>
    <w:rsid w:val="00D16D1E"/>
    <w:rsid w:val="00D21F02"/>
    <w:rsid w:val="00D2795B"/>
    <w:rsid w:val="00D3075B"/>
    <w:rsid w:val="00D342EA"/>
    <w:rsid w:val="00D35BA2"/>
    <w:rsid w:val="00D35ECF"/>
    <w:rsid w:val="00D375D7"/>
    <w:rsid w:val="00D423D4"/>
    <w:rsid w:val="00D45C5A"/>
    <w:rsid w:val="00D46DF9"/>
    <w:rsid w:val="00D52A37"/>
    <w:rsid w:val="00D53232"/>
    <w:rsid w:val="00D53A76"/>
    <w:rsid w:val="00D62D95"/>
    <w:rsid w:val="00D63EE0"/>
    <w:rsid w:val="00D651FE"/>
    <w:rsid w:val="00D66525"/>
    <w:rsid w:val="00D67E60"/>
    <w:rsid w:val="00D74C8B"/>
    <w:rsid w:val="00D75715"/>
    <w:rsid w:val="00D820BD"/>
    <w:rsid w:val="00D852E9"/>
    <w:rsid w:val="00D85428"/>
    <w:rsid w:val="00D87191"/>
    <w:rsid w:val="00D8754E"/>
    <w:rsid w:val="00D91D36"/>
    <w:rsid w:val="00D93CF0"/>
    <w:rsid w:val="00D94913"/>
    <w:rsid w:val="00D96F5F"/>
    <w:rsid w:val="00D97E96"/>
    <w:rsid w:val="00DA2879"/>
    <w:rsid w:val="00DA2DD4"/>
    <w:rsid w:val="00DA3E5E"/>
    <w:rsid w:val="00DA4FFA"/>
    <w:rsid w:val="00DA7C03"/>
    <w:rsid w:val="00DB133B"/>
    <w:rsid w:val="00DB1D2B"/>
    <w:rsid w:val="00DB2B7A"/>
    <w:rsid w:val="00DB4998"/>
    <w:rsid w:val="00DC556D"/>
    <w:rsid w:val="00DC66A8"/>
    <w:rsid w:val="00DD3792"/>
    <w:rsid w:val="00DE136C"/>
    <w:rsid w:val="00DE1877"/>
    <w:rsid w:val="00DF26EF"/>
    <w:rsid w:val="00DF7BA8"/>
    <w:rsid w:val="00E01359"/>
    <w:rsid w:val="00E03CE5"/>
    <w:rsid w:val="00E117E0"/>
    <w:rsid w:val="00E12A8F"/>
    <w:rsid w:val="00E14142"/>
    <w:rsid w:val="00E1710B"/>
    <w:rsid w:val="00E179B2"/>
    <w:rsid w:val="00E20751"/>
    <w:rsid w:val="00E230E1"/>
    <w:rsid w:val="00E2535F"/>
    <w:rsid w:val="00E26B14"/>
    <w:rsid w:val="00E30C04"/>
    <w:rsid w:val="00E30F41"/>
    <w:rsid w:val="00E41BD2"/>
    <w:rsid w:val="00E53D0D"/>
    <w:rsid w:val="00E60904"/>
    <w:rsid w:val="00E611F1"/>
    <w:rsid w:val="00E61B1F"/>
    <w:rsid w:val="00E61FB0"/>
    <w:rsid w:val="00E70DF9"/>
    <w:rsid w:val="00E7213A"/>
    <w:rsid w:val="00E83BF1"/>
    <w:rsid w:val="00E9100A"/>
    <w:rsid w:val="00E92E2B"/>
    <w:rsid w:val="00E9417E"/>
    <w:rsid w:val="00E96A8F"/>
    <w:rsid w:val="00E979AE"/>
    <w:rsid w:val="00EA3F9E"/>
    <w:rsid w:val="00EB2AF7"/>
    <w:rsid w:val="00EB3DA4"/>
    <w:rsid w:val="00EB537D"/>
    <w:rsid w:val="00EB6D8C"/>
    <w:rsid w:val="00EC3372"/>
    <w:rsid w:val="00EC3408"/>
    <w:rsid w:val="00EC3EEE"/>
    <w:rsid w:val="00EC4E1C"/>
    <w:rsid w:val="00ED07F1"/>
    <w:rsid w:val="00ED0DE2"/>
    <w:rsid w:val="00ED5A8C"/>
    <w:rsid w:val="00ED7FE4"/>
    <w:rsid w:val="00EE18E8"/>
    <w:rsid w:val="00EE2953"/>
    <w:rsid w:val="00EE53B8"/>
    <w:rsid w:val="00EE55D4"/>
    <w:rsid w:val="00F00611"/>
    <w:rsid w:val="00F00DC8"/>
    <w:rsid w:val="00F02F33"/>
    <w:rsid w:val="00F030BA"/>
    <w:rsid w:val="00F0430D"/>
    <w:rsid w:val="00F05C22"/>
    <w:rsid w:val="00F10465"/>
    <w:rsid w:val="00F127BA"/>
    <w:rsid w:val="00F158D5"/>
    <w:rsid w:val="00F21210"/>
    <w:rsid w:val="00F2295B"/>
    <w:rsid w:val="00F27A14"/>
    <w:rsid w:val="00F363E9"/>
    <w:rsid w:val="00F405C1"/>
    <w:rsid w:val="00F41B48"/>
    <w:rsid w:val="00F42C93"/>
    <w:rsid w:val="00F42F23"/>
    <w:rsid w:val="00F47AEF"/>
    <w:rsid w:val="00F524DE"/>
    <w:rsid w:val="00F5260B"/>
    <w:rsid w:val="00F56BF5"/>
    <w:rsid w:val="00F63226"/>
    <w:rsid w:val="00F70B8C"/>
    <w:rsid w:val="00F70B96"/>
    <w:rsid w:val="00F71507"/>
    <w:rsid w:val="00F76F78"/>
    <w:rsid w:val="00F8254D"/>
    <w:rsid w:val="00F82C9F"/>
    <w:rsid w:val="00F83C55"/>
    <w:rsid w:val="00F87E77"/>
    <w:rsid w:val="00F95454"/>
    <w:rsid w:val="00F9575B"/>
    <w:rsid w:val="00FA36AE"/>
    <w:rsid w:val="00FA48C0"/>
    <w:rsid w:val="00FA5E04"/>
    <w:rsid w:val="00FA7132"/>
    <w:rsid w:val="00FA7904"/>
    <w:rsid w:val="00FA79DF"/>
    <w:rsid w:val="00FB0A42"/>
    <w:rsid w:val="00FB104E"/>
    <w:rsid w:val="00FB12D6"/>
    <w:rsid w:val="00FB1D51"/>
    <w:rsid w:val="00FB4290"/>
    <w:rsid w:val="00FB667D"/>
    <w:rsid w:val="00FB69C0"/>
    <w:rsid w:val="00FC3A53"/>
    <w:rsid w:val="00FC3B51"/>
    <w:rsid w:val="00FC70F0"/>
    <w:rsid w:val="00FD144E"/>
    <w:rsid w:val="00FD44FA"/>
    <w:rsid w:val="00FE08F1"/>
    <w:rsid w:val="00FE1241"/>
    <w:rsid w:val="00FE68E6"/>
    <w:rsid w:val="00FF1616"/>
    <w:rsid w:val="00FF1720"/>
    <w:rsid w:val="00FF31B7"/>
    <w:rsid w:val="00FF33B5"/>
    <w:rsid w:val="00FF6E97"/>
    <w:rsid w:val="00FF701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9445B3"/>
  <w15:docId w15:val="{F0718C0D-6919-4BE6-ABA4-617C14BC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CF"/>
    <w:pPr>
      <w:spacing w:before="120"/>
    </w:pPr>
    <w:rPr>
      <w:rFonts w:ascii="Arial" w:hAnsi="Arial"/>
      <w:sz w:val="22"/>
    </w:rPr>
  </w:style>
  <w:style w:type="paragraph" w:styleId="Heading1">
    <w:name w:val="heading 1"/>
    <w:basedOn w:val="Normal"/>
    <w:next w:val="Normal"/>
    <w:link w:val="Heading1Char"/>
    <w:autoRedefine/>
    <w:qFormat/>
    <w:rsid w:val="009402B8"/>
    <w:pPr>
      <w:keepNext/>
      <w:shd w:val="clear" w:color="auto" w:fill="FFFFFF"/>
      <w:spacing w:before="0" w:after="180"/>
      <w:jc w:val="center"/>
      <w:outlineLvl w:val="0"/>
    </w:pPr>
    <w:rPr>
      <w:rFonts w:cs="Arial"/>
      <w:b/>
      <w:sz w:val="28"/>
      <w:szCs w:val="28"/>
    </w:rPr>
  </w:style>
  <w:style w:type="paragraph" w:styleId="Heading2">
    <w:name w:val="heading 2"/>
    <w:basedOn w:val="Heading1"/>
    <w:next w:val="Normal"/>
    <w:link w:val="Heading2Char"/>
    <w:uiPriority w:val="9"/>
    <w:unhideWhenUsed/>
    <w:qFormat/>
    <w:rsid w:val="001F3906"/>
    <w:pPr>
      <w:outlineLvl w:val="1"/>
    </w:pPr>
    <w:rPr>
      <w:sz w:val="20"/>
    </w:rPr>
  </w:style>
  <w:style w:type="paragraph" w:styleId="Heading3">
    <w:name w:val="heading 3"/>
    <w:basedOn w:val="Normal"/>
    <w:next w:val="Normal"/>
    <w:link w:val="Heading3Char"/>
    <w:uiPriority w:val="9"/>
    <w:semiHidden/>
    <w:unhideWhenUsed/>
    <w:qFormat/>
    <w:rsid w:val="00CE2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11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E7F"/>
    <w:pPr>
      <w:tabs>
        <w:tab w:val="center" w:pos="4320"/>
        <w:tab w:val="right" w:pos="8640"/>
      </w:tabs>
    </w:pPr>
  </w:style>
  <w:style w:type="paragraph" w:styleId="Footer">
    <w:name w:val="footer"/>
    <w:basedOn w:val="Normal"/>
    <w:rsid w:val="00495E7F"/>
    <w:pPr>
      <w:tabs>
        <w:tab w:val="center" w:pos="4320"/>
        <w:tab w:val="right" w:pos="8640"/>
      </w:tabs>
    </w:pPr>
  </w:style>
  <w:style w:type="paragraph" w:customStyle="1" w:styleId="UTSBodytext">
    <w:name w:val="UTS Body text"/>
    <w:basedOn w:val="Normal"/>
    <w:rsid w:val="00495E7F"/>
    <w:pPr>
      <w:spacing w:after="120" w:line="240" w:lineRule="exact"/>
    </w:pPr>
  </w:style>
  <w:style w:type="paragraph" w:customStyle="1" w:styleId="UTSHeading2">
    <w:name w:val="UTS Heading 2"/>
    <w:rsid w:val="00495E7F"/>
    <w:pPr>
      <w:spacing w:after="120"/>
    </w:pPr>
    <w:rPr>
      <w:rFonts w:ascii="Arial" w:hAnsi="Arial"/>
      <w:b/>
      <w:caps/>
      <w:noProof/>
      <w:sz w:val="32"/>
    </w:rPr>
  </w:style>
  <w:style w:type="paragraph" w:customStyle="1" w:styleId="UTSHeading3">
    <w:name w:val="UTS Heading 3"/>
    <w:rsid w:val="00495E7F"/>
    <w:rPr>
      <w:rFonts w:ascii="Arial" w:hAnsi="Arial"/>
      <w:caps/>
      <w:noProof/>
      <w:sz w:val="32"/>
    </w:rPr>
  </w:style>
  <w:style w:type="paragraph" w:customStyle="1" w:styleId="UTSHeading1">
    <w:name w:val="UTS Heading 1"/>
    <w:rsid w:val="00495E7F"/>
    <w:pPr>
      <w:spacing w:after="120"/>
    </w:pPr>
    <w:rPr>
      <w:rFonts w:ascii="Arial" w:hAnsi="Arial"/>
      <w:b/>
      <w:caps/>
      <w:noProof/>
      <w:sz w:val="48"/>
    </w:rPr>
  </w:style>
  <w:style w:type="paragraph" w:customStyle="1" w:styleId="UTSFooter">
    <w:name w:val="UTS Footer"/>
    <w:rsid w:val="00495E7F"/>
    <w:rPr>
      <w:rFonts w:ascii="Arial" w:hAnsi="Arial"/>
      <w:noProof/>
      <w:sz w:val="14"/>
    </w:rPr>
  </w:style>
  <w:style w:type="paragraph" w:customStyle="1" w:styleId="UTSBodytextbulleted">
    <w:name w:val="UTS Body text bulleted"/>
    <w:basedOn w:val="Normal"/>
    <w:rsid w:val="00495E7F"/>
    <w:pPr>
      <w:numPr>
        <w:numId w:val="1"/>
      </w:numPr>
      <w:tabs>
        <w:tab w:val="clear" w:pos="862"/>
        <w:tab w:val="num" w:pos="284"/>
      </w:tabs>
      <w:spacing w:after="120" w:line="240" w:lineRule="exact"/>
      <w:ind w:left="284" w:hanging="284"/>
    </w:pPr>
  </w:style>
  <w:style w:type="paragraph" w:customStyle="1" w:styleId="UTSFacultyName">
    <w:name w:val="UTS Faculty Name"/>
    <w:rsid w:val="00495E7F"/>
    <w:pPr>
      <w:tabs>
        <w:tab w:val="left" w:pos="6880"/>
      </w:tabs>
      <w:spacing w:before="200"/>
    </w:pPr>
    <w:rPr>
      <w:rFonts w:ascii="Arial" w:hAnsi="Arial"/>
      <w:noProof/>
      <w:sz w:val="28"/>
    </w:rPr>
  </w:style>
  <w:style w:type="paragraph" w:styleId="BalloonText">
    <w:name w:val="Balloon Text"/>
    <w:basedOn w:val="Normal"/>
    <w:link w:val="BalloonTextChar"/>
    <w:uiPriority w:val="99"/>
    <w:semiHidden/>
    <w:unhideWhenUsed/>
    <w:rsid w:val="00210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BE3"/>
    <w:rPr>
      <w:rFonts w:ascii="Lucida Grande" w:hAnsi="Lucida Grande" w:cs="Lucida Grande"/>
      <w:sz w:val="18"/>
      <w:szCs w:val="18"/>
    </w:rPr>
  </w:style>
  <w:style w:type="paragraph" w:styleId="ListParagraph">
    <w:name w:val="List Paragraph"/>
    <w:basedOn w:val="Normal"/>
    <w:uiPriority w:val="34"/>
    <w:qFormat/>
    <w:rsid w:val="004E304D"/>
    <w:pPr>
      <w:ind w:left="720"/>
      <w:contextualSpacing/>
    </w:pPr>
  </w:style>
  <w:style w:type="character" w:customStyle="1" w:styleId="Heading2Char">
    <w:name w:val="Heading 2 Char"/>
    <w:basedOn w:val="DefaultParagraphFont"/>
    <w:link w:val="Heading2"/>
    <w:uiPriority w:val="9"/>
    <w:rsid w:val="001F3906"/>
    <w:rPr>
      <w:rFonts w:ascii="Arial" w:hAnsi="Arial"/>
      <w:b/>
      <w:color w:val="800000"/>
    </w:rPr>
  </w:style>
  <w:style w:type="character" w:customStyle="1" w:styleId="Heading3Char">
    <w:name w:val="Heading 3 Char"/>
    <w:basedOn w:val="DefaultParagraphFont"/>
    <w:link w:val="Heading3"/>
    <w:uiPriority w:val="9"/>
    <w:semiHidden/>
    <w:rsid w:val="00CE237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E2378"/>
    <w:rPr>
      <w:color w:val="0000FF"/>
      <w:u w:val="single"/>
    </w:rPr>
  </w:style>
  <w:style w:type="paragraph" w:styleId="FootnoteText">
    <w:name w:val="footnote text"/>
    <w:basedOn w:val="Normal"/>
    <w:link w:val="FootnoteTextChar"/>
    <w:autoRedefine/>
    <w:uiPriority w:val="99"/>
    <w:unhideWhenUsed/>
    <w:qFormat/>
    <w:rsid w:val="00184E0A"/>
    <w:pPr>
      <w:spacing w:before="0"/>
    </w:pPr>
    <w:rPr>
      <w:rFonts w:eastAsiaTheme="minorHAnsi" w:cs="Arial"/>
      <w:sz w:val="18"/>
    </w:rPr>
  </w:style>
  <w:style w:type="character" w:customStyle="1" w:styleId="FootnoteTextChar">
    <w:name w:val="Footnote Text Char"/>
    <w:basedOn w:val="DefaultParagraphFont"/>
    <w:link w:val="FootnoteText"/>
    <w:uiPriority w:val="99"/>
    <w:rsid w:val="00184E0A"/>
    <w:rPr>
      <w:rFonts w:ascii="Arial" w:eastAsiaTheme="minorHAnsi" w:hAnsi="Arial" w:cs="Arial"/>
      <w:sz w:val="18"/>
    </w:rPr>
  </w:style>
  <w:style w:type="character" w:styleId="FootnoteReference">
    <w:name w:val="footnote reference"/>
    <w:basedOn w:val="DefaultParagraphFont"/>
    <w:uiPriority w:val="99"/>
    <w:unhideWhenUsed/>
    <w:rsid w:val="00CE2378"/>
    <w:rPr>
      <w:vertAlign w:val="superscript"/>
    </w:rPr>
  </w:style>
  <w:style w:type="character" w:styleId="Emphasis">
    <w:name w:val="Emphasis"/>
    <w:basedOn w:val="DefaultParagraphFont"/>
    <w:uiPriority w:val="20"/>
    <w:qFormat/>
    <w:rsid w:val="00CE2378"/>
    <w:rPr>
      <w:i/>
      <w:iCs/>
    </w:rPr>
  </w:style>
  <w:style w:type="character" w:styleId="Strong">
    <w:name w:val="Strong"/>
    <w:basedOn w:val="DefaultParagraphFont"/>
    <w:uiPriority w:val="22"/>
    <w:qFormat/>
    <w:rsid w:val="00CE2378"/>
    <w:rPr>
      <w:b/>
      <w:bCs/>
    </w:rPr>
  </w:style>
  <w:style w:type="character" w:customStyle="1" w:styleId="Heading1Char">
    <w:name w:val="Heading 1 Char"/>
    <w:basedOn w:val="DefaultParagraphFont"/>
    <w:link w:val="Heading1"/>
    <w:rsid w:val="009402B8"/>
    <w:rPr>
      <w:rFonts w:ascii="Arial" w:hAnsi="Arial" w:cs="Arial"/>
      <w:b/>
      <w:sz w:val="28"/>
      <w:szCs w:val="28"/>
      <w:shd w:val="clear" w:color="auto" w:fill="FFFFFF"/>
    </w:rPr>
  </w:style>
  <w:style w:type="character" w:styleId="CommentReference">
    <w:name w:val="annotation reference"/>
    <w:basedOn w:val="DefaultParagraphFont"/>
    <w:uiPriority w:val="99"/>
    <w:semiHidden/>
    <w:unhideWhenUsed/>
    <w:rsid w:val="00D35BA2"/>
    <w:rPr>
      <w:sz w:val="16"/>
      <w:szCs w:val="16"/>
    </w:rPr>
  </w:style>
  <w:style w:type="paragraph" w:styleId="CommentText">
    <w:name w:val="annotation text"/>
    <w:basedOn w:val="Normal"/>
    <w:link w:val="CommentTextChar"/>
    <w:uiPriority w:val="99"/>
    <w:unhideWhenUsed/>
    <w:rsid w:val="00D35BA2"/>
    <w:rPr>
      <w:sz w:val="20"/>
    </w:rPr>
  </w:style>
  <w:style w:type="character" w:customStyle="1" w:styleId="CommentTextChar">
    <w:name w:val="Comment Text Char"/>
    <w:basedOn w:val="DefaultParagraphFont"/>
    <w:link w:val="CommentText"/>
    <w:uiPriority w:val="99"/>
    <w:rsid w:val="00D35BA2"/>
    <w:rPr>
      <w:rFonts w:ascii="Arial" w:hAnsi="Arial"/>
    </w:rPr>
  </w:style>
  <w:style w:type="paragraph" w:styleId="CommentSubject">
    <w:name w:val="annotation subject"/>
    <w:basedOn w:val="CommentText"/>
    <w:next w:val="CommentText"/>
    <w:link w:val="CommentSubjectChar"/>
    <w:uiPriority w:val="99"/>
    <w:semiHidden/>
    <w:unhideWhenUsed/>
    <w:rsid w:val="00D35BA2"/>
    <w:rPr>
      <w:b/>
      <w:bCs/>
    </w:rPr>
  </w:style>
  <w:style w:type="character" w:customStyle="1" w:styleId="CommentSubjectChar">
    <w:name w:val="Comment Subject Char"/>
    <w:basedOn w:val="CommentTextChar"/>
    <w:link w:val="CommentSubject"/>
    <w:uiPriority w:val="99"/>
    <w:semiHidden/>
    <w:rsid w:val="00D35BA2"/>
    <w:rPr>
      <w:rFonts w:ascii="Arial" w:hAnsi="Arial"/>
      <w:b/>
      <w:bCs/>
    </w:rPr>
  </w:style>
  <w:style w:type="character" w:customStyle="1" w:styleId="UnresolvedMention1">
    <w:name w:val="Unresolved Mention1"/>
    <w:basedOn w:val="DefaultParagraphFont"/>
    <w:uiPriority w:val="99"/>
    <w:semiHidden/>
    <w:unhideWhenUsed/>
    <w:rsid w:val="00CB425C"/>
    <w:rPr>
      <w:color w:val="605E5C"/>
      <w:shd w:val="clear" w:color="auto" w:fill="E1DFDD"/>
    </w:rPr>
  </w:style>
  <w:style w:type="paragraph" w:customStyle="1" w:styleId="EndNoteBibliography">
    <w:name w:val="EndNote Bibliography"/>
    <w:basedOn w:val="Normal"/>
    <w:link w:val="EndNoteBibliographyChar"/>
    <w:rsid w:val="00285BC3"/>
    <w:pPr>
      <w:spacing w:before="0" w:after="160"/>
    </w:pPr>
    <w:rPr>
      <w:rFonts w:ascii="Calibri" w:eastAsiaTheme="minorHAnsi" w:hAnsi="Calibri" w:cs="Calibri"/>
      <w:noProof/>
      <w:szCs w:val="22"/>
      <w:lang w:val="en-US"/>
    </w:rPr>
  </w:style>
  <w:style w:type="character" w:customStyle="1" w:styleId="EndNoteBibliographyChar">
    <w:name w:val="EndNote Bibliography Char"/>
    <w:basedOn w:val="DefaultParagraphFont"/>
    <w:link w:val="EndNoteBibliography"/>
    <w:rsid w:val="00285BC3"/>
    <w:rPr>
      <w:rFonts w:ascii="Calibri" w:eastAsiaTheme="minorHAnsi" w:hAnsi="Calibri" w:cs="Calibri"/>
      <w:noProof/>
      <w:sz w:val="22"/>
      <w:szCs w:val="22"/>
      <w:lang w:val="en-US"/>
    </w:rPr>
  </w:style>
  <w:style w:type="table" w:styleId="TableGrid">
    <w:name w:val="Table Grid"/>
    <w:basedOn w:val="TableNormal"/>
    <w:uiPriority w:val="59"/>
    <w:rsid w:val="0046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48C0"/>
    <w:rPr>
      <w:color w:val="605E5C"/>
      <w:shd w:val="clear" w:color="auto" w:fill="E1DFDD"/>
    </w:rPr>
  </w:style>
  <w:style w:type="table" w:customStyle="1" w:styleId="ShadedRedTable">
    <w:name w:val="Shaded Red Table"/>
    <w:basedOn w:val="TableNormal"/>
    <w:uiPriority w:val="99"/>
    <w:rsid w:val="004A5377"/>
    <w:pPr>
      <w:ind w:left="113" w:right="113"/>
    </w:pPr>
    <w:rPr>
      <w:rFonts w:ascii="Arial" w:eastAsia="Arial" w:hAnsi="Arial"/>
      <w:sz w:val="22"/>
      <w:szCs w:val="22"/>
    </w:rPr>
    <w:tblPr>
      <w:tblStyleRowBandSize w:val="1"/>
      <w:tblStyleColBandSize w:val="1"/>
      <w:tblBorders>
        <w:insideH w:val="single" w:sz="6" w:space="0" w:color="FFFFFF"/>
        <w:insideV w:val="single" w:sz="6" w:space="0" w:color="FFFFFF"/>
      </w:tblBorders>
      <w:tblCellMar>
        <w:left w:w="0" w:type="dxa"/>
        <w:right w:w="0" w:type="dxa"/>
      </w:tblCellMar>
    </w:tblPr>
    <w:trPr>
      <w:cantSplit/>
    </w:trPr>
    <w:tcPr>
      <w:shd w:val="clear" w:color="auto" w:fill="FFF1EF"/>
    </w:tcPr>
    <w:tblStylePr w:type="firstRow">
      <w:rPr>
        <w:color w:val="FFFFFF"/>
      </w:rPr>
      <w:tblPr/>
      <w:tcPr>
        <w:tcBorders>
          <w:top w:val="single" w:sz="36" w:space="0" w:color="000000"/>
        </w:tcBorders>
        <w:shd w:val="clear" w:color="auto" w:fill="FF2305"/>
      </w:tcPr>
    </w:tblStylePr>
    <w:tblStylePr w:type="lastRow">
      <w:rPr>
        <w:b/>
      </w:rPr>
      <w:tblPr/>
      <w:tcPr>
        <w:shd w:val="clear" w:color="auto" w:fill="FFD2CD"/>
      </w:tcPr>
    </w:tblStylePr>
    <w:tblStylePr w:type="firstCol">
      <w:rPr>
        <w:color w:val="FFFFFF"/>
      </w:rPr>
      <w:tblPr/>
      <w:tcPr>
        <w:shd w:val="clear" w:color="auto" w:fill="FF2305"/>
      </w:tcPr>
    </w:tblStylePr>
    <w:tblStylePr w:type="lastCol">
      <w:tblPr/>
      <w:tcPr>
        <w:shd w:val="clear" w:color="auto" w:fill="FFD2CD"/>
      </w:tcPr>
    </w:tblStylePr>
    <w:tblStylePr w:type="band2Vert">
      <w:tblPr/>
      <w:tcPr>
        <w:shd w:val="clear" w:color="auto" w:fill="FFD2CD"/>
      </w:tcPr>
    </w:tblStylePr>
    <w:tblStylePr w:type="band2Horz">
      <w:tblPr/>
      <w:tcPr>
        <w:shd w:val="clear" w:color="auto" w:fill="FFD2CD"/>
      </w:tcPr>
    </w:tblStylePr>
  </w:style>
  <w:style w:type="table" w:customStyle="1" w:styleId="ShadedRedTable1">
    <w:name w:val="Shaded Red Table1"/>
    <w:basedOn w:val="TableNormal"/>
    <w:uiPriority w:val="99"/>
    <w:rsid w:val="00006BF1"/>
    <w:pPr>
      <w:ind w:left="113" w:right="113"/>
    </w:pPr>
    <w:rPr>
      <w:rFonts w:ascii="Arial" w:eastAsia="Arial" w:hAnsi="Arial"/>
      <w:sz w:val="22"/>
      <w:szCs w:val="22"/>
    </w:rPr>
    <w:tblPr>
      <w:tblStyleRowBandSize w:val="1"/>
      <w:tblStyleColBandSize w:val="1"/>
      <w:tblBorders>
        <w:insideH w:val="single" w:sz="6" w:space="0" w:color="FFFFFF"/>
        <w:insideV w:val="single" w:sz="6" w:space="0" w:color="FFFFFF"/>
      </w:tblBorders>
      <w:tblCellMar>
        <w:left w:w="0" w:type="dxa"/>
        <w:right w:w="0" w:type="dxa"/>
      </w:tblCellMar>
    </w:tblPr>
    <w:trPr>
      <w:cantSplit/>
    </w:trPr>
    <w:tcPr>
      <w:shd w:val="clear" w:color="auto" w:fill="FFF1EF"/>
    </w:tcPr>
    <w:tblStylePr w:type="firstRow">
      <w:rPr>
        <w:color w:val="FFFFFF"/>
      </w:rPr>
      <w:tblPr/>
      <w:tcPr>
        <w:tcBorders>
          <w:top w:val="single" w:sz="36" w:space="0" w:color="000000"/>
        </w:tcBorders>
        <w:shd w:val="clear" w:color="auto" w:fill="FF2305"/>
      </w:tcPr>
    </w:tblStylePr>
    <w:tblStylePr w:type="lastRow">
      <w:rPr>
        <w:b/>
      </w:rPr>
      <w:tblPr/>
      <w:tcPr>
        <w:shd w:val="clear" w:color="auto" w:fill="FFD2CD"/>
      </w:tcPr>
    </w:tblStylePr>
    <w:tblStylePr w:type="firstCol">
      <w:rPr>
        <w:color w:val="FFFFFF"/>
      </w:rPr>
      <w:tblPr/>
      <w:tcPr>
        <w:shd w:val="clear" w:color="auto" w:fill="FF2305"/>
      </w:tcPr>
    </w:tblStylePr>
    <w:tblStylePr w:type="lastCol">
      <w:tblPr/>
      <w:tcPr>
        <w:shd w:val="clear" w:color="auto" w:fill="FFD2CD"/>
      </w:tcPr>
    </w:tblStylePr>
    <w:tblStylePr w:type="band2Vert">
      <w:tblPr/>
      <w:tcPr>
        <w:shd w:val="clear" w:color="auto" w:fill="FFD2CD"/>
      </w:tcPr>
    </w:tblStylePr>
    <w:tblStylePr w:type="band2Horz">
      <w:tblPr/>
      <w:tcPr>
        <w:shd w:val="clear" w:color="auto" w:fill="FFD2CD"/>
      </w:tcPr>
    </w:tblStylePr>
  </w:style>
  <w:style w:type="character" w:styleId="FollowedHyperlink">
    <w:name w:val="FollowedHyperlink"/>
    <w:basedOn w:val="DefaultParagraphFont"/>
    <w:uiPriority w:val="99"/>
    <w:semiHidden/>
    <w:unhideWhenUsed/>
    <w:rsid w:val="00B54045"/>
    <w:rPr>
      <w:color w:val="800080" w:themeColor="followedHyperlink"/>
      <w:u w:val="single"/>
    </w:rPr>
  </w:style>
  <w:style w:type="numbering" w:customStyle="1" w:styleId="Style1">
    <w:name w:val="Style1"/>
    <w:uiPriority w:val="99"/>
    <w:rsid w:val="00505220"/>
    <w:pPr>
      <w:numPr>
        <w:numId w:val="9"/>
      </w:numPr>
    </w:pPr>
  </w:style>
  <w:style w:type="numbering" w:customStyle="1" w:styleId="Style2">
    <w:name w:val="Style2"/>
    <w:uiPriority w:val="99"/>
    <w:rsid w:val="005F2318"/>
    <w:pPr>
      <w:numPr>
        <w:numId w:val="11"/>
      </w:numPr>
    </w:pPr>
  </w:style>
  <w:style w:type="paragraph" w:customStyle="1" w:styleId="Bodycopy">
    <w:name w:val="Body copy"/>
    <w:autoRedefine/>
    <w:qFormat/>
    <w:rsid w:val="00F87E77"/>
    <w:pPr>
      <w:spacing w:after="240" w:line="240" w:lineRule="atLeast"/>
    </w:pPr>
    <w:rPr>
      <w:rFonts w:asciiTheme="minorHAnsi" w:eastAsiaTheme="minorHAnsi" w:hAnsiTheme="minorHAnsi" w:cstheme="minorBidi"/>
      <w:color w:val="000000" w:themeColor="text1"/>
      <w:spacing w:val="4"/>
      <w:u w:val="single"/>
    </w:rPr>
  </w:style>
  <w:style w:type="paragraph" w:styleId="Revision">
    <w:name w:val="Revision"/>
    <w:hidden/>
    <w:uiPriority w:val="99"/>
    <w:semiHidden/>
    <w:rsid w:val="00D0374F"/>
    <w:rPr>
      <w:rFonts w:ascii="Arial" w:hAnsi="Arial"/>
      <w:sz w:val="22"/>
    </w:rPr>
  </w:style>
  <w:style w:type="character" w:customStyle="1" w:styleId="Heading4Char">
    <w:name w:val="Heading 4 Char"/>
    <w:basedOn w:val="DefaultParagraphFont"/>
    <w:link w:val="Heading4"/>
    <w:uiPriority w:val="9"/>
    <w:semiHidden/>
    <w:rsid w:val="00A311C0"/>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semiHidden/>
    <w:unhideWhenUsed/>
    <w:rsid w:val="007D26AD"/>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1611">
      <w:bodyDiv w:val="1"/>
      <w:marLeft w:val="0"/>
      <w:marRight w:val="0"/>
      <w:marTop w:val="0"/>
      <w:marBottom w:val="0"/>
      <w:divBdr>
        <w:top w:val="none" w:sz="0" w:space="0" w:color="auto"/>
        <w:left w:val="none" w:sz="0" w:space="0" w:color="auto"/>
        <w:bottom w:val="none" w:sz="0" w:space="0" w:color="auto"/>
        <w:right w:val="none" w:sz="0" w:space="0" w:color="auto"/>
      </w:divBdr>
    </w:div>
    <w:div w:id="640967748">
      <w:bodyDiv w:val="1"/>
      <w:marLeft w:val="0"/>
      <w:marRight w:val="0"/>
      <w:marTop w:val="0"/>
      <w:marBottom w:val="0"/>
      <w:divBdr>
        <w:top w:val="none" w:sz="0" w:space="0" w:color="auto"/>
        <w:left w:val="none" w:sz="0" w:space="0" w:color="auto"/>
        <w:bottom w:val="none" w:sz="0" w:space="0" w:color="auto"/>
        <w:right w:val="none" w:sz="0" w:space="0" w:color="auto"/>
      </w:divBdr>
    </w:div>
    <w:div w:id="673190290">
      <w:bodyDiv w:val="1"/>
      <w:marLeft w:val="0"/>
      <w:marRight w:val="0"/>
      <w:marTop w:val="0"/>
      <w:marBottom w:val="0"/>
      <w:divBdr>
        <w:top w:val="none" w:sz="0" w:space="0" w:color="auto"/>
        <w:left w:val="none" w:sz="0" w:space="0" w:color="auto"/>
        <w:bottom w:val="none" w:sz="0" w:space="0" w:color="auto"/>
        <w:right w:val="none" w:sz="0" w:space="0" w:color="auto"/>
      </w:divBdr>
      <w:divsChild>
        <w:div w:id="2092267476">
          <w:marLeft w:val="0"/>
          <w:marRight w:val="0"/>
          <w:marTop w:val="0"/>
          <w:marBottom w:val="0"/>
          <w:divBdr>
            <w:top w:val="none" w:sz="0" w:space="0" w:color="auto"/>
            <w:left w:val="none" w:sz="0" w:space="0" w:color="auto"/>
            <w:bottom w:val="none" w:sz="0" w:space="0" w:color="auto"/>
            <w:right w:val="none" w:sz="0" w:space="0" w:color="auto"/>
          </w:divBdr>
          <w:divsChild>
            <w:div w:id="1015306483">
              <w:marLeft w:val="0"/>
              <w:marRight w:val="0"/>
              <w:marTop w:val="0"/>
              <w:marBottom w:val="0"/>
              <w:divBdr>
                <w:top w:val="none" w:sz="0" w:space="0" w:color="auto"/>
                <w:left w:val="none" w:sz="0" w:space="0" w:color="auto"/>
                <w:bottom w:val="none" w:sz="0" w:space="0" w:color="auto"/>
                <w:right w:val="none" w:sz="0" w:space="0" w:color="auto"/>
              </w:divBdr>
              <w:divsChild>
                <w:div w:id="155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272">
      <w:bodyDiv w:val="1"/>
      <w:marLeft w:val="0"/>
      <w:marRight w:val="0"/>
      <w:marTop w:val="0"/>
      <w:marBottom w:val="0"/>
      <w:divBdr>
        <w:top w:val="none" w:sz="0" w:space="0" w:color="auto"/>
        <w:left w:val="none" w:sz="0" w:space="0" w:color="auto"/>
        <w:bottom w:val="none" w:sz="0" w:space="0" w:color="auto"/>
        <w:right w:val="none" w:sz="0" w:space="0" w:color="auto"/>
      </w:divBdr>
    </w:div>
    <w:div w:id="1441993891">
      <w:bodyDiv w:val="1"/>
      <w:marLeft w:val="0"/>
      <w:marRight w:val="0"/>
      <w:marTop w:val="0"/>
      <w:marBottom w:val="0"/>
      <w:divBdr>
        <w:top w:val="none" w:sz="0" w:space="0" w:color="auto"/>
        <w:left w:val="none" w:sz="0" w:space="0" w:color="auto"/>
        <w:bottom w:val="none" w:sz="0" w:space="0" w:color="auto"/>
        <w:right w:val="none" w:sz="0" w:space="0" w:color="auto"/>
      </w:divBdr>
      <w:divsChild>
        <w:div w:id="1003507579">
          <w:marLeft w:val="0"/>
          <w:marRight w:val="0"/>
          <w:marTop w:val="0"/>
          <w:marBottom w:val="0"/>
          <w:divBdr>
            <w:top w:val="none" w:sz="0" w:space="0" w:color="auto"/>
            <w:left w:val="none" w:sz="0" w:space="0" w:color="auto"/>
            <w:bottom w:val="none" w:sz="0" w:space="0" w:color="auto"/>
            <w:right w:val="none" w:sz="0" w:space="0" w:color="auto"/>
          </w:divBdr>
        </w:div>
        <w:div w:id="390664692">
          <w:marLeft w:val="0"/>
          <w:marRight w:val="0"/>
          <w:marTop w:val="0"/>
          <w:marBottom w:val="0"/>
          <w:divBdr>
            <w:top w:val="none" w:sz="0" w:space="0" w:color="auto"/>
            <w:left w:val="none" w:sz="0" w:space="0" w:color="auto"/>
            <w:bottom w:val="none" w:sz="0" w:space="0" w:color="auto"/>
            <w:right w:val="none" w:sz="0" w:space="0" w:color="auto"/>
          </w:divBdr>
        </w:div>
      </w:divsChild>
    </w:div>
    <w:div w:id="1569143785">
      <w:bodyDiv w:val="1"/>
      <w:marLeft w:val="0"/>
      <w:marRight w:val="0"/>
      <w:marTop w:val="0"/>
      <w:marBottom w:val="0"/>
      <w:divBdr>
        <w:top w:val="none" w:sz="0" w:space="0" w:color="auto"/>
        <w:left w:val="none" w:sz="0" w:space="0" w:color="auto"/>
        <w:bottom w:val="none" w:sz="0" w:space="0" w:color="auto"/>
        <w:right w:val="none" w:sz="0" w:space="0" w:color="auto"/>
      </w:divBdr>
      <w:divsChild>
        <w:div w:id="611942158">
          <w:marLeft w:val="0"/>
          <w:marRight w:val="0"/>
          <w:marTop w:val="0"/>
          <w:marBottom w:val="0"/>
          <w:divBdr>
            <w:top w:val="none" w:sz="0" w:space="0" w:color="auto"/>
            <w:left w:val="none" w:sz="0" w:space="0" w:color="auto"/>
            <w:bottom w:val="none" w:sz="0" w:space="0" w:color="auto"/>
            <w:right w:val="none" w:sz="0" w:space="0" w:color="auto"/>
          </w:divBdr>
        </w:div>
        <w:div w:id="854881798">
          <w:marLeft w:val="0"/>
          <w:marRight w:val="0"/>
          <w:marTop w:val="0"/>
          <w:marBottom w:val="0"/>
          <w:divBdr>
            <w:top w:val="none" w:sz="0" w:space="0" w:color="auto"/>
            <w:left w:val="none" w:sz="0" w:space="0" w:color="auto"/>
            <w:bottom w:val="none" w:sz="0" w:space="0" w:color="auto"/>
            <w:right w:val="none" w:sz="0" w:space="0" w:color="auto"/>
          </w:divBdr>
        </w:div>
      </w:divsChild>
    </w:div>
    <w:div w:id="1649944552">
      <w:bodyDiv w:val="1"/>
      <w:marLeft w:val="0"/>
      <w:marRight w:val="0"/>
      <w:marTop w:val="0"/>
      <w:marBottom w:val="0"/>
      <w:divBdr>
        <w:top w:val="none" w:sz="0" w:space="0" w:color="auto"/>
        <w:left w:val="none" w:sz="0" w:space="0" w:color="auto"/>
        <w:bottom w:val="none" w:sz="0" w:space="0" w:color="auto"/>
        <w:right w:val="none" w:sz="0" w:space="0" w:color="auto"/>
      </w:divBdr>
    </w:div>
    <w:div w:id="1665862331">
      <w:bodyDiv w:val="1"/>
      <w:marLeft w:val="0"/>
      <w:marRight w:val="0"/>
      <w:marTop w:val="0"/>
      <w:marBottom w:val="0"/>
      <w:divBdr>
        <w:top w:val="none" w:sz="0" w:space="0" w:color="auto"/>
        <w:left w:val="none" w:sz="0" w:space="0" w:color="auto"/>
        <w:bottom w:val="none" w:sz="0" w:space="0" w:color="auto"/>
        <w:right w:val="none" w:sz="0" w:space="0" w:color="auto"/>
      </w:divBdr>
    </w:div>
    <w:div w:id="2088648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ccan.org.au/grants/completed-grants/1431-responsive-eng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T@uts.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sa.org.uk/about-asa-and-cap/the-work-we-do/how-we-consult.html" TargetMode="External"/><Relationship Id="rId1" Type="http://schemas.openxmlformats.org/officeDocument/2006/relationships/hyperlink" Target="https://www.gov.uk/government/publications?publication_filter_option=consult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C364C7140154B8E6A47CFA356BD47" ma:contentTypeVersion="12" ma:contentTypeDescription="Create a new document." ma:contentTypeScope="" ma:versionID="99bdeb8913906e13643bd819a86523eb">
  <xsd:schema xmlns:xsd="http://www.w3.org/2001/XMLSchema" xmlns:xs="http://www.w3.org/2001/XMLSchema" xmlns:p="http://schemas.microsoft.com/office/2006/metadata/properties" xmlns:ns3="8c5ac359-05ab-4924-9d1b-6a054cc6083c" xmlns:ns4="284a59b1-13b8-4e8e-bca3-44513912087e" targetNamespace="http://schemas.microsoft.com/office/2006/metadata/properties" ma:root="true" ma:fieldsID="05af26da0b47a39a59a48f378ccfb56e" ns3:_="" ns4:_="">
    <xsd:import namespace="8c5ac359-05ab-4924-9d1b-6a054cc6083c"/>
    <xsd:import namespace="284a59b1-13b8-4e8e-bca3-4451391208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ac359-05ab-4924-9d1b-6a054cc60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a59b1-13b8-4e8e-bca3-4451391208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5AAC-82E9-4FC5-BCDA-500A18D2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ac359-05ab-4924-9d1b-6a054cc6083c"/>
    <ds:schemaRef ds:uri="284a59b1-13b8-4e8e-bca3-445139120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8B41-678E-4590-8369-64AFC3D12FC8}">
  <ds:schemaRefs>
    <ds:schemaRef ds:uri="http://purl.org/dc/terms/"/>
    <ds:schemaRef ds:uri="284a59b1-13b8-4e8e-bca3-44513912087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c5ac359-05ab-4924-9d1b-6a054cc6083c"/>
    <ds:schemaRef ds:uri="http://www.w3.org/XML/1998/namespace"/>
    <ds:schemaRef ds:uri="http://purl.org/dc/dcmitype/"/>
  </ds:schemaRefs>
</ds:datastoreItem>
</file>

<file path=customXml/itemProps3.xml><?xml version="1.0" encoding="utf-8"?>
<ds:datastoreItem xmlns:ds="http://schemas.openxmlformats.org/officeDocument/2006/customXml" ds:itemID="{66B327C2-EC0E-4EAB-AAAC-5C95107B1748}">
  <ds:schemaRefs>
    <ds:schemaRef ds:uri="http://schemas.microsoft.com/sharepoint/v3/contenttype/forms"/>
  </ds:schemaRefs>
</ds:datastoreItem>
</file>

<file path=customXml/itemProps4.xml><?xml version="1.0" encoding="utf-8"?>
<ds:datastoreItem xmlns:ds="http://schemas.openxmlformats.org/officeDocument/2006/customXml" ds:itemID="{D472B9A7-C0E9-4688-9A19-E2E9D493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LECTURER: (UTS BODY TEXT)</vt:lpstr>
    </vt:vector>
  </TitlesOfParts>
  <Company>University of Technology, Sydney</Company>
  <LinksUpToDate>false</LinksUpToDate>
  <CharactersWithSpaces>17581</CharactersWithSpaces>
  <SharedDoc>false</SharedDoc>
  <HLinks>
    <vt:vector size="6" baseType="variant">
      <vt:variant>
        <vt:i4>8323128</vt:i4>
      </vt:variant>
      <vt:variant>
        <vt:i4>1870</vt:i4>
      </vt:variant>
      <vt:variant>
        <vt:i4>1025</vt:i4>
      </vt:variant>
      <vt:variant>
        <vt:i4>1</vt:i4>
      </vt:variant>
      <vt:variant>
        <vt:lpwstr>::::::Documents:1. KATHRYN FOLEY -DO NOT DELETE:5. FONTS, LOGOS, MAPS:2. UTS 2K LOGOS PACKAGE:PC UTS LOGOS - WIndows Formats:UTS logo black PC.bmp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(UTS BODY TEXT)</dc:title>
  <dc:creator>UTS</dc:creator>
  <cp:lastModifiedBy>Karen Lee</cp:lastModifiedBy>
  <cp:revision>3</cp:revision>
  <cp:lastPrinted>2020-02-21T03:22:00Z</cp:lastPrinted>
  <dcterms:created xsi:type="dcterms:W3CDTF">2020-03-10T01:47:00Z</dcterms:created>
  <dcterms:modified xsi:type="dcterms:W3CDTF">2020-03-10T01:48:00Z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0x010100429C364C7140154B8E6A47CFA356BD47</vt:lpwstr>
  </property>
</Properties>
</file>