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62BA7" w14:textId="77777777" w:rsidR="00C26E7D" w:rsidRDefault="00C26E7D" w:rsidP="00C26E7D">
      <w:r>
        <w:rPr>
          <w:noProof/>
          <w:lang w:eastAsia="en-AU"/>
        </w:rPr>
        <mc:AlternateContent>
          <mc:Choice Requires="wps">
            <w:drawing>
              <wp:anchor distT="0" distB="0" distL="114300" distR="114300" simplePos="0" relativeHeight="251660288" behindDoc="0" locked="0" layoutInCell="1" allowOverlap="1" wp14:anchorId="366F5F48" wp14:editId="69A70BCB">
                <wp:simplePos x="0" y="0"/>
                <wp:positionH relativeFrom="column">
                  <wp:posOffset>-561975</wp:posOffset>
                </wp:positionH>
                <wp:positionV relativeFrom="paragraph">
                  <wp:posOffset>-85725</wp:posOffset>
                </wp:positionV>
                <wp:extent cx="3476625" cy="15525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552575"/>
                        </a:xfrm>
                        <a:prstGeom prst="rect">
                          <a:avLst/>
                        </a:prstGeom>
                        <a:solidFill>
                          <a:srgbClr val="FFFFFF"/>
                        </a:solidFill>
                        <a:ln w="9525">
                          <a:noFill/>
                          <a:miter lim="800000"/>
                          <a:headEnd/>
                          <a:tailEnd/>
                        </a:ln>
                      </wps:spPr>
                      <wps:txbx>
                        <w:txbxContent>
                          <w:p w14:paraId="50235C80" w14:textId="77777777" w:rsidR="00C26E7D" w:rsidRDefault="00C26E7D" w:rsidP="00C26E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F5F48" id="_x0000_t202" coordsize="21600,21600" o:spt="202" path="m,l,21600r21600,l21600,xe">
                <v:stroke joinstyle="miter"/>
                <v:path gradientshapeok="t" o:connecttype="rect"/>
              </v:shapetype>
              <v:shape id="Text Box 2" o:spid="_x0000_s1026" type="#_x0000_t202" style="position:absolute;margin-left:-44.25pt;margin-top:-6.75pt;width:273.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" stroked="f">
                <v:textbox>
                  <w:txbxContent>
                    <w:p w14:paraId="50235C80" w14:textId="77777777" w:rsidR="00C26E7D" w:rsidRDefault="00C26E7D" w:rsidP="00C26E7D"/>
                  </w:txbxContent>
                </v:textbox>
                <w10:wrap type="square"/>
              </v:shape>
            </w:pict>
          </mc:Fallback>
        </mc:AlternateContent>
      </w:r>
      <w:r>
        <w:rPr>
          <w:noProof/>
          <w:lang w:eastAsia="en-AU"/>
        </w:rPr>
        <mc:AlternateContent>
          <mc:Choice Requires="wps">
            <w:drawing>
              <wp:anchor distT="0" distB="0" distL="114300" distR="114300" simplePos="0" relativeHeight="251659264" behindDoc="0" locked="0" layoutInCell="1" allowOverlap="1" wp14:anchorId="487C6541" wp14:editId="674547C7">
                <wp:simplePos x="0" y="0"/>
                <wp:positionH relativeFrom="column">
                  <wp:posOffset>4093845</wp:posOffset>
                </wp:positionH>
                <wp:positionV relativeFrom="paragraph">
                  <wp:posOffset>-98425</wp:posOffset>
                </wp:positionV>
                <wp:extent cx="237426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2C13216" w14:textId="77777777" w:rsidR="00C26E7D" w:rsidRDefault="00C26E7D" w:rsidP="00C26E7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7C6541" id="_x0000_s1027" type="#_x0000_t202" style="position:absolute;margin-left:322.35pt;margin-top:-7.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" stroked="f">
                <v:textbox style="mso-fit-shape-to-text:t">
                  <w:txbxContent>
                    <w:p w14:paraId="62C13216" w14:textId="77777777" w:rsidR="00C26E7D" w:rsidRDefault="00C26E7D" w:rsidP="00C26E7D"/>
                  </w:txbxContent>
                </v:textbox>
                <w10:wrap type="square"/>
              </v:shape>
            </w:pict>
          </mc:Fallback>
        </mc:AlternateContent>
      </w:r>
    </w:p>
    <w:p w14:paraId="4BF572FE" w14:textId="77777777" w:rsidR="00C26E7D" w:rsidRDefault="00C26E7D" w:rsidP="00C26E7D"/>
    <w:p w14:paraId="2249657F" w14:textId="77777777" w:rsidR="00C26E7D" w:rsidRDefault="00C26E7D" w:rsidP="00C26E7D"/>
    <w:p w14:paraId="74C79033" w14:textId="77777777" w:rsidR="00C26E7D" w:rsidRDefault="00C26E7D" w:rsidP="00C26E7D"/>
    <w:p w14:paraId="26F3F747" w14:textId="77777777" w:rsidR="00C26E7D" w:rsidRDefault="00C26E7D" w:rsidP="00C26E7D"/>
    <w:p w14:paraId="78623748" w14:textId="77777777" w:rsidR="00C26E7D" w:rsidRDefault="00C26E7D" w:rsidP="00C26E7D">
      <w:pPr>
        <w:pStyle w:val="Heading3"/>
      </w:pPr>
    </w:p>
    <w:p w14:paraId="6AEFB2D9" w14:textId="77777777" w:rsidR="00C26E7D" w:rsidRDefault="00C26E7D" w:rsidP="00C26E7D">
      <w:pPr>
        <w:pStyle w:val="Heading3"/>
        <w:jc w:val="right"/>
      </w:pPr>
      <w:r>
        <w:rPr>
          <w:noProof/>
          <w:lang w:eastAsia="en-AU"/>
        </w:rPr>
        <w:drawing>
          <wp:inline distT="0" distB="0" distL="0" distR="0" wp14:anchorId="67DF7CF9" wp14:editId="03CA5AF1">
            <wp:extent cx="2697868" cy="1095375"/>
            <wp:effectExtent l="0" t="0" r="7620" b="0"/>
            <wp:docPr id="1" name="Picture 0" descr="TELBO0008_Memo_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ELBO0008_Memo__Logo.png"/>
                    <pic:cNvPicPr>
                      <a:picLocks noChangeAspect="1" noChangeArrowheads="1"/>
                    </pic:cNvPicPr>
                  </pic:nvPicPr>
                  <pic:blipFill>
                    <a:blip r:embed="rId8"/>
                    <a:srcRect/>
                    <a:stretch>
                      <a:fillRect/>
                    </a:stretch>
                  </pic:blipFill>
                  <pic:spPr bwMode="auto">
                    <a:xfrm>
                      <a:off x="0" y="0"/>
                      <a:ext cx="2703310" cy="1097584"/>
                    </a:xfrm>
                    <a:prstGeom prst="rect">
                      <a:avLst/>
                    </a:prstGeom>
                    <a:noFill/>
                    <a:ln w="9525">
                      <a:noFill/>
                      <a:miter lim="800000"/>
                      <a:headEnd/>
                      <a:tailEnd/>
                    </a:ln>
                  </pic:spPr>
                </pic:pic>
              </a:graphicData>
            </a:graphic>
          </wp:inline>
        </w:drawing>
      </w:r>
    </w:p>
    <w:p w14:paraId="08AD2C0A" w14:textId="77777777" w:rsidR="00C26E7D" w:rsidRDefault="00C26E7D" w:rsidP="00C26E7D">
      <w:pPr>
        <w:pStyle w:val="Heading3"/>
      </w:pPr>
    </w:p>
    <w:p w14:paraId="767F4330" w14:textId="77777777" w:rsidR="00C26E7D" w:rsidRDefault="00C26E7D" w:rsidP="00C26E7D">
      <w:pPr>
        <w:pStyle w:val="Heading3"/>
        <w:jc w:val="center"/>
      </w:pPr>
    </w:p>
    <w:p w14:paraId="0B417430" w14:textId="77777777" w:rsidR="00C26E7D" w:rsidRDefault="00C26E7D" w:rsidP="00C26E7D">
      <w:pPr>
        <w:pStyle w:val="Heading3"/>
        <w:jc w:val="center"/>
        <w:rPr>
          <w:rFonts w:ascii="Arial" w:hAnsi="Arial" w:cs="Arial"/>
          <w:color w:val="1F4E79" w:themeColor="accent1" w:themeShade="80"/>
          <w:sz w:val="32"/>
          <w:szCs w:val="32"/>
        </w:rPr>
      </w:pPr>
      <w:r>
        <w:rPr>
          <w:rFonts w:ascii="Arial" w:hAnsi="Arial" w:cs="Arial"/>
          <w:color w:val="1F4E79" w:themeColor="accent1" w:themeShade="80"/>
          <w:sz w:val="32"/>
          <w:szCs w:val="32"/>
        </w:rPr>
        <w:t>Telstra</w:t>
      </w:r>
    </w:p>
    <w:p w14:paraId="691310B4" w14:textId="77777777" w:rsidR="00C26E7D" w:rsidRDefault="00C26E7D" w:rsidP="00C26E7D">
      <w:pPr>
        <w:jc w:val="center"/>
      </w:pPr>
    </w:p>
    <w:p w14:paraId="1B74BD3B" w14:textId="77777777" w:rsidR="00C26E7D" w:rsidRPr="00C26E7D" w:rsidRDefault="00C26E7D" w:rsidP="00C26E7D">
      <w:pPr>
        <w:jc w:val="center"/>
        <w:rPr>
          <w:rFonts w:ascii="Arial" w:hAnsi="Arial" w:cs="Arial"/>
          <w:b/>
          <w:color w:val="1F4E79" w:themeColor="accent1" w:themeShade="80"/>
        </w:rPr>
      </w:pPr>
      <w:r w:rsidRPr="00C26E7D">
        <w:rPr>
          <w:rFonts w:ascii="Arial" w:hAnsi="Arial" w:cs="Arial"/>
          <w:b/>
          <w:color w:val="1F4E79" w:themeColor="accent1" w:themeShade="80"/>
        </w:rPr>
        <w:t xml:space="preserve">Submission to Department of Communications and the Arts </w:t>
      </w:r>
    </w:p>
    <w:p w14:paraId="688C533A" w14:textId="77777777" w:rsidR="00C26E7D" w:rsidRPr="00C26E7D" w:rsidRDefault="00C26E7D" w:rsidP="00C26E7D">
      <w:pPr>
        <w:jc w:val="center"/>
        <w:rPr>
          <w:rFonts w:ascii="Arial" w:hAnsi="Arial" w:cs="Arial"/>
          <w:b/>
          <w:color w:val="1F4E79" w:themeColor="accent1" w:themeShade="80"/>
        </w:rPr>
      </w:pPr>
    </w:p>
    <w:p w14:paraId="6A61CD42" w14:textId="77777777" w:rsidR="00C26E7D" w:rsidRPr="00C26E7D" w:rsidRDefault="00C26E7D" w:rsidP="00C26E7D">
      <w:pPr>
        <w:jc w:val="center"/>
        <w:rPr>
          <w:rFonts w:ascii="Arial" w:hAnsi="Arial" w:cs="Arial"/>
          <w:b/>
          <w:color w:val="1F4E79" w:themeColor="accent1" w:themeShade="80"/>
          <w:sz w:val="32"/>
          <w:szCs w:val="32"/>
        </w:rPr>
      </w:pPr>
      <w:r w:rsidRPr="00C26E7D">
        <w:rPr>
          <w:rFonts w:ascii="Arial" w:hAnsi="Arial" w:cs="Arial"/>
          <w:b/>
          <w:color w:val="1F4E79" w:themeColor="accent1" w:themeShade="80"/>
          <w:sz w:val="32"/>
          <w:szCs w:val="32"/>
        </w:rPr>
        <w:t>Communications accessibility: 2016 and beyond</w:t>
      </w:r>
    </w:p>
    <w:p w14:paraId="450C3A1D" w14:textId="77777777" w:rsidR="00C26E7D" w:rsidRPr="00C26E7D" w:rsidRDefault="00C26E7D" w:rsidP="00C26E7D">
      <w:pPr>
        <w:jc w:val="center"/>
        <w:rPr>
          <w:rFonts w:ascii="Arial" w:hAnsi="Arial" w:cs="Arial"/>
          <w:b/>
          <w:color w:val="1F4E79" w:themeColor="accent1" w:themeShade="80"/>
        </w:rPr>
      </w:pPr>
      <w:r w:rsidRPr="00C26E7D">
        <w:rPr>
          <w:rFonts w:ascii="Arial" w:hAnsi="Arial" w:cs="Arial"/>
          <w:b/>
          <w:color w:val="1F4E79" w:themeColor="accent1" w:themeShade="80"/>
        </w:rPr>
        <w:t>6 May 2016</w:t>
      </w:r>
    </w:p>
    <w:p w14:paraId="011E3BE9" w14:textId="77777777" w:rsidR="00C26E7D" w:rsidRPr="00C26E7D" w:rsidRDefault="00C26E7D" w:rsidP="00C26E7D">
      <w:pPr>
        <w:rPr>
          <w:rFonts w:ascii="Arial" w:hAnsi="Arial" w:cs="Arial"/>
          <w:b/>
          <w:color w:val="1F4E79" w:themeColor="accent1" w:themeShade="80"/>
        </w:rPr>
      </w:pPr>
      <w:r w:rsidRPr="00C26E7D">
        <w:rPr>
          <w:rFonts w:ascii="Arial" w:hAnsi="Arial" w:cs="Arial"/>
          <w:b/>
          <w:color w:val="1F4E79" w:themeColor="accent1" w:themeShade="80"/>
        </w:rPr>
        <w:br w:type="page"/>
      </w:r>
    </w:p>
    <w:p w14:paraId="08A50D16" w14:textId="77777777" w:rsidR="00AC4D35" w:rsidRPr="00E97E03" w:rsidRDefault="00AC4D35" w:rsidP="00AC4D35">
      <w:pPr>
        <w:pStyle w:val="Heading1"/>
        <w:spacing w:line="240" w:lineRule="auto"/>
        <w:rPr>
          <w:color w:val="1F4E79" w:themeColor="accent1" w:themeShade="80"/>
        </w:rPr>
      </w:pPr>
      <w:r w:rsidRPr="00E97E03">
        <w:rPr>
          <w:color w:val="1F4E79" w:themeColor="accent1" w:themeShade="80"/>
        </w:rPr>
        <w:lastRenderedPageBreak/>
        <w:t>Introduction</w:t>
      </w:r>
    </w:p>
    <w:p w14:paraId="0BE40244" w14:textId="4AE4C828" w:rsidR="00AC4D35" w:rsidRDefault="00AC4D35" w:rsidP="00AC4D35">
      <w:pPr>
        <w:spacing w:before="100" w:beforeAutospacing="1" w:after="100" w:afterAutospacing="1" w:line="360" w:lineRule="auto"/>
        <w:rPr>
          <w:rFonts w:ascii="Arial" w:eastAsia="Times New Roman" w:hAnsi="Arial" w:cs="Arial"/>
          <w:lang w:eastAsia="en-AU"/>
        </w:rPr>
      </w:pPr>
      <w:r w:rsidRPr="005E3008">
        <w:rPr>
          <w:rFonts w:ascii="Arial" w:eastAsia="Times New Roman" w:hAnsi="Arial" w:cs="Arial"/>
          <w:lang w:eastAsia="en-AU"/>
        </w:rPr>
        <w:t xml:space="preserve">Telstra is committed to providing equitable communications services to people living with disabilities and to ensuring access to </w:t>
      </w:r>
      <w:r>
        <w:rPr>
          <w:rFonts w:ascii="Arial" w:eastAsia="Times New Roman" w:hAnsi="Arial" w:cs="Arial"/>
          <w:lang w:eastAsia="en-AU"/>
        </w:rPr>
        <w:t>standard telephone service</w:t>
      </w:r>
      <w:r w:rsidR="00083ABD">
        <w:rPr>
          <w:rFonts w:ascii="Arial" w:eastAsia="Times New Roman" w:hAnsi="Arial" w:cs="Arial"/>
          <w:lang w:eastAsia="en-AU"/>
        </w:rPr>
        <w:t>s</w:t>
      </w:r>
      <w:r>
        <w:rPr>
          <w:rFonts w:ascii="Arial" w:eastAsia="Times New Roman" w:hAnsi="Arial" w:cs="Arial"/>
          <w:lang w:eastAsia="en-AU"/>
        </w:rPr>
        <w:t xml:space="preserve"> (</w:t>
      </w:r>
      <w:r w:rsidRPr="005E3008">
        <w:rPr>
          <w:rFonts w:ascii="Arial" w:eastAsia="Times New Roman" w:hAnsi="Arial" w:cs="Arial"/>
          <w:lang w:eastAsia="en-AU"/>
        </w:rPr>
        <w:t>STS</w:t>
      </w:r>
      <w:r>
        <w:rPr>
          <w:rFonts w:ascii="Arial" w:eastAsia="Times New Roman" w:hAnsi="Arial" w:cs="Arial"/>
          <w:lang w:eastAsia="en-AU"/>
        </w:rPr>
        <w:t>)</w:t>
      </w:r>
      <w:r w:rsidRPr="005E3008">
        <w:rPr>
          <w:rFonts w:ascii="Arial" w:eastAsia="Times New Roman" w:hAnsi="Arial" w:cs="Arial"/>
          <w:lang w:eastAsia="en-AU"/>
        </w:rPr>
        <w:t xml:space="preserve"> under the</w:t>
      </w:r>
      <w:r>
        <w:rPr>
          <w:rFonts w:ascii="Arial" w:eastAsia="Times New Roman" w:hAnsi="Arial" w:cs="Arial"/>
          <w:lang w:eastAsia="en-AU"/>
        </w:rPr>
        <w:t xml:space="preserve"> universal service obligation</w:t>
      </w:r>
      <w:r w:rsidRPr="005E3008">
        <w:rPr>
          <w:rFonts w:ascii="Arial" w:eastAsia="Times New Roman" w:hAnsi="Arial" w:cs="Arial"/>
          <w:lang w:eastAsia="en-AU"/>
        </w:rPr>
        <w:t xml:space="preserve"> </w:t>
      </w:r>
      <w:r>
        <w:rPr>
          <w:rFonts w:ascii="Arial" w:eastAsia="Times New Roman" w:hAnsi="Arial" w:cs="Arial"/>
          <w:lang w:eastAsia="en-AU"/>
        </w:rPr>
        <w:t>(</w:t>
      </w:r>
      <w:r w:rsidRPr="005E3008">
        <w:rPr>
          <w:rFonts w:ascii="Arial" w:eastAsia="Times New Roman" w:hAnsi="Arial" w:cs="Arial"/>
          <w:lang w:eastAsia="en-AU"/>
        </w:rPr>
        <w:t>USO</w:t>
      </w:r>
      <w:r>
        <w:rPr>
          <w:rFonts w:ascii="Arial" w:eastAsia="Times New Roman" w:hAnsi="Arial" w:cs="Arial"/>
          <w:lang w:eastAsia="en-AU"/>
        </w:rPr>
        <w:t>)</w:t>
      </w:r>
      <w:r w:rsidRPr="005E3008">
        <w:rPr>
          <w:rFonts w:ascii="Arial" w:eastAsia="Times New Roman" w:hAnsi="Arial" w:cs="Arial"/>
          <w:lang w:eastAsia="en-AU"/>
        </w:rPr>
        <w:t xml:space="preserve">. </w:t>
      </w:r>
    </w:p>
    <w:p w14:paraId="3EF3B64C" w14:textId="030D72E1" w:rsidR="00AC4D35" w:rsidRPr="005E3008" w:rsidRDefault="00AC4D35" w:rsidP="00AC4D35">
      <w:pPr>
        <w:spacing w:before="100" w:beforeAutospacing="1" w:after="100" w:afterAutospacing="1" w:line="360" w:lineRule="auto"/>
        <w:rPr>
          <w:rFonts w:ascii="Arial" w:eastAsia="Times New Roman" w:hAnsi="Arial" w:cs="Arial"/>
          <w:lang w:eastAsia="en-AU"/>
        </w:rPr>
      </w:pPr>
      <w:r w:rsidRPr="005E3008">
        <w:rPr>
          <w:rFonts w:ascii="Arial" w:eastAsia="Times New Roman" w:hAnsi="Arial" w:cs="Arial"/>
          <w:lang w:eastAsia="en-AU"/>
        </w:rPr>
        <w:t xml:space="preserve">Telstra’s Disability Equipment Program </w:t>
      </w:r>
      <w:r>
        <w:rPr>
          <w:rFonts w:ascii="Arial" w:eastAsia="Times New Roman" w:hAnsi="Arial" w:cs="Arial"/>
          <w:lang w:eastAsia="en-AU"/>
        </w:rPr>
        <w:t xml:space="preserve">(DEP) </w:t>
      </w:r>
      <w:r w:rsidRPr="005E3008">
        <w:rPr>
          <w:rFonts w:ascii="Arial" w:eastAsia="Times New Roman" w:hAnsi="Arial" w:cs="Arial"/>
          <w:lang w:eastAsia="en-AU"/>
        </w:rPr>
        <w:t xml:space="preserve">interacts with the </w:t>
      </w:r>
      <w:r w:rsidRPr="00327569">
        <w:rPr>
          <w:rFonts w:ascii="Arial" w:hAnsi="Arial" w:cs="Arial"/>
        </w:rPr>
        <w:t xml:space="preserve">National Relay Service </w:t>
      </w:r>
      <w:r>
        <w:rPr>
          <w:rFonts w:ascii="Arial" w:hAnsi="Arial" w:cs="Arial"/>
        </w:rPr>
        <w:t>(</w:t>
      </w:r>
      <w:r w:rsidRPr="005E3008">
        <w:rPr>
          <w:rFonts w:ascii="Arial" w:eastAsia="Times New Roman" w:hAnsi="Arial" w:cs="Arial"/>
          <w:lang w:eastAsia="en-AU"/>
        </w:rPr>
        <w:t>NRS</w:t>
      </w:r>
      <w:r>
        <w:rPr>
          <w:rFonts w:ascii="Arial" w:eastAsia="Times New Roman" w:hAnsi="Arial" w:cs="Arial"/>
          <w:lang w:eastAsia="en-AU"/>
        </w:rPr>
        <w:t>)</w:t>
      </w:r>
      <w:r w:rsidRPr="005E3008">
        <w:rPr>
          <w:rFonts w:ascii="Arial" w:eastAsia="Times New Roman" w:hAnsi="Arial" w:cs="Arial"/>
          <w:lang w:eastAsia="en-AU"/>
        </w:rPr>
        <w:t xml:space="preserve"> and has been in place since 1987. Telstra also has a registered Disability Action Plan</w:t>
      </w:r>
      <w:r>
        <w:rPr>
          <w:rFonts w:ascii="Arial" w:eastAsia="Times New Roman" w:hAnsi="Arial" w:cs="Arial"/>
          <w:lang w:eastAsia="en-AU"/>
        </w:rPr>
        <w:t xml:space="preserve"> (our sixth DAP since 1996)</w:t>
      </w:r>
      <w:r w:rsidRPr="005E3008">
        <w:rPr>
          <w:rFonts w:ascii="Arial" w:eastAsia="Times New Roman" w:hAnsi="Arial" w:cs="Arial"/>
          <w:lang w:eastAsia="en-AU"/>
        </w:rPr>
        <w:t>, which will be replaced later this year by the company’s first Accessibility and Inclusion Action Plan.</w:t>
      </w:r>
    </w:p>
    <w:p w14:paraId="26A54905" w14:textId="1D8A3E58" w:rsidR="00AC4D35" w:rsidRPr="005E3008" w:rsidRDefault="00AC4D35" w:rsidP="00AC4D35">
      <w:pPr>
        <w:spacing w:before="100" w:beforeAutospacing="1" w:after="100" w:afterAutospacing="1" w:line="360" w:lineRule="auto"/>
        <w:rPr>
          <w:rFonts w:ascii="Arial" w:eastAsia="Times New Roman" w:hAnsi="Arial" w:cs="Arial"/>
          <w:lang w:eastAsia="en-AU"/>
        </w:rPr>
      </w:pPr>
      <w:r w:rsidRPr="005E3008">
        <w:rPr>
          <w:rFonts w:ascii="Arial" w:eastAsia="Times New Roman" w:hAnsi="Arial" w:cs="Arial"/>
          <w:lang w:eastAsia="en-AU"/>
        </w:rPr>
        <w:t xml:space="preserve">Telstra is the largest contributor </w:t>
      </w:r>
      <w:r>
        <w:rPr>
          <w:rFonts w:ascii="Arial" w:eastAsia="Times New Roman" w:hAnsi="Arial" w:cs="Arial"/>
          <w:lang w:eastAsia="en-AU"/>
        </w:rPr>
        <w:t xml:space="preserve">in dollar terms </w:t>
      </w:r>
      <w:r w:rsidRPr="005E3008">
        <w:rPr>
          <w:rFonts w:ascii="Arial" w:eastAsia="Times New Roman" w:hAnsi="Arial" w:cs="Arial"/>
          <w:lang w:eastAsia="en-AU"/>
        </w:rPr>
        <w:t>to the funding of the NRS via the Telecommunications Industry Levy.</w:t>
      </w:r>
    </w:p>
    <w:p w14:paraId="2DEEFC44" w14:textId="77777777" w:rsidR="00AC4D35" w:rsidRPr="005E3008" w:rsidRDefault="00AC4D35" w:rsidP="00AC4D35">
      <w:pPr>
        <w:spacing w:before="100" w:beforeAutospacing="1" w:after="100" w:afterAutospacing="1" w:line="360" w:lineRule="auto"/>
        <w:rPr>
          <w:rFonts w:ascii="Arial" w:eastAsia="Times New Roman" w:hAnsi="Arial" w:cs="Arial"/>
          <w:lang w:eastAsia="en-AU"/>
        </w:rPr>
      </w:pPr>
      <w:r w:rsidRPr="005E3008">
        <w:rPr>
          <w:rFonts w:ascii="Arial" w:eastAsia="Times New Roman" w:hAnsi="Arial" w:cs="Arial"/>
          <w:lang w:eastAsia="en-AU"/>
        </w:rPr>
        <w:t xml:space="preserve">Advances in information and communications technologies and the shift to digital connectivity have created </w:t>
      </w:r>
      <w:r>
        <w:rPr>
          <w:rFonts w:ascii="Arial" w:eastAsia="Times New Roman" w:hAnsi="Arial" w:cs="Arial"/>
          <w:lang w:eastAsia="en-AU"/>
        </w:rPr>
        <w:t>significant</w:t>
      </w:r>
      <w:r w:rsidRPr="005E3008">
        <w:rPr>
          <w:rFonts w:ascii="Arial" w:eastAsia="Times New Roman" w:hAnsi="Arial" w:cs="Arial"/>
          <w:lang w:eastAsia="en-AU"/>
        </w:rPr>
        <w:t xml:space="preserve"> potential to positively transform the lives of people with disability, improving not just their access to telecommunications, but greatly increasing their opportunities for social and economic participation.</w:t>
      </w:r>
    </w:p>
    <w:p w14:paraId="44508010" w14:textId="77777777" w:rsidR="00AC4D35" w:rsidRDefault="00AC4D35" w:rsidP="00AC4D35">
      <w:pPr>
        <w:spacing w:before="100" w:beforeAutospacing="1" w:after="100" w:afterAutospacing="1" w:line="360" w:lineRule="auto"/>
        <w:rPr>
          <w:rFonts w:ascii="Arial" w:eastAsia="Times New Roman" w:hAnsi="Arial" w:cs="Arial"/>
          <w:lang w:eastAsia="en-AU"/>
        </w:rPr>
      </w:pPr>
      <w:r w:rsidRPr="005E3008">
        <w:rPr>
          <w:rFonts w:ascii="Arial" w:eastAsia="Times New Roman" w:hAnsi="Arial" w:cs="Arial"/>
          <w:lang w:eastAsia="en-AU"/>
        </w:rPr>
        <w:t>Telstra supports the submission made by the Australian Mobile Telecommunications Association (AMTA) and the Communications Alliance on behalf of the telecommunications industry. What follows are additional observations specific to Telstra’s experience as the primary universal service provider and the provider of the largest disability equipment program in the Australian market.</w:t>
      </w:r>
    </w:p>
    <w:p w14:paraId="7FED1728" w14:textId="77777777" w:rsidR="00C26E7D" w:rsidRDefault="00C26E7D" w:rsidP="00C26E7D">
      <w:pPr>
        <w:pStyle w:val="Heading1"/>
        <w:rPr>
          <w:color w:val="1F4E79" w:themeColor="accent1" w:themeShade="80"/>
        </w:rPr>
      </w:pPr>
      <w:r w:rsidRPr="00C26E7D">
        <w:rPr>
          <w:color w:val="1F4E79" w:themeColor="accent1" w:themeShade="80"/>
        </w:rPr>
        <w:t>Background</w:t>
      </w:r>
    </w:p>
    <w:p w14:paraId="459E5E9B" w14:textId="77777777" w:rsidR="00327569" w:rsidRPr="00327569" w:rsidRDefault="00327569" w:rsidP="00327569"/>
    <w:p w14:paraId="67A03619" w14:textId="2A8B66AC" w:rsidR="007D000A" w:rsidRPr="007D000A" w:rsidRDefault="007D000A" w:rsidP="00327569">
      <w:pPr>
        <w:pStyle w:val="StyleNormal"/>
        <w:spacing w:line="360" w:lineRule="auto"/>
        <w:rPr>
          <w:rFonts w:ascii="Arial" w:hAnsi="Arial" w:cs="Arial"/>
          <w:szCs w:val="22"/>
        </w:rPr>
      </w:pPr>
      <w:r w:rsidRPr="007D000A">
        <w:rPr>
          <w:rFonts w:ascii="Arial" w:hAnsi="Arial" w:cs="Arial"/>
          <w:szCs w:val="22"/>
        </w:rPr>
        <w:t xml:space="preserve">As the primary universal service provider, Telstra must ensure that all people in Australia have reasonable access to </w:t>
      </w:r>
      <w:r w:rsidR="00083ABD">
        <w:rPr>
          <w:rFonts w:ascii="Arial" w:hAnsi="Arial" w:cs="Arial"/>
          <w:szCs w:val="22"/>
        </w:rPr>
        <w:t>STS</w:t>
      </w:r>
      <w:r w:rsidR="00327569">
        <w:rPr>
          <w:rFonts w:ascii="Arial" w:hAnsi="Arial" w:cs="Arial"/>
          <w:szCs w:val="22"/>
        </w:rPr>
        <w:t xml:space="preserve"> </w:t>
      </w:r>
      <w:r w:rsidRPr="007D000A">
        <w:rPr>
          <w:rFonts w:ascii="Arial" w:hAnsi="Arial" w:cs="Arial"/>
          <w:szCs w:val="22"/>
        </w:rPr>
        <w:t xml:space="preserve">and payphones.  </w:t>
      </w:r>
    </w:p>
    <w:p w14:paraId="08485C77" w14:textId="77777777" w:rsidR="007D000A" w:rsidRPr="007D000A" w:rsidRDefault="007D000A" w:rsidP="00327569">
      <w:pPr>
        <w:pStyle w:val="StyleNormal"/>
        <w:spacing w:line="360" w:lineRule="auto"/>
        <w:rPr>
          <w:rFonts w:ascii="Arial" w:hAnsi="Arial" w:cs="Arial"/>
          <w:szCs w:val="22"/>
        </w:rPr>
      </w:pPr>
    </w:p>
    <w:p w14:paraId="5B0FEC9D" w14:textId="40EE9034" w:rsidR="007D000A" w:rsidRPr="007D000A" w:rsidRDefault="007D000A" w:rsidP="00327569">
      <w:pPr>
        <w:pStyle w:val="StyleNormal"/>
        <w:spacing w:line="360" w:lineRule="auto"/>
        <w:rPr>
          <w:rFonts w:ascii="Arial" w:hAnsi="Arial" w:cs="Arial"/>
          <w:szCs w:val="22"/>
        </w:rPr>
      </w:pPr>
      <w:r w:rsidRPr="007D000A">
        <w:rPr>
          <w:rFonts w:ascii="Arial" w:hAnsi="Arial" w:cs="Arial"/>
          <w:szCs w:val="22"/>
        </w:rPr>
        <w:t xml:space="preserve">In conjunction with providing a </w:t>
      </w:r>
      <w:r w:rsidR="00083ABD">
        <w:rPr>
          <w:rFonts w:ascii="Arial" w:hAnsi="Arial" w:cs="Arial"/>
          <w:szCs w:val="22"/>
        </w:rPr>
        <w:t>STS</w:t>
      </w:r>
      <w:r w:rsidRPr="007D000A">
        <w:rPr>
          <w:rFonts w:ascii="Arial" w:hAnsi="Arial" w:cs="Arial"/>
          <w:szCs w:val="22"/>
        </w:rPr>
        <w:t xml:space="preserve">, Telstra </w:t>
      </w:r>
      <w:r>
        <w:rPr>
          <w:rFonts w:ascii="Arial" w:hAnsi="Arial" w:cs="Arial"/>
          <w:szCs w:val="22"/>
        </w:rPr>
        <w:t>supplies</w:t>
      </w:r>
      <w:r w:rsidRPr="007D000A">
        <w:rPr>
          <w:rFonts w:ascii="Arial" w:hAnsi="Arial" w:cs="Arial"/>
          <w:szCs w:val="22"/>
        </w:rPr>
        <w:t xml:space="preserve"> customer</w:t>
      </w:r>
      <w:r>
        <w:rPr>
          <w:rFonts w:ascii="Arial" w:hAnsi="Arial" w:cs="Arial"/>
          <w:szCs w:val="22"/>
        </w:rPr>
        <w:t>s</w:t>
      </w:r>
      <w:r w:rsidRPr="007D000A">
        <w:rPr>
          <w:rFonts w:ascii="Arial" w:hAnsi="Arial" w:cs="Arial"/>
          <w:szCs w:val="22"/>
        </w:rPr>
        <w:t xml:space="preserve"> with a basic telephone handset upon request. Customers </w:t>
      </w:r>
      <w:r>
        <w:rPr>
          <w:rFonts w:ascii="Arial" w:hAnsi="Arial" w:cs="Arial"/>
          <w:szCs w:val="22"/>
        </w:rPr>
        <w:t>are</w:t>
      </w:r>
      <w:r w:rsidRPr="007D000A">
        <w:rPr>
          <w:rFonts w:ascii="Arial" w:hAnsi="Arial" w:cs="Arial"/>
          <w:szCs w:val="22"/>
        </w:rPr>
        <w:t xml:space="preserve"> given the option of hiring or purchasing a basic telephone handset.  Customers with a disability </w:t>
      </w:r>
      <w:r>
        <w:rPr>
          <w:rFonts w:ascii="Arial" w:hAnsi="Arial" w:cs="Arial"/>
          <w:szCs w:val="22"/>
        </w:rPr>
        <w:t>are</w:t>
      </w:r>
      <w:r w:rsidRPr="007D000A">
        <w:rPr>
          <w:rFonts w:ascii="Arial" w:hAnsi="Arial" w:cs="Arial"/>
          <w:szCs w:val="22"/>
        </w:rPr>
        <w:t xml:space="preserve"> provided with the telephone equipment set out in Telstra's Disability Equipment Program</w:t>
      </w:r>
      <w:r w:rsidR="00327569">
        <w:rPr>
          <w:rFonts w:ascii="Arial" w:hAnsi="Arial" w:cs="Arial"/>
          <w:szCs w:val="22"/>
        </w:rPr>
        <w:t>, which was established in 1987</w:t>
      </w:r>
      <w:r w:rsidRPr="007D000A">
        <w:rPr>
          <w:rFonts w:ascii="Arial" w:hAnsi="Arial" w:cs="Arial"/>
          <w:szCs w:val="22"/>
        </w:rPr>
        <w:t xml:space="preserve">.  </w:t>
      </w:r>
    </w:p>
    <w:p w14:paraId="0CF52365" w14:textId="77777777" w:rsidR="007D000A" w:rsidRPr="007D000A" w:rsidRDefault="007D000A" w:rsidP="00327569">
      <w:pPr>
        <w:pStyle w:val="StyleNormal"/>
        <w:spacing w:line="360" w:lineRule="auto"/>
        <w:rPr>
          <w:rFonts w:ascii="Arial" w:hAnsi="Arial" w:cs="Arial"/>
          <w:szCs w:val="22"/>
        </w:rPr>
      </w:pPr>
    </w:p>
    <w:p w14:paraId="335BA3CC" w14:textId="41574A8E" w:rsidR="00327569" w:rsidRDefault="00327569" w:rsidP="00327569">
      <w:pPr>
        <w:pStyle w:val="StyleNormal"/>
        <w:spacing w:line="360" w:lineRule="auto"/>
        <w:rPr>
          <w:rFonts w:ascii="Arial" w:hAnsi="Arial" w:cs="Arial"/>
          <w:szCs w:val="22"/>
        </w:rPr>
      </w:pPr>
      <w:r w:rsidRPr="00327569">
        <w:rPr>
          <w:rFonts w:ascii="Arial" w:hAnsi="Arial" w:cs="Arial"/>
          <w:szCs w:val="22"/>
        </w:rPr>
        <w:t xml:space="preserve">The National Relay Service (NRS) provides people who are deaf, or who have a hearing and/or speech impairment, with access to a </w:t>
      </w:r>
      <w:hyperlink r:id="rId9" w:history="1">
        <w:r w:rsidRPr="00327569">
          <w:rPr>
            <w:rFonts w:ascii="Arial" w:hAnsi="Arial" w:cs="Arial"/>
            <w:szCs w:val="22"/>
          </w:rPr>
          <w:t xml:space="preserve">standard telephone service </w:t>
        </w:r>
      </w:hyperlink>
      <w:r w:rsidRPr="00327569">
        <w:rPr>
          <w:rFonts w:ascii="Arial" w:hAnsi="Arial" w:cs="Arial"/>
          <w:szCs w:val="22"/>
        </w:rPr>
        <w:t>on terms, and in circumstances, comparable to th</w:t>
      </w:r>
      <w:r w:rsidR="00887E5A">
        <w:rPr>
          <w:rFonts w:ascii="Arial" w:hAnsi="Arial" w:cs="Arial"/>
          <w:szCs w:val="22"/>
        </w:rPr>
        <w:t>e STS</w:t>
      </w:r>
      <w:r w:rsidRPr="00327569">
        <w:rPr>
          <w:rFonts w:ascii="Arial" w:hAnsi="Arial" w:cs="Arial"/>
          <w:szCs w:val="22"/>
        </w:rPr>
        <w:t xml:space="preserve">. </w:t>
      </w:r>
    </w:p>
    <w:p w14:paraId="5DA7953C" w14:textId="77777777" w:rsidR="00327569" w:rsidRDefault="00327569" w:rsidP="00327569">
      <w:pPr>
        <w:pStyle w:val="StyleNormal"/>
        <w:spacing w:line="360" w:lineRule="auto"/>
        <w:rPr>
          <w:rFonts w:ascii="Arial" w:hAnsi="Arial" w:cs="Arial"/>
          <w:szCs w:val="22"/>
        </w:rPr>
      </w:pPr>
    </w:p>
    <w:p w14:paraId="01150D9F" w14:textId="7EA1D31F" w:rsidR="00327569" w:rsidRDefault="00327569" w:rsidP="00327569">
      <w:pPr>
        <w:pStyle w:val="StyleNormal"/>
        <w:spacing w:line="360" w:lineRule="auto"/>
        <w:rPr>
          <w:rFonts w:ascii="Arial" w:hAnsi="Arial" w:cs="Arial"/>
          <w:szCs w:val="22"/>
        </w:rPr>
      </w:pPr>
      <w:r w:rsidRPr="00083ABD">
        <w:rPr>
          <w:rFonts w:ascii="Arial" w:hAnsi="Arial" w:cs="Arial"/>
          <w:szCs w:val="22"/>
        </w:rPr>
        <w:lastRenderedPageBreak/>
        <w:t xml:space="preserve">The NRS operates as a relay service in Australian English between voice and non-voice users of the STS. </w:t>
      </w:r>
      <w:r w:rsidR="00083ABD">
        <w:rPr>
          <w:rFonts w:ascii="Arial" w:hAnsi="Arial" w:cs="Arial"/>
          <w:szCs w:val="22"/>
        </w:rPr>
        <w:t>Telstra facilitates a</w:t>
      </w:r>
      <w:r w:rsidRPr="00083ABD">
        <w:rPr>
          <w:rFonts w:ascii="Arial" w:hAnsi="Arial" w:cs="Arial"/>
          <w:szCs w:val="22"/>
        </w:rPr>
        <w:t>ccess to the STS through the relay of voice, via telephone typewriter (TTY) equipment or a modem attached to a standard fixed line service. The NRS also provides Internet (IP) Relay</w:t>
      </w:r>
      <w:r w:rsidR="00083ABD" w:rsidRPr="00083ABD">
        <w:rPr>
          <w:rFonts w:ascii="Arial" w:hAnsi="Arial" w:cs="Arial"/>
          <w:szCs w:val="22"/>
        </w:rPr>
        <w:t xml:space="preserve">, SMS Relay, Video Relay, Captioned Relay </w:t>
      </w:r>
      <w:r w:rsidR="00F91F16">
        <w:rPr>
          <w:rFonts w:ascii="Arial" w:hAnsi="Arial" w:cs="Arial"/>
          <w:szCs w:val="22"/>
        </w:rPr>
        <w:t>and</w:t>
      </w:r>
      <w:r w:rsidR="00083ABD" w:rsidRPr="00083ABD">
        <w:rPr>
          <w:rFonts w:ascii="Arial" w:hAnsi="Arial" w:cs="Arial"/>
          <w:szCs w:val="22"/>
        </w:rPr>
        <w:t xml:space="preserve"> TTY Relay</w:t>
      </w:r>
      <w:r w:rsidR="00083ABD">
        <w:rPr>
          <w:rFonts w:ascii="Arial" w:hAnsi="Arial" w:cs="Arial"/>
          <w:szCs w:val="22"/>
        </w:rPr>
        <w:t xml:space="preserve"> Services</w:t>
      </w:r>
      <w:r w:rsidR="00083ABD" w:rsidRPr="00083ABD">
        <w:rPr>
          <w:rFonts w:ascii="Arial" w:hAnsi="Arial" w:cs="Arial"/>
          <w:szCs w:val="22"/>
        </w:rPr>
        <w:t xml:space="preserve">.  </w:t>
      </w:r>
      <w:r w:rsidR="00F91F16">
        <w:rPr>
          <w:rFonts w:ascii="Arial" w:hAnsi="Arial" w:cs="Arial"/>
          <w:szCs w:val="22"/>
        </w:rPr>
        <w:t>The NRS also has a mobile phone application through which these services can be accessed.</w:t>
      </w:r>
    </w:p>
    <w:p w14:paraId="1FB832AE" w14:textId="77777777" w:rsidR="00327569" w:rsidRPr="00327569" w:rsidRDefault="00327569" w:rsidP="00327569">
      <w:pPr>
        <w:pStyle w:val="StyleNormal"/>
        <w:spacing w:line="360" w:lineRule="auto"/>
        <w:rPr>
          <w:rFonts w:ascii="Arial" w:hAnsi="Arial" w:cs="Arial"/>
          <w:szCs w:val="22"/>
        </w:rPr>
      </w:pPr>
    </w:p>
    <w:p w14:paraId="787CED3D" w14:textId="5F51A034" w:rsidR="00327569" w:rsidRPr="00327569" w:rsidRDefault="00887E5A" w:rsidP="00327569">
      <w:pPr>
        <w:pStyle w:val="StyleNormal"/>
        <w:spacing w:line="360" w:lineRule="auto"/>
        <w:rPr>
          <w:rFonts w:ascii="Arial" w:hAnsi="Arial" w:cs="Arial"/>
          <w:szCs w:val="22"/>
        </w:rPr>
      </w:pPr>
      <w:bookmarkStart w:id="0" w:name="Provider"/>
      <w:bookmarkEnd w:id="0"/>
      <w:r w:rsidRPr="00327569">
        <w:rPr>
          <w:rFonts w:ascii="Arial" w:hAnsi="Arial" w:cs="Arial"/>
          <w:lang w:eastAsia="en-AU"/>
        </w:rPr>
        <w:t xml:space="preserve">As the </w:t>
      </w:r>
      <w:r>
        <w:rPr>
          <w:rFonts w:ascii="Arial" w:hAnsi="Arial" w:cs="Arial"/>
          <w:lang w:eastAsia="en-AU"/>
        </w:rPr>
        <w:t xml:space="preserve">primary </w:t>
      </w:r>
      <w:r w:rsidRPr="00327569">
        <w:rPr>
          <w:rFonts w:ascii="Arial" w:hAnsi="Arial" w:cs="Arial"/>
          <w:lang w:eastAsia="en-AU"/>
        </w:rPr>
        <w:t xml:space="preserve">universal service provider, Telstra supplies </w:t>
      </w:r>
      <w:r>
        <w:rPr>
          <w:rFonts w:ascii="Arial" w:hAnsi="Arial" w:cs="Arial"/>
          <w:lang w:eastAsia="en-AU"/>
        </w:rPr>
        <w:t xml:space="preserve">the following </w:t>
      </w:r>
      <w:r w:rsidRPr="00327569">
        <w:rPr>
          <w:rFonts w:ascii="Arial" w:hAnsi="Arial" w:cs="Arial"/>
          <w:lang w:eastAsia="en-AU"/>
        </w:rPr>
        <w:t>equipment</w:t>
      </w:r>
      <w:r>
        <w:rPr>
          <w:rFonts w:ascii="Arial" w:hAnsi="Arial" w:cs="Arial"/>
          <w:lang w:eastAsia="en-AU"/>
        </w:rPr>
        <w:t>,</w:t>
      </w:r>
      <w:r w:rsidRPr="00327569">
        <w:rPr>
          <w:rFonts w:ascii="Arial" w:hAnsi="Arial" w:cs="Arial"/>
          <w:lang w:eastAsia="en-AU"/>
        </w:rPr>
        <w:t xml:space="preserve"> </w:t>
      </w:r>
      <w:r>
        <w:rPr>
          <w:rFonts w:ascii="Arial" w:hAnsi="Arial" w:cs="Arial"/>
          <w:lang w:eastAsia="en-AU"/>
        </w:rPr>
        <w:t xml:space="preserve">specified in the </w:t>
      </w:r>
      <w:r w:rsidR="00327569" w:rsidRPr="00327569">
        <w:rPr>
          <w:rFonts w:ascii="Arial" w:hAnsi="Arial" w:cs="Arial"/>
          <w:szCs w:val="22"/>
        </w:rPr>
        <w:t>Telecommunications (Equipment for the Disabled) Regulations 1998 (the Regulations)</w:t>
      </w:r>
      <w:r>
        <w:rPr>
          <w:rFonts w:ascii="Arial" w:hAnsi="Arial" w:cs="Arial"/>
          <w:szCs w:val="22"/>
        </w:rPr>
        <w:t>,</w:t>
      </w:r>
      <w:r w:rsidR="00327569" w:rsidRPr="00327569">
        <w:rPr>
          <w:rFonts w:ascii="Arial" w:hAnsi="Arial" w:cs="Arial"/>
          <w:szCs w:val="22"/>
        </w:rPr>
        <w:t xml:space="preserve"> </w:t>
      </w:r>
      <w:r w:rsidR="007C49F5">
        <w:rPr>
          <w:rFonts w:ascii="Arial" w:hAnsi="Arial" w:cs="Arial"/>
          <w:szCs w:val="22"/>
        </w:rPr>
        <w:t>which</w:t>
      </w:r>
      <w:r w:rsidR="007C49F5" w:rsidRPr="00327569">
        <w:rPr>
          <w:rFonts w:ascii="Arial" w:hAnsi="Arial" w:cs="Arial"/>
          <w:szCs w:val="22"/>
        </w:rPr>
        <w:t xml:space="preserve"> </w:t>
      </w:r>
      <w:r w:rsidR="00327569" w:rsidRPr="00327569">
        <w:rPr>
          <w:rFonts w:ascii="Arial" w:hAnsi="Arial" w:cs="Arial"/>
          <w:szCs w:val="22"/>
        </w:rPr>
        <w:t>allows a person with a disability to access the NRS: </w:t>
      </w:r>
    </w:p>
    <w:p w14:paraId="6BA6330F" w14:textId="1D683464" w:rsidR="00327569" w:rsidRPr="00327569" w:rsidRDefault="007C49F5" w:rsidP="00327569">
      <w:pPr>
        <w:numPr>
          <w:ilvl w:val="0"/>
          <w:numId w:val="5"/>
        </w:num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Equipment that facilitates </w:t>
      </w:r>
      <w:r w:rsidR="00327569" w:rsidRPr="00327569">
        <w:rPr>
          <w:rFonts w:ascii="Arial" w:eastAsia="Times New Roman" w:hAnsi="Arial" w:cs="Arial"/>
          <w:lang w:eastAsia="en-AU"/>
        </w:rPr>
        <w:t xml:space="preserve">text to text communication through the telephone network, for example, a telephone typewriter (TTY);  </w:t>
      </w:r>
    </w:p>
    <w:p w14:paraId="6201AC46" w14:textId="60E4DD75" w:rsidR="00327569" w:rsidRPr="00327569" w:rsidRDefault="007C49F5" w:rsidP="00327569">
      <w:pPr>
        <w:numPr>
          <w:ilvl w:val="0"/>
          <w:numId w:val="5"/>
        </w:num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Equipment that facilitates </w:t>
      </w:r>
      <w:r w:rsidR="00327569" w:rsidRPr="00327569">
        <w:rPr>
          <w:rFonts w:ascii="Arial" w:eastAsia="Times New Roman" w:hAnsi="Arial" w:cs="Arial"/>
          <w:lang w:eastAsia="en-AU"/>
        </w:rPr>
        <w:t xml:space="preserve">data transmission over the telecommunications network, for example, a modem; and  </w:t>
      </w:r>
    </w:p>
    <w:p w14:paraId="753AF3EF" w14:textId="4710A8A5" w:rsidR="00327569" w:rsidRPr="00327569" w:rsidRDefault="007C49F5" w:rsidP="00327569">
      <w:pPr>
        <w:numPr>
          <w:ilvl w:val="0"/>
          <w:numId w:val="5"/>
        </w:num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Equipment that facilitates </w:t>
      </w:r>
      <w:r w:rsidR="00327569" w:rsidRPr="00327569">
        <w:rPr>
          <w:rFonts w:ascii="Arial" w:eastAsia="Times New Roman" w:hAnsi="Arial" w:cs="Arial"/>
          <w:lang w:eastAsia="en-AU"/>
        </w:rPr>
        <w:t xml:space="preserve">data transmission over the telecommunications network and its transfer into Braille, for example, a telebraille.  </w:t>
      </w:r>
    </w:p>
    <w:p w14:paraId="3C95ACB9" w14:textId="7D720B7C" w:rsidR="0033063D" w:rsidRPr="0084349E" w:rsidRDefault="007337B0" w:rsidP="0084349E">
      <w:pPr>
        <w:pStyle w:val="Heading1"/>
        <w:spacing w:line="240" w:lineRule="auto"/>
        <w:rPr>
          <w:color w:val="1F4E79" w:themeColor="accent1" w:themeShade="80"/>
        </w:rPr>
      </w:pPr>
      <w:r w:rsidRPr="00E97E03">
        <w:rPr>
          <w:color w:val="1F4E79" w:themeColor="accent1" w:themeShade="80"/>
        </w:rPr>
        <w:t>Executive Summary</w:t>
      </w:r>
    </w:p>
    <w:p w14:paraId="550FFDE3" w14:textId="25F1E640" w:rsidR="007337B0" w:rsidRDefault="007337B0" w:rsidP="0084349E">
      <w:pPr>
        <w:spacing w:before="100" w:beforeAutospacing="1" w:after="100" w:afterAutospacing="1" w:line="240" w:lineRule="auto"/>
        <w:rPr>
          <w:rFonts w:ascii="Arial" w:eastAsia="Times New Roman" w:hAnsi="Arial" w:cs="Arial"/>
          <w:lang w:eastAsia="en-AU"/>
        </w:rPr>
      </w:pPr>
      <w:r>
        <w:rPr>
          <w:rFonts w:ascii="Arial" w:eastAsia="Times New Roman" w:hAnsi="Arial" w:cs="Arial"/>
          <w:lang w:eastAsia="en-AU"/>
        </w:rPr>
        <w:t>Telstra makes the following observations:</w:t>
      </w:r>
    </w:p>
    <w:p w14:paraId="0464592E" w14:textId="77777777" w:rsidR="000008AE" w:rsidRPr="0042487D" w:rsidRDefault="000008AE" w:rsidP="000008AE">
      <w:pPr>
        <w:pStyle w:val="ListParagraph"/>
        <w:numPr>
          <w:ilvl w:val="0"/>
          <w:numId w:val="8"/>
        </w:numPr>
        <w:spacing w:line="360" w:lineRule="auto"/>
        <w:rPr>
          <w:rFonts w:ascii="Arial" w:eastAsia="Times New Roman" w:hAnsi="Arial" w:cs="Arial"/>
          <w:lang w:eastAsia="en-AU"/>
        </w:rPr>
      </w:pPr>
      <w:r>
        <w:rPr>
          <w:rFonts w:ascii="Arial" w:eastAsia="Times New Roman" w:hAnsi="Arial" w:cs="Arial"/>
          <w:lang w:eastAsia="en-AU"/>
        </w:rPr>
        <w:t xml:space="preserve">The </w:t>
      </w:r>
      <w:r w:rsidRPr="007337B0">
        <w:rPr>
          <w:rFonts w:ascii="Arial" w:eastAsia="Times New Roman" w:hAnsi="Arial" w:cs="Arial"/>
          <w:lang w:eastAsia="en-AU"/>
        </w:rPr>
        <w:t xml:space="preserve">NRS </w:t>
      </w:r>
      <w:r>
        <w:rPr>
          <w:rFonts w:ascii="Arial" w:eastAsia="Times New Roman" w:hAnsi="Arial" w:cs="Arial"/>
          <w:lang w:eastAsia="en-AU"/>
        </w:rPr>
        <w:t xml:space="preserve">must be retained </w:t>
      </w:r>
      <w:r w:rsidRPr="007337B0">
        <w:rPr>
          <w:rFonts w:ascii="Arial" w:eastAsia="Times New Roman" w:hAnsi="Arial" w:cs="Arial"/>
          <w:lang w:eastAsia="en-AU"/>
        </w:rPr>
        <w:t>as safety-net</w:t>
      </w:r>
      <w:r>
        <w:rPr>
          <w:rFonts w:ascii="Arial" w:eastAsia="Times New Roman" w:hAnsi="Arial" w:cs="Arial"/>
          <w:lang w:eastAsia="en-AU"/>
        </w:rPr>
        <w:t>;</w:t>
      </w:r>
    </w:p>
    <w:p w14:paraId="618BCEA5" w14:textId="2C400A4A" w:rsidR="007337B0" w:rsidRDefault="007337B0" w:rsidP="0033063D">
      <w:pPr>
        <w:pStyle w:val="ListParagraph"/>
        <w:numPr>
          <w:ilvl w:val="0"/>
          <w:numId w:val="8"/>
        </w:numPr>
        <w:spacing w:line="360" w:lineRule="auto"/>
        <w:rPr>
          <w:rFonts w:ascii="Arial" w:eastAsia="Times New Roman" w:hAnsi="Arial" w:cs="Arial"/>
          <w:lang w:eastAsia="en-AU"/>
        </w:rPr>
      </w:pPr>
      <w:r>
        <w:rPr>
          <w:rFonts w:ascii="Arial" w:eastAsia="Times New Roman" w:hAnsi="Arial" w:cs="Arial"/>
          <w:lang w:eastAsia="en-AU"/>
        </w:rPr>
        <w:t xml:space="preserve">There is a decreasing reliance on Telstra’s DEP as customers </w:t>
      </w:r>
      <w:r w:rsidR="000008AE">
        <w:rPr>
          <w:rFonts w:ascii="Arial" w:eastAsia="Times New Roman" w:hAnsi="Arial" w:cs="Arial"/>
          <w:lang w:eastAsia="en-AU"/>
        </w:rPr>
        <w:t xml:space="preserve">increasingly choose to </w:t>
      </w:r>
      <w:r>
        <w:rPr>
          <w:rFonts w:ascii="Arial" w:eastAsia="Times New Roman" w:hAnsi="Arial" w:cs="Arial"/>
          <w:lang w:eastAsia="en-AU"/>
        </w:rPr>
        <w:t>shift away from fixed-line telephone services to mobile and internet-based communications</w:t>
      </w:r>
      <w:r w:rsidR="000D6E1A">
        <w:rPr>
          <w:rStyle w:val="FootnoteReference"/>
          <w:rFonts w:ascii="Arial" w:eastAsia="Times New Roman" w:hAnsi="Arial" w:cs="Arial"/>
          <w:lang w:eastAsia="en-AU"/>
        </w:rPr>
        <w:footnoteReference w:id="1"/>
      </w:r>
      <w:r>
        <w:rPr>
          <w:rFonts w:ascii="Arial" w:eastAsia="Times New Roman" w:hAnsi="Arial" w:cs="Arial"/>
          <w:lang w:eastAsia="en-AU"/>
        </w:rPr>
        <w:t>;</w:t>
      </w:r>
    </w:p>
    <w:p w14:paraId="4B838055" w14:textId="5ED9F61E" w:rsidR="0042487D" w:rsidRDefault="0084349E" w:rsidP="0033063D">
      <w:pPr>
        <w:pStyle w:val="ListParagraph"/>
        <w:numPr>
          <w:ilvl w:val="0"/>
          <w:numId w:val="6"/>
        </w:numPr>
        <w:spacing w:line="360" w:lineRule="auto"/>
        <w:rPr>
          <w:rFonts w:ascii="Arial" w:eastAsia="Times New Roman" w:hAnsi="Arial" w:cs="Arial"/>
          <w:lang w:eastAsia="en-AU"/>
        </w:rPr>
      </w:pPr>
      <w:r>
        <w:rPr>
          <w:rFonts w:ascii="Arial" w:eastAsia="Times New Roman" w:hAnsi="Arial" w:cs="Arial"/>
          <w:lang w:eastAsia="en-AU"/>
        </w:rPr>
        <w:t>Analysis</w:t>
      </w:r>
      <w:r w:rsidR="007337B0" w:rsidRPr="0042487D">
        <w:rPr>
          <w:rFonts w:ascii="Arial" w:eastAsia="Times New Roman" w:hAnsi="Arial" w:cs="Arial"/>
          <w:lang w:eastAsia="en-AU"/>
        </w:rPr>
        <w:t xml:space="preserve"> </w:t>
      </w:r>
      <w:r w:rsidR="0042487D" w:rsidRPr="0042487D">
        <w:rPr>
          <w:rFonts w:ascii="Arial" w:eastAsia="Times New Roman" w:hAnsi="Arial" w:cs="Arial"/>
          <w:lang w:eastAsia="en-AU"/>
        </w:rPr>
        <w:t xml:space="preserve">as to </w:t>
      </w:r>
      <w:r w:rsidR="00706F93">
        <w:rPr>
          <w:rFonts w:ascii="Arial" w:eastAsia="Times New Roman" w:hAnsi="Arial" w:cs="Arial"/>
          <w:lang w:eastAsia="en-AU"/>
        </w:rPr>
        <w:t>where the greatest pressure on NRS services is occurring</w:t>
      </w:r>
      <w:r w:rsidR="0042487D" w:rsidRPr="0042487D">
        <w:rPr>
          <w:rFonts w:ascii="Arial" w:eastAsia="Times New Roman" w:hAnsi="Arial" w:cs="Arial"/>
          <w:lang w:eastAsia="en-AU"/>
        </w:rPr>
        <w:t xml:space="preserve"> should be undertaken by the </w:t>
      </w:r>
      <w:r>
        <w:rPr>
          <w:rFonts w:ascii="Arial" w:eastAsia="Times New Roman" w:hAnsi="Arial" w:cs="Arial"/>
          <w:lang w:eastAsia="en-AU"/>
        </w:rPr>
        <w:t xml:space="preserve">NRS and the </w:t>
      </w:r>
      <w:r w:rsidR="0042487D" w:rsidRPr="0042487D">
        <w:rPr>
          <w:rFonts w:ascii="Arial" w:eastAsia="Times New Roman" w:hAnsi="Arial" w:cs="Arial"/>
          <w:lang w:eastAsia="en-AU"/>
        </w:rPr>
        <w:t>Department</w:t>
      </w:r>
      <w:r w:rsidR="0033063D">
        <w:rPr>
          <w:rFonts w:ascii="Arial" w:eastAsia="Times New Roman" w:hAnsi="Arial" w:cs="Arial"/>
          <w:lang w:eastAsia="en-AU"/>
        </w:rPr>
        <w:t>;</w:t>
      </w:r>
    </w:p>
    <w:p w14:paraId="0EDF2868" w14:textId="4CBFBFEE" w:rsidR="00706F93" w:rsidRPr="007337B0" w:rsidRDefault="00706F93" w:rsidP="00706F93">
      <w:pPr>
        <w:pStyle w:val="ListParagraph"/>
        <w:numPr>
          <w:ilvl w:val="0"/>
          <w:numId w:val="6"/>
        </w:numPr>
        <w:spacing w:line="360" w:lineRule="auto"/>
        <w:rPr>
          <w:rFonts w:ascii="Arial" w:eastAsia="Times New Roman" w:hAnsi="Arial" w:cs="Arial"/>
          <w:lang w:eastAsia="en-AU"/>
        </w:rPr>
      </w:pPr>
      <w:r>
        <w:rPr>
          <w:rFonts w:ascii="Arial" w:eastAsia="Times New Roman" w:hAnsi="Arial" w:cs="Arial"/>
          <w:lang w:eastAsia="en-AU"/>
        </w:rPr>
        <w:t xml:space="preserve">A coordinated approach is needed to support customers who </w:t>
      </w:r>
      <w:r w:rsidR="00F91F16">
        <w:rPr>
          <w:rFonts w:ascii="Arial" w:eastAsia="Times New Roman" w:hAnsi="Arial" w:cs="Arial"/>
          <w:lang w:eastAsia="en-AU"/>
        </w:rPr>
        <w:t xml:space="preserve">still </w:t>
      </w:r>
      <w:r>
        <w:rPr>
          <w:rFonts w:ascii="Arial" w:eastAsia="Times New Roman" w:hAnsi="Arial" w:cs="Arial"/>
          <w:lang w:eastAsia="en-AU"/>
        </w:rPr>
        <w:t>rely on TTY and other fixed-line services via the NRS to move to new communications technologies;</w:t>
      </w:r>
    </w:p>
    <w:p w14:paraId="4E4A5D0C" w14:textId="77777777" w:rsidR="00B76586" w:rsidRDefault="00B76586" w:rsidP="00B76586">
      <w:pPr>
        <w:pStyle w:val="ListParagraph"/>
        <w:numPr>
          <w:ilvl w:val="0"/>
          <w:numId w:val="6"/>
        </w:numPr>
        <w:spacing w:line="360" w:lineRule="auto"/>
        <w:rPr>
          <w:rFonts w:ascii="Arial" w:eastAsia="Times New Roman" w:hAnsi="Arial" w:cs="Arial"/>
          <w:lang w:eastAsia="en-AU"/>
        </w:rPr>
      </w:pPr>
      <w:r w:rsidRPr="0042487D">
        <w:rPr>
          <w:rFonts w:ascii="Arial" w:eastAsia="Times New Roman" w:hAnsi="Arial" w:cs="Arial"/>
          <w:lang w:eastAsia="en-AU"/>
        </w:rPr>
        <w:t>Telstra support</w:t>
      </w:r>
      <w:r>
        <w:rPr>
          <w:rFonts w:ascii="Arial" w:eastAsia="Times New Roman" w:hAnsi="Arial" w:cs="Arial"/>
          <w:lang w:eastAsia="en-AU"/>
        </w:rPr>
        <w:t>s</w:t>
      </w:r>
      <w:r w:rsidRPr="0042487D">
        <w:rPr>
          <w:rFonts w:ascii="Arial" w:eastAsia="Times New Roman" w:hAnsi="Arial" w:cs="Arial"/>
          <w:lang w:eastAsia="en-AU"/>
        </w:rPr>
        <w:t xml:space="preserve"> the introduction of a pricing signal to large recipients</w:t>
      </w:r>
      <w:r w:rsidR="00603AE5">
        <w:rPr>
          <w:rFonts w:ascii="Arial" w:eastAsia="Times New Roman" w:hAnsi="Arial" w:cs="Arial"/>
          <w:lang w:eastAsia="en-AU"/>
        </w:rPr>
        <w:t xml:space="preserve"> (i.e. B-party)</w:t>
      </w:r>
      <w:r w:rsidRPr="0042487D">
        <w:rPr>
          <w:rFonts w:ascii="Arial" w:eastAsia="Times New Roman" w:hAnsi="Arial" w:cs="Arial"/>
          <w:lang w:eastAsia="en-AU"/>
        </w:rPr>
        <w:t xml:space="preserve"> of NRS internet-relay calls</w:t>
      </w:r>
      <w:r w:rsidR="00706F93">
        <w:rPr>
          <w:rFonts w:ascii="Arial" w:eastAsia="Times New Roman" w:hAnsi="Arial" w:cs="Arial"/>
          <w:lang w:eastAsia="en-AU"/>
        </w:rPr>
        <w:t xml:space="preserve"> </w:t>
      </w:r>
      <w:r w:rsidRPr="0042487D">
        <w:rPr>
          <w:rFonts w:ascii="Arial" w:eastAsia="Times New Roman" w:hAnsi="Arial" w:cs="Arial"/>
          <w:lang w:eastAsia="en-AU"/>
        </w:rPr>
        <w:t>to encourage provision of direct mobile and online communications options</w:t>
      </w:r>
      <w:r w:rsidR="00706F93">
        <w:rPr>
          <w:rFonts w:ascii="Arial" w:eastAsia="Times New Roman" w:hAnsi="Arial" w:cs="Arial"/>
          <w:lang w:eastAsia="en-AU"/>
        </w:rPr>
        <w:t>;</w:t>
      </w:r>
    </w:p>
    <w:p w14:paraId="15E06E01" w14:textId="4704AAC9" w:rsidR="007337B0" w:rsidRPr="007337B0" w:rsidRDefault="00603AE5" w:rsidP="00EC1360">
      <w:pPr>
        <w:pStyle w:val="ListParagraph"/>
        <w:numPr>
          <w:ilvl w:val="0"/>
          <w:numId w:val="6"/>
        </w:numPr>
        <w:spacing w:line="360" w:lineRule="auto"/>
      </w:pPr>
      <w:r>
        <w:rPr>
          <w:rFonts w:ascii="Arial" w:eastAsia="Times New Roman" w:hAnsi="Arial" w:cs="Arial"/>
          <w:lang w:eastAsia="en-AU"/>
        </w:rPr>
        <w:t>The supply o</w:t>
      </w:r>
      <w:r w:rsidR="00973642">
        <w:rPr>
          <w:rFonts w:ascii="Arial" w:eastAsia="Times New Roman" w:hAnsi="Arial" w:cs="Arial"/>
          <w:lang w:eastAsia="en-AU"/>
        </w:rPr>
        <w:t>f services to Australians with disabilities</w:t>
      </w:r>
      <w:r>
        <w:rPr>
          <w:rFonts w:ascii="Arial" w:eastAsia="Times New Roman" w:hAnsi="Arial" w:cs="Arial"/>
          <w:lang w:eastAsia="en-AU"/>
        </w:rPr>
        <w:t xml:space="preserve"> </w:t>
      </w:r>
      <w:r w:rsidR="00973642">
        <w:rPr>
          <w:rFonts w:ascii="Arial" w:eastAsia="Times New Roman" w:hAnsi="Arial" w:cs="Arial"/>
          <w:lang w:eastAsia="en-AU"/>
        </w:rPr>
        <w:t>is</w:t>
      </w:r>
      <w:r>
        <w:rPr>
          <w:rFonts w:ascii="Arial" w:eastAsia="Times New Roman" w:hAnsi="Arial" w:cs="Arial"/>
          <w:lang w:eastAsia="en-AU"/>
        </w:rPr>
        <w:t xml:space="preserve"> likely to be reviewed within the context of the PC’s </w:t>
      </w:r>
      <w:r w:rsidR="0033063D" w:rsidRPr="00706F93">
        <w:rPr>
          <w:rFonts w:ascii="Arial" w:eastAsia="Times New Roman" w:hAnsi="Arial" w:cs="Arial"/>
          <w:lang w:eastAsia="en-AU"/>
        </w:rPr>
        <w:t xml:space="preserve">Universal Service Obligation (USO) </w:t>
      </w:r>
      <w:r>
        <w:rPr>
          <w:rFonts w:ascii="Arial" w:eastAsia="Times New Roman" w:hAnsi="Arial" w:cs="Arial"/>
          <w:lang w:eastAsia="en-AU"/>
        </w:rPr>
        <w:t>review</w:t>
      </w:r>
      <w:r w:rsidR="0042487D" w:rsidRPr="00706F93">
        <w:rPr>
          <w:rFonts w:ascii="Arial" w:eastAsia="Times New Roman" w:hAnsi="Arial" w:cs="Arial"/>
          <w:lang w:eastAsia="en-AU"/>
        </w:rPr>
        <w:t xml:space="preserve">. </w:t>
      </w:r>
    </w:p>
    <w:p w14:paraId="5DE8CB44" w14:textId="77777777" w:rsidR="005D4E0F" w:rsidRPr="00E97E03" w:rsidRDefault="007337B0" w:rsidP="0084349E">
      <w:pPr>
        <w:pStyle w:val="Heading1"/>
        <w:spacing w:line="240" w:lineRule="auto"/>
        <w:rPr>
          <w:color w:val="1F4E79" w:themeColor="accent1" w:themeShade="80"/>
        </w:rPr>
      </w:pPr>
      <w:r w:rsidRPr="00E97E03">
        <w:rPr>
          <w:color w:val="1F4E79" w:themeColor="accent1" w:themeShade="80"/>
        </w:rPr>
        <w:lastRenderedPageBreak/>
        <w:t>Declining reliance on Telstra’s DEP</w:t>
      </w:r>
      <w:r w:rsidR="00B76586" w:rsidRPr="00E97E03">
        <w:rPr>
          <w:color w:val="1F4E79" w:themeColor="accent1" w:themeShade="80"/>
        </w:rPr>
        <w:t xml:space="preserve"> and migration of stalwart fixed-line / TTY customers </w:t>
      </w:r>
    </w:p>
    <w:p w14:paraId="46CAE4AB" w14:textId="79E40E40" w:rsidR="007337B0" w:rsidRDefault="005D2EC2" w:rsidP="0084349E">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Telstra recognises that the traditional consumer segment for NRS services is </w:t>
      </w:r>
      <w:r w:rsidR="000008AE">
        <w:rPr>
          <w:rFonts w:ascii="Arial" w:eastAsia="Times New Roman" w:hAnsi="Arial" w:cs="Arial"/>
          <w:lang w:eastAsia="en-AU"/>
        </w:rPr>
        <w:t>increasingly choosing to</w:t>
      </w:r>
      <w:r>
        <w:rPr>
          <w:rFonts w:ascii="Arial" w:eastAsia="Times New Roman" w:hAnsi="Arial" w:cs="Arial"/>
          <w:lang w:eastAsia="en-AU"/>
        </w:rPr>
        <w:t xml:space="preserve"> use mainstream digital communications technologies to meet accessibility needs. </w:t>
      </w:r>
    </w:p>
    <w:p w14:paraId="70B33C59" w14:textId="048113E5" w:rsidR="005D2EC2" w:rsidRDefault="005D2EC2" w:rsidP="005D2EC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A decreased reliance on access to the standard fixed-line telephone service via special access equipment is </w:t>
      </w:r>
      <w:r w:rsidR="003635CF">
        <w:rPr>
          <w:rFonts w:ascii="Arial" w:eastAsia="Times New Roman" w:hAnsi="Arial" w:cs="Arial"/>
          <w:lang w:eastAsia="en-AU"/>
        </w:rPr>
        <w:t>evident</w:t>
      </w:r>
      <w:r w:rsidR="0035295A">
        <w:rPr>
          <w:rFonts w:ascii="Arial" w:eastAsia="Times New Roman" w:hAnsi="Arial" w:cs="Arial"/>
          <w:lang w:eastAsia="en-AU"/>
        </w:rPr>
        <w:t xml:space="preserve">. This </w:t>
      </w:r>
      <w:r>
        <w:rPr>
          <w:rFonts w:ascii="Arial" w:eastAsia="Times New Roman" w:hAnsi="Arial" w:cs="Arial"/>
          <w:lang w:eastAsia="en-AU"/>
        </w:rPr>
        <w:t>is the result of a general shift away from fixed-line telephone use towards mobile and internet communication in the general community, combined with increased accessibility of those mobile and internet-based devices through the application of universal design principles.</w:t>
      </w:r>
    </w:p>
    <w:p w14:paraId="271F266F" w14:textId="22D1B541" w:rsidR="007337B0" w:rsidRDefault="005D2EC2" w:rsidP="005D2EC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This shift is seeing a significant decline in the reliance of Telstra customers on the D</w:t>
      </w:r>
      <w:r w:rsidR="0035295A">
        <w:rPr>
          <w:rFonts w:ascii="Arial" w:eastAsia="Times New Roman" w:hAnsi="Arial" w:cs="Arial"/>
          <w:lang w:eastAsia="en-AU"/>
        </w:rPr>
        <w:t>EP</w:t>
      </w:r>
      <w:r>
        <w:rPr>
          <w:rFonts w:ascii="Arial" w:eastAsia="Times New Roman" w:hAnsi="Arial" w:cs="Arial"/>
          <w:lang w:eastAsia="en-AU"/>
        </w:rPr>
        <w:t xml:space="preserve">, with a particular drop in new users, and a concurrent decline in the traditional services that rely on the NRS, such as the TTY. </w:t>
      </w:r>
    </w:p>
    <w:p w14:paraId="71122CCA" w14:textId="5B241249" w:rsidR="007337B0" w:rsidRDefault="007337B0" w:rsidP="005D2EC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Telstra’s DEP has </w:t>
      </w:r>
      <w:r w:rsidR="00BE07BC">
        <w:rPr>
          <w:rFonts w:ascii="Arial" w:eastAsia="Times New Roman" w:hAnsi="Arial" w:cs="Arial"/>
          <w:lang w:eastAsia="en-AU"/>
        </w:rPr>
        <w:t xml:space="preserve">provided </w:t>
      </w:r>
      <w:r>
        <w:rPr>
          <w:rFonts w:ascii="Arial" w:eastAsia="Times New Roman" w:hAnsi="Arial" w:cs="Arial"/>
          <w:lang w:eastAsia="en-AU"/>
        </w:rPr>
        <w:t>less than 2,500 TTYs in</w:t>
      </w:r>
      <w:r w:rsidR="00BE07BC">
        <w:rPr>
          <w:rFonts w:ascii="Arial" w:eastAsia="Times New Roman" w:hAnsi="Arial" w:cs="Arial"/>
          <w:lang w:eastAsia="en-AU"/>
        </w:rPr>
        <w:t>to</w:t>
      </w:r>
      <w:r>
        <w:rPr>
          <w:rFonts w:ascii="Arial" w:eastAsia="Times New Roman" w:hAnsi="Arial" w:cs="Arial"/>
          <w:lang w:eastAsia="en-AU"/>
        </w:rPr>
        <w:t xml:space="preserve"> the Australian market</w:t>
      </w:r>
      <w:r w:rsidR="00BE07BC">
        <w:rPr>
          <w:rFonts w:ascii="Arial" w:eastAsia="Times New Roman" w:hAnsi="Arial" w:cs="Arial"/>
          <w:lang w:eastAsia="en-AU"/>
        </w:rPr>
        <w:t xml:space="preserve"> since inception in 1997</w:t>
      </w:r>
      <w:r w:rsidR="0084349E">
        <w:rPr>
          <w:rFonts w:ascii="Arial" w:eastAsia="Times New Roman" w:hAnsi="Arial" w:cs="Arial"/>
          <w:lang w:eastAsia="en-AU"/>
        </w:rPr>
        <w:t xml:space="preserve">, and is currently seeing an </w:t>
      </w:r>
      <w:r>
        <w:rPr>
          <w:rFonts w:ascii="Arial" w:eastAsia="Times New Roman" w:hAnsi="Arial" w:cs="Arial"/>
          <w:lang w:eastAsia="en-AU"/>
        </w:rPr>
        <w:t xml:space="preserve">attrition rate of around 100 units per annum being returned </w:t>
      </w:r>
      <w:r w:rsidR="00BE07BC">
        <w:rPr>
          <w:rFonts w:ascii="Arial" w:eastAsia="Times New Roman" w:hAnsi="Arial" w:cs="Arial"/>
          <w:lang w:eastAsia="en-AU"/>
        </w:rPr>
        <w:t xml:space="preserve">under </w:t>
      </w:r>
      <w:r>
        <w:rPr>
          <w:rFonts w:ascii="Arial" w:eastAsia="Times New Roman" w:hAnsi="Arial" w:cs="Arial"/>
          <w:lang w:eastAsia="en-AU"/>
        </w:rPr>
        <w:t>the program. While figures are not certain, we estimate there are</w:t>
      </w:r>
      <w:r w:rsidR="000D6E1A">
        <w:rPr>
          <w:rFonts w:ascii="Arial" w:eastAsia="Times New Roman" w:hAnsi="Arial" w:cs="Arial"/>
          <w:lang w:eastAsia="en-AU"/>
        </w:rPr>
        <w:t xml:space="preserve"> approximately</w:t>
      </w:r>
      <w:r>
        <w:rPr>
          <w:rFonts w:ascii="Arial" w:eastAsia="Times New Roman" w:hAnsi="Arial" w:cs="Arial"/>
          <w:lang w:eastAsia="en-AU"/>
        </w:rPr>
        <w:t xml:space="preserve"> </w:t>
      </w:r>
      <w:r w:rsidR="000D6E1A">
        <w:rPr>
          <w:rFonts w:ascii="Arial" w:eastAsia="Times New Roman" w:hAnsi="Arial" w:cs="Arial"/>
          <w:lang w:eastAsia="en-AU"/>
        </w:rPr>
        <w:t xml:space="preserve">an additional </w:t>
      </w:r>
      <w:r>
        <w:rPr>
          <w:rFonts w:ascii="Arial" w:eastAsia="Times New Roman" w:hAnsi="Arial" w:cs="Arial"/>
          <w:lang w:eastAsia="en-AU"/>
        </w:rPr>
        <w:t xml:space="preserve">10,000 </w:t>
      </w:r>
      <w:r w:rsidR="00BE07BC">
        <w:rPr>
          <w:rFonts w:ascii="Arial" w:eastAsia="Times New Roman" w:hAnsi="Arial" w:cs="Arial"/>
          <w:lang w:eastAsia="en-AU"/>
        </w:rPr>
        <w:t xml:space="preserve">TTY </w:t>
      </w:r>
      <w:r>
        <w:rPr>
          <w:rFonts w:ascii="Arial" w:eastAsia="Times New Roman" w:hAnsi="Arial" w:cs="Arial"/>
          <w:lang w:eastAsia="en-AU"/>
        </w:rPr>
        <w:t>units privately owned in Australia</w:t>
      </w:r>
      <w:r w:rsidR="003635CF">
        <w:rPr>
          <w:rFonts w:ascii="Arial" w:eastAsia="Times New Roman" w:hAnsi="Arial" w:cs="Arial"/>
          <w:lang w:eastAsia="en-AU"/>
        </w:rPr>
        <w:t>, but it is unclear how many of these units remain in use</w:t>
      </w:r>
      <w:r>
        <w:rPr>
          <w:rFonts w:ascii="Arial" w:eastAsia="Times New Roman" w:hAnsi="Arial" w:cs="Arial"/>
          <w:lang w:eastAsia="en-AU"/>
        </w:rPr>
        <w:t xml:space="preserve">. </w:t>
      </w:r>
    </w:p>
    <w:p w14:paraId="614D31A0" w14:textId="77777777" w:rsidR="005D2EC2" w:rsidRDefault="007337B0" w:rsidP="005D2EC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NRS statistics show that calls via TTY via the NRS are significantly less than captioned relay (handset) and internet relay calls</w:t>
      </w:r>
      <w:r w:rsidR="00706F93">
        <w:rPr>
          <w:rStyle w:val="FootnoteReference"/>
          <w:rFonts w:ascii="Arial" w:eastAsia="Times New Roman" w:hAnsi="Arial" w:cs="Arial"/>
          <w:lang w:eastAsia="en-AU"/>
        </w:rPr>
        <w:footnoteReference w:id="2"/>
      </w:r>
      <w:r>
        <w:rPr>
          <w:rFonts w:ascii="Arial" w:eastAsia="Times New Roman" w:hAnsi="Arial" w:cs="Arial"/>
          <w:lang w:eastAsia="en-AU"/>
        </w:rPr>
        <w:t xml:space="preserve">. </w:t>
      </w:r>
    </w:p>
    <w:p w14:paraId="6975A4DC" w14:textId="62233409" w:rsidR="00B76586" w:rsidRDefault="0033063D" w:rsidP="005D2EC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At the same time, Telstra recognises that there will be a small but significant number of TTY users who will find it difficult or impossible to transfer to mobile or online communications options without support. </w:t>
      </w:r>
      <w:r w:rsidR="000D6E1A">
        <w:rPr>
          <w:rFonts w:ascii="Arial" w:eastAsia="Times New Roman" w:hAnsi="Arial" w:cs="Arial"/>
          <w:lang w:eastAsia="en-AU"/>
        </w:rPr>
        <w:t>Many of these users will also be older Australians, who are the most resistant to making the shift to mobile and online communications technologies</w:t>
      </w:r>
      <w:r w:rsidR="000D6E1A">
        <w:rPr>
          <w:rStyle w:val="FootnoteReference"/>
          <w:rFonts w:ascii="Arial" w:eastAsia="Times New Roman" w:hAnsi="Arial" w:cs="Arial"/>
          <w:lang w:eastAsia="en-AU"/>
        </w:rPr>
        <w:footnoteReference w:id="3"/>
      </w:r>
      <w:r w:rsidR="000D6E1A">
        <w:rPr>
          <w:rFonts w:ascii="Arial" w:eastAsia="Times New Roman" w:hAnsi="Arial" w:cs="Arial"/>
          <w:lang w:eastAsia="en-AU"/>
        </w:rPr>
        <w:t>.</w:t>
      </w:r>
    </w:p>
    <w:p w14:paraId="4C9CCC1F" w14:textId="7B902AA9" w:rsidR="00603AE5" w:rsidRDefault="00603AE5" w:rsidP="005D2EC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Unless there is a change in </w:t>
      </w:r>
      <w:r w:rsidR="00436756">
        <w:rPr>
          <w:rFonts w:ascii="Arial" w:eastAsia="Times New Roman" w:hAnsi="Arial" w:cs="Arial"/>
          <w:lang w:eastAsia="en-AU"/>
        </w:rPr>
        <w:t xml:space="preserve">government </w:t>
      </w:r>
      <w:r>
        <w:rPr>
          <w:rFonts w:ascii="Arial" w:eastAsia="Times New Roman" w:hAnsi="Arial" w:cs="Arial"/>
          <w:lang w:eastAsia="en-AU"/>
        </w:rPr>
        <w:t xml:space="preserve">policy, Telstra will continue to support these customers under the USO and work with the government to identify potential migration paths for these customers onto suitable alternatives. If the </w:t>
      </w:r>
      <w:r w:rsidR="000E104B">
        <w:rPr>
          <w:rFonts w:ascii="Arial" w:eastAsia="Times New Roman" w:hAnsi="Arial" w:cs="Arial"/>
          <w:lang w:eastAsia="en-AU"/>
        </w:rPr>
        <w:t>g</w:t>
      </w:r>
      <w:r>
        <w:rPr>
          <w:rFonts w:ascii="Arial" w:eastAsia="Times New Roman" w:hAnsi="Arial" w:cs="Arial"/>
          <w:lang w:eastAsia="en-AU"/>
        </w:rPr>
        <w:t>overnment was to propose a change to arrangements that would extend the USO beyond the current STS requirements, the resultant disability equipment requirements could be funded either through an increase in USO funding, or via a separate government funded mechanism (e.g. NDIS)</w:t>
      </w:r>
      <w:r w:rsidR="00DF38E4">
        <w:rPr>
          <w:rFonts w:ascii="Arial" w:eastAsia="Times New Roman" w:hAnsi="Arial" w:cs="Arial"/>
          <w:lang w:eastAsia="en-AU"/>
        </w:rPr>
        <w:t>.</w:t>
      </w:r>
    </w:p>
    <w:p w14:paraId="52931540" w14:textId="77777777" w:rsidR="00331698" w:rsidRPr="00E97E03" w:rsidRDefault="003635CF" w:rsidP="00706F93">
      <w:pPr>
        <w:pStyle w:val="Heading1"/>
        <w:rPr>
          <w:color w:val="1F4E79" w:themeColor="accent1" w:themeShade="80"/>
        </w:rPr>
      </w:pPr>
      <w:r w:rsidRPr="00E97E03">
        <w:rPr>
          <w:color w:val="1F4E79" w:themeColor="accent1" w:themeShade="80"/>
        </w:rPr>
        <w:lastRenderedPageBreak/>
        <w:t xml:space="preserve">Understanding the pressures on the NRS and potential introduction of </w:t>
      </w:r>
      <w:r w:rsidR="000D6E1A">
        <w:rPr>
          <w:color w:val="1F4E79" w:themeColor="accent1" w:themeShade="80"/>
        </w:rPr>
        <w:t xml:space="preserve">a </w:t>
      </w:r>
      <w:r w:rsidRPr="00E97E03">
        <w:rPr>
          <w:color w:val="1F4E79" w:themeColor="accent1" w:themeShade="80"/>
        </w:rPr>
        <w:t>pricing s</w:t>
      </w:r>
      <w:r w:rsidR="00331698" w:rsidRPr="00E97E03">
        <w:rPr>
          <w:color w:val="1F4E79" w:themeColor="accent1" w:themeShade="80"/>
        </w:rPr>
        <w:t>ignal to</w:t>
      </w:r>
      <w:r w:rsidR="00331698" w:rsidRPr="00706F93">
        <w:rPr>
          <w:rFonts w:ascii="Arial" w:hAnsi="Arial" w:cs="Arial"/>
          <w:sz w:val="22"/>
          <w:szCs w:val="22"/>
        </w:rPr>
        <w:t xml:space="preserve"> </w:t>
      </w:r>
      <w:r w:rsidR="00331698" w:rsidRPr="00E97E03">
        <w:rPr>
          <w:color w:val="1F4E79" w:themeColor="accent1" w:themeShade="80"/>
        </w:rPr>
        <w:t xml:space="preserve">encourage </w:t>
      </w:r>
      <w:r w:rsidR="00331129">
        <w:rPr>
          <w:color w:val="1F4E79" w:themeColor="accent1" w:themeShade="80"/>
        </w:rPr>
        <w:t xml:space="preserve">provision </w:t>
      </w:r>
      <w:r w:rsidR="00331698" w:rsidRPr="00E97E03">
        <w:rPr>
          <w:color w:val="1F4E79" w:themeColor="accent1" w:themeShade="80"/>
        </w:rPr>
        <w:t xml:space="preserve">of direct mobile and online </w:t>
      </w:r>
      <w:r w:rsidR="00331129">
        <w:rPr>
          <w:color w:val="1F4E79" w:themeColor="accent1" w:themeShade="80"/>
        </w:rPr>
        <w:t>contact options</w:t>
      </w:r>
    </w:p>
    <w:p w14:paraId="6FA31E00" w14:textId="77777777" w:rsidR="003635CF" w:rsidRDefault="003635CF" w:rsidP="00706F93">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Current NRS statistics demonstrate a significant user base for internet relay services</w:t>
      </w:r>
      <w:r w:rsidRPr="000D6E1A">
        <w:rPr>
          <w:rFonts w:ascii="Arial" w:eastAsia="Times New Roman" w:hAnsi="Arial" w:cs="Arial"/>
          <w:vertAlign w:val="superscript"/>
          <w:lang w:eastAsia="en-AU"/>
        </w:rPr>
        <w:footnoteReference w:id="4"/>
      </w:r>
      <w:r>
        <w:rPr>
          <w:rFonts w:ascii="Arial" w:eastAsia="Times New Roman" w:hAnsi="Arial" w:cs="Arial"/>
          <w:lang w:eastAsia="en-AU"/>
        </w:rPr>
        <w:t>, which would appear to be one source of the current pressure on NRS services. It is important that financial supporters of the NRS gain an understanding of where the greatest proportion of these call volumes are located in order to determine if there is a need for incentives for government agencies and businesses to implement direct online communication services to obviate the need for reliance on the NRS. Therefore, Telstra supports the suggestion that the Department and the NRS provide an analysis of usage statistics to determine where the greatest number of internet</w:t>
      </w:r>
      <w:r w:rsidR="00706F93">
        <w:rPr>
          <w:rFonts w:ascii="Arial" w:eastAsia="Times New Roman" w:hAnsi="Arial" w:cs="Arial"/>
          <w:lang w:eastAsia="en-AU"/>
        </w:rPr>
        <w:t>, captioned (handset) and video relay calls are being placed.</w:t>
      </w:r>
    </w:p>
    <w:p w14:paraId="5FC2D976" w14:textId="77777777" w:rsidR="003635CF" w:rsidRDefault="003635CF" w:rsidP="003635CF">
      <w:pPr>
        <w:spacing w:line="360" w:lineRule="auto"/>
        <w:rPr>
          <w:rFonts w:ascii="Arial" w:eastAsia="Times New Roman" w:hAnsi="Arial" w:cs="Arial"/>
          <w:lang w:eastAsia="en-AU"/>
        </w:rPr>
      </w:pPr>
      <w:r>
        <w:rPr>
          <w:rFonts w:ascii="Arial" w:eastAsia="Times New Roman" w:hAnsi="Arial" w:cs="Arial"/>
          <w:lang w:eastAsia="en-AU"/>
        </w:rPr>
        <w:t xml:space="preserve">Should </w:t>
      </w:r>
      <w:r w:rsidR="00706F93">
        <w:rPr>
          <w:rFonts w:ascii="Arial" w:eastAsia="Times New Roman" w:hAnsi="Arial" w:cs="Arial"/>
          <w:lang w:eastAsia="en-AU"/>
        </w:rPr>
        <w:t xml:space="preserve">this analysis support the current assumption that this usage is in large part between individuals and businesses or government agencies, </w:t>
      </w:r>
      <w:r w:rsidRPr="00331698">
        <w:rPr>
          <w:rFonts w:ascii="Arial" w:eastAsia="Times New Roman" w:hAnsi="Arial" w:cs="Arial"/>
          <w:lang w:eastAsia="en-AU"/>
        </w:rPr>
        <w:t>Telstra supports the introduction of a pricing signal to large recipients of NRS internet-relay calls</w:t>
      </w:r>
      <w:r w:rsidR="00706F93">
        <w:rPr>
          <w:rFonts w:ascii="Arial" w:eastAsia="Times New Roman" w:hAnsi="Arial" w:cs="Arial"/>
          <w:lang w:eastAsia="en-AU"/>
        </w:rPr>
        <w:t xml:space="preserve"> </w:t>
      </w:r>
      <w:r w:rsidRPr="00331698">
        <w:rPr>
          <w:rFonts w:ascii="Arial" w:eastAsia="Times New Roman" w:hAnsi="Arial" w:cs="Arial"/>
          <w:lang w:eastAsia="en-AU"/>
        </w:rPr>
        <w:t xml:space="preserve">to encourage provision of direct mobile and online communications options as an additional or replacement </w:t>
      </w:r>
      <w:r>
        <w:rPr>
          <w:rFonts w:ascii="Arial" w:eastAsia="Times New Roman" w:hAnsi="Arial" w:cs="Arial"/>
          <w:lang w:eastAsia="en-AU"/>
        </w:rPr>
        <w:t>NRS funding mechanism</w:t>
      </w:r>
      <w:r w:rsidR="00706F93">
        <w:rPr>
          <w:rFonts w:ascii="Arial" w:eastAsia="Times New Roman" w:hAnsi="Arial" w:cs="Arial"/>
          <w:lang w:eastAsia="en-AU"/>
        </w:rPr>
        <w:t xml:space="preserve">, as suggested in the AMTACA submission under “Option 3 – Fair Use Policy”. </w:t>
      </w:r>
      <w:r>
        <w:rPr>
          <w:rFonts w:ascii="Arial" w:eastAsia="Times New Roman" w:hAnsi="Arial" w:cs="Arial"/>
          <w:lang w:eastAsia="en-AU"/>
        </w:rPr>
        <w:t xml:space="preserve"> </w:t>
      </w:r>
    </w:p>
    <w:p w14:paraId="511D809F" w14:textId="77777777" w:rsidR="00331698" w:rsidRPr="00E97E03" w:rsidRDefault="00331698" w:rsidP="00706F93">
      <w:pPr>
        <w:pStyle w:val="Heading1"/>
        <w:rPr>
          <w:color w:val="1F4E79" w:themeColor="accent1" w:themeShade="80"/>
        </w:rPr>
      </w:pPr>
      <w:r w:rsidRPr="00E97E03">
        <w:rPr>
          <w:color w:val="1F4E79" w:themeColor="accent1" w:themeShade="80"/>
        </w:rPr>
        <w:t>Review of access regulations under the Universal Service Obligation (USO)</w:t>
      </w:r>
    </w:p>
    <w:p w14:paraId="73DC3E28" w14:textId="02F1A52A" w:rsidR="00DF38E4" w:rsidRPr="0084349E" w:rsidRDefault="00183939" w:rsidP="0084349E">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 xml:space="preserve">Telstra </w:t>
      </w:r>
      <w:r w:rsidR="00DF38E4">
        <w:rPr>
          <w:rFonts w:ascii="Arial" w:eastAsia="Times New Roman" w:hAnsi="Arial" w:cs="Arial"/>
          <w:lang w:eastAsia="en-AU"/>
        </w:rPr>
        <w:t xml:space="preserve">notes that the </w:t>
      </w:r>
      <w:r w:rsidR="00AC4D35">
        <w:rPr>
          <w:rFonts w:ascii="Arial" w:eastAsia="Times New Roman" w:hAnsi="Arial" w:cs="Arial"/>
          <w:lang w:eastAsia="en-AU"/>
        </w:rPr>
        <w:t xml:space="preserve">Productivity Commission </w:t>
      </w:r>
      <w:r w:rsidR="00DF38E4">
        <w:rPr>
          <w:rFonts w:ascii="Arial" w:eastAsia="Times New Roman" w:hAnsi="Arial" w:cs="Arial"/>
          <w:lang w:eastAsia="en-AU"/>
        </w:rPr>
        <w:t xml:space="preserve">has recently </w:t>
      </w:r>
      <w:r w:rsidR="00AC4D35">
        <w:rPr>
          <w:rFonts w:ascii="Arial" w:eastAsia="Times New Roman" w:hAnsi="Arial" w:cs="Arial"/>
          <w:lang w:eastAsia="en-AU"/>
        </w:rPr>
        <w:t xml:space="preserve">commenced </w:t>
      </w:r>
      <w:r w:rsidR="00AC4D35" w:rsidRPr="00AC4D35">
        <w:rPr>
          <w:rFonts w:ascii="Arial" w:eastAsia="Times New Roman" w:hAnsi="Arial" w:cs="Arial"/>
          <w:lang w:eastAsia="en-AU"/>
        </w:rPr>
        <w:t>a 12-month inquiry into the future direction of a universal service obligation (USO)</w:t>
      </w:r>
      <w:r w:rsidR="00DF38E4">
        <w:rPr>
          <w:rFonts w:ascii="Arial" w:eastAsia="Times New Roman" w:hAnsi="Arial" w:cs="Arial"/>
          <w:lang w:eastAsia="en-AU"/>
        </w:rPr>
        <w:t>.  The T</w:t>
      </w:r>
      <w:r w:rsidR="00AC4D35">
        <w:rPr>
          <w:rFonts w:ascii="Arial" w:eastAsia="Times New Roman" w:hAnsi="Arial" w:cs="Arial"/>
          <w:lang w:eastAsia="en-AU"/>
        </w:rPr>
        <w:t xml:space="preserve">erms of </w:t>
      </w:r>
      <w:r w:rsidR="00DF38E4">
        <w:rPr>
          <w:rFonts w:ascii="Arial" w:eastAsia="Times New Roman" w:hAnsi="Arial" w:cs="Arial"/>
          <w:lang w:eastAsia="en-AU"/>
        </w:rPr>
        <w:t>R</w:t>
      </w:r>
      <w:r w:rsidR="00AC4D35">
        <w:rPr>
          <w:rFonts w:ascii="Arial" w:eastAsia="Times New Roman" w:hAnsi="Arial" w:cs="Arial"/>
          <w:lang w:eastAsia="en-AU"/>
        </w:rPr>
        <w:t>eference</w:t>
      </w:r>
      <w:r w:rsidR="00DF38E4">
        <w:rPr>
          <w:rFonts w:ascii="Arial" w:eastAsia="Times New Roman" w:hAnsi="Arial" w:cs="Arial"/>
          <w:lang w:eastAsia="en-AU"/>
        </w:rPr>
        <w:t xml:space="preserve"> direct the C</w:t>
      </w:r>
      <w:r w:rsidR="00AC4D35">
        <w:rPr>
          <w:rFonts w:ascii="Arial" w:eastAsia="Times New Roman" w:hAnsi="Arial" w:cs="Arial"/>
          <w:lang w:eastAsia="en-AU"/>
        </w:rPr>
        <w:t>ommission</w:t>
      </w:r>
      <w:r w:rsidR="00DF38E4">
        <w:rPr>
          <w:rFonts w:ascii="Arial" w:eastAsia="Times New Roman" w:hAnsi="Arial" w:cs="Arial"/>
          <w:lang w:eastAsia="en-AU"/>
        </w:rPr>
        <w:t xml:space="preserve"> to include in its consideration “</w:t>
      </w:r>
      <w:r w:rsidR="00DF38E4" w:rsidRPr="00DF38E4">
        <w:rPr>
          <w:rFonts w:ascii="Arial" w:eastAsia="Times New Roman" w:hAnsi="Arial" w:cs="Arial"/>
          <w:lang w:eastAsia="en-AU"/>
        </w:rPr>
        <w:t>whether p</w:t>
      </w:r>
      <w:r w:rsidR="00DF38E4" w:rsidRPr="001A6FAE">
        <w:rPr>
          <w:rFonts w:ascii="Arial" w:eastAsia="Times New Roman" w:hAnsi="Arial" w:cs="Arial"/>
          <w:lang w:eastAsia="en-AU"/>
        </w:rPr>
        <w:t>articular sections of the Australian community have differing needs to which additional Government intervention should be directed</w:t>
      </w:r>
      <w:r w:rsidR="00DF38E4">
        <w:rPr>
          <w:rFonts w:ascii="Arial" w:eastAsia="Times New Roman" w:hAnsi="Arial" w:cs="Arial"/>
          <w:lang w:eastAsia="en-AU"/>
        </w:rPr>
        <w:t>”</w:t>
      </w:r>
      <w:r w:rsidR="001A6FAE">
        <w:rPr>
          <w:rFonts w:ascii="Arial" w:eastAsia="Times New Roman" w:hAnsi="Arial" w:cs="Arial"/>
          <w:lang w:eastAsia="en-AU"/>
        </w:rPr>
        <w:t xml:space="preserve">. We anticipate that </w:t>
      </w:r>
      <w:r w:rsidR="00B50501">
        <w:rPr>
          <w:rFonts w:ascii="Arial" w:eastAsia="Times New Roman" w:hAnsi="Arial" w:cs="Arial"/>
          <w:lang w:eastAsia="en-AU"/>
        </w:rPr>
        <w:t>the needs of customers with a disability will be considered within this context.</w:t>
      </w:r>
    </w:p>
    <w:p w14:paraId="7DA8395B" w14:textId="77777777" w:rsidR="00C26E7D" w:rsidRPr="00E97E03" w:rsidRDefault="00C26E7D" w:rsidP="00C26E7D">
      <w:pPr>
        <w:pStyle w:val="Heading1"/>
        <w:rPr>
          <w:color w:val="1F4E79" w:themeColor="accent1" w:themeShade="80"/>
        </w:rPr>
      </w:pPr>
      <w:r w:rsidRPr="00E97E03">
        <w:rPr>
          <w:color w:val="1F4E79" w:themeColor="accent1" w:themeShade="80"/>
        </w:rPr>
        <w:t>Conclusion</w:t>
      </w:r>
    </w:p>
    <w:p w14:paraId="39AD4F92" w14:textId="77777777" w:rsidR="00C26E7D" w:rsidRPr="00C970A2" w:rsidRDefault="00C970A2" w:rsidP="00C970A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Telstra</w:t>
      </w:r>
      <w:r w:rsidR="00C26E7D" w:rsidRPr="00C970A2">
        <w:rPr>
          <w:rFonts w:ascii="Arial" w:eastAsia="Times New Roman" w:hAnsi="Arial" w:cs="Arial"/>
          <w:lang w:eastAsia="en-AU"/>
        </w:rPr>
        <w:t xml:space="preserve"> submit</w:t>
      </w:r>
      <w:r>
        <w:rPr>
          <w:rFonts w:ascii="Arial" w:eastAsia="Times New Roman" w:hAnsi="Arial" w:cs="Arial"/>
          <w:lang w:eastAsia="en-AU"/>
        </w:rPr>
        <w:t>s</w:t>
      </w:r>
      <w:r w:rsidR="00C26E7D" w:rsidRPr="00C970A2">
        <w:rPr>
          <w:rFonts w:ascii="Arial" w:eastAsia="Times New Roman" w:hAnsi="Arial" w:cs="Arial"/>
          <w:lang w:eastAsia="en-AU"/>
        </w:rPr>
        <w:t xml:space="preserve"> that Government should </w:t>
      </w:r>
      <w:r>
        <w:rPr>
          <w:rFonts w:ascii="Arial" w:eastAsia="Times New Roman" w:hAnsi="Arial" w:cs="Arial"/>
          <w:lang w:eastAsia="en-AU"/>
        </w:rPr>
        <w:t xml:space="preserve">work with the NRS and industry to support </w:t>
      </w:r>
      <w:r w:rsidR="00C26E7D" w:rsidRPr="00C970A2">
        <w:rPr>
          <w:rFonts w:ascii="Arial" w:eastAsia="Times New Roman" w:hAnsi="Arial" w:cs="Arial"/>
          <w:lang w:eastAsia="en-AU"/>
        </w:rPr>
        <w:t>a shift away from reliance on TTY</w:t>
      </w:r>
      <w:r>
        <w:rPr>
          <w:rFonts w:ascii="Arial" w:eastAsia="Times New Roman" w:hAnsi="Arial" w:cs="Arial"/>
          <w:lang w:eastAsia="en-AU"/>
        </w:rPr>
        <w:t>s</w:t>
      </w:r>
      <w:r w:rsidR="00C26E7D" w:rsidRPr="00C970A2">
        <w:rPr>
          <w:rFonts w:ascii="Arial" w:eastAsia="Times New Roman" w:hAnsi="Arial" w:cs="Arial"/>
          <w:lang w:eastAsia="en-AU"/>
        </w:rPr>
        <w:t xml:space="preserve"> specifically, and the NRS more generally, to </w:t>
      </w:r>
      <w:r>
        <w:rPr>
          <w:rFonts w:ascii="Arial" w:eastAsia="Times New Roman" w:hAnsi="Arial" w:cs="Arial"/>
          <w:lang w:eastAsia="en-AU"/>
        </w:rPr>
        <w:t>the adoption of mainstream communications technologies, via the methods outlined above and in the submission from the AMTACA.</w:t>
      </w:r>
    </w:p>
    <w:p w14:paraId="48D26317" w14:textId="77777777" w:rsidR="00C26E7D" w:rsidRPr="00C970A2" w:rsidRDefault="00C970A2" w:rsidP="00C970A2">
      <w:pPr>
        <w:spacing w:before="100" w:beforeAutospacing="1" w:after="100" w:afterAutospacing="1" w:line="360" w:lineRule="auto"/>
        <w:rPr>
          <w:rFonts w:ascii="Arial" w:eastAsia="Times New Roman" w:hAnsi="Arial" w:cs="Arial"/>
          <w:lang w:eastAsia="en-AU"/>
        </w:rPr>
      </w:pPr>
      <w:r>
        <w:rPr>
          <w:rFonts w:ascii="Arial" w:eastAsia="Times New Roman" w:hAnsi="Arial" w:cs="Arial"/>
          <w:lang w:eastAsia="en-AU"/>
        </w:rPr>
        <w:t>As the primary universal service provider and the operator of the largest Disability Equipment Program,</w:t>
      </w:r>
      <w:r w:rsidR="00C26E7D" w:rsidRPr="00C970A2">
        <w:rPr>
          <w:rFonts w:ascii="Arial" w:eastAsia="Times New Roman" w:hAnsi="Arial" w:cs="Arial"/>
          <w:lang w:eastAsia="en-AU"/>
        </w:rPr>
        <w:t xml:space="preserve"> </w:t>
      </w:r>
      <w:r>
        <w:rPr>
          <w:rFonts w:ascii="Arial" w:eastAsia="Times New Roman" w:hAnsi="Arial" w:cs="Arial"/>
          <w:lang w:eastAsia="en-AU"/>
        </w:rPr>
        <w:t xml:space="preserve">Telstra strongly supports retaining the NRS in its current form to </w:t>
      </w:r>
      <w:r w:rsidR="00C26E7D" w:rsidRPr="00C970A2">
        <w:rPr>
          <w:rFonts w:ascii="Arial" w:eastAsia="Times New Roman" w:hAnsi="Arial" w:cs="Arial"/>
          <w:lang w:eastAsia="en-AU"/>
        </w:rPr>
        <w:t>provide a</w:t>
      </w:r>
      <w:r>
        <w:rPr>
          <w:rFonts w:ascii="Arial" w:eastAsia="Times New Roman" w:hAnsi="Arial" w:cs="Arial"/>
          <w:lang w:eastAsia="en-AU"/>
        </w:rPr>
        <w:t>n essential</w:t>
      </w:r>
      <w:r w:rsidR="00C26E7D" w:rsidRPr="00C970A2">
        <w:rPr>
          <w:rFonts w:ascii="Arial" w:eastAsia="Times New Roman" w:hAnsi="Arial" w:cs="Arial"/>
          <w:lang w:eastAsia="en-AU"/>
        </w:rPr>
        <w:t xml:space="preserve"> safety net </w:t>
      </w:r>
      <w:r>
        <w:rPr>
          <w:rFonts w:ascii="Arial" w:eastAsia="Times New Roman" w:hAnsi="Arial" w:cs="Arial"/>
          <w:lang w:eastAsia="en-AU"/>
        </w:rPr>
        <w:t>f</w:t>
      </w:r>
      <w:r w:rsidR="00C26E7D" w:rsidRPr="00C970A2">
        <w:rPr>
          <w:rFonts w:ascii="Arial" w:eastAsia="Times New Roman" w:hAnsi="Arial" w:cs="Arial"/>
          <w:lang w:eastAsia="en-AU"/>
        </w:rPr>
        <w:t xml:space="preserve">or people who are not able to </w:t>
      </w:r>
      <w:r>
        <w:rPr>
          <w:rFonts w:ascii="Arial" w:eastAsia="Times New Roman" w:hAnsi="Arial" w:cs="Arial"/>
          <w:lang w:eastAsia="en-AU"/>
        </w:rPr>
        <w:t>easily transfer to</w:t>
      </w:r>
      <w:r w:rsidR="00C26E7D" w:rsidRPr="00C970A2">
        <w:rPr>
          <w:rFonts w:ascii="Arial" w:eastAsia="Times New Roman" w:hAnsi="Arial" w:cs="Arial"/>
          <w:lang w:eastAsia="en-AU"/>
        </w:rPr>
        <w:t xml:space="preserve"> mainstream communications.</w:t>
      </w:r>
      <w:bookmarkStart w:id="1" w:name="_GoBack"/>
      <w:bookmarkEnd w:id="1"/>
    </w:p>
    <w:sectPr w:rsidR="00C26E7D" w:rsidRPr="00C970A2" w:rsidSect="00331698">
      <w:footerReference w:type="default" r:id="rId10"/>
      <w:pgSz w:w="11906" w:h="16838"/>
      <w:pgMar w:top="1304" w:right="1077" w:bottom="1304"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C2661" w14:textId="77777777" w:rsidR="00D72726" w:rsidRDefault="00D72726" w:rsidP="00C26E7D">
      <w:pPr>
        <w:spacing w:after="0" w:line="240" w:lineRule="auto"/>
      </w:pPr>
      <w:r>
        <w:separator/>
      </w:r>
    </w:p>
  </w:endnote>
  <w:endnote w:type="continuationSeparator" w:id="0">
    <w:p w14:paraId="38E9EFBB" w14:textId="77777777" w:rsidR="00D72726" w:rsidRDefault="00D72726" w:rsidP="00C2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armony Text">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961796"/>
      <w:docPartObj>
        <w:docPartGallery w:val="Page Numbers (Bottom of Page)"/>
        <w:docPartUnique/>
      </w:docPartObj>
    </w:sdtPr>
    <w:sdtEndPr>
      <w:rPr>
        <w:noProof/>
      </w:rPr>
    </w:sdtEndPr>
    <w:sdtContent>
      <w:p w14:paraId="13CD8DD8" w14:textId="77777777" w:rsidR="0034711E" w:rsidRDefault="005D4E0F">
        <w:pPr>
          <w:pStyle w:val="Footer"/>
          <w:jc w:val="right"/>
        </w:pPr>
        <w:r>
          <w:fldChar w:fldCharType="begin"/>
        </w:r>
        <w:r>
          <w:instrText xml:space="preserve"> PAGE   \* MERGEFORMAT </w:instrText>
        </w:r>
        <w:r>
          <w:fldChar w:fldCharType="separate"/>
        </w:r>
        <w:r w:rsidR="00495EE4">
          <w:rPr>
            <w:noProof/>
          </w:rPr>
          <w:t>6</w:t>
        </w:r>
        <w:r>
          <w:rPr>
            <w:noProof/>
          </w:rPr>
          <w:fldChar w:fldCharType="end"/>
        </w:r>
      </w:p>
    </w:sdtContent>
  </w:sdt>
  <w:p w14:paraId="4FC75C1A" w14:textId="77777777" w:rsidR="0034711E" w:rsidRDefault="0049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30A97" w14:textId="77777777" w:rsidR="00D72726" w:rsidRDefault="00D72726" w:rsidP="00C26E7D">
      <w:pPr>
        <w:spacing w:after="0" w:line="240" w:lineRule="auto"/>
      </w:pPr>
      <w:r>
        <w:separator/>
      </w:r>
    </w:p>
  </w:footnote>
  <w:footnote w:type="continuationSeparator" w:id="0">
    <w:p w14:paraId="646361BE" w14:textId="77777777" w:rsidR="00D72726" w:rsidRDefault="00D72726" w:rsidP="00C26E7D">
      <w:pPr>
        <w:spacing w:after="0" w:line="240" w:lineRule="auto"/>
      </w:pPr>
      <w:r>
        <w:continuationSeparator/>
      </w:r>
    </w:p>
  </w:footnote>
  <w:footnote w:id="1">
    <w:p w14:paraId="665083C4" w14:textId="77777777" w:rsidR="000D6E1A" w:rsidRDefault="000D6E1A">
      <w:pPr>
        <w:pStyle w:val="FootnoteText"/>
      </w:pPr>
      <w:r>
        <w:rPr>
          <w:rStyle w:val="FootnoteReference"/>
        </w:rPr>
        <w:footnoteRef/>
      </w:r>
      <w:r>
        <w:t xml:space="preserve"> </w:t>
      </w:r>
      <w:hyperlink r:id="rId1" w:history="1">
        <w:r w:rsidRPr="003C05B0">
          <w:rPr>
            <w:rStyle w:val="Hyperlink"/>
          </w:rPr>
          <w:t>http://www.acma.gov.au/theACMA/engage-blogs/engage-blogs/Research-snapshots/Mobile-only-Australians-top-over-3-million</w:t>
        </w:r>
      </w:hyperlink>
      <w:r>
        <w:t xml:space="preserve"> </w:t>
      </w:r>
    </w:p>
  </w:footnote>
  <w:footnote w:id="2">
    <w:p w14:paraId="39DBE89F" w14:textId="14E44A40" w:rsidR="00706F93" w:rsidRPr="003635CF" w:rsidRDefault="00706F93" w:rsidP="00706F93">
      <w:pPr>
        <w:pStyle w:val="Heading1"/>
        <w:rPr>
          <w:rFonts w:ascii="Arial" w:eastAsia="Times New Roman" w:hAnsi="Arial" w:cs="Arial"/>
          <w:b w:val="0"/>
          <w:bCs w:val="0"/>
          <w:color w:val="auto"/>
          <w:sz w:val="18"/>
          <w:szCs w:val="18"/>
          <w:lang w:eastAsia="en-AU"/>
        </w:rPr>
      </w:pPr>
      <w:r w:rsidRPr="003635CF">
        <w:rPr>
          <w:rStyle w:val="FootnoteReference"/>
          <w:rFonts w:ascii="Arial" w:hAnsi="Arial" w:cs="Arial"/>
          <w:color w:val="auto"/>
          <w:sz w:val="18"/>
          <w:szCs w:val="18"/>
        </w:rPr>
        <w:footnoteRef/>
      </w:r>
      <w:r w:rsidRPr="003635CF">
        <w:rPr>
          <w:rFonts w:ascii="Arial" w:hAnsi="Arial" w:cs="Arial"/>
          <w:color w:val="auto"/>
          <w:sz w:val="18"/>
          <w:szCs w:val="18"/>
        </w:rPr>
        <w:t xml:space="preserve"> </w:t>
      </w:r>
      <w:r w:rsidRPr="003635CF">
        <w:rPr>
          <w:rFonts w:ascii="Arial" w:eastAsia="Times New Roman" w:hAnsi="Arial" w:cs="Arial"/>
          <w:b w:val="0"/>
          <w:bCs w:val="0"/>
          <w:color w:val="auto"/>
          <w:sz w:val="18"/>
          <w:szCs w:val="18"/>
          <w:lang w:eastAsia="en-AU"/>
        </w:rPr>
        <w:t xml:space="preserve">National Relay Service </w:t>
      </w:r>
      <w:r w:rsidRPr="003635CF">
        <w:rPr>
          <w:rFonts w:ascii="Arial" w:hAnsi="Arial" w:cs="Arial"/>
          <w:b w:val="0"/>
          <w:bCs w:val="0"/>
          <w:color w:val="auto"/>
          <w:sz w:val="18"/>
          <w:szCs w:val="18"/>
          <w:lang w:eastAsia="en-AU"/>
        </w:rPr>
        <w:t xml:space="preserve">Quarterly Performance Report, </w:t>
      </w:r>
      <w:r w:rsidRPr="003635CF">
        <w:rPr>
          <w:rFonts w:ascii="Arial" w:eastAsia="Times New Roman" w:hAnsi="Arial" w:cs="Arial"/>
          <w:b w:val="0"/>
          <w:color w:val="auto"/>
          <w:sz w:val="18"/>
          <w:szCs w:val="18"/>
          <w:lang w:eastAsia="en-AU"/>
        </w:rPr>
        <w:t>Quarter 2, 2015–2016, PP 9-10.</w:t>
      </w:r>
    </w:p>
    <w:p w14:paraId="4477DD40" w14:textId="77777777" w:rsidR="00706F93" w:rsidRDefault="00706F93">
      <w:pPr>
        <w:pStyle w:val="FootnoteText"/>
      </w:pPr>
    </w:p>
  </w:footnote>
  <w:footnote w:id="3">
    <w:p w14:paraId="456FB0A6" w14:textId="77777777" w:rsidR="000D6E1A" w:rsidRPr="000D6E1A" w:rsidRDefault="000D6E1A">
      <w:pPr>
        <w:pStyle w:val="FootnoteText"/>
        <w:rPr>
          <w:rFonts w:ascii="Arial" w:hAnsi="Arial" w:cs="Arial"/>
          <w:sz w:val="18"/>
          <w:szCs w:val="18"/>
        </w:rPr>
      </w:pPr>
      <w:r w:rsidRPr="000D6E1A">
        <w:rPr>
          <w:rStyle w:val="FootnoteReference"/>
          <w:rFonts w:ascii="Arial" w:hAnsi="Arial" w:cs="Arial"/>
          <w:sz w:val="18"/>
          <w:szCs w:val="18"/>
        </w:rPr>
        <w:footnoteRef/>
      </w:r>
      <w:r w:rsidRPr="000D6E1A">
        <w:rPr>
          <w:rFonts w:ascii="Arial" w:hAnsi="Arial" w:cs="Arial"/>
          <w:sz w:val="18"/>
          <w:szCs w:val="18"/>
        </w:rPr>
        <w:t xml:space="preserve"> </w:t>
      </w:r>
      <w:hyperlink r:id="rId2" w:history="1">
        <w:r w:rsidRPr="000D6E1A">
          <w:rPr>
            <w:rStyle w:val="Hyperlink"/>
            <w:rFonts w:ascii="Arial" w:hAnsi="Arial" w:cs="Arial"/>
            <w:sz w:val="18"/>
            <w:szCs w:val="18"/>
          </w:rPr>
          <w:t>http://www.acma.gov.au/theACMA/engage-blogs/engage-blogs/Research-snapshots/Older-Australians-resist-cutting-the-cord</w:t>
        </w:r>
      </w:hyperlink>
      <w:r w:rsidRPr="000D6E1A">
        <w:rPr>
          <w:rFonts w:ascii="Arial" w:hAnsi="Arial" w:cs="Arial"/>
          <w:sz w:val="18"/>
          <w:szCs w:val="18"/>
        </w:rPr>
        <w:t xml:space="preserve"> </w:t>
      </w:r>
    </w:p>
  </w:footnote>
  <w:footnote w:id="4">
    <w:p w14:paraId="68D8A652" w14:textId="77777777" w:rsidR="003635CF" w:rsidRPr="003635CF" w:rsidRDefault="003635CF" w:rsidP="003635CF">
      <w:pPr>
        <w:pStyle w:val="Heading1"/>
        <w:rPr>
          <w:rFonts w:ascii="Arial" w:eastAsia="Times New Roman" w:hAnsi="Arial" w:cs="Arial"/>
          <w:b w:val="0"/>
          <w:bCs w:val="0"/>
          <w:color w:val="auto"/>
          <w:sz w:val="18"/>
          <w:szCs w:val="18"/>
          <w:lang w:eastAsia="en-AU"/>
        </w:rPr>
      </w:pPr>
      <w:r w:rsidRPr="003635CF">
        <w:rPr>
          <w:rStyle w:val="FootnoteReference"/>
          <w:rFonts w:ascii="Arial" w:hAnsi="Arial" w:cs="Arial"/>
          <w:color w:val="auto"/>
          <w:sz w:val="18"/>
          <w:szCs w:val="18"/>
        </w:rPr>
        <w:footnoteRef/>
      </w:r>
      <w:r w:rsidRPr="003635CF">
        <w:rPr>
          <w:rFonts w:ascii="Arial" w:hAnsi="Arial" w:cs="Arial"/>
          <w:color w:val="auto"/>
          <w:sz w:val="18"/>
          <w:szCs w:val="18"/>
        </w:rPr>
        <w:t xml:space="preserve"> </w:t>
      </w:r>
      <w:r w:rsidRPr="003635CF">
        <w:rPr>
          <w:rFonts w:ascii="Arial" w:eastAsia="Times New Roman" w:hAnsi="Arial" w:cs="Arial"/>
          <w:b w:val="0"/>
          <w:bCs w:val="0"/>
          <w:color w:val="auto"/>
          <w:sz w:val="18"/>
          <w:szCs w:val="18"/>
          <w:lang w:eastAsia="en-AU"/>
        </w:rPr>
        <w:t xml:space="preserve">National Relay Service </w:t>
      </w:r>
      <w:r w:rsidRPr="003635CF">
        <w:rPr>
          <w:rFonts w:ascii="Arial" w:hAnsi="Arial" w:cs="Arial"/>
          <w:b w:val="0"/>
          <w:bCs w:val="0"/>
          <w:color w:val="auto"/>
          <w:sz w:val="18"/>
          <w:szCs w:val="18"/>
          <w:lang w:eastAsia="en-AU"/>
        </w:rPr>
        <w:t xml:space="preserve">Quarterly Performance Report, </w:t>
      </w:r>
      <w:r w:rsidRPr="003635CF">
        <w:rPr>
          <w:rFonts w:ascii="Arial" w:eastAsia="Times New Roman" w:hAnsi="Arial" w:cs="Arial"/>
          <w:b w:val="0"/>
          <w:color w:val="auto"/>
          <w:sz w:val="18"/>
          <w:szCs w:val="18"/>
          <w:lang w:eastAsia="en-AU"/>
        </w:rPr>
        <w:t>Quarter 2, 2015–2016, PP 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C64"/>
    <w:multiLevelType w:val="hybridMultilevel"/>
    <w:tmpl w:val="D6ECCA9C"/>
    <w:lvl w:ilvl="0" w:tplc="4542846C">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A0D9E"/>
    <w:multiLevelType w:val="hybridMultilevel"/>
    <w:tmpl w:val="46FCB150"/>
    <w:lvl w:ilvl="0" w:tplc="4542846C">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B356B"/>
    <w:multiLevelType w:val="hybridMultilevel"/>
    <w:tmpl w:val="2EDC26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8B4E1B"/>
    <w:multiLevelType w:val="hybridMultilevel"/>
    <w:tmpl w:val="65EC7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F255F"/>
    <w:multiLevelType w:val="hybridMultilevel"/>
    <w:tmpl w:val="E10AE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C5115A"/>
    <w:multiLevelType w:val="hybridMultilevel"/>
    <w:tmpl w:val="DD6ABCAE"/>
    <w:lvl w:ilvl="0" w:tplc="FFFFFFFF">
      <w:start w:val="1"/>
      <w:numFmt w:val="bullet"/>
      <w:lvlText w:val=""/>
      <w:lvlJc w:val="left"/>
      <w:pPr>
        <w:tabs>
          <w:tab w:val="num" w:pos="360"/>
        </w:tabs>
        <w:ind w:left="36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94C72"/>
    <w:multiLevelType w:val="hybridMultilevel"/>
    <w:tmpl w:val="CCB0F1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680D79E6"/>
    <w:multiLevelType w:val="multilevel"/>
    <w:tmpl w:val="C4580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A00B24"/>
    <w:multiLevelType w:val="hybridMultilevel"/>
    <w:tmpl w:val="156AF85E"/>
    <w:lvl w:ilvl="0" w:tplc="4542846C">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7"/>
  </w:num>
  <w:num w:numId="6">
    <w:abstractNumId w:val="6"/>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7D"/>
    <w:rsid w:val="000008AE"/>
    <w:rsid w:val="00081179"/>
    <w:rsid w:val="00083ABD"/>
    <w:rsid w:val="0009437E"/>
    <w:rsid w:val="000D6E1A"/>
    <w:rsid w:val="000E104B"/>
    <w:rsid w:val="000F69DD"/>
    <w:rsid w:val="00183939"/>
    <w:rsid w:val="001A6FAE"/>
    <w:rsid w:val="00327569"/>
    <w:rsid w:val="0033063D"/>
    <w:rsid w:val="00331129"/>
    <w:rsid w:val="00331698"/>
    <w:rsid w:val="0035295A"/>
    <w:rsid w:val="00353144"/>
    <w:rsid w:val="003635CF"/>
    <w:rsid w:val="0042487D"/>
    <w:rsid w:val="00436756"/>
    <w:rsid w:val="00495EE4"/>
    <w:rsid w:val="005D2EC2"/>
    <w:rsid w:val="005D4E0F"/>
    <w:rsid w:val="005E3008"/>
    <w:rsid w:val="00603AE5"/>
    <w:rsid w:val="00621216"/>
    <w:rsid w:val="006A393D"/>
    <w:rsid w:val="00706F93"/>
    <w:rsid w:val="007337B0"/>
    <w:rsid w:val="00741DB9"/>
    <w:rsid w:val="00773F0F"/>
    <w:rsid w:val="007C49F5"/>
    <w:rsid w:val="007D000A"/>
    <w:rsid w:val="0084349E"/>
    <w:rsid w:val="008630AB"/>
    <w:rsid w:val="008637EA"/>
    <w:rsid w:val="00887E5A"/>
    <w:rsid w:val="0091018C"/>
    <w:rsid w:val="00973642"/>
    <w:rsid w:val="00AC4D35"/>
    <w:rsid w:val="00B50501"/>
    <w:rsid w:val="00B76586"/>
    <w:rsid w:val="00B85C32"/>
    <w:rsid w:val="00BE07BC"/>
    <w:rsid w:val="00C143D2"/>
    <w:rsid w:val="00C26E7D"/>
    <w:rsid w:val="00C53E11"/>
    <w:rsid w:val="00C65106"/>
    <w:rsid w:val="00C970A2"/>
    <w:rsid w:val="00CC3A9F"/>
    <w:rsid w:val="00D72726"/>
    <w:rsid w:val="00DF38E4"/>
    <w:rsid w:val="00E97E03"/>
    <w:rsid w:val="00F65F3F"/>
    <w:rsid w:val="00F774A5"/>
    <w:rsid w:val="00F91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83600"/>
  <w15:chartTrackingRefBased/>
  <w15:docId w15:val="{C6C3FC4F-7107-4C2E-9539-70ECDE04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E7D"/>
    <w:pPr>
      <w:spacing w:after="200" w:line="276" w:lineRule="auto"/>
    </w:pPr>
  </w:style>
  <w:style w:type="paragraph" w:styleId="Heading1">
    <w:name w:val="heading 1"/>
    <w:basedOn w:val="Normal"/>
    <w:next w:val="Normal"/>
    <w:link w:val="Heading1Char"/>
    <w:uiPriority w:val="9"/>
    <w:qFormat/>
    <w:rsid w:val="00C26E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26E7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26E7D"/>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D000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E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C26E7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26E7D"/>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C26E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E7D"/>
  </w:style>
  <w:style w:type="paragraph" w:styleId="Footer">
    <w:name w:val="footer"/>
    <w:basedOn w:val="Normal"/>
    <w:link w:val="FooterChar"/>
    <w:uiPriority w:val="99"/>
    <w:unhideWhenUsed/>
    <w:rsid w:val="00C26E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E7D"/>
  </w:style>
  <w:style w:type="paragraph" w:styleId="FootnoteText">
    <w:name w:val="footnote text"/>
    <w:basedOn w:val="Normal"/>
    <w:link w:val="FootnoteTextChar"/>
    <w:semiHidden/>
    <w:unhideWhenUsed/>
    <w:rsid w:val="00C26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E7D"/>
    <w:rPr>
      <w:sz w:val="20"/>
      <w:szCs w:val="20"/>
    </w:rPr>
  </w:style>
  <w:style w:type="character" w:styleId="FootnoteReference">
    <w:name w:val="footnote reference"/>
    <w:basedOn w:val="DefaultParagraphFont"/>
    <w:semiHidden/>
    <w:unhideWhenUsed/>
    <w:rsid w:val="00C26E7D"/>
    <w:rPr>
      <w:vertAlign w:val="superscript"/>
    </w:rPr>
  </w:style>
  <w:style w:type="character" w:styleId="Hyperlink">
    <w:name w:val="Hyperlink"/>
    <w:basedOn w:val="DefaultParagraphFont"/>
    <w:uiPriority w:val="99"/>
    <w:unhideWhenUsed/>
    <w:rsid w:val="00C26E7D"/>
    <w:rPr>
      <w:color w:val="0563C1" w:themeColor="hyperlink"/>
      <w:u w:val="single"/>
    </w:rPr>
  </w:style>
  <w:style w:type="paragraph" w:styleId="NormalWeb">
    <w:name w:val="Normal (Web)"/>
    <w:basedOn w:val="Normal"/>
    <w:uiPriority w:val="99"/>
    <w:semiHidden/>
    <w:unhideWhenUsed/>
    <w:rsid w:val="00C26E7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7D000A"/>
    <w:rPr>
      <w:rFonts w:asciiTheme="majorHAnsi" w:eastAsiaTheme="majorEastAsia" w:hAnsiTheme="majorHAnsi" w:cstheme="majorBidi"/>
      <w:i/>
      <w:iCs/>
      <w:color w:val="2E74B5" w:themeColor="accent1" w:themeShade="BF"/>
    </w:rPr>
  </w:style>
  <w:style w:type="paragraph" w:customStyle="1" w:styleId="StyleNormal">
    <w:name w:val="Style Normal"/>
    <w:basedOn w:val="Normal"/>
    <w:autoRedefine/>
    <w:rsid w:val="007D000A"/>
    <w:pPr>
      <w:spacing w:after="0" w:line="240" w:lineRule="auto"/>
    </w:pPr>
    <w:rPr>
      <w:rFonts w:ascii="Harmony Text" w:eastAsia="Times New Roman" w:hAnsi="Harmony Text" w:cs="Times New Roman"/>
      <w:bCs/>
      <w:szCs w:val="20"/>
    </w:rPr>
  </w:style>
  <w:style w:type="character" w:customStyle="1" w:styleId="StyleHarmonyText">
    <w:name w:val="Style Harmony Text"/>
    <w:basedOn w:val="DefaultParagraphFont"/>
    <w:rsid w:val="007D000A"/>
    <w:rPr>
      <w:rFonts w:ascii="Harmony Text" w:hAnsi="Harmony Text"/>
      <w:sz w:val="22"/>
    </w:rPr>
  </w:style>
  <w:style w:type="character" w:styleId="CommentReference">
    <w:name w:val="annotation reference"/>
    <w:basedOn w:val="DefaultParagraphFont"/>
    <w:uiPriority w:val="99"/>
    <w:semiHidden/>
    <w:unhideWhenUsed/>
    <w:rsid w:val="00327569"/>
    <w:rPr>
      <w:sz w:val="16"/>
      <w:szCs w:val="16"/>
    </w:rPr>
  </w:style>
  <w:style w:type="paragraph" w:styleId="CommentText">
    <w:name w:val="annotation text"/>
    <w:basedOn w:val="Normal"/>
    <w:link w:val="CommentTextChar"/>
    <w:uiPriority w:val="99"/>
    <w:semiHidden/>
    <w:unhideWhenUsed/>
    <w:rsid w:val="00327569"/>
    <w:pPr>
      <w:spacing w:line="240" w:lineRule="auto"/>
    </w:pPr>
    <w:rPr>
      <w:sz w:val="20"/>
      <w:szCs w:val="20"/>
    </w:rPr>
  </w:style>
  <w:style w:type="character" w:customStyle="1" w:styleId="CommentTextChar">
    <w:name w:val="Comment Text Char"/>
    <w:basedOn w:val="DefaultParagraphFont"/>
    <w:link w:val="CommentText"/>
    <w:uiPriority w:val="99"/>
    <w:semiHidden/>
    <w:rsid w:val="00327569"/>
    <w:rPr>
      <w:sz w:val="20"/>
      <w:szCs w:val="20"/>
    </w:rPr>
  </w:style>
  <w:style w:type="paragraph" w:styleId="BalloonText">
    <w:name w:val="Balloon Text"/>
    <w:basedOn w:val="Normal"/>
    <w:link w:val="BalloonTextChar"/>
    <w:uiPriority w:val="99"/>
    <w:semiHidden/>
    <w:unhideWhenUsed/>
    <w:rsid w:val="00327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569"/>
    <w:rPr>
      <w:rFonts w:ascii="Segoe UI" w:hAnsi="Segoe UI" w:cs="Segoe UI"/>
      <w:sz w:val="18"/>
      <w:szCs w:val="18"/>
    </w:rPr>
  </w:style>
  <w:style w:type="paragraph" w:styleId="ListParagraph">
    <w:name w:val="List Paragraph"/>
    <w:basedOn w:val="Normal"/>
    <w:uiPriority w:val="34"/>
    <w:qFormat/>
    <w:rsid w:val="005D4E0F"/>
    <w:pPr>
      <w:spacing w:after="0" w:line="240" w:lineRule="auto"/>
      <w:ind w:left="720"/>
    </w:pPr>
    <w:rPr>
      <w:rFonts w:ascii="Calibri" w:hAnsi="Calibri" w:cs="Times New Roman"/>
    </w:rPr>
  </w:style>
  <w:style w:type="paragraph" w:customStyle="1" w:styleId="subtitleofdocument">
    <w:name w:val="subtitle of document"/>
    <w:basedOn w:val="Normal"/>
    <w:next w:val="Normal"/>
    <w:rsid w:val="003635CF"/>
    <w:pPr>
      <w:spacing w:before="1000" w:after="1000" w:line="240" w:lineRule="auto"/>
      <w:outlineLvl w:val="1"/>
    </w:pPr>
    <w:rPr>
      <w:rFonts w:asciiTheme="majorHAnsi" w:eastAsia="Times New Roman" w:hAnsiTheme="majorHAnsi" w:cs="Times New Roman"/>
      <w:b/>
      <w:bCs/>
      <w:color w:val="07478C"/>
      <w:sz w:val="36"/>
      <w:szCs w:val="20"/>
    </w:rPr>
  </w:style>
  <w:style w:type="paragraph" w:styleId="CommentSubject">
    <w:name w:val="annotation subject"/>
    <w:basedOn w:val="CommentText"/>
    <w:next w:val="CommentText"/>
    <w:link w:val="CommentSubjectChar"/>
    <w:uiPriority w:val="99"/>
    <w:semiHidden/>
    <w:unhideWhenUsed/>
    <w:rsid w:val="00773F0F"/>
    <w:rPr>
      <w:b/>
      <w:bCs/>
    </w:rPr>
  </w:style>
  <w:style w:type="character" w:customStyle="1" w:styleId="CommentSubjectChar">
    <w:name w:val="Comment Subject Char"/>
    <w:basedOn w:val="CommentTextChar"/>
    <w:link w:val="CommentSubject"/>
    <w:uiPriority w:val="99"/>
    <w:semiHidden/>
    <w:rsid w:val="00773F0F"/>
    <w:rPr>
      <w:b/>
      <w:bCs/>
      <w:sz w:val="20"/>
      <w:szCs w:val="20"/>
    </w:rPr>
  </w:style>
  <w:style w:type="paragraph" w:styleId="Revision">
    <w:name w:val="Revision"/>
    <w:hidden/>
    <w:uiPriority w:val="99"/>
    <w:semiHidden/>
    <w:rsid w:val="00773F0F"/>
    <w:pPr>
      <w:spacing w:after="0" w:line="240" w:lineRule="auto"/>
    </w:pPr>
  </w:style>
  <w:style w:type="paragraph" w:customStyle="1" w:styleId="Default">
    <w:name w:val="Default"/>
    <w:rsid w:val="00DF38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40755">
      <w:bodyDiv w:val="1"/>
      <w:marLeft w:val="0"/>
      <w:marRight w:val="0"/>
      <w:marTop w:val="0"/>
      <w:marBottom w:val="0"/>
      <w:divBdr>
        <w:top w:val="none" w:sz="0" w:space="0" w:color="auto"/>
        <w:left w:val="none" w:sz="0" w:space="0" w:color="auto"/>
        <w:bottom w:val="none" w:sz="0" w:space="0" w:color="auto"/>
        <w:right w:val="none" w:sz="0" w:space="0" w:color="auto"/>
      </w:divBdr>
    </w:div>
    <w:div w:id="16456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lstra.com.au/ism/regulatory/standardtelephoneservice.asp"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acma.gov.au/theACMA/engage-blogs/engage-blogs/Research-snapshots/Older-Australians-resist-cutting-the-cord" TargetMode="External"/><Relationship Id="rId1" Type="http://schemas.openxmlformats.org/officeDocument/2006/relationships/hyperlink" Target="http://www.acma.gov.au/theACMA/engage-blogs/engage-blogs/Research-snapshots/Mobile-only-Australians-top-over-3-m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3F8EF-DC7A-4176-804D-195822EDAEBA}"/>
</file>

<file path=customXml/itemProps2.xml><?xml version="1.0" encoding="utf-8"?>
<ds:datastoreItem xmlns:ds="http://schemas.openxmlformats.org/officeDocument/2006/customXml" ds:itemID="{111CC978-860A-4EB9-BA5E-DEE60324144C}"/>
</file>

<file path=customXml/itemProps3.xml><?xml version="1.0" encoding="utf-8"?>
<ds:datastoreItem xmlns:ds="http://schemas.openxmlformats.org/officeDocument/2006/customXml" ds:itemID="{F40BCD18-61F1-4139-B0D8-D45E4925BB4A}"/>
</file>

<file path=customXml/itemProps4.xml><?xml version="1.0" encoding="utf-8"?>
<ds:datastoreItem xmlns:ds="http://schemas.openxmlformats.org/officeDocument/2006/customXml" ds:itemID="{9971119D-152C-49DF-8805-D4558C2BBBCA}"/>
</file>

<file path=docProps/app.xml><?xml version="1.0" encoding="utf-8"?>
<Properties xmlns="http://schemas.openxmlformats.org/officeDocument/2006/extended-properties" xmlns:vt="http://schemas.openxmlformats.org/officeDocument/2006/docPropsVTypes">
  <Template>1A4255F7.dotm</Template>
  <TotalTime>0</TotalTime>
  <Pages>6</Pages>
  <Words>1339</Words>
  <Characters>7593</Characters>
  <Application>Microsoft Office Word</Application>
  <DocSecurity>4</DocSecurity>
  <Lines>132</Lines>
  <Paragraphs>43</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submission to DOCA NRS review May 2016_FINAL.docx</dc:title>
  <dc:subject/>
  <dc:creator>Dawson, Emma</dc:creator>
  <cp:keywords/>
  <dc:description/>
  <cp:lastModifiedBy>Mudford, Kelly</cp:lastModifiedBy>
  <cp:revision>2</cp:revision>
  <dcterms:created xsi:type="dcterms:W3CDTF">2016-05-19T03:39:00Z</dcterms:created>
  <dcterms:modified xsi:type="dcterms:W3CDTF">2016-05-19T03:39:00Z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1</vt:i4>
  </property>
</Properties>
</file>