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FC9" w:rsidRPr="00400F0F" w:rsidRDefault="00073FC9" w:rsidP="00073FC9">
      <w:pPr>
        <w:pStyle w:val="BodyText"/>
        <w:rPr>
          <w:rFonts w:asciiTheme="minorHAnsi" w:hAnsiTheme="minorHAnsi"/>
        </w:rPr>
      </w:pPr>
      <w:bookmarkStart w:id="0" w:name="_GoBack"/>
      <w:bookmarkEnd w:id="0"/>
      <w:r w:rsidRPr="00400F0F">
        <w:rPr>
          <w:rFonts w:asciiTheme="minorHAnsi" w:hAnsiTheme="minorHAnsi"/>
        </w:rPr>
        <w:t>The Project Manager</w:t>
      </w:r>
    </w:p>
    <w:p w:rsidR="00073FC9" w:rsidRPr="00400F0F" w:rsidRDefault="00073FC9" w:rsidP="00073FC9">
      <w:pPr>
        <w:pStyle w:val="BodyText"/>
        <w:rPr>
          <w:rFonts w:asciiTheme="minorHAnsi" w:hAnsiTheme="minorHAnsi"/>
        </w:rPr>
      </w:pPr>
      <w:r w:rsidRPr="00400F0F">
        <w:rPr>
          <w:rFonts w:asciiTheme="minorHAnsi" w:hAnsiTheme="minorHAnsi"/>
        </w:rPr>
        <w:t>Spectrum Review</w:t>
      </w:r>
    </w:p>
    <w:p w:rsidR="00073FC9" w:rsidRPr="00400F0F" w:rsidRDefault="00073FC9" w:rsidP="00073FC9">
      <w:pPr>
        <w:pStyle w:val="BodyText"/>
        <w:rPr>
          <w:rFonts w:asciiTheme="minorHAnsi" w:hAnsiTheme="minorHAnsi"/>
        </w:rPr>
      </w:pPr>
      <w:r w:rsidRPr="00400F0F">
        <w:rPr>
          <w:rFonts w:asciiTheme="minorHAnsi" w:hAnsiTheme="minorHAnsi"/>
        </w:rPr>
        <w:t>Department of Communications</w:t>
      </w:r>
    </w:p>
    <w:p w:rsidR="00073FC9" w:rsidRPr="00400F0F" w:rsidRDefault="00073FC9" w:rsidP="00073FC9">
      <w:pPr>
        <w:pStyle w:val="BodyText"/>
        <w:rPr>
          <w:rFonts w:asciiTheme="minorHAnsi" w:hAnsiTheme="minorHAnsi"/>
        </w:rPr>
      </w:pPr>
      <w:r w:rsidRPr="00400F0F">
        <w:rPr>
          <w:rFonts w:asciiTheme="minorHAnsi" w:hAnsiTheme="minorHAnsi"/>
        </w:rPr>
        <w:t xml:space="preserve">GPO Box 2154  </w:t>
      </w:r>
    </w:p>
    <w:p w:rsidR="00073FC9" w:rsidRPr="00400F0F" w:rsidRDefault="00073FC9" w:rsidP="00073FC9">
      <w:pPr>
        <w:pStyle w:val="BodyText"/>
        <w:rPr>
          <w:rFonts w:asciiTheme="minorHAnsi" w:hAnsiTheme="minorHAnsi"/>
        </w:rPr>
      </w:pPr>
      <w:r w:rsidRPr="00400F0F">
        <w:rPr>
          <w:rFonts w:asciiTheme="minorHAnsi" w:hAnsiTheme="minorHAnsi"/>
        </w:rPr>
        <w:t>CANBERRA ACT 2601</w:t>
      </w:r>
    </w:p>
    <w:p w:rsidR="00073FC9" w:rsidRPr="00400F0F" w:rsidRDefault="00073FC9" w:rsidP="00073FC9">
      <w:pPr>
        <w:pStyle w:val="BodyText"/>
        <w:rPr>
          <w:rFonts w:asciiTheme="minorHAnsi" w:hAnsiTheme="minorHAnsi"/>
        </w:rPr>
      </w:pPr>
    </w:p>
    <w:p w:rsidR="00073FC9" w:rsidRPr="00400F0F" w:rsidRDefault="00073FC9" w:rsidP="00073FC9">
      <w:pPr>
        <w:pStyle w:val="BodyText"/>
        <w:rPr>
          <w:rFonts w:asciiTheme="minorHAnsi" w:hAnsiTheme="minorHAnsi"/>
        </w:rPr>
      </w:pPr>
      <w:r w:rsidRPr="00400F0F">
        <w:rPr>
          <w:rFonts w:asciiTheme="minorHAnsi" w:hAnsiTheme="minorHAnsi"/>
        </w:rPr>
        <w:t>Dear Sir,</w:t>
      </w:r>
    </w:p>
    <w:p w:rsidR="00073FC9" w:rsidRPr="00400F0F" w:rsidRDefault="00073FC9" w:rsidP="00073FC9">
      <w:pPr>
        <w:pStyle w:val="BodyText"/>
        <w:rPr>
          <w:rFonts w:asciiTheme="minorHAnsi" w:hAnsiTheme="minorHAnsi"/>
        </w:rPr>
      </w:pPr>
      <w:r w:rsidRPr="00400F0F">
        <w:rPr>
          <w:rFonts w:asciiTheme="minorHAnsi" w:hAnsiTheme="minorHAnsi"/>
        </w:rPr>
        <w:t>Thank you for allowing me to comment further on your spectrum review.  I note that some of my earlier comments have been adopted in the current consultation: I hope you find the following comment</w:t>
      </w:r>
      <w:r>
        <w:rPr>
          <w:rFonts w:asciiTheme="minorHAnsi" w:hAnsiTheme="minorHAnsi"/>
        </w:rPr>
        <w:t>s</w:t>
      </w:r>
      <w:r w:rsidRPr="00400F0F">
        <w:rPr>
          <w:rFonts w:asciiTheme="minorHAnsi" w:hAnsiTheme="minorHAnsi"/>
        </w:rPr>
        <w:t xml:space="preserve"> both thought inspiring, challenging the status quo  and most of all, providing a catalyst for your ongoing review into spectrum. </w:t>
      </w:r>
    </w:p>
    <w:p w:rsidR="00073FC9" w:rsidRPr="00400F0F" w:rsidRDefault="00073FC9" w:rsidP="00073FC9">
      <w:pPr>
        <w:pStyle w:val="BodyText"/>
        <w:rPr>
          <w:rFonts w:asciiTheme="minorHAnsi" w:hAnsiTheme="minorHAnsi"/>
        </w:rPr>
      </w:pPr>
      <w:r>
        <w:rPr>
          <w:rFonts w:asciiTheme="minorHAnsi" w:hAnsiTheme="minorHAnsi"/>
        </w:rPr>
        <w:t>As an independent ACMA Accredited P</w:t>
      </w:r>
      <w:r w:rsidRPr="00400F0F">
        <w:rPr>
          <w:rFonts w:asciiTheme="minorHAnsi" w:hAnsiTheme="minorHAnsi"/>
        </w:rPr>
        <w:t>erson, I am particularly pleased to see the focus on greater private sector involvement in the technical management of spectrum: I would welcome any opportunity to take on a rol</w:t>
      </w:r>
      <w:r>
        <w:rPr>
          <w:rFonts w:asciiTheme="minorHAnsi" w:hAnsiTheme="minorHAnsi"/>
        </w:rPr>
        <w:t xml:space="preserve">e of </w:t>
      </w:r>
      <w:r w:rsidRPr="00400F0F">
        <w:rPr>
          <w:rFonts w:asciiTheme="minorHAnsi" w:hAnsiTheme="minorHAnsi"/>
        </w:rPr>
        <w:t xml:space="preserve">a band </w:t>
      </w:r>
      <w:r>
        <w:rPr>
          <w:rFonts w:asciiTheme="minorHAnsi" w:hAnsiTheme="minorHAnsi"/>
        </w:rPr>
        <w:t>(</w:t>
      </w:r>
      <w:r w:rsidRPr="00400F0F">
        <w:rPr>
          <w:rFonts w:asciiTheme="minorHAnsi" w:hAnsiTheme="minorHAnsi"/>
        </w:rPr>
        <w:t>spectrum</w:t>
      </w:r>
      <w:r>
        <w:rPr>
          <w:rFonts w:asciiTheme="minorHAnsi" w:hAnsiTheme="minorHAnsi"/>
        </w:rPr>
        <w:t>)</w:t>
      </w:r>
      <w:r w:rsidRPr="00400F0F">
        <w:rPr>
          <w:rFonts w:asciiTheme="minorHAnsi" w:hAnsiTheme="minorHAnsi"/>
        </w:rPr>
        <w:t xml:space="preserve"> manager, should the proposal be adopted.</w:t>
      </w:r>
    </w:p>
    <w:p w:rsidR="00073FC9" w:rsidRPr="00400F0F" w:rsidRDefault="00073FC9" w:rsidP="00073FC9">
      <w:pPr>
        <w:pStyle w:val="BodyText"/>
        <w:rPr>
          <w:rFonts w:asciiTheme="minorHAnsi" w:hAnsiTheme="minorHAnsi"/>
        </w:rPr>
      </w:pPr>
      <w:r>
        <w:rPr>
          <w:rFonts w:asciiTheme="minorHAnsi" w:hAnsiTheme="minorHAnsi"/>
        </w:rPr>
        <w:t>Response to your “questions for stakeholders”</w:t>
      </w:r>
      <w:r w:rsidRPr="00400F0F">
        <w:rPr>
          <w:rFonts w:asciiTheme="minorHAnsi" w:hAnsiTheme="minorHAnsi"/>
        </w:rPr>
        <w:t xml:space="preserve">: </w:t>
      </w:r>
    </w:p>
    <w:p w:rsidR="00073FC9" w:rsidRPr="00400F0F" w:rsidRDefault="00073FC9" w:rsidP="00073FC9">
      <w:pPr>
        <w:pStyle w:val="BodyText"/>
        <w:numPr>
          <w:ilvl w:val="0"/>
          <w:numId w:val="1"/>
        </w:numPr>
        <w:spacing w:before="120" w:after="120"/>
        <w:rPr>
          <w:rFonts w:asciiTheme="minorHAnsi" w:hAnsiTheme="minorHAnsi"/>
        </w:rPr>
      </w:pPr>
      <w:r w:rsidRPr="00400F0F">
        <w:rPr>
          <w:rFonts w:asciiTheme="minorHAnsi" w:hAnsiTheme="minorHAnsi"/>
        </w:rPr>
        <w:t>What changes should be made to the proposals outlined in this paper to make them work more effectively?</w:t>
      </w:r>
    </w:p>
    <w:p w:rsidR="00073FC9" w:rsidRDefault="00073FC9" w:rsidP="00073FC9">
      <w:pPr>
        <w:pStyle w:val="ListParagraph"/>
        <w:spacing w:after="120"/>
        <w:ind w:left="0"/>
        <w:rPr>
          <w:b/>
          <w:i/>
        </w:rPr>
      </w:pPr>
      <w:r w:rsidRPr="005909F6">
        <w:rPr>
          <w:b/>
          <w:i/>
        </w:rPr>
        <w:t xml:space="preserve">Comment: </w:t>
      </w:r>
      <w:r>
        <w:rPr>
          <w:b/>
          <w:i/>
        </w:rPr>
        <w:t xml:space="preserve">P1  </w:t>
      </w:r>
    </w:p>
    <w:p w:rsidR="00073FC9" w:rsidRDefault="00073FC9" w:rsidP="00073FC9">
      <w:pPr>
        <w:pStyle w:val="ListParagraph"/>
        <w:spacing w:after="120"/>
        <w:ind w:left="0"/>
        <w:rPr>
          <w:b/>
          <w:i/>
        </w:rPr>
      </w:pPr>
    </w:p>
    <w:p w:rsidR="00073FC9" w:rsidRPr="00C84290" w:rsidRDefault="00073FC9" w:rsidP="00073FC9">
      <w:pPr>
        <w:pStyle w:val="ListParagraph"/>
        <w:spacing w:after="120"/>
        <w:ind w:left="0"/>
        <w:rPr>
          <w:b/>
          <w:i/>
        </w:rPr>
      </w:pPr>
      <w:r w:rsidRPr="005909F6">
        <w:rPr>
          <w:b/>
          <w:i/>
        </w:rPr>
        <w:t>The whole purpose of the 92’ Act was inter-alia to give the regulator “ACMA” independence from the Department/Minister.  In this proposal, would the ACMA still be needed or would it become a part of the Department as it was in the early nineties?</w:t>
      </w:r>
    </w:p>
    <w:p w:rsidR="00073FC9" w:rsidRPr="00B929ED" w:rsidRDefault="00073FC9" w:rsidP="00073FC9">
      <w:pPr>
        <w:pStyle w:val="Heading2"/>
        <w:numPr>
          <w:ilvl w:val="1"/>
          <w:numId w:val="0"/>
        </w:numPr>
        <w:ind w:left="907" w:hanging="907"/>
        <w:rPr>
          <w:rFonts w:asciiTheme="minorHAnsi" w:hAnsiTheme="minorHAnsi"/>
          <w:b/>
          <w:i/>
          <w:color w:val="000000"/>
          <w:sz w:val="22"/>
        </w:rPr>
      </w:pPr>
      <w:r w:rsidRPr="00B929ED">
        <w:rPr>
          <w:rFonts w:asciiTheme="minorHAnsi" w:hAnsiTheme="minorHAnsi"/>
          <w:b/>
          <w:i/>
          <w:color w:val="000000"/>
          <w:sz w:val="22"/>
        </w:rPr>
        <w:t>Comment:</w:t>
      </w:r>
      <w:r>
        <w:rPr>
          <w:rFonts w:asciiTheme="minorHAnsi" w:hAnsiTheme="minorHAnsi"/>
          <w:b/>
          <w:i/>
          <w:color w:val="000000"/>
          <w:sz w:val="22"/>
        </w:rPr>
        <w:t>P2</w:t>
      </w:r>
    </w:p>
    <w:p w:rsidR="00073FC9" w:rsidRPr="00B929ED" w:rsidRDefault="00073FC9" w:rsidP="00073FC9">
      <w:pPr>
        <w:pStyle w:val="BodyText"/>
        <w:spacing w:before="120" w:after="120"/>
        <w:rPr>
          <w:b/>
          <w:i/>
        </w:rPr>
      </w:pPr>
      <w:r>
        <w:rPr>
          <w:rFonts w:asciiTheme="minorHAnsi" w:hAnsiTheme="minorHAnsi"/>
          <w:b/>
          <w:i/>
          <w:color w:val="000000"/>
        </w:rPr>
        <w:t>Why limit a</w:t>
      </w:r>
      <w:r w:rsidRPr="00B929ED">
        <w:rPr>
          <w:rFonts w:asciiTheme="minorHAnsi" w:hAnsiTheme="minorHAnsi"/>
          <w:b/>
          <w:i/>
          <w:color w:val="000000"/>
        </w:rPr>
        <w:t xml:space="preserve"> </w:t>
      </w:r>
      <w:r>
        <w:rPr>
          <w:rFonts w:asciiTheme="minorHAnsi" w:hAnsiTheme="minorHAnsi"/>
          <w:b/>
          <w:i/>
          <w:color w:val="000000"/>
        </w:rPr>
        <w:t xml:space="preserve">licence  period to </w:t>
      </w:r>
      <w:r w:rsidRPr="00B929ED">
        <w:rPr>
          <w:rFonts w:asciiTheme="minorHAnsi" w:hAnsiTheme="minorHAnsi"/>
          <w:b/>
          <w:i/>
          <w:color w:val="000000"/>
        </w:rPr>
        <w:t xml:space="preserve">15 years?  Some services -like RAS </w:t>
      </w:r>
      <w:r>
        <w:rPr>
          <w:rFonts w:asciiTheme="minorHAnsi" w:hAnsiTheme="minorHAnsi"/>
          <w:b/>
          <w:i/>
          <w:color w:val="000000"/>
        </w:rPr>
        <w:t>with its spectrum defined by the laws of nature</w:t>
      </w:r>
      <w:r w:rsidRPr="00B929ED">
        <w:rPr>
          <w:rFonts w:asciiTheme="minorHAnsi" w:hAnsiTheme="minorHAnsi"/>
          <w:b/>
          <w:i/>
          <w:color w:val="000000"/>
        </w:rPr>
        <w:t>-presumably would desire a perpetual licence period.</w:t>
      </w:r>
      <w:r>
        <w:rPr>
          <w:rFonts w:asciiTheme="minorHAnsi" w:hAnsiTheme="minorHAnsi"/>
          <w:b/>
          <w:i/>
          <w:color w:val="000000"/>
        </w:rPr>
        <w:t xml:space="preserve"> </w:t>
      </w:r>
      <w:r>
        <w:rPr>
          <w:b/>
          <w:i/>
        </w:rPr>
        <w:t xml:space="preserve"> </w:t>
      </w:r>
      <w:r w:rsidRPr="00B929ED">
        <w:rPr>
          <w:b/>
          <w:i/>
        </w:rPr>
        <w:t xml:space="preserve">As noted in your proposal </w:t>
      </w:r>
      <w:r>
        <w:rPr>
          <w:b/>
          <w:i/>
        </w:rPr>
        <w:t>2,  the spectrum could be licens</w:t>
      </w:r>
      <w:r w:rsidRPr="00B929ED">
        <w:rPr>
          <w:b/>
          <w:i/>
        </w:rPr>
        <w:t>ed for a longer period: current Commonwealth leaseholds are</w:t>
      </w:r>
      <w:r>
        <w:rPr>
          <w:b/>
          <w:i/>
        </w:rPr>
        <w:t xml:space="preserve"> typically </w:t>
      </w:r>
      <w:r w:rsidRPr="00B929ED">
        <w:rPr>
          <w:b/>
          <w:i/>
        </w:rPr>
        <w:t xml:space="preserve"> up to 99 years- why should spectrum be treated differently?</w:t>
      </w:r>
    </w:p>
    <w:p w:rsidR="00073FC9" w:rsidRPr="00B929ED" w:rsidRDefault="00073FC9" w:rsidP="00073FC9">
      <w:pPr>
        <w:spacing w:before="120" w:after="120"/>
        <w:rPr>
          <w:b/>
          <w:i/>
        </w:rPr>
      </w:pPr>
      <w:r w:rsidRPr="00B929ED">
        <w:rPr>
          <w:b/>
          <w:i/>
        </w:rPr>
        <w:t>Comment:</w:t>
      </w:r>
      <w:r>
        <w:rPr>
          <w:b/>
          <w:i/>
        </w:rPr>
        <w:t>P3</w:t>
      </w:r>
    </w:p>
    <w:p w:rsidR="00073FC9" w:rsidRPr="00B929ED" w:rsidRDefault="00073FC9" w:rsidP="00073FC9">
      <w:pPr>
        <w:spacing w:before="120" w:after="120"/>
        <w:rPr>
          <w:b/>
          <w:i/>
        </w:rPr>
      </w:pPr>
      <w:r w:rsidRPr="00B929ED">
        <w:rPr>
          <w:b/>
          <w:i/>
        </w:rPr>
        <w:t>The review should look at the dichotomy of spectrum service type (per the A</w:t>
      </w:r>
      <w:r>
        <w:rPr>
          <w:b/>
          <w:i/>
        </w:rPr>
        <w:t>ustralian Spectrum Plan) and licens</w:t>
      </w:r>
      <w:r w:rsidRPr="00B929ED">
        <w:rPr>
          <w:b/>
          <w:i/>
        </w:rPr>
        <w:t>ee end use (eg a licensee using mobile services spectrum allocations for broadcasting purposes).  It would appear that this section of the review is concerned with licensee end use</w:t>
      </w:r>
      <w:r>
        <w:rPr>
          <w:b/>
          <w:i/>
        </w:rPr>
        <w:t>,</w:t>
      </w:r>
      <w:r w:rsidRPr="00B929ED">
        <w:rPr>
          <w:b/>
          <w:i/>
        </w:rPr>
        <w:t xml:space="preserve"> rather than spectrum per se.  </w:t>
      </w:r>
    </w:p>
    <w:p w:rsidR="00073FC9" w:rsidRPr="00C84290" w:rsidRDefault="00073FC9" w:rsidP="00073FC9">
      <w:pPr>
        <w:spacing w:before="120" w:after="120"/>
        <w:rPr>
          <w:b/>
          <w:i/>
        </w:rPr>
      </w:pPr>
      <w:r w:rsidRPr="00B929ED">
        <w:rPr>
          <w:b/>
          <w:i/>
        </w:rPr>
        <w:t>Would the proposed band manager be responsible for only the spectrum management (engineering) aspects or the use to which spectrum is made? Or both?  Is the proposed band manager to hold “property rights” over the spectrum?</w:t>
      </w:r>
    </w:p>
    <w:p w:rsidR="00073FC9" w:rsidRPr="00B929ED" w:rsidRDefault="00073FC9" w:rsidP="00073FC9">
      <w:pPr>
        <w:pStyle w:val="BodyText"/>
        <w:rPr>
          <w:b/>
          <w:i/>
        </w:rPr>
      </w:pPr>
      <w:r w:rsidRPr="00B929ED">
        <w:rPr>
          <w:b/>
          <w:i/>
        </w:rPr>
        <w:lastRenderedPageBreak/>
        <w:t>The review should consider the nexus between spectrum use for a particular ITU service type (P-MP.FS, MSS etc) and licence holder end use (applications/media etc)  noting that the ITU WRC will address this issue in 2015.  The Department’s Convergence review highlighted the trend towards a given transport mechanism (cable,</w:t>
      </w:r>
      <w:r>
        <w:rPr>
          <w:b/>
          <w:i/>
        </w:rPr>
        <w:t xml:space="preserve"> </w:t>
      </w:r>
      <w:r w:rsidRPr="00B929ED">
        <w:rPr>
          <w:b/>
          <w:i/>
        </w:rPr>
        <w:t>FO, wireless spectrum etc) being used to serve many end user applications- often simultaneously.  Is there a case to merge the radiocommunications, telecommunication and broadcasting Acts into a single Act?</w:t>
      </w:r>
    </w:p>
    <w:p w:rsidR="00073FC9" w:rsidRDefault="00073FC9" w:rsidP="00073FC9">
      <w:pPr>
        <w:pStyle w:val="ListParagraph"/>
        <w:spacing w:after="120"/>
        <w:ind w:left="0"/>
        <w:rPr>
          <w:rFonts w:asciiTheme="minorHAnsi" w:hAnsiTheme="minorHAnsi" w:cs="Calibri"/>
          <w:b/>
          <w:i/>
        </w:rPr>
      </w:pPr>
      <w:r w:rsidRPr="00B929ED">
        <w:rPr>
          <w:rFonts w:asciiTheme="minorHAnsi" w:hAnsiTheme="minorHAnsi" w:cs="Calibri"/>
          <w:b/>
          <w:i/>
        </w:rPr>
        <w:t>Comment</w:t>
      </w:r>
      <w:r>
        <w:rPr>
          <w:rFonts w:asciiTheme="minorHAnsi" w:hAnsiTheme="minorHAnsi" w:cs="Calibri"/>
          <w:b/>
          <w:i/>
        </w:rPr>
        <w:t xml:space="preserve">:P4 </w:t>
      </w:r>
    </w:p>
    <w:p w:rsidR="00073FC9" w:rsidRDefault="00073FC9" w:rsidP="00073FC9">
      <w:pPr>
        <w:pStyle w:val="ListParagraph"/>
        <w:spacing w:after="120"/>
        <w:ind w:left="0"/>
        <w:rPr>
          <w:rFonts w:asciiTheme="minorHAnsi" w:hAnsiTheme="minorHAnsi" w:cs="Calibri"/>
          <w:b/>
          <w:i/>
        </w:rPr>
      </w:pPr>
    </w:p>
    <w:p w:rsidR="00073FC9" w:rsidRPr="00C84290" w:rsidRDefault="00073FC9" w:rsidP="00073FC9">
      <w:pPr>
        <w:pStyle w:val="ListParagraph"/>
        <w:spacing w:after="120"/>
        <w:ind w:left="0"/>
        <w:rPr>
          <w:rFonts w:asciiTheme="minorHAnsi" w:hAnsiTheme="minorHAnsi" w:cs="Calibri"/>
          <w:b/>
          <w:i/>
        </w:rPr>
      </w:pPr>
      <w:r w:rsidRPr="00B929ED">
        <w:rPr>
          <w:rFonts w:asciiTheme="minorHAnsi" w:hAnsiTheme="minorHAnsi" w:cs="Calibri"/>
          <w:b/>
          <w:i/>
        </w:rPr>
        <w:t xml:space="preserve"> It seems that</w:t>
      </w:r>
      <w:r>
        <w:rPr>
          <w:rFonts w:asciiTheme="minorHAnsi" w:hAnsiTheme="minorHAnsi" w:cs="Calibri"/>
          <w:b/>
          <w:i/>
        </w:rPr>
        <w:t>,</w:t>
      </w:r>
      <w:r w:rsidRPr="00B929ED">
        <w:rPr>
          <w:rFonts w:asciiTheme="minorHAnsi" w:hAnsiTheme="minorHAnsi" w:cs="Calibri"/>
          <w:b/>
          <w:i/>
        </w:rPr>
        <w:t xml:space="preserve"> by focussing on the price of spectrum, that we loose sight of the fact that the licensee who use</w:t>
      </w:r>
      <w:r>
        <w:rPr>
          <w:rFonts w:asciiTheme="minorHAnsi" w:hAnsiTheme="minorHAnsi" w:cs="Calibri"/>
          <w:b/>
          <w:i/>
        </w:rPr>
        <w:t>s</w:t>
      </w:r>
      <w:r w:rsidRPr="00B929ED">
        <w:rPr>
          <w:rFonts w:asciiTheme="minorHAnsi" w:hAnsiTheme="minorHAnsi" w:cs="Calibri"/>
          <w:b/>
          <w:i/>
        </w:rPr>
        <w:t xml:space="preserve"> spectrum for the “highest value” would then pay more company tax due to </w:t>
      </w:r>
      <w:r>
        <w:rPr>
          <w:rFonts w:asciiTheme="minorHAnsi" w:hAnsiTheme="minorHAnsi" w:cs="Calibri"/>
          <w:b/>
          <w:i/>
        </w:rPr>
        <w:t xml:space="preserve">higher </w:t>
      </w:r>
      <w:r w:rsidRPr="00B929ED">
        <w:rPr>
          <w:rFonts w:asciiTheme="minorHAnsi" w:hAnsiTheme="minorHAnsi" w:cs="Calibri"/>
          <w:b/>
          <w:i/>
        </w:rPr>
        <w:t xml:space="preserve">profits etc.  The review should look more holistically on the need to recover tax/revenue for economic activity (noted in the preface to be in the </w:t>
      </w:r>
      <w:r>
        <w:rPr>
          <w:rFonts w:asciiTheme="minorHAnsi" w:hAnsiTheme="minorHAnsi" w:cs="Calibri"/>
          <w:b/>
          <w:i/>
        </w:rPr>
        <w:t>“</w:t>
      </w:r>
      <w:r w:rsidRPr="00B929ED">
        <w:rPr>
          <w:rFonts w:asciiTheme="minorHAnsi" w:hAnsiTheme="minorHAnsi" w:cs="Calibri"/>
          <w:b/>
          <w:i/>
        </w:rPr>
        <w:t>billions</w:t>
      </w:r>
      <w:r>
        <w:rPr>
          <w:rFonts w:asciiTheme="minorHAnsi" w:hAnsiTheme="minorHAnsi" w:cs="Calibri"/>
          <w:b/>
          <w:i/>
        </w:rPr>
        <w:t>”</w:t>
      </w:r>
      <w:r w:rsidRPr="00B929ED">
        <w:rPr>
          <w:rFonts w:asciiTheme="minorHAnsi" w:hAnsiTheme="minorHAnsi" w:cs="Calibri"/>
          <w:b/>
          <w:i/>
        </w:rPr>
        <w:t xml:space="preserve">) from the need to tax  economic </w:t>
      </w:r>
      <w:r>
        <w:rPr>
          <w:rFonts w:asciiTheme="minorHAnsi" w:hAnsiTheme="minorHAnsi" w:cs="Calibri"/>
          <w:b/>
          <w:i/>
        </w:rPr>
        <w:t xml:space="preserve">resource </w:t>
      </w:r>
      <w:r w:rsidRPr="00B929ED">
        <w:rPr>
          <w:rFonts w:asciiTheme="minorHAnsi" w:hAnsiTheme="minorHAnsi" w:cs="Calibri"/>
          <w:b/>
          <w:i/>
        </w:rPr>
        <w:t>input</w:t>
      </w:r>
      <w:r>
        <w:rPr>
          <w:rFonts w:asciiTheme="minorHAnsi" w:hAnsiTheme="minorHAnsi" w:cs="Calibri"/>
          <w:b/>
          <w:i/>
        </w:rPr>
        <w:t>s to vital</w:t>
      </w:r>
      <w:r w:rsidRPr="00B929ED">
        <w:rPr>
          <w:rFonts w:asciiTheme="minorHAnsi" w:hAnsiTheme="minorHAnsi" w:cs="Calibri"/>
          <w:b/>
          <w:i/>
        </w:rPr>
        <w:t xml:space="preserve"> infrastructure ie spectrum</w:t>
      </w:r>
      <w:r>
        <w:rPr>
          <w:rFonts w:asciiTheme="minorHAnsi" w:hAnsiTheme="minorHAnsi" w:cs="Calibri"/>
          <w:b/>
          <w:i/>
        </w:rPr>
        <w:t>.</w:t>
      </w:r>
    </w:p>
    <w:p w:rsidR="00073FC9" w:rsidRPr="00B929ED" w:rsidRDefault="00073FC9" w:rsidP="00073FC9">
      <w:pPr>
        <w:pStyle w:val="Default"/>
        <w:spacing w:before="120" w:after="120"/>
        <w:rPr>
          <w:rFonts w:cs="Times New Roman"/>
          <w:b/>
          <w:i/>
          <w:color w:val="auto"/>
          <w:sz w:val="22"/>
        </w:rPr>
      </w:pPr>
      <w:r w:rsidRPr="00B929ED">
        <w:rPr>
          <w:rFonts w:cs="Times New Roman"/>
          <w:b/>
          <w:i/>
          <w:color w:val="auto"/>
          <w:sz w:val="22"/>
        </w:rPr>
        <w:t>Comment</w:t>
      </w:r>
      <w:r>
        <w:rPr>
          <w:rFonts w:cs="Times New Roman"/>
          <w:b/>
          <w:i/>
          <w:color w:val="auto"/>
          <w:sz w:val="22"/>
        </w:rPr>
        <w:t>: P6</w:t>
      </w:r>
    </w:p>
    <w:p w:rsidR="00073FC9" w:rsidRDefault="00073FC9" w:rsidP="00073FC9">
      <w:pPr>
        <w:pStyle w:val="Default"/>
        <w:spacing w:before="120" w:after="120"/>
        <w:rPr>
          <w:rFonts w:cs="Times New Roman"/>
          <w:color w:val="auto"/>
          <w:sz w:val="22"/>
        </w:rPr>
      </w:pPr>
      <w:r w:rsidRPr="00B929ED">
        <w:rPr>
          <w:rFonts w:cs="Times New Roman"/>
          <w:b/>
          <w:i/>
          <w:color w:val="auto"/>
          <w:sz w:val="22"/>
        </w:rPr>
        <w:t>ACMA should provide access not only to the data but the tools needed to access and process it. Th</w:t>
      </w:r>
      <w:r>
        <w:rPr>
          <w:rFonts w:cs="Times New Roman"/>
          <w:b/>
          <w:i/>
          <w:color w:val="auto"/>
          <w:sz w:val="22"/>
        </w:rPr>
        <w:t>e ACMA spectrum management tool-</w:t>
      </w:r>
      <w:r w:rsidRPr="00B929ED">
        <w:rPr>
          <w:rFonts w:cs="Times New Roman"/>
          <w:b/>
          <w:i/>
          <w:color w:val="auto"/>
          <w:sz w:val="22"/>
        </w:rPr>
        <w:t>set is not available for us</w:t>
      </w:r>
      <w:r>
        <w:rPr>
          <w:rFonts w:cs="Times New Roman"/>
          <w:b/>
          <w:i/>
          <w:color w:val="auto"/>
          <w:sz w:val="22"/>
        </w:rPr>
        <w:t>e by spectrum professionals eg A</w:t>
      </w:r>
      <w:r w:rsidRPr="00B929ED">
        <w:rPr>
          <w:rFonts w:cs="Times New Roman"/>
          <w:b/>
          <w:i/>
          <w:color w:val="auto"/>
          <w:sz w:val="22"/>
        </w:rPr>
        <w:t>ccredi</w:t>
      </w:r>
      <w:r>
        <w:rPr>
          <w:rFonts w:cs="Times New Roman"/>
          <w:b/>
          <w:i/>
          <w:color w:val="auto"/>
          <w:sz w:val="22"/>
        </w:rPr>
        <w:t>ted P</w:t>
      </w:r>
      <w:r w:rsidRPr="00B929ED">
        <w:rPr>
          <w:rFonts w:cs="Times New Roman"/>
          <w:b/>
          <w:i/>
          <w:color w:val="auto"/>
          <w:sz w:val="22"/>
        </w:rPr>
        <w:t>ersons</w:t>
      </w:r>
      <w:r>
        <w:rPr>
          <w:rFonts w:cs="Times New Roman"/>
          <w:color w:val="auto"/>
          <w:sz w:val="22"/>
        </w:rPr>
        <w:t>.</w:t>
      </w:r>
    </w:p>
    <w:p w:rsidR="00073FC9" w:rsidRDefault="00073FC9" w:rsidP="00073FC9">
      <w:pPr>
        <w:pStyle w:val="BodyText"/>
        <w:spacing w:before="120" w:after="120"/>
        <w:rPr>
          <w:b/>
          <w:i/>
        </w:rPr>
      </w:pPr>
      <w:r w:rsidRPr="00B929ED">
        <w:rPr>
          <w:b/>
          <w:i/>
        </w:rPr>
        <w:t>Comment</w:t>
      </w:r>
      <w:r>
        <w:rPr>
          <w:b/>
          <w:i/>
        </w:rPr>
        <w:t>:P7</w:t>
      </w:r>
      <w:r w:rsidRPr="00B929ED">
        <w:rPr>
          <w:b/>
          <w:i/>
        </w:rPr>
        <w:t xml:space="preserve"> </w:t>
      </w:r>
    </w:p>
    <w:p w:rsidR="00073FC9" w:rsidRPr="00B929ED" w:rsidRDefault="00073FC9" w:rsidP="00073FC9">
      <w:pPr>
        <w:pStyle w:val="BodyText"/>
        <w:spacing w:before="120" w:after="120"/>
        <w:rPr>
          <w:b/>
          <w:i/>
        </w:rPr>
      </w:pPr>
      <w:r w:rsidRPr="00B929ED">
        <w:rPr>
          <w:b/>
          <w:i/>
        </w:rPr>
        <w:t>Even where no license fe</w:t>
      </w:r>
      <w:r>
        <w:rPr>
          <w:b/>
          <w:i/>
        </w:rPr>
        <w:t xml:space="preserve">e is payable, the user will have </w:t>
      </w:r>
      <w:r w:rsidRPr="00B929ED">
        <w:rPr>
          <w:b/>
          <w:i/>
        </w:rPr>
        <w:t xml:space="preserve"> invest</w:t>
      </w:r>
      <w:r>
        <w:rPr>
          <w:b/>
          <w:i/>
        </w:rPr>
        <w:t>ed</w:t>
      </w:r>
      <w:r w:rsidRPr="00B929ED">
        <w:rPr>
          <w:b/>
          <w:i/>
        </w:rPr>
        <w:t xml:space="preserve"> in receivers, transmitters etc- surely these assets</w:t>
      </w:r>
      <w:r>
        <w:rPr>
          <w:b/>
          <w:i/>
        </w:rPr>
        <w:t>-</w:t>
      </w:r>
      <w:r w:rsidRPr="00B929ED">
        <w:rPr>
          <w:b/>
          <w:i/>
        </w:rPr>
        <w:t xml:space="preserve"> that could end up being made worthless</w:t>
      </w:r>
      <w:r>
        <w:rPr>
          <w:b/>
          <w:i/>
        </w:rPr>
        <w:t>-</w:t>
      </w:r>
      <w:r w:rsidRPr="00B929ED">
        <w:rPr>
          <w:b/>
          <w:i/>
        </w:rPr>
        <w:t xml:space="preserve"> would require compliance with Sect 51(Cth).</w:t>
      </w:r>
    </w:p>
    <w:p w:rsidR="00073FC9" w:rsidRDefault="00073FC9" w:rsidP="00073FC9">
      <w:pPr>
        <w:pStyle w:val="BodyText"/>
        <w:spacing w:before="120" w:after="120"/>
        <w:rPr>
          <w:b/>
          <w:i/>
        </w:rPr>
      </w:pPr>
      <w:r w:rsidRPr="00B929ED">
        <w:rPr>
          <w:b/>
          <w:i/>
        </w:rPr>
        <w:t>Comment:</w:t>
      </w:r>
      <w:r>
        <w:rPr>
          <w:b/>
          <w:i/>
        </w:rPr>
        <w:t xml:space="preserve">P8 </w:t>
      </w:r>
      <w:r w:rsidRPr="00B929ED">
        <w:rPr>
          <w:b/>
          <w:i/>
        </w:rPr>
        <w:t xml:space="preserve"> </w:t>
      </w:r>
    </w:p>
    <w:p w:rsidR="00073FC9" w:rsidRDefault="00073FC9" w:rsidP="00073FC9">
      <w:pPr>
        <w:pStyle w:val="BodyText"/>
        <w:spacing w:before="120" w:after="120"/>
        <w:rPr>
          <w:b/>
          <w:i/>
        </w:rPr>
      </w:pPr>
      <w:r w:rsidRPr="00B929ED">
        <w:rPr>
          <w:b/>
          <w:i/>
        </w:rPr>
        <w:t xml:space="preserve">ACMA is currently doing </w:t>
      </w:r>
      <w:r>
        <w:rPr>
          <w:b/>
          <w:i/>
        </w:rPr>
        <w:t>this “band management” as contesta</w:t>
      </w:r>
      <w:r w:rsidRPr="00B929ED">
        <w:rPr>
          <w:b/>
          <w:i/>
        </w:rPr>
        <w:t xml:space="preserve">ble work in competition with the </w:t>
      </w:r>
      <w:r>
        <w:rPr>
          <w:b/>
          <w:i/>
        </w:rPr>
        <w:t>“private sector Accredited P</w:t>
      </w:r>
      <w:r w:rsidRPr="00B929ED">
        <w:rPr>
          <w:b/>
          <w:i/>
        </w:rPr>
        <w:t>ersons</w:t>
      </w:r>
      <w:r>
        <w:rPr>
          <w:b/>
          <w:i/>
        </w:rPr>
        <w:t>”</w:t>
      </w:r>
      <w:r w:rsidRPr="00B929ED">
        <w:rPr>
          <w:b/>
          <w:i/>
        </w:rPr>
        <w:t xml:space="preserve"> industry. </w:t>
      </w:r>
      <w:r>
        <w:rPr>
          <w:b/>
          <w:i/>
        </w:rPr>
        <w:t xml:space="preserve"> </w:t>
      </w:r>
      <w:r w:rsidRPr="00B929ED">
        <w:rPr>
          <w:b/>
          <w:i/>
        </w:rPr>
        <w:t xml:space="preserve">Should this continue in the new regulatory arrangement </w:t>
      </w:r>
      <w:r>
        <w:rPr>
          <w:b/>
          <w:i/>
        </w:rPr>
        <w:t>?  Accredited Persons should be given the full range of measures currently available to ACMA.  Competency of “band managers” should be determined by independent Professional body such as Engineers Australia.</w:t>
      </w:r>
    </w:p>
    <w:p w:rsidR="00073FC9" w:rsidRPr="00B929ED" w:rsidRDefault="00073FC9" w:rsidP="00073FC9">
      <w:pPr>
        <w:autoSpaceDE w:val="0"/>
        <w:autoSpaceDN w:val="0"/>
        <w:spacing w:before="120" w:after="120"/>
        <w:rPr>
          <w:b/>
          <w:i/>
        </w:rPr>
      </w:pPr>
      <w:r w:rsidRPr="00B929ED">
        <w:rPr>
          <w:b/>
          <w:i/>
        </w:rPr>
        <w:t>Comment:</w:t>
      </w:r>
      <w:r>
        <w:rPr>
          <w:b/>
          <w:i/>
        </w:rPr>
        <w:t>P9</w:t>
      </w:r>
    </w:p>
    <w:p w:rsidR="00073FC9" w:rsidRPr="00B929ED" w:rsidRDefault="00073FC9" w:rsidP="00073FC9">
      <w:pPr>
        <w:autoSpaceDE w:val="0"/>
        <w:autoSpaceDN w:val="0"/>
        <w:spacing w:before="120" w:after="120"/>
        <w:rPr>
          <w:b/>
          <w:i/>
        </w:rPr>
      </w:pPr>
      <w:r>
        <w:rPr>
          <w:b/>
          <w:i/>
        </w:rPr>
        <w:t>As we have little or non existe</w:t>
      </w:r>
      <w:r w:rsidRPr="00B929ED">
        <w:rPr>
          <w:b/>
          <w:i/>
        </w:rPr>
        <w:t>nt manufacturing capacity/capability and most (all?) standards are adopted from overseas, is there a case to just accept the products,</w:t>
      </w:r>
      <w:r>
        <w:rPr>
          <w:b/>
          <w:i/>
        </w:rPr>
        <w:t xml:space="preserve"> </w:t>
      </w:r>
      <w:r w:rsidRPr="00B929ED">
        <w:rPr>
          <w:b/>
          <w:i/>
        </w:rPr>
        <w:t xml:space="preserve">the interference framework to which they comply and their manufacturers compliance certification.   </w:t>
      </w:r>
    </w:p>
    <w:p w:rsidR="00073FC9" w:rsidRDefault="00073FC9" w:rsidP="00073FC9">
      <w:pPr>
        <w:spacing w:before="120" w:after="120"/>
        <w:rPr>
          <w:b/>
          <w:i/>
        </w:rPr>
      </w:pPr>
      <w:r w:rsidRPr="00B929ED">
        <w:rPr>
          <w:b/>
          <w:i/>
        </w:rPr>
        <w:t>Comment</w:t>
      </w:r>
      <w:r>
        <w:rPr>
          <w:b/>
          <w:i/>
        </w:rPr>
        <w:t>:P10</w:t>
      </w:r>
      <w:r w:rsidRPr="00B929ED">
        <w:rPr>
          <w:b/>
          <w:i/>
        </w:rPr>
        <w:t xml:space="preserve"> </w:t>
      </w:r>
    </w:p>
    <w:p w:rsidR="00073FC9" w:rsidRPr="00B929ED" w:rsidRDefault="00073FC9" w:rsidP="00073FC9">
      <w:pPr>
        <w:spacing w:before="120" w:after="120"/>
        <w:rPr>
          <w:b/>
          <w:i/>
        </w:rPr>
      </w:pPr>
      <w:r w:rsidRPr="00B929ED">
        <w:rPr>
          <w:b/>
          <w:i/>
        </w:rPr>
        <w:t>Could enforcement/compliance be harmon</w:t>
      </w:r>
      <w:r>
        <w:rPr>
          <w:b/>
          <w:i/>
        </w:rPr>
        <w:t>ised with that used under the Te</w:t>
      </w:r>
      <w:r w:rsidRPr="00B929ED">
        <w:rPr>
          <w:b/>
          <w:i/>
        </w:rPr>
        <w:t>lecommunications Act?</w:t>
      </w:r>
    </w:p>
    <w:p w:rsidR="00073FC9" w:rsidRPr="00B929ED" w:rsidRDefault="00073FC9" w:rsidP="00073FC9">
      <w:pPr>
        <w:spacing w:before="120" w:after="120"/>
        <w:rPr>
          <w:b/>
          <w:i/>
        </w:rPr>
      </w:pPr>
      <w:r w:rsidRPr="00B929ED">
        <w:rPr>
          <w:b/>
          <w:i/>
        </w:rPr>
        <w:t>With most(all?) supplies coming from abroad, would an Australian user be able to seek remedy from defective (interference producing equipment) from the overseas manufacturer</w:t>
      </w:r>
      <w:r>
        <w:rPr>
          <w:b/>
          <w:i/>
        </w:rPr>
        <w:t>? eg</w:t>
      </w:r>
      <w:r w:rsidRPr="00B929ED">
        <w:rPr>
          <w:b/>
          <w:i/>
        </w:rPr>
        <w:t xml:space="preserve"> </w:t>
      </w:r>
      <w:r>
        <w:rPr>
          <w:b/>
          <w:i/>
        </w:rPr>
        <w:t xml:space="preserve">under WTO? </w:t>
      </w:r>
    </w:p>
    <w:p w:rsidR="00073FC9" w:rsidRPr="00C84290" w:rsidRDefault="00073FC9" w:rsidP="00073FC9">
      <w:pPr>
        <w:pStyle w:val="BodyText"/>
        <w:spacing w:before="120" w:after="120"/>
        <w:rPr>
          <w:b/>
          <w:i/>
        </w:rPr>
      </w:pPr>
      <w:r w:rsidRPr="00C84290">
        <w:rPr>
          <w:b/>
          <w:i/>
        </w:rPr>
        <w:t>Comment</w:t>
      </w:r>
      <w:r>
        <w:rPr>
          <w:b/>
          <w:i/>
        </w:rPr>
        <w:t>:</w:t>
      </w:r>
      <w:r w:rsidRPr="00C84290">
        <w:rPr>
          <w:b/>
          <w:i/>
        </w:rPr>
        <w:t xml:space="preserve"> P11</w:t>
      </w:r>
    </w:p>
    <w:p w:rsidR="00073FC9" w:rsidRPr="00E16CC6" w:rsidRDefault="00073FC9" w:rsidP="00073FC9">
      <w:pPr>
        <w:pStyle w:val="BodyText"/>
        <w:spacing w:before="120" w:after="120"/>
        <w:rPr>
          <w:b/>
        </w:rPr>
      </w:pPr>
      <w:r w:rsidRPr="00C84290">
        <w:rPr>
          <w:b/>
          <w:i/>
        </w:rPr>
        <w:t xml:space="preserve">The current competitive market should automatically reach this goal. We have seen how innovative new systems have worked their way up through the regulatory systems (including ITU) to achieve new spectrum allocations- but it does take time and effort!  It would appear that it is not ACMA who should be doing work on higher value use, but </w:t>
      </w:r>
      <w:r w:rsidRPr="00C84290">
        <w:rPr>
          <w:b/>
          <w:i/>
        </w:rPr>
        <w:lastRenderedPageBreak/>
        <w:t>rather the market.  ACMA ( or the Department ) wo</w:t>
      </w:r>
      <w:r>
        <w:rPr>
          <w:b/>
          <w:i/>
        </w:rPr>
        <w:t>uld still perform a role of cons</w:t>
      </w:r>
      <w:r w:rsidRPr="00C84290">
        <w:rPr>
          <w:b/>
          <w:i/>
        </w:rPr>
        <w:t>ensus building</w:t>
      </w:r>
      <w:r>
        <w:rPr>
          <w:b/>
          <w:i/>
        </w:rPr>
        <w:t>, harmonisation and development and/or</w:t>
      </w:r>
      <w:r w:rsidRPr="00C84290">
        <w:rPr>
          <w:b/>
          <w:i/>
        </w:rPr>
        <w:t xml:space="preserve"> approval of technical frameworks</w:t>
      </w:r>
      <w:r w:rsidRPr="00C84290">
        <w:rPr>
          <w:b/>
        </w:rPr>
        <w:t>.</w:t>
      </w:r>
    </w:p>
    <w:p w:rsidR="00073FC9" w:rsidRDefault="00073FC9" w:rsidP="00073FC9">
      <w:pPr>
        <w:pStyle w:val="BodyText"/>
        <w:numPr>
          <w:ilvl w:val="0"/>
          <w:numId w:val="1"/>
        </w:numPr>
        <w:spacing w:before="120" w:after="120"/>
        <w:rPr>
          <w:sz w:val="28"/>
        </w:rPr>
      </w:pPr>
      <w:r w:rsidRPr="002D068B">
        <w:rPr>
          <w:sz w:val="28"/>
        </w:rPr>
        <w:t>What additional proposals should be considered?</w:t>
      </w:r>
    </w:p>
    <w:p w:rsidR="00073FC9" w:rsidRPr="00E16CC6" w:rsidRDefault="00073FC9" w:rsidP="00073FC9">
      <w:pPr>
        <w:pStyle w:val="BodyText"/>
        <w:spacing w:before="120" w:after="120"/>
        <w:rPr>
          <w:b/>
        </w:rPr>
      </w:pPr>
      <w:r w:rsidRPr="00E16CC6">
        <w:rPr>
          <w:b/>
        </w:rPr>
        <w:t>Consider the strategic value of :</w:t>
      </w:r>
    </w:p>
    <w:p w:rsidR="00073FC9" w:rsidRPr="00E16CC6" w:rsidRDefault="00073FC9" w:rsidP="00073FC9">
      <w:pPr>
        <w:pStyle w:val="BodyText"/>
        <w:spacing w:before="120" w:after="120"/>
        <w:rPr>
          <w:b/>
        </w:rPr>
      </w:pPr>
      <w:r w:rsidRPr="00E16CC6">
        <w:rPr>
          <w:b/>
        </w:rPr>
        <w:t>-Combining/ harmonising Telecommunications, Radiocommunication and Broadcasting Acts into a fully converged Single Act.</w:t>
      </w:r>
    </w:p>
    <w:p w:rsidR="00073FC9" w:rsidRPr="00E16CC6" w:rsidRDefault="00073FC9" w:rsidP="00073FC9">
      <w:pPr>
        <w:pStyle w:val="BodyText"/>
        <w:spacing w:before="120" w:after="120"/>
        <w:rPr>
          <w:b/>
        </w:rPr>
      </w:pPr>
      <w:r>
        <w:rPr>
          <w:b/>
        </w:rPr>
        <w:t>-Possibility of</w:t>
      </w:r>
      <w:r w:rsidRPr="00E16CC6">
        <w:rPr>
          <w:b/>
        </w:rPr>
        <w:t xml:space="preserve"> incorporating ACMA back into the Department</w:t>
      </w:r>
    </w:p>
    <w:p w:rsidR="00073FC9" w:rsidRPr="00E16CC6" w:rsidRDefault="00073FC9" w:rsidP="00073FC9">
      <w:pPr>
        <w:pStyle w:val="BodyText"/>
        <w:spacing w:before="120" w:after="120"/>
        <w:rPr>
          <w:b/>
        </w:rPr>
      </w:pPr>
      <w:r>
        <w:rPr>
          <w:b/>
        </w:rPr>
        <w:t>-</w:t>
      </w:r>
      <w:r w:rsidRPr="00E16CC6">
        <w:rPr>
          <w:b/>
        </w:rPr>
        <w:t xml:space="preserve">Consider making all spectrum licence free (where feasible), or at least for all transmitters of low power (or where the interference boundary is contained within a users premises)  ie an “all-band LIPD”.  </w:t>
      </w:r>
    </w:p>
    <w:p w:rsidR="00073FC9" w:rsidRDefault="00073FC9" w:rsidP="00073FC9">
      <w:pPr>
        <w:pStyle w:val="BodyText"/>
        <w:numPr>
          <w:ilvl w:val="0"/>
          <w:numId w:val="1"/>
        </w:numPr>
        <w:spacing w:before="120" w:after="120"/>
        <w:rPr>
          <w:sz w:val="28"/>
        </w:rPr>
      </w:pPr>
      <w:r w:rsidRPr="002D068B">
        <w:rPr>
          <w:sz w:val="28"/>
        </w:rPr>
        <w:t>What timeframes (short-term and long</w:t>
      </w:r>
      <w:r>
        <w:rPr>
          <w:sz w:val="28"/>
        </w:rPr>
        <w:t>er</w:t>
      </w:r>
      <w:r w:rsidRPr="002D068B">
        <w:rPr>
          <w:sz w:val="28"/>
        </w:rPr>
        <w:t xml:space="preserve">-term) should apply to implementation of the reform proposals? </w:t>
      </w:r>
    </w:p>
    <w:p w:rsidR="00073FC9" w:rsidRPr="00E16CC6" w:rsidRDefault="00073FC9" w:rsidP="00073FC9">
      <w:pPr>
        <w:pStyle w:val="BodyText"/>
        <w:spacing w:before="120" w:after="120"/>
        <w:rPr>
          <w:b/>
        </w:rPr>
      </w:pPr>
      <w:r w:rsidRPr="00E16CC6">
        <w:rPr>
          <w:b/>
        </w:rPr>
        <w:t>Privatisation of some of the ACMA function (eg the “band manager”) could be done first – under regulation.</w:t>
      </w:r>
    </w:p>
    <w:p w:rsidR="00073FC9" w:rsidRPr="00E16CC6" w:rsidRDefault="00073FC9" w:rsidP="00073FC9">
      <w:pPr>
        <w:pStyle w:val="BodyText"/>
        <w:spacing w:before="120" w:after="120"/>
        <w:rPr>
          <w:b/>
        </w:rPr>
      </w:pPr>
      <w:r w:rsidRPr="00E16CC6">
        <w:rPr>
          <w:b/>
        </w:rPr>
        <w:t>Changing the Act(s) for greater Ministerial oversight or merging of Act(s) will take time and this must be considered a long term, carefully managed process.</w:t>
      </w:r>
    </w:p>
    <w:p w:rsidR="00073FC9" w:rsidRDefault="00073FC9" w:rsidP="00073FC9">
      <w:pPr>
        <w:pStyle w:val="BodyText"/>
        <w:numPr>
          <w:ilvl w:val="0"/>
          <w:numId w:val="1"/>
        </w:numPr>
        <w:spacing w:before="120" w:after="120"/>
        <w:rPr>
          <w:sz w:val="28"/>
        </w:rPr>
      </w:pPr>
      <w:r w:rsidRPr="002D068B">
        <w:rPr>
          <w:sz w:val="28"/>
        </w:rPr>
        <w:t xml:space="preserve">What transitional arrangements should </w:t>
      </w:r>
      <w:r>
        <w:rPr>
          <w:sz w:val="28"/>
        </w:rPr>
        <w:t>be put in place</w:t>
      </w:r>
      <w:r w:rsidRPr="002D068B">
        <w:rPr>
          <w:sz w:val="28"/>
        </w:rPr>
        <w:t xml:space="preserve">? </w:t>
      </w:r>
    </w:p>
    <w:p w:rsidR="00073FC9" w:rsidRDefault="00073FC9" w:rsidP="00073FC9">
      <w:pPr>
        <w:pStyle w:val="BodyText"/>
        <w:spacing w:before="120" w:after="120"/>
        <w:rPr>
          <w:b/>
        </w:rPr>
      </w:pPr>
      <w:r w:rsidRPr="00E16CC6">
        <w:rPr>
          <w:b/>
        </w:rPr>
        <w:t>An embargo could be placed on most spectr</w:t>
      </w:r>
      <w:r>
        <w:rPr>
          <w:b/>
        </w:rPr>
        <w:t>um and licences to prevent blata</w:t>
      </w:r>
      <w:r w:rsidRPr="00E16CC6">
        <w:rPr>
          <w:b/>
        </w:rPr>
        <w:t>nt profiteering, hoarding etc.  New licence applications during the embargo period be required to pass a due diligence test.</w:t>
      </w:r>
    </w:p>
    <w:p w:rsidR="00073FC9" w:rsidRDefault="00073FC9" w:rsidP="00073FC9">
      <w:pPr>
        <w:pStyle w:val="BodyText"/>
        <w:spacing w:before="120" w:after="120"/>
        <w:rPr>
          <w:b/>
        </w:rPr>
      </w:pPr>
    </w:p>
    <w:p w:rsidR="00073FC9" w:rsidRDefault="00073FC9" w:rsidP="00073FC9">
      <w:pPr>
        <w:pStyle w:val="BodyText"/>
        <w:spacing w:before="120" w:after="120"/>
        <w:rPr>
          <w:b/>
        </w:rPr>
      </w:pPr>
      <w:r>
        <w:rPr>
          <w:b/>
        </w:rPr>
        <w:t>Sincerely,</w:t>
      </w:r>
    </w:p>
    <w:p w:rsidR="00073FC9" w:rsidRPr="00E16CC6" w:rsidRDefault="00073FC9" w:rsidP="00073FC9">
      <w:pPr>
        <w:pStyle w:val="BodyText"/>
        <w:spacing w:before="120" w:after="120"/>
        <w:rPr>
          <w:b/>
        </w:rPr>
      </w:pPr>
      <w:r>
        <w:rPr>
          <w:b/>
        </w:rPr>
        <w:t>P McGill</w:t>
      </w:r>
    </w:p>
    <w:p w:rsidR="00073FC9" w:rsidRPr="00400F0F" w:rsidRDefault="00073FC9" w:rsidP="00073FC9">
      <w:pPr>
        <w:pStyle w:val="Heading1"/>
        <w:rPr>
          <w:sz w:val="22"/>
        </w:rPr>
      </w:pPr>
    </w:p>
    <w:p w:rsidR="003B47B1" w:rsidRDefault="003B47B1"/>
    <w:sectPr w:rsidR="003B47B1" w:rsidSect="00572FD8">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52E" w:rsidRDefault="0056552E" w:rsidP="00D11C6F">
      <w:pPr>
        <w:spacing w:before="0"/>
      </w:pPr>
      <w:r>
        <w:separator/>
      </w:r>
    </w:p>
  </w:endnote>
  <w:endnote w:type="continuationSeparator" w:id="0">
    <w:p w:rsidR="0056552E" w:rsidRDefault="0056552E" w:rsidP="00D11C6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6F" w:rsidRDefault="00D11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6F" w:rsidRDefault="00D11C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6F" w:rsidRDefault="00D11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52E" w:rsidRDefault="0056552E" w:rsidP="00D11C6F">
      <w:pPr>
        <w:spacing w:before="0"/>
      </w:pPr>
      <w:r>
        <w:separator/>
      </w:r>
    </w:p>
  </w:footnote>
  <w:footnote w:type="continuationSeparator" w:id="0">
    <w:p w:rsidR="0056552E" w:rsidRDefault="0056552E" w:rsidP="00D11C6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6F" w:rsidRDefault="00D11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6F" w:rsidRDefault="00D11C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6F" w:rsidRDefault="00D11C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F2E50"/>
    <w:multiLevelType w:val="hybridMultilevel"/>
    <w:tmpl w:val="C01A3952"/>
    <w:lvl w:ilvl="0" w:tplc="0C09000F">
      <w:start w:val="1"/>
      <w:numFmt w:val="decimal"/>
      <w:lvlText w:val="%1."/>
      <w:lvlJc w:val="left"/>
      <w:pPr>
        <w:ind w:left="360" w:hanging="360"/>
      </w:pPr>
      <w:rPr>
        <w:rFonts w:cs="Times New Roman"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73FC9"/>
    <w:rsid w:val="00073FC9"/>
    <w:rsid w:val="000D24D7"/>
    <w:rsid w:val="002D068B"/>
    <w:rsid w:val="003B47B1"/>
    <w:rsid w:val="00400F0F"/>
    <w:rsid w:val="0056552E"/>
    <w:rsid w:val="00572FD8"/>
    <w:rsid w:val="005909F6"/>
    <w:rsid w:val="008E57C6"/>
    <w:rsid w:val="00B929ED"/>
    <w:rsid w:val="00C84290"/>
    <w:rsid w:val="00D11C6F"/>
    <w:rsid w:val="00E16CC6"/>
    <w:rsid w:val="00E17D8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3FC9"/>
    <w:pPr>
      <w:spacing w:before="240" w:after="0"/>
    </w:pPr>
    <w:rPr>
      <w:rFonts w:ascii="Calibri" w:hAnsi="Calibri" w:cs="Times New Roman"/>
      <w:sz w:val="22"/>
      <w:szCs w:val="22"/>
      <w:lang w:val="en-AU"/>
    </w:rPr>
  </w:style>
  <w:style w:type="paragraph" w:styleId="Heading1">
    <w:name w:val="heading 1"/>
    <w:basedOn w:val="Normal"/>
    <w:next w:val="BodyText"/>
    <w:link w:val="Heading1Char"/>
    <w:uiPriority w:val="99"/>
    <w:rsid w:val="00073FC9"/>
    <w:pPr>
      <w:keepNext/>
      <w:keepLines/>
      <w:spacing w:after="120" w:line="400" w:lineRule="atLeast"/>
      <w:outlineLvl w:val="0"/>
    </w:pPr>
    <w:rPr>
      <w:rFonts w:ascii="Cambria" w:eastAsiaTheme="majorEastAsia" w:hAnsi="Cambria"/>
      <w:bCs/>
      <w:color w:val="00728F"/>
      <w:sz w:val="36"/>
      <w:szCs w:val="28"/>
    </w:rPr>
  </w:style>
  <w:style w:type="paragraph" w:styleId="Heading2">
    <w:name w:val="heading 2"/>
    <w:basedOn w:val="Normal"/>
    <w:next w:val="BodyText"/>
    <w:link w:val="Heading2Char"/>
    <w:uiPriority w:val="99"/>
    <w:rsid w:val="00073FC9"/>
    <w:pPr>
      <w:keepNext/>
      <w:keepLines/>
      <w:spacing w:after="200" w:line="280" w:lineRule="atLeast"/>
      <w:outlineLvl w:val="1"/>
    </w:pPr>
    <w:rPr>
      <w:rFonts w:ascii="Cambria" w:eastAsiaTheme="majorEastAsia" w:hAnsi="Cambria"/>
      <w:bCs/>
      <w:color w:val="00728F"/>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3FC9"/>
    <w:rPr>
      <w:rFonts w:ascii="Cambria" w:eastAsiaTheme="majorEastAsia" w:hAnsi="Cambria" w:cs="Times New Roman"/>
      <w:bCs/>
      <w:color w:val="00728F"/>
      <w:sz w:val="28"/>
      <w:lang w:val="en-AU" w:eastAsia="x-none"/>
    </w:rPr>
  </w:style>
  <w:style w:type="character" w:customStyle="1" w:styleId="Heading2Char">
    <w:name w:val="Heading 2 Char"/>
    <w:basedOn w:val="DefaultParagraphFont"/>
    <w:link w:val="Heading2"/>
    <w:uiPriority w:val="99"/>
    <w:locked/>
    <w:rsid w:val="00073FC9"/>
    <w:rPr>
      <w:rFonts w:ascii="Cambria" w:eastAsiaTheme="majorEastAsia" w:hAnsi="Cambria" w:cs="Times New Roman"/>
      <w:bCs/>
      <w:color w:val="00728F"/>
      <w:sz w:val="26"/>
      <w:lang w:val="en-AU" w:eastAsia="x-none"/>
    </w:rPr>
  </w:style>
  <w:style w:type="paragraph" w:styleId="BodyText">
    <w:name w:val="Body Text"/>
    <w:basedOn w:val="Normal"/>
    <w:link w:val="BodyTextChar"/>
    <w:uiPriority w:val="99"/>
    <w:rsid w:val="00073FC9"/>
    <w:pPr>
      <w:spacing w:after="240"/>
    </w:pPr>
  </w:style>
  <w:style w:type="character" w:customStyle="1" w:styleId="BodyTextChar">
    <w:name w:val="Body Text Char"/>
    <w:basedOn w:val="DefaultParagraphFont"/>
    <w:link w:val="BodyText"/>
    <w:uiPriority w:val="99"/>
    <w:locked/>
    <w:rsid w:val="00073FC9"/>
    <w:rPr>
      <w:rFonts w:ascii="Calibri" w:hAnsi="Calibri" w:cs="Times New Roman"/>
      <w:sz w:val="22"/>
      <w:lang w:val="en-AU" w:eastAsia="x-none"/>
    </w:rPr>
  </w:style>
  <w:style w:type="paragraph" w:styleId="ListParagraph">
    <w:name w:val="List Paragraph"/>
    <w:aliases w:val="List Paragraph1,Recommendation,bullet point list,List Paragraph11"/>
    <w:basedOn w:val="Normal"/>
    <w:link w:val="ListParagraphChar"/>
    <w:uiPriority w:val="99"/>
    <w:rsid w:val="00073FC9"/>
    <w:pPr>
      <w:ind w:left="720"/>
      <w:contextualSpacing/>
    </w:pPr>
  </w:style>
  <w:style w:type="character" w:customStyle="1" w:styleId="ListParagraphChar">
    <w:name w:val="List Paragraph Char"/>
    <w:aliases w:val="List Paragraph1 Char,Recommendation Char,bullet point list Char,List Paragraph11 Char"/>
    <w:basedOn w:val="DefaultParagraphFont"/>
    <w:link w:val="ListParagraph"/>
    <w:uiPriority w:val="99"/>
    <w:locked/>
    <w:rsid w:val="00073FC9"/>
    <w:rPr>
      <w:rFonts w:ascii="Calibri" w:hAnsi="Calibri" w:cs="Times New Roman"/>
      <w:sz w:val="22"/>
      <w:lang w:val="en-AU" w:eastAsia="x-none"/>
    </w:rPr>
  </w:style>
  <w:style w:type="paragraph" w:customStyle="1" w:styleId="Default">
    <w:name w:val="Default"/>
    <w:uiPriority w:val="99"/>
    <w:rsid w:val="00073FC9"/>
    <w:pPr>
      <w:autoSpaceDE w:val="0"/>
      <w:autoSpaceDN w:val="0"/>
      <w:adjustRightInd w:val="0"/>
      <w:spacing w:after="0"/>
    </w:pPr>
    <w:rPr>
      <w:rFonts w:ascii="Calibri" w:hAnsi="Calibri" w:cs="Calibri"/>
      <w:color w:val="000000"/>
      <w:lang w:val="en-AU"/>
    </w:rPr>
  </w:style>
  <w:style w:type="paragraph" w:styleId="Header">
    <w:name w:val="header"/>
    <w:basedOn w:val="Normal"/>
    <w:link w:val="HeaderChar"/>
    <w:uiPriority w:val="99"/>
    <w:rsid w:val="00D11C6F"/>
    <w:pPr>
      <w:tabs>
        <w:tab w:val="center" w:pos="4513"/>
        <w:tab w:val="right" w:pos="9026"/>
      </w:tabs>
      <w:spacing w:before="0"/>
    </w:pPr>
  </w:style>
  <w:style w:type="character" w:customStyle="1" w:styleId="HeaderChar">
    <w:name w:val="Header Char"/>
    <w:basedOn w:val="DefaultParagraphFont"/>
    <w:link w:val="Header"/>
    <w:uiPriority w:val="99"/>
    <w:rsid w:val="00D11C6F"/>
    <w:rPr>
      <w:rFonts w:ascii="Calibri" w:hAnsi="Calibri" w:cs="Times New Roman"/>
      <w:sz w:val="22"/>
      <w:szCs w:val="22"/>
      <w:lang w:val="en-AU"/>
    </w:rPr>
  </w:style>
  <w:style w:type="paragraph" w:styleId="Footer">
    <w:name w:val="footer"/>
    <w:basedOn w:val="Normal"/>
    <w:link w:val="FooterChar"/>
    <w:uiPriority w:val="99"/>
    <w:rsid w:val="00D11C6F"/>
    <w:pPr>
      <w:tabs>
        <w:tab w:val="center" w:pos="4513"/>
        <w:tab w:val="right" w:pos="9026"/>
      </w:tabs>
      <w:spacing w:before="0"/>
    </w:pPr>
  </w:style>
  <w:style w:type="character" w:customStyle="1" w:styleId="FooterChar">
    <w:name w:val="Footer Char"/>
    <w:basedOn w:val="DefaultParagraphFont"/>
    <w:link w:val="Footer"/>
    <w:uiPriority w:val="99"/>
    <w:rsid w:val="00D11C6F"/>
    <w:rPr>
      <w:rFonts w:ascii="Calibri" w:hAnsi="Calibri" w:cs="Times New Roman"/>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2015-05-18T06:24:00Z</dcterms:created>
  <dcterms:modified xsi:type="dcterms:W3CDTF">2015-05-18T06:24:00Z</dcterms:modified>
</cp:coreProperties>
</file>