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210" w:rsidRPr="00D953C8" w:rsidRDefault="009D4748" w:rsidP="000C1A3F">
      <w:pPr>
        <w:pStyle w:val="Heading1"/>
      </w:pPr>
      <w:r w:rsidRPr="00D953C8">
        <w:t>2014 Spectrum Review - Potential Reform Directions</w:t>
      </w:r>
    </w:p>
    <w:p w:rsidR="000C26FA" w:rsidRPr="00D953C8" w:rsidRDefault="00C5514C" w:rsidP="00D953C8">
      <w:pPr>
        <w:pStyle w:val="Figure"/>
        <w:spacing w:before="8000"/>
        <w:jc w:val="center"/>
        <w:rPr>
          <w:sz w:val="16"/>
          <w:szCs w:val="16"/>
          <w:lang w:eastAsia="en-US"/>
        </w:rPr>
      </w:pPr>
      <w:r w:rsidRPr="00D953C8">
        <w:rPr>
          <w:noProof/>
        </w:rPr>
        <w:drawing>
          <wp:inline distT="0" distB="0" distL="0" distR="0" wp14:anchorId="13CAC376" wp14:editId="64B948ED">
            <wp:extent cx="1562100" cy="1209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562100" cy="1209675"/>
                    </a:xfrm>
                    <a:prstGeom prst="rect">
                      <a:avLst/>
                    </a:prstGeom>
                  </pic:spPr>
                </pic:pic>
              </a:graphicData>
            </a:graphic>
          </wp:inline>
        </w:drawing>
      </w:r>
    </w:p>
    <w:p w:rsidR="001725DC" w:rsidRPr="00D953C8" w:rsidRDefault="001725DC" w:rsidP="0012161F">
      <w:pPr>
        <w:sectPr w:rsidR="001725DC" w:rsidRPr="00D953C8" w:rsidSect="004C7914">
          <w:footerReference w:type="default" r:id="rId10"/>
          <w:pgSz w:w="11906" w:h="16838" w:code="9"/>
          <w:pgMar w:top="1080" w:right="1411" w:bottom="1080" w:left="1411" w:header="1080" w:footer="1080" w:gutter="0"/>
          <w:cols w:space="708"/>
          <w:docGrid w:linePitch="360"/>
        </w:sectPr>
      </w:pPr>
      <w:bookmarkStart w:id="0" w:name="_GoBack"/>
      <w:bookmarkEnd w:id="0"/>
    </w:p>
    <w:p w:rsidR="000A6095" w:rsidRPr="00D953C8" w:rsidRDefault="000A6095" w:rsidP="000A6095">
      <w:pPr>
        <w:autoSpaceDE w:val="0"/>
        <w:autoSpaceDN w:val="0"/>
        <w:adjustRightInd w:val="0"/>
        <w:jc w:val="right"/>
        <w:rPr>
          <w:szCs w:val="20"/>
          <w:lang w:eastAsia="en-US"/>
        </w:rPr>
      </w:pPr>
      <w:r w:rsidRPr="00D953C8">
        <w:rPr>
          <w:szCs w:val="20"/>
          <w:lang w:eastAsia="en-US"/>
        </w:rPr>
        <w:lastRenderedPageBreak/>
        <w:t>NBN Co Limited</w:t>
      </w:r>
      <w:r w:rsidRPr="00D953C8">
        <w:rPr>
          <w:szCs w:val="20"/>
          <w:lang w:eastAsia="en-US"/>
        </w:rPr>
        <w:br/>
        <w:t>ACN 136 533 741</w:t>
      </w:r>
      <w:r w:rsidRPr="00D953C8">
        <w:rPr>
          <w:szCs w:val="20"/>
          <w:lang w:eastAsia="en-US"/>
        </w:rPr>
        <w:br/>
        <w:t>©NBN Co 2014</w:t>
      </w:r>
    </w:p>
    <w:p w:rsidR="000A6095" w:rsidRPr="00D953C8" w:rsidRDefault="000A6095" w:rsidP="000A6095">
      <w:pPr>
        <w:autoSpaceDE w:val="0"/>
        <w:autoSpaceDN w:val="0"/>
        <w:adjustRightInd w:val="0"/>
        <w:jc w:val="right"/>
        <w:rPr>
          <w:szCs w:val="20"/>
          <w:lang w:eastAsia="en-US"/>
        </w:rPr>
      </w:pPr>
      <w:r w:rsidRPr="00D953C8">
        <w:rPr>
          <w:szCs w:val="20"/>
          <w:lang w:eastAsia="en-US"/>
        </w:rPr>
        <w:t>Level 11,100 Arthur Street</w:t>
      </w:r>
      <w:r w:rsidRPr="00D953C8">
        <w:rPr>
          <w:szCs w:val="20"/>
          <w:lang w:eastAsia="en-US"/>
        </w:rPr>
        <w:br/>
        <w:t>North Sydney NSW 2060</w:t>
      </w:r>
    </w:p>
    <w:p w:rsidR="000A6095" w:rsidRPr="00D953C8" w:rsidRDefault="000A6095" w:rsidP="000A6095">
      <w:pPr>
        <w:autoSpaceDE w:val="0"/>
        <w:autoSpaceDN w:val="0"/>
        <w:adjustRightInd w:val="0"/>
        <w:jc w:val="right"/>
        <w:rPr>
          <w:szCs w:val="20"/>
          <w:lang w:eastAsia="en-US"/>
        </w:rPr>
      </w:pPr>
      <w:r w:rsidRPr="00D953C8">
        <w:rPr>
          <w:szCs w:val="20"/>
          <w:lang w:eastAsia="en-US"/>
        </w:rPr>
        <w:t>PHONE: (02) 9926 1900</w:t>
      </w:r>
      <w:r w:rsidRPr="00D953C8">
        <w:rPr>
          <w:szCs w:val="20"/>
          <w:lang w:eastAsia="en-US"/>
        </w:rPr>
        <w:br/>
        <w:t>FAX: (02)9926 1901</w:t>
      </w:r>
    </w:p>
    <w:p w:rsidR="000A6095" w:rsidRPr="00D953C8" w:rsidRDefault="000A6095" w:rsidP="000A6095">
      <w:pPr>
        <w:autoSpaceDE w:val="0"/>
        <w:autoSpaceDN w:val="0"/>
        <w:adjustRightInd w:val="0"/>
        <w:jc w:val="right"/>
        <w:rPr>
          <w:szCs w:val="20"/>
          <w:lang w:eastAsia="en-US"/>
        </w:rPr>
      </w:pPr>
      <w:r w:rsidRPr="00D953C8">
        <w:rPr>
          <w:szCs w:val="20"/>
          <w:lang w:eastAsia="en-US"/>
        </w:rPr>
        <w:t xml:space="preserve">EMAIL: </w:t>
      </w:r>
      <w:hyperlink r:id="rId11" w:history="1">
        <w:r w:rsidRPr="00D953C8">
          <w:rPr>
            <w:rStyle w:val="Hyperlink"/>
          </w:rPr>
          <w:t>info@nbnco.com.au</w:t>
        </w:r>
      </w:hyperlink>
      <w:r w:rsidRPr="00D953C8">
        <w:rPr>
          <w:szCs w:val="20"/>
          <w:lang w:eastAsia="en-US"/>
        </w:rPr>
        <w:br/>
        <w:t xml:space="preserve">WEB: </w:t>
      </w:r>
      <w:hyperlink r:id="rId12" w:history="1">
        <w:r w:rsidRPr="00D953C8">
          <w:rPr>
            <w:rStyle w:val="Hyperlink"/>
          </w:rPr>
          <w:t>www.nbnco.com.au</w:t>
        </w:r>
      </w:hyperlink>
    </w:p>
    <w:p w:rsidR="00357500" w:rsidRPr="00D953C8" w:rsidRDefault="00357500" w:rsidP="00357500">
      <w:pPr>
        <w:autoSpaceDE w:val="0"/>
        <w:autoSpaceDN w:val="0"/>
        <w:adjustRightInd w:val="0"/>
        <w:rPr>
          <w:szCs w:val="20"/>
          <w:lang w:eastAsia="en-US"/>
        </w:rPr>
      </w:pPr>
      <w:r w:rsidRPr="00D953C8">
        <w:rPr>
          <w:szCs w:val="20"/>
          <w:lang w:eastAsia="en-US"/>
        </w:rPr>
        <w:t>8 December 2014</w:t>
      </w:r>
    </w:p>
    <w:p w:rsidR="00357500" w:rsidRPr="00D953C8" w:rsidRDefault="00357500" w:rsidP="00357500">
      <w:pPr>
        <w:autoSpaceDE w:val="0"/>
        <w:autoSpaceDN w:val="0"/>
        <w:adjustRightInd w:val="0"/>
        <w:rPr>
          <w:szCs w:val="20"/>
          <w:lang w:eastAsia="en-US"/>
        </w:rPr>
      </w:pPr>
      <w:r w:rsidRPr="00D953C8">
        <w:rPr>
          <w:szCs w:val="20"/>
          <w:lang w:eastAsia="en-US"/>
        </w:rPr>
        <w:t>The Project Manager</w:t>
      </w:r>
      <w:r w:rsidRPr="00D953C8">
        <w:rPr>
          <w:szCs w:val="20"/>
          <w:lang w:eastAsia="en-US"/>
        </w:rPr>
        <w:br/>
        <w:t>Spectrum Review</w:t>
      </w:r>
      <w:r w:rsidRPr="00D953C8">
        <w:rPr>
          <w:szCs w:val="20"/>
          <w:lang w:eastAsia="en-US"/>
        </w:rPr>
        <w:br/>
        <w:t>Department of Communications</w:t>
      </w:r>
      <w:r w:rsidRPr="00D953C8">
        <w:rPr>
          <w:szCs w:val="20"/>
          <w:lang w:eastAsia="en-US"/>
        </w:rPr>
        <w:br/>
        <w:t>GPO Box 2154</w:t>
      </w:r>
      <w:r w:rsidRPr="00D953C8">
        <w:rPr>
          <w:szCs w:val="20"/>
          <w:lang w:eastAsia="en-US"/>
        </w:rPr>
        <w:br/>
        <w:t>CANBERRA ACT 2601</w:t>
      </w:r>
    </w:p>
    <w:p w:rsidR="00357500" w:rsidRPr="00D953C8" w:rsidRDefault="00F94C02" w:rsidP="00357500">
      <w:pPr>
        <w:autoSpaceDE w:val="0"/>
        <w:autoSpaceDN w:val="0"/>
        <w:adjustRightInd w:val="0"/>
      </w:pPr>
      <w:hyperlink r:id="rId13" w:history="1">
        <w:r w:rsidR="00357500" w:rsidRPr="00D953C8">
          <w:rPr>
            <w:rStyle w:val="Hyperlink"/>
          </w:rPr>
          <w:t>spectrumreview@communications.gov.au</w:t>
        </w:r>
      </w:hyperlink>
    </w:p>
    <w:p w:rsidR="00357500" w:rsidRPr="00D953C8" w:rsidRDefault="00357500" w:rsidP="00357500">
      <w:pPr>
        <w:autoSpaceDE w:val="0"/>
        <w:autoSpaceDN w:val="0"/>
        <w:adjustRightInd w:val="0"/>
        <w:rPr>
          <w:szCs w:val="20"/>
          <w:lang w:eastAsia="en-US"/>
        </w:rPr>
      </w:pPr>
      <w:r w:rsidRPr="00D953C8">
        <w:rPr>
          <w:szCs w:val="20"/>
          <w:lang w:eastAsia="en-US"/>
        </w:rPr>
        <w:t>Dear Sir / Madam,</w:t>
      </w:r>
    </w:p>
    <w:p w:rsidR="00357500" w:rsidRPr="00D953C8" w:rsidRDefault="00357500" w:rsidP="00357500">
      <w:pPr>
        <w:autoSpaceDE w:val="0"/>
        <w:autoSpaceDN w:val="0"/>
        <w:adjustRightInd w:val="0"/>
        <w:rPr>
          <w:b/>
          <w:szCs w:val="20"/>
          <w:lang w:eastAsia="en-US"/>
        </w:rPr>
      </w:pPr>
      <w:r w:rsidRPr="00D953C8">
        <w:rPr>
          <w:b/>
          <w:szCs w:val="20"/>
          <w:lang w:eastAsia="en-US"/>
        </w:rPr>
        <w:t>2014 Spectrum Review - Potential Reform Directions</w:t>
      </w:r>
    </w:p>
    <w:p w:rsidR="00357500" w:rsidRPr="00D953C8" w:rsidRDefault="00357500" w:rsidP="00357500">
      <w:pPr>
        <w:autoSpaceDE w:val="0"/>
        <w:autoSpaceDN w:val="0"/>
        <w:adjustRightInd w:val="0"/>
        <w:rPr>
          <w:szCs w:val="20"/>
          <w:lang w:eastAsia="en-US"/>
        </w:rPr>
      </w:pPr>
      <w:r w:rsidRPr="00D953C8">
        <w:rPr>
          <w:szCs w:val="20"/>
          <w:lang w:eastAsia="en-US"/>
        </w:rPr>
        <w:t>Thank you for the opportunity to respond to the Department's November 2014 Consultation Paper on proposals for spectrum policy reform directions ('Reform Directions Paper') to support a more efficient, responsive and sustainable spectrum market in Australia.</w:t>
      </w:r>
    </w:p>
    <w:p w:rsidR="00357500" w:rsidRPr="00D953C8" w:rsidRDefault="00357500" w:rsidP="00357500">
      <w:pPr>
        <w:autoSpaceDE w:val="0"/>
        <w:autoSpaceDN w:val="0"/>
        <w:adjustRightInd w:val="0"/>
        <w:rPr>
          <w:szCs w:val="20"/>
          <w:lang w:eastAsia="en-US"/>
        </w:rPr>
      </w:pPr>
      <w:r w:rsidRPr="00D953C8">
        <w:rPr>
          <w:szCs w:val="20"/>
          <w:lang w:eastAsia="en-US"/>
        </w:rPr>
        <w:t>NBN Co agrees that the Australian spectrum management framework can and should be modernised to address increasing demand and to reflect current and emerging changes in technology, markets and consumer preferences. As noted in the Department's Terms of Reference for the review, aspects to be considered in the review should include:</w:t>
      </w:r>
    </w:p>
    <w:p w:rsidR="00357500" w:rsidRPr="00D953C8" w:rsidRDefault="00357500" w:rsidP="00357500">
      <w:pPr>
        <w:pStyle w:val="ListBullet"/>
        <w:rPr>
          <w:lang w:eastAsia="en-US"/>
        </w:rPr>
      </w:pPr>
      <w:r w:rsidRPr="00D953C8">
        <w:rPr>
          <w:b/>
          <w:lang w:eastAsia="en-US"/>
        </w:rPr>
        <w:t>simplification</w:t>
      </w:r>
      <w:r w:rsidRPr="00D953C8">
        <w:rPr>
          <w:lang w:eastAsia="en-US"/>
        </w:rPr>
        <w:t xml:space="preserve"> of the overall framework</w:t>
      </w:r>
    </w:p>
    <w:p w:rsidR="00357500" w:rsidRPr="00D953C8" w:rsidRDefault="00357500" w:rsidP="00357500">
      <w:pPr>
        <w:pStyle w:val="ListBullet"/>
        <w:rPr>
          <w:lang w:eastAsia="en-US"/>
        </w:rPr>
      </w:pPr>
      <w:r w:rsidRPr="00D953C8">
        <w:rPr>
          <w:lang w:eastAsia="en-US"/>
        </w:rPr>
        <w:t xml:space="preserve">greater </w:t>
      </w:r>
      <w:r w:rsidRPr="00D953C8">
        <w:rPr>
          <w:b/>
          <w:lang w:eastAsia="en-US"/>
        </w:rPr>
        <w:t>flexibility</w:t>
      </w:r>
      <w:r w:rsidRPr="00D953C8">
        <w:rPr>
          <w:lang w:eastAsia="en-US"/>
        </w:rPr>
        <w:t>, and facilitation of new and emerging services</w:t>
      </w:r>
    </w:p>
    <w:p w:rsidR="00357500" w:rsidRPr="00D953C8" w:rsidRDefault="00357500" w:rsidP="00357500">
      <w:pPr>
        <w:pStyle w:val="ListBullet"/>
        <w:rPr>
          <w:lang w:eastAsia="en-US"/>
        </w:rPr>
      </w:pPr>
      <w:r w:rsidRPr="00D953C8">
        <w:rPr>
          <w:lang w:eastAsia="en-US"/>
        </w:rPr>
        <w:t xml:space="preserve">effective interference management and incumbent </w:t>
      </w:r>
      <w:r w:rsidRPr="00D953C8">
        <w:rPr>
          <w:b/>
          <w:lang w:eastAsia="en-US"/>
        </w:rPr>
        <w:t>certainty</w:t>
      </w:r>
    </w:p>
    <w:p w:rsidR="00357500" w:rsidRPr="00D953C8" w:rsidRDefault="00357500" w:rsidP="00357500">
      <w:pPr>
        <w:pStyle w:val="ListBullet"/>
        <w:rPr>
          <w:lang w:eastAsia="en-US"/>
        </w:rPr>
      </w:pPr>
      <w:r w:rsidRPr="00D953C8">
        <w:rPr>
          <w:lang w:eastAsia="en-US"/>
        </w:rPr>
        <w:t xml:space="preserve">ensuring spectrum is allocated, used and managed as </w:t>
      </w:r>
      <w:r w:rsidRPr="00D953C8">
        <w:rPr>
          <w:b/>
          <w:lang w:eastAsia="en-US"/>
        </w:rPr>
        <w:t>efficiently</w:t>
      </w:r>
      <w:r w:rsidRPr="00D953C8">
        <w:rPr>
          <w:lang w:eastAsia="en-US"/>
        </w:rPr>
        <w:t xml:space="preserve"> as possible</w:t>
      </w:r>
    </w:p>
    <w:p w:rsidR="00357500" w:rsidRPr="00D953C8" w:rsidRDefault="00357500" w:rsidP="00357500">
      <w:pPr>
        <w:pStyle w:val="ListBullet"/>
        <w:rPr>
          <w:lang w:eastAsia="en-US"/>
        </w:rPr>
      </w:pPr>
      <w:r w:rsidRPr="00D953C8">
        <w:rPr>
          <w:lang w:eastAsia="en-US"/>
        </w:rPr>
        <w:t xml:space="preserve">consideration of the </w:t>
      </w:r>
      <w:r w:rsidRPr="00D953C8">
        <w:rPr>
          <w:b/>
          <w:lang w:eastAsia="en-US"/>
        </w:rPr>
        <w:t>roles</w:t>
      </w:r>
      <w:r w:rsidRPr="00D953C8">
        <w:rPr>
          <w:lang w:eastAsia="en-US"/>
        </w:rPr>
        <w:t xml:space="preserve"> of the Minister, the ACMA and the Department in spectrum management</w:t>
      </w:r>
    </w:p>
    <w:p w:rsidR="00357500" w:rsidRPr="00D953C8" w:rsidRDefault="00357500" w:rsidP="00357500">
      <w:pPr>
        <w:pStyle w:val="ListBullet"/>
        <w:rPr>
          <w:lang w:eastAsia="en-US"/>
        </w:rPr>
      </w:pPr>
      <w:r w:rsidRPr="00D953C8">
        <w:rPr>
          <w:lang w:eastAsia="en-US"/>
        </w:rPr>
        <w:t xml:space="preserve">improving </w:t>
      </w:r>
      <w:r w:rsidRPr="00D953C8">
        <w:rPr>
          <w:b/>
          <w:lang w:eastAsia="en-US"/>
        </w:rPr>
        <w:t>consistency</w:t>
      </w:r>
    </w:p>
    <w:p w:rsidR="00357500" w:rsidRPr="00D953C8" w:rsidRDefault="00357500" w:rsidP="00357500">
      <w:pPr>
        <w:pStyle w:val="ListBullet"/>
        <w:rPr>
          <w:lang w:eastAsia="en-US"/>
        </w:rPr>
      </w:pPr>
      <w:proofErr w:type="gramStart"/>
      <w:r w:rsidRPr="00D953C8">
        <w:rPr>
          <w:lang w:eastAsia="en-US"/>
        </w:rPr>
        <w:t>consideration</w:t>
      </w:r>
      <w:proofErr w:type="gramEnd"/>
      <w:r w:rsidRPr="00D953C8">
        <w:rPr>
          <w:lang w:eastAsia="en-US"/>
        </w:rPr>
        <w:t xml:space="preserve"> of </w:t>
      </w:r>
      <w:r w:rsidRPr="00D953C8">
        <w:rPr>
          <w:b/>
          <w:lang w:eastAsia="en-US"/>
        </w:rPr>
        <w:t>public interest</w:t>
      </w:r>
      <w:r w:rsidRPr="00D953C8">
        <w:rPr>
          <w:lang w:eastAsia="en-US"/>
        </w:rPr>
        <w:t xml:space="preserve"> spectrum issues.</w:t>
      </w:r>
    </w:p>
    <w:p w:rsidR="00357500" w:rsidRPr="00D953C8" w:rsidRDefault="00357500" w:rsidP="00357500">
      <w:pPr>
        <w:autoSpaceDE w:val="0"/>
        <w:autoSpaceDN w:val="0"/>
        <w:adjustRightInd w:val="0"/>
        <w:rPr>
          <w:szCs w:val="20"/>
          <w:lang w:eastAsia="en-US"/>
        </w:rPr>
      </w:pPr>
      <w:r w:rsidRPr="00D953C8">
        <w:rPr>
          <w:szCs w:val="20"/>
          <w:lang w:eastAsia="en-US"/>
        </w:rPr>
        <w:t xml:space="preserve">We note that the proposals in the Reform Directions Paper were developed on the basis that reform should seek to maximise public benefit by improving overall efficiency and effectiveness of spectrum policy and management. The Paper also indicates that the </w:t>
      </w:r>
      <w:r w:rsidRPr="00D953C8">
        <w:rPr>
          <w:szCs w:val="20"/>
          <w:lang w:eastAsia="en-US"/>
        </w:rPr>
        <w:lastRenderedPageBreak/>
        <w:t>proposals should be in line with specific principles of simplicity, flexibility, certainty, efficiency and transparency that:</w:t>
      </w:r>
    </w:p>
    <w:p w:rsidR="00357500" w:rsidRPr="00D953C8" w:rsidRDefault="00357500" w:rsidP="00357500">
      <w:pPr>
        <w:pStyle w:val="ListBullet"/>
        <w:rPr>
          <w:lang w:eastAsia="en-US"/>
        </w:rPr>
      </w:pPr>
      <w:r w:rsidRPr="00D953C8">
        <w:rPr>
          <w:lang w:eastAsia="en-US"/>
        </w:rPr>
        <w:t xml:space="preserve">create a framework that is </w:t>
      </w:r>
      <w:r w:rsidRPr="00D953C8">
        <w:rPr>
          <w:b/>
          <w:lang w:eastAsia="en-US"/>
        </w:rPr>
        <w:t>simpler</w:t>
      </w:r>
      <w:r w:rsidRPr="00D953C8">
        <w:rPr>
          <w:lang w:eastAsia="en-US"/>
        </w:rPr>
        <w:t xml:space="preserve"> and easier to understand using the least cost regulation required to achieve the objective</w:t>
      </w:r>
    </w:p>
    <w:p w:rsidR="00357500" w:rsidRPr="00D953C8" w:rsidRDefault="00357500" w:rsidP="00357500">
      <w:pPr>
        <w:pStyle w:val="ListBullet"/>
        <w:rPr>
          <w:lang w:eastAsia="en-US"/>
        </w:rPr>
      </w:pPr>
      <w:r w:rsidRPr="00D953C8">
        <w:rPr>
          <w:lang w:eastAsia="en-US"/>
        </w:rPr>
        <w:t xml:space="preserve">ensure arrangements are as </w:t>
      </w:r>
      <w:r w:rsidRPr="00D953C8">
        <w:rPr>
          <w:b/>
          <w:lang w:eastAsia="en-US"/>
        </w:rPr>
        <w:t>flexible</w:t>
      </w:r>
      <w:r w:rsidRPr="00D953C8">
        <w:rPr>
          <w:lang w:eastAsia="en-US"/>
        </w:rPr>
        <w:t xml:space="preserve"> as possible to promote choice and innovation</w:t>
      </w:r>
    </w:p>
    <w:p w:rsidR="00357500" w:rsidRPr="00D953C8" w:rsidRDefault="00357500" w:rsidP="00357500">
      <w:pPr>
        <w:pStyle w:val="ListBullet"/>
        <w:rPr>
          <w:lang w:eastAsia="en-US"/>
        </w:rPr>
      </w:pPr>
      <w:r w:rsidRPr="00D953C8">
        <w:rPr>
          <w:lang w:eastAsia="en-US"/>
        </w:rPr>
        <w:t xml:space="preserve">provide </w:t>
      </w:r>
      <w:r w:rsidRPr="00D953C8">
        <w:rPr>
          <w:b/>
          <w:lang w:eastAsia="en-US"/>
        </w:rPr>
        <w:t>confidence</w:t>
      </w:r>
      <w:r w:rsidRPr="00D953C8">
        <w:rPr>
          <w:lang w:eastAsia="en-US"/>
        </w:rPr>
        <w:t xml:space="preserve"> about arrangements and access terms and promote international harmonisation in Australia's interests</w:t>
      </w:r>
    </w:p>
    <w:p w:rsidR="00357500" w:rsidRPr="00D953C8" w:rsidRDefault="00357500" w:rsidP="00357500">
      <w:pPr>
        <w:pStyle w:val="ListBullet"/>
        <w:rPr>
          <w:lang w:eastAsia="en-US"/>
        </w:rPr>
      </w:pPr>
      <w:r w:rsidRPr="00D953C8">
        <w:rPr>
          <w:lang w:eastAsia="en-US"/>
        </w:rPr>
        <w:t xml:space="preserve">promote </w:t>
      </w:r>
      <w:r w:rsidRPr="00D953C8">
        <w:rPr>
          <w:b/>
          <w:lang w:eastAsia="en-US"/>
        </w:rPr>
        <w:t>efficient</w:t>
      </w:r>
      <w:r w:rsidRPr="00D953C8">
        <w:rPr>
          <w:lang w:eastAsia="en-US"/>
        </w:rPr>
        <w:t xml:space="preserve"> allocation and use by preferring market principles and mechanisms and providing licensees with incentives to make optimal choices about their use ; and</w:t>
      </w:r>
    </w:p>
    <w:p w:rsidR="00357500" w:rsidRPr="00D953C8" w:rsidRDefault="00357500" w:rsidP="00357500">
      <w:pPr>
        <w:pStyle w:val="ListBullet"/>
        <w:rPr>
          <w:lang w:eastAsia="en-US"/>
        </w:rPr>
      </w:pPr>
      <w:r w:rsidRPr="00D953C8">
        <w:rPr>
          <w:lang w:eastAsia="en-US"/>
        </w:rPr>
        <w:t>provide a clear and transparent framework, within which the ACMA would have broad spectrum management discretion and users would have a greater role</w:t>
      </w:r>
    </w:p>
    <w:p w:rsidR="00357500" w:rsidRPr="00D953C8" w:rsidRDefault="00357500" w:rsidP="00357500">
      <w:pPr>
        <w:autoSpaceDE w:val="0"/>
        <w:autoSpaceDN w:val="0"/>
        <w:adjustRightInd w:val="0"/>
        <w:rPr>
          <w:szCs w:val="20"/>
          <w:lang w:eastAsia="en-US"/>
        </w:rPr>
      </w:pPr>
      <w:r w:rsidRPr="00D953C8">
        <w:rPr>
          <w:szCs w:val="20"/>
          <w:lang w:eastAsia="en-US"/>
        </w:rPr>
        <w:t>NBN Co notes and supports the submission made by the Communications Alliance in respect of the Reform Directions Paper and its proposals, and makes the following additional observations.</w:t>
      </w:r>
    </w:p>
    <w:p w:rsidR="00357500" w:rsidRPr="00D953C8" w:rsidRDefault="00357500" w:rsidP="00357500">
      <w:pPr>
        <w:autoSpaceDE w:val="0"/>
        <w:autoSpaceDN w:val="0"/>
        <w:adjustRightInd w:val="0"/>
        <w:rPr>
          <w:b/>
          <w:szCs w:val="20"/>
          <w:lang w:eastAsia="en-US"/>
        </w:rPr>
      </w:pPr>
      <w:r w:rsidRPr="00D953C8">
        <w:rPr>
          <w:b/>
          <w:szCs w:val="20"/>
          <w:lang w:eastAsia="en-US"/>
        </w:rPr>
        <w:t>Single licensing framework (Proposal 2)</w:t>
      </w:r>
    </w:p>
    <w:p w:rsidR="00357500" w:rsidRPr="00D953C8" w:rsidRDefault="00357500" w:rsidP="00357500">
      <w:pPr>
        <w:autoSpaceDE w:val="0"/>
        <w:autoSpaceDN w:val="0"/>
        <w:adjustRightInd w:val="0"/>
        <w:rPr>
          <w:szCs w:val="20"/>
          <w:lang w:eastAsia="en-US"/>
        </w:rPr>
      </w:pPr>
      <w:r w:rsidRPr="00D953C8">
        <w:rPr>
          <w:szCs w:val="20"/>
          <w:lang w:eastAsia="en-US"/>
        </w:rPr>
        <w:t xml:space="preserve">Subject to the consideration of the detail of this proposal, a single licensing framework will likely result in more efficient allocation of licences and remove restrictions that apply between licences of different types, for example between spectrum and apparatus licences. Transition arrangements will be particularly important for the implementation of this proposal to ensure stability for existing licensees so as not to stifle investment during this period and to maximise certainty for incumbent licensees. NBN Co suggests transition timeframes be considered in the context of existing licence durations, i.e. longer transition times may be appropriate for licences valid for &gt; 5 years. Mechanisms for incorporating existing Class </w:t>
      </w:r>
      <w:proofErr w:type="gramStart"/>
      <w:r w:rsidRPr="00D953C8">
        <w:rPr>
          <w:szCs w:val="20"/>
          <w:lang w:eastAsia="en-US"/>
        </w:rPr>
        <w:t>Licences,</w:t>
      </w:r>
      <w:proofErr w:type="gramEnd"/>
      <w:r w:rsidRPr="00D953C8">
        <w:rPr>
          <w:szCs w:val="20"/>
          <w:lang w:eastAsia="en-US"/>
        </w:rPr>
        <w:t xml:space="preserve"> and the potential for permitting any unlicensed activity, under a single licensing framework will also need to be carefully considered.</w:t>
      </w:r>
    </w:p>
    <w:p w:rsidR="00357500" w:rsidRPr="00D953C8" w:rsidRDefault="00357500" w:rsidP="00357500">
      <w:pPr>
        <w:autoSpaceDE w:val="0"/>
        <w:autoSpaceDN w:val="0"/>
        <w:adjustRightInd w:val="0"/>
        <w:rPr>
          <w:b/>
          <w:szCs w:val="20"/>
          <w:lang w:eastAsia="en-US"/>
        </w:rPr>
      </w:pPr>
      <w:r w:rsidRPr="00D953C8">
        <w:rPr>
          <w:b/>
          <w:szCs w:val="20"/>
          <w:lang w:eastAsia="en-US"/>
        </w:rPr>
        <w:t>Allocation and reallocation (Proposal 3)</w:t>
      </w:r>
    </w:p>
    <w:p w:rsidR="00357500" w:rsidRPr="00D953C8" w:rsidRDefault="00357500" w:rsidP="00357500">
      <w:pPr>
        <w:autoSpaceDE w:val="0"/>
        <w:autoSpaceDN w:val="0"/>
        <w:adjustRightInd w:val="0"/>
        <w:rPr>
          <w:szCs w:val="20"/>
          <w:lang w:eastAsia="en-US"/>
        </w:rPr>
      </w:pPr>
      <w:r w:rsidRPr="00D953C8">
        <w:rPr>
          <w:szCs w:val="20"/>
          <w:lang w:eastAsia="en-US"/>
        </w:rPr>
        <w:t>More flexible allocation and reallocation processes should be adopted in the short term.</w:t>
      </w:r>
    </w:p>
    <w:p w:rsidR="00357500" w:rsidRPr="00D953C8" w:rsidRDefault="00357500" w:rsidP="00357500">
      <w:pPr>
        <w:autoSpaceDE w:val="0"/>
        <w:autoSpaceDN w:val="0"/>
        <w:adjustRightInd w:val="0"/>
        <w:rPr>
          <w:b/>
          <w:szCs w:val="20"/>
          <w:lang w:eastAsia="en-US"/>
        </w:rPr>
      </w:pPr>
      <w:r w:rsidRPr="00D953C8">
        <w:rPr>
          <w:b/>
          <w:szCs w:val="20"/>
          <w:lang w:eastAsia="en-US"/>
        </w:rPr>
        <w:t>Pricing and market information (Proposals 4, 6 and 8)</w:t>
      </w:r>
    </w:p>
    <w:p w:rsidR="00357500" w:rsidRPr="00D953C8" w:rsidRDefault="00357500" w:rsidP="00357500">
      <w:pPr>
        <w:autoSpaceDE w:val="0"/>
        <w:autoSpaceDN w:val="0"/>
        <w:adjustRightInd w:val="0"/>
        <w:rPr>
          <w:szCs w:val="20"/>
          <w:lang w:eastAsia="en-US"/>
        </w:rPr>
      </w:pPr>
      <w:r w:rsidRPr="00D953C8">
        <w:rPr>
          <w:szCs w:val="20"/>
          <w:lang w:eastAsia="en-US"/>
        </w:rPr>
        <w:t>A more transparent and flexible approach for spectrum pricing should also be adopted in the short term</w:t>
      </w:r>
    </w:p>
    <w:p w:rsidR="00357500" w:rsidRPr="00D953C8" w:rsidRDefault="00357500" w:rsidP="00357500">
      <w:pPr>
        <w:autoSpaceDE w:val="0"/>
        <w:autoSpaceDN w:val="0"/>
        <w:adjustRightInd w:val="0"/>
        <w:rPr>
          <w:szCs w:val="20"/>
          <w:lang w:eastAsia="en-US"/>
        </w:rPr>
      </w:pPr>
      <w:r w:rsidRPr="00D953C8">
        <w:rPr>
          <w:szCs w:val="20"/>
          <w:lang w:eastAsia="en-US"/>
        </w:rPr>
        <w:t>While there may be opportunities to improve the range, availability and quality of information provided to support an efficient spectrum market, the scope of any authority to the ACMA to collect further information from industry would need to be carefully considered including to ensure it fosters the market, does not impose any unnecessary additional burden on industry and does not have unintended consequences. This is particularly the case in the context of secondary market trading, where issues of commercial confidentiality are likely to arise.</w:t>
      </w:r>
    </w:p>
    <w:p w:rsidR="00357500" w:rsidRPr="00D953C8" w:rsidRDefault="00357500" w:rsidP="00357500">
      <w:pPr>
        <w:autoSpaceDE w:val="0"/>
        <w:autoSpaceDN w:val="0"/>
        <w:adjustRightInd w:val="0"/>
        <w:rPr>
          <w:szCs w:val="20"/>
          <w:lang w:eastAsia="en-US"/>
        </w:rPr>
      </w:pPr>
      <w:r w:rsidRPr="00D953C8">
        <w:rPr>
          <w:szCs w:val="20"/>
          <w:lang w:eastAsia="en-US"/>
        </w:rPr>
        <w:t xml:space="preserve">The ACMA should take a phased approach to greater user involvement, with operational aspects such as fee collection, interference management and dispute resolution </w:t>
      </w:r>
      <w:r w:rsidRPr="00D953C8">
        <w:rPr>
          <w:szCs w:val="20"/>
          <w:lang w:eastAsia="en-US"/>
        </w:rPr>
        <w:lastRenderedPageBreak/>
        <w:t>considered in the first instance. The delegation of activities such as planning and pricing may be longer term considerations.</w:t>
      </w:r>
    </w:p>
    <w:p w:rsidR="00357500" w:rsidRPr="00D953C8" w:rsidRDefault="00357500" w:rsidP="00357500">
      <w:pPr>
        <w:autoSpaceDE w:val="0"/>
        <w:autoSpaceDN w:val="0"/>
        <w:adjustRightInd w:val="0"/>
        <w:rPr>
          <w:szCs w:val="20"/>
          <w:lang w:eastAsia="en-US"/>
        </w:rPr>
      </w:pPr>
      <w:r w:rsidRPr="00D953C8">
        <w:rPr>
          <w:szCs w:val="20"/>
          <w:lang w:eastAsia="en-US"/>
        </w:rPr>
        <w:t>Please do not hesitate to contact me if you would like to discuss.</w:t>
      </w:r>
    </w:p>
    <w:p w:rsidR="00357500" w:rsidRPr="00D953C8" w:rsidRDefault="00357500" w:rsidP="00357500">
      <w:pPr>
        <w:autoSpaceDE w:val="0"/>
        <w:autoSpaceDN w:val="0"/>
        <w:adjustRightInd w:val="0"/>
        <w:rPr>
          <w:szCs w:val="20"/>
          <w:lang w:eastAsia="en-US"/>
        </w:rPr>
      </w:pPr>
      <w:r w:rsidRPr="00D953C8">
        <w:rPr>
          <w:szCs w:val="20"/>
          <w:lang w:eastAsia="en-US"/>
        </w:rPr>
        <w:t>Yours sincerely</w:t>
      </w:r>
    </w:p>
    <w:p w:rsidR="00357500" w:rsidRPr="00D953C8" w:rsidRDefault="00357500" w:rsidP="00357500">
      <w:pPr>
        <w:pStyle w:val="Figure"/>
      </w:pPr>
      <w:r w:rsidRPr="00D953C8">
        <w:rPr>
          <w:noProof/>
        </w:rPr>
        <w:drawing>
          <wp:inline distT="0" distB="0" distL="0" distR="0" wp14:anchorId="332F9BBE" wp14:editId="4476943A">
            <wp:extent cx="1628775" cy="561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1628775" cy="561975"/>
                    </a:xfrm>
                    <a:prstGeom prst="rect">
                      <a:avLst/>
                    </a:prstGeom>
                    <a:noFill/>
                    <a:ln>
                      <a:noFill/>
                    </a:ln>
                  </pic:spPr>
                </pic:pic>
              </a:graphicData>
            </a:graphic>
          </wp:inline>
        </w:drawing>
      </w:r>
    </w:p>
    <w:p w:rsidR="00357500" w:rsidRPr="00D953C8" w:rsidRDefault="00357500" w:rsidP="00357500">
      <w:pPr>
        <w:autoSpaceDE w:val="0"/>
        <w:autoSpaceDN w:val="0"/>
        <w:adjustRightInd w:val="0"/>
        <w:rPr>
          <w:szCs w:val="20"/>
          <w:lang w:eastAsia="en-US"/>
        </w:rPr>
      </w:pPr>
      <w:r w:rsidRPr="00D953C8">
        <w:rPr>
          <w:szCs w:val="20"/>
          <w:lang w:eastAsia="en-US"/>
        </w:rPr>
        <w:t>Duncan Giles</w:t>
      </w:r>
      <w:r w:rsidRPr="00D953C8">
        <w:rPr>
          <w:szCs w:val="20"/>
          <w:lang w:eastAsia="en-US"/>
        </w:rPr>
        <w:br/>
        <w:t>General Manager - Technical Regulation</w:t>
      </w:r>
    </w:p>
    <w:sectPr w:rsidR="00357500" w:rsidRPr="00D953C8" w:rsidSect="004C7914">
      <w:headerReference w:type="default" r:id="rId15"/>
      <w:footerReference w:type="default" r:id="rId16"/>
      <w:pgSz w:w="11906" w:h="16838" w:code="9"/>
      <w:pgMar w:top="1080" w:right="1411" w:bottom="1080" w:left="1411" w:header="1080" w:footer="10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B31" w:rsidRDefault="00153B31" w:rsidP="007C5428">
      <w:r>
        <w:separator/>
      </w:r>
    </w:p>
  </w:endnote>
  <w:endnote w:type="continuationSeparator" w:id="0">
    <w:p w:rsidR="00153B31" w:rsidRDefault="00153B31" w:rsidP="007C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43B" w:rsidRDefault="009A743B" w:rsidP="009A743B">
    <w:pPr>
      <w:pStyle w:val="Footer"/>
      <w:tabs>
        <w:tab w:val="clear" w:pos="4153"/>
        <w:tab w:val="clear" w:pos="8306"/>
        <w:tab w:val="left" w:pos="604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A7D" w:rsidRPr="00267A7D" w:rsidRDefault="00357B24" w:rsidP="00267A7D">
    <w:pPr>
      <w:pStyle w:val="Footer"/>
      <w:jc w:val="right"/>
      <w:rPr>
        <w:lang w:val="en-US"/>
      </w:rPr>
    </w:pPr>
    <w:r>
      <w:rPr>
        <w:lang w:val="en-US"/>
      </w:rPr>
      <w:t xml:space="preserve">Page </w:t>
    </w:r>
    <w:r>
      <w:rPr>
        <w:lang w:val="en-US"/>
      </w:rPr>
      <w:fldChar w:fldCharType="begin"/>
    </w:r>
    <w:r>
      <w:rPr>
        <w:lang w:val="en-US"/>
      </w:rPr>
      <w:instrText xml:space="preserve"> PAGE  \* Arabic  \* MERGEFORMAT </w:instrText>
    </w:r>
    <w:r>
      <w:rPr>
        <w:lang w:val="en-US"/>
      </w:rPr>
      <w:fldChar w:fldCharType="separate"/>
    </w:r>
    <w:r w:rsidR="00F94C02">
      <w:rPr>
        <w:noProof/>
        <w:lang w:val="en-US"/>
      </w:rPr>
      <w:t>2</w:t>
    </w:r>
    <w:r>
      <w:rPr>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B31" w:rsidRDefault="00153B31" w:rsidP="007C5428">
      <w:r>
        <w:separator/>
      </w:r>
    </w:p>
  </w:footnote>
  <w:footnote w:type="continuationSeparator" w:id="0">
    <w:p w:rsidR="00153B31" w:rsidRDefault="00153B31" w:rsidP="007C5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153" w:rsidRPr="001D2526" w:rsidRDefault="00384153" w:rsidP="00E0196E">
    <w:pPr>
      <w:pStyle w:val="Header"/>
      <w:spacing w:after="240"/>
      <w:jc w:val="right"/>
      <w:rPr>
        <w:i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6C50C4"/>
    <w:lvl w:ilvl="0">
      <w:start w:val="1"/>
      <w:numFmt w:val="decimal"/>
      <w:lvlText w:val="%1."/>
      <w:lvlJc w:val="left"/>
      <w:pPr>
        <w:tabs>
          <w:tab w:val="num" w:pos="1492"/>
        </w:tabs>
        <w:ind w:left="1492" w:hanging="360"/>
      </w:pPr>
    </w:lvl>
  </w:abstractNum>
  <w:abstractNum w:abstractNumId="1">
    <w:nsid w:val="FFFFFF7D"/>
    <w:multiLevelType w:val="singleLevel"/>
    <w:tmpl w:val="D486B3CA"/>
    <w:lvl w:ilvl="0">
      <w:start w:val="1"/>
      <w:numFmt w:val="decimal"/>
      <w:lvlText w:val="%1."/>
      <w:lvlJc w:val="left"/>
      <w:pPr>
        <w:tabs>
          <w:tab w:val="num" w:pos="1209"/>
        </w:tabs>
        <w:ind w:left="1209" w:hanging="360"/>
      </w:pPr>
    </w:lvl>
  </w:abstractNum>
  <w:abstractNum w:abstractNumId="2">
    <w:nsid w:val="FFFFFF7E"/>
    <w:multiLevelType w:val="singleLevel"/>
    <w:tmpl w:val="13D06EF8"/>
    <w:lvl w:ilvl="0">
      <w:start w:val="1"/>
      <w:numFmt w:val="lowerRoman"/>
      <w:pStyle w:val="ListNumber3"/>
      <w:lvlText w:val="%1."/>
      <w:lvlJc w:val="left"/>
      <w:pPr>
        <w:tabs>
          <w:tab w:val="num" w:pos="2160"/>
        </w:tabs>
        <w:ind w:left="2160" w:hanging="720"/>
      </w:pPr>
      <w:rPr>
        <w:rFonts w:hint="default"/>
      </w:rPr>
    </w:lvl>
  </w:abstractNum>
  <w:abstractNum w:abstractNumId="3">
    <w:nsid w:val="FFFFFF7F"/>
    <w:multiLevelType w:val="singleLevel"/>
    <w:tmpl w:val="A6104012"/>
    <w:lvl w:ilvl="0">
      <w:start w:val="1"/>
      <w:numFmt w:val="lowerLetter"/>
      <w:pStyle w:val="ListNumber2"/>
      <w:lvlText w:val="%1."/>
      <w:lvlJc w:val="left"/>
      <w:pPr>
        <w:tabs>
          <w:tab w:val="num" w:pos="1440"/>
        </w:tabs>
        <w:ind w:left="1440" w:hanging="720"/>
      </w:pPr>
      <w:rPr>
        <w:rFonts w:hint="default"/>
      </w:rPr>
    </w:lvl>
  </w:abstractNum>
  <w:abstractNum w:abstractNumId="4">
    <w:nsid w:val="FFFFFF80"/>
    <w:multiLevelType w:val="singleLevel"/>
    <w:tmpl w:val="780CF5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A06B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8F9C6"/>
    <w:lvl w:ilvl="0">
      <w:start w:val="1"/>
      <w:numFmt w:val="bullet"/>
      <w:pStyle w:val="ListBullet3"/>
      <w:lvlText w:val=""/>
      <w:lvlJc w:val="left"/>
      <w:pPr>
        <w:tabs>
          <w:tab w:val="num" w:pos="1699"/>
        </w:tabs>
        <w:ind w:left="1699" w:hanging="561"/>
      </w:pPr>
      <w:rPr>
        <w:rFonts w:ascii="Wingdings 2" w:hAnsi="Wingdings 2" w:hint="default"/>
        <w:b w:val="0"/>
        <w:i w:val="0"/>
        <w:sz w:val="20"/>
        <w:szCs w:val="20"/>
      </w:rPr>
    </w:lvl>
  </w:abstractNum>
  <w:abstractNum w:abstractNumId="7">
    <w:nsid w:val="FFFFFF83"/>
    <w:multiLevelType w:val="singleLevel"/>
    <w:tmpl w:val="DCECFE46"/>
    <w:lvl w:ilvl="0">
      <w:start w:val="1"/>
      <w:numFmt w:val="bullet"/>
      <w:pStyle w:val="ListBullet2"/>
      <w:lvlText w:val="–"/>
      <w:lvlJc w:val="left"/>
      <w:pPr>
        <w:tabs>
          <w:tab w:val="num" w:pos="567"/>
        </w:tabs>
        <w:ind w:left="1134" w:hanging="567"/>
      </w:pPr>
      <w:rPr>
        <w:rFonts w:ascii="Verdana" w:hAnsi="Verdana" w:hint="default"/>
      </w:rPr>
    </w:lvl>
  </w:abstractNum>
  <w:abstractNum w:abstractNumId="8">
    <w:nsid w:val="FFFFFF88"/>
    <w:multiLevelType w:val="singleLevel"/>
    <w:tmpl w:val="C37E5FEE"/>
    <w:lvl w:ilvl="0">
      <w:start w:val="1"/>
      <w:numFmt w:val="decimal"/>
      <w:pStyle w:val="ListNumber"/>
      <w:lvlText w:val="%1."/>
      <w:lvlJc w:val="left"/>
      <w:pPr>
        <w:tabs>
          <w:tab w:val="num" w:pos="720"/>
        </w:tabs>
        <w:ind w:left="720" w:hanging="720"/>
      </w:pPr>
      <w:rPr>
        <w:rFonts w:hint="default"/>
      </w:rPr>
    </w:lvl>
  </w:abstractNum>
  <w:abstractNum w:abstractNumId="9">
    <w:nsid w:val="FFFFFF89"/>
    <w:multiLevelType w:val="singleLevel"/>
    <w:tmpl w:val="2BF6D20C"/>
    <w:lvl w:ilvl="0">
      <w:start w:val="1"/>
      <w:numFmt w:val="bullet"/>
      <w:pStyle w:val="ListBullet"/>
      <w:lvlText w:val=""/>
      <w:lvlJc w:val="left"/>
      <w:pPr>
        <w:tabs>
          <w:tab w:val="num" w:pos="567"/>
        </w:tabs>
        <w:ind w:left="567" w:hanging="567"/>
      </w:pPr>
      <w:rPr>
        <w:rFonts w:ascii="Symbol" w:hAnsi="Symbol" w:hint="default"/>
      </w:rPr>
    </w:lvl>
  </w:abstractNum>
  <w:abstractNum w:abstractNumId="10">
    <w:nsid w:val="0147407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4D87E62"/>
    <w:multiLevelType w:val="hybridMultilevel"/>
    <w:tmpl w:val="AB1C052A"/>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10F24EA4"/>
    <w:multiLevelType w:val="hybridMultilevel"/>
    <w:tmpl w:val="4CDCF012"/>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160A2C74"/>
    <w:multiLevelType w:val="multilevel"/>
    <w:tmpl w:val="699264AE"/>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1F68072F"/>
    <w:multiLevelType w:val="multilevel"/>
    <w:tmpl w:val="722EA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238F53BD"/>
    <w:multiLevelType w:val="multilevel"/>
    <w:tmpl w:val="5296D59A"/>
    <w:lvl w:ilvl="0">
      <w:start w:val="1"/>
      <w:numFmt w:val="decimal"/>
      <w:suff w:val="space"/>
      <w:lvlText w:val="Section %1"/>
      <w:lvlJc w:val="left"/>
      <w:pPr>
        <w:ind w:left="2268" w:hanging="2268"/>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nsid w:val="253D41BF"/>
    <w:multiLevelType w:val="multilevel"/>
    <w:tmpl w:val="2C9E25BE"/>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288A65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93B69CC"/>
    <w:multiLevelType w:val="multilevel"/>
    <w:tmpl w:val="91782CFC"/>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2C0D224D"/>
    <w:multiLevelType w:val="multilevel"/>
    <w:tmpl w:val="7826E0C0"/>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2D317FAF"/>
    <w:multiLevelType w:val="multilevel"/>
    <w:tmpl w:val="AE580FCE"/>
    <w:numStyleLink w:val="Bulletlist"/>
  </w:abstractNum>
  <w:abstractNum w:abstractNumId="21">
    <w:nsid w:val="2E7D383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FF80B68"/>
    <w:multiLevelType w:val="multilevel"/>
    <w:tmpl w:val="1B84192A"/>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nsid w:val="33C435E6"/>
    <w:multiLevelType w:val="multilevel"/>
    <w:tmpl w:val="3CD044DC"/>
    <w:lvl w:ilvl="0">
      <w:start w:val="1"/>
      <w:numFmt w:val="decimal"/>
      <w:lvlText w:val="Section %1"/>
      <w:lvlJc w:val="left"/>
      <w:pPr>
        <w:tabs>
          <w:tab w:val="num" w:pos="2268"/>
        </w:tabs>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nsid w:val="449551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7553B5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9BD1259"/>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nsid w:val="4AB36828"/>
    <w:multiLevelType w:val="multilevel"/>
    <w:tmpl w:val="997465E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nsid w:val="5714650E"/>
    <w:multiLevelType w:val="multilevel"/>
    <w:tmpl w:val="AE580FCE"/>
    <w:styleLink w:val="Bulletlist"/>
    <w:lvl w:ilvl="0">
      <w:start w:val="1"/>
      <w:numFmt w:val="bullet"/>
      <w:lvlText w:val="&gt;"/>
      <w:lvlJc w:val="left"/>
      <w:pPr>
        <w:tabs>
          <w:tab w:val="num" w:pos="0"/>
        </w:tabs>
        <w:ind w:left="360" w:hanging="360"/>
      </w:pPr>
      <w:rPr>
        <w:rFonts w:ascii="Calibri" w:hAnsi="Calibri" w:hint="default"/>
        <w:color w:val="00647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436"/>
        </w:tabs>
        <w:ind w:left="644"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9">
    <w:nsid w:val="5DD623A1"/>
    <w:multiLevelType w:val="multilevel"/>
    <w:tmpl w:val="A9022BF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nsid w:val="5F66080B"/>
    <w:multiLevelType w:val="multilevel"/>
    <w:tmpl w:val="0B80696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nsid w:val="606E35BD"/>
    <w:multiLevelType w:val="multilevel"/>
    <w:tmpl w:val="307EC2D8"/>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nsid w:val="67C256C8"/>
    <w:multiLevelType w:val="multilevel"/>
    <w:tmpl w:val="F2101AC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nsid w:val="69681B61"/>
    <w:multiLevelType w:val="multilevel"/>
    <w:tmpl w:val="D99E115C"/>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nsid w:val="69AC3607"/>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5">
    <w:nsid w:val="6CC049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43A253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7556285C"/>
    <w:multiLevelType w:val="multilevel"/>
    <w:tmpl w:val="2164776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8">
    <w:nsid w:val="7B345140"/>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9">
    <w:nsid w:val="7F703F7D"/>
    <w:multiLevelType w:val="multilevel"/>
    <w:tmpl w:val="8F02B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1"/>
  </w:num>
  <w:num w:numId="12">
    <w:abstractNumId w:val="22"/>
  </w:num>
  <w:num w:numId="13">
    <w:abstractNumId w:val="13"/>
  </w:num>
  <w:num w:numId="14">
    <w:abstractNumId w:val="15"/>
  </w:num>
  <w:num w:numId="15">
    <w:abstractNumId w:val="19"/>
  </w:num>
  <w:num w:numId="16">
    <w:abstractNumId w:val="16"/>
  </w:num>
  <w:num w:numId="17">
    <w:abstractNumId w:val="33"/>
  </w:num>
  <w:num w:numId="18">
    <w:abstractNumId w:val="23"/>
  </w:num>
  <w:num w:numId="19">
    <w:abstractNumId w:val="32"/>
  </w:num>
  <w:num w:numId="20">
    <w:abstractNumId w:val="34"/>
  </w:num>
  <w:num w:numId="21">
    <w:abstractNumId w:val="27"/>
  </w:num>
  <w:num w:numId="22">
    <w:abstractNumId w:val="29"/>
  </w:num>
  <w:num w:numId="23">
    <w:abstractNumId w:val="30"/>
  </w:num>
  <w:num w:numId="24">
    <w:abstractNumId w:val="14"/>
  </w:num>
  <w:num w:numId="25">
    <w:abstractNumId w:val="39"/>
  </w:num>
  <w:num w:numId="26">
    <w:abstractNumId w:val="18"/>
  </w:num>
  <w:num w:numId="27">
    <w:abstractNumId w:val="24"/>
  </w:num>
  <w:num w:numId="28">
    <w:abstractNumId w:val="25"/>
  </w:num>
  <w:num w:numId="29">
    <w:abstractNumId w:val="17"/>
  </w:num>
  <w:num w:numId="30">
    <w:abstractNumId w:val="36"/>
  </w:num>
  <w:num w:numId="31">
    <w:abstractNumId w:val="37"/>
  </w:num>
  <w:num w:numId="32">
    <w:abstractNumId w:val="38"/>
  </w:num>
  <w:num w:numId="33">
    <w:abstractNumId w:val="26"/>
  </w:num>
  <w:num w:numId="34">
    <w:abstractNumId w:val="35"/>
  </w:num>
  <w:num w:numId="35">
    <w:abstractNumId w:val="10"/>
  </w:num>
  <w:num w:numId="36">
    <w:abstractNumId w:val="21"/>
  </w:num>
  <w:num w:numId="37">
    <w:abstractNumId w:val="2"/>
    <w:lvlOverride w:ilvl="0">
      <w:startOverride w:val="1"/>
    </w:lvlOverride>
  </w:num>
  <w:num w:numId="38">
    <w:abstractNumId w:val="2"/>
    <w:lvlOverride w:ilvl="0">
      <w:startOverride w:val="1"/>
    </w:lvlOverride>
  </w:num>
  <w:num w:numId="39">
    <w:abstractNumId w:val="8"/>
    <w:lvlOverride w:ilvl="0">
      <w:startOverride w:val="1"/>
    </w:lvlOverride>
  </w:num>
  <w:num w:numId="40">
    <w:abstractNumId w:val="3"/>
    <w:lvlOverride w:ilvl="0">
      <w:startOverride w:val="1"/>
    </w:lvlOverride>
  </w:num>
  <w:num w:numId="41">
    <w:abstractNumId w:val="11"/>
  </w:num>
  <w:num w:numId="42">
    <w:abstractNumId w:val="28"/>
  </w:num>
  <w:num w:numId="43">
    <w:abstractNumId w:val="20"/>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B31"/>
    <w:rsid w:val="0000634F"/>
    <w:rsid w:val="00027D40"/>
    <w:rsid w:val="000429C1"/>
    <w:rsid w:val="0005266B"/>
    <w:rsid w:val="0007752B"/>
    <w:rsid w:val="000831CB"/>
    <w:rsid w:val="00087501"/>
    <w:rsid w:val="0009674A"/>
    <w:rsid w:val="000A18A7"/>
    <w:rsid w:val="000A1B3E"/>
    <w:rsid w:val="000A1FE0"/>
    <w:rsid w:val="000A6095"/>
    <w:rsid w:val="000C03C4"/>
    <w:rsid w:val="000C1A3F"/>
    <w:rsid w:val="000C26FA"/>
    <w:rsid w:val="000D101F"/>
    <w:rsid w:val="000D5768"/>
    <w:rsid w:val="000E6E62"/>
    <w:rsid w:val="0012161F"/>
    <w:rsid w:val="00136A48"/>
    <w:rsid w:val="001403C0"/>
    <w:rsid w:val="00147CDE"/>
    <w:rsid w:val="00153B31"/>
    <w:rsid w:val="001725DC"/>
    <w:rsid w:val="00191B09"/>
    <w:rsid w:val="001B1C0D"/>
    <w:rsid w:val="001C1F52"/>
    <w:rsid w:val="001D2526"/>
    <w:rsid w:val="001F206F"/>
    <w:rsid w:val="0020392F"/>
    <w:rsid w:val="002272E6"/>
    <w:rsid w:val="00244729"/>
    <w:rsid w:val="0024639A"/>
    <w:rsid w:val="002560C6"/>
    <w:rsid w:val="00267A7D"/>
    <w:rsid w:val="00273E75"/>
    <w:rsid w:val="00295A16"/>
    <w:rsid w:val="002C244C"/>
    <w:rsid w:val="002C77AC"/>
    <w:rsid w:val="002D3666"/>
    <w:rsid w:val="002E26CE"/>
    <w:rsid w:val="002F3DB8"/>
    <w:rsid w:val="00343274"/>
    <w:rsid w:val="0035403C"/>
    <w:rsid w:val="00357500"/>
    <w:rsid w:val="00357B24"/>
    <w:rsid w:val="0036267C"/>
    <w:rsid w:val="0036590E"/>
    <w:rsid w:val="00371EB7"/>
    <w:rsid w:val="00374B5C"/>
    <w:rsid w:val="00384153"/>
    <w:rsid w:val="003B586C"/>
    <w:rsid w:val="003B61FD"/>
    <w:rsid w:val="003E156C"/>
    <w:rsid w:val="003E3B1E"/>
    <w:rsid w:val="00426913"/>
    <w:rsid w:val="00435D2A"/>
    <w:rsid w:val="004528A0"/>
    <w:rsid w:val="004914B4"/>
    <w:rsid w:val="004A5FC0"/>
    <w:rsid w:val="004B55B9"/>
    <w:rsid w:val="004C1ECF"/>
    <w:rsid w:val="004C7914"/>
    <w:rsid w:val="004F780B"/>
    <w:rsid w:val="0051059A"/>
    <w:rsid w:val="005549E1"/>
    <w:rsid w:val="005E399C"/>
    <w:rsid w:val="005E3AE0"/>
    <w:rsid w:val="005F0A45"/>
    <w:rsid w:val="005F7A63"/>
    <w:rsid w:val="00626CC3"/>
    <w:rsid w:val="00650CDD"/>
    <w:rsid w:val="00670B77"/>
    <w:rsid w:val="00684101"/>
    <w:rsid w:val="006C0C13"/>
    <w:rsid w:val="006E4F45"/>
    <w:rsid w:val="006E7A89"/>
    <w:rsid w:val="006F539E"/>
    <w:rsid w:val="007063C7"/>
    <w:rsid w:val="0071332A"/>
    <w:rsid w:val="00717A75"/>
    <w:rsid w:val="00737F9E"/>
    <w:rsid w:val="0074792E"/>
    <w:rsid w:val="00752775"/>
    <w:rsid w:val="0075638E"/>
    <w:rsid w:val="007B1210"/>
    <w:rsid w:val="007C5428"/>
    <w:rsid w:val="007D7E29"/>
    <w:rsid w:val="007E6713"/>
    <w:rsid w:val="00815EE7"/>
    <w:rsid w:val="00830149"/>
    <w:rsid w:val="008627A5"/>
    <w:rsid w:val="00862D74"/>
    <w:rsid w:val="008E0B44"/>
    <w:rsid w:val="00904089"/>
    <w:rsid w:val="009071FB"/>
    <w:rsid w:val="009200D5"/>
    <w:rsid w:val="0092079A"/>
    <w:rsid w:val="0093032A"/>
    <w:rsid w:val="009357FD"/>
    <w:rsid w:val="009415FA"/>
    <w:rsid w:val="009A6686"/>
    <w:rsid w:val="009A743B"/>
    <w:rsid w:val="009D1226"/>
    <w:rsid w:val="009D1E50"/>
    <w:rsid w:val="009D4748"/>
    <w:rsid w:val="00A011A0"/>
    <w:rsid w:val="00A56904"/>
    <w:rsid w:val="00A75397"/>
    <w:rsid w:val="00A8189C"/>
    <w:rsid w:val="00A96152"/>
    <w:rsid w:val="00AE157B"/>
    <w:rsid w:val="00AE78CA"/>
    <w:rsid w:val="00B11BFC"/>
    <w:rsid w:val="00B234F1"/>
    <w:rsid w:val="00B3392C"/>
    <w:rsid w:val="00B53DCB"/>
    <w:rsid w:val="00B873DA"/>
    <w:rsid w:val="00B96342"/>
    <w:rsid w:val="00BA4D98"/>
    <w:rsid w:val="00BE5EA9"/>
    <w:rsid w:val="00BE74C5"/>
    <w:rsid w:val="00BF122A"/>
    <w:rsid w:val="00BF1C87"/>
    <w:rsid w:val="00C2140D"/>
    <w:rsid w:val="00C3663B"/>
    <w:rsid w:val="00C5514C"/>
    <w:rsid w:val="00C71C66"/>
    <w:rsid w:val="00C74B40"/>
    <w:rsid w:val="00C76580"/>
    <w:rsid w:val="00CA254F"/>
    <w:rsid w:val="00CD24CF"/>
    <w:rsid w:val="00D0029A"/>
    <w:rsid w:val="00D06AE5"/>
    <w:rsid w:val="00D3224F"/>
    <w:rsid w:val="00D33D07"/>
    <w:rsid w:val="00D42027"/>
    <w:rsid w:val="00D61035"/>
    <w:rsid w:val="00D71CB5"/>
    <w:rsid w:val="00D730A3"/>
    <w:rsid w:val="00D826D4"/>
    <w:rsid w:val="00D953C8"/>
    <w:rsid w:val="00DA5253"/>
    <w:rsid w:val="00DA6871"/>
    <w:rsid w:val="00DB1FB3"/>
    <w:rsid w:val="00DB79D8"/>
    <w:rsid w:val="00DD6227"/>
    <w:rsid w:val="00DE43BE"/>
    <w:rsid w:val="00DF4FE1"/>
    <w:rsid w:val="00E0196E"/>
    <w:rsid w:val="00E1353B"/>
    <w:rsid w:val="00E77ED5"/>
    <w:rsid w:val="00EA209E"/>
    <w:rsid w:val="00EA2BF8"/>
    <w:rsid w:val="00EB5DFD"/>
    <w:rsid w:val="00ED63E1"/>
    <w:rsid w:val="00F35BBB"/>
    <w:rsid w:val="00F40DA4"/>
    <w:rsid w:val="00F43FB5"/>
    <w:rsid w:val="00F94C02"/>
    <w:rsid w:val="00FC4C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53C8"/>
    <w:pPr>
      <w:spacing w:before="240"/>
    </w:pPr>
    <w:rPr>
      <w:rFonts w:ascii="Verdana" w:hAnsi="Verdana"/>
      <w:szCs w:val="24"/>
    </w:rPr>
  </w:style>
  <w:style w:type="paragraph" w:styleId="Heading1">
    <w:name w:val="heading 1"/>
    <w:basedOn w:val="Normal"/>
    <w:next w:val="Normal"/>
    <w:qFormat/>
    <w:rsid w:val="00D953C8"/>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link w:val="Heading2Char"/>
    <w:qFormat/>
    <w:rsid w:val="00D953C8"/>
    <w:pPr>
      <w:keepNext/>
      <w:spacing w:after="60"/>
      <w:outlineLvl w:val="1"/>
    </w:pPr>
    <w:rPr>
      <w:rFonts w:cs="Arial"/>
      <w:b/>
      <w:bCs/>
      <w:iCs/>
      <w:sz w:val="28"/>
      <w:szCs w:val="28"/>
    </w:rPr>
  </w:style>
  <w:style w:type="paragraph" w:styleId="Heading3">
    <w:name w:val="heading 3"/>
    <w:basedOn w:val="Heading2"/>
    <w:next w:val="Normal"/>
    <w:qFormat/>
    <w:rsid w:val="00D953C8"/>
    <w:pPr>
      <w:outlineLvl w:val="2"/>
    </w:pPr>
    <w:rPr>
      <w:bCs w:val="0"/>
      <w:sz w:val="24"/>
      <w:szCs w:val="26"/>
    </w:rPr>
  </w:style>
  <w:style w:type="paragraph" w:styleId="Heading4">
    <w:name w:val="heading 4"/>
    <w:basedOn w:val="Normal"/>
    <w:next w:val="Normal"/>
    <w:qFormat/>
    <w:rsid w:val="00D953C8"/>
    <w:pPr>
      <w:keepNext/>
      <w:numPr>
        <w:ilvl w:val="3"/>
        <w:numId w:val="11"/>
      </w:numPr>
      <w:spacing w:after="60"/>
      <w:outlineLvl w:val="3"/>
    </w:pPr>
    <w:rPr>
      <w:b/>
      <w:bCs/>
      <w:sz w:val="22"/>
    </w:rPr>
  </w:style>
  <w:style w:type="paragraph" w:styleId="Heading5">
    <w:name w:val="heading 5"/>
    <w:basedOn w:val="Normal"/>
    <w:next w:val="Normal"/>
    <w:qFormat/>
    <w:rsid w:val="00D953C8"/>
    <w:pPr>
      <w:spacing w:after="60"/>
      <w:outlineLvl w:val="4"/>
    </w:pPr>
    <w:rPr>
      <w:b/>
      <w:bCs/>
      <w:iCs/>
      <w:szCs w:val="20"/>
    </w:rPr>
  </w:style>
  <w:style w:type="paragraph" w:styleId="Heading6">
    <w:name w:val="heading 6"/>
    <w:basedOn w:val="Normal"/>
    <w:next w:val="Normal"/>
    <w:qFormat/>
    <w:rsid w:val="00D953C8"/>
    <w:pPr>
      <w:numPr>
        <w:ilvl w:val="5"/>
        <w:numId w:val="20"/>
      </w:numPr>
      <w:spacing w:after="60"/>
      <w:outlineLvl w:val="5"/>
    </w:pPr>
    <w:rPr>
      <w:b/>
      <w:bCs/>
      <w:sz w:val="22"/>
      <w:szCs w:val="22"/>
    </w:rPr>
  </w:style>
  <w:style w:type="paragraph" w:styleId="Heading7">
    <w:name w:val="heading 7"/>
    <w:basedOn w:val="Normal"/>
    <w:next w:val="Normal"/>
    <w:qFormat/>
    <w:rsid w:val="00D953C8"/>
    <w:pPr>
      <w:numPr>
        <w:ilvl w:val="6"/>
        <w:numId w:val="20"/>
      </w:numPr>
      <w:spacing w:after="60"/>
      <w:outlineLvl w:val="6"/>
    </w:pPr>
  </w:style>
  <w:style w:type="paragraph" w:styleId="Heading8">
    <w:name w:val="heading 8"/>
    <w:basedOn w:val="Normal"/>
    <w:next w:val="Normal"/>
    <w:qFormat/>
    <w:rsid w:val="00D953C8"/>
    <w:pPr>
      <w:numPr>
        <w:ilvl w:val="7"/>
        <w:numId w:val="20"/>
      </w:numPr>
      <w:spacing w:after="60"/>
      <w:outlineLvl w:val="7"/>
    </w:pPr>
    <w:rPr>
      <w:i/>
      <w:iCs/>
    </w:rPr>
  </w:style>
  <w:style w:type="paragraph" w:styleId="Heading9">
    <w:name w:val="heading 9"/>
    <w:basedOn w:val="Normal"/>
    <w:next w:val="Normal"/>
    <w:qFormat/>
    <w:rsid w:val="00D953C8"/>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rsid w:val="00D953C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953C8"/>
  </w:style>
  <w:style w:type="paragraph" w:styleId="ListBullet3">
    <w:name w:val="List Bullet 3"/>
    <w:basedOn w:val="Normal"/>
    <w:rsid w:val="00D953C8"/>
    <w:pPr>
      <w:numPr>
        <w:numId w:val="3"/>
      </w:numPr>
      <w:tabs>
        <w:tab w:val="clear" w:pos="1699"/>
        <w:tab w:val="left" w:pos="720"/>
        <w:tab w:val="left" w:pos="1440"/>
        <w:tab w:val="left" w:pos="2160"/>
      </w:tabs>
      <w:ind w:left="2160" w:hanging="720"/>
    </w:pPr>
  </w:style>
  <w:style w:type="character" w:customStyle="1" w:styleId="Hints">
    <w:name w:val="Hints"/>
    <w:semiHidden/>
    <w:rsid w:val="00D953C8"/>
    <w:rPr>
      <w:noProof/>
      <w:color w:val="FF0000"/>
    </w:rPr>
  </w:style>
  <w:style w:type="paragraph" w:styleId="Header">
    <w:name w:val="header"/>
    <w:basedOn w:val="Normal"/>
    <w:semiHidden/>
    <w:rsid w:val="00D953C8"/>
    <w:pPr>
      <w:tabs>
        <w:tab w:val="center" w:pos="4153"/>
        <w:tab w:val="right" w:pos="8306"/>
      </w:tabs>
      <w:spacing w:before="0"/>
    </w:pPr>
    <w:rPr>
      <w:i/>
      <w:sz w:val="16"/>
    </w:rPr>
  </w:style>
  <w:style w:type="table" w:styleId="TableGrid">
    <w:name w:val="Table Grid"/>
    <w:basedOn w:val="TableNormal"/>
    <w:semiHidden/>
    <w:rsid w:val="00D953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rsid w:val="00D953C8"/>
    <w:pPr>
      <w:tabs>
        <w:tab w:val="right" w:leader="dot" w:pos="9061"/>
      </w:tabs>
    </w:pPr>
    <w:rPr>
      <w:b/>
    </w:rPr>
  </w:style>
  <w:style w:type="paragraph" w:styleId="TOC2">
    <w:name w:val="toc 2"/>
    <w:basedOn w:val="Normal"/>
    <w:autoRedefine/>
    <w:semiHidden/>
    <w:rsid w:val="00D953C8"/>
    <w:pPr>
      <w:tabs>
        <w:tab w:val="right" w:leader="dot" w:pos="9061"/>
      </w:tabs>
      <w:spacing w:before="0"/>
      <w:ind w:left="567"/>
    </w:pPr>
  </w:style>
  <w:style w:type="paragraph" w:styleId="ListNumber3">
    <w:name w:val="List Number 3"/>
    <w:basedOn w:val="Normal"/>
    <w:rsid w:val="00D953C8"/>
    <w:pPr>
      <w:numPr>
        <w:numId w:val="37"/>
      </w:numPr>
    </w:pPr>
  </w:style>
  <w:style w:type="paragraph" w:customStyle="1" w:styleId="Sub-subtitle">
    <w:name w:val="Sub-subtitle"/>
    <w:basedOn w:val="Subtitle"/>
    <w:next w:val="Normal"/>
    <w:rsid w:val="00D953C8"/>
    <w:rPr>
      <w:sz w:val="24"/>
    </w:rPr>
  </w:style>
  <w:style w:type="paragraph" w:styleId="Subtitle">
    <w:name w:val="Subtitle"/>
    <w:basedOn w:val="Normal"/>
    <w:next w:val="Sub-subtitle"/>
    <w:qFormat/>
    <w:rsid w:val="00D953C8"/>
    <w:pPr>
      <w:spacing w:before="2400"/>
      <w:jc w:val="center"/>
      <w:outlineLvl w:val="1"/>
    </w:pPr>
    <w:rPr>
      <w:rFonts w:cs="Arial"/>
      <w:b/>
      <w:caps/>
      <w:sz w:val="28"/>
      <w:szCs w:val="28"/>
    </w:rPr>
  </w:style>
  <w:style w:type="paragraph" w:customStyle="1" w:styleId="Contents">
    <w:name w:val="Contents"/>
    <w:basedOn w:val="Heading2"/>
    <w:next w:val="Normal"/>
    <w:rsid w:val="00D953C8"/>
  </w:style>
  <w:style w:type="paragraph" w:customStyle="1" w:styleId="TableText">
    <w:name w:val="Table Text"/>
    <w:basedOn w:val="Normal"/>
    <w:rsid w:val="00D953C8"/>
    <w:pPr>
      <w:spacing w:before="80" w:after="80"/>
    </w:pPr>
  </w:style>
  <w:style w:type="paragraph" w:customStyle="1" w:styleId="TableHeading">
    <w:name w:val="Table Heading"/>
    <w:basedOn w:val="TableText"/>
    <w:rsid w:val="00D953C8"/>
    <w:pPr>
      <w:keepNext/>
    </w:pPr>
    <w:rPr>
      <w:b/>
    </w:rPr>
  </w:style>
  <w:style w:type="paragraph" w:customStyle="1" w:styleId="TableCaption">
    <w:name w:val="Table Caption"/>
    <w:basedOn w:val="Normal"/>
    <w:next w:val="Normal"/>
    <w:rsid w:val="00D953C8"/>
    <w:pPr>
      <w:keepNext/>
      <w:spacing w:after="240"/>
    </w:pPr>
    <w:rPr>
      <w:b/>
    </w:rPr>
  </w:style>
  <w:style w:type="paragraph" w:customStyle="1" w:styleId="Figure">
    <w:name w:val="Figure"/>
    <w:basedOn w:val="Normal"/>
    <w:next w:val="ListBullet3"/>
    <w:rsid w:val="00D953C8"/>
  </w:style>
  <w:style w:type="paragraph" w:customStyle="1" w:styleId="FigureCaption">
    <w:name w:val="Figure Caption"/>
    <w:basedOn w:val="Normal"/>
    <w:next w:val="Figure"/>
    <w:rsid w:val="00D953C8"/>
    <w:pPr>
      <w:keepNext/>
      <w:spacing w:after="240"/>
    </w:pPr>
    <w:rPr>
      <w:b/>
    </w:rPr>
  </w:style>
  <w:style w:type="paragraph" w:customStyle="1" w:styleId="SectionHeading">
    <w:name w:val="Section Heading"/>
    <w:basedOn w:val="Normal"/>
    <w:next w:val="Heading2"/>
    <w:semiHidden/>
    <w:rsid w:val="00D953C8"/>
    <w:rPr>
      <w:b/>
      <w:sz w:val="24"/>
    </w:rPr>
  </w:style>
  <w:style w:type="paragraph" w:styleId="Footer">
    <w:name w:val="footer"/>
    <w:basedOn w:val="Normal"/>
    <w:semiHidden/>
    <w:rsid w:val="00D953C8"/>
    <w:pPr>
      <w:tabs>
        <w:tab w:val="center" w:pos="4153"/>
        <w:tab w:val="right" w:pos="8306"/>
      </w:tabs>
    </w:pPr>
    <w:rPr>
      <w:sz w:val="16"/>
    </w:rPr>
  </w:style>
  <w:style w:type="paragraph" w:styleId="ListBullet">
    <w:name w:val="List Bullet"/>
    <w:basedOn w:val="Normal"/>
    <w:rsid w:val="00D953C8"/>
    <w:pPr>
      <w:numPr>
        <w:numId w:val="1"/>
      </w:numPr>
      <w:tabs>
        <w:tab w:val="clear" w:pos="567"/>
        <w:tab w:val="left" w:pos="720"/>
      </w:tabs>
      <w:ind w:left="720" w:hanging="720"/>
    </w:pPr>
  </w:style>
  <w:style w:type="paragraph" w:styleId="ListBullet2">
    <w:name w:val="List Bullet 2"/>
    <w:basedOn w:val="ListBullet"/>
    <w:rsid w:val="00D953C8"/>
    <w:pPr>
      <w:numPr>
        <w:numId w:val="2"/>
      </w:numPr>
      <w:tabs>
        <w:tab w:val="clear" w:pos="567"/>
        <w:tab w:val="left" w:pos="1440"/>
      </w:tabs>
      <w:ind w:left="1440" w:hanging="720"/>
    </w:pPr>
  </w:style>
  <w:style w:type="paragraph" w:styleId="ListNumber">
    <w:name w:val="List Number"/>
    <w:basedOn w:val="Normal"/>
    <w:rsid w:val="00D953C8"/>
    <w:pPr>
      <w:numPr>
        <w:numId w:val="39"/>
      </w:numPr>
    </w:pPr>
  </w:style>
  <w:style w:type="paragraph" w:styleId="ListNumber2">
    <w:name w:val="List Number 2"/>
    <w:basedOn w:val="Normal"/>
    <w:rsid w:val="00D953C8"/>
    <w:pPr>
      <w:numPr>
        <w:numId w:val="40"/>
      </w:numPr>
    </w:pPr>
  </w:style>
  <w:style w:type="paragraph" w:styleId="TableofFigures">
    <w:name w:val="table of figures"/>
    <w:basedOn w:val="TOC2"/>
    <w:next w:val="Normal"/>
    <w:semiHidden/>
    <w:rsid w:val="00D953C8"/>
    <w:pPr>
      <w:ind w:left="0"/>
    </w:pPr>
  </w:style>
  <w:style w:type="paragraph" w:customStyle="1" w:styleId="Heading1-nonumbering">
    <w:name w:val="Heading 1 - no numbering"/>
    <w:basedOn w:val="Heading1"/>
    <w:next w:val="Normal"/>
    <w:semiHidden/>
    <w:rsid w:val="00D953C8"/>
  </w:style>
  <w:style w:type="paragraph" w:styleId="TOC3">
    <w:name w:val="toc 3"/>
    <w:basedOn w:val="TOC2"/>
    <w:next w:val="Normal"/>
    <w:autoRedefine/>
    <w:semiHidden/>
    <w:rsid w:val="00D953C8"/>
    <w:pPr>
      <w:tabs>
        <w:tab w:val="clear" w:pos="9061"/>
        <w:tab w:val="right" w:leader="dot" w:pos="9060"/>
      </w:tabs>
      <w:ind w:left="1134"/>
    </w:pPr>
  </w:style>
  <w:style w:type="paragraph" w:customStyle="1" w:styleId="Footnote">
    <w:name w:val="Footnote"/>
    <w:next w:val="Normal"/>
    <w:rsid w:val="00D953C8"/>
    <w:pPr>
      <w:spacing w:before="60" w:after="60"/>
    </w:pPr>
    <w:rPr>
      <w:rFonts w:ascii="Verdana" w:hAnsi="Verdana" w:cs="Arial"/>
      <w:bCs/>
      <w:kern w:val="28"/>
      <w:sz w:val="16"/>
      <w:szCs w:val="16"/>
    </w:rPr>
  </w:style>
  <w:style w:type="paragraph" w:styleId="FootnoteText">
    <w:name w:val="footnote text"/>
    <w:basedOn w:val="Normal"/>
    <w:link w:val="FootnoteTextChar"/>
    <w:rsid w:val="00D953C8"/>
    <w:pPr>
      <w:spacing w:before="0"/>
    </w:pPr>
    <w:rPr>
      <w:sz w:val="16"/>
      <w:szCs w:val="20"/>
    </w:rPr>
  </w:style>
  <w:style w:type="character" w:customStyle="1" w:styleId="FootnoteTextChar">
    <w:name w:val="Footnote Text Char"/>
    <w:basedOn w:val="DefaultParagraphFont"/>
    <w:link w:val="FootnoteText"/>
    <w:rsid w:val="00D953C8"/>
    <w:rPr>
      <w:rFonts w:ascii="Verdana" w:hAnsi="Verdana"/>
      <w:sz w:val="16"/>
    </w:rPr>
  </w:style>
  <w:style w:type="character" w:styleId="Hyperlink">
    <w:name w:val="Hyperlink"/>
    <w:basedOn w:val="DefaultParagraphFont"/>
    <w:uiPriority w:val="99"/>
    <w:rsid w:val="00830149"/>
    <w:rPr>
      <w:color w:val="0000FF" w:themeColor="hyperlink"/>
      <w:u w:val="single"/>
    </w:rPr>
  </w:style>
  <w:style w:type="character" w:styleId="FootnoteReference">
    <w:name w:val="footnote reference"/>
    <w:basedOn w:val="DefaultParagraphFont"/>
    <w:uiPriority w:val="99"/>
    <w:rsid w:val="00830149"/>
    <w:rPr>
      <w:vertAlign w:val="superscript"/>
    </w:rPr>
  </w:style>
  <w:style w:type="character" w:customStyle="1" w:styleId="Heading2Char">
    <w:name w:val="Heading 2 Char"/>
    <w:link w:val="Heading2"/>
    <w:rsid w:val="001D2526"/>
    <w:rPr>
      <w:rFonts w:ascii="Verdana" w:hAnsi="Verdana" w:cs="Arial"/>
      <w:b/>
      <w:bCs/>
      <w:iCs/>
      <w:sz w:val="28"/>
      <w:szCs w:val="28"/>
    </w:rPr>
  </w:style>
  <w:style w:type="numbering" w:customStyle="1" w:styleId="Bulletlist">
    <w:name w:val="Bullet list"/>
    <w:rsid w:val="008627A5"/>
    <w:pPr>
      <w:numPr>
        <w:numId w:val="42"/>
      </w:numPr>
    </w:pPr>
  </w:style>
  <w:style w:type="paragraph" w:customStyle="1" w:styleId="Numberlist">
    <w:name w:val="Number list"/>
    <w:basedOn w:val="Normal"/>
    <w:next w:val="Normal"/>
    <w:qFormat/>
    <w:rsid w:val="008627A5"/>
    <w:pPr>
      <w:tabs>
        <w:tab w:val="num" w:pos="0"/>
      </w:tabs>
      <w:spacing w:before="0" w:after="120"/>
      <w:ind w:left="360" w:hanging="360"/>
    </w:pPr>
    <w:rPr>
      <w:rFonts w:ascii="Calibri" w:eastAsia="Cambria" w:hAnsi="Calibri"/>
      <w:color w:val="3C3C3B"/>
      <w:sz w:val="24"/>
      <w:lang w:val="en-US" w:eastAsia="en-US"/>
    </w:rPr>
  </w:style>
  <w:style w:type="paragraph" w:styleId="BalloonText">
    <w:name w:val="Balloon Text"/>
    <w:basedOn w:val="Normal"/>
    <w:link w:val="BalloonTextChar"/>
    <w:rsid w:val="000C26FA"/>
    <w:pPr>
      <w:spacing w:before="0"/>
    </w:pPr>
    <w:rPr>
      <w:rFonts w:ascii="Tahoma" w:hAnsi="Tahoma" w:cs="Tahoma"/>
      <w:sz w:val="16"/>
      <w:szCs w:val="16"/>
    </w:rPr>
  </w:style>
  <w:style w:type="character" w:customStyle="1" w:styleId="BalloonTextChar">
    <w:name w:val="Balloon Text Char"/>
    <w:basedOn w:val="DefaultParagraphFont"/>
    <w:link w:val="BalloonText"/>
    <w:rsid w:val="000C26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53C8"/>
    <w:pPr>
      <w:spacing w:before="240"/>
    </w:pPr>
    <w:rPr>
      <w:rFonts w:ascii="Verdana" w:hAnsi="Verdana"/>
      <w:szCs w:val="24"/>
    </w:rPr>
  </w:style>
  <w:style w:type="paragraph" w:styleId="Heading1">
    <w:name w:val="heading 1"/>
    <w:basedOn w:val="Normal"/>
    <w:next w:val="Normal"/>
    <w:qFormat/>
    <w:rsid w:val="00D953C8"/>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link w:val="Heading2Char"/>
    <w:qFormat/>
    <w:rsid w:val="00D953C8"/>
    <w:pPr>
      <w:keepNext/>
      <w:spacing w:after="60"/>
      <w:outlineLvl w:val="1"/>
    </w:pPr>
    <w:rPr>
      <w:rFonts w:cs="Arial"/>
      <w:b/>
      <w:bCs/>
      <w:iCs/>
      <w:sz w:val="28"/>
      <w:szCs w:val="28"/>
    </w:rPr>
  </w:style>
  <w:style w:type="paragraph" w:styleId="Heading3">
    <w:name w:val="heading 3"/>
    <w:basedOn w:val="Heading2"/>
    <w:next w:val="Normal"/>
    <w:qFormat/>
    <w:rsid w:val="00D953C8"/>
    <w:pPr>
      <w:outlineLvl w:val="2"/>
    </w:pPr>
    <w:rPr>
      <w:bCs w:val="0"/>
      <w:sz w:val="24"/>
      <w:szCs w:val="26"/>
    </w:rPr>
  </w:style>
  <w:style w:type="paragraph" w:styleId="Heading4">
    <w:name w:val="heading 4"/>
    <w:basedOn w:val="Normal"/>
    <w:next w:val="Normal"/>
    <w:qFormat/>
    <w:rsid w:val="00D953C8"/>
    <w:pPr>
      <w:keepNext/>
      <w:numPr>
        <w:ilvl w:val="3"/>
        <w:numId w:val="11"/>
      </w:numPr>
      <w:spacing w:after="60"/>
      <w:outlineLvl w:val="3"/>
    </w:pPr>
    <w:rPr>
      <w:b/>
      <w:bCs/>
      <w:sz w:val="22"/>
    </w:rPr>
  </w:style>
  <w:style w:type="paragraph" w:styleId="Heading5">
    <w:name w:val="heading 5"/>
    <w:basedOn w:val="Normal"/>
    <w:next w:val="Normal"/>
    <w:qFormat/>
    <w:rsid w:val="00D953C8"/>
    <w:pPr>
      <w:spacing w:after="60"/>
      <w:outlineLvl w:val="4"/>
    </w:pPr>
    <w:rPr>
      <w:b/>
      <w:bCs/>
      <w:iCs/>
      <w:szCs w:val="20"/>
    </w:rPr>
  </w:style>
  <w:style w:type="paragraph" w:styleId="Heading6">
    <w:name w:val="heading 6"/>
    <w:basedOn w:val="Normal"/>
    <w:next w:val="Normal"/>
    <w:qFormat/>
    <w:rsid w:val="00D953C8"/>
    <w:pPr>
      <w:numPr>
        <w:ilvl w:val="5"/>
        <w:numId w:val="20"/>
      </w:numPr>
      <w:spacing w:after="60"/>
      <w:outlineLvl w:val="5"/>
    </w:pPr>
    <w:rPr>
      <w:b/>
      <w:bCs/>
      <w:sz w:val="22"/>
      <w:szCs w:val="22"/>
    </w:rPr>
  </w:style>
  <w:style w:type="paragraph" w:styleId="Heading7">
    <w:name w:val="heading 7"/>
    <w:basedOn w:val="Normal"/>
    <w:next w:val="Normal"/>
    <w:qFormat/>
    <w:rsid w:val="00D953C8"/>
    <w:pPr>
      <w:numPr>
        <w:ilvl w:val="6"/>
        <w:numId w:val="20"/>
      </w:numPr>
      <w:spacing w:after="60"/>
      <w:outlineLvl w:val="6"/>
    </w:pPr>
  </w:style>
  <w:style w:type="paragraph" w:styleId="Heading8">
    <w:name w:val="heading 8"/>
    <w:basedOn w:val="Normal"/>
    <w:next w:val="Normal"/>
    <w:qFormat/>
    <w:rsid w:val="00D953C8"/>
    <w:pPr>
      <w:numPr>
        <w:ilvl w:val="7"/>
        <w:numId w:val="20"/>
      </w:numPr>
      <w:spacing w:after="60"/>
      <w:outlineLvl w:val="7"/>
    </w:pPr>
    <w:rPr>
      <w:i/>
      <w:iCs/>
    </w:rPr>
  </w:style>
  <w:style w:type="paragraph" w:styleId="Heading9">
    <w:name w:val="heading 9"/>
    <w:basedOn w:val="Normal"/>
    <w:next w:val="Normal"/>
    <w:qFormat/>
    <w:rsid w:val="00D953C8"/>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rsid w:val="00D953C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953C8"/>
  </w:style>
  <w:style w:type="paragraph" w:styleId="ListBullet3">
    <w:name w:val="List Bullet 3"/>
    <w:basedOn w:val="Normal"/>
    <w:rsid w:val="00D953C8"/>
    <w:pPr>
      <w:numPr>
        <w:numId w:val="3"/>
      </w:numPr>
      <w:tabs>
        <w:tab w:val="clear" w:pos="1699"/>
        <w:tab w:val="left" w:pos="720"/>
        <w:tab w:val="left" w:pos="1440"/>
        <w:tab w:val="left" w:pos="2160"/>
      </w:tabs>
      <w:ind w:left="2160" w:hanging="720"/>
    </w:pPr>
  </w:style>
  <w:style w:type="character" w:customStyle="1" w:styleId="Hints">
    <w:name w:val="Hints"/>
    <w:semiHidden/>
    <w:rsid w:val="00D953C8"/>
    <w:rPr>
      <w:noProof/>
      <w:color w:val="FF0000"/>
    </w:rPr>
  </w:style>
  <w:style w:type="paragraph" w:styleId="Header">
    <w:name w:val="header"/>
    <w:basedOn w:val="Normal"/>
    <w:semiHidden/>
    <w:rsid w:val="00D953C8"/>
    <w:pPr>
      <w:tabs>
        <w:tab w:val="center" w:pos="4153"/>
        <w:tab w:val="right" w:pos="8306"/>
      </w:tabs>
      <w:spacing w:before="0"/>
    </w:pPr>
    <w:rPr>
      <w:i/>
      <w:sz w:val="16"/>
    </w:rPr>
  </w:style>
  <w:style w:type="table" w:styleId="TableGrid">
    <w:name w:val="Table Grid"/>
    <w:basedOn w:val="TableNormal"/>
    <w:semiHidden/>
    <w:rsid w:val="00D953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rsid w:val="00D953C8"/>
    <w:pPr>
      <w:tabs>
        <w:tab w:val="right" w:leader="dot" w:pos="9061"/>
      </w:tabs>
    </w:pPr>
    <w:rPr>
      <w:b/>
    </w:rPr>
  </w:style>
  <w:style w:type="paragraph" w:styleId="TOC2">
    <w:name w:val="toc 2"/>
    <w:basedOn w:val="Normal"/>
    <w:autoRedefine/>
    <w:semiHidden/>
    <w:rsid w:val="00D953C8"/>
    <w:pPr>
      <w:tabs>
        <w:tab w:val="right" w:leader="dot" w:pos="9061"/>
      </w:tabs>
      <w:spacing w:before="0"/>
      <w:ind w:left="567"/>
    </w:pPr>
  </w:style>
  <w:style w:type="paragraph" w:styleId="ListNumber3">
    <w:name w:val="List Number 3"/>
    <w:basedOn w:val="Normal"/>
    <w:rsid w:val="00D953C8"/>
    <w:pPr>
      <w:numPr>
        <w:numId w:val="37"/>
      </w:numPr>
    </w:pPr>
  </w:style>
  <w:style w:type="paragraph" w:customStyle="1" w:styleId="Sub-subtitle">
    <w:name w:val="Sub-subtitle"/>
    <w:basedOn w:val="Subtitle"/>
    <w:next w:val="Normal"/>
    <w:rsid w:val="00D953C8"/>
    <w:rPr>
      <w:sz w:val="24"/>
    </w:rPr>
  </w:style>
  <w:style w:type="paragraph" w:styleId="Subtitle">
    <w:name w:val="Subtitle"/>
    <w:basedOn w:val="Normal"/>
    <w:next w:val="Sub-subtitle"/>
    <w:qFormat/>
    <w:rsid w:val="00D953C8"/>
    <w:pPr>
      <w:spacing w:before="2400"/>
      <w:jc w:val="center"/>
      <w:outlineLvl w:val="1"/>
    </w:pPr>
    <w:rPr>
      <w:rFonts w:cs="Arial"/>
      <w:b/>
      <w:caps/>
      <w:sz w:val="28"/>
      <w:szCs w:val="28"/>
    </w:rPr>
  </w:style>
  <w:style w:type="paragraph" w:customStyle="1" w:styleId="Contents">
    <w:name w:val="Contents"/>
    <w:basedOn w:val="Heading2"/>
    <w:next w:val="Normal"/>
    <w:rsid w:val="00D953C8"/>
  </w:style>
  <w:style w:type="paragraph" w:customStyle="1" w:styleId="TableText">
    <w:name w:val="Table Text"/>
    <w:basedOn w:val="Normal"/>
    <w:rsid w:val="00D953C8"/>
    <w:pPr>
      <w:spacing w:before="80" w:after="80"/>
    </w:pPr>
  </w:style>
  <w:style w:type="paragraph" w:customStyle="1" w:styleId="TableHeading">
    <w:name w:val="Table Heading"/>
    <w:basedOn w:val="TableText"/>
    <w:rsid w:val="00D953C8"/>
    <w:pPr>
      <w:keepNext/>
    </w:pPr>
    <w:rPr>
      <w:b/>
    </w:rPr>
  </w:style>
  <w:style w:type="paragraph" w:customStyle="1" w:styleId="TableCaption">
    <w:name w:val="Table Caption"/>
    <w:basedOn w:val="Normal"/>
    <w:next w:val="Normal"/>
    <w:rsid w:val="00D953C8"/>
    <w:pPr>
      <w:keepNext/>
      <w:spacing w:after="240"/>
    </w:pPr>
    <w:rPr>
      <w:b/>
    </w:rPr>
  </w:style>
  <w:style w:type="paragraph" w:customStyle="1" w:styleId="Figure">
    <w:name w:val="Figure"/>
    <w:basedOn w:val="Normal"/>
    <w:next w:val="ListBullet3"/>
    <w:rsid w:val="00D953C8"/>
  </w:style>
  <w:style w:type="paragraph" w:customStyle="1" w:styleId="FigureCaption">
    <w:name w:val="Figure Caption"/>
    <w:basedOn w:val="Normal"/>
    <w:next w:val="Figure"/>
    <w:rsid w:val="00D953C8"/>
    <w:pPr>
      <w:keepNext/>
      <w:spacing w:after="240"/>
    </w:pPr>
    <w:rPr>
      <w:b/>
    </w:rPr>
  </w:style>
  <w:style w:type="paragraph" w:customStyle="1" w:styleId="SectionHeading">
    <w:name w:val="Section Heading"/>
    <w:basedOn w:val="Normal"/>
    <w:next w:val="Heading2"/>
    <w:semiHidden/>
    <w:rsid w:val="00D953C8"/>
    <w:rPr>
      <w:b/>
      <w:sz w:val="24"/>
    </w:rPr>
  </w:style>
  <w:style w:type="paragraph" w:styleId="Footer">
    <w:name w:val="footer"/>
    <w:basedOn w:val="Normal"/>
    <w:semiHidden/>
    <w:rsid w:val="00D953C8"/>
    <w:pPr>
      <w:tabs>
        <w:tab w:val="center" w:pos="4153"/>
        <w:tab w:val="right" w:pos="8306"/>
      </w:tabs>
    </w:pPr>
    <w:rPr>
      <w:sz w:val="16"/>
    </w:rPr>
  </w:style>
  <w:style w:type="paragraph" w:styleId="ListBullet">
    <w:name w:val="List Bullet"/>
    <w:basedOn w:val="Normal"/>
    <w:rsid w:val="00D953C8"/>
    <w:pPr>
      <w:numPr>
        <w:numId w:val="1"/>
      </w:numPr>
      <w:tabs>
        <w:tab w:val="clear" w:pos="567"/>
        <w:tab w:val="left" w:pos="720"/>
      </w:tabs>
      <w:ind w:left="720" w:hanging="720"/>
    </w:pPr>
  </w:style>
  <w:style w:type="paragraph" w:styleId="ListBullet2">
    <w:name w:val="List Bullet 2"/>
    <w:basedOn w:val="ListBullet"/>
    <w:rsid w:val="00D953C8"/>
    <w:pPr>
      <w:numPr>
        <w:numId w:val="2"/>
      </w:numPr>
      <w:tabs>
        <w:tab w:val="clear" w:pos="567"/>
        <w:tab w:val="left" w:pos="1440"/>
      </w:tabs>
      <w:ind w:left="1440" w:hanging="720"/>
    </w:pPr>
  </w:style>
  <w:style w:type="paragraph" w:styleId="ListNumber">
    <w:name w:val="List Number"/>
    <w:basedOn w:val="Normal"/>
    <w:rsid w:val="00D953C8"/>
    <w:pPr>
      <w:numPr>
        <w:numId w:val="39"/>
      </w:numPr>
    </w:pPr>
  </w:style>
  <w:style w:type="paragraph" w:styleId="ListNumber2">
    <w:name w:val="List Number 2"/>
    <w:basedOn w:val="Normal"/>
    <w:rsid w:val="00D953C8"/>
    <w:pPr>
      <w:numPr>
        <w:numId w:val="40"/>
      </w:numPr>
    </w:pPr>
  </w:style>
  <w:style w:type="paragraph" w:styleId="TableofFigures">
    <w:name w:val="table of figures"/>
    <w:basedOn w:val="TOC2"/>
    <w:next w:val="Normal"/>
    <w:semiHidden/>
    <w:rsid w:val="00D953C8"/>
    <w:pPr>
      <w:ind w:left="0"/>
    </w:pPr>
  </w:style>
  <w:style w:type="paragraph" w:customStyle="1" w:styleId="Heading1-nonumbering">
    <w:name w:val="Heading 1 - no numbering"/>
    <w:basedOn w:val="Heading1"/>
    <w:next w:val="Normal"/>
    <w:semiHidden/>
    <w:rsid w:val="00D953C8"/>
  </w:style>
  <w:style w:type="paragraph" w:styleId="TOC3">
    <w:name w:val="toc 3"/>
    <w:basedOn w:val="TOC2"/>
    <w:next w:val="Normal"/>
    <w:autoRedefine/>
    <w:semiHidden/>
    <w:rsid w:val="00D953C8"/>
    <w:pPr>
      <w:tabs>
        <w:tab w:val="clear" w:pos="9061"/>
        <w:tab w:val="right" w:leader="dot" w:pos="9060"/>
      </w:tabs>
      <w:ind w:left="1134"/>
    </w:pPr>
  </w:style>
  <w:style w:type="paragraph" w:customStyle="1" w:styleId="Footnote">
    <w:name w:val="Footnote"/>
    <w:next w:val="Normal"/>
    <w:rsid w:val="00D953C8"/>
    <w:pPr>
      <w:spacing w:before="60" w:after="60"/>
    </w:pPr>
    <w:rPr>
      <w:rFonts w:ascii="Verdana" w:hAnsi="Verdana" w:cs="Arial"/>
      <w:bCs/>
      <w:kern w:val="28"/>
      <w:sz w:val="16"/>
      <w:szCs w:val="16"/>
    </w:rPr>
  </w:style>
  <w:style w:type="paragraph" w:styleId="FootnoteText">
    <w:name w:val="footnote text"/>
    <w:basedOn w:val="Normal"/>
    <w:link w:val="FootnoteTextChar"/>
    <w:rsid w:val="00D953C8"/>
    <w:pPr>
      <w:spacing w:before="0"/>
    </w:pPr>
    <w:rPr>
      <w:sz w:val="16"/>
      <w:szCs w:val="20"/>
    </w:rPr>
  </w:style>
  <w:style w:type="character" w:customStyle="1" w:styleId="FootnoteTextChar">
    <w:name w:val="Footnote Text Char"/>
    <w:basedOn w:val="DefaultParagraphFont"/>
    <w:link w:val="FootnoteText"/>
    <w:rsid w:val="00D953C8"/>
    <w:rPr>
      <w:rFonts w:ascii="Verdana" w:hAnsi="Verdana"/>
      <w:sz w:val="16"/>
    </w:rPr>
  </w:style>
  <w:style w:type="character" w:styleId="Hyperlink">
    <w:name w:val="Hyperlink"/>
    <w:basedOn w:val="DefaultParagraphFont"/>
    <w:uiPriority w:val="99"/>
    <w:rsid w:val="00830149"/>
    <w:rPr>
      <w:color w:val="0000FF" w:themeColor="hyperlink"/>
      <w:u w:val="single"/>
    </w:rPr>
  </w:style>
  <w:style w:type="character" w:styleId="FootnoteReference">
    <w:name w:val="footnote reference"/>
    <w:basedOn w:val="DefaultParagraphFont"/>
    <w:uiPriority w:val="99"/>
    <w:rsid w:val="00830149"/>
    <w:rPr>
      <w:vertAlign w:val="superscript"/>
    </w:rPr>
  </w:style>
  <w:style w:type="character" w:customStyle="1" w:styleId="Heading2Char">
    <w:name w:val="Heading 2 Char"/>
    <w:link w:val="Heading2"/>
    <w:rsid w:val="001D2526"/>
    <w:rPr>
      <w:rFonts w:ascii="Verdana" w:hAnsi="Verdana" w:cs="Arial"/>
      <w:b/>
      <w:bCs/>
      <w:iCs/>
      <w:sz w:val="28"/>
      <w:szCs w:val="28"/>
    </w:rPr>
  </w:style>
  <w:style w:type="numbering" w:customStyle="1" w:styleId="Bulletlist">
    <w:name w:val="Bullet list"/>
    <w:rsid w:val="008627A5"/>
    <w:pPr>
      <w:numPr>
        <w:numId w:val="42"/>
      </w:numPr>
    </w:pPr>
  </w:style>
  <w:style w:type="paragraph" w:customStyle="1" w:styleId="Numberlist">
    <w:name w:val="Number list"/>
    <w:basedOn w:val="Normal"/>
    <w:next w:val="Normal"/>
    <w:qFormat/>
    <w:rsid w:val="008627A5"/>
    <w:pPr>
      <w:tabs>
        <w:tab w:val="num" w:pos="0"/>
      </w:tabs>
      <w:spacing w:before="0" w:after="120"/>
      <w:ind w:left="360" w:hanging="360"/>
    </w:pPr>
    <w:rPr>
      <w:rFonts w:ascii="Calibri" w:eastAsia="Cambria" w:hAnsi="Calibri"/>
      <w:color w:val="3C3C3B"/>
      <w:sz w:val="24"/>
      <w:lang w:val="en-US" w:eastAsia="en-US"/>
    </w:rPr>
  </w:style>
  <w:style w:type="paragraph" w:styleId="BalloonText">
    <w:name w:val="Balloon Text"/>
    <w:basedOn w:val="Normal"/>
    <w:link w:val="BalloonTextChar"/>
    <w:rsid w:val="000C26FA"/>
    <w:pPr>
      <w:spacing w:before="0"/>
    </w:pPr>
    <w:rPr>
      <w:rFonts w:ascii="Tahoma" w:hAnsi="Tahoma" w:cs="Tahoma"/>
      <w:sz w:val="16"/>
      <w:szCs w:val="16"/>
    </w:rPr>
  </w:style>
  <w:style w:type="character" w:customStyle="1" w:styleId="BalloonTextChar">
    <w:name w:val="Balloon Text Char"/>
    <w:basedOn w:val="DefaultParagraphFont"/>
    <w:link w:val="BalloonText"/>
    <w:rsid w:val="000C26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pectrumreview@communications.gov.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bnco.com.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nbnco.com.a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R:\2014053%20-%20Communication%20Accessibility\Template1\Communications%20template%20-%20no%20to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EF2FF-4C4D-45ED-AACD-08F612D3C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Communications template - no toc.dotm</Template>
  <TotalTime>114</TotalTime>
  <Pages>4</Pages>
  <Words>709</Words>
  <Characters>4293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2014 Spectrum Review - Potential Reform Directions</vt:lpstr>
    </vt:vector>
  </TitlesOfParts>
  <Company/>
  <LinksUpToDate>false</LinksUpToDate>
  <CharactersWithSpaces>4993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Spectrum Review - Potential Reform Directions</dc:title>
  <dc:creator>na</dc:creator>
  <cp:lastModifiedBy>na</cp:lastModifiedBy>
  <cp:revision>49</cp:revision>
  <dcterms:created xsi:type="dcterms:W3CDTF">2015-03-03T01:50:00Z</dcterms:created>
  <dcterms:modified xsi:type="dcterms:W3CDTF">2015-04-14T03:03:00Z</dcterms:modified>
</cp:coreProperties>
</file>