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210" w:rsidRPr="005D0E71" w:rsidRDefault="00B873DA" w:rsidP="000C1A3F">
      <w:pPr>
        <w:pStyle w:val="Heading1"/>
      </w:pPr>
      <w:r w:rsidRPr="005D0E71">
        <w:t>Spectrum Review-Potential Reform Directions</w:t>
      </w:r>
    </w:p>
    <w:p w:rsidR="000C26FA" w:rsidRPr="005D0E71" w:rsidRDefault="009357FD" w:rsidP="005D0E71">
      <w:pPr>
        <w:pStyle w:val="Figure"/>
        <w:spacing w:before="8000"/>
        <w:jc w:val="center"/>
        <w:rPr>
          <w:sz w:val="16"/>
          <w:szCs w:val="16"/>
          <w:lang w:eastAsia="en-US"/>
        </w:rPr>
      </w:pPr>
      <w:r w:rsidRPr="005D0E71">
        <w:rPr>
          <w:noProof/>
        </w:rPr>
        <w:drawing>
          <wp:inline distT="0" distB="0" distL="0" distR="0" wp14:anchorId="37ABF9EA" wp14:editId="5B9F670A">
            <wp:extent cx="5768340" cy="713647"/>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68340" cy="713647"/>
                    </a:xfrm>
                    <a:prstGeom prst="rect">
                      <a:avLst/>
                    </a:prstGeom>
                  </pic:spPr>
                </pic:pic>
              </a:graphicData>
            </a:graphic>
          </wp:inline>
        </w:drawing>
      </w:r>
    </w:p>
    <w:p w:rsidR="001725DC" w:rsidRPr="005D0E71" w:rsidRDefault="001725DC" w:rsidP="0012161F">
      <w:pPr>
        <w:sectPr w:rsidR="001725DC" w:rsidRPr="005D0E71" w:rsidSect="004C7914">
          <w:footerReference w:type="default" r:id="rId10"/>
          <w:pgSz w:w="11906" w:h="16838" w:code="9"/>
          <w:pgMar w:top="1080" w:right="1411" w:bottom="1080" w:left="1411" w:header="1080" w:footer="1080" w:gutter="0"/>
          <w:cols w:space="708"/>
          <w:docGrid w:linePitch="360"/>
        </w:sectPr>
      </w:pPr>
    </w:p>
    <w:p w:rsidR="006E4F45" w:rsidRPr="005D0E71" w:rsidRDefault="006E4F45" w:rsidP="006E4F45">
      <w:pPr>
        <w:autoSpaceDE w:val="0"/>
        <w:autoSpaceDN w:val="0"/>
        <w:adjustRightInd w:val="0"/>
        <w:rPr>
          <w:rFonts w:cs="Georgia"/>
          <w:szCs w:val="20"/>
          <w:lang w:eastAsia="en-US"/>
        </w:rPr>
      </w:pPr>
      <w:r w:rsidRPr="005D0E71">
        <w:rPr>
          <w:rFonts w:cs="Georgia"/>
          <w:szCs w:val="20"/>
          <w:lang w:eastAsia="en-US"/>
        </w:rPr>
        <w:lastRenderedPageBreak/>
        <w:t>5 December 2014</w:t>
      </w:r>
    </w:p>
    <w:p w:rsidR="006E4F45" w:rsidRPr="005D0E71" w:rsidRDefault="005D0E71" w:rsidP="006E4F45">
      <w:pPr>
        <w:autoSpaceDE w:val="0"/>
        <w:autoSpaceDN w:val="0"/>
        <w:adjustRightInd w:val="0"/>
      </w:pPr>
      <w:hyperlink r:id="rId11" w:history="1">
        <w:r w:rsidR="006E4F45" w:rsidRPr="005D0E71">
          <w:rPr>
            <w:rStyle w:val="Hyperlink"/>
          </w:rPr>
          <w:t>spectrumreview@communications.gov.au</w:t>
        </w:r>
      </w:hyperlink>
    </w:p>
    <w:p w:rsidR="006E4F45" w:rsidRPr="005D0E71" w:rsidRDefault="006E4F45" w:rsidP="006E4F45">
      <w:pPr>
        <w:autoSpaceDE w:val="0"/>
        <w:autoSpaceDN w:val="0"/>
        <w:adjustRightInd w:val="0"/>
        <w:rPr>
          <w:rFonts w:cs="Georgia"/>
          <w:szCs w:val="20"/>
          <w:lang w:eastAsia="en-US"/>
        </w:rPr>
      </w:pPr>
      <w:r w:rsidRPr="005D0E71">
        <w:rPr>
          <w:rFonts w:cs="Georgia"/>
          <w:szCs w:val="20"/>
          <w:lang w:eastAsia="en-US"/>
        </w:rPr>
        <w:t>The Project Manager</w:t>
      </w:r>
      <w:r w:rsidRPr="005D0E71">
        <w:rPr>
          <w:rFonts w:cs="Georgia"/>
          <w:szCs w:val="20"/>
          <w:lang w:eastAsia="en-US"/>
        </w:rPr>
        <w:br/>
        <w:t>Spectrum Review</w:t>
      </w:r>
      <w:r w:rsidRPr="005D0E71">
        <w:rPr>
          <w:rFonts w:cs="Georgia"/>
          <w:szCs w:val="20"/>
          <w:lang w:eastAsia="en-US"/>
        </w:rPr>
        <w:br/>
        <w:t>Department of Communications</w:t>
      </w:r>
      <w:r w:rsidRPr="005D0E71">
        <w:rPr>
          <w:rFonts w:cs="Georgia"/>
          <w:szCs w:val="20"/>
          <w:lang w:eastAsia="en-US"/>
        </w:rPr>
        <w:br/>
        <w:t>GPO Box 2154</w:t>
      </w:r>
      <w:r w:rsidRPr="005D0E71">
        <w:rPr>
          <w:rFonts w:cs="Georgia"/>
          <w:szCs w:val="20"/>
          <w:lang w:eastAsia="en-US"/>
        </w:rPr>
        <w:br/>
        <w:t>CANBERRA ACT 2601</w:t>
      </w:r>
    </w:p>
    <w:p w:rsidR="006E4F45" w:rsidRPr="005D0E71" w:rsidRDefault="006E4F45" w:rsidP="006E4F45">
      <w:pPr>
        <w:autoSpaceDE w:val="0"/>
        <w:autoSpaceDN w:val="0"/>
        <w:adjustRightInd w:val="0"/>
        <w:rPr>
          <w:rFonts w:cs="Georgia"/>
          <w:b/>
          <w:szCs w:val="20"/>
          <w:lang w:eastAsia="en-US"/>
        </w:rPr>
      </w:pPr>
      <w:r w:rsidRPr="005D0E71">
        <w:rPr>
          <w:rFonts w:cs="Georgia"/>
          <w:b/>
          <w:szCs w:val="20"/>
          <w:lang w:eastAsia="en-US"/>
        </w:rPr>
        <w:t>Spectrum Review-Potential Reform Directions</w:t>
      </w:r>
    </w:p>
    <w:p w:rsidR="006E4F45" w:rsidRPr="005D0E71" w:rsidRDefault="006E4F45" w:rsidP="006E4F45">
      <w:pPr>
        <w:autoSpaceDE w:val="0"/>
        <w:autoSpaceDN w:val="0"/>
        <w:adjustRightInd w:val="0"/>
        <w:rPr>
          <w:rFonts w:cs="Georgia"/>
          <w:szCs w:val="20"/>
          <w:lang w:eastAsia="en-US"/>
        </w:rPr>
      </w:pPr>
      <w:r w:rsidRPr="005D0E71">
        <w:rPr>
          <w:rFonts w:cs="Georgia"/>
          <w:szCs w:val="20"/>
          <w:lang w:eastAsia="en-US"/>
        </w:rPr>
        <w:t>CRA is the peak body representing the commercial radio industry in Australia.</w:t>
      </w:r>
    </w:p>
    <w:p w:rsidR="006E4F45" w:rsidRPr="005D0E71" w:rsidRDefault="006E4F45" w:rsidP="006E4F45">
      <w:pPr>
        <w:autoSpaceDE w:val="0"/>
        <w:autoSpaceDN w:val="0"/>
        <w:adjustRightInd w:val="0"/>
        <w:rPr>
          <w:rFonts w:cs="Georgia"/>
          <w:szCs w:val="20"/>
          <w:lang w:eastAsia="en-US"/>
        </w:rPr>
      </w:pPr>
      <w:r w:rsidRPr="005D0E71">
        <w:rPr>
          <w:rFonts w:cs="Georgia"/>
          <w:szCs w:val="20"/>
          <w:lang w:eastAsia="en-US"/>
        </w:rPr>
        <w:t xml:space="preserve">CRA welcomes </w:t>
      </w:r>
      <w:proofErr w:type="gramStart"/>
      <w:r w:rsidRPr="005D0E71">
        <w:rPr>
          <w:rFonts w:cs="Georgia"/>
          <w:szCs w:val="20"/>
          <w:lang w:eastAsia="en-US"/>
        </w:rPr>
        <w:t>it's</w:t>
      </w:r>
      <w:proofErr w:type="gramEnd"/>
      <w:r w:rsidRPr="005D0E71">
        <w:rPr>
          <w:rFonts w:cs="Georgia"/>
          <w:szCs w:val="20"/>
          <w:lang w:eastAsia="en-US"/>
        </w:rPr>
        <w:t xml:space="preserve"> continued involvement in the Government's ongoing consideration of arrangements concerning spectrum policy through the Department of Communications and the Australian Communications and Media Authority ongoing consideration of arrangements concerning spectrum policy.</w:t>
      </w:r>
    </w:p>
    <w:p w:rsidR="006E4F45" w:rsidRPr="005D0E71" w:rsidRDefault="006E4F45" w:rsidP="006E4F45">
      <w:pPr>
        <w:autoSpaceDE w:val="0"/>
        <w:autoSpaceDN w:val="0"/>
        <w:adjustRightInd w:val="0"/>
        <w:rPr>
          <w:rFonts w:cs="Georgia"/>
          <w:szCs w:val="20"/>
          <w:lang w:eastAsia="en-US"/>
        </w:rPr>
      </w:pPr>
      <w:r w:rsidRPr="005D0E71">
        <w:rPr>
          <w:rFonts w:cs="Georgia"/>
          <w:szCs w:val="20"/>
          <w:lang w:eastAsia="en-US"/>
        </w:rPr>
        <w:t xml:space="preserve">In metropolitan Australia, commercial radio's cumulative reach is now almost 12.3 million people each week. On average, Australians spend almost 18 hours listening to radio each week. Breakfast remains the most listened to timeslot with almost 10 million people listening each week, namely Monday to Friday from </w:t>
      </w:r>
      <w:proofErr w:type="spellStart"/>
      <w:r w:rsidRPr="005D0E71">
        <w:rPr>
          <w:rFonts w:cs="Georgia"/>
          <w:szCs w:val="20"/>
          <w:lang w:eastAsia="en-US"/>
        </w:rPr>
        <w:t>5.30am</w:t>
      </w:r>
      <w:proofErr w:type="spellEnd"/>
      <w:r w:rsidRPr="005D0E71">
        <w:rPr>
          <w:rFonts w:cs="Georgia"/>
          <w:szCs w:val="20"/>
          <w:lang w:eastAsia="en-US"/>
        </w:rPr>
        <w:t xml:space="preserve"> to </w:t>
      </w:r>
      <w:proofErr w:type="spellStart"/>
      <w:r w:rsidRPr="005D0E71">
        <w:rPr>
          <w:rFonts w:cs="Georgia"/>
          <w:szCs w:val="20"/>
          <w:lang w:eastAsia="en-US"/>
        </w:rPr>
        <w:t>9am</w:t>
      </w:r>
      <w:proofErr w:type="spellEnd"/>
      <w:r w:rsidRPr="005D0E71">
        <w:rPr>
          <w:rFonts w:cs="Georgia"/>
          <w:szCs w:val="20"/>
          <w:lang w:eastAsia="en-US"/>
        </w:rPr>
        <w:t>. Listening amongst the youth demographic is consistent with all age groups. Radio reaches 95% of people aged 10-17 years each week.</w:t>
      </w:r>
    </w:p>
    <w:p w:rsidR="006E4F45" w:rsidRPr="005D0E71" w:rsidRDefault="006E4F45" w:rsidP="006E4F45">
      <w:pPr>
        <w:autoSpaceDE w:val="0"/>
        <w:autoSpaceDN w:val="0"/>
        <w:adjustRightInd w:val="0"/>
        <w:rPr>
          <w:rFonts w:cs="Georgia"/>
          <w:szCs w:val="20"/>
          <w:lang w:eastAsia="en-US"/>
        </w:rPr>
      </w:pPr>
      <w:r w:rsidRPr="005D0E71">
        <w:rPr>
          <w:rFonts w:cs="Georgia"/>
          <w:szCs w:val="20"/>
          <w:lang w:eastAsia="en-US"/>
        </w:rPr>
        <w:t>Commercial radio remains an extremely important delivery platform not just for the metropolitan listeners but particularly for regional and remote listeners.</w:t>
      </w:r>
    </w:p>
    <w:p w:rsidR="006E4F45" w:rsidRPr="005D0E71" w:rsidRDefault="006E4F45" w:rsidP="006E4F45">
      <w:pPr>
        <w:autoSpaceDE w:val="0"/>
        <w:autoSpaceDN w:val="0"/>
        <w:adjustRightInd w:val="0"/>
        <w:rPr>
          <w:rFonts w:cs="Georgia"/>
          <w:szCs w:val="20"/>
          <w:lang w:eastAsia="en-US"/>
        </w:rPr>
      </w:pPr>
      <w:r w:rsidRPr="005D0E71">
        <w:rPr>
          <w:rFonts w:cs="Georgia"/>
          <w:szCs w:val="20"/>
          <w:lang w:eastAsia="en-US"/>
        </w:rPr>
        <w:t>An overriding principle when giving consideration to the reform directions for spectrum management must be the delivery of high quality, consistent, interference free content to users. For spectrum holders, security of tenure is of course critical, as significant investment is made and changes can be extremely disruptive, not just to the investor but also the end user, most often the general public.</w:t>
      </w:r>
    </w:p>
    <w:p w:rsidR="006E4F45" w:rsidRPr="005D0E71" w:rsidRDefault="006E4F45" w:rsidP="006E4F45">
      <w:pPr>
        <w:autoSpaceDE w:val="0"/>
        <w:autoSpaceDN w:val="0"/>
        <w:adjustRightInd w:val="0"/>
        <w:rPr>
          <w:rFonts w:cs="Georgia"/>
          <w:szCs w:val="20"/>
          <w:lang w:eastAsia="en-US"/>
        </w:rPr>
      </w:pPr>
      <w:r w:rsidRPr="005D0E71">
        <w:rPr>
          <w:rFonts w:cs="Georgia"/>
          <w:szCs w:val="20"/>
          <w:lang w:eastAsia="en-US"/>
        </w:rPr>
        <w:t>CRA also supports the 5 key principles underlying decisions for reform namely:</w:t>
      </w:r>
    </w:p>
    <w:p w:rsidR="006E4F45" w:rsidRPr="005D0E71" w:rsidRDefault="00371EB7" w:rsidP="006E4F45">
      <w:pPr>
        <w:autoSpaceDE w:val="0"/>
        <w:autoSpaceDN w:val="0"/>
        <w:adjustRightInd w:val="0"/>
        <w:rPr>
          <w:rFonts w:cs="Georgia"/>
          <w:szCs w:val="20"/>
          <w:lang w:eastAsia="en-US"/>
        </w:rPr>
      </w:pPr>
      <w:r w:rsidRPr="005D0E71">
        <w:rPr>
          <w:rFonts w:cs="Georgia"/>
          <w:szCs w:val="20"/>
          <w:lang w:eastAsia="en-US"/>
        </w:rPr>
        <w:t>a)</w:t>
      </w:r>
      <w:r w:rsidRPr="005D0E71">
        <w:rPr>
          <w:rFonts w:cs="Georgia"/>
          <w:szCs w:val="20"/>
          <w:lang w:eastAsia="en-US"/>
        </w:rPr>
        <w:tab/>
      </w:r>
      <w:r w:rsidR="006E4F45" w:rsidRPr="005D0E71">
        <w:rPr>
          <w:rFonts w:cs="Georgia"/>
          <w:szCs w:val="20"/>
          <w:lang w:eastAsia="en-US"/>
        </w:rPr>
        <w:t>Transparency</w:t>
      </w:r>
    </w:p>
    <w:p w:rsidR="006E4F45" w:rsidRPr="005D0E71" w:rsidRDefault="006E4F45" w:rsidP="006E4F45">
      <w:pPr>
        <w:autoSpaceDE w:val="0"/>
        <w:autoSpaceDN w:val="0"/>
        <w:adjustRightInd w:val="0"/>
        <w:rPr>
          <w:rFonts w:cs="Georgia"/>
          <w:szCs w:val="20"/>
          <w:lang w:eastAsia="en-US"/>
        </w:rPr>
      </w:pPr>
      <w:r w:rsidRPr="005D0E71">
        <w:rPr>
          <w:rFonts w:cs="Georgia"/>
          <w:szCs w:val="20"/>
          <w:lang w:eastAsia="en-US"/>
        </w:rPr>
        <w:t>b)</w:t>
      </w:r>
      <w:r w:rsidR="00371EB7" w:rsidRPr="005D0E71">
        <w:rPr>
          <w:rFonts w:cs="Georgia"/>
          <w:szCs w:val="20"/>
          <w:lang w:eastAsia="en-US"/>
        </w:rPr>
        <w:tab/>
      </w:r>
      <w:r w:rsidRPr="005D0E71">
        <w:rPr>
          <w:rFonts w:cs="Georgia"/>
          <w:szCs w:val="20"/>
          <w:lang w:eastAsia="en-US"/>
        </w:rPr>
        <w:t>Efficiency</w:t>
      </w:r>
    </w:p>
    <w:p w:rsidR="006E4F45" w:rsidRPr="005D0E71" w:rsidRDefault="00371EB7" w:rsidP="006E4F45">
      <w:pPr>
        <w:autoSpaceDE w:val="0"/>
        <w:autoSpaceDN w:val="0"/>
        <w:adjustRightInd w:val="0"/>
        <w:rPr>
          <w:rFonts w:cs="Georgia"/>
          <w:szCs w:val="20"/>
          <w:lang w:eastAsia="en-US"/>
        </w:rPr>
      </w:pPr>
      <w:r w:rsidRPr="005D0E71">
        <w:rPr>
          <w:rFonts w:cs="Georgia"/>
          <w:szCs w:val="20"/>
          <w:lang w:eastAsia="en-US"/>
        </w:rPr>
        <w:t>c)</w:t>
      </w:r>
      <w:r w:rsidRPr="005D0E71">
        <w:rPr>
          <w:rFonts w:cs="Georgia"/>
          <w:szCs w:val="20"/>
          <w:lang w:eastAsia="en-US"/>
        </w:rPr>
        <w:tab/>
      </w:r>
      <w:r w:rsidR="006E4F45" w:rsidRPr="005D0E71">
        <w:rPr>
          <w:rFonts w:cs="Georgia"/>
          <w:szCs w:val="20"/>
          <w:lang w:eastAsia="en-US"/>
        </w:rPr>
        <w:t>Flexibility</w:t>
      </w:r>
    </w:p>
    <w:p w:rsidR="006E4F45" w:rsidRPr="005D0E71" w:rsidRDefault="00371EB7" w:rsidP="006E4F45">
      <w:pPr>
        <w:autoSpaceDE w:val="0"/>
        <w:autoSpaceDN w:val="0"/>
        <w:adjustRightInd w:val="0"/>
        <w:rPr>
          <w:rFonts w:cs="Georgia"/>
          <w:szCs w:val="20"/>
          <w:lang w:eastAsia="en-US"/>
        </w:rPr>
      </w:pPr>
      <w:r w:rsidRPr="005D0E71">
        <w:rPr>
          <w:rFonts w:cs="Georgia"/>
          <w:szCs w:val="20"/>
          <w:lang w:eastAsia="en-US"/>
        </w:rPr>
        <w:t>d)</w:t>
      </w:r>
      <w:r w:rsidRPr="005D0E71">
        <w:rPr>
          <w:rFonts w:cs="Georgia"/>
          <w:szCs w:val="20"/>
          <w:lang w:eastAsia="en-US"/>
        </w:rPr>
        <w:tab/>
      </w:r>
      <w:r w:rsidR="006E4F45" w:rsidRPr="005D0E71">
        <w:rPr>
          <w:rFonts w:cs="Georgia"/>
          <w:szCs w:val="20"/>
          <w:lang w:eastAsia="en-US"/>
        </w:rPr>
        <w:t>Certainty; and</w:t>
      </w:r>
    </w:p>
    <w:p w:rsidR="006E4F45" w:rsidRPr="005D0E71" w:rsidRDefault="00371EB7" w:rsidP="006E4F45">
      <w:pPr>
        <w:autoSpaceDE w:val="0"/>
        <w:autoSpaceDN w:val="0"/>
        <w:adjustRightInd w:val="0"/>
        <w:rPr>
          <w:rFonts w:cs="Georgia"/>
          <w:szCs w:val="20"/>
          <w:lang w:eastAsia="en-US"/>
        </w:rPr>
      </w:pPr>
      <w:r w:rsidRPr="005D0E71">
        <w:rPr>
          <w:rFonts w:cs="Georgia"/>
          <w:szCs w:val="20"/>
          <w:lang w:eastAsia="en-US"/>
        </w:rPr>
        <w:t>e)</w:t>
      </w:r>
      <w:r w:rsidRPr="005D0E71">
        <w:rPr>
          <w:rFonts w:cs="Georgia"/>
          <w:szCs w:val="20"/>
          <w:lang w:eastAsia="en-US"/>
        </w:rPr>
        <w:tab/>
      </w:r>
      <w:r w:rsidR="006E4F45" w:rsidRPr="005D0E71">
        <w:rPr>
          <w:rFonts w:cs="Georgia"/>
          <w:szCs w:val="20"/>
          <w:lang w:eastAsia="en-US"/>
        </w:rPr>
        <w:t>Simplicity.</w:t>
      </w:r>
    </w:p>
    <w:p w:rsidR="006E4F45" w:rsidRPr="005D0E71" w:rsidRDefault="006E4F45" w:rsidP="006E4F45">
      <w:pPr>
        <w:autoSpaceDE w:val="0"/>
        <w:autoSpaceDN w:val="0"/>
        <w:adjustRightInd w:val="0"/>
        <w:rPr>
          <w:rFonts w:cs="Georgia"/>
          <w:szCs w:val="20"/>
          <w:lang w:eastAsia="en-US"/>
        </w:rPr>
      </w:pPr>
      <w:r w:rsidRPr="005D0E71">
        <w:rPr>
          <w:rFonts w:cs="Georgia"/>
          <w:szCs w:val="20"/>
          <w:lang w:eastAsia="en-US"/>
        </w:rPr>
        <w:t>To these five principles CRA would add that a key to the consideration of these is ensuring that due weight is given to the viability and sustainability of existing spectrum users to provide certainty for investors and operators. A critical challenge will be the most effective way on the basis of these principles to balance the opportunity to monetise a valuable resource, whilst also providing appropriate spectrum for the effective and necessary requirements of key sectors including the essential emergency and critical infrastructure services, as against Defence and valid commercial requirements. Ultimately of course the public benefit must be given due consideration.</w:t>
      </w:r>
    </w:p>
    <w:p w:rsidR="006E4F45" w:rsidRPr="005D0E71" w:rsidRDefault="006E4F45" w:rsidP="006E4F45">
      <w:pPr>
        <w:autoSpaceDE w:val="0"/>
        <w:autoSpaceDN w:val="0"/>
        <w:adjustRightInd w:val="0"/>
        <w:rPr>
          <w:rFonts w:cs="Georgia"/>
          <w:szCs w:val="20"/>
          <w:lang w:eastAsia="en-US"/>
        </w:rPr>
      </w:pPr>
      <w:r w:rsidRPr="005D0E71">
        <w:rPr>
          <w:rFonts w:cs="Georgia"/>
          <w:szCs w:val="20"/>
          <w:lang w:eastAsia="en-US"/>
        </w:rPr>
        <w:lastRenderedPageBreak/>
        <w:t>The Government also needs to provide some incentives for spectrum holders to demonstrate real need for the amount sought to be allocated. In some instances other methods may be considered namely shared spectrum or the "use or lose it" principle.</w:t>
      </w:r>
    </w:p>
    <w:p w:rsidR="006E4F45" w:rsidRPr="005D0E71" w:rsidRDefault="006E4F45" w:rsidP="006E4F45">
      <w:pPr>
        <w:autoSpaceDE w:val="0"/>
        <w:autoSpaceDN w:val="0"/>
        <w:adjustRightInd w:val="0"/>
        <w:rPr>
          <w:rFonts w:cs="Georgia"/>
          <w:szCs w:val="20"/>
          <w:lang w:eastAsia="en-US"/>
        </w:rPr>
      </w:pPr>
      <w:r w:rsidRPr="005D0E71">
        <w:rPr>
          <w:rFonts w:cs="Georgia"/>
          <w:szCs w:val="20"/>
          <w:lang w:eastAsia="en-US"/>
        </w:rPr>
        <w:t>The paper outlines a Policy Framework and 11 "Proposals" for operation of the framework and poses the following questions for stakeholders.</w:t>
      </w:r>
    </w:p>
    <w:p w:rsidR="006E4F45" w:rsidRPr="005D0E71" w:rsidRDefault="006E4F45" w:rsidP="00371EB7">
      <w:pPr>
        <w:pStyle w:val="ListNumber"/>
        <w:rPr>
          <w:b/>
          <w:lang w:eastAsia="en-US"/>
        </w:rPr>
      </w:pPr>
      <w:r w:rsidRPr="005D0E71">
        <w:rPr>
          <w:b/>
          <w:lang w:eastAsia="en-US"/>
        </w:rPr>
        <w:t>What changes should be made to the proposals outlined in this paper to make them work more effectively?</w:t>
      </w:r>
    </w:p>
    <w:p w:rsidR="006E4F45" w:rsidRPr="005D0E71" w:rsidRDefault="006E4F45" w:rsidP="00371EB7">
      <w:pPr>
        <w:autoSpaceDE w:val="0"/>
        <w:autoSpaceDN w:val="0"/>
        <w:adjustRightInd w:val="0"/>
        <w:ind w:left="720"/>
        <w:rPr>
          <w:rFonts w:cs="Georgia"/>
          <w:szCs w:val="20"/>
          <w:lang w:eastAsia="en-US"/>
        </w:rPr>
      </w:pPr>
      <w:r w:rsidRPr="005D0E71">
        <w:rPr>
          <w:rFonts w:cs="Georgia"/>
          <w:szCs w:val="20"/>
          <w:lang w:eastAsia="en-US"/>
        </w:rPr>
        <w:t>CRA would simply like it noted that it is not clear how the existing framework including</w:t>
      </w:r>
    </w:p>
    <w:p w:rsidR="006E4F45" w:rsidRPr="005D0E71" w:rsidRDefault="006E4F45" w:rsidP="00371EB7">
      <w:pPr>
        <w:pStyle w:val="ListBullet2"/>
        <w:rPr>
          <w:lang w:eastAsia="en-US"/>
        </w:rPr>
      </w:pPr>
      <w:r w:rsidRPr="005D0E71">
        <w:rPr>
          <w:lang w:eastAsia="en-US"/>
        </w:rPr>
        <w:t>Critical infrastructure; and</w:t>
      </w:r>
    </w:p>
    <w:p w:rsidR="006E4F45" w:rsidRPr="005D0E71" w:rsidRDefault="006E4F45" w:rsidP="00371EB7">
      <w:pPr>
        <w:pStyle w:val="ListBullet2"/>
        <w:rPr>
          <w:lang w:eastAsia="en-US"/>
        </w:rPr>
      </w:pPr>
      <w:r w:rsidRPr="005D0E71">
        <w:rPr>
          <w:lang w:eastAsia="en-US"/>
        </w:rPr>
        <w:t>Emergency Services</w:t>
      </w:r>
    </w:p>
    <w:p w:rsidR="006E4F45" w:rsidRPr="005D0E71" w:rsidRDefault="006E4F45" w:rsidP="00371EB7">
      <w:pPr>
        <w:autoSpaceDE w:val="0"/>
        <w:autoSpaceDN w:val="0"/>
        <w:adjustRightInd w:val="0"/>
        <w:ind w:left="720"/>
        <w:rPr>
          <w:rFonts w:cs="Georgia"/>
          <w:szCs w:val="20"/>
          <w:lang w:eastAsia="en-US"/>
        </w:rPr>
      </w:pPr>
      <w:proofErr w:type="gramStart"/>
      <w:r w:rsidRPr="005D0E71">
        <w:rPr>
          <w:rFonts w:cs="Georgia"/>
          <w:szCs w:val="20"/>
          <w:lang w:eastAsia="en-US"/>
        </w:rPr>
        <w:t>fit</w:t>
      </w:r>
      <w:proofErr w:type="gramEnd"/>
      <w:r w:rsidRPr="005D0E71">
        <w:rPr>
          <w:rFonts w:cs="Georgia"/>
          <w:szCs w:val="20"/>
          <w:lang w:eastAsia="en-US"/>
        </w:rPr>
        <w:t xml:space="preserve"> within this framework.</w:t>
      </w:r>
    </w:p>
    <w:p w:rsidR="006E4F45" w:rsidRPr="005D0E71" w:rsidRDefault="006E4F45" w:rsidP="00371EB7">
      <w:pPr>
        <w:autoSpaceDE w:val="0"/>
        <w:autoSpaceDN w:val="0"/>
        <w:adjustRightInd w:val="0"/>
        <w:ind w:left="720"/>
        <w:rPr>
          <w:rFonts w:cs="Georgia"/>
          <w:szCs w:val="20"/>
          <w:lang w:eastAsia="en-US"/>
        </w:rPr>
      </w:pPr>
      <w:r w:rsidRPr="005D0E71">
        <w:rPr>
          <w:rFonts w:cs="Georgia"/>
          <w:szCs w:val="20"/>
          <w:lang w:eastAsia="en-US"/>
        </w:rPr>
        <w:t>The paper does touch on the issue of transitional arrangements and more importantly compensation where spectrum is reallocated, resumed or not renewed. CRA also notes the stated position namely that compensation will not be payable if the ACMA decides not to renew a licence. Further consideration will need to be provided to this stated position. There may be many and varied impacts if, for whatever reason, a licence is not renewed. The Government will need to understand what impact this decision may have both upstream in terms of supply of contribution of content, or utilities and e</w:t>
      </w:r>
      <w:r w:rsidR="005D0E71">
        <w:rPr>
          <w:rFonts w:cs="Georgia"/>
          <w:szCs w:val="20"/>
          <w:lang w:eastAsia="en-US"/>
        </w:rPr>
        <w:t>quipment (for example) and down</w:t>
      </w:r>
      <w:r w:rsidRPr="005D0E71">
        <w:rPr>
          <w:rFonts w:cs="Georgia"/>
          <w:szCs w:val="20"/>
          <w:lang w:eastAsia="en-US"/>
        </w:rPr>
        <w:t>stream to consumers (or listeners). CRA does not accept that there should be a steadfast rue to deny compensation in all circumstances, especially in view of the fact that many parties may be impacted by one decision. It may be that more consideration should be given to who operates within the chain and what impact a decision has on them.</w:t>
      </w:r>
    </w:p>
    <w:p w:rsidR="006E4F45" w:rsidRPr="005D0E71" w:rsidRDefault="006E4F45" w:rsidP="00371EB7">
      <w:pPr>
        <w:autoSpaceDE w:val="0"/>
        <w:autoSpaceDN w:val="0"/>
        <w:adjustRightInd w:val="0"/>
        <w:ind w:left="720"/>
        <w:rPr>
          <w:rFonts w:cs="Georgia"/>
          <w:szCs w:val="20"/>
          <w:lang w:eastAsia="en-US"/>
        </w:rPr>
      </w:pPr>
      <w:r w:rsidRPr="005D0E71">
        <w:rPr>
          <w:rFonts w:cs="Georgia"/>
          <w:szCs w:val="20"/>
          <w:lang w:eastAsia="en-US"/>
        </w:rPr>
        <w:t>CRA reserves its position on the establishment of a single licensing framework, whilst in theory sounds preferable, CRA would have to be satisfied of the arrangement between the holders of apparatus, versus spectrum and class holders so as to e</w:t>
      </w:r>
      <w:bookmarkStart w:id="0" w:name="_GoBack"/>
      <w:bookmarkEnd w:id="0"/>
      <w:r w:rsidRPr="005D0E71">
        <w:rPr>
          <w:rFonts w:cs="Georgia"/>
          <w:szCs w:val="20"/>
          <w:lang w:eastAsia="en-US"/>
        </w:rPr>
        <w:t>nsure that no one of those licence holders have any commercial advantage and is able to profit from the single framework adding costs where non have previously been applied.</w:t>
      </w:r>
    </w:p>
    <w:p w:rsidR="006E4F45" w:rsidRPr="005D0E71" w:rsidRDefault="006E4F45" w:rsidP="00371EB7">
      <w:pPr>
        <w:pStyle w:val="ListNumber"/>
        <w:rPr>
          <w:b/>
          <w:lang w:eastAsia="en-US"/>
        </w:rPr>
      </w:pPr>
      <w:r w:rsidRPr="005D0E71">
        <w:rPr>
          <w:b/>
          <w:lang w:eastAsia="en-US"/>
        </w:rPr>
        <w:t>What additional proposals should be considered?</w:t>
      </w:r>
    </w:p>
    <w:p w:rsidR="006E4F45" w:rsidRPr="005D0E71" w:rsidRDefault="006E4F45" w:rsidP="00371EB7">
      <w:pPr>
        <w:autoSpaceDE w:val="0"/>
        <w:autoSpaceDN w:val="0"/>
        <w:adjustRightInd w:val="0"/>
        <w:ind w:left="720"/>
        <w:rPr>
          <w:rFonts w:cs="Georgia"/>
          <w:szCs w:val="20"/>
          <w:lang w:eastAsia="en-US"/>
        </w:rPr>
      </w:pPr>
      <w:r w:rsidRPr="005D0E71">
        <w:rPr>
          <w:rFonts w:cs="Georgia"/>
          <w:szCs w:val="20"/>
          <w:lang w:eastAsia="en-US"/>
        </w:rPr>
        <w:t>The paper does touch on the issue of transitional arrangements and more importantly compensation where spectrum is reallocated, resumed or not renewed. CRA also notes the stated position namely that compensation will not be payable if the ACMA decides not to renew a licence. Further consideration will need to be provided to this stated position. There may be many and varied impacts if, for whatever reason, a licence is not renewed. The Government will need to understand what impact this decision may have both upstream in terms of supply of equipment (for example) and downstream to the public disruption.</w:t>
      </w:r>
    </w:p>
    <w:p w:rsidR="006E4F45" w:rsidRPr="005D0E71" w:rsidRDefault="006E4F45" w:rsidP="00371EB7">
      <w:pPr>
        <w:autoSpaceDE w:val="0"/>
        <w:autoSpaceDN w:val="0"/>
        <w:adjustRightInd w:val="0"/>
        <w:ind w:left="720"/>
        <w:rPr>
          <w:rFonts w:cs="Georgia"/>
          <w:szCs w:val="20"/>
          <w:lang w:eastAsia="en-US"/>
        </w:rPr>
      </w:pPr>
      <w:r w:rsidRPr="005D0E71">
        <w:rPr>
          <w:rFonts w:cs="Georgia"/>
          <w:szCs w:val="20"/>
          <w:lang w:eastAsia="en-US"/>
        </w:rPr>
        <w:t>The paper itself recognises the high value in terms of both price and access to spectrum. CRA agrees with that and believes that given that funding for spectrum will be an ongoing issue, CRA believes that the Department ought to consider what role various Government agencies ought to have in terms of the funding re any transitional arrangements</w:t>
      </w:r>
    </w:p>
    <w:p w:rsidR="006E4F45" w:rsidRPr="005D0E71" w:rsidRDefault="006E4F45" w:rsidP="00371EB7">
      <w:pPr>
        <w:pStyle w:val="ListNumber"/>
        <w:rPr>
          <w:b/>
          <w:lang w:eastAsia="en-US"/>
        </w:rPr>
      </w:pPr>
      <w:r w:rsidRPr="005D0E71">
        <w:rPr>
          <w:b/>
          <w:lang w:eastAsia="en-US"/>
        </w:rPr>
        <w:lastRenderedPageBreak/>
        <w:t>What timeframes (short-term and longer-term) should apply to implementation of the reform proposals?</w:t>
      </w:r>
    </w:p>
    <w:p w:rsidR="006E4F45" w:rsidRPr="005D0E71" w:rsidRDefault="006E4F45" w:rsidP="009A743B">
      <w:pPr>
        <w:autoSpaceDE w:val="0"/>
        <w:autoSpaceDN w:val="0"/>
        <w:adjustRightInd w:val="0"/>
        <w:ind w:left="720"/>
        <w:rPr>
          <w:rFonts w:cs="Georgia"/>
          <w:szCs w:val="20"/>
          <w:lang w:eastAsia="en-US"/>
        </w:rPr>
      </w:pPr>
      <w:r w:rsidRPr="005D0E71">
        <w:rPr>
          <w:rFonts w:cs="Georgia"/>
          <w:szCs w:val="20"/>
          <w:lang w:eastAsia="en-US"/>
        </w:rPr>
        <w:t xml:space="preserve">It is clear to CRA that these proposals will have to be implemented in accordance with an agreed timeline. In terms of what proposals </w:t>
      </w:r>
      <w:proofErr w:type="gramStart"/>
      <w:r w:rsidRPr="005D0E71">
        <w:rPr>
          <w:rFonts w:cs="Georgia"/>
          <w:szCs w:val="20"/>
          <w:lang w:eastAsia="en-US"/>
        </w:rPr>
        <w:t>are implemented - long or short term</w:t>
      </w:r>
      <w:proofErr w:type="gramEnd"/>
      <w:r w:rsidRPr="005D0E71">
        <w:rPr>
          <w:rFonts w:cs="Georgia"/>
          <w:szCs w:val="20"/>
          <w:lang w:eastAsia="en-US"/>
        </w:rPr>
        <w:t xml:space="preserve"> - various scenarios include both. For example in relation to Proposal 1, CRA believes that it should endeavour short term to provide a clear base/ premise for the ACMAs role, including that the ACMA commit to the commencement of an annual plan from a date in the 2</w:t>
      </w:r>
      <w:r w:rsidRPr="005D0E71">
        <w:rPr>
          <w:rFonts w:cs="Georgia"/>
          <w:szCs w:val="20"/>
          <w:vertAlign w:val="superscript"/>
          <w:lang w:eastAsia="en-US"/>
        </w:rPr>
        <w:t>nd</w:t>
      </w:r>
      <w:r w:rsidRPr="005D0E71">
        <w:rPr>
          <w:rFonts w:cs="Georgia"/>
          <w:szCs w:val="20"/>
          <w:lang w:eastAsia="en-US"/>
        </w:rPr>
        <w:t xml:space="preserve"> half of 2015.</w:t>
      </w:r>
    </w:p>
    <w:p w:rsidR="006E4F45" w:rsidRPr="005D0E71" w:rsidRDefault="006E4F45" w:rsidP="009A743B">
      <w:pPr>
        <w:autoSpaceDE w:val="0"/>
        <w:autoSpaceDN w:val="0"/>
        <w:adjustRightInd w:val="0"/>
        <w:ind w:left="720"/>
        <w:rPr>
          <w:rFonts w:cs="Georgia"/>
          <w:szCs w:val="20"/>
          <w:lang w:eastAsia="en-US"/>
        </w:rPr>
      </w:pPr>
      <w:r w:rsidRPr="005D0E71">
        <w:rPr>
          <w:rFonts w:cs="Georgia"/>
          <w:szCs w:val="20"/>
          <w:lang w:eastAsia="en-US"/>
        </w:rPr>
        <w:t>Many proposals for example Proposals 2 and 4 simply would not be able to be achieved on a short term basis. Notwithstanding that, steps ought to be taken short term to agree realistic and achievable time frames to achieve these.</w:t>
      </w:r>
    </w:p>
    <w:p w:rsidR="006E4F45" w:rsidRPr="005D0E71" w:rsidRDefault="006E4F45" w:rsidP="009A743B">
      <w:pPr>
        <w:pStyle w:val="ListNumber"/>
        <w:rPr>
          <w:b/>
          <w:lang w:eastAsia="en-US"/>
        </w:rPr>
      </w:pPr>
      <w:r w:rsidRPr="005D0E71">
        <w:rPr>
          <w:b/>
          <w:lang w:eastAsia="en-US"/>
        </w:rPr>
        <w:t>What transitional arrangements should be put in place?</w:t>
      </w:r>
    </w:p>
    <w:p w:rsidR="006E4F45" w:rsidRPr="005D0E71" w:rsidRDefault="006E4F45" w:rsidP="009A743B">
      <w:pPr>
        <w:autoSpaceDE w:val="0"/>
        <w:autoSpaceDN w:val="0"/>
        <w:adjustRightInd w:val="0"/>
        <w:ind w:left="720"/>
        <w:rPr>
          <w:rFonts w:cs="Georgia"/>
          <w:szCs w:val="20"/>
          <w:lang w:eastAsia="en-US"/>
        </w:rPr>
      </w:pPr>
      <w:r w:rsidRPr="005D0E71">
        <w:rPr>
          <w:rFonts w:cs="Georgia"/>
          <w:szCs w:val="20"/>
          <w:lang w:eastAsia="en-US"/>
        </w:rPr>
        <w:t>Other than funding as mentioned above, and notwithstanding the role that the Government anticipates for itself as the ultimate arbiter and the more day to day role of the ACMA, CRA considers the following initiatives ought to be considered namely:</w:t>
      </w:r>
    </w:p>
    <w:p w:rsidR="006E4F45" w:rsidRPr="005D0E71" w:rsidRDefault="006E4F45" w:rsidP="009A743B">
      <w:pPr>
        <w:pStyle w:val="ListBullet2"/>
        <w:rPr>
          <w:lang w:eastAsia="en-US"/>
        </w:rPr>
      </w:pPr>
      <w:r w:rsidRPr="005D0E71">
        <w:rPr>
          <w:lang w:eastAsia="en-US"/>
        </w:rPr>
        <w:t>That there be established a multi-discipline review panel, comprising a range of expertise but particularly in the following areas, namely commercial, technical, consumer and regulatory; and</w:t>
      </w:r>
    </w:p>
    <w:p w:rsidR="006E4F45" w:rsidRPr="005D0E71" w:rsidRDefault="006E4F45" w:rsidP="009A743B">
      <w:pPr>
        <w:pStyle w:val="ListBullet2"/>
        <w:rPr>
          <w:lang w:eastAsia="en-US"/>
        </w:rPr>
      </w:pPr>
      <w:r w:rsidRPr="005D0E71">
        <w:rPr>
          <w:lang w:eastAsia="en-US"/>
        </w:rPr>
        <w:t>Cost of compliance and who bears it</w:t>
      </w:r>
    </w:p>
    <w:p w:rsidR="006E4F45" w:rsidRPr="005D0E71" w:rsidRDefault="006E4F45" w:rsidP="006E4F45">
      <w:pPr>
        <w:autoSpaceDE w:val="0"/>
        <w:autoSpaceDN w:val="0"/>
        <w:adjustRightInd w:val="0"/>
        <w:rPr>
          <w:rFonts w:cs="Georgia"/>
          <w:szCs w:val="20"/>
          <w:lang w:eastAsia="en-US"/>
        </w:rPr>
      </w:pPr>
      <w:r w:rsidRPr="005D0E71">
        <w:rPr>
          <w:rFonts w:cs="Georgia"/>
          <w:szCs w:val="20"/>
          <w:lang w:eastAsia="en-US"/>
        </w:rPr>
        <w:t>CRA remains available to assist and further participate in this review as the Government considers appropriate.</w:t>
      </w:r>
    </w:p>
    <w:p w:rsidR="006E4F45" w:rsidRPr="005D0E71" w:rsidRDefault="006E4F45" w:rsidP="006E4F45">
      <w:pPr>
        <w:autoSpaceDE w:val="0"/>
        <w:autoSpaceDN w:val="0"/>
        <w:adjustRightInd w:val="0"/>
        <w:rPr>
          <w:rFonts w:cs="Georgia"/>
          <w:szCs w:val="20"/>
          <w:lang w:eastAsia="en-US"/>
        </w:rPr>
      </w:pPr>
      <w:r w:rsidRPr="005D0E71">
        <w:rPr>
          <w:rFonts w:cs="Georgia"/>
          <w:szCs w:val="20"/>
          <w:lang w:eastAsia="en-US"/>
        </w:rPr>
        <w:t>Yours sincerely</w:t>
      </w:r>
    </w:p>
    <w:p w:rsidR="009A743B" w:rsidRPr="005D0E71" w:rsidRDefault="009A743B" w:rsidP="009A743B">
      <w:pPr>
        <w:pStyle w:val="Figure"/>
        <w:rPr>
          <w:lang w:eastAsia="en-US"/>
        </w:rPr>
      </w:pPr>
      <w:r w:rsidRPr="005D0E71">
        <w:rPr>
          <w:noProof/>
        </w:rPr>
        <w:drawing>
          <wp:inline distT="0" distB="0" distL="0" distR="0" wp14:anchorId="0D40CD18" wp14:editId="0A08B8C3">
            <wp:extent cx="3400425" cy="4095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400425" cy="409575"/>
                    </a:xfrm>
                    <a:prstGeom prst="rect">
                      <a:avLst/>
                    </a:prstGeom>
                  </pic:spPr>
                </pic:pic>
              </a:graphicData>
            </a:graphic>
          </wp:inline>
        </w:drawing>
      </w:r>
    </w:p>
    <w:p w:rsidR="00BF1C87" w:rsidRPr="005D0E71" w:rsidRDefault="006E4F45" w:rsidP="006E4F45">
      <w:pPr>
        <w:autoSpaceDE w:val="0"/>
        <w:autoSpaceDN w:val="0"/>
        <w:adjustRightInd w:val="0"/>
      </w:pPr>
      <w:r w:rsidRPr="005D0E71">
        <w:rPr>
          <w:rFonts w:cs="Georgia"/>
          <w:szCs w:val="20"/>
          <w:lang w:eastAsia="en-US"/>
        </w:rPr>
        <w:t>Joan Warner</w:t>
      </w:r>
      <w:r w:rsidR="009A743B" w:rsidRPr="005D0E71">
        <w:rPr>
          <w:rFonts w:cs="Georgia"/>
          <w:szCs w:val="20"/>
          <w:lang w:eastAsia="en-US"/>
        </w:rPr>
        <w:br/>
      </w:r>
      <w:r w:rsidRPr="005D0E71">
        <w:rPr>
          <w:rFonts w:cs="Georgia"/>
          <w:b/>
          <w:szCs w:val="20"/>
          <w:lang w:eastAsia="en-US"/>
        </w:rPr>
        <w:t>Chief Executive Officer</w:t>
      </w:r>
    </w:p>
    <w:sectPr w:rsidR="00BF1C87" w:rsidRPr="005D0E71" w:rsidSect="004C7914">
      <w:headerReference w:type="default" r:id="rId13"/>
      <w:footerReference w:type="default" r:id="rId14"/>
      <w:pgSz w:w="11906" w:h="16838" w:code="9"/>
      <w:pgMar w:top="1080" w:right="1411" w:bottom="1080" w:left="1411" w:header="1080" w:footer="10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B31" w:rsidRDefault="00153B31" w:rsidP="007C5428">
      <w:r>
        <w:separator/>
      </w:r>
    </w:p>
  </w:endnote>
  <w:endnote w:type="continuationSeparator" w:id="0">
    <w:p w:rsidR="00153B31" w:rsidRDefault="00153B31" w:rsidP="007C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43B" w:rsidRDefault="009A743B" w:rsidP="009A743B">
    <w:pPr>
      <w:pStyle w:val="Footer"/>
      <w:tabs>
        <w:tab w:val="clear" w:pos="4153"/>
        <w:tab w:val="clear" w:pos="8306"/>
        <w:tab w:val="left" w:pos="6048"/>
      </w:tabs>
    </w:pPr>
    <w:r w:rsidRPr="009A743B">
      <w:rPr>
        <w:b/>
      </w:rPr>
      <w:t>ACN</w:t>
    </w:r>
    <w:r w:rsidRPr="009A743B">
      <w:t xml:space="preserve"> 059 731 467 </w:t>
    </w:r>
    <w:r w:rsidRPr="009A743B">
      <w:rPr>
        <w:b/>
      </w:rPr>
      <w:t>ABN</w:t>
    </w:r>
    <w:r w:rsidRPr="009A743B">
      <w:t xml:space="preserve"> 52 059 731 467</w:t>
    </w:r>
    <w:r>
      <w:rPr>
        <w:rFonts w:cs="Georgia"/>
        <w:sz w:val="20"/>
        <w:szCs w:val="20"/>
        <w:lang w:val="en-US" w:eastAsia="en-US"/>
      </w:rPr>
      <w:tab/>
    </w:r>
    <w:hyperlink r:id="rId1" w:history="1">
      <w:r w:rsidRPr="009A743B">
        <w:rPr>
          <w:rStyle w:val="Hyperlink"/>
        </w:rPr>
        <w:t>WWW.COMMERCIALRADIO.COM.AU</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A7D" w:rsidRPr="00267A7D" w:rsidRDefault="00267A7D" w:rsidP="00267A7D">
    <w:pPr>
      <w:pStyle w:val="Footer"/>
      <w:jc w:val="right"/>
      <w:rPr>
        <w:lang w:val="en-US"/>
      </w:rPr>
    </w:pPr>
    <w:r>
      <w:rPr>
        <w:lang w:val="en-US"/>
      </w:rPr>
      <w:fldChar w:fldCharType="begin"/>
    </w:r>
    <w:r>
      <w:rPr>
        <w:lang w:val="en-US"/>
      </w:rPr>
      <w:instrText xml:space="preserve"> PAGE  \* Arabic  \* MERGEFORMAT </w:instrText>
    </w:r>
    <w:r>
      <w:rPr>
        <w:lang w:val="en-US"/>
      </w:rPr>
      <w:fldChar w:fldCharType="separate"/>
    </w:r>
    <w:r w:rsidR="005D0E71">
      <w:rPr>
        <w:noProof/>
        <w:lang w:val="en-US"/>
      </w:rPr>
      <w:t>4</w:t>
    </w:r>
    <w:r>
      <w:rPr>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B31" w:rsidRDefault="00153B31" w:rsidP="007C5428">
      <w:r>
        <w:separator/>
      </w:r>
    </w:p>
  </w:footnote>
  <w:footnote w:type="continuationSeparator" w:id="0">
    <w:p w:rsidR="00153B31" w:rsidRDefault="00153B31" w:rsidP="007C5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153" w:rsidRPr="001D2526" w:rsidRDefault="00384153" w:rsidP="00E0196E">
    <w:pPr>
      <w:pStyle w:val="Header"/>
      <w:spacing w:after="240"/>
      <w:jc w:val="right"/>
      <w:rPr>
        <w:i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6C50C4"/>
    <w:lvl w:ilvl="0">
      <w:start w:val="1"/>
      <w:numFmt w:val="decimal"/>
      <w:lvlText w:val="%1."/>
      <w:lvlJc w:val="left"/>
      <w:pPr>
        <w:tabs>
          <w:tab w:val="num" w:pos="1492"/>
        </w:tabs>
        <w:ind w:left="1492" w:hanging="360"/>
      </w:pPr>
    </w:lvl>
  </w:abstractNum>
  <w:abstractNum w:abstractNumId="1">
    <w:nsid w:val="FFFFFF7D"/>
    <w:multiLevelType w:val="singleLevel"/>
    <w:tmpl w:val="D486B3CA"/>
    <w:lvl w:ilvl="0">
      <w:start w:val="1"/>
      <w:numFmt w:val="decimal"/>
      <w:lvlText w:val="%1."/>
      <w:lvlJc w:val="left"/>
      <w:pPr>
        <w:tabs>
          <w:tab w:val="num" w:pos="1209"/>
        </w:tabs>
        <w:ind w:left="1209" w:hanging="360"/>
      </w:pPr>
    </w:lvl>
  </w:abstractNum>
  <w:abstractNum w:abstractNumId="2">
    <w:nsid w:val="FFFFFF7E"/>
    <w:multiLevelType w:val="singleLevel"/>
    <w:tmpl w:val="13D06EF8"/>
    <w:lvl w:ilvl="0">
      <w:start w:val="1"/>
      <w:numFmt w:val="lowerRoman"/>
      <w:pStyle w:val="ListNumber3"/>
      <w:lvlText w:val="%1."/>
      <w:lvlJc w:val="left"/>
      <w:pPr>
        <w:tabs>
          <w:tab w:val="num" w:pos="2160"/>
        </w:tabs>
        <w:ind w:left="2160" w:hanging="720"/>
      </w:pPr>
      <w:rPr>
        <w:rFonts w:hint="default"/>
      </w:rPr>
    </w:lvl>
  </w:abstractNum>
  <w:abstractNum w:abstractNumId="3">
    <w:nsid w:val="FFFFFF7F"/>
    <w:multiLevelType w:val="singleLevel"/>
    <w:tmpl w:val="A6104012"/>
    <w:lvl w:ilvl="0">
      <w:start w:val="1"/>
      <w:numFmt w:val="lowerLetter"/>
      <w:pStyle w:val="ListNumber2"/>
      <w:lvlText w:val="%1."/>
      <w:lvlJc w:val="left"/>
      <w:pPr>
        <w:tabs>
          <w:tab w:val="num" w:pos="1440"/>
        </w:tabs>
        <w:ind w:left="1440" w:hanging="720"/>
      </w:pPr>
      <w:rPr>
        <w:rFonts w:hint="default"/>
      </w:rPr>
    </w:lvl>
  </w:abstractNum>
  <w:abstractNum w:abstractNumId="4">
    <w:nsid w:val="FFFFFF80"/>
    <w:multiLevelType w:val="singleLevel"/>
    <w:tmpl w:val="780CF5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A06B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8F9C6"/>
    <w:lvl w:ilvl="0">
      <w:start w:val="1"/>
      <w:numFmt w:val="bullet"/>
      <w:pStyle w:val="ListBullet3"/>
      <w:lvlText w:val=""/>
      <w:lvlJc w:val="left"/>
      <w:pPr>
        <w:tabs>
          <w:tab w:val="num" w:pos="1699"/>
        </w:tabs>
        <w:ind w:left="1699" w:hanging="561"/>
      </w:pPr>
      <w:rPr>
        <w:rFonts w:ascii="Wingdings 2" w:hAnsi="Wingdings 2" w:hint="default"/>
        <w:b w:val="0"/>
        <w:i w:val="0"/>
        <w:sz w:val="20"/>
        <w:szCs w:val="20"/>
      </w:rPr>
    </w:lvl>
  </w:abstractNum>
  <w:abstractNum w:abstractNumId="7">
    <w:nsid w:val="FFFFFF83"/>
    <w:multiLevelType w:val="singleLevel"/>
    <w:tmpl w:val="DCECFE46"/>
    <w:lvl w:ilvl="0">
      <w:start w:val="1"/>
      <w:numFmt w:val="bullet"/>
      <w:pStyle w:val="ListBullet2"/>
      <w:lvlText w:val="–"/>
      <w:lvlJc w:val="left"/>
      <w:pPr>
        <w:tabs>
          <w:tab w:val="num" w:pos="567"/>
        </w:tabs>
        <w:ind w:left="1134" w:hanging="567"/>
      </w:pPr>
      <w:rPr>
        <w:rFonts w:ascii="Verdana" w:hAnsi="Verdana" w:hint="default"/>
      </w:rPr>
    </w:lvl>
  </w:abstractNum>
  <w:abstractNum w:abstractNumId="8">
    <w:nsid w:val="FFFFFF88"/>
    <w:multiLevelType w:val="singleLevel"/>
    <w:tmpl w:val="C37E5FEE"/>
    <w:lvl w:ilvl="0">
      <w:start w:val="1"/>
      <w:numFmt w:val="decimal"/>
      <w:pStyle w:val="ListNumber"/>
      <w:lvlText w:val="%1."/>
      <w:lvlJc w:val="left"/>
      <w:pPr>
        <w:tabs>
          <w:tab w:val="num" w:pos="720"/>
        </w:tabs>
        <w:ind w:left="720" w:hanging="720"/>
      </w:pPr>
      <w:rPr>
        <w:rFonts w:hint="default"/>
      </w:rPr>
    </w:lvl>
  </w:abstractNum>
  <w:abstractNum w:abstractNumId="9">
    <w:nsid w:val="FFFFFF89"/>
    <w:multiLevelType w:val="singleLevel"/>
    <w:tmpl w:val="2BF6D20C"/>
    <w:lvl w:ilvl="0">
      <w:start w:val="1"/>
      <w:numFmt w:val="bullet"/>
      <w:pStyle w:val="ListBullet"/>
      <w:lvlText w:val=""/>
      <w:lvlJc w:val="left"/>
      <w:pPr>
        <w:tabs>
          <w:tab w:val="num" w:pos="567"/>
        </w:tabs>
        <w:ind w:left="567" w:hanging="567"/>
      </w:pPr>
      <w:rPr>
        <w:rFonts w:ascii="Symbol" w:hAnsi="Symbol" w:hint="default"/>
      </w:rPr>
    </w:lvl>
  </w:abstractNum>
  <w:abstractNum w:abstractNumId="10">
    <w:nsid w:val="0147407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4D87E62"/>
    <w:multiLevelType w:val="hybridMultilevel"/>
    <w:tmpl w:val="AB1C052A"/>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10F24EA4"/>
    <w:multiLevelType w:val="hybridMultilevel"/>
    <w:tmpl w:val="4CDCF012"/>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160A2C74"/>
    <w:multiLevelType w:val="multilevel"/>
    <w:tmpl w:val="699264AE"/>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1F68072F"/>
    <w:multiLevelType w:val="multilevel"/>
    <w:tmpl w:val="722EA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238F53BD"/>
    <w:multiLevelType w:val="multilevel"/>
    <w:tmpl w:val="5296D59A"/>
    <w:lvl w:ilvl="0">
      <w:start w:val="1"/>
      <w:numFmt w:val="decimal"/>
      <w:suff w:val="space"/>
      <w:lvlText w:val="Section %1"/>
      <w:lvlJc w:val="left"/>
      <w:pPr>
        <w:ind w:left="2268" w:hanging="2268"/>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nsid w:val="253D41BF"/>
    <w:multiLevelType w:val="multilevel"/>
    <w:tmpl w:val="2C9E25BE"/>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288A65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93B69CC"/>
    <w:multiLevelType w:val="multilevel"/>
    <w:tmpl w:val="91782CFC"/>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2C0D224D"/>
    <w:multiLevelType w:val="multilevel"/>
    <w:tmpl w:val="7826E0C0"/>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2D317FAF"/>
    <w:multiLevelType w:val="multilevel"/>
    <w:tmpl w:val="AE580FCE"/>
    <w:numStyleLink w:val="Bulletlist"/>
  </w:abstractNum>
  <w:abstractNum w:abstractNumId="21">
    <w:nsid w:val="2E7D383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FF80B68"/>
    <w:multiLevelType w:val="multilevel"/>
    <w:tmpl w:val="1B84192A"/>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nsid w:val="33C435E6"/>
    <w:multiLevelType w:val="multilevel"/>
    <w:tmpl w:val="3CD044DC"/>
    <w:lvl w:ilvl="0">
      <w:start w:val="1"/>
      <w:numFmt w:val="decimal"/>
      <w:lvlText w:val="Section %1"/>
      <w:lvlJc w:val="left"/>
      <w:pPr>
        <w:tabs>
          <w:tab w:val="num" w:pos="2268"/>
        </w:tabs>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nsid w:val="449551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7553B5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9BD1259"/>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nsid w:val="4AB36828"/>
    <w:multiLevelType w:val="multilevel"/>
    <w:tmpl w:val="997465E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nsid w:val="5714650E"/>
    <w:multiLevelType w:val="multilevel"/>
    <w:tmpl w:val="AE580FCE"/>
    <w:styleLink w:val="Bulletlist"/>
    <w:lvl w:ilvl="0">
      <w:start w:val="1"/>
      <w:numFmt w:val="bullet"/>
      <w:lvlText w:val="&gt;"/>
      <w:lvlJc w:val="left"/>
      <w:pPr>
        <w:tabs>
          <w:tab w:val="num" w:pos="0"/>
        </w:tabs>
        <w:ind w:left="360" w:hanging="360"/>
      </w:pPr>
      <w:rPr>
        <w:rFonts w:ascii="Calibri" w:hAnsi="Calibri" w:hint="default"/>
        <w:color w:val="00647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436"/>
        </w:tabs>
        <w:ind w:left="644"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9">
    <w:nsid w:val="5DD623A1"/>
    <w:multiLevelType w:val="multilevel"/>
    <w:tmpl w:val="A9022BF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nsid w:val="5F66080B"/>
    <w:multiLevelType w:val="multilevel"/>
    <w:tmpl w:val="0B80696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nsid w:val="606E35BD"/>
    <w:multiLevelType w:val="multilevel"/>
    <w:tmpl w:val="307EC2D8"/>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nsid w:val="67C256C8"/>
    <w:multiLevelType w:val="multilevel"/>
    <w:tmpl w:val="F2101AC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nsid w:val="69681B61"/>
    <w:multiLevelType w:val="multilevel"/>
    <w:tmpl w:val="D99E115C"/>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nsid w:val="69AC3607"/>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5">
    <w:nsid w:val="6CC049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43A253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556285C"/>
    <w:multiLevelType w:val="multilevel"/>
    <w:tmpl w:val="2164776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8">
    <w:nsid w:val="7B345140"/>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9">
    <w:nsid w:val="7F703F7D"/>
    <w:multiLevelType w:val="multilevel"/>
    <w:tmpl w:val="8F02B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1"/>
  </w:num>
  <w:num w:numId="12">
    <w:abstractNumId w:val="22"/>
  </w:num>
  <w:num w:numId="13">
    <w:abstractNumId w:val="13"/>
  </w:num>
  <w:num w:numId="14">
    <w:abstractNumId w:val="15"/>
  </w:num>
  <w:num w:numId="15">
    <w:abstractNumId w:val="19"/>
  </w:num>
  <w:num w:numId="16">
    <w:abstractNumId w:val="16"/>
  </w:num>
  <w:num w:numId="17">
    <w:abstractNumId w:val="33"/>
  </w:num>
  <w:num w:numId="18">
    <w:abstractNumId w:val="23"/>
  </w:num>
  <w:num w:numId="19">
    <w:abstractNumId w:val="32"/>
  </w:num>
  <w:num w:numId="20">
    <w:abstractNumId w:val="34"/>
  </w:num>
  <w:num w:numId="21">
    <w:abstractNumId w:val="27"/>
  </w:num>
  <w:num w:numId="22">
    <w:abstractNumId w:val="29"/>
  </w:num>
  <w:num w:numId="23">
    <w:abstractNumId w:val="30"/>
  </w:num>
  <w:num w:numId="24">
    <w:abstractNumId w:val="14"/>
  </w:num>
  <w:num w:numId="25">
    <w:abstractNumId w:val="39"/>
  </w:num>
  <w:num w:numId="26">
    <w:abstractNumId w:val="18"/>
  </w:num>
  <w:num w:numId="27">
    <w:abstractNumId w:val="24"/>
  </w:num>
  <w:num w:numId="28">
    <w:abstractNumId w:val="25"/>
  </w:num>
  <w:num w:numId="29">
    <w:abstractNumId w:val="17"/>
  </w:num>
  <w:num w:numId="30">
    <w:abstractNumId w:val="36"/>
  </w:num>
  <w:num w:numId="31">
    <w:abstractNumId w:val="37"/>
  </w:num>
  <w:num w:numId="32">
    <w:abstractNumId w:val="38"/>
  </w:num>
  <w:num w:numId="33">
    <w:abstractNumId w:val="26"/>
  </w:num>
  <w:num w:numId="34">
    <w:abstractNumId w:val="35"/>
  </w:num>
  <w:num w:numId="35">
    <w:abstractNumId w:val="10"/>
  </w:num>
  <w:num w:numId="36">
    <w:abstractNumId w:val="21"/>
  </w:num>
  <w:num w:numId="37">
    <w:abstractNumId w:val="2"/>
    <w:lvlOverride w:ilvl="0">
      <w:startOverride w:val="1"/>
    </w:lvlOverride>
  </w:num>
  <w:num w:numId="38">
    <w:abstractNumId w:val="2"/>
    <w:lvlOverride w:ilvl="0">
      <w:startOverride w:val="1"/>
    </w:lvlOverride>
  </w:num>
  <w:num w:numId="39">
    <w:abstractNumId w:val="8"/>
    <w:lvlOverride w:ilvl="0">
      <w:startOverride w:val="1"/>
    </w:lvlOverride>
  </w:num>
  <w:num w:numId="40">
    <w:abstractNumId w:val="3"/>
    <w:lvlOverride w:ilvl="0">
      <w:startOverride w:val="1"/>
    </w:lvlOverride>
  </w:num>
  <w:num w:numId="41">
    <w:abstractNumId w:val="11"/>
  </w:num>
  <w:num w:numId="42">
    <w:abstractNumId w:val="28"/>
  </w:num>
  <w:num w:numId="43">
    <w:abstractNumId w:val="20"/>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B31"/>
    <w:rsid w:val="0000634F"/>
    <w:rsid w:val="00027D40"/>
    <w:rsid w:val="000429C1"/>
    <w:rsid w:val="0005266B"/>
    <w:rsid w:val="0007752B"/>
    <w:rsid w:val="000831CB"/>
    <w:rsid w:val="00087501"/>
    <w:rsid w:val="0009674A"/>
    <w:rsid w:val="000A18A7"/>
    <w:rsid w:val="000A1B3E"/>
    <w:rsid w:val="000A1FE0"/>
    <w:rsid w:val="000C03C4"/>
    <w:rsid w:val="000C1A3F"/>
    <w:rsid w:val="000C26FA"/>
    <w:rsid w:val="000D101F"/>
    <w:rsid w:val="000D5768"/>
    <w:rsid w:val="000E6E62"/>
    <w:rsid w:val="0012161F"/>
    <w:rsid w:val="00136A48"/>
    <w:rsid w:val="001403C0"/>
    <w:rsid w:val="00147CDE"/>
    <w:rsid w:val="00153B31"/>
    <w:rsid w:val="001725DC"/>
    <w:rsid w:val="00191B09"/>
    <w:rsid w:val="001B1C0D"/>
    <w:rsid w:val="001C1F52"/>
    <w:rsid w:val="001D2526"/>
    <w:rsid w:val="001F206F"/>
    <w:rsid w:val="0020392F"/>
    <w:rsid w:val="002272E6"/>
    <w:rsid w:val="00244729"/>
    <w:rsid w:val="0024639A"/>
    <w:rsid w:val="002560C6"/>
    <w:rsid w:val="00267A7D"/>
    <w:rsid w:val="00273E75"/>
    <w:rsid w:val="00295A16"/>
    <w:rsid w:val="002C244C"/>
    <w:rsid w:val="002C77AC"/>
    <w:rsid w:val="002D3666"/>
    <w:rsid w:val="002E26CE"/>
    <w:rsid w:val="002F3DB8"/>
    <w:rsid w:val="00343274"/>
    <w:rsid w:val="0035403C"/>
    <w:rsid w:val="0036267C"/>
    <w:rsid w:val="0036590E"/>
    <w:rsid w:val="00371EB7"/>
    <w:rsid w:val="00374B5C"/>
    <w:rsid w:val="00384153"/>
    <w:rsid w:val="003B586C"/>
    <w:rsid w:val="003B61FD"/>
    <w:rsid w:val="003E156C"/>
    <w:rsid w:val="003E3B1E"/>
    <w:rsid w:val="00426913"/>
    <w:rsid w:val="00435D2A"/>
    <w:rsid w:val="004528A0"/>
    <w:rsid w:val="004914B4"/>
    <w:rsid w:val="004A5FC0"/>
    <w:rsid w:val="004B55B9"/>
    <w:rsid w:val="004C1ECF"/>
    <w:rsid w:val="004C7914"/>
    <w:rsid w:val="004F780B"/>
    <w:rsid w:val="0051059A"/>
    <w:rsid w:val="005549E1"/>
    <w:rsid w:val="005D0E71"/>
    <w:rsid w:val="005E399C"/>
    <w:rsid w:val="005E3AE0"/>
    <w:rsid w:val="005F0A45"/>
    <w:rsid w:val="005F7A63"/>
    <w:rsid w:val="00626CC3"/>
    <w:rsid w:val="00650CDD"/>
    <w:rsid w:val="00670B77"/>
    <w:rsid w:val="00684101"/>
    <w:rsid w:val="006C0C13"/>
    <w:rsid w:val="006E4F45"/>
    <w:rsid w:val="006E7A89"/>
    <w:rsid w:val="006F539E"/>
    <w:rsid w:val="007063C7"/>
    <w:rsid w:val="0071332A"/>
    <w:rsid w:val="00717A75"/>
    <w:rsid w:val="00737F9E"/>
    <w:rsid w:val="0074792E"/>
    <w:rsid w:val="00752775"/>
    <w:rsid w:val="0075638E"/>
    <w:rsid w:val="007B1210"/>
    <w:rsid w:val="007C5428"/>
    <w:rsid w:val="007D7E29"/>
    <w:rsid w:val="007E6713"/>
    <w:rsid w:val="00815EE7"/>
    <w:rsid w:val="00830149"/>
    <w:rsid w:val="008627A5"/>
    <w:rsid w:val="00862D74"/>
    <w:rsid w:val="008E0B44"/>
    <w:rsid w:val="00904089"/>
    <w:rsid w:val="009200D5"/>
    <w:rsid w:val="0092079A"/>
    <w:rsid w:val="0093032A"/>
    <w:rsid w:val="009357FD"/>
    <w:rsid w:val="009415FA"/>
    <w:rsid w:val="009A6686"/>
    <w:rsid w:val="009A743B"/>
    <w:rsid w:val="009D1E50"/>
    <w:rsid w:val="00A011A0"/>
    <w:rsid w:val="00A56904"/>
    <w:rsid w:val="00A75397"/>
    <w:rsid w:val="00A8189C"/>
    <w:rsid w:val="00A96152"/>
    <w:rsid w:val="00AE157B"/>
    <w:rsid w:val="00AE78CA"/>
    <w:rsid w:val="00B11BFC"/>
    <w:rsid w:val="00B234F1"/>
    <w:rsid w:val="00B3392C"/>
    <w:rsid w:val="00B53DCB"/>
    <w:rsid w:val="00B873DA"/>
    <w:rsid w:val="00B96342"/>
    <w:rsid w:val="00BA4D98"/>
    <w:rsid w:val="00BE5EA9"/>
    <w:rsid w:val="00BE74C5"/>
    <w:rsid w:val="00BF122A"/>
    <w:rsid w:val="00BF1C87"/>
    <w:rsid w:val="00C2140D"/>
    <w:rsid w:val="00C3663B"/>
    <w:rsid w:val="00C71C66"/>
    <w:rsid w:val="00C74B40"/>
    <w:rsid w:val="00C76580"/>
    <w:rsid w:val="00CA254F"/>
    <w:rsid w:val="00CD24CF"/>
    <w:rsid w:val="00D0029A"/>
    <w:rsid w:val="00D06AE5"/>
    <w:rsid w:val="00D3224F"/>
    <w:rsid w:val="00D33D07"/>
    <w:rsid w:val="00D42027"/>
    <w:rsid w:val="00D61035"/>
    <w:rsid w:val="00D730A3"/>
    <w:rsid w:val="00D826D4"/>
    <w:rsid w:val="00DA5253"/>
    <w:rsid w:val="00DA6871"/>
    <w:rsid w:val="00DB1FB3"/>
    <w:rsid w:val="00DB79D8"/>
    <w:rsid w:val="00DD6227"/>
    <w:rsid w:val="00DE43BE"/>
    <w:rsid w:val="00DF4FE1"/>
    <w:rsid w:val="00E0196E"/>
    <w:rsid w:val="00E1353B"/>
    <w:rsid w:val="00E77ED5"/>
    <w:rsid w:val="00EA209E"/>
    <w:rsid w:val="00EA2BF8"/>
    <w:rsid w:val="00EB5DFD"/>
    <w:rsid w:val="00ED63E1"/>
    <w:rsid w:val="00F35BBB"/>
    <w:rsid w:val="00F40DA4"/>
    <w:rsid w:val="00F43FB5"/>
    <w:rsid w:val="00FC4C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0E71"/>
    <w:pPr>
      <w:spacing w:before="240"/>
    </w:pPr>
    <w:rPr>
      <w:rFonts w:ascii="Verdana" w:hAnsi="Verdana"/>
      <w:szCs w:val="24"/>
    </w:rPr>
  </w:style>
  <w:style w:type="paragraph" w:styleId="Heading1">
    <w:name w:val="heading 1"/>
    <w:basedOn w:val="Normal"/>
    <w:next w:val="Normal"/>
    <w:qFormat/>
    <w:rsid w:val="005D0E71"/>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link w:val="Heading2Char"/>
    <w:qFormat/>
    <w:rsid w:val="005D0E71"/>
    <w:pPr>
      <w:keepNext/>
      <w:spacing w:after="60"/>
      <w:outlineLvl w:val="1"/>
    </w:pPr>
    <w:rPr>
      <w:rFonts w:cs="Arial"/>
      <w:b/>
      <w:bCs/>
      <w:iCs/>
      <w:sz w:val="28"/>
      <w:szCs w:val="28"/>
    </w:rPr>
  </w:style>
  <w:style w:type="paragraph" w:styleId="Heading3">
    <w:name w:val="heading 3"/>
    <w:basedOn w:val="Heading2"/>
    <w:next w:val="Normal"/>
    <w:qFormat/>
    <w:rsid w:val="005D0E71"/>
    <w:pPr>
      <w:outlineLvl w:val="2"/>
    </w:pPr>
    <w:rPr>
      <w:bCs w:val="0"/>
      <w:sz w:val="24"/>
      <w:szCs w:val="26"/>
    </w:rPr>
  </w:style>
  <w:style w:type="paragraph" w:styleId="Heading4">
    <w:name w:val="heading 4"/>
    <w:basedOn w:val="Normal"/>
    <w:next w:val="Normal"/>
    <w:qFormat/>
    <w:rsid w:val="005D0E71"/>
    <w:pPr>
      <w:keepNext/>
      <w:numPr>
        <w:ilvl w:val="3"/>
        <w:numId w:val="11"/>
      </w:numPr>
      <w:spacing w:after="60"/>
      <w:outlineLvl w:val="3"/>
    </w:pPr>
    <w:rPr>
      <w:b/>
      <w:bCs/>
      <w:sz w:val="22"/>
    </w:rPr>
  </w:style>
  <w:style w:type="paragraph" w:styleId="Heading5">
    <w:name w:val="heading 5"/>
    <w:basedOn w:val="Normal"/>
    <w:next w:val="Normal"/>
    <w:qFormat/>
    <w:rsid w:val="005D0E71"/>
    <w:pPr>
      <w:spacing w:after="60"/>
      <w:outlineLvl w:val="4"/>
    </w:pPr>
    <w:rPr>
      <w:b/>
      <w:bCs/>
      <w:iCs/>
      <w:szCs w:val="20"/>
    </w:rPr>
  </w:style>
  <w:style w:type="paragraph" w:styleId="Heading6">
    <w:name w:val="heading 6"/>
    <w:basedOn w:val="Normal"/>
    <w:next w:val="Normal"/>
    <w:qFormat/>
    <w:rsid w:val="005D0E71"/>
    <w:pPr>
      <w:numPr>
        <w:ilvl w:val="5"/>
        <w:numId w:val="20"/>
      </w:numPr>
      <w:spacing w:after="60"/>
      <w:outlineLvl w:val="5"/>
    </w:pPr>
    <w:rPr>
      <w:b/>
      <w:bCs/>
      <w:sz w:val="22"/>
      <w:szCs w:val="22"/>
    </w:rPr>
  </w:style>
  <w:style w:type="paragraph" w:styleId="Heading7">
    <w:name w:val="heading 7"/>
    <w:basedOn w:val="Normal"/>
    <w:next w:val="Normal"/>
    <w:qFormat/>
    <w:rsid w:val="005D0E71"/>
    <w:pPr>
      <w:numPr>
        <w:ilvl w:val="6"/>
        <w:numId w:val="20"/>
      </w:numPr>
      <w:spacing w:after="60"/>
      <w:outlineLvl w:val="6"/>
    </w:pPr>
  </w:style>
  <w:style w:type="paragraph" w:styleId="Heading8">
    <w:name w:val="heading 8"/>
    <w:basedOn w:val="Normal"/>
    <w:next w:val="Normal"/>
    <w:qFormat/>
    <w:rsid w:val="005D0E71"/>
    <w:pPr>
      <w:numPr>
        <w:ilvl w:val="7"/>
        <w:numId w:val="20"/>
      </w:numPr>
      <w:spacing w:after="60"/>
      <w:outlineLvl w:val="7"/>
    </w:pPr>
    <w:rPr>
      <w:i/>
      <w:iCs/>
    </w:rPr>
  </w:style>
  <w:style w:type="paragraph" w:styleId="Heading9">
    <w:name w:val="heading 9"/>
    <w:basedOn w:val="Normal"/>
    <w:next w:val="Normal"/>
    <w:qFormat/>
    <w:rsid w:val="005D0E71"/>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rsid w:val="005D0E7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D0E71"/>
  </w:style>
  <w:style w:type="paragraph" w:styleId="ListBullet3">
    <w:name w:val="List Bullet 3"/>
    <w:basedOn w:val="Normal"/>
    <w:rsid w:val="005D0E71"/>
    <w:pPr>
      <w:numPr>
        <w:numId w:val="3"/>
      </w:numPr>
      <w:tabs>
        <w:tab w:val="clear" w:pos="1699"/>
        <w:tab w:val="left" w:pos="720"/>
        <w:tab w:val="left" w:pos="1440"/>
        <w:tab w:val="left" w:pos="2160"/>
      </w:tabs>
      <w:ind w:left="2160" w:hanging="720"/>
    </w:pPr>
  </w:style>
  <w:style w:type="character" w:customStyle="1" w:styleId="Hints">
    <w:name w:val="Hints"/>
    <w:semiHidden/>
    <w:rsid w:val="005D0E71"/>
    <w:rPr>
      <w:noProof/>
      <w:color w:val="FF0000"/>
    </w:rPr>
  </w:style>
  <w:style w:type="paragraph" w:styleId="Header">
    <w:name w:val="header"/>
    <w:basedOn w:val="Normal"/>
    <w:semiHidden/>
    <w:rsid w:val="005D0E71"/>
    <w:pPr>
      <w:tabs>
        <w:tab w:val="center" w:pos="4153"/>
        <w:tab w:val="right" w:pos="8306"/>
      </w:tabs>
      <w:spacing w:before="0"/>
    </w:pPr>
    <w:rPr>
      <w:i/>
      <w:sz w:val="16"/>
    </w:rPr>
  </w:style>
  <w:style w:type="table" w:styleId="TableGrid">
    <w:name w:val="Table Grid"/>
    <w:basedOn w:val="TableNormal"/>
    <w:semiHidden/>
    <w:rsid w:val="005D0E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rsid w:val="005D0E71"/>
    <w:pPr>
      <w:tabs>
        <w:tab w:val="right" w:leader="dot" w:pos="9061"/>
      </w:tabs>
    </w:pPr>
    <w:rPr>
      <w:b/>
    </w:rPr>
  </w:style>
  <w:style w:type="paragraph" w:styleId="TOC2">
    <w:name w:val="toc 2"/>
    <w:basedOn w:val="Normal"/>
    <w:autoRedefine/>
    <w:semiHidden/>
    <w:rsid w:val="005D0E71"/>
    <w:pPr>
      <w:tabs>
        <w:tab w:val="right" w:leader="dot" w:pos="9061"/>
      </w:tabs>
      <w:spacing w:before="0"/>
      <w:ind w:left="567"/>
    </w:pPr>
  </w:style>
  <w:style w:type="paragraph" w:styleId="ListNumber3">
    <w:name w:val="List Number 3"/>
    <w:basedOn w:val="Normal"/>
    <w:rsid w:val="005D0E71"/>
    <w:pPr>
      <w:numPr>
        <w:numId w:val="37"/>
      </w:numPr>
    </w:pPr>
  </w:style>
  <w:style w:type="paragraph" w:customStyle="1" w:styleId="Sub-subtitle">
    <w:name w:val="Sub-subtitle"/>
    <w:basedOn w:val="Subtitle"/>
    <w:next w:val="Normal"/>
    <w:rsid w:val="005D0E71"/>
    <w:rPr>
      <w:sz w:val="24"/>
    </w:rPr>
  </w:style>
  <w:style w:type="paragraph" w:styleId="Subtitle">
    <w:name w:val="Subtitle"/>
    <w:basedOn w:val="Normal"/>
    <w:next w:val="Sub-subtitle"/>
    <w:qFormat/>
    <w:rsid w:val="005D0E71"/>
    <w:pPr>
      <w:spacing w:before="2400"/>
      <w:jc w:val="center"/>
      <w:outlineLvl w:val="1"/>
    </w:pPr>
    <w:rPr>
      <w:rFonts w:cs="Arial"/>
      <w:b/>
      <w:caps/>
      <w:sz w:val="28"/>
      <w:szCs w:val="28"/>
    </w:rPr>
  </w:style>
  <w:style w:type="paragraph" w:customStyle="1" w:styleId="Contents">
    <w:name w:val="Contents"/>
    <w:basedOn w:val="Heading2"/>
    <w:next w:val="Normal"/>
    <w:rsid w:val="005D0E71"/>
  </w:style>
  <w:style w:type="paragraph" w:customStyle="1" w:styleId="TableText">
    <w:name w:val="Table Text"/>
    <w:basedOn w:val="Normal"/>
    <w:rsid w:val="005D0E71"/>
    <w:pPr>
      <w:spacing w:before="80" w:after="80"/>
    </w:pPr>
  </w:style>
  <w:style w:type="paragraph" w:customStyle="1" w:styleId="TableHeading">
    <w:name w:val="Table Heading"/>
    <w:basedOn w:val="TableText"/>
    <w:rsid w:val="005D0E71"/>
    <w:pPr>
      <w:keepNext/>
    </w:pPr>
    <w:rPr>
      <w:b/>
    </w:rPr>
  </w:style>
  <w:style w:type="paragraph" w:customStyle="1" w:styleId="TableCaption">
    <w:name w:val="Table Caption"/>
    <w:basedOn w:val="Normal"/>
    <w:next w:val="Normal"/>
    <w:rsid w:val="005D0E71"/>
    <w:pPr>
      <w:keepNext/>
      <w:spacing w:after="240"/>
    </w:pPr>
    <w:rPr>
      <w:b/>
    </w:rPr>
  </w:style>
  <w:style w:type="paragraph" w:customStyle="1" w:styleId="Figure">
    <w:name w:val="Figure"/>
    <w:basedOn w:val="Normal"/>
    <w:next w:val="ListBullet3"/>
    <w:rsid w:val="005D0E71"/>
  </w:style>
  <w:style w:type="paragraph" w:customStyle="1" w:styleId="FigureCaption">
    <w:name w:val="Figure Caption"/>
    <w:basedOn w:val="Normal"/>
    <w:next w:val="Figure"/>
    <w:rsid w:val="005D0E71"/>
    <w:pPr>
      <w:keepNext/>
      <w:spacing w:after="240"/>
    </w:pPr>
    <w:rPr>
      <w:b/>
    </w:rPr>
  </w:style>
  <w:style w:type="paragraph" w:customStyle="1" w:styleId="SectionHeading">
    <w:name w:val="Section Heading"/>
    <w:basedOn w:val="Normal"/>
    <w:next w:val="Heading2"/>
    <w:semiHidden/>
    <w:rsid w:val="005D0E71"/>
    <w:rPr>
      <w:b/>
      <w:sz w:val="24"/>
    </w:rPr>
  </w:style>
  <w:style w:type="paragraph" w:styleId="Footer">
    <w:name w:val="footer"/>
    <w:basedOn w:val="Normal"/>
    <w:semiHidden/>
    <w:rsid w:val="005D0E71"/>
    <w:pPr>
      <w:tabs>
        <w:tab w:val="center" w:pos="4153"/>
        <w:tab w:val="right" w:pos="8306"/>
      </w:tabs>
    </w:pPr>
    <w:rPr>
      <w:sz w:val="16"/>
    </w:rPr>
  </w:style>
  <w:style w:type="paragraph" w:styleId="ListBullet">
    <w:name w:val="List Bullet"/>
    <w:basedOn w:val="Normal"/>
    <w:rsid w:val="005D0E71"/>
    <w:pPr>
      <w:numPr>
        <w:numId w:val="1"/>
      </w:numPr>
      <w:tabs>
        <w:tab w:val="clear" w:pos="567"/>
        <w:tab w:val="left" w:pos="720"/>
      </w:tabs>
      <w:ind w:left="720" w:hanging="720"/>
    </w:pPr>
  </w:style>
  <w:style w:type="paragraph" w:styleId="ListBullet2">
    <w:name w:val="List Bullet 2"/>
    <w:basedOn w:val="ListBullet"/>
    <w:rsid w:val="005D0E71"/>
    <w:pPr>
      <w:numPr>
        <w:numId w:val="2"/>
      </w:numPr>
      <w:tabs>
        <w:tab w:val="clear" w:pos="567"/>
        <w:tab w:val="left" w:pos="1440"/>
      </w:tabs>
      <w:ind w:left="1440" w:hanging="720"/>
    </w:pPr>
  </w:style>
  <w:style w:type="paragraph" w:styleId="ListNumber">
    <w:name w:val="List Number"/>
    <w:basedOn w:val="Normal"/>
    <w:rsid w:val="005D0E71"/>
    <w:pPr>
      <w:numPr>
        <w:numId w:val="39"/>
      </w:numPr>
    </w:pPr>
  </w:style>
  <w:style w:type="paragraph" w:styleId="ListNumber2">
    <w:name w:val="List Number 2"/>
    <w:basedOn w:val="Normal"/>
    <w:rsid w:val="005D0E71"/>
    <w:pPr>
      <w:numPr>
        <w:numId w:val="40"/>
      </w:numPr>
    </w:pPr>
  </w:style>
  <w:style w:type="paragraph" w:styleId="TableofFigures">
    <w:name w:val="table of figures"/>
    <w:basedOn w:val="TOC2"/>
    <w:next w:val="Normal"/>
    <w:semiHidden/>
    <w:rsid w:val="005D0E71"/>
    <w:pPr>
      <w:ind w:left="0"/>
    </w:pPr>
  </w:style>
  <w:style w:type="paragraph" w:customStyle="1" w:styleId="Heading1-nonumbering">
    <w:name w:val="Heading 1 - no numbering"/>
    <w:basedOn w:val="Heading1"/>
    <w:next w:val="Normal"/>
    <w:semiHidden/>
    <w:rsid w:val="005D0E71"/>
  </w:style>
  <w:style w:type="paragraph" w:styleId="TOC3">
    <w:name w:val="toc 3"/>
    <w:basedOn w:val="TOC2"/>
    <w:next w:val="Normal"/>
    <w:autoRedefine/>
    <w:semiHidden/>
    <w:rsid w:val="005D0E71"/>
    <w:pPr>
      <w:tabs>
        <w:tab w:val="clear" w:pos="9061"/>
        <w:tab w:val="right" w:leader="dot" w:pos="9060"/>
      </w:tabs>
      <w:ind w:left="1134"/>
    </w:pPr>
  </w:style>
  <w:style w:type="paragraph" w:customStyle="1" w:styleId="Footnote">
    <w:name w:val="Footnote"/>
    <w:next w:val="Normal"/>
    <w:rsid w:val="005D0E71"/>
    <w:pPr>
      <w:spacing w:before="60" w:after="60"/>
    </w:pPr>
    <w:rPr>
      <w:rFonts w:ascii="Verdana" w:hAnsi="Verdana" w:cs="Arial"/>
      <w:bCs/>
      <w:kern w:val="28"/>
      <w:sz w:val="16"/>
      <w:szCs w:val="16"/>
    </w:rPr>
  </w:style>
  <w:style w:type="paragraph" w:styleId="FootnoteText">
    <w:name w:val="footnote text"/>
    <w:basedOn w:val="Normal"/>
    <w:link w:val="FootnoteTextChar"/>
    <w:rsid w:val="005D0E71"/>
    <w:pPr>
      <w:spacing w:before="0"/>
    </w:pPr>
    <w:rPr>
      <w:sz w:val="16"/>
      <w:szCs w:val="20"/>
    </w:rPr>
  </w:style>
  <w:style w:type="character" w:customStyle="1" w:styleId="FootnoteTextChar">
    <w:name w:val="Footnote Text Char"/>
    <w:basedOn w:val="DefaultParagraphFont"/>
    <w:link w:val="FootnoteText"/>
    <w:rsid w:val="005D0E71"/>
    <w:rPr>
      <w:rFonts w:ascii="Verdana" w:hAnsi="Verdana"/>
      <w:sz w:val="16"/>
    </w:rPr>
  </w:style>
  <w:style w:type="character" w:styleId="Hyperlink">
    <w:name w:val="Hyperlink"/>
    <w:basedOn w:val="DefaultParagraphFont"/>
    <w:uiPriority w:val="99"/>
    <w:rsid w:val="00830149"/>
    <w:rPr>
      <w:color w:val="0000FF" w:themeColor="hyperlink"/>
      <w:u w:val="single"/>
    </w:rPr>
  </w:style>
  <w:style w:type="character" w:styleId="FootnoteReference">
    <w:name w:val="footnote reference"/>
    <w:basedOn w:val="DefaultParagraphFont"/>
    <w:uiPriority w:val="99"/>
    <w:rsid w:val="00830149"/>
    <w:rPr>
      <w:vertAlign w:val="superscript"/>
    </w:rPr>
  </w:style>
  <w:style w:type="character" w:customStyle="1" w:styleId="Heading2Char">
    <w:name w:val="Heading 2 Char"/>
    <w:link w:val="Heading2"/>
    <w:rsid w:val="001D2526"/>
    <w:rPr>
      <w:rFonts w:ascii="Verdana" w:hAnsi="Verdana" w:cs="Arial"/>
      <w:b/>
      <w:bCs/>
      <w:iCs/>
      <w:sz w:val="28"/>
      <w:szCs w:val="28"/>
    </w:rPr>
  </w:style>
  <w:style w:type="numbering" w:customStyle="1" w:styleId="Bulletlist">
    <w:name w:val="Bullet list"/>
    <w:rsid w:val="008627A5"/>
    <w:pPr>
      <w:numPr>
        <w:numId w:val="42"/>
      </w:numPr>
    </w:pPr>
  </w:style>
  <w:style w:type="paragraph" w:customStyle="1" w:styleId="Numberlist">
    <w:name w:val="Number list"/>
    <w:basedOn w:val="Normal"/>
    <w:next w:val="Normal"/>
    <w:qFormat/>
    <w:rsid w:val="008627A5"/>
    <w:pPr>
      <w:tabs>
        <w:tab w:val="num" w:pos="0"/>
      </w:tabs>
      <w:spacing w:before="0" w:after="120"/>
      <w:ind w:left="360" w:hanging="360"/>
    </w:pPr>
    <w:rPr>
      <w:rFonts w:ascii="Calibri" w:eastAsia="Cambria" w:hAnsi="Calibri"/>
      <w:color w:val="3C3C3B"/>
      <w:sz w:val="24"/>
      <w:lang w:val="en-US" w:eastAsia="en-US"/>
    </w:rPr>
  </w:style>
  <w:style w:type="paragraph" w:styleId="BalloonText">
    <w:name w:val="Balloon Text"/>
    <w:basedOn w:val="Normal"/>
    <w:link w:val="BalloonTextChar"/>
    <w:rsid w:val="000C26FA"/>
    <w:pPr>
      <w:spacing w:before="0"/>
    </w:pPr>
    <w:rPr>
      <w:rFonts w:ascii="Tahoma" w:hAnsi="Tahoma" w:cs="Tahoma"/>
      <w:sz w:val="16"/>
      <w:szCs w:val="16"/>
    </w:rPr>
  </w:style>
  <w:style w:type="character" w:customStyle="1" w:styleId="BalloonTextChar">
    <w:name w:val="Balloon Text Char"/>
    <w:basedOn w:val="DefaultParagraphFont"/>
    <w:link w:val="BalloonText"/>
    <w:rsid w:val="000C26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0E71"/>
    <w:pPr>
      <w:spacing w:before="240"/>
    </w:pPr>
    <w:rPr>
      <w:rFonts w:ascii="Verdana" w:hAnsi="Verdana"/>
      <w:szCs w:val="24"/>
    </w:rPr>
  </w:style>
  <w:style w:type="paragraph" w:styleId="Heading1">
    <w:name w:val="heading 1"/>
    <w:basedOn w:val="Normal"/>
    <w:next w:val="Normal"/>
    <w:qFormat/>
    <w:rsid w:val="005D0E71"/>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link w:val="Heading2Char"/>
    <w:qFormat/>
    <w:rsid w:val="005D0E71"/>
    <w:pPr>
      <w:keepNext/>
      <w:spacing w:after="60"/>
      <w:outlineLvl w:val="1"/>
    </w:pPr>
    <w:rPr>
      <w:rFonts w:cs="Arial"/>
      <w:b/>
      <w:bCs/>
      <w:iCs/>
      <w:sz w:val="28"/>
      <w:szCs w:val="28"/>
    </w:rPr>
  </w:style>
  <w:style w:type="paragraph" w:styleId="Heading3">
    <w:name w:val="heading 3"/>
    <w:basedOn w:val="Heading2"/>
    <w:next w:val="Normal"/>
    <w:qFormat/>
    <w:rsid w:val="005D0E71"/>
    <w:pPr>
      <w:outlineLvl w:val="2"/>
    </w:pPr>
    <w:rPr>
      <w:bCs w:val="0"/>
      <w:sz w:val="24"/>
      <w:szCs w:val="26"/>
    </w:rPr>
  </w:style>
  <w:style w:type="paragraph" w:styleId="Heading4">
    <w:name w:val="heading 4"/>
    <w:basedOn w:val="Normal"/>
    <w:next w:val="Normal"/>
    <w:qFormat/>
    <w:rsid w:val="005D0E71"/>
    <w:pPr>
      <w:keepNext/>
      <w:numPr>
        <w:ilvl w:val="3"/>
        <w:numId w:val="11"/>
      </w:numPr>
      <w:spacing w:after="60"/>
      <w:outlineLvl w:val="3"/>
    </w:pPr>
    <w:rPr>
      <w:b/>
      <w:bCs/>
      <w:sz w:val="22"/>
    </w:rPr>
  </w:style>
  <w:style w:type="paragraph" w:styleId="Heading5">
    <w:name w:val="heading 5"/>
    <w:basedOn w:val="Normal"/>
    <w:next w:val="Normal"/>
    <w:qFormat/>
    <w:rsid w:val="005D0E71"/>
    <w:pPr>
      <w:spacing w:after="60"/>
      <w:outlineLvl w:val="4"/>
    </w:pPr>
    <w:rPr>
      <w:b/>
      <w:bCs/>
      <w:iCs/>
      <w:szCs w:val="20"/>
    </w:rPr>
  </w:style>
  <w:style w:type="paragraph" w:styleId="Heading6">
    <w:name w:val="heading 6"/>
    <w:basedOn w:val="Normal"/>
    <w:next w:val="Normal"/>
    <w:qFormat/>
    <w:rsid w:val="005D0E71"/>
    <w:pPr>
      <w:numPr>
        <w:ilvl w:val="5"/>
        <w:numId w:val="20"/>
      </w:numPr>
      <w:spacing w:after="60"/>
      <w:outlineLvl w:val="5"/>
    </w:pPr>
    <w:rPr>
      <w:b/>
      <w:bCs/>
      <w:sz w:val="22"/>
      <w:szCs w:val="22"/>
    </w:rPr>
  </w:style>
  <w:style w:type="paragraph" w:styleId="Heading7">
    <w:name w:val="heading 7"/>
    <w:basedOn w:val="Normal"/>
    <w:next w:val="Normal"/>
    <w:qFormat/>
    <w:rsid w:val="005D0E71"/>
    <w:pPr>
      <w:numPr>
        <w:ilvl w:val="6"/>
        <w:numId w:val="20"/>
      </w:numPr>
      <w:spacing w:after="60"/>
      <w:outlineLvl w:val="6"/>
    </w:pPr>
  </w:style>
  <w:style w:type="paragraph" w:styleId="Heading8">
    <w:name w:val="heading 8"/>
    <w:basedOn w:val="Normal"/>
    <w:next w:val="Normal"/>
    <w:qFormat/>
    <w:rsid w:val="005D0E71"/>
    <w:pPr>
      <w:numPr>
        <w:ilvl w:val="7"/>
        <w:numId w:val="20"/>
      </w:numPr>
      <w:spacing w:after="60"/>
      <w:outlineLvl w:val="7"/>
    </w:pPr>
    <w:rPr>
      <w:i/>
      <w:iCs/>
    </w:rPr>
  </w:style>
  <w:style w:type="paragraph" w:styleId="Heading9">
    <w:name w:val="heading 9"/>
    <w:basedOn w:val="Normal"/>
    <w:next w:val="Normal"/>
    <w:qFormat/>
    <w:rsid w:val="005D0E71"/>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rsid w:val="005D0E7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D0E71"/>
  </w:style>
  <w:style w:type="paragraph" w:styleId="ListBullet3">
    <w:name w:val="List Bullet 3"/>
    <w:basedOn w:val="Normal"/>
    <w:rsid w:val="005D0E71"/>
    <w:pPr>
      <w:numPr>
        <w:numId w:val="3"/>
      </w:numPr>
      <w:tabs>
        <w:tab w:val="clear" w:pos="1699"/>
        <w:tab w:val="left" w:pos="720"/>
        <w:tab w:val="left" w:pos="1440"/>
        <w:tab w:val="left" w:pos="2160"/>
      </w:tabs>
      <w:ind w:left="2160" w:hanging="720"/>
    </w:pPr>
  </w:style>
  <w:style w:type="character" w:customStyle="1" w:styleId="Hints">
    <w:name w:val="Hints"/>
    <w:semiHidden/>
    <w:rsid w:val="005D0E71"/>
    <w:rPr>
      <w:noProof/>
      <w:color w:val="FF0000"/>
    </w:rPr>
  </w:style>
  <w:style w:type="paragraph" w:styleId="Header">
    <w:name w:val="header"/>
    <w:basedOn w:val="Normal"/>
    <w:semiHidden/>
    <w:rsid w:val="005D0E71"/>
    <w:pPr>
      <w:tabs>
        <w:tab w:val="center" w:pos="4153"/>
        <w:tab w:val="right" w:pos="8306"/>
      </w:tabs>
      <w:spacing w:before="0"/>
    </w:pPr>
    <w:rPr>
      <w:i/>
      <w:sz w:val="16"/>
    </w:rPr>
  </w:style>
  <w:style w:type="table" w:styleId="TableGrid">
    <w:name w:val="Table Grid"/>
    <w:basedOn w:val="TableNormal"/>
    <w:semiHidden/>
    <w:rsid w:val="005D0E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rsid w:val="005D0E71"/>
    <w:pPr>
      <w:tabs>
        <w:tab w:val="right" w:leader="dot" w:pos="9061"/>
      </w:tabs>
    </w:pPr>
    <w:rPr>
      <w:b/>
    </w:rPr>
  </w:style>
  <w:style w:type="paragraph" w:styleId="TOC2">
    <w:name w:val="toc 2"/>
    <w:basedOn w:val="Normal"/>
    <w:autoRedefine/>
    <w:semiHidden/>
    <w:rsid w:val="005D0E71"/>
    <w:pPr>
      <w:tabs>
        <w:tab w:val="right" w:leader="dot" w:pos="9061"/>
      </w:tabs>
      <w:spacing w:before="0"/>
      <w:ind w:left="567"/>
    </w:pPr>
  </w:style>
  <w:style w:type="paragraph" w:styleId="ListNumber3">
    <w:name w:val="List Number 3"/>
    <w:basedOn w:val="Normal"/>
    <w:rsid w:val="005D0E71"/>
    <w:pPr>
      <w:numPr>
        <w:numId w:val="37"/>
      </w:numPr>
    </w:pPr>
  </w:style>
  <w:style w:type="paragraph" w:customStyle="1" w:styleId="Sub-subtitle">
    <w:name w:val="Sub-subtitle"/>
    <w:basedOn w:val="Subtitle"/>
    <w:next w:val="Normal"/>
    <w:rsid w:val="005D0E71"/>
    <w:rPr>
      <w:sz w:val="24"/>
    </w:rPr>
  </w:style>
  <w:style w:type="paragraph" w:styleId="Subtitle">
    <w:name w:val="Subtitle"/>
    <w:basedOn w:val="Normal"/>
    <w:next w:val="Sub-subtitle"/>
    <w:qFormat/>
    <w:rsid w:val="005D0E71"/>
    <w:pPr>
      <w:spacing w:before="2400"/>
      <w:jc w:val="center"/>
      <w:outlineLvl w:val="1"/>
    </w:pPr>
    <w:rPr>
      <w:rFonts w:cs="Arial"/>
      <w:b/>
      <w:caps/>
      <w:sz w:val="28"/>
      <w:szCs w:val="28"/>
    </w:rPr>
  </w:style>
  <w:style w:type="paragraph" w:customStyle="1" w:styleId="Contents">
    <w:name w:val="Contents"/>
    <w:basedOn w:val="Heading2"/>
    <w:next w:val="Normal"/>
    <w:rsid w:val="005D0E71"/>
  </w:style>
  <w:style w:type="paragraph" w:customStyle="1" w:styleId="TableText">
    <w:name w:val="Table Text"/>
    <w:basedOn w:val="Normal"/>
    <w:rsid w:val="005D0E71"/>
    <w:pPr>
      <w:spacing w:before="80" w:after="80"/>
    </w:pPr>
  </w:style>
  <w:style w:type="paragraph" w:customStyle="1" w:styleId="TableHeading">
    <w:name w:val="Table Heading"/>
    <w:basedOn w:val="TableText"/>
    <w:rsid w:val="005D0E71"/>
    <w:pPr>
      <w:keepNext/>
    </w:pPr>
    <w:rPr>
      <w:b/>
    </w:rPr>
  </w:style>
  <w:style w:type="paragraph" w:customStyle="1" w:styleId="TableCaption">
    <w:name w:val="Table Caption"/>
    <w:basedOn w:val="Normal"/>
    <w:next w:val="Normal"/>
    <w:rsid w:val="005D0E71"/>
    <w:pPr>
      <w:keepNext/>
      <w:spacing w:after="240"/>
    </w:pPr>
    <w:rPr>
      <w:b/>
    </w:rPr>
  </w:style>
  <w:style w:type="paragraph" w:customStyle="1" w:styleId="Figure">
    <w:name w:val="Figure"/>
    <w:basedOn w:val="Normal"/>
    <w:next w:val="ListBullet3"/>
    <w:rsid w:val="005D0E71"/>
  </w:style>
  <w:style w:type="paragraph" w:customStyle="1" w:styleId="FigureCaption">
    <w:name w:val="Figure Caption"/>
    <w:basedOn w:val="Normal"/>
    <w:next w:val="Figure"/>
    <w:rsid w:val="005D0E71"/>
    <w:pPr>
      <w:keepNext/>
      <w:spacing w:after="240"/>
    </w:pPr>
    <w:rPr>
      <w:b/>
    </w:rPr>
  </w:style>
  <w:style w:type="paragraph" w:customStyle="1" w:styleId="SectionHeading">
    <w:name w:val="Section Heading"/>
    <w:basedOn w:val="Normal"/>
    <w:next w:val="Heading2"/>
    <w:semiHidden/>
    <w:rsid w:val="005D0E71"/>
    <w:rPr>
      <w:b/>
      <w:sz w:val="24"/>
    </w:rPr>
  </w:style>
  <w:style w:type="paragraph" w:styleId="Footer">
    <w:name w:val="footer"/>
    <w:basedOn w:val="Normal"/>
    <w:semiHidden/>
    <w:rsid w:val="005D0E71"/>
    <w:pPr>
      <w:tabs>
        <w:tab w:val="center" w:pos="4153"/>
        <w:tab w:val="right" w:pos="8306"/>
      </w:tabs>
    </w:pPr>
    <w:rPr>
      <w:sz w:val="16"/>
    </w:rPr>
  </w:style>
  <w:style w:type="paragraph" w:styleId="ListBullet">
    <w:name w:val="List Bullet"/>
    <w:basedOn w:val="Normal"/>
    <w:rsid w:val="005D0E71"/>
    <w:pPr>
      <w:numPr>
        <w:numId w:val="1"/>
      </w:numPr>
      <w:tabs>
        <w:tab w:val="clear" w:pos="567"/>
        <w:tab w:val="left" w:pos="720"/>
      </w:tabs>
      <w:ind w:left="720" w:hanging="720"/>
    </w:pPr>
  </w:style>
  <w:style w:type="paragraph" w:styleId="ListBullet2">
    <w:name w:val="List Bullet 2"/>
    <w:basedOn w:val="ListBullet"/>
    <w:rsid w:val="005D0E71"/>
    <w:pPr>
      <w:numPr>
        <w:numId w:val="2"/>
      </w:numPr>
      <w:tabs>
        <w:tab w:val="clear" w:pos="567"/>
        <w:tab w:val="left" w:pos="1440"/>
      </w:tabs>
      <w:ind w:left="1440" w:hanging="720"/>
    </w:pPr>
  </w:style>
  <w:style w:type="paragraph" w:styleId="ListNumber">
    <w:name w:val="List Number"/>
    <w:basedOn w:val="Normal"/>
    <w:rsid w:val="005D0E71"/>
    <w:pPr>
      <w:numPr>
        <w:numId w:val="39"/>
      </w:numPr>
    </w:pPr>
  </w:style>
  <w:style w:type="paragraph" w:styleId="ListNumber2">
    <w:name w:val="List Number 2"/>
    <w:basedOn w:val="Normal"/>
    <w:rsid w:val="005D0E71"/>
    <w:pPr>
      <w:numPr>
        <w:numId w:val="40"/>
      </w:numPr>
    </w:pPr>
  </w:style>
  <w:style w:type="paragraph" w:styleId="TableofFigures">
    <w:name w:val="table of figures"/>
    <w:basedOn w:val="TOC2"/>
    <w:next w:val="Normal"/>
    <w:semiHidden/>
    <w:rsid w:val="005D0E71"/>
    <w:pPr>
      <w:ind w:left="0"/>
    </w:pPr>
  </w:style>
  <w:style w:type="paragraph" w:customStyle="1" w:styleId="Heading1-nonumbering">
    <w:name w:val="Heading 1 - no numbering"/>
    <w:basedOn w:val="Heading1"/>
    <w:next w:val="Normal"/>
    <w:semiHidden/>
    <w:rsid w:val="005D0E71"/>
  </w:style>
  <w:style w:type="paragraph" w:styleId="TOC3">
    <w:name w:val="toc 3"/>
    <w:basedOn w:val="TOC2"/>
    <w:next w:val="Normal"/>
    <w:autoRedefine/>
    <w:semiHidden/>
    <w:rsid w:val="005D0E71"/>
    <w:pPr>
      <w:tabs>
        <w:tab w:val="clear" w:pos="9061"/>
        <w:tab w:val="right" w:leader="dot" w:pos="9060"/>
      </w:tabs>
      <w:ind w:left="1134"/>
    </w:pPr>
  </w:style>
  <w:style w:type="paragraph" w:customStyle="1" w:styleId="Footnote">
    <w:name w:val="Footnote"/>
    <w:next w:val="Normal"/>
    <w:rsid w:val="005D0E71"/>
    <w:pPr>
      <w:spacing w:before="60" w:after="60"/>
    </w:pPr>
    <w:rPr>
      <w:rFonts w:ascii="Verdana" w:hAnsi="Verdana" w:cs="Arial"/>
      <w:bCs/>
      <w:kern w:val="28"/>
      <w:sz w:val="16"/>
      <w:szCs w:val="16"/>
    </w:rPr>
  </w:style>
  <w:style w:type="paragraph" w:styleId="FootnoteText">
    <w:name w:val="footnote text"/>
    <w:basedOn w:val="Normal"/>
    <w:link w:val="FootnoteTextChar"/>
    <w:rsid w:val="005D0E71"/>
    <w:pPr>
      <w:spacing w:before="0"/>
    </w:pPr>
    <w:rPr>
      <w:sz w:val="16"/>
      <w:szCs w:val="20"/>
    </w:rPr>
  </w:style>
  <w:style w:type="character" w:customStyle="1" w:styleId="FootnoteTextChar">
    <w:name w:val="Footnote Text Char"/>
    <w:basedOn w:val="DefaultParagraphFont"/>
    <w:link w:val="FootnoteText"/>
    <w:rsid w:val="005D0E71"/>
    <w:rPr>
      <w:rFonts w:ascii="Verdana" w:hAnsi="Verdana"/>
      <w:sz w:val="16"/>
    </w:rPr>
  </w:style>
  <w:style w:type="character" w:styleId="Hyperlink">
    <w:name w:val="Hyperlink"/>
    <w:basedOn w:val="DefaultParagraphFont"/>
    <w:uiPriority w:val="99"/>
    <w:rsid w:val="00830149"/>
    <w:rPr>
      <w:color w:val="0000FF" w:themeColor="hyperlink"/>
      <w:u w:val="single"/>
    </w:rPr>
  </w:style>
  <w:style w:type="character" w:styleId="FootnoteReference">
    <w:name w:val="footnote reference"/>
    <w:basedOn w:val="DefaultParagraphFont"/>
    <w:uiPriority w:val="99"/>
    <w:rsid w:val="00830149"/>
    <w:rPr>
      <w:vertAlign w:val="superscript"/>
    </w:rPr>
  </w:style>
  <w:style w:type="character" w:customStyle="1" w:styleId="Heading2Char">
    <w:name w:val="Heading 2 Char"/>
    <w:link w:val="Heading2"/>
    <w:rsid w:val="001D2526"/>
    <w:rPr>
      <w:rFonts w:ascii="Verdana" w:hAnsi="Verdana" w:cs="Arial"/>
      <w:b/>
      <w:bCs/>
      <w:iCs/>
      <w:sz w:val="28"/>
      <w:szCs w:val="28"/>
    </w:rPr>
  </w:style>
  <w:style w:type="numbering" w:customStyle="1" w:styleId="Bulletlist">
    <w:name w:val="Bullet list"/>
    <w:rsid w:val="008627A5"/>
    <w:pPr>
      <w:numPr>
        <w:numId w:val="42"/>
      </w:numPr>
    </w:pPr>
  </w:style>
  <w:style w:type="paragraph" w:customStyle="1" w:styleId="Numberlist">
    <w:name w:val="Number list"/>
    <w:basedOn w:val="Normal"/>
    <w:next w:val="Normal"/>
    <w:qFormat/>
    <w:rsid w:val="008627A5"/>
    <w:pPr>
      <w:tabs>
        <w:tab w:val="num" w:pos="0"/>
      </w:tabs>
      <w:spacing w:before="0" w:after="120"/>
      <w:ind w:left="360" w:hanging="360"/>
    </w:pPr>
    <w:rPr>
      <w:rFonts w:ascii="Calibri" w:eastAsia="Cambria" w:hAnsi="Calibri"/>
      <w:color w:val="3C3C3B"/>
      <w:sz w:val="24"/>
      <w:lang w:val="en-US" w:eastAsia="en-US"/>
    </w:rPr>
  </w:style>
  <w:style w:type="paragraph" w:styleId="BalloonText">
    <w:name w:val="Balloon Text"/>
    <w:basedOn w:val="Normal"/>
    <w:link w:val="BalloonTextChar"/>
    <w:rsid w:val="000C26FA"/>
    <w:pPr>
      <w:spacing w:before="0"/>
    </w:pPr>
    <w:rPr>
      <w:rFonts w:ascii="Tahoma" w:hAnsi="Tahoma" w:cs="Tahoma"/>
      <w:sz w:val="16"/>
      <w:szCs w:val="16"/>
    </w:rPr>
  </w:style>
  <w:style w:type="character" w:customStyle="1" w:styleId="BalloonTextChar">
    <w:name w:val="Balloon Text Char"/>
    <w:basedOn w:val="DefaultParagraphFont"/>
    <w:link w:val="BalloonText"/>
    <w:rsid w:val="000C26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pectrumreview@communications.gov.a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commercialradio.com.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2014053%20-%20Communication%20Accessibility\Template1\Communications%20template%20-%20no%20to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EA445-DD46-424C-8B0C-CC09C341C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Communications template - no toc.dotm</Template>
  <TotalTime>94</TotalTime>
  <Pages>4</Pages>
  <Words>1089</Words>
  <Characters>5945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Spectrum Review-Potential Reform Directions</vt:lpstr>
    </vt:vector>
  </TitlesOfParts>
  <Company/>
  <LinksUpToDate>false</LinksUpToDate>
  <CharactersWithSpaces>7020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Spectrum Review-Potential Reform Directions</dc:title>
  <dc:creator>na</dc:creator>
  <cp:lastModifiedBy>na</cp:lastModifiedBy>
  <cp:revision>40</cp:revision>
  <dcterms:created xsi:type="dcterms:W3CDTF">2015-03-03T01:50:00Z</dcterms:created>
  <dcterms:modified xsi:type="dcterms:W3CDTF">2015-04-14T03:00:00Z</dcterms:modified>
</cp:coreProperties>
</file>