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10" w:rsidRPr="009F0948" w:rsidRDefault="00B96342" w:rsidP="000C1A3F">
      <w:pPr>
        <w:pStyle w:val="Heading1"/>
      </w:pPr>
      <w:r w:rsidRPr="009F0948">
        <w:rPr>
          <w:szCs w:val="20"/>
          <w:lang w:eastAsia="en-US"/>
        </w:rPr>
        <w:t>Spectrum Review – Potential Reform Directions – Consultation Paper</w:t>
      </w:r>
    </w:p>
    <w:p w:rsidR="000C26FA" w:rsidRPr="009F0948" w:rsidRDefault="001F206F" w:rsidP="00C71C66">
      <w:pPr>
        <w:pStyle w:val="Figure"/>
        <w:spacing w:before="8400"/>
        <w:jc w:val="center"/>
        <w:rPr>
          <w:sz w:val="16"/>
          <w:szCs w:val="16"/>
          <w:lang w:eastAsia="en-US"/>
        </w:rPr>
      </w:pPr>
      <w:r w:rsidRPr="009F0948">
        <w:rPr>
          <w:noProof/>
        </w:rPr>
        <w:drawing>
          <wp:inline distT="0" distB="0" distL="0" distR="0" wp14:anchorId="37B31B53" wp14:editId="6D2C12EB">
            <wp:extent cx="206692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5DC" w:rsidRPr="009F0948" w:rsidRDefault="001725DC" w:rsidP="0012161F">
      <w:pPr>
        <w:sectPr w:rsidR="001725DC" w:rsidRPr="009F0948" w:rsidSect="004C7914">
          <w:pgSz w:w="11906" w:h="16838" w:code="9"/>
          <w:pgMar w:top="1080" w:right="1411" w:bottom="1080" w:left="1411" w:header="1080" w:footer="1080" w:gutter="0"/>
          <w:cols w:space="708"/>
          <w:docGrid w:linePitch="360"/>
        </w:sectPr>
      </w:pPr>
    </w:p>
    <w:p w:rsidR="00B96342" w:rsidRPr="009F0948" w:rsidRDefault="001F206F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szCs w:val="20"/>
          <w:lang w:eastAsia="en-US"/>
        </w:rPr>
        <w:lastRenderedPageBreak/>
        <w:t>2 December 2014</w:t>
      </w:r>
    </w:p>
    <w:p w:rsidR="00B96342" w:rsidRPr="009F0948" w:rsidRDefault="00B96342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szCs w:val="20"/>
          <w:lang w:eastAsia="en-US"/>
        </w:rPr>
        <w:t>The Project Manager</w:t>
      </w:r>
      <w:r w:rsidR="00147CDE" w:rsidRPr="009F0948">
        <w:rPr>
          <w:szCs w:val="20"/>
          <w:lang w:eastAsia="en-US"/>
        </w:rPr>
        <w:br/>
      </w:r>
      <w:r w:rsidRPr="009F0948">
        <w:rPr>
          <w:szCs w:val="20"/>
          <w:lang w:eastAsia="en-US"/>
        </w:rPr>
        <w:t>Spectrum Review</w:t>
      </w:r>
      <w:r w:rsidR="00147CDE" w:rsidRPr="009F0948">
        <w:rPr>
          <w:szCs w:val="20"/>
          <w:lang w:eastAsia="en-US"/>
        </w:rPr>
        <w:br/>
      </w:r>
      <w:r w:rsidRPr="009F0948">
        <w:rPr>
          <w:szCs w:val="20"/>
          <w:lang w:eastAsia="en-US"/>
        </w:rPr>
        <w:t>Department of Communications</w:t>
      </w:r>
      <w:r w:rsidR="00147CDE" w:rsidRPr="009F0948">
        <w:rPr>
          <w:szCs w:val="20"/>
          <w:lang w:eastAsia="en-US"/>
        </w:rPr>
        <w:br/>
      </w:r>
      <w:r w:rsidRPr="009F0948">
        <w:rPr>
          <w:szCs w:val="20"/>
          <w:lang w:eastAsia="en-US"/>
        </w:rPr>
        <w:t>GPO Box 2154</w:t>
      </w:r>
      <w:r w:rsidR="00147CDE" w:rsidRPr="009F0948">
        <w:rPr>
          <w:szCs w:val="20"/>
          <w:lang w:eastAsia="en-US"/>
        </w:rPr>
        <w:br/>
      </w:r>
      <w:r w:rsidRPr="009F0948">
        <w:rPr>
          <w:szCs w:val="20"/>
          <w:lang w:eastAsia="en-US"/>
        </w:rPr>
        <w:t>CANBERRA ACT 2601</w:t>
      </w:r>
    </w:p>
    <w:p w:rsidR="00B96342" w:rsidRPr="009F0948" w:rsidRDefault="00B96342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szCs w:val="20"/>
          <w:lang w:eastAsia="en-US"/>
        </w:rPr>
        <w:t>Dear Manager,</w:t>
      </w:r>
    </w:p>
    <w:p w:rsidR="00B96342" w:rsidRPr="009F0948" w:rsidRDefault="00B96342" w:rsidP="00B96342">
      <w:pPr>
        <w:autoSpaceDE w:val="0"/>
        <w:autoSpaceDN w:val="0"/>
        <w:adjustRightInd w:val="0"/>
        <w:rPr>
          <w:b/>
          <w:szCs w:val="20"/>
          <w:lang w:eastAsia="en-US"/>
        </w:rPr>
      </w:pPr>
      <w:r w:rsidRPr="009F0948">
        <w:rPr>
          <w:b/>
          <w:szCs w:val="20"/>
          <w:lang w:eastAsia="en-US"/>
        </w:rPr>
        <w:t>Spectrum Review – Potential Reform Directions – Consultation Paper</w:t>
      </w:r>
    </w:p>
    <w:p w:rsidR="00B96342" w:rsidRPr="009F0948" w:rsidRDefault="00B96342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szCs w:val="20"/>
          <w:lang w:eastAsia="en-US"/>
        </w:rPr>
        <w:t>The Australian Industry Group welcomes the opportunity to provide feedback on the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Consultation Paper. Our members are potentially affected by these reforms in several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different ways: as suppliers of devices and appliances that receive or transmit; as providers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of communications, broadcast and information services that rely on spectrum allocations;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and as customers who use such devices and services to carry out and improve their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business.</w:t>
      </w:r>
    </w:p>
    <w:p w:rsidR="00B96342" w:rsidRPr="009F0948" w:rsidRDefault="00B96342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szCs w:val="20"/>
          <w:lang w:eastAsia="en-US"/>
        </w:rPr>
        <w:t>The Consultation Paper sets out 11 significant reforms at a high level of abstraction, with a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focus on principles and flexibility. This is not inappropriate for a directions paper. However,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each reform raises important practical questions that will need full consultation on the basis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of much more specific and fleshed-out proposals. Considerably more time will be required to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consult than the two weeks allowed for responses to the current paper. We look forward to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that consultation should the Government move towards translating the current proposals into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legislation.</w:t>
      </w:r>
    </w:p>
    <w:p w:rsidR="00B96342" w:rsidRPr="009F0948" w:rsidRDefault="00B96342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szCs w:val="20"/>
          <w:lang w:eastAsia="en-US"/>
        </w:rPr>
        <w:t>That said</w:t>
      </w:r>
      <w:proofErr w:type="gramStart"/>
      <w:r w:rsidRPr="009F0948">
        <w:rPr>
          <w:szCs w:val="20"/>
          <w:lang w:eastAsia="en-US"/>
        </w:rPr>
        <w:t>,</w:t>
      </w:r>
      <w:proofErr w:type="gramEnd"/>
      <w:r w:rsidRPr="009F0948">
        <w:rPr>
          <w:szCs w:val="20"/>
          <w:lang w:eastAsia="en-US"/>
        </w:rPr>
        <w:t xml:space="preserve"> the reform directions highlighted in the Consultation Paper are broadly positive.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We offer specific comment on only a few elements of the Paper that are particularly urgent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or potentially problematic.</w:t>
      </w:r>
    </w:p>
    <w:p w:rsidR="00B96342" w:rsidRPr="009F0948" w:rsidRDefault="00B96342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szCs w:val="20"/>
          <w:lang w:eastAsia="en-US"/>
        </w:rPr>
        <w:t xml:space="preserve">The reform </w:t>
      </w:r>
      <w:r w:rsidRPr="009F0948">
        <w:rPr>
          <w:b/>
          <w:szCs w:val="20"/>
          <w:lang w:eastAsia="en-US"/>
        </w:rPr>
        <w:t>principles</w:t>
      </w:r>
      <w:r w:rsidRPr="009F0948">
        <w:rPr>
          <w:szCs w:val="20"/>
          <w:lang w:eastAsia="en-US"/>
        </w:rPr>
        <w:t xml:space="preserve"> of transparency, efficiency, flexibility, certainty and simplicity are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appropriate and if achieved would plausibly maximise public benefit from spectrum policy.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However, whether these principles are achieved depends on a level of detail and practical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implementation that is beyond the scope of the current paper.</w:t>
      </w:r>
    </w:p>
    <w:p w:rsidR="00B96342" w:rsidRPr="009F0948" w:rsidRDefault="00B96342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szCs w:val="20"/>
          <w:lang w:eastAsia="en-US"/>
        </w:rPr>
        <w:t>For instance, there is typically a tension between the pursuit of flexibility and certainty. The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paper foreshadows a great deal of flexibility, discretion and expansion of available tools for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ACMA, and this may well be the best course. The foreshadowed emphasis on transparency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will be very important to ensure that this flexibility is exercised predictably within a clear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framework. The next level of implementation detail will make the difference between</w:t>
      </w:r>
      <w:r w:rsidR="00147CD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arbitrary power and sensible operational flexibility.</w:t>
      </w:r>
    </w:p>
    <w:p w:rsidR="00B96342" w:rsidRPr="009F0948" w:rsidRDefault="00B96342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szCs w:val="20"/>
          <w:lang w:eastAsia="en-US"/>
        </w:rPr>
        <w:t xml:space="preserve">This issue is particularly relevant to </w:t>
      </w:r>
      <w:r w:rsidRPr="009F0948">
        <w:rPr>
          <w:b/>
          <w:szCs w:val="20"/>
          <w:lang w:eastAsia="en-US"/>
        </w:rPr>
        <w:t>Proposal 3</w:t>
      </w:r>
      <w:r w:rsidRPr="009F0948">
        <w:rPr>
          <w:szCs w:val="20"/>
          <w:lang w:eastAsia="en-US"/>
        </w:rPr>
        <w:t xml:space="preserve"> (More flexible allocation and reallocation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processes). The elements of this proposal – greater flexibility for ACMA to manage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spectrum without Ministerial intervention, use license terms rather than legislative processes,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and allocate encumbered spectrum – are sensible and supported in the abstract. We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welcome the proposal that ACMA provide clear annual guidance on proposed allocations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and reallocations. This guidance, and the license terms that ACMA seeks pertaining to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duration and reallocation, need to provide adequate practical clarity of the scope for, and a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workable timeline to plan for, commercially significant change. From the current proposals it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is unclear whether the sorts of license term the Government has in mind to facilitate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replanning involve regular gateways for reconsidering the allocation, set license-by-license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with greater flexibility than legislation would provide; or alternately more general provisions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that would allow reallocation at any time.</w:t>
      </w:r>
    </w:p>
    <w:p w:rsidR="00B96342" w:rsidRPr="009F0948" w:rsidRDefault="00B96342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szCs w:val="20"/>
          <w:lang w:eastAsia="en-US"/>
        </w:rPr>
        <w:lastRenderedPageBreak/>
        <w:t>We support the proposal that potential reallocation of encumbered licenses should not alter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incumbents’ existing rights. Achieving this will require that license terms and conditions are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of adequate length and certainty to create confidence that if a reallocation is proposed,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affected users and businesses will have commercially realistic time to plan for the change.</w:t>
      </w:r>
    </w:p>
    <w:p w:rsidR="00B96342" w:rsidRPr="009F0948" w:rsidRDefault="00B96342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b/>
          <w:szCs w:val="20"/>
          <w:lang w:eastAsia="en-US"/>
        </w:rPr>
        <w:t>Proposal 8</w:t>
      </w:r>
      <w:r w:rsidRPr="009F0948">
        <w:rPr>
          <w:szCs w:val="20"/>
          <w:lang w:eastAsia="en-US"/>
        </w:rPr>
        <w:t xml:space="preserve"> (Facilitate greater user involvement in spectrum management) is well worth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support and further development. A managed and considered delegation of some of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ACMA’s spectrum management duties would be in line with international best practice.</w:t>
      </w:r>
    </w:p>
    <w:p w:rsidR="00B96342" w:rsidRPr="009F0948" w:rsidRDefault="00B96342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b/>
          <w:szCs w:val="20"/>
          <w:lang w:eastAsia="en-US"/>
        </w:rPr>
        <w:t>Proposal 9</w:t>
      </w:r>
      <w:r w:rsidRPr="009F0948">
        <w:rPr>
          <w:szCs w:val="20"/>
          <w:lang w:eastAsia="en-US"/>
        </w:rPr>
        <w:t xml:space="preserve"> (Develop more principles-based device supply regulation) includes an intention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to reform the definitions related to supply to oblige all persons in the supply chain to ensure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devices supplied are compliant. This is an appropriate goal and we support its achievement.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However its implementation has the potential to create a significant regulatory burden,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depending on how supply chain participants interpret the requirement to ‘take reasonable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steps’. The past experience of manufacturers and importers has been that major retailers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can take a very conservative approach to compliance with similar requirements, requiring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new documentation and guarantees of compliance for each model of device supplied to the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market, often in forms that differ substantially from retailer to retailer. The introduction of the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Australian Consumer Law in 2011 saw a large bulge in the compliance paperwork that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market participants required from other market participants to do business. Regulatory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burdens have an economic impact whether they are imposed directly by government or arise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through private parties in response to higher level regulation. Given the Government’s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strong emphasis on deregulation and minimising red tape, the practical implementation of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reform to the supply definitions needs to pay careful attention to these impacts.</w:t>
      </w:r>
    </w:p>
    <w:p w:rsidR="00B96342" w:rsidRPr="009F0948" w:rsidRDefault="00B96342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b/>
          <w:szCs w:val="20"/>
          <w:lang w:eastAsia="en-US"/>
        </w:rPr>
        <w:t>Proposal 10</w:t>
      </w:r>
      <w:r w:rsidRPr="009F0948">
        <w:rPr>
          <w:szCs w:val="20"/>
          <w:lang w:eastAsia="en-US"/>
        </w:rPr>
        <w:t xml:space="preserve"> (Improve regulation by extending the suite of enforcement measures available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to the ACMA) would provide more flexibility to ACMA in enforcement. This is broadly very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positive, allowing a more light-handed approach where that is more appropriate than criminal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penalties or the cancellation of a license. The availability of lower impact options should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mean that ACMA can enforce the law whenever needed with the minimum necessary force.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However, this operational flexibility needs to be accompanied by strong guidance from</w:t>
      </w:r>
      <w:r w:rsidR="002C77AC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ACMA as to how it will be used. This should include:</w:t>
      </w:r>
    </w:p>
    <w:p w:rsidR="00B96342" w:rsidRPr="009F0948" w:rsidRDefault="00B96342" w:rsidP="002C77AC">
      <w:pPr>
        <w:pStyle w:val="ListBullet"/>
        <w:rPr>
          <w:lang w:eastAsia="en-US"/>
        </w:rPr>
      </w:pPr>
      <w:r w:rsidRPr="009F0948">
        <w:rPr>
          <w:lang w:eastAsia="en-US"/>
        </w:rPr>
        <w:t>Establishing a principle that the costs of enforcement action should be less than the</w:t>
      </w:r>
      <w:r w:rsidR="002C77AC" w:rsidRPr="009F0948">
        <w:rPr>
          <w:lang w:eastAsia="en-US"/>
        </w:rPr>
        <w:t xml:space="preserve"> </w:t>
      </w:r>
      <w:r w:rsidRPr="009F0948">
        <w:rPr>
          <w:lang w:eastAsia="en-US"/>
        </w:rPr>
        <w:t>benefits. A full cost-benefit analysis requirement would make regulatory action</w:t>
      </w:r>
      <w:r w:rsidR="002C77AC" w:rsidRPr="009F0948">
        <w:rPr>
          <w:lang w:eastAsia="en-US"/>
        </w:rPr>
        <w:t xml:space="preserve"> </w:t>
      </w:r>
      <w:r w:rsidRPr="009F0948">
        <w:rPr>
          <w:lang w:eastAsia="en-US"/>
        </w:rPr>
        <w:t>impractical, but there should be a formal principle for ACMA to take into account</w:t>
      </w:r>
      <w:r w:rsidR="002C77AC" w:rsidRPr="009F0948">
        <w:rPr>
          <w:lang w:eastAsia="en-US"/>
        </w:rPr>
        <w:t xml:space="preserve"> </w:t>
      </w:r>
      <w:r w:rsidRPr="009F0948">
        <w:rPr>
          <w:lang w:eastAsia="en-US"/>
        </w:rPr>
        <w:t>when deciding among response options.</w:t>
      </w:r>
    </w:p>
    <w:p w:rsidR="00B96342" w:rsidRPr="009F0948" w:rsidRDefault="00B96342" w:rsidP="002C77AC">
      <w:pPr>
        <w:pStyle w:val="ListBullet"/>
        <w:rPr>
          <w:lang w:eastAsia="en-US"/>
        </w:rPr>
      </w:pPr>
      <w:r w:rsidRPr="009F0948">
        <w:rPr>
          <w:lang w:eastAsia="en-US"/>
        </w:rPr>
        <w:t>Establishing a clear hierarchy of responses – so that it is clear how ACMA will</w:t>
      </w:r>
      <w:r w:rsidR="002C77AC" w:rsidRPr="009F0948">
        <w:rPr>
          <w:lang w:eastAsia="en-US"/>
        </w:rPr>
        <w:t xml:space="preserve"> </w:t>
      </w:r>
      <w:r w:rsidRPr="009F0948">
        <w:rPr>
          <w:lang w:eastAsia="en-US"/>
        </w:rPr>
        <w:t>distinguish cases requiring a warning from those requiring cancellation, for instance,</w:t>
      </w:r>
      <w:r w:rsidR="002C77AC" w:rsidRPr="009F0948">
        <w:rPr>
          <w:lang w:eastAsia="en-US"/>
        </w:rPr>
        <w:t xml:space="preserve"> </w:t>
      </w:r>
      <w:r w:rsidRPr="009F0948">
        <w:rPr>
          <w:lang w:eastAsia="en-US"/>
        </w:rPr>
        <w:t>or how factors like time-sensitivity and impact will be taken into account in graduating</w:t>
      </w:r>
      <w:r w:rsidR="002C77AC" w:rsidRPr="009F0948">
        <w:rPr>
          <w:lang w:eastAsia="en-US"/>
        </w:rPr>
        <w:t xml:space="preserve"> </w:t>
      </w:r>
      <w:r w:rsidRPr="009F0948">
        <w:rPr>
          <w:lang w:eastAsia="en-US"/>
        </w:rPr>
        <w:t>from one level of response to another.</w:t>
      </w:r>
    </w:p>
    <w:p w:rsidR="00B96342" w:rsidRPr="009F0948" w:rsidRDefault="00B96342" w:rsidP="002C77AC">
      <w:pPr>
        <w:pStyle w:val="ListBullet"/>
        <w:rPr>
          <w:lang w:eastAsia="en-US"/>
        </w:rPr>
      </w:pPr>
      <w:r w:rsidRPr="009F0948">
        <w:rPr>
          <w:lang w:eastAsia="en-US"/>
        </w:rPr>
        <w:t>In the case of product recalls, interim bans and warnings – ensuring consultation with</w:t>
      </w:r>
      <w:r w:rsidR="002C77AC" w:rsidRPr="009F0948">
        <w:rPr>
          <w:lang w:eastAsia="en-US"/>
        </w:rPr>
        <w:t xml:space="preserve"> </w:t>
      </w:r>
      <w:r w:rsidRPr="009F0948">
        <w:rPr>
          <w:lang w:eastAsia="en-US"/>
        </w:rPr>
        <w:t>affected businesses before action where practical, and targeting enforcement</w:t>
      </w:r>
      <w:r w:rsidR="002C77AC" w:rsidRPr="009F0948">
        <w:rPr>
          <w:lang w:eastAsia="en-US"/>
        </w:rPr>
        <w:t xml:space="preserve"> </w:t>
      </w:r>
      <w:r w:rsidRPr="009F0948">
        <w:rPr>
          <w:lang w:eastAsia="en-US"/>
        </w:rPr>
        <w:t>appropriately. These measures are vital options where a device presents risks of</w:t>
      </w:r>
      <w:r w:rsidR="002C77AC" w:rsidRPr="009F0948">
        <w:rPr>
          <w:lang w:eastAsia="en-US"/>
        </w:rPr>
        <w:t xml:space="preserve"> </w:t>
      </w:r>
      <w:r w:rsidRPr="009F0948">
        <w:rPr>
          <w:lang w:eastAsia="en-US"/>
        </w:rPr>
        <w:t>potentially dangerous interference. However they also have a major commercial</w:t>
      </w:r>
      <w:r w:rsidR="002C77AC" w:rsidRPr="009F0948">
        <w:rPr>
          <w:lang w:eastAsia="en-US"/>
        </w:rPr>
        <w:t xml:space="preserve"> </w:t>
      </w:r>
      <w:r w:rsidRPr="009F0948">
        <w:rPr>
          <w:lang w:eastAsia="en-US"/>
        </w:rPr>
        <w:t>impact. Where time and urgency allow, consultation with the supplier prior to action</w:t>
      </w:r>
      <w:r w:rsidR="002C77AC" w:rsidRPr="009F0948">
        <w:rPr>
          <w:lang w:eastAsia="en-US"/>
        </w:rPr>
        <w:t xml:space="preserve"> </w:t>
      </w:r>
      <w:r w:rsidRPr="009F0948">
        <w:rPr>
          <w:lang w:eastAsia="en-US"/>
        </w:rPr>
        <w:t>will help maximise the cost effectiveness of regulatory action. This can allow recalls</w:t>
      </w:r>
      <w:r w:rsidR="002C77AC" w:rsidRPr="009F0948">
        <w:rPr>
          <w:lang w:eastAsia="en-US"/>
        </w:rPr>
        <w:t xml:space="preserve"> </w:t>
      </w:r>
      <w:r w:rsidRPr="009F0948">
        <w:rPr>
          <w:lang w:eastAsia="en-US"/>
        </w:rPr>
        <w:t>and other action to be targeted as accurately as possible, including to specific batch</w:t>
      </w:r>
      <w:r w:rsidR="002C77AC" w:rsidRPr="009F0948">
        <w:rPr>
          <w:lang w:eastAsia="en-US"/>
        </w:rPr>
        <w:t xml:space="preserve"> </w:t>
      </w:r>
      <w:r w:rsidRPr="009F0948">
        <w:rPr>
          <w:lang w:eastAsia="en-US"/>
        </w:rPr>
        <w:t>numbers – limiting disruption to users and suppliers alike.</w:t>
      </w:r>
    </w:p>
    <w:p w:rsidR="00B96342" w:rsidRPr="009F0948" w:rsidRDefault="00B96342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b/>
          <w:szCs w:val="20"/>
          <w:lang w:eastAsia="en-US"/>
        </w:rPr>
        <w:lastRenderedPageBreak/>
        <w:t>Proposal 11</w:t>
      </w:r>
      <w:r w:rsidRPr="009F0948">
        <w:rPr>
          <w:szCs w:val="20"/>
          <w:lang w:eastAsia="en-US"/>
        </w:rPr>
        <w:t xml:space="preserve"> (continuous review of higher value uses of spectrum) raises very important</w:t>
      </w:r>
      <w:r w:rsidR="006F539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questions. Currently available standards offer tremendous potential to free up spectrum,</w:t>
      </w:r>
      <w:r w:rsidR="006F539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improve consumer experience and enable innovation and valuable activity across Australia’s</w:t>
      </w:r>
      <w:r w:rsidR="006F539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economy. Future technologies will enable even greater gains. An approach of continually</w:t>
      </w:r>
      <w:r w:rsidR="006F539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assessing higher value uses of spectrum and the barriers to achieving them is sensible.</w:t>
      </w:r>
      <w:r w:rsidR="006F539E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>Several additional points should be addressed for this approach to be effective:</w:t>
      </w:r>
    </w:p>
    <w:p w:rsidR="00B96342" w:rsidRPr="009F0948" w:rsidRDefault="00B96342" w:rsidP="006F539E">
      <w:pPr>
        <w:pStyle w:val="ListBullet"/>
        <w:rPr>
          <w:lang w:eastAsia="en-US"/>
        </w:rPr>
      </w:pPr>
      <w:r w:rsidRPr="009F0948">
        <w:rPr>
          <w:lang w:eastAsia="en-US"/>
        </w:rPr>
        <w:t>The definition of ‘Higher value uses’ should take full account of wider economic and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social costs and benefits, not just willingness to pay for spectrum at auction.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Terrestrially delivered television and radio is a public good that is free at the point of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consumption and reaches over 99.6% of the population informing, educating and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entertaining the nation. The free to air platform nurtures a creative industry that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shares unique Australian stories in a way that is not possible with any other medium.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Similarly the emergency services agencies protect property, improve health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outcomes and save the lives of both public and officers alike; these broader societal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benefits should be included in any analysis of ‘higher value uses.’</w:t>
      </w:r>
    </w:p>
    <w:p w:rsidR="00B96342" w:rsidRPr="009F0948" w:rsidRDefault="00B96342" w:rsidP="006F539E">
      <w:pPr>
        <w:pStyle w:val="ListBullet"/>
        <w:rPr>
          <w:lang w:eastAsia="en-US"/>
        </w:rPr>
      </w:pPr>
      <w:r w:rsidRPr="009F0948">
        <w:rPr>
          <w:lang w:eastAsia="en-US"/>
        </w:rPr>
        <w:t>ACMA should go beyond mere presentation of options, actively convening and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participating in discussions between regulators, broadcasters and other spectrum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users, and technology providers to:</w:t>
      </w:r>
    </w:p>
    <w:p w:rsidR="00B96342" w:rsidRPr="009F0948" w:rsidRDefault="00B96342" w:rsidP="006F539E">
      <w:pPr>
        <w:pStyle w:val="ListBullet2"/>
        <w:rPr>
          <w:lang w:eastAsia="en-US"/>
        </w:rPr>
      </w:pPr>
      <w:r w:rsidRPr="009F0948">
        <w:rPr>
          <w:lang w:eastAsia="en-US"/>
        </w:rPr>
        <w:t>consider all available options, including MPEG-4, DVB-T2, HEVC and H.265,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for their ability to improve spectrum efficiency in the nearer term while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minimising legacy issues in the longer term;</w:t>
      </w:r>
    </w:p>
    <w:p w:rsidR="00B96342" w:rsidRPr="009F0948" w:rsidRDefault="00B96342" w:rsidP="006F539E">
      <w:pPr>
        <w:pStyle w:val="ListBullet2"/>
        <w:rPr>
          <w:lang w:eastAsia="en-US"/>
        </w:rPr>
      </w:pPr>
      <w:r w:rsidRPr="009F0948">
        <w:rPr>
          <w:lang w:eastAsia="en-US"/>
        </w:rPr>
        <w:t>establish and update a widely understood technology roadmap around which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industry can plan to implement these options; and</w:t>
      </w:r>
    </w:p>
    <w:p w:rsidR="00B96342" w:rsidRPr="009F0948" w:rsidRDefault="00B96342" w:rsidP="006F539E">
      <w:pPr>
        <w:pStyle w:val="ListBullet2"/>
        <w:rPr>
          <w:lang w:eastAsia="en-US"/>
        </w:rPr>
      </w:pPr>
      <w:proofErr w:type="gramStart"/>
      <w:r w:rsidRPr="009F0948">
        <w:rPr>
          <w:lang w:eastAsia="en-US"/>
        </w:rPr>
        <w:t>identify</w:t>
      </w:r>
      <w:proofErr w:type="gramEnd"/>
      <w:r w:rsidRPr="009F0948">
        <w:rPr>
          <w:lang w:eastAsia="en-US"/>
        </w:rPr>
        <w:t xml:space="preserve"> and break down barriers to these options and the higher value use of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spectrum.</w:t>
      </w:r>
    </w:p>
    <w:p w:rsidR="00B96342" w:rsidRPr="009F0948" w:rsidRDefault="00B96342" w:rsidP="006F539E">
      <w:pPr>
        <w:pStyle w:val="ListBullet"/>
        <w:rPr>
          <w:lang w:eastAsia="en-US"/>
        </w:rPr>
      </w:pPr>
      <w:r w:rsidRPr="009F0948">
        <w:rPr>
          <w:lang w:eastAsia="en-US"/>
        </w:rPr>
        <w:t>The paper is correct to note that incentives will be needed to ensure that licenses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move to alternative higher value uses. The Government should clarify the nature of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the incentives to be considered, particularly if they are to include negative incentives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such as exercise of the flexibility and reallocation provisions flagged elsewhere in the</w:t>
      </w:r>
      <w:r w:rsidR="006F539E" w:rsidRPr="009F0948">
        <w:rPr>
          <w:lang w:eastAsia="en-US"/>
        </w:rPr>
        <w:t xml:space="preserve"> </w:t>
      </w:r>
      <w:r w:rsidRPr="009F0948">
        <w:rPr>
          <w:lang w:eastAsia="en-US"/>
        </w:rPr>
        <w:t>Consultation Paper.</w:t>
      </w:r>
    </w:p>
    <w:p w:rsidR="00B96342" w:rsidRPr="009F0948" w:rsidRDefault="00B96342" w:rsidP="00670B77">
      <w:pPr>
        <w:pStyle w:val="ListBullet"/>
        <w:rPr>
          <w:lang w:eastAsia="en-US"/>
        </w:rPr>
      </w:pPr>
      <w:r w:rsidRPr="009F0948">
        <w:rPr>
          <w:lang w:eastAsia="en-US"/>
        </w:rPr>
        <w:t>A genuine continuous assessment process will require adequate resourcing for</w:t>
      </w:r>
      <w:r w:rsidR="00670B77" w:rsidRPr="009F0948">
        <w:rPr>
          <w:lang w:eastAsia="en-US"/>
        </w:rPr>
        <w:t xml:space="preserve"> </w:t>
      </w:r>
      <w:r w:rsidRPr="009F0948">
        <w:rPr>
          <w:lang w:eastAsia="en-US"/>
        </w:rPr>
        <w:t>ACMA to carry out or commission the necessary technical work, economic modelling</w:t>
      </w:r>
      <w:r w:rsidR="00670B77" w:rsidRPr="009F0948">
        <w:rPr>
          <w:lang w:eastAsia="en-US"/>
        </w:rPr>
        <w:t xml:space="preserve"> </w:t>
      </w:r>
      <w:r w:rsidRPr="009F0948">
        <w:rPr>
          <w:lang w:eastAsia="en-US"/>
        </w:rPr>
        <w:t>and market testing to develop, assess and implement options for reform.</w:t>
      </w:r>
    </w:p>
    <w:p w:rsidR="00B96342" w:rsidRPr="009F0948" w:rsidRDefault="00B96342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szCs w:val="20"/>
          <w:lang w:eastAsia="en-US"/>
        </w:rPr>
        <w:t>Should you have further questions, please contact our adviser Tennant Reed on</w:t>
      </w:r>
      <w:r w:rsidR="00670B77" w:rsidRPr="009F0948">
        <w:rPr>
          <w:szCs w:val="20"/>
          <w:lang w:eastAsia="en-US"/>
        </w:rPr>
        <w:t xml:space="preserve"> </w:t>
      </w:r>
      <w:r w:rsidRPr="009F0948">
        <w:rPr>
          <w:szCs w:val="20"/>
          <w:lang w:eastAsia="en-US"/>
        </w:rPr>
        <w:t xml:space="preserve">03 9867 0145 or at </w:t>
      </w:r>
      <w:hyperlink r:id="rId10" w:history="1">
        <w:r w:rsidRPr="009F0948">
          <w:rPr>
            <w:rStyle w:val="Hyperlink"/>
            <w:szCs w:val="20"/>
            <w:lang w:eastAsia="en-US"/>
          </w:rPr>
          <w:t>tennant.reed@aigroup.asn.au</w:t>
        </w:r>
      </w:hyperlink>
      <w:r w:rsidRPr="009F0948">
        <w:rPr>
          <w:szCs w:val="20"/>
          <w:lang w:eastAsia="en-US"/>
        </w:rPr>
        <w:t>.</w:t>
      </w:r>
    </w:p>
    <w:p w:rsidR="00B96342" w:rsidRPr="009F0948" w:rsidRDefault="00B96342" w:rsidP="00B96342">
      <w:pPr>
        <w:autoSpaceDE w:val="0"/>
        <w:autoSpaceDN w:val="0"/>
        <w:adjustRightInd w:val="0"/>
        <w:rPr>
          <w:szCs w:val="20"/>
          <w:lang w:eastAsia="en-US"/>
        </w:rPr>
      </w:pPr>
      <w:r w:rsidRPr="009F0948">
        <w:rPr>
          <w:szCs w:val="20"/>
          <w:lang w:eastAsia="en-US"/>
        </w:rPr>
        <w:t>Yours sincerely,</w:t>
      </w:r>
    </w:p>
    <w:p w:rsidR="00BF1C87" w:rsidRPr="009F0948" w:rsidRDefault="00B96342" w:rsidP="00B96342">
      <w:pPr>
        <w:autoSpaceDE w:val="0"/>
        <w:autoSpaceDN w:val="0"/>
        <w:adjustRightInd w:val="0"/>
        <w:rPr>
          <w:b/>
          <w:szCs w:val="20"/>
          <w:lang w:eastAsia="en-US"/>
        </w:rPr>
      </w:pPr>
      <w:r w:rsidRPr="009F0948">
        <w:rPr>
          <w:b/>
          <w:szCs w:val="20"/>
          <w:lang w:eastAsia="en-US"/>
        </w:rPr>
        <w:t xml:space="preserve">Innes </w:t>
      </w:r>
      <w:proofErr w:type="spellStart"/>
      <w:r w:rsidRPr="009F0948">
        <w:rPr>
          <w:b/>
          <w:szCs w:val="20"/>
          <w:lang w:eastAsia="en-US"/>
        </w:rPr>
        <w:t>Willox</w:t>
      </w:r>
      <w:proofErr w:type="spellEnd"/>
      <w:r w:rsidR="00670B77" w:rsidRPr="009F0948">
        <w:rPr>
          <w:b/>
          <w:szCs w:val="20"/>
          <w:lang w:eastAsia="en-US"/>
        </w:rPr>
        <w:br/>
      </w:r>
      <w:r w:rsidRPr="009F0948">
        <w:rPr>
          <w:b/>
          <w:szCs w:val="20"/>
          <w:lang w:eastAsia="en-US"/>
        </w:rPr>
        <w:t>Chief Executive</w:t>
      </w:r>
      <w:bookmarkStart w:id="0" w:name="_GoBack"/>
      <w:bookmarkEnd w:id="0"/>
    </w:p>
    <w:sectPr w:rsidR="00BF1C87" w:rsidRPr="009F0948" w:rsidSect="004C7914">
      <w:headerReference w:type="default" r:id="rId11"/>
      <w:footerReference w:type="default" r:id="rId12"/>
      <w:pgSz w:w="11906" w:h="16838" w:code="9"/>
      <w:pgMar w:top="1080" w:right="1411" w:bottom="1080" w:left="1411" w:header="1080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31" w:rsidRDefault="00153B31" w:rsidP="007C5428">
      <w:r>
        <w:separator/>
      </w:r>
    </w:p>
  </w:endnote>
  <w:endnote w:type="continuationSeparator" w:id="0">
    <w:p w:rsidR="00153B31" w:rsidRDefault="00153B31" w:rsidP="007C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7D" w:rsidRPr="00267A7D" w:rsidRDefault="00267A7D" w:rsidP="00267A7D">
    <w:pPr>
      <w:pStyle w:val="Footer"/>
      <w:jc w:val="right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Arabic  \* MERGEFORMAT </w:instrText>
    </w:r>
    <w:r>
      <w:rPr>
        <w:lang w:val="en-US"/>
      </w:rPr>
      <w:fldChar w:fldCharType="separate"/>
    </w:r>
    <w:r w:rsidR="009F0948">
      <w:rPr>
        <w:noProof/>
        <w:lang w:val="en-US"/>
      </w:rPr>
      <w:t>4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31" w:rsidRDefault="00153B31" w:rsidP="007C5428">
      <w:r>
        <w:separator/>
      </w:r>
    </w:p>
  </w:footnote>
  <w:footnote w:type="continuationSeparator" w:id="0">
    <w:p w:rsidR="00153B31" w:rsidRDefault="00153B31" w:rsidP="007C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Default="00384153" w:rsidP="00E0196E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6C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86B3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D06EF8"/>
    <w:lvl w:ilvl="0">
      <w:start w:val="1"/>
      <w:numFmt w:val="lowerRoman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A6104012"/>
    <w:lvl w:ilvl="0">
      <w:start w:val="1"/>
      <w:numFmt w:val="lowerLetter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780CF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A06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8F9C6"/>
    <w:lvl w:ilvl="0">
      <w:start w:val="1"/>
      <w:numFmt w:val="bullet"/>
      <w:pStyle w:val="ListBullet3"/>
      <w:lvlText w:val=""/>
      <w:lvlJc w:val="left"/>
      <w:pPr>
        <w:tabs>
          <w:tab w:val="num" w:pos="1699"/>
        </w:tabs>
        <w:ind w:left="1699" w:hanging="561"/>
      </w:pPr>
      <w:rPr>
        <w:rFonts w:ascii="Wingdings 2" w:hAnsi="Wingdings 2" w:hint="default"/>
        <w:b w:val="0"/>
        <w:i w:val="0"/>
        <w:sz w:val="20"/>
        <w:szCs w:val="20"/>
      </w:rPr>
    </w:lvl>
  </w:abstractNum>
  <w:abstractNum w:abstractNumId="7">
    <w:nsid w:val="FFFFFF83"/>
    <w:multiLevelType w:val="singleLevel"/>
    <w:tmpl w:val="DCECFE46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C37E5FE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FFFFFF89"/>
    <w:multiLevelType w:val="singleLevel"/>
    <w:tmpl w:val="2BF6D20C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014740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4D87E62"/>
    <w:multiLevelType w:val="hybridMultilevel"/>
    <w:tmpl w:val="AB1C052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0F24EA4"/>
    <w:multiLevelType w:val="hybridMultilevel"/>
    <w:tmpl w:val="4CDCF012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0A2C74"/>
    <w:multiLevelType w:val="multilevel"/>
    <w:tmpl w:val="699264AE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1F68072F"/>
    <w:multiLevelType w:val="multilevel"/>
    <w:tmpl w:val="722EAA3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38F53BD"/>
    <w:multiLevelType w:val="multilevel"/>
    <w:tmpl w:val="5296D59A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253D41BF"/>
    <w:multiLevelType w:val="multilevel"/>
    <w:tmpl w:val="2C9E25BE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88A65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93B69CC"/>
    <w:multiLevelType w:val="multilevel"/>
    <w:tmpl w:val="91782CFC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2C0D224D"/>
    <w:multiLevelType w:val="multilevel"/>
    <w:tmpl w:val="7826E0C0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2D317FAF"/>
    <w:multiLevelType w:val="multilevel"/>
    <w:tmpl w:val="AE580FCE"/>
    <w:numStyleLink w:val="Bulletlist"/>
  </w:abstractNum>
  <w:abstractNum w:abstractNumId="21">
    <w:nsid w:val="2E7D38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FF80B68"/>
    <w:multiLevelType w:val="multilevel"/>
    <w:tmpl w:val="1B84192A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33C435E6"/>
    <w:multiLevelType w:val="multilevel"/>
    <w:tmpl w:val="3CD044DC"/>
    <w:lvl w:ilvl="0">
      <w:start w:val="1"/>
      <w:numFmt w:val="decimal"/>
      <w:lvlText w:val="Section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49551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7553B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9BD1259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4AB36828"/>
    <w:multiLevelType w:val="multilevel"/>
    <w:tmpl w:val="997465E4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5714650E"/>
    <w:multiLevelType w:val="multilevel"/>
    <w:tmpl w:val="AE580FCE"/>
    <w:styleLink w:val="Bulletlist"/>
    <w:lvl w:ilvl="0">
      <w:start w:val="1"/>
      <w:numFmt w:val="bullet"/>
      <w:lvlText w:val="&gt;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color w:val="00647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436"/>
        </w:tabs>
        <w:ind w:left="64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9">
    <w:nsid w:val="5DD623A1"/>
    <w:multiLevelType w:val="multilevel"/>
    <w:tmpl w:val="A9022BF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5F66080B"/>
    <w:multiLevelType w:val="multilevel"/>
    <w:tmpl w:val="0B806964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06E35BD"/>
    <w:multiLevelType w:val="multilevel"/>
    <w:tmpl w:val="307EC2D8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7C256C8"/>
    <w:multiLevelType w:val="multilevel"/>
    <w:tmpl w:val="F2101AC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69681B61"/>
    <w:multiLevelType w:val="multilevel"/>
    <w:tmpl w:val="D99E115C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69AC3607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CC049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43A253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556285C"/>
    <w:multiLevelType w:val="multilevel"/>
    <w:tmpl w:val="2164776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B345140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F703F7D"/>
    <w:multiLevelType w:val="multilevel"/>
    <w:tmpl w:val="8F02BA3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2"/>
  </w:num>
  <w:num w:numId="13">
    <w:abstractNumId w:val="13"/>
  </w:num>
  <w:num w:numId="14">
    <w:abstractNumId w:val="15"/>
  </w:num>
  <w:num w:numId="15">
    <w:abstractNumId w:val="19"/>
  </w:num>
  <w:num w:numId="16">
    <w:abstractNumId w:val="16"/>
  </w:num>
  <w:num w:numId="17">
    <w:abstractNumId w:val="33"/>
  </w:num>
  <w:num w:numId="18">
    <w:abstractNumId w:val="23"/>
  </w:num>
  <w:num w:numId="19">
    <w:abstractNumId w:val="32"/>
  </w:num>
  <w:num w:numId="20">
    <w:abstractNumId w:val="34"/>
  </w:num>
  <w:num w:numId="21">
    <w:abstractNumId w:val="27"/>
  </w:num>
  <w:num w:numId="22">
    <w:abstractNumId w:val="29"/>
  </w:num>
  <w:num w:numId="23">
    <w:abstractNumId w:val="30"/>
  </w:num>
  <w:num w:numId="24">
    <w:abstractNumId w:val="14"/>
  </w:num>
  <w:num w:numId="25">
    <w:abstractNumId w:val="39"/>
  </w:num>
  <w:num w:numId="26">
    <w:abstractNumId w:val="18"/>
  </w:num>
  <w:num w:numId="27">
    <w:abstractNumId w:val="24"/>
  </w:num>
  <w:num w:numId="28">
    <w:abstractNumId w:val="25"/>
  </w:num>
  <w:num w:numId="29">
    <w:abstractNumId w:val="17"/>
  </w:num>
  <w:num w:numId="30">
    <w:abstractNumId w:val="36"/>
  </w:num>
  <w:num w:numId="31">
    <w:abstractNumId w:val="37"/>
  </w:num>
  <w:num w:numId="32">
    <w:abstractNumId w:val="38"/>
  </w:num>
  <w:num w:numId="33">
    <w:abstractNumId w:val="26"/>
  </w:num>
  <w:num w:numId="34">
    <w:abstractNumId w:val="35"/>
  </w:num>
  <w:num w:numId="35">
    <w:abstractNumId w:val="10"/>
  </w:num>
  <w:num w:numId="36">
    <w:abstractNumId w:val="21"/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11"/>
  </w:num>
  <w:num w:numId="42">
    <w:abstractNumId w:val="28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1"/>
    <w:rsid w:val="0000634F"/>
    <w:rsid w:val="00027D40"/>
    <w:rsid w:val="000429C1"/>
    <w:rsid w:val="0005266B"/>
    <w:rsid w:val="0007752B"/>
    <w:rsid w:val="000831CB"/>
    <w:rsid w:val="00087501"/>
    <w:rsid w:val="0009674A"/>
    <w:rsid w:val="000A18A7"/>
    <w:rsid w:val="000A1B3E"/>
    <w:rsid w:val="000A1FE0"/>
    <w:rsid w:val="000C03C4"/>
    <w:rsid w:val="000C1A3F"/>
    <w:rsid w:val="000C26FA"/>
    <w:rsid w:val="000D101F"/>
    <w:rsid w:val="000D5768"/>
    <w:rsid w:val="000E6E62"/>
    <w:rsid w:val="0012161F"/>
    <w:rsid w:val="00136A48"/>
    <w:rsid w:val="001403C0"/>
    <w:rsid w:val="00147CDE"/>
    <w:rsid w:val="00153B31"/>
    <w:rsid w:val="001725DC"/>
    <w:rsid w:val="00191B09"/>
    <w:rsid w:val="001B1C0D"/>
    <w:rsid w:val="001C1F52"/>
    <w:rsid w:val="001F206F"/>
    <w:rsid w:val="0020392F"/>
    <w:rsid w:val="00244729"/>
    <w:rsid w:val="0024639A"/>
    <w:rsid w:val="002560C6"/>
    <w:rsid w:val="00267A7D"/>
    <w:rsid w:val="00273E75"/>
    <w:rsid w:val="00295A16"/>
    <w:rsid w:val="002C244C"/>
    <w:rsid w:val="002C77AC"/>
    <w:rsid w:val="002D3666"/>
    <w:rsid w:val="002E26CE"/>
    <w:rsid w:val="002F3DB8"/>
    <w:rsid w:val="00343274"/>
    <w:rsid w:val="0035403C"/>
    <w:rsid w:val="0036267C"/>
    <w:rsid w:val="0036590E"/>
    <w:rsid w:val="00374B5C"/>
    <w:rsid w:val="00384153"/>
    <w:rsid w:val="003B586C"/>
    <w:rsid w:val="003B61FD"/>
    <w:rsid w:val="003E156C"/>
    <w:rsid w:val="003E3B1E"/>
    <w:rsid w:val="00426913"/>
    <w:rsid w:val="00435D2A"/>
    <w:rsid w:val="004528A0"/>
    <w:rsid w:val="004914B4"/>
    <w:rsid w:val="004A5FC0"/>
    <w:rsid w:val="004B55B9"/>
    <w:rsid w:val="004C1ECF"/>
    <w:rsid w:val="004C7914"/>
    <w:rsid w:val="004F780B"/>
    <w:rsid w:val="0051059A"/>
    <w:rsid w:val="005549E1"/>
    <w:rsid w:val="005E399C"/>
    <w:rsid w:val="005E3AE0"/>
    <w:rsid w:val="005F0A45"/>
    <w:rsid w:val="005F7A63"/>
    <w:rsid w:val="00626CC3"/>
    <w:rsid w:val="00650CDD"/>
    <w:rsid w:val="00670B77"/>
    <w:rsid w:val="006720AC"/>
    <w:rsid w:val="00684101"/>
    <w:rsid w:val="006C0C13"/>
    <w:rsid w:val="006E7A89"/>
    <w:rsid w:val="006F539E"/>
    <w:rsid w:val="007063C7"/>
    <w:rsid w:val="0071332A"/>
    <w:rsid w:val="00717A75"/>
    <w:rsid w:val="00737F9E"/>
    <w:rsid w:val="0074792E"/>
    <w:rsid w:val="00752775"/>
    <w:rsid w:val="0075638E"/>
    <w:rsid w:val="007B1210"/>
    <w:rsid w:val="007C5428"/>
    <w:rsid w:val="007D7E29"/>
    <w:rsid w:val="007E6713"/>
    <w:rsid w:val="00815EE7"/>
    <w:rsid w:val="00830149"/>
    <w:rsid w:val="008627A5"/>
    <w:rsid w:val="00862D74"/>
    <w:rsid w:val="008E0B44"/>
    <w:rsid w:val="00904089"/>
    <w:rsid w:val="009200D5"/>
    <w:rsid w:val="0092079A"/>
    <w:rsid w:val="009415FA"/>
    <w:rsid w:val="009A6686"/>
    <w:rsid w:val="009D1E50"/>
    <w:rsid w:val="009F0948"/>
    <w:rsid w:val="00A011A0"/>
    <w:rsid w:val="00A56904"/>
    <w:rsid w:val="00A75397"/>
    <w:rsid w:val="00A8189C"/>
    <w:rsid w:val="00A96152"/>
    <w:rsid w:val="00AE157B"/>
    <w:rsid w:val="00AE78CA"/>
    <w:rsid w:val="00B11BFC"/>
    <w:rsid w:val="00B234F1"/>
    <w:rsid w:val="00B3392C"/>
    <w:rsid w:val="00B53DCB"/>
    <w:rsid w:val="00B96342"/>
    <w:rsid w:val="00BA4D98"/>
    <w:rsid w:val="00BE5EA9"/>
    <w:rsid w:val="00BE74C5"/>
    <w:rsid w:val="00BF122A"/>
    <w:rsid w:val="00BF1C87"/>
    <w:rsid w:val="00C2140D"/>
    <w:rsid w:val="00C3663B"/>
    <w:rsid w:val="00C71C66"/>
    <w:rsid w:val="00C74B40"/>
    <w:rsid w:val="00C76580"/>
    <w:rsid w:val="00CA254F"/>
    <w:rsid w:val="00CD24CF"/>
    <w:rsid w:val="00D0029A"/>
    <w:rsid w:val="00D06AE5"/>
    <w:rsid w:val="00D3224F"/>
    <w:rsid w:val="00D33D07"/>
    <w:rsid w:val="00D42027"/>
    <w:rsid w:val="00D61035"/>
    <w:rsid w:val="00D730A3"/>
    <w:rsid w:val="00D826D4"/>
    <w:rsid w:val="00DA5253"/>
    <w:rsid w:val="00DA6871"/>
    <w:rsid w:val="00DB1FB3"/>
    <w:rsid w:val="00DB79D8"/>
    <w:rsid w:val="00DD6227"/>
    <w:rsid w:val="00DE43BE"/>
    <w:rsid w:val="00DF4FE1"/>
    <w:rsid w:val="00E0196E"/>
    <w:rsid w:val="00E1353B"/>
    <w:rsid w:val="00E77ED5"/>
    <w:rsid w:val="00EA209E"/>
    <w:rsid w:val="00EA2BF8"/>
    <w:rsid w:val="00ED63E1"/>
    <w:rsid w:val="00F35BBB"/>
    <w:rsid w:val="00F40DA4"/>
    <w:rsid w:val="00F43FB5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948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9F0948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F0948"/>
    <w:pPr>
      <w:keepNext/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9F0948"/>
    <w:pPr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9F0948"/>
    <w:pPr>
      <w:keepNext/>
      <w:numPr>
        <w:ilvl w:val="3"/>
        <w:numId w:val="11"/>
      </w:numPr>
      <w:spacing w:after="6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9F0948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9F0948"/>
    <w:pPr>
      <w:numPr>
        <w:ilvl w:val="5"/>
        <w:numId w:val="20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F0948"/>
    <w:pPr>
      <w:numPr>
        <w:ilvl w:val="6"/>
        <w:numId w:val="20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9F0948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F0948"/>
    <w:pPr>
      <w:numPr>
        <w:ilvl w:val="8"/>
        <w:numId w:val="20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9F094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0948"/>
  </w:style>
  <w:style w:type="paragraph" w:styleId="ListBullet3">
    <w:name w:val="List Bullet 3"/>
    <w:basedOn w:val="Normal"/>
    <w:rsid w:val="009F0948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9F0948"/>
    <w:rPr>
      <w:noProof/>
      <w:color w:val="FF0000"/>
    </w:rPr>
  </w:style>
  <w:style w:type="paragraph" w:styleId="Header">
    <w:name w:val="header"/>
    <w:basedOn w:val="Normal"/>
    <w:semiHidden/>
    <w:rsid w:val="009F0948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9F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rsid w:val="009F0948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9F0948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9F0948"/>
    <w:pPr>
      <w:numPr>
        <w:numId w:val="37"/>
      </w:numPr>
    </w:pPr>
  </w:style>
  <w:style w:type="paragraph" w:customStyle="1" w:styleId="Sub-subtitle">
    <w:name w:val="Sub-subtitle"/>
    <w:basedOn w:val="Subtitle"/>
    <w:next w:val="Normal"/>
    <w:rsid w:val="009F0948"/>
    <w:rPr>
      <w:sz w:val="24"/>
    </w:rPr>
  </w:style>
  <w:style w:type="paragraph" w:styleId="Subtitle">
    <w:name w:val="Subtitle"/>
    <w:basedOn w:val="Normal"/>
    <w:next w:val="Sub-subtitle"/>
    <w:qFormat/>
    <w:rsid w:val="009F0948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9F0948"/>
  </w:style>
  <w:style w:type="paragraph" w:customStyle="1" w:styleId="TableText">
    <w:name w:val="Table Text"/>
    <w:basedOn w:val="Normal"/>
    <w:rsid w:val="009F0948"/>
    <w:pPr>
      <w:spacing w:before="80" w:after="80"/>
    </w:pPr>
  </w:style>
  <w:style w:type="paragraph" w:customStyle="1" w:styleId="TableHeading">
    <w:name w:val="Table Heading"/>
    <w:basedOn w:val="TableText"/>
    <w:rsid w:val="009F0948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9F0948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9F0948"/>
  </w:style>
  <w:style w:type="paragraph" w:customStyle="1" w:styleId="FigureCaption">
    <w:name w:val="Figure Caption"/>
    <w:basedOn w:val="Normal"/>
    <w:next w:val="Figure"/>
    <w:rsid w:val="009F0948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9F0948"/>
    <w:rPr>
      <w:b/>
      <w:sz w:val="24"/>
    </w:rPr>
  </w:style>
  <w:style w:type="paragraph" w:styleId="Footer">
    <w:name w:val="footer"/>
    <w:basedOn w:val="Normal"/>
    <w:semiHidden/>
    <w:rsid w:val="009F0948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9F0948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9F0948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9F0948"/>
    <w:pPr>
      <w:numPr>
        <w:numId w:val="39"/>
      </w:numPr>
    </w:pPr>
  </w:style>
  <w:style w:type="paragraph" w:styleId="ListNumber2">
    <w:name w:val="List Number 2"/>
    <w:basedOn w:val="Normal"/>
    <w:rsid w:val="009F0948"/>
    <w:pPr>
      <w:numPr>
        <w:numId w:val="40"/>
      </w:numPr>
    </w:pPr>
  </w:style>
  <w:style w:type="paragraph" w:styleId="TableofFigures">
    <w:name w:val="table of figures"/>
    <w:basedOn w:val="TOC2"/>
    <w:next w:val="Normal"/>
    <w:semiHidden/>
    <w:rsid w:val="009F0948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9F0948"/>
  </w:style>
  <w:style w:type="paragraph" w:styleId="TOC3">
    <w:name w:val="toc 3"/>
    <w:basedOn w:val="TOC2"/>
    <w:next w:val="Normal"/>
    <w:autoRedefine/>
    <w:semiHidden/>
    <w:rsid w:val="009F0948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9F0948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9F0948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0948"/>
    <w:rPr>
      <w:rFonts w:ascii="Verdana" w:hAnsi="Verdana"/>
      <w:sz w:val="16"/>
    </w:rPr>
  </w:style>
  <w:style w:type="character" w:styleId="Hyperlink">
    <w:name w:val="Hyperlink"/>
    <w:basedOn w:val="DefaultParagraphFont"/>
    <w:uiPriority w:val="99"/>
    <w:rsid w:val="00830149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rsid w:val="00830149"/>
    <w:rPr>
      <w:vertAlign w:val="superscript"/>
    </w:rPr>
  </w:style>
  <w:style w:type="character" w:customStyle="1" w:styleId="Heading2Char">
    <w:name w:val="Heading 2 Char"/>
    <w:link w:val="Heading2"/>
    <w:rsid w:val="00BF1C87"/>
    <w:rPr>
      <w:rFonts w:ascii="Verdana" w:hAnsi="Verdana" w:cs="Arial"/>
      <w:b/>
      <w:bCs/>
      <w:iCs/>
      <w:sz w:val="28"/>
      <w:szCs w:val="28"/>
    </w:rPr>
  </w:style>
  <w:style w:type="numbering" w:customStyle="1" w:styleId="Bulletlist">
    <w:name w:val="Bullet list"/>
    <w:rsid w:val="008627A5"/>
    <w:pPr>
      <w:numPr>
        <w:numId w:val="42"/>
      </w:numPr>
    </w:pPr>
  </w:style>
  <w:style w:type="paragraph" w:customStyle="1" w:styleId="Numberlist">
    <w:name w:val="Number list"/>
    <w:basedOn w:val="Normal"/>
    <w:next w:val="Normal"/>
    <w:qFormat/>
    <w:rsid w:val="008627A5"/>
    <w:pPr>
      <w:tabs>
        <w:tab w:val="num" w:pos="0"/>
      </w:tabs>
      <w:spacing w:before="0" w:after="120"/>
      <w:ind w:left="360" w:hanging="360"/>
    </w:pPr>
    <w:rPr>
      <w:rFonts w:ascii="Calibri" w:eastAsia="Cambria" w:hAnsi="Calibri"/>
      <w:color w:val="3C3C3B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0C26F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2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948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9F0948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F0948"/>
    <w:pPr>
      <w:keepNext/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9F0948"/>
    <w:pPr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9F0948"/>
    <w:pPr>
      <w:keepNext/>
      <w:numPr>
        <w:ilvl w:val="3"/>
        <w:numId w:val="11"/>
      </w:numPr>
      <w:spacing w:after="6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9F0948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9F0948"/>
    <w:pPr>
      <w:numPr>
        <w:ilvl w:val="5"/>
        <w:numId w:val="20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F0948"/>
    <w:pPr>
      <w:numPr>
        <w:ilvl w:val="6"/>
        <w:numId w:val="20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9F0948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F0948"/>
    <w:pPr>
      <w:numPr>
        <w:ilvl w:val="8"/>
        <w:numId w:val="20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9F094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0948"/>
  </w:style>
  <w:style w:type="paragraph" w:styleId="ListBullet3">
    <w:name w:val="List Bullet 3"/>
    <w:basedOn w:val="Normal"/>
    <w:rsid w:val="009F0948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9F0948"/>
    <w:rPr>
      <w:noProof/>
      <w:color w:val="FF0000"/>
    </w:rPr>
  </w:style>
  <w:style w:type="paragraph" w:styleId="Header">
    <w:name w:val="header"/>
    <w:basedOn w:val="Normal"/>
    <w:semiHidden/>
    <w:rsid w:val="009F0948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9F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rsid w:val="009F0948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9F0948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9F0948"/>
    <w:pPr>
      <w:numPr>
        <w:numId w:val="37"/>
      </w:numPr>
    </w:pPr>
  </w:style>
  <w:style w:type="paragraph" w:customStyle="1" w:styleId="Sub-subtitle">
    <w:name w:val="Sub-subtitle"/>
    <w:basedOn w:val="Subtitle"/>
    <w:next w:val="Normal"/>
    <w:rsid w:val="009F0948"/>
    <w:rPr>
      <w:sz w:val="24"/>
    </w:rPr>
  </w:style>
  <w:style w:type="paragraph" w:styleId="Subtitle">
    <w:name w:val="Subtitle"/>
    <w:basedOn w:val="Normal"/>
    <w:next w:val="Sub-subtitle"/>
    <w:qFormat/>
    <w:rsid w:val="009F0948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9F0948"/>
  </w:style>
  <w:style w:type="paragraph" w:customStyle="1" w:styleId="TableText">
    <w:name w:val="Table Text"/>
    <w:basedOn w:val="Normal"/>
    <w:rsid w:val="009F0948"/>
    <w:pPr>
      <w:spacing w:before="80" w:after="80"/>
    </w:pPr>
  </w:style>
  <w:style w:type="paragraph" w:customStyle="1" w:styleId="TableHeading">
    <w:name w:val="Table Heading"/>
    <w:basedOn w:val="TableText"/>
    <w:rsid w:val="009F0948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9F0948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9F0948"/>
  </w:style>
  <w:style w:type="paragraph" w:customStyle="1" w:styleId="FigureCaption">
    <w:name w:val="Figure Caption"/>
    <w:basedOn w:val="Normal"/>
    <w:next w:val="Figure"/>
    <w:rsid w:val="009F0948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9F0948"/>
    <w:rPr>
      <w:b/>
      <w:sz w:val="24"/>
    </w:rPr>
  </w:style>
  <w:style w:type="paragraph" w:styleId="Footer">
    <w:name w:val="footer"/>
    <w:basedOn w:val="Normal"/>
    <w:semiHidden/>
    <w:rsid w:val="009F0948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9F0948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9F0948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9F0948"/>
    <w:pPr>
      <w:numPr>
        <w:numId w:val="39"/>
      </w:numPr>
    </w:pPr>
  </w:style>
  <w:style w:type="paragraph" w:styleId="ListNumber2">
    <w:name w:val="List Number 2"/>
    <w:basedOn w:val="Normal"/>
    <w:rsid w:val="009F0948"/>
    <w:pPr>
      <w:numPr>
        <w:numId w:val="40"/>
      </w:numPr>
    </w:pPr>
  </w:style>
  <w:style w:type="paragraph" w:styleId="TableofFigures">
    <w:name w:val="table of figures"/>
    <w:basedOn w:val="TOC2"/>
    <w:next w:val="Normal"/>
    <w:semiHidden/>
    <w:rsid w:val="009F0948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9F0948"/>
  </w:style>
  <w:style w:type="paragraph" w:styleId="TOC3">
    <w:name w:val="toc 3"/>
    <w:basedOn w:val="TOC2"/>
    <w:next w:val="Normal"/>
    <w:autoRedefine/>
    <w:semiHidden/>
    <w:rsid w:val="009F0948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9F0948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9F0948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0948"/>
    <w:rPr>
      <w:rFonts w:ascii="Verdana" w:hAnsi="Verdana"/>
      <w:sz w:val="16"/>
    </w:rPr>
  </w:style>
  <w:style w:type="character" w:styleId="Hyperlink">
    <w:name w:val="Hyperlink"/>
    <w:basedOn w:val="DefaultParagraphFont"/>
    <w:uiPriority w:val="99"/>
    <w:rsid w:val="00830149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rsid w:val="00830149"/>
    <w:rPr>
      <w:vertAlign w:val="superscript"/>
    </w:rPr>
  </w:style>
  <w:style w:type="character" w:customStyle="1" w:styleId="Heading2Char">
    <w:name w:val="Heading 2 Char"/>
    <w:link w:val="Heading2"/>
    <w:rsid w:val="00BF1C87"/>
    <w:rPr>
      <w:rFonts w:ascii="Verdana" w:hAnsi="Verdana" w:cs="Arial"/>
      <w:b/>
      <w:bCs/>
      <w:iCs/>
      <w:sz w:val="28"/>
      <w:szCs w:val="28"/>
    </w:rPr>
  </w:style>
  <w:style w:type="numbering" w:customStyle="1" w:styleId="Bulletlist">
    <w:name w:val="Bullet list"/>
    <w:rsid w:val="008627A5"/>
    <w:pPr>
      <w:numPr>
        <w:numId w:val="42"/>
      </w:numPr>
    </w:pPr>
  </w:style>
  <w:style w:type="paragraph" w:customStyle="1" w:styleId="Numberlist">
    <w:name w:val="Number list"/>
    <w:basedOn w:val="Normal"/>
    <w:next w:val="Normal"/>
    <w:qFormat/>
    <w:rsid w:val="008627A5"/>
    <w:pPr>
      <w:tabs>
        <w:tab w:val="num" w:pos="0"/>
      </w:tabs>
      <w:spacing w:before="0" w:after="120"/>
      <w:ind w:left="360" w:hanging="360"/>
    </w:pPr>
    <w:rPr>
      <w:rFonts w:ascii="Calibri" w:eastAsia="Cambria" w:hAnsi="Calibri"/>
      <w:color w:val="3C3C3B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0C26F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2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ennant.reed@aigroup.asn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4053%20-%20Communication%20Accessibility\Template\Communications%20template%20-%20no%20to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E222-3314-4AEB-82B1-F9361AE8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Communications template - no toc.dotm</Template>
  <TotalTime>74</TotalTime>
  <Pages>4</Pages>
  <Words>1432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Spectrum Review – Potential Reform Directions – Consultation Paper</vt:lpstr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Spectrum Review – Potential Reform Directions – Consultation Paper</dc:title>
  <dc:creator>na</dc:creator>
  <cp:lastModifiedBy>na</cp:lastModifiedBy>
  <cp:revision>32</cp:revision>
  <dcterms:created xsi:type="dcterms:W3CDTF">2015-03-03T01:50:00Z</dcterms:created>
  <dcterms:modified xsi:type="dcterms:W3CDTF">2015-03-19T02:41:00Z</dcterms:modified>
</cp:coreProperties>
</file>