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6553A" w14:textId="77777777" w:rsidR="00CB34E7" w:rsidRDefault="008D0E41" w:rsidP="00BA1D96">
      <w:pPr>
        <w:pStyle w:val="Heading1"/>
      </w:pPr>
      <w:r>
        <w:t xml:space="preserve">ACT Emergency Services Agency </w:t>
      </w:r>
      <w:r w:rsidR="00BA1D96">
        <w:t>Submission on Australian Government Spectrum Review: Potential Reform Directions C</w:t>
      </w:r>
      <w:r w:rsidR="00613F52">
        <w:t>onsultation paper November 2014</w:t>
      </w:r>
      <w:r w:rsidR="00BA1D96">
        <w:t xml:space="preserve"> </w:t>
      </w:r>
    </w:p>
    <w:p w14:paraId="1466553B" w14:textId="77777777" w:rsidR="00BA1D96" w:rsidRPr="00BA1D96" w:rsidRDefault="00BA1D96" w:rsidP="00BA1D96">
      <w:pPr>
        <w:pStyle w:val="Heading2"/>
      </w:pPr>
      <w:r>
        <w:t>Response from ACT Emergency Services Agency</w:t>
      </w:r>
    </w:p>
    <w:p w14:paraId="1466553C" w14:textId="77777777" w:rsidR="00BA1D96" w:rsidRDefault="00BA1D96" w:rsidP="00BA1D96">
      <w:r>
        <w:t>An overarching requirement of the Australian Capital Territory is to ensure the safety of Emergency Services personnel</w:t>
      </w:r>
      <w:r w:rsidR="002D0D20">
        <w:t xml:space="preserve">, </w:t>
      </w:r>
      <w:r>
        <w:t>volunteers, the public and community through the availability of government and public safety radio and broadband spectrum and services across the Territory, and capital region.</w:t>
      </w:r>
    </w:p>
    <w:p w14:paraId="1466553D" w14:textId="77777777" w:rsidR="00BA1D96" w:rsidRPr="00841F50" w:rsidRDefault="00BA1D96" w:rsidP="0010723D">
      <w:pPr>
        <w:pStyle w:val="Heading2"/>
      </w:pPr>
      <w:r>
        <w:t>Questions for Stakeholders</w:t>
      </w:r>
    </w:p>
    <w:p w14:paraId="1466553E" w14:textId="77777777" w:rsidR="0010723D" w:rsidRPr="00841F50" w:rsidRDefault="0010723D" w:rsidP="0010723D">
      <w:pPr>
        <w:pStyle w:val="BodyText"/>
        <w:numPr>
          <w:ilvl w:val="0"/>
          <w:numId w:val="1"/>
        </w:numPr>
        <w:spacing w:before="120" w:after="120"/>
      </w:pPr>
      <w:r w:rsidRPr="00841F50">
        <w:t>What changes should be made to the proposals outlined in this paper to make them work more effectively?</w:t>
      </w:r>
    </w:p>
    <w:p w14:paraId="1466553F" w14:textId="77777777" w:rsidR="0010723D" w:rsidRPr="00841F50" w:rsidRDefault="0010723D" w:rsidP="0010723D">
      <w:pPr>
        <w:pStyle w:val="BodyText"/>
        <w:numPr>
          <w:ilvl w:val="1"/>
          <w:numId w:val="1"/>
        </w:numPr>
        <w:spacing w:before="120" w:after="120"/>
      </w:pPr>
      <w:r>
        <w:t>Refer to below for individual responses against the proposals</w:t>
      </w:r>
    </w:p>
    <w:p w14:paraId="14665540" w14:textId="77777777" w:rsidR="0010723D" w:rsidRDefault="0010723D" w:rsidP="0010723D">
      <w:pPr>
        <w:pStyle w:val="BodyText"/>
        <w:numPr>
          <w:ilvl w:val="0"/>
          <w:numId w:val="1"/>
        </w:numPr>
        <w:spacing w:before="120" w:after="120"/>
      </w:pPr>
      <w:r w:rsidRPr="00841F50">
        <w:t>What additional proposals should be considered?</w:t>
      </w:r>
    </w:p>
    <w:p w14:paraId="14665541" w14:textId="77777777" w:rsidR="00BA1D96" w:rsidRPr="00841F50" w:rsidRDefault="0010723D" w:rsidP="0010723D">
      <w:pPr>
        <w:pStyle w:val="BodyText"/>
        <w:numPr>
          <w:ilvl w:val="1"/>
          <w:numId w:val="1"/>
        </w:numPr>
        <w:spacing w:before="120" w:after="120"/>
      </w:pPr>
      <w:r>
        <w:t>No comment.</w:t>
      </w:r>
    </w:p>
    <w:p w14:paraId="14665542" w14:textId="77777777" w:rsidR="00BA1D96" w:rsidRDefault="00BA1D96" w:rsidP="00BA1D96">
      <w:pPr>
        <w:pStyle w:val="BodyText"/>
        <w:numPr>
          <w:ilvl w:val="0"/>
          <w:numId w:val="1"/>
        </w:numPr>
        <w:spacing w:before="120" w:after="120"/>
      </w:pPr>
      <w:r w:rsidRPr="00841F50">
        <w:t xml:space="preserve">What timeframes (short-term and longer-term) should apply to implementation of the reform proposals? </w:t>
      </w:r>
    </w:p>
    <w:p w14:paraId="14665543" w14:textId="77777777" w:rsidR="00841F50" w:rsidRPr="00841F50" w:rsidRDefault="00841F50" w:rsidP="00841F50">
      <w:pPr>
        <w:pStyle w:val="BodyText"/>
        <w:numPr>
          <w:ilvl w:val="1"/>
          <w:numId w:val="1"/>
        </w:numPr>
        <w:spacing w:before="120" w:after="120"/>
      </w:pPr>
      <w:r>
        <w:t xml:space="preserve">Any proposals which require changes in tower infrastructure and radio terminal equipment will required 3-4 years to implement. </w:t>
      </w:r>
    </w:p>
    <w:p w14:paraId="14665544" w14:textId="77777777" w:rsidR="00BA1D96" w:rsidRPr="00841F50" w:rsidRDefault="00BA1D96" w:rsidP="00BA1D96">
      <w:pPr>
        <w:pStyle w:val="BodyText"/>
        <w:numPr>
          <w:ilvl w:val="0"/>
          <w:numId w:val="1"/>
        </w:numPr>
        <w:spacing w:before="120" w:after="120"/>
      </w:pPr>
      <w:r w:rsidRPr="00841F50">
        <w:t xml:space="preserve">What transitional arrangements should be put in place? </w:t>
      </w:r>
      <w:bookmarkStart w:id="0" w:name="_GoBack"/>
      <w:bookmarkEnd w:id="0"/>
    </w:p>
    <w:p w14:paraId="14665545" w14:textId="77777777" w:rsidR="00841F50" w:rsidRPr="00841F50" w:rsidRDefault="00841F50" w:rsidP="00841F50">
      <w:pPr>
        <w:pStyle w:val="BodyText"/>
        <w:numPr>
          <w:ilvl w:val="1"/>
          <w:numId w:val="1"/>
        </w:numPr>
        <w:spacing w:before="120" w:after="120"/>
      </w:pPr>
      <w:r w:rsidRPr="00841F50">
        <w:t xml:space="preserve">Any changes to Band Management functions </w:t>
      </w:r>
      <w:r>
        <w:t>to the ACT</w:t>
      </w:r>
      <w:r w:rsidR="006E629F">
        <w:t xml:space="preserve"> </w:t>
      </w:r>
      <w:r w:rsidRPr="00841F50">
        <w:t xml:space="preserve">would require </w:t>
      </w:r>
      <w:r>
        <w:t>a lead time of 2-3 years to build capacity within ACT given the current lack of capability and capacity within existing resources.</w:t>
      </w:r>
    </w:p>
    <w:p w14:paraId="14665546" w14:textId="77777777" w:rsidR="002D0D20" w:rsidRDefault="002D0D20" w:rsidP="00613F52">
      <w:pPr>
        <w:pStyle w:val="Heading2"/>
      </w:pPr>
      <w:r>
        <w:lastRenderedPageBreak/>
        <w:t>Reponses on in</w:t>
      </w:r>
      <w:r w:rsidR="009C5603">
        <w:t>dividual proposals</w:t>
      </w:r>
    </w:p>
    <w:p w14:paraId="14665547" w14:textId="77777777" w:rsidR="00BA1D96" w:rsidRPr="00170974" w:rsidRDefault="00BA1D96" w:rsidP="00BA1D96">
      <w:pPr>
        <w:pStyle w:val="Bodytext-Indent"/>
        <w:ind w:left="0"/>
        <w:rPr>
          <w:b/>
          <w:color w:val="0F243E" w:themeColor="text2" w:themeShade="80"/>
        </w:rPr>
      </w:pPr>
      <w:bookmarkStart w:id="1" w:name="_Toc399223273"/>
      <w:bookmarkStart w:id="2" w:name="_Toc399422691"/>
      <w:bookmarkStart w:id="3" w:name="_Toc400017404"/>
      <w:bookmarkStart w:id="4" w:name="_Toc400018067"/>
      <w:bookmarkStart w:id="5" w:name="_Toc400441471"/>
      <w:r w:rsidRPr="00170974">
        <w:rPr>
          <w:b/>
          <w:color w:val="0F243E" w:themeColor="text2" w:themeShade="80"/>
        </w:rPr>
        <w:t>Proposal 1: Implement a clear and simplified framework of policy accountability</w:t>
      </w:r>
      <w:bookmarkEnd w:id="1"/>
      <w:bookmarkEnd w:id="2"/>
      <w:bookmarkEnd w:id="3"/>
      <w:bookmarkEnd w:id="4"/>
      <w:bookmarkEnd w:id="5"/>
    </w:p>
    <w:p w14:paraId="14665548" w14:textId="77777777" w:rsidR="00BA1D96" w:rsidRPr="0007595E" w:rsidRDefault="00BA1D96" w:rsidP="00BA1D96">
      <w:pPr>
        <w:pStyle w:val="BodyText"/>
        <w:numPr>
          <w:ilvl w:val="0"/>
          <w:numId w:val="2"/>
        </w:numPr>
        <w:spacing w:before="120" w:after="120"/>
        <w:rPr>
          <w:i/>
        </w:rPr>
      </w:pPr>
      <w:r w:rsidRPr="0007595E">
        <w:rPr>
          <w:i/>
        </w:rPr>
        <w:t xml:space="preserve">Minister </w:t>
      </w:r>
      <w:r w:rsidR="008D0E41">
        <w:rPr>
          <w:i/>
        </w:rPr>
        <w:t xml:space="preserve">for Communications </w:t>
      </w:r>
      <w:r w:rsidRPr="0007595E">
        <w:rPr>
          <w:i/>
        </w:rPr>
        <w:t>to publicly issue over-arching policy statements</w:t>
      </w:r>
      <w:r>
        <w:rPr>
          <w:i/>
        </w:rPr>
        <w:t>,</w:t>
      </w:r>
      <w:r w:rsidRPr="0007595E">
        <w:rPr>
          <w:i/>
        </w:rPr>
        <w:t xml:space="preserve"> </w:t>
      </w:r>
      <w:r>
        <w:rPr>
          <w:i/>
        </w:rPr>
        <w:t>against which</w:t>
      </w:r>
      <w:r w:rsidRPr="0007595E">
        <w:rPr>
          <w:i/>
        </w:rPr>
        <w:t xml:space="preserve"> the ACMA </w:t>
      </w:r>
      <w:r>
        <w:rPr>
          <w:i/>
        </w:rPr>
        <w:t>must act consistently.</w:t>
      </w:r>
    </w:p>
    <w:p w14:paraId="14665549" w14:textId="77777777" w:rsidR="00BA1D96" w:rsidRPr="0007595E" w:rsidRDefault="008D0E41" w:rsidP="00BA1D96">
      <w:pPr>
        <w:pStyle w:val="BodyText"/>
        <w:numPr>
          <w:ilvl w:val="0"/>
          <w:numId w:val="2"/>
        </w:numPr>
        <w:spacing w:before="120" w:after="120"/>
        <w:rPr>
          <w:i/>
        </w:rPr>
      </w:pPr>
      <w:r w:rsidRPr="0007595E">
        <w:rPr>
          <w:i/>
        </w:rPr>
        <w:t xml:space="preserve">Minister </w:t>
      </w:r>
      <w:r>
        <w:rPr>
          <w:i/>
        </w:rPr>
        <w:t>for Communications</w:t>
      </w:r>
      <w:r w:rsidRPr="0007595E">
        <w:rPr>
          <w:i/>
        </w:rPr>
        <w:t xml:space="preserve"> </w:t>
      </w:r>
      <w:r w:rsidR="00BA1D96" w:rsidRPr="0007595E">
        <w:rPr>
          <w:i/>
        </w:rPr>
        <w:t>to have direction powers</w:t>
      </w:r>
      <w:r w:rsidR="00BA1D96">
        <w:rPr>
          <w:i/>
        </w:rPr>
        <w:t xml:space="preserve"> in the Radiocommunications Act</w:t>
      </w:r>
      <w:r w:rsidR="00BA1D96" w:rsidRPr="0007595E">
        <w:rPr>
          <w:i/>
        </w:rPr>
        <w:t xml:space="preserve"> to enable </w:t>
      </w:r>
      <w:r w:rsidR="00BA1D96">
        <w:rPr>
          <w:i/>
        </w:rPr>
        <w:t xml:space="preserve">Ministerial </w:t>
      </w:r>
      <w:r w:rsidR="00BA1D96" w:rsidRPr="0007595E">
        <w:rPr>
          <w:i/>
        </w:rPr>
        <w:t>interven</w:t>
      </w:r>
      <w:r w:rsidR="00BA1D96">
        <w:rPr>
          <w:i/>
        </w:rPr>
        <w:t>tion for specific purposes</w:t>
      </w:r>
      <w:r w:rsidR="00BA1D96" w:rsidRPr="0007595E">
        <w:rPr>
          <w:i/>
        </w:rPr>
        <w:t xml:space="preserve"> </w:t>
      </w:r>
      <w:r w:rsidR="00BA1D96">
        <w:rPr>
          <w:i/>
        </w:rPr>
        <w:t>such as</w:t>
      </w:r>
      <w:r w:rsidR="00BA1D96" w:rsidRPr="0007595E">
        <w:rPr>
          <w:i/>
        </w:rPr>
        <w:t xml:space="preserve"> to reserve </w:t>
      </w:r>
      <w:r w:rsidR="00BA1D96">
        <w:rPr>
          <w:i/>
        </w:rPr>
        <w:t>spectrum in a plan,</w:t>
      </w:r>
      <w:r w:rsidR="00BA1D96" w:rsidRPr="0007595E">
        <w:rPr>
          <w:i/>
        </w:rPr>
        <w:t xml:space="preserve"> allocate </w:t>
      </w:r>
      <w:r w:rsidR="00BA1D96">
        <w:rPr>
          <w:i/>
        </w:rPr>
        <w:t xml:space="preserve">or reallocate </w:t>
      </w:r>
      <w:r w:rsidR="00BA1D96" w:rsidRPr="0007595E">
        <w:rPr>
          <w:i/>
        </w:rPr>
        <w:t>spectrum</w:t>
      </w:r>
      <w:r w:rsidR="00BA1D96">
        <w:rPr>
          <w:i/>
        </w:rPr>
        <w:t>.</w:t>
      </w:r>
    </w:p>
    <w:p w14:paraId="1466554A" w14:textId="77777777" w:rsidR="00BA1D96" w:rsidRDefault="00BA1D96" w:rsidP="00BA1D96">
      <w:pPr>
        <w:pStyle w:val="BodyText"/>
        <w:numPr>
          <w:ilvl w:val="0"/>
          <w:numId w:val="2"/>
        </w:numPr>
        <w:spacing w:before="120" w:after="120"/>
        <w:rPr>
          <w:i/>
        </w:rPr>
      </w:pPr>
      <w:r>
        <w:rPr>
          <w:i/>
        </w:rPr>
        <w:t xml:space="preserve">The </w:t>
      </w:r>
      <w:r w:rsidRPr="0007595E">
        <w:rPr>
          <w:i/>
        </w:rPr>
        <w:t xml:space="preserve">ACMA to be required to notify the </w:t>
      </w:r>
      <w:r w:rsidR="008D0E41" w:rsidRPr="0007595E">
        <w:rPr>
          <w:i/>
        </w:rPr>
        <w:t xml:space="preserve">Minister </w:t>
      </w:r>
      <w:r w:rsidR="008D0E41">
        <w:rPr>
          <w:i/>
        </w:rPr>
        <w:t>for Communications</w:t>
      </w:r>
      <w:r w:rsidRPr="0007595E">
        <w:rPr>
          <w:i/>
        </w:rPr>
        <w:t xml:space="preserve"> of certain decisions and provide an annual work program and key priorities over a three-five year timeframe</w:t>
      </w:r>
      <w:r>
        <w:rPr>
          <w:i/>
        </w:rPr>
        <w:t>.</w:t>
      </w:r>
    </w:p>
    <w:p w14:paraId="1466554B" w14:textId="77777777" w:rsidR="009C5603" w:rsidRPr="00BE70DB" w:rsidRDefault="009C5603" w:rsidP="009C5603">
      <w:pPr>
        <w:pStyle w:val="BodyText"/>
        <w:spacing w:before="120" w:after="120"/>
        <w:rPr>
          <w:b/>
          <w:color w:val="7030A0"/>
        </w:rPr>
      </w:pPr>
      <w:r w:rsidRPr="00BE70DB">
        <w:rPr>
          <w:b/>
          <w:color w:val="7030A0"/>
        </w:rPr>
        <w:t>Response:</w:t>
      </w:r>
    </w:p>
    <w:p w14:paraId="1466554C" w14:textId="77777777" w:rsidR="009C5603" w:rsidRPr="00854187" w:rsidRDefault="009C5603" w:rsidP="009C5603">
      <w:pPr>
        <w:pStyle w:val="BodyText"/>
        <w:spacing w:before="120" w:after="120"/>
        <w:rPr>
          <w:b/>
          <w:color w:val="7030A0"/>
        </w:rPr>
      </w:pPr>
      <w:r w:rsidRPr="00854187">
        <w:rPr>
          <w:b/>
          <w:color w:val="7030A0"/>
        </w:rPr>
        <w:t>Support</w:t>
      </w:r>
      <w:r w:rsidR="00C72B29">
        <w:rPr>
          <w:b/>
          <w:color w:val="7030A0"/>
        </w:rPr>
        <w:t>ed</w:t>
      </w:r>
    </w:p>
    <w:p w14:paraId="1466554D" w14:textId="77777777" w:rsidR="00BA1D96" w:rsidRPr="00D22BC2" w:rsidRDefault="00BA1D96" w:rsidP="00BA1D96">
      <w:pPr>
        <w:pStyle w:val="Bodytext-Indent"/>
        <w:ind w:left="0"/>
        <w:rPr>
          <w:b/>
          <w:color w:val="0F243E" w:themeColor="text2" w:themeShade="80"/>
        </w:rPr>
      </w:pPr>
      <w:bookmarkStart w:id="6" w:name="_Toc399422694"/>
      <w:bookmarkStart w:id="7" w:name="_Toc400017406"/>
      <w:bookmarkStart w:id="8" w:name="_Toc400018069"/>
      <w:bookmarkStart w:id="9" w:name="_Toc400441473"/>
      <w:r w:rsidRPr="00D22BC2">
        <w:rPr>
          <w:b/>
          <w:color w:val="0F243E" w:themeColor="text2" w:themeShade="80"/>
        </w:rPr>
        <w:t>Proposal 2: Establish a single licensing framework</w:t>
      </w:r>
      <w:bookmarkEnd w:id="6"/>
      <w:bookmarkEnd w:id="7"/>
      <w:bookmarkEnd w:id="8"/>
      <w:bookmarkEnd w:id="9"/>
    </w:p>
    <w:p w14:paraId="1466554E" w14:textId="77777777" w:rsidR="00BA1D96" w:rsidRDefault="00BA1D96" w:rsidP="00BA1D96">
      <w:pPr>
        <w:pStyle w:val="BodyText"/>
        <w:numPr>
          <w:ilvl w:val="0"/>
          <w:numId w:val="2"/>
        </w:numPr>
        <w:spacing w:before="120" w:after="120"/>
        <w:rPr>
          <w:i/>
        </w:rPr>
      </w:pPr>
      <w:r w:rsidRPr="00944B65">
        <w:rPr>
          <w:i/>
        </w:rPr>
        <w:t xml:space="preserve">Establish a single licensing framework by </w:t>
      </w:r>
      <w:r>
        <w:rPr>
          <w:i/>
        </w:rPr>
        <w:t>consolidating</w:t>
      </w:r>
      <w:r w:rsidRPr="00944B65">
        <w:rPr>
          <w:i/>
        </w:rPr>
        <w:t xml:space="preserve"> the three licence categories (apparatus, class and spectrum) and provid</w:t>
      </w:r>
      <w:r>
        <w:rPr>
          <w:i/>
        </w:rPr>
        <w:t>e</w:t>
      </w:r>
      <w:r w:rsidRPr="00944B65">
        <w:rPr>
          <w:i/>
        </w:rPr>
        <w:t xml:space="preserve"> the ACMA with flexibility to set </w:t>
      </w:r>
      <w:r>
        <w:rPr>
          <w:i/>
        </w:rPr>
        <w:t xml:space="preserve">licence </w:t>
      </w:r>
      <w:r w:rsidRPr="00944B65">
        <w:rPr>
          <w:i/>
        </w:rPr>
        <w:t>parameters, for example, to include band frequency, payment</w:t>
      </w:r>
      <w:r>
        <w:rPr>
          <w:i/>
        </w:rPr>
        <w:t xml:space="preserve">, </w:t>
      </w:r>
      <w:r w:rsidRPr="00944B65">
        <w:rPr>
          <w:i/>
        </w:rPr>
        <w:t>sharing</w:t>
      </w:r>
      <w:r>
        <w:rPr>
          <w:i/>
        </w:rPr>
        <w:t xml:space="preserve"> and trading</w:t>
      </w:r>
      <w:r w:rsidRPr="00944B65">
        <w:rPr>
          <w:i/>
        </w:rPr>
        <w:t xml:space="preserve"> arrangements.</w:t>
      </w:r>
    </w:p>
    <w:p w14:paraId="1466554F" w14:textId="77777777" w:rsidR="00BA1D96" w:rsidRPr="00944B65" w:rsidRDefault="00BA1D96" w:rsidP="00BA1D96">
      <w:pPr>
        <w:pStyle w:val="BodyText"/>
        <w:numPr>
          <w:ilvl w:val="0"/>
          <w:numId w:val="2"/>
        </w:numPr>
        <w:spacing w:before="120" w:after="120"/>
        <w:rPr>
          <w:i/>
        </w:rPr>
      </w:pPr>
      <w:r w:rsidRPr="00944B65">
        <w:rPr>
          <w:i/>
        </w:rPr>
        <w:t>Tenure of licences to be a parameter, with a maximum term</w:t>
      </w:r>
      <w:r>
        <w:rPr>
          <w:i/>
        </w:rPr>
        <w:t xml:space="preserve"> of 15 years to be</w:t>
      </w:r>
      <w:r w:rsidRPr="00944B65">
        <w:rPr>
          <w:i/>
        </w:rPr>
        <w:t xml:space="preserve"> specified in the leg</w:t>
      </w:r>
      <w:r>
        <w:rPr>
          <w:i/>
        </w:rPr>
        <w:t>islation.</w:t>
      </w:r>
    </w:p>
    <w:p w14:paraId="14665550" w14:textId="77777777" w:rsidR="00BA1D96" w:rsidRDefault="00BA1D96" w:rsidP="00BA1D96">
      <w:pPr>
        <w:pStyle w:val="BodyText"/>
        <w:numPr>
          <w:ilvl w:val="0"/>
          <w:numId w:val="2"/>
        </w:numPr>
        <w:spacing w:before="120" w:after="120"/>
        <w:rPr>
          <w:i/>
        </w:rPr>
      </w:pPr>
      <w:r w:rsidRPr="00944B65">
        <w:rPr>
          <w:i/>
        </w:rPr>
        <w:t xml:space="preserve">Renewal of licences to also be a parameter. If the licence provides for a presumption of renewal, the legislation </w:t>
      </w:r>
      <w:r>
        <w:rPr>
          <w:i/>
        </w:rPr>
        <w:t xml:space="preserve">would </w:t>
      </w:r>
      <w:r w:rsidRPr="00944B65">
        <w:rPr>
          <w:i/>
        </w:rPr>
        <w:t>specify the circumstances under whic</w:t>
      </w:r>
      <w:r>
        <w:rPr>
          <w:i/>
        </w:rPr>
        <w:t>h the ACMA is not required to renew</w:t>
      </w:r>
      <w:r w:rsidRPr="00944B65">
        <w:rPr>
          <w:i/>
        </w:rPr>
        <w:t>.</w:t>
      </w:r>
    </w:p>
    <w:p w14:paraId="14665551" w14:textId="77777777" w:rsidR="009C5603" w:rsidRPr="00BE70DB" w:rsidRDefault="009C5603" w:rsidP="009C5603">
      <w:pPr>
        <w:pStyle w:val="BodyText"/>
        <w:spacing w:before="120" w:after="120"/>
        <w:rPr>
          <w:b/>
          <w:color w:val="7030A0"/>
        </w:rPr>
      </w:pPr>
      <w:r w:rsidRPr="00BE70DB">
        <w:rPr>
          <w:b/>
          <w:color w:val="7030A0"/>
        </w:rPr>
        <w:t>Response:</w:t>
      </w:r>
    </w:p>
    <w:p w14:paraId="14665552" w14:textId="77777777" w:rsidR="009C5603" w:rsidRPr="00854187" w:rsidRDefault="009C5603" w:rsidP="009C5603">
      <w:pPr>
        <w:pStyle w:val="BodyText"/>
        <w:spacing w:before="120" w:after="120"/>
        <w:rPr>
          <w:b/>
          <w:color w:val="7030A0"/>
        </w:rPr>
      </w:pPr>
      <w:r w:rsidRPr="00854187">
        <w:rPr>
          <w:b/>
          <w:color w:val="7030A0"/>
        </w:rPr>
        <w:lastRenderedPageBreak/>
        <w:t>Support</w:t>
      </w:r>
      <w:r w:rsidR="00535AB6" w:rsidRPr="00854187">
        <w:rPr>
          <w:b/>
          <w:color w:val="7030A0"/>
        </w:rPr>
        <w:t>ed</w:t>
      </w:r>
      <w:r w:rsidRPr="00854187">
        <w:rPr>
          <w:b/>
          <w:color w:val="7030A0"/>
        </w:rPr>
        <w:t>, with further c</w:t>
      </w:r>
      <w:r w:rsidR="009D767C" w:rsidRPr="00854187">
        <w:rPr>
          <w:b/>
          <w:color w:val="7030A0"/>
        </w:rPr>
        <w:t xml:space="preserve">onsultation requested on how all existing and any future services will be accommodated within a single </w:t>
      </w:r>
      <w:r w:rsidR="00BE70DB">
        <w:rPr>
          <w:b/>
          <w:color w:val="7030A0"/>
        </w:rPr>
        <w:t xml:space="preserve">licence </w:t>
      </w:r>
      <w:r w:rsidR="009D767C" w:rsidRPr="00854187">
        <w:rPr>
          <w:b/>
          <w:color w:val="7030A0"/>
        </w:rPr>
        <w:t>framework.</w:t>
      </w:r>
    </w:p>
    <w:p w14:paraId="14665553" w14:textId="77777777" w:rsidR="00BA1D96" w:rsidRPr="00170974" w:rsidRDefault="00BA1D96" w:rsidP="00BA1D96">
      <w:pPr>
        <w:pStyle w:val="Bodytext-Indent"/>
        <w:ind w:left="0"/>
        <w:rPr>
          <w:b/>
          <w:color w:val="0F243E" w:themeColor="text2" w:themeShade="80"/>
        </w:rPr>
      </w:pPr>
      <w:bookmarkStart w:id="10" w:name="_Toc399422696"/>
      <w:bookmarkStart w:id="11" w:name="_Toc400017408"/>
      <w:bookmarkStart w:id="12" w:name="_Toc400018071"/>
      <w:bookmarkStart w:id="13" w:name="_Toc400441475"/>
      <w:r w:rsidRPr="00170974">
        <w:rPr>
          <w:b/>
          <w:color w:val="0F243E" w:themeColor="text2" w:themeShade="80"/>
        </w:rPr>
        <w:t>Proposal 3: More flexible allocation and reallocation processes</w:t>
      </w:r>
      <w:bookmarkEnd w:id="10"/>
      <w:bookmarkEnd w:id="11"/>
      <w:bookmarkEnd w:id="12"/>
      <w:bookmarkEnd w:id="13"/>
      <w:r w:rsidRPr="00170974">
        <w:rPr>
          <w:b/>
          <w:color w:val="0F243E" w:themeColor="text2" w:themeShade="80"/>
        </w:rPr>
        <w:t xml:space="preserve"> </w:t>
      </w:r>
    </w:p>
    <w:p w14:paraId="14665554" w14:textId="77777777" w:rsidR="00BA1D96" w:rsidRDefault="00BA1D96" w:rsidP="00BA1D96">
      <w:pPr>
        <w:pStyle w:val="ListParagraph"/>
        <w:numPr>
          <w:ilvl w:val="0"/>
          <w:numId w:val="3"/>
        </w:numPr>
        <w:spacing w:after="200" w:line="276" w:lineRule="auto"/>
        <w:rPr>
          <w:i/>
        </w:rPr>
      </w:pPr>
      <w:r>
        <w:rPr>
          <w:i/>
        </w:rPr>
        <w:t>Provide the ACMA with greater flexibility to determine the most appropriate allocation process and method.</w:t>
      </w:r>
    </w:p>
    <w:p w14:paraId="14665555" w14:textId="77777777" w:rsidR="00BA1D96" w:rsidRDefault="00BA1D96" w:rsidP="00BA1D96">
      <w:pPr>
        <w:pStyle w:val="ListParagraph"/>
        <w:numPr>
          <w:ilvl w:val="0"/>
          <w:numId w:val="3"/>
        </w:numPr>
        <w:spacing w:before="0" w:after="200" w:line="276" w:lineRule="auto"/>
        <w:rPr>
          <w:i/>
        </w:rPr>
      </w:pPr>
      <w:r>
        <w:rPr>
          <w:i/>
        </w:rPr>
        <w:t>The ACMA’s annual work program to specify timing of allocation processes and the ACMA to report against these.</w:t>
      </w:r>
    </w:p>
    <w:p w14:paraId="14665556" w14:textId="77777777" w:rsidR="00BA1D96" w:rsidRDefault="00BA1D96" w:rsidP="00BA1D96">
      <w:pPr>
        <w:pStyle w:val="ListParagraph"/>
        <w:numPr>
          <w:ilvl w:val="0"/>
          <w:numId w:val="3"/>
        </w:numPr>
        <w:spacing w:before="0" w:after="200" w:line="276" w:lineRule="auto"/>
        <w:rPr>
          <w:i/>
        </w:rPr>
      </w:pPr>
      <w:r>
        <w:rPr>
          <w:i/>
        </w:rPr>
        <w:t xml:space="preserve">Allow the ACMA to reallocate spectrum without the need for a Ministerial determination. </w:t>
      </w:r>
    </w:p>
    <w:p w14:paraId="14665557" w14:textId="77777777" w:rsidR="00BA1D96" w:rsidRDefault="00BA1D96" w:rsidP="00BA1D96">
      <w:pPr>
        <w:pStyle w:val="ListParagraph"/>
        <w:numPr>
          <w:ilvl w:val="0"/>
          <w:numId w:val="3"/>
        </w:numPr>
        <w:spacing w:before="0" w:after="200" w:line="276" w:lineRule="auto"/>
        <w:rPr>
          <w:i/>
        </w:rPr>
      </w:pPr>
      <w:r>
        <w:rPr>
          <w:i/>
        </w:rPr>
        <w:t>Manage c</w:t>
      </w:r>
      <w:r w:rsidRPr="00CC578D">
        <w:rPr>
          <w:i/>
        </w:rPr>
        <w:t>hanges of use by setting appropriate licence terms that allow for replanning.</w:t>
      </w:r>
      <w:r>
        <w:rPr>
          <w:i/>
        </w:rPr>
        <w:t xml:space="preserve"> </w:t>
      </w:r>
    </w:p>
    <w:p w14:paraId="14665558" w14:textId="77777777" w:rsidR="00BA1D96" w:rsidRDefault="00BA1D96" w:rsidP="00BA1D96">
      <w:pPr>
        <w:pStyle w:val="ListParagraph"/>
        <w:numPr>
          <w:ilvl w:val="0"/>
          <w:numId w:val="3"/>
        </w:numPr>
        <w:spacing w:before="120" w:after="120" w:line="276" w:lineRule="auto"/>
        <w:rPr>
          <w:i/>
        </w:rPr>
      </w:pPr>
      <w:r>
        <w:rPr>
          <w:i/>
        </w:rPr>
        <w:t>Authorise the ACMA to allocate encumbered spectrum enabling incumbent users to continue operating in the band following reallocation.</w:t>
      </w:r>
    </w:p>
    <w:p w14:paraId="14665559" w14:textId="77777777" w:rsidR="00BE70DB" w:rsidRPr="00BE70DB" w:rsidRDefault="00BE70DB" w:rsidP="00BE70DB">
      <w:pPr>
        <w:rPr>
          <w:b/>
          <w:color w:val="7030A0"/>
        </w:rPr>
      </w:pPr>
      <w:r w:rsidRPr="00BE70DB">
        <w:rPr>
          <w:b/>
          <w:color w:val="7030A0"/>
        </w:rPr>
        <w:t>Response:</w:t>
      </w:r>
    </w:p>
    <w:p w14:paraId="1466555A" w14:textId="77777777" w:rsidR="00854187" w:rsidRPr="00854187" w:rsidRDefault="00854187" w:rsidP="00854187">
      <w:pPr>
        <w:spacing w:before="120" w:after="120"/>
        <w:rPr>
          <w:b/>
          <w:color w:val="7030A0"/>
        </w:rPr>
      </w:pPr>
      <w:r w:rsidRPr="00854187">
        <w:rPr>
          <w:b/>
          <w:color w:val="7030A0"/>
        </w:rPr>
        <w:t>No</w:t>
      </w:r>
      <w:r w:rsidR="00C72B29">
        <w:rPr>
          <w:b/>
          <w:color w:val="7030A0"/>
        </w:rPr>
        <w:t>ted</w:t>
      </w:r>
    </w:p>
    <w:p w14:paraId="1466555B" w14:textId="77777777" w:rsidR="00BA1D96" w:rsidRPr="00170974" w:rsidRDefault="00BA1D96" w:rsidP="00BA1D96">
      <w:pPr>
        <w:pStyle w:val="Bodytext-Indent"/>
        <w:ind w:left="0"/>
        <w:rPr>
          <w:b/>
          <w:color w:val="0F243E" w:themeColor="text2" w:themeShade="80"/>
        </w:rPr>
      </w:pPr>
      <w:bookmarkStart w:id="14" w:name="_Toc400017411"/>
      <w:bookmarkStart w:id="15" w:name="_Toc400018074"/>
      <w:bookmarkStart w:id="16" w:name="_Toc400441478"/>
      <w:r w:rsidRPr="00170974">
        <w:rPr>
          <w:b/>
          <w:color w:val="0F243E" w:themeColor="text2" w:themeShade="80"/>
        </w:rPr>
        <w:t xml:space="preserve">Proposal 4: </w:t>
      </w:r>
      <w:r>
        <w:rPr>
          <w:b/>
          <w:color w:val="0F243E" w:themeColor="text2" w:themeShade="80"/>
        </w:rPr>
        <w:t xml:space="preserve">Establish a more transparent and flexible approach for spectrum pricing to promote efficient use and re-use of spectrum </w:t>
      </w:r>
      <w:bookmarkEnd w:id="14"/>
      <w:bookmarkEnd w:id="15"/>
      <w:bookmarkEnd w:id="16"/>
    </w:p>
    <w:p w14:paraId="1466555C" w14:textId="77777777" w:rsidR="00BA1D96" w:rsidRDefault="00BA1D96" w:rsidP="00BA1D96">
      <w:pPr>
        <w:pStyle w:val="BodyText"/>
        <w:numPr>
          <w:ilvl w:val="0"/>
          <w:numId w:val="2"/>
        </w:numPr>
        <w:spacing w:before="120" w:after="120"/>
        <w:rPr>
          <w:i/>
        </w:rPr>
      </w:pPr>
      <w:r>
        <w:rPr>
          <w:i/>
        </w:rPr>
        <w:t>Prices for spectrum to be market-based, with the ability for Ministerial intervention to determine otherwise on an exception basis.</w:t>
      </w:r>
    </w:p>
    <w:p w14:paraId="1466555D" w14:textId="77777777" w:rsidR="00BA1D96" w:rsidRDefault="00BA1D96" w:rsidP="00BA1D96">
      <w:pPr>
        <w:pStyle w:val="BodyText"/>
        <w:numPr>
          <w:ilvl w:val="0"/>
          <w:numId w:val="2"/>
        </w:numPr>
        <w:spacing w:before="120" w:after="120"/>
        <w:rPr>
          <w:i/>
        </w:rPr>
      </w:pPr>
      <w:r w:rsidRPr="003C1E63">
        <w:rPr>
          <w:i/>
        </w:rPr>
        <w:t xml:space="preserve">Pricing for </w:t>
      </w:r>
      <w:r>
        <w:rPr>
          <w:i/>
        </w:rPr>
        <w:t>administrative</w:t>
      </w:r>
      <w:r w:rsidRPr="003C1E63">
        <w:rPr>
          <w:i/>
        </w:rPr>
        <w:t xml:space="preserve"> allocations of spectrum to be reviewed, simplified and made consistent and transparent</w:t>
      </w:r>
      <w:r>
        <w:rPr>
          <w:i/>
        </w:rPr>
        <w:t>.</w:t>
      </w:r>
    </w:p>
    <w:p w14:paraId="1466555E" w14:textId="77777777" w:rsidR="00613F52" w:rsidRPr="00613F52" w:rsidRDefault="00613F52" w:rsidP="00613F52">
      <w:pPr>
        <w:rPr>
          <w:b/>
          <w:color w:val="7030A0"/>
        </w:rPr>
      </w:pPr>
      <w:bookmarkStart w:id="17" w:name="_Toc400017412"/>
      <w:bookmarkStart w:id="18" w:name="_Toc400018075"/>
      <w:bookmarkStart w:id="19" w:name="_Toc400441479"/>
      <w:r w:rsidRPr="00613F52">
        <w:rPr>
          <w:b/>
          <w:color w:val="7030A0"/>
        </w:rPr>
        <w:t>Response:</w:t>
      </w:r>
    </w:p>
    <w:p w14:paraId="1466555F" w14:textId="77777777" w:rsidR="00854187" w:rsidRPr="00854187" w:rsidRDefault="00854187" w:rsidP="00BA1D96">
      <w:pPr>
        <w:pStyle w:val="Bodytext-Indent"/>
        <w:ind w:left="0"/>
        <w:rPr>
          <w:b/>
          <w:color w:val="7030A0"/>
        </w:rPr>
      </w:pPr>
      <w:r w:rsidRPr="00854187">
        <w:rPr>
          <w:b/>
          <w:color w:val="7030A0"/>
        </w:rPr>
        <w:lastRenderedPageBreak/>
        <w:t>Supported</w:t>
      </w:r>
      <w:r w:rsidR="00C72B29">
        <w:rPr>
          <w:b/>
          <w:color w:val="7030A0"/>
        </w:rPr>
        <w:t xml:space="preserve"> in part</w:t>
      </w:r>
      <w:r w:rsidRPr="00854187">
        <w:rPr>
          <w:b/>
          <w:color w:val="7030A0"/>
        </w:rPr>
        <w:t xml:space="preserve">, on the condition that ACMA and the </w:t>
      </w:r>
      <w:r w:rsidR="008D0E41" w:rsidRPr="008D0E41">
        <w:rPr>
          <w:b/>
          <w:color w:val="7030A0"/>
        </w:rPr>
        <w:t>Minister for Communications</w:t>
      </w:r>
      <w:r w:rsidRPr="00854187">
        <w:rPr>
          <w:b/>
          <w:color w:val="7030A0"/>
        </w:rPr>
        <w:t xml:space="preserve"> consider socioeconomic value and public good above simple market value. </w:t>
      </w:r>
    </w:p>
    <w:p w14:paraId="14665560" w14:textId="77777777" w:rsidR="00BA1D96" w:rsidRPr="00170974" w:rsidRDefault="00BA1D96" w:rsidP="00BA1D96">
      <w:pPr>
        <w:pStyle w:val="Bodytext-Indent"/>
        <w:ind w:left="0"/>
        <w:rPr>
          <w:b/>
          <w:color w:val="0F243E" w:themeColor="text2" w:themeShade="80"/>
        </w:rPr>
      </w:pPr>
      <w:r w:rsidRPr="00170974">
        <w:rPr>
          <w:b/>
          <w:color w:val="0F243E" w:themeColor="text2" w:themeShade="80"/>
        </w:rPr>
        <w:t>Proposal 5: Structuring payment schedules for licences</w:t>
      </w:r>
      <w:bookmarkEnd w:id="17"/>
      <w:bookmarkEnd w:id="18"/>
      <w:bookmarkEnd w:id="19"/>
    </w:p>
    <w:p w14:paraId="14665561" w14:textId="77777777" w:rsidR="00BA1D96" w:rsidRPr="00064734" w:rsidRDefault="00BA1D96" w:rsidP="00BA1D96">
      <w:pPr>
        <w:pStyle w:val="BodyText"/>
        <w:numPr>
          <w:ilvl w:val="0"/>
          <w:numId w:val="2"/>
        </w:numPr>
        <w:spacing w:before="120" w:after="120"/>
        <w:rPr>
          <w:i/>
        </w:rPr>
      </w:pPr>
      <w:r>
        <w:rPr>
          <w:i/>
        </w:rPr>
        <w:t>Provide flexibilit</w:t>
      </w:r>
      <w:r w:rsidRPr="00064734">
        <w:rPr>
          <w:i/>
        </w:rPr>
        <w:t xml:space="preserve">y </w:t>
      </w:r>
      <w:r>
        <w:rPr>
          <w:i/>
        </w:rPr>
        <w:t xml:space="preserve">in </w:t>
      </w:r>
      <w:r w:rsidRPr="00064734">
        <w:rPr>
          <w:i/>
        </w:rPr>
        <w:t>the timing and approach for payment of licence</w:t>
      </w:r>
      <w:r>
        <w:rPr>
          <w:i/>
        </w:rPr>
        <w:t xml:space="preserve"> fee</w:t>
      </w:r>
      <w:r w:rsidRPr="00064734">
        <w:rPr>
          <w:i/>
        </w:rPr>
        <w:t xml:space="preserve">s. </w:t>
      </w:r>
    </w:p>
    <w:p w14:paraId="14665562" w14:textId="77777777" w:rsidR="00BE70DB" w:rsidRPr="00BE70DB" w:rsidRDefault="00BE70DB" w:rsidP="00BE70DB">
      <w:pPr>
        <w:spacing w:line="240" w:lineRule="auto"/>
        <w:rPr>
          <w:b/>
          <w:color w:val="7030A0"/>
        </w:rPr>
      </w:pPr>
      <w:bookmarkStart w:id="20" w:name="_Toc399422702"/>
      <w:bookmarkStart w:id="21" w:name="_Toc400017413"/>
      <w:bookmarkStart w:id="22" w:name="_Toc400018076"/>
      <w:bookmarkStart w:id="23" w:name="_Toc400441480"/>
      <w:r w:rsidRPr="00BE70DB">
        <w:rPr>
          <w:b/>
          <w:color w:val="7030A0"/>
        </w:rPr>
        <w:t>Response:</w:t>
      </w:r>
    </w:p>
    <w:p w14:paraId="14665563" w14:textId="77777777" w:rsidR="00854187" w:rsidRPr="00854187" w:rsidRDefault="00C72B29" w:rsidP="00BE70DB">
      <w:pPr>
        <w:pStyle w:val="Bodytext-Indent"/>
        <w:ind w:left="0"/>
        <w:rPr>
          <w:b/>
          <w:color w:val="7030A0"/>
        </w:rPr>
      </w:pPr>
      <w:r>
        <w:rPr>
          <w:b/>
          <w:color w:val="7030A0"/>
        </w:rPr>
        <w:t>Supported</w:t>
      </w:r>
    </w:p>
    <w:p w14:paraId="14665564" w14:textId="77777777" w:rsidR="00BA1D96" w:rsidRPr="00170974" w:rsidRDefault="00BA1D96" w:rsidP="00BA1D96">
      <w:pPr>
        <w:pStyle w:val="Bodytext-Indent"/>
        <w:ind w:left="0"/>
        <w:rPr>
          <w:b/>
          <w:color w:val="0F243E" w:themeColor="text2" w:themeShade="80"/>
        </w:rPr>
      </w:pPr>
      <w:r w:rsidRPr="00170974">
        <w:rPr>
          <w:b/>
          <w:color w:val="0F243E" w:themeColor="text2" w:themeShade="80"/>
        </w:rPr>
        <w:t xml:space="preserve">Proposal 6: The ACMA to </w:t>
      </w:r>
      <w:bookmarkEnd w:id="20"/>
      <w:bookmarkEnd w:id="21"/>
      <w:bookmarkEnd w:id="22"/>
      <w:bookmarkEnd w:id="23"/>
      <w:r>
        <w:rPr>
          <w:b/>
          <w:color w:val="0F243E" w:themeColor="text2" w:themeShade="80"/>
        </w:rPr>
        <w:t>take an open data approach to substantially improve the range, availability and quality of information provided to support an efficient spectrum market</w:t>
      </w:r>
    </w:p>
    <w:p w14:paraId="14665565" w14:textId="77777777" w:rsidR="00BA1D96" w:rsidRDefault="00BA1D96" w:rsidP="00BA1D96">
      <w:pPr>
        <w:pStyle w:val="ListParagraph"/>
        <w:numPr>
          <w:ilvl w:val="0"/>
          <w:numId w:val="3"/>
        </w:numPr>
        <w:spacing w:before="0" w:after="200" w:line="276" w:lineRule="auto"/>
        <w:rPr>
          <w:i/>
        </w:rPr>
      </w:pPr>
      <w:r>
        <w:rPr>
          <w:i/>
        </w:rPr>
        <w:t xml:space="preserve">The ACMA to report to the </w:t>
      </w:r>
      <w:r w:rsidR="008D0E41" w:rsidRPr="0007595E">
        <w:rPr>
          <w:i/>
        </w:rPr>
        <w:t xml:space="preserve">Minister </w:t>
      </w:r>
      <w:r w:rsidR="008D0E41">
        <w:rPr>
          <w:i/>
        </w:rPr>
        <w:t>for Communications</w:t>
      </w:r>
      <w:r>
        <w:rPr>
          <w:i/>
        </w:rPr>
        <w:t xml:space="preserve"> through its annual work program on its efforts to improve and maintain the range, availability and quality of information to support the spectrum market.</w:t>
      </w:r>
    </w:p>
    <w:p w14:paraId="14665566" w14:textId="77777777" w:rsidR="00BA1D96" w:rsidRPr="00871748" w:rsidRDefault="00BA1D96" w:rsidP="00BA1D96">
      <w:pPr>
        <w:pStyle w:val="ListParagraph"/>
        <w:numPr>
          <w:ilvl w:val="0"/>
          <w:numId w:val="3"/>
        </w:numPr>
        <w:spacing w:before="120" w:after="120" w:line="276" w:lineRule="auto"/>
        <w:rPr>
          <w:i/>
        </w:rPr>
      </w:pPr>
      <w:r>
        <w:rPr>
          <w:i/>
        </w:rPr>
        <w:t xml:space="preserve">Provide </w:t>
      </w:r>
      <w:r w:rsidRPr="00453E3E">
        <w:rPr>
          <w:i/>
        </w:rPr>
        <w:t>the ACMA</w:t>
      </w:r>
      <w:r>
        <w:rPr>
          <w:i/>
        </w:rPr>
        <w:t xml:space="preserve"> with authority </w:t>
      </w:r>
      <w:r w:rsidRPr="00453E3E">
        <w:rPr>
          <w:i/>
        </w:rPr>
        <w:t xml:space="preserve">to collect information </w:t>
      </w:r>
      <w:r w:rsidRPr="00453E3E">
        <w:rPr>
          <w:rFonts w:eastAsia="Times New Roman"/>
          <w:i/>
        </w:rPr>
        <w:t>from industry relevant to the performance of its functions and exercise of its powers</w:t>
      </w:r>
      <w:r>
        <w:rPr>
          <w:rFonts w:eastAsia="Times New Roman"/>
          <w:i/>
        </w:rPr>
        <w:t>.</w:t>
      </w:r>
      <w:r w:rsidRPr="00453E3E">
        <w:rPr>
          <w:rFonts w:eastAsia="Times New Roman"/>
          <w:i/>
        </w:rPr>
        <w:t xml:space="preserve"> </w:t>
      </w:r>
    </w:p>
    <w:p w14:paraId="14665567" w14:textId="77777777" w:rsidR="00BE70DB" w:rsidRPr="00BE70DB" w:rsidRDefault="00BE70DB" w:rsidP="00BE70DB">
      <w:pPr>
        <w:spacing w:line="240" w:lineRule="auto"/>
        <w:rPr>
          <w:b/>
          <w:color w:val="7030A0"/>
        </w:rPr>
      </w:pPr>
      <w:bookmarkStart w:id="24" w:name="_Toc400017415"/>
      <w:bookmarkStart w:id="25" w:name="_Toc400018078"/>
      <w:bookmarkStart w:id="26" w:name="_Toc400441482"/>
      <w:bookmarkStart w:id="27" w:name="_Toc399223280"/>
      <w:bookmarkStart w:id="28" w:name="_Toc399422700"/>
      <w:r w:rsidRPr="00BE70DB">
        <w:rPr>
          <w:b/>
          <w:color w:val="7030A0"/>
        </w:rPr>
        <w:t>Response:</w:t>
      </w:r>
    </w:p>
    <w:p w14:paraId="14665568" w14:textId="77777777" w:rsidR="00BE70DB" w:rsidRPr="00854187" w:rsidRDefault="00BE70DB" w:rsidP="00BE70DB">
      <w:pPr>
        <w:pStyle w:val="Bodytext-Indent"/>
        <w:ind w:left="0"/>
        <w:rPr>
          <w:b/>
          <w:color w:val="7030A0"/>
        </w:rPr>
      </w:pPr>
      <w:r w:rsidRPr="00854187">
        <w:rPr>
          <w:b/>
          <w:color w:val="7030A0"/>
        </w:rPr>
        <w:t>Supp</w:t>
      </w:r>
      <w:r w:rsidR="00C72B29">
        <w:rPr>
          <w:b/>
          <w:color w:val="7030A0"/>
        </w:rPr>
        <w:t>orted</w:t>
      </w:r>
    </w:p>
    <w:p w14:paraId="14665569" w14:textId="77777777" w:rsidR="00BA1D96" w:rsidRPr="00170974" w:rsidRDefault="00BA1D96" w:rsidP="00BA1D96">
      <w:pPr>
        <w:pStyle w:val="Bodytext-Indent"/>
        <w:ind w:left="0"/>
        <w:rPr>
          <w:b/>
          <w:color w:val="0F243E" w:themeColor="text2" w:themeShade="80"/>
        </w:rPr>
      </w:pPr>
      <w:r w:rsidRPr="00170974">
        <w:rPr>
          <w:b/>
          <w:color w:val="0F243E" w:themeColor="text2" w:themeShade="80"/>
        </w:rPr>
        <w:t>Proposal 7: Payment of compensation for resuming all or part of a licence</w:t>
      </w:r>
      <w:bookmarkEnd w:id="24"/>
      <w:bookmarkEnd w:id="25"/>
      <w:bookmarkEnd w:id="26"/>
      <w:r w:rsidRPr="00170974">
        <w:rPr>
          <w:b/>
          <w:color w:val="0F243E" w:themeColor="text2" w:themeShade="80"/>
        </w:rPr>
        <w:t xml:space="preserve"> </w:t>
      </w:r>
      <w:bookmarkEnd w:id="27"/>
      <w:bookmarkEnd w:id="28"/>
    </w:p>
    <w:p w14:paraId="1466556A" w14:textId="77777777" w:rsidR="00BA1D96" w:rsidRDefault="00BA1D96" w:rsidP="00BA1D96">
      <w:pPr>
        <w:pStyle w:val="ListParagraph"/>
        <w:numPr>
          <w:ilvl w:val="0"/>
          <w:numId w:val="3"/>
        </w:numPr>
        <w:spacing w:before="0" w:after="200" w:line="276" w:lineRule="auto"/>
        <w:rPr>
          <w:i/>
        </w:rPr>
      </w:pPr>
      <w:r w:rsidRPr="00AC34E7">
        <w:rPr>
          <w:i/>
        </w:rPr>
        <w:t>Provide for common compensation provisions for resumption of licences</w:t>
      </w:r>
      <w:r>
        <w:rPr>
          <w:i/>
        </w:rPr>
        <w:t>.</w:t>
      </w:r>
    </w:p>
    <w:p w14:paraId="1466556B" w14:textId="77777777" w:rsidR="00BA1D96" w:rsidRPr="00AC34E7" w:rsidRDefault="00BA1D96" w:rsidP="00BA1D96">
      <w:pPr>
        <w:pStyle w:val="ListParagraph"/>
        <w:numPr>
          <w:ilvl w:val="0"/>
          <w:numId w:val="3"/>
        </w:numPr>
        <w:spacing w:before="0" w:after="200" w:line="276" w:lineRule="auto"/>
        <w:rPr>
          <w:i/>
        </w:rPr>
      </w:pPr>
      <w:r>
        <w:rPr>
          <w:i/>
        </w:rPr>
        <w:t>Whether compensation is payable in event of resumption to be a licence parameter.</w:t>
      </w:r>
    </w:p>
    <w:p w14:paraId="1466556C" w14:textId="77777777" w:rsidR="00BE70DB" w:rsidRPr="00BE70DB" w:rsidRDefault="00BE70DB" w:rsidP="00BE70DB">
      <w:pPr>
        <w:spacing w:line="240" w:lineRule="auto"/>
        <w:rPr>
          <w:b/>
          <w:color w:val="7030A0"/>
        </w:rPr>
      </w:pPr>
      <w:bookmarkStart w:id="29" w:name="_Toc400017417"/>
      <w:bookmarkStart w:id="30" w:name="_Toc400018080"/>
      <w:bookmarkStart w:id="31" w:name="_Toc400441484"/>
      <w:bookmarkStart w:id="32" w:name="_Toc399223283"/>
      <w:bookmarkStart w:id="33" w:name="_Toc399422704"/>
      <w:r w:rsidRPr="00BE70DB">
        <w:rPr>
          <w:b/>
          <w:color w:val="7030A0"/>
        </w:rPr>
        <w:t>Response:</w:t>
      </w:r>
    </w:p>
    <w:p w14:paraId="1466556D" w14:textId="77777777" w:rsidR="00BE70DB" w:rsidRPr="00854187" w:rsidRDefault="00BE70DB" w:rsidP="00BE70DB">
      <w:pPr>
        <w:pStyle w:val="Bodytext-Indent"/>
        <w:ind w:left="0"/>
        <w:rPr>
          <w:b/>
          <w:color w:val="7030A0"/>
        </w:rPr>
      </w:pPr>
      <w:r w:rsidRPr="00854187">
        <w:rPr>
          <w:b/>
          <w:color w:val="7030A0"/>
        </w:rPr>
        <w:lastRenderedPageBreak/>
        <w:t xml:space="preserve">Supported </w:t>
      </w:r>
    </w:p>
    <w:p w14:paraId="1466556E" w14:textId="77777777" w:rsidR="00BA1D96" w:rsidRPr="00170974" w:rsidRDefault="00BA1D96" w:rsidP="00BA1D96">
      <w:pPr>
        <w:pStyle w:val="Bodytext-Indent"/>
        <w:ind w:left="0"/>
        <w:rPr>
          <w:b/>
          <w:color w:val="0F243E" w:themeColor="text2" w:themeShade="80"/>
        </w:rPr>
      </w:pPr>
      <w:r w:rsidRPr="00170974">
        <w:rPr>
          <w:b/>
          <w:color w:val="0F243E" w:themeColor="text2" w:themeShade="80"/>
        </w:rPr>
        <w:t>Proposal 8: Facilitate greater user involvement in spectrum management</w:t>
      </w:r>
      <w:bookmarkEnd w:id="29"/>
      <w:bookmarkEnd w:id="30"/>
      <w:bookmarkEnd w:id="31"/>
      <w:r w:rsidRPr="00170974">
        <w:rPr>
          <w:b/>
          <w:color w:val="0F243E" w:themeColor="text2" w:themeShade="80"/>
        </w:rPr>
        <w:t xml:space="preserve"> </w:t>
      </w:r>
    </w:p>
    <w:p w14:paraId="1466556F" w14:textId="77777777" w:rsidR="00BA1D96" w:rsidRDefault="00BA1D96" w:rsidP="00BA1D96">
      <w:pPr>
        <w:pStyle w:val="ListParagraph"/>
        <w:numPr>
          <w:ilvl w:val="0"/>
          <w:numId w:val="3"/>
        </w:numPr>
        <w:spacing w:before="0" w:after="200" w:line="276" w:lineRule="auto"/>
        <w:rPr>
          <w:i/>
        </w:rPr>
      </w:pPr>
      <w:bookmarkStart w:id="34" w:name="_Toc400017418"/>
      <w:bookmarkStart w:id="35" w:name="_Toc400018081"/>
      <w:r>
        <w:rPr>
          <w:i/>
        </w:rPr>
        <w:t>Allow</w:t>
      </w:r>
      <w:r w:rsidRPr="009445F8">
        <w:rPr>
          <w:i/>
        </w:rPr>
        <w:t xml:space="preserve"> </w:t>
      </w:r>
      <w:r>
        <w:rPr>
          <w:i/>
        </w:rPr>
        <w:t xml:space="preserve">the </w:t>
      </w:r>
      <w:r w:rsidRPr="009445F8">
        <w:rPr>
          <w:i/>
        </w:rPr>
        <w:t>ACMA to delegate spectrum management functions to other entities</w:t>
      </w:r>
      <w:bookmarkEnd w:id="34"/>
      <w:bookmarkEnd w:id="35"/>
      <w:r>
        <w:rPr>
          <w:i/>
        </w:rPr>
        <w:t>.</w:t>
      </w:r>
    </w:p>
    <w:p w14:paraId="14665570" w14:textId="77777777" w:rsidR="00BE70DB" w:rsidRDefault="00535AB6" w:rsidP="00535AB6">
      <w:pPr>
        <w:rPr>
          <w:b/>
          <w:color w:val="7030A0"/>
        </w:rPr>
      </w:pPr>
      <w:r w:rsidRPr="00BE70DB">
        <w:rPr>
          <w:b/>
          <w:color w:val="7030A0"/>
        </w:rPr>
        <w:t>Response:</w:t>
      </w:r>
    </w:p>
    <w:p w14:paraId="14665571" w14:textId="77777777" w:rsidR="00C72B29" w:rsidRDefault="00C72B29" w:rsidP="00535AB6">
      <w:pPr>
        <w:rPr>
          <w:b/>
          <w:color w:val="7030A0"/>
        </w:rPr>
      </w:pPr>
      <w:r>
        <w:rPr>
          <w:b/>
          <w:color w:val="7030A0"/>
        </w:rPr>
        <w:t>S</w:t>
      </w:r>
      <w:r w:rsidR="00535AB6" w:rsidRPr="00BE70DB">
        <w:rPr>
          <w:b/>
          <w:color w:val="7030A0"/>
        </w:rPr>
        <w:t>upport</w:t>
      </w:r>
      <w:r w:rsidR="00BE70DB">
        <w:rPr>
          <w:b/>
          <w:color w:val="7030A0"/>
        </w:rPr>
        <w:t xml:space="preserve"> </w:t>
      </w:r>
      <w:r>
        <w:rPr>
          <w:b/>
          <w:color w:val="7030A0"/>
        </w:rPr>
        <w:t xml:space="preserve">in part </w:t>
      </w:r>
      <w:r w:rsidR="00BE70DB">
        <w:rPr>
          <w:b/>
          <w:color w:val="7030A0"/>
        </w:rPr>
        <w:t>with respect to band mana</w:t>
      </w:r>
      <w:r>
        <w:rPr>
          <w:b/>
          <w:color w:val="7030A0"/>
        </w:rPr>
        <w:t>gement of HGS by jurisdictions.</w:t>
      </w:r>
    </w:p>
    <w:p w14:paraId="14665572" w14:textId="77777777" w:rsidR="00535AB6" w:rsidRPr="00BE70DB" w:rsidRDefault="00BE70DB" w:rsidP="00535AB6">
      <w:pPr>
        <w:rPr>
          <w:b/>
          <w:color w:val="7030A0"/>
        </w:rPr>
      </w:pPr>
      <w:r>
        <w:rPr>
          <w:b/>
          <w:color w:val="7030A0"/>
        </w:rPr>
        <w:t>T</w:t>
      </w:r>
      <w:r w:rsidR="00535AB6" w:rsidRPr="00BE70DB">
        <w:rPr>
          <w:b/>
          <w:color w:val="7030A0"/>
        </w:rPr>
        <w:t xml:space="preserve">he ACT has no existing capacity to fund </w:t>
      </w:r>
      <w:r w:rsidR="00F47FA6" w:rsidRPr="00BE70DB">
        <w:rPr>
          <w:b/>
          <w:color w:val="7030A0"/>
        </w:rPr>
        <w:t>or</w:t>
      </w:r>
      <w:r w:rsidR="00535AB6" w:rsidRPr="00BE70DB">
        <w:rPr>
          <w:b/>
          <w:color w:val="7030A0"/>
        </w:rPr>
        <w:t xml:space="preserve"> </w:t>
      </w:r>
      <w:r w:rsidR="001B7D8B" w:rsidRPr="00BE70DB">
        <w:rPr>
          <w:b/>
          <w:color w:val="7030A0"/>
        </w:rPr>
        <w:t>perform</w:t>
      </w:r>
      <w:r w:rsidR="00535AB6" w:rsidRPr="00BE70DB">
        <w:rPr>
          <w:b/>
          <w:color w:val="7030A0"/>
        </w:rPr>
        <w:t xml:space="preserve"> these new roles</w:t>
      </w:r>
      <w:r w:rsidR="00F47FA6" w:rsidRPr="00BE70DB">
        <w:rPr>
          <w:b/>
          <w:color w:val="7030A0"/>
        </w:rPr>
        <w:t xml:space="preserve"> in band management. It is also unlikely the revenue generated by charging users within ACT could cover even </w:t>
      </w:r>
      <w:r w:rsidR="001B7D8B" w:rsidRPr="00BE70DB">
        <w:rPr>
          <w:b/>
          <w:color w:val="7030A0"/>
        </w:rPr>
        <w:t>the employment of one</w:t>
      </w:r>
      <w:r w:rsidR="00F47FA6" w:rsidRPr="00BE70DB">
        <w:rPr>
          <w:b/>
          <w:color w:val="7030A0"/>
        </w:rPr>
        <w:t xml:space="preserve"> full time equivalent officer.</w:t>
      </w:r>
      <w:r w:rsidR="001B7D8B" w:rsidRPr="00BE70DB">
        <w:rPr>
          <w:b/>
          <w:color w:val="7030A0"/>
        </w:rPr>
        <w:t xml:space="preserve"> However, if NSW were to adopt band management functions, there will need to be effective policies and governance in place to ensure near border and regional spectrum assignment proposals are consulted and planned with ACT interests to ensure cross border compatibility. Further consultation will be required on alternate proposals for support ACT and smaller jurisdictions band management.  </w:t>
      </w:r>
    </w:p>
    <w:p w14:paraId="14665573" w14:textId="77777777" w:rsidR="00BA1D96" w:rsidRPr="00170974" w:rsidRDefault="00BA1D96" w:rsidP="00BA1D96">
      <w:pPr>
        <w:pStyle w:val="Bodytext-Indent"/>
        <w:ind w:left="0"/>
        <w:rPr>
          <w:b/>
          <w:color w:val="0F243E" w:themeColor="text2" w:themeShade="80"/>
        </w:rPr>
      </w:pPr>
      <w:bookmarkStart w:id="36" w:name="_Toc399422708"/>
      <w:bookmarkStart w:id="37" w:name="_Toc400017420"/>
      <w:bookmarkStart w:id="38" w:name="_Toc400018083"/>
      <w:bookmarkStart w:id="39" w:name="_Toc400441486"/>
      <w:bookmarkEnd w:id="32"/>
      <w:bookmarkEnd w:id="33"/>
      <w:r w:rsidRPr="00170974">
        <w:rPr>
          <w:b/>
          <w:color w:val="0F243E" w:themeColor="text2" w:themeShade="80"/>
        </w:rPr>
        <w:t xml:space="preserve">Proposal 9: </w:t>
      </w:r>
      <w:bookmarkEnd w:id="36"/>
      <w:bookmarkEnd w:id="37"/>
      <w:bookmarkEnd w:id="38"/>
      <w:bookmarkEnd w:id="39"/>
      <w:r>
        <w:rPr>
          <w:b/>
          <w:color w:val="0F243E" w:themeColor="text2" w:themeShade="80"/>
        </w:rPr>
        <w:t>Develop more principles-based device supply regulation</w:t>
      </w:r>
    </w:p>
    <w:p w14:paraId="14665574" w14:textId="77777777" w:rsidR="00BA1D96" w:rsidRDefault="00BA1D96" w:rsidP="00BA1D96">
      <w:pPr>
        <w:pStyle w:val="ListParagraph"/>
        <w:numPr>
          <w:ilvl w:val="0"/>
          <w:numId w:val="4"/>
        </w:numPr>
        <w:spacing w:before="120" w:after="120" w:line="276" w:lineRule="auto"/>
        <w:rPr>
          <w:i/>
          <w:iCs/>
        </w:rPr>
      </w:pPr>
      <w:r>
        <w:rPr>
          <w:i/>
          <w:iCs/>
        </w:rPr>
        <w:t>Provide the ACMA with increased flexibility to construct device supply schemes appropriate to specific circumstances.</w:t>
      </w:r>
    </w:p>
    <w:p w14:paraId="14665575" w14:textId="77777777" w:rsidR="00BA1D96" w:rsidRDefault="00BA1D96" w:rsidP="00BA1D96">
      <w:pPr>
        <w:pStyle w:val="ListParagraph"/>
        <w:numPr>
          <w:ilvl w:val="0"/>
          <w:numId w:val="4"/>
        </w:numPr>
        <w:autoSpaceDE w:val="0"/>
        <w:autoSpaceDN w:val="0"/>
        <w:spacing w:before="120" w:after="120"/>
      </w:pPr>
      <w:r>
        <w:rPr>
          <w:i/>
          <w:iCs/>
        </w:rPr>
        <w:t xml:space="preserve">Increase incentives for users and suppliers to manage risk and resolve interference and disputes in the market. </w:t>
      </w:r>
    </w:p>
    <w:p w14:paraId="14665576" w14:textId="77777777" w:rsidR="00BA1D96" w:rsidRDefault="00BA1D96" w:rsidP="00BA1D96">
      <w:pPr>
        <w:pStyle w:val="ListParagraph"/>
        <w:numPr>
          <w:ilvl w:val="0"/>
          <w:numId w:val="4"/>
        </w:numPr>
        <w:autoSpaceDE w:val="0"/>
        <w:autoSpaceDN w:val="0"/>
        <w:spacing w:before="120" w:after="120"/>
      </w:pPr>
      <w:r>
        <w:rPr>
          <w:i/>
          <w:iCs/>
        </w:rPr>
        <w:t>ACMA to develop and publish guidelines as to its dispute management process.</w:t>
      </w:r>
    </w:p>
    <w:p w14:paraId="14665577" w14:textId="77777777" w:rsidR="00BA1D96" w:rsidRDefault="00BA1D96" w:rsidP="00BA1D96">
      <w:pPr>
        <w:pStyle w:val="ListParagraph"/>
        <w:numPr>
          <w:ilvl w:val="0"/>
          <w:numId w:val="4"/>
        </w:numPr>
        <w:autoSpaceDE w:val="0"/>
        <w:autoSpaceDN w:val="0"/>
        <w:spacing w:before="120" w:after="120"/>
      </w:pPr>
      <w:r>
        <w:rPr>
          <w:i/>
          <w:iCs/>
        </w:rPr>
        <w:t>Minimise to the extent appropriate existing record-keeping and labelling requirements having regard to risk factors.</w:t>
      </w:r>
    </w:p>
    <w:p w14:paraId="14665578" w14:textId="77777777" w:rsidR="00BA1D96" w:rsidRPr="001B7D8B" w:rsidRDefault="00BA1D96" w:rsidP="00BA1D96">
      <w:pPr>
        <w:pStyle w:val="ListParagraph"/>
        <w:numPr>
          <w:ilvl w:val="0"/>
          <w:numId w:val="4"/>
        </w:numPr>
        <w:autoSpaceDE w:val="0"/>
        <w:autoSpaceDN w:val="0"/>
        <w:spacing w:before="120" w:after="120"/>
        <w:ind w:left="357" w:hanging="357"/>
        <w:contextualSpacing w:val="0"/>
      </w:pPr>
      <w:r>
        <w:rPr>
          <w:i/>
          <w:iCs/>
        </w:rPr>
        <w:t>Reform the definitions relating to supply to oblige all persons in the supply chain to take reasonable steps to ensure that compliant devices are supplied to the Australian market.</w:t>
      </w:r>
    </w:p>
    <w:p w14:paraId="14665579" w14:textId="77777777" w:rsidR="005440A0" w:rsidRPr="005440A0" w:rsidRDefault="001B7D8B" w:rsidP="001B7D8B">
      <w:pPr>
        <w:autoSpaceDE w:val="0"/>
        <w:autoSpaceDN w:val="0"/>
        <w:spacing w:before="120" w:after="120"/>
        <w:rPr>
          <w:b/>
          <w:color w:val="7030A0"/>
        </w:rPr>
      </w:pPr>
      <w:r w:rsidRPr="005440A0">
        <w:rPr>
          <w:b/>
          <w:color w:val="7030A0"/>
        </w:rPr>
        <w:lastRenderedPageBreak/>
        <w:t>Response:</w:t>
      </w:r>
    </w:p>
    <w:p w14:paraId="1466557A" w14:textId="77777777" w:rsidR="005440A0" w:rsidRDefault="001B7D8B" w:rsidP="001B7D8B">
      <w:pPr>
        <w:autoSpaceDE w:val="0"/>
        <w:autoSpaceDN w:val="0"/>
        <w:spacing w:before="120" w:after="120"/>
        <w:rPr>
          <w:b/>
          <w:color w:val="7030A0"/>
        </w:rPr>
      </w:pPr>
      <w:r w:rsidRPr="005440A0">
        <w:rPr>
          <w:b/>
          <w:color w:val="7030A0"/>
        </w:rPr>
        <w:t>Supported</w:t>
      </w:r>
    </w:p>
    <w:p w14:paraId="1466557B" w14:textId="77777777" w:rsidR="001B7D8B" w:rsidRPr="005440A0" w:rsidRDefault="00D20F52" w:rsidP="001B7D8B">
      <w:pPr>
        <w:autoSpaceDE w:val="0"/>
        <w:autoSpaceDN w:val="0"/>
        <w:spacing w:before="120" w:after="120"/>
        <w:rPr>
          <w:b/>
          <w:color w:val="7030A0"/>
        </w:rPr>
      </w:pPr>
      <w:r w:rsidRPr="005440A0">
        <w:rPr>
          <w:b/>
          <w:color w:val="7030A0"/>
        </w:rPr>
        <w:t>I</w:t>
      </w:r>
      <w:r w:rsidR="001B7D8B" w:rsidRPr="005440A0">
        <w:rPr>
          <w:b/>
          <w:color w:val="7030A0"/>
        </w:rPr>
        <w:t xml:space="preserve">nterference in government radio networks by non-compliant devices is a current issue that the ACT does not have existing tools to trace and remediate. </w:t>
      </w:r>
    </w:p>
    <w:p w14:paraId="1466557C" w14:textId="77777777" w:rsidR="00BA1D96" w:rsidRPr="00170974" w:rsidRDefault="00BA1D96" w:rsidP="00BA1D96">
      <w:pPr>
        <w:pStyle w:val="Bodytext-Indent"/>
        <w:ind w:left="0"/>
        <w:rPr>
          <w:b/>
          <w:color w:val="0F243E" w:themeColor="text2" w:themeShade="80"/>
        </w:rPr>
      </w:pPr>
      <w:bookmarkStart w:id="40" w:name="_Toc399422710"/>
      <w:bookmarkStart w:id="41" w:name="_Toc400017422"/>
      <w:bookmarkStart w:id="42" w:name="_Toc400018085"/>
      <w:bookmarkStart w:id="43" w:name="_Toc400441488"/>
      <w:r w:rsidRPr="00170974">
        <w:rPr>
          <w:b/>
          <w:color w:val="0F243E" w:themeColor="text2" w:themeShade="80"/>
        </w:rPr>
        <w:t>Proposal 10: Improve regulation by extending the suite of enforcement measures available to the ACMA</w:t>
      </w:r>
      <w:bookmarkEnd w:id="40"/>
      <w:bookmarkEnd w:id="41"/>
      <w:bookmarkEnd w:id="42"/>
      <w:bookmarkEnd w:id="43"/>
    </w:p>
    <w:p w14:paraId="1466557D" w14:textId="77777777" w:rsidR="00BA1D96" w:rsidRPr="00173772" w:rsidRDefault="00BA1D96" w:rsidP="00BA1D96">
      <w:pPr>
        <w:pStyle w:val="ListParagraph"/>
        <w:numPr>
          <w:ilvl w:val="0"/>
          <w:numId w:val="4"/>
        </w:numPr>
        <w:spacing w:before="120" w:after="120" w:line="276" w:lineRule="auto"/>
        <w:rPr>
          <w:rFonts w:eastAsia="Times New Roman"/>
          <w:i/>
        </w:rPr>
      </w:pPr>
      <w:r w:rsidRPr="00173772">
        <w:rPr>
          <w:rFonts w:eastAsia="Times New Roman"/>
          <w:i/>
        </w:rPr>
        <w:t>Substitute civil penalties for the existing criminal offences</w:t>
      </w:r>
      <w:r>
        <w:rPr>
          <w:rFonts w:eastAsia="Times New Roman"/>
          <w:i/>
        </w:rPr>
        <w:t>,</w:t>
      </w:r>
      <w:r w:rsidRPr="00173772">
        <w:rPr>
          <w:rFonts w:eastAsia="Times New Roman"/>
          <w:i/>
        </w:rPr>
        <w:t xml:space="preserve"> where appropriate.</w:t>
      </w:r>
    </w:p>
    <w:p w14:paraId="1466557E" w14:textId="77777777" w:rsidR="00BA1D96" w:rsidRPr="00173772" w:rsidRDefault="00BA1D96" w:rsidP="00BA1D96">
      <w:pPr>
        <w:pStyle w:val="ListParagraph"/>
        <w:numPr>
          <w:ilvl w:val="0"/>
          <w:numId w:val="4"/>
        </w:numPr>
        <w:spacing w:before="120" w:after="120" w:line="276" w:lineRule="auto"/>
        <w:rPr>
          <w:rFonts w:eastAsia="Times New Roman"/>
          <w:i/>
        </w:rPr>
      </w:pPr>
      <w:r w:rsidRPr="00173772">
        <w:rPr>
          <w:rFonts w:eastAsia="Times New Roman"/>
          <w:i/>
        </w:rPr>
        <w:t xml:space="preserve">Enable the ACMA to impose </w:t>
      </w:r>
      <w:r w:rsidRPr="00173772">
        <w:rPr>
          <w:i/>
        </w:rPr>
        <w:t>civil</w:t>
      </w:r>
      <w:r w:rsidRPr="00173772">
        <w:rPr>
          <w:rFonts w:eastAsia="Times New Roman"/>
          <w:i/>
        </w:rPr>
        <w:t xml:space="preserve"> penalties, issue remedial directions and formal warnings for </w:t>
      </w:r>
      <w:r>
        <w:rPr>
          <w:rFonts w:eastAsia="Times New Roman"/>
          <w:i/>
        </w:rPr>
        <w:t xml:space="preserve">the purposes of managing and controlling interference or a </w:t>
      </w:r>
      <w:r w:rsidRPr="00173772">
        <w:rPr>
          <w:rFonts w:eastAsia="Times New Roman"/>
          <w:i/>
        </w:rPr>
        <w:t>breach of licen</w:t>
      </w:r>
      <w:r>
        <w:rPr>
          <w:rFonts w:eastAsia="Times New Roman"/>
          <w:i/>
        </w:rPr>
        <w:t>c</w:t>
      </w:r>
      <w:r w:rsidRPr="00173772">
        <w:rPr>
          <w:rFonts w:eastAsia="Times New Roman"/>
          <w:i/>
        </w:rPr>
        <w:t>e conditions.</w:t>
      </w:r>
    </w:p>
    <w:p w14:paraId="1466557F" w14:textId="77777777" w:rsidR="00BA1D96" w:rsidRPr="00173772" w:rsidRDefault="00BA1D96" w:rsidP="00BA1D96">
      <w:pPr>
        <w:pStyle w:val="ListParagraph"/>
        <w:numPr>
          <w:ilvl w:val="0"/>
          <w:numId w:val="4"/>
        </w:numPr>
        <w:spacing w:before="120" w:after="120" w:line="276" w:lineRule="auto"/>
        <w:rPr>
          <w:rFonts w:eastAsia="Times New Roman"/>
          <w:i/>
        </w:rPr>
      </w:pPr>
      <w:r w:rsidRPr="00173772">
        <w:rPr>
          <w:rFonts w:eastAsia="Times New Roman"/>
          <w:i/>
        </w:rPr>
        <w:t xml:space="preserve">Apply </w:t>
      </w:r>
      <w:r w:rsidRPr="00173772">
        <w:rPr>
          <w:i/>
        </w:rPr>
        <w:t>strict liability provisions and infringement notices to a broader rang</w:t>
      </w:r>
      <w:r>
        <w:rPr>
          <w:i/>
        </w:rPr>
        <w:t>e of offences where appropriate, for example,</w:t>
      </w:r>
      <w:r w:rsidRPr="00173772">
        <w:rPr>
          <w:i/>
        </w:rPr>
        <w:t xml:space="preserve"> operation of prohibited devices and interference endangering safety.</w:t>
      </w:r>
    </w:p>
    <w:p w14:paraId="14665580" w14:textId="77777777" w:rsidR="00BA1D96" w:rsidRPr="00173772" w:rsidRDefault="00BA1D96" w:rsidP="00BA1D96">
      <w:pPr>
        <w:pStyle w:val="ListParagraph"/>
        <w:numPr>
          <w:ilvl w:val="0"/>
          <w:numId w:val="4"/>
        </w:numPr>
        <w:spacing w:before="120" w:after="120" w:line="276" w:lineRule="auto"/>
        <w:rPr>
          <w:rFonts w:eastAsia="Times New Roman"/>
          <w:i/>
        </w:rPr>
      </w:pPr>
      <w:r w:rsidRPr="00173772">
        <w:rPr>
          <w:i/>
        </w:rPr>
        <w:t xml:space="preserve">Provide the ACMA with powers to issue recalls, interim bans </w:t>
      </w:r>
      <w:r w:rsidRPr="00173772">
        <w:rPr>
          <w:rFonts w:eastAsia="Times New Roman"/>
          <w:i/>
        </w:rPr>
        <w:t xml:space="preserve">formal warnings </w:t>
      </w:r>
      <w:r>
        <w:rPr>
          <w:rFonts w:eastAsia="Times New Roman"/>
          <w:i/>
        </w:rPr>
        <w:t xml:space="preserve">and public warnings </w:t>
      </w:r>
      <w:r w:rsidRPr="00173772">
        <w:rPr>
          <w:i/>
        </w:rPr>
        <w:t>to manage the supply of non-compliant devices.</w:t>
      </w:r>
    </w:p>
    <w:p w14:paraId="14665581" w14:textId="77777777" w:rsidR="005440A0" w:rsidRPr="005440A0" w:rsidRDefault="005440A0" w:rsidP="005440A0">
      <w:pPr>
        <w:autoSpaceDE w:val="0"/>
        <w:autoSpaceDN w:val="0"/>
        <w:spacing w:before="120" w:after="120"/>
        <w:rPr>
          <w:b/>
          <w:color w:val="7030A0"/>
        </w:rPr>
      </w:pPr>
      <w:bookmarkStart w:id="44" w:name="_Toc399223286"/>
      <w:bookmarkStart w:id="45" w:name="_Toc399422713"/>
      <w:bookmarkStart w:id="46" w:name="_Toc400017425"/>
      <w:bookmarkStart w:id="47" w:name="_Toc400018088"/>
      <w:bookmarkStart w:id="48" w:name="_Toc400441491"/>
      <w:r w:rsidRPr="005440A0">
        <w:rPr>
          <w:b/>
          <w:color w:val="7030A0"/>
        </w:rPr>
        <w:t>Response:</w:t>
      </w:r>
    </w:p>
    <w:p w14:paraId="14665582" w14:textId="77777777" w:rsidR="005440A0" w:rsidRPr="005440A0" w:rsidRDefault="005440A0" w:rsidP="005440A0">
      <w:pPr>
        <w:autoSpaceDE w:val="0"/>
        <w:autoSpaceDN w:val="0"/>
        <w:spacing w:before="120" w:after="120"/>
        <w:rPr>
          <w:b/>
          <w:color w:val="7030A0"/>
        </w:rPr>
      </w:pPr>
      <w:r w:rsidRPr="005440A0">
        <w:rPr>
          <w:b/>
          <w:color w:val="7030A0"/>
        </w:rPr>
        <w:t>Supported</w:t>
      </w:r>
    </w:p>
    <w:p w14:paraId="14665583" w14:textId="77777777" w:rsidR="00BA1D96" w:rsidRDefault="00BA1D96" w:rsidP="00BA1D96">
      <w:pPr>
        <w:pStyle w:val="Bodytext-Indent"/>
        <w:ind w:left="0"/>
        <w:rPr>
          <w:rFonts w:eastAsia="Times New Roman"/>
          <w:i/>
        </w:rPr>
      </w:pPr>
      <w:r w:rsidRPr="00170974">
        <w:rPr>
          <w:b/>
          <w:color w:val="0F243E" w:themeColor="text2" w:themeShade="80"/>
        </w:rPr>
        <w:t>Proposal 1</w:t>
      </w:r>
      <w:r>
        <w:rPr>
          <w:b/>
          <w:color w:val="0F243E" w:themeColor="text2" w:themeShade="80"/>
        </w:rPr>
        <w:t>1</w:t>
      </w:r>
      <w:r w:rsidRPr="00170974">
        <w:rPr>
          <w:b/>
          <w:color w:val="0F243E" w:themeColor="text2" w:themeShade="80"/>
        </w:rPr>
        <w:t xml:space="preserve">: The ACMA to </w:t>
      </w:r>
      <w:r>
        <w:rPr>
          <w:b/>
          <w:color w:val="0F243E" w:themeColor="text2" w:themeShade="80"/>
        </w:rPr>
        <w:t xml:space="preserve">continually review options for allocating spectrum to alternative / higher value uses and to ensure that barriers to achieving this are reviewed and removed where appropriate </w:t>
      </w:r>
      <w:bookmarkEnd w:id="44"/>
      <w:bookmarkEnd w:id="45"/>
      <w:bookmarkEnd w:id="46"/>
      <w:bookmarkEnd w:id="47"/>
      <w:bookmarkEnd w:id="48"/>
      <w:r w:rsidRPr="00453E3E">
        <w:rPr>
          <w:rFonts w:eastAsia="Times New Roman"/>
          <w:i/>
        </w:rPr>
        <w:t xml:space="preserve"> </w:t>
      </w:r>
    </w:p>
    <w:p w14:paraId="14665584" w14:textId="77777777" w:rsidR="005440A0" w:rsidRPr="005440A0" w:rsidRDefault="00D20F52" w:rsidP="00D20F52">
      <w:pPr>
        <w:pStyle w:val="BodyText"/>
        <w:rPr>
          <w:b/>
          <w:color w:val="7030A0"/>
        </w:rPr>
      </w:pPr>
      <w:r w:rsidRPr="005440A0">
        <w:rPr>
          <w:b/>
          <w:color w:val="7030A0"/>
        </w:rPr>
        <w:t>Response:</w:t>
      </w:r>
    </w:p>
    <w:p w14:paraId="14665585" w14:textId="77777777" w:rsidR="005440A0" w:rsidRPr="005440A0" w:rsidRDefault="00D20F52" w:rsidP="00D20F52">
      <w:pPr>
        <w:pStyle w:val="BodyText"/>
        <w:rPr>
          <w:b/>
          <w:color w:val="7030A0"/>
        </w:rPr>
      </w:pPr>
      <w:r w:rsidRPr="005440A0">
        <w:rPr>
          <w:b/>
          <w:color w:val="7030A0"/>
        </w:rPr>
        <w:t>Suppor</w:t>
      </w:r>
      <w:r w:rsidR="005440A0" w:rsidRPr="005440A0">
        <w:rPr>
          <w:b/>
          <w:color w:val="7030A0"/>
        </w:rPr>
        <w:t>ted</w:t>
      </w:r>
    </w:p>
    <w:p w14:paraId="14665586" w14:textId="77777777" w:rsidR="00D20F52" w:rsidRPr="005440A0" w:rsidRDefault="008D0E41" w:rsidP="00D20F52">
      <w:pPr>
        <w:pStyle w:val="BodyText"/>
        <w:rPr>
          <w:b/>
          <w:color w:val="7030A0"/>
        </w:rPr>
      </w:pPr>
      <w:r>
        <w:rPr>
          <w:b/>
          <w:color w:val="7030A0"/>
        </w:rPr>
        <w:lastRenderedPageBreak/>
        <w:t xml:space="preserve">The </w:t>
      </w:r>
      <w:r w:rsidR="005440A0" w:rsidRPr="005440A0">
        <w:rPr>
          <w:b/>
          <w:color w:val="7030A0"/>
        </w:rPr>
        <w:t xml:space="preserve">ACT Emergency </w:t>
      </w:r>
      <w:r w:rsidR="00D20F52" w:rsidRPr="005440A0">
        <w:rPr>
          <w:b/>
          <w:color w:val="7030A0"/>
        </w:rPr>
        <w:t xml:space="preserve">Services </w:t>
      </w:r>
      <w:r>
        <w:rPr>
          <w:b/>
          <w:color w:val="7030A0"/>
        </w:rPr>
        <w:t xml:space="preserve">Agency </w:t>
      </w:r>
      <w:r w:rsidR="00D20F52" w:rsidRPr="005440A0">
        <w:rPr>
          <w:b/>
          <w:color w:val="7030A0"/>
        </w:rPr>
        <w:t>is still interested in pursuing the use of bands within this range for Publi</w:t>
      </w:r>
      <w:r w:rsidR="005440A0">
        <w:rPr>
          <w:b/>
          <w:color w:val="7030A0"/>
        </w:rPr>
        <w:t>c Safety Mobile Broadband</w:t>
      </w:r>
      <w:r w:rsidR="00D20F52" w:rsidRPr="005440A0">
        <w:rPr>
          <w:b/>
          <w:color w:val="7030A0"/>
        </w:rPr>
        <w:t>.</w:t>
      </w:r>
      <w:r w:rsidR="007E2B2E" w:rsidRPr="005440A0">
        <w:rPr>
          <w:b/>
          <w:color w:val="7030A0"/>
        </w:rPr>
        <w:t xml:space="preserve"> The ACT is willing to participate in any discussion and consultation with Department of Communications, ACMA and/or the Productivity Commission about the socio-economic benefits of having discret</w:t>
      </w:r>
      <w:r w:rsidR="00613F52">
        <w:rPr>
          <w:b/>
          <w:color w:val="7030A0"/>
        </w:rPr>
        <w:t>e</w:t>
      </w:r>
      <w:r w:rsidR="007E2B2E" w:rsidRPr="005440A0">
        <w:rPr>
          <w:b/>
          <w:color w:val="7030A0"/>
        </w:rPr>
        <w:t xml:space="preserve"> bands for government and public safety</w:t>
      </w:r>
      <w:r w:rsidR="005440A0">
        <w:rPr>
          <w:b/>
          <w:color w:val="7030A0"/>
        </w:rPr>
        <w:t>.</w:t>
      </w:r>
    </w:p>
    <w:p w14:paraId="14665587" w14:textId="77777777" w:rsidR="0080407C" w:rsidRPr="00613F52" w:rsidRDefault="00613F52" w:rsidP="0080407C">
      <w:pPr>
        <w:pStyle w:val="ShortT"/>
        <w:spacing w:before="240"/>
        <w:rPr>
          <w:rFonts w:asciiTheme="minorHAnsi" w:hAnsiTheme="minorHAnsi"/>
          <w:sz w:val="22"/>
          <w:szCs w:val="22"/>
        </w:rPr>
      </w:pPr>
      <w:bookmarkStart w:id="49" w:name="_Toc219696665"/>
      <w:r>
        <w:rPr>
          <w:rFonts w:asciiTheme="minorHAnsi" w:hAnsiTheme="minorHAnsi"/>
          <w:sz w:val="22"/>
          <w:szCs w:val="22"/>
        </w:rPr>
        <w:t>Excerpt:</w:t>
      </w:r>
      <w:r>
        <w:rPr>
          <w:rFonts w:asciiTheme="minorHAnsi" w:hAnsiTheme="minorHAnsi"/>
          <w:sz w:val="22"/>
          <w:szCs w:val="22"/>
        </w:rPr>
        <w:br/>
      </w:r>
      <w:r w:rsidR="0080407C" w:rsidRPr="008D0E41">
        <w:rPr>
          <w:rFonts w:asciiTheme="minorHAnsi" w:hAnsiTheme="minorHAnsi"/>
          <w:i/>
          <w:sz w:val="22"/>
          <w:szCs w:val="22"/>
        </w:rPr>
        <w:t>Radio</w:t>
      </w:r>
      <w:r w:rsidR="002A0018">
        <w:rPr>
          <w:rFonts w:asciiTheme="minorHAnsi" w:hAnsiTheme="minorHAnsi"/>
          <w:i/>
          <w:sz w:val="22"/>
          <w:szCs w:val="22"/>
        </w:rPr>
        <w:t xml:space="preserve"> C</w:t>
      </w:r>
      <w:r w:rsidR="0080407C" w:rsidRPr="008D0E41">
        <w:rPr>
          <w:rFonts w:asciiTheme="minorHAnsi" w:hAnsiTheme="minorHAnsi"/>
          <w:i/>
          <w:sz w:val="22"/>
          <w:szCs w:val="22"/>
        </w:rPr>
        <w:t>ommunications Act 1992</w:t>
      </w:r>
    </w:p>
    <w:p w14:paraId="14665588" w14:textId="77777777" w:rsidR="0080407C" w:rsidRPr="00613F52" w:rsidRDefault="0080407C" w:rsidP="0080407C">
      <w:pPr>
        <w:pStyle w:val="Actno"/>
        <w:rPr>
          <w:rFonts w:asciiTheme="minorHAnsi" w:hAnsiTheme="minorHAnsi"/>
          <w:sz w:val="22"/>
          <w:szCs w:val="22"/>
        </w:rPr>
      </w:pPr>
      <w:r w:rsidRPr="00613F52">
        <w:rPr>
          <w:rFonts w:asciiTheme="minorHAnsi" w:hAnsiTheme="minorHAnsi"/>
          <w:sz w:val="22"/>
          <w:szCs w:val="22"/>
        </w:rPr>
        <w:t>Act No. 174 of 1992 as amended</w:t>
      </w:r>
    </w:p>
    <w:p w14:paraId="14665589" w14:textId="77777777" w:rsidR="0080407C" w:rsidRPr="00613F52" w:rsidRDefault="0080407C" w:rsidP="0080407C">
      <w:pPr>
        <w:pStyle w:val="ActHead2"/>
        <w:rPr>
          <w:rFonts w:asciiTheme="minorHAnsi" w:hAnsiTheme="minorHAnsi"/>
          <w:sz w:val="22"/>
          <w:szCs w:val="22"/>
        </w:rPr>
      </w:pPr>
      <w:r w:rsidRPr="00613F52">
        <w:rPr>
          <w:rStyle w:val="CharPartNo"/>
          <w:rFonts w:asciiTheme="minorHAnsi" w:hAnsiTheme="minorHAnsi"/>
          <w:sz w:val="22"/>
          <w:szCs w:val="22"/>
        </w:rPr>
        <w:t>Part 1.2</w:t>
      </w:r>
      <w:r w:rsidRPr="00613F52">
        <w:rPr>
          <w:rFonts w:asciiTheme="minorHAnsi" w:hAnsiTheme="minorHAnsi"/>
          <w:sz w:val="22"/>
          <w:szCs w:val="22"/>
        </w:rPr>
        <w:t>—</w:t>
      </w:r>
      <w:r w:rsidRPr="00613F52">
        <w:rPr>
          <w:rStyle w:val="CharPartText"/>
          <w:rFonts w:asciiTheme="minorHAnsi" w:hAnsiTheme="minorHAnsi"/>
          <w:sz w:val="22"/>
          <w:szCs w:val="22"/>
        </w:rPr>
        <w:t>Object of this Act</w:t>
      </w:r>
      <w:bookmarkEnd w:id="49"/>
    </w:p>
    <w:p w14:paraId="1466558A" w14:textId="77777777" w:rsidR="0080407C" w:rsidRPr="00613F52" w:rsidRDefault="0080407C" w:rsidP="0080407C">
      <w:pPr>
        <w:pStyle w:val="Header"/>
        <w:rPr>
          <w:rFonts w:asciiTheme="minorHAnsi" w:hAnsiTheme="minorHAnsi"/>
          <w:sz w:val="22"/>
          <w:szCs w:val="22"/>
        </w:rPr>
      </w:pPr>
      <w:r w:rsidRPr="00613F52">
        <w:rPr>
          <w:rStyle w:val="CharDivNo"/>
          <w:rFonts w:asciiTheme="minorHAnsi" w:hAnsiTheme="minorHAnsi"/>
          <w:sz w:val="22"/>
          <w:szCs w:val="22"/>
        </w:rPr>
        <w:t xml:space="preserve"> </w:t>
      </w:r>
      <w:r w:rsidRPr="00613F52">
        <w:rPr>
          <w:rStyle w:val="CharDivText"/>
          <w:rFonts w:asciiTheme="minorHAnsi" w:hAnsiTheme="minorHAnsi"/>
          <w:sz w:val="22"/>
          <w:szCs w:val="22"/>
        </w:rPr>
        <w:t xml:space="preserve"> </w:t>
      </w:r>
    </w:p>
    <w:p w14:paraId="1466558B" w14:textId="77777777" w:rsidR="0080407C" w:rsidRPr="00613F52" w:rsidRDefault="0080407C" w:rsidP="0080407C">
      <w:pPr>
        <w:pStyle w:val="ActHead5"/>
        <w:rPr>
          <w:rFonts w:asciiTheme="minorHAnsi" w:hAnsiTheme="minorHAnsi"/>
          <w:sz w:val="22"/>
          <w:szCs w:val="22"/>
        </w:rPr>
      </w:pPr>
      <w:bookmarkStart w:id="50" w:name="_Toc219696666"/>
      <w:r w:rsidRPr="00613F52">
        <w:rPr>
          <w:rStyle w:val="CharSectno"/>
          <w:rFonts w:asciiTheme="minorHAnsi" w:hAnsiTheme="minorHAnsi"/>
          <w:sz w:val="22"/>
          <w:szCs w:val="22"/>
        </w:rPr>
        <w:t>3</w:t>
      </w:r>
      <w:r w:rsidRPr="00613F52">
        <w:rPr>
          <w:rFonts w:asciiTheme="minorHAnsi" w:hAnsiTheme="minorHAnsi"/>
          <w:sz w:val="22"/>
          <w:szCs w:val="22"/>
        </w:rPr>
        <w:t xml:space="preserve">  The object of this Act</w:t>
      </w:r>
      <w:bookmarkEnd w:id="50"/>
    </w:p>
    <w:p w14:paraId="1466558C" w14:textId="77777777" w:rsidR="0080407C" w:rsidRPr="00613F52" w:rsidRDefault="0080407C" w:rsidP="0080407C">
      <w:pPr>
        <w:pStyle w:val="subsection"/>
        <w:rPr>
          <w:rFonts w:asciiTheme="minorHAnsi" w:hAnsiTheme="minorHAnsi"/>
          <w:szCs w:val="22"/>
        </w:rPr>
      </w:pPr>
      <w:r w:rsidRPr="00613F52">
        <w:rPr>
          <w:rFonts w:asciiTheme="minorHAnsi" w:hAnsiTheme="minorHAnsi"/>
          <w:szCs w:val="22"/>
        </w:rPr>
        <w:tab/>
      </w:r>
      <w:r w:rsidRPr="00613F52">
        <w:rPr>
          <w:rFonts w:asciiTheme="minorHAnsi" w:hAnsiTheme="minorHAnsi"/>
          <w:szCs w:val="22"/>
        </w:rPr>
        <w:tab/>
        <w:t>The object of this Act is to provide for management of the radiofrequency spectrum in order to:</w:t>
      </w:r>
    </w:p>
    <w:p w14:paraId="1466558D" w14:textId="77777777" w:rsidR="0080407C" w:rsidRPr="00C72B29" w:rsidRDefault="0080407C" w:rsidP="0080407C">
      <w:pPr>
        <w:pStyle w:val="paragraph"/>
        <w:rPr>
          <w:rFonts w:asciiTheme="minorHAnsi" w:hAnsiTheme="minorHAnsi"/>
          <w:szCs w:val="22"/>
        </w:rPr>
      </w:pPr>
      <w:r w:rsidRPr="00613F52">
        <w:rPr>
          <w:rFonts w:asciiTheme="minorHAnsi" w:hAnsiTheme="minorHAnsi"/>
          <w:szCs w:val="22"/>
        </w:rPr>
        <w:tab/>
      </w:r>
      <w:r w:rsidRPr="00C72B29">
        <w:rPr>
          <w:rFonts w:asciiTheme="minorHAnsi" w:hAnsiTheme="minorHAnsi"/>
          <w:szCs w:val="22"/>
        </w:rPr>
        <w:t>(a)</w:t>
      </w:r>
      <w:r w:rsidRPr="00C72B29">
        <w:rPr>
          <w:rFonts w:asciiTheme="minorHAnsi" w:hAnsiTheme="minorHAnsi"/>
          <w:szCs w:val="22"/>
        </w:rPr>
        <w:tab/>
        <w:t>maximise, by ensuring the efficient allocation and use of the spectrum, the overall public benefit derived from using the radiofrequency spectrum;</w:t>
      </w:r>
    </w:p>
    <w:p w14:paraId="1466558E" w14:textId="77777777" w:rsidR="0080407C" w:rsidRPr="00C72B29" w:rsidRDefault="0080407C" w:rsidP="0080407C">
      <w:pPr>
        <w:pStyle w:val="paragraph"/>
        <w:rPr>
          <w:rFonts w:asciiTheme="minorHAnsi" w:hAnsiTheme="minorHAnsi"/>
          <w:szCs w:val="22"/>
        </w:rPr>
      </w:pPr>
      <w:r w:rsidRPr="00C72B29">
        <w:rPr>
          <w:rFonts w:asciiTheme="minorHAnsi" w:hAnsiTheme="minorHAnsi"/>
          <w:szCs w:val="22"/>
        </w:rPr>
        <w:tab/>
        <w:t>(b)</w:t>
      </w:r>
      <w:r w:rsidRPr="00C72B29">
        <w:rPr>
          <w:rFonts w:asciiTheme="minorHAnsi" w:hAnsiTheme="minorHAnsi"/>
          <w:szCs w:val="22"/>
        </w:rPr>
        <w:tab/>
        <w:t>make adequate provision of the spectrum:</w:t>
      </w:r>
    </w:p>
    <w:p w14:paraId="1466558F" w14:textId="77777777" w:rsidR="0080407C" w:rsidRPr="00C72B29" w:rsidRDefault="0080407C" w:rsidP="0080407C">
      <w:pPr>
        <w:pStyle w:val="paragraphsub"/>
        <w:rPr>
          <w:rFonts w:asciiTheme="minorHAnsi" w:hAnsiTheme="minorHAnsi"/>
          <w:szCs w:val="22"/>
        </w:rPr>
      </w:pPr>
      <w:r w:rsidRPr="00C72B29">
        <w:rPr>
          <w:rFonts w:asciiTheme="minorHAnsi" w:hAnsiTheme="minorHAnsi"/>
          <w:szCs w:val="22"/>
        </w:rPr>
        <w:tab/>
        <w:t>(i)</w:t>
      </w:r>
      <w:r w:rsidRPr="00C72B29">
        <w:rPr>
          <w:rFonts w:asciiTheme="minorHAnsi" w:hAnsiTheme="minorHAnsi"/>
          <w:szCs w:val="22"/>
        </w:rPr>
        <w:tab/>
        <w:t>for use by agencies involved in the defence or national security of Australia, law enforcement or the provision of emergency services; and</w:t>
      </w:r>
    </w:p>
    <w:p w14:paraId="14665590" w14:textId="77777777" w:rsidR="0080407C" w:rsidRPr="00C72B29" w:rsidRDefault="0080407C" w:rsidP="0080407C">
      <w:pPr>
        <w:pStyle w:val="paragraphsub"/>
        <w:rPr>
          <w:rFonts w:asciiTheme="minorHAnsi" w:hAnsiTheme="minorHAnsi"/>
          <w:szCs w:val="22"/>
        </w:rPr>
      </w:pPr>
      <w:r w:rsidRPr="00C72B29">
        <w:rPr>
          <w:rFonts w:asciiTheme="minorHAnsi" w:hAnsiTheme="minorHAnsi"/>
          <w:szCs w:val="22"/>
        </w:rPr>
        <w:tab/>
        <w:t>(ii)</w:t>
      </w:r>
      <w:r w:rsidRPr="00C72B29">
        <w:rPr>
          <w:rFonts w:asciiTheme="minorHAnsi" w:hAnsiTheme="minorHAnsi"/>
          <w:szCs w:val="22"/>
        </w:rPr>
        <w:tab/>
        <w:t>for use by other public or community services;</w:t>
      </w:r>
    </w:p>
    <w:p w14:paraId="14665591" w14:textId="77777777" w:rsidR="0080407C" w:rsidRPr="00613F52" w:rsidRDefault="0080407C" w:rsidP="0080407C">
      <w:pPr>
        <w:pStyle w:val="paragraph"/>
        <w:rPr>
          <w:rFonts w:asciiTheme="minorHAnsi" w:hAnsiTheme="minorHAnsi"/>
          <w:szCs w:val="22"/>
        </w:rPr>
      </w:pPr>
      <w:r w:rsidRPr="00C72B29">
        <w:rPr>
          <w:rFonts w:asciiTheme="minorHAnsi" w:hAnsiTheme="minorHAnsi"/>
          <w:szCs w:val="22"/>
        </w:rPr>
        <w:tab/>
        <w:t>(c)</w:t>
      </w:r>
      <w:r w:rsidRPr="00C72B29">
        <w:rPr>
          <w:rFonts w:asciiTheme="minorHAnsi" w:hAnsiTheme="minorHAnsi"/>
          <w:szCs w:val="22"/>
        </w:rPr>
        <w:tab/>
        <w:t>provide a responsive and flexible approach to meeting the needs of users of the spectrum;</w:t>
      </w:r>
    </w:p>
    <w:p w14:paraId="14665592" w14:textId="77777777" w:rsidR="0080407C" w:rsidRPr="00613F52" w:rsidRDefault="0080407C" w:rsidP="0080407C">
      <w:pPr>
        <w:pStyle w:val="paragraph"/>
        <w:rPr>
          <w:rFonts w:asciiTheme="minorHAnsi" w:hAnsiTheme="minorHAnsi"/>
          <w:szCs w:val="22"/>
        </w:rPr>
      </w:pPr>
      <w:r w:rsidRPr="00613F52">
        <w:rPr>
          <w:rFonts w:asciiTheme="minorHAnsi" w:hAnsiTheme="minorHAnsi"/>
          <w:szCs w:val="22"/>
        </w:rPr>
        <w:tab/>
        <w:t>(d)</w:t>
      </w:r>
      <w:r w:rsidRPr="00613F52">
        <w:rPr>
          <w:rFonts w:asciiTheme="minorHAnsi" w:hAnsiTheme="minorHAnsi"/>
          <w:szCs w:val="22"/>
        </w:rPr>
        <w:tab/>
        <w:t>encourage the use of efficient radio</w:t>
      </w:r>
      <w:r w:rsidR="002A0018">
        <w:rPr>
          <w:rFonts w:asciiTheme="minorHAnsi" w:hAnsiTheme="minorHAnsi"/>
          <w:szCs w:val="22"/>
        </w:rPr>
        <w:t xml:space="preserve"> </w:t>
      </w:r>
      <w:r w:rsidRPr="00613F52">
        <w:rPr>
          <w:rFonts w:asciiTheme="minorHAnsi" w:hAnsiTheme="minorHAnsi"/>
          <w:szCs w:val="22"/>
        </w:rPr>
        <w:t>communication technologies so that a wide range of services of an adequate quality can be provided;</w:t>
      </w:r>
    </w:p>
    <w:p w14:paraId="14665593" w14:textId="77777777" w:rsidR="0080407C" w:rsidRPr="00613F52" w:rsidRDefault="0080407C" w:rsidP="0080407C">
      <w:pPr>
        <w:pStyle w:val="paragraph"/>
        <w:rPr>
          <w:rFonts w:asciiTheme="minorHAnsi" w:hAnsiTheme="minorHAnsi"/>
          <w:szCs w:val="22"/>
        </w:rPr>
      </w:pPr>
      <w:r w:rsidRPr="00613F52">
        <w:rPr>
          <w:rFonts w:asciiTheme="minorHAnsi" w:hAnsiTheme="minorHAnsi"/>
          <w:szCs w:val="22"/>
        </w:rPr>
        <w:lastRenderedPageBreak/>
        <w:tab/>
      </w:r>
      <w:r w:rsidRPr="00C72B29">
        <w:rPr>
          <w:rFonts w:asciiTheme="minorHAnsi" w:hAnsiTheme="minorHAnsi"/>
          <w:szCs w:val="22"/>
        </w:rPr>
        <w:t>(e)</w:t>
      </w:r>
      <w:r w:rsidRPr="00C72B29">
        <w:rPr>
          <w:rFonts w:asciiTheme="minorHAnsi" w:hAnsiTheme="minorHAnsi"/>
          <w:szCs w:val="22"/>
        </w:rPr>
        <w:tab/>
        <w:t>provide an efficient, equitable and transparent system of charging for the use of spectrum, taking account of the value of both commercial and non</w:t>
      </w:r>
      <w:r w:rsidRPr="00C72B29">
        <w:rPr>
          <w:rFonts w:asciiTheme="minorHAnsi" w:hAnsiTheme="minorHAnsi"/>
          <w:szCs w:val="22"/>
        </w:rPr>
        <w:noBreakHyphen/>
        <w:t>commercial use of spectrum;</w:t>
      </w:r>
    </w:p>
    <w:p w14:paraId="14665594" w14:textId="77777777" w:rsidR="0080407C" w:rsidRPr="00613F52" w:rsidRDefault="0080407C" w:rsidP="0080407C">
      <w:pPr>
        <w:pStyle w:val="paragraph"/>
        <w:rPr>
          <w:rFonts w:asciiTheme="minorHAnsi" w:hAnsiTheme="minorHAnsi"/>
          <w:szCs w:val="22"/>
        </w:rPr>
      </w:pPr>
      <w:r w:rsidRPr="00613F52">
        <w:rPr>
          <w:rFonts w:asciiTheme="minorHAnsi" w:hAnsiTheme="minorHAnsi"/>
          <w:szCs w:val="22"/>
        </w:rPr>
        <w:tab/>
        <w:t>(f)</w:t>
      </w:r>
      <w:r w:rsidRPr="00613F52">
        <w:rPr>
          <w:rFonts w:asciiTheme="minorHAnsi" w:hAnsiTheme="minorHAnsi"/>
          <w:szCs w:val="22"/>
        </w:rPr>
        <w:tab/>
        <w:t>support the communications policy objectives of the Commonwealth Government;</w:t>
      </w:r>
    </w:p>
    <w:p w14:paraId="14665595" w14:textId="77777777" w:rsidR="0080407C" w:rsidRPr="00613F52" w:rsidRDefault="0080407C" w:rsidP="0080407C">
      <w:pPr>
        <w:pStyle w:val="paragraph"/>
        <w:rPr>
          <w:rFonts w:asciiTheme="minorHAnsi" w:hAnsiTheme="minorHAnsi"/>
          <w:szCs w:val="22"/>
        </w:rPr>
      </w:pPr>
      <w:r w:rsidRPr="00613F52">
        <w:rPr>
          <w:rFonts w:asciiTheme="minorHAnsi" w:hAnsiTheme="minorHAnsi"/>
          <w:szCs w:val="22"/>
        </w:rPr>
        <w:tab/>
        <w:t>(g)</w:t>
      </w:r>
      <w:r w:rsidRPr="00613F52">
        <w:rPr>
          <w:rFonts w:asciiTheme="minorHAnsi" w:hAnsiTheme="minorHAnsi"/>
          <w:szCs w:val="22"/>
        </w:rPr>
        <w:tab/>
        <w:t>provide a regulatory environment that maximises opportunities for the Australian communications industry in domestic and international markets;</w:t>
      </w:r>
    </w:p>
    <w:p w14:paraId="14665596" w14:textId="77777777" w:rsidR="0080407C" w:rsidRPr="00613F52" w:rsidRDefault="0080407C" w:rsidP="0080407C">
      <w:pPr>
        <w:pStyle w:val="paragraph"/>
        <w:rPr>
          <w:rFonts w:asciiTheme="minorHAnsi" w:hAnsiTheme="minorHAnsi"/>
          <w:szCs w:val="22"/>
        </w:rPr>
      </w:pPr>
      <w:r w:rsidRPr="00613F52">
        <w:rPr>
          <w:rFonts w:asciiTheme="minorHAnsi" w:hAnsiTheme="minorHAnsi"/>
          <w:szCs w:val="22"/>
        </w:rPr>
        <w:tab/>
        <w:t>(h)</w:t>
      </w:r>
      <w:r w:rsidRPr="00613F52">
        <w:rPr>
          <w:rFonts w:asciiTheme="minorHAnsi" w:hAnsiTheme="minorHAnsi"/>
          <w:szCs w:val="22"/>
        </w:rPr>
        <w:tab/>
        <w:t>promote Australia’s interests concerning international agreements, treaties and conventions relating to radiocommunications or the radiofrequency spectrum.</w:t>
      </w:r>
    </w:p>
    <w:p w14:paraId="14665597" w14:textId="77777777" w:rsidR="00BA1D96" w:rsidRPr="00613F52" w:rsidRDefault="00BA1D96" w:rsidP="00BA1D96"/>
    <w:sectPr w:rsidR="00BA1D96" w:rsidRPr="00613F52" w:rsidSect="007B4407">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4593B" w14:textId="77777777" w:rsidR="0021030C" w:rsidRDefault="0021030C" w:rsidP="0021030C">
      <w:pPr>
        <w:spacing w:after="0" w:line="240" w:lineRule="auto"/>
      </w:pPr>
      <w:r>
        <w:separator/>
      </w:r>
    </w:p>
  </w:endnote>
  <w:endnote w:type="continuationSeparator" w:id="0">
    <w:p w14:paraId="1FB4FB6E" w14:textId="77777777" w:rsidR="0021030C" w:rsidRDefault="0021030C" w:rsidP="00210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E7122" w14:textId="77777777" w:rsidR="0021030C" w:rsidRDefault="002103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0B3B9" w14:textId="77777777" w:rsidR="0021030C" w:rsidRDefault="002103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702FD" w14:textId="77777777" w:rsidR="0021030C" w:rsidRDefault="002103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C23F9" w14:textId="77777777" w:rsidR="0021030C" w:rsidRDefault="0021030C" w:rsidP="0021030C">
      <w:pPr>
        <w:spacing w:after="0" w:line="240" w:lineRule="auto"/>
      </w:pPr>
      <w:r>
        <w:separator/>
      </w:r>
    </w:p>
  </w:footnote>
  <w:footnote w:type="continuationSeparator" w:id="0">
    <w:p w14:paraId="014E9FF6" w14:textId="77777777" w:rsidR="0021030C" w:rsidRDefault="0021030C" w:rsidP="002103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1A788" w14:textId="77777777" w:rsidR="0021030C" w:rsidRDefault="002103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E7A77" w14:textId="77777777" w:rsidR="0021030C" w:rsidRDefault="002103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41062" w14:textId="77777777" w:rsidR="0021030C" w:rsidRDefault="002103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B7997"/>
    <w:multiLevelType w:val="hybridMultilevel"/>
    <w:tmpl w:val="318053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311F2E50"/>
    <w:multiLevelType w:val="hybridMultilevel"/>
    <w:tmpl w:val="C01A3952"/>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78F365BC"/>
    <w:multiLevelType w:val="hybridMultilevel"/>
    <w:tmpl w:val="C980D9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7A5023E9"/>
    <w:multiLevelType w:val="hybridMultilevel"/>
    <w:tmpl w:val="68DC5C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D96"/>
    <w:rsid w:val="00045520"/>
    <w:rsid w:val="0010723D"/>
    <w:rsid w:val="00121AFE"/>
    <w:rsid w:val="00126E6B"/>
    <w:rsid w:val="001B7D8B"/>
    <w:rsid w:val="001D21FF"/>
    <w:rsid w:val="0021030C"/>
    <w:rsid w:val="002124D1"/>
    <w:rsid w:val="002A0018"/>
    <w:rsid w:val="002D0D20"/>
    <w:rsid w:val="002F2CB1"/>
    <w:rsid w:val="00416E5D"/>
    <w:rsid w:val="00445145"/>
    <w:rsid w:val="00522B7C"/>
    <w:rsid w:val="00535AB6"/>
    <w:rsid w:val="005440A0"/>
    <w:rsid w:val="00613F52"/>
    <w:rsid w:val="006E629F"/>
    <w:rsid w:val="00741D10"/>
    <w:rsid w:val="007B4407"/>
    <w:rsid w:val="007E2B2E"/>
    <w:rsid w:val="008020B1"/>
    <w:rsid w:val="0080407C"/>
    <w:rsid w:val="00841F50"/>
    <w:rsid w:val="00854187"/>
    <w:rsid w:val="008B5DC5"/>
    <w:rsid w:val="008D0E41"/>
    <w:rsid w:val="00914FB6"/>
    <w:rsid w:val="00995A25"/>
    <w:rsid w:val="009C5603"/>
    <w:rsid w:val="009D767C"/>
    <w:rsid w:val="00BA1D96"/>
    <w:rsid w:val="00BE70DB"/>
    <w:rsid w:val="00C402D5"/>
    <w:rsid w:val="00C72B29"/>
    <w:rsid w:val="00CB34E7"/>
    <w:rsid w:val="00D20F52"/>
    <w:rsid w:val="00DF1B98"/>
    <w:rsid w:val="00EF579D"/>
    <w:rsid w:val="00F47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66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4E7"/>
  </w:style>
  <w:style w:type="paragraph" w:styleId="Heading1">
    <w:name w:val="heading 1"/>
    <w:basedOn w:val="Normal"/>
    <w:next w:val="Normal"/>
    <w:link w:val="Heading1Char"/>
    <w:uiPriority w:val="9"/>
    <w:qFormat/>
    <w:rsid w:val="00BA1D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1D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D9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1D96"/>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BA1D96"/>
    <w:pPr>
      <w:spacing w:before="240" w:after="240" w:line="240" w:lineRule="auto"/>
    </w:pPr>
    <w:rPr>
      <w:rFonts w:ascii="Calibri" w:hAnsi="Calibri"/>
    </w:rPr>
  </w:style>
  <w:style w:type="character" w:customStyle="1" w:styleId="BodyTextChar">
    <w:name w:val="Body Text Char"/>
    <w:basedOn w:val="DefaultParagraphFont"/>
    <w:link w:val="BodyText"/>
    <w:rsid w:val="00BA1D96"/>
    <w:rPr>
      <w:rFonts w:ascii="Calibri" w:hAnsi="Calibri"/>
    </w:rPr>
  </w:style>
  <w:style w:type="paragraph" w:customStyle="1" w:styleId="Bodytext-Indent">
    <w:name w:val="Body text - Indent"/>
    <w:basedOn w:val="BodyText"/>
    <w:next w:val="BodyText"/>
    <w:qFormat/>
    <w:rsid w:val="00BA1D96"/>
    <w:pPr>
      <w:ind w:left="340"/>
    </w:pPr>
  </w:style>
  <w:style w:type="paragraph" w:styleId="ListParagraph">
    <w:name w:val="List Paragraph"/>
    <w:aliases w:val="List Paragraph1,Recommendation,bullet point list,List Paragraph11"/>
    <w:basedOn w:val="Normal"/>
    <w:link w:val="ListParagraphChar"/>
    <w:uiPriority w:val="34"/>
    <w:qFormat/>
    <w:rsid w:val="00BA1D96"/>
    <w:pPr>
      <w:spacing w:before="240" w:after="0" w:line="240" w:lineRule="auto"/>
      <w:ind w:left="720"/>
      <w:contextualSpacing/>
    </w:pPr>
    <w:rPr>
      <w:rFonts w:ascii="Calibri" w:hAnsi="Calibri"/>
    </w:rPr>
  </w:style>
  <w:style w:type="character" w:customStyle="1" w:styleId="ListParagraphChar">
    <w:name w:val="List Paragraph Char"/>
    <w:aliases w:val="List Paragraph1 Char,Recommendation Char,bullet point list Char,List Paragraph11 Char"/>
    <w:basedOn w:val="DefaultParagraphFont"/>
    <w:link w:val="ListParagraph"/>
    <w:uiPriority w:val="34"/>
    <w:rsid w:val="00BA1D96"/>
    <w:rPr>
      <w:rFonts w:ascii="Calibri" w:hAnsi="Calibri"/>
    </w:rPr>
  </w:style>
  <w:style w:type="character" w:styleId="CommentReference">
    <w:name w:val="annotation reference"/>
    <w:basedOn w:val="DefaultParagraphFont"/>
    <w:uiPriority w:val="99"/>
    <w:semiHidden/>
    <w:unhideWhenUsed/>
    <w:rsid w:val="001B7D8B"/>
    <w:rPr>
      <w:sz w:val="16"/>
      <w:szCs w:val="16"/>
    </w:rPr>
  </w:style>
  <w:style w:type="paragraph" w:styleId="CommentText">
    <w:name w:val="annotation text"/>
    <w:basedOn w:val="Normal"/>
    <w:link w:val="CommentTextChar"/>
    <w:uiPriority w:val="99"/>
    <w:semiHidden/>
    <w:unhideWhenUsed/>
    <w:rsid w:val="001B7D8B"/>
    <w:pPr>
      <w:spacing w:line="240" w:lineRule="auto"/>
    </w:pPr>
    <w:rPr>
      <w:sz w:val="20"/>
      <w:szCs w:val="20"/>
    </w:rPr>
  </w:style>
  <w:style w:type="character" w:customStyle="1" w:styleId="CommentTextChar">
    <w:name w:val="Comment Text Char"/>
    <w:basedOn w:val="DefaultParagraphFont"/>
    <w:link w:val="CommentText"/>
    <w:uiPriority w:val="99"/>
    <w:semiHidden/>
    <w:rsid w:val="001B7D8B"/>
    <w:rPr>
      <w:sz w:val="20"/>
      <w:szCs w:val="20"/>
    </w:rPr>
  </w:style>
  <w:style w:type="paragraph" w:styleId="CommentSubject">
    <w:name w:val="annotation subject"/>
    <w:basedOn w:val="CommentText"/>
    <w:next w:val="CommentText"/>
    <w:link w:val="CommentSubjectChar"/>
    <w:uiPriority w:val="99"/>
    <w:semiHidden/>
    <w:unhideWhenUsed/>
    <w:rsid w:val="001B7D8B"/>
    <w:rPr>
      <w:b/>
      <w:bCs/>
    </w:rPr>
  </w:style>
  <w:style w:type="character" w:customStyle="1" w:styleId="CommentSubjectChar">
    <w:name w:val="Comment Subject Char"/>
    <w:basedOn w:val="CommentTextChar"/>
    <w:link w:val="CommentSubject"/>
    <w:uiPriority w:val="99"/>
    <w:semiHidden/>
    <w:rsid w:val="001B7D8B"/>
    <w:rPr>
      <w:b/>
      <w:bCs/>
      <w:sz w:val="20"/>
      <w:szCs w:val="20"/>
    </w:rPr>
  </w:style>
  <w:style w:type="paragraph" w:styleId="BalloonText">
    <w:name w:val="Balloon Text"/>
    <w:basedOn w:val="Normal"/>
    <w:link w:val="BalloonTextChar"/>
    <w:uiPriority w:val="99"/>
    <w:semiHidden/>
    <w:unhideWhenUsed/>
    <w:rsid w:val="001B7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D8B"/>
    <w:rPr>
      <w:rFonts w:ascii="Tahoma" w:hAnsi="Tahoma" w:cs="Tahoma"/>
      <w:sz w:val="16"/>
      <w:szCs w:val="16"/>
    </w:rPr>
  </w:style>
  <w:style w:type="character" w:customStyle="1" w:styleId="CharDivNo">
    <w:name w:val="CharDivNo"/>
    <w:basedOn w:val="DefaultParagraphFont"/>
    <w:rsid w:val="0080407C"/>
  </w:style>
  <w:style w:type="character" w:customStyle="1" w:styleId="CharDivText">
    <w:name w:val="CharDivText"/>
    <w:basedOn w:val="DefaultParagraphFont"/>
    <w:rsid w:val="0080407C"/>
  </w:style>
  <w:style w:type="character" w:customStyle="1" w:styleId="CharPartNo">
    <w:name w:val="CharPartNo"/>
    <w:basedOn w:val="DefaultParagraphFont"/>
    <w:rsid w:val="0080407C"/>
  </w:style>
  <w:style w:type="character" w:customStyle="1" w:styleId="CharPartText">
    <w:name w:val="CharPartText"/>
    <w:basedOn w:val="DefaultParagraphFont"/>
    <w:rsid w:val="0080407C"/>
  </w:style>
  <w:style w:type="character" w:customStyle="1" w:styleId="CharSectno">
    <w:name w:val="CharSectno"/>
    <w:basedOn w:val="DefaultParagraphFont"/>
    <w:rsid w:val="0080407C"/>
  </w:style>
  <w:style w:type="paragraph" w:styleId="Header">
    <w:name w:val="header"/>
    <w:link w:val="HeaderChar"/>
    <w:rsid w:val="0080407C"/>
    <w:pPr>
      <w:keepNext/>
      <w:keepLines/>
      <w:tabs>
        <w:tab w:val="center" w:pos="4153"/>
        <w:tab w:val="right" w:pos="8306"/>
      </w:tabs>
      <w:spacing w:after="0" w:line="160" w:lineRule="exact"/>
    </w:pPr>
    <w:rPr>
      <w:rFonts w:ascii="Times New Roman" w:eastAsia="Times New Roman" w:hAnsi="Times New Roman" w:cs="Times New Roman"/>
      <w:sz w:val="16"/>
      <w:szCs w:val="24"/>
      <w:lang w:eastAsia="en-AU"/>
    </w:rPr>
  </w:style>
  <w:style w:type="character" w:customStyle="1" w:styleId="HeaderChar">
    <w:name w:val="Header Char"/>
    <w:basedOn w:val="DefaultParagraphFont"/>
    <w:link w:val="Header"/>
    <w:rsid w:val="0080407C"/>
    <w:rPr>
      <w:rFonts w:ascii="Times New Roman" w:eastAsia="Times New Roman" w:hAnsi="Times New Roman" w:cs="Times New Roman"/>
      <w:sz w:val="16"/>
      <w:szCs w:val="24"/>
      <w:lang w:eastAsia="en-AU"/>
    </w:rPr>
  </w:style>
  <w:style w:type="paragraph" w:customStyle="1" w:styleId="paragraph">
    <w:name w:val="paragraph"/>
    <w:aliases w:val="a"/>
    <w:rsid w:val="0080407C"/>
    <w:pPr>
      <w:tabs>
        <w:tab w:val="right" w:pos="1531"/>
      </w:tabs>
      <w:spacing w:before="40" w:after="0" w:line="240" w:lineRule="auto"/>
      <w:ind w:left="1644" w:hanging="1644"/>
    </w:pPr>
    <w:rPr>
      <w:rFonts w:ascii="Times New Roman" w:eastAsia="Times New Roman" w:hAnsi="Times New Roman" w:cs="Times New Roman"/>
      <w:szCs w:val="24"/>
      <w:lang w:eastAsia="en-AU"/>
    </w:rPr>
  </w:style>
  <w:style w:type="paragraph" w:customStyle="1" w:styleId="paragraphsub">
    <w:name w:val="paragraph(sub)"/>
    <w:aliases w:val="aa"/>
    <w:basedOn w:val="paragraph"/>
    <w:rsid w:val="0080407C"/>
    <w:pPr>
      <w:tabs>
        <w:tab w:val="clear" w:pos="1531"/>
        <w:tab w:val="right" w:pos="1985"/>
      </w:tabs>
      <w:ind w:left="2098" w:hanging="2098"/>
    </w:pPr>
  </w:style>
  <w:style w:type="paragraph" w:customStyle="1" w:styleId="ActHead2">
    <w:name w:val="ActHead 2"/>
    <w:aliases w:val="p"/>
    <w:basedOn w:val="Normal"/>
    <w:next w:val="Normal"/>
    <w:rsid w:val="0080407C"/>
    <w:pPr>
      <w:keepNext/>
      <w:keepLines/>
      <w:spacing w:before="280" w:after="0" w:line="240" w:lineRule="auto"/>
      <w:ind w:left="1134" w:hanging="1134"/>
      <w:outlineLvl w:val="1"/>
    </w:pPr>
    <w:rPr>
      <w:rFonts w:ascii="Times New Roman" w:eastAsia="Times New Roman" w:hAnsi="Times New Roman" w:cs="Times New Roman"/>
      <w:b/>
      <w:bCs/>
      <w:kern w:val="28"/>
      <w:sz w:val="32"/>
      <w:szCs w:val="32"/>
      <w:lang w:eastAsia="en-AU"/>
    </w:rPr>
  </w:style>
  <w:style w:type="paragraph" w:customStyle="1" w:styleId="ActHead5">
    <w:name w:val="ActHead 5"/>
    <w:aliases w:val="s"/>
    <w:basedOn w:val="Normal"/>
    <w:next w:val="Normal"/>
    <w:rsid w:val="0080407C"/>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eastAsia="en-AU"/>
    </w:rPr>
  </w:style>
  <w:style w:type="paragraph" w:customStyle="1" w:styleId="subsection">
    <w:name w:val="subsection"/>
    <w:aliases w:val="ss"/>
    <w:rsid w:val="0080407C"/>
    <w:pPr>
      <w:tabs>
        <w:tab w:val="right" w:pos="1021"/>
      </w:tabs>
      <w:spacing w:before="180" w:after="0" w:line="240" w:lineRule="auto"/>
      <w:ind w:left="1134" w:hanging="1134"/>
    </w:pPr>
    <w:rPr>
      <w:rFonts w:ascii="Times New Roman" w:eastAsia="Times New Roman" w:hAnsi="Times New Roman" w:cs="Times New Roman"/>
      <w:szCs w:val="24"/>
      <w:lang w:eastAsia="en-AU"/>
    </w:rPr>
  </w:style>
  <w:style w:type="paragraph" w:customStyle="1" w:styleId="ShortT">
    <w:name w:val="ShortT"/>
    <w:basedOn w:val="Normal"/>
    <w:next w:val="Normal"/>
    <w:rsid w:val="0080407C"/>
    <w:pPr>
      <w:spacing w:before="360" w:after="0" w:line="260" w:lineRule="atLeast"/>
    </w:pPr>
    <w:rPr>
      <w:rFonts w:ascii="Times" w:eastAsia="Times New Roman" w:hAnsi="Times" w:cs="Times New Roman"/>
      <w:b/>
      <w:sz w:val="40"/>
      <w:szCs w:val="20"/>
      <w:lang w:eastAsia="en-AU"/>
    </w:rPr>
  </w:style>
  <w:style w:type="paragraph" w:customStyle="1" w:styleId="Actno">
    <w:name w:val="Actno"/>
    <w:basedOn w:val="Normal"/>
    <w:next w:val="Normal"/>
    <w:rsid w:val="0080407C"/>
    <w:pPr>
      <w:spacing w:before="240" w:after="0" w:line="260" w:lineRule="atLeast"/>
    </w:pPr>
    <w:rPr>
      <w:rFonts w:ascii="Times New Roman" w:eastAsia="Times New Roman" w:hAnsi="Times New Roman" w:cs="Times New Roman"/>
      <w:b/>
      <w:sz w:val="24"/>
      <w:szCs w:val="24"/>
      <w:lang w:eastAsia="en-AU"/>
    </w:rPr>
  </w:style>
  <w:style w:type="paragraph" w:styleId="Footer">
    <w:name w:val="footer"/>
    <w:basedOn w:val="Normal"/>
    <w:link w:val="FooterChar"/>
    <w:uiPriority w:val="99"/>
    <w:unhideWhenUsed/>
    <w:rsid w:val="002103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31F991944AFF49A09B178135F34F7F" ma:contentTypeVersion="0" ma:contentTypeDescription="Create a new document." ma:contentTypeScope="" ma:versionID="1e8b0e5c74403060e63e471c26a4835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F27118-9104-4F79-974B-74A7495FEE3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514533A-DDF7-454E-987A-1E79A7B15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9D8979D-4740-47CC-85F5-EF63EB1B79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1350</Words>
  <Characters>7834</Characters>
  <Application>Microsoft Office Word</Application>
  <DocSecurity>0</DocSecurity>
  <Lines>150</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2015-01-12T22:04:00Z</dcterms:created>
  <dcterms:modified xsi:type="dcterms:W3CDTF">2015-01-12T22:04:00Z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0x010100AC31F991944AFF49A09B178135F34F7F</vt:lpwstr>
  </property>
  <property fmtid="{D5CDD505-2E9C-101B-9397-08002B2CF9AE}" pid="3" name="TrimRevisionNumber">
    <vt:i4>3</vt:i4>
  </property>
</Properties>
</file>