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E04FB" w14:textId="46A38E68" w:rsidR="004F7393" w:rsidRDefault="004F7393" w:rsidP="004F7393">
      <w:pPr>
        <w:jc w:val="right"/>
      </w:pPr>
      <w:r>
        <w:rPr>
          <w:noProof/>
          <w:lang w:eastAsia="zh-TW"/>
        </w:rPr>
        <w:drawing>
          <wp:inline distT="0" distB="0" distL="0" distR="0" wp14:anchorId="0B9B0DDE" wp14:editId="7BA352E2">
            <wp:extent cx="1942465" cy="456565"/>
            <wp:effectExtent l="0" t="0" r="635" b="635"/>
            <wp:docPr id="1" name="Picture 1" descr="Logo: Australasian Music Publishers Association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2465" cy="456565"/>
                    </a:xfrm>
                    <a:prstGeom prst="rect">
                      <a:avLst/>
                    </a:prstGeom>
                    <a:solidFill>
                      <a:srgbClr val="FFFFFF">
                        <a:alpha val="0"/>
                      </a:srgbClr>
                    </a:solidFill>
                  </pic:spPr>
                </pic:pic>
              </a:graphicData>
            </a:graphic>
          </wp:inline>
        </w:drawing>
      </w:r>
    </w:p>
    <w:p w14:paraId="6E1B8106" w14:textId="35CB823F" w:rsidR="0094402C" w:rsidRDefault="00E46AF8" w:rsidP="004F7393">
      <w:pPr>
        <w:jc w:val="left"/>
      </w:pPr>
      <w:r>
        <w:t>Copyright Law and Policy Section</w:t>
      </w:r>
      <w:r w:rsidR="004F7393">
        <w:br/>
      </w:r>
      <w:r>
        <w:t>Department of Communications and the Arts</w:t>
      </w:r>
      <w:r w:rsidR="004F7393">
        <w:br/>
      </w:r>
      <w:r>
        <w:t>GPO Box 2154</w:t>
      </w:r>
      <w:r w:rsidR="004F7393">
        <w:br/>
      </w:r>
      <w:r>
        <w:t>Australia</w:t>
      </w:r>
    </w:p>
    <w:p w14:paraId="7C220663" w14:textId="77777777" w:rsidR="00E46AF8" w:rsidRDefault="00E46AF8" w:rsidP="004F7393">
      <w:r>
        <w:t>By email: copyright@communications.gov.au</w:t>
      </w:r>
    </w:p>
    <w:p w14:paraId="21B77E5F" w14:textId="77777777" w:rsidR="0094402C" w:rsidRDefault="0094402C" w:rsidP="004F7393">
      <w:pPr>
        <w:pStyle w:val="Heading1"/>
      </w:pPr>
      <w:r>
        <w:t xml:space="preserve">SUBMISSION BY </w:t>
      </w:r>
      <w:r w:rsidRPr="004F7393">
        <w:t>AMPAL</w:t>
      </w:r>
      <w:r>
        <w:t xml:space="preserve"> TO </w:t>
      </w:r>
      <w:r w:rsidR="00E46AF8">
        <w:t xml:space="preserve">THE DEPARTMENT OF COMMUNICATIONS </w:t>
      </w:r>
      <w:r>
        <w:t>REGARDING THE COPYRIGHT AMENDMENT (</w:t>
      </w:r>
      <w:r w:rsidR="00E46AF8">
        <w:t>DISABILITY ACCESS AND OTHER MEASURES</w:t>
      </w:r>
      <w:r>
        <w:t xml:space="preserve">) </w:t>
      </w:r>
      <w:r w:rsidR="00E46AF8">
        <w:t>BILL 2016</w:t>
      </w:r>
    </w:p>
    <w:p w14:paraId="6A7E6F30" w14:textId="77777777" w:rsidR="0094402C" w:rsidRDefault="0094402C" w:rsidP="004F7393">
      <w:pPr>
        <w:pStyle w:val="Heading2"/>
      </w:pPr>
      <w:r w:rsidRPr="004F7393">
        <w:t>Introduction</w:t>
      </w:r>
    </w:p>
    <w:p w14:paraId="32DA68B7" w14:textId="77777777" w:rsidR="0094402C" w:rsidRDefault="0094402C" w:rsidP="004F7393">
      <w:r>
        <w:t xml:space="preserve">The Australasian Music Publishers Association Limited (AMPAL) welcomes the opportunity to make a submission to the </w:t>
      </w:r>
      <w:r w:rsidR="00582A11">
        <w:t xml:space="preserve">Department of Communications regarding the </w:t>
      </w:r>
      <w:r>
        <w:t>Copyright Amendment (</w:t>
      </w:r>
      <w:r w:rsidR="00582A11">
        <w:t>Disability Access and Other Measures</w:t>
      </w:r>
      <w:r>
        <w:t>) B</w:t>
      </w:r>
      <w:r w:rsidR="00582A11">
        <w:t>ill 2016</w:t>
      </w:r>
      <w:r>
        <w:t xml:space="preserve"> (the Bill).</w:t>
      </w:r>
    </w:p>
    <w:p w14:paraId="3400F864" w14:textId="63014EC2" w:rsidR="0094402C" w:rsidRDefault="0094402C" w:rsidP="004F7393">
      <w:r>
        <w:t xml:space="preserve">AMPAL </w:t>
      </w:r>
      <w:bookmarkStart w:id="0" w:name="_GoBack"/>
      <w:bookmarkEnd w:id="0"/>
      <w:r>
        <w:t>is the trade association for music publishers in Australia and New Zealand. Our members include large multi-national companies as well as many small to medium enterprises.</w:t>
      </w:r>
      <w:r w:rsidR="004F7393">
        <w:t xml:space="preserve"> </w:t>
      </w:r>
      <w:r>
        <w:t>AMPAL’s members represent the overwhelming majority of economically significant musical works en</w:t>
      </w:r>
      <w:r w:rsidR="000F37D9">
        <w:t xml:space="preserve">joyed by Australians. We are a member </w:t>
      </w:r>
      <w:r>
        <w:t xml:space="preserve">of the International Confederation of Music Publishers (ICMP) and work closely with APRA AMCOS, Music Rights Australia and the Australian Copyright Council. </w:t>
      </w:r>
    </w:p>
    <w:p w14:paraId="25EC260B" w14:textId="77777777" w:rsidR="0094402C" w:rsidRDefault="0094402C" w:rsidP="004F7393">
      <w:r>
        <w:t>Music publishers invest in songwriters across all genres of music. They play a critical role in nurturing and commercially exploiting their writers' musical works. AMPAL and our members also recognise the immense cultural and artistic significance of the works that music publishers represent.</w:t>
      </w:r>
    </w:p>
    <w:p w14:paraId="09E91449" w14:textId="77777777" w:rsidR="0094402C" w:rsidRDefault="0094402C" w:rsidP="004F7393">
      <w:r>
        <w:t xml:space="preserve">AMPAL members are also members of APRA and AMCOS and we endorse their submission. </w:t>
      </w:r>
    </w:p>
    <w:p w14:paraId="3F0A58ED" w14:textId="77777777" w:rsidR="0094402C" w:rsidRDefault="0094402C" w:rsidP="004F7393">
      <w:r>
        <w:t xml:space="preserve">AMPAL is affiliated with the Australian Copyright </w:t>
      </w:r>
      <w:r w:rsidR="000F37D9">
        <w:t xml:space="preserve">Council and </w:t>
      </w:r>
      <w:r>
        <w:t>Music Rights Australia, and we endorse their submissions.</w:t>
      </w:r>
      <w:r w:rsidR="00605823">
        <w:t xml:space="preserve"> </w:t>
      </w:r>
      <w:r w:rsidR="000F37D9">
        <w:t>We also endorse the submission of ICMP.</w:t>
      </w:r>
    </w:p>
    <w:p w14:paraId="7414E4F1" w14:textId="77777777" w:rsidR="0094402C" w:rsidRDefault="0094402C" w:rsidP="004F7393">
      <w:pPr>
        <w:pStyle w:val="Heading2"/>
      </w:pPr>
      <w:r>
        <w:t>Comments</w:t>
      </w:r>
    </w:p>
    <w:p w14:paraId="72805111" w14:textId="77777777" w:rsidR="007004D7" w:rsidRDefault="007004D7" w:rsidP="004F7393">
      <w:r>
        <w:t xml:space="preserve">AMPAL’s comments are restricted to </w:t>
      </w:r>
      <w:r w:rsidR="00AF1C45">
        <w:t xml:space="preserve">Schedule 2 of the Bill. </w:t>
      </w:r>
    </w:p>
    <w:p w14:paraId="4C361CAD" w14:textId="7DA7B13D" w:rsidR="006742A8" w:rsidRDefault="00AF1C45" w:rsidP="004F7393">
      <w:r>
        <w:t xml:space="preserve">AMPAL </w:t>
      </w:r>
      <w:r w:rsidR="00605823">
        <w:t>is opposed to</w:t>
      </w:r>
      <w:r>
        <w:t xml:space="preserve"> the proposed amendments</w:t>
      </w:r>
      <w:r w:rsidR="00426730">
        <w:t xml:space="preserve"> to the </w:t>
      </w:r>
      <w:r w:rsidR="00426730">
        <w:rPr>
          <w:i/>
        </w:rPr>
        <w:t>Copyright Act 1968</w:t>
      </w:r>
      <w:r w:rsidR="00426730">
        <w:t xml:space="preserve"> (</w:t>
      </w:r>
      <w:proofErr w:type="spellStart"/>
      <w:r w:rsidR="00426730">
        <w:t>Cth</w:t>
      </w:r>
      <w:proofErr w:type="spellEnd"/>
      <w:r w:rsidR="00426730">
        <w:t>)</w:t>
      </w:r>
      <w:r>
        <w:t xml:space="preserve"> set out in Schedule 2.</w:t>
      </w:r>
      <w:r w:rsidR="004F7393">
        <w:t xml:space="preserve"> </w:t>
      </w:r>
      <w:r>
        <w:t xml:space="preserve">We are not convinced that any </w:t>
      </w:r>
      <w:r w:rsidR="001F2581">
        <w:t>‘</w:t>
      </w:r>
      <w:r>
        <w:t>service provider</w:t>
      </w:r>
      <w:r w:rsidR="001F2581">
        <w:t>’ should</w:t>
      </w:r>
      <w:r w:rsidR="00605823">
        <w:t xml:space="preserve"> fall within</w:t>
      </w:r>
      <w:r w:rsidR="002501F5">
        <w:t xml:space="preserve"> the </w:t>
      </w:r>
      <w:r w:rsidR="00605823">
        <w:t xml:space="preserve">scope of the </w:t>
      </w:r>
      <w:r w:rsidR="002501F5">
        <w:t>safe harbour regime.</w:t>
      </w:r>
      <w:r w:rsidR="004F7393">
        <w:t xml:space="preserve"> </w:t>
      </w:r>
      <w:r w:rsidR="002501F5">
        <w:t>In our submission, services going beyond the activity of a strictly neutral intermediary should not be eligible for safe harbour protection.</w:t>
      </w:r>
      <w:r w:rsidR="004F7393">
        <w:t xml:space="preserve"> </w:t>
      </w:r>
      <w:r w:rsidR="00605823">
        <w:t>I</w:t>
      </w:r>
      <w:r w:rsidR="001F2581">
        <w:t xml:space="preserve">t is unnecessary for the current safe harbour provisions to be </w:t>
      </w:r>
      <w:r w:rsidR="0080389C">
        <w:t xml:space="preserve">expanded without evidence that such an </w:t>
      </w:r>
      <w:r w:rsidR="00D47399">
        <w:t>amendment is required.</w:t>
      </w:r>
      <w:r w:rsidR="004F7393">
        <w:t xml:space="preserve"> </w:t>
      </w:r>
      <w:r w:rsidR="00D47399">
        <w:t xml:space="preserve">AMPAL is not aware of online service providers’ development being inhibited in Australia due to the current safe harbour laws. </w:t>
      </w:r>
    </w:p>
    <w:p w14:paraId="18CE0E4F" w14:textId="77777777" w:rsidR="004F7393" w:rsidRPr="004F7393" w:rsidRDefault="004F7393" w:rsidP="004F7393">
      <w:pPr>
        <w:pStyle w:val="NoSpacing"/>
        <w:rPr>
          <w:color w:val="1F497D"/>
          <w:sz w:val="22"/>
          <w:szCs w:val="22"/>
        </w:rPr>
      </w:pPr>
      <w:r w:rsidRPr="004F7393">
        <w:rPr>
          <w:color w:val="1F497D"/>
          <w:sz w:val="22"/>
          <w:szCs w:val="22"/>
        </w:rPr>
        <w:t xml:space="preserve">Australasian Music Publishers Association Limited ABN 41 000 173 688 </w:t>
      </w:r>
    </w:p>
    <w:p w14:paraId="3407A439" w14:textId="77777777" w:rsidR="004F7393" w:rsidRPr="004F7393" w:rsidRDefault="004F7393" w:rsidP="004F7393">
      <w:pPr>
        <w:pStyle w:val="NoSpacing"/>
        <w:rPr>
          <w:color w:val="1F497D"/>
          <w:sz w:val="22"/>
          <w:szCs w:val="22"/>
        </w:rPr>
      </w:pPr>
      <w:r w:rsidRPr="004F7393">
        <w:rPr>
          <w:color w:val="1F497D"/>
          <w:sz w:val="22"/>
          <w:szCs w:val="22"/>
        </w:rPr>
        <w:t>Mail: PO Box 3321, Bellevue Hill, NSW 2023</w:t>
      </w:r>
    </w:p>
    <w:p w14:paraId="2433E90A" w14:textId="77777777" w:rsidR="004F7393" w:rsidRPr="004F7393" w:rsidRDefault="004F7393" w:rsidP="004F7393">
      <w:pPr>
        <w:pStyle w:val="Footer"/>
        <w:spacing w:after="0"/>
        <w:rPr>
          <w:sz w:val="22"/>
          <w:szCs w:val="22"/>
        </w:rPr>
      </w:pPr>
      <w:r w:rsidRPr="004F7393">
        <w:rPr>
          <w:sz w:val="22"/>
          <w:szCs w:val="22"/>
        </w:rPr>
        <w:t>Tel: +61 450 733 537</w:t>
      </w:r>
    </w:p>
    <w:p w14:paraId="767FDF4C" w14:textId="77777777" w:rsidR="004F7393" w:rsidRPr="004F7393" w:rsidRDefault="004F7393" w:rsidP="004F7393">
      <w:pPr>
        <w:pStyle w:val="Footer"/>
        <w:spacing w:after="0"/>
        <w:rPr>
          <w:sz w:val="22"/>
          <w:szCs w:val="22"/>
        </w:rPr>
      </w:pPr>
      <w:r w:rsidRPr="004F7393">
        <w:rPr>
          <w:sz w:val="22"/>
          <w:szCs w:val="22"/>
        </w:rPr>
        <w:t>Email: info@ampal.com.au</w:t>
      </w:r>
    </w:p>
    <w:p w14:paraId="22A66F6E" w14:textId="77777777" w:rsidR="004F7393" w:rsidRPr="004F7393" w:rsidRDefault="004F7393" w:rsidP="004F7393">
      <w:pPr>
        <w:pStyle w:val="Footer"/>
        <w:rPr>
          <w:sz w:val="22"/>
          <w:szCs w:val="22"/>
        </w:rPr>
      </w:pPr>
      <w:r w:rsidRPr="004F7393">
        <w:rPr>
          <w:sz w:val="22"/>
          <w:szCs w:val="22"/>
        </w:rPr>
        <w:t>Web: www.ampal.com.au</w:t>
      </w:r>
    </w:p>
    <w:p w14:paraId="2BCE07BD" w14:textId="1A0B9A0E" w:rsidR="004F7393" w:rsidRDefault="004F7393" w:rsidP="004F7393">
      <w:r>
        <w:br w:type="page"/>
      </w:r>
    </w:p>
    <w:p w14:paraId="6927A052" w14:textId="2314CD32" w:rsidR="00AF1C45" w:rsidRDefault="00D47399" w:rsidP="004F7393">
      <w:r>
        <w:lastRenderedPageBreak/>
        <w:t xml:space="preserve">Furthermore, we refer to </w:t>
      </w:r>
      <w:r w:rsidR="00E67224">
        <w:t>Music Rights Australia’s</w:t>
      </w:r>
      <w:r w:rsidR="005F3645">
        <w:t xml:space="preserve"> and ICMP’s</w:t>
      </w:r>
      <w:r w:rsidR="00E67224">
        <w:t xml:space="preserve"> submission setting out </w:t>
      </w:r>
      <w:r w:rsidR="007E611C">
        <w:t>the international experience of</w:t>
      </w:r>
      <w:r w:rsidR="002A284F">
        <w:t xml:space="preserve"> safe harbour protections being inappropriately used by</w:t>
      </w:r>
      <w:r w:rsidR="000065DE">
        <w:t xml:space="preserve"> commercial</w:t>
      </w:r>
      <w:r w:rsidR="002A284F">
        <w:t xml:space="preserve"> entities to the detriment of copyright owners</w:t>
      </w:r>
      <w:r w:rsidR="006742A8">
        <w:t>.</w:t>
      </w:r>
      <w:r w:rsidR="004F7393">
        <w:t xml:space="preserve"> </w:t>
      </w:r>
      <w:r w:rsidR="00296E70">
        <w:t xml:space="preserve">These entities are far beyond </w:t>
      </w:r>
      <w:r w:rsidR="00241D95">
        <w:t xml:space="preserve">being </w:t>
      </w:r>
      <w:r w:rsidR="00296E70">
        <w:t>neutral intermediaries, and can draw significant revenue from advertising, and then compete with legitimately licensed services.</w:t>
      </w:r>
      <w:r w:rsidR="004F7393">
        <w:t xml:space="preserve"> </w:t>
      </w:r>
      <w:r w:rsidR="006742A8">
        <w:t xml:space="preserve">Expanding Australia’s safe harbour scheme </w:t>
      </w:r>
      <w:r w:rsidR="002A284F">
        <w:t>will inevitably</w:t>
      </w:r>
      <w:r w:rsidR="006742A8">
        <w:t xml:space="preserve"> make </w:t>
      </w:r>
      <w:r w:rsidR="002F667C">
        <w:t>it even more</w:t>
      </w:r>
      <w:r w:rsidR="006742A8">
        <w:t xml:space="preserve"> difficult and costly for</w:t>
      </w:r>
      <w:r w:rsidR="002A284F">
        <w:t xml:space="preserve"> Australian</w:t>
      </w:r>
      <w:r w:rsidR="006742A8">
        <w:t xml:space="preserve"> rights holders</w:t>
      </w:r>
      <w:r w:rsidR="002A284F">
        <w:t xml:space="preserve"> </w:t>
      </w:r>
      <w:r w:rsidR="00296E70">
        <w:t>to take action against</w:t>
      </w:r>
      <w:r w:rsidR="002A284F">
        <w:t xml:space="preserve"> these entities</w:t>
      </w:r>
      <w:r w:rsidR="006742A8">
        <w:t>.</w:t>
      </w:r>
    </w:p>
    <w:p w14:paraId="5C26C33E" w14:textId="352DBB19" w:rsidR="002501F5" w:rsidRDefault="00664E27" w:rsidP="004F7393">
      <w:r>
        <w:t xml:space="preserve">Proportionality </w:t>
      </w:r>
      <w:r w:rsidR="00605823">
        <w:t>must</w:t>
      </w:r>
      <w:r>
        <w:t xml:space="preserve"> be a feature of a balanced IP system. AMPAL submits that current levels of copyright</w:t>
      </w:r>
      <w:r w:rsidR="004F7393">
        <w:t xml:space="preserve"> </w:t>
      </w:r>
      <w:r>
        <w:t>infringement</w:t>
      </w:r>
      <w:r w:rsidR="004F7393">
        <w:t xml:space="preserve"> </w:t>
      </w:r>
      <w:r>
        <w:t>diminish</w:t>
      </w:r>
      <w:r w:rsidR="004F7393">
        <w:t xml:space="preserve"> </w:t>
      </w:r>
      <w:r>
        <w:t>the</w:t>
      </w:r>
      <w:r w:rsidR="004F7393">
        <w:t xml:space="preserve"> </w:t>
      </w:r>
      <w:r>
        <w:t>proportionality</w:t>
      </w:r>
      <w:r w:rsidR="004F7393">
        <w:t xml:space="preserve"> </w:t>
      </w:r>
      <w:r>
        <w:t>of</w:t>
      </w:r>
      <w:r w:rsidR="004F7393">
        <w:t xml:space="preserve"> </w:t>
      </w:r>
      <w:r>
        <w:t>the</w:t>
      </w:r>
      <w:r w:rsidR="004F7393">
        <w:t xml:space="preserve"> </w:t>
      </w:r>
      <w:r>
        <w:t>rewards</w:t>
      </w:r>
      <w:r w:rsidR="004F7393">
        <w:t xml:space="preserve"> </w:t>
      </w:r>
      <w:r>
        <w:t>for</w:t>
      </w:r>
      <w:r w:rsidR="004F7393">
        <w:t xml:space="preserve"> </w:t>
      </w:r>
      <w:r>
        <w:t>the</w:t>
      </w:r>
      <w:r w:rsidR="004F7393">
        <w:t xml:space="preserve"> </w:t>
      </w:r>
      <w:r>
        <w:t>effort</w:t>
      </w:r>
      <w:r w:rsidR="004F7393">
        <w:t xml:space="preserve"> </w:t>
      </w:r>
      <w:r>
        <w:t>exerted</w:t>
      </w:r>
      <w:r w:rsidR="004F7393">
        <w:t xml:space="preserve"> </w:t>
      </w:r>
      <w:r>
        <w:t>in composing</w:t>
      </w:r>
      <w:r w:rsidR="004F7393">
        <w:t xml:space="preserve"> </w:t>
      </w:r>
      <w:r>
        <w:t>songs,</w:t>
      </w:r>
      <w:r w:rsidR="004F7393">
        <w:t xml:space="preserve"> </w:t>
      </w:r>
      <w:r>
        <w:t>and</w:t>
      </w:r>
      <w:r w:rsidR="004F7393">
        <w:t xml:space="preserve"> </w:t>
      </w:r>
      <w:r>
        <w:t>is</w:t>
      </w:r>
      <w:r w:rsidR="004F7393">
        <w:t xml:space="preserve"> </w:t>
      </w:r>
      <w:r>
        <w:t>harming</w:t>
      </w:r>
      <w:r w:rsidR="004F7393">
        <w:t xml:space="preserve"> </w:t>
      </w:r>
      <w:r>
        <w:t>songwriters</w:t>
      </w:r>
      <w:r w:rsidR="004F7393">
        <w:t xml:space="preserve"> </w:t>
      </w:r>
      <w:r>
        <w:t>and</w:t>
      </w:r>
      <w:r w:rsidR="004F7393">
        <w:t xml:space="preserve"> </w:t>
      </w:r>
      <w:r>
        <w:t>composers</w:t>
      </w:r>
      <w:r w:rsidR="004F7393">
        <w:t xml:space="preserve"> </w:t>
      </w:r>
      <w:r>
        <w:t>and</w:t>
      </w:r>
      <w:r w:rsidR="004F7393">
        <w:t xml:space="preserve"> </w:t>
      </w:r>
      <w:r>
        <w:t>music</w:t>
      </w:r>
      <w:r w:rsidR="004F7393">
        <w:t xml:space="preserve"> </w:t>
      </w:r>
      <w:r>
        <w:t>publishers.</w:t>
      </w:r>
      <w:r w:rsidR="004F7393">
        <w:t xml:space="preserve"> </w:t>
      </w:r>
      <w:r w:rsidR="00AC7FF9" w:rsidRPr="00AC7FF9">
        <w:t>The</w:t>
      </w:r>
      <w:r w:rsidR="004F7393">
        <w:t xml:space="preserve"> </w:t>
      </w:r>
      <w:r w:rsidR="00AC7FF9" w:rsidRPr="00AC7FF9">
        <w:t>valuation</w:t>
      </w:r>
      <w:r w:rsidR="004F7393">
        <w:t xml:space="preserve"> </w:t>
      </w:r>
      <w:r w:rsidR="00AC7FF9" w:rsidRPr="00AC7FF9">
        <w:t>of</w:t>
      </w:r>
      <w:r w:rsidR="004F7393">
        <w:t xml:space="preserve"> </w:t>
      </w:r>
      <w:r w:rsidR="00AC7FF9" w:rsidRPr="00AC7FF9">
        <w:t>music</w:t>
      </w:r>
      <w:r w:rsidR="004F7393">
        <w:t xml:space="preserve"> </w:t>
      </w:r>
      <w:r w:rsidR="00AC7FF9" w:rsidRPr="00AC7FF9">
        <w:t>has</w:t>
      </w:r>
      <w:r w:rsidR="004F7393">
        <w:t xml:space="preserve"> </w:t>
      </w:r>
      <w:r w:rsidR="00AC7FF9" w:rsidRPr="00AC7FF9">
        <w:t>been</w:t>
      </w:r>
      <w:r w:rsidR="004F7393">
        <w:t xml:space="preserve"> </w:t>
      </w:r>
      <w:r w:rsidR="00AC7FF9" w:rsidRPr="00AC7FF9">
        <w:t>transferred</w:t>
      </w:r>
      <w:r w:rsidR="004F7393">
        <w:t xml:space="preserve"> </w:t>
      </w:r>
      <w:r w:rsidR="00AC7FF9" w:rsidRPr="00AC7FF9">
        <w:t>from</w:t>
      </w:r>
      <w:r w:rsidR="004F7393">
        <w:t xml:space="preserve"> </w:t>
      </w:r>
      <w:r w:rsidR="00AC7FF9" w:rsidRPr="00AC7FF9">
        <w:t>those</w:t>
      </w:r>
      <w:r w:rsidR="004F7393">
        <w:t xml:space="preserve"> </w:t>
      </w:r>
      <w:r w:rsidR="00AC7FF9" w:rsidRPr="00AC7FF9">
        <w:t>who create</w:t>
      </w:r>
      <w:r w:rsidR="004F7393">
        <w:t xml:space="preserve"> </w:t>
      </w:r>
      <w:r w:rsidR="00AC7FF9" w:rsidRPr="00AC7FF9">
        <w:t>and</w:t>
      </w:r>
      <w:r w:rsidR="004F7393">
        <w:t xml:space="preserve"> </w:t>
      </w:r>
      <w:r w:rsidR="00AC7FF9" w:rsidRPr="00AC7FF9">
        <w:t>those</w:t>
      </w:r>
      <w:r w:rsidR="004F7393">
        <w:t xml:space="preserve"> </w:t>
      </w:r>
      <w:r w:rsidR="00AC7FF9" w:rsidRPr="00AC7FF9">
        <w:t>intermediaries</w:t>
      </w:r>
      <w:r w:rsidR="004F7393">
        <w:t xml:space="preserve"> </w:t>
      </w:r>
      <w:r w:rsidR="00AC7FF9" w:rsidRPr="00AC7FF9">
        <w:t>that</w:t>
      </w:r>
      <w:r w:rsidR="004F7393">
        <w:t xml:space="preserve"> </w:t>
      </w:r>
      <w:r w:rsidR="00AC7FF9" w:rsidRPr="00AC7FF9">
        <w:t>assist</w:t>
      </w:r>
      <w:r w:rsidR="004F7393">
        <w:t xml:space="preserve"> </w:t>
      </w:r>
      <w:r w:rsidR="00AC7FF9" w:rsidRPr="00AC7FF9">
        <w:t>in</w:t>
      </w:r>
      <w:r w:rsidR="004F7393">
        <w:t xml:space="preserve"> </w:t>
      </w:r>
      <w:r w:rsidR="00AC7FF9" w:rsidRPr="00AC7FF9">
        <w:t>the</w:t>
      </w:r>
      <w:r w:rsidR="004F7393">
        <w:t xml:space="preserve"> </w:t>
      </w:r>
      <w:r w:rsidR="00AC7FF9" w:rsidRPr="00AC7FF9">
        <w:t>creative</w:t>
      </w:r>
      <w:r w:rsidR="004F7393">
        <w:t xml:space="preserve"> </w:t>
      </w:r>
      <w:r w:rsidR="00AC7FF9" w:rsidRPr="00AC7FF9">
        <w:t>process</w:t>
      </w:r>
      <w:r w:rsidR="004F7393">
        <w:t xml:space="preserve"> </w:t>
      </w:r>
      <w:r w:rsidR="00AC7FF9" w:rsidRPr="00AC7FF9">
        <w:t>and</w:t>
      </w:r>
      <w:r w:rsidR="004F7393">
        <w:t xml:space="preserve"> </w:t>
      </w:r>
      <w:r w:rsidR="00AC7FF9" w:rsidRPr="00AC7FF9">
        <w:t>invest</w:t>
      </w:r>
      <w:r w:rsidR="004F7393">
        <w:t xml:space="preserve"> </w:t>
      </w:r>
      <w:r w:rsidR="00AC7FF9" w:rsidRPr="00AC7FF9">
        <w:t>in</w:t>
      </w:r>
      <w:r w:rsidR="004F7393">
        <w:t xml:space="preserve"> </w:t>
      </w:r>
      <w:r w:rsidR="00AC7FF9" w:rsidRPr="00AC7FF9">
        <w:t>music such as music publishers,</w:t>
      </w:r>
      <w:r w:rsidR="004F7393">
        <w:t xml:space="preserve"> </w:t>
      </w:r>
      <w:r w:rsidR="00AC7FF9" w:rsidRPr="00AC7FF9">
        <w:t>to</w:t>
      </w:r>
      <w:r w:rsidR="004F7393">
        <w:t xml:space="preserve"> </w:t>
      </w:r>
      <w:r w:rsidR="00AC7FF9" w:rsidRPr="00AC7FF9">
        <w:t>other intermediaries</w:t>
      </w:r>
      <w:r w:rsidR="004F7393">
        <w:t xml:space="preserve"> </w:t>
      </w:r>
      <w:r w:rsidR="00AC7FF9" w:rsidRPr="00AC7FF9">
        <w:t>such</w:t>
      </w:r>
      <w:r w:rsidR="004F7393">
        <w:t xml:space="preserve"> </w:t>
      </w:r>
      <w:r w:rsidR="00AC7FF9" w:rsidRPr="00AC7FF9">
        <w:t>as</w:t>
      </w:r>
      <w:r w:rsidR="004F7393">
        <w:t xml:space="preserve"> </w:t>
      </w:r>
      <w:r w:rsidR="00AC7FF9" w:rsidRPr="00AC7FF9">
        <w:t>Google</w:t>
      </w:r>
      <w:r w:rsidR="004F7393">
        <w:t xml:space="preserve"> </w:t>
      </w:r>
      <w:r w:rsidR="00AC7FF9" w:rsidRPr="00AC7FF9">
        <w:t>who</w:t>
      </w:r>
      <w:r w:rsidR="004F7393">
        <w:t xml:space="preserve"> </w:t>
      </w:r>
      <w:r w:rsidR="00AC7FF9" w:rsidRPr="00AC7FF9">
        <w:t>profit</w:t>
      </w:r>
      <w:r w:rsidR="004F7393">
        <w:t xml:space="preserve"> </w:t>
      </w:r>
      <w:r w:rsidR="00AC7FF9" w:rsidRPr="00AC7FF9">
        <w:t>enormously</w:t>
      </w:r>
      <w:r w:rsidR="004F7393">
        <w:t xml:space="preserve"> </w:t>
      </w:r>
      <w:r w:rsidR="00AC7FF9" w:rsidRPr="00AC7FF9">
        <w:t>from</w:t>
      </w:r>
      <w:r w:rsidR="004F7393">
        <w:t xml:space="preserve"> </w:t>
      </w:r>
      <w:r w:rsidR="00AC7FF9" w:rsidRPr="00AC7FF9">
        <w:t>the</w:t>
      </w:r>
      <w:r w:rsidR="004F7393">
        <w:t xml:space="preserve"> </w:t>
      </w:r>
      <w:r w:rsidR="00AC7FF9" w:rsidRPr="00AC7FF9">
        <w:t>creations</w:t>
      </w:r>
      <w:r w:rsidR="004F7393">
        <w:t xml:space="preserve"> </w:t>
      </w:r>
      <w:r w:rsidR="00AC7FF9" w:rsidRPr="00AC7FF9">
        <w:t>of</w:t>
      </w:r>
      <w:r w:rsidR="004F7393">
        <w:t xml:space="preserve"> </w:t>
      </w:r>
      <w:r w:rsidR="00AC7FF9" w:rsidRPr="00AC7FF9">
        <w:t>others,</w:t>
      </w:r>
      <w:r w:rsidR="004F7393">
        <w:t xml:space="preserve"> </w:t>
      </w:r>
      <w:r w:rsidR="00AC7FF9" w:rsidRPr="00AC7FF9">
        <w:t xml:space="preserve">without contributing to or investing in the creative process and who </w:t>
      </w:r>
      <w:r w:rsidR="000065DE">
        <w:t>are</w:t>
      </w:r>
      <w:r w:rsidR="00AC7FF9" w:rsidRPr="00AC7FF9">
        <w:t xml:space="preserve"> protected by safe harbour laws in other jurisdictions.</w:t>
      </w:r>
      <w:r w:rsidR="004F7393">
        <w:t xml:space="preserve"> </w:t>
      </w:r>
      <w:r w:rsidR="00605823">
        <w:t>Expanding the scope of Australia’s safe harbour laws can onl</w:t>
      </w:r>
      <w:r w:rsidR="000065DE">
        <w:t>y exacerbate this problem, and its as</w:t>
      </w:r>
      <w:r w:rsidR="004D0B61">
        <w:t>sociated impact on the value</w:t>
      </w:r>
      <w:r w:rsidR="004F7393">
        <w:t xml:space="preserve"> </w:t>
      </w:r>
      <w:r w:rsidR="004D0B61">
        <w:t>that creators’ works</w:t>
      </w:r>
      <w:r w:rsidR="004F7393">
        <w:t xml:space="preserve"> </w:t>
      </w:r>
      <w:r w:rsidR="004D0B61">
        <w:t>contribute</w:t>
      </w:r>
      <w:r w:rsidR="004F7393">
        <w:t xml:space="preserve"> </w:t>
      </w:r>
      <w:r w:rsidR="004D0B61">
        <w:t>to Australia’s</w:t>
      </w:r>
      <w:r w:rsidR="004F7393">
        <w:t xml:space="preserve"> </w:t>
      </w:r>
      <w:r w:rsidR="004D0B61">
        <w:t>rich</w:t>
      </w:r>
      <w:r w:rsidR="004F7393">
        <w:t xml:space="preserve"> </w:t>
      </w:r>
      <w:r w:rsidR="004D0B61">
        <w:t>cultural</w:t>
      </w:r>
      <w:r w:rsidR="004F7393">
        <w:t xml:space="preserve"> </w:t>
      </w:r>
      <w:r w:rsidR="004D0B61">
        <w:t>heritage,</w:t>
      </w:r>
      <w:r w:rsidR="004F7393">
        <w:t xml:space="preserve"> </w:t>
      </w:r>
      <w:r w:rsidR="004D0B61">
        <w:t>as</w:t>
      </w:r>
      <w:r w:rsidR="004F7393">
        <w:t xml:space="preserve"> </w:t>
      </w:r>
      <w:r w:rsidR="004D0B61">
        <w:t>well</w:t>
      </w:r>
      <w:r w:rsidR="004F7393">
        <w:t xml:space="preserve"> </w:t>
      </w:r>
      <w:r w:rsidR="004D0B61">
        <w:t>as</w:t>
      </w:r>
      <w:r w:rsidR="004F7393">
        <w:t xml:space="preserve"> </w:t>
      </w:r>
      <w:r w:rsidR="004D0B61">
        <w:t>their economic contribution.</w:t>
      </w:r>
    </w:p>
    <w:p w14:paraId="561D0733" w14:textId="140EA116" w:rsidR="00CD559A" w:rsidRDefault="008A0BD3" w:rsidP="004F7393">
      <w:r>
        <w:t>If the rationale to expand the operation of the safe harbour scheme is to make Australia’s laws consistent with those of other jurisdictions such as the United States</w:t>
      </w:r>
      <w:r w:rsidR="00464793">
        <w:t xml:space="preserve"> (and we note Music Australia’s submission that this is unnecessary and not desirable)</w:t>
      </w:r>
      <w:r>
        <w:t>, the other aspects of those laws releva</w:t>
      </w:r>
      <w:r w:rsidR="00464793">
        <w:t xml:space="preserve">nt to rights holders such as a workable </w:t>
      </w:r>
      <w:r>
        <w:t>industry code of conduct for service providers, must also be introduced.</w:t>
      </w:r>
      <w:r w:rsidR="004F7393">
        <w:t xml:space="preserve"> </w:t>
      </w:r>
      <w:r w:rsidR="00656794">
        <w:t>Comparisons with the US law must also be considered in the context of the US system of stat</w:t>
      </w:r>
      <w:r w:rsidR="00605823">
        <w:t xml:space="preserve">utory damages, which is not a part of </w:t>
      </w:r>
      <w:r w:rsidR="00656794">
        <w:t>Australia</w:t>
      </w:r>
      <w:r w:rsidR="00605823">
        <w:t>n law</w:t>
      </w:r>
      <w:r w:rsidR="00656794">
        <w:t>.</w:t>
      </w:r>
      <w:r w:rsidR="004F7393">
        <w:t xml:space="preserve"> </w:t>
      </w:r>
      <w:r w:rsidR="00AF0BD8">
        <w:t>We refer to the comments of Music Rights Australia in their submission regarding the original intention of the legislature in restricting the scope of the safe harbour scheme in Australia.</w:t>
      </w:r>
    </w:p>
    <w:p w14:paraId="4301EC9E" w14:textId="4252CC29" w:rsidR="002501F5" w:rsidRDefault="001D1ABC" w:rsidP="004F7393">
      <w:r>
        <w:t>In addition</w:t>
      </w:r>
      <w:r w:rsidR="00426730">
        <w:t>, unless</w:t>
      </w:r>
      <w:r>
        <w:t xml:space="preserve"> section 101</w:t>
      </w:r>
      <w:r w:rsidR="00656794">
        <w:t xml:space="preserve"> of</w:t>
      </w:r>
      <w:r w:rsidR="00426730">
        <w:t xml:space="preserve"> the </w:t>
      </w:r>
      <w:r w:rsidR="00426730">
        <w:rPr>
          <w:i/>
        </w:rPr>
        <w:t xml:space="preserve">Copyright Act 1968 </w:t>
      </w:r>
      <w:r w:rsidR="00426730">
        <w:t>(</w:t>
      </w:r>
      <w:proofErr w:type="spellStart"/>
      <w:r w:rsidR="00426730">
        <w:t>Cth</w:t>
      </w:r>
      <w:proofErr w:type="spellEnd"/>
      <w:r w:rsidR="00426730">
        <w:t>)</w:t>
      </w:r>
      <w:r w:rsidR="00656794">
        <w:t xml:space="preserve"> is amended</w:t>
      </w:r>
      <w:r w:rsidR="00426730" w:rsidRPr="00426730">
        <w:t xml:space="preserve"> </w:t>
      </w:r>
      <w:r w:rsidR="00656794">
        <w:t xml:space="preserve">so that all </w:t>
      </w:r>
      <w:r w:rsidR="00426730" w:rsidRPr="00426730">
        <w:t xml:space="preserve">service providers </w:t>
      </w:r>
      <w:r w:rsidR="00464793">
        <w:t>must take reasonable steps to assist rights holders to address infringing activity on their networks</w:t>
      </w:r>
      <w:r w:rsidR="00426730" w:rsidRPr="00426730">
        <w:t xml:space="preserve"> </w:t>
      </w:r>
      <w:r>
        <w:t>where they have know</w:t>
      </w:r>
      <w:r w:rsidR="008D4535">
        <w:t>l</w:t>
      </w:r>
      <w:r>
        <w:t>edge of that infringement</w:t>
      </w:r>
      <w:r w:rsidR="00426730" w:rsidRPr="00426730">
        <w:t xml:space="preserve">, it is </w:t>
      </w:r>
      <w:r w:rsidR="00656794">
        <w:t>not appropriate for the safe harbour laws to be extended to those service providers.</w:t>
      </w:r>
      <w:r w:rsidR="004F7393">
        <w:t xml:space="preserve"> </w:t>
      </w:r>
      <w:r w:rsidR="00656794">
        <w:t>The balance originally envisaged by the legislature must be maintained</w:t>
      </w:r>
      <w:r w:rsidR="00AF0BD8">
        <w:t>.</w:t>
      </w:r>
      <w:r w:rsidR="004F7393">
        <w:t xml:space="preserve"> </w:t>
      </w:r>
      <w:r w:rsidR="009C0BAE">
        <w:t>The</w:t>
      </w:r>
      <w:r w:rsidR="00396128">
        <w:t xml:space="preserve"> safe harbour scheme must no</w:t>
      </w:r>
      <w:r w:rsidR="005A49C1">
        <w:t>t act as a disincentive for services to engage in</w:t>
      </w:r>
      <w:r w:rsidR="00396128">
        <w:t xml:space="preserve"> legitimate music licensing.</w:t>
      </w:r>
      <w:r w:rsidR="004F7393">
        <w:t xml:space="preserve"> </w:t>
      </w:r>
      <w:r w:rsidR="00CD559A">
        <w:t>In this regard, we refer to the submission of Music Rights Australia setting out its proposals for amending section 101. If the safe harbour laws are to be expanded, contrary to our submission, we also endorse the proposed amendments to the Bill</w:t>
      </w:r>
      <w:r w:rsidR="00A51C3C">
        <w:t xml:space="preserve"> </w:t>
      </w:r>
      <w:r w:rsidR="00CD559A">
        <w:t>put fo</w:t>
      </w:r>
      <w:r w:rsidR="00AF0BD8">
        <w:t>rward by Music Rights Australia in their submission.</w:t>
      </w:r>
    </w:p>
    <w:p w14:paraId="0084DCEE" w14:textId="35E3AF3D" w:rsidR="002501F5" w:rsidRDefault="002501F5" w:rsidP="004F7393">
      <w:r>
        <w:t>AMPAL also</w:t>
      </w:r>
      <w:r w:rsidR="00AE6F9A">
        <w:t xml:space="preserve"> respectfully</w:t>
      </w:r>
      <w:r>
        <w:t xml:space="preserve"> submits that </w:t>
      </w:r>
      <w:r w:rsidR="00A71DC4">
        <w:t xml:space="preserve">it </w:t>
      </w:r>
      <w:r>
        <w:t xml:space="preserve">is not desirable for the government to be proposing </w:t>
      </w:r>
      <w:r w:rsidR="005A49C1">
        <w:t>this amendment</w:t>
      </w:r>
      <w:r>
        <w:t xml:space="preserve"> to </w:t>
      </w:r>
      <w:r w:rsidR="005A49C1">
        <w:t xml:space="preserve">the </w:t>
      </w:r>
      <w:r w:rsidR="005A49C1">
        <w:rPr>
          <w:i/>
        </w:rPr>
        <w:t xml:space="preserve">Copyright Act 1968 </w:t>
      </w:r>
      <w:r w:rsidR="005A49C1">
        <w:t>(</w:t>
      </w:r>
      <w:proofErr w:type="spellStart"/>
      <w:r w:rsidR="005A49C1">
        <w:t>Cth</w:t>
      </w:r>
      <w:proofErr w:type="spellEnd"/>
      <w:r w:rsidR="005A49C1">
        <w:t xml:space="preserve">) </w:t>
      </w:r>
      <w:r>
        <w:t>while the Productivity Commission’s review of intellectual property arrangements is on foot.</w:t>
      </w:r>
      <w:r w:rsidR="004F7393">
        <w:t xml:space="preserve"> </w:t>
      </w:r>
      <w:r w:rsidR="008D4535">
        <w:t xml:space="preserve">We also note that </w:t>
      </w:r>
      <w:r w:rsidR="00CD559A">
        <w:t>a review</w:t>
      </w:r>
      <w:r w:rsidR="008D4535">
        <w:t xml:space="preserve"> of </w:t>
      </w:r>
      <w:r w:rsidR="00AC7FF9">
        <w:t xml:space="preserve">safe harbour laws </w:t>
      </w:r>
      <w:r w:rsidR="00CD559A">
        <w:t xml:space="preserve">is currently being undertaken in the US by the US Copyright Office, and </w:t>
      </w:r>
      <w:r w:rsidR="00AC7FF9">
        <w:t>Europe</w:t>
      </w:r>
      <w:r w:rsidR="00CD559A">
        <w:t>an copyright laws more broadly are currently being reviewed by the European Commission</w:t>
      </w:r>
      <w:r w:rsidR="00AC7FF9">
        <w:t>, and refer to ICMP’s comments in their submission in this regard.</w:t>
      </w:r>
    </w:p>
    <w:p w14:paraId="4B02BCBC" w14:textId="39D37092" w:rsidR="00AC7FF9" w:rsidRDefault="00AC7FF9" w:rsidP="004F7393">
      <w:r w:rsidRPr="00AC7FF9">
        <w:t xml:space="preserve">The music industry has been transformed in the digital age. The industry has been innovative in adapting, and music copyright owners including music publishers have been very flexible in entering </w:t>
      </w:r>
      <w:r w:rsidR="00A71DC4">
        <w:t xml:space="preserve">into </w:t>
      </w:r>
      <w:r w:rsidRPr="00AC7FF9">
        <w:t>licensing schemes to allow a</w:t>
      </w:r>
      <w:r w:rsidR="004314BA">
        <w:t xml:space="preserve"> broad range of legal services.</w:t>
      </w:r>
      <w:r w:rsidR="004F7393">
        <w:t xml:space="preserve"> </w:t>
      </w:r>
      <w:r w:rsidRPr="00AC7FF9">
        <w:t>The Digital Content Guide (</w:t>
      </w:r>
      <w:hyperlink r:id="rId10" w:history="1">
        <w:r w:rsidRPr="00AC7FF9">
          <w:rPr>
            <w:rStyle w:val="Hyperlink"/>
          </w:rPr>
          <w:t>www.digitalcontentguide.com.au</w:t>
        </w:r>
      </w:hyperlink>
      <w:r w:rsidRPr="00AC7FF9">
        <w:t xml:space="preserve">) </w:t>
      </w:r>
      <w:r w:rsidR="00706358">
        <w:t>sets</w:t>
      </w:r>
      <w:r w:rsidR="00AF0BD8">
        <w:t xml:space="preserve"> out</w:t>
      </w:r>
      <w:r w:rsidR="004314BA">
        <w:t xml:space="preserve"> the range of these services.</w:t>
      </w:r>
      <w:r w:rsidR="004F7393">
        <w:t xml:space="preserve"> </w:t>
      </w:r>
      <w:r w:rsidR="004314BA">
        <w:t xml:space="preserve">What has made this transition possible is a strong, </w:t>
      </w:r>
      <w:r w:rsidRPr="00AC7FF9">
        <w:t>flexible copy</w:t>
      </w:r>
      <w:r w:rsidR="004314BA">
        <w:t>right framework providing certainty for creators and other copyright owners.</w:t>
      </w:r>
      <w:r w:rsidR="004F7393">
        <w:t xml:space="preserve"> </w:t>
      </w:r>
      <w:r w:rsidR="00CD559A">
        <w:t>Australia’s</w:t>
      </w:r>
      <w:r w:rsidRPr="00AC7FF9">
        <w:t xml:space="preserve"> IP system has adapted well to changes in economic, commercial and technological changes in the past, and if it remains as a robust IP framework, it will continue do so into the future.</w:t>
      </w:r>
    </w:p>
    <w:p w14:paraId="3BBF3426" w14:textId="77777777" w:rsidR="0094402C" w:rsidRDefault="0094402C" w:rsidP="004F7393">
      <w:pPr>
        <w:pStyle w:val="Heading2"/>
      </w:pPr>
      <w:r>
        <w:lastRenderedPageBreak/>
        <w:t>Conclusion</w:t>
      </w:r>
    </w:p>
    <w:p w14:paraId="118BED28" w14:textId="089926AF" w:rsidR="0094402C" w:rsidRDefault="0094402C" w:rsidP="004F7393">
      <w:r>
        <w:t xml:space="preserve">AMPAL </w:t>
      </w:r>
      <w:r w:rsidR="00706358">
        <w:t>thanks the Government for</w:t>
      </w:r>
      <w:r>
        <w:t xml:space="preserve"> the</w:t>
      </w:r>
      <w:r w:rsidR="00AC7FF9">
        <w:t xml:space="preserve"> opportunity to comment on the Bill</w:t>
      </w:r>
      <w:r w:rsidR="00CD559A">
        <w:t>.</w:t>
      </w:r>
      <w:r w:rsidR="004F7393">
        <w:t xml:space="preserve"> </w:t>
      </w:r>
      <w:r w:rsidR="00CD559A">
        <w:t xml:space="preserve">AMPAL </w:t>
      </w:r>
      <w:r w:rsidR="00FF104D">
        <w:t>is opposed to</w:t>
      </w:r>
      <w:r w:rsidR="00CD559A">
        <w:t xml:space="preserve"> the proposed amendments to the </w:t>
      </w:r>
      <w:r w:rsidR="00CD559A">
        <w:rPr>
          <w:i/>
        </w:rPr>
        <w:t xml:space="preserve">Copyright Act 1968 </w:t>
      </w:r>
      <w:r w:rsidR="00CD559A">
        <w:t>(</w:t>
      </w:r>
      <w:proofErr w:type="spellStart"/>
      <w:r w:rsidR="00CD559A">
        <w:t>Cth</w:t>
      </w:r>
      <w:proofErr w:type="spellEnd"/>
      <w:r w:rsidR="00CD559A">
        <w:t>) set out in Schedule 2 of the Bill for the reasons outlined above.</w:t>
      </w:r>
      <w:r w:rsidR="004F7393">
        <w:t xml:space="preserve"> </w:t>
      </w:r>
      <w:r w:rsidR="004D0B61">
        <w:t>We also agree with the concerns and proposals raised by Music Rights Australia in their submission.</w:t>
      </w:r>
    </w:p>
    <w:p w14:paraId="21E59D33" w14:textId="77777777" w:rsidR="0094402C" w:rsidRDefault="0094402C" w:rsidP="004F7393">
      <w:r>
        <w:t>Please contact us if we can be of any further assistance.</w:t>
      </w:r>
    </w:p>
    <w:p w14:paraId="00CC6A39" w14:textId="77777777" w:rsidR="0094402C" w:rsidRDefault="0094402C" w:rsidP="004F7393"/>
    <w:p w14:paraId="3A7E5436" w14:textId="7E3325D0" w:rsidR="0094402C" w:rsidRDefault="0094402C" w:rsidP="004F7393">
      <w:pPr>
        <w:jc w:val="left"/>
      </w:pPr>
      <w:r>
        <w:t>Matthew O’Sullivan</w:t>
      </w:r>
      <w:r w:rsidR="004F7393">
        <w:br/>
      </w:r>
      <w:r>
        <w:t>General Manager</w:t>
      </w:r>
    </w:p>
    <w:p w14:paraId="1B717D07" w14:textId="77777777" w:rsidR="00582A11" w:rsidRDefault="00582A11" w:rsidP="004F7393"/>
    <w:p w14:paraId="6BD62E1D" w14:textId="77777777" w:rsidR="0094402C" w:rsidRDefault="000F37D9" w:rsidP="004F7393">
      <w:r>
        <w:t>12 February 2016</w:t>
      </w:r>
    </w:p>
    <w:sectPr w:rsidR="0094402C" w:rsidSect="004F7393">
      <w:headerReference w:type="default" r:id="rId11"/>
      <w:pgSz w:w="11906" w:h="16838"/>
      <w:pgMar w:top="851" w:right="1440" w:bottom="567" w:left="1440"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D2FA" w14:textId="77777777" w:rsidR="009C3611" w:rsidRDefault="009C3611" w:rsidP="004F7393">
      <w:r>
        <w:separator/>
      </w:r>
    </w:p>
  </w:endnote>
  <w:endnote w:type="continuationSeparator" w:id="0">
    <w:p w14:paraId="3EEA5321" w14:textId="77777777" w:rsidR="009C3611" w:rsidRDefault="009C3611" w:rsidP="004F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29384" w14:textId="77777777" w:rsidR="009C3611" w:rsidRDefault="009C3611" w:rsidP="004F7393">
      <w:r>
        <w:separator/>
      </w:r>
    </w:p>
  </w:footnote>
  <w:footnote w:type="continuationSeparator" w:id="0">
    <w:p w14:paraId="0F12D7A8" w14:textId="77777777" w:rsidR="009C3611" w:rsidRDefault="009C3611" w:rsidP="004F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4CE6" w14:textId="3991E884" w:rsidR="0094402C" w:rsidRDefault="004F7393" w:rsidP="004F7393">
    <w:pPr>
      <w:pStyle w:val="Header"/>
      <w:jc w:val="right"/>
      <w:rPr>
        <w:lang w:eastAsia="ar-SA" w:bidi="ar-SA"/>
      </w:rPr>
    </w:pPr>
    <w:r>
      <w:rPr>
        <w:noProof/>
        <w:lang w:eastAsia="zh-TW"/>
      </w:rPr>
      <w:drawing>
        <wp:inline distT="0" distB="0" distL="0" distR="0" wp14:anchorId="73DE51B0" wp14:editId="38A29B53">
          <wp:extent cx="970280" cy="227965"/>
          <wp:effectExtent l="0" t="0" r="1270" b="635"/>
          <wp:docPr id="20" name="Picture 20" descr="Logo: Australasian Music Publishers Association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280" cy="227965"/>
                  </a:xfrm>
                  <a:prstGeom prst="rect">
                    <a:avLst/>
                  </a:prstGeom>
                  <a:solidFill>
                    <a:srgbClr val="FFFFFF">
                      <a:alpha val="0"/>
                    </a:srgbClr>
                  </a:solid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228" w:allStyles="0" w:customStyles="0" w:latentStyles="0" w:stylesInUse="1" w:headingStyles="1" w:numberingStyles="0" w:tableStyles="0" w:directFormattingOnRuns="0" w:directFormattingOnParagraphs="1"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7D"/>
    <w:rsid w:val="00000B11"/>
    <w:rsid w:val="000065DE"/>
    <w:rsid w:val="000A0277"/>
    <w:rsid w:val="000F37D9"/>
    <w:rsid w:val="00157B7D"/>
    <w:rsid w:val="001602A5"/>
    <w:rsid w:val="00191E68"/>
    <w:rsid w:val="001D1ABC"/>
    <w:rsid w:val="001F2581"/>
    <w:rsid w:val="00203B4F"/>
    <w:rsid w:val="00232BAF"/>
    <w:rsid w:val="00241D95"/>
    <w:rsid w:val="002501F5"/>
    <w:rsid w:val="00296E70"/>
    <w:rsid w:val="002A284F"/>
    <w:rsid w:val="002F667C"/>
    <w:rsid w:val="00396128"/>
    <w:rsid w:val="003F47DA"/>
    <w:rsid w:val="00426730"/>
    <w:rsid w:val="004314BA"/>
    <w:rsid w:val="00464793"/>
    <w:rsid w:val="00486457"/>
    <w:rsid w:val="004C5EDF"/>
    <w:rsid w:val="004D0B61"/>
    <w:rsid w:val="004F7393"/>
    <w:rsid w:val="0058120C"/>
    <w:rsid w:val="00582A11"/>
    <w:rsid w:val="00582C5B"/>
    <w:rsid w:val="005A49C1"/>
    <w:rsid w:val="005F3645"/>
    <w:rsid w:val="00605823"/>
    <w:rsid w:val="00656794"/>
    <w:rsid w:val="00664E27"/>
    <w:rsid w:val="006742A8"/>
    <w:rsid w:val="00682A8E"/>
    <w:rsid w:val="006843AC"/>
    <w:rsid w:val="007004D7"/>
    <w:rsid w:val="00705AD6"/>
    <w:rsid w:val="00706358"/>
    <w:rsid w:val="007E611C"/>
    <w:rsid w:val="0080389C"/>
    <w:rsid w:val="0081550C"/>
    <w:rsid w:val="008A0BD3"/>
    <w:rsid w:val="008B6BC1"/>
    <w:rsid w:val="008D4535"/>
    <w:rsid w:val="0094402C"/>
    <w:rsid w:val="009C0BAE"/>
    <w:rsid w:val="009C3611"/>
    <w:rsid w:val="00A51C3C"/>
    <w:rsid w:val="00A71DC4"/>
    <w:rsid w:val="00AC7FF9"/>
    <w:rsid w:val="00AE6F9A"/>
    <w:rsid w:val="00AF0BD8"/>
    <w:rsid w:val="00AF1C45"/>
    <w:rsid w:val="00B12A53"/>
    <w:rsid w:val="00B60312"/>
    <w:rsid w:val="00B77489"/>
    <w:rsid w:val="00BC0C89"/>
    <w:rsid w:val="00CD559A"/>
    <w:rsid w:val="00D47399"/>
    <w:rsid w:val="00D47D93"/>
    <w:rsid w:val="00E46AF8"/>
    <w:rsid w:val="00E67224"/>
    <w:rsid w:val="00EE4E76"/>
    <w:rsid w:val="00FF104D"/>
    <w:rsid w:val="00FF438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3723C58"/>
  <w15:docId w15:val="{C2F12F45-1F74-4031-95FE-BFEE0CBB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93"/>
    <w:pPr>
      <w:widowControl w:val="0"/>
      <w:tabs>
        <w:tab w:val="left" w:pos="9083"/>
      </w:tabs>
      <w:suppressAutoHyphens/>
      <w:spacing w:after="240"/>
      <w:jc w:val="both"/>
    </w:pPr>
    <w:rPr>
      <w:rFonts w:eastAsia="SimSun" w:cs="Mangal"/>
      <w:kern w:val="1"/>
      <w:sz w:val="24"/>
      <w:szCs w:val="24"/>
      <w:lang w:eastAsia="hi-IN" w:bidi="hi-IN"/>
    </w:rPr>
  </w:style>
  <w:style w:type="paragraph" w:styleId="Heading1">
    <w:name w:val="heading 1"/>
    <w:basedOn w:val="Normal"/>
    <w:next w:val="Normal"/>
    <w:link w:val="Heading1Char"/>
    <w:uiPriority w:val="9"/>
    <w:qFormat/>
    <w:rsid w:val="004F7393"/>
    <w:pPr>
      <w:outlineLvl w:val="0"/>
    </w:pPr>
    <w:rPr>
      <w:b/>
      <w:bCs/>
    </w:rPr>
  </w:style>
  <w:style w:type="paragraph" w:styleId="Heading2">
    <w:name w:val="heading 2"/>
    <w:basedOn w:val="Normal"/>
    <w:next w:val="Normal"/>
    <w:link w:val="Heading2Char"/>
    <w:uiPriority w:val="9"/>
    <w:unhideWhenUsed/>
    <w:qFormat/>
    <w:rsid w:val="004F739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FootnoteCharacters">
    <w:name w:val="Footnote Characters"/>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EndnoteReference1">
    <w:name w:val="Endnote Reference1"/>
    <w:rPr>
      <w:vertAlign w:val="superscript"/>
    </w:rPr>
  </w:style>
  <w:style w:type="character" w:customStyle="1" w:styleId="NumberingSymbols">
    <w:name w:val="Numbering Symbols"/>
  </w:style>
  <w:style w:type="character" w:styleId="Hyperlink">
    <w:name w:val="Hyperlink"/>
    <w:rPr>
      <w:color w:val="0000FF"/>
      <w:u w:val="single"/>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noteText">
    <w:name w:val="footnote text"/>
    <w:basedOn w:val="Normal"/>
    <w:pPr>
      <w:suppressLineNumbers/>
      <w:ind w:left="283" w:hanging="283"/>
    </w:pPr>
    <w:rPr>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NoSpacing">
    <w:name w:val="No Spacing"/>
    <w:qFormat/>
    <w:pPr>
      <w:suppressAutoHyphens/>
    </w:pPr>
    <w:rPr>
      <w:rFonts w:eastAsia="Arial"/>
      <w:bCs/>
      <w:sz w:val="24"/>
      <w:szCs w:val="24"/>
      <w:lang w:val="en-US" w:eastAsia="ar-SA"/>
    </w:rPr>
  </w:style>
  <w:style w:type="character" w:customStyle="1" w:styleId="apple-converted-space">
    <w:name w:val="apple-converted-space"/>
    <w:rsid w:val="00E46AF8"/>
  </w:style>
  <w:style w:type="character" w:customStyle="1" w:styleId="Heading1Char">
    <w:name w:val="Heading 1 Char"/>
    <w:basedOn w:val="DefaultParagraphFont"/>
    <w:link w:val="Heading1"/>
    <w:uiPriority w:val="9"/>
    <w:rsid w:val="004F7393"/>
    <w:rPr>
      <w:rFonts w:eastAsia="SimSun" w:cs="Mangal"/>
      <w:b/>
      <w:bCs/>
      <w:kern w:val="1"/>
      <w:sz w:val="24"/>
      <w:szCs w:val="24"/>
      <w:lang w:eastAsia="hi-IN" w:bidi="hi-IN"/>
    </w:rPr>
  </w:style>
  <w:style w:type="character" w:customStyle="1" w:styleId="Heading2Char">
    <w:name w:val="Heading 2 Char"/>
    <w:basedOn w:val="DefaultParagraphFont"/>
    <w:link w:val="Heading2"/>
    <w:uiPriority w:val="9"/>
    <w:rsid w:val="004F7393"/>
    <w:rPr>
      <w:rFonts w:eastAsia="SimSun" w:cs="Mangal"/>
      <w:b/>
      <w:b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gitalcontentguide.com.au"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2cb408e1799b061d41d7dea5747947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F6BBA-B206-4DA7-A50A-BD9F0894BE87}">
  <ds:schemaRefs>
    <ds:schemaRef ds:uri="http://schemas.microsoft.com/sharepoint/v3/contenttype/forms"/>
  </ds:schemaRefs>
</ds:datastoreItem>
</file>

<file path=customXml/itemProps2.xml><?xml version="1.0" encoding="utf-8"?>
<ds:datastoreItem xmlns:ds="http://schemas.openxmlformats.org/officeDocument/2006/customXml" ds:itemID="{37FC9C5B-9472-4990-B58A-48E9708AACC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7118332-9244-4A9C-BD11-813824AC8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37—Submission—Australasian Music Publishers Association Limited—Updating Australia's copyright laws</dc:title>
  <dc:subject/>
  <dc:creator>Matthew O'Sullivan</dc:creator>
  <cp:keywords/>
  <dc:description/>
  <cp:lastModifiedBy>Department of Communications and the Arts</cp:lastModifiedBy>
  <cp:revision>3</cp:revision>
  <cp:lastPrinted>2016-02-12T03:06:00Z</cp:lastPrinted>
  <dcterms:created xsi:type="dcterms:W3CDTF">2016-10-04T22:03:00Z</dcterms:created>
  <dcterms:modified xsi:type="dcterms:W3CDTF">2017-03-02T05:04:00Z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0x010100025E3A57EF42484D8B194BCF43214089</vt:lpwstr>
  </property>
  <property fmtid="{D5CDD505-2E9C-101B-9397-08002B2CF9AE}" pid="3" name="TrimRevisionNumber">
    <vt:i4>3</vt:i4>
  </property>
</Properties>
</file>