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oduc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5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document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prepared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response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offer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input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development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federal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infrastructure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plan.</w:t>
      </w:r>
      <w:r>
        <w:rPr>
          <w:rFonts w:ascii="Calibri" w:hAnsi="Calibri" w:cs="Calibri" w:eastAsia="Calibri"/>
          <w:sz w:val="24"/>
          <w:szCs w:val="24"/>
          <w:color w:val="010202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4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reading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document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you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see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paragraphs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header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“Justification”.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provided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only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demonstrate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ideas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grounded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real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world.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Abou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h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Au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ho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5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Darren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O’Connor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thirty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Technology,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majority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leading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departments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publically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listed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chains.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experience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retail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chains,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awarded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three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innovation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awards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1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three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larger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problems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seem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difficult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increase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level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good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systems.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9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Together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Nick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Busy,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Darren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O’Connor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startup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“Enfoll”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track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logistics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traverse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non-trading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partner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4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also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often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called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upon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speak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industry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events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topics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relating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retail,</w:t>
      </w:r>
      <w:r>
        <w:rPr>
          <w:rFonts w:ascii="Calibri" w:hAnsi="Calibri" w:cs="Calibri" w:eastAsia="Calibri"/>
          <w:sz w:val="24"/>
          <w:szCs w:val="24"/>
          <w:color w:val="010202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transport,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chain.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P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nc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p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l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(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oad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an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po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)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2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5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44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1.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Field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of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Dreams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“If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You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Build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It,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They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Will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Come”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000000"/>
          <w:w w:val="100"/>
        </w:rPr>
      </w:r>
    </w:p>
    <w:p>
      <w:pPr>
        <w:spacing w:before="5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12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additional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capacit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additional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utilize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grows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it’s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utilization,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until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returns.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growth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environment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matter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before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becomes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true.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Note: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principle</w:t>
      </w:r>
      <w:r>
        <w:rPr>
          <w:rFonts w:ascii="Calibri" w:hAnsi="Calibri" w:cs="Calibri" w:eastAsia="Calibri"/>
          <w:sz w:val="24"/>
          <w:szCs w:val="24"/>
          <w:color w:val="010202"/>
          <w:spacing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only</w:t>
      </w:r>
      <w:r>
        <w:rPr>
          <w:rFonts w:ascii="Calibri" w:hAnsi="Calibri" w:cs="Calibri" w:eastAsia="Calibri"/>
          <w:sz w:val="24"/>
          <w:szCs w:val="24"/>
          <w:color w:val="010202"/>
          <w:spacing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provided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drive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discussion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around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alternatives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building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additional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</w:rPr>
        <w:t>capacity.</w:t>
      </w:r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44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2.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No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Silver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Bullets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(and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1%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improvements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are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worth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it)</w:t>
      </w:r>
      <w:r>
        <w:rPr>
          <w:rFonts w:ascii="Calibri Light" w:hAnsi="Calibri Light" w:cs="Calibri Light" w:eastAsia="Calibri Light"/>
          <w:sz w:val="23"/>
          <w:szCs w:val="23"/>
          <w:color w:val="152B56"/>
          <w:w w:val="104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000000"/>
          <w:w w:val="100"/>
        </w:rPr>
      </w:r>
    </w:p>
    <w:p>
      <w:pPr>
        <w:spacing w:before="5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spacing w:before="0" w:after="0" w:line="240" w:lineRule="auto"/>
        <w:ind w:left="119" w:right="20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temptation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political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environment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look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single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simple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Whilst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often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overlooks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large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1%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taken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together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</w:rPr>
      </w:r>
    </w:p>
    <w:p>
      <w:pPr>
        <w:jc w:val="left"/>
        <w:spacing w:after="0"/>
        <w:sectPr>
          <w:type w:val="continuous"/>
          <w:pgSz w:w="11920" w:h="16840"/>
          <w:pgMar w:top="1380" w:bottom="280" w:left="1340" w:right="1280"/>
        </w:sectPr>
      </w:pPr>
      <w:rPr/>
    </w:p>
    <w:p>
      <w:pPr>
        <w:spacing w:before="63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Examples: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tunnels,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constructing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large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multilane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3.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Long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Design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7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Life,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7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Staged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7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Realisation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19" w:right="7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Strategic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term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(&gt;40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years)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life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adapt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demonstrate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proposed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initial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adapts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minimizes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disruption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implemented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6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Melbourne’s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CityLink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Tulla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disruptive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upgrades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avoided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better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planned,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executed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initial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ago.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5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nexus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construction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continuous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income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stream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upgrades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biased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toward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construction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better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represent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4.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Network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Redundancy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0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Victoria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single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access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out.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environment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fire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flood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natural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disasters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occurred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resulted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life.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19" w:right="1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investment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schedule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prioritise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provision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alternative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access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paths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escape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catastrophic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event.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0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Note: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different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otherwise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run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risk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creating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further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(See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Closures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below).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5.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Model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6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Sensitivity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Provided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8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infrastructure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numerical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models,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matter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researched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developed,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approximate.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high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errors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uncertainty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prediction.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Sensitivity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analysis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Melbourne’s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Bolte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Bridge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(opened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1999)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model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process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correct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Sensitivity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analysis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small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amount.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6.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Build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Trust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4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Today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facts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verified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day.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near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facts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verified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substance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organisations,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customers.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reduces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negative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340"/>
        </w:sectPr>
      </w:pPr>
      <w:rPr/>
    </w:p>
    <w:p>
      <w:pPr>
        <w:spacing w:before="63" w:after="0" w:line="240" w:lineRule="auto"/>
        <w:ind w:left="119" w:right="5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Victoria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broken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negative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consequences.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7.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Genuine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Stakeholder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46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Consultation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4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(also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aligned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to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Trust)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47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stakeholder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genuine.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genuine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excellent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understanding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reached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always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inferior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stake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holders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clearly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understood.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2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Note: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Engagement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Consultation,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satisfied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decision.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0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Citylink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Tulla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Widening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Melbourne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described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decision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result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community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opposition,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Victorian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reviews,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inferior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(Bell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bridge).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8.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Issues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solved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6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by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Traffic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Experts,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2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with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stakeholder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46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consultation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traffic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referred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construction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result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guaranteeing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involve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constructing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examples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i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i/>
        </w:rPr>
        <w:t>closures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appropriate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9.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9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Use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6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Road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Infrastructure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is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considered.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580" w:lineRule="atLeast"/>
        <w:ind w:left="119" w:right="1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infrastructure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consideration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Melbourne’s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western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distributor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carriage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dangerous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goods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allowed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tunnels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ignored.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10.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Pre-existing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4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Environment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5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Requires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Buffer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Zones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19" w:right="40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pre-existing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environment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considered.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</w:t>
      </w:r>
      <w:r>
        <w:rPr>
          <w:rFonts w:ascii="Calibri" w:hAnsi="Calibri" w:cs="Calibri" w:eastAsia="Calibri"/>
          <w:sz w:val="24"/>
          <w:szCs w:val="24"/>
          <w:color w:val="010202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(high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bridges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located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adjacent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schools,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hospitals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buffer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zones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created.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65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legislation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bridges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immediately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adjacent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school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buildings.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11.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Best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Road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Designs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are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Minimum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Required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0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performing</w:t>
      </w:r>
      <w:r>
        <w:rPr>
          <w:rFonts w:ascii="Calibri" w:hAnsi="Calibri" w:cs="Calibri" w:eastAsia="Calibri"/>
          <w:sz w:val="24"/>
          <w:szCs w:val="24"/>
          <w:color w:val="010202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patterns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blocked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reuse.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Excellent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performing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patterns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established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baseline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reason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dispensation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performing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(beyond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cost).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440"/>
        </w:sectPr>
      </w:pPr>
      <w:rPr/>
    </w:p>
    <w:p>
      <w:pPr>
        <w:spacing w:before="63" w:after="0" w:line="240" w:lineRule="auto"/>
        <w:ind w:left="119" w:right="6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Bolte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Bridge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South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East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example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replaced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Tullamarine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Calder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Fwy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intersection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adjacent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Essendon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Airport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result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moving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further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towards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city.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12.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Physical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/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Digital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Equivalency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69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projects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equivalent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publically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mirror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physical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Reco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m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mende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43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a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ves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1.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Digital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Network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5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infrastructure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dependent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timely,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publically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accurate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infrastructure.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equivalent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minimum):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along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representation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surface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types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intersection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(eg.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turn,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hours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1" w:lineRule="auto"/>
        <w:ind w:left="839" w:right="64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(speed,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mass,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length,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width,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height,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class,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axles),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lane,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/calendar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access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planning,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control.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closures,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downgrade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validity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periods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route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planning.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(Tolled,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9" w:after="0" w:line="483" w:lineRule="auto"/>
        <w:ind w:left="119" w:right="1342" w:firstLine="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10202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010202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(freight,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hazardous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goods,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class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essence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physically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represented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database.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88" w:lineRule="exact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base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both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Australian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Map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Grid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(GD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94)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GPS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(WGS84)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map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  <w:position w:val="1"/>
        </w:rPr>
        <w:t>grid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avoid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small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errors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translation.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6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mechanism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developer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authorities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submit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updates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street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names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alignments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known.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Justification: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91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(1)Today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highly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licensing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blocks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(google.com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example).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(2)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quality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Dynamic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4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Roadbase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8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Updates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420"/>
        </w:sectPr>
      </w:pPr>
      <w:rPr/>
    </w:p>
    <w:p>
      <w:pPr>
        <w:spacing w:before="63" w:after="0" w:line="240" w:lineRule="auto"/>
        <w:ind w:left="119" w:right="18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conjunction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manufacturers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smart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temporary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databas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temporary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inserted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representation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vast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research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organizations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funding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route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algorithms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freely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Land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Parcel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Linkage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26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G-NAF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initiative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link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parcel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information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-NAF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rapid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geofences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trigger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arrival,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onsite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departure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states.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Road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Usage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5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History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period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historic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traffic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0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correlated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Bureau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Meteorology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aligned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period.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possible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techniques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sensors,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devices,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mounted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devices,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remote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sensors,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avoid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privacy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insist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collected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anonymously.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23"/>
          <w:szCs w:val="23"/>
        </w:rPr>
      </w:pPr>
      <w:rPr/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Current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30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0"/>
        </w:rPr>
        <w:t>Road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23"/>
          <w:szCs w:val="23"/>
          <w:color w:val="152B56"/>
          <w:spacing w:val="0"/>
          <w:w w:val="104"/>
        </w:rPr>
        <w:t>Usage</w:t>
      </w:r>
      <w:r>
        <w:rPr>
          <w:rFonts w:ascii="Calibri Light" w:hAnsi="Calibri Light" w:cs="Calibri Light" w:eastAsia="Calibri Light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1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traffic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speed.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possible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techniques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capture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sensors,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held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devices,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mounted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devices,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remote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sensors,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etc.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avoid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privacy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collected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anonymously.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3"/>
          <w:w w:val="100"/>
        </w:rPr>
        <w:t>M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at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h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3"/>
          <w:w w:val="100"/>
        </w:rPr>
        <w:t>m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ti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38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3"/>
          <w:w w:val="102"/>
        </w:rPr>
        <w:t>M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d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ls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19" w:right="3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models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algorithms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today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opportunities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Australian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around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realise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them.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Modelling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prediction)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Avoidance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Algorithms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Dynamic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Route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(Multi-Stop)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Planning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Algorithms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5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Routing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implemented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exposure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complex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(Melbourne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Sydney)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positive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productivity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improvements.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20%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day)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effect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reducing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occupancy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day.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often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360"/>
        </w:sectPr>
      </w:pPr>
      <w:rPr/>
    </w:p>
    <w:p>
      <w:pPr>
        <w:spacing w:before="63" w:after="0" w:line="240" w:lineRule="auto"/>
        <w:ind w:left="119" w:right="4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removing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positive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utilization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productivity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oa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7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l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u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es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19" w:right="46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model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utilization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above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permanent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closures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positive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See: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https://en.wikipedia.org/wiki/Braess%27s_paradox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K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ow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1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Be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4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P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7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2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mp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l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men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ed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known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spread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commonly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implemented.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represent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hanging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fruit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productivity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improvements.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6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accept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position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hanging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productivity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implemented.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always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something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done.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2.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ut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-Identification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2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widespread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label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freight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automatically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readable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labels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40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humble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barcode.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benefits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known.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Even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barcodes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standards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unique.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profit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organizations,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GS1,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focused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North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America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(ANSI-MH10),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control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assignment.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1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terms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GS1’s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agreement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unique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limits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creation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association.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Federal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GS1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products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widespread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labelling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consignments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unique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standards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identifiers.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8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Federal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purchaser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goods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via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thousands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individual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chains.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agencies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insisit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auto-identifier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unique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chains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push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broader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whilst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direct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benefits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4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barrier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$100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opex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$40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month.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460"/>
        </w:sectPr>
      </w:pPr>
      <w:rPr/>
    </w:p>
    <w:p>
      <w:pPr>
        <w:spacing w:before="58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3.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Distribution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12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Centres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(Pickup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and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Delivery)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6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remains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environments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receive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goods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morning,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dispatch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afternoon.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bodies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particular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retailers)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reduces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supporting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example: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semi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trailer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delivering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distribution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centre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arrives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full,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leaves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empty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morning.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afternoon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empty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semi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trailer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arrives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leaves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full.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guarantees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occupy</w:t>
      </w:r>
      <w:r>
        <w:rPr>
          <w:rFonts w:ascii="Calibri" w:hAnsi="Calibri" w:cs="Calibri" w:eastAsia="Calibri"/>
          <w:sz w:val="24"/>
          <w:szCs w:val="24"/>
          <w:color w:val="010202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twice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should.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5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retailer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associations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behavior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across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industry.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4.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Distribution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12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Centres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(Consolidated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1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Delivery)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8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Distribution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Centre.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Whilst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individual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consolidate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capacity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across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special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arrangements.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1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retailer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associations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retailers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consolidation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Distribution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Centres.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5.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h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er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(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ns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lidated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1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elivery)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31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practice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location.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Whilst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individual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consolidate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capacity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across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companies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special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arrangements.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9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alternatives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freight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exchanges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increased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interchange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freight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1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Improvements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track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track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Delivery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removed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barrier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technologies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6.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Industrial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Agree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ents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1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agreement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covering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transport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considers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daily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hours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excess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prescribed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shift.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coupled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allowances,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effect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creating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incentive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necessary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complete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given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tasks.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8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anecdotal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empirical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evidence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professional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different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behavior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morning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afternoon.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320"/>
        </w:sectPr>
      </w:pPr>
      <w:rPr/>
    </w:p>
    <w:p>
      <w:pPr>
        <w:spacing w:before="63" w:after="0" w:line="240" w:lineRule="auto"/>
        <w:ind w:left="119" w:right="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look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industrial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award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structure,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conjunction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stakeholder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living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appropriate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compensation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overtime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does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build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incentive.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7.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Identity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37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parts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interacting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systems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broader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context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blocked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restrictive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terms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identifiers.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2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Australian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Customs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Service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implemented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certificate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identities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useful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settings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Similarly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identifying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capability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cannot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reused.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40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look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broader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cases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identity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systems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view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broader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applications.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8.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Physical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sset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racking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(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ele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atics)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14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telematics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segments,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increasing,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incentive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programs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commercial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vehicles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impl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technology.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enormous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benefits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Fringe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Benefits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Tax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compliance,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fuel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theft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reduction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worker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safety.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existing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telematics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systems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expensive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3/4G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wireless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radio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Tomorrows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Internet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Things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Range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radio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(LoRaWAN)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messaging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significantly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power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making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unpowered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assets.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9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ACMA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currently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enabled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915Mhz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spectrum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technology</w:t>
      </w:r>
      <w:r>
        <w:rPr>
          <w:rFonts w:ascii="Calibri" w:hAnsi="Calibri" w:cs="Calibri" w:eastAsia="Calibri"/>
          <w:sz w:val="24"/>
          <w:szCs w:val="24"/>
          <w:color w:val="01020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already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advanced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governance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spectrum.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However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more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devices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added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spectrum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congestion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likely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occur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especially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given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class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license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utilized.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2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recommend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ACMA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continue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encourage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relax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rules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allow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loosely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coupled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profit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associations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operate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carrier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license.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0"/>
        </w:rPr>
        <w:t>he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8"/>
          <w:w w:val="100"/>
        </w:rPr>
        <w:t> 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Que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t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ons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9.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ab/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Traffic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144B92"/>
          <w:spacing w:val="0"/>
          <w:w w:val="100"/>
        </w:rPr>
        <w:t>Lights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standard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“Green”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phase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traffic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lantern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sequence.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jurisdictions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(UK)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AMBER+RED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short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sequence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still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Australia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phased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favor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direct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sequence.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6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Given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drivers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notification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lantern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green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changed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Australia?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80" w:bottom="280" w:left="1340" w:right="1400"/>
        </w:sectPr>
      </w:pPr>
      <w:rPr/>
    </w:p>
    <w:p>
      <w:pPr>
        <w:spacing w:before="48" w:after="0" w:line="240" w:lineRule="auto"/>
        <w:ind w:left="119" w:right="-20"/>
        <w:jc w:val="left"/>
        <w:rPr>
          <w:rFonts w:ascii="Calibri Light" w:hAnsi="Calibri Light" w:cs="Calibri Light" w:eastAsia="Calibri Light"/>
          <w:sz w:val="31"/>
          <w:szCs w:val="31"/>
        </w:rPr>
      </w:pPr>
      <w:rPr/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onc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l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u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s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1"/>
          <w:w w:val="102"/>
        </w:rPr>
        <w:t>i</w:t>
      </w:r>
      <w:r>
        <w:rPr>
          <w:rFonts w:ascii="Calibri Light" w:hAnsi="Calibri Light" w:cs="Calibri Light" w:eastAsia="Calibri Light"/>
          <w:sz w:val="31"/>
          <w:szCs w:val="31"/>
          <w:color w:val="144B92"/>
          <w:spacing w:val="2"/>
          <w:w w:val="102"/>
        </w:rPr>
        <w:t>on</w:t>
      </w:r>
      <w:r>
        <w:rPr>
          <w:rFonts w:ascii="Calibri Light" w:hAnsi="Calibri Light" w:cs="Calibri Light" w:eastAsia="Calibri Light"/>
          <w:sz w:val="31"/>
          <w:szCs w:val="31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30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Firstly,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thank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Julian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Breheny,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Anthony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Swan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taking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understand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issues.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Clearly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initial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meetings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subsequent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adopted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genuine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consultation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approach.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5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Whilst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consider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above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required,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area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think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greatest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impact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making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available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digital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equivalent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road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network.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ali</w:t>
      </w:r>
      <w:r>
        <w:rPr>
          <w:rFonts w:ascii="Calibri" w:hAnsi="Calibri" w:cs="Calibri" w:eastAsia="Calibri"/>
          <w:sz w:val="24"/>
          <w:szCs w:val="24"/>
          <w:color w:val="010202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organization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digitization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initiatives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private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sector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involved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provides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base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level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data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solutions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problems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even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thought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yet.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Regards,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9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Darren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10202"/>
          <w:spacing w:val="0"/>
          <w:w w:val="100"/>
        </w:rPr>
        <w:t>O’Connor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sectPr>
      <w:pgSz w:w="11920" w:h="16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Calibri Light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Submission to Infrastructure Australia.docx</dc:title>
  <dcterms:created xsi:type="dcterms:W3CDTF">2017-08-09T15:22:43Z</dcterms:created>
  <dcterms:modified xsi:type="dcterms:W3CDTF">2017-08-09T15:22:43Z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2017-08-06T00:00:00Z</vt:filetime>
  </property>
  <property fmtid="{D5CDD505-2E9C-101B-9397-08002B2CF9AE}" pid="3" name="LastSaved">
    <vt:filetime>2017-08-09T00:00:00Z</vt:filetime>
  </property>
</Properties>
</file>