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AF" w:rsidRDefault="00733C89" w:rsidP="00772C27">
      <w:pPr>
        <w:spacing w:after="0"/>
        <w:sectPr w:rsidR="00A82DAF" w:rsidSect="00733C89">
          <w:footerReference w:type="default" r:id="rId11"/>
          <w:pgSz w:w="11906" w:h="16838"/>
          <w:pgMar w:top="851" w:right="991" w:bottom="1440" w:left="1440" w:header="0" w:footer="0" w:gutter="0"/>
          <w:cols w:space="708"/>
          <w:docGrid w:linePitch="360"/>
        </w:sectPr>
      </w:pPr>
      <w:r>
        <w:rPr>
          <w:noProof/>
          <w:lang w:eastAsia="en-AU"/>
        </w:rPr>
        <w:drawing>
          <wp:inline distT="0" distB="0" distL="0" distR="0" wp14:anchorId="37D79D23" wp14:editId="65B4217A">
            <wp:extent cx="3327990" cy="904875"/>
            <wp:effectExtent l="0" t="0" r="0" b="0"/>
            <wp:docPr id="13" name="Picture 13"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neave\AppData\Local\Microsoft\Windows\INetCache\Content.Word\ditrdc-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r="-4976" b="-34071"/>
                    <a:stretch/>
                  </pic:blipFill>
                  <pic:spPr bwMode="auto">
                    <a:xfrm>
                      <a:off x="0" y="0"/>
                      <a:ext cx="3327990" cy="9048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AU"/>
        </w:rPr>
        <w:drawing>
          <wp:inline distT="0" distB="0" distL="0" distR="0" wp14:anchorId="6402FE42" wp14:editId="61E10A8F">
            <wp:extent cx="2462480" cy="1196340"/>
            <wp:effectExtent l="0" t="0" r="0" b="0"/>
            <wp:docPr id="14" name="Picture 14"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rotWithShape="1">
                    <a:blip r:embed="rId13" cstate="print">
                      <a:extLst>
                        <a:ext uri="{28A0092B-C50C-407E-A947-70E740481C1C}">
                          <a14:useLocalDpi xmlns:a14="http://schemas.microsoft.com/office/drawing/2010/main" val="0"/>
                        </a:ext>
                      </a:extLst>
                    </a:blip>
                    <a:srcRect l="60729" t="-1592" r="-1093" b="1592"/>
                    <a:stretch/>
                  </pic:blipFill>
                  <pic:spPr bwMode="auto">
                    <a:xfrm>
                      <a:off x="0" y="0"/>
                      <a:ext cx="2462480" cy="1196340"/>
                    </a:xfrm>
                    <a:prstGeom prst="rect">
                      <a:avLst/>
                    </a:prstGeom>
                    <a:ln>
                      <a:noFill/>
                    </a:ln>
                    <a:extLst>
                      <a:ext uri="{53640926-AAD7-44D8-BBD7-CCE9431645EC}">
                        <a14:shadowObscured xmlns:a14="http://schemas.microsoft.com/office/drawing/2010/main"/>
                      </a:ext>
                    </a:extLst>
                  </pic:spPr>
                </pic:pic>
              </a:graphicData>
            </a:graphic>
          </wp:inline>
        </w:drawing>
      </w:r>
    </w:p>
    <w:p w:rsidR="00733C89" w:rsidRPr="00733C89" w:rsidRDefault="0040445D" w:rsidP="00733C89">
      <w:pPr>
        <w:pStyle w:val="Heading1"/>
        <w:shd w:val="clear" w:color="auto" w:fill="auto"/>
        <w:rPr>
          <w:color w:val="113652"/>
        </w:rPr>
      </w:pPr>
      <w:r w:rsidRPr="0040445D">
        <w:rPr>
          <w:color w:val="113652"/>
        </w:rPr>
        <w:t>Measuring the digitalisation of Australia’s economy 2012–13 to 2016–17</w:t>
      </w:r>
    </w:p>
    <w:p w:rsidR="00733C89" w:rsidRDefault="0040445D" w:rsidP="00733C89">
      <w:r>
        <w:t>September 2020</w:t>
      </w:r>
    </w:p>
    <w:p w:rsidR="000C0244" w:rsidRPr="005113AA" w:rsidRDefault="0040445D" w:rsidP="0040445D">
      <w:pPr>
        <w:spacing w:before="480" w:after="120"/>
        <w:rPr>
          <w:rFonts w:ascii="Calibri" w:eastAsia="PMingLiU" w:hAnsi="Calibri" w:cs="Mangal"/>
          <w:lang w:eastAsia="zh-TW"/>
        </w:rPr>
      </w:pPr>
      <w:bookmarkStart w:id="0" w:name="_GoBack"/>
      <w:bookmarkEnd w:id="0"/>
      <w:r>
        <w:rPr>
          <w:b/>
          <w:color w:val="0066AB"/>
          <w:sz w:val="28"/>
          <w:szCs w:val="28"/>
        </w:rPr>
        <w:t>Fact sheet</w:t>
      </w:r>
    </w:p>
    <w:p w:rsidR="00E7227D" w:rsidRDefault="00E7227D">
      <w:pPr>
        <w:spacing w:line="259" w:lineRule="auto"/>
      </w:pPr>
      <w:r>
        <w:br w:type="page"/>
      </w:r>
    </w:p>
    <w:p w:rsidR="002F1A23" w:rsidRDefault="002F1A23" w:rsidP="00E7227D">
      <w:pPr>
        <w:pStyle w:val="Normaldisclaimerpage"/>
        <w:ind w:left="567"/>
        <w:sectPr w:rsidR="002F1A23" w:rsidSect="002F1A23">
          <w:headerReference w:type="default" r:id="rId14"/>
          <w:footerReference w:type="default" r:id="rId15"/>
          <w:type w:val="continuous"/>
          <w:pgSz w:w="11906" w:h="16838"/>
          <w:pgMar w:top="2268" w:right="991" w:bottom="1276" w:left="1440" w:header="0" w:footer="397" w:gutter="0"/>
          <w:cols w:space="708"/>
          <w:docGrid w:linePitch="360"/>
        </w:sectPr>
      </w:pPr>
    </w:p>
    <w:p w:rsidR="00C6043F" w:rsidRPr="002D36C6" w:rsidRDefault="00C6043F" w:rsidP="00C6043F">
      <w:pPr>
        <w:pStyle w:val="Heading2"/>
        <w:rPr>
          <w:rStyle w:val="Abc-TextChar"/>
          <w:rFonts w:ascii="Segoe UI Semibold" w:eastAsia="MingLiU" w:hAnsi="Segoe UI Semibold" w:cs="Segoe UI Semibold"/>
          <w:color w:val="0066AB"/>
          <w:sz w:val="36"/>
          <w:szCs w:val="26"/>
          <w:lang w:eastAsia="en-US"/>
        </w:rPr>
      </w:pPr>
      <w:bookmarkStart w:id="1" w:name="_Toc512941854"/>
      <w:bookmarkStart w:id="2" w:name="_Toc35360702"/>
      <w:r w:rsidRPr="002D36C6">
        <w:rPr>
          <w:rStyle w:val="Abc-TextChar"/>
          <w:rFonts w:ascii="Segoe UI Semibold" w:eastAsia="MingLiU" w:hAnsi="Segoe UI Semibold" w:cs="Segoe UI Semibold"/>
          <w:color w:val="0066AB"/>
          <w:sz w:val="36"/>
          <w:szCs w:val="26"/>
          <w:lang w:eastAsia="en-US"/>
        </w:rPr>
        <w:lastRenderedPageBreak/>
        <w:t>Key findings</w:t>
      </w:r>
    </w:p>
    <w:p w:rsidR="00C6043F" w:rsidRPr="0040445D" w:rsidRDefault="00C6043F" w:rsidP="00C6043F">
      <w:pPr>
        <w:rPr>
          <w:rStyle w:val="Abc-TextChar"/>
          <w:rFonts w:ascii="Segoe UI" w:hAnsi="Segoe UI" w:cs="Segoe UI"/>
          <w:sz w:val="21"/>
          <w:szCs w:val="21"/>
        </w:rPr>
      </w:pPr>
      <w:r>
        <w:t xml:space="preserve">Digitalised goods and services represent a significant and growing share of the Australian economy according </w:t>
      </w:r>
      <w:r w:rsidR="00AF2D67">
        <w:t xml:space="preserve">to the latest </w:t>
      </w:r>
      <w:r w:rsidR="008D33FB">
        <w:t xml:space="preserve">available </w:t>
      </w:r>
      <w:r w:rsidR="00AF2D67">
        <w:t>data</w:t>
      </w:r>
      <w:r>
        <w:rPr>
          <w:rStyle w:val="Abc-TextChar"/>
          <w:rFonts w:ascii="Segoe UI" w:hAnsi="Segoe UI" w:cs="Segoe UI"/>
          <w:sz w:val="21"/>
          <w:szCs w:val="21"/>
        </w:rPr>
        <w:t xml:space="preserve"> (</w:t>
      </w:r>
      <w:r>
        <w:rPr>
          <w:rStyle w:val="Abc-TextChar"/>
          <w:rFonts w:ascii="Segoe UI" w:hAnsi="Segoe UI" w:cs="Segoe UI"/>
          <w:sz w:val="21"/>
          <w:szCs w:val="21"/>
        </w:rPr>
        <w:fldChar w:fldCharType="begin"/>
      </w:r>
      <w:r>
        <w:rPr>
          <w:rStyle w:val="Abc-TextChar"/>
          <w:rFonts w:ascii="Segoe UI" w:hAnsi="Segoe UI" w:cs="Segoe UI"/>
          <w:sz w:val="21"/>
          <w:szCs w:val="21"/>
        </w:rPr>
        <w:instrText xml:space="preserve"> REF _Ref33109639 \h </w:instrText>
      </w:r>
      <w:r>
        <w:rPr>
          <w:rStyle w:val="Abc-TextChar"/>
          <w:rFonts w:ascii="Segoe UI" w:hAnsi="Segoe UI" w:cs="Segoe UI"/>
          <w:sz w:val="21"/>
          <w:szCs w:val="21"/>
        </w:rPr>
      </w:r>
      <w:r>
        <w:rPr>
          <w:rStyle w:val="Abc-TextChar"/>
          <w:rFonts w:ascii="Segoe UI" w:hAnsi="Segoe UI" w:cs="Segoe UI"/>
          <w:sz w:val="21"/>
          <w:szCs w:val="21"/>
        </w:rPr>
        <w:fldChar w:fldCharType="separate"/>
      </w:r>
      <w:r w:rsidRPr="00873301">
        <w:t xml:space="preserve">Figure </w:t>
      </w:r>
      <w:r>
        <w:rPr>
          <w:noProof/>
        </w:rPr>
        <w:t>1</w:t>
      </w:r>
      <w:r>
        <w:rPr>
          <w:rStyle w:val="Abc-TextChar"/>
          <w:rFonts w:ascii="Segoe UI" w:hAnsi="Segoe UI" w:cs="Segoe UI"/>
          <w:sz w:val="21"/>
          <w:szCs w:val="21"/>
        </w:rPr>
        <w:fldChar w:fldCharType="end"/>
      </w:r>
      <w:r>
        <w:rPr>
          <w:rStyle w:val="Abc-TextChar"/>
          <w:rFonts w:ascii="Segoe UI" w:hAnsi="Segoe UI" w:cs="Segoe UI"/>
          <w:sz w:val="21"/>
          <w:szCs w:val="21"/>
        </w:rPr>
        <w:t>)</w:t>
      </w:r>
      <w:r>
        <w:t>.</w:t>
      </w:r>
      <w:r w:rsidR="00AF2D67" w:rsidRPr="00AF2D67">
        <w:t xml:space="preserve"> </w:t>
      </w:r>
      <w:r w:rsidRPr="0040445D">
        <w:rPr>
          <w:rStyle w:val="Abc-TextChar"/>
          <w:rFonts w:ascii="Segoe UI" w:hAnsi="Segoe UI" w:cs="Segoe UI"/>
          <w:sz w:val="21"/>
          <w:szCs w:val="21"/>
        </w:rPr>
        <w:t xml:space="preserve">In </w:t>
      </w:r>
      <w:r w:rsidR="00DA3F08">
        <w:rPr>
          <w:rStyle w:val="Abc-TextChar"/>
          <w:rFonts w:ascii="Segoe UI" w:hAnsi="Segoe UI" w:cs="Segoe UI"/>
          <w:sz w:val="21"/>
          <w:szCs w:val="21"/>
        </w:rPr>
        <w:t>2016–17</w:t>
      </w:r>
      <w:r w:rsidRPr="0040445D">
        <w:rPr>
          <w:rStyle w:val="Abc-TextChar"/>
          <w:rFonts w:ascii="Segoe UI" w:hAnsi="Segoe UI" w:cs="Segoe UI"/>
          <w:sz w:val="21"/>
          <w:szCs w:val="21"/>
        </w:rPr>
        <w:t>:</w:t>
      </w:r>
    </w:p>
    <w:p w:rsidR="00C6043F" w:rsidRDefault="00C6043F" w:rsidP="00DA3F08">
      <w:pPr>
        <w:pStyle w:val="Listparagraphbullets"/>
      </w:pPr>
      <w:r>
        <w:t xml:space="preserve">Digital activity contributed $119 billion or 7.2 per cent </w:t>
      </w:r>
      <w:r w:rsidRPr="0040445D">
        <w:t>to Australia’s economy</w:t>
      </w:r>
      <w:r>
        <w:t xml:space="preserve">. This includes </w:t>
      </w:r>
      <w:r w:rsidR="00AE3FE4" w:rsidRPr="0040445D">
        <w:rPr>
          <w:rStyle w:val="Abc-TextChar"/>
          <w:rFonts w:ascii="Segoe UI" w:hAnsi="Segoe UI" w:cs="Segoe UI"/>
          <w:sz w:val="21"/>
          <w:szCs w:val="21"/>
        </w:rPr>
        <w:t>information and communications technology (ICT) activity</w:t>
      </w:r>
      <w:r w:rsidR="00AE3FE4">
        <w:rPr>
          <w:rStyle w:val="Abc-TextChar"/>
          <w:rFonts w:ascii="Segoe UI" w:hAnsi="Segoe UI" w:cs="Segoe UI"/>
          <w:sz w:val="21"/>
          <w:szCs w:val="21"/>
        </w:rPr>
        <w:t xml:space="preserve">, and </w:t>
      </w:r>
      <w:r w:rsidR="00AE3FE4" w:rsidRPr="0040445D">
        <w:rPr>
          <w:rStyle w:val="Abc-TextChar"/>
          <w:rFonts w:ascii="Segoe UI" w:hAnsi="Segoe UI" w:cs="Segoe UI"/>
          <w:sz w:val="21"/>
          <w:szCs w:val="21"/>
        </w:rPr>
        <w:t xml:space="preserve">the </w:t>
      </w:r>
      <w:r w:rsidR="001C0131">
        <w:rPr>
          <w:rStyle w:val="Abc-TextChar"/>
          <w:rFonts w:ascii="Segoe UI" w:hAnsi="Segoe UI" w:cs="Segoe UI"/>
          <w:sz w:val="21"/>
          <w:szCs w:val="21"/>
        </w:rPr>
        <w:t>I</w:t>
      </w:r>
      <w:r w:rsidR="00AE3FE4" w:rsidRPr="0040445D">
        <w:rPr>
          <w:rStyle w:val="Abc-TextChar"/>
          <w:rFonts w:ascii="Segoe UI" w:hAnsi="Segoe UI" w:cs="Segoe UI"/>
          <w:sz w:val="21"/>
          <w:szCs w:val="21"/>
        </w:rPr>
        <w:t xml:space="preserve">nternet of </w:t>
      </w:r>
      <w:r w:rsidR="001C0131">
        <w:rPr>
          <w:rStyle w:val="Abc-TextChar"/>
          <w:rFonts w:ascii="Segoe UI" w:hAnsi="Segoe UI" w:cs="Segoe UI"/>
          <w:sz w:val="21"/>
          <w:szCs w:val="21"/>
        </w:rPr>
        <w:t>T</w:t>
      </w:r>
      <w:r w:rsidR="00AE3FE4" w:rsidRPr="0040445D">
        <w:rPr>
          <w:rStyle w:val="Abc-TextChar"/>
          <w:rFonts w:ascii="Segoe UI" w:hAnsi="Segoe UI" w:cs="Segoe UI"/>
          <w:sz w:val="21"/>
          <w:szCs w:val="21"/>
        </w:rPr>
        <w:t>hings (</w:t>
      </w:r>
      <w:proofErr w:type="spellStart"/>
      <w:r w:rsidR="00AE3FE4" w:rsidRPr="0040445D">
        <w:rPr>
          <w:rStyle w:val="Abc-TextChar"/>
          <w:rFonts w:ascii="Segoe UI" w:hAnsi="Segoe UI" w:cs="Segoe UI"/>
          <w:sz w:val="21"/>
          <w:szCs w:val="21"/>
        </w:rPr>
        <w:t>IoT</w:t>
      </w:r>
      <w:proofErr w:type="spellEnd"/>
      <w:r w:rsidR="00AE3FE4" w:rsidRPr="0040445D">
        <w:rPr>
          <w:rStyle w:val="Abc-TextChar"/>
          <w:rFonts w:ascii="Segoe UI" w:hAnsi="Segoe UI" w:cs="Segoe UI"/>
          <w:sz w:val="21"/>
          <w:szCs w:val="21"/>
        </w:rPr>
        <w:t xml:space="preserve">) </w:t>
      </w:r>
      <w:r>
        <w:t>activity.</w:t>
      </w:r>
    </w:p>
    <w:p w:rsidR="00C6043F" w:rsidRDefault="00C6043F" w:rsidP="00DA3F08">
      <w:pPr>
        <w:pStyle w:val="Listparagraphbullets"/>
      </w:pPr>
      <w:r w:rsidRPr="0040445D">
        <w:t>ICT activity contributed $86</w:t>
      </w:r>
      <w:r>
        <w:t> </w:t>
      </w:r>
      <w:r w:rsidRPr="0040445D">
        <w:t>billion or 5.2 per cent to Australia’s economy</w:t>
      </w:r>
    </w:p>
    <w:p w:rsidR="00C6043F" w:rsidRPr="0040445D" w:rsidRDefault="00C6043F" w:rsidP="00DA3F08">
      <w:pPr>
        <w:pStyle w:val="Listparagraphbullets"/>
      </w:pPr>
      <w:proofErr w:type="spellStart"/>
      <w:r w:rsidRPr="0040445D">
        <w:t>IoT</w:t>
      </w:r>
      <w:proofErr w:type="spellEnd"/>
      <w:r w:rsidRPr="0040445D">
        <w:t xml:space="preserve"> activity contributed $74</w:t>
      </w:r>
      <w:r>
        <w:t> </w:t>
      </w:r>
      <w:r w:rsidRPr="0040445D">
        <w:t>billion or 4.5 per cent to Australia’s economy</w:t>
      </w:r>
      <w:r w:rsidR="00AF2D67">
        <w:t>.</w:t>
      </w:r>
    </w:p>
    <w:p w:rsidR="00C6043F" w:rsidRDefault="00C6043F" w:rsidP="00C6043F">
      <w:pPr>
        <w:pStyle w:val="Tablefigureheading"/>
      </w:pPr>
      <w:bookmarkStart w:id="3" w:name="_Ref33109639"/>
      <w:bookmarkStart w:id="4" w:name="_Toc43818602"/>
      <w:bookmarkStart w:id="5" w:name="_Toc48300911"/>
      <w:bookmarkStart w:id="6" w:name="_Toc48577921"/>
      <w:bookmarkStart w:id="7" w:name="_Toc48660012"/>
      <w:bookmarkStart w:id="8" w:name="_Toc48668644"/>
      <w:bookmarkStart w:id="9" w:name="_Toc48726316"/>
      <w:bookmarkStart w:id="10" w:name="_Toc48728279"/>
      <w:r w:rsidRPr="00873301">
        <w:t xml:space="preserve">Figure </w:t>
      </w:r>
      <w:r w:rsidR="00151746">
        <w:fldChar w:fldCharType="begin"/>
      </w:r>
      <w:r w:rsidR="00151746">
        <w:instrText xml:space="preserve"> SEQ Figure \* ARABIC </w:instrText>
      </w:r>
      <w:r w:rsidR="00151746">
        <w:fldChar w:fldCharType="separate"/>
      </w:r>
      <w:r>
        <w:rPr>
          <w:noProof/>
        </w:rPr>
        <w:t>1</w:t>
      </w:r>
      <w:r w:rsidR="00151746">
        <w:rPr>
          <w:noProof/>
        </w:rPr>
        <w:fldChar w:fldCharType="end"/>
      </w:r>
      <w:bookmarkEnd w:id="3"/>
      <w:r w:rsidRPr="00873301">
        <w:t xml:space="preserve">. </w:t>
      </w:r>
      <w:proofErr w:type="spellStart"/>
      <w:r w:rsidRPr="00873301">
        <w:t>IoT</w:t>
      </w:r>
      <w:proofErr w:type="spellEnd"/>
      <w:r w:rsidRPr="00873301">
        <w:t>, ICT and digital activity estimates, gross value added</w:t>
      </w:r>
      <w:r>
        <w:t xml:space="preserve"> (GVA)</w:t>
      </w:r>
      <w:r w:rsidRPr="00873301">
        <w:t xml:space="preserve"> in 2016</w:t>
      </w:r>
      <w:r>
        <w:t>–</w:t>
      </w:r>
      <w:r w:rsidRPr="00873301">
        <w:t>17</w:t>
      </w:r>
      <w:bookmarkEnd w:id="4"/>
      <w:bookmarkEnd w:id="5"/>
      <w:bookmarkEnd w:id="6"/>
      <w:bookmarkEnd w:id="7"/>
      <w:bookmarkEnd w:id="8"/>
      <w:bookmarkEnd w:id="9"/>
      <w:bookmarkEnd w:id="10"/>
    </w:p>
    <w:p w:rsidR="00C6043F" w:rsidRPr="00283DFA" w:rsidRDefault="00C6043F" w:rsidP="00C6043F">
      <w:pPr>
        <w:spacing w:after="0"/>
      </w:pPr>
      <w:r>
        <w:rPr>
          <w:noProof/>
          <w:lang w:eastAsia="en-AU"/>
        </w:rPr>
        <w:drawing>
          <wp:inline distT="0" distB="0" distL="0" distR="0" wp14:anchorId="28A10763" wp14:editId="44A53017">
            <wp:extent cx="5998300" cy="2218414"/>
            <wp:effectExtent l="0" t="0" r="0" b="0"/>
            <wp:docPr id="19" name="Picture 19" descr="IoT, ICT and digital activity estimates, gross value added in 2016-17&#10;&#10;This is a bar chart showing the gross value added of IoT, ICT and digital activity in 2016-17. Domestic output for these three activities was $74 billion, $86 billion and $119 billion in 2016-17, respectively." title="IoT, ICT and digital activity estimates, gross value added in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481" cy="2240302"/>
                    </a:xfrm>
                    <a:prstGeom prst="rect">
                      <a:avLst/>
                    </a:prstGeom>
                    <a:noFill/>
                  </pic:spPr>
                </pic:pic>
              </a:graphicData>
            </a:graphic>
          </wp:inline>
        </w:drawing>
      </w:r>
    </w:p>
    <w:p w:rsidR="00C6043F" w:rsidRPr="00F47009" w:rsidRDefault="00C6043F" w:rsidP="00C6043F">
      <w:pPr>
        <w:pStyle w:val="Sourcenote"/>
      </w:pPr>
      <w:r w:rsidRPr="002E21E8">
        <w:t>Source: A</w:t>
      </w:r>
      <w:r>
        <w:t>ustralian Bureau of Statistics</w:t>
      </w:r>
      <w:r w:rsidRPr="002E21E8">
        <w:t xml:space="preserve"> cat. 5215, 5217; BCAR </w:t>
      </w:r>
      <w:r>
        <w:t>estimates</w:t>
      </w:r>
      <w:r w:rsidRPr="002E21E8">
        <w:t>.</w:t>
      </w:r>
    </w:p>
    <w:p w:rsidR="00C6043F" w:rsidRPr="0040445D" w:rsidRDefault="00AE3FE4" w:rsidP="00C6043F">
      <w:pPr>
        <w:rPr>
          <w:rFonts w:cs="Segoe UI"/>
          <w:szCs w:val="21"/>
        </w:rPr>
      </w:pPr>
      <w:r>
        <w:rPr>
          <w:rFonts w:cs="Segoe UI"/>
          <w:szCs w:val="21"/>
        </w:rPr>
        <w:t>The p</w:t>
      </w:r>
      <w:r w:rsidR="00C6043F" w:rsidRPr="0040445D">
        <w:rPr>
          <w:rFonts w:cs="Segoe UI"/>
          <w:szCs w:val="21"/>
        </w:rPr>
        <w:t xml:space="preserve">rices </w:t>
      </w:r>
      <w:r w:rsidR="00C6043F">
        <w:rPr>
          <w:rFonts w:cs="Segoe UI"/>
          <w:szCs w:val="21"/>
        </w:rPr>
        <w:t>of</w:t>
      </w:r>
      <w:r w:rsidR="00C6043F" w:rsidRPr="0040445D">
        <w:rPr>
          <w:rFonts w:cs="Segoe UI"/>
          <w:szCs w:val="21"/>
        </w:rPr>
        <w:t xml:space="preserve"> </w:t>
      </w:r>
      <w:r w:rsidR="00C6043F" w:rsidRPr="0040445D">
        <w:rPr>
          <w:rFonts w:eastAsia="Times New Roman" w:cs="Segoe UI"/>
          <w:szCs w:val="21"/>
        </w:rPr>
        <w:t>d</w:t>
      </w:r>
      <w:r w:rsidR="00C6043F" w:rsidRPr="0040445D">
        <w:rPr>
          <w:rFonts w:cs="Segoe UI"/>
          <w:szCs w:val="21"/>
        </w:rPr>
        <w:t xml:space="preserve">igitalised activities experienced a continuous decline over the </w:t>
      </w:r>
      <w:r w:rsidR="00C6043F" w:rsidRPr="0040445D">
        <w:rPr>
          <w:rStyle w:val="Abc-TextChar"/>
          <w:rFonts w:ascii="Segoe UI" w:hAnsi="Segoe UI" w:cs="Segoe UI"/>
          <w:sz w:val="21"/>
          <w:szCs w:val="21"/>
        </w:rPr>
        <w:t xml:space="preserve">5-year </w:t>
      </w:r>
      <w:r w:rsidR="00C6043F" w:rsidRPr="0040445D">
        <w:rPr>
          <w:rFonts w:cs="Segoe UI"/>
          <w:szCs w:val="21"/>
        </w:rPr>
        <w:t>period</w:t>
      </w:r>
      <w:r>
        <w:rPr>
          <w:rFonts w:cs="Segoe UI"/>
          <w:szCs w:val="21"/>
        </w:rPr>
        <w:t xml:space="preserve"> analysed (</w:t>
      </w:r>
      <w:r w:rsidR="00DA3F08">
        <w:t>2012–13</w:t>
      </w:r>
      <w:r w:rsidR="00C6043F" w:rsidRPr="00511B13">
        <w:t xml:space="preserve"> to </w:t>
      </w:r>
      <w:r w:rsidR="00DA3F08">
        <w:t>2016–17</w:t>
      </w:r>
      <w:r>
        <w:t>)</w:t>
      </w:r>
      <w:r w:rsidR="00C6043F" w:rsidRPr="0040445D">
        <w:rPr>
          <w:rFonts w:cs="Segoe UI"/>
          <w:szCs w:val="21"/>
        </w:rPr>
        <w:t>. This was driven by advances in telecommunications technology and network infrastructure as well as strong domestic price competition in telecommunications services.</w:t>
      </w:r>
    </w:p>
    <w:p w:rsidR="00C6043F" w:rsidRDefault="00C6043F" w:rsidP="00C6043F">
      <w:pPr>
        <w:rPr>
          <w:color w:val="000000" w:themeColor="text1"/>
        </w:rPr>
      </w:pPr>
      <w:r>
        <w:t>The contribution of international trade to digitalised products shows that i</w:t>
      </w:r>
      <w:r w:rsidRPr="00040AEF">
        <w:rPr>
          <w:color w:val="000000" w:themeColor="text1"/>
        </w:rPr>
        <w:t>mports</w:t>
      </w:r>
      <w:r>
        <w:rPr>
          <w:color w:val="000000" w:themeColor="text1"/>
        </w:rPr>
        <w:t xml:space="preserve"> to Australia</w:t>
      </w:r>
      <w:r w:rsidRPr="00040AEF">
        <w:rPr>
          <w:color w:val="000000" w:themeColor="text1"/>
        </w:rPr>
        <w:t xml:space="preserve"> </w:t>
      </w:r>
      <w:r>
        <w:rPr>
          <w:color w:val="000000" w:themeColor="text1"/>
        </w:rPr>
        <w:t xml:space="preserve">were around four times larger than exports for each </w:t>
      </w:r>
      <w:r w:rsidRPr="004C406A">
        <w:rPr>
          <w:color w:val="000000" w:themeColor="text1"/>
        </w:rPr>
        <w:t xml:space="preserve">activity. </w:t>
      </w:r>
      <w:r>
        <w:rPr>
          <w:color w:val="000000" w:themeColor="text1"/>
        </w:rPr>
        <w:t>I</w:t>
      </w:r>
      <w:r>
        <w:t>mport growth</w:t>
      </w:r>
      <w:r w:rsidRPr="004C406A">
        <w:t xml:space="preserve"> </w:t>
      </w:r>
      <w:r>
        <w:t>for digitalised products was</w:t>
      </w:r>
      <w:r w:rsidRPr="004C406A" w:rsidDel="0098415D">
        <w:t xml:space="preserve"> </w:t>
      </w:r>
      <w:r w:rsidRPr="004C406A">
        <w:t>driven by growth</w:t>
      </w:r>
      <w:r>
        <w:t xml:space="preserve"> in goods</w:t>
      </w:r>
      <w:r>
        <w:noBreakHyphen/>
        <w:t>based imports</w:t>
      </w:r>
      <w:r w:rsidRPr="004C406A">
        <w:t xml:space="preserve"> </w:t>
      </w:r>
      <w:r>
        <w:t xml:space="preserve">such as </w:t>
      </w:r>
      <w:r w:rsidRPr="004C406A">
        <w:t>communications</w:t>
      </w:r>
      <w:r>
        <w:t xml:space="preserve"> equipment, while export growth was sourced largely from</w:t>
      </w:r>
      <w:r>
        <w:rPr>
          <w:color w:val="000000" w:themeColor="text1"/>
        </w:rPr>
        <w:t xml:space="preserve"> services</w:t>
      </w:r>
      <w:r>
        <w:rPr>
          <w:color w:val="000000" w:themeColor="text1"/>
        </w:rPr>
        <w:noBreakHyphen/>
        <w:t>based exports such as support services.</w:t>
      </w:r>
    </w:p>
    <w:p w:rsidR="002C0A14" w:rsidRPr="002D36C6" w:rsidRDefault="002C0918" w:rsidP="002C0A14">
      <w:pPr>
        <w:pStyle w:val="Heading2"/>
        <w:rPr>
          <w:rStyle w:val="Abc-TextChar"/>
          <w:rFonts w:ascii="Segoe UI Semibold" w:eastAsia="MingLiU" w:hAnsi="Segoe UI Semibold" w:cs="Segoe UI Semibold"/>
          <w:color w:val="0066AB"/>
          <w:sz w:val="36"/>
          <w:szCs w:val="26"/>
          <w:lang w:eastAsia="en-US"/>
        </w:rPr>
      </w:pPr>
      <w:r>
        <w:rPr>
          <w:rStyle w:val="Abc-TextChar"/>
          <w:rFonts w:ascii="Segoe UI Semibold" w:eastAsia="MingLiU" w:hAnsi="Segoe UI Semibold" w:cs="Segoe UI Semibold"/>
          <w:color w:val="0066AB"/>
          <w:sz w:val="36"/>
          <w:szCs w:val="26"/>
          <w:lang w:eastAsia="en-US"/>
        </w:rPr>
        <w:t xml:space="preserve">A new measure of digitalisation </w:t>
      </w:r>
    </w:p>
    <w:p w:rsidR="00511B13" w:rsidRDefault="002C0A14" w:rsidP="00B56472">
      <w:pPr>
        <w:rPr>
          <w:rStyle w:val="Abc-TextChar"/>
          <w:rFonts w:ascii="Segoe UI" w:hAnsi="Segoe UI" w:cs="Segoe UI"/>
          <w:sz w:val="21"/>
          <w:szCs w:val="21"/>
        </w:rPr>
      </w:pPr>
      <w:r w:rsidRPr="0040445D">
        <w:rPr>
          <w:rStyle w:val="Abc-TextChar"/>
          <w:rFonts w:ascii="Segoe UI" w:hAnsi="Segoe UI" w:cs="Segoe UI"/>
          <w:sz w:val="21"/>
          <w:szCs w:val="21"/>
        </w:rPr>
        <w:t>The Bureau of Communications</w:t>
      </w:r>
      <w:r>
        <w:rPr>
          <w:rStyle w:val="Abc-TextChar"/>
          <w:rFonts w:ascii="Segoe UI" w:hAnsi="Segoe UI" w:cs="Segoe UI"/>
          <w:sz w:val="21"/>
          <w:szCs w:val="21"/>
        </w:rPr>
        <w:t xml:space="preserve"> and</w:t>
      </w:r>
      <w:r w:rsidRPr="0040445D">
        <w:rPr>
          <w:rStyle w:val="Abc-TextChar"/>
          <w:rFonts w:ascii="Segoe UI" w:hAnsi="Segoe UI" w:cs="Segoe UI"/>
          <w:sz w:val="21"/>
          <w:szCs w:val="21"/>
        </w:rPr>
        <w:t xml:space="preserve"> Arts Research (BCAR) has developed experimental estimates to quantify the economic contribution of three measures of digitalised activity</w:t>
      </w:r>
      <w:r w:rsidR="00511B13">
        <w:rPr>
          <w:rStyle w:val="Abc-TextChar"/>
          <w:rFonts w:ascii="Segoe UI" w:hAnsi="Segoe UI" w:cs="Segoe UI"/>
          <w:sz w:val="21"/>
          <w:szCs w:val="21"/>
        </w:rPr>
        <w:t xml:space="preserve"> in Australia</w:t>
      </w:r>
      <w:r w:rsidR="008B77B4">
        <w:rPr>
          <w:rStyle w:val="Abc-TextChar"/>
          <w:rFonts w:ascii="Segoe UI" w:hAnsi="Segoe UI" w:cs="Segoe UI"/>
          <w:sz w:val="21"/>
          <w:szCs w:val="21"/>
        </w:rPr>
        <w:t>—</w:t>
      </w:r>
      <w:r w:rsidR="00AE3FE4" w:rsidRPr="0040445D">
        <w:rPr>
          <w:rStyle w:val="Abc-TextChar"/>
          <w:rFonts w:ascii="Segoe UI" w:hAnsi="Segoe UI" w:cs="Segoe UI"/>
          <w:sz w:val="21"/>
          <w:szCs w:val="21"/>
        </w:rPr>
        <w:t>digital activity</w:t>
      </w:r>
      <w:r w:rsidR="00AE3FE4">
        <w:rPr>
          <w:rStyle w:val="Abc-TextChar"/>
          <w:rFonts w:ascii="Segoe UI" w:hAnsi="Segoe UI" w:cs="Segoe UI"/>
          <w:sz w:val="21"/>
          <w:szCs w:val="21"/>
        </w:rPr>
        <w:t xml:space="preserve">, </w:t>
      </w:r>
      <w:r w:rsidRPr="0040445D">
        <w:rPr>
          <w:rStyle w:val="Abc-TextChar"/>
          <w:rFonts w:ascii="Segoe UI" w:hAnsi="Segoe UI" w:cs="Segoe UI"/>
          <w:sz w:val="21"/>
          <w:szCs w:val="21"/>
        </w:rPr>
        <w:t>ICT</w:t>
      </w:r>
      <w:r w:rsidR="00AE3FE4">
        <w:rPr>
          <w:rStyle w:val="Abc-TextChar"/>
          <w:rFonts w:ascii="Segoe UI" w:hAnsi="Segoe UI" w:cs="Segoe UI"/>
          <w:sz w:val="21"/>
          <w:szCs w:val="21"/>
        </w:rPr>
        <w:t xml:space="preserve"> </w:t>
      </w:r>
      <w:r w:rsidRPr="0040445D">
        <w:rPr>
          <w:rStyle w:val="Abc-TextChar"/>
          <w:rFonts w:ascii="Segoe UI" w:hAnsi="Segoe UI" w:cs="Segoe UI"/>
          <w:sz w:val="21"/>
          <w:szCs w:val="21"/>
        </w:rPr>
        <w:t>activity, and</w:t>
      </w:r>
      <w:r w:rsidR="00AE3FE4">
        <w:rPr>
          <w:rStyle w:val="Abc-TextChar"/>
          <w:rFonts w:ascii="Segoe UI" w:hAnsi="Segoe UI" w:cs="Segoe UI"/>
          <w:sz w:val="21"/>
          <w:szCs w:val="21"/>
        </w:rPr>
        <w:t xml:space="preserve"> </w:t>
      </w:r>
      <w:proofErr w:type="spellStart"/>
      <w:r w:rsidR="00AE3FE4">
        <w:rPr>
          <w:rStyle w:val="Abc-TextChar"/>
          <w:rFonts w:ascii="Segoe UI" w:hAnsi="Segoe UI" w:cs="Segoe UI"/>
          <w:sz w:val="21"/>
          <w:szCs w:val="21"/>
        </w:rPr>
        <w:t>IoT</w:t>
      </w:r>
      <w:proofErr w:type="spellEnd"/>
      <w:r w:rsidR="00AE3FE4">
        <w:rPr>
          <w:rStyle w:val="Abc-TextChar"/>
          <w:rFonts w:ascii="Segoe UI" w:hAnsi="Segoe UI" w:cs="Segoe UI"/>
          <w:sz w:val="21"/>
          <w:szCs w:val="21"/>
        </w:rPr>
        <w:t xml:space="preserve"> activity</w:t>
      </w:r>
      <w:r w:rsidRPr="0040445D">
        <w:rPr>
          <w:rStyle w:val="Abc-TextChar"/>
          <w:rFonts w:ascii="Segoe UI" w:hAnsi="Segoe UI" w:cs="Segoe UI"/>
          <w:sz w:val="21"/>
          <w:szCs w:val="21"/>
        </w:rPr>
        <w:t xml:space="preserve">. </w:t>
      </w:r>
    </w:p>
    <w:p w:rsidR="00F8419B" w:rsidRDefault="00F8419B" w:rsidP="00DA3F08">
      <w:pPr>
        <w:pStyle w:val="Listparagraphbullets"/>
        <w:rPr>
          <w:lang w:eastAsia="en-US"/>
        </w:rPr>
      </w:pPr>
      <w:r>
        <w:t xml:space="preserve">Digital activity consists of digital </w:t>
      </w:r>
      <w:r w:rsidRPr="00AC5A8F">
        <w:t xml:space="preserve">enabling </w:t>
      </w:r>
      <w:proofErr w:type="spellStart"/>
      <w:r w:rsidRPr="00AC5A8F">
        <w:t>infrastructure,</w:t>
      </w:r>
      <w:proofErr w:type="spellEnd"/>
      <w:r w:rsidRPr="00AC5A8F">
        <w:t xml:space="preserve"> e</w:t>
      </w:r>
      <w:r>
        <w:noBreakHyphen/>
      </w:r>
      <w:r w:rsidRPr="00AC5A8F">
        <w:t>commerce and digital media.</w:t>
      </w:r>
      <w:r w:rsidR="00AE3FE4" w:rsidRPr="00F8419B">
        <w:rPr>
          <w:rStyle w:val="Abc-TextChar"/>
          <w:rFonts w:ascii="Segoe UI" w:hAnsi="Segoe UI" w:cs="Segoe UI"/>
          <w:sz w:val="21"/>
          <w:szCs w:val="21"/>
        </w:rPr>
        <w:t xml:space="preserve"> Digital activity includes all of ICT activity</w:t>
      </w:r>
      <w:r w:rsidRPr="00F8419B">
        <w:rPr>
          <w:rStyle w:val="Abc-TextChar"/>
          <w:rFonts w:ascii="Segoe UI" w:hAnsi="Segoe UI" w:cs="Segoe UI"/>
          <w:sz w:val="21"/>
          <w:szCs w:val="21"/>
        </w:rPr>
        <w:t xml:space="preserve"> and </w:t>
      </w:r>
      <w:proofErr w:type="spellStart"/>
      <w:r w:rsidRPr="00F8419B">
        <w:rPr>
          <w:rStyle w:val="Abc-TextChar"/>
          <w:rFonts w:ascii="Segoe UI" w:hAnsi="Segoe UI" w:cs="Segoe UI"/>
          <w:sz w:val="21"/>
          <w:szCs w:val="21"/>
        </w:rPr>
        <w:t>IoT</w:t>
      </w:r>
      <w:proofErr w:type="spellEnd"/>
      <w:r w:rsidRPr="00F8419B">
        <w:rPr>
          <w:rStyle w:val="Abc-TextChar"/>
          <w:rFonts w:ascii="Segoe UI" w:hAnsi="Segoe UI" w:cs="Segoe UI"/>
          <w:sz w:val="21"/>
          <w:szCs w:val="21"/>
        </w:rPr>
        <w:t xml:space="preserve"> activity</w:t>
      </w:r>
      <w:r w:rsidR="00AE3FE4" w:rsidRPr="00F8419B">
        <w:rPr>
          <w:rStyle w:val="Abc-TextChar"/>
          <w:rFonts w:ascii="Segoe UI" w:hAnsi="Segoe UI" w:cs="Segoe UI"/>
          <w:sz w:val="21"/>
          <w:szCs w:val="21"/>
        </w:rPr>
        <w:t xml:space="preserve"> as well as </w:t>
      </w:r>
      <w:r w:rsidR="00AE3FE4" w:rsidRPr="009A73A8">
        <w:t>e-commerce</w:t>
      </w:r>
      <w:r w:rsidR="00AE3FE4" w:rsidRPr="00F8419B">
        <w:rPr>
          <w:rStyle w:val="Abc-TextChar"/>
          <w:rFonts w:ascii="Segoe UI" w:hAnsi="Segoe UI" w:cs="Segoe UI"/>
          <w:sz w:val="21"/>
          <w:szCs w:val="21"/>
        </w:rPr>
        <w:t xml:space="preserve"> and </w:t>
      </w:r>
      <w:r w:rsidR="00AE3FE4" w:rsidRPr="009A73A8">
        <w:t>construction activity in telecommunication</w:t>
      </w:r>
      <w:r w:rsidR="00AE3FE4">
        <w:t>s</w:t>
      </w:r>
      <w:r w:rsidR="00AE3FE4" w:rsidRPr="009A73A8">
        <w:t xml:space="preserve"> infrastructure.</w:t>
      </w:r>
    </w:p>
    <w:p w:rsidR="009F2FB0" w:rsidRDefault="00AE3FE4" w:rsidP="00DA3F08">
      <w:pPr>
        <w:pStyle w:val="Listparagraphbullets"/>
        <w:rPr>
          <w:lang w:eastAsia="en-US"/>
        </w:rPr>
      </w:pPr>
      <w:r w:rsidRPr="009F2FB0">
        <w:rPr>
          <w:rStyle w:val="Abc-TextChar"/>
          <w:rFonts w:ascii="Segoe UI" w:hAnsi="Segoe UI" w:cs="Segoe UI"/>
          <w:sz w:val="21"/>
          <w:szCs w:val="21"/>
        </w:rPr>
        <w:t xml:space="preserve">ICT activity </w:t>
      </w:r>
      <w:r w:rsidR="00F8419B">
        <w:t xml:space="preserve">is defined as </w:t>
      </w:r>
      <w:r w:rsidR="00F8419B" w:rsidRPr="00A153A0">
        <w:t xml:space="preserve">goods that capture, store, transmit and display data electronically and services that facilitate the </w:t>
      </w:r>
      <w:r w:rsidR="00F8419B">
        <w:t>use of these goods</w:t>
      </w:r>
      <w:r w:rsidRPr="009F2FB0">
        <w:rPr>
          <w:rStyle w:val="Abc-TextChar"/>
          <w:rFonts w:ascii="Segoe UI" w:hAnsi="Segoe UI" w:cs="Segoe UI"/>
          <w:sz w:val="21"/>
          <w:szCs w:val="21"/>
        </w:rPr>
        <w:t xml:space="preserve">. </w:t>
      </w:r>
      <w:r w:rsidRPr="009A73A8">
        <w:t>ICT activity is a subset of digital activity that includes most forms of digital</w:t>
      </w:r>
      <w:r w:rsidRPr="009A73A8">
        <w:noBreakHyphen/>
        <w:t>enabling infrastructure a</w:t>
      </w:r>
      <w:r>
        <w:t xml:space="preserve">s well as </w:t>
      </w:r>
      <w:r w:rsidRPr="009A73A8">
        <w:t>digital media.</w:t>
      </w:r>
    </w:p>
    <w:p w:rsidR="002C0918" w:rsidRPr="009F2FB0" w:rsidRDefault="002C0918" w:rsidP="00DA3F08">
      <w:pPr>
        <w:pStyle w:val="Listparagraphbullets"/>
        <w:rPr>
          <w:rStyle w:val="Abc-TextChar"/>
          <w:rFonts w:ascii="Segoe UI" w:eastAsiaTheme="minorHAnsi" w:hAnsi="Segoe UI" w:cstheme="minorBidi"/>
          <w:color w:val="auto"/>
          <w:sz w:val="21"/>
          <w:szCs w:val="22"/>
          <w:lang w:eastAsia="en-US"/>
        </w:rPr>
      </w:pPr>
      <w:proofErr w:type="spellStart"/>
      <w:r w:rsidRPr="009F2FB0">
        <w:rPr>
          <w:rStyle w:val="Abc-TextChar"/>
          <w:rFonts w:ascii="Segoe UI" w:hAnsi="Segoe UI" w:cs="Segoe UI"/>
          <w:sz w:val="21"/>
          <w:szCs w:val="21"/>
        </w:rPr>
        <w:lastRenderedPageBreak/>
        <w:t>IoT</w:t>
      </w:r>
      <w:proofErr w:type="spellEnd"/>
      <w:r w:rsidRPr="009F2FB0">
        <w:rPr>
          <w:rStyle w:val="Abc-TextChar"/>
          <w:rFonts w:ascii="Segoe UI" w:hAnsi="Segoe UI" w:cs="Segoe UI"/>
          <w:sz w:val="21"/>
          <w:szCs w:val="21"/>
        </w:rPr>
        <w:t xml:space="preserve"> activity is defined as </w:t>
      </w:r>
      <w:r w:rsidRPr="00C53C5A">
        <w:t xml:space="preserve">economic activity from the production of </w:t>
      </w:r>
      <w:r w:rsidRPr="009F2FB0">
        <w:rPr>
          <w:rStyle w:val="Abc-TextChar"/>
          <w:rFonts w:ascii="Segoe UI" w:hAnsi="Segoe UI" w:cs="Segoe UI"/>
          <w:sz w:val="21"/>
          <w:szCs w:val="21"/>
        </w:rPr>
        <w:t>goods or services that enable an internet connection, such as semi-conductors, sensors and software publishing services.</w:t>
      </w:r>
      <w:r w:rsidRPr="009A73A8">
        <w:t xml:space="preserve"> </w:t>
      </w:r>
      <w:proofErr w:type="spellStart"/>
      <w:r w:rsidRPr="009A73A8">
        <w:t>IoT</w:t>
      </w:r>
      <w:proofErr w:type="spellEnd"/>
      <w:r w:rsidRPr="009A73A8">
        <w:t xml:space="preserve"> activity is a subset of both ICT activity and digital activity</w:t>
      </w:r>
      <w:r w:rsidR="00511B13">
        <w:t xml:space="preserve"> (</w:t>
      </w:r>
      <w:r w:rsidR="00511B13">
        <w:fldChar w:fldCharType="begin"/>
      </w:r>
      <w:r w:rsidR="00511B13">
        <w:instrText xml:space="preserve"> REF _Ref15973184 \h </w:instrText>
      </w:r>
      <w:r w:rsidR="00511B13">
        <w:fldChar w:fldCharType="separate"/>
      </w:r>
      <w:r w:rsidR="00F8419B" w:rsidRPr="00BA4B24">
        <w:t xml:space="preserve">Figure </w:t>
      </w:r>
      <w:r w:rsidR="00F8419B" w:rsidRPr="009F2FB0">
        <w:rPr>
          <w:iCs/>
          <w:noProof/>
        </w:rPr>
        <w:t>2</w:t>
      </w:r>
      <w:r w:rsidR="00511B13">
        <w:fldChar w:fldCharType="end"/>
      </w:r>
      <w:r w:rsidR="00511B13">
        <w:t>)</w:t>
      </w:r>
      <w:r w:rsidRPr="009A73A8">
        <w:t>.</w:t>
      </w:r>
    </w:p>
    <w:p w:rsidR="00511B13" w:rsidRPr="00A30E22" w:rsidRDefault="00511B13" w:rsidP="00511B13">
      <w:pPr>
        <w:pStyle w:val="Tablefigureheading"/>
        <w:rPr>
          <w:iCs/>
        </w:rPr>
      </w:pPr>
      <w:bookmarkStart w:id="11" w:name="_Ref15973184"/>
      <w:bookmarkStart w:id="12" w:name="_Toc29826510"/>
      <w:bookmarkStart w:id="13" w:name="_Toc29893492"/>
      <w:bookmarkStart w:id="14" w:name="_Toc43818656"/>
      <w:bookmarkStart w:id="15" w:name="_Toc48578008"/>
      <w:bookmarkStart w:id="16" w:name="_Toc48660101"/>
      <w:bookmarkStart w:id="17" w:name="_Toc48726407"/>
      <w:bookmarkStart w:id="18" w:name="_Toc48728370"/>
      <w:bookmarkStart w:id="19" w:name="_Toc48668733"/>
      <w:r w:rsidRPr="00BA4B24">
        <w:t xml:space="preserve">Figure </w:t>
      </w:r>
      <w:r w:rsidRPr="00A30E22">
        <w:rPr>
          <w:iCs/>
        </w:rPr>
        <w:fldChar w:fldCharType="begin"/>
      </w:r>
      <w:r w:rsidRPr="00A30E22">
        <w:rPr>
          <w:iCs/>
        </w:rPr>
        <w:instrText xml:space="preserve"> SEQ Figure \* ARABIC </w:instrText>
      </w:r>
      <w:r w:rsidRPr="00A30E22">
        <w:rPr>
          <w:iCs/>
        </w:rPr>
        <w:fldChar w:fldCharType="separate"/>
      </w:r>
      <w:r w:rsidR="00F8419B">
        <w:rPr>
          <w:iCs/>
          <w:noProof/>
        </w:rPr>
        <w:t>2</w:t>
      </w:r>
      <w:r w:rsidRPr="00A30E22">
        <w:rPr>
          <w:iCs/>
        </w:rPr>
        <w:fldChar w:fldCharType="end"/>
      </w:r>
      <w:bookmarkEnd w:id="11"/>
      <w:r w:rsidRPr="00A30E22">
        <w:rPr>
          <w:iCs/>
        </w:rPr>
        <w:t xml:space="preserve">. Components and examples of </w:t>
      </w:r>
      <w:proofErr w:type="spellStart"/>
      <w:r w:rsidRPr="00A30E22">
        <w:rPr>
          <w:iCs/>
        </w:rPr>
        <w:t>IoT</w:t>
      </w:r>
      <w:proofErr w:type="spellEnd"/>
      <w:r w:rsidRPr="00A30E22">
        <w:rPr>
          <w:iCs/>
        </w:rPr>
        <w:t xml:space="preserve"> activity</w:t>
      </w:r>
      <w:bookmarkEnd w:id="12"/>
      <w:bookmarkEnd w:id="13"/>
      <w:bookmarkEnd w:id="14"/>
      <w:bookmarkEnd w:id="15"/>
      <w:bookmarkEnd w:id="16"/>
      <w:bookmarkEnd w:id="17"/>
      <w:bookmarkEnd w:id="18"/>
    </w:p>
    <w:bookmarkEnd w:id="19"/>
    <w:p w:rsidR="00511B13" w:rsidRDefault="00511B13" w:rsidP="00233CA4">
      <w:pPr>
        <w:tabs>
          <w:tab w:val="left" w:pos="4858"/>
        </w:tabs>
        <w:spacing w:after="0"/>
        <w:rPr>
          <w:sz w:val="22"/>
        </w:rPr>
      </w:pPr>
      <w:r>
        <w:rPr>
          <w:noProof/>
          <w:lang w:eastAsia="en-AU"/>
        </w:rPr>
        <w:drawing>
          <wp:inline distT="0" distB="0" distL="0" distR="0" wp14:anchorId="232FAFEF" wp14:editId="042A8D1B">
            <wp:extent cx="4412972" cy="3935895"/>
            <wp:effectExtent l="0" t="0" r="0" b="0"/>
            <wp:docPr id="31" name="Picture 31" descr="Components and examples of IoT activity&#10;&#10;This is a radial cycle chart showing the components and examples of IoT activity. IoT activity comprises six components within the national accounts framework: hardware, software, telecommunications, internet service providers, support services, and big data." title="Components and examples of Io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omponents and examples of IoT activity&#10;&#10;This is a radial cycle chart showing the components and examples of IoT activity. IoT activity comprises six components within the national accounts framework: hardware, software, telecommunications, internet service providers, support services, and big data." title="Components and examples of IoT activity"/>
                    <pic:cNvPicPr/>
                  </pic:nvPicPr>
                  <pic:blipFill rotWithShape="1">
                    <a:blip r:embed="rId17" cstate="print">
                      <a:extLst>
                        <a:ext uri="{28A0092B-C50C-407E-A947-70E740481C1C}">
                          <a14:useLocalDpi xmlns:a14="http://schemas.microsoft.com/office/drawing/2010/main" val="0"/>
                        </a:ext>
                      </a:extLst>
                    </a:blip>
                    <a:srcRect l="9360" t="3683" r="14242" b="3997"/>
                    <a:stretch/>
                  </pic:blipFill>
                  <pic:spPr bwMode="auto">
                    <a:xfrm>
                      <a:off x="0" y="0"/>
                      <a:ext cx="4535863" cy="4045500"/>
                    </a:xfrm>
                    <a:prstGeom prst="rect">
                      <a:avLst/>
                    </a:prstGeom>
                    <a:ln>
                      <a:noFill/>
                    </a:ln>
                    <a:extLst>
                      <a:ext uri="{53640926-AAD7-44D8-BBD7-CCE9431645EC}">
                        <a14:shadowObscured xmlns:a14="http://schemas.microsoft.com/office/drawing/2010/main"/>
                      </a:ext>
                    </a:extLst>
                  </pic:spPr>
                </pic:pic>
              </a:graphicData>
            </a:graphic>
          </wp:inline>
        </w:drawing>
      </w:r>
    </w:p>
    <w:p w:rsidR="00511B13" w:rsidRPr="00CB22EA" w:rsidRDefault="00511B13" w:rsidP="00511B13">
      <w:pPr>
        <w:pStyle w:val="Sourcenote"/>
      </w:pPr>
      <w:r w:rsidRPr="00CB22EA">
        <w:t>Source: BCAR</w:t>
      </w:r>
      <w:r>
        <w:t xml:space="preserve"> analysis.</w:t>
      </w:r>
    </w:p>
    <w:p w:rsidR="007E3DA9" w:rsidRDefault="00511B13" w:rsidP="003B6BFE">
      <w:r w:rsidRPr="00511B13">
        <w:t xml:space="preserve">The estimates are calculated over a 5-year period, from </w:t>
      </w:r>
      <w:r w:rsidR="00DA3F08">
        <w:t>2012–13</w:t>
      </w:r>
      <w:r w:rsidRPr="00511B13">
        <w:t xml:space="preserve"> to </w:t>
      </w:r>
      <w:r w:rsidR="00DA3F08">
        <w:t>2016–17</w:t>
      </w:r>
      <w:r w:rsidRPr="00511B13">
        <w:t>, in order to track the pace at which these activities are growing over time</w:t>
      </w:r>
      <w:r w:rsidR="00FE2C81">
        <w:t xml:space="preserve"> and </w:t>
      </w:r>
      <w:r w:rsidR="0092752A">
        <w:t xml:space="preserve">to </w:t>
      </w:r>
      <w:r w:rsidR="00FE2C81">
        <w:t xml:space="preserve">show </w:t>
      </w:r>
      <w:r w:rsidR="00FE2C81" w:rsidRPr="0040445D">
        <w:t>how emerging technologies</w:t>
      </w:r>
      <w:r w:rsidR="00FE2C81">
        <w:t xml:space="preserve"> are changing</w:t>
      </w:r>
      <w:r w:rsidR="00FE2C81" w:rsidRPr="0040445D">
        <w:t xml:space="preserve"> Australia’s economic structure</w:t>
      </w:r>
      <w:r w:rsidR="00FE2C81">
        <w:t>.</w:t>
      </w:r>
    </w:p>
    <w:p w:rsidR="0092752A" w:rsidRDefault="00511B13" w:rsidP="003B6BFE">
      <w:r w:rsidRPr="004F61B2">
        <w:t>Th</w:t>
      </w:r>
      <w:r w:rsidR="00FE2C81">
        <w:t>e</w:t>
      </w:r>
      <w:r>
        <w:t xml:space="preserve"> </w:t>
      </w:r>
      <w:r w:rsidR="00FE2C81">
        <w:t xml:space="preserve">BCAR’s methodology </w:t>
      </w:r>
      <w:r w:rsidR="00AF2D67">
        <w:t>builds on previous</w:t>
      </w:r>
      <w:r w:rsidR="00FE2C81">
        <w:t xml:space="preserve"> work done by the </w:t>
      </w:r>
      <w:r w:rsidR="00FE2C81" w:rsidRPr="004F61B2">
        <w:t>US Bureau of Economic Analysis</w:t>
      </w:r>
      <w:r w:rsidR="003B6BFE">
        <w:t xml:space="preserve"> (BEA)</w:t>
      </w:r>
      <w:r w:rsidR="00FE2C81">
        <w:rPr>
          <w:rStyle w:val="FootnoteReference"/>
        </w:rPr>
        <w:footnoteReference w:id="1"/>
      </w:r>
      <w:r w:rsidR="00FE2C81" w:rsidRPr="004F61B2">
        <w:t xml:space="preserve"> </w:t>
      </w:r>
      <w:r w:rsidR="00FE2C81">
        <w:t>and the Australian Bureau of Statistics</w:t>
      </w:r>
      <w:r w:rsidR="00FE2C81" w:rsidRPr="00FF68DE">
        <w:rPr>
          <w:rStyle w:val="FootnoteReference"/>
        </w:rPr>
        <w:footnoteReference w:id="2"/>
      </w:r>
      <w:r w:rsidR="00FE2C81">
        <w:t xml:space="preserve"> </w:t>
      </w:r>
      <w:r w:rsidR="007E3DA9">
        <w:t>which</w:t>
      </w:r>
      <w:r w:rsidR="00FE2C81">
        <w:t xml:space="preserve"> construct</w:t>
      </w:r>
      <w:r w:rsidR="007E3DA9">
        <w:t>s</w:t>
      </w:r>
      <w:r w:rsidR="00FE2C81">
        <w:t xml:space="preserve"> a</w:t>
      </w:r>
      <w:r w:rsidRPr="004F61B2">
        <w:t xml:space="preserve"> ‘satellite account’</w:t>
      </w:r>
      <w:r w:rsidR="00FE2C81">
        <w:t xml:space="preserve"> to estimate the direct contribution of digital activity to the economy</w:t>
      </w:r>
      <w:r w:rsidRPr="004F61B2">
        <w:t>.</w:t>
      </w:r>
    </w:p>
    <w:p w:rsidR="00523189" w:rsidRDefault="00511B13" w:rsidP="0092752A">
      <w:r w:rsidRPr="004F61B2">
        <w:t>The BCAR</w:t>
      </w:r>
      <w:r w:rsidR="003B6BFE">
        <w:t xml:space="preserve"> has adopted the BEA’s structure of digital activity </w:t>
      </w:r>
      <w:r w:rsidR="0092752A">
        <w:t xml:space="preserve">which is split into three categories of digital economy goods and services </w:t>
      </w:r>
      <w:r w:rsidR="0092752A" w:rsidRPr="004F61B2">
        <w:t>(</w:t>
      </w:r>
      <w:r w:rsidR="0092752A" w:rsidRPr="004F61B2">
        <w:fldChar w:fldCharType="begin"/>
      </w:r>
      <w:r w:rsidR="0092752A" w:rsidRPr="004F61B2">
        <w:instrText xml:space="preserve"> REF _Ref23325437 \h  \* MERGEFORMAT </w:instrText>
      </w:r>
      <w:r w:rsidR="0092752A" w:rsidRPr="004F61B2">
        <w:fldChar w:fldCharType="separate"/>
      </w:r>
      <w:r w:rsidR="00EB3928" w:rsidRPr="00FD58AE">
        <w:t xml:space="preserve">Figure </w:t>
      </w:r>
      <w:r w:rsidR="00EB3928">
        <w:t>3</w:t>
      </w:r>
      <w:r w:rsidR="0092752A" w:rsidRPr="004F61B2">
        <w:fldChar w:fldCharType="end"/>
      </w:r>
      <w:r w:rsidR="0092752A" w:rsidRPr="004F61B2">
        <w:t>).</w:t>
      </w:r>
      <w:r w:rsidR="0092752A">
        <w:t xml:space="preserve"> This </w:t>
      </w:r>
      <w:r w:rsidR="007E3DA9">
        <w:t xml:space="preserve">structure </w:t>
      </w:r>
      <w:r w:rsidR="003B6BFE">
        <w:t xml:space="preserve">served as a starting point </w:t>
      </w:r>
      <w:r w:rsidR="007E3DA9">
        <w:t>for</w:t>
      </w:r>
      <w:r w:rsidR="00F2059F">
        <w:t xml:space="preserve"> the BCAR to</w:t>
      </w:r>
      <w:r w:rsidR="003B6BFE">
        <w:t xml:space="preserve"> defin</w:t>
      </w:r>
      <w:r w:rsidR="00F2059F">
        <w:t xml:space="preserve">e and estimate </w:t>
      </w:r>
      <w:proofErr w:type="spellStart"/>
      <w:r w:rsidR="003B6BFE">
        <w:t>IoT</w:t>
      </w:r>
      <w:proofErr w:type="spellEnd"/>
      <w:r w:rsidR="003B6BFE">
        <w:t xml:space="preserve"> activity</w:t>
      </w:r>
      <w:r w:rsidR="00B56472">
        <w:t>.</w:t>
      </w:r>
    </w:p>
    <w:p w:rsidR="0092752A" w:rsidRDefault="00D05F15" w:rsidP="0092752A">
      <w:pPr>
        <w:rPr>
          <w:rFonts w:cs="Segoe UI"/>
          <w:szCs w:val="21"/>
        </w:rPr>
      </w:pPr>
      <w:r>
        <w:t xml:space="preserve">The BCAR’s </w:t>
      </w:r>
      <w:r w:rsidR="00F2059F" w:rsidRPr="00C53C5A">
        <w:t xml:space="preserve">definition </w:t>
      </w:r>
      <w:r w:rsidR="00233CA4">
        <w:t xml:space="preserve">of </w:t>
      </w:r>
      <w:proofErr w:type="spellStart"/>
      <w:r w:rsidR="00233CA4">
        <w:t>IoT</w:t>
      </w:r>
      <w:proofErr w:type="spellEnd"/>
      <w:r w:rsidR="00233CA4">
        <w:t xml:space="preserve"> activity </w:t>
      </w:r>
      <w:r>
        <w:t xml:space="preserve">is </w:t>
      </w:r>
      <w:r w:rsidRPr="00C53C5A">
        <w:t xml:space="preserve">based on </w:t>
      </w:r>
      <w:r>
        <w:t xml:space="preserve">the goods and services </w:t>
      </w:r>
      <w:r w:rsidRPr="00C53C5A">
        <w:t>that underpin an internet conn</w:t>
      </w:r>
      <w:r>
        <w:t xml:space="preserve">ection. </w:t>
      </w:r>
      <w:r w:rsidR="003B6BFE">
        <w:t xml:space="preserve">This type of satellite account for </w:t>
      </w:r>
      <w:proofErr w:type="spellStart"/>
      <w:r w:rsidR="003B6BFE">
        <w:t>IoT</w:t>
      </w:r>
      <w:proofErr w:type="spellEnd"/>
      <w:r w:rsidR="003B6BFE">
        <w:t xml:space="preserve"> activity is experimental and </w:t>
      </w:r>
      <w:r w:rsidR="0092752A">
        <w:rPr>
          <w:rStyle w:val="Abc-TextChar"/>
          <w:rFonts w:ascii="Segoe UI" w:hAnsi="Segoe UI" w:cs="Segoe UI"/>
          <w:sz w:val="21"/>
          <w:szCs w:val="21"/>
        </w:rPr>
        <w:t>provide</w:t>
      </w:r>
      <w:r w:rsidR="0092752A" w:rsidRPr="004F61B2">
        <w:rPr>
          <w:rStyle w:val="Abc-TextChar"/>
          <w:rFonts w:ascii="Segoe UI" w:hAnsi="Segoe UI" w:cs="Segoe UI"/>
          <w:sz w:val="21"/>
          <w:szCs w:val="21"/>
        </w:rPr>
        <w:t xml:space="preserve">s the first </w:t>
      </w:r>
      <w:r w:rsidR="0092752A">
        <w:rPr>
          <w:rStyle w:val="Abc-TextChar"/>
          <w:rFonts w:ascii="Segoe UI" w:hAnsi="Segoe UI" w:cs="Segoe UI"/>
          <w:sz w:val="21"/>
          <w:szCs w:val="21"/>
        </w:rPr>
        <w:t xml:space="preserve">measure </w:t>
      </w:r>
      <w:r w:rsidR="0092752A" w:rsidRPr="0040445D">
        <w:rPr>
          <w:rFonts w:cs="Segoe UI"/>
          <w:szCs w:val="21"/>
        </w:rPr>
        <w:t xml:space="preserve">of </w:t>
      </w:r>
      <w:proofErr w:type="spellStart"/>
      <w:r w:rsidR="0092752A" w:rsidRPr="0040445D">
        <w:rPr>
          <w:rFonts w:cs="Segoe UI"/>
          <w:szCs w:val="21"/>
        </w:rPr>
        <w:t>IoT</w:t>
      </w:r>
      <w:proofErr w:type="spellEnd"/>
      <w:r w:rsidR="0092752A" w:rsidRPr="0040445D">
        <w:rPr>
          <w:rFonts w:cs="Segoe UI"/>
          <w:szCs w:val="21"/>
        </w:rPr>
        <w:t xml:space="preserve"> activity’s contribu</w:t>
      </w:r>
      <w:r w:rsidR="00B56472">
        <w:rPr>
          <w:rFonts w:cs="Segoe UI"/>
          <w:szCs w:val="21"/>
        </w:rPr>
        <w:t>tion to the Australian economy.</w:t>
      </w:r>
    </w:p>
    <w:p w:rsidR="00511B13" w:rsidRPr="00233CA4" w:rsidRDefault="00511B13" w:rsidP="00233CA4">
      <w:pPr>
        <w:pStyle w:val="Tablefigureheading"/>
      </w:pPr>
      <w:bookmarkStart w:id="20" w:name="_Ref23325437"/>
      <w:bookmarkStart w:id="21" w:name="_Toc43818651"/>
      <w:bookmarkStart w:id="22" w:name="_Toc29893487"/>
      <w:bookmarkStart w:id="23" w:name="_Toc29826505"/>
      <w:bookmarkStart w:id="24" w:name="_Toc48578000"/>
      <w:bookmarkStart w:id="25" w:name="_Toc48660093"/>
      <w:bookmarkStart w:id="26" w:name="_Toc48668725"/>
      <w:bookmarkStart w:id="27" w:name="_Toc48726399"/>
      <w:bookmarkStart w:id="28" w:name="_Toc48728362"/>
      <w:r w:rsidRPr="00FD58AE">
        <w:lastRenderedPageBreak/>
        <w:t xml:space="preserve">Figure </w:t>
      </w:r>
      <w:fldSimple w:instr=" SEQ Figure \* ARABIC ">
        <w:r w:rsidR="00EB3928">
          <w:rPr>
            <w:noProof/>
          </w:rPr>
          <w:t>3</w:t>
        </w:r>
      </w:fldSimple>
      <w:bookmarkEnd w:id="20"/>
      <w:r w:rsidRPr="00233CA4">
        <w:t xml:space="preserve">. Scope chart of </w:t>
      </w:r>
      <w:proofErr w:type="spellStart"/>
      <w:r w:rsidRPr="00233CA4">
        <w:t>IoT</w:t>
      </w:r>
      <w:proofErr w:type="spellEnd"/>
      <w:r w:rsidRPr="00233CA4">
        <w:t>, ICT and digital activity</w:t>
      </w:r>
      <w:bookmarkEnd w:id="21"/>
      <w:bookmarkEnd w:id="22"/>
      <w:bookmarkEnd w:id="23"/>
      <w:bookmarkEnd w:id="24"/>
      <w:bookmarkEnd w:id="25"/>
      <w:bookmarkEnd w:id="26"/>
      <w:bookmarkEnd w:id="27"/>
      <w:bookmarkEnd w:id="28"/>
    </w:p>
    <w:p w:rsidR="00511B13" w:rsidRPr="00134418" w:rsidRDefault="00511B13" w:rsidP="00511B13">
      <w:pPr>
        <w:spacing w:after="0"/>
      </w:pPr>
      <w:r>
        <w:rPr>
          <w:noProof/>
          <w:lang w:eastAsia="en-AU"/>
        </w:rPr>
        <w:drawing>
          <wp:inline distT="0" distB="0" distL="0" distR="0" wp14:anchorId="13CCEAD5" wp14:editId="4B6382ED">
            <wp:extent cx="5790600" cy="6194067"/>
            <wp:effectExtent l="0" t="0" r="0" b="0"/>
            <wp:docPr id="7" name="Picture 7" descr="Scope chart of IoT, ICT and Digital activity&#10;&#10;This is a scope chart of IoT, ICT and digital activity. The BCAR has broadly adopted the structure of digital activity used by the US Bureau of Economic Analysis which is split into three categories: digital-enabling infrastructure, e-commerce and digital media. ICT and IoT activity consist of components within these three categories. ICT activity consists of digital-enabling infrastructure (excluding structures) and digital media, while IoT activity consists of hardware, software, telecommunications and ISPs, support services, as well as big data from the digital media stream relevant to its activity." title="Scope chart of IoT, ICT and Digita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6732" cy="6200626"/>
                    </a:xfrm>
                    <a:prstGeom prst="rect">
                      <a:avLst/>
                    </a:prstGeom>
                    <a:noFill/>
                  </pic:spPr>
                </pic:pic>
              </a:graphicData>
            </a:graphic>
          </wp:inline>
        </w:drawing>
      </w:r>
    </w:p>
    <w:p w:rsidR="00511B13" w:rsidRDefault="00511B13" w:rsidP="00511B13">
      <w:pPr>
        <w:pStyle w:val="Sourcenote"/>
      </w:pPr>
      <w:r w:rsidRPr="00C65AF2">
        <w:t xml:space="preserve">Source: BCAR </w:t>
      </w:r>
      <w:r>
        <w:t>analysis based on the structure used by the US Bureau of Economic Analysis.</w:t>
      </w:r>
    </w:p>
    <w:p w:rsidR="00233CA4" w:rsidRPr="007E3DA9" w:rsidRDefault="00233CA4" w:rsidP="00233CA4">
      <w:pPr>
        <w:rPr>
          <w:rFonts w:eastAsia="Times New Roman" w:cs="Segoe UI"/>
          <w:szCs w:val="21"/>
        </w:rPr>
      </w:pPr>
      <w:r>
        <w:rPr>
          <w:rStyle w:val="Abc-TextChar"/>
          <w:rFonts w:ascii="Segoe UI" w:hAnsi="Segoe UI" w:cs="Segoe UI"/>
          <w:sz w:val="21"/>
          <w:szCs w:val="21"/>
        </w:rPr>
        <w:t>The</w:t>
      </w:r>
      <w:r w:rsidR="00D05F15">
        <w:rPr>
          <w:rStyle w:val="Abc-TextChar"/>
          <w:rFonts w:ascii="Segoe UI" w:hAnsi="Segoe UI" w:cs="Segoe UI"/>
          <w:sz w:val="21"/>
          <w:szCs w:val="21"/>
        </w:rPr>
        <w:t xml:space="preserve"> BCAR’s</w:t>
      </w:r>
      <w:r>
        <w:rPr>
          <w:rStyle w:val="Abc-TextChar"/>
          <w:rFonts w:ascii="Segoe UI" w:hAnsi="Segoe UI" w:cs="Segoe UI"/>
          <w:sz w:val="21"/>
          <w:szCs w:val="21"/>
        </w:rPr>
        <w:t xml:space="preserve"> research</w:t>
      </w:r>
      <w:r>
        <w:t xml:space="preserve"> </w:t>
      </w:r>
      <w:r w:rsidRPr="008267C2">
        <w:t>aims to provide a resource for government and industry on the role and influence of digitalised parts of the economy and contribute to the discussion on how to measure these activities within the Australian economy.</w:t>
      </w:r>
    </w:p>
    <w:p w:rsidR="0040445D" w:rsidRPr="002D36C6" w:rsidRDefault="002C0A14" w:rsidP="002D36C6">
      <w:pPr>
        <w:pStyle w:val="Heading2"/>
        <w:rPr>
          <w:rStyle w:val="Abc-TextChar"/>
          <w:rFonts w:ascii="Segoe UI Semibold" w:eastAsia="MingLiU" w:hAnsi="Segoe UI Semibold" w:cs="Segoe UI Semibold"/>
          <w:color w:val="0066AB"/>
          <w:sz w:val="36"/>
          <w:szCs w:val="26"/>
          <w:lang w:eastAsia="en-US"/>
        </w:rPr>
      </w:pPr>
      <w:r>
        <w:lastRenderedPageBreak/>
        <w:t>Using this methodology</w:t>
      </w:r>
    </w:p>
    <w:p w:rsidR="0082321B" w:rsidRPr="004856A6" w:rsidRDefault="0091147F" w:rsidP="0087774E">
      <w:pPr>
        <w:keepNext/>
      </w:pPr>
      <w:r>
        <w:t xml:space="preserve">The BCAR’s </w:t>
      </w:r>
      <w:r w:rsidR="00233CA4">
        <w:t>estimate</w:t>
      </w:r>
      <w:r w:rsidR="00014B2D">
        <w:t xml:space="preserve"> of</w:t>
      </w:r>
      <w:r>
        <w:t xml:space="preserve"> </w:t>
      </w:r>
      <w:proofErr w:type="spellStart"/>
      <w:r>
        <w:t>IoT</w:t>
      </w:r>
      <w:proofErr w:type="spellEnd"/>
      <w:r>
        <w:t xml:space="preserve"> activity can be considered an estimate of the economic value of the products that underpin an internet connection. </w:t>
      </w:r>
    </w:p>
    <w:p w:rsidR="0082321B" w:rsidRPr="004856A6" w:rsidRDefault="0082321B" w:rsidP="0082321B">
      <w:r w:rsidRPr="004856A6">
        <w:t xml:space="preserve">As is the case generally for the analysis of technologies, economic attribution that comes as a direct result of </w:t>
      </w:r>
      <w:proofErr w:type="spellStart"/>
      <w:r w:rsidRPr="004856A6">
        <w:t>IoT</w:t>
      </w:r>
      <w:proofErr w:type="spellEnd"/>
      <w:r w:rsidRPr="004856A6">
        <w:t xml:space="preserve"> can be difficult to quantify. This is because technologies act as enablers, both within and across industries, and are used in conjunction with other emerging technologies</w:t>
      </w:r>
      <w:r w:rsidR="008B77B4">
        <w:t>—</w:t>
      </w:r>
      <w:r w:rsidRPr="004856A6">
        <w:t xml:space="preserve">in </w:t>
      </w:r>
      <w:proofErr w:type="spellStart"/>
      <w:r w:rsidRPr="004856A6">
        <w:t>IoT’s</w:t>
      </w:r>
      <w:proofErr w:type="spellEnd"/>
      <w:r w:rsidRPr="004856A6">
        <w:t xml:space="preserve"> case, with artificial intelligence, cloud and edge computing. Caution should, therefore, be taken when attributing the direct impact of digital technologies on economic growth and productivity, particularly for emer</w:t>
      </w:r>
      <w:r>
        <w:t xml:space="preserve">ging technologies such as </w:t>
      </w:r>
      <w:proofErr w:type="spellStart"/>
      <w:r>
        <w:t>IoT</w:t>
      </w:r>
      <w:proofErr w:type="spellEnd"/>
      <w:r>
        <w:t>.</w:t>
      </w:r>
    </w:p>
    <w:p w:rsidR="0091147F" w:rsidRPr="00BE60BE" w:rsidRDefault="00D26D00" w:rsidP="0091147F">
      <w:r>
        <w:t>The BCAR’s estimates of digitalisation</w:t>
      </w:r>
      <w:r w:rsidR="0091147F">
        <w:t xml:space="preserve"> include</w:t>
      </w:r>
      <w:r w:rsidR="00D05F15">
        <w:t xml:space="preserve"> only</w:t>
      </w:r>
      <w:r w:rsidR="0091147F">
        <w:t xml:space="preserve"> market transactions</w:t>
      </w:r>
      <w:r w:rsidR="00233CA4">
        <w:t xml:space="preserve"> of final </w:t>
      </w:r>
      <w:r>
        <w:t>goods and services. These estimates</w:t>
      </w:r>
      <w:r w:rsidR="0091147F">
        <w:t xml:space="preserve"> </w:t>
      </w:r>
      <w:r>
        <w:t>are</w:t>
      </w:r>
      <w:r w:rsidR="0091147F">
        <w:t xml:space="preserve"> limited by the detail that products are classified in Australia’s national accounts.</w:t>
      </w:r>
      <w:r w:rsidR="009F2FB0">
        <w:t xml:space="preserve"> The products were </w:t>
      </w:r>
      <w:r>
        <w:t>selected</w:t>
      </w:r>
      <w:r w:rsidR="009F2FB0">
        <w:t xml:space="preserve"> using the supply-use framework of the national accounts</w:t>
      </w:r>
      <w:r>
        <w:t xml:space="preserve"> which was </w:t>
      </w:r>
      <w:r w:rsidR="009F2FB0">
        <w:t xml:space="preserve">further </w:t>
      </w:r>
      <w:r>
        <w:t>split</w:t>
      </w:r>
      <w:r w:rsidR="009F2FB0">
        <w:t xml:space="preserve"> into input-output product classifications to obtain more granular product detail. Th</w:t>
      </w:r>
      <w:r w:rsidR="00F709E3">
        <w:t>is was</w:t>
      </w:r>
      <w:r w:rsidR="009F2FB0" w:rsidRPr="00C53C5A">
        <w:t xml:space="preserve"> </w:t>
      </w:r>
      <w:r w:rsidR="009F2FB0">
        <w:t xml:space="preserve">sourced from the latest </w:t>
      </w:r>
      <w:r w:rsidR="009F2FB0" w:rsidRPr="00C53C5A">
        <w:t>national accounts</w:t>
      </w:r>
      <w:r w:rsidR="009F2FB0">
        <w:t xml:space="preserve"> data</w:t>
      </w:r>
      <w:r w:rsidR="00F709E3">
        <w:t xml:space="preserve"> that details these product classifications</w:t>
      </w:r>
      <w:r w:rsidR="009F2FB0" w:rsidRPr="00C53C5A">
        <w:t>.</w:t>
      </w:r>
    </w:p>
    <w:p w:rsidR="00670320" w:rsidRDefault="00EB060E" w:rsidP="0040445D">
      <w:pPr>
        <w:rPr>
          <w:rFonts w:cs="Segoe UI"/>
          <w:szCs w:val="21"/>
        </w:rPr>
      </w:pPr>
      <w:r>
        <w:t>T</w:t>
      </w:r>
      <w:r w:rsidR="00AE01D1" w:rsidRPr="00FF68DE">
        <w:t>he BCAR’s</w:t>
      </w:r>
      <w:r w:rsidR="004F61B2" w:rsidRPr="00FF68DE">
        <w:t xml:space="preserve"> approach </w:t>
      </w:r>
      <w:r w:rsidR="00AE01D1" w:rsidRPr="00FF68DE">
        <w:t xml:space="preserve">to measuring digital activity </w:t>
      </w:r>
      <w:r w:rsidR="004F61B2" w:rsidRPr="00FF68DE">
        <w:t xml:space="preserve">is broadly consistent with </w:t>
      </w:r>
      <w:r>
        <w:t xml:space="preserve">the </w:t>
      </w:r>
      <w:r w:rsidR="00014B2D">
        <w:t xml:space="preserve">experimental </w:t>
      </w:r>
      <w:r>
        <w:t xml:space="preserve">approach used by </w:t>
      </w:r>
      <w:r w:rsidR="004F61B2" w:rsidRPr="00FF68DE">
        <w:t xml:space="preserve">the </w:t>
      </w:r>
      <w:r>
        <w:t>Australian Bureau of Statistics.</w:t>
      </w:r>
      <w:r w:rsidR="00C724D6" w:rsidRPr="00FF68DE">
        <w:rPr>
          <w:rStyle w:val="FootnoteReference"/>
        </w:rPr>
        <w:footnoteReference w:id="3"/>
      </w:r>
      <w:r w:rsidR="00C724D6" w:rsidRPr="00FF68DE">
        <w:t xml:space="preserve"> </w:t>
      </w:r>
      <w:r>
        <w:t xml:space="preserve">However, </w:t>
      </w:r>
      <w:r w:rsidR="00AE01D1" w:rsidRPr="00FF68DE">
        <w:t>the BCAR</w:t>
      </w:r>
      <w:r>
        <w:t>’s measure of digital activity</w:t>
      </w:r>
      <w:r w:rsidR="00AE01D1" w:rsidRPr="00FF68DE">
        <w:t xml:space="preserve"> </w:t>
      </w:r>
      <w:r w:rsidR="004F61B2" w:rsidRPr="00FF68DE">
        <w:t xml:space="preserve">also includes construction in telecommunications infrastructure to capture the significant economic activity involved in </w:t>
      </w:r>
      <w:r w:rsidR="00014B2D">
        <w:t xml:space="preserve">the rollout of </w:t>
      </w:r>
      <w:r w:rsidR="00D26D00">
        <w:t>network</w:t>
      </w:r>
      <w:r w:rsidR="004F61B2" w:rsidRPr="00FF68DE">
        <w:t xml:space="preserve"> </w:t>
      </w:r>
      <w:proofErr w:type="spellStart"/>
      <w:r w:rsidR="004F61B2" w:rsidRPr="00FF68DE">
        <w:t>infrastructure,</w:t>
      </w:r>
      <w:proofErr w:type="spellEnd"/>
      <w:r w:rsidR="004F61B2" w:rsidRPr="00FF68DE">
        <w:t xml:space="preserve"> </w:t>
      </w:r>
      <w:r>
        <w:t>such as</w:t>
      </w:r>
      <w:r w:rsidR="004F61B2" w:rsidRPr="00FF68DE">
        <w:t xml:space="preserve"> the </w:t>
      </w:r>
      <w:r>
        <w:t>National Broadband Network</w:t>
      </w:r>
      <w:r>
        <w:rPr>
          <w:rFonts w:cs="Segoe UI"/>
          <w:szCs w:val="21"/>
        </w:rPr>
        <w:t>.</w:t>
      </w:r>
    </w:p>
    <w:bookmarkEnd w:id="1"/>
    <w:bookmarkEnd w:id="2"/>
    <w:sectPr w:rsidR="00670320" w:rsidSect="002F1A23">
      <w:headerReference w:type="default" r:id="rId19"/>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5D" w:rsidRDefault="0040445D" w:rsidP="00FC413F">
      <w:pPr>
        <w:spacing w:after="0"/>
      </w:pPr>
      <w:r>
        <w:separator/>
      </w:r>
    </w:p>
  </w:endnote>
  <w:endnote w:type="continuationSeparator" w:id="0">
    <w:p w:rsidR="0040445D" w:rsidRDefault="0040445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733C89" w:rsidRDefault="00733C89" w:rsidP="00733C89">
    <w:pPr>
      <w:pStyle w:val="Footer"/>
      <w:ind w:left="-1418"/>
    </w:pPr>
    <w:r>
      <w:rPr>
        <w:noProof/>
        <w:lang w:eastAsia="en-AU"/>
      </w:rPr>
      <w:drawing>
        <wp:inline distT="0" distB="0" distL="0" distR="0" wp14:anchorId="312472CC" wp14:editId="5E54C576">
          <wp:extent cx="7541769" cy="5494753"/>
          <wp:effectExtent l="0" t="0" r="2540" b="0"/>
          <wp:docPr id="2" name="Picture 2" descr="www.communications.gov.au/BCAR&#10;Twitter: #CommsAuBC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R A4 Word Template_2020 TITLE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946" cy="549998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89" w:rsidRPr="00FC413F" w:rsidRDefault="00733C89"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733C89" w:rsidRPr="00FC413F" w:rsidRDefault="00733C89"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151746">
      <w:rPr>
        <w:rFonts w:cs="Segoe UI"/>
        <w:noProof/>
        <w:szCs w:val="18"/>
      </w:rPr>
      <w:t>5</w:t>
    </w:r>
    <w:r>
      <w:rPr>
        <w:rFonts w:cs="Segoe UI"/>
        <w:szCs w:val="18"/>
      </w:rPr>
      <w:fldChar w:fldCharType="end"/>
    </w:r>
    <w:r w:rsidRPr="00FC413F">
      <w:rPr>
        <w:rFonts w:cs="Segoe UI"/>
        <w:noProof/>
        <w:szCs w:val="18"/>
      </w:rPr>
      <w:t>.</w:t>
    </w:r>
    <w:r w:rsidRPr="00FC413F">
      <w:rPr>
        <w:rFonts w:cs="Segoe UI"/>
        <w:noProof/>
        <w:szCs w:val="18"/>
      </w:rPr>
      <w:tab/>
    </w:r>
    <w:r w:rsidR="0040445D" w:rsidRPr="0040445D">
      <w:rPr>
        <w:rFonts w:cs="Segoe UI"/>
        <w:noProof/>
        <w:szCs w:val="18"/>
      </w:rPr>
      <w:t>Measuring the digitalisation of Australia’s economy 2012–13 to 2016–17—fact sheet</w:t>
    </w:r>
  </w:p>
  <w:p w:rsidR="00733C89" w:rsidRPr="00FC413F" w:rsidRDefault="00151746" w:rsidP="00A82DAF">
    <w:pPr>
      <w:pStyle w:val="Footer"/>
      <w:tabs>
        <w:tab w:val="clear" w:pos="4513"/>
        <w:tab w:val="clear" w:pos="9026"/>
      </w:tabs>
      <w:ind w:left="-567"/>
      <w:jc w:val="center"/>
      <w:rPr>
        <w:rFonts w:cs="Segoe UI"/>
        <w:szCs w:val="18"/>
      </w:rPr>
    </w:pPr>
    <w:hyperlink r:id="rId1" w:history="1">
      <w:r w:rsidR="00733C89" w:rsidRPr="00FC413F">
        <w:rPr>
          <w:rStyle w:val="Hyperlink"/>
          <w:rFonts w:cs="Segoe UI"/>
          <w:szCs w:val="18"/>
        </w:rPr>
        <w:t>infrastructure.gov.au</w:t>
      </w:r>
    </w:hyperlink>
    <w:r w:rsidR="00733C89" w:rsidRPr="00FC413F">
      <w:rPr>
        <w:rFonts w:cs="Segoe UI"/>
        <w:noProof/>
        <w:szCs w:val="18"/>
      </w:rPr>
      <w:t xml:space="preserve"> | </w:t>
    </w:r>
    <w:hyperlink r:id="rId2" w:history="1">
      <w:r w:rsidR="00733C89" w:rsidRPr="00FC413F">
        <w:rPr>
          <w:rStyle w:val="Hyperlink"/>
          <w:rFonts w:cs="Segoe UI"/>
          <w:szCs w:val="18"/>
        </w:rPr>
        <w:t>communications.gov.au</w:t>
      </w:r>
    </w:hyperlink>
    <w:r w:rsidR="00733C89" w:rsidRPr="00FC413F">
      <w:rPr>
        <w:rFonts w:cs="Segoe UI"/>
        <w:noProof/>
        <w:szCs w:val="18"/>
      </w:rPr>
      <w:t xml:space="preserve"> | </w:t>
    </w:r>
    <w:hyperlink r:id="rId3" w:history="1">
      <w:r w:rsidR="00733C89"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5D" w:rsidRDefault="0040445D" w:rsidP="00FC413F">
      <w:pPr>
        <w:spacing w:after="0"/>
      </w:pPr>
      <w:r>
        <w:separator/>
      </w:r>
    </w:p>
  </w:footnote>
  <w:footnote w:type="continuationSeparator" w:id="0">
    <w:p w:rsidR="0040445D" w:rsidRDefault="0040445D" w:rsidP="00FC413F">
      <w:pPr>
        <w:spacing w:after="0"/>
      </w:pPr>
      <w:r>
        <w:continuationSeparator/>
      </w:r>
    </w:p>
  </w:footnote>
  <w:footnote w:id="1">
    <w:p w:rsidR="00FE2C81" w:rsidRDefault="00FE2C81" w:rsidP="00FE2C81">
      <w:pPr>
        <w:pStyle w:val="FootnoteText"/>
      </w:pPr>
      <w:r>
        <w:rPr>
          <w:rStyle w:val="FootnoteReference"/>
        </w:rPr>
        <w:footnoteRef/>
      </w:r>
      <w:r>
        <w:t xml:space="preserve"> </w:t>
      </w:r>
      <w:r w:rsidRPr="001021F7">
        <w:t xml:space="preserve">Bureau of Economic Analysis (2018), </w:t>
      </w:r>
      <w:hyperlink r:id="rId1" w:history="1">
        <w:r w:rsidRPr="001021F7">
          <w:rPr>
            <w:rStyle w:val="Hyperlink"/>
          </w:rPr>
          <w:t>Defining and measuring the digital economy</w:t>
        </w:r>
      </w:hyperlink>
      <w:r w:rsidRPr="001021F7">
        <w:t>, United States, March</w:t>
      </w:r>
      <w:r>
        <w:t> </w:t>
      </w:r>
      <w:r w:rsidRPr="001021F7">
        <w:t>2018</w:t>
      </w:r>
    </w:p>
  </w:footnote>
  <w:footnote w:id="2">
    <w:p w:rsidR="00FE2C81" w:rsidRDefault="00FE2C81" w:rsidP="00FE2C81">
      <w:pPr>
        <w:pStyle w:val="FootnoteText"/>
      </w:pPr>
      <w:r>
        <w:rPr>
          <w:rStyle w:val="FootnoteReference"/>
        </w:rPr>
        <w:footnoteRef/>
      </w:r>
      <w:r>
        <w:t xml:space="preserve"> Australian Bureau of Statistics (2019), </w:t>
      </w:r>
      <w:hyperlink r:id="rId2" w:history="1">
        <w:r>
          <w:rPr>
            <w:rStyle w:val="Hyperlink"/>
          </w:rPr>
          <w:t>Measuring digital activity in the Australian economy</w:t>
        </w:r>
      </w:hyperlink>
      <w:r>
        <w:t>, Australia, February 2019</w:t>
      </w:r>
    </w:p>
  </w:footnote>
  <w:footnote w:id="3">
    <w:p w:rsidR="00C724D6" w:rsidRDefault="00C724D6">
      <w:pPr>
        <w:pStyle w:val="FootnoteText"/>
      </w:pPr>
      <w:r>
        <w:rPr>
          <w:rStyle w:val="FootnoteReference"/>
        </w:rPr>
        <w:footnoteRef/>
      </w:r>
      <w:r>
        <w:t xml:space="preserve"> Australian Bureau of Statistics (2019), </w:t>
      </w:r>
      <w:hyperlink r:id="rId3" w:history="1">
        <w:r>
          <w:rPr>
            <w:rStyle w:val="Hyperlink"/>
          </w:rPr>
          <w:t>Measuring digital activity in the Australian economy</w:t>
        </w:r>
      </w:hyperlink>
      <w:r>
        <w:t>, Australia,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F02B73" w:rsidP="00FC413F">
    <w:pPr>
      <w:pStyle w:val="Header"/>
      <w:tabs>
        <w:tab w:val="right" w:pos="9475"/>
      </w:tabs>
      <w:ind w:left="-1418"/>
    </w:pPr>
    <w:r>
      <w:rPr>
        <w:noProof/>
        <w:lang w:eastAsia="en-AU"/>
      </w:rPr>
      <w:drawing>
        <wp:inline distT="0" distB="0" distL="0" distR="0">
          <wp:extent cx="7615419" cy="1085850"/>
          <wp:effectExtent l="0" t="0" r="5080" b="0"/>
          <wp:docPr id="4" name="Picture 4"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AR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7647770" cy="10904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Pr="002D36C6" w:rsidRDefault="00F02B73" w:rsidP="002D36C6">
    <w:pPr>
      <w:pStyle w:val="Header"/>
      <w:tabs>
        <w:tab w:val="right" w:pos="9475"/>
      </w:tabs>
      <w:ind w:left="-1418"/>
    </w:pPr>
    <w:r>
      <w:rPr>
        <w:noProof/>
        <w:lang w:eastAsia="en-AU"/>
      </w:rPr>
      <w:drawing>
        <wp:inline distT="0" distB="0" distL="0" distR="0" wp14:anchorId="6A40D34A" wp14:editId="53F6AB34">
          <wp:extent cx="7555395" cy="1077362"/>
          <wp:effectExtent l="0" t="0" r="0" b="8890"/>
          <wp:docPr id="5" name="Picture 5"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AR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7592409" cy="1082640"/>
                  </a:xfrm>
                  <a:prstGeom prst="rect">
                    <a:avLst/>
                  </a:prstGeom>
                </pic:spPr>
              </pic:pic>
            </a:graphicData>
          </a:graphic>
        </wp:inline>
      </w:drawing>
    </w:r>
    <w:r w:rsidR="002D36C6" w:rsidRPr="002D36C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40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345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C5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BE6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2A2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8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0C1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12BB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26E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848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A312B"/>
    <w:multiLevelType w:val="hybridMultilevel"/>
    <w:tmpl w:val="15BE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A4175A"/>
    <w:multiLevelType w:val="hybridMultilevel"/>
    <w:tmpl w:val="12DA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D64CD"/>
    <w:multiLevelType w:val="hybridMultilevel"/>
    <w:tmpl w:val="AFCC9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30175F"/>
    <w:multiLevelType w:val="hybridMultilevel"/>
    <w:tmpl w:val="7CC2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5D"/>
    <w:rsid w:val="00014B2D"/>
    <w:rsid w:val="000740FB"/>
    <w:rsid w:val="00090E62"/>
    <w:rsid w:val="000C0244"/>
    <w:rsid w:val="00102985"/>
    <w:rsid w:val="00134418"/>
    <w:rsid w:val="00151746"/>
    <w:rsid w:val="001C0131"/>
    <w:rsid w:val="00217C11"/>
    <w:rsid w:val="00233CA4"/>
    <w:rsid w:val="00236F1B"/>
    <w:rsid w:val="00261FFA"/>
    <w:rsid w:val="00270BC7"/>
    <w:rsid w:val="00287C7E"/>
    <w:rsid w:val="002C0918"/>
    <w:rsid w:val="002C0A14"/>
    <w:rsid w:val="002D36C6"/>
    <w:rsid w:val="002F1A23"/>
    <w:rsid w:val="00300077"/>
    <w:rsid w:val="00342348"/>
    <w:rsid w:val="003B6BFE"/>
    <w:rsid w:val="003B6D01"/>
    <w:rsid w:val="0040445D"/>
    <w:rsid w:val="004E3078"/>
    <w:rsid w:val="004F4BC7"/>
    <w:rsid w:val="004F61B2"/>
    <w:rsid w:val="00511B13"/>
    <w:rsid w:val="00523189"/>
    <w:rsid w:val="005441EB"/>
    <w:rsid w:val="005643B4"/>
    <w:rsid w:val="00587506"/>
    <w:rsid w:val="005D038B"/>
    <w:rsid w:val="00630D43"/>
    <w:rsid w:val="006452B1"/>
    <w:rsid w:val="00670320"/>
    <w:rsid w:val="00691FA2"/>
    <w:rsid w:val="006B4B18"/>
    <w:rsid w:val="006D43C7"/>
    <w:rsid w:val="006D6C00"/>
    <w:rsid w:val="006D7279"/>
    <w:rsid w:val="006E1D3B"/>
    <w:rsid w:val="00732688"/>
    <w:rsid w:val="00733C89"/>
    <w:rsid w:val="007446FC"/>
    <w:rsid w:val="00771D79"/>
    <w:rsid w:val="00772C27"/>
    <w:rsid w:val="007868F0"/>
    <w:rsid w:val="00793843"/>
    <w:rsid w:val="0079788A"/>
    <w:rsid w:val="007B68AB"/>
    <w:rsid w:val="007C175F"/>
    <w:rsid w:val="007E3DA9"/>
    <w:rsid w:val="0082321B"/>
    <w:rsid w:val="008267C2"/>
    <w:rsid w:val="0087774E"/>
    <w:rsid w:val="008A7B93"/>
    <w:rsid w:val="008B4352"/>
    <w:rsid w:val="008B77B4"/>
    <w:rsid w:val="008D33FB"/>
    <w:rsid w:val="008F24DE"/>
    <w:rsid w:val="0091147F"/>
    <w:rsid w:val="00912D17"/>
    <w:rsid w:val="0092752A"/>
    <w:rsid w:val="009276A3"/>
    <w:rsid w:val="0093290F"/>
    <w:rsid w:val="00985DD5"/>
    <w:rsid w:val="00987387"/>
    <w:rsid w:val="00997994"/>
    <w:rsid w:val="009A73A8"/>
    <w:rsid w:val="009F2FB0"/>
    <w:rsid w:val="00A5600C"/>
    <w:rsid w:val="00A82DAF"/>
    <w:rsid w:val="00A86735"/>
    <w:rsid w:val="00AD1EEF"/>
    <w:rsid w:val="00AD7824"/>
    <w:rsid w:val="00AE01D1"/>
    <w:rsid w:val="00AE3FE4"/>
    <w:rsid w:val="00AF2D67"/>
    <w:rsid w:val="00B02165"/>
    <w:rsid w:val="00B35049"/>
    <w:rsid w:val="00B5393D"/>
    <w:rsid w:val="00B56472"/>
    <w:rsid w:val="00B8329B"/>
    <w:rsid w:val="00B95D07"/>
    <w:rsid w:val="00BB7768"/>
    <w:rsid w:val="00BC0598"/>
    <w:rsid w:val="00BF5B24"/>
    <w:rsid w:val="00C6043F"/>
    <w:rsid w:val="00C62177"/>
    <w:rsid w:val="00C7006D"/>
    <w:rsid w:val="00C724D6"/>
    <w:rsid w:val="00D05F15"/>
    <w:rsid w:val="00D068C3"/>
    <w:rsid w:val="00D26D00"/>
    <w:rsid w:val="00D47BFD"/>
    <w:rsid w:val="00D64922"/>
    <w:rsid w:val="00DA3F08"/>
    <w:rsid w:val="00DC0F4F"/>
    <w:rsid w:val="00E7227D"/>
    <w:rsid w:val="00E80E04"/>
    <w:rsid w:val="00EB060E"/>
    <w:rsid w:val="00EB3928"/>
    <w:rsid w:val="00ED1276"/>
    <w:rsid w:val="00F02B73"/>
    <w:rsid w:val="00F2059F"/>
    <w:rsid w:val="00F709E3"/>
    <w:rsid w:val="00F8419B"/>
    <w:rsid w:val="00FC413F"/>
    <w:rsid w:val="00FD3DAB"/>
    <w:rsid w:val="00FE2C81"/>
    <w:rsid w:val="00FF6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C4F29B"/>
  <w15:chartTrackingRefBased/>
  <w15:docId w15:val="{DC4468A3-D944-423E-857D-0C7A161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24"/>
    <w:pPr>
      <w:spacing w:line="240" w:lineRule="auto"/>
    </w:pPr>
    <w:rPr>
      <w:rFonts w:ascii="Segoe UI" w:hAnsi="Segoe UI"/>
      <w:sz w:val="21"/>
    </w:rPr>
  </w:style>
  <w:style w:type="paragraph" w:styleId="Heading1">
    <w:name w:val="heading 1"/>
    <w:basedOn w:val="Normal"/>
    <w:next w:val="Normal"/>
    <w:link w:val="Heading1Char"/>
    <w:uiPriority w:val="9"/>
    <w:qFormat/>
    <w:rsid w:val="00B5393D"/>
    <w:pPr>
      <w:keepNext/>
      <w:keepLines/>
      <w:shd w:val="clear" w:color="auto" w:fill="002D72"/>
      <w:spacing w:before="16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6D7279"/>
    <w:pPr>
      <w:keepNext/>
      <w:spacing w:before="120" w:after="120"/>
      <w:outlineLvl w:val="1"/>
    </w:pPr>
    <w:rPr>
      <w:rFonts w:ascii="Segoe UI Semibold" w:eastAsia="MingLiU" w:hAnsi="Segoe UI Semibold" w:cs="Segoe UI Semibold"/>
      <w:color w:val="0066AB"/>
      <w:sz w:val="36"/>
      <w:szCs w:val="26"/>
    </w:rPr>
  </w:style>
  <w:style w:type="paragraph" w:styleId="Heading3">
    <w:name w:val="heading 3"/>
    <w:basedOn w:val="Normal"/>
    <w:next w:val="Normal"/>
    <w:link w:val="Heading3Char"/>
    <w:uiPriority w:val="9"/>
    <w:unhideWhenUsed/>
    <w:qFormat/>
    <w:rsid w:val="006D7279"/>
    <w:pPr>
      <w:keepNext/>
      <w:spacing w:before="120" w:after="120"/>
      <w:outlineLvl w:val="2"/>
    </w:pPr>
    <w:rPr>
      <w:rFonts w:ascii="Segoe UI Semibold" w:eastAsia="MingLiU" w:hAnsi="Segoe UI Semibold" w:cs="Segoe UI Semibold"/>
      <w:color w:val="0066AB"/>
      <w:sz w:val="30"/>
      <w:szCs w:val="30"/>
    </w:rPr>
  </w:style>
  <w:style w:type="paragraph" w:styleId="Heading4">
    <w:name w:val="heading 4"/>
    <w:basedOn w:val="Normal"/>
    <w:next w:val="Normal"/>
    <w:link w:val="Heading4Char"/>
    <w:uiPriority w:val="9"/>
    <w:unhideWhenUsed/>
    <w:qFormat/>
    <w:rsid w:val="006D7279"/>
    <w:pPr>
      <w:keepNext/>
      <w:spacing w:before="120" w:after="120"/>
      <w:outlineLvl w:val="3"/>
    </w:pPr>
    <w:rPr>
      <w:rFonts w:ascii="Segoe UI Semibold" w:eastAsia="MingLiU" w:hAnsi="Segoe UI Semibold" w:cs="Segoe UI Semibold"/>
      <w:color w:val="0066AB"/>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5393D"/>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6D7279"/>
    <w:rPr>
      <w:rFonts w:ascii="Segoe UI Semibold" w:eastAsia="MingLiU" w:hAnsi="Segoe UI Semibold" w:cs="Segoe UI Semibold"/>
      <w:color w:val="0066AB"/>
      <w:sz w:val="36"/>
      <w:szCs w:val="26"/>
    </w:rPr>
  </w:style>
  <w:style w:type="character" w:customStyle="1" w:styleId="Heading3Char">
    <w:name w:val="Heading 3 Char"/>
    <w:basedOn w:val="DefaultParagraphFont"/>
    <w:link w:val="Heading3"/>
    <w:uiPriority w:val="9"/>
    <w:rsid w:val="006D7279"/>
    <w:rPr>
      <w:rFonts w:ascii="Segoe UI Semibold" w:eastAsia="MingLiU" w:hAnsi="Segoe UI Semibold" w:cs="Segoe UI Semibold"/>
      <w:color w:val="0066AB"/>
      <w:sz w:val="30"/>
      <w:szCs w:val="30"/>
    </w:rPr>
  </w:style>
  <w:style w:type="character" w:customStyle="1" w:styleId="Heading4Char">
    <w:name w:val="Heading 4 Char"/>
    <w:basedOn w:val="DefaultParagraphFont"/>
    <w:link w:val="Heading4"/>
    <w:uiPriority w:val="9"/>
    <w:rsid w:val="006D7279"/>
    <w:rPr>
      <w:rFonts w:ascii="Segoe UI Semibold" w:eastAsia="MingLiU" w:hAnsi="Segoe UI Semibold" w:cs="Segoe UI Semibold"/>
      <w:color w:val="0066AB"/>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6472"/>
    <w:pPr>
      <w:numPr>
        <w:numId w:val="2"/>
      </w:numPr>
      <w:ind w:left="567" w:hanging="567"/>
      <w:contextualSpacing w:val="0"/>
    </w:pPr>
    <w:rPr>
      <w:lang w:eastAsia="zh-TW"/>
    </w:rPr>
  </w:style>
  <w:style w:type="paragraph" w:styleId="ListParagraph">
    <w:name w:val="List Paragraph"/>
    <w:aliases w:val="List Paragraph1,Recommendation,bullet point list"/>
    <w:basedOn w:val="Normal"/>
    <w:link w:val="ListParagraphChar"/>
    <w:uiPriority w:val="34"/>
    <w:qFormat/>
    <w:rsid w:val="00B5393D"/>
    <w:pPr>
      <w:numPr>
        <w:numId w:val="3"/>
      </w:numPr>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styleId="EndnoteText">
    <w:name w:val="endnote text"/>
    <w:basedOn w:val="Normal"/>
    <w:link w:val="EndnoteTextChar"/>
    <w:uiPriority w:val="99"/>
    <w:semiHidden/>
    <w:unhideWhenUsed/>
    <w:rsid w:val="00BF5B24"/>
    <w:pPr>
      <w:spacing w:after="0"/>
    </w:pPr>
    <w:rPr>
      <w:rFonts w:eastAsiaTheme="minorEastAsia"/>
      <w:sz w:val="20"/>
      <w:szCs w:val="20"/>
      <w:lang w:eastAsia="zh-TW"/>
    </w:rPr>
  </w:style>
  <w:style w:type="character" w:customStyle="1" w:styleId="EndnoteTextChar">
    <w:name w:val="Endnote Text Char"/>
    <w:basedOn w:val="DefaultParagraphFont"/>
    <w:link w:val="EndnoteText"/>
    <w:uiPriority w:val="99"/>
    <w:semiHidden/>
    <w:rsid w:val="00BF5B24"/>
    <w:rPr>
      <w:rFonts w:ascii="Segoe UI" w:eastAsiaTheme="minorEastAsia" w:hAnsi="Segoe UI"/>
      <w:sz w:val="20"/>
      <w:szCs w:val="20"/>
      <w:lang w:eastAsia="zh-TW"/>
    </w:rPr>
  </w:style>
  <w:style w:type="character" w:styleId="EndnoteReference">
    <w:name w:val="endnote reference"/>
    <w:basedOn w:val="DefaultParagraphFont"/>
    <w:uiPriority w:val="99"/>
    <w:semiHidden/>
    <w:unhideWhenUsed/>
    <w:rsid w:val="006D7279"/>
    <w:rPr>
      <w:vertAlign w:val="superscript"/>
    </w:rPr>
  </w:style>
  <w:style w:type="paragraph" w:customStyle="1" w:styleId="Abc-Text">
    <w:name w:val="Abc - Text"/>
    <w:basedOn w:val="Normal"/>
    <w:link w:val="Abc-TextChar"/>
    <w:unhideWhenUsed/>
    <w:qFormat/>
    <w:locked/>
    <w:rsid w:val="0040445D"/>
    <w:pPr>
      <w:spacing w:before="240" w:after="0"/>
    </w:pPr>
    <w:rPr>
      <w:rFonts w:ascii="Times New Roman" w:eastAsia="Calibri" w:hAnsi="Times New Roman" w:cs="Times New Roman"/>
      <w:color w:val="000000"/>
      <w:sz w:val="24"/>
      <w:szCs w:val="24"/>
      <w:lang w:eastAsia="en-AU"/>
    </w:rPr>
  </w:style>
  <w:style w:type="character" w:customStyle="1" w:styleId="Abc-TextChar">
    <w:name w:val="Abc - Text Char"/>
    <w:link w:val="Abc-Text"/>
    <w:rsid w:val="0040445D"/>
    <w:rPr>
      <w:rFonts w:ascii="Times New Roman" w:eastAsia="Calibri" w:hAnsi="Times New Roman" w:cs="Times New Roman"/>
      <w:color w:val="000000"/>
      <w:sz w:val="24"/>
      <w:szCs w:val="24"/>
      <w:lang w:eastAsia="en-AU"/>
    </w:rPr>
  </w:style>
  <w:style w:type="paragraph" w:customStyle="1" w:styleId="minsubtextbox">
    <w:name w:val="min sub text box"/>
    <w:basedOn w:val="Normal"/>
    <w:link w:val="minsubtextboxChar"/>
    <w:uiPriority w:val="3"/>
    <w:qFormat/>
    <w:locked/>
    <w:rsid w:val="0040445D"/>
    <w:pPr>
      <w:keepNext/>
      <w:spacing w:before="240" w:after="0"/>
    </w:pPr>
    <w:rPr>
      <w:rFonts w:ascii="Times New Roman" w:eastAsia="Calibri" w:hAnsi="Times New Roman" w:cs="Times New Roman"/>
      <w:color w:val="000000"/>
      <w:sz w:val="24"/>
      <w:szCs w:val="24"/>
      <w:lang w:eastAsia="en-AU"/>
    </w:rPr>
  </w:style>
  <w:style w:type="character" w:customStyle="1" w:styleId="minsubtextboxChar">
    <w:name w:val="min sub text box Char"/>
    <w:link w:val="minsubtextbox"/>
    <w:uiPriority w:val="3"/>
    <w:rsid w:val="0040445D"/>
    <w:rPr>
      <w:rFonts w:ascii="Times New Roman" w:eastAsia="Calibri" w:hAnsi="Times New Roman" w:cs="Times New Roman"/>
      <w:color w:val="000000"/>
      <w:sz w:val="24"/>
      <w:szCs w:val="24"/>
      <w:lang w:eastAsia="en-AU"/>
    </w:rPr>
  </w:style>
  <w:style w:type="character" w:customStyle="1" w:styleId="ListParagraphChar">
    <w:name w:val="List Paragraph Char"/>
    <w:aliases w:val="List Paragraph1 Char,Recommendation Char,bullet point list Char"/>
    <w:link w:val="ListParagraph"/>
    <w:uiPriority w:val="34"/>
    <w:rsid w:val="0040445D"/>
    <w:rPr>
      <w:rFonts w:ascii="Segoe UI" w:hAnsi="Segoe UI"/>
      <w:sz w:val="21"/>
    </w:rPr>
  </w:style>
  <w:style w:type="character" w:styleId="CommentReference">
    <w:name w:val="annotation reference"/>
    <w:basedOn w:val="DefaultParagraphFont"/>
    <w:uiPriority w:val="99"/>
    <w:semiHidden/>
    <w:unhideWhenUsed/>
    <w:rsid w:val="00B35049"/>
    <w:rPr>
      <w:sz w:val="16"/>
      <w:szCs w:val="16"/>
    </w:rPr>
  </w:style>
  <w:style w:type="paragraph" w:styleId="CommentText">
    <w:name w:val="annotation text"/>
    <w:basedOn w:val="Normal"/>
    <w:link w:val="CommentTextChar"/>
    <w:uiPriority w:val="99"/>
    <w:semiHidden/>
    <w:unhideWhenUsed/>
    <w:rsid w:val="00B35049"/>
    <w:rPr>
      <w:sz w:val="20"/>
      <w:szCs w:val="20"/>
    </w:rPr>
  </w:style>
  <w:style w:type="character" w:customStyle="1" w:styleId="CommentTextChar">
    <w:name w:val="Comment Text Char"/>
    <w:basedOn w:val="DefaultParagraphFont"/>
    <w:link w:val="CommentText"/>
    <w:uiPriority w:val="99"/>
    <w:semiHidden/>
    <w:rsid w:val="00B35049"/>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35049"/>
    <w:rPr>
      <w:b/>
      <w:bCs/>
    </w:rPr>
  </w:style>
  <w:style w:type="character" w:customStyle="1" w:styleId="CommentSubjectChar">
    <w:name w:val="Comment Subject Char"/>
    <w:basedOn w:val="CommentTextChar"/>
    <w:link w:val="CommentSubject"/>
    <w:uiPriority w:val="99"/>
    <w:semiHidden/>
    <w:rsid w:val="00B35049"/>
    <w:rPr>
      <w:rFonts w:ascii="Segoe UI" w:hAnsi="Segoe UI"/>
      <w:b/>
      <w:bCs/>
      <w:sz w:val="20"/>
      <w:szCs w:val="20"/>
    </w:rPr>
  </w:style>
  <w:style w:type="paragraph" w:styleId="BalloonText">
    <w:name w:val="Balloon Text"/>
    <w:basedOn w:val="Normal"/>
    <w:link w:val="BalloonTextChar"/>
    <w:uiPriority w:val="99"/>
    <w:semiHidden/>
    <w:unhideWhenUsed/>
    <w:rsid w:val="00B35049"/>
    <w:pPr>
      <w:spacing w:after="0"/>
    </w:pPr>
    <w:rPr>
      <w:rFonts w:cs="Segoe UI"/>
      <w:sz w:val="18"/>
      <w:szCs w:val="18"/>
    </w:rPr>
  </w:style>
  <w:style w:type="character" w:customStyle="1" w:styleId="BalloonTextChar">
    <w:name w:val="Balloon Text Char"/>
    <w:basedOn w:val="DefaultParagraphFont"/>
    <w:link w:val="BalloonText"/>
    <w:uiPriority w:val="99"/>
    <w:semiHidden/>
    <w:rsid w:val="00B35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websitedbs/D3310114.nsf/home/ABS+Chief+Economist+-+Full+Paper+of+Measuring+Digital+Activities+in+the+Australian+Economy" TargetMode="External"/><Relationship Id="rId2" Type="http://schemas.openxmlformats.org/officeDocument/2006/relationships/hyperlink" Target="http://www.abs.gov.au/websitedbs/D3310114.nsf/home/ABS+Chief+Economist+-+Full+Paper+of+Measuring+Digital+Activities+in+the+Australian+Economy" TargetMode="External"/><Relationship Id="rId1" Type="http://schemas.openxmlformats.org/officeDocument/2006/relationships/hyperlink" Target="https://www.bea.gov/research/papers/2018/defining-and-measuring-digital-ec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bcar--report--accessible--20march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5a05b88e2a1aaddd07c5f7438a54f7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221-CD30-48FB-B1EF-9C4D0D3B10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98A6C46-91C0-493E-9331-814DF0D5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05F972-F2F9-4718-9377-9330CE36E302}">
  <ds:schemaRefs>
    <ds:schemaRef ds:uri="http://schemas.microsoft.com/sharepoint/v3/contenttype/forms"/>
  </ds:schemaRefs>
</ds:datastoreItem>
</file>

<file path=customXml/itemProps4.xml><?xml version="1.0" encoding="utf-8"?>
<ds:datastoreItem xmlns:ds="http://schemas.openxmlformats.org/officeDocument/2006/customXml" ds:itemID="{43FF718D-5AD7-4B2A-AB36-60CF6EF1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bcar--report--accessible--20march2020.dotx</Template>
  <TotalTime>15</TotalTime>
  <Pages>5</Pages>
  <Words>846</Words>
  <Characters>4870</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Measuring the digitalisation of Australia’s economy 2012–13 to 2016–17</vt:lpstr>
    </vt:vector>
  </TitlesOfParts>
  <Company>Department of Infrastructure, Transport, Regional Development and Communications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digitalisation of Australia’s economy 2012–13 to 2016–17—Fact sheet</dc:title>
  <dc:subject/>
  <dc:creator>Department of Infrastructure, Transport, Regional Development and Communications</dc:creator>
  <cp:keywords/>
  <dc:description>20 March 2020</dc:description>
  <cp:lastModifiedBy>Hall, Theresa</cp:lastModifiedBy>
  <cp:revision>9</cp:revision>
  <dcterms:created xsi:type="dcterms:W3CDTF">2020-09-15T02:26:00Z</dcterms:created>
  <dcterms:modified xsi:type="dcterms:W3CDTF">2020-09-16T07:59:00Z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0x0101009F4445DB9DB87B45AE63FDC2E3BA3BB1</vt:lpwstr>
  </property>
  <property fmtid="{D5CDD505-2E9C-101B-9397-08002B2CF9AE}" pid="3" name="TrimRevisionNumber">
    <vt:i4>17</vt:i4>
  </property>
</Properties>
</file>