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98D202" w14:textId="77777777" w:rsidR="003768DA" w:rsidRDefault="003768DA" w:rsidP="00822DBF">
      <w:pPr>
        <w:spacing w:after="0"/>
        <w:ind w:left="-1418"/>
      </w:pPr>
      <w:r>
        <w:rPr>
          <w:noProof/>
          <w:lang w:eastAsia="en-AU"/>
        </w:rPr>
        <w:drawing>
          <wp:inline distT="0" distB="0" distL="0" distR="0" wp14:anchorId="07FB01A5" wp14:editId="437ACADE">
            <wp:extent cx="7549233" cy="1263650"/>
            <wp:effectExtent l="0" t="0" r="0" b="0"/>
            <wp:docPr id="6" name="Picture 6" descr="Logo: Australian Government, Department of Infrastructure, Transport, Regional Development and Communications.&#10;&#10;&#10;&#10;www.infrastructure.gov.au&#10;www.communications.gov.au &#10;www.ar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TRDC Word Header_Crest_A4 portrai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2128" cy="1265808"/>
                    </a:xfrm>
                    <a:prstGeom prst="rect">
                      <a:avLst/>
                    </a:prstGeom>
                  </pic:spPr>
                </pic:pic>
              </a:graphicData>
            </a:graphic>
          </wp:inline>
        </w:drawing>
      </w:r>
    </w:p>
    <w:p w14:paraId="5F7F5958" w14:textId="77777777" w:rsidR="009B7F16" w:rsidRDefault="009B7F16" w:rsidP="009B7F16">
      <w:pPr>
        <w:pStyle w:val="Header"/>
        <w:tabs>
          <w:tab w:val="clear" w:pos="4678"/>
        </w:tabs>
        <w:jc w:val="center"/>
      </w:pPr>
      <w:r>
        <w:tab/>
      </w:r>
    </w:p>
    <w:p w14:paraId="50D06E1F" w14:textId="77777777" w:rsidR="003768DA" w:rsidRDefault="003768DA" w:rsidP="00822DBF">
      <w:pPr>
        <w:spacing w:after="0"/>
        <w:ind w:left="-1418"/>
        <w:sectPr w:rsidR="003768DA" w:rsidSect="003D71C5">
          <w:footerReference w:type="default" r:id="rId12"/>
          <w:pgSz w:w="11906" w:h="16838"/>
          <w:pgMar w:top="0" w:right="991" w:bottom="1440" w:left="1440" w:header="0" w:footer="397" w:gutter="0"/>
          <w:cols w:space="708"/>
          <w:docGrid w:linePitch="360"/>
        </w:sectPr>
      </w:pPr>
    </w:p>
    <w:p w14:paraId="671D7BB1" w14:textId="50AA24AF" w:rsidR="00772C27" w:rsidRPr="002A5AB5" w:rsidRDefault="00FA1442" w:rsidP="009B7F16">
      <w:pPr>
        <w:pStyle w:val="Heading1"/>
        <w:spacing w:before="960"/>
        <w:jc w:val="center"/>
      </w:pPr>
      <w:r>
        <w:t>Improved Connectivity in the W</w:t>
      </w:r>
      <w:r w:rsidR="006B0939">
        <w:t>A Grainbelt Commonw</w:t>
      </w:r>
      <w:r w:rsidR="00204A64" w:rsidRPr="002A5AB5">
        <w:t>e</w:t>
      </w:r>
      <w:r w:rsidR="006B0939">
        <w:t>alth Feasibility Study</w:t>
      </w:r>
    </w:p>
    <w:p w14:paraId="711F2CBC" w14:textId="1F01BB50" w:rsidR="00772C27" w:rsidRPr="005204FB" w:rsidRDefault="002336A5" w:rsidP="00772C27">
      <w:pPr>
        <w:shd w:val="clear" w:color="auto" w:fill="002D72"/>
        <w:spacing w:after="120"/>
        <w:rPr>
          <w:rFonts w:ascii="Segoe UI Semibold" w:hAnsi="Segoe UI Semibold" w:cs="Segoe UI Semibold"/>
          <w:color w:val="FFFFFF" w:themeColor="background1"/>
        </w:rPr>
      </w:pPr>
      <w:r>
        <w:rPr>
          <w:rFonts w:ascii="Segoe UI Semibold" w:hAnsi="Segoe UI Semibold" w:cs="Segoe UI Semibold"/>
          <w:color w:val="FFFFFF" w:themeColor="background1"/>
        </w:rPr>
        <w:t xml:space="preserve">December </w:t>
      </w:r>
      <w:r w:rsidR="00FA1442">
        <w:rPr>
          <w:rFonts w:ascii="Segoe UI Semibold" w:hAnsi="Segoe UI Semibold" w:cs="Segoe UI Semibold"/>
          <w:color w:val="FFFFFF" w:themeColor="background1"/>
        </w:rPr>
        <w:t>2020</w:t>
      </w:r>
    </w:p>
    <w:p w14:paraId="110B4745" w14:textId="0849EAF7" w:rsidR="002A5AB5" w:rsidRDefault="00D22C51">
      <w:pPr>
        <w:spacing w:line="259" w:lineRule="auto"/>
      </w:pPr>
      <w:r>
        <w:rPr>
          <w:noProof/>
          <w:lang w:eastAsia="en-AU"/>
        </w:rPr>
        <w:drawing>
          <wp:inline distT="0" distB="0" distL="0" distR="0" wp14:anchorId="16C7ADF8" wp14:editId="2532E00F">
            <wp:extent cx="6043295" cy="4854633"/>
            <wp:effectExtent l="0" t="0" r="0" b="3175"/>
            <wp:docPr id="1" name="Picture 1" descr="An image of southwest Western Australia, with the WA Grainbelt region highlighted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7362" cy="4890032"/>
                    </a:xfrm>
                    <a:prstGeom prst="rect">
                      <a:avLst/>
                    </a:prstGeom>
                  </pic:spPr>
                </pic:pic>
              </a:graphicData>
            </a:graphic>
          </wp:inline>
        </w:drawing>
      </w:r>
    </w:p>
    <w:p w14:paraId="553A1832" w14:textId="1F44B7AE" w:rsidR="00A82DAF" w:rsidRDefault="00A82DAF" w:rsidP="00BF1937">
      <w:pPr>
        <w:spacing w:line="259" w:lineRule="auto"/>
      </w:pPr>
      <w:r>
        <w:br w:type="page"/>
      </w:r>
    </w:p>
    <w:p w14:paraId="6CB785F4" w14:textId="77777777" w:rsidR="00E82E61" w:rsidRPr="006903D3" w:rsidRDefault="00E82E61" w:rsidP="00E82E61">
      <w:pPr>
        <w:pStyle w:val="Heading2notshowing"/>
      </w:pPr>
      <w:r w:rsidRPr="006903D3">
        <w:lastRenderedPageBreak/>
        <w:t>Contents</w:t>
      </w:r>
    </w:p>
    <w:p w14:paraId="5F3E460C" w14:textId="665A4CDA" w:rsidR="00247E7A" w:rsidRDefault="00E82E61">
      <w:pPr>
        <w:pStyle w:val="TOC1"/>
        <w:rPr>
          <w:rFonts w:asciiTheme="minorHAnsi" w:eastAsiaTheme="minorEastAsia" w:hAnsiTheme="minorHAnsi"/>
          <w:b w:val="0"/>
          <w:noProof/>
          <w:color w:val="auto"/>
          <w:sz w:val="22"/>
          <w:lang w:eastAsia="en-AU"/>
        </w:rPr>
      </w:pPr>
      <w:r>
        <w:rPr>
          <w:rFonts w:ascii="Calibri" w:eastAsia="PMingLiU" w:hAnsi="Calibri" w:cs="Mangal"/>
          <w:color w:val="0F293A"/>
          <w:sz w:val="24"/>
        </w:rPr>
        <w:fldChar w:fldCharType="begin"/>
      </w:r>
      <w:r>
        <w:rPr>
          <w:rFonts w:ascii="Calibri" w:eastAsia="PMingLiU" w:hAnsi="Calibri" w:cs="Mangal"/>
          <w:color w:val="0F293A"/>
          <w:sz w:val="24"/>
        </w:rPr>
        <w:instrText xml:space="preserve"> TOC \h \z \t "Heading 2,1,Heading 3,2,Heading 4,3" </w:instrText>
      </w:r>
      <w:r>
        <w:rPr>
          <w:rFonts w:ascii="Calibri" w:eastAsia="PMingLiU" w:hAnsi="Calibri" w:cs="Mangal"/>
          <w:color w:val="0F293A"/>
          <w:sz w:val="24"/>
        </w:rPr>
        <w:fldChar w:fldCharType="separate"/>
      </w:r>
      <w:hyperlink w:anchor="_Toc58857999" w:history="1">
        <w:r w:rsidR="00247E7A" w:rsidRPr="0035663B">
          <w:rPr>
            <w:rStyle w:val="Hyperlink"/>
            <w:noProof/>
          </w:rPr>
          <w:t>Executive summary</w:t>
        </w:r>
        <w:r w:rsidR="00247E7A">
          <w:rPr>
            <w:noProof/>
            <w:webHidden/>
          </w:rPr>
          <w:tab/>
        </w:r>
        <w:r w:rsidR="00247E7A">
          <w:rPr>
            <w:noProof/>
            <w:webHidden/>
          </w:rPr>
          <w:fldChar w:fldCharType="begin"/>
        </w:r>
        <w:r w:rsidR="00247E7A">
          <w:rPr>
            <w:noProof/>
            <w:webHidden/>
          </w:rPr>
          <w:instrText xml:space="preserve"> PAGEREF _Toc58857999 \h </w:instrText>
        </w:r>
        <w:r w:rsidR="00247E7A">
          <w:rPr>
            <w:noProof/>
            <w:webHidden/>
          </w:rPr>
        </w:r>
        <w:r w:rsidR="00247E7A">
          <w:rPr>
            <w:noProof/>
            <w:webHidden/>
          </w:rPr>
          <w:fldChar w:fldCharType="separate"/>
        </w:r>
        <w:r w:rsidR="00247E7A">
          <w:rPr>
            <w:noProof/>
            <w:webHidden/>
          </w:rPr>
          <w:t>3</w:t>
        </w:r>
        <w:r w:rsidR="00247E7A">
          <w:rPr>
            <w:noProof/>
            <w:webHidden/>
          </w:rPr>
          <w:fldChar w:fldCharType="end"/>
        </w:r>
      </w:hyperlink>
    </w:p>
    <w:p w14:paraId="73121099" w14:textId="4FF68AD9" w:rsidR="00247E7A" w:rsidRDefault="00247E7A">
      <w:pPr>
        <w:pStyle w:val="TOC1"/>
        <w:rPr>
          <w:rFonts w:asciiTheme="minorHAnsi" w:eastAsiaTheme="minorEastAsia" w:hAnsiTheme="minorHAnsi"/>
          <w:b w:val="0"/>
          <w:noProof/>
          <w:color w:val="auto"/>
          <w:sz w:val="22"/>
          <w:lang w:eastAsia="en-AU"/>
        </w:rPr>
      </w:pPr>
      <w:hyperlink w:anchor="_Toc58858000" w:history="1">
        <w:r w:rsidRPr="0035663B">
          <w:rPr>
            <w:rStyle w:val="Hyperlink"/>
            <w:noProof/>
          </w:rPr>
          <w:t>Background</w:t>
        </w:r>
        <w:r>
          <w:rPr>
            <w:noProof/>
            <w:webHidden/>
          </w:rPr>
          <w:tab/>
        </w:r>
        <w:r>
          <w:rPr>
            <w:noProof/>
            <w:webHidden/>
          </w:rPr>
          <w:fldChar w:fldCharType="begin"/>
        </w:r>
        <w:r>
          <w:rPr>
            <w:noProof/>
            <w:webHidden/>
          </w:rPr>
          <w:instrText xml:space="preserve"> PAGEREF _Toc58858000 \h </w:instrText>
        </w:r>
        <w:r>
          <w:rPr>
            <w:noProof/>
            <w:webHidden/>
          </w:rPr>
        </w:r>
        <w:r>
          <w:rPr>
            <w:noProof/>
            <w:webHidden/>
          </w:rPr>
          <w:fldChar w:fldCharType="separate"/>
        </w:r>
        <w:r>
          <w:rPr>
            <w:noProof/>
            <w:webHidden/>
          </w:rPr>
          <w:t>4</w:t>
        </w:r>
        <w:r>
          <w:rPr>
            <w:noProof/>
            <w:webHidden/>
          </w:rPr>
          <w:fldChar w:fldCharType="end"/>
        </w:r>
      </w:hyperlink>
    </w:p>
    <w:p w14:paraId="1713C069" w14:textId="2E60B149" w:rsidR="00247E7A" w:rsidRDefault="00247E7A">
      <w:pPr>
        <w:pStyle w:val="TOC1"/>
        <w:rPr>
          <w:rFonts w:asciiTheme="minorHAnsi" w:eastAsiaTheme="minorEastAsia" w:hAnsiTheme="minorHAnsi"/>
          <w:b w:val="0"/>
          <w:noProof/>
          <w:color w:val="auto"/>
          <w:sz w:val="22"/>
          <w:lang w:eastAsia="en-AU"/>
        </w:rPr>
      </w:pPr>
      <w:hyperlink w:anchor="_Toc58858001" w:history="1">
        <w:r w:rsidRPr="0035663B">
          <w:rPr>
            <w:rStyle w:val="Hyperlink"/>
            <w:noProof/>
          </w:rPr>
          <w:t>Existing Coverage in the WA Grainbelt</w:t>
        </w:r>
        <w:r>
          <w:rPr>
            <w:noProof/>
            <w:webHidden/>
          </w:rPr>
          <w:tab/>
        </w:r>
        <w:r>
          <w:rPr>
            <w:noProof/>
            <w:webHidden/>
          </w:rPr>
          <w:fldChar w:fldCharType="begin"/>
        </w:r>
        <w:r>
          <w:rPr>
            <w:noProof/>
            <w:webHidden/>
          </w:rPr>
          <w:instrText xml:space="preserve"> PAGEREF _Toc58858001 \h </w:instrText>
        </w:r>
        <w:r>
          <w:rPr>
            <w:noProof/>
            <w:webHidden/>
          </w:rPr>
        </w:r>
        <w:r>
          <w:rPr>
            <w:noProof/>
            <w:webHidden/>
          </w:rPr>
          <w:fldChar w:fldCharType="separate"/>
        </w:r>
        <w:r>
          <w:rPr>
            <w:noProof/>
            <w:webHidden/>
          </w:rPr>
          <w:t>5</w:t>
        </w:r>
        <w:r>
          <w:rPr>
            <w:noProof/>
            <w:webHidden/>
          </w:rPr>
          <w:fldChar w:fldCharType="end"/>
        </w:r>
      </w:hyperlink>
    </w:p>
    <w:p w14:paraId="6BC93550" w14:textId="1E182342" w:rsidR="00247E7A" w:rsidRDefault="00247E7A">
      <w:pPr>
        <w:pStyle w:val="TOC2"/>
        <w:rPr>
          <w:rFonts w:asciiTheme="minorHAnsi" w:eastAsiaTheme="minorEastAsia" w:hAnsiTheme="minorHAnsi"/>
          <w:noProof/>
          <w:sz w:val="22"/>
          <w:lang w:eastAsia="en-AU"/>
        </w:rPr>
      </w:pPr>
      <w:hyperlink w:anchor="_Toc58858002" w:history="1">
        <w:r w:rsidRPr="0035663B">
          <w:rPr>
            <w:rStyle w:val="Hyperlink"/>
            <w:noProof/>
          </w:rPr>
          <w:t>NBN footprint in the WA Grainbelt area</w:t>
        </w:r>
        <w:r>
          <w:rPr>
            <w:noProof/>
            <w:webHidden/>
          </w:rPr>
          <w:tab/>
        </w:r>
        <w:r>
          <w:rPr>
            <w:noProof/>
            <w:webHidden/>
          </w:rPr>
          <w:fldChar w:fldCharType="begin"/>
        </w:r>
        <w:r>
          <w:rPr>
            <w:noProof/>
            <w:webHidden/>
          </w:rPr>
          <w:instrText xml:space="preserve"> PAGEREF _Toc58858002 \h </w:instrText>
        </w:r>
        <w:r>
          <w:rPr>
            <w:noProof/>
            <w:webHidden/>
          </w:rPr>
        </w:r>
        <w:r>
          <w:rPr>
            <w:noProof/>
            <w:webHidden/>
          </w:rPr>
          <w:fldChar w:fldCharType="separate"/>
        </w:r>
        <w:r>
          <w:rPr>
            <w:noProof/>
            <w:webHidden/>
          </w:rPr>
          <w:t>5</w:t>
        </w:r>
        <w:r>
          <w:rPr>
            <w:noProof/>
            <w:webHidden/>
          </w:rPr>
          <w:fldChar w:fldCharType="end"/>
        </w:r>
      </w:hyperlink>
    </w:p>
    <w:p w14:paraId="210F2E9B" w14:textId="30E1EF9E" w:rsidR="00247E7A" w:rsidRDefault="00247E7A">
      <w:pPr>
        <w:pStyle w:val="TOC3"/>
        <w:rPr>
          <w:rFonts w:asciiTheme="minorHAnsi" w:eastAsiaTheme="minorEastAsia" w:hAnsiTheme="minorHAnsi"/>
          <w:noProof/>
          <w:sz w:val="22"/>
          <w:lang w:eastAsia="en-AU"/>
        </w:rPr>
      </w:pPr>
      <w:hyperlink w:anchor="_Toc58858003" w:history="1">
        <w:r w:rsidRPr="0035663B">
          <w:rPr>
            <w:rStyle w:val="Hyperlink"/>
            <w:noProof/>
          </w:rPr>
          <w:t>NBN Fixed Line Coverage in the WA Grainbelt</w:t>
        </w:r>
        <w:r>
          <w:rPr>
            <w:noProof/>
            <w:webHidden/>
          </w:rPr>
          <w:tab/>
        </w:r>
        <w:r>
          <w:rPr>
            <w:noProof/>
            <w:webHidden/>
          </w:rPr>
          <w:fldChar w:fldCharType="begin"/>
        </w:r>
        <w:r>
          <w:rPr>
            <w:noProof/>
            <w:webHidden/>
          </w:rPr>
          <w:instrText xml:space="preserve"> PAGEREF _Toc58858003 \h </w:instrText>
        </w:r>
        <w:r>
          <w:rPr>
            <w:noProof/>
            <w:webHidden/>
          </w:rPr>
        </w:r>
        <w:r>
          <w:rPr>
            <w:noProof/>
            <w:webHidden/>
          </w:rPr>
          <w:fldChar w:fldCharType="separate"/>
        </w:r>
        <w:r>
          <w:rPr>
            <w:noProof/>
            <w:webHidden/>
          </w:rPr>
          <w:t>6</w:t>
        </w:r>
        <w:r>
          <w:rPr>
            <w:noProof/>
            <w:webHidden/>
          </w:rPr>
          <w:fldChar w:fldCharType="end"/>
        </w:r>
      </w:hyperlink>
    </w:p>
    <w:p w14:paraId="5E7BC38D" w14:textId="50DC1753" w:rsidR="00247E7A" w:rsidRDefault="00247E7A">
      <w:pPr>
        <w:pStyle w:val="TOC3"/>
        <w:rPr>
          <w:rFonts w:asciiTheme="minorHAnsi" w:eastAsiaTheme="minorEastAsia" w:hAnsiTheme="minorHAnsi"/>
          <w:noProof/>
          <w:sz w:val="22"/>
          <w:lang w:eastAsia="en-AU"/>
        </w:rPr>
      </w:pPr>
      <w:hyperlink w:anchor="_Toc58858004" w:history="1">
        <w:r w:rsidRPr="0035663B">
          <w:rPr>
            <w:rStyle w:val="Hyperlink"/>
            <w:noProof/>
          </w:rPr>
          <w:t>NBN Sky Muster Satellite Service in the WA Grainbelt</w:t>
        </w:r>
        <w:r>
          <w:rPr>
            <w:noProof/>
            <w:webHidden/>
          </w:rPr>
          <w:tab/>
        </w:r>
        <w:r>
          <w:rPr>
            <w:noProof/>
            <w:webHidden/>
          </w:rPr>
          <w:fldChar w:fldCharType="begin"/>
        </w:r>
        <w:r>
          <w:rPr>
            <w:noProof/>
            <w:webHidden/>
          </w:rPr>
          <w:instrText xml:space="preserve"> PAGEREF _Toc58858004 \h </w:instrText>
        </w:r>
        <w:r>
          <w:rPr>
            <w:noProof/>
            <w:webHidden/>
          </w:rPr>
        </w:r>
        <w:r>
          <w:rPr>
            <w:noProof/>
            <w:webHidden/>
          </w:rPr>
          <w:fldChar w:fldCharType="separate"/>
        </w:r>
        <w:r>
          <w:rPr>
            <w:noProof/>
            <w:webHidden/>
          </w:rPr>
          <w:t>7</w:t>
        </w:r>
        <w:r>
          <w:rPr>
            <w:noProof/>
            <w:webHidden/>
          </w:rPr>
          <w:fldChar w:fldCharType="end"/>
        </w:r>
      </w:hyperlink>
    </w:p>
    <w:p w14:paraId="4D09F0DB" w14:textId="78B328D6" w:rsidR="00247E7A" w:rsidRDefault="00247E7A">
      <w:pPr>
        <w:pStyle w:val="TOC3"/>
        <w:rPr>
          <w:rFonts w:asciiTheme="minorHAnsi" w:eastAsiaTheme="minorEastAsia" w:hAnsiTheme="minorHAnsi"/>
          <w:noProof/>
          <w:sz w:val="22"/>
          <w:lang w:eastAsia="en-AU"/>
        </w:rPr>
      </w:pPr>
      <w:hyperlink w:anchor="_Toc58858005" w:history="1">
        <w:r w:rsidRPr="0035663B">
          <w:rPr>
            <w:rStyle w:val="Hyperlink"/>
            <w:noProof/>
          </w:rPr>
          <w:t>NBN Fixed Wireless Coverage in the WA Grainbelt</w:t>
        </w:r>
        <w:r>
          <w:rPr>
            <w:noProof/>
            <w:webHidden/>
          </w:rPr>
          <w:tab/>
        </w:r>
        <w:r>
          <w:rPr>
            <w:noProof/>
            <w:webHidden/>
          </w:rPr>
          <w:fldChar w:fldCharType="begin"/>
        </w:r>
        <w:r>
          <w:rPr>
            <w:noProof/>
            <w:webHidden/>
          </w:rPr>
          <w:instrText xml:space="preserve"> PAGEREF _Toc58858005 \h </w:instrText>
        </w:r>
        <w:r>
          <w:rPr>
            <w:noProof/>
            <w:webHidden/>
          </w:rPr>
        </w:r>
        <w:r>
          <w:rPr>
            <w:noProof/>
            <w:webHidden/>
          </w:rPr>
          <w:fldChar w:fldCharType="separate"/>
        </w:r>
        <w:r>
          <w:rPr>
            <w:noProof/>
            <w:webHidden/>
          </w:rPr>
          <w:t>7</w:t>
        </w:r>
        <w:r>
          <w:rPr>
            <w:noProof/>
            <w:webHidden/>
          </w:rPr>
          <w:fldChar w:fldCharType="end"/>
        </w:r>
      </w:hyperlink>
    </w:p>
    <w:p w14:paraId="1169EC56" w14:textId="592131A6" w:rsidR="00247E7A" w:rsidRDefault="00247E7A">
      <w:pPr>
        <w:pStyle w:val="TOC2"/>
        <w:rPr>
          <w:rFonts w:asciiTheme="minorHAnsi" w:eastAsiaTheme="minorEastAsia" w:hAnsiTheme="minorHAnsi"/>
          <w:noProof/>
          <w:sz w:val="22"/>
          <w:lang w:eastAsia="en-AU"/>
        </w:rPr>
      </w:pPr>
      <w:hyperlink w:anchor="_Toc58858006" w:history="1">
        <w:r w:rsidRPr="0035663B">
          <w:rPr>
            <w:rStyle w:val="Hyperlink"/>
            <w:noProof/>
          </w:rPr>
          <w:t>Mobile coverage in the WA Grainbelt area</w:t>
        </w:r>
        <w:r>
          <w:rPr>
            <w:noProof/>
            <w:webHidden/>
          </w:rPr>
          <w:tab/>
        </w:r>
        <w:r>
          <w:rPr>
            <w:noProof/>
            <w:webHidden/>
          </w:rPr>
          <w:fldChar w:fldCharType="begin"/>
        </w:r>
        <w:r>
          <w:rPr>
            <w:noProof/>
            <w:webHidden/>
          </w:rPr>
          <w:instrText xml:space="preserve"> PAGEREF _Toc58858006 \h </w:instrText>
        </w:r>
        <w:r>
          <w:rPr>
            <w:noProof/>
            <w:webHidden/>
          </w:rPr>
        </w:r>
        <w:r>
          <w:rPr>
            <w:noProof/>
            <w:webHidden/>
          </w:rPr>
          <w:fldChar w:fldCharType="separate"/>
        </w:r>
        <w:r>
          <w:rPr>
            <w:noProof/>
            <w:webHidden/>
          </w:rPr>
          <w:t>8</w:t>
        </w:r>
        <w:r>
          <w:rPr>
            <w:noProof/>
            <w:webHidden/>
          </w:rPr>
          <w:fldChar w:fldCharType="end"/>
        </w:r>
      </w:hyperlink>
    </w:p>
    <w:p w14:paraId="279C4C80" w14:textId="7A9FB482" w:rsidR="00247E7A" w:rsidRDefault="00247E7A">
      <w:pPr>
        <w:pStyle w:val="TOC3"/>
        <w:rPr>
          <w:rFonts w:asciiTheme="minorHAnsi" w:eastAsiaTheme="minorEastAsia" w:hAnsiTheme="minorHAnsi"/>
          <w:noProof/>
          <w:sz w:val="22"/>
          <w:lang w:eastAsia="en-AU"/>
        </w:rPr>
      </w:pPr>
      <w:hyperlink w:anchor="_Toc58858007" w:history="1">
        <w:r w:rsidRPr="0035663B">
          <w:rPr>
            <w:rStyle w:val="Hyperlink"/>
            <w:noProof/>
          </w:rPr>
          <w:t>Summary</w:t>
        </w:r>
        <w:r>
          <w:rPr>
            <w:noProof/>
            <w:webHidden/>
          </w:rPr>
          <w:tab/>
        </w:r>
        <w:r>
          <w:rPr>
            <w:noProof/>
            <w:webHidden/>
          </w:rPr>
          <w:fldChar w:fldCharType="begin"/>
        </w:r>
        <w:r>
          <w:rPr>
            <w:noProof/>
            <w:webHidden/>
          </w:rPr>
          <w:instrText xml:space="preserve"> PAGEREF _Toc58858007 \h </w:instrText>
        </w:r>
        <w:r>
          <w:rPr>
            <w:noProof/>
            <w:webHidden/>
          </w:rPr>
        </w:r>
        <w:r>
          <w:rPr>
            <w:noProof/>
            <w:webHidden/>
          </w:rPr>
          <w:fldChar w:fldCharType="separate"/>
        </w:r>
        <w:r>
          <w:rPr>
            <w:noProof/>
            <w:webHidden/>
          </w:rPr>
          <w:t>12</w:t>
        </w:r>
        <w:r>
          <w:rPr>
            <w:noProof/>
            <w:webHidden/>
          </w:rPr>
          <w:fldChar w:fldCharType="end"/>
        </w:r>
      </w:hyperlink>
    </w:p>
    <w:p w14:paraId="322F9940" w14:textId="5C513871" w:rsidR="00247E7A" w:rsidRDefault="00247E7A">
      <w:pPr>
        <w:pStyle w:val="TOC1"/>
        <w:rPr>
          <w:rFonts w:asciiTheme="minorHAnsi" w:eastAsiaTheme="minorEastAsia" w:hAnsiTheme="minorHAnsi"/>
          <w:b w:val="0"/>
          <w:noProof/>
          <w:color w:val="auto"/>
          <w:sz w:val="22"/>
          <w:lang w:eastAsia="en-AU"/>
        </w:rPr>
      </w:pPr>
      <w:hyperlink w:anchor="_Toc58858008" w:history="1">
        <w:r w:rsidRPr="0035663B">
          <w:rPr>
            <w:rStyle w:val="Hyperlink"/>
            <w:noProof/>
          </w:rPr>
          <w:t>Connectivity needs for Agricultural Businesses in the WA Grainbelt</w:t>
        </w:r>
        <w:r>
          <w:rPr>
            <w:noProof/>
            <w:webHidden/>
          </w:rPr>
          <w:tab/>
        </w:r>
        <w:r>
          <w:rPr>
            <w:noProof/>
            <w:webHidden/>
          </w:rPr>
          <w:fldChar w:fldCharType="begin"/>
        </w:r>
        <w:r>
          <w:rPr>
            <w:noProof/>
            <w:webHidden/>
          </w:rPr>
          <w:instrText xml:space="preserve"> PAGEREF _Toc58858008 \h </w:instrText>
        </w:r>
        <w:r>
          <w:rPr>
            <w:noProof/>
            <w:webHidden/>
          </w:rPr>
        </w:r>
        <w:r>
          <w:rPr>
            <w:noProof/>
            <w:webHidden/>
          </w:rPr>
          <w:fldChar w:fldCharType="separate"/>
        </w:r>
        <w:r>
          <w:rPr>
            <w:noProof/>
            <w:webHidden/>
          </w:rPr>
          <w:t>12</w:t>
        </w:r>
        <w:r>
          <w:rPr>
            <w:noProof/>
            <w:webHidden/>
          </w:rPr>
          <w:fldChar w:fldCharType="end"/>
        </w:r>
      </w:hyperlink>
    </w:p>
    <w:p w14:paraId="6717026A" w14:textId="2275841E" w:rsidR="00247E7A" w:rsidRDefault="00247E7A">
      <w:pPr>
        <w:pStyle w:val="TOC2"/>
        <w:rPr>
          <w:rFonts w:asciiTheme="minorHAnsi" w:eastAsiaTheme="minorEastAsia" w:hAnsiTheme="minorHAnsi"/>
          <w:noProof/>
          <w:sz w:val="22"/>
          <w:lang w:eastAsia="en-AU"/>
        </w:rPr>
      </w:pPr>
      <w:hyperlink w:anchor="_Toc58858009" w:history="1">
        <w:r w:rsidRPr="0035663B">
          <w:rPr>
            <w:rStyle w:val="Hyperlink"/>
            <w:noProof/>
          </w:rPr>
          <w:t>Digital farms: the use of IoT technology in farming</w:t>
        </w:r>
        <w:r>
          <w:rPr>
            <w:noProof/>
            <w:webHidden/>
          </w:rPr>
          <w:tab/>
        </w:r>
        <w:r>
          <w:rPr>
            <w:noProof/>
            <w:webHidden/>
          </w:rPr>
          <w:fldChar w:fldCharType="begin"/>
        </w:r>
        <w:r>
          <w:rPr>
            <w:noProof/>
            <w:webHidden/>
          </w:rPr>
          <w:instrText xml:space="preserve"> PAGEREF _Toc58858009 \h </w:instrText>
        </w:r>
        <w:r>
          <w:rPr>
            <w:noProof/>
            <w:webHidden/>
          </w:rPr>
        </w:r>
        <w:r>
          <w:rPr>
            <w:noProof/>
            <w:webHidden/>
          </w:rPr>
          <w:fldChar w:fldCharType="separate"/>
        </w:r>
        <w:r>
          <w:rPr>
            <w:noProof/>
            <w:webHidden/>
          </w:rPr>
          <w:t>12</w:t>
        </w:r>
        <w:r>
          <w:rPr>
            <w:noProof/>
            <w:webHidden/>
          </w:rPr>
          <w:fldChar w:fldCharType="end"/>
        </w:r>
      </w:hyperlink>
    </w:p>
    <w:p w14:paraId="78C4985C" w14:textId="745BB4FC" w:rsidR="00247E7A" w:rsidRDefault="00247E7A">
      <w:pPr>
        <w:pStyle w:val="TOC3"/>
        <w:rPr>
          <w:rFonts w:asciiTheme="minorHAnsi" w:eastAsiaTheme="minorEastAsia" w:hAnsiTheme="minorHAnsi"/>
          <w:noProof/>
          <w:sz w:val="22"/>
          <w:lang w:eastAsia="en-AU"/>
        </w:rPr>
      </w:pPr>
      <w:hyperlink w:anchor="_Toc58858010" w:history="1">
        <w:r w:rsidRPr="0035663B">
          <w:rPr>
            <w:rStyle w:val="Hyperlink"/>
            <w:noProof/>
          </w:rPr>
          <w:t>Telstra IoT coverage in the WA Grainbelt</w:t>
        </w:r>
        <w:r>
          <w:rPr>
            <w:noProof/>
            <w:webHidden/>
          </w:rPr>
          <w:tab/>
        </w:r>
        <w:r>
          <w:rPr>
            <w:noProof/>
            <w:webHidden/>
          </w:rPr>
          <w:fldChar w:fldCharType="begin"/>
        </w:r>
        <w:r>
          <w:rPr>
            <w:noProof/>
            <w:webHidden/>
          </w:rPr>
          <w:instrText xml:space="preserve"> PAGEREF _Toc58858010 \h </w:instrText>
        </w:r>
        <w:r>
          <w:rPr>
            <w:noProof/>
            <w:webHidden/>
          </w:rPr>
        </w:r>
        <w:r>
          <w:rPr>
            <w:noProof/>
            <w:webHidden/>
          </w:rPr>
          <w:fldChar w:fldCharType="separate"/>
        </w:r>
        <w:r>
          <w:rPr>
            <w:noProof/>
            <w:webHidden/>
          </w:rPr>
          <w:t>13</w:t>
        </w:r>
        <w:r>
          <w:rPr>
            <w:noProof/>
            <w:webHidden/>
          </w:rPr>
          <w:fldChar w:fldCharType="end"/>
        </w:r>
      </w:hyperlink>
    </w:p>
    <w:p w14:paraId="29160B4B" w14:textId="54ABC048" w:rsidR="00247E7A" w:rsidRDefault="00247E7A">
      <w:pPr>
        <w:pStyle w:val="TOC3"/>
        <w:rPr>
          <w:rFonts w:asciiTheme="minorHAnsi" w:eastAsiaTheme="minorEastAsia" w:hAnsiTheme="minorHAnsi"/>
          <w:noProof/>
          <w:sz w:val="22"/>
          <w:lang w:eastAsia="en-AU"/>
        </w:rPr>
      </w:pPr>
      <w:hyperlink w:anchor="_Toc58858011" w:history="1">
        <w:r w:rsidRPr="0035663B">
          <w:rPr>
            <w:rStyle w:val="Hyperlink"/>
            <w:noProof/>
          </w:rPr>
          <w:t>Summary of IoT requirements and coverage in the WA Grainbelt</w:t>
        </w:r>
        <w:r>
          <w:rPr>
            <w:noProof/>
            <w:webHidden/>
          </w:rPr>
          <w:tab/>
        </w:r>
        <w:r>
          <w:rPr>
            <w:noProof/>
            <w:webHidden/>
          </w:rPr>
          <w:fldChar w:fldCharType="begin"/>
        </w:r>
        <w:r>
          <w:rPr>
            <w:noProof/>
            <w:webHidden/>
          </w:rPr>
          <w:instrText xml:space="preserve"> PAGEREF _Toc58858011 \h </w:instrText>
        </w:r>
        <w:r>
          <w:rPr>
            <w:noProof/>
            <w:webHidden/>
          </w:rPr>
        </w:r>
        <w:r>
          <w:rPr>
            <w:noProof/>
            <w:webHidden/>
          </w:rPr>
          <w:fldChar w:fldCharType="separate"/>
        </w:r>
        <w:r>
          <w:rPr>
            <w:noProof/>
            <w:webHidden/>
          </w:rPr>
          <w:t>16</w:t>
        </w:r>
        <w:r>
          <w:rPr>
            <w:noProof/>
            <w:webHidden/>
          </w:rPr>
          <w:fldChar w:fldCharType="end"/>
        </w:r>
      </w:hyperlink>
    </w:p>
    <w:p w14:paraId="4DBBF81D" w14:textId="1FDFDECD" w:rsidR="00247E7A" w:rsidRDefault="00247E7A">
      <w:pPr>
        <w:pStyle w:val="TOC2"/>
        <w:rPr>
          <w:rFonts w:asciiTheme="minorHAnsi" w:eastAsiaTheme="minorEastAsia" w:hAnsiTheme="minorHAnsi"/>
          <w:noProof/>
          <w:sz w:val="22"/>
          <w:lang w:eastAsia="en-AU"/>
        </w:rPr>
      </w:pPr>
      <w:hyperlink w:anchor="_Toc58858012" w:history="1">
        <w:r w:rsidRPr="0035663B">
          <w:rPr>
            <w:rStyle w:val="Hyperlink"/>
            <w:noProof/>
          </w:rPr>
          <w:t>Australian Government Mobile Black Spot Program</w:t>
        </w:r>
        <w:r>
          <w:rPr>
            <w:noProof/>
            <w:webHidden/>
          </w:rPr>
          <w:tab/>
        </w:r>
        <w:r>
          <w:rPr>
            <w:noProof/>
            <w:webHidden/>
          </w:rPr>
          <w:fldChar w:fldCharType="begin"/>
        </w:r>
        <w:r>
          <w:rPr>
            <w:noProof/>
            <w:webHidden/>
          </w:rPr>
          <w:instrText xml:space="preserve"> PAGEREF _Toc58858012 \h </w:instrText>
        </w:r>
        <w:r>
          <w:rPr>
            <w:noProof/>
            <w:webHidden/>
          </w:rPr>
        </w:r>
        <w:r>
          <w:rPr>
            <w:noProof/>
            <w:webHidden/>
          </w:rPr>
          <w:fldChar w:fldCharType="separate"/>
        </w:r>
        <w:r>
          <w:rPr>
            <w:noProof/>
            <w:webHidden/>
          </w:rPr>
          <w:t>17</w:t>
        </w:r>
        <w:r>
          <w:rPr>
            <w:noProof/>
            <w:webHidden/>
          </w:rPr>
          <w:fldChar w:fldCharType="end"/>
        </w:r>
      </w:hyperlink>
    </w:p>
    <w:p w14:paraId="3F2A4F65" w14:textId="7F39571B" w:rsidR="00247E7A" w:rsidRDefault="00247E7A">
      <w:pPr>
        <w:pStyle w:val="TOC2"/>
        <w:rPr>
          <w:rFonts w:asciiTheme="minorHAnsi" w:eastAsiaTheme="minorEastAsia" w:hAnsiTheme="minorHAnsi"/>
          <w:noProof/>
          <w:sz w:val="22"/>
          <w:lang w:eastAsia="en-AU"/>
        </w:rPr>
      </w:pPr>
      <w:hyperlink w:anchor="_Toc58858013" w:history="1">
        <w:r w:rsidRPr="0035663B">
          <w:rPr>
            <w:rStyle w:val="Hyperlink"/>
            <w:noProof/>
          </w:rPr>
          <w:t>Australian Government Regional Connectivity Program</w:t>
        </w:r>
        <w:r>
          <w:rPr>
            <w:noProof/>
            <w:webHidden/>
          </w:rPr>
          <w:tab/>
        </w:r>
        <w:r>
          <w:rPr>
            <w:noProof/>
            <w:webHidden/>
          </w:rPr>
          <w:fldChar w:fldCharType="begin"/>
        </w:r>
        <w:r>
          <w:rPr>
            <w:noProof/>
            <w:webHidden/>
          </w:rPr>
          <w:instrText xml:space="preserve"> PAGEREF _Toc58858013 \h </w:instrText>
        </w:r>
        <w:r>
          <w:rPr>
            <w:noProof/>
            <w:webHidden/>
          </w:rPr>
        </w:r>
        <w:r>
          <w:rPr>
            <w:noProof/>
            <w:webHidden/>
          </w:rPr>
          <w:fldChar w:fldCharType="separate"/>
        </w:r>
        <w:r>
          <w:rPr>
            <w:noProof/>
            <w:webHidden/>
          </w:rPr>
          <w:t>18</w:t>
        </w:r>
        <w:r>
          <w:rPr>
            <w:noProof/>
            <w:webHidden/>
          </w:rPr>
          <w:fldChar w:fldCharType="end"/>
        </w:r>
      </w:hyperlink>
    </w:p>
    <w:p w14:paraId="5534ADE2" w14:textId="0DFD149B" w:rsidR="00247E7A" w:rsidRDefault="00247E7A">
      <w:pPr>
        <w:pStyle w:val="TOC2"/>
        <w:rPr>
          <w:rFonts w:asciiTheme="minorHAnsi" w:eastAsiaTheme="minorEastAsia" w:hAnsiTheme="minorHAnsi"/>
          <w:noProof/>
          <w:sz w:val="22"/>
          <w:lang w:eastAsia="en-AU"/>
        </w:rPr>
      </w:pPr>
      <w:hyperlink w:anchor="_Toc58858014" w:history="1">
        <w:r w:rsidRPr="0035663B">
          <w:rPr>
            <w:rStyle w:val="Hyperlink"/>
            <w:noProof/>
          </w:rPr>
          <w:t>Western Australia Government Digital Farm Grants Program</w:t>
        </w:r>
        <w:r>
          <w:rPr>
            <w:noProof/>
            <w:webHidden/>
          </w:rPr>
          <w:tab/>
        </w:r>
        <w:r>
          <w:rPr>
            <w:noProof/>
            <w:webHidden/>
          </w:rPr>
          <w:fldChar w:fldCharType="begin"/>
        </w:r>
        <w:r>
          <w:rPr>
            <w:noProof/>
            <w:webHidden/>
          </w:rPr>
          <w:instrText xml:space="preserve"> PAGEREF _Toc58858014 \h </w:instrText>
        </w:r>
        <w:r>
          <w:rPr>
            <w:noProof/>
            <w:webHidden/>
          </w:rPr>
        </w:r>
        <w:r>
          <w:rPr>
            <w:noProof/>
            <w:webHidden/>
          </w:rPr>
          <w:fldChar w:fldCharType="separate"/>
        </w:r>
        <w:r>
          <w:rPr>
            <w:noProof/>
            <w:webHidden/>
          </w:rPr>
          <w:t>19</w:t>
        </w:r>
        <w:r>
          <w:rPr>
            <w:noProof/>
            <w:webHidden/>
          </w:rPr>
          <w:fldChar w:fldCharType="end"/>
        </w:r>
      </w:hyperlink>
    </w:p>
    <w:p w14:paraId="60FF88EC" w14:textId="3D776DD6" w:rsidR="00247E7A" w:rsidRDefault="00247E7A">
      <w:pPr>
        <w:pStyle w:val="TOC3"/>
        <w:rPr>
          <w:rFonts w:asciiTheme="minorHAnsi" w:eastAsiaTheme="minorEastAsia" w:hAnsiTheme="minorHAnsi"/>
          <w:noProof/>
          <w:sz w:val="22"/>
          <w:lang w:eastAsia="en-AU"/>
        </w:rPr>
      </w:pPr>
      <w:hyperlink w:anchor="_Toc58858015" w:history="1">
        <w:r w:rsidRPr="0035663B">
          <w:rPr>
            <w:rStyle w:val="Hyperlink"/>
            <w:noProof/>
          </w:rPr>
          <w:t>Round 1 Outcomes</w:t>
        </w:r>
        <w:r>
          <w:rPr>
            <w:noProof/>
            <w:webHidden/>
          </w:rPr>
          <w:tab/>
        </w:r>
        <w:r>
          <w:rPr>
            <w:noProof/>
            <w:webHidden/>
          </w:rPr>
          <w:fldChar w:fldCharType="begin"/>
        </w:r>
        <w:r>
          <w:rPr>
            <w:noProof/>
            <w:webHidden/>
          </w:rPr>
          <w:instrText xml:space="preserve"> PAGEREF _Toc58858015 \h </w:instrText>
        </w:r>
        <w:r>
          <w:rPr>
            <w:noProof/>
            <w:webHidden/>
          </w:rPr>
        </w:r>
        <w:r>
          <w:rPr>
            <w:noProof/>
            <w:webHidden/>
          </w:rPr>
          <w:fldChar w:fldCharType="separate"/>
        </w:r>
        <w:r>
          <w:rPr>
            <w:noProof/>
            <w:webHidden/>
          </w:rPr>
          <w:t>19</w:t>
        </w:r>
        <w:r>
          <w:rPr>
            <w:noProof/>
            <w:webHidden/>
          </w:rPr>
          <w:fldChar w:fldCharType="end"/>
        </w:r>
      </w:hyperlink>
    </w:p>
    <w:p w14:paraId="4634AD0F" w14:textId="5364C7F6" w:rsidR="00247E7A" w:rsidRDefault="00247E7A">
      <w:pPr>
        <w:pStyle w:val="TOC3"/>
        <w:rPr>
          <w:rFonts w:asciiTheme="minorHAnsi" w:eastAsiaTheme="minorEastAsia" w:hAnsiTheme="minorHAnsi"/>
          <w:noProof/>
          <w:sz w:val="22"/>
          <w:lang w:eastAsia="en-AU"/>
        </w:rPr>
      </w:pPr>
      <w:hyperlink w:anchor="_Toc58858016" w:history="1">
        <w:r w:rsidRPr="0035663B">
          <w:rPr>
            <w:rStyle w:val="Hyperlink"/>
            <w:noProof/>
          </w:rPr>
          <w:t>Round 2 Outcomes</w:t>
        </w:r>
        <w:r>
          <w:rPr>
            <w:noProof/>
            <w:webHidden/>
          </w:rPr>
          <w:tab/>
        </w:r>
        <w:r>
          <w:rPr>
            <w:noProof/>
            <w:webHidden/>
          </w:rPr>
          <w:fldChar w:fldCharType="begin"/>
        </w:r>
        <w:r>
          <w:rPr>
            <w:noProof/>
            <w:webHidden/>
          </w:rPr>
          <w:instrText xml:space="preserve"> PAGEREF _Toc58858016 \h </w:instrText>
        </w:r>
        <w:r>
          <w:rPr>
            <w:noProof/>
            <w:webHidden/>
          </w:rPr>
        </w:r>
        <w:r>
          <w:rPr>
            <w:noProof/>
            <w:webHidden/>
          </w:rPr>
          <w:fldChar w:fldCharType="separate"/>
        </w:r>
        <w:r>
          <w:rPr>
            <w:noProof/>
            <w:webHidden/>
          </w:rPr>
          <w:t>20</w:t>
        </w:r>
        <w:r>
          <w:rPr>
            <w:noProof/>
            <w:webHidden/>
          </w:rPr>
          <w:fldChar w:fldCharType="end"/>
        </w:r>
      </w:hyperlink>
    </w:p>
    <w:p w14:paraId="6DE004CB" w14:textId="382C869F" w:rsidR="00247E7A" w:rsidRDefault="00247E7A">
      <w:pPr>
        <w:pStyle w:val="TOC3"/>
        <w:rPr>
          <w:rFonts w:asciiTheme="minorHAnsi" w:eastAsiaTheme="minorEastAsia" w:hAnsiTheme="minorHAnsi"/>
          <w:noProof/>
          <w:sz w:val="22"/>
          <w:lang w:eastAsia="en-AU"/>
        </w:rPr>
      </w:pPr>
      <w:hyperlink w:anchor="_Toc58858017" w:history="1">
        <w:r w:rsidRPr="0035663B">
          <w:rPr>
            <w:rStyle w:val="Hyperlink"/>
            <w:noProof/>
          </w:rPr>
          <w:t>Round 3</w:t>
        </w:r>
        <w:r>
          <w:rPr>
            <w:noProof/>
            <w:webHidden/>
          </w:rPr>
          <w:tab/>
        </w:r>
        <w:r>
          <w:rPr>
            <w:noProof/>
            <w:webHidden/>
          </w:rPr>
          <w:fldChar w:fldCharType="begin"/>
        </w:r>
        <w:r>
          <w:rPr>
            <w:noProof/>
            <w:webHidden/>
          </w:rPr>
          <w:instrText xml:space="preserve"> PAGEREF _Toc58858017 \h </w:instrText>
        </w:r>
        <w:r>
          <w:rPr>
            <w:noProof/>
            <w:webHidden/>
          </w:rPr>
        </w:r>
        <w:r>
          <w:rPr>
            <w:noProof/>
            <w:webHidden/>
          </w:rPr>
          <w:fldChar w:fldCharType="separate"/>
        </w:r>
        <w:r>
          <w:rPr>
            <w:noProof/>
            <w:webHidden/>
          </w:rPr>
          <w:t>20</w:t>
        </w:r>
        <w:r>
          <w:rPr>
            <w:noProof/>
            <w:webHidden/>
          </w:rPr>
          <w:fldChar w:fldCharType="end"/>
        </w:r>
      </w:hyperlink>
    </w:p>
    <w:p w14:paraId="4624D29C" w14:textId="7F176B38" w:rsidR="00247E7A" w:rsidRDefault="00247E7A">
      <w:pPr>
        <w:pStyle w:val="TOC1"/>
        <w:rPr>
          <w:rFonts w:asciiTheme="minorHAnsi" w:eastAsiaTheme="minorEastAsia" w:hAnsiTheme="minorHAnsi"/>
          <w:b w:val="0"/>
          <w:noProof/>
          <w:color w:val="auto"/>
          <w:sz w:val="22"/>
          <w:lang w:eastAsia="en-AU"/>
        </w:rPr>
      </w:pPr>
      <w:hyperlink w:anchor="_Toc58858018" w:history="1">
        <w:r w:rsidRPr="0035663B">
          <w:rPr>
            <w:rStyle w:val="Hyperlink"/>
            <w:noProof/>
          </w:rPr>
          <w:t>Digital Connectivity Approaches for the Grainbelt</w:t>
        </w:r>
        <w:r>
          <w:rPr>
            <w:noProof/>
            <w:webHidden/>
          </w:rPr>
          <w:tab/>
        </w:r>
        <w:r>
          <w:rPr>
            <w:noProof/>
            <w:webHidden/>
          </w:rPr>
          <w:fldChar w:fldCharType="begin"/>
        </w:r>
        <w:r>
          <w:rPr>
            <w:noProof/>
            <w:webHidden/>
          </w:rPr>
          <w:instrText xml:space="preserve"> PAGEREF _Toc58858018 \h </w:instrText>
        </w:r>
        <w:r>
          <w:rPr>
            <w:noProof/>
            <w:webHidden/>
          </w:rPr>
        </w:r>
        <w:r>
          <w:rPr>
            <w:noProof/>
            <w:webHidden/>
          </w:rPr>
          <w:fldChar w:fldCharType="separate"/>
        </w:r>
        <w:r>
          <w:rPr>
            <w:noProof/>
            <w:webHidden/>
          </w:rPr>
          <w:t>20</w:t>
        </w:r>
        <w:r>
          <w:rPr>
            <w:noProof/>
            <w:webHidden/>
          </w:rPr>
          <w:fldChar w:fldCharType="end"/>
        </w:r>
      </w:hyperlink>
    </w:p>
    <w:p w14:paraId="0DB0960C" w14:textId="3832E60A" w:rsidR="00247E7A" w:rsidRDefault="00247E7A">
      <w:pPr>
        <w:pStyle w:val="TOC1"/>
        <w:rPr>
          <w:rFonts w:asciiTheme="minorHAnsi" w:eastAsiaTheme="minorEastAsia" w:hAnsiTheme="minorHAnsi"/>
          <w:b w:val="0"/>
          <w:noProof/>
          <w:color w:val="auto"/>
          <w:sz w:val="22"/>
          <w:lang w:eastAsia="en-AU"/>
        </w:rPr>
      </w:pPr>
      <w:hyperlink w:anchor="_Toc58858019" w:history="1">
        <w:r w:rsidRPr="0035663B">
          <w:rPr>
            <w:rStyle w:val="Hyperlink"/>
            <w:noProof/>
          </w:rPr>
          <w:t>Future technologies</w:t>
        </w:r>
        <w:r>
          <w:rPr>
            <w:noProof/>
            <w:webHidden/>
          </w:rPr>
          <w:tab/>
        </w:r>
        <w:r>
          <w:rPr>
            <w:noProof/>
            <w:webHidden/>
          </w:rPr>
          <w:fldChar w:fldCharType="begin"/>
        </w:r>
        <w:r>
          <w:rPr>
            <w:noProof/>
            <w:webHidden/>
          </w:rPr>
          <w:instrText xml:space="preserve"> PAGEREF _Toc58858019 \h </w:instrText>
        </w:r>
        <w:r>
          <w:rPr>
            <w:noProof/>
            <w:webHidden/>
          </w:rPr>
        </w:r>
        <w:r>
          <w:rPr>
            <w:noProof/>
            <w:webHidden/>
          </w:rPr>
          <w:fldChar w:fldCharType="separate"/>
        </w:r>
        <w:r>
          <w:rPr>
            <w:noProof/>
            <w:webHidden/>
          </w:rPr>
          <w:t>21</w:t>
        </w:r>
        <w:r>
          <w:rPr>
            <w:noProof/>
            <w:webHidden/>
          </w:rPr>
          <w:fldChar w:fldCharType="end"/>
        </w:r>
      </w:hyperlink>
    </w:p>
    <w:p w14:paraId="4A790900" w14:textId="786DFA8F" w:rsidR="00247E7A" w:rsidRDefault="00247E7A">
      <w:pPr>
        <w:pStyle w:val="TOC1"/>
        <w:rPr>
          <w:rFonts w:asciiTheme="minorHAnsi" w:eastAsiaTheme="minorEastAsia" w:hAnsiTheme="minorHAnsi"/>
          <w:b w:val="0"/>
          <w:noProof/>
          <w:color w:val="auto"/>
          <w:sz w:val="22"/>
          <w:lang w:eastAsia="en-AU"/>
        </w:rPr>
      </w:pPr>
      <w:hyperlink w:anchor="_Toc58858020" w:history="1">
        <w:r w:rsidRPr="0035663B">
          <w:rPr>
            <w:rStyle w:val="Hyperlink"/>
            <w:noProof/>
          </w:rPr>
          <w:t>Conclusion</w:t>
        </w:r>
        <w:r>
          <w:rPr>
            <w:noProof/>
            <w:webHidden/>
          </w:rPr>
          <w:tab/>
        </w:r>
        <w:r>
          <w:rPr>
            <w:noProof/>
            <w:webHidden/>
          </w:rPr>
          <w:fldChar w:fldCharType="begin"/>
        </w:r>
        <w:r>
          <w:rPr>
            <w:noProof/>
            <w:webHidden/>
          </w:rPr>
          <w:instrText xml:space="preserve"> PAGEREF _Toc58858020 \h </w:instrText>
        </w:r>
        <w:r>
          <w:rPr>
            <w:noProof/>
            <w:webHidden/>
          </w:rPr>
        </w:r>
        <w:r>
          <w:rPr>
            <w:noProof/>
            <w:webHidden/>
          </w:rPr>
          <w:fldChar w:fldCharType="separate"/>
        </w:r>
        <w:r>
          <w:rPr>
            <w:noProof/>
            <w:webHidden/>
          </w:rPr>
          <w:t>22</w:t>
        </w:r>
        <w:r>
          <w:rPr>
            <w:noProof/>
            <w:webHidden/>
          </w:rPr>
          <w:fldChar w:fldCharType="end"/>
        </w:r>
      </w:hyperlink>
    </w:p>
    <w:p w14:paraId="205B1926" w14:textId="0D1E00E8" w:rsidR="00247E7A" w:rsidRDefault="00247E7A">
      <w:pPr>
        <w:pStyle w:val="TOC1"/>
        <w:rPr>
          <w:rFonts w:asciiTheme="minorHAnsi" w:eastAsiaTheme="minorEastAsia" w:hAnsiTheme="minorHAnsi"/>
          <w:b w:val="0"/>
          <w:noProof/>
          <w:color w:val="auto"/>
          <w:sz w:val="22"/>
          <w:lang w:eastAsia="en-AU"/>
        </w:rPr>
      </w:pPr>
      <w:hyperlink w:anchor="_Toc58858021" w:history="1">
        <w:r w:rsidRPr="0035663B">
          <w:rPr>
            <w:rStyle w:val="Hyperlink"/>
            <w:noProof/>
          </w:rPr>
          <w:t>Attachment A: WA Government DFGP Projects</w:t>
        </w:r>
        <w:r>
          <w:rPr>
            <w:noProof/>
            <w:webHidden/>
          </w:rPr>
          <w:tab/>
        </w:r>
        <w:r>
          <w:rPr>
            <w:noProof/>
            <w:webHidden/>
          </w:rPr>
          <w:fldChar w:fldCharType="begin"/>
        </w:r>
        <w:r>
          <w:rPr>
            <w:noProof/>
            <w:webHidden/>
          </w:rPr>
          <w:instrText xml:space="preserve"> PAGEREF _Toc58858021 \h </w:instrText>
        </w:r>
        <w:r>
          <w:rPr>
            <w:noProof/>
            <w:webHidden/>
          </w:rPr>
        </w:r>
        <w:r>
          <w:rPr>
            <w:noProof/>
            <w:webHidden/>
          </w:rPr>
          <w:fldChar w:fldCharType="separate"/>
        </w:r>
        <w:r>
          <w:rPr>
            <w:noProof/>
            <w:webHidden/>
          </w:rPr>
          <w:t>24</w:t>
        </w:r>
        <w:r>
          <w:rPr>
            <w:noProof/>
            <w:webHidden/>
          </w:rPr>
          <w:fldChar w:fldCharType="end"/>
        </w:r>
      </w:hyperlink>
    </w:p>
    <w:p w14:paraId="519748C7" w14:textId="1849B8AB" w:rsidR="00E82E61" w:rsidRDefault="00E82E61" w:rsidP="00E82E61">
      <w:r>
        <w:fldChar w:fldCharType="end"/>
      </w:r>
    </w:p>
    <w:p w14:paraId="33CFE537" w14:textId="77777777" w:rsidR="00E82E61" w:rsidRPr="005113AA" w:rsidRDefault="00E82E61" w:rsidP="00E82E61">
      <w:pPr>
        <w:pStyle w:val="Heading2notshowing"/>
      </w:pPr>
      <w:r w:rsidRPr="005113AA">
        <w:t>Tables / images</w:t>
      </w:r>
    </w:p>
    <w:bookmarkStart w:id="0" w:name="_GoBack"/>
    <w:bookmarkEnd w:id="0"/>
    <w:p w14:paraId="1C913B71" w14:textId="2B7BAA46" w:rsidR="00247E7A" w:rsidRDefault="00E82E61">
      <w:pPr>
        <w:pStyle w:val="TOC4"/>
        <w:rPr>
          <w:rFonts w:asciiTheme="minorHAnsi" w:eastAsiaTheme="minorEastAsia" w:hAnsiTheme="minorHAnsi"/>
          <w:noProof/>
          <w:sz w:val="22"/>
          <w:lang w:eastAsia="en-AU"/>
        </w:rPr>
      </w:pPr>
      <w:r w:rsidRPr="005113AA">
        <w:rPr>
          <w:rFonts w:ascii="Calibri" w:eastAsia="PMingLiU" w:hAnsi="Calibri" w:cs="Mangal"/>
        </w:rPr>
        <w:fldChar w:fldCharType="begin"/>
      </w:r>
      <w:r w:rsidRPr="005113AA">
        <w:rPr>
          <w:rFonts w:ascii="Calibri" w:eastAsia="PMingLiU" w:hAnsi="Calibri" w:cs="Mangal"/>
        </w:rPr>
        <w:instrText xml:space="preserve"> TOC \h \z \t "Table/figure heading,4,Table heading,4" </w:instrText>
      </w:r>
      <w:r w:rsidRPr="005113AA">
        <w:rPr>
          <w:rFonts w:ascii="Calibri" w:eastAsia="PMingLiU" w:hAnsi="Calibri" w:cs="Mangal"/>
        </w:rPr>
        <w:fldChar w:fldCharType="separate"/>
      </w:r>
      <w:hyperlink w:anchor="_Toc58858022" w:history="1">
        <w:r w:rsidR="00247E7A" w:rsidRPr="0039010C">
          <w:rPr>
            <w:rStyle w:val="Hyperlink"/>
            <w:noProof/>
          </w:rPr>
          <w:t>Figure 1: Map of the Grainbelt and railways</w:t>
        </w:r>
        <w:r w:rsidR="00247E7A">
          <w:rPr>
            <w:noProof/>
            <w:webHidden/>
          </w:rPr>
          <w:tab/>
        </w:r>
        <w:r w:rsidR="00247E7A">
          <w:rPr>
            <w:noProof/>
            <w:webHidden/>
          </w:rPr>
          <w:fldChar w:fldCharType="begin"/>
        </w:r>
        <w:r w:rsidR="00247E7A">
          <w:rPr>
            <w:noProof/>
            <w:webHidden/>
          </w:rPr>
          <w:instrText xml:space="preserve"> PAGEREF _Toc58858022 \h </w:instrText>
        </w:r>
        <w:r w:rsidR="00247E7A">
          <w:rPr>
            <w:noProof/>
            <w:webHidden/>
          </w:rPr>
        </w:r>
        <w:r w:rsidR="00247E7A">
          <w:rPr>
            <w:noProof/>
            <w:webHidden/>
          </w:rPr>
          <w:fldChar w:fldCharType="separate"/>
        </w:r>
        <w:r w:rsidR="00247E7A">
          <w:rPr>
            <w:noProof/>
            <w:webHidden/>
          </w:rPr>
          <w:t>4</w:t>
        </w:r>
        <w:r w:rsidR="00247E7A">
          <w:rPr>
            <w:noProof/>
            <w:webHidden/>
          </w:rPr>
          <w:fldChar w:fldCharType="end"/>
        </w:r>
      </w:hyperlink>
    </w:p>
    <w:p w14:paraId="0AA220E4" w14:textId="39F07578" w:rsidR="00247E7A" w:rsidRDefault="00247E7A">
      <w:pPr>
        <w:pStyle w:val="TOC4"/>
        <w:rPr>
          <w:rFonts w:asciiTheme="minorHAnsi" w:eastAsiaTheme="minorEastAsia" w:hAnsiTheme="minorHAnsi"/>
          <w:noProof/>
          <w:sz w:val="22"/>
          <w:lang w:eastAsia="en-AU"/>
        </w:rPr>
      </w:pPr>
      <w:hyperlink w:anchor="_Toc58858023" w:history="1">
        <w:r w:rsidRPr="0039010C">
          <w:rPr>
            <w:rStyle w:val="Hyperlink"/>
            <w:noProof/>
          </w:rPr>
          <w:t>Figure 2: Number of Premises serviced by the NBN</w:t>
        </w:r>
        <w:r>
          <w:rPr>
            <w:noProof/>
            <w:webHidden/>
          </w:rPr>
          <w:tab/>
        </w:r>
        <w:r>
          <w:rPr>
            <w:noProof/>
            <w:webHidden/>
          </w:rPr>
          <w:fldChar w:fldCharType="begin"/>
        </w:r>
        <w:r>
          <w:rPr>
            <w:noProof/>
            <w:webHidden/>
          </w:rPr>
          <w:instrText xml:space="preserve"> PAGEREF _Toc58858023 \h </w:instrText>
        </w:r>
        <w:r>
          <w:rPr>
            <w:noProof/>
            <w:webHidden/>
          </w:rPr>
        </w:r>
        <w:r>
          <w:rPr>
            <w:noProof/>
            <w:webHidden/>
          </w:rPr>
          <w:fldChar w:fldCharType="separate"/>
        </w:r>
        <w:r>
          <w:rPr>
            <w:noProof/>
            <w:webHidden/>
          </w:rPr>
          <w:t>6</w:t>
        </w:r>
        <w:r>
          <w:rPr>
            <w:noProof/>
            <w:webHidden/>
          </w:rPr>
          <w:fldChar w:fldCharType="end"/>
        </w:r>
      </w:hyperlink>
    </w:p>
    <w:p w14:paraId="08D47F35" w14:textId="23320935" w:rsidR="00247E7A" w:rsidRDefault="00247E7A">
      <w:pPr>
        <w:pStyle w:val="TOC4"/>
        <w:rPr>
          <w:rFonts w:asciiTheme="minorHAnsi" w:eastAsiaTheme="minorEastAsia" w:hAnsiTheme="minorHAnsi"/>
          <w:noProof/>
          <w:sz w:val="22"/>
          <w:lang w:eastAsia="en-AU"/>
        </w:rPr>
      </w:pPr>
      <w:hyperlink w:anchor="_Toc58858024" w:history="1">
        <w:r w:rsidRPr="0039010C">
          <w:rPr>
            <w:rStyle w:val="Hyperlink"/>
            <w:noProof/>
          </w:rPr>
          <w:t>Figure 3: Combined mobile coverage of the major network providers—handheld coverage (</w:t>
        </w:r>
        <w:r w:rsidRPr="0039010C">
          <w:rPr>
            <w:rStyle w:val="Hyperlink"/>
            <w:noProof/>
            <w:lang w:eastAsia="en-AU"/>
          </w:rPr>
          <w:t>maroon</w:t>
        </w:r>
        <w:r w:rsidRPr="0039010C">
          <w:rPr>
            <w:rStyle w:val="Hyperlink"/>
            <w:noProof/>
          </w:rPr>
          <w:t>), external antenna coverage (blue).</w:t>
        </w:r>
        <w:r>
          <w:rPr>
            <w:noProof/>
            <w:webHidden/>
          </w:rPr>
          <w:tab/>
        </w:r>
        <w:r>
          <w:rPr>
            <w:noProof/>
            <w:webHidden/>
          </w:rPr>
          <w:fldChar w:fldCharType="begin"/>
        </w:r>
        <w:r>
          <w:rPr>
            <w:noProof/>
            <w:webHidden/>
          </w:rPr>
          <w:instrText xml:space="preserve"> PAGEREF _Toc58858024 \h </w:instrText>
        </w:r>
        <w:r>
          <w:rPr>
            <w:noProof/>
            <w:webHidden/>
          </w:rPr>
        </w:r>
        <w:r>
          <w:rPr>
            <w:noProof/>
            <w:webHidden/>
          </w:rPr>
          <w:fldChar w:fldCharType="separate"/>
        </w:r>
        <w:r>
          <w:rPr>
            <w:noProof/>
            <w:webHidden/>
          </w:rPr>
          <w:t>9</w:t>
        </w:r>
        <w:r>
          <w:rPr>
            <w:noProof/>
            <w:webHidden/>
          </w:rPr>
          <w:fldChar w:fldCharType="end"/>
        </w:r>
      </w:hyperlink>
    </w:p>
    <w:p w14:paraId="5B20C674" w14:textId="1A8C873C" w:rsidR="00247E7A" w:rsidRDefault="00247E7A">
      <w:pPr>
        <w:pStyle w:val="TOC4"/>
        <w:rPr>
          <w:rFonts w:asciiTheme="minorHAnsi" w:eastAsiaTheme="minorEastAsia" w:hAnsiTheme="minorHAnsi"/>
          <w:noProof/>
          <w:sz w:val="22"/>
          <w:lang w:eastAsia="en-AU"/>
        </w:rPr>
      </w:pPr>
      <w:hyperlink w:anchor="_Toc58858025" w:history="1">
        <w:r w:rsidRPr="0039010C">
          <w:rPr>
            <w:rStyle w:val="Hyperlink"/>
            <w:noProof/>
          </w:rPr>
          <w:t>Figure 4: Mobile coverage in the Grainbelt</w:t>
        </w:r>
        <w:r>
          <w:rPr>
            <w:noProof/>
            <w:webHidden/>
          </w:rPr>
          <w:tab/>
        </w:r>
        <w:r>
          <w:rPr>
            <w:noProof/>
            <w:webHidden/>
          </w:rPr>
          <w:fldChar w:fldCharType="begin"/>
        </w:r>
        <w:r>
          <w:rPr>
            <w:noProof/>
            <w:webHidden/>
          </w:rPr>
          <w:instrText xml:space="preserve"> PAGEREF _Toc58858025 \h </w:instrText>
        </w:r>
        <w:r>
          <w:rPr>
            <w:noProof/>
            <w:webHidden/>
          </w:rPr>
        </w:r>
        <w:r>
          <w:rPr>
            <w:noProof/>
            <w:webHidden/>
          </w:rPr>
          <w:fldChar w:fldCharType="separate"/>
        </w:r>
        <w:r>
          <w:rPr>
            <w:noProof/>
            <w:webHidden/>
          </w:rPr>
          <w:t>10</w:t>
        </w:r>
        <w:r>
          <w:rPr>
            <w:noProof/>
            <w:webHidden/>
          </w:rPr>
          <w:fldChar w:fldCharType="end"/>
        </w:r>
      </w:hyperlink>
    </w:p>
    <w:p w14:paraId="136A44CF" w14:textId="2DFA0A02" w:rsidR="00247E7A" w:rsidRDefault="00247E7A">
      <w:pPr>
        <w:pStyle w:val="TOC4"/>
        <w:rPr>
          <w:rFonts w:asciiTheme="minorHAnsi" w:eastAsiaTheme="minorEastAsia" w:hAnsiTheme="minorHAnsi"/>
          <w:noProof/>
          <w:sz w:val="22"/>
          <w:lang w:eastAsia="en-AU"/>
        </w:rPr>
      </w:pPr>
      <w:hyperlink w:anchor="_Toc58858026" w:history="1">
        <w:r w:rsidRPr="0039010C">
          <w:rPr>
            <w:rStyle w:val="Hyperlink"/>
            <w:noProof/>
          </w:rPr>
          <w:t>Figure 5: Premises with mobile coverage in the Grainbelt</w:t>
        </w:r>
        <w:r>
          <w:rPr>
            <w:noProof/>
            <w:webHidden/>
          </w:rPr>
          <w:tab/>
        </w:r>
        <w:r>
          <w:rPr>
            <w:noProof/>
            <w:webHidden/>
          </w:rPr>
          <w:fldChar w:fldCharType="begin"/>
        </w:r>
        <w:r>
          <w:rPr>
            <w:noProof/>
            <w:webHidden/>
          </w:rPr>
          <w:instrText xml:space="preserve"> PAGEREF _Toc58858026 \h </w:instrText>
        </w:r>
        <w:r>
          <w:rPr>
            <w:noProof/>
            <w:webHidden/>
          </w:rPr>
        </w:r>
        <w:r>
          <w:rPr>
            <w:noProof/>
            <w:webHidden/>
          </w:rPr>
          <w:fldChar w:fldCharType="separate"/>
        </w:r>
        <w:r>
          <w:rPr>
            <w:noProof/>
            <w:webHidden/>
          </w:rPr>
          <w:t>10</w:t>
        </w:r>
        <w:r>
          <w:rPr>
            <w:noProof/>
            <w:webHidden/>
          </w:rPr>
          <w:fldChar w:fldCharType="end"/>
        </w:r>
      </w:hyperlink>
    </w:p>
    <w:p w14:paraId="6EDE658E" w14:textId="5C68BBD6" w:rsidR="00247E7A" w:rsidRDefault="00247E7A">
      <w:pPr>
        <w:pStyle w:val="TOC4"/>
        <w:rPr>
          <w:rFonts w:asciiTheme="minorHAnsi" w:eastAsiaTheme="minorEastAsia" w:hAnsiTheme="minorHAnsi"/>
          <w:noProof/>
          <w:sz w:val="22"/>
          <w:lang w:eastAsia="en-AU"/>
        </w:rPr>
      </w:pPr>
      <w:hyperlink w:anchor="_Toc58858027" w:history="1">
        <w:r w:rsidRPr="0039010C">
          <w:rPr>
            <w:rStyle w:val="Hyperlink"/>
            <w:noProof/>
          </w:rPr>
          <w:t>Figure 6: Coverage in the Grainbelt area and premises covered.</w:t>
        </w:r>
        <w:r>
          <w:rPr>
            <w:noProof/>
            <w:webHidden/>
          </w:rPr>
          <w:tab/>
        </w:r>
        <w:r>
          <w:rPr>
            <w:noProof/>
            <w:webHidden/>
          </w:rPr>
          <w:fldChar w:fldCharType="begin"/>
        </w:r>
        <w:r>
          <w:rPr>
            <w:noProof/>
            <w:webHidden/>
          </w:rPr>
          <w:instrText xml:space="preserve"> PAGEREF _Toc58858027 \h </w:instrText>
        </w:r>
        <w:r>
          <w:rPr>
            <w:noProof/>
            <w:webHidden/>
          </w:rPr>
        </w:r>
        <w:r>
          <w:rPr>
            <w:noProof/>
            <w:webHidden/>
          </w:rPr>
          <w:fldChar w:fldCharType="separate"/>
        </w:r>
        <w:r>
          <w:rPr>
            <w:noProof/>
            <w:webHidden/>
          </w:rPr>
          <w:t>11</w:t>
        </w:r>
        <w:r>
          <w:rPr>
            <w:noProof/>
            <w:webHidden/>
          </w:rPr>
          <w:fldChar w:fldCharType="end"/>
        </w:r>
      </w:hyperlink>
    </w:p>
    <w:p w14:paraId="64EAE6CE" w14:textId="26937CD5" w:rsidR="00247E7A" w:rsidRDefault="00247E7A">
      <w:pPr>
        <w:pStyle w:val="TOC4"/>
        <w:rPr>
          <w:rFonts w:asciiTheme="minorHAnsi" w:eastAsiaTheme="minorEastAsia" w:hAnsiTheme="minorHAnsi"/>
          <w:noProof/>
          <w:sz w:val="22"/>
          <w:lang w:eastAsia="en-AU"/>
        </w:rPr>
      </w:pPr>
      <w:hyperlink w:anchor="_Toc58858028" w:history="1">
        <w:r w:rsidRPr="0039010C">
          <w:rPr>
            <w:rStyle w:val="Hyperlink"/>
            <w:noProof/>
          </w:rPr>
          <w:t>Figure 7: Telstra’s CAT-M1 coverage footprint in WA (light blue indicates external antenna coverage) available at https://www.telstra.com.au/business-enterprise/solutions/internet-of-things/iot-coverage.</w:t>
        </w:r>
        <w:r>
          <w:rPr>
            <w:noProof/>
            <w:webHidden/>
          </w:rPr>
          <w:tab/>
        </w:r>
        <w:r>
          <w:rPr>
            <w:noProof/>
            <w:webHidden/>
          </w:rPr>
          <w:fldChar w:fldCharType="begin"/>
        </w:r>
        <w:r>
          <w:rPr>
            <w:noProof/>
            <w:webHidden/>
          </w:rPr>
          <w:instrText xml:space="preserve"> PAGEREF _Toc58858028 \h </w:instrText>
        </w:r>
        <w:r>
          <w:rPr>
            <w:noProof/>
            <w:webHidden/>
          </w:rPr>
        </w:r>
        <w:r>
          <w:rPr>
            <w:noProof/>
            <w:webHidden/>
          </w:rPr>
          <w:fldChar w:fldCharType="separate"/>
        </w:r>
        <w:r>
          <w:rPr>
            <w:noProof/>
            <w:webHidden/>
          </w:rPr>
          <w:t>14</w:t>
        </w:r>
        <w:r>
          <w:rPr>
            <w:noProof/>
            <w:webHidden/>
          </w:rPr>
          <w:fldChar w:fldCharType="end"/>
        </w:r>
      </w:hyperlink>
    </w:p>
    <w:p w14:paraId="22A54E2B" w14:textId="087FC33E" w:rsidR="00247E7A" w:rsidRDefault="00247E7A">
      <w:pPr>
        <w:pStyle w:val="TOC4"/>
        <w:rPr>
          <w:rFonts w:asciiTheme="minorHAnsi" w:eastAsiaTheme="minorEastAsia" w:hAnsiTheme="minorHAnsi"/>
          <w:noProof/>
          <w:sz w:val="22"/>
          <w:lang w:eastAsia="en-AU"/>
        </w:rPr>
      </w:pPr>
      <w:hyperlink w:anchor="_Toc58858029" w:history="1">
        <w:r w:rsidRPr="0039010C">
          <w:rPr>
            <w:rStyle w:val="Hyperlink"/>
            <w:noProof/>
          </w:rPr>
          <w:t>Figure 8: Telstra’s NB-IoT coverage footprint in WA (light green indicates external antenna coverage) available at https://www.telstra.com.au/business-enterprise/solutions/internet-of-things/iot-coverage.</w:t>
        </w:r>
        <w:r>
          <w:rPr>
            <w:noProof/>
            <w:webHidden/>
          </w:rPr>
          <w:tab/>
        </w:r>
        <w:r>
          <w:rPr>
            <w:noProof/>
            <w:webHidden/>
          </w:rPr>
          <w:fldChar w:fldCharType="begin"/>
        </w:r>
        <w:r>
          <w:rPr>
            <w:noProof/>
            <w:webHidden/>
          </w:rPr>
          <w:instrText xml:space="preserve"> PAGEREF _Toc58858029 \h </w:instrText>
        </w:r>
        <w:r>
          <w:rPr>
            <w:noProof/>
            <w:webHidden/>
          </w:rPr>
        </w:r>
        <w:r>
          <w:rPr>
            <w:noProof/>
            <w:webHidden/>
          </w:rPr>
          <w:fldChar w:fldCharType="separate"/>
        </w:r>
        <w:r>
          <w:rPr>
            <w:noProof/>
            <w:webHidden/>
          </w:rPr>
          <w:t>15</w:t>
        </w:r>
        <w:r>
          <w:rPr>
            <w:noProof/>
            <w:webHidden/>
          </w:rPr>
          <w:fldChar w:fldCharType="end"/>
        </w:r>
      </w:hyperlink>
    </w:p>
    <w:p w14:paraId="3AB49F96" w14:textId="697385B3" w:rsidR="00247E7A" w:rsidRDefault="00247E7A">
      <w:pPr>
        <w:pStyle w:val="TOC4"/>
        <w:rPr>
          <w:rFonts w:asciiTheme="minorHAnsi" w:eastAsiaTheme="minorEastAsia" w:hAnsiTheme="minorHAnsi"/>
          <w:noProof/>
          <w:sz w:val="22"/>
          <w:lang w:eastAsia="en-AU"/>
        </w:rPr>
      </w:pPr>
      <w:hyperlink w:anchor="_Toc58858030" w:history="1">
        <w:r w:rsidRPr="0039010C">
          <w:rPr>
            <w:rStyle w:val="Hyperlink"/>
            <w:noProof/>
          </w:rPr>
          <w:t>Figure 9: MBSP sites funded in the Grainbelt (Rounds 1 to 5)</w:t>
        </w:r>
        <w:r>
          <w:rPr>
            <w:noProof/>
            <w:webHidden/>
          </w:rPr>
          <w:tab/>
        </w:r>
        <w:r>
          <w:rPr>
            <w:noProof/>
            <w:webHidden/>
          </w:rPr>
          <w:fldChar w:fldCharType="begin"/>
        </w:r>
        <w:r>
          <w:rPr>
            <w:noProof/>
            <w:webHidden/>
          </w:rPr>
          <w:instrText xml:space="preserve"> PAGEREF _Toc58858030 \h </w:instrText>
        </w:r>
        <w:r>
          <w:rPr>
            <w:noProof/>
            <w:webHidden/>
          </w:rPr>
        </w:r>
        <w:r>
          <w:rPr>
            <w:noProof/>
            <w:webHidden/>
          </w:rPr>
          <w:fldChar w:fldCharType="separate"/>
        </w:r>
        <w:r>
          <w:rPr>
            <w:noProof/>
            <w:webHidden/>
          </w:rPr>
          <w:t>18</w:t>
        </w:r>
        <w:r>
          <w:rPr>
            <w:noProof/>
            <w:webHidden/>
          </w:rPr>
          <w:fldChar w:fldCharType="end"/>
        </w:r>
      </w:hyperlink>
    </w:p>
    <w:p w14:paraId="63AAF7C1" w14:textId="3FDD018C" w:rsidR="00E82E61" w:rsidRDefault="00E82E61" w:rsidP="00777427">
      <w:r w:rsidRPr="005113AA">
        <w:fldChar w:fldCharType="end"/>
      </w:r>
    </w:p>
    <w:p w14:paraId="7E900326" w14:textId="77777777" w:rsidR="00E82E61" w:rsidRDefault="00E82E61" w:rsidP="00777427">
      <w:pPr>
        <w:sectPr w:rsidR="00E82E61" w:rsidSect="002F1A23">
          <w:headerReference w:type="default" r:id="rId14"/>
          <w:type w:val="continuous"/>
          <w:pgSz w:w="11906" w:h="16838"/>
          <w:pgMar w:top="2268" w:right="991" w:bottom="1276" w:left="1440" w:header="0" w:footer="397" w:gutter="0"/>
          <w:cols w:space="708"/>
          <w:docGrid w:linePitch="360"/>
        </w:sectPr>
      </w:pPr>
    </w:p>
    <w:p w14:paraId="67B42B3B" w14:textId="1718E502" w:rsidR="00772C27" w:rsidRDefault="006B0939" w:rsidP="00D32BC5">
      <w:pPr>
        <w:pStyle w:val="Heading2"/>
      </w:pPr>
      <w:bookmarkStart w:id="1" w:name="_Toc44927821"/>
      <w:bookmarkStart w:id="2" w:name="_Toc44944351"/>
      <w:bookmarkStart w:id="3" w:name="_Toc45023409"/>
      <w:bookmarkStart w:id="4" w:name="_Toc45030222"/>
      <w:bookmarkStart w:id="5" w:name="_Toc45888543"/>
      <w:bookmarkStart w:id="6" w:name="_Toc48647854"/>
      <w:bookmarkStart w:id="7" w:name="_Toc48654609"/>
      <w:bookmarkStart w:id="8" w:name="_Toc57650776"/>
      <w:bookmarkStart w:id="9" w:name="_Toc57708822"/>
      <w:bookmarkStart w:id="10" w:name="_Toc58855673"/>
      <w:bookmarkStart w:id="11" w:name="_Toc58857999"/>
      <w:r>
        <w:lastRenderedPageBreak/>
        <w:t xml:space="preserve">Executive </w:t>
      </w:r>
      <w:r w:rsidR="00D32BC5">
        <w:t>s</w:t>
      </w:r>
      <w:r>
        <w:t>ummary</w:t>
      </w:r>
      <w:bookmarkEnd w:id="1"/>
      <w:bookmarkEnd w:id="2"/>
      <w:bookmarkEnd w:id="3"/>
      <w:bookmarkEnd w:id="4"/>
      <w:bookmarkEnd w:id="5"/>
      <w:bookmarkEnd w:id="6"/>
      <w:bookmarkEnd w:id="7"/>
      <w:bookmarkEnd w:id="8"/>
      <w:bookmarkEnd w:id="9"/>
      <w:bookmarkEnd w:id="10"/>
      <w:bookmarkEnd w:id="11"/>
    </w:p>
    <w:p w14:paraId="2ECC64E8" w14:textId="56C3D3D9" w:rsidR="00473F2F" w:rsidRDefault="00473F2F" w:rsidP="00473F2F">
      <w:r>
        <w:t xml:space="preserve">In the context of the </w:t>
      </w:r>
      <w:r w:rsidR="00D32BC5">
        <w:t>2019–20</w:t>
      </w:r>
      <w:r>
        <w:t xml:space="preserve"> Federal Budget, the Australian Government committed to undertake a feasibility study into improving digital connectivity in the Western Australian </w:t>
      </w:r>
      <w:r w:rsidR="00E032A2">
        <w:t xml:space="preserve">(WA) </w:t>
      </w:r>
      <w:r>
        <w:t>Grainbelt</w:t>
      </w:r>
      <w:r w:rsidR="00E032A2">
        <w:t xml:space="preserve"> (the Grainbelt)</w:t>
      </w:r>
      <w:r>
        <w:t xml:space="preserve">. The feasibility study was commissioned in response to concerns raised by WA businesses and farming groups that the existing telecommunications infrastructure in the </w:t>
      </w:r>
      <w:r w:rsidR="00E032A2">
        <w:t>Grainbelt</w:t>
      </w:r>
      <w:r>
        <w:t xml:space="preserve"> is not sufficient for enterprise grade services</w:t>
      </w:r>
      <w:r w:rsidR="00FA1442">
        <w:t xml:space="preserve">. </w:t>
      </w:r>
      <w:r w:rsidR="00AC5D63">
        <w:t xml:space="preserve">In particular there was concern that this </w:t>
      </w:r>
      <w:r w:rsidR="00FA1442">
        <w:t>is</w:t>
      </w:r>
      <w:r>
        <w:t xml:space="preserve"> holding back productivity </w:t>
      </w:r>
      <w:r w:rsidR="00FA1442">
        <w:t>as there is not</w:t>
      </w:r>
      <w:r>
        <w:t xml:space="preserve"> sufficient connectivity to support the adoption of digital farm technologies for agricultural and pastoral businesses in regional </w:t>
      </w:r>
      <w:r w:rsidR="00FA1442">
        <w:t>WA</w:t>
      </w:r>
      <w:r>
        <w:t>.</w:t>
      </w:r>
    </w:p>
    <w:p w14:paraId="5120C0BA" w14:textId="77777777" w:rsidR="002455EA" w:rsidRDefault="00DC569C" w:rsidP="00181D09">
      <w:r>
        <w:t>The Department</w:t>
      </w:r>
      <w:r w:rsidR="00181D09">
        <w:t xml:space="preserve"> of </w:t>
      </w:r>
      <w:r>
        <w:t>Infrastructure, Transport, Regional Development and Communications</w:t>
      </w:r>
      <w:r w:rsidR="00181D09">
        <w:t xml:space="preserve"> has developed </w:t>
      </w:r>
      <w:r>
        <w:t>a</w:t>
      </w:r>
      <w:r w:rsidR="00181D09">
        <w:t xml:space="preserve"> detailed </w:t>
      </w:r>
      <w:r>
        <w:t>feasibility s</w:t>
      </w:r>
      <w:r w:rsidR="00181D09">
        <w:t>tudy</w:t>
      </w:r>
      <w:r w:rsidR="002A4034">
        <w:t xml:space="preserve"> examining digital connectivity in the Grainbelt.</w:t>
      </w:r>
      <w:r w:rsidR="00181D09">
        <w:t xml:space="preserve"> </w:t>
      </w:r>
      <w:r w:rsidR="002A4034">
        <w:t>H</w:t>
      </w:r>
      <w:r w:rsidR="00181D09">
        <w:t>owever, due to the extent of commercial-in-confidence information included</w:t>
      </w:r>
      <w:r w:rsidR="002A4034">
        <w:t xml:space="preserve"> in the report</w:t>
      </w:r>
      <w:r w:rsidR="00181D09">
        <w:t xml:space="preserve">, </w:t>
      </w:r>
      <w:r w:rsidR="002336A5">
        <w:t xml:space="preserve">elements of the study </w:t>
      </w:r>
      <w:r w:rsidR="00181D09">
        <w:t xml:space="preserve">are unable to be disclosed publically. This public version of the study has been produced to provide a </w:t>
      </w:r>
      <w:r>
        <w:t xml:space="preserve">broad overview of the situation within the Grainbelt and give a high level </w:t>
      </w:r>
      <w:r w:rsidR="00181D09">
        <w:t>summary of the findings</w:t>
      </w:r>
      <w:r>
        <w:t xml:space="preserve"> presented in the commercial-in-confidence version</w:t>
      </w:r>
      <w:r w:rsidR="002455EA">
        <w:t>.</w:t>
      </w:r>
    </w:p>
    <w:p w14:paraId="0C589887" w14:textId="14B3CF34" w:rsidR="00473F2F" w:rsidRDefault="00D71A42" w:rsidP="00181D09">
      <w:r>
        <w:t xml:space="preserve">This feasibility study draws on existing data in relation to the </w:t>
      </w:r>
      <w:r w:rsidR="0029078B">
        <w:t>G</w:t>
      </w:r>
      <w:r>
        <w:t xml:space="preserve">rainbelt, </w:t>
      </w:r>
      <w:r w:rsidR="00AC5D63">
        <w:t xml:space="preserve">and </w:t>
      </w:r>
      <w:r>
        <w:t xml:space="preserve">the investigations of the WA </w:t>
      </w:r>
      <w:r w:rsidR="009E2ED2">
        <w:t>G</w:t>
      </w:r>
      <w:r>
        <w:t>overnment on proposed solutions</w:t>
      </w:r>
      <w:r w:rsidR="00307F71">
        <w:t xml:space="preserve"> through </w:t>
      </w:r>
      <w:r w:rsidR="00FA1442">
        <w:t xml:space="preserve">its </w:t>
      </w:r>
      <w:r w:rsidR="00453C11" w:rsidRPr="00453C11">
        <w:rPr>
          <w:i/>
        </w:rPr>
        <w:t xml:space="preserve">Grainbelt </w:t>
      </w:r>
      <w:r w:rsidR="00307F71" w:rsidRPr="00453C11">
        <w:rPr>
          <w:i/>
        </w:rPr>
        <w:t>Digital Enhancement Project</w:t>
      </w:r>
      <w:r w:rsidR="00FA1442">
        <w:t>. T</w:t>
      </w:r>
      <w:r>
        <w:t xml:space="preserve">echnical and commercial advice from consultants Nova Systems and </w:t>
      </w:r>
      <w:proofErr w:type="spellStart"/>
      <w:r>
        <w:t>Analysys</w:t>
      </w:r>
      <w:proofErr w:type="spellEnd"/>
      <w:r>
        <w:t xml:space="preserve"> Mason</w:t>
      </w:r>
      <w:r w:rsidR="00FA1442">
        <w:t xml:space="preserve"> </w:t>
      </w:r>
      <w:r w:rsidR="002336A5">
        <w:t xml:space="preserve">was </w:t>
      </w:r>
      <w:r w:rsidR="00FA1442">
        <w:t>also sought</w:t>
      </w:r>
      <w:r>
        <w:t xml:space="preserve">, to </w:t>
      </w:r>
      <w:r w:rsidR="002336A5">
        <w:t xml:space="preserve">assist in </w:t>
      </w:r>
      <w:r>
        <w:t>understand</w:t>
      </w:r>
      <w:r w:rsidR="002336A5">
        <w:t>ing</w:t>
      </w:r>
      <w:r>
        <w:t xml:space="preserve"> the challenges and the opportunities for improving connectivity in the </w:t>
      </w:r>
      <w:r w:rsidR="00E032A2">
        <w:t>Grainbelt</w:t>
      </w:r>
      <w:r>
        <w:t>.</w:t>
      </w:r>
    </w:p>
    <w:p w14:paraId="24F70144" w14:textId="77777777" w:rsidR="002455EA" w:rsidRDefault="00473F2F" w:rsidP="002337D6">
      <w:r>
        <w:t xml:space="preserve">In order to present a picture of the current </w:t>
      </w:r>
      <w:r w:rsidR="00723DD2">
        <w:t>digital connectivity</w:t>
      </w:r>
      <w:r>
        <w:t xml:space="preserve"> in the </w:t>
      </w:r>
      <w:r w:rsidR="00AC5D63">
        <w:t>Grainbelt</w:t>
      </w:r>
      <w:r>
        <w:t xml:space="preserve">, the study first outlines the existing coverage, discusses the connectivity needs of the </w:t>
      </w:r>
      <w:r w:rsidR="002857C3">
        <w:t>G</w:t>
      </w:r>
      <w:r w:rsidR="00AC5D63">
        <w:t>rainbelt</w:t>
      </w:r>
      <w:r>
        <w:t xml:space="preserve">, and provides an overview of </w:t>
      </w:r>
      <w:r w:rsidR="00006D8D">
        <w:t>g</w:t>
      </w:r>
      <w:r>
        <w:t>overnment investment</w:t>
      </w:r>
      <w:r w:rsidR="00D8108D">
        <w:t>, both Commonwealth and State,</w:t>
      </w:r>
      <w:r>
        <w:t xml:space="preserve"> in </w:t>
      </w:r>
      <w:r w:rsidR="00DE2F45">
        <w:t>the Grainbelt</w:t>
      </w:r>
      <w:r>
        <w:t xml:space="preserve"> to date.</w:t>
      </w:r>
      <w:r w:rsidR="00821367">
        <w:t xml:space="preserve"> </w:t>
      </w:r>
      <w:r w:rsidR="00D8108D">
        <w:t xml:space="preserve">Investment to improve communications aligns with the ongoing collaborative work that has occurred </w:t>
      </w:r>
      <w:r w:rsidR="002336A5">
        <w:t xml:space="preserve">between </w:t>
      </w:r>
      <w:r w:rsidR="00D8108D">
        <w:t>governments</w:t>
      </w:r>
      <w:r w:rsidR="00B00C15">
        <w:t xml:space="preserve"> to improve regional communications</w:t>
      </w:r>
      <w:r w:rsidR="00D8108D">
        <w:t xml:space="preserve"> through measures such as the Mobile Black Spot Program</w:t>
      </w:r>
      <w:r w:rsidR="00DB6111">
        <w:t xml:space="preserve"> (MBSP)</w:t>
      </w:r>
      <w:r w:rsidR="002455EA">
        <w:t>.</w:t>
      </w:r>
    </w:p>
    <w:p w14:paraId="32DD7A6A" w14:textId="708E7A4E" w:rsidR="002337D6" w:rsidRDefault="00723DD2" w:rsidP="002337D6">
      <w:r>
        <w:t xml:space="preserve">The study </w:t>
      </w:r>
      <w:r w:rsidR="002336A5">
        <w:t>examines</w:t>
      </w:r>
      <w:r w:rsidR="0034448A">
        <w:t xml:space="preserve"> different</w:t>
      </w:r>
      <w:r w:rsidR="002337D6">
        <w:t xml:space="preserve"> models</w:t>
      </w:r>
      <w:r w:rsidR="0034448A">
        <w:t xml:space="preserve"> to improve connectivity</w:t>
      </w:r>
      <w:r w:rsidR="002337D6">
        <w:t xml:space="preserve">, state government initiatives and future technological advances which may be considered to increase broadband connectivity in </w:t>
      </w:r>
      <w:r w:rsidR="00AC5D63">
        <w:t xml:space="preserve">similar </w:t>
      </w:r>
      <w:r w:rsidR="002337D6">
        <w:t>regional areas.</w:t>
      </w:r>
    </w:p>
    <w:p w14:paraId="7CF424D2" w14:textId="77777777" w:rsidR="002455EA" w:rsidRDefault="00473F2F" w:rsidP="00473F2F">
      <w:r>
        <w:t xml:space="preserve">This study has highlighted </w:t>
      </w:r>
      <w:r w:rsidR="007C01C2">
        <w:t xml:space="preserve">that </w:t>
      </w:r>
      <w:r w:rsidR="00453C11">
        <w:t>the</w:t>
      </w:r>
      <w:r w:rsidR="007C01C2">
        <w:t xml:space="preserve"> </w:t>
      </w:r>
      <w:r w:rsidR="00453C11">
        <w:t xml:space="preserve">increasing </w:t>
      </w:r>
      <w:r w:rsidR="007C01C2">
        <w:t>demand for connectivity in the region</w:t>
      </w:r>
      <w:r w:rsidR="00453C11">
        <w:t xml:space="preserve"> </w:t>
      </w:r>
      <w:r w:rsidR="007C01C2">
        <w:t>is</w:t>
      </w:r>
      <w:r w:rsidR="00453C11">
        <w:t>,</w:t>
      </w:r>
      <w:r w:rsidR="007C01C2">
        <w:t xml:space="preserve"> to some extent</w:t>
      </w:r>
      <w:r w:rsidR="00453C11">
        <w:t>,</w:t>
      </w:r>
      <w:r w:rsidR="007C01C2">
        <w:t xml:space="preserve"> being </w:t>
      </w:r>
      <w:r w:rsidR="00453C11">
        <w:t>supported</w:t>
      </w:r>
      <w:r w:rsidR="007C01C2">
        <w:t xml:space="preserve"> from the existing supply. </w:t>
      </w:r>
      <w:r w:rsidR="00453C11">
        <w:t xml:space="preserve">There is already significant coverage in the area and mapping indicates that some form of coverage extends to most premises in the </w:t>
      </w:r>
      <w:r w:rsidR="00FF626B">
        <w:t>Grainbelt</w:t>
      </w:r>
      <w:r w:rsidR="00453C11">
        <w:t xml:space="preserve"> area</w:t>
      </w:r>
      <w:r w:rsidR="002455EA">
        <w:t>.</w:t>
      </w:r>
    </w:p>
    <w:p w14:paraId="4C2D3A92" w14:textId="77777777" w:rsidR="002455EA" w:rsidRDefault="001E3C02" w:rsidP="00905FA5">
      <w:r>
        <w:t>However, there are opportunities to improve the capacity and reliability of services for local communi</w:t>
      </w:r>
      <w:r w:rsidR="00944D43">
        <w:t>ties and agricultural businesses in some areas</w:t>
      </w:r>
      <w:r w:rsidR="002455EA">
        <w:t>.</w:t>
      </w:r>
    </w:p>
    <w:p w14:paraId="1BF654BD" w14:textId="77777777" w:rsidR="002455EA" w:rsidRDefault="00723DD2" w:rsidP="00905FA5">
      <w:r>
        <w:t xml:space="preserve">A </w:t>
      </w:r>
      <w:r w:rsidR="001E3C02">
        <w:t>targeted approach</w:t>
      </w:r>
      <w:r w:rsidR="00944D43">
        <w:t xml:space="preserve">, using </w:t>
      </w:r>
      <w:r w:rsidR="001E3ED0">
        <w:t xml:space="preserve">localised, place-based </w:t>
      </w:r>
      <w:r w:rsidR="00BF1937">
        <w:t xml:space="preserve">solutions </w:t>
      </w:r>
      <w:r>
        <w:t>is an</w:t>
      </w:r>
      <w:r w:rsidR="00944D43">
        <w:t xml:space="preserve"> efficient </w:t>
      </w:r>
      <w:r w:rsidR="001E3C02">
        <w:t>and effective</w:t>
      </w:r>
      <w:r w:rsidR="00944D43">
        <w:t xml:space="preserve"> way</w:t>
      </w:r>
      <w:r w:rsidR="001E3C02">
        <w:t xml:space="preserve"> </w:t>
      </w:r>
      <w:r w:rsidR="00944D43">
        <w:t xml:space="preserve">to achieve improved connectivity in these areas. These kinds of projects may be supported through existing </w:t>
      </w:r>
      <w:r w:rsidR="00453C11">
        <w:t xml:space="preserve">or future targeted </w:t>
      </w:r>
      <w:r w:rsidR="00944D43">
        <w:t>regional funding programs</w:t>
      </w:r>
      <w:r w:rsidR="001E3ED0">
        <w:t>, such as the R</w:t>
      </w:r>
      <w:r w:rsidR="00B53D38">
        <w:t xml:space="preserve">egional </w:t>
      </w:r>
      <w:r w:rsidR="001E3ED0">
        <w:t>C</w:t>
      </w:r>
      <w:r w:rsidR="00B53D38">
        <w:t xml:space="preserve">onnectivity </w:t>
      </w:r>
      <w:r w:rsidR="001E3ED0">
        <w:t>P</w:t>
      </w:r>
      <w:r w:rsidR="00B53D38">
        <w:t>rogram</w:t>
      </w:r>
      <w:r w:rsidR="00DB6111">
        <w:t xml:space="preserve"> (RCP)</w:t>
      </w:r>
      <w:r w:rsidR="00A45A40">
        <w:t xml:space="preserve"> or other similar programs that</w:t>
      </w:r>
      <w:r w:rsidR="003C3E72">
        <w:t xml:space="preserve"> are focussed on providing </w:t>
      </w:r>
      <w:r w:rsidR="00B53D38" w:rsidRPr="00B53D38">
        <w:t>target</w:t>
      </w:r>
      <w:r w:rsidR="00B53D38">
        <w:t>ed</w:t>
      </w:r>
      <w:r w:rsidR="00B53D38" w:rsidRPr="00B53D38">
        <w:t xml:space="preserve"> investment in local priorities</w:t>
      </w:r>
      <w:r w:rsidR="00B53D38">
        <w:t xml:space="preserve"> </w:t>
      </w:r>
      <w:r w:rsidR="00B53D38" w:rsidRPr="00B53D38">
        <w:t>to maximise economic opportunities and region-wide benefits for regional, rural and remote Australians</w:t>
      </w:r>
      <w:r w:rsidR="002455EA">
        <w:t>.</w:t>
      </w:r>
    </w:p>
    <w:p w14:paraId="2FCF5AF7" w14:textId="597C9894" w:rsidR="006B0939" w:rsidRDefault="006B0939" w:rsidP="00D32BC5">
      <w:pPr>
        <w:pStyle w:val="Heading2"/>
      </w:pPr>
      <w:bookmarkStart w:id="12" w:name="_Toc44927822"/>
      <w:bookmarkStart w:id="13" w:name="_Toc44944352"/>
      <w:bookmarkStart w:id="14" w:name="_Toc45023410"/>
      <w:bookmarkStart w:id="15" w:name="_Toc45030223"/>
      <w:bookmarkStart w:id="16" w:name="_Toc45888544"/>
      <w:bookmarkStart w:id="17" w:name="_Toc48647855"/>
      <w:bookmarkStart w:id="18" w:name="_Toc48654610"/>
      <w:bookmarkStart w:id="19" w:name="_Toc57650777"/>
      <w:bookmarkStart w:id="20" w:name="_Toc57708823"/>
      <w:bookmarkStart w:id="21" w:name="_Toc58855674"/>
      <w:bookmarkStart w:id="22" w:name="_Toc58858000"/>
      <w:r>
        <w:lastRenderedPageBreak/>
        <w:t>Background</w:t>
      </w:r>
      <w:bookmarkEnd w:id="12"/>
      <w:bookmarkEnd w:id="13"/>
      <w:bookmarkEnd w:id="14"/>
      <w:bookmarkEnd w:id="15"/>
      <w:bookmarkEnd w:id="16"/>
      <w:bookmarkEnd w:id="17"/>
      <w:bookmarkEnd w:id="18"/>
      <w:bookmarkEnd w:id="19"/>
      <w:bookmarkEnd w:id="20"/>
      <w:bookmarkEnd w:id="21"/>
      <w:bookmarkEnd w:id="22"/>
    </w:p>
    <w:p w14:paraId="716D305C" w14:textId="5514F50E" w:rsidR="003500D5" w:rsidRDefault="00F94AAA" w:rsidP="006B0939">
      <w:r>
        <w:t>As part of the</w:t>
      </w:r>
      <w:r w:rsidR="006B0939">
        <w:t xml:space="preserve"> </w:t>
      </w:r>
      <w:r w:rsidR="00D32BC5">
        <w:t>2019–20</w:t>
      </w:r>
      <w:r w:rsidR="006B0939">
        <w:t xml:space="preserve"> Federal Budget, the Australian Government committed to undertake a feasibility study into improving digital connectivity in the </w:t>
      </w:r>
      <w:r w:rsidR="00453C11">
        <w:t>WA</w:t>
      </w:r>
      <w:r w:rsidR="006B0939">
        <w:t xml:space="preserve"> Grainbelt</w:t>
      </w:r>
      <w:r w:rsidR="002857C3">
        <w:t xml:space="preserve"> (the Grainbelt)</w:t>
      </w:r>
      <w:r w:rsidR="006B0939">
        <w:t xml:space="preserve">. </w:t>
      </w:r>
      <w:r w:rsidR="00670421">
        <w:t>The Grainbelt is defined as the geographic area illustrated in orange in Figure 1.</w:t>
      </w:r>
    </w:p>
    <w:p w14:paraId="2EF8FAB0" w14:textId="5806381D" w:rsidR="007E1A9B" w:rsidRPr="00C42B34" w:rsidRDefault="00670421" w:rsidP="00C42B34">
      <w:r w:rsidRPr="00C42B34">
        <w:t>The Grainbelt represents an area of approximately 200,000 square kilometres extending 450 kilometres north of Perth to Geraldton (Northampton), 400 kilometres south of Perth to Albany; and 550 kilometres east of Perth to Esperance. There are approximately 95,000 premises</w:t>
      </w:r>
      <w:r w:rsidR="00C42B34" w:rsidRPr="00C42B34">
        <w:t xml:space="preserve"> located in the Grainbelt area.</w:t>
      </w:r>
    </w:p>
    <w:p w14:paraId="589929C7" w14:textId="68E11228" w:rsidR="00670421" w:rsidRDefault="00670421" w:rsidP="00C42B34">
      <w:pPr>
        <w:pStyle w:val="Tablefigureheading"/>
      </w:pPr>
      <w:bookmarkStart w:id="23" w:name="_Toc58858022"/>
      <w:r>
        <w:t>Figure 1: Map of the Grainbelt and railways</w:t>
      </w:r>
      <w:bookmarkEnd w:id="23"/>
    </w:p>
    <w:p w14:paraId="2A1F810A" w14:textId="1D8279AD" w:rsidR="00670421" w:rsidRDefault="00C42B34" w:rsidP="007E1A9B">
      <w:r w:rsidRPr="00E0165D">
        <w:rPr>
          <w:rFonts w:ascii="Times New Roman" w:hAnsi="Times New Roman" w:cs="Times New Roman"/>
          <w:noProof/>
          <w:lang w:eastAsia="en-AU"/>
        </w:rPr>
        <w:drawing>
          <wp:inline distT="0" distB="0" distL="0" distR="0" wp14:anchorId="31829FF7" wp14:editId="1BEB2A81">
            <wp:extent cx="5110223" cy="4692010"/>
            <wp:effectExtent l="0" t="0" r="0" b="0"/>
            <wp:docPr id="13" name="Picture 13" descr="A map of the WA Grainbelt region with railways marked in black lines.&#10;&#10;Please refer to the paragraph before which describes this content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inbelt and Railways"/>
                    <pic:cNvPicPr>
                      <a:picLocks noChangeAspect="1" noChangeArrowheads="1"/>
                    </pic:cNvPicPr>
                  </pic:nvPicPr>
                  <pic:blipFill rotWithShape="1">
                    <a:blip r:embed="rId15">
                      <a:extLst>
                        <a:ext uri="{28A0092B-C50C-407E-A947-70E740481C1C}">
                          <a14:useLocalDpi xmlns:a14="http://schemas.microsoft.com/office/drawing/2010/main" val="0"/>
                        </a:ext>
                      </a:extLst>
                    </a:blip>
                    <a:srcRect l="2593" t="1349" r="4020" b="3524"/>
                    <a:stretch/>
                  </pic:blipFill>
                  <pic:spPr bwMode="auto">
                    <a:xfrm>
                      <a:off x="0" y="0"/>
                      <a:ext cx="5205607" cy="4779588"/>
                    </a:xfrm>
                    <a:prstGeom prst="rect">
                      <a:avLst/>
                    </a:prstGeom>
                    <a:noFill/>
                    <a:ln>
                      <a:noFill/>
                    </a:ln>
                    <a:extLst>
                      <a:ext uri="{53640926-AAD7-44D8-BBD7-CCE9431645EC}">
                        <a14:shadowObscured xmlns:a14="http://schemas.microsoft.com/office/drawing/2010/main"/>
                      </a:ext>
                    </a:extLst>
                  </pic:spPr>
                </pic:pic>
              </a:graphicData>
            </a:graphic>
          </wp:inline>
        </w:drawing>
      </w:r>
    </w:p>
    <w:p w14:paraId="6C8BEA54" w14:textId="7A4C59B4" w:rsidR="00670421" w:rsidRDefault="00670421" w:rsidP="00D32BC5">
      <w:pPr>
        <w:keepLines/>
      </w:pPr>
      <w:r>
        <w:t>The Grainbelt is the largest agricultural producing region in WA and a key contributor to the economy. WA generates about 50 per cent of Australia's total wheat production and generates $2</w:t>
      </w:r>
      <w:r w:rsidR="00C42B34">
        <w:t>–</w:t>
      </w:r>
      <w:r>
        <w:t>3 billion for the WA economy each year. Wheat production occurs across the Grainbelt on 4200 mostly family-run farms ranging in size from 1000</w:t>
      </w:r>
      <w:r w:rsidR="0011289E">
        <w:t>–</w:t>
      </w:r>
      <w:r>
        <w:t>15,000 hectares.</w:t>
      </w:r>
      <w:r>
        <w:rPr>
          <w:rStyle w:val="FootnoteReference"/>
        </w:rPr>
        <w:footnoteReference w:id="2"/>
      </w:r>
    </w:p>
    <w:p w14:paraId="24EA3B2F" w14:textId="77E28871" w:rsidR="00670421" w:rsidRDefault="00670421" w:rsidP="00670421">
      <w:r>
        <w:lastRenderedPageBreak/>
        <w:t xml:space="preserve">The feasibility study was commissioned in response to concerns that current arrangements were not offering sufficient connectivity to support agricultural and pastoral businesses in the Grainbelt region. </w:t>
      </w:r>
      <w:r w:rsidRPr="007E1A9B">
        <w:t>For the WA agricultural industry to adopt new digital farming technologies and remain nationally and internationally competitive, there is a need for fast, affordable and reliable connectivity</w:t>
      </w:r>
      <w:r>
        <w:t xml:space="preserve"> in the Grainbelt</w:t>
      </w:r>
      <w:r w:rsidRPr="007E1A9B">
        <w:t>.</w:t>
      </w:r>
    </w:p>
    <w:p w14:paraId="4E58852A" w14:textId="0842ED69" w:rsidR="00670421" w:rsidRDefault="00670421" w:rsidP="00670421">
      <w:r>
        <w:t xml:space="preserve">In concert with this study, the WA Government has undertaken its own investigations into improving digital connectivity in the Grainbelt. This study has used information gathered from the </w:t>
      </w:r>
      <w:r w:rsidRPr="00670421">
        <w:rPr>
          <w:i/>
        </w:rPr>
        <w:t>Grainbelt Digital Enhancement Project</w:t>
      </w:r>
      <w:r>
        <w:t xml:space="preserve"> to help identify the technical and commercial opportunities and challenges related to improving connectivity in the Grainbelt. For commercial-in-confidence reasons, the details of this</w:t>
      </w:r>
      <w:r w:rsidDel="00205B35">
        <w:t xml:space="preserve"> </w:t>
      </w:r>
      <w:r>
        <w:t>information are unable to be publically disclosed.</w:t>
      </w:r>
    </w:p>
    <w:p w14:paraId="0C5791BE" w14:textId="77777777" w:rsidR="002455EA" w:rsidRDefault="002336A5" w:rsidP="00D32BC5">
      <w:pPr>
        <w:pStyle w:val="Heading2"/>
      </w:pPr>
      <w:bookmarkStart w:id="24" w:name="_Toc57650778"/>
      <w:bookmarkStart w:id="25" w:name="_Toc57708824"/>
      <w:bookmarkStart w:id="26" w:name="_Toc58855675"/>
      <w:bookmarkStart w:id="27" w:name="_Toc58858001"/>
      <w:r>
        <w:t>Existing Coverage in the WA Grainbelt</w:t>
      </w:r>
      <w:bookmarkEnd w:id="24"/>
      <w:bookmarkEnd w:id="25"/>
      <w:bookmarkEnd w:id="26"/>
      <w:bookmarkEnd w:id="27"/>
    </w:p>
    <w:p w14:paraId="6CCC699F" w14:textId="541D8A82" w:rsidR="007E1A9B" w:rsidRPr="00772C27" w:rsidRDefault="007E1A9B" w:rsidP="00085C86">
      <w:pPr>
        <w:pStyle w:val="Heading3"/>
      </w:pPr>
      <w:bookmarkStart w:id="28" w:name="_Toc44927824"/>
      <w:bookmarkStart w:id="29" w:name="_Toc44944354"/>
      <w:bookmarkStart w:id="30" w:name="_Toc45023412"/>
      <w:bookmarkStart w:id="31" w:name="_Toc45030225"/>
      <w:bookmarkStart w:id="32" w:name="_Toc48647857"/>
      <w:bookmarkStart w:id="33" w:name="_Toc48654612"/>
      <w:bookmarkStart w:id="34" w:name="_Toc57650779"/>
      <w:bookmarkStart w:id="35" w:name="_Toc57708825"/>
      <w:bookmarkStart w:id="36" w:name="_Toc58855676"/>
      <w:bookmarkStart w:id="37" w:name="_Toc58858002"/>
      <w:r>
        <w:t>NBN footprint in the WA Grainbelt area</w:t>
      </w:r>
      <w:bookmarkEnd w:id="28"/>
      <w:bookmarkEnd w:id="29"/>
      <w:bookmarkEnd w:id="30"/>
      <w:bookmarkEnd w:id="31"/>
      <w:bookmarkEnd w:id="32"/>
      <w:bookmarkEnd w:id="33"/>
      <w:bookmarkEnd w:id="34"/>
      <w:bookmarkEnd w:id="35"/>
      <w:bookmarkEnd w:id="36"/>
      <w:bookmarkEnd w:id="37"/>
    </w:p>
    <w:p w14:paraId="2E199BBD" w14:textId="77777777" w:rsidR="002455EA" w:rsidRDefault="007E1A9B" w:rsidP="007E1A9B">
      <w:r>
        <w:t xml:space="preserve">The rollout of the National Broadband Network (NBN) is almost complete in regional Australia. The Australian Government has committed to delivering peak wholesale speeds of at least 25 megabits per second (Mbps) to all premises, and 50 Mbps to 90 per cent of </w:t>
      </w:r>
      <w:r w:rsidDel="003E303E">
        <w:t>fixed</w:t>
      </w:r>
      <w:r w:rsidR="003E303E">
        <w:t xml:space="preserve"> line</w:t>
      </w:r>
      <w:r>
        <w:t xml:space="preserve"> premises. NBN Co Limited (NBN Co.), the company responsible for rolling out and operating the NBN, </w:t>
      </w:r>
      <w:r w:rsidR="003A4ED8">
        <w:t xml:space="preserve">has completed its volume build with only 109,000 premises still requiring construction as at </w:t>
      </w:r>
      <w:r w:rsidR="005B5178">
        <w:br/>
      </w:r>
      <w:r w:rsidR="003A4ED8">
        <w:t>30 June 20</w:t>
      </w:r>
      <w:r w:rsidR="005B5178">
        <w:t>2</w:t>
      </w:r>
      <w:r w:rsidR="003A4ED8">
        <w:t>0</w:t>
      </w:r>
      <w:r w:rsidR="0031207F">
        <w:t xml:space="preserve">. </w:t>
      </w:r>
      <w:r>
        <w:t xml:space="preserve">Regional Australia is being served by a combination of </w:t>
      </w:r>
      <w:r w:rsidDel="003E303E">
        <w:t>fixed</w:t>
      </w:r>
      <w:r w:rsidR="003E303E">
        <w:t xml:space="preserve"> line</w:t>
      </w:r>
      <w:r>
        <w:t>, fixed wireless and, for the more diffi</w:t>
      </w:r>
      <w:r w:rsidR="00F71B6E">
        <w:t xml:space="preserve">cult-to-serve premises, the </w:t>
      </w:r>
      <w:r w:rsidR="003B7E2F">
        <w:t>Sky Muster</w:t>
      </w:r>
      <w:r>
        <w:t xml:space="preserve"> satellite service. Around 7</w:t>
      </w:r>
      <w:r w:rsidR="003A4ED8">
        <w:t>3</w:t>
      </w:r>
      <w:r>
        <w:t xml:space="preserve"> per cent of premises</w:t>
      </w:r>
      <w:r w:rsidR="003A4ED8">
        <w:t xml:space="preserve"> (including new developments)</w:t>
      </w:r>
      <w:r>
        <w:t xml:space="preserve"> outside of major urban areas are being serviced by </w:t>
      </w:r>
      <w:r w:rsidDel="003E303E">
        <w:t>fixed</w:t>
      </w:r>
      <w:r w:rsidR="003E303E">
        <w:t xml:space="preserve"> line</w:t>
      </w:r>
      <w:r>
        <w:t xml:space="preserve"> broadband</w:t>
      </w:r>
      <w:r w:rsidR="002455EA">
        <w:t>.</w:t>
      </w:r>
    </w:p>
    <w:p w14:paraId="0C1E642B" w14:textId="78674D9E" w:rsidR="00D76B1B" w:rsidRDefault="004D1575" w:rsidP="007E1A9B">
      <w:r>
        <w:t>In 2018, t</w:t>
      </w:r>
      <w:r w:rsidR="002F2C8C">
        <w:t xml:space="preserve">he </w:t>
      </w:r>
      <w:r w:rsidR="004C538E" w:rsidRPr="004C538E">
        <w:t>Regional Telecommunications Independent Review Committee</w:t>
      </w:r>
      <w:r w:rsidR="004C538E">
        <w:t xml:space="preserve"> (RTIRC) </w:t>
      </w:r>
      <w:r w:rsidR="002F2C8C">
        <w:t xml:space="preserve">found that </w:t>
      </w:r>
      <w:r w:rsidR="00D76B1B">
        <w:t xml:space="preserve">while </w:t>
      </w:r>
      <w:r w:rsidR="004C538E">
        <w:t xml:space="preserve">the NBN Sky Muster satellite service was a significant improvement over previous satellite services, the NBN Sky Muster satellite service was not meeting </w:t>
      </w:r>
      <w:r w:rsidR="005B5178">
        <w:t xml:space="preserve">all </w:t>
      </w:r>
      <w:r w:rsidR="004C538E">
        <w:t xml:space="preserve">user needs and expectations in regional areas in terms of data demand and speed. For example, while </w:t>
      </w:r>
      <w:r w:rsidR="00CD699A">
        <w:t>premises served by</w:t>
      </w:r>
      <w:r w:rsidR="004C538E">
        <w:t xml:space="preserve"> </w:t>
      </w:r>
      <w:r>
        <w:t xml:space="preserve">fixed </w:t>
      </w:r>
      <w:r w:rsidR="002F2C8C">
        <w:t>line and fixed wireless technologies were averag</w:t>
      </w:r>
      <w:r w:rsidR="00CD699A">
        <w:t>ing</w:t>
      </w:r>
      <w:r w:rsidR="002F2C8C">
        <w:t xml:space="preserve"> monthly downloads </w:t>
      </w:r>
      <w:r w:rsidR="00D76B1B">
        <w:t>in excess of</w:t>
      </w:r>
      <w:r w:rsidR="002F2C8C">
        <w:t xml:space="preserve"> 200GB per premises, the average monthly downloads for S</w:t>
      </w:r>
      <w:r w:rsidR="00D76B1B">
        <w:t>k</w:t>
      </w:r>
      <w:r w:rsidR="002F2C8C">
        <w:t>y</w:t>
      </w:r>
      <w:r w:rsidR="00D76B1B">
        <w:t xml:space="preserve"> Muster users were being managed at 40GB.</w:t>
      </w:r>
      <w:r w:rsidR="00D76B1B">
        <w:rPr>
          <w:rStyle w:val="FootnoteReference"/>
        </w:rPr>
        <w:footnoteReference w:id="3"/>
      </w:r>
    </w:p>
    <w:p w14:paraId="5101D362" w14:textId="77777777" w:rsidR="002455EA" w:rsidRDefault="002337D6" w:rsidP="007E1A9B">
      <w:r>
        <w:t xml:space="preserve">There have been significant </w:t>
      </w:r>
      <w:r w:rsidR="00C6159C">
        <w:t xml:space="preserve">recent </w:t>
      </w:r>
      <w:r>
        <w:t xml:space="preserve">improvements in the </w:t>
      </w:r>
      <w:r w:rsidR="003B7E2F">
        <w:t>Sky Muster</w:t>
      </w:r>
      <w:r w:rsidR="00C6159C">
        <w:t xml:space="preserve"> satellite services available to users since the service was first made available, including those in the agriculture sector. </w:t>
      </w:r>
      <w:r w:rsidR="00294A2E">
        <w:t xml:space="preserve">This includes </w:t>
      </w:r>
      <w:r w:rsidR="005F42E9">
        <w:t>increas</w:t>
      </w:r>
      <w:r w:rsidR="00167E7C">
        <w:t>ed</w:t>
      </w:r>
      <w:r w:rsidR="00B81F08">
        <w:t xml:space="preserve"> maximum wholesale data limits and the launch of the</w:t>
      </w:r>
      <w:r w:rsidR="00B81F08" w:rsidRPr="00B81F08">
        <w:t xml:space="preserve"> </w:t>
      </w:r>
      <w:r w:rsidR="003B7E2F">
        <w:t>Sky Muster</w:t>
      </w:r>
      <w:r w:rsidR="00B81F08" w:rsidRPr="00B81F08">
        <w:t xml:space="preserve"> Plus product. </w:t>
      </w:r>
      <w:r w:rsidR="003B7E2F">
        <w:t>Sky Muster</w:t>
      </w:r>
      <w:r w:rsidR="00B81F08">
        <w:t xml:space="preserve"> Plus </w:t>
      </w:r>
      <w:r w:rsidR="00B81F08" w:rsidRPr="00B81F08">
        <w:t>provides regional Australians with unmetered data for all online content and applications, with only two exclusions that will continue to be metered – video streaming and Virtual Private Network (VPN) traffic</w:t>
      </w:r>
      <w:r w:rsidR="002455EA">
        <w:t>.</w:t>
      </w:r>
    </w:p>
    <w:p w14:paraId="6B0BEC53" w14:textId="77777777" w:rsidR="002455EA" w:rsidRDefault="00167E7C" w:rsidP="007E1A9B">
      <w:r>
        <w:t>U</w:t>
      </w:r>
      <w:r w:rsidRPr="00167E7C">
        <w:t>nmetered</w:t>
      </w:r>
      <w:r w:rsidR="00B81F08" w:rsidRPr="00B81F08">
        <w:t xml:space="preserve"> services </w:t>
      </w:r>
      <w:r w:rsidR="003076AF">
        <w:t>are</w:t>
      </w:r>
      <w:r w:rsidR="003076AF" w:rsidRPr="00B81F08">
        <w:t xml:space="preserve"> </w:t>
      </w:r>
      <w:r w:rsidR="00B81F08" w:rsidRPr="00B81F08">
        <w:t xml:space="preserve">not shaped once an end user reaches their monthly </w:t>
      </w:r>
      <w:r w:rsidR="00CD699A">
        <w:t xml:space="preserve">data </w:t>
      </w:r>
      <w:r w:rsidR="00B81F08" w:rsidRPr="00B81F08">
        <w:t xml:space="preserve">cap, </w:t>
      </w:r>
      <w:r w:rsidR="001C5B9D">
        <w:t>which enable</w:t>
      </w:r>
      <w:r w:rsidR="003076AF">
        <w:t>s</w:t>
      </w:r>
      <w:r w:rsidR="00B81F08" w:rsidRPr="00B81F08">
        <w:t xml:space="preserve"> more reliable access to key online functions, and </w:t>
      </w:r>
      <w:r w:rsidR="001C5B9D">
        <w:t>relieve</w:t>
      </w:r>
      <w:r w:rsidR="00CD699A">
        <w:t>s</w:t>
      </w:r>
      <w:r w:rsidR="00B81F08" w:rsidRPr="00B81F08">
        <w:t xml:space="preserve"> data pressures for many </w:t>
      </w:r>
      <w:r w:rsidR="003B7E2F">
        <w:t>Sky Muster</w:t>
      </w:r>
      <w:r w:rsidR="00B81F08" w:rsidRPr="00B81F08">
        <w:t xml:space="preserve"> </w:t>
      </w:r>
      <w:r w:rsidR="0065450D">
        <w:t xml:space="preserve">satellite service </w:t>
      </w:r>
      <w:r w:rsidR="00B81F08" w:rsidRPr="00B81F08">
        <w:t>users</w:t>
      </w:r>
      <w:r w:rsidR="002455EA">
        <w:t>.</w:t>
      </w:r>
    </w:p>
    <w:p w14:paraId="23BF1CC7" w14:textId="77777777" w:rsidR="002455EA" w:rsidRDefault="00C6159C" w:rsidP="007E1A9B">
      <w:r>
        <w:lastRenderedPageBreak/>
        <w:t>While these improvements are welcome, there still remains areas, primarily of high economic and social value</w:t>
      </w:r>
      <w:r w:rsidR="00B56D41">
        <w:t>,</w:t>
      </w:r>
      <w:r>
        <w:t xml:space="preserve"> where the existing </w:t>
      </w:r>
      <w:r w:rsidR="003B7E2F">
        <w:t>Sky Muster</w:t>
      </w:r>
      <w:r>
        <w:t xml:space="preserve"> satellite </w:t>
      </w:r>
      <w:r w:rsidR="0065450D">
        <w:t>service</w:t>
      </w:r>
      <w:r>
        <w:t xml:space="preserve"> could b</w:t>
      </w:r>
      <w:r w:rsidR="00812E1A">
        <w:t>e complemented</w:t>
      </w:r>
      <w:r w:rsidR="004D1575">
        <w:t xml:space="preserve"> by other technologies including fixed line and fixed wireless</w:t>
      </w:r>
      <w:r w:rsidR="002455EA">
        <w:t>.</w:t>
      </w:r>
    </w:p>
    <w:p w14:paraId="3D8E98F4" w14:textId="437612E1" w:rsidR="00A45A40" w:rsidRDefault="003154B6" w:rsidP="00A45A40">
      <w:r>
        <w:t>The</w:t>
      </w:r>
      <w:r w:rsidR="00A537C9" w:rsidRPr="00A537C9">
        <w:t xml:space="preserve"> </w:t>
      </w:r>
      <w:r w:rsidR="00A537C9">
        <w:t xml:space="preserve">following graph provides a breakdown of the number of premises </w:t>
      </w:r>
      <w:r w:rsidR="00AC5D63">
        <w:t xml:space="preserve">in </w:t>
      </w:r>
      <w:r w:rsidR="00DE2F45">
        <w:t>the Grainbelt</w:t>
      </w:r>
      <w:r w:rsidR="00AC5D63">
        <w:t xml:space="preserve"> </w:t>
      </w:r>
      <w:r w:rsidR="00A537C9">
        <w:t xml:space="preserve">that are </w:t>
      </w:r>
      <w:r w:rsidR="00AF6642">
        <w:t>serviced</w:t>
      </w:r>
      <w:r w:rsidR="00A537C9">
        <w:t xml:space="preserve"> by the different NBN services available</w:t>
      </w:r>
      <w:r w:rsidR="00CD699A">
        <w:t xml:space="preserve"> (</w:t>
      </w:r>
      <w:r w:rsidR="00A537C9">
        <w:t xml:space="preserve">fixed line, fixed wireless or the </w:t>
      </w:r>
      <w:r w:rsidR="003B7E2F">
        <w:t>Sky Muster</w:t>
      </w:r>
      <w:r w:rsidR="00A537C9">
        <w:t xml:space="preserve"> satellite service</w:t>
      </w:r>
      <w:r w:rsidR="00CD699A">
        <w:t>)</w:t>
      </w:r>
      <w:r w:rsidR="00A537C9">
        <w:t>.</w:t>
      </w:r>
    </w:p>
    <w:p w14:paraId="5629ECC6" w14:textId="3C7A375F" w:rsidR="00A45A40" w:rsidRDefault="00A45A40" w:rsidP="00C42B34">
      <w:pPr>
        <w:pStyle w:val="Tablefigureheading"/>
      </w:pPr>
      <w:bookmarkStart w:id="38" w:name="_Toc58858023"/>
      <w:r>
        <w:t xml:space="preserve">Figure </w:t>
      </w:r>
      <w:r w:rsidR="0004345A">
        <w:t>2</w:t>
      </w:r>
      <w:r>
        <w:t xml:space="preserve">: Number of Premises </w:t>
      </w:r>
      <w:r w:rsidR="003A4ED8">
        <w:t xml:space="preserve">serviced </w:t>
      </w:r>
      <w:r>
        <w:t>by the NBN</w:t>
      </w:r>
      <w:bookmarkEnd w:id="38"/>
    </w:p>
    <w:p w14:paraId="1E02D74D" w14:textId="77777777" w:rsidR="002455EA" w:rsidRDefault="00C42B34" w:rsidP="00C42B34">
      <w:r>
        <w:rPr>
          <w:noProof/>
          <w:lang w:eastAsia="en-AU"/>
        </w:rPr>
        <w:drawing>
          <wp:inline distT="0" distB="0" distL="0" distR="0" wp14:anchorId="7A316415" wp14:editId="2A4DB8DD">
            <wp:extent cx="5731510" cy="2904490"/>
            <wp:effectExtent l="0" t="0" r="2540" b="0"/>
            <wp:docPr id="15" name="Picture 15" descr="This graph shows the number of premises serviced by NBN Fixed Line services, NBN Fixed Wireless services, NBN SkyMuster Satellite services and the combined number of premises serviced by the N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904490"/>
                    </a:xfrm>
                    <a:prstGeom prst="rect">
                      <a:avLst/>
                    </a:prstGeom>
                  </pic:spPr>
                </pic:pic>
              </a:graphicData>
            </a:graphic>
          </wp:inline>
        </w:drawing>
      </w:r>
    </w:p>
    <w:p w14:paraId="216D5CF8" w14:textId="00D1F461" w:rsidR="00A45A40" w:rsidRDefault="00376D12" w:rsidP="00A45A40">
      <w:r>
        <w:t>As indicated in the</w:t>
      </w:r>
      <w:r w:rsidR="002455EA">
        <w:t xml:space="preserve"> </w:t>
      </w:r>
      <w:r w:rsidR="00F96D01">
        <w:t>above graph</w:t>
      </w:r>
      <w:r>
        <w:t>,</w:t>
      </w:r>
      <w:r w:rsidR="00205B35">
        <w:t xml:space="preserve"> there is a significant amount of existing NBN fixed line or fixed wireless services for premises in the Grainbelt area.</w:t>
      </w:r>
      <w:r w:rsidR="00733172">
        <w:t xml:space="preserve"> </w:t>
      </w:r>
      <w:r w:rsidR="003076AF">
        <w:t>The remaining premises are served by the Sky Muster satellite service.</w:t>
      </w:r>
    </w:p>
    <w:p w14:paraId="7B94654A" w14:textId="01293D3F" w:rsidR="00A45A40" w:rsidRPr="00C74159" w:rsidRDefault="00A45A40" w:rsidP="00D32BC5">
      <w:pPr>
        <w:pStyle w:val="Heading4"/>
      </w:pPr>
      <w:bookmarkStart w:id="39" w:name="_Toc58855677"/>
      <w:bookmarkStart w:id="40" w:name="_Toc58858003"/>
      <w:r w:rsidRPr="00C74159">
        <w:t xml:space="preserve">NBN Fixed Line </w:t>
      </w:r>
      <w:r w:rsidR="00B94523">
        <w:t>Coverage</w:t>
      </w:r>
      <w:r w:rsidRPr="00C74159">
        <w:t xml:space="preserve"> in the WA Grainbelt</w:t>
      </w:r>
      <w:bookmarkEnd w:id="39"/>
      <w:bookmarkEnd w:id="40"/>
    </w:p>
    <w:p w14:paraId="5A101654" w14:textId="77777777" w:rsidR="002455EA" w:rsidRDefault="00A45A40" w:rsidP="00A45A40">
      <w:r>
        <w:t xml:space="preserve">While fixed line </w:t>
      </w:r>
      <w:r w:rsidR="005C496B">
        <w:t>services account</w:t>
      </w:r>
      <w:r>
        <w:t xml:space="preserve"> for approximately 143 square kilometres of coverage, this </w:t>
      </w:r>
      <w:r w:rsidR="00896B26">
        <w:t>coverage</w:t>
      </w:r>
      <w:r w:rsidR="00A537C9">
        <w:t xml:space="preserve"> </w:t>
      </w:r>
      <w:r w:rsidR="005C496B">
        <w:t>serv</w:t>
      </w:r>
      <w:r w:rsidR="00194A09">
        <w:t>i</w:t>
      </w:r>
      <w:r w:rsidR="005C496B">
        <w:t>ces</w:t>
      </w:r>
      <w:r>
        <w:t xml:space="preserve"> 41,745 premises or 44 per cent of premises in </w:t>
      </w:r>
      <w:r w:rsidR="00DE2F45">
        <w:t>the Grainbelt</w:t>
      </w:r>
      <w:r>
        <w:t xml:space="preserve">. This reflects the population distribution in </w:t>
      </w:r>
      <w:r w:rsidR="00DE2F45">
        <w:t>the Grainbelt</w:t>
      </w:r>
      <w:r>
        <w:t xml:space="preserve">, with a high number of premises based near larger towns where there is access to fixed line services. For example, both Geraldton and Esperance, the two largest townships in the region have </w:t>
      </w:r>
      <w:r w:rsidR="00A537C9">
        <w:t>fixed line services</w:t>
      </w:r>
      <w:r>
        <w:t xml:space="preserve"> deployed</w:t>
      </w:r>
      <w:r w:rsidR="002455EA">
        <w:t>.</w:t>
      </w:r>
    </w:p>
    <w:p w14:paraId="7746260D" w14:textId="75BFCC5E" w:rsidR="00A45A40" w:rsidRPr="00C74159" w:rsidRDefault="00A45A40" w:rsidP="00D32BC5">
      <w:pPr>
        <w:pStyle w:val="Heading4"/>
      </w:pPr>
      <w:bookmarkStart w:id="41" w:name="_Toc58855678"/>
      <w:bookmarkStart w:id="42" w:name="_Toc58858004"/>
      <w:r w:rsidRPr="00C74159">
        <w:t xml:space="preserve">NBN </w:t>
      </w:r>
      <w:r w:rsidR="003B7E2F">
        <w:t>Sky Muster</w:t>
      </w:r>
      <w:r w:rsidRPr="00C74159">
        <w:t xml:space="preserve"> Satellite </w:t>
      </w:r>
      <w:r>
        <w:t>Service</w:t>
      </w:r>
      <w:r w:rsidR="00B94523">
        <w:t xml:space="preserve"> </w:t>
      </w:r>
      <w:r w:rsidRPr="00C74159">
        <w:t>in the WA Grainbelt</w:t>
      </w:r>
      <w:bookmarkEnd w:id="41"/>
      <w:bookmarkEnd w:id="42"/>
    </w:p>
    <w:p w14:paraId="3A02B44D" w14:textId="77777777" w:rsidR="002455EA" w:rsidRDefault="00A45A40" w:rsidP="00E82E61">
      <w:pPr>
        <w:keepLines/>
      </w:pPr>
      <w:r>
        <w:t xml:space="preserve">For </w:t>
      </w:r>
      <w:r w:rsidR="008F027A">
        <w:t xml:space="preserve">the </w:t>
      </w:r>
      <w:r>
        <w:t xml:space="preserve">more regional areas of </w:t>
      </w:r>
      <w:r w:rsidR="00DE2F45">
        <w:t>the Grainbelt</w:t>
      </w:r>
      <w:r>
        <w:t xml:space="preserve">, the </w:t>
      </w:r>
      <w:r w:rsidR="003B7E2F">
        <w:t>Sky Muster</w:t>
      </w:r>
      <w:r>
        <w:t xml:space="preserve"> satellite service provides the most </w:t>
      </w:r>
      <w:r w:rsidR="008F027A">
        <w:t xml:space="preserve">landmass </w:t>
      </w:r>
      <w:r>
        <w:t xml:space="preserve">coverage. The </w:t>
      </w:r>
      <w:r w:rsidR="003B7E2F">
        <w:t>Sky Muster</w:t>
      </w:r>
      <w:r>
        <w:t xml:space="preserve"> satellite service reaches approximately </w:t>
      </w:r>
      <w:r w:rsidRPr="00C74159">
        <w:t>185</w:t>
      </w:r>
      <w:r>
        <w:t>,</w:t>
      </w:r>
      <w:r w:rsidRPr="00C74159">
        <w:t>68</w:t>
      </w:r>
      <w:r>
        <w:t>8</w:t>
      </w:r>
      <w:r w:rsidRPr="00C74159">
        <w:t xml:space="preserve"> </w:t>
      </w:r>
      <w:r>
        <w:t>square kilometres or 97 per cent of the region</w:t>
      </w:r>
      <w:r w:rsidR="00B94523">
        <w:t>,</w:t>
      </w:r>
      <w:r>
        <w:t xml:space="preserve"> and currently provides </w:t>
      </w:r>
      <w:r w:rsidR="00490F35">
        <w:t>service</w:t>
      </w:r>
      <w:r>
        <w:t xml:space="preserve"> for </w:t>
      </w:r>
      <w:r w:rsidRPr="003154B6">
        <w:t xml:space="preserve">36,323 premises equating to 38 per cent of premises in the </w:t>
      </w:r>
      <w:r w:rsidR="00E032A2">
        <w:t>Grainbelt</w:t>
      </w:r>
      <w:r w:rsidR="002455EA">
        <w:t>.</w:t>
      </w:r>
    </w:p>
    <w:p w14:paraId="6DB56392" w14:textId="363568D0" w:rsidR="00A45A40" w:rsidRPr="00C74159" w:rsidRDefault="00A45A40" w:rsidP="00D32BC5">
      <w:pPr>
        <w:pStyle w:val="Heading4"/>
      </w:pPr>
      <w:bookmarkStart w:id="43" w:name="_Toc58855679"/>
      <w:bookmarkStart w:id="44" w:name="_Toc58858005"/>
      <w:r w:rsidRPr="00C74159">
        <w:t xml:space="preserve">NBN Fixed Wireless </w:t>
      </w:r>
      <w:r w:rsidR="00B94523">
        <w:t>Coverage</w:t>
      </w:r>
      <w:r w:rsidRPr="00C74159">
        <w:t xml:space="preserve"> in the WA Grainbelt</w:t>
      </w:r>
      <w:bookmarkEnd w:id="43"/>
      <w:bookmarkEnd w:id="44"/>
    </w:p>
    <w:p w14:paraId="68614C5F" w14:textId="5E4DCEE8" w:rsidR="002455EA" w:rsidRDefault="00A45A40" w:rsidP="00A45A40">
      <w:r w:rsidRPr="003154B6">
        <w:t xml:space="preserve">Currently, </w:t>
      </w:r>
      <w:r w:rsidR="00490F35">
        <w:t xml:space="preserve">the NBN </w:t>
      </w:r>
      <w:r w:rsidRPr="003154B6">
        <w:t xml:space="preserve">fixed wireless </w:t>
      </w:r>
      <w:r w:rsidR="00490F35">
        <w:t>service</w:t>
      </w:r>
      <w:r w:rsidRPr="003154B6">
        <w:t xml:space="preserve"> cover</w:t>
      </w:r>
      <w:r w:rsidR="00490F35">
        <w:t>s</w:t>
      </w:r>
      <w:r w:rsidRPr="003154B6">
        <w:t xml:space="preserve"> 5,796 square kilometres, or 3 per cent of the total area of </w:t>
      </w:r>
      <w:r w:rsidR="00DE2F45">
        <w:t>the Grainbelt</w:t>
      </w:r>
      <w:r w:rsidRPr="003154B6">
        <w:t xml:space="preserve"> </w:t>
      </w:r>
      <w:r w:rsidR="001369E7">
        <w:t>and</w:t>
      </w:r>
      <w:r w:rsidRPr="003154B6">
        <w:t xml:space="preserve"> provide</w:t>
      </w:r>
      <w:r w:rsidR="00490F35">
        <w:t>s</w:t>
      </w:r>
      <w:r w:rsidRPr="003154B6">
        <w:t xml:space="preserve"> </w:t>
      </w:r>
      <w:r w:rsidR="00490F35">
        <w:t>service</w:t>
      </w:r>
      <w:r w:rsidR="00671F3E">
        <w:t>s to</w:t>
      </w:r>
      <w:r w:rsidRPr="003154B6">
        <w:t xml:space="preserve"> 16,363 premises o</w:t>
      </w:r>
      <w:r w:rsidR="00AC5D63">
        <w:t>r 17 per cent of premises</w:t>
      </w:r>
      <w:r w:rsidRPr="003154B6">
        <w:t>.</w:t>
      </w:r>
      <w:r w:rsidR="002455EA">
        <w:t xml:space="preserve"> </w:t>
      </w:r>
      <w:r w:rsidR="00376D12">
        <w:t>Generally fixed wireless is deployed around the outskirts of the larger towns and within some of the more densely populated areas.</w:t>
      </w:r>
      <w:r w:rsidR="00376D12" w:rsidDel="007A1090">
        <w:t xml:space="preserve"> </w:t>
      </w:r>
      <w:r w:rsidR="00067C64">
        <w:t>I</w:t>
      </w:r>
      <w:r w:rsidRPr="003154B6">
        <w:t>ncreas</w:t>
      </w:r>
      <w:r w:rsidR="00E565AA">
        <w:t>ing</w:t>
      </w:r>
      <w:r w:rsidRPr="003154B6">
        <w:t xml:space="preserve"> the amount of fixed wireless </w:t>
      </w:r>
      <w:r w:rsidRPr="003154B6">
        <w:lastRenderedPageBreak/>
        <w:t xml:space="preserve">coverage in the </w:t>
      </w:r>
      <w:r w:rsidR="00E032A2">
        <w:t>Grainbelt</w:t>
      </w:r>
      <w:r w:rsidRPr="003154B6">
        <w:t xml:space="preserve"> </w:t>
      </w:r>
      <w:r w:rsidR="00E565AA">
        <w:t>would</w:t>
      </w:r>
      <w:r w:rsidRPr="003154B6">
        <w:t xml:space="preserve"> improve connectivity in areas where the </w:t>
      </w:r>
      <w:r w:rsidR="003B7E2F">
        <w:t>Sky Muster</w:t>
      </w:r>
      <w:r w:rsidRPr="003154B6">
        <w:t xml:space="preserve"> satellite service is </w:t>
      </w:r>
      <w:r w:rsidR="006E3065">
        <w:t xml:space="preserve">the only NBN technology </w:t>
      </w:r>
      <w:r w:rsidRPr="003154B6">
        <w:t>available.</w:t>
      </w:r>
      <w:r w:rsidR="00067C64">
        <w:t xml:space="preserve"> The advantages of fixed wireless coverage for regional areas of Australia will be discussed in the following section</w:t>
      </w:r>
      <w:r w:rsidR="002455EA">
        <w:t>.</w:t>
      </w:r>
    </w:p>
    <w:p w14:paraId="6A624CA6" w14:textId="14CBC56B" w:rsidR="006D13C6" w:rsidRPr="00772C27" w:rsidRDefault="006D13C6" w:rsidP="00D32BC5">
      <w:pPr>
        <w:pStyle w:val="Heading5"/>
      </w:pPr>
      <w:bookmarkStart w:id="45" w:name="_Toc44927825"/>
      <w:bookmarkStart w:id="46" w:name="_Toc44944355"/>
      <w:bookmarkStart w:id="47" w:name="_Toc45023413"/>
      <w:bookmarkStart w:id="48" w:name="_Toc45030226"/>
      <w:bookmarkStart w:id="49" w:name="_Toc48647858"/>
      <w:bookmarkStart w:id="50" w:name="_Toc48654613"/>
      <w:bookmarkStart w:id="51" w:name="_Toc57650780"/>
      <w:bookmarkStart w:id="52" w:name="_Toc57708826"/>
      <w:r>
        <w:t>Advantages of fixed wireless coverage</w:t>
      </w:r>
      <w:bookmarkEnd w:id="45"/>
      <w:bookmarkEnd w:id="46"/>
      <w:bookmarkEnd w:id="47"/>
      <w:bookmarkEnd w:id="48"/>
      <w:bookmarkEnd w:id="49"/>
      <w:bookmarkEnd w:id="50"/>
      <w:bookmarkEnd w:id="51"/>
      <w:bookmarkEnd w:id="52"/>
    </w:p>
    <w:p w14:paraId="3EC6C130" w14:textId="75EC16DC" w:rsidR="006A5053" w:rsidRDefault="006D13C6" w:rsidP="006D13C6">
      <w:r>
        <w:t xml:space="preserve">A fixed wireless internet connection uses radio waves transmitted from a network transmission tower to a premises, connecting the premises to the broadband access network. This connection is typically used in circumstances where the distance between premises can be many kilometres. For this reason, fixed wireless can be an </w:t>
      </w:r>
      <w:r w:rsidR="00812E1A">
        <w:t xml:space="preserve">efficient and cost effective </w:t>
      </w:r>
      <w:r>
        <w:t xml:space="preserve">connectivity solution for people living in regional </w:t>
      </w:r>
      <w:r w:rsidR="00557B6F">
        <w:t xml:space="preserve">and remote areas of Australia. </w:t>
      </w:r>
      <w:r w:rsidR="008E534D">
        <w:t>Generally</w:t>
      </w:r>
      <w:r>
        <w:t xml:space="preserve">, data travels from a transmission tower located </w:t>
      </w:r>
      <w:r w:rsidR="00A537C9">
        <w:t>up to 14</w:t>
      </w:r>
      <w:r w:rsidR="00B56D41">
        <w:t xml:space="preserve"> </w:t>
      </w:r>
      <w:r>
        <w:t>kilometres</w:t>
      </w:r>
      <w:r w:rsidR="00B56D41">
        <w:t xml:space="preserve"> away</w:t>
      </w:r>
      <w:r>
        <w:t xml:space="preserve">, to an </w:t>
      </w:r>
      <w:r w:rsidR="00812E1A">
        <w:t xml:space="preserve">authorised </w:t>
      </w:r>
      <w:r w:rsidR="006A7802">
        <w:t>external</w:t>
      </w:r>
      <w:r>
        <w:t xml:space="preserve"> antenna that has been</w:t>
      </w:r>
      <w:r w:rsidR="00BD0FCA">
        <w:t xml:space="preserve"> fitted to the premises. Fixed w</w:t>
      </w:r>
      <w:r>
        <w:t xml:space="preserve">ireless connections also require an </w:t>
      </w:r>
      <w:r w:rsidR="00812E1A">
        <w:t>authorised</w:t>
      </w:r>
      <w:r>
        <w:t xml:space="preserve"> connection box to be installed at the point where the cable from the outdoor antenna enters </w:t>
      </w:r>
      <w:r w:rsidR="001369E7">
        <w:t>the</w:t>
      </w:r>
      <w:r>
        <w:t xml:space="preserve"> premises.</w:t>
      </w:r>
      <w:r w:rsidR="008E534D">
        <w:rPr>
          <w:rStyle w:val="FootnoteReference"/>
        </w:rPr>
        <w:footnoteReference w:id="4"/>
      </w:r>
      <w:r>
        <w:t xml:space="preserve"> </w:t>
      </w:r>
    </w:p>
    <w:p w14:paraId="7E676E30" w14:textId="299535BE" w:rsidR="006D13C6" w:rsidRDefault="002A0762" w:rsidP="006D13C6">
      <w:r>
        <w:t xml:space="preserve">The </w:t>
      </w:r>
      <w:r w:rsidR="006D13C6">
        <w:t xml:space="preserve">NBN fixed wireless services offer wholesale speeds of up to </w:t>
      </w:r>
      <w:r w:rsidR="006E0B33">
        <w:t xml:space="preserve">75 </w:t>
      </w:r>
      <w:r w:rsidR="006D13C6">
        <w:t xml:space="preserve">Mbps in some areas, and </w:t>
      </w:r>
      <w:r w:rsidR="00605D51">
        <w:t>the</w:t>
      </w:r>
      <w:r w:rsidR="006D13C6">
        <w:t xml:space="preserve"> fixed wireless network </w:t>
      </w:r>
      <w:r w:rsidR="00605D51">
        <w:t xml:space="preserve">is monitored </w:t>
      </w:r>
      <w:r w:rsidR="006D13C6">
        <w:t xml:space="preserve">so consumers </w:t>
      </w:r>
      <w:r w:rsidR="004A3B20">
        <w:t>are able to</w:t>
      </w:r>
      <w:r w:rsidR="006D13C6">
        <w:t xml:space="preserve"> receive </w:t>
      </w:r>
      <w:r w:rsidR="004A3B20">
        <w:t>an expected performance</w:t>
      </w:r>
      <w:r w:rsidR="001369E7">
        <w:t xml:space="preserve"> threshold</w:t>
      </w:r>
      <w:r w:rsidR="006D13C6">
        <w:t>. By expanding the network and increasing capacity of individual fixed wireless sites and backhaul, NBN Co</w:t>
      </w:r>
      <w:r w:rsidR="000B521D">
        <w:t>.</w:t>
      </w:r>
      <w:r w:rsidR="006D13C6">
        <w:t xml:space="preserve"> is working to </w:t>
      </w:r>
      <w:r w:rsidR="004A3B20">
        <w:t>strengthen</w:t>
      </w:r>
      <w:r w:rsidR="006D13C6">
        <w:t xml:space="preserve"> the capacity of fixed wireless towers </w:t>
      </w:r>
      <w:r w:rsidR="004A3B20">
        <w:t xml:space="preserve">so they </w:t>
      </w:r>
      <w:r w:rsidR="006D13C6">
        <w:t>appropriately support defined performance thresholds.</w:t>
      </w:r>
    </w:p>
    <w:p w14:paraId="60FB3068" w14:textId="179AD91F" w:rsidR="006D13C6" w:rsidRDefault="006D13C6" w:rsidP="006D13C6">
      <w:r>
        <w:t>In June 2019, NBN Co</w:t>
      </w:r>
      <w:r w:rsidR="000B521D">
        <w:t>.</w:t>
      </w:r>
      <w:r>
        <w:t xml:space="preserve"> released a new fixed wireless wholesale speed tier that better reflects the capabilities of the fixed wireless network and more closely reflects consumer demand, which is heavily skewed towards downloads. The product support</w:t>
      </w:r>
      <w:r w:rsidR="00334C1E">
        <w:t>s</w:t>
      </w:r>
      <w:r>
        <w:t xml:space="preserve"> maximum potential network download speeds of up to 75 Mbps with uploads of 10 Mbps</w:t>
      </w:r>
      <w:r w:rsidR="004A3B20">
        <w:t>. In practice this allow</w:t>
      </w:r>
      <w:r w:rsidR="00334C1E">
        <w:t>s</w:t>
      </w:r>
      <w:r w:rsidR="004A3B20">
        <w:t xml:space="preserve"> families to stream high definition</w:t>
      </w:r>
      <w:r>
        <w:t xml:space="preserve"> video on separate devices simultaneously.</w:t>
      </w:r>
    </w:p>
    <w:p w14:paraId="1F7CE11F" w14:textId="7870C56D" w:rsidR="007E1A9B" w:rsidRDefault="006D13C6" w:rsidP="00D26D3C">
      <w:r>
        <w:t xml:space="preserve">In addition to the NBN fixed wireless network, there are a number of Wireless Internet Service Providers (WISPs) </w:t>
      </w:r>
      <w:r w:rsidR="00FF6785">
        <w:t xml:space="preserve">providing </w:t>
      </w:r>
      <w:r w:rsidR="00550781">
        <w:t xml:space="preserve">targeted </w:t>
      </w:r>
      <w:r>
        <w:t xml:space="preserve">fixed wireless connectivity solutions </w:t>
      </w:r>
      <w:r w:rsidR="00FF6785">
        <w:t xml:space="preserve">for </w:t>
      </w:r>
      <w:r>
        <w:t>business</w:t>
      </w:r>
      <w:r w:rsidR="00FF6785">
        <w:t>es</w:t>
      </w:r>
      <w:r>
        <w:t xml:space="preserve"> and residential customers in regional and remote Australia.</w:t>
      </w:r>
      <w:r w:rsidR="00D26D3C" w:rsidRPr="00D26D3C">
        <w:t xml:space="preserve"> </w:t>
      </w:r>
      <w:r w:rsidR="00D26D3C">
        <w:t xml:space="preserve">WISPAU is the association of </w:t>
      </w:r>
      <w:r w:rsidR="00FF6785">
        <w:t>WISPs</w:t>
      </w:r>
      <w:r w:rsidR="00D26D3C">
        <w:t xml:space="preserve"> in Australia </w:t>
      </w:r>
      <w:r w:rsidR="004A3B20">
        <w:t xml:space="preserve">who </w:t>
      </w:r>
      <w:r w:rsidR="00D26D3C">
        <w:t>predominantly provid</w:t>
      </w:r>
      <w:r w:rsidR="004A3B20">
        <w:t>e</w:t>
      </w:r>
      <w:r w:rsidR="00D26D3C">
        <w:t xml:space="preserve"> broadband services to </w:t>
      </w:r>
      <w:r w:rsidR="004A3B20">
        <w:t>r</w:t>
      </w:r>
      <w:r w:rsidR="00D26D3C">
        <w:t>egional Australia. As a group</w:t>
      </w:r>
      <w:r w:rsidR="002E1D21">
        <w:t>,</w:t>
      </w:r>
      <w:r w:rsidR="00D26D3C">
        <w:t xml:space="preserve"> WISPAU </w:t>
      </w:r>
      <w:r w:rsidR="004A3B20">
        <w:t xml:space="preserve">claim to </w:t>
      </w:r>
      <w:r w:rsidR="00D26D3C">
        <w:t xml:space="preserve">service in excess of 200,000 regional </w:t>
      </w:r>
      <w:r w:rsidR="002E1D21">
        <w:t>Australians</w:t>
      </w:r>
      <w:r w:rsidR="00D26D3C">
        <w:t>.</w:t>
      </w:r>
      <w:r w:rsidR="00550781">
        <w:t xml:space="preserve"> </w:t>
      </w:r>
      <w:r w:rsidR="00FF6785">
        <w:t>WISP</w:t>
      </w:r>
      <w:r w:rsidR="00910D37">
        <w:t>s</w:t>
      </w:r>
      <w:r w:rsidR="00FF6785">
        <w:t xml:space="preserve"> </w:t>
      </w:r>
      <w:r w:rsidR="00910D37">
        <w:t xml:space="preserve">provide a significant </w:t>
      </w:r>
      <w:r w:rsidR="00550781">
        <w:t>amount</w:t>
      </w:r>
      <w:r w:rsidR="00910D37">
        <w:t xml:space="preserve"> of fixed wireless coverage in regional WA.</w:t>
      </w:r>
    </w:p>
    <w:p w14:paraId="2FA46362" w14:textId="77777777" w:rsidR="002455EA" w:rsidRDefault="00A537C9" w:rsidP="005E48CD">
      <w:r>
        <w:t xml:space="preserve">The WA Government’s Digital Farm Grants Program has </w:t>
      </w:r>
      <w:r w:rsidR="00FF6785">
        <w:t>provided funding to</w:t>
      </w:r>
      <w:r>
        <w:t xml:space="preserve"> fixed wireless providers </w:t>
      </w:r>
      <w:r w:rsidR="00FF6785">
        <w:t xml:space="preserve">in WA </w:t>
      </w:r>
      <w:r>
        <w:t xml:space="preserve">to </w:t>
      </w:r>
      <w:r w:rsidR="00FF6785">
        <w:t xml:space="preserve">support the delivery of fixed </w:t>
      </w:r>
      <w:r w:rsidR="00FF626B">
        <w:t>wireless services</w:t>
      </w:r>
      <w:r>
        <w:t xml:space="preserve"> in </w:t>
      </w:r>
      <w:r w:rsidR="00DE2F45">
        <w:t>the Grainbelt</w:t>
      </w:r>
      <w:r w:rsidR="00334C1E">
        <w:t>, and targeting</w:t>
      </w:r>
      <w:r w:rsidR="00FF6785">
        <w:t xml:space="preserve"> area</w:t>
      </w:r>
      <w:r w:rsidR="00334C1E">
        <w:t>s of agricultural production</w:t>
      </w:r>
      <w:r w:rsidR="00910D37">
        <w:t xml:space="preserve"> specifically</w:t>
      </w:r>
      <w:r>
        <w:t>.</w:t>
      </w:r>
      <w:bookmarkStart w:id="53" w:name="_Toc44927826"/>
      <w:bookmarkStart w:id="54" w:name="_Toc44944356"/>
      <w:bookmarkStart w:id="55" w:name="_Toc45023414"/>
      <w:bookmarkStart w:id="56" w:name="_Toc45030227"/>
    </w:p>
    <w:p w14:paraId="14D525DA" w14:textId="01FBB03A" w:rsidR="006D13C6" w:rsidRPr="00772C27" w:rsidRDefault="006D13C6" w:rsidP="00085C86">
      <w:pPr>
        <w:pStyle w:val="Heading3"/>
      </w:pPr>
      <w:bookmarkStart w:id="57" w:name="_Toc48647859"/>
      <w:bookmarkStart w:id="58" w:name="_Toc48654614"/>
      <w:bookmarkStart w:id="59" w:name="_Toc57650781"/>
      <w:bookmarkStart w:id="60" w:name="_Toc57708827"/>
      <w:bookmarkStart w:id="61" w:name="_Toc58855680"/>
      <w:bookmarkStart w:id="62" w:name="_Toc58858006"/>
      <w:r>
        <w:t>Mobile coverage in the WA Grainbelt area</w:t>
      </w:r>
      <w:bookmarkEnd w:id="53"/>
      <w:bookmarkEnd w:id="54"/>
      <w:bookmarkEnd w:id="55"/>
      <w:bookmarkEnd w:id="56"/>
      <w:bookmarkEnd w:id="57"/>
      <w:bookmarkEnd w:id="58"/>
      <w:bookmarkEnd w:id="59"/>
      <w:bookmarkEnd w:id="60"/>
      <w:bookmarkEnd w:id="61"/>
      <w:bookmarkEnd w:id="62"/>
    </w:p>
    <w:p w14:paraId="79289C2C" w14:textId="77777777" w:rsidR="002455EA" w:rsidRDefault="0076544B" w:rsidP="002F69DD">
      <w:r w:rsidRPr="006D13C6">
        <w:t>There is a significant amount of existing mobile cover</w:t>
      </w:r>
      <w:r w:rsidR="008E534D">
        <w:t xml:space="preserve">age in the </w:t>
      </w:r>
      <w:r w:rsidR="00E032A2">
        <w:t>Grainbelt</w:t>
      </w:r>
      <w:r w:rsidR="008E534D">
        <w:t xml:space="preserve"> area, </w:t>
      </w:r>
      <w:r w:rsidR="006A7802">
        <w:t>but there are some</w:t>
      </w:r>
      <w:r w:rsidRPr="006D13C6">
        <w:t xml:space="preserve"> areas that have poor or no mobile coverage. </w:t>
      </w:r>
      <w:r w:rsidR="006E3415">
        <w:t>The mobile carriers have made significant investment in infrastructure within the Grainbelt, with</w:t>
      </w:r>
      <w:r w:rsidR="006E3415" w:rsidDel="00733172">
        <w:t xml:space="preserve"> </w:t>
      </w:r>
      <w:r w:rsidR="006E3415">
        <w:t xml:space="preserve">a large number of mobile bases stations deployed in the region. </w:t>
      </w:r>
      <w:r w:rsidR="00A042F6">
        <w:t xml:space="preserve">A large number of mobile towers in the </w:t>
      </w:r>
      <w:proofErr w:type="spellStart"/>
      <w:r w:rsidR="00A042F6">
        <w:t>Grainbelt</w:t>
      </w:r>
      <w:proofErr w:type="spellEnd"/>
      <w:r w:rsidR="00A042F6">
        <w:t xml:space="preserve"> have been co-</w:t>
      </w:r>
      <w:proofErr w:type="spellStart"/>
      <w:r w:rsidR="00A042F6">
        <w:t>funded</w:t>
      </w:r>
      <w:proofErr w:type="spellEnd"/>
      <w:r w:rsidR="00A042F6">
        <w:t xml:space="preserve"> as part of the Australian Government’s Mobile Black Spot Program (MBSP). </w:t>
      </w:r>
      <w:r w:rsidR="00A042F6">
        <w:lastRenderedPageBreak/>
        <w:t>Please refer to the section on Government investment in the Grainbelt area to date beginning on page 18. This network deployment highlights that there is existing fibre in place for backhaul arrangements</w:t>
      </w:r>
      <w:r w:rsidR="002455EA">
        <w:t>.</w:t>
      </w:r>
    </w:p>
    <w:p w14:paraId="575853A3" w14:textId="77777777" w:rsidR="002455EA" w:rsidRDefault="006E3415" w:rsidP="002F69DD">
      <w:r>
        <w:t xml:space="preserve">The majority of coverage is provided by Optus and Telstra. TPG Telecom (formerly Vodafone Hutchinson Australia) also provides some coverage in the WA Grainbelt area, but </w:t>
      </w:r>
      <w:r w:rsidR="000D3538">
        <w:t xml:space="preserve">this </w:t>
      </w:r>
      <w:r>
        <w:t xml:space="preserve">is </w:t>
      </w:r>
      <w:r w:rsidR="00C06C99">
        <w:t xml:space="preserve">largely </w:t>
      </w:r>
      <w:r w:rsidR="00E32DDA">
        <w:t>limited</w:t>
      </w:r>
      <w:r>
        <w:t xml:space="preserve"> to the larger population areas such as Geraldton and Esperance</w:t>
      </w:r>
      <w:r w:rsidR="002455EA">
        <w:t>.</w:t>
      </w:r>
    </w:p>
    <w:p w14:paraId="35A18DD2" w14:textId="77777777" w:rsidR="002455EA" w:rsidRDefault="000D3538" w:rsidP="002F69DD">
      <w:r>
        <w:t>Analysis of the publically available predictive coverage maps has shown that Telstra has the largest mobile coverage footprint in the Grainbelt area.</w:t>
      </w:r>
      <w:r w:rsidDel="00205B35">
        <w:t xml:space="preserve"> </w:t>
      </w:r>
      <w:r>
        <w:t>This coverage</w:t>
      </w:r>
      <w:r w:rsidDel="00205B35">
        <w:t xml:space="preserve"> </w:t>
      </w:r>
      <w:r>
        <w:t xml:space="preserve">has the potential to be improved significantly through widespread adoption of localised technologies such as approved antennas and repeaters. A repeater is a device that is capable of extending a signal to an area, while an </w:t>
      </w:r>
      <w:r w:rsidR="00C9632E">
        <w:t>antenna enables customers to receive</w:t>
      </w:r>
      <w:r>
        <w:t xml:space="preserve"> </w:t>
      </w:r>
      <w:r w:rsidR="00C9632E">
        <w:t xml:space="preserve">improved </w:t>
      </w:r>
      <w:r>
        <w:t>reception in an existing coverage area</w:t>
      </w:r>
      <w:r w:rsidR="002455EA">
        <w:t>.</w:t>
      </w:r>
    </w:p>
    <w:p w14:paraId="215C8D44" w14:textId="77777777" w:rsidR="002455EA" w:rsidRDefault="006D13C6" w:rsidP="002F69DD">
      <w:r w:rsidDel="00C16ADB">
        <w:t>Optus</w:t>
      </w:r>
      <w:r w:rsidR="00E962A0" w:rsidDel="00C16ADB">
        <w:t>’ predictive coverage maps</w:t>
      </w:r>
      <w:r w:rsidDel="00C16ADB">
        <w:t xml:space="preserve"> </w:t>
      </w:r>
      <w:r w:rsidR="00E962A0" w:rsidDel="00C16ADB">
        <w:t>indicate</w:t>
      </w:r>
      <w:r w:rsidR="00910D37" w:rsidDel="00C16ADB">
        <w:t xml:space="preserve"> that it</w:t>
      </w:r>
      <w:r w:rsidDel="00C16ADB">
        <w:t xml:space="preserve"> provides a significant amount of mobile coverage in </w:t>
      </w:r>
      <w:r w:rsidR="00DE2F45" w:rsidDel="00C16ADB">
        <w:t>the Grainbelt</w:t>
      </w:r>
      <w:r w:rsidDel="00C16ADB">
        <w:t xml:space="preserve">. </w:t>
      </w:r>
      <w:r w:rsidR="006115CA" w:rsidRPr="006115CA" w:rsidDel="00C16ADB">
        <w:t xml:space="preserve">While Optus has </w:t>
      </w:r>
      <w:r w:rsidR="006A7802" w:rsidDel="00C16ADB">
        <w:t xml:space="preserve">a smaller </w:t>
      </w:r>
      <w:r w:rsidR="006115CA" w:rsidRPr="006115CA" w:rsidDel="00C16ADB">
        <w:t xml:space="preserve">coverage </w:t>
      </w:r>
      <w:r w:rsidR="006A7802" w:rsidDel="00C16ADB">
        <w:t xml:space="preserve">footprint </w:t>
      </w:r>
      <w:r w:rsidR="006115CA" w:rsidRPr="006115CA" w:rsidDel="00C16ADB">
        <w:t xml:space="preserve">in the </w:t>
      </w:r>
      <w:r w:rsidR="00E032A2" w:rsidDel="00C16ADB">
        <w:t>Grainbelt</w:t>
      </w:r>
      <w:r w:rsidR="006115CA" w:rsidRPr="006115CA" w:rsidDel="00C16ADB">
        <w:t xml:space="preserve"> than Telstra, </w:t>
      </w:r>
      <w:r w:rsidR="00E962A0" w:rsidDel="00C16ADB">
        <w:t xml:space="preserve">the coverage maps provided by Optus indicate that </w:t>
      </w:r>
      <w:r w:rsidR="00496B5C" w:rsidDel="00C16ADB">
        <w:t xml:space="preserve">it still provides </w:t>
      </w:r>
      <w:r w:rsidR="006115CA" w:rsidRPr="006115CA" w:rsidDel="00C16ADB">
        <w:t xml:space="preserve">a significant amount of mobile coverage </w:t>
      </w:r>
      <w:r w:rsidR="009851D1" w:rsidDel="00C16ADB">
        <w:t>particularly</w:t>
      </w:r>
      <w:r w:rsidR="00496B5C" w:rsidDel="00C16ADB">
        <w:t xml:space="preserve"> in the more populated areas</w:t>
      </w:r>
      <w:r w:rsidR="006115CA" w:rsidRPr="006115CA" w:rsidDel="00C16ADB">
        <w:t xml:space="preserve">. </w:t>
      </w:r>
      <w:r w:rsidR="00E962A0" w:rsidDel="00C16ADB">
        <w:t xml:space="preserve">Based on the predictive coverage maps of both carriers, the </w:t>
      </w:r>
      <w:r w:rsidR="00496B5C" w:rsidDel="00C16ADB">
        <w:t>combined mobile coverage of Telstra and Optus provides consumers with choice of carrier</w:t>
      </w:r>
      <w:r w:rsidR="002823F3" w:rsidDel="00C16ADB">
        <w:t xml:space="preserve"> in the</w:t>
      </w:r>
      <w:r w:rsidR="00A537C9" w:rsidDel="00C16ADB">
        <w:t xml:space="preserve"> more</w:t>
      </w:r>
      <w:r w:rsidR="002823F3" w:rsidDel="00C16ADB">
        <w:t xml:space="preserve"> populated areas of the region</w:t>
      </w:r>
      <w:r w:rsidR="002455EA">
        <w:t>.</w:t>
      </w:r>
    </w:p>
    <w:p w14:paraId="77508D36" w14:textId="11CA84FD" w:rsidR="00013B98" w:rsidRDefault="00013B98" w:rsidP="002F69DD">
      <w:r>
        <w:t xml:space="preserve">The </w:t>
      </w:r>
      <w:r w:rsidR="00C52DE0">
        <w:t>below</w:t>
      </w:r>
      <w:r>
        <w:t xml:space="preserve"> map </w:t>
      </w:r>
      <w:r w:rsidR="00C52DE0">
        <w:t>shows</w:t>
      </w:r>
      <w:r>
        <w:t xml:space="preserve"> the combined mobile coverage of the major network providers</w:t>
      </w:r>
      <w:r w:rsidR="00C52DE0">
        <w:t xml:space="preserve"> in the Grainbelt area (shaded </w:t>
      </w:r>
      <w:r w:rsidR="001F1879">
        <w:t>pink</w:t>
      </w:r>
      <w:r w:rsidR="00C52DE0">
        <w:t xml:space="preserve">). </w:t>
      </w:r>
      <w:r w:rsidR="00FD4088">
        <w:t xml:space="preserve">This information has been based on the mobile network providers’ publicly available predictive coverage maps. </w:t>
      </w:r>
      <w:r w:rsidR="00C52DE0">
        <w:t xml:space="preserve">The 3G handheld coverage is shown in </w:t>
      </w:r>
      <w:r w:rsidR="00B73EFA">
        <w:t>maroon</w:t>
      </w:r>
      <w:r w:rsidR="00C52DE0">
        <w:t xml:space="preserve"> and the 3G external antenna coverage is shown in </w:t>
      </w:r>
      <w:r w:rsidR="001C4982">
        <w:t>blue/</w:t>
      </w:r>
      <w:r w:rsidR="00B73EFA">
        <w:t>purple</w:t>
      </w:r>
      <w:r w:rsidR="00C52DE0">
        <w:t xml:space="preserve">. </w:t>
      </w:r>
      <w:r w:rsidR="00B73EFA">
        <w:t>A</w:t>
      </w:r>
      <w:r w:rsidR="001F1879">
        <w:t xml:space="preserve">reas where there is no existing 3G handheld or external antenna coverage </w:t>
      </w:r>
      <w:r w:rsidR="00B73EFA">
        <w:t>appear in white</w:t>
      </w:r>
      <w:r w:rsidR="001F1879">
        <w:t>.</w:t>
      </w:r>
      <w:r w:rsidR="00B73EFA">
        <w:t xml:space="preserve"> The Grainbelt area is outlined in green.</w:t>
      </w:r>
    </w:p>
    <w:p w14:paraId="6465CB40" w14:textId="53B83B84" w:rsidR="006115CA" w:rsidRDefault="005E48CD" w:rsidP="00D42B86">
      <w:pPr>
        <w:pStyle w:val="Tablefigureheading"/>
      </w:pPr>
      <w:bookmarkStart w:id="63" w:name="_Toc58858024"/>
      <w:r>
        <w:lastRenderedPageBreak/>
        <w:t xml:space="preserve">Figure </w:t>
      </w:r>
      <w:r w:rsidR="0004345A">
        <w:t>3</w:t>
      </w:r>
      <w:r>
        <w:t>: Combined mobile coverage of the major network providers</w:t>
      </w:r>
      <w:r w:rsidR="00D42B86">
        <w:t>—</w:t>
      </w:r>
      <w:r>
        <w:t xml:space="preserve">handheld coverage </w:t>
      </w:r>
      <w:r w:rsidR="0004345A">
        <w:t>(</w:t>
      </w:r>
      <w:r w:rsidR="00B73EFA">
        <w:rPr>
          <w:noProof/>
          <w:lang w:eastAsia="en-AU"/>
        </w:rPr>
        <w:t>maroon</w:t>
      </w:r>
      <w:r w:rsidR="0004345A">
        <w:t>)</w:t>
      </w:r>
      <w:r>
        <w:t xml:space="preserve">, external antenna coverage </w:t>
      </w:r>
      <w:r w:rsidR="0004345A">
        <w:t>(</w:t>
      </w:r>
      <w:r w:rsidR="001C4982">
        <w:t>blue</w:t>
      </w:r>
      <w:r w:rsidR="0004345A">
        <w:t>)</w:t>
      </w:r>
      <w:r w:rsidR="00B73EFA">
        <w:t>.</w:t>
      </w:r>
      <w:bookmarkEnd w:id="63"/>
    </w:p>
    <w:p w14:paraId="2A44E9F3" w14:textId="22630E20" w:rsidR="00D42B86" w:rsidRPr="00D42B86" w:rsidRDefault="00D42B86" w:rsidP="00D42B86">
      <w:r>
        <w:rPr>
          <w:noProof/>
          <w:lang w:eastAsia="en-AU"/>
        </w:rPr>
        <w:drawing>
          <wp:inline distT="0" distB="0" distL="0" distR="0" wp14:anchorId="75D4A532" wp14:editId="65386EC9">
            <wp:extent cx="5731510" cy="4088363"/>
            <wp:effectExtent l="0" t="0" r="2540" b="7620"/>
            <wp:docPr id="221" name="Picture 221" descr="A map of the WA Grainbelt region identifying the combined mobile coverage of the major network providers. Handheld coverage is indicated in maroon and external antenna coverage is indica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map of the WA Grainbelt region identifying the combined mobile coverage of the major network providers. Handheld coverage is indicated in maroon and external antenna coverage is indicated in blue."/>
                    <pic:cNvPicPr>
                      <a:picLocks noChangeAspect="1" noChangeArrowheads="1"/>
                    </pic:cNvPicPr>
                  </pic:nvPicPr>
                  <pic:blipFill>
                    <a:blip r:embed="rId17" cstate="print">
                      <a:extLst>
                        <a:ext uri="{28A0092B-C50C-407E-A947-70E740481C1C}">
                          <a14:useLocalDpi xmlns:a14="http://schemas.microsoft.com/office/drawing/2010/main" val="0"/>
                        </a:ext>
                      </a:extLst>
                    </a:blip>
                    <a:srcRect l="1985" r="1985" b="3285"/>
                    <a:stretch>
                      <a:fillRect/>
                    </a:stretch>
                  </pic:blipFill>
                  <pic:spPr bwMode="auto">
                    <a:xfrm>
                      <a:off x="0" y="0"/>
                      <a:ext cx="5731510" cy="4088363"/>
                    </a:xfrm>
                    <a:prstGeom prst="rect">
                      <a:avLst/>
                    </a:prstGeom>
                    <a:noFill/>
                    <a:ln>
                      <a:noFill/>
                    </a:ln>
                  </pic:spPr>
                </pic:pic>
              </a:graphicData>
            </a:graphic>
          </wp:inline>
        </w:drawing>
      </w:r>
    </w:p>
    <w:p w14:paraId="15950A9F" w14:textId="0C7180F3" w:rsidR="002455EA" w:rsidRDefault="002823F3" w:rsidP="00D32BC5">
      <w:pPr>
        <w:keepLines/>
      </w:pPr>
      <w:r>
        <w:t>T</w:t>
      </w:r>
      <w:r w:rsidRPr="006115CA">
        <w:t xml:space="preserve">he </w:t>
      </w:r>
      <w:r>
        <w:t xml:space="preserve">following graphical information provides an overview of the premises that are able to access either 4G or 3G </w:t>
      </w:r>
      <w:r w:rsidR="00BD0FCA">
        <w:t>h</w:t>
      </w:r>
      <w:r>
        <w:t>and</w:t>
      </w:r>
      <w:r w:rsidR="00051726">
        <w:t xml:space="preserve"> </w:t>
      </w:r>
      <w:r w:rsidR="00BD0FCA">
        <w:t>h</w:t>
      </w:r>
      <w:r>
        <w:t>eld coverage</w:t>
      </w:r>
      <w:r w:rsidR="00205B35">
        <w:t xml:space="preserve"> as well as 3G</w:t>
      </w:r>
      <w:r>
        <w:t xml:space="preserve"> </w:t>
      </w:r>
      <w:r w:rsidR="00BD0FCA">
        <w:t>e</w:t>
      </w:r>
      <w:r>
        <w:t xml:space="preserve">xternal </w:t>
      </w:r>
      <w:r w:rsidR="00BD0FCA">
        <w:t>a</w:t>
      </w:r>
      <w:r>
        <w:t xml:space="preserve">ntenna coverage. There is also a breakdown of the </w:t>
      </w:r>
      <w:r w:rsidR="001D62F7">
        <w:t xml:space="preserve">number </w:t>
      </w:r>
      <w:r w:rsidR="00334C1E">
        <w:t xml:space="preserve">and </w:t>
      </w:r>
      <w:r w:rsidR="001D62F7">
        <w:t>type of NBN service</w:t>
      </w:r>
      <w:r w:rsidR="00334C1E">
        <w:t>s</w:t>
      </w:r>
      <w:r w:rsidR="001D62F7">
        <w:t xml:space="preserve"> </w:t>
      </w:r>
      <w:r w:rsidR="00334C1E">
        <w:t xml:space="preserve">being </w:t>
      </w:r>
      <w:r w:rsidR="001D62F7">
        <w:t xml:space="preserve">used </w:t>
      </w:r>
      <w:r w:rsidR="00334C1E">
        <w:t xml:space="preserve">to serve </w:t>
      </w:r>
      <w:r w:rsidR="001D62F7">
        <w:t>premises</w:t>
      </w:r>
      <w:r w:rsidR="00334C1E">
        <w:t xml:space="preserve"> in the Grainbelt area</w:t>
      </w:r>
      <w:r w:rsidR="001D62F7">
        <w:t>.</w:t>
      </w:r>
      <w:r w:rsidR="002455EA">
        <w:t xml:space="preserve"> </w:t>
      </w:r>
      <w:r w:rsidR="001F2903">
        <w:t xml:space="preserve">The following graphs provide an overview of the </w:t>
      </w:r>
      <w:r w:rsidR="00334C1E">
        <w:t xml:space="preserve">number </w:t>
      </w:r>
      <w:r w:rsidR="001F2903">
        <w:t>of premises and</w:t>
      </w:r>
      <w:r w:rsidR="00334C1E">
        <w:t xml:space="preserve"> the</w:t>
      </w:r>
      <w:r w:rsidR="001F2903">
        <w:t xml:space="preserve"> ove</w:t>
      </w:r>
      <w:r w:rsidR="00B72538">
        <w:t xml:space="preserve">rall area </w:t>
      </w:r>
      <w:r w:rsidR="00650901">
        <w:t>that have access to mobile coverage</w:t>
      </w:r>
      <w:r w:rsidR="002455EA">
        <w:t>.</w:t>
      </w:r>
    </w:p>
    <w:p w14:paraId="10582DEA" w14:textId="76A43BBF" w:rsidR="00C75645" w:rsidRDefault="00355570" w:rsidP="00C42B34">
      <w:pPr>
        <w:pStyle w:val="Tablefigureheading"/>
      </w:pPr>
      <w:bookmarkStart w:id="64" w:name="_Toc58858025"/>
      <w:r>
        <w:t>Fig</w:t>
      </w:r>
      <w:r w:rsidR="00F87129">
        <w:t xml:space="preserve">ure </w:t>
      </w:r>
      <w:r w:rsidR="0004345A">
        <w:t>4</w:t>
      </w:r>
      <w:r w:rsidR="00F87129">
        <w:t xml:space="preserve">: </w:t>
      </w:r>
      <w:r w:rsidR="004C46D0">
        <w:t>Mobile</w:t>
      </w:r>
      <w:r w:rsidR="00593188">
        <w:t xml:space="preserve"> </w:t>
      </w:r>
      <w:r w:rsidR="004C46D0">
        <w:t>c</w:t>
      </w:r>
      <w:r w:rsidR="00593188">
        <w:t xml:space="preserve">overage in the </w:t>
      </w:r>
      <w:r w:rsidR="00E032A2">
        <w:t>Grainbelt</w:t>
      </w:r>
      <w:bookmarkEnd w:id="64"/>
    </w:p>
    <w:p w14:paraId="5F35E5B6" w14:textId="7E0AB323" w:rsidR="00C42B34" w:rsidRPr="00C42B34" w:rsidRDefault="00C42B34" w:rsidP="00C42B34">
      <w:r>
        <w:rPr>
          <w:noProof/>
          <w:lang w:eastAsia="en-AU"/>
        </w:rPr>
        <w:drawing>
          <wp:inline distT="0" distB="0" distL="0" distR="0" wp14:anchorId="7B8749FF" wp14:editId="76DDB956">
            <wp:extent cx="5731510" cy="3292475"/>
            <wp:effectExtent l="0" t="0" r="2540" b="3175"/>
            <wp:docPr id="17" name="Picture 17" descr="This graph shows the area in square kilometres, of 4G Handheld, 3G Handheld and 3G External Antenna Mobile Co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92475"/>
                    </a:xfrm>
                    <a:prstGeom prst="rect">
                      <a:avLst/>
                    </a:prstGeom>
                  </pic:spPr>
                </pic:pic>
              </a:graphicData>
            </a:graphic>
          </wp:inline>
        </w:drawing>
      </w:r>
    </w:p>
    <w:p w14:paraId="54BD4FF8" w14:textId="77777777" w:rsidR="002455EA" w:rsidRDefault="004311CC" w:rsidP="006B0939">
      <w:r>
        <w:lastRenderedPageBreak/>
        <w:t xml:space="preserve">The combined </w:t>
      </w:r>
      <w:r w:rsidR="00593188" w:rsidRPr="00E565AA">
        <w:t>4G mobile hand</w:t>
      </w:r>
      <w:r w:rsidR="00051726" w:rsidRPr="00E565AA">
        <w:t xml:space="preserve"> </w:t>
      </w:r>
      <w:r w:rsidR="00593188" w:rsidRPr="00E565AA">
        <w:t>held coverage</w:t>
      </w:r>
      <w:r w:rsidR="00593188">
        <w:t xml:space="preserve"> in the area </w:t>
      </w:r>
      <w:r>
        <w:t xml:space="preserve">amounts to </w:t>
      </w:r>
      <w:r w:rsidRPr="00E565AA">
        <w:t>101,992.6 square kilometres</w:t>
      </w:r>
      <w:r w:rsidR="00593188" w:rsidRPr="00E565AA">
        <w:t>, which is approximately 53</w:t>
      </w:r>
      <w:r w:rsidR="00475329" w:rsidRPr="00E565AA">
        <w:t xml:space="preserve"> per cent</w:t>
      </w:r>
      <w:r w:rsidR="00593188" w:rsidRPr="00E565AA">
        <w:t xml:space="preserve"> of </w:t>
      </w:r>
      <w:r w:rsidR="00DE2F45">
        <w:t>the Grainbelt</w:t>
      </w:r>
      <w:r w:rsidR="00593188" w:rsidRPr="00E565AA">
        <w:t xml:space="preserve">. </w:t>
      </w:r>
      <w:r w:rsidR="00733172" w:rsidRPr="006D13C6">
        <w:t>Hand</w:t>
      </w:r>
      <w:r w:rsidR="00733172">
        <w:t xml:space="preserve"> h</w:t>
      </w:r>
      <w:r w:rsidR="00733172" w:rsidRPr="006D13C6">
        <w:t xml:space="preserve">eld coverage is where the signal is </w:t>
      </w:r>
      <w:r w:rsidR="00733172">
        <w:t xml:space="preserve">generally </w:t>
      </w:r>
      <w:r w:rsidR="00733172" w:rsidRPr="006D13C6">
        <w:t>strong enough for a mobile device to be used without any modifications</w:t>
      </w:r>
      <w:r w:rsidR="002455EA">
        <w:t>.</w:t>
      </w:r>
    </w:p>
    <w:p w14:paraId="1D812564" w14:textId="11C52F89" w:rsidR="00355570" w:rsidRDefault="00355570" w:rsidP="00C42B34">
      <w:pPr>
        <w:pStyle w:val="Tablefigureheading"/>
      </w:pPr>
      <w:bookmarkStart w:id="65" w:name="_Toc58858026"/>
      <w:r>
        <w:t xml:space="preserve">Figure </w:t>
      </w:r>
      <w:r w:rsidR="0004345A">
        <w:t>5</w:t>
      </w:r>
      <w:r>
        <w:t>:</w:t>
      </w:r>
      <w:r w:rsidDel="004C46D0">
        <w:t xml:space="preserve"> </w:t>
      </w:r>
      <w:r>
        <w:t>Premises</w:t>
      </w:r>
      <w:r w:rsidR="004C46D0">
        <w:t xml:space="preserve"> with mobile coverage</w:t>
      </w:r>
      <w:r w:rsidR="00593188">
        <w:t xml:space="preserve"> in the </w:t>
      </w:r>
      <w:r w:rsidR="00E032A2">
        <w:t>Grainbelt</w:t>
      </w:r>
      <w:bookmarkEnd w:id="65"/>
    </w:p>
    <w:p w14:paraId="6B0A08B8" w14:textId="3D1D1258" w:rsidR="00C42B34" w:rsidRDefault="00C42B34" w:rsidP="00C42B34">
      <w:r>
        <w:rPr>
          <w:noProof/>
          <w:lang w:eastAsia="en-AU"/>
        </w:rPr>
        <w:drawing>
          <wp:inline distT="0" distB="0" distL="0" distR="0" wp14:anchorId="2FBC7715" wp14:editId="6B7E7FE5">
            <wp:extent cx="5731510" cy="3318510"/>
            <wp:effectExtent l="0" t="0" r="2540" b="0"/>
            <wp:docPr id="201" name="Picture 201" descr="This graph shows the number of premises with 4G Handheld, 3G Handheld and 3G External Antenna Mobile Co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318510"/>
                    </a:xfrm>
                    <a:prstGeom prst="rect">
                      <a:avLst/>
                    </a:prstGeom>
                  </pic:spPr>
                </pic:pic>
              </a:graphicData>
            </a:graphic>
          </wp:inline>
        </w:drawing>
      </w:r>
    </w:p>
    <w:p w14:paraId="259002D3" w14:textId="77777777" w:rsidR="002455EA" w:rsidRDefault="00593188" w:rsidP="009B38D0">
      <w:r>
        <w:t>The</w:t>
      </w:r>
      <w:r w:rsidR="00715B84">
        <w:t xml:space="preserve"> previous</w:t>
      </w:r>
      <w:r>
        <w:t xml:space="preserve"> graph shows the</w:t>
      </w:r>
      <w:r w:rsidDel="002971FB">
        <w:t xml:space="preserve"> </w:t>
      </w:r>
      <w:r>
        <w:t xml:space="preserve">number of premises with </w:t>
      </w:r>
      <w:r w:rsidR="004C46D0">
        <w:t xml:space="preserve">4G handheld, </w:t>
      </w:r>
      <w:r>
        <w:t>3G hand</w:t>
      </w:r>
      <w:r w:rsidR="00051726">
        <w:t xml:space="preserve"> </w:t>
      </w:r>
      <w:r>
        <w:t>held</w:t>
      </w:r>
      <w:r w:rsidR="004C46D0">
        <w:t xml:space="preserve"> and 3G external antenna</w:t>
      </w:r>
      <w:r>
        <w:t xml:space="preserve"> coverage in the </w:t>
      </w:r>
      <w:r w:rsidR="00E032A2">
        <w:t>Grainbelt</w:t>
      </w:r>
      <w:r>
        <w:t xml:space="preserve"> for </w:t>
      </w:r>
      <w:r w:rsidR="002971FB">
        <w:t>the three</w:t>
      </w:r>
      <w:r>
        <w:t xml:space="preserve"> major network providers</w:t>
      </w:r>
      <w:r w:rsidR="00C8265A">
        <w:t xml:space="preserve"> </w:t>
      </w:r>
      <w:r w:rsidR="002971FB">
        <w:t xml:space="preserve">combined. </w:t>
      </w:r>
      <w:r w:rsidR="00D32798">
        <w:t>Approximately 91 per cent of premises in the Grainbelt have 4G hand held coverage and 96 per cent of premises the Grainbelt receive 3G hand held coverage.</w:t>
      </w:r>
      <w:r w:rsidRPr="009D4512">
        <w:t xml:space="preserve"> For premises that are unable to access 3G hand</w:t>
      </w:r>
      <w:r w:rsidR="00051726" w:rsidRPr="009D4512">
        <w:t xml:space="preserve"> </w:t>
      </w:r>
      <w:r w:rsidRPr="009D4512">
        <w:t xml:space="preserve">held coverage, most </w:t>
      </w:r>
      <w:r w:rsidR="00F87129" w:rsidRPr="009D4512">
        <w:t>premises</w:t>
      </w:r>
      <w:r w:rsidR="00F87129" w:rsidRPr="009D4512" w:rsidDel="00D32798">
        <w:t xml:space="preserve"> </w:t>
      </w:r>
      <w:r w:rsidR="00F87129" w:rsidRPr="009D4512">
        <w:t>are able to access 3G e</w:t>
      </w:r>
      <w:r w:rsidRPr="009D4512">
        <w:t xml:space="preserve">xternal </w:t>
      </w:r>
      <w:r w:rsidR="00F87129" w:rsidRPr="009D4512">
        <w:t>antenna c</w:t>
      </w:r>
      <w:r w:rsidRPr="009D4512">
        <w:t>overage</w:t>
      </w:r>
      <w:r w:rsidR="002455EA">
        <w:t>.</w:t>
      </w:r>
    </w:p>
    <w:p w14:paraId="612FE29E" w14:textId="77777777" w:rsidR="002455EA" w:rsidRDefault="00593188" w:rsidP="00C75645">
      <w:r w:rsidRPr="00593188">
        <w:t>93,908</w:t>
      </w:r>
      <w:r>
        <w:t xml:space="preserve"> of a total </w:t>
      </w:r>
      <w:r w:rsidRPr="00593188">
        <w:t>94,431</w:t>
      </w:r>
      <w:r>
        <w:t xml:space="preserve"> </w:t>
      </w:r>
      <w:r w:rsidR="00033EC0">
        <w:t>p</w:t>
      </w:r>
      <w:r>
        <w:t xml:space="preserve">remises </w:t>
      </w:r>
      <w:r w:rsidR="00DE2F45">
        <w:t>the Grainbelt</w:t>
      </w:r>
      <w:r w:rsidR="002857C3">
        <w:t xml:space="preserve"> </w:t>
      </w:r>
      <w:r w:rsidR="00D32798">
        <w:t xml:space="preserve">(99 per cent) </w:t>
      </w:r>
      <w:r w:rsidR="00B05B1F">
        <w:t>are able to receive some form of</w:t>
      </w:r>
      <w:r w:rsidR="00033EC0">
        <w:t xml:space="preserve"> 3G external antenna coverage</w:t>
      </w:r>
      <w:r>
        <w:t>.</w:t>
      </w:r>
      <w:r w:rsidR="00680BDF">
        <w:t xml:space="preserve"> </w:t>
      </w:r>
      <w:r w:rsidR="00733172" w:rsidRPr="006D13C6">
        <w:t>External antenna coverage means that a network coverage extension device</w:t>
      </w:r>
      <w:r w:rsidR="00733172">
        <w:t>, known as an ‘external antenna</w:t>
      </w:r>
      <w:r w:rsidR="00733172" w:rsidRPr="006D13C6">
        <w:t xml:space="preserve">’ is required. </w:t>
      </w:r>
      <w:r w:rsidR="00B05B1F">
        <w:t>This means that w</w:t>
      </w:r>
      <w:r w:rsidR="00680BDF">
        <w:t xml:space="preserve">hen 3G external antenna is applied, </w:t>
      </w:r>
      <w:r w:rsidR="00834ADC">
        <w:rPr>
          <w:rFonts w:ascii="Calibri" w:eastAsia="Times New Roman" w:hAnsi="Calibri" w:cs="Calibri"/>
          <w:iCs/>
          <w:sz w:val="22"/>
          <w:lang w:eastAsia="en-AU"/>
        </w:rPr>
        <w:t>approximately</w:t>
      </w:r>
      <w:r w:rsidR="00834ADC" w:rsidRPr="00680BDF">
        <w:t xml:space="preserve"> </w:t>
      </w:r>
      <w:r w:rsidR="00680BDF" w:rsidRPr="00680BDF">
        <w:t>184,505</w:t>
      </w:r>
      <w:r w:rsidR="00680BDF">
        <w:t xml:space="preserve"> square kilometres, or </w:t>
      </w:r>
      <w:r w:rsidR="00A537C9">
        <w:t xml:space="preserve">approximately </w:t>
      </w:r>
      <w:r w:rsidR="00680BDF">
        <w:t>96</w:t>
      </w:r>
      <w:r w:rsidR="00475329">
        <w:t xml:space="preserve"> per cent</w:t>
      </w:r>
      <w:r w:rsidR="00680BDF">
        <w:t xml:space="preserve"> of the Grainbelt</w:t>
      </w:r>
      <w:r w:rsidR="004707F5">
        <w:t xml:space="preserve"> area</w:t>
      </w:r>
      <w:r w:rsidR="00680BDF">
        <w:t xml:space="preserve"> has access to mobile coverage</w:t>
      </w:r>
      <w:r w:rsidR="002455EA">
        <w:t>.</w:t>
      </w:r>
    </w:p>
    <w:p w14:paraId="77981D9C" w14:textId="20C92F7F" w:rsidR="00C8265A" w:rsidRDefault="00680BDF" w:rsidP="006A5053">
      <w:pPr>
        <w:rPr>
          <w:rFonts w:ascii="Calibri" w:eastAsia="Times New Roman" w:hAnsi="Calibri" w:cs="Calibri"/>
          <w:color w:val="000000"/>
          <w:sz w:val="22"/>
          <w:lang w:eastAsia="en-AU"/>
        </w:rPr>
      </w:pPr>
      <w:r w:rsidRPr="006A5053">
        <w:t>Telstra has announced it will switch off its 3G network in</w:t>
      </w:r>
      <w:r>
        <w:t xml:space="preserve"> approximately four years’ time as part of its long term transition to 5G. As part of its transition, Telstra has committed to complete its roll out of 4G technology across the country so that it matches the coverage currently provided by its 3G network before the switch</w:t>
      </w:r>
      <w:r w:rsidR="00834ADC">
        <w:t xml:space="preserve"> off</w:t>
      </w:r>
      <w:r>
        <w:t xml:space="preserve">. Given there is a current difference between the amount of 3G and 4G coverage available in the </w:t>
      </w:r>
      <w:r w:rsidR="00E032A2">
        <w:t>Grainbelt</w:t>
      </w:r>
      <w:r>
        <w:t xml:space="preserve">, it would be expected that Telstra </w:t>
      </w:r>
      <w:r w:rsidR="001B5593">
        <w:t xml:space="preserve">will </w:t>
      </w:r>
      <w:r>
        <w:t>look to upgrade some of its existing network to accommodate its proposed transition.</w:t>
      </w:r>
    </w:p>
    <w:p w14:paraId="403C4F02" w14:textId="57B4F451" w:rsidR="00D90877" w:rsidRDefault="00680BDF" w:rsidP="003500D5">
      <w:r>
        <w:t xml:space="preserve">It is important to note that this is not the first time mobile network operators have transitioned from legacy mobile technology. For example, </w:t>
      </w:r>
      <w:r w:rsidR="00733172">
        <w:t xml:space="preserve">customers were </w:t>
      </w:r>
      <w:r>
        <w:t xml:space="preserve">successfully transitioned from 2G to 3G, </w:t>
      </w:r>
      <w:r w:rsidR="006A7802">
        <w:t>before the</w:t>
      </w:r>
      <w:r w:rsidR="00733172">
        <w:t xml:space="preserve"> mobile network operators switched off their </w:t>
      </w:r>
      <w:r w:rsidDel="00733172">
        <w:t>2</w:t>
      </w:r>
      <w:r>
        <w:t>G network</w:t>
      </w:r>
      <w:r w:rsidR="001F2903">
        <w:t>.</w:t>
      </w:r>
    </w:p>
    <w:p w14:paraId="028D97E4" w14:textId="77777777" w:rsidR="004D7186" w:rsidRDefault="004D7186" w:rsidP="004D7186">
      <w:pPr>
        <w:spacing w:line="259" w:lineRule="auto"/>
      </w:pPr>
      <w:r>
        <w:lastRenderedPageBreak/>
        <w:t>The below table shows the total area and premises for 4G hand held, 3G hand held and external antenna coverage, and NBN services, in the Grainbelt.</w:t>
      </w:r>
    </w:p>
    <w:p w14:paraId="0D08C632" w14:textId="06B193A8" w:rsidR="004D7186" w:rsidRDefault="004D7186" w:rsidP="004D7186">
      <w:pPr>
        <w:pStyle w:val="Tablefigureheading"/>
      </w:pPr>
      <w:bookmarkStart w:id="66" w:name="_Toc58858027"/>
      <w:r>
        <w:t>Figure 6: Coverage in the Grainbelt area and premises covered.</w:t>
      </w:r>
      <w:bookmarkEnd w:id="66"/>
    </w:p>
    <w:tbl>
      <w:tblPr>
        <w:tblStyle w:val="PlainTable1"/>
        <w:tblW w:w="8784" w:type="dxa"/>
        <w:tblLook w:val="04A0" w:firstRow="1" w:lastRow="0" w:firstColumn="1" w:lastColumn="0" w:noHBand="0" w:noVBand="1"/>
        <w:tblDescription w:val="Figure 6: Coverage in the Grainbelt area and premises covered. The combined coverage represents the total amount of coverage or service where there is coverage or service available from at least one provider. Please note that the coverage footprint of mobile carriers overlaps in some areas."/>
      </w:tblPr>
      <w:tblGrid>
        <w:gridCol w:w="2088"/>
        <w:gridCol w:w="1558"/>
        <w:gridCol w:w="1398"/>
        <w:gridCol w:w="1071"/>
        <w:gridCol w:w="1251"/>
        <w:gridCol w:w="1418"/>
      </w:tblGrid>
      <w:tr w:rsidR="004D7186" w:rsidRPr="00B54D18" w14:paraId="79220875" w14:textId="77777777" w:rsidTr="004D718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88" w:type="dxa"/>
            <w:shd w:val="clear" w:color="auto" w:fill="D5DCE4"/>
          </w:tcPr>
          <w:p w14:paraId="24A820C5" w14:textId="77777777" w:rsidR="004D7186" w:rsidRPr="00217C11" w:rsidRDefault="004D7186" w:rsidP="00EE570B">
            <w:pPr>
              <w:pStyle w:val="Tablerowcolumnheading"/>
              <w:rPr>
                <w:b/>
              </w:rPr>
            </w:pPr>
            <w:r>
              <w:rPr>
                <w:b/>
              </w:rPr>
              <w:t>Coverage</w:t>
            </w:r>
          </w:p>
        </w:tc>
        <w:tc>
          <w:tcPr>
            <w:tcW w:w="1558" w:type="dxa"/>
            <w:shd w:val="clear" w:color="auto" w:fill="D5DCE4"/>
          </w:tcPr>
          <w:p w14:paraId="60FDDD4D" w14:textId="77777777" w:rsidR="004D7186" w:rsidRPr="00217C11" w:rsidRDefault="004D7186" w:rsidP="00EE570B">
            <w:pPr>
              <w:pStyle w:val="Tablerowcolumnheading"/>
              <w:cnfStyle w:val="100000000000" w:firstRow="1" w:lastRow="0" w:firstColumn="0" w:lastColumn="0" w:oddVBand="0" w:evenVBand="0" w:oddHBand="0" w:evenHBand="0" w:firstRowFirstColumn="0" w:firstRowLastColumn="0" w:lastRowFirstColumn="0" w:lastRowLastColumn="0"/>
              <w:rPr>
                <w:b/>
              </w:rPr>
            </w:pPr>
            <w:r>
              <w:rPr>
                <w:b/>
              </w:rPr>
              <w:t>Provider</w:t>
            </w:r>
          </w:p>
        </w:tc>
        <w:tc>
          <w:tcPr>
            <w:tcW w:w="1398" w:type="dxa"/>
            <w:shd w:val="clear" w:color="auto" w:fill="D5DCE4"/>
          </w:tcPr>
          <w:p w14:paraId="061FC953" w14:textId="0D51270F" w:rsidR="004D7186" w:rsidRPr="00217C11" w:rsidRDefault="004D7186" w:rsidP="00EE570B">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Area (sq. km)</w:t>
            </w:r>
          </w:p>
        </w:tc>
        <w:tc>
          <w:tcPr>
            <w:tcW w:w="1071" w:type="dxa"/>
            <w:shd w:val="clear" w:color="auto" w:fill="D5DCE4"/>
          </w:tcPr>
          <w:p w14:paraId="0C7B37FE" w14:textId="77777777" w:rsidR="004D7186" w:rsidRPr="00217C11" w:rsidRDefault="004D7186" w:rsidP="00EE570B">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 area coverage</w:t>
            </w:r>
          </w:p>
        </w:tc>
        <w:tc>
          <w:tcPr>
            <w:tcW w:w="1251" w:type="dxa"/>
            <w:shd w:val="clear" w:color="auto" w:fill="D5DCE4"/>
          </w:tcPr>
          <w:p w14:paraId="6E1FBFA5" w14:textId="77777777" w:rsidR="004D7186" w:rsidRPr="00217C11" w:rsidRDefault="004D7186" w:rsidP="00EE570B">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Premises</w:t>
            </w:r>
          </w:p>
        </w:tc>
        <w:tc>
          <w:tcPr>
            <w:tcW w:w="1418" w:type="dxa"/>
            <w:shd w:val="clear" w:color="auto" w:fill="D5DCE4"/>
          </w:tcPr>
          <w:p w14:paraId="53081BDE" w14:textId="77777777" w:rsidR="004D7186" w:rsidRPr="00217C11" w:rsidRDefault="004D7186" w:rsidP="00EE570B">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 premises coverage</w:t>
            </w:r>
          </w:p>
        </w:tc>
      </w:tr>
      <w:tr w:rsidR="004D7186" w:rsidRPr="00B54D18" w14:paraId="12A06326" w14:textId="77777777" w:rsidTr="004D71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88" w:type="dxa"/>
          </w:tcPr>
          <w:p w14:paraId="29AB7787" w14:textId="77777777" w:rsidR="004D7186" w:rsidRPr="00217C11" w:rsidRDefault="004D7186" w:rsidP="00EE570B">
            <w:pPr>
              <w:pStyle w:val="Tabletext"/>
              <w:rPr>
                <w:b w:val="0"/>
              </w:rPr>
            </w:pPr>
            <w:r w:rsidRPr="009D4512">
              <w:rPr>
                <w:rFonts w:cs="Segoe UI"/>
                <w:lang w:eastAsia="en-AU"/>
              </w:rPr>
              <w:t>Entire Grainbelt</w:t>
            </w:r>
          </w:p>
        </w:tc>
        <w:tc>
          <w:tcPr>
            <w:tcW w:w="1558" w:type="dxa"/>
          </w:tcPr>
          <w:p w14:paraId="321535CF" w14:textId="77777777" w:rsidR="004D7186" w:rsidRPr="00217C11" w:rsidRDefault="004D7186" w:rsidP="00EE570B">
            <w:pPr>
              <w:pStyle w:val="Tabletext"/>
              <w:cnfStyle w:val="000000100000" w:firstRow="0" w:lastRow="0" w:firstColumn="0" w:lastColumn="0" w:oddVBand="0" w:evenVBand="0" w:oddHBand="1" w:evenHBand="0" w:firstRowFirstColumn="0" w:firstRowLastColumn="0" w:lastRowFirstColumn="0" w:lastRowLastColumn="0"/>
            </w:pPr>
            <w:r w:rsidRPr="009D4512">
              <w:rPr>
                <w:rFonts w:cs="Segoe UI"/>
                <w:b/>
                <w:bCs/>
                <w:lang w:eastAsia="en-AU"/>
              </w:rPr>
              <w:t>N/A</w:t>
            </w:r>
          </w:p>
        </w:tc>
        <w:tc>
          <w:tcPr>
            <w:tcW w:w="1398" w:type="dxa"/>
          </w:tcPr>
          <w:p w14:paraId="72BE0FC7" w14:textId="77777777" w:rsidR="004D7186" w:rsidRPr="00217C11" w:rsidRDefault="004D7186" w:rsidP="00EE570B">
            <w:pPr>
              <w:pStyle w:val="Tabletextcentred"/>
              <w:cnfStyle w:val="000000100000" w:firstRow="0" w:lastRow="0" w:firstColumn="0" w:lastColumn="0" w:oddVBand="0" w:evenVBand="0" w:oddHBand="1" w:evenHBand="0" w:firstRowFirstColumn="0" w:firstRowLastColumn="0" w:lastRowFirstColumn="0" w:lastRowLastColumn="0"/>
            </w:pPr>
            <w:r w:rsidRPr="009D4512">
              <w:rPr>
                <w:rFonts w:cs="Segoe UI"/>
                <w:b/>
                <w:bCs/>
                <w:lang w:eastAsia="en-AU"/>
              </w:rPr>
              <w:t>191,626.07</w:t>
            </w:r>
          </w:p>
        </w:tc>
        <w:tc>
          <w:tcPr>
            <w:tcW w:w="1071" w:type="dxa"/>
          </w:tcPr>
          <w:p w14:paraId="00702D5F" w14:textId="77777777" w:rsidR="004D7186" w:rsidRPr="00217C11" w:rsidRDefault="004D7186" w:rsidP="00EE570B">
            <w:pPr>
              <w:pStyle w:val="Tabletextcentred"/>
              <w:cnfStyle w:val="000000100000" w:firstRow="0" w:lastRow="0" w:firstColumn="0" w:lastColumn="0" w:oddVBand="0" w:evenVBand="0" w:oddHBand="1" w:evenHBand="0" w:firstRowFirstColumn="0" w:firstRowLastColumn="0" w:lastRowFirstColumn="0" w:lastRowLastColumn="0"/>
            </w:pPr>
            <w:r w:rsidRPr="009D4512">
              <w:rPr>
                <w:rFonts w:cs="Segoe UI"/>
                <w:b/>
                <w:bCs/>
                <w:lang w:eastAsia="en-AU"/>
              </w:rPr>
              <w:t>100%</w:t>
            </w:r>
          </w:p>
        </w:tc>
        <w:tc>
          <w:tcPr>
            <w:tcW w:w="1251" w:type="dxa"/>
          </w:tcPr>
          <w:p w14:paraId="6A895486" w14:textId="77777777" w:rsidR="004D7186" w:rsidRPr="00217C11" w:rsidRDefault="004D7186" w:rsidP="00EE570B">
            <w:pPr>
              <w:pStyle w:val="Tabletextcentred"/>
              <w:cnfStyle w:val="000000100000" w:firstRow="0" w:lastRow="0" w:firstColumn="0" w:lastColumn="0" w:oddVBand="0" w:evenVBand="0" w:oddHBand="1" w:evenHBand="0" w:firstRowFirstColumn="0" w:firstRowLastColumn="0" w:lastRowFirstColumn="0" w:lastRowLastColumn="0"/>
            </w:pPr>
            <w:r w:rsidRPr="009D4512">
              <w:rPr>
                <w:rFonts w:cs="Segoe UI"/>
                <w:b/>
                <w:bCs/>
                <w:lang w:eastAsia="en-AU"/>
              </w:rPr>
              <w:t>94,431</w:t>
            </w:r>
          </w:p>
        </w:tc>
        <w:tc>
          <w:tcPr>
            <w:tcW w:w="1418" w:type="dxa"/>
          </w:tcPr>
          <w:p w14:paraId="317C8FAB" w14:textId="77777777" w:rsidR="004D7186" w:rsidRPr="00217C11" w:rsidRDefault="004D7186" w:rsidP="00EE570B">
            <w:pPr>
              <w:pStyle w:val="Tabletextcentred"/>
              <w:cnfStyle w:val="000000100000" w:firstRow="0" w:lastRow="0" w:firstColumn="0" w:lastColumn="0" w:oddVBand="0" w:evenVBand="0" w:oddHBand="1" w:evenHBand="0" w:firstRowFirstColumn="0" w:firstRowLastColumn="0" w:lastRowFirstColumn="0" w:lastRowLastColumn="0"/>
            </w:pPr>
            <w:r w:rsidRPr="009D4512">
              <w:rPr>
                <w:rFonts w:cs="Segoe UI"/>
                <w:b/>
                <w:bCs/>
                <w:lang w:eastAsia="en-AU"/>
              </w:rPr>
              <w:t>100%</w:t>
            </w:r>
          </w:p>
        </w:tc>
      </w:tr>
      <w:tr w:rsidR="004D7186" w:rsidRPr="00B54D18" w14:paraId="5AB38AA8" w14:textId="77777777" w:rsidTr="004D7186">
        <w:trPr>
          <w:cantSplit/>
        </w:trPr>
        <w:tc>
          <w:tcPr>
            <w:cnfStyle w:val="001000000000" w:firstRow="0" w:lastRow="0" w:firstColumn="1" w:lastColumn="0" w:oddVBand="0" w:evenVBand="0" w:oddHBand="0" w:evenHBand="0" w:firstRowFirstColumn="0" w:firstRowLastColumn="0" w:lastRowFirstColumn="0" w:lastRowLastColumn="0"/>
            <w:tcW w:w="2088" w:type="dxa"/>
          </w:tcPr>
          <w:p w14:paraId="2E085BFB" w14:textId="77777777" w:rsidR="004D7186" w:rsidRPr="002455EA" w:rsidRDefault="004D7186" w:rsidP="00EE570B">
            <w:pPr>
              <w:pStyle w:val="Tabletext"/>
              <w:rPr>
                <w:b w:val="0"/>
              </w:rPr>
            </w:pPr>
            <w:r w:rsidRPr="002455EA">
              <w:rPr>
                <w:rFonts w:cs="Segoe UI"/>
                <w:b w:val="0"/>
                <w:color w:val="000000"/>
                <w:lang w:eastAsia="en-AU"/>
              </w:rPr>
              <w:t xml:space="preserve">4G hand held </w:t>
            </w:r>
          </w:p>
        </w:tc>
        <w:tc>
          <w:tcPr>
            <w:tcW w:w="1558" w:type="dxa"/>
          </w:tcPr>
          <w:p w14:paraId="11BD8859" w14:textId="77777777" w:rsidR="004D7186" w:rsidRPr="00217C11" w:rsidRDefault="004D7186" w:rsidP="00EE570B">
            <w:pPr>
              <w:pStyle w:val="Tabletext"/>
              <w:cnfStyle w:val="000000000000" w:firstRow="0" w:lastRow="0" w:firstColumn="0" w:lastColumn="0" w:oddVBand="0" w:evenVBand="0" w:oddHBand="0" w:evenHBand="0" w:firstRowFirstColumn="0" w:firstRowLastColumn="0" w:lastRowFirstColumn="0" w:lastRowLastColumn="0"/>
            </w:pPr>
            <w:r w:rsidRPr="00C805F6">
              <w:rPr>
                <w:rFonts w:cs="Segoe UI"/>
                <w:iCs/>
                <w:color w:val="000000"/>
                <w:lang w:eastAsia="en-AU"/>
              </w:rPr>
              <w:t>Combined</w:t>
            </w:r>
            <w:r>
              <w:rPr>
                <w:rFonts w:cs="Segoe UI"/>
                <w:iCs/>
                <w:color w:val="000000"/>
                <w:lang w:eastAsia="en-AU"/>
              </w:rPr>
              <w:t xml:space="preserve"> Coverage</w:t>
            </w:r>
          </w:p>
        </w:tc>
        <w:tc>
          <w:tcPr>
            <w:tcW w:w="1398" w:type="dxa"/>
          </w:tcPr>
          <w:p w14:paraId="2F2481D8" w14:textId="77777777" w:rsidR="004D7186" w:rsidRPr="00217C11" w:rsidRDefault="004D7186" w:rsidP="00EE570B">
            <w:pPr>
              <w:pStyle w:val="Tabletextcentred"/>
              <w:cnfStyle w:val="000000000000" w:firstRow="0" w:lastRow="0" w:firstColumn="0" w:lastColumn="0" w:oddVBand="0" w:evenVBand="0" w:oddHBand="0" w:evenHBand="0" w:firstRowFirstColumn="0" w:firstRowLastColumn="0" w:lastRowFirstColumn="0" w:lastRowLastColumn="0"/>
            </w:pPr>
            <w:r w:rsidRPr="00FD4088">
              <w:rPr>
                <w:rFonts w:cs="Segoe UI"/>
                <w:lang w:eastAsia="en-AU"/>
              </w:rPr>
              <w:t>101,992.60</w:t>
            </w:r>
          </w:p>
        </w:tc>
        <w:tc>
          <w:tcPr>
            <w:tcW w:w="1071" w:type="dxa"/>
          </w:tcPr>
          <w:p w14:paraId="26960832" w14:textId="77777777" w:rsidR="004D7186" w:rsidRPr="00217C11" w:rsidRDefault="004D7186" w:rsidP="00EE570B">
            <w:pPr>
              <w:pStyle w:val="Tabletextcentred"/>
              <w:cnfStyle w:val="000000000000" w:firstRow="0" w:lastRow="0" w:firstColumn="0" w:lastColumn="0" w:oddVBand="0" w:evenVBand="0" w:oddHBand="0" w:evenHBand="0" w:firstRowFirstColumn="0" w:firstRowLastColumn="0" w:lastRowFirstColumn="0" w:lastRowLastColumn="0"/>
            </w:pPr>
            <w:r w:rsidRPr="00FD4088">
              <w:rPr>
                <w:rFonts w:cs="Segoe UI"/>
                <w:lang w:eastAsia="en-AU"/>
              </w:rPr>
              <w:t>53%</w:t>
            </w:r>
          </w:p>
        </w:tc>
        <w:tc>
          <w:tcPr>
            <w:tcW w:w="1251" w:type="dxa"/>
          </w:tcPr>
          <w:p w14:paraId="64C54000" w14:textId="77777777" w:rsidR="004D7186" w:rsidRPr="00217C11" w:rsidRDefault="004D7186" w:rsidP="00EE570B">
            <w:pPr>
              <w:pStyle w:val="Tabletextcentred"/>
              <w:cnfStyle w:val="000000000000" w:firstRow="0" w:lastRow="0" w:firstColumn="0" w:lastColumn="0" w:oddVBand="0" w:evenVBand="0" w:oddHBand="0" w:evenHBand="0" w:firstRowFirstColumn="0" w:firstRowLastColumn="0" w:lastRowFirstColumn="0" w:lastRowLastColumn="0"/>
            </w:pPr>
            <w:r w:rsidRPr="00FD4088">
              <w:rPr>
                <w:rFonts w:cs="Segoe UI"/>
                <w:lang w:eastAsia="en-AU"/>
              </w:rPr>
              <w:t>85,855</w:t>
            </w:r>
          </w:p>
        </w:tc>
        <w:tc>
          <w:tcPr>
            <w:tcW w:w="1418" w:type="dxa"/>
          </w:tcPr>
          <w:p w14:paraId="7E353808" w14:textId="77777777" w:rsidR="004D7186" w:rsidRPr="00217C11" w:rsidRDefault="004D7186" w:rsidP="00EE570B">
            <w:pPr>
              <w:pStyle w:val="Tabletextcentred"/>
              <w:cnfStyle w:val="000000000000" w:firstRow="0" w:lastRow="0" w:firstColumn="0" w:lastColumn="0" w:oddVBand="0" w:evenVBand="0" w:oddHBand="0" w:evenHBand="0" w:firstRowFirstColumn="0" w:firstRowLastColumn="0" w:lastRowFirstColumn="0" w:lastRowLastColumn="0"/>
            </w:pPr>
            <w:r w:rsidRPr="00FD4088">
              <w:rPr>
                <w:rFonts w:cs="Segoe UI"/>
                <w:lang w:eastAsia="en-AU"/>
              </w:rPr>
              <w:t>91%</w:t>
            </w:r>
          </w:p>
        </w:tc>
      </w:tr>
      <w:tr w:rsidR="004D7186" w:rsidRPr="00B54D18" w14:paraId="754EED51" w14:textId="77777777" w:rsidTr="004D71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88" w:type="dxa"/>
          </w:tcPr>
          <w:p w14:paraId="34DB43B2" w14:textId="77777777" w:rsidR="004D7186" w:rsidRPr="002455EA" w:rsidRDefault="004D7186" w:rsidP="00EE570B">
            <w:pPr>
              <w:pStyle w:val="Tabletext"/>
              <w:rPr>
                <w:b w:val="0"/>
              </w:rPr>
            </w:pPr>
            <w:r w:rsidRPr="002455EA">
              <w:rPr>
                <w:rFonts w:cs="Segoe UI"/>
                <w:b w:val="0"/>
                <w:color w:val="000000"/>
                <w:lang w:eastAsia="en-AU"/>
              </w:rPr>
              <w:t>3G hand held</w:t>
            </w:r>
          </w:p>
        </w:tc>
        <w:tc>
          <w:tcPr>
            <w:tcW w:w="1558" w:type="dxa"/>
          </w:tcPr>
          <w:p w14:paraId="5AC0D662" w14:textId="77777777" w:rsidR="004D7186" w:rsidRPr="00217C11" w:rsidRDefault="004D7186" w:rsidP="00EE570B">
            <w:pPr>
              <w:pStyle w:val="Tabletext"/>
              <w:cnfStyle w:val="000000100000" w:firstRow="0" w:lastRow="0" w:firstColumn="0" w:lastColumn="0" w:oddVBand="0" w:evenVBand="0" w:oddHBand="1" w:evenHBand="0" w:firstRowFirstColumn="0" w:firstRowLastColumn="0" w:lastRowFirstColumn="0" w:lastRowLastColumn="0"/>
            </w:pPr>
            <w:r w:rsidRPr="00FD4088">
              <w:rPr>
                <w:rFonts w:cs="Segoe UI"/>
                <w:lang w:eastAsia="en-AU"/>
              </w:rPr>
              <w:t>Combined Coverage</w:t>
            </w:r>
          </w:p>
        </w:tc>
        <w:tc>
          <w:tcPr>
            <w:tcW w:w="1398" w:type="dxa"/>
          </w:tcPr>
          <w:p w14:paraId="32ED5BD2" w14:textId="77777777" w:rsidR="004D7186" w:rsidRPr="00217C11" w:rsidRDefault="004D7186" w:rsidP="00EE570B">
            <w:pPr>
              <w:pStyle w:val="Tabletextcentred"/>
              <w:cnfStyle w:val="000000100000" w:firstRow="0" w:lastRow="0" w:firstColumn="0" w:lastColumn="0" w:oddVBand="0" w:evenVBand="0" w:oddHBand="1" w:evenHBand="0" w:firstRowFirstColumn="0" w:firstRowLastColumn="0" w:lastRowFirstColumn="0" w:lastRowLastColumn="0"/>
            </w:pPr>
            <w:r w:rsidRPr="00FD4088">
              <w:rPr>
                <w:rFonts w:cs="Segoe UI"/>
                <w:lang w:eastAsia="en-AU"/>
              </w:rPr>
              <w:t>141,531.43</w:t>
            </w:r>
          </w:p>
        </w:tc>
        <w:tc>
          <w:tcPr>
            <w:tcW w:w="1071" w:type="dxa"/>
          </w:tcPr>
          <w:p w14:paraId="56E8688B" w14:textId="77777777" w:rsidR="004D7186" w:rsidRPr="00217C11" w:rsidRDefault="004D7186" w:rsidP="00EE570B">
            <w:pPr>
              <w:pStyle w:val="Tabletextcentred"/>
              <w:cnfStyle w:val="000000100000" w:firstRow="0" w:lastRow="0" w:firstColumn="0" w:lastColumn="0" w:oddVBand="0" w:evenVBand="0" w:oddHBand="1" w:evenHBand="0" w:firstRowFirstColumn="0" w:firstRowLastColumn="0" w:lastRowFirstColumn="0" w:lastRowLastColumn="0"/>
            </w:pPr>
            <w:r w:rsidRPr="00FD4088">
              <w:rPr>
                <w:rFonts w:cs="Segoe UI"/>
                <w:lang w:eastAsia="en-AU"/>
              </w:rPr>
              <w:t>74%</w:t>
            </w:r>
          </w:p>
        </w:tc>
        <w:tc>
          <w:tcPr>
            <w:tcW w:w="1251" w:type="dxa"/>
          </w:tcPr>
          <w:p w14:paraId="2CFF93DC" w14:textId="77777777" w:rsidR="004D7186" w:rsidRPr="00217C11" w:rsidRDefault="004D7186" w:rsidP="00EE570B">
            <w:pPr>
              <w:pStyle w:val="Tabletextcentred"/>
              <w:cnfStyle w:val="000000100000" w:firstRow="0" w:lastRow="0" w:firstColumn="0" w:lastColumn="0" w:oddVBand="0" w:evenVBand="0" w:oddHBand="1" w:evenHBand="0" w:firstRowFirstColumn="0" w:firstRowLastColumn="0" w:lastRowFirstColumn="0" w:lastRowLastColumn="0"/>
            </w:pPr>
            <w:r w:rsidRPr="00FD4088">
              <w:rPr>
                <w:rFonts w:cs="Segoe UI"/>
                <w:lang w:eastAsia="en-AU"/>
              </w:rPr>
              <w:t>90,801</w:t>
            </w:r>
          </w:p>
        </w:tc>
        <w:tc>
          <w:tcPr>
            <w:tcW w:w="1418" w:type="dxa"/>
          </w:tcPr>
          <w:p w14:paraId="63D81FF5" w14:textId="77777777" w:rsidR="004D7186" w:rsidRPr="00217C11" w:rsidRDefault="004D7186" w:rsidP="00EE570B">
            <w:pPr>
              <w:pStyle w:val="Tabletextcentred"/>
              <w:cnfStyle w:val="000000100000" w:firstRow="0" w:lastRow="0" w:firstColumn="0" w:lastColumn="0" w:oddVBand="0" w:evenVBand="0" w:oddHBand="1" w:evenHBand="0" w:firstRowFirstColumn="0" w:firstRowLastColumn="0" w:lastRowFirstColumn="0" w:lastRowLastColumn="0"/>
            </w:pPr>
            <w:r w:rsidRPr="00FD4088">
              <w:rPr>
                <w:rFonts w:cs="Segoe UI"/>
                <w:lang w:eastAsia="en-AU"/>
              </w:rPr>
              <w:t>96%</w:t>
            </w:r>
          </w:p>
        </w:tc>
      </w:tr>
      <w:tr w:rsidR="004D7186" w:rsidRPr="00B54D18" w14:paraId="19091D09" w14:textId="77777777" w:rsidTr="004D7186">
        <w:trPr>
          <w:cantSplit/>
        </w:trPr>
        <w:tc>
          <w:tcPr>
            <w:cnfStyle w:val="001000000000" w:firstRow="0" w:lastRow="0" w:firstColumn="1" w:lastColumn="0" w:oddVBand="0" w:evenVBand="0" w:oddHBand="0" w:evenHBand="0" w:firstRowFirstColumn="0" w:firstRowLastColumn="0" w:lastRowFirstColumn="0" w:lastRowLastColumn="0"/>
            <w:tcW w:w="2088" w:type="dxa"/>
          </w:tcPr>
          <w:p w14:paraId="6FF32B2B" w14:textId="77777777" w:rsidR="004D7186" w:rsidRPr="002455EA" w:rsidRDefault="004D7186" w:rsidP="00EE570B">
            <w:pPr>
              <w:pStyle w:val="Tabletext"/>
              <w:rPr>
                <w:b w:val="0"/>
              </w:rPr>
            </w:pPr>
            <w:r w:rsidRPr="002455EA">
              <w:rPr>
                <w:rFonts w:cs="Segoe UI"/>
                <w:b w:val="0"/>
                <w:color w:val="000000"/>
                <w:lang w:eastAsia="en-AU"/>
              </w:rPr>
              <w:t>3G external antenna</w:t>
            </w:r>
          </w:p>
        </w:tc>
        <w:tc>
          <w:tcPr>
            <w:tcW w:w="1558" w:type="dxa"/>
          </w:tcPr>
          <w:p w14:paraId="5ECBFC71" w14:textId="77777777" w:rsidR="004D7186" w:rsidRPr="00217C11" w:rsidRDefault="004D7186" w:rsidP="00EE570B">
            <w:pPr>
              <w:pStyle w:val="Tabletext"/>
              <w:cnfStyle w:val="000000000000" w:firstRow="0" w:lastRow="0" w:firstColumn="0" w:lastColumn="0" w:oddVBand="0" w:evenVBand="0" w:oddHBand="0" w:evenHBand="0" w:firstRowFirstColumn="0" w:firstRowLastColumn="0" w:lastRowFirstColumn="0" w:lastRowLastColumn="0"/>
            </w:pPr>
            <w:r w:rsidRPr="00C805F6">
              <w:rPr>
                <w:rFonts w:cs="Segoe UI"/>
                <w:iCs/>
                <w:lang w:eastAsia="en-AU"/>
              </w:rPr>
              <w:t>Combined</w:t>
            </w:r>
            <w:r>
              <w:rPr>
                <w:rFonts w:cs="Segoe UI"/>
                <w:iCs/>
                <w:lang w:eastAsia="en-AU"/>
              </w:rPr>
              <w:t xml:space="preserve"> Coverage</w:t>
            </w:r>
          </w:p>
        </w:tc>
        <w:tc>
          <w:tcPr>
            <w:tcW w:w="1398" w:type="dxa"/>
          </w:tcPr>
          <w:p w14:paraId="52A06393" w14:textId="77777777" w:rsidR="004D7186" w:rsidRPr="00217C11" w:rsidRDefault="004D7186" w:rsidP="00EE570B">
            <w:pPr>
              <w:pStyle w:val="Tabletextcentred"/>
              <w:cnfStyle w:val="000000000000" w:firstRow="0" w:lastRow="0" w:firstColumn="0" w:lastColumn="0" w:oddVBand="0" w:evenVBand="0" w:oddHBand="0" w:evenHBand="0" w:firstRowFirstColumn="0" w:firstRowLastColumn="0" w:lastRowFirstColumn="0" w:lastRowLastColumn="0"/>
            </w:pPr>
            <w:r w:rsidRPr="00FD4088">
              <w:rPr>
                <w:rFonts w:cs="Segoe UI"/>
                <w:lang w:eastAsia="en-AU"/>
              </w:rPr>
              <w:t>184,505.25</w:t>
            </w:r>
          </w:p>
        </w:tc>
        <w:tc>
          <w:tcPr>
            <w:tcW w:w="1071" w:type="dxa"/>
          </w:tcPr>
          <w:p w14:paraId="6E18E726" w14:textId="77777777" w:rsidR="004D7186" w:rsidRPr="00217C11" w:rsidRDefault="004D7186" w:rsidP="00EE570B">
            <w:pPr>
              <w:pStyle w:val="Tabletextcentred"/>
              <w:cnfStyle w:val="000000000000" w:firstRow="0" w:lastRow="0" w:firstColumn="0" w:lastColumn="0" w:oddVBand="0" w:evenVBand="0" w:oddHBand="0" w:evenHBand="0" w:firstRowFirstColumn="0" w:firstRowLastColumn="0" w:lastRowFirstColumn="0" w:lastRowLastColumn="0"/>
            </w:pPr>
            <w:r w:rsidRPr="00FD4088">
              <w:rPr>
                <w:rFonts w:cs="Segoe UI"/>
                <w:lang w:eastAsia="en-AU"/>
              </w:rPr>
              <w:t>96%</w:t>
            </w:r>
          </w:p>
        </w:tc>
        <w:tc>
          <w:tcPr>
            <w:tcW w:w="1251" w:type="dxa"/>
          </w:tcPr>
          <w:p w14:paraId="4C689A76" w14:textId="77777777" w:rsidR="004D7186" w:rsidRPr="00217C11" w:rsidRDefault="004D7186" w:rsidP="00EE570B">
            <w:pPr>
              <w:pStyle w:val="Tabletextcentred"/>
              <w:cnfStyle w:val="000000000000" w:firstRow="0" w:lastRow="0" w:firstColumn="0" w:lastColumn="0" w:oddVBand="0" w:evenVBand="0" w:oddHBand="0" w:evenHBand="0" w:firstRowFirstColumn="0" w:firstRowLastColumn="0" w:lastRowFirstColumn="0" w:lastRowLastColumn="0"/>
            </w:pPr>
            <w:r w:rsidRPr="00FD4088">
              <w:rPr>
                <w:rFonts w:cs="Segoe UI"/>
                <w:lang w:eastAsia="en-AU"/>
              </w:rPr>
              <w:t>93,908</w:t>
            </w:r>
          </w:p>
        </w:tc>
        <w:tc>
          <w:tcPr>
            <w:tcW w:w="1418" w:type="dxa"/>
          </w:tcPr>
          <w:p w14:paraId="63FA6BDE" w14:textId="77777777" w:rsidR="004D7186" w:rsidRPr="00217C11" w:rsidRDefault="004D7186" w:rsidP="00EE570B">
            <w:pPr>
              <w:pStyle w:val="Tabletextcentred"/>
              <w:cnfStyle w:val="000000000000" w:firstRow="0" w:lastRow="0" w:firstColumn="0" w:lastColumn="0" w:oddVBand="0" w:evenVBand="0" w:oddHBand="0" w:evenHBand="0" w:firstRowFirstColumn="0" w:firstRowLastColumn="0" w:lastRowFirstColumn="0" w:lastRowLastColumn="0"/>
            </w:pPr>
            <w:r w:rsidRPr="00FD4088">
              <w:rPr>
                <w:rFonts w:cs="Segoe UI"/>
                <w:lang w:eastAsia="en-AU"/>
              </w:rPr>
              <w:t>99%</w:t>
            </w:r>
          </w:p>
        </w:tc>
      </w:tr>
      <w:tr w:rsidR="004D7186" w:rsidRPr="00B54D18" w14:paraId="622DEC49" w14:textId="77777777" w:rsidTr="004D71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88" w:type="dxa"/>
          </w:tcPr>
          <w:p w14:paraId="0DAB9FA4" w14:textId="77777777" w:rsidR="004D7186" w:rsidRPr="002455EA" w:rsidRDefault="004D7186" w:rsidP="00EE570B">
            <w:pPr>
              <w:pStyle w:val="Tabletext"/>
              <w:rPr>
                <w:rFonts w:cs="Segoe UI"/>
                <w:b w:val="0"/>
                <w:color w:val="000000"/>
                <w:lang w:eastAsia="en-AU"/>
              </w:rPr>
            </w:pPr>
            <w:r w:rsidRPr="002455EA">
              <w:rPr>
                <w:rFonts w:cs="Segoe UI"/>
                <w:b w:val="0"/>
                <w:color w:val="000000"/>
                <w:lang w:eastAsia="en-AU"/>
              </w:rPr>
              <w:t>3G external antenna</w:t>
            </w:r>
          </w:p>
        </w:tc>
        <w:tc>
          <w:tcPr>
            <w:tcW w:w="1558" w:type="dxa"/>
          </w:tcPr>
          <w:p w14:paraId="0C1800FE" w14:textId="77777777" w:rsidR="004D7186" w:rsidRPr="00217C11" w:rsidRDefault="004D7186" w:rsidP="00EE570B">
            <w:pPr>
              <w:pStyle w:val="Tabletext"/>
              <w:cnfStyle w:val="000000100000" w:firstRow="0" w:lastRow="0" w:firstColumn="0" w:lastColumn="0" w:oddVBand="0" w:evenVBand="0" w:oddHBand="1" w:evenHBand="0" w:firstRowFirstColumn="0" w:firstRowLastColumn="0" w:lastRowFirstColumn="0" w:lastRowLastColumn="0"/>
            </w:pPr>
            <w:r w:rsidRPr="009D4512">
              <w:rPr>
                <w:rFonts w:cs="Segoe UI"/>
                <w:color w:val="000000"/>
                <w:lang w:eastAsia="en-AU"/>
              </w:rPr>
              <w:t>Fixe Line</w:t>
            </w:r>
          </w:p>
        </w:tc>
        <w:tc>
          <w:tcPr>
            <w:tcW w:w="1398" w:type="dxa"/>
          </w:tcPr>
          <w:p w14:paraId="0FEABC69" w14:textId="77777777" w:rsidR="004D7186" w:rsidRPr="00217C11" w:rsidRDefault="004D7186" w:rsidP="00EE570B">
            <w:pPr>
              <w:pStyle w:val="Tabletextcentred"/>
              <w:cnfStyle w:val="000000100000" w:firstRow="0" w:lastRow="0" w:firstColumn="0" w:lastColumn="0" w:oddVBand="0" w:evenVBand="0" w:oddHBand="1" w:evenHBand="0" w:firstRowFirstColumn="0" w:firstRowLastColumn="0" w:lastRowFirstColumn="0" w:lastRowLastColumn="0"/>
            </w:pPr>
            <w:r w:rsidRPr="00247D45">
              <w:rPr>
                <w:rFonts w:cs="Segoe UI"/>
                <w:color w:val="000000"/>
                <w:lang w:eastAsia="en-AU"/>
              </w:rPr>
              <w:t>142.693</w:t>
            </w:r>
          </w:p>
        </w:tc>
        <w:tc>
          <w:tcPr>
            <w:tcW w:w="1071" w:type="dxa"/>
          </w:tcPr>
          <w:p w14:paraId="3B4ABB19" w14:textId="77777777" w:rsidR="004D7186" w:rsidRPr="00217C11" w:rsidRDefault="004D7186" w:rsidP="00EE570B">
            <w:pPr>
              <w:pStyle w:val="Tabletextcentred"/>
              <w:cnfStyle w:val="000000100000" w:firstRow="0" w:lastRow="0" w:firstColumn="0" w:lastColumn="0" w:oddVBand="0" w:evenVBand="0" w:oddHBand="1" w:evenHBand="0" w:firstRowFirstColumn="0" w:firstRowLastColumn="0" w:lastRowFirstColumn="0" w:lastRowLastColumn="0"/>
            </w:pPr>
            <w:r w:rsidRPr="00247D45">
              <w:rPr>
                <w:rFonts w:cs="Segoe UI"/>
                <w:color w:val="000000"/>
                <w:lang w:eastAsia="en-AU"/>
              </w:rPr>
              <w:t>0.074%</w:t>
            </w:r>
          </w:p>
        </w:tc>
        <w:tc>
          <w:tcPr>
            <w:tcW w:w="1251" w:type="dxa"/>
          </w:tcPr>
          <w:p w14:paraId="3CF87557" w14:textId="77777777" w:rsidR="004D7186" w:rsidRPr="00217C11" w:rsidRDefault="004D7186" w:rsidP="00EE570B">
            <w:pPr>
              <w:pStyle w:val="Tabletextcentred"/>
              <w:cnfStyle w:val="000000100000" w:firstRow="0" w:lastRow="0" w:firstColumn="0" w:lastColumn="0" w:oddVBand="0" w:evenVBand="0" w:oddHBand="1" w:evenHBand="0" w:firstRowFirstColumn="0" w:firstRowLastColumn="0" w:lastRowFirstColumn="0" w:lastRowLastColumn="0"/>
            </w:pPr>
            <w:r w:rsidRPr="00247D45">
              <w:rPr>
                <w:rFonts w:cs="Segoe UI"/>
                <w:color w:val="000000"/>
                <w:lang w:eastAsia="en-AU"/>
              </w:rPr>
              <w:t>41,745</w:t>
            </w:r>
          </w:p>
        </w:tc>
        <w:tc>
          <w:tcPr>
            <w:tcW w:w="1418" w:type="dxa"/>
          </w:tcPr>
          <w:p w14:paraId="22BA5A7B" w14:textId="77777777" w:rsidR="004D7186" w:rsidRPr="00217C11" w:rsidRDefault="004D7186" w:rsidP="00EE570B">
            <w:pPr>
              <w:pStyle w:val="Tabletextcentred"/>
              <w:cnfStyle w:val="000000100000" w:firstRow="0" w:lastRow="0" w:firstColumn="0" w:lastColumn="0" w:oddVBand="0" w:evenVBand="0" w:oddHBand="1" w:evenHBand="0" w:firstRowFirstColumn="0" w:firstRowLastColumn="0" w:lastRowFirstColumn="0" w:lastRowLastColumn="0"/>
            </w:pPr>
            <w:r w:rsidRPr="00247D45">
              <w:rPr>
                <w:rFonts w:cs="Segoe UI"/>
                <w:color w:val="000000"/>
                <w:lang w:eastAsia="en-AU"/>
              </w:rPr>
              <w:t>44%</w:t>
            </w:r>
          </w:p>
        </w:tc>
      </w:tr>
      <w:tr w:rsidR="004D7186" w:rsidRPr="00B54D18" w14:paraId="09A9348F" w14:textId="77777777" w:rsidTr="004D7186">
        <w:trPr>
          <w:cantSplit/>
        </w:trPr>
        <w:tc>
          <w:tcPr>
            <w:cnfStyle w:val="001000000000" w:firstRow="0" w:lastRow="0" w:firstColumn="1" w:lastColumn="0" w:oddVBand="0" w:evenVBand="0" w:oddHBand="0" w:evenHBand="0" w:firstRowFirstColumn="0" w:firstRowLastColumn="0" w:lastRowFirstColumn="0" w:lastRowLastColumn="0"/>
            <w:tcW w:w="2088" w:type="dxa"/>
          </w:tcPr>
          <w:p w14:paraId="16CE90ED" w14:textId="77777777" w:rsidR="004D7186" w:rsidRPr="002455EA" w:rsidRDefault="004D7186" w:rsidP="00EE570B">
            <w:pPr>
              <w:pStyle w:val="Tabletext"/>
              <w:rPr>
                <w:rFonts w:cs="Segoe UI"/>
                <w:b w:val="0"/>
                <w:color w:val="000000"/>
                <w:lang w:eastAsia="en-AU"/>
              </w:rPr>
            </w:pPr>
            <w:r w:rsidRPr="002455EA">
              <w:rPr>
                <w:rFonts w:cs="Segoe UI"/>
                <w:b w:val="0"/>
                <w:color w:val="000000"/>
                <w:lang w:eastAsia="en-AU"/>
              </w:rPr>
              <w:t>3G external antenna</w:t>
            </w:r>
          </w:p>
        </w:tc>
        <w:tc>
          <w:tcPr>
            <w:tcW w:w="1558" w:type="dxa"/>
          </w:tcPr>
          <w:p w14:paraId="0D9A96DD" w14:textId="77777777" w:rsidR="004D7186" w:rsidRPr="00217C11" w:rsidRDefault="004D7186" w:rsidP="00EE570B">
            <w:pPr>
              <w:pStyle w:val="Tabletext"/>
              <w:cnfStyle w:val="000000000000" w:firstRow="0" w:lastRow="0" w:firstColumn="0" w:lastColumn="0" w:oddVBand="0" w:evenVBand="0" w:oddHBand="0" w:evenHBand="0" w:firstRowFirstColumn="0" w:firstRowLastColumn="0" w:lastRowFirstColumn="0" w:lastRowLastColumn="0"/>
            </w:pPr>
            <w:r w:rsidRPr="002857C3">
              <w:rPr>
                <w:rFonts w:cs="Segoe UI"/>
                <w:color w:val="000000"/>
                <w:lang w:eastAsia="en-AU"/>
              </w:rPr>
              <w:t>Fixed Wireless</w:t>
            </w:r>
          </w:p>
        </w:tc>
        <w:tc>
          <w:tcPr>
            <w:tcW w:w="1398" w:type="dxa"/>
          </w:tcPr>
          <w:p w14:paraId="7E9A49B0" w14:textId="77777777" w:rsidR="004D7186" w:rsidRPr="00217C11" w:rsidRDefault="004D7186" w:rsidP="00EE570B">
            <w:pPr>
              <w:pStyle w:val="Tabletextcentred"/>
              <w:cnfStyle w:val="000000000000" w:firstRow="0" w:lastRow="0" w:firstColumn="0" w:lastColumn="0" w:oddVBand="0" w:evenVBand="0" w:oddHBand="0" w:evenHBand="0" w:firstRowFirstColumn="0" w:firstRowLastColumn="0" w:lastRowFirstColumn="0" w:lastRowLastColumn="0"/>
            </w:pPr>
            <w:r w:rsidRPr="00247D45">
              <w:rPr>
                <w:rFonts w:cs="Segoe UI"/>
                <w:color w:val="000000"/>
                <w:lang w:eastAsia="en-AU"/>
              </w:rPr>
              <w:t>5,795.56</w:t>
            </w:r>
          </w:p>
        </w:tc>
        <w:tc>
          <w:tcPr>
            <w:tcW w:w="1071" w:type="dxa"/>
          </w:tcPr>
          <w:p w14:paraId="0009E7FE" w14:textId="77777777" w:rsidR="004D7186" w:rsidRPr="00217C11" w:rsidRDefault="004D7186" w:rsidP="00EE570B">
            <w:pPr>
              <w:pStyle w:val="Tabletextcentred"/>
              <w:cnfStyle w:val="000000000000" w:firstRow="0" w:lastRow="0" w:firstColumn="0" w:lastColumn="0" w:oddVBand="0" w:evenVBand="0" w:oddHBand="0" w:evenHBand="0" w:firstRowFirstColumn="0" w:firstRowLastColumn="0" w:lastRowFirstColumn="0" w:lastRowLastColumn="0"/>
            </w:pPr>
            <w:r w:rsidRPr="00247D45">
              <w:rPr>
                <w:rFonts w:cs="Segoe UI"/>
                <w:color w:val="000000"/>
                <w:lang w:eastAsia="en-AU"/>
              </w:rPr>
              <w:t>3%</w:t>
            </w:r>
          </w:p>
        </w:tc>
        <w:tc>
          <w:tcPr>
            <w:tcW w:w="1251" w:type="dxa"/>
          </w:tcPr>
          <w:p w14:paraId="1715A2EA" w14:textId="77777777" w:rsidR="004D7186" w:rsidRPr="00217C11" w:rsidRDefault="004D7186" w:rsidP="00EE570B">
            <w:pPr>
              <w:pStyle w:val="Tabletextcentred"/>
              <w:cnfStyle w:val="000000000000" w:firstRow="0" w:lastRow="0" w:firstColumn="0" w:lastColumn="0" w:oddVBand="0" w:evenVBand="0" w:oddHBand="0" w:evenHBand="0" w:firstRowFirstColumn="0" w:firstRowLastColumn="0" w:lastRowFirstColumn="0" w:lastRowLastColumn="0"/>
            </w:pPr>
            <w:r w:rsidRPr="00247D45">
              <w:rPr>
                <w:rFonts w:cs="Segoe UI"/>
                <w:color w:val="000000"/>
                <w:lang w:eastAsia="en-AU"/>
              </w:rPr>
              <w:t>16,363</w:t>
            </w:r>
          </w:p>
        </w:tc>
        <w:tc>
          <w:tcPr>
            <w:tcW w:w="1418" w:type="dxa"/>
          </w:tcPr>
          <w:p w14:paraId="3417A1DC" w14:textId="77777777" w:rsidR="004D7186" w:rsidRPr="00217C11" w:rsidRDefault="004D7186" w:rsidP="00EE570B">
            <w:pPr>
              <w:pStyle w:val="Tabletextcentred"/>
              <w:cnfStyle w:val="000000000000" w:firstRow="0" w:lastRow="0" w:firstColumn="0" w:lastColumn="0" w:oddVBand="0" w:evenVBand="0" w:oddHBand="0" w:evenHBand="0" w:firstRowFirstColumn="0" w:firstRowLastColumn="0" w:lastRowFirstColumn="0" w:lastRowLastColumn="0"/>
            </w:pPr>
            <w:r w:rsidRPr="00247D45">
              <w:rPr>
                <w:rFonts w:cs="Segoe UI"/>
                <w:color w:val="000000"/>
                <w:lang w:eastAsia="en-AU"/>
              </w:rPr>
              <w:t>17%</w:t>
            </w:r>
          </w:p>
        </w:tc>
      </w:tr>
      <w:tr w:rsidR="004D7186" w:rsidRPr="00B54D18" w14:paraId="35322082" w14:textId="77777777" w:rsidTr="004D71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88" w:type="dxa"/>
          </w:tcPr>
          <w:p w14:paraId="3B5205BA" w14:textId="77777777" w:rsidR="004D7186" w:rsidRPr="002455EA" w:rsidRDefault="004D7186" w:rsidP="00EE570B">
            <w:pPr>
              <w:pStyle w:val="Tabletext"/>
              <w:rPr>
                <w:rFonts w:cs="Segoe UI"/>
                <w:b w:val="0"/>
                <w:color w:val="000000"/>
                <w:lang w:eastAsia="en-AU"/>
              </w:rPr>
            </w:pPr>
            <w:r w:rsidRPr="002455EA">
              <w:rPr>
                <w:rFonts w:cs="Segoe UI"/>
                <w:b w:val="0"/>
                <w:color w:val="000000"/>
                <w:lang w:eastAsia="en-AU"/>
              </w:rPr>
              <w:t>3G external antenna</w:t>
            </w:r>
          </w:p>
        </w:tc>
        <w:tc>
          <w:tcPr>
            <w:tcW w:w="1558" w:type="dxa"/>
          </w:tcPr>
          <w:p w14:paraId="54B277C0" w14:textId="77777777" w:rsidR="004D7186" w:rsidRPr="00217C11" w:rsidRDefault="004D7186" w:rsidP="00EE570B">
            <w:pPr>
              <w:pStyle w:val="Tabletext"/>
              <w:cnfStyle w:val="000000100000" w:firstRow="0" w:lastRow="0" w:firstColumn="0" w:lastColumn="0" w:oddVBand="0" w:evenVBand="0" w:oddHBand="1" w:evenHBand="0" w:firstRowFirstColumn="0" w:firstRowLastColumn="0" w:lastRowFirstColumn="0" w:lastRowLastColumn="0"/>
            </w:pPr>
            <w:r w:rsidRPr="002857C3">
              <w:rPr>
                <w:rFonts w:cs="Segoe UI"/>
                <w:color w:val="000000"/>
                <w:lang w:eastAsia="en-AU"/>
              </w:rPr>
              <w:t>Satellite</w:t>
            </w:r>
          </w:p>
        </w:tc>
        <w:tc>
          <w:tcPr>
            <w:tcW w:w="1398" w:type="dxa"/>
          </w:tcPr>
          <w:p w14:paraId="5DA8F004" w14:textId="77777777" w:rsidR="004D7186" w:rsidRPr="00217C11" w:rsidRDefault="004D7186" w:rsidP="00EE570B">
            <w:pPr>
              <w:pStyle w:val="Tabletextcentred"/>
              <w:cnfStyle w:val="000000100000" w:firstRow="0" w:lastRow="0" w:firstColumn="0" w:lastColumn="0" w:oddVBand="0" w:evenVBand="0" w:oddHBand="1" w:evenHBand="0" w:firstRowFirstColumn="0" w:firstRowLastColumn="0" w:lastRowFirstColumn="0" w:lastRowLastColumn="0"/>
            </w:pPr>
            <w:r w:rsidRPr="00247D45">
              <w:rPr>
                <w:rFonts w:cs="Segoe UI"/>
                <w:color w:val="000000"/>
                <w:lang w:eastAsia="en-AU"/>
              </w:rPr>
              <w:t>185,687.82</w:t>
            </w:r>
          </w:p>
        </w:tc>
        <w:tc>
          <w:tcPr>
            <w:tcW w:w="1071" w:type="dxa"/>
          </w:tcPr>
          <w:p w14:paraId="350CBF8B" w14:textId="77777777" w:rsidR="004D7186" w:rsidRPr="00217C11" w:rsidRDefault="004D7186" w:rsidP="00EE570B">
            <w:pPr>
              <w:pStyle w:val="Tabletextcentred"/>
              <w:cnfStyle w:val="000000100000" w:firstRow="0" w:lastRow="0" w:firstColumn="0" w:lastColumn="0" w:oddVBand="0" w:evenVBand="0" w:oddHBand="1" w:evenHBand="0" w:firstRowFirstColumn="0" w:firstRowLastColumn="0" w:lastRowFirstColumn="0" w:lastRowLastColumn="0"/>
            </w:pPr>
            <w:r w:rsidRPr="00247D45">
              <w:rPr>
                <w:rFonts w:cs="Segoe UI"/>
                <w:color w:val="000000"/>
                <w:lang w:eastAsia="en-AU"/>
              </w:rPr>
              <w:t>97%</w:t>
            </w:r>
          </w:p>
        </w:tc>
        <w:tc>
          <w:tcPr>
            <w:tcW w:w="1251" w:type="dxa"/>
          </w:tcPr>
          <w:p w14:paraId="451CF529" w14:textId="77777777" w:rsidR="004D7186" w:rsidRPr="00217C11" w:rsidRDefault="004D7186" w:rsidP="00EE570B">
            <w:pPr>
              <w:pStyle w:val="Tabletextcentred"/>
              <w:cnfStyle w:val="000000100000" w:firstRow="0" w:lastRow="0" w:firstColumn="0" w:lastColumn="0" w:oddVBand="0" w:evenVBand="0" w:oddHBand="1" w:evenHBand="0" w:firstRowFirstColumn="0" w:firstRowLastColumn="0" w:lastRowFirstColumn="0" w:lastRowLastColumn="0"/>
            </w:pPr>
            <w:r w:rsidRPr="00247D45">
              <w:rPr>
                <w:rFonts w:cs="Segoe UI"/>
                <w:color w:val="000000"/>
                <w:lang w:eastAsia="en-AU"/>
              </w:rPr>
              <w:t>36,323</w:t>
            </w:r>
          </w:p>
        </w:tc>
        <w:tc>
          <w:tcPr>
            <w:tcW w:w="1418" w:type="dxa"/>
          </w:tcPr>
          <w:p w14:paraId="02F6128B" w14:textId="77777777" w:rsidR="004D7186" w:rsidRPr="00217C11" w:rsidRDefault="004D7186" w:rsidP="00EE570B">
            <w:pPr>
              <w:pStyle w:val="Tabletextcentred"/>
              <w:cnfStyle w:val="000000100000" w:firstRow="0" w:lastRow="0" w:firstColumn="0" w:lastColumn="0" w:oddVBand="0" w:evenVBand="0" w:oddHBand="1" w:evenHBand="0" w:firstRowFirstColumn="0" w:firstRowLastColumn="0" w:lastRowFirstColumn="0" w:lastRowLastColumn="0"/>
            </w:pPr>
            <w:r w:rsidRPr="00247D45">
              <w:rPr>
                <w:rFonts w:cs="Segoe UI"/>
                <w:color w:val="000000"/>
                <w:lang w:eastAsia="en-AU"/>
              </w:rPr>
              <w:t>38%</w:t>
            </w:r>
          </w:p>
        </w:tc>
      </w:tr>
      <w:tr w:rsidR="004D7186" w:rsidRPr="00B54D18" w14:paraId="3C9AC531" w14:textId="77777777" w:rsidTr="004D7186">
        <w:trPr>
          <w:cantSplit/>
        </w:trPr>
        <w:tc>
          <w:tcPr>
            <w:cnfStyle w:val="001000000000" w:firstRow="0" w:lastRow="0" w:firstColumn="1" w:lastColumn="0" w:oddVBand="0" w:evenVBand="0" w:oddHBand="0" w:evenHBand="0" w:firstRowFirstColumn="0" w:firstRowLastColumn="0" w:lastRowFirstColumn="0" w:lastRowLastColumn="0"/>
            <w:tcW w:w="2088" w:type="dxa"/>
          </w:tcPr>
          <w:p w14:paraId="5F15F60A" w14:textId="77777777" w:rsidR="004D7186" w:rsidRPr="002455EA" w:rsidRDefault="004D7186" w:rsidP="00EE570B">
            <w:pPr>
              <w:pStyle w:val="Tabletext"/>
              <w:rPr>
                <w:rFonts w:cs="Segoe UI"/>
                <w:b w:val="0"/>
                <w:color w:val="000000"/>
                <w:lang w:eastAsia="en-AU"/>
              </w:rPr>
            </w:pPr>
            <w:r w:rsidRPr="002455EA">
              <w:rPr>
                <w:rFonts w:cs="Segoe UI"/>
                <w:b w:val="0"/>
                <w:color w:val="000000"/>
                <w:lang w:eastAsia="en-AU"/>
              </w:rPr>
              <w:t>3G external antenna</w:t>
            </w:r>
          </w:p>
        </w:tc>
        <w:tc>
          <w:tcPr>
            <w:tcW w:w="1558" w:type="dxa"/>
          </w:tcPr>
          <w:p w14:paraId="688CD42B" w14:textId="77777777" w:rsidR="004D7186" w:rsidRPr="00217C11" w:rsidRDefault="004D7186" w:rsidP="00EE570B">
            <w:pPr>
              <w:pStyle w:val="Tabletext"/>
              <w:cnfStyle w:val="000000000000" w:firstRow="0" w:lastRow="0" w:firstColumn="0" w:lastColumn="0" w:oddVBand="0" w:evenVBand="0" w:oddHBand="0" w:evenHBand="0" w:firstRowFirstColumn="0" w:firstRowLastColumn="0" w:lastRowFirstColumn="0" w:lastRowLastColumn="0"/>
            </w:pPr>
            <w:r w:rsidRPr="00C805F6">
              <w:rPr>
                <w:rFonts w:cs="Segoe UI"/>
                <w:iCs/>
                <w:color w:val="000000"/>
                <w:lang w:eastAsia="en-AU"/>
              </w:rPr>
              <w:t>Total</w:t>
            </w:r>
            <w:r>
              <w:rPr>
                <w:rFonts w:cs="Segoe UI"/>
                <w:iCs/>
                <w:color w:val="000000"/>
                <w:lang w:eastAsia="en-AU"/>
              </w:rPr>
              <w:t xml:space="preserve"> Coverage</w:t>
            </w:r>
          </w:p>
        </w:tc>
        <w:tc>
          <w:tcPr>
            <w:tcW w:w="1398" w:type="dxa"/>
          </w:tcPr>
          <w:p w14:paraId="7DB45D18" w14:textId="77777777" w:rsidR="004D7186" w:rsidRPr="00217C11" w:rsidRDefault="004D7186" w:rsidP="00EE570B">
            <w:pPr>
              <w:pStyle w:val="Tabletextcentred"/>
              <w:cnfStyle w:val="000000000000" w:firstRow="0" w:lastRow="0" w:firstColumn="0" w:lastColumn="0" w:oddVBand="0" w:evenVBand="0" w:oddHBand="0" w:evenHBand="0" w:firstRowFirstColumn="0" w:firstRowLastColumn="0" w:lastRowFirstColumn="0" w:lastRowLastColumn="0"/>
            </w:pPr>
            <w:r w:rsidRPr="00FD4088">
              <w:rPr>
                <w:rFonts w:cs="Segoe UI"/>
                <w:lang w:eastAsia="en-AU"/>
              </w:rPr>
              <w:t>191,626.07</w:t>
            </w:r>
          </w:p>
        </w:tc>
        <w:tc>
          <w:tcPr>
            <w:tcW w:w="1071" w:type="dxa"/>
          </w:tcPr>
          <w:p w14:paraId="0B645C01" w14:textId="77777777" w:rsidR="004D7186" w:rsidRPr="00217C11" w:rsidRDefault="004D7186" w:rsidP="00EE570B">
            <w:pPr>
              <w:pStyle w:val="Tabletextcentred"/>
              <w:cnfStyle w:val="000000000000" w:firstRow="0" w:lastRow="0" w:firstColumn="0" w:lastColumn="0" w:oddVBand="0" w:evenVBand="0" w:oddHBand="0" w:evenHBand="0" w:firstRowFirstColumn="0" w:firstRowLastColumn="0" w:lastRowFirstColumn="0" w:lastRowLastColumn="0"/>
            </w:pPr>
            <w:r w:rsidRPr="00FD4088">
              <w:rPr>
                <w:rFonts w:cs="Segoe UI"/>
                <w:color w:val="000000"/>
                <w:lang w:eastAsia="en-AU"/>
              </w:rPr>
              <w:t>100%</w:t>
            </w:r>
          </w:p>
        </w:tc>
        <w:tc>
          <w:tcPr>
            <w:tcW w:w="1251" w:type="dxa"/>
          </w:tcPr>
          <w:p w14:paraId="242A56A0" w14:textId="77777777" w:rsidR="004D7186" w:rsidRPr="00217C11" w:rsidRDefault="004D7186" w:rsidP="00EE570B">
            <w:pPr>
              <w:pStyle w:val="Tabletextcentred"/>
              <w:cnfStyle w:val="000000000000" w:firstRow="0" w:lastRow="0" w:firstColumn="0" w:lastColumn="0" w:oddVBand="0" w:evenVBand="0" w:oddHBand="0" w:evenHBand="0" w:firstRowFirstColumn="0" w:firstRowLastColumn="0" w:lastRowFirstColumn="0" w:lastRowLastColumn="0"/>
            </w:pPr>
            <w:r w:rsidRPr="00FD4088">
              <w:rPr>
                <w:rFonts w:cs="Segoe UI"/>
                <w:lang w:eastAsia="en-AU"/>
              </w:rPr>
              <w:t>94,431</w:t>
            </w:r>
          </w:p>
        </w:tc>
        <w:tc>
          <w:tcPr>
            <w:tcW w:w="1418" w:type="dxa"/>
          </w:tcPr>
          <w:p w14:paraId="0749FDD0" w14:textId="77777777" w:rsidR="004D7186" w:rsidRPr="00217C11" w:rsidRDefault="004D7186" w:rsidP="00EE570B">
            <w:pPr>
              <w:pStyle w:val="Tabletextcentred"/>
              <w:cnfStyle w:val="000000000000" w:firstRow="0" w:lastRow="0" w:firstColumn="0" w:lastColumn="0" w:oddVBand="0" w:evenVBand="0" w:oddHBand="0" w:evenHBand="0" w:firstRowFirstColumn="0" w:firstRowLastColumn="0" w:lastRowFirstColumn="0" w:lastRowLastColumn="0"/>
            </w:pPr>
            <w:r w:rsidRPr="00FD4088">
              <w:rPr>
                <w:rFonts w:cs="Segoe UI"/>
                <w:lang w:eastAsia="en-AU"/>
              </w:rPr>
              <w:t>100%</w:t>
            </w:r>
          </w:p>
        </w:tc>
      </w:tr>
    </w:tbl>
    <w:p w14:paraId="315F1201" w14:textId="1F16EEBA" w:rsidR="004D7186" w:rsidRDefault="004D7186" w:rsidP="004D7186">
      <w:pPr>
        <w:pStyle w:val="Sourcenote"/>
      </w:pPr>
      <w:r>
        <w:t>The combined coverage</w:t>
      </w:r>
      <w:r w:rsidDel="00C805F6">
        <w:t xml:space="preserve"> </w:t>
      </w:r>
      <w:r>
        <w:t>represents the total amount of coverage or service where there is coverage or service available from at least one provider. Please note that the coverage footprint of mobile carriers overlaps in some areas.</w:t>
      </w:r>
    </w:p>
    <w:p w14:paraId="748F1D4A" w14:textId="6E042DD4" w:rsidR="00D32BC5" w:rsidRDefault="004D7186" w:rsidP="004D7186">
      <w:pPr>
        <w:keepLines/>
      </w:pPr>
      <w:r>
        <w:t xml:space="preserve">The above table indicates that all premises within the Grainbelt have access to an NBN service and most have mobile coverage as well. However, there are some areas where connectivity may be improved. As discussed earlier, </w:t>
      </w:r>
      <w:r w:rsidRPr="005C4271">
        <w:t xml:space="preserve">there may be scope to increase the amount of fixed wireless coverage in the </w:t>
      </w:r>
      <w:r>
        <w:t>Grainbelt</w:t>
      </w:r>
      <w:r w:rsidRPr="005C4271">
        <w:t xml:space="preserve"> and improve connectivity in areas where currently only </w:t>
      </w:r>
      <w:r>
        <w:t>Sky Muster</w:t>
      </w:r>
      <w:r w:rsidRPr="005C4271">
        <w:t xml:space="preserve"> satellite service and mobile coverage is available.</w:t>
      </w:r>
    </w:p>
    <w:p w14:paraId="0FB3D3FD" w14:textId="77777777" w:rsidR="006115CA" w:rsidRDefault="00085C86" w:rsidP="00085C86">
      <w:pPr>
        <w:pStyle w:val="Heading4"/>
      </w:pPr>
      <w:bookmarkStart w:id="67" w:name="_Toc44927827"/>
      <w:bookmarkStart w:id="68" w:name="_Toc44944357"/>
      <w:bookmarkStart w:id="69" w:name="_Toc45023415"/>
      <w:bookmarkStart w:id="70" w:name="_Toc45030228"/>
      <w:bookmarkStart w:id="71" w:name="_Toc48647860"/>
      <w:bookmarkStart w:id="72" w:name="_Toc48654615"/>
      <w:bookmarkStart w:id="73" w:name="_Toc57650782"/>
      <w:bookmarkStart w:id="74" w:name="_Toc57708828"/>
      <w:bookmarkStart w:id="75" w:name="_Toc58855681"/>
      <w:bookmarkStart w:id="76" w:name="_Toc58858007"/>
      <w:r>
        <w:t>Summary</w:t>
      </w:r>
      <w:bookmarkEnd w:id="67"/>
      <w:bookmarkEnd w:id="68"/>
      <w:bookmarkEnd w:id="69"/>
      <w:bookmarkEnd w:id="70"/>
      <w:bookmarkEnd w:id="71"/>
      <w:bookmarkEnd w:id="72"/>
      <w:bookmarkEnd w:id="73"/>
      <w:bookmarkEnd w:id="74"/>
      <w:bookmarkEnd w:id="75"/>
      <w:bookmarkEnd w:id="76"/>
    </w:p>
    <w:p w14:paraId="507ED0F9" w14:textId="77777777" w:rsidR="002455EA" w:rsidRDefault="00BD3FC0" w:rsidP="005E48CD">
      <w:r>
        <w:t>As previously indicated, t</w:t>
      </w:r>
      <w:r w:rsidR="00085C86" w:rsidRPr="00085C86">
        <w:t xml:space="preserve">he </w:t>
      </w:r>
      <w:r w:rsidR="00431D2F">
        <w:t xml:space="preserve">less populous areas of the </w:t>
      </w:r>
      <w:r w:rsidR="00E032A2">
        <w:t>Grainbelt</w:t>
      </w:r>
      <w:r w:rsidR="00085C86" w:rsidRPr="00085C86">
        <w:t xml:space="preserve"> </w:t>
      </w:r>
      <w:r w:rsidR="00431D2F">
        <w:t>are</w:t>
      </w:r>
      <w:r w:rsidR="00431D2F" w:rsidRPr="00085C86">
        <w:t xml:space="preserve"> </w:t>
      </w:r>
      <w:r w:rsidR="00085C86" w:rsidRPr="00085C86">
        <w:t xml:space="preserve">predominantly served by </w:t>
      </w:r>
      <w:r w:rsidR="008F69F7">
        <w:t xml:space="preserve">the </w:t>
      </w:r>
      <w:r w:rsidR="003B7E2F">
        <w:t>Sky Muster</w:t>
      </w:r>
      <w:r w:rsidR="00085C86" w:rsidRPr="00085C86">
        <w:t xml:space="preserve"> satellite service, with fixed wireless services in some towns. </w:t>
      </w:r>
      <w:r w:rsidR="00431D2F">
        <w:t xml:space="preserve">The areas of large population </w:t>
      </w:r>
      <w:r w:rsidR="008F69F7">
        <w:t>such as Geraldton and Esperance also have fixed line serv</w:t>
      </w:r>
      <w:r w:rsidR="00A042F6">
        <w:t>ic</w:t>
      </w:r>
      <w:r w:rsidR="008F69F7">
        <w:t>es available with fixed wireless supporting the fringes of these larger towns.</w:t>
      </w:r>
      <w:r w:rsidR="00431D2F">
        <w:t xml:space="preserve"> </w:t>
      </w:r>
      <w:r w:rsidR="00085C86" w:rsidRPr="00085C86">
        <w:t xml:space="preserve">There </w:t>
      </w:r>
      <w:r w:rsidR="008F69F7">
        <w:t>are</w:t>
      </w:r>
      <w:r w:rsidR="008F69F7" w:rsidRPr="00085C86">
        <w:t xml:space="preserve"> </w:t>
      </w:r>
      <w:r w:rsidR="00431D2F">
        <w:t xml:space="preserve">large areas of </w:t>
      </w:r>
      <w:r w:rsidR="00085C86" w:rsidRPr="00085C86">
        <w:t>mobile coverage, mainly from Telstra and Optus,</w:t>
      </w:r>
      <w:r w:rsidR="00C75645">
        <w:t xml:space="preserve"> across most of </w:t>
      </w:r>
      <w:r w:rsidR="00DE2F45">
        <w:t>the Grainbelt</w:t>
      </w:r>
      <w:r w:rsidR="00C75645">
        <w:t xml:space="preserve"> however, </w:t>
      </w:r>
      <w:r w:rsidR="00085C86" w:rsidRPr="00085C86">
        <w:t xml:space="preserve">there </w:t>
      </w:r>
      <w:r w:rsidR="00431D2F">
        <w:t xml:space="preserve">still remains </w:t>
      </w:r>
      <w:r w:rsidR="00085C86" w:rsidRPr="00085C86">
        <w:t xml:space="preserve">some areas that have poor or no mobile coverage. </w:t>
      </w:r>
      <w:r w:rsidR="008F69F7">
        <w:t xml:space="preserve">Providing </w:t>
      </w:r>
      <w:r w:rsidR="00085C86" w:rsidRPr="00085C86">
        <w:t xml:space="preserve">improved </w:t>
      </w:r>
      <w:r w:rsidR="00C75645">
        <w:t xml:space="preserve">coverage in </w:t>
      </w:r>
      <w:r w:rsidR="008F69F7">
        <w:t xml:space="preserve">targeted </w:t>
      </w:r>
      <w:r w:rsidR="00C75645">
        <w:t xml:space="preserve">areas </w:t>
      </w:r>
      <w:r w:rsidR="009851D1">
        <w:t xml:space="preserve">will help to </w:t>
      </w:r>
      <w:r w:rsidR="00C75645">
        <w:t xml:space="preserve">support </w:t>
      </w:r>
      <w:r w:rsidR="00590A83">
        <w:t>local communities</w:t>
      </w:r>
      <w:r w:rsidR="00C75645">
        <w:t xml:space="preserve"> as well as connectivity </w:t>
      </w:r>
      <w:r w:rsidR="008F69F7">
        <w:t>required for the</w:t>
      </w:r>
      <w:r w:rsidR="00590A83">
        <w:t xml:space="preserve"> use of Internet of Things for agricultural business</w:t>
      </w:r>
      <w:r w:rsidR="002455EA">
        <w:t>.</w:t>
      </w:r>
    </w:p>
    <w:p w14:paraId="07287496" w14:textId="76E87FE1" w:rsidR="00085C86" w:rsidRDefault="00085C86" w:rsidP="00D32BC5">
      <w:pPr>
        <w:pStyle w:val="Heading2"/>
      </w:pPr>
      <w:bookmarkStart w:id="77" w:name="_Toc44927828"/>
      <w:bookmarkStart w:id="78" w:name="_Toc44944358"/>
      <w:bookmarkStart w:id="79" w:name="_Toc45023416"/>
      <w:bookmarkStart w:id="80" w:name="_Toc45030229"/>
      <w:bookmarkStart w:id="81" w:name="_Toc48647861"/>
      <w:bookmarkStart w:id="82" w:name="_Toc48654616"/>
      <w:bookmarkStart w:id="83" w:name="_Toc57650783"/>
      <w:bookmarkStart w:id="84" w:name="_Toc57708829"/>
      <w:bookmarkStart w:id="85" w:name="_Toc58855682"/>
      <w:bookmarkStart w:id="86" w:name="_Toc58858008"/>
      <w:r>
        <w:t xml:space="preserve">Connectivity needs </w:t>
      </w:r>
      <w:r w:rsidR="00590A83">
        <w:t xml:space="preserve">for Agricultural Businesses </w:t>
      </w:r>
      <w:r>
        <w:t>in the WA Grainbelt</w:t>
      </w:r>
      <w:bookmarkEnd w:id="77"/>
      <w:bookmarkEnd w:id="78"/>
      <w:bookmarkEnd w:id="79"/>
      <w:bookmarkEnd w:id="80"/>
      <w:bookmarkEnd w:id="81"/>
      <w:bookmarkEnd w:id="82"/>
      <w:bookmarkEnd w:id="83"/>
      <w:bookmarkEnd w:id="84"/>
      <w:bookmarkEnd w:id="85"/>
      <w:bookmarkEnd w:id="86"/>
    </w:p>
    <w:p w14:paraId="785DC764" w14:textId="77777777" w:rsidR="002455EA" w:rsidRDefault="00085C86" w:rsidP="00085C86">
      <w:r>
        <w:t xml:space="preserve">As previously </w:t>
      </w:r>
      <w:r w:rsidR="008F69F7">
        <w:t>set out</w:t>
      </w:r>
      <w:r>
        <w:t xml:space="preserve">, this feasibility study was commissioned in response to concerns raised by WA businesses and farming groups that the existing telecommunications infrastructure in the </w:t>
      </w:r>
      <w:r w:rsidR="00E032A2">
        <w:t>Grainbelt</w:t>
      </w:r>
      <w:r>
        <w:t xml:space="preserve"> is not sufficient for enterprise grade services</w:t>
      </w:r>
      <w:r w:rsidR="002455EA">
        <w:t>.</w:t>
      </w:r>
    </w:p>
    <w:p w14:paraId="3DA73703" w14:textId="77777777" w:rsidR="002455EA" w:rsidRDefault="00085C86" w:rsidP="005E48CD">
      <w:r>
        <w:t xml:space="preserve">There are concerns that a lack of connectivity is holding back productivity by not offering sufficient connectivity to support the adoption of digital farm technologies for agricultural and pastoral businesses in regional </w:t>
      </w:r>
      <w:r w:rsidR="008F69F7">
        <w:t>WA</w:t>
      </w:r>
      <w:r>
        <w:t>. The following will discuss the connectivity requirements for digital technologies used for agricultural purposes.</w:t>
      </w:r>
      <w:bookmarkStart w:id="87" w:name="_Toc44927829"/>
      <w:bookmarkStart w:id="88" w:name="_Toc44944359"/>
      <w:bookmarkStart w:id="89" w:name="_Toc45023417"/>
      <w:bookmarkStart w:id="90" w:name="_Toc45030230"/>
    </w:p>
    <w:p w14:paraId="1DEFF4B0" w14:textId="23DBADCC" w:rsidR="00085C86" w:rsidRPr="00772C27" w:rsidRDefault="00353B0E" w:rsidP="00085C86">
      <w:pPr>
        <w:pStyle w:val="Heading3"/>
      </w:pPr>
      <w:bookmarkStart w:id="91" w:name="_Toc48647862"/>
      <w:bookmarkStart w:id="92" w:name="_Toc48654617"/>
      <w:bookmarkStart w:id="93" w:name="_Toc57650784"/>
      <w:bookmarkStart w:id="94" w:name="_Toc57708830"/>
      <w:bookmarkStart w:id="95" w:name="_Toc58855683"/>
      <w:bookmarkStart w:id="96" w:name="_Toc58858009"/>
      <w:r>
        <w:t xml:space="preserve">Digital farms: the use of </w:t>
      </w:r>
      <w:proofErr w:type="spellStart"/>
      <w:r>
        <w:t>IoT</w:t>
      </w:r>
      <w:proofErr w:type="spellEnd"/>
      <w:r>
        <w:t xml:space="preserve"> </w:t>
      </w:r>
      <w:r w:rsidR="00085C86">
        <w:t>technology in farming</w:t>
      </w:r>
      <w:bookmarkEnd w:id="87"/>
      <w:bookmarkEnd w:id="88"/>
      <w:bookmarkEnd w:id="89"/>
      <w:bookmarkEnd w:id="90"/>
      <w:bookmarkEnd w:id="91"/>
      <w:bookmarkEnd w:id="92"/>
      <w:bookmarkEnd w:id="93"/>
      <w:bookmarkEnd w:id="94"/>
      <w:bookmarkEnd w:id="95"/>
      <w:bookmarkEnd w:id="96"/>
    </w:p>
    <w:p w14:paraId="7A2C9A98" w14:textId="19122AB9" w:rsidR="00E32895" w:rsidRDefault="00DF38AA" w:rsidP="008A55AE">
      <w:r w:rsidRPr="00DF38AA">
        <w:t>The Internet of Things (</w:t>
      </w:r>
      <w:proofErr w:type="spellStart"/>
      <w:r w:rsidRPr="00DF38AA">
        <w:t>IoT</w:t>
      </w:r>
      <w:proofErr w:type="spellEnd"/>
      <w:r w:rsidRPr="00DF38AA">
        <w:t xml:space="preserve">) refers to an ecosystem in which applications and services are driven by data collected from devices that sense and interface with the physical world. </w:t>
      </w:r>
      <w:r w:rsidR="00E32895" w:rsidRPr="00E32895">
        <w:lastRenderedPageBreak/>
        <w:t>These devices are supporting innovation and economic growth across many industries, including agriculture.</w:t>
      </w:r>
    </w:p>
    <w:p w14:paraId="53932EE4" w14:textId="77777777" w:rsidR="002455EA" w:rsidRDefault="00B53508" w:rsidP="008A55AE">
      <w:r w:rsidRPr="009B7C1E">
        <w:t xml:space="preserve">Next-generation precision agriculture, using digital technologies including </w:t>
      </w:r>
      <w:proofErr w:type="spellStart"/>
      <w:r w:rsidRPr="009B7C1E">
        <w:t>IoT</w:t>
      </w:r>
      <w:proofErr w:type="spellEnd"/>
      <w:r w:rsidRPr="009B7C1E">
        <w:t xml:space="preserve">, is changing the nature of farming and food production in Australia. </w:t>
      </w:r>
      <w:r w:rsidR="009B7C1E" w:rsidRPr="009B7C1E">
        <w:t xml:space="preserve">There is an opportunity for the agricultural sector to use </w:t>
      </w:r>
      <w:proofErr w:type="spellStart"/>
      <w:r w:rsidR="009B7C1E" w:rsidRPr="009B7C1E">
        <w:t>IoT</w:t>
      </w:r>
      <w:proofErr w:type="spellEnd"/>
      <w:r w:rsidR="009B7C1E" w:rsidRPr="009B7C1E">
        <w:t xml:space="preserve"> devices in ‘smart farming’ to manage agricultural processes more efficiently, improve overall productivity, and increase the sector’s international competitiveness</w:t>
      </w:r>
      <w:r w:rsidR="002455EA">
        <w:t>.</w:t>
      </w:r>
    </w:p>
    <w:p w14:paraId="198AB6BE" w14:textId="40B7505F" w:rsidR="00085C86" w:rsidRDefault="008A55AE" w:rsidP="008A55AE">
      <w:r>
        <w:t xml:space="preserve">The benefits of the deployment and use of </w:t>
      </w:r>
      <w:proofErr w:type="spellStart"/>
      <w:r>
        <w:t>IoT</w:t>
      </w:r>
      <w:proofErr w:type="spellEnd"/>
      <w:r>
        <w:t xml:space="preserve"> devices for agricultural applications include; improving yield and quality of produce, expanding production, reducing operating costs, improving farm safety, livestock and crop health, and generating positive environmental impacts.</w:t>
      </w:r>
    </w:p>
    <w:p w14:paraId="79915057" w14:textId="2EFD175B" w:rsidR="00085C86" w:rsidRDefault="008A55AE" w:rsidP="00085C86">
      <w:r w:rsidRPr="008A55AE">
        <w:t xml:space="preserve">Temperature sensors, irrigation systems, drones, autonomous farming vehicles and machinery, and stock tracing tags are particular examples of </w:t>
      </w:r>
      <w:proofErr w:type="spellStart"/>
      <w:r w:rsidRPr="008A55AE">
        <w:t>IoT</w:t>
      </w:r>
      <w:proofErr w:type="spellEnd"/>
      <w:r w:rsidRPr="008A55AE">
        <w:t xml:space="preserve"> devices that are used for agricultural applications.</w:t>
      </w:r>
      <w:r>
        <w:t xml:space="preserve"> </w:t>
      </w:r>
      <w:r w:rsidR="00085C86">
        <w:t>These smart devices are</w:t>
      </w:r>
      <w:r w:rsidR="00085C86" w:rsidDel="008A55AE">
        <w:t xml:space="preserve"> </w:t>
      </w:r>
      <w:r>
        <w:t xml:space="preserve">able </w:t>
      </w:r>
      <w:r w:rsidR="00085C86">
        <w:t xml:space="preserve">to assist farmers to monitor farm conditions and infrastructure remotely and in real-time. Access to real-time data and analytics assists farmers to farm safer and smarter by providing farmers with information that informs decision-making; helping </w:t>
      </w:r>
      <w:r w:rsidR="00A042F6">
        <w:t>them</w:t>
      </w:r>
      <w:r w:rsidR="00085C86">
        <w:t xml:space="preserve"> to adapt more quickly to changing conditions. This promotes efficiency in food production and minimises wastage; saving time, labour and money.</w:t>
      </w:r>
    </w:p>
    <w:p w14:paraId="122F4314" w14:textId="77777777" w:rsidR="002455EA" w:rsidRDefault="00E32895" w:rsidP="00D42B86">
      <w:pPr>
        <w:keepLines/>
      </w:pPr>
      <w:r>
        <w:t xml:space="preserve">In the </w:t>
      </w:r>
      <w:proofErr w:type="spellStart"/>
      <w:r>
        <w:t>IoT</w:t>
      </w:r>
      <w:proofErr w:type="spellEnd"/>
      <w:r>
        <w:t xml:space="preserve">, devices and objects have communications connectivity, either as a direct connection to the internet or mediated through local or wide area networks. </w:t>
      </w:r>
      <w:r w:rsidR="00085C86">
        <w:t xml:space="preserve">There are a variety of different </w:t>
      </w:r>
      <w:proofErr w:type="spellStart"/>
      <w:r w:rsidR="00085C86">
        <w:t>IoT</w:t>
      </w:r>
      <w:proofErr w:type="spellEnd"/>
      <w:r w:rsidR="00085C86">
        <w:t xml:space="preserve"> technologies available with different uses</w:t>
      </w:r>
      <w:r w:rsidR="00894E1D">
        <w:t xml:space="preserve"> and </w:t>
      </w:r>
      <w:proofErr w:type="spellStart"/>
      <w:r w:rsidR="00894E1D">
        <w:t>IoT</w:t>
      </w:r>
      <w:proofErr w:type="spellEnd"/>
      <w:r w:rsidR="00CA4716">
        <w:t xml:space="preserve"> </w:t>
      </w:r>
      <w:r w:rsidR="00085C86">
        <w:t>is not limited to any specific technology platform</w:t>
      </w:r>
      <w:r w:rsidR="002455EA">
        <w:t>.</w:t>
      </w:r>
    </w:p>
    <w:p w14:paraId="3BDCCED9" w14:textId="507ACDA0" w:rsidR="00085C86" w:rsidRDefault="00085C86" w:rsidP="00085C86">
      <w:r>
        <w:t xml:space="preserve">An international market has opened up for </w:t>
      </w:r>
      <w:proofErr w:type="spellStart"/>
      <w:r>
        <w:t>IoT</w:t>
      </w:r>
      <w:proofErr w:type="spellEnd"/>
      <w:r>
        <w:t xml:space="preserve"> devices that provide ‘industrial metering’, ‘switching’ and/or ‘control’ (including smart infrastructure).</w:t>
      </w:r>
      <w:r w:rsidR="00894E1D">
        <w:t xml:space="preserve"> This provides </w:t>
      </w:r>
      <w:r w:rsidR="007C1517">
        <w:t>economies</w:t>
      </w:r>
      <w:r w:rsidR="00894E1D">
        <w:t xml:space="preserve"> of scale for the </w:t>
      </w:r>
      <w:r w:rsidR="007C1517">
        <w:t xml:space="preserve">agriculture sector to potentially access </w:t>
      </w:r>
      <w:proofErr w:type="spellStart"/>
      <w:r w:rsidR="007C1517">
        <w:t>IoT</w:t>
      </w:r>
      <w:proofErr w:type="spellEnd"/>
      <w:r w:rsidR="007C1517">
        <w:t xml:space="preserve"> devices.</w:t>
      </w:r>
    </w:p>
    <w:p w14:paraId="20F81FEB" w14:textId="454B0F97" w:rsidR="00085C86" w:rsidRDefault="00DF38AA" w:rsidP="00085C86">
      <w:r w:rsidRPr="00DF38AA">
        <w:t xml:space="preserve">Satellite based </w:t>
      </w:r>
      <w:proofErr w:type="spellStart"/>
      <w:r w:rsidRPr="00DF38AA">
        <w:t>IoT</w:t>
      </w:r>
      <w:proofErr w:type="spellEnd"/>
      <w:r w:rsidRPr="00DF38AA">
        <w:t xml:space="preserve"> solutions are also available with companies like </w:t>
      </w:r>
      <w:proofErr w:type="spellStart"/>
      <w:r w:rsidRPr="00DF38AA">
        <w:t>Myriota</w:t>
      </w:r>
      <w:proofErr w:type="spellEnd"/>
      <w:r w:rsidRPr="00DF38AA">
        <w:t xml:space="preserve"> and Fleet providing an additional alternative for </w:t>
      </w:r>
      <w:proofErr w:type="spellStart"/>
      <w:r w:rsidRPr="00DF38AA">
        <w:t>IoT</w:t>
      </w:r>
      <w:proofErr w:type="spellEnd"/>
      <w:r w:rsidRPr="00DF38AA">
        <w:t xml:space="preserve"> connectivity, particularly in remote and regional Australia</w:t>
      </w:r>
      <w:r w:rsidR="00E32895">
        <w:t xml:space="preserve"> due to the increased coverage that satellite systems are able to provide</w:t>
      </w:r>
      <w:r w:rsidRPr="00DF38AA">
        <w:t>.</w:t>
      </w:r>
    </w:p>
    <w:p w14:paraId="0D019BC2" w14:textId="77777777" w:rsidR="00B53508" w:rsidRDefault="00B53508" w:rsidP="00B53508">
      <w:proofErr w:type="spellStart"/>
      <w:r w:rsidRPr="00B53508">
        <w:t>IoT</w:t>
      </w:r>
      <w:proofErr w:type="spellEnd"/>
      <w:r w:rsidRPr="00B53508">
        <w:t>-specific networks are well-suited to servicing agricultural applications in geographically remote or dispersed areas, and these networks have been rolled out across regional Australia.</w:t>
      </w:r>
    </w:p>
    <w:p w14:paraId="6BC4BC3D" w14:textId="77777777" w:rsidR="002455EA" w:rsidRDefault="00085C86" w:rsidP="00B53508">
      <w:r>
        <w:t xml:space="preserve">MNOs have also been enabling the use of </w:t>
      </w:r>
      <w:proofErr w:type="spellStart"/>
      <w:r>
        <w:t>IoT</w:t>
      </w:r>
      <w:proofErr w:type="spellEnd"/>
      <w:r>
        <w:t xml:space="preserve"> devices </w:t>
      </w:r>
      <w:r w:rsidR="00D45A64">
        <w:t>across</w:t>
      </w:r>
      <w:r>
        <w:t xml:space="preserve"> </w:t>
      </w:r>
      <w:r w:rsidR="006A6E9E">
        <w:t xml:space="preserve">its </w:t>
      </w:r>
      <w:r>
        <w:t>4G</w:t>
      </w:r>
      <w:r w:rsidR="009851D1">
        <w:t xml:space="preserve"> </w:t>
      </w:r>
      <w:r w:rsidR="007C1517">
        <w:t>network</w:t>
      </w:r>
      <w:r>
        <w:t xml:space="preserve">. </w:t>
      </w:r>
      <w:r w:rsidR="00BD3FC0">
        <w:t xml:space="preserve">This has been performed </w:t>
      </w:r>
      <w:r w:rsidR="006A6E9E">
        <w:t>through</w:t>
      </w:r>
      <w:r w:rsidR="00BD3FC0">
        <w:t xml:space="preserve"> </w:t>
      </w:r>
      <w:r w:rsidR="009E6B1E">
        <w:t xml:space="preserve">standardised </w:t>
      </w:r>
      <w:r w:rsidR="006A6E9E">
        <w:t xml:space="preserve">variations of its </w:t>
      </w:r>
      <w:r w:rsidR="00863890">
        <w:t xml:space="preserve">existing </w:t>
      </w:r>
      <w:r w:rsidR="006A6E9E">
        <w:t>network</w:t>
      </w:r>
      <w:r w:rsidR="009E6B1E">
        <w:t xml:space="preserve"> </w:t>
      </w:r>
      <w:r w:rsidR="006A6E9E">
        <w:t xml:space="preserve">specified for </w:t>
      </w:r>
      <w:proofErr w:type="spellStart"/>
      <w:r w:rsidR="006A6E9E">
        <w:t>IoT</w:t>
      </w:r>
      <w:proofErr w:type="spellEnd"/>
      <w:r w:rsidR="006A6E9E">
        <w:t xml:space="preserve"> devices </w:t>
      </w:r>
      <w:r w:rsidR="009E6B1E">
        <w:t>(</w:t>
      </w:r>
      <w:r w:rsidR="006A6E9E">
        <w:t xml:space="preserve">i.e. </w:t>
      </w:r>
      <w:r w:rsidR="009E6B1E">
        <w:t xml:space="preserve">Narrowband </w:t>
      </w:r>
      <w:proofErr w:type="spellStart"/>
      <w:r w:rsidR="009E6B1E">
        <w:t>IoT</w:t>
      </w:r>
      <w:proofErr w:type="spellEnd"/>
      <w:r w:rsidR="009E6B1E">
        <w:t xml:space="preserve"> and Category M1, commonly known as Cat-M1)</w:t>
      </w:r>
      <w:r w:rsidR="002455EA">
        <w:t>.</w:t>
      </w:r>
    </w:p>
    <w:p w14:paraId="4DBC5035" w14:textId="3A2D0279" w:rsidR="00085C86" w:rsidRPr="00772C27" w:rsidRDefault="00085C86" w:rsidP="00085C86">
      <w:pPr>
        <w:pStyle w:val="Heading4"/>
      </w:pPr>
      <w:bookmarkStart w:id="97" w:name="_Toc44927830"/>
      <w:bookmarkStart w:id="98" w:name="_Toc44944360"/>
      <w:bookmarkStart w:id="99" w:name="_Toc45023418"/>
      <w:bookmarkStart w:id="100" w:name="_Toc45030231"/>
      <w:bookmarkStart w:id="101" w:name="_Toc48647863"/>
      <w:bookmarkStart w:id="102" w:name="_Toc48654618"/>
      <w:bookmarkStart w:id="103" w:name="_Toc57650785"/>
      <w:bookmarkStart w:id="104" w:name="_Toc57708831"/>
      <w:bookmarkStart w:id="105" w:name="_Toc58855684"/>
      <w:bookmarkStart w:id="106" w:name="_Toc58858010"/>
      <w:r>
        <w:t xml:space="preserve">Telstra </w:t>
      </w:r>
      <w:proofErr w:type="spellStart"/>
      <w:r>
        <w:t>IoT</w:t>
      </w:r>
      <w:proofErr w:type="spellEnd"/>
      <w:r>
        <w:t xml:space="preserve"> coverage in the WA Grainbelt</w:t>
      </w:r>
      <w:bookmarkEnd w:id="97"/>
      <w:bookmarkEnd w:id="98"/>
      <w:bookmarkEnd w:id="99"/>
      <w:bookmarkEnd w:id="100"/>
      <w:bookmarkEnd w:id="101"/>
      <w:bookmarkEnd w:id="102"/>
      <w:bookmarkEnd w:id="103"/>
      <w:bookmarkEnd w:id="104"/>
      <w:bookmarkEnd w:id="105"/>
      <w:bookmarkEnd w:id="106"/>
    </w:p>
    <w:p w14:paraId="5D84F2B1" w14:textId="494108A4" w:rsidR="002455EA" w:rsidRDefault="00085C86" w:rsidP="00085C86">
      <w:r>
        <w:t xml:space="preserve">Telstra </w:t>
      </w:r>
      <w:r w:rsidRPr="00085C86">
        <w:t xml:space="preserve">is one example of an MNO with an </w:t>
      </w:r>
      <w:proofErr w:type="spellStart"/>
      <w:r w:rsidRPr="00085C86">
        <w:t>IoT</w:t>
      </w:r>
      <w:proofErr w:type="spellEnd"/>
      <w:r w:rsidRPr="00085C86">
        <w:t xml:space="preserve"> Network that leverages its existing mobile network infrastructure. Telstra</w:t>
      </w:r>
      <w:r w:rsidR="007C1517">
        <w:t xml:space="preserve"> has</w:t>
      </w:r>
      <w:r w:rsidRPr="00085C86">
        <w:t xml:space="preserve"> </w:t>
      </w:r>
      <w:r w:rsidR="007C1517">
        <w:t xml:space="preserve">designed parts of its </w:t>
      </w:r>
      <w:r w:rsidRPr="00085C86">
        <w:t xml:space="preserve">networks </w:t>
      </w:r>
      <w:r w:rsidR="007C1517">
        <w:t>to be</w:t>
      </w:r>
      <w:r w:rsidRPr="00085C86">
        <w:t xml:space="preserve"> purpose-built for </w:t>
      </w:r>
      <w:proofErr w:type="spellStart"/>
      <w:r w:rsidRPr="00085C86">
        <w:t>IoT</w:t>
      </w:r>
      <w:proofErr w:type="spellEnd"/>
      <w:r w:rsidRPr="00085C86">
        <w:t xml:space="preserve"> and are able to provide improved, cost-efficient coverage, including in challenging locations that high bandwidth technologies may not reach. </w:t>
      </w:r>
      <w:r w:rsidR="00F81882">
        <w:t>As at July 2020, Telstra’s Narrowband-</w:t>
      </w:r>
      <w:proofErr w:type="spellStart"/>
      <w:r w:rsidR="00F81882">
        <w:t>IoT</w:t>
      </w:r>
      <w:proofErr w:type="spellEnd"/>
      <w:r w:rsidR="00F81882">
        <w:t xml:space="preserve"> network </w:t>
      </w:r>
      <w:r w:rsidR="00A042F6">
        <w:br/>
      </w:r>
      <w:r w:rsidR="00F81882">
        <w:t>(NB-</w:t>
      </w:r>
      <w:proofErr w:type="spellStart"/>
      <w:r w:rsidR="00F81882">
        <w:t>IoT</w:t>
      </w:r>
      <w:proofErr w:type="spellEnd"/>
      <w:r w:rsidR="00F81882">
        <w:t>) coverage is around four</w:t>
      </w:r>
      <w:r w:rsidR="00D42B86">
        <w:t> million</w:t>
      </w:r>
      <w:r w:rsidR="00F81882">
        <w:t xml:space="preserve"> square kilometres, and Telstra has 3.5</w:t>
      </w:r>
      <w:r w:rsidR="00D42B86">
        <w:t> million</w:t>
      </w:r>
      <w:r w:rsidR="00F81882">
        <w:t xml:space="preserve"> </w:t>
      </w:r>
      <w:proofErr w:type="spellStart"/>
      <w:r w:rsidR="00F81882">
        <w:t>IoT</w:t>
      </w:r>
      <w:proofErr w:type="spellEnd"/>
      <w:r w:rsidR="00F81882">
        <w:t xml:space="preserve"> </w:t>
      </w:r>
      <w:r w:rsidR="00F81882">
        <w:lastRenderedPageBreak/>
        <w:t xml:space="preserve">services in operation across their portfolio of </w:t>
      </w:r>
      <w:proofErr w:type="spellStart"/>
      <w:r w:rsidR="00F81882">
        <w:t>IoT</w:t>
      </w:r>
      <w:proofErr w:type="spellEnd"/>
      <w:r w:rsidR="00F81882">
        <w:t xml:space="preserve"> networks, including NB-</w:t>
      </w:r>
      <w:proofErr w:type="spellStart"/>
      <w:r w:rsidR="00F81882">
        <w:t>IoT</w:t>
      </w:r>
      <w:proofErr w:type="spellEnd"/>
      <w:r w:rsidR="00F81882">
        <w:t xml:space="preserve"> and their LTE-M network</w:t>
      </w:r>
      <w:r w:rsidRPr="00085C86">
        <w:t>. Telstra’s N</w:t>
      </w:r>
      <w:r w:rsidR="007C1517">
        <w:t>arrowband</w:t>
      </w:r>
      <w:r w:rsidRPr="00085C86">
        <w:t xml:space="preserve"> </w:t>
      </w:r>
      <w:proofErr w:type="spellStart"/>
      <w:r w:rsidRPr="00085C86">
        <w:t>IoT</w:t>
      </w:r>
      <w:proofErr w:type="spellEnd"/>
      <w:r w:rsidRPr="00085C86">
        <w:t xml:space="preserve"> network</w:t>
      </w:r>
      <w:r w:rsidR="007C1517">
        <w:t xml:space="preserve"> </w:t>
      </w:r>
      <w:r w:rsidRPr="00085C86">
        <w:t xml:space="preserve">includes almost ubiquitous coverage of arable land and covers most of the </w:t>
      </w:r>
      <w:r w:rsidR="00E032A2">
        <w:t>Grainbelt</w:t>
      </w:r>
      <w:r w:rsidRPr="00085C86">
        <w:t>.</w:t>
      </w:r>
      <w:r w:rsidR="00353B0E">
        <w:t xml:space="preserve"> </w:t>
      </w:r>
      <w:r w:rsidR="006E3065">
        <w:t xml:space="preserve">The Telstra Cellular Low Power Wide Area Networks (Cellular LPWANs) include an LTE-M (Cat-M1) </w:t>
      </w:r>
      <w:r w:rsidR="00CA00CB">
        <w:t xml:space="preserve">network </w:t>
      </w:r>
      <w:r w:rsidR="006E3065">
        <w:t xml:space="preserve">and </w:t>
      </w:r>
      <w:r w:rsidR="00CA00CB">
        <w:t xml:space="preserve">a Narrowband </w:t>
      </w:r>
      <w:proofErr w:type="spellStart"/>
      <w:r w:rsidR="00CA00CB">
        <w:t>IoT</w:t>
      </w:r>
      <w:proofErr w:type="spellEnd"/>
      <w:r w:rsidR="00CA00CB">
        <w:t xml:space="preserve"> network, which provide coverage suitable to enable </w:t>
      </w:r>
      <w:proofErr w:type="spellStart"/>
      <w:r w:rsidR="00CA00CB">
        <w:t>IoT</w:t>
      </w:r>
      <w:proofErr w:type="spellEnd"/>
      <w:r w:rsidR="00CA00CB">
        <w:t xml:space="preserve"> devices.</w:t>
      </w:r>
      <w:r w:rsidR="00124FF4">
        <w:t xml:space="preserve"> </w:t>
      </w:r>
      <w:r>
        <w:t xml:space="preserve">Telstra’s existing </w:t>
      </w:r>
      <w:r w:rsidR="00F5418E">
        <w:t>CAT-M1 coverage footprint in WA is shown below.</w:t>
      </w:r>
    </w:p>
    <w:p w14:paraId="3E588EB8" w14:textId="4271DDD4" w:rsidR="00C42B34" w:rsidRDefault="00085C86" w:rsidP="00C42B34">
      <w:pPr>
        <w:pStyle w:val="Tablefigureheading"/>
      </w:pPr>
      <w:bookmarkStart w:id="107" w:name="_Toc58858028"/>
      <w:r>
        <w:t xml:space="preserve">Figure </w:t>
      </w:r>
      <w:r w:rsidR="00F96D01">
        <w:t>7</w:t>
      </w:r>
      <w:r>
        <w:t>: Telstra’s CAT-M1 coverage footprint in WA (light blue indicates external antenna coverage)</w:t>
      </w:r>
      <w:r w:rsidR="00F5418E">
        <w:t xml:space="preserve"> available at </w:t>
      </w:r>
      <w:hyperlink r:id="rId20" w:history="1">
        <w:r w:rsidR="00F5418E" w:rsidRPr="00B25357">
          <w:rPr>
            <w:rStyle w:val="Hyperlink"/>
          </w:rPr>
          <w:t>https://www.telstra.com.au/business-enterprise/solutions/internet-of-things/iot-coverage</w:t>
        </w:r>
      </w:hyperlink>
      <w:r w:rsidR="00F5418E">
        <w:t>.</w:t>
      </w:r>
      <w:bookmarkEnd w:id="107"/>
    </w:p>
    <w:p w14:paraId="26687554" w14:textId="4EFA76E7" w:rsidR="00C42B34" w:rsidRPr="00C42B34" w:rsidRDefault="00C42B34" w:rsidP="00C42B34">
      <w:r>
        <w:rPr>
          <w:rFonts w:ascii="Times New Roman" w:hAnsi="Times New Roman" w:cs="Times New Roman"/>
          <w:noProof/>
          <w:sz w:val="24"/>
          <w:szCs w:val="24"/>
          <w:lang w:eastAsia="en-AU"/>
        </w:rPr>
        <w:drawing>
          <wp:inline distT="0" distB="0" distL="0" distR="0" wp14:anchorId="79B069AF" wp14:editId="7FD362BF">
            <wp:extent cx="5704177" cy="5950634"/>
            <wp:effectExtent l="0" t="0" r="0" b="0"/>
            <wp:docPr id="3" name="Picture 3" descr="A map of the WA Grainbelt identifying Telstra's CAT-M1 coverage. Dark blue indicates full coverage, light blue indicates external antenna coverage."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TE-M"/>
                    <pic:cNvPicPr>
                      <a:picLocks noChangeAspect="1" noChangeArrowheads="1"/>
                    </pic:cNvPicPr>
                  </pic:nvPicPr>
                  <pic:blipFill rotWithShape="1">
                    <a:blip r:embed="rId21">
                      <a:extLst>
                        <a:ext uri="{28A0092B-C50C-407E-A947-70E740481C1C}">
                          <a14:useLocalDpi xmlns:a14="http://schemas.microsoft.com/office/drawing/2010/main" val="0"/>
                        </a:ext>
                      </a:extLst>
                    </a:blip>
                    <a:srcRect r="7103" b="1014"/>
                    <a:stretch/>
                  </pic:blipFill>
                  <pic:spPr bwMode="auto">
                    <a:xfrm>
                      <a:off x="0" y="0"/>
                      <a:ext cx="5761932" cy="6010884"/>
                    </a:xfrm>
                    <a:prstGeom prst="rect">
                      <a:avLst/>
                    </a:prstGeom>
                    <a:noFill/>
                    <a:ln>
                      <a:noFill/>
                    </a:ln>
                    <a:extLst>
                      <a:ext uri="{53640926-AAD7-44D8-BBD7-CCE9431645EC}">
                        <a14:shadowObscured xmlns:a14="http://schemas.microsoft.com/office/drawing/2010/main"/>
                      </a:ext>
                    </a:extLst>
                  </pic:spPr>
                </pic:pic>
              </a:graphicData>
            </a:graphic>
          </wp:inline>
        </w:drawing>
      </w:r>
    </w:p>
    <w:p w14:paraId="509777D1" w14:textId="3FF2CC53" w:rsidR="00085C86" w:rsidRDefault="00392AF3" w:rsidP="00085C86">
      <w:r w:rsidRPr="00392AF3">
        <w:t>Telstra’s existing N</w:t>
      </w:r>
      <w:r w:rsidR="007C1517">
        <w:t>arrowband</w:t>
      </w:r>
      <w:r w:rsidRPr="00392AF3">
        <w:t>-</w:t>
      </w:r>
      <w:proofErr w:type="spellStart"/>
      <w:r w:rsidRPr="00392AF3">
        <w:t>IoT</w:t>
      </w:r>
      <w:proofErr w:type="spellEnd"/>
      <w:r w:rsidRPr="00392AF3">
        <w:t xml:space="preserve"> coverage footprint in WA</w:t>
      </w:r>
      <w:r w:rsidR="00F5418E">
        <w:t xml:space="preserve"> is shown below.</w:t>
      </w:r>
    </w:p>
    <w:p w14:paraId="6A25ECF8" w14:textId="5DAADBF1" w:rsidR="006115CA" w:rsidRDefault="00392AF3" w:rsidP="00C42B34">
      <w:pPr>
        <w:pStyle w:val="Tablefigureheading"/>
      </w:pPr>
      <w:bookmarkStart w:id="108" w:name="_Toc58858029"/>
      <w:r>
        <w:lastRenderedPageBreak/>
        <w:t xml:space="preserve">Figure </w:t>
      </w:r>
      <w:r w:rsidR="00F96D01">
        <w:t>8</w:t>
      </w:r>
      <w:r>
        <w:t>: Telstra’s NB-</w:t>
      </w:r>
      <w:proofErr w:type="spellStart"/>
      <w:r>
        <w:t>IoT</w:t>
      </w:r>
      <w:proofErr w:type="spellEnd"/>
      <w:r>
        <w:t xml:space="preserve"> coverage footprint in WA (light green indicates external antenna coverage)</w:t>
      </w:r>
      <w:r w:rsidR="00F5418E">
        <w:t xml:space="preserve"> available</w:t>
      </w:r>
      <w:r w:rsidR="00F5418E" w:rsidRPr="00392AF3">
        <w:t xml:space="preserve"> at </w:t>
      </w:r>
      <w:hyperlink r:id="rId22" w:history="1">
        <w:r w:rsidR="00F5418E" w:rsidRPr="00B25357">
          <w:rPr>
            <w:rStyle w:val="Hyperlink"/>
          </w:rPr>
          <w:t>https://www.telstra.com.au/business-enterprise/solutions/internet-of-things/iot-coverage</w:t>
        </w:r>
      </w:hyperlink>
      <w:r w:rsidR="00F5418E">
        <w:t>.</w:t>
      </w:r>
      <w:bookmarkEnd w:id="108"/>
    </w:p>
    <w:p w14:paraId="2CF78EC4" w14:textId="060C0A6B" w:rsidR="00C42B34" w:rsidRPr="00C42B34" w:rsidRDefault="00C42B34" w:rsidP="00C42B34">
      <w:r>
        <w:rPr>
          <w:noProof/>
          <w:lang w:eastAsia="en-AU"/>
        </w:rPr>
        <w:drawing>
          <wp:inline distT="0" distB="0" distL="0" distR="0" wp14:anchorId="16F870EF" wp14:editId="54112DEE">
            <wp:extent cx="5716676" cy="5825613"/>
            <wp:effectExtent l="0" t="0" r="0" b="3810"/>
            <wp:docPr id="14" name="Picture 14" descr="A map of the WA grainbelt identifying Telstra’s NB-IoT coverage footprint. Dark green indicates full coverage, light green indicates external antenna coverage only."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16676" cy="5825613"/>
                    </a:xfrm>
                    <a:prstGeom prst="rect">
                      <a:avLst/>
                    </a:prstGeom>
                  </pic:spPr>
                </pic:pic>
              </a:graphicData>
            </a:graphic>
          </wp:inline>
        </w:drawing>
      </w:r>
    </w:p>
    <w:p w14:paraId="54C89E65" w14:textId="04847F6D" w:rsidR="00C42B34" w:rsidRDefault="00392AF3" w:rsidP="007322BE">
      <w:r>
        <w:t>As shown in the</w:t>
      </w:r>
      <w:r w:rsidR="00BC6FBF">
        <w:t xml:space="preserve"> diagrams above, Telstra in </w:t>
      </w:r>
      <w:r w:rsidR="00800BBA">
        <w:t>particular</w:t>
      </w:r>
      <w:r>
        <w:t xml:space="preserve"> has a significant amount of </w:t>
      </w:r>
      <w:proofErr w:type="spellStart"/>
      <w:r>
        <w:t>IoT</w:t>
      </w:r>
      <w:proofErr w:type="spellEnd"/>
      <w:r>
        <w:t xml:space="preserve"> coverage in the </w:t>
      </w:r>
      <w:r w:rsidR="00E032A2">
        <w:t>Grainbelt</w:t>
      </w:r>
      <w:r>
        <w:t>. In 2019, Telstra extend</w:t>
      </w:r>
      <w:r w:rsidR="007C1517">
        <w:t>ed</w:t>
      </w:r>
      <w:r>
        <w:t xml:space="preserve"> its coverage </w:t>
      </w:r>
      <w:r w:rsidR="00BC6FBF">
        <w:t xml:space="preserve">range </w:t>
      </w:r>
      <w:r>
        <w:t xml:space="preserve">of </w:t>
      </w:r>
      <w:r w:rsidR="007C1517">
        <w:t>N</w:t>
      </w:r>
      <w:r>
        <w:t xml:space="preserve">arrowband </w:t>
      </w:r>
      <w:proofErr w:type="spellStart"/>
      <w:r>
        <w:t>IoT</w:t>
      </w:r>
      <w:proofErr w:type="spellEnd"/>
      <w:r>
        <w:t xml:space="preserve"> network towers to </w:t>
      </w:r>
      <w:r w:rsidR="000D05DC">
        <w:t>120 kilometres</w:t>
      </w:r>
      <w:r>
        <w:t xml:space="preserve"> per site, expanding Telstra’s total coverage to almost four</w:t>
      </w:r>
      <w:r w:rsidR="00D42B86">
        <w:t> million</w:t>
      </w:r>
      <w:r>
        <w:t xml:space="preserve"> square kilometres in January 2020. This has helped deliver new water, stock and crop management applications to remote communities.</w:t>
      </w:r>
    </w:p>
    <w:p w14:paraId="585A78A4" w14:textId="77777777" w:rsidR="002455EA" w:rsidRDefault="00392AF3" w:rsidP="00C42B34">
      <w:pPr>
        <w:keepLines/>
      </w:pPr>
      <w:r>
        <w:lastRenderedPageBreak/>
        <w:t xml:space="preserve">Telstra’s </w:t>
      </w:r>
      <w:proofErr w:type="spellStart"/>
      <w:r>
        <w:t>IoT</w:t>
      </w:r>
      <w:proofErr w:type="spellEnd"/>
      <w:r>
        <w:t xml:space="preserve"> network in the </w:t>
      </w:r>
      <w:r w:rsidR="0029078B">
        <w:t>G</w:t>
      </w:r>
      <w:r>
        <w:t xml:space="preserve">rainbelt includes ‘endpoints’ or the physical computing devices that enable </w:t>
      </w:r>
      <w:proofErr w:type="spellStart"/>
      <w:r>
        <w:t>IoT</w:t>
      </w:r>
      <w:proofErr w:type="spellEnd"/>
      <w:r>
        <w:t xml:space="preserve"> applications. The endpoints are the same as the </w:t>
      </w:r>
      <w:r w:rsidR="004F38B6">
        <w:t>‘</w:t>
      </w:r>
      <w:r w:rsidRPr="0008213E">
        <w:t xml:space="preserve">Telstra </w:t>
      </w:r>
      <w:proofErr w:type="spellStart"/>
      <w:r w:rsidRPr="0008213E">
        <w:t>Captis</w:t>
      </w:r>
      <w:proofErr w:type="spellEnd"/>
      <w:r w:rsidRPr="0008213E">
        <w:t xml:space="preserve"> environmental monitoring solution</w:t>
      </w:r>
      <w:r w:rsidR="004F38B6">
        <w:t>’</w:t>
      </w:r>
      <w:r w:rsidR="00FB6AEA">
        <w:rPr>
          <w:rStyle w:val="FootnoteReference"/>
        </w:rPr>
        <w:footnoteReference w:id="5"/>
      </w:r>
      <w:r>
        <w:t xml:space="preserve">, which delivers waste, water, air, soil and noise monitoring solutions in Australia (used by water companies like Sydney Water), and are suitable for the kinds of </w:t>
      </w:r>
      <w:proofErr w:type="spellStart"/>
      <w:r>
        <w:t>IoT</w:t>
      </w:r>
      <w:proofErr w:type="spellEnd"/>
      <w:r>
        <w:t xml:space="preserve"> applications required by the agricultural industry</w:t>
      </w:r>
      <w:r w:rsidR="002455EA">
        <w:t>.</w:t>
      </w:r>
    </w:p>
    <w:p w14:paraId="77CCE3D4" w14:textId="757659A8" w:rsidR="005B26BE" w:rsidRDefault="00392AF3" w:rsidP="00392AF3">
      <w:r>
        <w:t xml:space="preserve">The </w:t>
      </w:r>
      <w:r w:rsidR="002A3B0E">
        <w:t>Telstra</w:t>
      </w:r>
      <w:r>
        <w:t xml:space="preserve"> </w:t>
      </w:r>
      <w:proofErr w:type="spellStart"/>
      <w:r>
        <w:t>Captis</w:t>
      </w:r>
      <w:proofErr w:type="spellEnd"/>
      <w:r>
        <w:t xml:space="preserve"> units support both the Cat-M1 and N</w:t>
      </w:r>
      <w:r w:rsidR="005B1E15">
        <w:t>arrowband</w:t>
      </w:r>
      <w:r>
        <w:t>-</w:t>
      </w:r>
      <w:proofErr w:type="spellStart"/>
      <w:r>
        <w:t>IoT</w:t>
      </w:r>
      <w:proofErr w:type="spellEnd"/>
      <w:r>
        <w:t xml:space="preserve"> networks, with Cat-M1 (a higher bandwidth up to 1Mbps) best utilised for fast moving assets, and </w:t>
      </w:r>
      <w:r w:rsidR="005B1E15">
        <w:t>Narrowband</w:t>
      </w:r>
      <w:r>
        <w:t>-</w:t>
      </w:r>
      <w:proofErr w:type="spellStart"/>
      <w:r>
        <w:t>IoT</w:t>
      </w:r>
      <w:proofErr w:type="spellEnd"/>
      <w:r>
        <w:t xml:space="preserve"> (a lower bandwidth running up to around 200</w:t>
      </w:r>
      <w:r w:rsidR="002F7E3C">
        <w:t xml:space="preserve"> </w:t>
      </w:r>
      <w:r>
        <w:t>k</w:t>
      </w:r>
      <w:r w:rsidR="002F7E3C">
        <w:t>ilobits per second</w:t>
      </w:r>
      <w:r>
        <w:t xml:space="preserve">) which is good for slow moving or stationary assets that are commonly used in agricultural monitoring. </w:t>
      </w:r>
      <w:r w:rsidR="005B26BE">
        <w:t>The advantages are highlighted in the case study</w:t>
      </w:r>
      <w:r w:rsidR="00316F08">
        <w:rPr>
          <w:rStyle w:val="FootnoteReference"/>
        </w:rPr>
        <w:footnoteReference w:id="6"/>
      </w:r>
      <w:r w:rsidR="005B26BE">
        <w:t xml:space="preserve"> below.</w:t>
      </w:r>
    </w:p>
    <w:p w14:paraId="4F8875EE" w14:textId="5B14FF42" w:rsidR="00C42B34" w:rsidRPr="005113AA" w:rsidRDefault="00C42B34" w:rsidP="00C42B34">
      <w:pPr>
        <w:pStyle w:val="Heading5"/>
        <w:pBdr>
          <w:top w:val="single" w:sz="4" w:space="1" w:color="auto"/>
          <w:left w:val="single" w:sz="4" w:space="1" w:color="auto"/>
          <w:bottom w:val="single" w:sz="4" w:space="1" w:color="auto"/>
          <w:right w:val="single" w:sz="4" w:space="1" w:color="auto"/>
        </w:pBdr>
        <w:shd w:val="clear" w:color="auto" w:fill="D5DCE4"/>
      </w:pPr>
      <w:bookmarkStart w:id="109" w:name="_Most_common_accessibility"/>
      <w:bookmarkEnd w:id="109"/>
      <w:r w:rsidRPr="00C42B34">
        <w:t xml:space="preserve">Case Study: Telstra </w:t>
      </w:r>
      <w:proofErr w:type="spellStart"/>
      <w:r w:rsidRPr="00C42B34">
        <w:t>Captis</w:t>
      </w:r>
      <w:proofErr w:type="spellEnd"/>
      <w:r w:rsidRPr="00C42B34">
        <w:t xml:space="preserve"> Environment Monitoring Solution utilised by Fertiliser Company to meet customer demand in the WA Grainbelt</w:t>
      </w:r>
    </w:p>
    <w:p w14:paraId="412103F4" w14:textId="0D04329B" w:rsidR="00C42B34" w:rsidRDefault="00C42B34" w:rsidP="00C42B34">
      <w:pPr>
        <w:keepNext/>
        <w:keepLines/>
        <w:pBdr>
          <w:top w:val="single" w:sz="4" w:space="1" w:color="auto"/>
          <w:left w:val="single" w:sz="4" w:space="1" w:color="auto"/>
          <w:bottom w:val="single" w:sz="4" w:space="1" w:color="auto"/>
          <w:right w:val="single" w:sz="4" w:space="1" w:color="auto"/>
        </w:pBdr>
        <w:shd w:val="clear" w:color="auto" w:fill="D5DCE4"/>
        <w:spacing w:after="120"/>
        <w:rPr>
          <w:rFonts w:ascii="Calibri" w:eastAsia="PMingLiU" w:hAnsi="Calibri" w:cs="Mangal"/>
          <w:lang w:eastAsia="zh-TW"/>
        </w:rPr>
      </w:pPr>
      <w:r w:rsidRPr="00C42B34">
        <w:rPr>
          <w:rFonts w:ascii="Calibri" w:eastAsia="PMingLiU" w:hAnsi="Calibri" w:cs="Mangal"/>
          <w:lang w:eastAsia="zh-TW"/>
        </w:rPr>
        <w:t xml:space="preserve">The rollout of Telstra Enterprise </w:t>
      </w:r>
      <w:proofErr w:type="spellStart"/>
      <w:r w:rsidRPr="00C42B34">
        <w:rPr>
          <w:rFonts w:ascii="Calibri" w:eastAsia="PMingLiU" w:hAnsi="Calibri" w:cs="Mangal"/>
          <w:lang w:eastAsia="zh-TW"/>
        </w:rPr>
        <w:t>Captis</w:t>
      </w:r>
      <w:proofErr w:type="spellEnd"/>
      <w:r w:rsidRPr="00C42B34">
        <w:rPr>
          <w:rFonts w:ascii="Calibri" w:eastAsia="PMingLiU" w:hAnsi="Calibri" w:cs="Mangal"/>
          <w:lang w:eastAsia="zh-TW"/>
        </w:rPr>
        <w:t xml:space="preserve"> data loggers on Telstra’s NB </w:t>
      </w:r>
      <w:proofErr w:type="spellStart"/>
      <w:r w:rsidRPr="00C42B34">
        <w:rPr>
          <w:rFonts w:ascii="Calibri" w:eastAsia="PMingLiU" w:hAnsi="Calibri" w:cs="Mangal"/>
          <w:lang w:eastAsia="zh-TW"/>
        </w:rPr>
        <w:t>IoT</w:t>
      </w:r>
      <w:proofErr w:type="spellEnd"/>
      <w:r w:rsidRPr="00C42B34">
        <w:rPr>
          <w:rFonts w:ascii="Calibri" w:eastAsia="PMingLiU" w:hAnsi="Calibri" w:cs="Mangal"/>
          <w:lang w:eastAsia="zh-TW"/>
        </w:rPr>
        <w:t xml:space="preserve"> network in WA is creating opportunities for agricultural businesses in the Grainbelt. For example, a large liquid fertiliser company supplying large remote farms across the Grainbelt has recently benefited from the installation of </w:t>
      </w:r>
      <w:proofErr w:type="spellStart"/>
      <w:r w:rsidRPr="00C42B34">
        <w:rPr>
          <w:rFonts w:ascii="Calibri" w:eastAsia="PMingLiU" w:hAnsi="Calibri" w:cs="Mangal"/>
          <w:lang w:eastAsia="zh-TW"/>
        </w:rPr>
        <w:t>IoT</w:t>
      </w:r>
      <w:proofErr w:type="spellEnd"/>
      <w:r w:rsidRPr="00C42B34">
        <w:rPr>
          <w:rFonts w:ascii="Calibri" w:eastAsia="PMingLiU" w:hAnsi="Calibri" w:cs="Mangal"/>
          <w:lang w:eastAsia="zh-TW"/>
        </w:rPr>
        <w:t xml:space="preserve"> technology to measure how much fertiliser is left in their tanks. Suppliers traditionally needed to put inventory much closer to customers to meet emergency orders, placing strains on stock and at times not being able to meet the customers’ demands. By moving the fertiliser company to Telstra’s </w:t>
      </w:r>
      <w:proofErr w:type="spellStart"/>
      <w:r w:rsidRPr="00C42B34">
        <w:rPr>
          <w:rFonts w:ascii="Calibri" w:eastAsia="PMingLiU" w:hAnsi="Calibri" w:cs="Mangal"/>
          <w:lang w:eastAsia="zh-TW"/>
        </w:rPr>
        <w:t>IoT</w:t>
      </w:r>
      <w:proofErr w:type="spellEnd"/>
      <w:r w:rsidRPr="00C42B34">
        <w:rPr>
          <w:rFonts w:ascii="Calibri" w:eastAsia="PMingLiU" w:hAnsi="Calibri" w:cs="Mangal"/>
          <w:lang w:eastAsia="zh-TW"/>
        </w:rPr>
        <w:t>, the fertiliser company is able to monitor levels continuously in real-time. This has created significant efficiencies for the company.</w:t>
      </w:r>
    </w:p>
    <w:p w14:paraId="678C8BA7" w14:textId="42E79099" w:rsidR="00392AF3" w:rsidRDefault="00392AF3" w:rsidP="00392AF3">
      <w:r>
        <w:t xml:space="preserve">Telstra’s </w:t>
      </w:r>
      <w:proofErr w:type="spellStart"/>
      <w:r w:rsidR="005B1E15">
        <w:t>IoT</w:t>
      </w:r>
      <w:proofErr w:type="spellEnd"/>
      <w:r>
        <w:t xml:space="preserve"> network has been designed to last until at least </w:t>
      </w:r>
      <w:r w:rsidR="002F7E3C">
        <w:t xml:space="preserve">the year </w:t>
      </w:r>
      <w:r>
        <w:t xml:space="preserve">2035, providing a long term solution for </w:t>
      </w:r>
      <w:proofErr w:type="spellStart"/>
      <w:r>
        <w:t>IoT</w:t>
      </w:r>
      <w:proofErr w:type="spellEnd"/>
      <w:r>
        <w:t xml:space="preserve"> usage.</w:t>
      </w:r>
    </w:p>
    <w:p w14:paraId="15D6808E" w14:textId="0F3A9792" w:rsidR="00392AF3" w:rsidRDefault="00392AF3" w:rsidP="00392AF3">
      <w:pPr>
        <w:pStyle w:val="Heading4"/>
      </w:pPr>
      <w:bookmarkStart w:id="110" w:name="_Toc44927831"/>
      <w:bookmarkStart w:id="111" w:name="_Toc44944361"/>
      <w:bookmarkStart w:id="112" w:name="_Toc45023419"/>
      <w:bookmarkStart w:id="113" w:name="_Toc45030232"/>
      <w:bookmarkStart w:id="114" w:name="_Toc48647864"/>
      <w:bookmarkStart w:id="115" w:name="_Toc48654619"/>
      <w:bookmarkStart w:id="116" w:name="_Toc57650786"/>
      <w:bookmarkStart w:id="117" w:name="_Toc57708832"/>
      <w:bookmarkStart w:id="118" w:name="_Toc58855685"/>
      <w:bookmarkStart w:id="119" w:name="_Toc58858011"/>
      <w:r>
        <w:t xml:space="preserve">Summary of </w:t>
      </w:r>
      <w:proofErr w:type="spellStart"/>
      <w:r>
        <w:t>IoT</w:t>
      </w:r>
      <w:proofErr w:type="spellEnd"/>
      <w:r>
        <w:t xml:space="preserve"> requirements and coverage in the WA Grainbelt</w:t>
      </w:r>
      <w:bookmarkEnd w:id="110"/>
      <w:bookmarkEnd w:id="111"/>
      <w:bookmarkEnd w:id="112"/>
      <w:bookmarkEnd w:id="113"/>
      <w:bookmarkEnd w:id="114"/>
      <w:bookmarkEnd w:id="115"/>
      <w:bookmarkEnd w:id="116"/>
      <w:bookmarkEnd w:id="117"/>
      <w:bookmarkEnd w:id="118"/>
      <w:bookmarkEnd w:id="119"/>
    </w:p>
    <w:p w14:paraId="02F2EDBB" w14:textId="0F4C247A" w:rsidR="00412E08" w:rsidRDefault="00412E08" w:rsidP="00C42B34">
      <w:r w:rsidRPr="00412E08">
        <w:t xml:space="preserve">Given the different modes of </w:t>
      </w:r>
      <w:proofErr w:type="spellStart"/>
      <w:r w:rsidRPr="00412E08">
        <w:t>IoT</w:t>
      </w:r>
      <w:proofErr w:type="spellEnd"/>
      <w:r w:rsidRPr="00412E08">
        <w:t xml:space="preserve"> service delivery available, existing coverage in the </w:t>
      </w:r>
      <w:r w:rsidR="00E032A2">
        <w:t>Grainbelt</w:t>
      </w:r>
      <w:r w:rsidRPr="00412E08">
        <w:t xml:space="preserve"> appears to be sufficient to support the </w:t>
      </w:r>
      <w:r w:rsidR="009E6B1E">
        <w:t xml:space="preserve">current </w:t>
      </w:r>
      <w:r w:rsidRPr="00412E08">
        <w:t xml:space="preserve">use of </w:t>
      </w:r>
      <w:proofErr w:type="spellStart"/>
      <w:r w:rsidRPr="00412E08">
        <w:t>IoT</w:t>
      </w:r>
      <w:proofErr w:type="spellEnd"/>
      <w:r w:rsidRPr="00412E08">
        <w:t xml:space="preserve"> technologies for farming and agricultural purposes. </w:t>
      </w:r>
      <w:r w:rsidR="009E6B1E">
        <w:t xml:space="preserve">However, it remains unclear if the capacity of the network will be able to meet additional and future use of </w:t>
      </w:r>
      <w:proofErr w:type="spellStart"/>
      <w:r w:rsidR="009E6B1E">
        <w:t>IoT</w:t>
      </w:r>
      <w:proofErr w:type="spellEnd"/>
      <w:r w:rsidR="009E6B1E">
        <w:t xml:space="preserve"> </w:t>
      </w:r>
      <w:proofErr w:type="spellStart"/>
      <w:r w:rsidR="009E6B1E">
        <w:t>devices.</w:t>
      </w:r>
      <w:bookmarkStart w:id="120" w:name="_Toc44927832"/>
      <w:bookmarkStart w:id="121" w:name="_Toc44944362"/>
      <w:bookmarkStart w:id="122" w:name="_Toc45023420"/>
      <w:bookmarkStart w:id="123" w:name="_Toc45030233"/>
      <w:bookmarkStart w:id="124" w:name="_Toc48647865"/>
      <w:bookmarkStart w:id="125" w:name="_Toc48654620"/>
      <w:bookmarkStart w:id="126" w:name="_Toc57650787"/>
      <w:bookmarkStart w:id="127" w:name="_Toc57708833"/>
      <w:r>
        <w:t>Government</w:t>
      </w:r>
      <w:proofErr w:type="spellEnd"/>
      <w:r>
        <w:t xml:space="preserve"> investment in the WA Grainbelt to date</w:t>
      </w:r>
      <w:bookmarkEnd w:id="120"/>
      <w:bookmarkEnd w:id="121"/>
      <w:bookmarkEnd w:id="122"/>
      <w:bookmarkEnd w:id="123"/>
      <w:bookmarkEnd w:id="124"/>
      <w:bookmarkEnd w:id="125"/>
      <w:bookmarkEnd w:id="126"/>
      <w:bookmarkEnd w:id="127"/>
    </w:p>
    <w:p w14:paraId="07C2E416" w14:textId="4C7CBF3F" w:rsidR="00593D57" w:rsidRDefault="00412E08" w:rsidP="005E48CD">
      <w:r>
        <w:t xml:space="preserve">Both </w:t>
      </w:r>
      <w:r w:rsidRPr="00412E08">
        <w:t xml:space="preserve">the Australian Government and the WA Government understand the need for fast and reliable digital connectivity in the </w:t>
      </w:r>
      <w:r w:rsidR="00E032A2">
        <w:t>Grainbelt</w:t>
      </w:r>
      <w:r w:rsidRPr="00412E08">
        <w:t xml:space="preserve"> to support regional communities and agricultural businesses in these areas. </w:t>
      </w:r>
      <w:r w:rsidR="005B1E15">
        <w:t>With this in mind, t</w:t>
      </w:r>
      <w:r w:rsidRPr="00412E08">
        <w:t xml:space="preserve">here has already been significant investment </w:t>
      </w:r>
      <w:r w:rsidR="005B1E15" w:rsidRPr="00412E08">
        <w:t xml:space="preserve">to improve connectivity in the </w:t>
      </w:r>
      <w:r w:rsidR="00E032A2">
        <w:t>Grainbelt</w:t>
      </w:r>
      <w:r w:rsidR="005B1E15" w:rsidRPr="00412E08">
        <w:t xml:space="preserve"> area </w:t>
      </w:r>
      <w:r w:rsidRPr="00412E08">
        <w:t>from the Australian Government and the WA Government.</w:t>
      </w:r>
      <w:bookmarkStart w:id="128" w:name="_Toc44927833"/>
      <w:bookmarkStart w:id="129" w:name="_Toc44944363"/>
      <w:bookmarkStart w:id="130" w:name="_Toc45023421"/>
      <w:bookmarkStart w:id="131" w:name="_Toc45030234"/>
    </w:p>
    <w:p w14:paraId="01189790" w14:textId="41CA44EC" w:rsidR="00412E08" w:rsidRPr="00772C27" w:rsidRDefault="00412E08" w:rsidP="00C42B34">
      <w:pPr>
        <w:pStyle w:val="Heading3"/>
        <w:pageBreakBefore/>
      </w:pPr>
      <w:bookmarkStart w:id="132" w:name="_Toc48647866"/>
      <w:bookmarkStart w:id="133" w:name="_Toc48654621"/>
      <w:bookmarkStart w:id="134" w:name="_Toc57650788"/>
      <w:bookmarkStart w:id="135" w:name="_Toc57708834"/>
      <w:bookmarkStart w:id="136" w:name="_Toc58855686"/>
      <w:bookmarkStart w:id="137" w:name="_Toc58858012"/>
      <w:r>
        <w:lastRenderedPageBreak/>
        <w:t>Australian Government Mobile Black Spot Program</w:t>
      </w:r>
      <w:bookmarkEnd w:id="128"/>
      <w:bookmarkEnd w:id="129"/>
      <w:bookmarkEnd w:id="130"/>
      <w:bookmarkEnd w:id="131"/>
      <w:bookmarkEnd w:id="132"/>
      <w:bookmarkEnd w:id="133"/>
      <w:bookmarkEnd w:id="134"/>
      <w:bookmarkEnd w:id="135"/>
      <w:bookmarkEnd w:id="136"/>
      <w:bookmarkEnd w:id="137"/>
    </w:p>
    <w:p w14:paraId="277B311A" w14:textId="2EF4C5DF" w:rsidR="00412E08" w:rsidRDefault="00ED59C7">
      <w:r w:rsidRPr="00ED59C7">
        <w:rPr>
          <w:iCs/>
        </w:rPr>
        <w:t>Expanding mobile coverage has clear economic, social and public safety benefits for people living, working and travelling in regional and remote areas of Australia. This is why the Australian Government has committed $380</w:t>
      </w:r>
      <w:r w:rsidR="00D42B86">
        <w:rPr>
          <w:iCs/>
        </w:rPr>
        <w:t> million</w:t>
      </w:r>
      <w:r w:rsidRPr="00ED59C7">
        <w:rPr>
          <w:iCs/>
        </w:rPr>
        <w:t xml:space="preserve"> to date to the Mobile Black Spot Program (</w:t>
      </w:r>
      <w:r>
        <w:rPr>
          <w:iCs/>
        </w:rPr>
        <w:t>MBSP</w:t>
      </w:r>
      <w:r w:rsidRPr="00ED59C7">
        <w:rPr>
          <w:iCs/>
        </w:rPr>
        <w:t>) to invest in telecommunications infrastructure projects which address mobile black spots across Australia.</w:t>
      </w:r>
      <w:r w:rsidR="005B1E15">
        <w:t xml:space="preserve"> </w:t>
      </w:r>
      <w:r w:rsidR="00412E08">
        <w:t xml:space="preserve">To date, </w:t>
      </w:r>
      <w:r w:rsidR="0027779E">
        <w:t xml:space="preserve">more than </w:t>
      </w:r>
      <w:r w:rsidR="00412E08">
        <w:t>12</w:t>
      </w:r>
      <w:r w:rsidR="0027779E">
        <w:t>00</w:t>
      </w:r>
      <w:r w:rsidR="00412E08">
        <w:t xml:space="preserve"> base stations have been funded across Australia under the first five rounds of the MBSP, generating a total investment of more than $836</w:t>
      </w:r>
      <w:r w:rsidR="00D42B86">
        <w:t> million</w:t>
      </w:r>
      <w:r w:rsidR="00412E08">
        <w:t xml:space="preserve">, including co-contributions from local, state and territory governments, </w:t>
      </w:r>
      <w:r w:rsidR="00894E1D">
        <w:t>MNOs</w:t>
      </w:r>
      <w:r w:rsidR="00412E08">
        <w:t xml:space="preserve"> and community organisations.</w:t>
      </w:r>
    </w:p>
    <w:p w14:paraId="3A9D07DA" w14:textId="77777777" w:rsidR="002455EA" w:rsidRDefault="00BE44EB" w:rsidP="00412E08">
      <w:r>
        <w:t>In the Grainbelt</w:t>
      </w:r>
      <w:r w:rsidR="00412E08">
        <w:t>, a total of 136 mobile base stations have been funded</w:t>
      </w:r>
      <w:r>
        <w:t xml:space="preserve"> under Rounds 1 </w:t>
      </w:r>
      <w:r w:rsidR="002F7E3C">
        <w:t>to</w:t>
      </w:r>
      <w:r>
        <w:t xml:space="preserve"> 5 of the MBSP</w:t>
      </w:r>
      <w:r w:rsidR="00412E08">
        <w:t>, including additional small cells provided by the carriers in Rounds 1 and 2. 102 of these base stations have been completed</w:t>
      </w:r>
      <w:r w:rsidR="004D7DEA">
        <w:t xml:space="preserve"> and are on air</w:t>
      </w:r>
      <w:r>
        <w:t>,</w:t>
      </w:r>
      <w:r w:rsidR="004D7DEA">
        <w:t xml:space="preserve"> providing new and improved coverage to communities</w:t>
      </w:r>
      <w:r w:rsidR="002455EA">
        <w:t>.</w:t>
      </w:r>
    </w:p>
    <w:p w14:paraId="64FF66A7" w14:textId="65786060" w:rsidR="002455EA" w:rsidRDefault="003C7043" w:rsidP="003C7043">
      <w:r>
        <w:t xml:space="preserve">Under </w:t>
      </w:r>
      <w:r w:rsidR="00BE44EB">
        <w:t xml:space="preserve">Round </w:t>
      </w:r>
      <w:r>
        <w:t xml:space="preserve">5 of the program, the Government </w:t>
      </w:r>
      <w:r w:rsidR="0027779E">
        <w:t xml:space="preserve">funded 27 </w:t>
      </w:r>
      <w:r>
        <w:t xml:space="preserve">proposed solutions in or on the periphery of the </w:t>
      </w:r>
      <w:r w:rsidR="00E032A2">
        <w:t>Grainbelt</w:t>
      </w:r>
      <w:r>
        <w:t xml:space="preserve"> area. This will generate a further $17.3</w:t>
      </w:r>
      <w:r w:rsidR="00D42B86">
        <w:t> million</w:t>
      </w:r>
      <w:r>
        <w:t xml:space="preserve"> investment in the region bringing the total investment in the </w:t>
      </w:r>
      <w:r w:rsidR="00E032A2">
        <w:t>Grainbelt</w:t>
      </w:r>
      <w:r>
        <w:t xml:space="preserve"> to approximately $124.3</w:t>
      </w:r>
      <w:r w:rsidR="00D42B86">
        <w:t> million</w:t>
      </w:r>
      <w:r>
        <w:t>, of which $35.9</w:t>
      </w:r>
      <w:r w:rsidR="00D42B86">
        <w:t> million</w:t>
      </w:r>
      <w:r>
        <w:t xml:space="preserve"> is Commonwealth funding and </w:t>
      </w:r>
      <w:r w:rsidRPr="001976AC">
        <w:t>$33.06</w:t>
      </w:r>
      <w:r w:rsidR="00D42B86">
        <w:t> million</w:t>
      </w:r>
      <w:r>
        <w:t xml:space="preserve"> is funding from the WA Government</w:t>
      </w:r>
      <w:r w:rsidR="002455EA">
        <w:t>.</w:t>
      </w:r>
    </w:p>
    <w:p w14:paraId="3F5ABF68" w14:textId="504A85A0" w:rsidR="003C7043" w:rsidRDefault="003C7043" w:rsidP="003C7043">
      <w:r>
        <w:t xml:space="preserve">Co-contributions from state governments have been very important towards the success of the MBSP. Given this, the co-contribution model should be considered in the design of future grants programs, including, for example, </w:t>
      </w:r>
      <w:r w:rsidR="00004428">
        <w:t xml:space="preserve">whether it be </w:t>
      </w:r>
      <w:r>
        <w:t>a targeted grants program for the Grainbelt or existing program</w:t>
      </w:r>
      <w:r w:rsidR="00BE44EB">
        <w:t>s</w:t>
      </w:r>
      <w:r>
        <w:t xml:space="preserve"> such as </w:t>
      </w:r>
      <w:r w:rsidR="002857C3">
        <w:t xml:space="preserve">the Australian Government’s </w:t>
      </w:r>
      <w:r w:rsidR="009F4843">
        <w:t>R</w:t>
      </w:r>
      <w:r w:rsidR="002857C3">
        <w:t xml:space="preserve">egional </w:t>
      </w:r>
      <w:r w:rsidR="009F4843">
        <w:t>C</w:t>
      </w:r>
      <w:r w:rsidR="002857C3">
        <w:t xml:space="preserve">onnectivity </w:t>
      </w:r>
      <w:r w:rsidR="009F4843">
        <w:t>P</w:t>
      </w:r>
      <w:r w:rsidR="002857C3">
        <w:t>rogram (RCP)</w:t>
      </w:r>
      <w:r>
        <w:t>.</w:t>
      </w:r>
      <w:r w:rsidR="002455EA">
        <w:t xml:space="preserve"> </w:t>
      </w:r>
    </w:p>
    <w:p w14:paraId="77A57F75" w14:textId="77777777" w:rsidR="002455EA" w:rsidRDefault="009851D1" w:rsidP="00412E08">
      <w:r>
        <w:t>T</w:t>
      </w:r>
      <w:r w:rsidR="004D7DEA">
        <w:t xml:space="preserve">he </w:t>
      </w:r>
      <w:r w:rsidR="00C72171">
        <w:t xml:space="preserve">following </w:t>
      </w:r>
      <w:r w:rsidR="004D7DEA">
        <w:t>diagram</w:t>
      </w:r>
      <w:r w:rsidR="00412E08">
        <w:t xml:space="preserve"> </w:t>
      </w:r>
      <w:r w:rsidR="004D7DEA">
        <w:t>shows the distribution of</w:t>
      </w:r>
      <w:r w:rsidR="00412E08">
        <w:t xml:space="preserve"> the mobile base stations funded under </w:t>
      </w:r>
      <w:r w:rsidR="00BE44EB">
        <w:t xml:space="preserve">Rounds </w:t>
      </w:r>
      <w:r w:rsidR="00412E08">
        <w:t>1 to 5 of the Government’s MBSP</w:t>
      </w:r>
      <w:r w:rsidR="004D7DEA">
        <w:t xml:space="preserve"> in and around the </w:t>
      </w:r>
      <w:r w:rsidR="00E032A2">
        <w:t>Grainbelt</w:t>
      </w:r>
      <w:r w:rsidR="00412E08">
        <w:t>.</w:t>
      </w:r>
    </w:p>
    <w:p w14:paraId="6AE9CC62" w14:textId="5E7E8959" w:rsidR="00412E08" w:rsidRDefault="00412E08" w:rsidP="00C42B34">
      <w:pPr>
        <w:pStyle w:val="Tablefigureheading"/>
      </w:pPr>
      <w:bookmarkStart w:id="138" w:name="_Toc58858030"/>
      <w:r>
        <w:lastRenderedPageBreak/>
        <w:t xml:space="preserve">Figure </w:t>
      </w:r>
      <w:r w:rsidR="00F96D01">
        <w:t>9</w:t>
      </w:r>
      <w:r>
        <w:t xml:space="preserve">: </w:t>
      </w:r>
      <w:r w:rsidR="00DB6111">
        <w:t>MBSP</w:t>
      </w:r>
      <w:r>
        <w:t xml:space="preserve"> sites funded in the </w:t>
      </w:r>
      <w:r w:rsidR="00E032A2">
        <w:t>Grainbelt</w:t>
      </w:r>
      <w:r w:rsidR="00406427">
        <w:t xml:space="preserve"> (Rounds 1 to 5)</w:t>
      </w:r>
      <w:bookmarkEnd w:id="138"/>
    </w:p>
    <w:p w14:paraId="09C0BB44" w14:textId="047753D0" w:rsidR="00C42B34" w:rsidRPr="00C42B34" w:rsidRDefault="00C42B34" w:rsidP="00C42B34">
      <w:r>
        <w:rPr>
          <w:noProof/>
          <w:lang w:eastAsia="en-AU"/>
        </w:rPr>
        <w:drawing>
          <wp:inline distT="0" distB="0" distL="0" distR="0" wp14:anchorId="70D702AA" wp14:editId="72F213CE">
            <wp:extent cx="5731510" cy="4671695"/>
            <wp:effectExtent l="0" t="0" r="2540" b="0"/>
            <wp:docPr id="202" name="Picture 202" descr="A map showing the number of Mobile Black Spot Program funded sites in and around the Grainbelt under Rounds 1 to 5 of the Program. Round 1 sites are shown in Red, Round 2 sites are shown in Pink, Round 3 sites are shown in Aqua, Round 4 sites are shown in Orange and Round 5 sites are shown in Olive.&#10;&#10;More detail provided in the sec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4671695"/>
                    </a:xfrm>
                    <a:prstGeom prst="rect">
                      <a:avLst/>
                    </a:prstGeom>
                  </pic:spPr>
                </pic:pic>
              </a:graphicData>
            </a:graphic>
          </wp:inline>
        </w:drawing>
      </w:r>
    </w:p>
    <w:p w14:paraId="0DACAF3F" w14:textId="77777777" w:rsidR="002455EA" w:rsidRDefault="00412E08" w:rsidP="00412E08">
      <w:r>
        <w:t xml:space="preserve">The next step in </w:t>
      </w:r>
      <w:r w:rsidR="004D7DEA">
        <w:t>the MBSP</w:t>
      </w:r>
      <w:r>
        <w:t xml:space="preserve"> </w:t>
      </w:r>
      <w:r w:rsidR="0027779E">
        <w:t>is</w:t>
      </w:r>
      <w:r>
        <w:t xml:space="preserve"> conduct</w:t>
      </w:r>
      <w:r w:rsidR="0027779E">
        <w:t>ing</w:t>
      </w:r>
      <w:r>
        <w:t xml:space="preserve"> Round 5A, </w:t>
      </w:r>
      <w:r w:rsidR="0027779E">
        <w:t>with applications due by 10 February 2021</w:t>
      </w:r>
      <w:r w:rsidR="00E22C86">
        <w:t xml:space="preserve">. </w:t>
      </w:r>
      <w:r w:rsidR="00C42C40">
        <w:t>Round 5A</w:t>
      </w:r>
      <w:r w:rsidR="00C42C40" w:rsidRPr="00C42C40">
        <w:t xml:space="preserve"> includes a focus on improving mobile connectivity along major transport corridors and in disaster-prone regions, such as bushfire-prone areas, as well as the testing of new technologies that support shared mobile coverage in regional </w:t>
      </w:r>
      <w:proofErr w:type="spellStart"/>
      <w:r w:rsidR="00C42C40" w:rsidRPr="00C42C40">
        <w:t>areas.</w:t>
      </w:r>
      <w:r w:rsidR="00E22C86">
        <w:t>This</w:t>
      </w:r>
      <w:proofErr w:type="spellEnd"/>
      <w:r w:rsidR="00E22C86">
        <w:t xml:space="preserve"> </w:t>
      </w:r>
      <w:r w:rsidR="0027779E">
        <w:t>will</w:t>
      </w:r>
      <w:r w:rsidR="00E22C86">
        <w:t xml:space="preserve"> provide further opportunities to improve mobile coverage in the Grainbelt</w:t>
      </w:r>
      <w:r w:rsidR="002455EA">
        <w:t>.</w:t>
      </w:r>
    </w:p>
    <w:p w14:paraId="54EC1E30" w14:textId="2E603037" w:rsidR="00C42C40" w:rsidRDefault="00C42C40" w:rsidP="00412E08">
      <w:r w:rsidRPr="00C42C40">
        <w:t>As part of the Program, $80</w:t>
      </w:r>
      <w:r w:rsidR="00D42B86">
        <w:t> million</w:t>
      </w:r>
      <w:r w:rsidRPr="00C42C40">
        <w:t xml:space="preserve"> in funding has also been allocated for Round 6, the process for which is expected to commence after the Round 5A competitive assessment process is complete.</w:t>
      </w:r>
    </w:p>
    <w:p w14:paraId="6176A561" w14:textId="77777777" w:rsidR="002455EA" w:rsidRDefault="00C42C40" w:rsidP="00863890">
      <w:r w:rsidRPr="00C42C40">
        <w:t xml:space="preserve">Further information is available on the Department of Infrastructure, Transport, Regional Development and Communications’ website at </w:t>
      </w:r>
      <w:hyperlink r:id="rId25" w:history="1">
        <w:r w:rsidR="00F258E3" w:rsidRPr="00E879D8">
          <w:rPr>
            <w:rStyle w:val="Hyperlink"/>
          </w:rPr>
          <w:t>www.communications.gov.au/mbsp</w:t>
        </w:r>
      </w:hyperlink>
      <w:r w:rsidRPr="00C42C40">
        <w:t>.</w:t>
      </w:r>
    </w:p>
    <w:p w14:paraId="7EDAFCE9" w14:textId="5F943BBB" w:rsidR="00412E08" w:rsidRDefault="00412E08">
      <w:pPr>
        <w:pStyle w:val="Heading3"/>
      </w:pPr>
      <w:bookmarkStart w:id="139" w:name="_Toc44927834"/>
      <w:bookmarkStart w:id="140" w:name="_Toc44944364"/>
      <w:bookmarkStart w:id="141" w:name="_Toc45023422"/>
      <w:bookmarkStart w:id="142" w:name="_Toc45030235"/>
      <w:bookmarkStart w:id="143" w:name="_Toc48647867"/>
      <w:bookmarkStart w:id="144" w:name="_Toc48654622"/>
      <w:bookmarkStart w:id="145" w:name="_Toc57650789"/>
      <w:bookmarkStart w:id="146" w:name="_Toc57708835"/>
      <w:bookmarkStart w:id="147" w:name="_Toc58855687"/>
      <w:bookmarkStart w:id="148" w:name="_Toc58858013"/>
      <w:r>
        <w:t>Australian Government Regional Connectivity Program</w:t>
      </w:r>
      <w:bookmarkEnd w:id="139"/>
      <w:bookmarkEnd w:id="140"/>
      <w:bookmarkEnd w:id="141"/>
      <w:bookmarkEnd w:id="142"/>
      <w:bookmarkEnd w:id="143"/>
      <w:bookmarkEnd w:id="144"/>
      <w:bookmarkEnd w:id="145"/>
      <w:bookmarkEnd w:id="146"/>
      <w:bookmarkEnd w:id="147"/>
      <w:bookmarkEnd w:id="148"/>
    </w:p>
    <w:p w14:paraId="3D28E581" w14:textId="682DFF24" w:rsidR="001043DD" w:rsidRDefault="001043DD">
      <w:r>
        <w:t xml:space="preserve">The Stronger Regional Digital Connectivity Package (the Package) was </w:t>
      </w:r>
      <w:r w:rsidR="004D1575" w:rsidRPr="004D1575">
        <w:t>announced in the Government’s response to the 2018 Regional Telecommunications Review</w:t>
      </w:r>
      <w:r>
        <w:t>. The purpose of the package is to improve broadband and mobile services in areas of high economic, social and public safety significance, particularly in areas served predominantly by the Sky Muster satellite service</w:t>
      </w:r>
      <w:r w:rsidR="00F65A9E">
        <w:t xml:space="preserve"> </w:t>
      </w:r>
      <w:r w:rsidR="00502598">
        <w:t>using</w:t>
      </w:r>
      <w:r>
        <w:t xml:space="preserve"> a strategic place-based approach.</w:t>
      </w:r>
    </w:p>
    <w:p w14:paraId="045212F7" w14:textId="77777777" w:rsidR="002455EA" w:rsidRDefault="001043DD" w:rsidP="001043DD">
      <w:r>
        <w:t>A</w:t>
      </w:r>
      <w:r w:rsidRPr="00412E08">
        <w:t>s part of the Government’s Stronger Regional Digital Connectivity Package, the Government committed to a new Re</w:t>
      </w:r>
      <w:r>
        <w:t>gional Connectivity Program (RCP</w:t>
      </w:r>
      <w:r w:rsidRPr="00412E08">
        <w:t>) to improve digital connectivity for people in regional, rural and remote Australia</w:t>
      </w:r>
      <w:r w:rsidR="002455EA">
        <w:t>.</w:t>
      </w:r>
    </w:p>
    <w:p w14:paraId="4530F523" w14:textId="4F6C1E03" w:rsidR="002455EA" w:rsidRDefault="00412E08" w:rsidP="00392AF3">
      <w:r w:rsidRPr="00412E08">
        <w:lastRenderedPageBreak/>
        <w:t xml:space="preserve">The </w:t>
      </w:r>
      <w:r w:rsidR="00DB6111">
        <w:t>RCP</w:t>
      </w:r>
      <w:r w:rsidRPr="00412E08">
        <w:t xml:space="preserve"> is an important part of the Government’s investment in regional telecommunications and will </w:t>
      </w:r>
      <w:r w:rsidR="00A5536D">
        <w:t>provide</w:t>
      </w:r>
      <w:r w:rsidR="00A5536D" w:rsidRPr="00412E08">
        <w:t xml:space="preserve"> </w:t>
      </w:r>
      <w:r w:rsidRPr="00412E08">
        <w:t>up to $</w:t>
      </w:r>
      <w:r w:rsidR="00E962A0">
        <w:t>83</w:t>
      </w:r>
      <w:r w:rsidR="00D42B86">
        <w:t> million</w:t>
      </w:r>
      <w:r w:rsidRPr="00412E08">
        <w:t xml:space="preserve"> in grants for communications infrastructure projects in regional, rural and remote Australia. The RCP target</w:t>
      </w:r>
      <w:r w:rsidR="00A5536D">
        <w:t>s</w:t>
      </w:r>
      <w:r w:rsidRPr="00412E08">
        <w:t xml:space="preserve"> investment in local priorities to maximise economic opportunities and region-wide benefits</w:t>
      </w:r>
      <w:r w:rsidR="002455EA">
        <w:t>.</w:t>
      </w:r>
    </w:p>
    <w:p w14:paraId="61518861" w14:textId="77777777" w:rsidR="002455EA" w:rsidRDefault="00B56B18" w:rsidP="00392AF3">
      <w:r w:rsidRPr="00B56B18">
        <w:t xml:space="preserve">With the rollout of the NBN almost complete in regional Australia, there is an opportunity for the network to be complemented in some areas with bespoke, place-based solutions. </w:t>
      </w:r>
      <w:r w:rsidR="00412E08" w:rsidRPr="00412E08">
        <w:t xml:space="preserve">The RCP </w:t>
      </w:r>
      <w:r w:rsidR="00A5536D">
        <w:t xml:space="preserve">has been designed to </w:t>
      </w:r>
      <w:r w:rsidR="00412E08" w:rsidRPr="00412E08">
        <w:t>complement the NBN and the Government’s MBSP</w:t>
      </w:r>
      <w:r w:rsidR="00F65A9E">
        <w:t>, particularly</w:t>
      </w:r>
      <w:r w:rsidR="00412E08" w:rsidRPr="00412E08">
        <w:t xml:space="preserve"> in </w:t>
      </w:r>
      <w:r w:rsidR="003B7E2F">
        <w:t>Sky Muster</w:t>
      </w:r>
      <w:r w:rsidR="00412E08" w:rsidRPr="00412E08">
        <w:t xml:space="preserve"> satellite service areas</w:t>
      </w:r>
      <w:r w:rsidR="002455EA">
        <w:t>.</w:t>
      </w:r>
    </w:p>
    <w:p w14:paraId="1B14796C" w14:textId="77777777" w:rsidR="002455EA" w:rsidRDefault="00A5536D" w:rsidP="00392AF3">
      <w:r>
        <w:t>The</w:t>
      </w:r>
      <w:r w:rsidRPr="00412E08">
        <w:t xml:space="preserve"> </w:t>
      </w:r>
      <w:r w:rsidR="00412E08" w:rsidRPr="00412E08">
        <w:t>program</w:t>
      </w:r>
      <w:r>
        <w:t xml:space="preserve"> provides an</w:t>
      </w:r>
      <w:r w:rsidR="00412E08" w:rsidRPr="00412E08">
        <w:t xml:space="preserve"> </w:t>
      </w:r>
      <w:r w:rsidRPr="00412E08">
        <w:t>opportunit</w:t>
      </w:r>
      <w:r>
        <w:t>y</w:t>
      </w:r>
      <w:r w:rsidRPr="00412E08">
        <w:t xml:space="preserve"> </w:t>
      </w:r>
      <w:r w:rsidR="00412E08" w:rsidRPr="00412E08">
        <w:t>for communities and telecommunication</w:t>
      </w:r>
      <w:r w:rsidR="00BC6FBF">
        <w:t>s providers to identify</w:t>
      </w:r>
      <w:r w:rsidR="00412E08" w:rsidRPr="00412E08">
        <w:t xml:space="preserve"> bespoke solutions to improve connectivity in the </w:t>
      </w:r>
      <w:r w:rsidR="00E032A2">
        <w:t>Grainbelt</w:t>
      </w:r>
      <w:r w:rsidR="002455EA">
        <w:t>.</w:t>
      </w:r>
    </w:p>
    <w:p w14:paraId="654116CC" w14:textId="77777777" w:rsidR="002455EA" w:rsidRDefault="00412E08" w:rsidP="00392AF3">
      <w:r w:rsidRPr="00412E08">
        <w:t xml:space="preserve">The types of projects that could be supported through the RCP include the development of enterprise-grade broadband networks that enable the agricultural or horticultural sectors to use the latest applications and technologies. This </w:t>
      </w:r>
      <w:r w:rsidR="003D314D">
        <w:t>could</w:t>
      </w:r>
      <w:r w:rsidR="003D314D" w:rsidRPr="00412E08">
        <w:t xml:space="preserve"> </w:t>
      </w:r>
      <w:r w:rsidRPr="00412E08">
        <w:t xml:space="preserve">include fixed wireless projects in </w:t>
      </w:r>
      <w:r w:rsidR="003B7E2F">
        <w:t>Sky Muster</w:t>
      </w:r>
      <w:r w:rsidRPr="00412E08">
        <w:t xml:space="preserve"> areas</w:t>
      </w:r>
      <w:r w:rsidR="002455EA">
        <w:t>.</w:t>
      </w:r>
    </w:p>
    <w:p w14:paraId="6ED1E477" w14:textId="7B82D562" w:rsidR="00593D57" w:rsidRDefault="00D74365" w:rsidP="009C690C">
      <w:r>
        <w:t xml:space="preserve">There is significant potential for programs such as the RCP, to improve digital connectivity in the </w:t>
      </w:r>
      <w:r w:rsidR="00E032A2">
        <w:t>Grainbelt</w:t>
      </w:r>
      <w:r>
        <w:t>. The WA Government has indicated</w:t>
      </w:r>
      <w:bookmarkStart w:id="149" w:name="_Toc44927835"/>
      <w:bookmarkStart w:id="150" w:name="_Toc44944365"/>
      <w:bookmarkStart w:id="151" w:name="_Toc45023423"/>
      <w:bookmarkStart w:id="152" w:name="_Toc45030236"/>
      <w:r w:rsidR="003D314D">
        <w:t xml:space="preserve"> interest in the program and </w:t>
      </w:r>
      <w:r w:rsidR="009C690C">
        <w:t>a series of projects</w:t>
      </w:r>
      <w:r w:rsidR="003D314D">
        <w:t xml:space="preserve"> it would be willing to support</w:t>
      </w:r>
      <w:r w:rsidR="009C690C">
        <w:t>.</w:t>
      </w:r>
    </w:p>
    <w:p w14:paraId="60C3665F" w14:textId="2497CE4B" w:rsidR="00412E08" w:rsidRDefault="00412E08" w:rsidP="00412E08">
      <w:pPr>
        <w:pStyle w:val="Heading3"/>
      </w:pPr>
      <w:bookmarkStart w:id="153" w:name="_Toc48647868"/>
      <w:bookmarkStart w:id="154" w:name="_Toc48654623"/>
      <w:bookmarkStart w:id="155" w:name="_Toc57650790"/>
      <w:bookmarkStart w:id="156" w:name="_Toc57708836"/>
      <w:bookmarkStart w:id="157" w:name="_Toc58855688"/>
      <w:bookmarkStart w:id="158" w:name="_Toc58858014"/>
      <w:r>
        <w:t>Western Australia Government Digital Farm Grants Program</w:t>
      </w:r>
      <w:bookmarkEnd w:id="149"/>
      <w:bookmarkEnd w:id="150"/>
      <w:bookmarkEnd w:id="151"/>
      <w:bookmarkEnd w:id="152"/>
      <w:bookmarkEnd w:id="153"/>
      <w:bookmarkEnd w:id="154"/>
      <w:bookmarkEnd w:id="155"/>
      <w:bookmarkEnd w:id="156"/>
      <w:bookmarkEnd w:id="157"/>
      <w:bookmarkEnd w:id="158"/>
    </w:p>
    <w:p w14:paraId="6508CBBD" w14:textId="428BB5F9" w:rsidR="002455EA" w:rsidRDefault="00412E08" w:rsidP="009F4843">
      <w:r w:rsidRPr="00412E08">
        <w:t xml:space="preserve">The </w:t>
      </w:r>
      <w:r w:rsidR="005E48CD">
        <w:t xml:space="preserve">WA Government’s </w:t>
      </w:r>
      <w:r w:rsidRPr="00412E08">
        <w:t xml:space="preserve">Digital Farm Grants Program </w:t>
      </w:r>
      <w:r w:rsidR="009C690C">
        <w:t xml:space="preserve">(DFGP) </w:t>
      </w:r>
      <w:r w:rsidRPr="00412E08">
        <w:t>was first made available in 2018 with up to $5</w:t>
      </w:r>
      <w:r w:rsidR="00D42B86">
        <w:t> million</w:t>
      </w:r>
      <w:r w:rsidRPr="00412E08">
        <w:t xml:space="preserve"> available for Round 1</w:t>
      </w:r>
      <w:r w:rsidR="00534957">
        <w:t xml:space="preserve"> and a further $2</w:t>
      </w:r>
      <w:r w:rsidR="00D42B86">
        <w:t> million</w:t>
      </w:r>
      <w:r w:rsidR="00534957">
        <w:t xml:space="preserve"> under Round 2 in 2019</w:t>
      </w:r>
      <w:r w:rsidR="00004428">
        <w:t xml:space="preserve">. </w:t>
      </w:r>
      <w:r w:rsidRPr="00412E08">
        <w:t>Grants of up to $500,000 were made available on a matching co-contribution basis to cover capital costs of improving connectivity to multiple farming enterprises and associated stakeholders</w:t>
      </w:r>
      <w:r w:rsidR="002455EA">
        <w:t>.</w:t>
      </w:r>
    </w:p>
    <w:p w14:paraId="5E858699" w14:textId="77777777" w:rsidR="002455EA" w:rsidRDefault="00EC6C17" w:rsidP="009F4843">
      <w:r>
        <w:t xml:space="preserve">The WA Government </w:t>
      </w:r>
      <w:r w:rsidR="009C690C">
        <w:t>DFGP</w:t>
      </w:r>
      <w:r>
        <w:t xml:space="preserve"> is a similar model to the Australian Government’s </w:t>
      </w:r>
      <w:r w:rsidR="00DB6111">
        <w:t>RCP</w:t>
      </w:r>
      <w:r>
        <w:t>. Both are grants programs that have been designed to support place-based solutions and target investment in local priorities to maximise economic opportunities and region-wide benefits in regional Australia</w:t>
      </w:r>
      <w:r w:rsidR="002455EA">
        <w:t>.</w:t>
      </w:r>
    </w:p>
    <w:p w14:paraId="0EBD5BA1" w14:textId="77777777" w:rsidR="002455EA" w:rsidRDefault="004A072B" w:rsidP="009F4843">
      <w:r>
        <w:t xml:space="preserve">More information about the program can be found on the WA Government Department of Primary Industries and Regional Development website at </w:t>
      </w:r>
      <w:hyperlink r:id="rId26" w:history="1">
        <w:r>
          <w:rPr>
            <w:rStyle w:val="Hyperlink"/>
          </w:rPr>
          <w:t>https://www.agric.wa.gov.au/r4r/digital-farm-grants-program</w:t>
        </w:r>
      </w:hyperlink>
      <w:r w:rsidR="002455EA">
        <w:t>.</w:t>
      </w:r>
    </w:p>
    <w:p w14:paraId="157AE56A" w14:textId="43898B9A" w:rsidR="00EC6C17" w:rsidRDefault="00EC6C17" w:rsidP="002455EA">
      <w:pPr>
        <w:pStyle w:val="Heading4"/>
      </w:pPr>
      <w:bookmarkStart w:id="159" w:name="_Toc44927836"/>
      <w:bookmarkStart w:id="160" w:name="_Toc44944366"/>
      <w:bookmarkStart w:id="161" w:name="_Toc45023424"/>
      <w:bookmarkStart w:id="162" w:name="_Toc45030237"/>
      <w:bookmarkStart w:id="163" w:name="_Toc48647869"/>
      <w:bookmarkStart w:id="164" w:name="_Toc48654624"/>
      <w:bookmarkStart w:id="165" w:name="_Toc58855689"/>
      <w:bookmarkStart w:id="166" w:name="_Toc58858015"/>
      <w:r>
        <w:t>Round 1 Outcomes</w:t>
      </w:r>
      <w:bookmarkEnd w:id="159"/>
      <w:bookmarkEnd w:id="160"/>
      <w:bookmarkEnd w:id="161"/>
      <w:bookmarkEnd w:id="162"/>
      <w:bookmarkEnd w:id="163"/>
      <w:bookmarkEnd w:id="164"/>
      <w:bookmarkEnd w:id="165"/>
      <w:bookmarkEnd w:id="166"/>
    </w:p>
    <w:p w14:paraId="33D9A2BB" w14:textId="5B2AD373" w:rsidR="002455EA" w:rsidRDefault="00294E6B" w:rsidP="00412E08">
      <w:r>
        <w:t xml:space="preserve">Many of the projects funded under </w:t>
      </w:r>
      <w:r w:rsidR="00EC6C17">
        <w:t xml:space="preserve">Round 1 of </w:t>
      </w:r>
      <w:r>
        <w:t xml:space="preserve">the WA Government’s </w:t>
      </w:r>
      <w:r w:rsidR="009C690C">
        <w:t>DFGP</w:t>
      </w:r>
      <w:r>
        <w:t xml:space="preserve"> are located in </w:t>
      </w:r>
      <w:r w:rsidR="00DE2F45">
        <w:t>the Grainbelt</w:t>
      </w:r>
      <w:r>
        <w:t xml:space="preserve"> region of WA. </w:t>
      </w:r>
      <w:r w:rsidR="00412E08">
        <w:t>Under Round 1, a total of $4.8</w:t>
      </w:r>
      <w:r w:rsidR="00D42B86">
        <w:t> million</w:t>
      </w:r>
      <w:r w:rsidR="00412E08">
        <w:t xml:space="preserve"> in grant funding was allocated to five </w:t>
      </w:r>
      <w:r w:rsidR="008830DB">
        <w:t xml:space="preserve">successful recipients </w:t>
      </w:r>
      <w:r w:rsidR="00412E08">
        <w:t>to deliver 11 Digital Farm projects across the State</w:t>
      </w:r>
      <w:r w:rsidR="002455EA">
        <w:t>.</w:t>
      </w:r>
    </w:p>
    <w:p w14:paraId="54B36707" w14:textId="1170EA4F" w:rsidR="00412E08" w:rsidRDefault="00412E08" w:rsidP="00412E08">
      <w:r>
        <w:t>Logic</w:t>
      </w:r>
      <w:r w:rsidR="009C690C">
        <w:t xml:space="preserve"> </w:t>
      </w:r>
      <w:r>
        <w:t>IT Solutions Pty Ltd</w:t>
      </w:r>
      <w:r w:rsidR="002F69DD">
        <w:t>, a local telecommunications provider based in Geraldton,</w:t>
      </w:r>
      <w:r>
        <w:t xml:space="preserve"> is responsible for </w:t>
      </w:r>
      <w:r w:rsidR="002F69DD">
        <w:t xml:space="preserve">delivering </w:t>
      </w:r>
      <w:r w:rsidR="008A3354" w:rsidRPr="008A3354">
        <w:t xml:space="preserve">services of up to 200mbs on </w:t>
      </w:r>
      <w:r w:rsidR="008A3354">
        <w:t>27</w:t>
      </w:r>
      <w:r w:rsidR="00004428">
        <w:t xml:space="preserve"> </w:t>
      </w:r>
      <w:r>
        <w:t xml:space="preserve">towers, which are now </w:t>
      </w:r>
      <w:r w:rsidR="002F69DD">
        <w:t xml:space="preserve">providing </w:t>
      </w:r>
      <w:r>
        <w:t xml:space="preserve">farmers in the Chapman Valley and North Midlands </w:t>
      </w:r>
      <w:r w:rsidR="002F69DD">
        <w:t>with access to</w:t>
      </w:r>
      <w:r>
        <w:t xml:space="preserve"> enterprise grade broadband conn</w:t>
      </w:r>
      <w:r w:rsidR="0093132E">
        <w:t>ectivity</w:t>
      </w:r>
      <w:r w:rsidR="000866A5" w:rsidRPr="000866A5">
        <w:t xml:space="preserve"> across more than 14,000 square k</w:t>
      </w:r>
      <w:r w:rsidR="00F65A9E">
        <w:t>ilo</w:t>
      </w:r>
      <w:r w:rsidR="000866A5" w:rsidRPr="000866A5">
        <w:t>m</w:t>
      </w:r>
      <w:r w:rsidR="00F65A9E">
        <w:t>etres</w:t>
      </w:r>
      <w:r>
        <w:t>.</w:t>
      </w:r>
      <w:r w:rsidR="009C690C">
        <w:t xml:space="preserve"> </w:t>
      </w:r>
      <w:proofErr w:type="spellStart"/>
      <w:r>
        <w:t>Pivotel</w:t>
      </w:r>
      <w:proofErr w:type="spellEnd"/>
      <w:r>
        <w:t xml:space="preserve"> Pty Ltd has also successfully delivered three new solar powered towers, which </w:t>
      </w:r>
      <w:r w:rsidR="00424173">
        <w:t xml:space="preserve">are </w:t>
      </w:r>
      <w:r>
        <w:t xml:space="preserve">now </w:t>
      </w:r>
      <w:r w:rsidR="002F69DD">
        <w:t xml:space="preserve">providing service across </w:t>
      </w:r>
      <w:r>
        <w:t xml:space="preserve">approximately 50 square kilometres in </w:t>
      </w:r>
      <w:r w:rsidR="00DE2F45">
        <w:t>the Grainbelt</w:t>
      </w:r>
      <w:r>
        <w:t xml:space="preserve"> agricultural district of Wickepin. </w:t>
      </w:r>
      <w:r w:rsidR="002F69DD">
        <w:t xml:space="preserve">As </w:t>
      </w:r>
      <w:r w:rsidR="002F69DD">
        <w:lastRenderedPageBreak/>
        <w:t xml:space="preserve">part of its Mt Barker Project, </w:t>
      </w:r>
      <w:proofErr w:type="spellStart"/>
      <w:r w:rsidR="002F69DD">
        <w:t>Pivotel</w:t>
      </w:r>
      <w:proofErr w:type="spellEnd"/>
      <w:r w:rsidR="002F69DD">
        <w:t xml:space="preserve"> Pty Ltd</w:t>
      </w:r>
      <w:r>
        <w:t xml:space="preserve"> will also provide new coverage to the Great Southern region.</w:t>
      </w:r>
    </w:p>
    <w:p w14:paraId="477E564C" w14:textId="77777777" w:rsidR="002455EA" w:rsidRDefault="00412E08" w:rsidP="00412E08">
      <w:r>
        <w:t xml:space="preserve">Other grant recipients include </w:t>
      </w:r>
      <w:proofErr w:type="spellStart"/>
      <w:r>
        <w:t>Superloop</w:t>
      </w:r>
      <w:proofErr w:type="spellEnd"/>
      <w:r>
        <w:t xml:space="preserve"> Limited</w:t>
      </w:r>
      <w:r w:rsidR="002F69DD">
        <w:t>,</w:t>
      </w:r>
      <w:r>
        <w:t xml:space="preserve"> </w:t>
      </w:r>
      <w:r w:rsidR="002F69DD">
        <w:t>which has deployed</w:t>
      </w:r>
      <w:r>
        <w:t xml:space="preserve"> telecommunications infrastructure in </w:t>
      </w:r>
      <w:r w:rsidR="002F69DD">
        <w:t>WA’s</w:t>
      </w:r>
      <w:r>
        <w:t xml:space="preserve"> Great Southern communities of Narrogin, Wagin, Kojonup, Katanning, and Broomehill East. Telstra Corporation Limited</w:t>
      </w:r>
      <w:r w:rsidDel="002F69DD">
        <w:t xml:space="preserve"> </w:t>
      </w:r>
      <w:r w:rsidR="002F69DD">
        <w:t xml:space="preserve">is </w:t>
      </w:r>
      <w:r>
        <w:t>deliver</w:t>
      </w:r>
      <w:r w:rsidR="002F69DD">
        <w:t>ing</w:t>
      </w:r>
      <w:r>
        <w:t xml:space="preserve"> a project in </w:t>
      </w:r>
      <w:proofErr w:type="spellStart"/>
      <w:r>
        <w:t>Goodlands</w:t>
      </w:r>
      <w:proofErr w:type="spellEnd"/>
      <w:r>
        <w:t xml:space="preserve">, while Bunbury telecommunications provider </w:t>
      </w:r>
      <w:proofErr w:type="spellStart"/>
      <w:r>
        <w:t>CipherTel</w:t>
      </w:r>
      <w:proofErr w:type="spellEnd"/>
      <w:r>
        <w:t xml:space="preserve"> Pty Ltd will deliver digital connectivity projects in Kununurra, Williams, Wagerup/Boddington, and Capel/Busselton.</w:t>
      </w:r>
      <w:r w:rsidR="00092B37">
        <w:t xml:space="preserve"> The projects in Williams and Boddington are located in the </w:t>
      </w:r>
      <w:r w:rsidR="00E032A2">
        <w:t>Grainbelt</w:t>
      </w:r>
      <w:r w:rsidR="002455EA">
        <w:t>.</w:t>
      </w:r>
    </w:p>
    <w:p w14:paraId="192E9C40" w14:textId="3F44A518" w:rsidR="00B10A4B" w:rsidRDefault="00412E08" w:rsidP="00412E08">
      <w:r>
        <w:t xml:space="preserve">All the projects are expected to be finalised by </w:t>
      </w:r>
      <w:r w:rsidR="008457BF">
        <w:t>early</w:t>
      </w:r>
      <w:r>
        <w:t xml:space="preserve"> of 202</w:t>
      </w:r>
      <w:r w:rsidR="008457BF">
        <w:t>1</w:t>
      </w:r>
      <w:r>
        <w:t xml:space="preserve"> and once up and running, will offer end-to-end digital connectivity services for agribusinesses </w:t>
      </w:r>
      <w:r w:rsidR="00273151">
        <w:t>and communities in regional WA.</w:t>
      </w:r>
    </w:p>
    <w:p w14:paraId="151F9F62" w14:textId="17A76691" w:rsidR="00BC15A1" w:rsidRDefault="00BC15A1" w:rsidP="002455EA">
      <w:pPr>
        <w:pStyle w:val="Heading4"/>
      </w:pPr>
      <w:bookmarkStart w:id="167" w:name="_Toc48654625"/>
      <w:bookmarkStart w:id="168" w:name="_Toc58855690"/>
      <w:bookmarkStart w:id="169" w:name="_Toc58858016"/>
      <w:r>
        <w:t>Round 2 Outcomes</w:t>
      </w:r>
      <w:bookmarkEnd w:id="167"/>
      <w:bookmarkEnd w:id="168"/>
      <w:bookmarkEnd w:id="169"/>
    </w:p>
    <w:p w14:paraId="1B931482" w14:textId="0AE1B339" w:rsidR="002455EA" w:rsidRDefault="00BC15A1" w:rsidP="008E2E83">
      <w:r w:rsidRPr="00BC15A1">
        <w:t>The</w:t>
      </w:r>
      <w:r>
        <w:t xml:space="preserve"> outcomes </w:t>
      </w:r>
      <w:r w:rsidR="00F65A9E">
        <w:t>of the</w:t>
      </w:r>
      <w:r>
        <w:t xml:space="preserve"> second $2.1</w:t>
      </w:r>
      <w:r w:rsidR="00D42B86">
        <w:t> million</w:t>
      </w:r>
      <w:r>
        <w:t xml:space="preserve"> round of the WA Government’s DFGP were announced in July 2020. </w:t>
      </w:r>
      <w:r w:rsidR="004B7DA2">
        <w:t>There were three successful recipients and four projects funded under Round 2. The four projects will deliver</w:t>
      </w:r>
      <w:r w:rsidRPr="00BC15A1">
        <w:t xml:space="preserve"> broadband connectivity to an estimated 245 farms, covering </w:t>
      </w:r>
      <w:r w:rsidR="000866A5">
        <w:t xml:space="preserve">an additional </w:t>
      </w:r>
      <w:r w:rsidRPr="00BC15A1">
        <w:t>24,000 square kilometres</w:t>
      </w:r>
      <w:r w:rsidR="004B7DA2">
        <w:t xml:space="preserve">. The areas that will be serviced by these projects include the Shires of </w:t>
      </w:r>
      <w:proofErr w:type="spellStart"/>
      <w:r w:rsidR="004B7DA2">
        <w:t>Merriden</w:t>
      </w:r>
      <w:proofErr w:type="spellEnd"/>
      <w:r w:rsidR="004B7DA2">
        <w:t>, Bruce Rock and Narembeen in the Grainbelt region</w:t>
      </w:r>
      <w:r w:rsidR="002455EA">
        <w:t>.</w:t>
      </w:r>
    </w:p>
    <w:p w14:paraId="2A674290" w14:textId="54C16D83" w:rsidR="00BC15A1" w:rsidRDefault="004B7DA2">
      <w:r>
        <w:t xml:space="preserve">Specifically, the funded projects include a CRISP Wireless telecommunications project in Merredin, Bruce Rock and Narembeen, a Logic IT fixed wireless network from </w:t>
      </w:r>
      <w:r w:rsidR="000866A5">
        <w:t xml:space="preserve">Greater </w:t>
      </w:r>
      <w:r>
        <w:t xml:space="preserve">Geraldton to Mullewa, and a Logic IT fixed wireless project in Dandaragan. Outside the </w:t>
      </w:r>
      <w:proofErr w:type="spellStart"/>
      <w:r>
        <w:t>Grainbelt</w:t>
      </w:r>
      <w:proofErr w:type="spellEnd"/>
      <w:r>
        <w:t xml:space="preserve"> area, </w:t>
      </w:r>
      <w:proofErr w:type="spellStart"/>
      <w:r>
        <w:t>CipherTel</w:t>
      </w:r>
      <w:proofErr w:type="spellEnd"/>
      <w:r>
        <w:t xml:space="preserve"> also received funding for a project in the Carnarvon Horticultural District.</w:t>
      </w:r>
    </w:p>
    <w:p w14:paraId="2E9EB916" w14:textId="22AA1C2E" w:rsidR="007E78B6" w:rsidRDefault="00106BF7" w:rsidP="00412E08">
      <w:r>
        <w:t xml:space="preserve">A map of all projects funded under Rounds 1 and 2 of the </w:t>
      </w:r>
      <w:r w:rsidR="0075087E">
        <w:t>DFGP</w:t>
      </w:r>
      <w:r>
        <w:t xml:space="preserve"> is at Attachment A.</w:t>
      </w:r>
    </w:p>
    <w:p w14:paraId="5139B139" w14:textId="6F2C5398" w:rsidR="001C3809" w:rsidRDefault="001C3809" w:rsidP="002455EA">
      <w:pPr>
        <w:pStyle w:val="Heading4"/>
      </w:pPr>
      <w:bookmarkStart w:id="170" w:name="_Toc58855691"/>
      <w:bookmarkStart w:id="171" w:name="_Toc58858017"/>
      <w:r>
        <w:t>Round 3</w:t>
      </w:r>
      <w:bookmarkEnd w:id="170"/>
      <w:bookmarkEnd w:id="171"/>
    </w:p>
    <w:p w14:paraId="276A3B12" w14:textId="50F49DE9" w:rsidR="001C3809" w:rsidRDefault="001C3809" w:rsidP="001C3809">
      <w:pPr>
        <w:tabs>
          <w:tab w:val="right" w:pos="8789"/>
        </w:tabs>
        <w:rPr>
          <w:szCs w:val="24"/>
        </w:rPr>
      </w:pPr>
      <w:r>
        <w:t xml:space="preserve">The WA Government </w:t>
      </w:r>
      <w:r w:rsidR="004651DD">
        <w:t>recently commenced</w:t>
      </w:r>
      <w:r>
        <w:t xml:space="preserve"> </w:t>
      </w:r>
      <w:r>
        <w:rPr>
          <w:szCs w:val="24"/>
        </w:rPr>
        <w:t>Round 3 of the DFGP</w:t>
      </w:r>
      <w:r w:rsidR="004651DD">
        <w:rPr>
          <w:szCs w:val="24"/>
        </w:rPr>
        <w:t xml:space="preserve"> with applications for this round opening in October 2020</w:t>
      </w:r>
      <w:r>
        <w:rPr>
          <w:szCs w:val="24"/>
        </w:rPr>
        <w:t>. Round 3 is targeted towards the Grainbelt region and will provide up to $7</w:t>
      </w:r>
      <w:r w:rsidR="00D42B86">
        <w:rPr>
          <w:szCs w:val="24"/>
        </w:rPr>
        <w:t> million</w:t>
      </w:r>
      <w:r>
        <w:rPr>
          <w:szCs w:val="24"/>
        </w:rPr>
        <w:t xml:space="preserve"> in funding for connectivity solutions for agribusinesses in the </w:t>
      </w:r>
      <w:r w:rsidR="00917EC0">
        <w:rPr>
          <w:szCs w:val="24"/>
        </w:rPr>
        <w:t>area</w:t>
      </w:r>
      <w:r>
        <w:rPr>
          <w:szCs w:val="24"/>
        </w:rPr>
        <w:t>. Applications for Round 3 closed on 27 November 2020</w:t>
      </w:r>
      <w:r w:rsidR="00917EC0">
        <w:rPr>
          <w:szCs w:val="24"/>
        </w:rPr>
        <w:t>.</w:t>
      </w:r>
      <w:r>
        <w:rPr>
          <w:szCs w:val="24"/>
        </w:rPr>
        <w:t xml:space="preserve"> </w:t>
      </w:r>
      <w:r w:rsidR="00917EC0">
        <w:rPr>
          <w:szCs w:val="24"/>
        </w:rPr>
        <w:t>All applications are currently being assessed by the WA Government, with the outcomes to be announced after this process has been completed.</w:t>
      </w:r>
    </w:p>
    <w:p w14:paraId="7B7D204D" w14:textId="396D7666" w:rsidR="00004428" w:rsidRDefault="00E962A0" w:rsidP="00D32BC5">
      <w:pPr>
        <w:pStyle w:val="Heading2"/>
      </w:pPr>
      <w:bookmarkStart w:id="172" w:name="_Toc57650791"/>
      <w:bookmarkStart w:id="173" w:name="_Toc57708837"/>
      <w:bookmarkStart w:id="174" w:name="_Toc58855692"/>
      <w:bookmarkStart w:id="175" w:name="_Toc58858018"/>
      <w:r w:rsidRPr="009E6B1E">
        <w:rPr>
          <w:rStyle w:val="Heading3Char"/>
        </w:rPr>
        <w:t>Digital Connectivity Approaches for the Grainbelt</w:t>
      </w:r>
      <w:bookmarkEnd w:id="172"/>
      <w:bookmarkEnd w:id="173"/>
      <w:bookmarkEnd w:id="174"/>
      <w:bookmarkEnd w:id="175"/>
      <w:r w:rsidR="00FF626B">
        <w:t xml:space="preserve"> </w:t>
      </w:r>
    </w:p>
    <w:p w14:paraId="33BADB56" w14:textId="77777777" w:rsidR="002455EA" w:rsidRDefault="005A00FA" w:rsidP="002F69DD">
      <w:r>
        <w:t xml:space="preserve">In </w:t>
      </w:r>
      <w:r w:rsidR="00EB233B">
        <w:t>August 2018</w:t>
      </w:r>
      <w:r>
        <w:t xml:space="preserve">, the WA Government </w:t>
      </w:r>
      <w:r w:rsidR="00593D57">
        <w:t>commenced</w:t>
      </w:r>
      <w:r>
        <w:t xml:space="preserve"> its Grainbelt Digital Enhancement Project (the Project). The aim of the Project was to deliver high capacity broadband and improved access to digital technology to far-reaching, broad coverage areas throughout WA's </w:t>
      </w:r>
      <w:r w:rsidR="00FF626B">
        <w:t>Grainbelt</w:t>
      </w:r>
      <w:r w:rsidR="002455EA">
        <w:t>.</w:t>
      </w:r>
    </w:p>
    <w:p w14:paraId="38251E1C" w14:textId="3713DADD" w:rsidR="002455EA" w:rsidRDefault="002F69DD" w:rsidP="005A00FA">
      <w:r>
        <w:t>The process undertaken by the WA Government for the Project has helped to inform this study. This information has been used to consider whether to undertake an all-encompassing approach to improving connectivity or to use a targeted</w:t>
      </w:r>
      <w:r w:rsidR="00EB233B">
        <w:t xml:space="preserve"> </w:t>
      </w:r>
      <w:r w:rsidR="00FF626B">
        <w:t>placed based</w:t>
      </w:r>
      <w:r>
        <w:t xml:space="preserve"> program for the </w:t>
      </w:r>
      <w:r>
        <w:lastRenderedPageBreak/>
        <w:t>Grainbelt region.</w:t>
      </w:r>
      <w:r w:rsidR="00C805F6">
        <w:t xml:space="preserve"> </w:t>
      </w:r>
      <w:r w:rsidR="005A00FA">
        <w:t>Pro</w:t>
      </w:r>
      <w:r w:rsidR="000E3A26">
        <w:t xml:space="preserve">posals </w:t>
      </w:r>
      <w:r w:rsidR="00820B9B">
        <w:t>put forward</w:t>
      </w:r>
      <w:r w:rsidR="004A6589">
        <w:t xml:space="preserve"> considered </w:t>
      </w:r>
      <w:r w:rsidR="00820B9B">
        <w:t xml:space="preserve">a variety of </w:t>
      </w:r>
      <w:r w:rsidR="004A6589">
        <w:t>different approaches</w:t>
      </w:r>
      <w:r w:rsidR="005A00FA">
        <w:t xml:space="preserve"> to improv</w:t>
      </w:r>
      <w:r w:rsidR="004A6589">
        <w:t>ing</w:t>
      </w:r>
      <w:r w:rsidR="005A00FA">
        <w:t xml:space="preserve"> connectivity in the area.</w:t>
      </w:r>
      <w:r w:rsidR="002455EA">
        <w:t xml:space="preserve"> </w:t>
      </w:r>
      <w:r w:rsidR="000E3A26">
        <w:t>However due to commercial</w:t>
      </w:r>
      <w:r w:rsidR="004E00B2">
        <w:t>-</w:t>
      </w:r>
      <w:r w:rsidR="000E3A26">
        <w:t>in</w:t>
      </w:r>
      <w:r w:rsidR="004E00B2">
        <w:t>-</w:t>
      </w:r>
      <w:r w:rsidR="000E3A26">
        <w:t>confidence requirements, detailed information on the proposals is not publically available</w:t>
      </w:r>
      <w:r w:rsidR="002455EA">
        <w:t>.</w:t>
      </w:r>
    </w:p>
    <w:p w14:paraId="02B3C7AD" w14:textId="227D3348" w:rsidR="002A5F4F" w:rsidRDefault="000E3A26" w:rsidP="006458BA">
      <w:r>
        <w:t>The Project</w:t>
      </w:r>
      <w:r w:rsidR="006458BA">
        <w:t>, and advice receive</w:t>
      </w:r>
      <w:r w:rsidR="00C805F6">
        <w:t>d from external consultants</w:t>
      </w:r>
      <w:r>
        <w:t>,</w:t>
      </w:r>
      <w:r w:rsidR="00C805F6">
        <w:t xml:space="preserve"> </w:t>
      </w:r>
      <w:r w:rsidR="006458BA">
        <w:t xml:space="preserve">has assisted the government in determining whether a targeted approach </w:t>
      </w:r>
      <w:r w:rsidR="00862E92">
        <w:t>or a</w:t>
      </w:r>
      <w:r w:rsidR="00EC006C">
        <w:t xml:space="preserve"> broader</w:t>
      </w:r>
      <w:r w:rsidR="00862E92">
        <w:t xml:space="preserve"> approach </w:t>
      </w:r>
      <w:r w:rsidR="006458BA">
        <w:t>would be more effective towards achieving improved connectivity in the WA Grainbelt. An example of a ‘</w:t>
      </w:r>
      <w:r w:rsidR="00EC006C">
        <w:t xml:space="preserve">broader’ </w:t>
      </w:r>
      <w:r w:rsidR="006458BA">
        <w:t xml:space="preserve">approach would be to build a new fibre optic network to provide increased coverage throughout the whole of the </w:t>
      </w:r>
      <w:r w:rsidR="00671E68">
        <w:t>G</w:t>
      </w:r>
      <w:r w:rsidR="006458BA">
        <w:t xml:space="preserve">rainbelt region. </w:t>
      </w:r>
      <w:r w:rsidR="002A5F4F">
        <w:t xml:space="preserve">A targeted approach would be to provide for smaller, </w:t>
      </w:r>
      <w:r w:rsidR="00120D71">
        <w:br/>
      </w:r>
      <w:r w:rsidR="002A5F4F">
        <w:t>place-based solutions in the areas where there are connectivity issues.</w:t>
      </w:r>
    </w:p>
    <w:p w14:paraId="21341021" w14:textId="022441DA" w:rsidR="002A5F4F" w:rsidRDefault="00F94BE5" w:rsidP="006458BA">
      <w:r>
        <w:t xml:space="preserve">As there is a significant amount of existing coverage in the most populous areas of the </w:t>
      </w:r>
      <w:r w:rsidR="00671E68">
        <w:t>G</w:t>
      </w:r>
      <w:r>
        <w:t>rainbelt region of WA</w:t>
      </w:r>
      <w:r w:rsidR="006458BA">
        <w:t xml:space="preserve"> </w:t>
      </w:r>
      <w:r w:rsidR="002A5F4F">
        <w:t xml:space="preserve">a </w:t>
      </w:r>
      <w:r w:rsidR="00260D3F">
        <w:t>broader</w:t>
      </w:r>
      <w:r w:rsidR="006458BA">
        <w:t xml:space="preserve"> approach would </w:t>
      </w:r>
      <w:r w:rsidR="000E3A26">
        <w:t xml:space="preserve">appear to </w:t>
      </w:r>
      <w:r w:rsidR="006458BA">
        <w:t xml:space="preserve">substantially overbuild existing communications infrastructure. </w:t>
      </w:r>
      <w:r>
        <w:t xml:space="preserve">Given this, it </w:t>
      </w:r>
      <w:r w:rsidR="006458BA">
        <w:t>is anticipated there would be minimal benefits in the areas where there is alrea</w:t>
      </w:r>
      <w:r w:rsidR="007F2628">
        <w:t>dy good coverage</w:t>
      </w:r>
      <w:r w:rsidR="006458BA">
        <w:t xml:space="preserve">. </w:t>
      </w:r>
      <w:r>
        <w:t>In addition, t</w:t>
      </w:r>
      <w:r w:rsidR="003A0CA6">
        <w:t>he cost</w:t>
      </w:r>
      <w:r>
        <w:t>s</w:t>
      </w:r>
      <w:r w:rsidR="003A0CA6">
        <w:t xml:space="preserve"> of implementing a </w:t>
      </w:r>
      <w:r w:rsidR="00EC006C">
        <w:t xml:space="preserve">broader </w:t>
      </w:r>
      <w:r w:rsidR="003A0CA6">
        <w:t>approach are significant</w:t>
      </w:r>
      <w:r w:rsidR="007F2628">
        <w:t xml:space="preserve"> and the commercial risks are high</w:t>
      </w:r>
      <w:r w:rsidR="003A0CA6">
        <w:t>.</w:t>
      </w:r>
    </w:p>
    <w:p w14:paraId="37A65786" w14:textId="7513EC88" w:rsidR="005E48CD" w:rsidRDefault="006458BA" w:rsidP="005E48CD">
      <w:r>
        <w:t>A targeted approach therefore appears to be the most technically and commercially viable means to achieve improved connectivity. By targeting those areas where there is little or no coverage, connectivity solutions can be deployed more efficiently and deliver more immediate benefits to the communities and businesses that need it. A targeted approach would require less commercial risk for all involved and could be supported under ex</w:t>
      </w:r>
      <w:r w:rsidR="007F2628">
        <w:t xml:space="preserve">isting government programs or </w:t>
      </w:r>
      <w:r>
        <w:t>new government funding program</w:t>
      </w:r>
      <w:r w:rsidR="007F2628">
        <w:t>s</w:t>
      </w:r>
      <w:r>
        <w:t>.</w:t>
      </w:r>
    </w:p>
    <w:p w14:paraId="519CFFE7" w14:textId="27F9C538" w:rsidR="009D21D7" w:rsidRDefault="009D21D7" w:rsidP="00D32BC5">
      <w:pPr>
        <w:pStyle w:val="Heading2"/>
      </w:pPr>
      <w:bookmarkStart w:id="176" w:name="_Toc44927852"/>
      <w:bookmarkStart w:id="177" w:name="_Toc44944378"/>
      <w:bookmarkStart w:id="178" w:name="_Toc45023436"/>
      <w:bookmarkStart w:id="179" w:name="_Toc45030249"/>
      <w:bookmarkStart w:id="180" w:name="_Toc48647871"/>
      <w:bookmarkStart w:id="181" w:name="_Toc48654627"/>
      <w:bookmarkStart w:id="182" w:name="_Toc57650792"/>
      <w:bookmarkStart w:id="183" w:name="_Toc57708838"/>
      <w:bookmarkStart w:id="184" w:name="_Toc58855693"/>
      <w:bookmarkStart w:id="185" w:name="_Toc58858019"/>
      <w:r>
        <w:t xml:space="preserve">Future </w:t>
      </w:r>
      <w:r w:rsidR="00E82E61">
        <w:t>t</w:t>
      </w:r>
      <w:r>
        <w:t>echnologies</w:t>
      </w:r>
      <w:bookmarkEnd w:id="176"/>
      <w:bookmarkEnd w:id="177"/>
      <w:bookmarkEnd w:id="178"/>
      <w:bookmarkEnd w:id="179"/>
      <w:bookmarkEnd w:id="180"/>
      <w:bookmarkEnd w:id="181"/>
      <w:bookmarkEnd w:id="182"/>
      <w:bookmarkEnd w:id="183"/>
      <w:bookmarkEnd w:id="184"/>
      <w:bookmarkEnd w:id="185"/>
    </w:p>
    <w:p w14:paraId="0F121D88" w14:textId="55451765" w:rsidR="009D21D7" w:rsidRDefault="0044020C" w:rsidP="009D21D7">
      <w:r>
        <w:t xml:space="preserve">While this study has focused on existing </w:t>
      </w:r>
      <w:r w:rsidR="00120D71">
        <w:t xml:space="preserve">technologies </w:t>
      </w:r>
      <w:r>
        <w:t>to improve connectivity, e</w:t>
      </w:r>
      <w:r w:rsidR="009D21D7">
        <w:t xml:space="preserve">volving technology is also enabling broader connectivity solutions that may assist to improve coverage in the </w:t>
      </w:r>
      <w:r w:rsidR="00E032A2">
        <w:t>Grainbelt</w:t>
      </w:r>
      <w:r w:rsidR="009D21D7">
        <w:t xml:space="preserve"> area</w:t>
      </w:r>
      <w:r w:rsidR="00000040">
        <w:t xml:space="preserve"> over time</w:t>
      </w:r>
      <w:r w:rsidR="009D21D7">
        <w:t xml:space="preserve">. These technologies include Low Earth Orbit (LEO) satellite networks and High-Altitude Platform Stations </w:t>
      </w:r>
      <w:r>
        <w:t xml:space="preserve">(HAPS) </w:t>
      </w:r>
      <w:r w:rsidR="009D21D7">
        <w:t>that are able to provide wide area wireless services.</w:t>
      </w:r>
    </w:p>
    <w:p w14:paraId="53B36CE5" w14:textId="77777777" w:rsidR="002455EA" w:rsidRDefault="009D21D7" w:rsidP="009D21D7">
      <w:r>
        <w:t>LEO satellites revolve at an altitude between 160 to 2,000 kilometres and a constellation of these satellites are able to provide continuous, global coverage as the satellites move. Unlike Geosynchronous Equatorial Orbit (GEO) or ‘Geostationary’ satellites, LEO satellites fly at a much faster pace because of their proximity to the Earth</w:t>
      </w:r>
      <w:r w:rsidR="00000CC9">
        <w:t>,</w:t>
      </w:r>
      <w:r w:rsidR="009011AE">
        <w:t xml:space="preserve"> </w:t>
      </w:r>
      <w:r w:rsidR="00000CC9">
        <w:t>in order</w:t>
      </w:r>
      <w:r w:rsidR="009011AE">
        <w:t xml:space="preserve"> to remain in orbit</w:t>
      </w:r>
      <w:r>
        <w:t xml:space="preserve">. LEO satellite technology could provide an advantage for increasing connectivity in regional Australia as the technology is able to provide widespread high bandwidth, low latency coverage. This would facilitate high capacity, high speed connectivity in regional and remote areas of Australia. While there are some existing LEO satellite communications providers, this technology is not currently commercially </w:t>
      </w:r>
      <w:r w:rsidR="00D72753">
        <w:t>available</w:t>
      </w:r>
      <w:r w:rsidR="002455EA">
        <w:t>.</w:t>
      </w:r>
    </w:p>
    <w:p w14:paraId="3E48656B" w14:textId="77777777" w:rsidR="002455EA" w:rsidRDefault="009D21D7" w:rsidP="009D21D7">
      <w:r>
        <w:t xml:space="preserve">LEO satellite networks </w:t>
      </w:r>
      <w:r w:rsidR="000E3A26">
        <w:t xml:space="preserve">could be considered </w:t>
      </w:r>
      <w:r>
        <w:t xml:space="preserve">as a possible </w:t>
      </w:r>
      <w:r w:rsidR="007F2628">
        <w:t xml:space="preserve">future </w:t>
      </w:r>
      <w:r>
        <w:t xml:space="preserve">solution with the potential to enable near-ubiquitous coverage of </w:t>
      </w:r>
      <w:r w:rsidR="00DE2F45">
        <w:t>the Grainbelt</w:t>
      </w:r>
      <w:r>
        <w:t xml:space="preserve"> region. As the technology develops, there is a possibility that LEO satellite networks could be deployed within the forecast lifetime of </w:t>
      </w:r>
      <w:r w:rsidR="007F2628">
        <w:t xml:space="preserve">any </w:t>
      </w:r>
      <w:r w:rsidR="00DD3D41">
        <w:t>proposed new</w:t>
      </w:r>
      <w:r>
        <w:t xml:space="preserve"> wholesale fibre backhaul network</w:t>
      </w:r>
      <w:r w:rsidR="002455EA">
        <w:t>.</w:t>
      </w:r>
    </w:p>
    <w:p w14:paraId="715E4D03" w14:textId="77777777" w:rsidR="002455EA" w:rsidRDefault="009D21D7" w:rsidP="009D21D7">
      <w:r>
        <w:t xml:space="preserve">Another emerging technology </w:t>
      </w:r>
      <w:r w:rsidR="00794E2D">
        <w:t>is</w:t>
      </w:r>
      <w:r>
        <w:t xml:space="preserve"> HAPS. The International Telecommunications Union (ITU) Radio Regulations defines </w:t>
      </w:r>
      <w:r w:rsidR="0044020C">
        <w:t>HAPS</w:t>
      </w:r>
      <w:r>
        <w:t xml:space="preserve"> as a station located on an object at an altitude of 20 to 50 </w:t>
      </w:r>
      <w:r w:rsidR="000D05DC">
        <w:lastRenderedPageBreak/>
        <w:t>kilometres</w:t>
      </w:r>
      <w:r>
        <w:t xml:space="preserve"> and at a specified, nominal, fixed point relative to the Earth. HAPS operate in the stratosphere, below satellites, but well above the range for civilian aircraft</w:t>
      </w:r>
      <w:r w:rsidR="002455EA">
        <w:t>.</w:t>
      </w:r>
    </w:p>
    <w:p w14:paraId="01D0D7EE" w14:textId="77777777" w:rsidR="002455EA" w:rsidRDefault="009D21D7" w:rsidP="009D21D7">
      <w:r>
        <w:t>HAPS have the potential to achieve coverage over wide, previously unserved or underserved areas, which would supplement existing terrestrial infrastructure and provide backhaul support for mobile broadband systems. However, HAPS technology is still being tested and telecommunications use cases in Australia are unclear, as no company has so far presented a viable business case with a telecommunications partner/s and customer base. While this technology is still being tested and is not yet commercially viable, Australia has been involved as a testing ground for HAPS technology</w:t>
      </w:r>
      <w:r w:rsidR="00794E2D">
        <w:t xml:space="preserve"> with Airbus beginning trials of its solar-electric unmanned aerial vehicle known as Zeph</w:t>
      </w:r>
      <w:r w:rsidR="00871A12">
        <w:t>y</w:t>
      </w:r>
      <w:r w:rsidR="00794E2D">
        <w:t>r in December 2018</w:t>
      </w:r>
      <w:r w:rsidR="002455EA">
        <w:t>.</w:t>
      </w:r>
    </w:p>
    <w:p w14:paraId="4A7769A5" w14:textId="49BD64CD" w:rsidR="00794E2D" w:rsidRDefault="00794E2D" w:rsidP="00794E2D">
      <w:r>
        <w:t xml:space="preserve">Another comparable </w:t>
      </w:r>
      <w:r w:rsidR="000866A5">
        <w:t>HAPS</w:t>
      </w:r>
      <w:r>
        <w:t xml:space="preserve"> technology under development is </w:t>
      </w:r>
      <w:r w:rsidR="00D338FC">
        <w:t xml:space="preserve">Project </w:t>
      </w:r>
      <w:r>
        <w:t xml:space="preserve">Loon, using solar-powered balloon constellations (loons) to provide </w:t>
      </w:r>
      <w:r w:rsidR="00FF626B">
        <w:t>ubiquitous broadband</w:t>
      </w:r>
      <w:r>
        <w:t xml:space="preserve"> coverage. The loons act as a connectivity bridge between the core network and areas that require additional coverage. As loons are not stationary, dynamic coordination is required to ensure continuous connectivity.</w:t>
      </w:r>
    </w:p>
    <w:p w14:paraId="69431417" w14:textId="6E574520" w:rsidR="00794E2D" w:rsidRDefault="00794E2D" w:rsidP="00794E2D">
      <w:r>
        <w:t xml:space="preserve">In addition to international research and development undertaken by Google, </w:t>
      </w:r>
      <w:r w:rsidR="00D338FC">
        <w:t xml:space="preserve">Project </w:t>
      </w:r>
      <w:r>
        <w:t>Loon has been trialled in Australia previously, with Telstra reporting trials in Queensla</w:t>
      </w:r>
      <w:r w:rsidR="007F2628">
        <w:t>nd in 2014</w:t>
      </w:r>
      <w:r w:rsidR="000866A5">
        <w:t xml:space="preserve">, </w:t>
      </w:r>
      <w:r w:rsidR="00000CC9">
        <w:t xml:space="preserve">and </w:t>
      </w:r>
      <w:r w:rsidR="000866A5">
        <w:t>ongoing test flights continuing to date in WA.</w:t>
      </w:r>
      <w:r w:rsidR="007F2628">
        <w:t xml:space="preserve"> </w:t>
      </w:r>
      <w:r w:rsidR="000866A5">
        <w:t>Google</w:t>
      </w:r>
      <w:r w:rsidR="007F2628">
        <w:t xml:space="preserve"> has not </w:t>
      </w:r>
      <w:r>
        <w:t>announced the outcomes of these trials, or sought to commence commercial deployment</w:t>
      </w:r>
      <w:r w:rsidR="000866A5">
        <w:t xml:space="preserve"> in Australia</w:t>
      </w:r>
      <w:r>
        <w:t>.</w:t>
      </w:r>
    </w:p>
    <w:p w14:paraId="58BF4678" w14:textId="147EF193" w:rsidR="00F5418E" w:rsidRDefault="009D21D7" w:rsidP="005E48CD">
      <w:r>
        <w:t>Given their unique advantages, LEO satellite networks and HAPS may have a future role in providing connectivity solutions in regional and remote Australia. While these technologies have not been proven in Australia and a viable commercial business case is yet to be put forward, the Australian Government is actively monitoring the development of these technologies and is engaging with industry on future solutions to improve coverage in regional and remote areas of Australia.</w:t>
      </w:r>
      <w:r w:rsidR="009011AE">
        <w:t xml:space="preserve"> Mobile carriers are already taking advantage of satellite capability using satellite for backhaul arrangements, particularly in very remote areas.</w:t>
      </w:r>
    </w:p>
    <w:p w14:paraId="231F0AE8" w14:textId="7C836B7B" w:rsidR="009D21D7" w:rsidRDefault="009D21D7" w:rsidP="00D32BC5">
      <w:pPr>
        <w:pStyle w:val="Heading2"/>
      </w:pPr>
      <w:bookmarkStart w:id="186" w:name="_Toc44927853"/>
      <w:bookmarkStart w:id="187" w:name="_Toc44944379"/>
      <w:bookmarkStart w:id="188" w:name="_Toc45023437"/>
      <w:bookmarkStart w:id="189" w:name="_Toc45030250"/>
      <w:bookmarkStart w:id="190" w:name="_Toc48647872"/>
      <w:bookmarkStart w:id="191" w:name="_Toc48654628"/>
      <w:bookmarkStart w:id="192" w:name="_Toc57650793"/>
      <w:bookmarkStart w:id="193" w:name="_Toc57708839"/>
      <w:bookmarkStart w:id="194" w:name="_Toc58855694"/>
      <w:bookmarkStart w:id="195" w:name="_Toc58858020"/>
      <w:r>
        <w:t>Conclusion</w:t>
      </w:r>
      <w:bookmarkEnd w:id="186"/>
      <w:bookmarkEnd w:id="187"/>
      <w:bookmarkEnd w:id="188"/>
      <w:bookmarkEnd w:id="189"/>
      <w:bookmarkEnd w:id="190"/>
      <w:bookmarkEnd w:id="191"/>
      <w:bookmarkEnd w:id="192"/>
      <w:bookmarkEnd w:id="193"/>
      <w:bookmarkEnd w:id="194"/>
      <w:bookmarkEnd w:id="195"/>
    </w:p>
    <w:p w14:paraId="2DC306AF" w14:textId="77777777" w:rsidR="002455EA" w:rsidRDefault="00DE1582" w:rsidP="009D21D7">
      <w:r>
        <w:t>In summary, t</w:t>
      </w:r>
      <w:r w:rsidR="007F2628">
        <w:t xml:space="preserve">here is </w:t>
      </w:r>
      <w:r w:rsidR="009D21D7">
        <w:t xml:space="preserve">significant </w:t>
      </w:r>
      <w:r w:rsidR="00000040">
        <w:t xml:space="preserve">mobile and broadband </w:t>
      </w:r>
      <w:r w:rsidR="009D21D7">
        <w:t xml:space="preserve">coverage in </w:t>
      </w:r>
      <w:r w:rsidR="009D21D7" w:rsidDel="00251A46">
        <w:t xml:space="preserve">the </w:t>
      </w:r>
      <w:r w:rsidR="00E032A2">
        <w:t>Grainbelt</w:t>
      </w:r>
      <w:r w:rsidR="001878BA">
        <w:t xml:space="preserve">. </w:t>
      </w:r>
      <w:r w:rsidR="00000CC9">
        <w:t>D</w:t>
      </w:r>
      <w:r w:rsidR="006458BA">
        <w:t xml:space="preserve">ata and </w:t>
      </w:r>
      <w:r w:rsidR="009D21D7">
        <w:t xml:space="preserve">mapping shows that </w:t>
      </w:r>
      <w:r w:rsidR="00C375DD">
        <w:t xml:space="preserve">mobile and broadband </w:t>
      </w:r>
      <w:r w:rsidR="009D21D7">
        <w:t xml:space="preserve">coverage extends to most premises in </w:t>
      </w:r>
      <w:r w:rsidR="00DE2F45">
        <w:t>the Grainbelt</w:t>
      </w:r>
      <w:r w:rsidR="009D21D7">
        <w:t xml:space="preserve"> area</w:t>
      </w:r>
      <w:r w:rsidR="00AF4A68">
        <w:t xml:space="preserve">, </w:t>
      </w:r>
      <w:r w:rsidR="001878BA">
        <w:t>with</w:t>
      </w:r>
      <w:r w:rsidR="00AF4A68">
        <w:t xml:space="preserve"> 61 per cent of premises </w:t>
      </w:r>
      <w:r w:rsidR="001878BA">
        <w:t>having</w:t>
      </w:r>
      <w:r w:rsidR="00AF4A68">
        <w:t xml:space="preserve"> access to NBN fixed line or fixed wireless services</w:t>
      </w:r>
      <w:r w:rsidR="006458BA">
        <w:t>.</w:t>
      </w:r>
      <w:r w:rsidR="009D21D7" w:rsidDel="006458BA">
        <w:t xml:space="preserve"> </w:t>
      </w:r>
      <w:r w:rsidR="006458BA">
        <w:t xml:space="preserve">However, </w:t>
      </w:r>
      <w:r w:rsidR="009D21D7">
        <w:t>there are some areas where there are opportunities to improve the capacity and reliability of internet services for local communities and agricultural business</w:t>
      </w:r>
      <w:r w:rsidR="006458BA">
        <w:t>. While</w:t>
      </w:r>
      <w:r w:rsidR="00E216A2">
        <w:t xml:space="preserve"> broader</w:t>
      </w:r>
      <w:r w:rsidR="00C5189C">
        <w:t>,</w:t>
      </w:r>
      <w:r w:rsidR="006458BA">
        <w:t xml:space="preserve"> </w:t>
      </w:r>
      <w:r w:rsidR="00490801">
        <w:t xml:space="preserve">large-scale </w:t>
      </w:r>
      <w:r w:rsidR="006458BA">
        <w:t>solutions have been investigated,</w:t>
      </w:r>
      <w:r w:rsidR="009D21D7">
        <w:t xml:space="preserve"> we consider </w:t>
      </w:r>
      <w:r w:rsidR="006458BA">
        <w:t>that targeted, small</w:t>
      </w:r>
      <w:r w:rsidR="00985D49">
        <w:t>-</w:t>
      </w:r>
      <w:r w:rsidR="006458BA">
        <w:t>scale solutions</w:t>
      </w:r>
      <w:r w:rsidR="009D21D7">
        <w:t xml:space="preserve"> through established telecommunications service providers and regional funding programs</w:t>
      </w:r>
      <w:r w:rsidR="006458BA">
        <w:t xml:space="preserve"> would be the most effective and efficient way to improve connectivity in the Grainbelt</w:t>
      </w:r>
      <w:r w:rsidR="002455EA">
        <w:t>.</w:t>
      </w:r>
    </w:p>
    <w:p w14:paraId="255B7776" w14:textId="77777777" w:rsidR="002455EA" w:rsidRDefault="009D21D7" w:rsidP="009D21D7">
      <w:r>
        <w:t xml:space="preserve">The Australian Government has already made significant investment in the </w:t>
      </w:r>
      <w:r w:rsidR="00E032A2">
        <w:t>Grainbelt</w:t>
      </w:r>
      <w:r>
        <w:t xml:space="preserve"> area and continues to do so, under the Government’s </w:t>
      </w:r>
      <w:r w:rsidR="00DB6111">
        <w:t>MBSP</w:t>
      </w:r>
      <w:r>
        <w:t xml:space="preserve">. The WA Government has also been investing in improving connectivity in </w:t>
      </w:r>
      <w:r w:rsidR="00DE2F45">
        <w:t>the Grainbelt</w:t>
      </w:r>
      <w:r>
        <w:t xml:space="preserve"> through the Digital Farm Grants Program</w:t>
      </w:r>
      <w:r w:rsidR="00000040">
        <w:t xml:space="preserve"> and as a significant co-contributor to the </w:t>
      </w:r>
      <w:r w:rsidR="00DB6111">
        <w:t>MBSP</w:t>
      </w:r>
      <w:r>
        <w:t xml:space="preserve">. There is scope to continue to improve connectivity in the </w:t>
      </w:r>
      <w:r w:rsidR="00E032A2">
        <w:t>Grainbelt</w:t>
      </w:r>
      <w:r>
        <w:t xml:space="preserve"> through these existing programs, as well as through new programs such as the Australian Government’s </w:t>
      </w:r>
      <w:r w:rsidR="00DB6111">
        <w:t>RCP</w:t>
      </w:r>
      <w:r w:rsidR="002455EA">
        <w:t>.</w:t>
      </w:r>
    </w:p>
    <w:p w14:paraId="20DE96A7" w14:textId="77777777" w:rsidR="002455EA" w:rsidRDefault="009D21D7" w:rsidP="009D21D7">
      <w:r>
        <w:lastRenderedPageBreak/>
        <w:t xml:space="preserve">Under the </w:t>
      </w:r>
      <w:r w:rsidR="00DB6111">
        <w:t>RCP</w:t>
      </w:r>
      <w:r>
        <w:t xml:space="preserve">, there are opportunities for the Government to partner with local communities and telecommunications service providers to improve connectivity in the </w:t>
      </w:r>
      <w:r w:rsidR="00E032A2">
        <w:t>Grainbelt</w:t>
      </w:r>
      <w:r>
        <w:t xml:space="preserve"> area through </w:t>
      </w:r>
      <w:r w:rsidR="00917A5F">
        <w:t>targeted</w:t>
      </w:r>
      <w:r>
        <w:t>, place-based solutions. These solutions are likely to be more cost effective and may better meet the needs of the communities that they are intended to serve</w:t>
      </w:r>
      <w:r w:rsidR="002455EA">
        <w:t>.</w:t>
      </w:r>
    </w:p>
    <w:p w14:paraId="5A4F2E87" w14:textId="4102BB77" w:rsidR="002857C3" w:rsidRDefault="002857C3" w:rsidP="009D21D7">
      <w:r>
        <w:t>Importantly, these are national programs with funding allocated following a competitive grant application and assessment process (including the amount of co</w:t>
      </w:r>
      <w:r>
        <w:noBreakHyphen/>
        <w:t>contributions proposed) and there is no guarantee that funding would ultimately be allocated to the Grainbelt.</w:t>
      </w:r>
    </w:p>
    <w:p w14:paraId="1C1D1CD9" w14:textId="3C728402" w:rsidR="00696320" w:rsidRDefault="00696320" w:rsidP="00696320">
      <w:r>
        <w:t xml:space="preserve">Also as technology advances it is worth considering the </w:t>
      </w:r>
      <w:r w:rsidR="00000040">
        <w:t xml:space="preserve">potential </w:t>
      </w:r>
      <w:r>
        <w:t>use of new technologies such as LEO’s and HAPS</w:t>
      </w:r>
      <w:r w:rsidR="00000040">
        <w:t xml:space="preserve"> in the future</w:t>
      </w:r>
      <w:r>
        <w:t xml:space="preserve">. </w:t>
      </w:r>
      <w:r w:rsidR="00C90B9B">
        <w:t xml:space="preserve">These are capable of achieving coverage over wide, previously unserved or underserved areas across large expanses of regional Australia, including the </w:t>
      </w:r>
      <w:r w:rsidR="00E032A2">
        <w:t>Grainbelt</w:t>
      </w:r>
      <w:r w:rsidR="00C90B9B">
        <w:t xml:space="preserve"> region. </w:t>
      </w:r>
      <w:r>
        <w:t xml:space="preserve">However, despite the potential of these technologies, they remain in their infancy and are </w:t>
      </w:r>
      <w:r w:rsidR="00000CC9">
        <w:t xml:space="preserve">yet to be proven </w:t>
      </w:r>
      <w:r w:rsidR="00E32DDA">
        <w:t>commercially</w:t>
      </w:r>
      <w:r>
        <w:t>.</w:t>
      </w:r>
    </w:p>
    <w:p w14:paraId="626EF49E" w14:textId="5DBB51D1" w:rsidR="00DE1582" w:rsidRDefault="00696320" w:rsidP="00DE1582">
      <w:r>
        <w:t>Overall w</w:t>
      </w:r>
      <w:r w:rsidR="00DE1582">
        <w:t xml:space="preserve">e consider </w:t>
      </w:r>
      <w:r w:rsidR="00A042F6">
        <w:t>a</w:t>
      </w:r>
      <w:r w:rsidR="00DE1582">
        <w:t xml:space="preserve"> wholesale approach to improving digital connectivity in the </w:t>
      </w:r>
      <w:r w:rsidR="00E032A2">
        <w:t>Grainbelt</w:t>
      </w:r>
      <w:r w:rsidR="00F84314">
        <w:t xml:space="preserve"> </w:t>
      </w:r>
      <w:r w:rsidR="00DE1582">
        <w:t xml:space="preserve">not to be feasible. Alternatively, there are opportunities for the Government to contribute to improved connectivity in the </w:t>
      </w:r>
      <w:r w:rsidR="00E032A2">
        <w:t>Grainbelt</w:t>
      </w:r>
      <w:r w:rsidR="00DE1582">
        <w:t xml:space="preserve"> through a number of smaller scale projects in the area under existing government programs. In addition, there is scope to undertake a more targeted program that would be able to provide improved connectivity through alternative means such as upgrade</w:t>
      </w:r>
      <w:r w:rsidR="00000CC9">
        <w:t>s</w:t>
      </w:r>
      <w:r w:rsidR="00DE1582">
        <w:t xml:space="preserve"> to fixed line and fixed wireless in identified areas.</w:t>
      </w:r>
    </w:p>
    <w:p w14:paraId="3D59C802" w14:textId="655F6A33" w:rsidR="00B34178" w:rsidRDefault="00B53224" w:rsidP="00D32BC5">
      <w:pPr>
        <w:pStyle w:val="Heading2"/>
      </w:pPr>
      <w:bookmarkStart w:id="196" w:name="_Toc57650794"/>
      <w:bookmarkStart w:id="197" w:name="_Toc57708840"/>
      <w:bookmarkStart w:id="198" w:name="_Toc58855695"/>
      <w:bookmarkStart w:id="199" w:name="_Toc58858021"/>
      <w:r>
        <w:lastRenderedPageBreak/>
        <w:t>Attachment A: WA Government DFGP Projects</w:t>
      </w:r>
      <w:bookmarkEnd w:id="196"/>
      <w:bookmarkEnd w:id="197"/>
      <w:bookmarkEnd w:id="198"/>
      <w:bookmarkEnd w:id="199"/>
      <w:r w:rsidR="00B34178">
        <w:t xml:space="preserve"> </w:t>
      </w:r>
    </w:p>
    <w:p w14:paraId="1491CE20" w14:textId="05758B50" w:rsidR="00B34178" w:rsidRDefault="00106BF7" w:rsidP="009D21D7">
      <w:r w:rsidRPr="00106BF7">
        <w:rPr>
          <w:noProof/>
          <w:lang w:eastAsia="en-AU"/>
        </w:rPr>
        <w:drawing>
          <wp:inline distT="0" distB="0" distL="0" distR="0" wp14:anchorId="16B97B37" wp14:editId="30A9FC73">
            <wp:extent cx="4997024" cy="7124218"/>
            <wp:effectExtent l="0" t="0" r="0" b="635"/>
            <wp:docPr id="25" name="Picture 25" descr="A map of the WA Government DFGP projects, with each project identified by a different colours.&#10;&#10;More detail is provided in the section titled Western Australia Government Digital Farm Grant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9138" cy="7141488"/>
                    </a:xfrm>
                    <a:prstGeom prst="rect">
                      <a:avLst/>
                    </a:prstGeom>
                    <a:noFill/>
                    <a:ln>
                      <a:noFill/>
                    </a:ln>
                  </pic:spPr>
                </pic:pic>
              </a:graphicData>
            </a:graphic>
          </wp:inline>
        </w:drawing>
      </w:r>
    </w:p>
    <w:p w14:paraId="164C4B8C" w14:textId="52A38D0D" w:rsidR="009D21D7" w:rsidRDefault="00106BF7" w:rsidP="00C4608E">
      <w:pPr>
        <w:pStyle w:val="Sourcenote"/>
      </w:pPr>
      <w:r w:rsidRPr="00106BF7">
        <w:t xml:space="preserve">Map of the WA Government </w:t>
      </w:r>
      <w:r w:rsidR="00B53224">
        <w:t>DFGP</w:t>
      </w:r>
      <w:r w:rsidRPr="00106BF7">
        <w:t xml:space="preserve"> projects. Available at: </w:t>
      </w:r>
      <w:hyperlink r:id="rId28" w:history="1">
        <w:r w:rsidRPr="00106BF7">
          <w:rPr>
            <w:rStyle w:val="Hyperlink"/>
          </w:rPr>
          <w:t>https://www.agric.wa.gov.au/sites/gateway/files/Digital%20Farm%20Grants%20Program%20Map%201%20A3_20200723.pdf</w:t>
        </w:r>
      </w:hyperlink>
      <w:r w:rsidRPr="00106BF7">
        <w:t xml:space="preserve"> </w:t>
      </w:r>
    </w:p>
    <w:sectPr w:rsidR="009D21D7" w:rsidSect="00C42B34">
      <w:headerReference w:type="default" r:id="rId29"/>
      <w:footerReference w:type="default" r:id="rId30"/>
      <w:pgSz w:w="11906" w:h="16838"/>
      <w:pgMar w:top="2410" w:right="1440" w:bottom="1440" w:left="1440"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8AA0C" w14:textId="77777777" w:rsidR="00A042F6" w:rsidRDefault="00A042F6" w:rsidP="00FC413F">
      <w:pPr>
        <w:spacing w:after="0"/>
      </w:pPr>
      <w:r>
        <w:separator/>
      </w:r>
    </w:p>
  </w:endnote>
  <w:endnote w:type="continuationSeparator" w:id="0">
    <w:p w14:paraId="10ABB97D" w14:textId="77777777" w:rsidR="00A042F6" w:rsidRDefault="00A042F6" w:rsidP="00FC413F">
      <w:pPr>
        <w:spacing w:after="0"/>
      </w:pPr>
      <w:r>
        <w:continuationSeparator/>
      </w:r>
    </w:p>
  </w:endnote>
  <w:endnote w:type="continuationNotice" w:id="1">
    <w:p w14:paraId="091A01D1" w14:textId="77777777" w:rsidR="00A042F6" w:rsidRDefault="00A042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614CB" w14:textId="02354214" w:rsidR="00A042F6" w:rsidRPr="00FC413F" w:rsidRDefault="00A042F6" w:rsidP="00A82DAF">
    <w:pPr>
      <w:pStyle w:val="Footer"/>
      <w:tabs>
        <w:tab w:val="clear" w:pos="4513"/>
        <w:tab w:val="clear" w:pos="9026"/>
      </w:tabs>
      <w:ind w:left="-567"/>
      <w:rPr>
        <w:rFonts w:cs="Segoe UI"/>
        <w:szCs w:val="18"/>
      </w:rPr>
    </w:pPr>
    <w:r w:rsidRPr="00FC413F">
      <w:rPr>
        <w:rFonts w:cs="Segoe UI"/>
        <w:szCs w:val="18"/>
      </w:rPr>
      <w:t>________________________________________________________</w:t>
    </w:r>
    <w:r>
      <w:rPr>
        <w:rFonts w:cs="Segoe UI"/>
        <w:szCs w:val="18"/>
      </w:rPr>
      <w:t>___________________________________________</w:t>
    </w:r>
    <w:r w:rsidRPr="00FC413F">
      <w:rPr>
        <w:rFonts w:cs="Segoe UI"/>
        <w:szCs w:val="18"/>
      </w:rPr>
      <w:t>___</w:t>
    </w:r>
    <w:r>
      <w:rPr>
        <w:rFonts w:cs="Segoe UI"/>
        <w:szCs w:val="18"/>
      </w:rPr>
      <w:t>__________________________</w:t>
    </w:r>
  </w:p>
  <w:p w14:paraId="6A38AC0D" w14:textId="2ABF2703" w:rsidR="00A042F6" w:rsidRPr="00FC413F" w:rsidRDefault="00A042F6" w:rsidP="00A82DAF">
    <w:pPr>
      <w:pStyle w:val="Footer"/>
      <w:tabs>
        <w:tab w:val="clear" w:pos="4513"/>
        <w:tab w:val="clear" w:pos="9026"/>
        <w:tab w:val="right" w:pos="9356"/>
      </w:tabs>
      <w:ind w:hanging="567"/>
      <w:rPr>
        <w:rFonts w:cs="Segoe UI"/>
        <w:szCs w:val="18"/>
      </w:rPr>
    </w:pPr>
    <w:r>
      <w:rPr>
        <w:rFonts w:cs="Segoe UI"/>
        <w:szCs w:val="18"/>
      </w:rPr>
      <w:fldChar w:fldCharType="begin"/>
    </w:r>
    <w:r>
      <w:rPr>
        <w:rFonts w:cs="Segoe UI"/>
        <w:szCs w:val="18"/>
      </w:rPr>
      <w:instrText xml:space="preserve"> PAGE  \* Arabic  \* MERGEFORMAT </w:instrText>
    </w:r>
    <w:r>
      <w:rPr>
        <w:rFonts w:cs="Segoe UI"/>
        <w:szCs w:val="18"/>
      </w:rPr>
      <w:fldChar w:fldCharType="separate"/>
    </w:r>
    <w:r w:rsidR="00247E7A">
      <w:rPr>
        <w:rFonts w:cs="Segoe UI"/>
        <w:noProof/>
        <w:szCs w:val="18"/>
      </w:rPr>
      <w:t>2</w:t>
    </w:r>
    <w:r>
      <w:rPr>
        <w:rFonts w:cs="Segoe UI"/>
        <w:szCs w:val="18"/>
      </w:rPr>
      <w:fldChar w:fldCharType="end"/>
    </w:r>
    <w:r w:rsidRPr="00FC413F">
      <w:rPr>
        <w:rFonts w:cs="Segoe UI"/>
        <w:noProof/>
        <w:szCs w:val="18"/>
      </w:rPr>
      <w:t>.</w:t>
    </w:r>
    <w:r w:rsidRPr="00FC413F">
      <w:rPr>
        <w:rFonts w:cs="Segoe UI"/>
        <w:noProof/>
        <w:szCs w:val="18"/>
      </w:rPr>
      <w:tab/>
    </w:r>
    <w:r>
      <w:rPr>
        <w:rFonts w:cs="Segoe UI"/>
        <w:noProof/>
        <w:szCs w:val="18"/>
      </w:rPr>
      <w:t>Improved connectivity in the WA Grainbelt Commonwealth Feasibility Study</w:t>
    </w:r>
  </w:p>
  <w:p w14:paraId="1B2D55AD" w14:textId="77777777" w:rsidR="00A042F6" w:rsidRPr="00FC413F" w:rsidRDefault="00247E7A" w:rsidP="00A82DAF">
    <w:pPr>
      <w:pStyle w:val="Footer"/>
      <w:tabs>
        <w:tab w:val="clear" w:pos="4513"/>
        <w:tab w:val="clear" w:pos="9026"/>
      </w:tabs>
      <w:ind w:left="-567"/>
      <w:jc w:val="center"/>
      <w:rPr>
        <w:rFonts w:cs="Segoe UI"/>
        <w:szCs w:val="18"/>
      </w:rPr>
    </w:pPr>
    <w:hyperlink r:id="rId1" w:history="1">
      <w:r w:rsidR="00A042F6" w:rsidRPr="00FC413F">
        <w:rPr>
          <w:rStyle w:val="Hyperlink"/>
          <w:rFonts w:cs="Segoe UI"/>
          <w:szCs w:val="18"/>
        </w:rPr>
        <w:t>infrastructure.gov.au</w:t>
      </w:r>
    </w:hyperlink>
    <w:r w:rsidR="00A042F6" w:rsidRPr="00FC413F">
      <w:rPr>
        <w:rFonts w:cs="Segoe UI"/>
        <w:noProof/>
        <w:szCs w:val="18"/>
      </w:rPr>
      <w:t xml:space="preserve"> | </w:t>
    </w:r>
    <w:hyperlink r:id="rId2" w:history="1">
      <w:r w:rsidR="00A042F6" w:rsidRPr="00FC413F">
        <w:rPr>
          <w:rStyle w:val="Hyperlink"/>
          <w:rFonts w:cs="Segoe UI"/>
          <w:szCs w:val="18"/>
        </w:rPr>
        <w:t>communications.gov.au</w:t>
      </w:r>
    </w:hyperlink>
    <w:r w:rsidR="00A042F6">
      <w:t xml:space="preserve"> | </w:t>
    </w:r>
    <w:hyperlink r:id="rId3" w:history="1">
      <w:r w:rsidR="00A042F6" w:rsidRPr="00FC413F">
        <w:rPr>
          <w:rStyle w:val="Hyperlink"/>
          <w:rFonts w:cs="Segoe UI"/>
          <w:szCs w:val="18"/>
        </w:rPr>
        <w:t>arts.gov.au</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184AD" w14:textId="77777777" w:rsidR="00A042F6" w:rsidRPr="00FC413F" w:rsidRDefault="00A042F6" w:rsidP="00A82DAF">
    <w:pPr>
      <w:pStyle w:val="Footer"/>
      <w:tabs>
        <w:tab w:val="clear" w:pos="4513"/>
        <w:tab w:val="clear" w:pos="9026"/>
      </w:tabs>
      <w:ind w:left="-567"/>
      <w:rPr>
        <w:rFonts w:cs="Segoe UI"/>
        <w:szCs w:val="18"/>
      </w:rPr>
    </w:pPr>
    <w:r w:rsidRPr="00FC413F">
      <w:rPr>
        <w:rFonts w:cs="Segoe UI"/>
        <w:szCs w:val="18"/>
      </w:rPr>
      <w:t>________________________________________________________</w:t>
    </w:r>
    <w:r>
      <w:rPr>
        <w:rFonts w:cs="Segoe UI"/>
        <w:szCs w:val="18"/>
      </w:rPr>
      <w:t>___________________________________________</w:t>
    </w:r>
    <w:r w:rsidRPr="00FC413F">
      <w:rPr>
        <w:rFonts w:cs="Segoe UI"/>
        <w:szCs w:val="18"/>
      </w:rPr>
      <w:t>___</w:t>
    </w:r>
    <w:r>
      <w:rPr>
        <w:rFonts w:cs="Segoe UI"/>
        <w:szCs w:val="18"/>
      </w:rPr>
      <w:t>_________________________</w:t>
    </w:r>
  </w:p>
  <w:p w14:paraId="4E0BAEEC" w14:textId="4BEF739B" w:rsidR="00A042F6" w:rsidRPr="00FC413F" w:rsidRDefault="00A042F6" w:rsidP="00A82DAF">
    <w:pPr>
      <w:pStyle w:val="Footer"/>
      <w:tabs>
        <w:tab w:val="clear" w:pos="4513"/>
        <w:tab w:val="clear" w:pos="9026"/>
        <w:tab w:val="right" w:pos="9356"/>
      </w:tabs>
      <w:ind w:hanging="567"/>
      <w:rPr>
        <w:rFonts w:cs="Segoe UI"/>
        <w:szCs w:val="18"/>
      </w:rPr>
    </w:pPr>
    <w:r>
      <w:rPr>
        <w:rFonts w:cs="Segoe UI"/>
        <w:szCs w:val="18"/>
      </w:rPr>
      <w:fldChar w:fldCharType="begin"/>
    </w:r>
    <w:r>
      <w:rPr>
        <w:rFonts w:cs="Segoe UI"/>
        <w:szCs w:val="18"/>
      </w:rPr>
      <w:instrText xml:space="preserve"> PAGE  \* Arabic  \* MERGEFORMAT </w:instrText>
    </w:r>
    <w:r>
      <w:rPr>
        <w:rFonts w:cs="Segoe UI"/>
        <w:szCs w:val="18"/>
      </w:rPr>
      <w:fldChar w:fldCharType="separate"/>
    </w:r>
    <w:r w:rsidR="00247E7A">
      <w:rPr>
        <w:rFonts w:cs="Segoe UI"/>
        <w:noProof/>
        <w:szCs w:val="18"/>
      </w:rPr>
      <w:t>20</w:t>
    </w:r>
    <w:r>
      <w:rPr>
        <w:rFonts w:cs="Segoe UI"/>
        <w:szCs w:val="18"/>
      </w:rPr>
      <w:fldChar w:fldCharType="end"/>
    </w:r>
    <w:r w:rsidRPr="00FC413F">
      <w:rPr>
        <w:rFonts w:cs="Segoe UI"/>
        <w:noProof/>
        <w:szCs w:val="18"/>
      </w:rPr>
      <w:t>.</w:t>
    </w:r>
    <w:r w:rsidRPr="00FC413F">
      <w:rPr>
        <w:rFonts w:cs="Segoe UI"/>
        <w:noProof/>
        <w:szCs w:val="18"/>
      </w:rPr>
      <w:tab/>
    </w:r>
    <w:r>
      <w:rPr>
        <w:rFonts w:cs="Segoe UI"/>
        <w:noProof/>
        <w:szCs w:val="18"/>
      </w:rPr>
      <w:t>Improved connectivity in the WA Grainbelt Commonwealth Feasibility Study</w:t>
    </w:r>
  </w:p>
  <w:p w14:paraId="314277EA" w14:textId="77777777" w:rsidR="00A042F6" w:rsidRPr="00FC413F" w:rsidRDefault="00247E7A" w:rsidP="00A82DAF">
    <w:pPr>
      <w:pStyle w:val="Footer"/>
      <w:tabs>
        <w:tab w:val="clear" w:pos="4513"/>
        <w:tab w:val="clear" w:pos="9026"/>
      </w:tabs>
      <w:ind w:left="-567"/>
      <w:jc w:val="center"/>
      <w:rPr>
        <w:rFonts w:cs="Segoe UI"/>
        <w:szCs w:val="18"/>
      </w:rPr>
    </w:pPr>
    <w:hyperlink r:id="rId1" w:history="1">
      <w:r w:rsidR="00A042F6" w:rsidRPr="00FC413F">
        <w:rPr>
          <w:rStyle w:val="Hyperlink"/>
          <w:rFonts w:cs="Segoe UI"/>
          <w:szCs w:val="18"/>
        </w:rPr>
        <w:t>infrastructure.gov.au</w:t>
      </w:r>
    </w:hyperlink>
    <w:r w:rsidR="00A042F6" w:rsidRPr="00FC413F">
      <w:rPr>
        <w:rFonts w:cs="Segoe UI"/>
        <w:noProof/>
        <w:szCs w:val="18"/>
      </w:rPr>
      <w:t xml:space="preserve"> | </w:t>
    </w:r>
    <w:hyperlink r:id="rId2" w:history="1">
      <w:r w:rsidR="00A042F6" w:rsidRPr="00FC413F">
        <w:rPr>
          <w:rStyle w:val="Hyperlink"/>
          <w:rFonts w:cs="Segoe UI"/>
          <w:szCs w:val="18"/>
        </w:rPr>
        <w:t>communications.gov.au</w:t>
      </w:r>
    </w:hyperlink>
    <w:r w:rsidR="00A042F6">
      <w:t xml:space="preserve"> | </w:t>
    </w:r>
    <w:hyperlink r:id="rId3" w:history="1">
      <w:r w:rsidR="00A042F6" w:rsidRPr="00FC413F">
        <w:rPr>
          <w:rStyle w:val="Hyperlink"/>
          <w:rFonts w:cs="Segoe UI"/>
          <w:szCs w:val="18"/>
        </w:rPr>
        <w:t>arts.gov.au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C18781" w14:textId="77777777" w:rsidR="00A042F6" w:rsidRDefault="00A042F6" w:rsidP="00FC413F">
      <w:pPr>
        <w:spacing w:after="0"/>
      </w:pPr>
      <w:r>
        <w:separator/>
      </w:r>
    </w:p>
  </w:footnote>
  <w:footnote w:type="continuationSeparator" w:id="0">
    <w:p w14:paraId="789A79E9" w14:textId="77777777" w:rsidR="00A042F6" w:rsidRDefault="00A042F6" w:rsidP="00FC413F">
      <w:pPr>
        <w:spacing w:after="0"/>
      </w:pPr>
      <w:r>
        <w:continuationSeparator/>
      </w:r>
    </w:p>
  </w:footnote>
  <w:footnote w:type="continuationNotice" w:id="1">
    <w:p w14:paraId="17E767EF" w14:textId="77777777" w:rsidR="00A042F6" w:rsidRDefault="00A042F6">
      <w:pPr>
        <w:spacing w:after="0"/>
      </w:pPr>
    </w:p>
  </w:footnote>
  <w:footnote w:id="2">
    <w:p w14:paraId="4A62D428" w14:textId="77777777" w:rsidR="00A042F6" w:rsidRDefault="00A042F6" w:rsidP="00670421">
      <w:pPr>
        <w:pStyle w:val="FootnoteText"/>
      </w:pPr>
      <w:r>
        <w:rPr>
          <w:rStyle w:val="FootnoteReference"/>
        </w:rPr>
        <w:footnoteRef/>
      </w:r>
      <w:r>
        <w:t xml:space="preserve"> WA Government, Department of Primary Industries and Regional Development, Western Australian Grains Industry, </w:t>
      </w:r>
      <w:hyperlink r:id="rId1" w:anchor=":~:text=WA%20produces%20about%2014%20million,%2C%20oats%2C%20lupins%20and%20peas." w:history="1">
        <w:r>
          <w:rPr>
            <w:rStyle w:val="Hyperlink"/>
          </w:rPr>
          <w:t>https://www.agric.wa.gov.au/grains-research-development/western-australian-grains-industry#:~:text=WA%20produces%20about%2014%20million,%2C%20oats%2C%20lupins%20and%20peas.</w:t>
        </w:r>
      </w:hyperlink>
    </w:p>
  </w:footnote>
  <w:footnote w:id="3">
    <w:p w14:paraId="62BFAB0F" w14:textId="31233057" w:rsidR="00A042F6" w:rsidRDefault="00A042F6">
      <w:pPr>
        <w:pStyle w:val="FootnoteText"/>
      </w:pPr>
      <w:r>
        <w:rPr>
          <w:rStyle w:val="FootnoteReference"/>
        </w:rPr>
        <w:footnoteRef/>
      </w:r>
      <w:r>
        <w:t xml:space="preserve"> The 2018 Regional Telecommunications Review – Getting it right out there, page 25</w:t>
      </w:r>
    </w:p>
  </w:footnote>
  <w:footnote w:id="4">
    <w:p w14:paraId="62A224F5" w14:textId="5CA111B9" w:rsidR="00A042F6" w:rsidRDefault="00A042F6">
      <w:pPr>
        <w:pStyle w:val="FootnoteText"/>
      </w:pPr>
      <w:r>
        <w:rPr>
          <w:rStyle w:val="FootnoteReference"/>
        </w:rPr>
        <w:footnoteRef/>
      </w:r>
      <w:r>
        <w:t xml:space="preserve"> </w:t>
      </w:r>
      <w:hyperlink r:id="rId2" w:history="1">
        <w:r w:rsidRPr="008E534D">
          <w:rPr>
            <w:color w:val="0000FF"/>
            <w:sz w:val="21"/>
            <w:szCs w:val="22"/>
            <w:u w:val="single"/>
          </w:rPr>
          <w:t>https://www.nbnco.com.au/learn/network-technology/fixed-wireless-explained</w:t>
        </w:r>
      </w:hyperlink>
    </w:p>
  </w:footnote>
  <w:footnote w:id="5">
    <w:p w14:paraId="50AD0CF9" w14:textId="59DD9CC7" w:rsidR="00A042F6" w:rsidRDefault="00A042F6">
      <w:pPr>
        <w:pStyle w:val="FootnoteText"/>
      </w:pPr>
      <w:r>
        <w:rPr>
          <w:rStyle w:val="FootnoteReference"/>
        </w:rPr>
        <w:footnoteRef/>
      </w:r>
      <w:r>
        <w:t xml:space="preserve"> The Telstra </w:t>
      </w:r>
      <w:proofErr w:type="spellStart"/>
      <w:r>
        <w:t>Captis</w:t>
      </w:r>
      <w:proofErr w:type="spellEnd"/>
      <w:r>
        <w:t xml:space="preserve"> Environmental Monitoring solution has been developed in collaboration with </w:t>
      </w:r>
      <w:proofErr w:type="spellStart"/>
      <w:r>
        <w:t>mIoT</w:t>
      </w:r>
      <w:proofErr w:type="spellEnd"/>
      <w:r>
        <w:t xml:space="preserve"> </w:t>
      </w:r>
      <w:proofErr w:type="spellStart"/>
      <w:r>
        <w:t>IoT</w:t>
      </w:r>
      <w:proofErr w:type="spellEnd"/>
      <w:r>
        <w:t xml:space="preserve"> Technologies.</w:t>
      </w:r>
      <w:r w:rsidRPr="00FB6AEA">
        <w:t xml:space="preserve"> </w:t>
      </w:r>
      <w:r>
        <w:t xml:space="preserve">Telstra’s </w:t>
      </w:r>
      <w:proofErr w:type="spellStart"/>
      <w:r>
        <w:t>Captis</w:t>
      </w:r>
      <w:proofErr w:type="spellEnd"/>
      <w:r>
        <w:t xml:space="preserve"> Environmental Monitoring solution uses devices operating on the Telstra network, to collect, analyse and act </w:t>
      </w:r>
      <w:r w:rsidRPr="00FB6AEA">
        <w:t xml:space="preserve">on data from </w:t>
      </w:r>
      <w:proofErr w:type="spellStart"/>
      <w:r w:rsidRPr="00FB6AEA">
        <w:t>IoT</w:t>
      </w:r>
      <w:proofErr w:type="spellEnd"/>
      <w:r w:rsidRPr="00FB6AEA">
        <w:t>-enabled sensors</w:t>
      </w:r>
      <w:r>
        <w:t xml:space="preserve">. More information about this technology is available on the </w:t>
      </w:r>
      <w:proofErr w:type="spellStart"/>
      <w:r>
        <w:t>mIoT</w:t>
      </w:r>
      <w:proofErr w:type="spellEnd"/>
      <w:r>
        <w:t xml:space="preserve"> </w:t>
      </w:r>
      <w:proofErr w:type="spellStart"/>
      <w:r>
        <w:t>IoT</w:t>
      </w:r>
      <w:proofErr w:type="spellEnd"/>
      <w:r>
        <w:t xml:space="preserve"> Technologies website at </w:t>
      </w:r>
      <w:hyperlink r:id="rId3" w:history="1">
        <w:r w:rsidRPr="009668A2">
          <w:rPr>
            <w:rStyle w:val="Hyperlink"/>
          </w:rPr>
          <w:t>https://www.miot.com.au/support/telstra-bridge/</w:t>
        </w:r>
      </w:hyperlink>
      <w:r>
        <w:t xml:space="preserve"> </w:t>
      </w:r>
    </w:p>
  </w:footnote>
  <w:footnote w:id="6">
    <w:p w14:paraId="2D2D7E75" w14:textId="444FEF58" w:rsidR="00A042F6" w:rsidRDefault="00A042F6">
      <w:pPr>
        <w:pStyle w:val="FootnoteText"/>
      </w:pPr>
      <w:r>
        <w:rPr>
          <w:rStyle w:val="FootnoteReference"/>
        </w:rPr>
        <w:footnoteRef/>
      </w:r>
      <w:r>
        <w:t xml:space="preserve"> “Telstra’s </w:t>
      </w:r>
      <w:proofErr w:type="spellStart"/>
      <w:r>
        <w:t>IoT</w:t>
      </w:r>
      <w:proofErr w:type="spellEnd"/>
      <w:r>
        <w:t xml:space="preserve"> network extension opening up new customer opportunities”, Communications Day, Issue 5945, 19 June 2020, page 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738CD" w14:textId="77777777" w:rsidR="00A042F6" w:rsidRDefault="00A042F6" w:rsidP="00FC413F">
    <w:pPr>
      <w:pStyle w:val="Header"/>
      <w:tabs>
        <w:tab w:val="right" w:pos="9475"/>
      </w:tabs>
      <w:ind w:left="-1418"/>
    </w:pPr>
    <w:r>
      <w:rPr>
        <w:noProof/>
        <w:lang w:eastAsia="en-AU"/>
      </w:rPr>
      <w:drawing>
        <wp:inline distT="0" distB="0" distL="0" distR="0" wp14:anchorId="3BABBCA3" wp14:editId="46707BFA">
          <wp:extent cx="7570707" cy="1080198"/>
          <wp:effectExtent l="0" t="0" r="0" b="5715"/>
          <wp:docPr id="5" name="Picture 5"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TRDC Word Header_Pattern_A4 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082" cy="1083961"/>
                  </a:xfrm>
                  <a:prstGeom prst="rect">
                    <a:avLst/>
                  </a:prstGeom>
                </pic:spPr>
              </pic:pic>
            </a:graphicData>
          </a:graphic>
        </wp:inline>
      </w:drawing>
    </w:r>
  </w:p>
  <w:p w14:paraId="0E9AF9E6" w14:textId="11BDC485" w:rsidR="00A042F6" w:rsidRPr="00261FFA" w:rsidRDefault="00A042F6" w:rsidP="00D47BFD">
    <w:pPr>
      <w:pStyle w:val="Header"/>
      <w:tabs>
        <w:tab w:val="clear" w:pos="4678"/>
      </w:tabs>
      <w:rPr>
        <w:rFonts w:cs="Segoe UI Light"/>
        <w:color w:val="001C40"/>
        <w:szCs w:val="18"/>
      </w:rPr>
    </w:pPr>
    <w:r>
      <w:rPr>
        <w:rFonts w:cs="Segoe UI Light"/>
        <w:szCs w:val="18"/>
      </w:rPr>
      <w:t>December 2020</w:t>
    </w:r>
    <w:r w:rsidRPr="00261FFA">
      <w:rPr>
        <w:rFonts w:cs="Segoe UI Light"/>
        <w:szCs w:val="18"/>
      </w:rPr>
      <w:tab/>
    </w:r>
    <w:r w:rsidRPr="00261FFA">
      <w:rPr>
        <w:rFonts w:cs="Segoe UI Light"/>
        <w:color w:val="001C40"/>
        <w:szCs w:val="18"/>
      </w:rPr>
      <w:fldChar w:fldCharType="begin"/>
    </w:r>
    <w:r w:rsidRPr="00261FFA">
      <w:rPr>
        <w:rFonts w:cs="Segoe UI Light"/>
        <w:color w:val="001C40"/>
        <w:szCs w:val="18"/>
      </w:rPr>
      <w:instrText xml:space="preserve"> STYLEREF  "Heading 2—not showing"  \* MERGEFORMAT </w:instrText>
    </w:r>
    <w:r w:rsidRPr="00261FFA">
      <w:rPr>
        <w:rFonts w:cs="Segoe UI Light"/>
        <w:color w:val="001C40"/>
        <w:szCs w:val="18"/>
      </w:rPr>
      <w:fldChar w:fldCharType="separate"/>
    </w:r>
    <w:r w:rsidR="00247E7A" w:rsidRPr="00247E7A">
      <w:rPr>
        <w:rFonts w:cs="Segoe UI Light"/>
        <w:b/>
        <w:bCs/>
        <w:noProof/>
        <w:color w:val="001C40"/>
        <w:szCs w:val="18"/>
        <w:lang w:val="en-US"/>
      </w:rPr>
      <w:t>Contents</w:t>
    </w:r>
    <w:r w:rsidRPr="00261FFA">
      <w:rPr>
        <w:rFonts w:cs="Segoe UI Light"/>
        <w:color w:val="001C40"/>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0DF13" w14:textId="77777777" w:rsidR="00A042F6" w:rsidRDefault="00A042F6" w:rsidP="00FC413F">
    <w:pPr>
      <w:pStyle w:val="Header"/>
      <w:tabs>
        <w:tab w:val="right" w:pos="9475"/>
      </w:tabs>
      <w:ind w:left="-1418"/>
    </w:pPr>
    <w:r>
      <w:rPr>
        <w:noProof/>
        <w:lang w:eastAsia="en-AU"/>
      </w:rPr>
      <w:drawing>
        <wp:inline distT="0" distB="0" distL="0" distR="0" wp14:anchorId="2C4A340C" wp14:editId="35BB772B">
          <wp:extent cx="7570707" cy="1080198"/>
          <wp:effectExtent l="0" t="0" r="8255" b="5715"/>
          <wp:docPr id="207" name="Picture 207"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TRDC Word Header_Pattern_A4 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0707" cy="1080198"/>
                  </a:xfrm>
                  <a:prstGeom prst="rect">
                    <a:avLst/>
                  </a:prstGeom>
                </pic:spPr>
              </pic:pic>
            </a:graphicData>
          </a:graphic>
        </wp:inline>
      </w:drawing>
    </w:r>
  </w:p>
  <w:p w14:paraId="036A9E5E" w14:textId="74A8ED24" w:rsidR="00A042F6" w:rsidRPr="00261FFA" w:rsidRDefault="00A042F6" w:rsidP="00D47BFD">
    <w:pPr>
      <w:pStyle w:val="Header"/>
      <w:tabs>
        <w:tab w:val="clear" w:pos="4678"/>
      </w:tabs>
      <w:rPr>
        <w:rFonts w:cs="Segoe UI Light"/>
        <w:color w:val="001C40"/>
        <w:szCs w:val="18"/>
      </w:rPr>
    </w:pPr>
    <w:r>
      <w:rPr>
        <w:rFonts w:cs="Segoe UI Light"/>
        <w:szCs w:val="18"/>
      </w:rPr>
      <w:t>December 2020</w:t>
    </w:r>
    <w:r w:rsidRPr="00261FFA">
      <w:rPr>
        <w:rFonts w:cs="Segoe UI Light"/>
        <w:szCs w:val="18"/>
      </w:rPr>
      <w:tab/>
    </w:r>
    <w:r>
      <w:rPr>
        <w:rFonts w:cs="Segoe UI Light"/>
        <w:color w:val="001C40"/>
        <w:szCs w:val="18"/>
      </w:rPr>
      <w:fldChar w:fldCharType="begin"/>
    </w:r>
    <w:r>
      <w:rPr>
        <w:rFonts w:cs="Segoe UI Light"/>
        <w:color w:val="001C40"/>
        <w:szCs w:val="18"/>
      </w:rPr>
      <w:instrText xml:space="preserve"> STYLEREF  "Heading 2"  \* MERGEFORMAT </w:instrText>
    </w:r>
    <w:r>
      <w:rPr>
        <w:rFonts w:cs="Segoe UI Light"/>
        <w:color w:val="001C40"/>
        <w:szCs w:val="18"/>
      </w:rPr>
      <w:fldChar w:fldCharType="separate"/>
    </w:r>
    <w:r w:rsidR="00247E7A">
      <w:rPr>
        <w:rFonts w:cs="Segoe UI Light"/>
        <w:noProof/>
        <w:color w:val="001C40"/>
        <w:szCs w:val="18"/>
      </w:rPr>
      <w:t>Digital Connectivity Approaches for the Grainbelt</w:t>
    </w:r>
    <w:r>
      <w:rPr>
        <w:rFonts w:cs="Segoe UI Light"/>
        <w:color w:val="001C40"/>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93A1C"/>
    <w:multiLevelType w:val="hybridMultilevel"/>
    <w:tmpl w:val="1DE05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4E92756"/>
    <w:multiLevelType w:val="hybridMultilevel"/>
    <w:tmpl w:val="7AACB4D4"/>
    <w:lvl w:ilvl="0" w:tplc="BB0C39E4">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AD3704F"/>
    <w:multiLevelType w:val="hybridMultilevel"/>
    <w:tmpl w:val="9C1A2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8827E7D"/>
    <w:multiLevelType w:val="hybridMultilevel"/>
    <w:tmpl w:val="AA168EC0"/>
    <w:lvl w:ilvl="0" w:tplc="E96A464C">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1"/>
  </w:num>
  <w:num w:numId="5">
    <w:abstractNumId w:val="0"/>
  </w:num>
  <w:num w:numId="6">
    <w:abstractNumId w:val="1"/>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hideSpellingErrors/>
  <w:hideGrammatical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939"/>
    <w:rsid w:val="00000040"/>
    <w:rsid w:val="00000CC9"/>
    <w:rsid w:val="000013FA"/>
    <w:rsid w:val="00004428"/>
    <w:rsid w:val="00006D8D"/>
    <w:rsid w:val="00013249"/>
    <w:rsid w:val="00013B98"/>
    <w:rsid w:val="000151E6"/>
    <w:rsid w:val="0002740B"/>
    <w:rsid w:val="00033EC0"/>
    <w:rsid w:val="000412F2"/>
    <w:rsid w:val="000426DA"/>
    <w:rsid w:val="0004345A"/>
    <w:rsid w:val="000465D5"/>
    <w:rsid w:val="00047B58"/>
    <w:rsid w:val="00051726"/>
    <w:rsid w:val="00067C64"/>
    <w:rsid w:val="00067FBE"/>
    <w:rsid w:val="00072609"/>
    <w:rsid w:val="000740FB"/>
    <w:rsid w:val="00074718"/>
    <w:rsid w:val="00074C4B"/>
    <w:rsid w:val="0008213E"/>
    <w:rsid w:val="000838F6"/>
    <w:rsid w:val="0008448C"/>
    <w:rsid w:val="00085C86"/>
    <w:rsid w:val="000866A5"/>
    <w:rsid w:val="00087704"/>
    <w:rsid w:val="00090898"/>
    <w:rsid w:val="000908FA"/>
    <w:rsid w:val="00090E62"/>
    <w:rsid w:val="00092B37"/>
    <w:rsid w:val="000A10E2"/>
    <w:rsid w:val="000A3DFD"/>
    <w:rsid w:val="000A41DC"/>
    <w:rsid w:val="000A46E2"/>
    <w:rsid w:val="000A4EE8"/>
    <w:rsid w:val="000B1A29"/>
    <w:rsid w:val="000B521D"/>
    <w:rsid w:val="000B6BD4"/>
    <w:rsid w:val="000C0244"/>
    <w:rsid w:val="000C1D0A"/>
    <w:rsid w:val="000C2FCE"/>
    <w:rsid w:val="000C5FF8"/>
    <w:rsid w:val="000C776A"/>
    <w:rsid w:val="000D05DC"/>
    <w:rsid w:val="000D3538"/>
    <w:rsid w:val="000E1493"/>
    <w:rsid w:val="000E3A26"/>
    <w:rsid w:val="000E66E7"/>
    <w:rsid w:val="000F0057"/>
    <w:rsid w:val="000F4D1A"/>
    <w:rsid w:val="000F709D"/>
    <w:rsid w:val="0010365D"/>
    <w:rsid w:val="00103BE0"/>
    <w:rsid w:val="001043DD"/>
    <w:rsid w:val="00104B51"/>
    <w:rsid w:val="00105DA4"/>
    <w:rsid w:val="00106BF7"/>
    <w:rsid w:val="00110978"/>
    <w:rsid w:val="0011289E"/>
    <w:rsid w:val="00112B89"/>
    <w:rsid w:val="00120D71"/>
    <w:rsid w:val="00122A02"/>
    <w:rsid w:val="0012374C"/>
    <w:rsid w:val="00124FF4"/>
    <w:rsid w:val="00127519"/>
    <w:rsid w:val="00134920"/>
    <w:rsid w:val="001363BB"/>
    <w:rsid w:val="001369E7"/>
    <w:rsid w:val="00136C81"/>
    <w:rsid w:val="001449DB"/>
    <w:rsid w:val="001507EE"/>
    <w:rsid w:val="00153D19"/>
    <w:rsid w:val="00156A56"/>
    <w:rsid w:val="00157354"/>
    <w:rsid w:val="001647FB"/>
    <w:rsid w:val="001653AD"/>
    <w:rsid w:val="00167E7C"/>
    <w:rsid w:val="00173446"/>
    <w:rsid w:val="00173C5E"/>
    <w:rsid w:val="0017709F"/>
    <w:rsid w:val="0018172B"/>
    <w:rsid w:val="00181D09"/>
    <w:rsid w:val="0018357F"/>
    <w:rsid w:val="00184842"/>
    <w:rsid w:val="001878BA"/>
    <w:rsid w:val="001878C7"/>
    <w:rsid w:val="00194A09"/>
    <w:rsid w:val="00196478"/>
    <w:rsid w:val="001974A9"/>
    <w:rsid w:val="001976AC"/>
    <w:rsid w:val="001A436E"/>
    <w:rsid w:val="001B47CC"/>
    <w:rsid w:val="001B4C72"/>
    <w:rsid w:val="001B5593"/>
    <w:rsid w:val="001B76E1"/>
    <w:rsid w:val="001C1F5E"/>
    <w:rsid w:val="001C3809"/>
    <w:rsid w:val="001C4982"/>
    <w:rsid w:val="001C5B9D"/>
    <w:rsid w:val="001C5CF4"/>
    <w:rsid w:val="001D1021"/>
    <w:rsid w:val="001D2888"/>
    <w:rsid w:val="001D56A0"/>
    <w:rsid w:val="001D62F7"/>
    <w:rsid w:val="001D76B5"/>
    <w:rsid w:val="001E3598"/>
    <w:rsid w:val="001E3C02"/>
    <w:rsid w:val="001E3ED0"/>
    <w:rsid w:val="001F1879"/>
    <w:rsid w:val="001F2903"/>
    <w:rsid w:val="002030F5"/>
    <w:rsid w:val="00204A64"/>
    <w:rsid w:val="00205B35"/>
    <w:rsid w:val="00207FCB"/>
    <w:rsid w:val="00217C11"/>
    <w:rsid w:val="00220231"/>
    <w:rsid w:val="002213F1"/>
    <w:rsid w:val="002265F2"/>
    <w:rsid w:val="00232DDD"/>
    <w:rsid w:val="002336A5"/>
    <w:rsid w:val="002337D6"/>
    <w:rsid w:val="00234692"/>
    <w:rsid w:val="00235C7C"/>
    <w:rsid w:val="00236F1B"/>
    <w:rsid w:val="00242ED8"/>
    <w:rsid w:val="002455EA"/>
    <w:rsid w:val="00247D45"/>
    <w:rsid w:val="00247E7A"/>
    <w:rsid w:val="00251A46"/>
    <w:rsid w:val="00252D0E"/>
    <w:rsid w:val="002547FB"/>
    <w:rsid w:val="002561D8"/>
    <w:rsid w:val="002573AF"/>
    <w:rsid w:val="00260D3F"/>
    <w:rsid w:val="00261FFA"/>
    <w:rsid w:val="0026312F"/>
    <w:rsid w:val="00263829"/>
    <w:rsid w:val="002671BC"/>
    <w:rsid w:val="00272982"/>
    <w:rsid w:val="00273151"/>
    <w:rsid w:val="002751C9"/>
    <w:rsid w:val="0027779E"/>
    <w:rsid w:val="00281DCA"/>
    <w:rsid w:val="002823F3"/>
    <w:rsid w:val="00282643"/>
    <w:rsid w:val="002857C3"/>
    <w:rsid w:val="00287C7E"/>
    <w:rsid w:val="0029078B"/>
    <w:rsid w:val="00294A2E"/>
    <w:rsid w:val="00294E6B"/>
    <w:rsid w:val="002971FB"/>
    <w:rsid w:val="002A0762"/>
    <w:rsid w:val="002A3B0E"/>
    <w:rsid w:val="002A4034"/>
    <w:rsid w:val="002A5AB5"/>
    <w:rsid w:val="002A5F4F"/>
    <w:rsid w:val="002A681F"/>
    <w:rsid w:val="002B1859"/>
    <w:rsid w:val="002C3C34"/>
    <w:rsid w:val="002C7EF3"/>
    <w:rsid w:val="002D2505"/>
    <w:rsid w:val="002E0B28"/>
    <w:rsid w:val="002E0B8A"/>
    <w:rsid w:val="002E1D21"/>
    <w:rsid w:val="002F1A23"/>
    <w:rsid w:val="002F1A40"/>
    <w:rsid w:val="002F2C8C"/>
    <w:rsid w:val="002F30D4"/>
    <w:rsid w:val="002F5FC7"/>
    <w:rsid w:val="002F69DD"/>
    <w:rsid w:val="002F6ADE"/>
    <w:rsid w:val="002F768F"/>
    <w:rsid w:val="002F7E3C"/>
    <w:rsid w:val="00300077"/>
    <w:rsid w:val="00300457"/>
    <w:rsid w:val="00307167"/>
    <w:rsid w:val="003076AF"/>
    <w:rsid w:val="00307F71"/>
    <w:rsid w:val="00310148"/>
    <w:rsid w:val="0031207F"/>
    <w:rsid w:val="003154B6"/>
    <w:rsid w:val="00316F08"/>
    <w:rsid w:val="003175B4"/>
    <w:rsid w:val="00323710"/>
    <w:rsid w:val="00325D79"/>
    <w:rsid w:val="00333D34"/>
    <w:rsid w:val="00333F1F"/>
    <w:rsid w:val="003346D8"/>
    <w:rsid w:val="00334C1E"/>
    <w:rsid w:val="00342348"/>
    <w:rsid w:val="003438AE"/>
    <w:rsid w:val="00343A79"/>
    <w:rsid w:val="0034448A"/>
    <w:rsid w:val="0034585A"/>
    <w:rsid w:val="003500D5"/>
    <w:rsid w:val="00352340"/>
    <w:rsid w:val="00353B0E"/>
    <w:rsid w:val="00353E87"/>
    <w:rsid w:val="00354094"/>
    <w:rsid w:val="00355570"/>
    <w:rsid w:val="00356186"/>
    <w:rsid w:val="00356AA7"/>
    <w:rsid w:val="003614B9"/>
    <w:rsid w:val="00361ECD"/>
    <w:rsid w:val="00370441"/>
    <w:rsid w:val="00370A86"/>
    <w:rsid w:val="00375B12"/>
    <w:rsid w:val="00375CF3"/>
    <w:rsid w:val="003768DA"/>
    <w:rsid w:val="00376D12"/>
    <w:rsid w:val="003852A8"/>
    <w:rsid w:val="00385745"/>
    <w:rsid w:val="00392AF3"/>
    <w:rsid w:val="00397D1E"/>
    <w:rsid w:val="003A0CA6"/>
    <w:rsid w:val="003A4ED8"/>
    <w:rsid w:val="003B0EC9"/>
    <w:rsid w:val="003B2813"/>
    <w:rsid w:val="003B6D01"/>
    <w:rsid w:val="003B7E2F"/>
    <w:rsid w:val="003C2AB5"/>
    <w:rsid w:val="003C3E72"/>
    <w:rsid w:val="003C690D"/>
    <w:rsid w:val="003C7043"/>
    <w:rsid w:val="003D160D"/>
    <w:rsid w:val="003D314D"/>
    <w:rsid w:val="003D4EE2"/>
    <w:rsid w:val="003D6EA9"/>
    <w:rsid w:val="003D71C5"/>
    <w:rsid w:val="003E1550"/>
    <w:rsid w:val="003E303E"/>
    <w:rsid w:val="003E4E85"/>
    <w:rsid w:val="003E5DA1"/>
    <w:rsid w:val="003E78A6"/>
    <w:rsid w:val="003F1E40"/>
    <w:rsid w:val="00406427"/>
    <w:rsid w:val="004065BA"/>
    <w:rsid w:val="004106B1"/>
    <w:rsid w:val="0041180A"/>
    <w:rsid w:val="00412A80"/>
    <w:rsid w:val="00412E08"/>
    <w:rsid w:val="0041365E"/>
    <w:rsid w:val="00421630"/>
    <w:rsid w:val="00424173"/>
    <w:rsid w:val="004311CC"/>
    <w:rsid w:val="00431D2F"/>
    <w:rsid w:val="004359BC"/>
    <w:rsid w:val="00435EA3"/>
    <w:rsid w:val="004367C5"/>
    <w:rsid w:val="00437337"/>
    <w:rsid w:val="0044020C"/>
    <w:rsid w:val="00440EB9"/>
    <w:rsid w:val="004433EF"/>
    <w:rsid w:val="00444882"/>
    <w:rsid w:val="00446BEF"/>
    <w:rsid w:val="0044722C"/>
    <w:rsid w:val="00453C11"/>
    <w:rsid w:val="004565EA"/>
    <w:rsid w:val="00461449"/>
    <w:rsid w:val="004619AB"/>
    <w:rsid w:val="00464371"/>
    <w:rsid w:val="004651DD"/>
    <w:rsid w:val="004707F5"/>
    <w:rsid w:val="00473F2F"/>
    <w:rsid w:val="00475329"/>
    <w:rsid w:val="00476FE8"/>
    <w:rsid w:val="00477D96"/>
    <w:rsid w:val="004820F7"/>
    <w:rsid w:val="004901A8"/>
    <w:rsid w:val="00490801"/>
    <w:rsid w:val="00490F35"/>
    <w:rsid w:val="00492C2F"/>
    <w:rsid w:val="00495FA5"/>
    <w:rsid w:val="00496B5C"/>
    <w:rsid w:val="004A072B"/>
    <w:rsid w:val="004A0D03"/>
    <w:rsid w:val="004A3B20"/>
    <w:rsid w:val="004A607D"/>
    <w:rsid w:val="004A6589"/>
    <w:rsid w:val="004B3256"/>
    <w:rsid w:val="004B4667"/>
    <w:rsid w:val="004B7DA2"/>
    <w:rsid w:val="004C02FD"/>
    <w:rsid w:val="004C0B70"/>
    <w:rsid w:val="004C46D0"/>
    <w:rsid w:val="004C538E"/>
    <w:rsid w:val="004C6E6D"/>
    <w:rsid w:val="004C7244"/>
    <w:rsid w:val="004C762A"/>
    <w:rsid w:val="004D1575"/>
    <w:rsid w:val="004D6C5A"/>
    <w:rsid w:val="004D6E83"/>
    <w:rsid w:val="004D7186"/>
    <w:rsid w:val="004D7DEA"/>
    <w:rsid w:val="004E00B2"/>
    <w:rsid w:val="004E2783"/>
    <w:rsid w:val="004E3879"/>
    <w:rsid w:val="004E5803"/>
    <w:rsid w:val="004E61E8"/>
    <w:rsid w:val="004E71BC"/>
    <w:rsid w:val="004F38B6"/>
    <w:rsid w:val="004F5547"/>
    <w:rsid w:val="00500A79"/>
    <w:rsid w:val="00502598"/>
    <w:rsid w:val="00504BEF"/>
    <w:rsid w:val="00504DB2"/>
    <w:rsid w:val="00520C7D"/>
    <w:rsid w:val="0053117D"/>
    <w:rsid w:val="005331CB"/>
    <w:rsid w:val="00534957"/>
    <w:rsid w:val="00535C29"/>
    <w:rsid w:val="00545C77"/>
    <w:rsid w:val="00550781"/>
    <w:rsid w:val="0055258F"/>
    <w:rsid w:val="00557B6F"/>
    <w:rsid w:val="0056230B"/>
    <w:rsid w:val="00562B76"/>
    <w:rsid w:val="00575D1F"/>
    <w:rsid w:val="00580820"/>
    <w:rsid w:val="00590A83"/>
    <w:rsid w:val="00590BAA"/>
    <w:rsid w:val="0059131E"/>
    <w:rsid w:val="00591F61"/>
    <w:rsid w:val="00593188"/>
    <w:rsid w:val="00593D57"/>
    <w:rsid w:val="00596845"/>
    <w:rsid w:val="0059756D"/>
    <w:rsid w:val="005A00FA"/>
    <w:rsid w:val="005A4101"/>
    <w:rsid w:val="005B1E15"/>
    <w:rsid w:val="005B26BE"/>
    <w:rsid w:val="005B465D"/>
    <w:rsid w:val="005B5178"/>
    <w:rsid w:val="005B6F45"/>
    <w:rsid w:val="005C24F1"/>
    <w:rsid w:val="005C3521"/>
    <w:rsid w:val="005C3A30"/>
    <w:rsid w:val="005C4271"/>
    <w:rsid w:val="005C496B"/>
    <w:rsid w:val="005C5D42"/>
    <w:rsid w:val="005D038B"/>
    <w:rsid w:val="005E2D51"/>
    <w:rsid w:val="005E3DC6"/>
    <w:rsid w:val="005E3EAD"/>
    <w:rsid w:val="005E48CD"/>
    <w:rsid w:val="005F42E9"/>
    <w:rsid w:val="00602F64"/>
    <w:rsid w:val="00603847"/>
    <w:rsid w:val="00605D51"/>
    <w:rsid w:val="00610A26"/>
    <w:rsid w:val="006115CA"/>
    <w:rsid w:val="00613163"/>
    <w:rsid w:val="00620B94"/>
    <w:rsid w:val="00630D43"/>
    <w:rsid w:val="00635F94"/>
    <w:rsid w:val="00640B53"/>
    <w:rsid w:val="00642878"/>
    <w:rsid w:val="006452B1"/>
    <w:rsid w:val="00645319"/>
    <w:rsid w:val="006458BA"/>
    <w:rsid w:val="00650901"/>
    <w:rsid w:val="006542FA"/>
    <w:rsid w:val="0065450D"/>
    <w:rsid w:val="006561AE"/>
    <w:rsid w:val="00661EC3"/>
    <w:rsid w:val="00664C54"/>
    <w:rsid w:val="006658F9"/>
    <w:rsid w:val="00667C2E"/>
    <w:rsid w:val="00670421"/>
    <w:rsid w:val="00671E68"/>
    <w:rsid w:val="00671F3E"/>
    <w:rsid w:val="00672478"/>
    <w:rsid w:val="0067296F"/>
    <w:rsid w:val="00673B4B"/>
    <w:rsid w:val="00674298"/>
    <w:rsid w:val="00680BDF"/>
    <w:rsid w:val="00685B35"/>
    <w:rsid w:val="00686388"/>
    <w:rsid w:val="00691FA2"/>
    <w:rsid w:val="00696320"/>
    <w:rsid w:val="006A0205"/>
    <w:rsid w:val="006A1C8C"/>
    <w:rsid w:val="006A5053"/>
    <w:rsid w:val="006A6E9E"/>
    <w:rsid w:val="006A7802"/>
    <w:rsid w:val="006B044C"/>
    <w:rsid w:val="006B0939"/>
    <w:rsid w:val="006B1A2A"/>
    <w:rsid w:val="006B4305"/>
    <w:rsid w:val="006C30E0"/>
    <w:rsid w:val="006D13C6"/>
    <w:rsid w:val="006D43C7"/>
    <w:rsid w:val="006D647F"/>
    <w:rsid w:val="006D6E26"/>
    <w:rsid w:val="006E0B33"/>
    <w:rsid w:val="006E3065"/>
    <w:rsid w:val="006E3415"/>
    <w:rsid w:val="006F36E0"/>
    <w:rsid w:val="006F7C22"/>
    <w:rsid w:val="00704F0C"/>
    <w:rsid w:val="00711306"/>
    <w:rsid w:val="0071372F"/>
    <w:rsid w:val="00713C5C"/>
    <w:rsid w:val="00713D2F"/>
    <w:rsid w:val="00715B84"/>
    <w:rsid w:val="00723B18"/>
    <w:rsid w:val="00723DD2"/>
    <w:rsid w:val="007322BE"/>
    <w:rsid w:val="00733172"/>
    <w:rsid w:val="00737120"/>
    <w:rsid w:val="00737907"/>
    <w:rsid w:val="0075087E"/>
    <w:rsid w:val="00753507"/>
    <w:rsid w:val="00753A46"/>
    <w:rsid w:val="00763397"/>
    <w:rsid w:val="0076544B"/>
    <w:rsid w:val="007655C3"/>
    <w:rsid w:val="00767A08"/>
    <w:rsid w:val="007723F1"/>
    <w:rsid w:val="00772C27"/>
    <w:rsid w:val="007763E2"/>
    <w:rsid w:val="00777427"/>
    <w:rsid w:val="00783F31"/>
    <w:rsid w:val="00790F25"/>
    <w:rsid w:val="00793843"/>
    <w:rsid w:val="00794AEE"/>
    <w:rsid w:val="00794E2D"/>
    <w:rsid w:val="0079788A"/>
    <w:rsid w:val="007A1090"/>
    <w:rsid w:val="007A5C35"/>
    <w:rsid w:val="007B2A13"/>
    <w:rsid w:val="007B338D"/>
    <w:rsid w:val="007B68AB"/>
    <w:rsid w:val="007B6C37"/>
    <w:rsid w:val="007C01C2"/>
    <w:rsid w:val="007C026A"/>
    <w:rsid w:val="007C1517"/>
    <w:rsid w:val="007D210E"/>
    <w:rsid w:val="007D2D7A"/>
    <w:rsid w:val="007D58F1"/>
    <w:rsid w:val="007E1A9B"/>
    <w:rsid w:val="007E670F"/>
    <w:rsid w:val="007E78B6"/>
    <w:rsid w:val="007F2628"/>
    <w:rsid w:val="007F34CE"/>
    <w:rsid w:val="008003DB"/>
    <w:rsid w:val="00800BBA"/>
    <w:rsid w:val="00812E1A"/>
    <w:rsid w:val="00815572"/>
    <w:rsid w:val="008171AB"/>
    <w:rsid w:val="00820B9B"/>
    <w:rsid w:val="00821367"/>
    <w:rsid w:val="00822DBF"/>
    <w:rsid w:val="0083122E"/>
    <w:rsid w:val="00834ADC"/>
    <w:rsid w:val="008426DA"/>
    <w:rsid w:val="008434F8"/>
    <w:rsid w:val="008452A6"/>
    <w:rsid w:val="008457BF"/>
    <w:rsid w:val="00860EDE"/>
    <w:rsid w:val="00862E92"/>
    <w:rsid w:val="00863890"/>
    <w:rsid w:val="0086571A"/>
    <w:rsid w:val="00867271"/>
    <w:rsid w:val="008703B2"/>
    <w:rsid w:val="00871A12"/>
    <w:rsid w:val="008830DB"/>
    <w:rsid w:val="00886AF4"/>
    <w:rsid w:val="00894E1D"/>
    <w:rsid w:val="008953A7"/>
    <w:rsid w:val="00896B26"/>
    <w:rsid w:val="0089776B"/>
    <w:rsid w:val="008A063D"/>
    <w:rsid w:val="008A0D5E"/>
    <w:rsid w:val="008A3354"/>
    <w:rsid w:val="008A55AE"/>
    <w:rsid w:val="008A7B93"/>
    <w:rsid w:val="008B4A73"/>
    <w:rsid w:val="008C5324"/>
    <w:rsid w:val="008C5EE3"/>
    <w:rsid w:val="008D655A"/>
    <w:rsid w:val="008E0BD9"/>
    <w:rsid w:val="008E2E83"/>
    <w:rsid w:val="008E534D"/>
    <w:rsid w:val="008F027A"/>
    <w:rsid w:val="008F24DE"/>
    <w:rsid w:val="008F69F7"/>
    <w:rsid w:val="009011AE"/>
    <w:rsid w:val="00903DEE"/>
    <w:rsid w:val="00904B74"/>
    <w:rsid w:val="00905FA5"/>
    <w:rsid w:val="00910D37"/>
    <w:rsid w:val="00911A86"/>
    <w:rsid w:val="00912D17"/>
    <w:rsid w:val="00917A5F"/>
    <w:rsid w:val="00917EC0"/>
    <w:rsid w:val="00923DD8"/>
    <w:rsid w:val="0092555B"/>
    <w:rsid w:val="009276A3"/>
    <w:rsid w:val="009279AE"/>
    <w:rsid w:val="0093132E"/>
    <w:rsid w:val="009327AC"/>
    <w:rsid w:val="00935A87"/>
    <w:rsid w:val="00940752"/>
    <w:rsid w:val="0094379D"/>
    <w:rsid w:val="00944D43"/>
    <w:rsid w:val="00945CA0"/>
    <w:rsid w:val="0094642A"/>
    <w:rsid w:val="00956146"/>
    <w:rsid w:val="00957731"/>
    <w:rsid w:val="009608B5"/>
    <w:rsid w:val="009809A0"/>
    <w:rsid w:val="00983F04"/>
    <w:rsid w:val="009851D1"/>
    <w:rsid w:val="00985D49"/>
    <w:rsid w:val="00985DD5"/>
    <w:rsid w:val="009A62E3"/>
    <w:rsid w:val="009A6876"/>
    <w:rsid w:val="009B1F6E"/>
    <w:rsid w:val="009B38D0"/>
    <w:rsid w:val="009B4630"/>
    <w:rsid w:val="009B502E"/>
    <w:rsid w:val="009B60F3"/>
    <w:rsid w:val="009B7402"/>
    <w:rsid w:val="009B7C1E"/>
    <w:rsid w:val="009B7F16"/>
    <w:rsid w:val="009C1EA8"/>
    <w:rsid w:val="009C3AA4"/>
    <w:rsid w:val="009C690C"/>
    <w:rsid w:val="009C7AE4"/>
    <w:rsid w:val="009C7D1C"/>
    <w:rsid w:val="009D21D7"/>
    <w:rsid w:val="009D4512"/>
    <w:rsid w:val="009D5488"/>
    <w:rsid w:val="009E03EA"/>
    <w:rsid w:val="009E0C3B"/>
    <w:rsid w:val="009E2ED2"/>
    <w:rsid w:val="009E6B1E"/>
    <w:rsid w:val="009F0A82"/>
    <w:rsid w:val="009F1FC1"/>
    <w:rsid w:val="009F3F79"/>
    <w:rsid w:val="009F4843"/>
    <w:rsid w:val="00A042DF"/>
    <w:rsid w:val="00A042F6"/>
    <w:rsid w:val="00A06C02"/>
    <w:rsid w:val="00A16F8C"/>
    <w:rsid w:val="00A22D0F"/>
    <w:rsid w:val="00A23F5C"/>
    <w:rsid w:val="00A25001"/>
    <w:rsid w:val="00A25E1D"/>
    <w:rsid w:val="00A26B23"/>
    <w:rsid w:val="00A44D7C"/>
    <w:rsid w:val="00A45A40"/>
    <w:rsid w:val="00A4759C"/>
    <w:rsid w:val="00A52E85"/>
    <w:rsid w:val="00A5371E"/>
    <w:rsid w:val="00A537C9"/>
    <w:rsid w:val="00A550B5"/>
    <w:rsid w:val="00A5536D"/>
    <w:rsid w:val="00A55D76"/>
    <w:rsid w:val="00A5600C"/>
    <w:rsid w:val="00A5719B"/>
    <w:rsid w:val="00A57593"/>
    <w:rsid w:val="00A60AEF"/>
    <w:rsid w:val="00A6704A"/>
    <w:rsid w:val="00A70FDA"/>
    <w:rsid w:val="00A7161F"/>
    <w:rsid w:val="00A74D76"/>
    <w:rsid w:val="00A775EE"/>
    <w:rsid w:val="00A82DAF"/>
    <w:rsid w:val="00A9026E"/>
    <w:rsid w:val="00A934C2"/>
    <w:rsid w:val="00A9449E"/>
    <w:rsid w:val="00A97B92"/>
    <w:rsid w:val="00AA2FEA"/>
    <w:rsid w:val="00AA4FE6"/>
    <w:rsid w:val="00AC3D2D"/>
    <w:rsid w:val="00AC5D63"/>
    <w:rsid w:val="00AC746A"/>
    <w:rsid w:val="00AD0170"/>
    <w:rsid w:val="00AE0086"/>
    <w:rsid w:val="00AE2F58"/>
    <w:rsid w:val="00AE359A"/>
    <w:rsid w:val="00AE78FB"/>
    <w:rsid w:val="00AF12C4"/>
    <w:rsid w:val="00AF42F3"/>
    <w:rsid w:val="00AF4A68"/>
    <w:rsid w:val="00AF6642"/>
    <w:rsid w:val="00B00C15"/>
    <w:rsid w:val="00B01F32"/>
    <w:rsid w:val="00B04367"/>
    <w:rsid w:val="00B05B1F"/>
    <w:rsid w:val="00B05CC1"/>
    <w:rsid w:val="00B07804"/>
    <w:rsid w:val="00B10A4B"/>
    <w:rsid w:val="00B15E9A"/>
    <w:rsid w:val="00B161FE"/>
    <w:rsid w:val="00B23116"/>
    <w:rsid w:val="00B24814"/>
    <w:rsid w:val="00B255A5"/>
    <w:rsid w:val="00B34178"/>
    <w:rsid w:val="00B351B0"/>
    <w:rsid w:val="00B407F8"/>
    <w:rsid w:val="00B426AC"/>
    <w:rsid w:val="00B5206B"/>
    <w:rsid w:val="00B52150"/>
    <w:rsid w:val="00B52825"/>
    <w:rsid w:val="00B53224"/>
    <w:rsid w:val="00B53508"/>
    <w:rsid w:val="00B53547"/>
    <w:rsid w:val="00B5393D"/>
    <w:rsid w:val="00B53D38"/>
    <w:rsid w:val="00B56B18"/>
    <w:rsid w:val="00B56D41"/>
    <w:rsid w:val="00B57114"/>
    <w:rsid w:val="00B571F0"/>
    <w:rsid w:val="00B61E9D"/>
    <w:rsid w:val="00B62E77"/>
    <w:rsid w:val="00B669B3"/>
    <w:rsid w:val="00B72538"/>
    <w:rsid w:val="00B73EFA"/>
    <w:rsid w:val="00B776AC"/>
    <w:rsid w:val="00B81F08"/>
    <w:rsid w:val="00B82AD7"/>
    <w:rsid w:val="00B84DC0"/>
    <w:rsid w:val="00B920A5"/>
    <w:rsid w:val="00B92A83"/>
    <w:rsid w:val="00B94523"/>
    <w:rsid w:val="00B94E4A"/>
    <w:rsid w:val="00B94FD9"/>
    <w:rsid w:val="00B96D57"/>
    <w:rsid w:val="00BA07FA"/>
    <w:rsid w:val="00BB3936"/>
    <w:rsid w:val="00BB57C6"/>
    <w:rsid w:val="00BB671F"/>
    <w:rsid w:val="00BB773E"/>
    <w:rsid w:val="00BC0598"/>
    <w:rsid w:val="00BC15A1"/>
    <w:rsid w:val="00BC2E77"/>
    <w:rsid w:val="00BC3CFD"/>
    <w:rsid w:val="00BC5CCB"/>
    <w:rsid w:val="00BC6FBF"/>
    <w:rsid w:val="00BD0FCA"/>
    <w:rsid w:val="00BD1A56"/>
    <w:rsid w:val="00BD1E2B"/>
    <w:rsid w:val="00BD3FC0"/>
    <w:rsid w:val="00BD6107"/>
    <w:rsid w:val="00BD7D55"/>
    <w:rsid w:val="00BE19A7"/>
    <w:rsid w:val="00BE3F6A"/>
    <w:rsid w:val="00BE44EB"/>
    <w:rsid w:val="00BF1937"/>
    <w:rsid w:val="00C00F0B"/>
    <w:rsid w:val="00C02E5A"/>
    <w:rsid w:val="00C039F4"/>
    <w:rsid w:val="00C06C99"/>
    <w:rsid w:val="00C1111B"/>
    <w:rsid w:val="00C13111"/>
    <w:rsid w:val="00C16ADB"/>
    <w:rsid w:val="00C17353"/>
    <w:rsid w:val="00C177EF"/>
    <w:rsid w:val="00C24D21"/>
    <w:rsid w:val="00C257CC"/>
    <w:rsid w:val="00C36E40"/>
    <w:rsid w:val="00C36EC9"/>
    <w:rsid w:val="00C375DD"/>
    <w:rsid w:val="00C40985"/>
    <w:rsid w:val="00C42B34"/>
    <w:rsid w:val="00C42C40"/>
    <w:rsid w:val="00C42CAD"/>
    <w:rsid w:val="00C4608E"/>
    <w:rsid w:val="00C47625"/>
    <w:rsid w:val="00C5189C"/>
    <w:rsid w:val="00C52DE0"/>
    <w:rsid w:val="00C533CD"/>
    <w:rsid w:val="00C547E0"/>
    <w:rsid w:val="00C5786E"/>
    <w:rsid w:val="00C6159C"/>
    <w:rsid w:val="00C62177"/>
    <w:rsid w:val="00C72171"/>
    <w:rsid w:val="00C74159"/>
    <w:rsid w:val="00C74FC2"/>
    <w:rsid w:val="00C75645"/>
    <w:rsid w:val="00C805F6"/>
    <w:rsid w:val="00C8265A"/>
    <w:rsid w:val="00C90B9B"/>
    <w:rsid w:val="00C95D16"/>
    <w:rsid w:val="00C9632E"/>
    <w:rsid w:val="00C97195"/>
    <w:rsid w:val="00CA00CB"/>
    <w:rsid w:val="00CA1214"/>
    <w:rsid w:val="00CA4716"/>
    <w:rsid w:val="00CA4B89"/>
    <w:rsid w:val="00CA7177"/>
    <w:rsid w:val="00CB2812"/>
    <w:rsid w:val="00CB44AC"/>
    <w:rsid w:val="00CC08AA"/>
    <w:rsid w:val="00CC0D5E"/>
    <w:rsid w:val="00CC15F5"/>
    <w:rsid w:val="00CC36E7"/>
    <w:rsid w:val="00CC5E11"/>
    <w:rsid w:val="00CD699A"/>
    <w:rsid w:val="00CE3493"/>
    <w:rsid w:val="00CE7B23"/>
    <w:rsid w:val="00CF73B3"/>
    <w:rsid w:val="00D00124"/>
    <w:rsid w:val="00D01FC7"/>
    <w:rsid w:val="00D020CF"/>
    <w:rsid w:val="00D03337"/>
    <w:rsid w:val="00D0551D"/>
    <w:rsid w:val="00D203A2"/>
    <w:rsid w:val="00D22C51"/>
    <w:rsid w:val="00D26D3C"/>
    <w:rsid w:val="00D32798"/>
    <w:rsid w:val="00D32BC5"/>
    <w:rsid w:val="00D338FC"/>
    <w:rsid w:val="00D366AA"/>
    <w:rsid w:val="00D401A0"/>
    <w:rsid w:val="00D42B86"/>
    <w:rsid w:val="00D45A64"/>
    <w:rsid w:val="00D47BFD"/>
    <w:rsid w:val="00D52B51"/>
    <w:rsid w:val="00D543A8"/>
    <w:rsid w:val="00D62466"/>
    <w:rsid w:val="00D6376F"/>
    <w:rsid w:val="00D64922"/>
    <w:rsid w:val="00D64C47"/>
    <w:rsid w:val="00D71A42"/>
    <w:rsid w:val="00D71D16"/>
    <w:rsid w:val="00D72753"/>
    <w:rsid w:val="00D74365"/>
    <w:rsid w:val="00D76B1B"/>
    <w:rsid w:val="00D80120"/>
    <w:rsid w:val="00D8108D"/>
    <w:rsid w:val="00D830F6"/>
    <w:rsid w:val="00D836AA"/>
    <w:rsid w:val="00D84421"/>
    <w:rsid w:val="00D90877"/>
    <w:rsid w:val="00D923B9"/>
    <w:rsid w:val="00D9327F"/>
    <w:rsid w:val="00DB02F7"/>
    <w:rsid w:val="00DB3286"/>
    <w:rsid w:val="00DB6111"/>
    <w:rsid w:val="00DC01BE"/>
    <w:rsid w:val="00DC3E4B"/>
    <w:rsid w:val="00DC3F16"/>
    <w:rsid w:val="00DC569C"/>
    <w:rsid w:val="00DC73C5"/>
    <w:rsid w:val="00DD3D41"/>
    <w:rsid w:val="00DD42E7"/>
    <w:rsid w:val="00DD5A16"/>
    <w:rsid w:val="00DD79C8"/>
    <w:rsid w:val="00DE1582"/>
    <w:rsid w:val="00DE2F45"/>
    <w:rsid w:val="00DF01E2"/>
    <w:rsid w:val="00DF0E86"/>
    <w:rsid w:val="00DF38AA"/>
    <w:rsid w:val="00DF7730"/>
    <w:rsid w:val="00E02067"/>
    <w:rsid w:val="00E031C5"/>
    <w:rsid w:val="00E032A2"/>
    <w:rsid w:val="00E04ED5"/>
    <w:rsid w:val="00E064DF"/>
    <w:rsid w:val="00E070A9"/>
    <w:rsid w:val="00E21055"/>
    <w:rsid w:val="00E216A2"/>
    <w:rsid w:val="00E22C86"/>
    <w:rsid w:val="00E23E33"/>
    <w:rsid w:val="00E26845"/>
    <w:rsid w:val="00E32895"/>
    <w:rsid w:val="00E32DDA"/>
    <w:rsid w:val="00E3406E"/>
    <w:rsid w:val="00E37FD4"/>
    <w:rsid w:val="00E40047"/>
    <w:rsid w:val="00E44020"/>
    <w:rsid w:val="00E45D90"/>
    <w:rsid w:val="00E501A3"/>
    <w:rsid w:val="00E5140D"/>
    <w:rsid w:val="00E53D6C"/>
    <w:rsid w:val="00E565AA"/>
    <w:rsid w:val="00E60A83"/>
    <w:rsid w:val="00E628C1"/>
    <w:rsid w:val="00E62FC6"/>
    <w:rsid w:val="00E63C52"/>
    <w:rsid w:val="00E64F5F"/>
    <w:rsid w:val="00E70BC9"/>
    <w:rsid w:val="00E7111F"/>
    <w:rsid w:val="00E7227D"/>
    <w:rsid w:val="00E74F8B"/>
    <w:rsid w:val="00E75F59"/>
    <w:rsid w:val="00E76BC6"/>
    <w:rsid w:val="00E80E04"/>
    <w:rsid w:val="00E82E61"/>
    <w:rsid w:val="00E84B0E"/>
    <w:rsid w:val="00E901B3"/>
    <w:rsid w:val="00E907F2"/>
    <w:rsid w:val="00E91F3D"/>
    <w:rsid w:val="00E935E0"/>
    <w:rsid w:val="00E962A0"/>
    <w:rsid w:val="00E96B56"/>
    <w:rsid w:val="00E96E63"/>
    <w:rsid w:val="00EA5455"/>
    <w:rsid w:val="00EA68DD"/>
    <w:rsid w:val="00EB233B"/>
    <w:rsid w:val="00EC006C"/>
    <w:rsid w:val="00EC1579"/>
    <w:rsid w:val="00EC40F8"/>
    <w:rsid w:val="00EC6C17"/>
    <w:rsid w:val="00ED59C7"/>
    <w:rsid w:val="00EE4D8A"/>
    <w:rsid w:val="00EF2350"/>
    <w:rsid w:val="00EF23E9"/>
    <w:rsid w:val="00F0074B"/>
    <w:rsid w:val="00F00B53"/>
    <w:rsid w:val="00F00CC6"/>
    <w:rsid w:val="00F02D2D"/>
    <w:rsid w:val="00F047DE"/>
    <w:rsid w:val="00F04F45"/>
    <w:rsid w:val="00F1196F"/>
    <w:rsid w:val="00F11EB3"/>
    <w:rsid w:val="00F12DC4"/>
    <w:rsid w:val="00F14080"/>
    <w:rsid w:val="00F249BF"/>
    <w:rsid w:val="00F258E3"/>
    <w:rsid w:val="00F25AAD"/>
    <w:rsid w:val="00F25D30"/>
    <w:rsid w:val="00F31550"/>
    <w:rsid w:val="00F42B9B"/>
    <w:rsid w:val="00F440E7"/>
    <w:rsid w:val="00F4463D"/>
    <w:rsid w:val="00F45156"/>
    <w:rsid w:val="00F5024A"/>
    <w:rsid w:val="00F53189"/>
    <w:rsid w:val="00F53F8A"/>
    <w:rsid w:val="00F5418E"/>
    <w:rsid w:val="00F55E37"/>
    <w:rsid w:val="00F61FA1"/>
    <w:rsid w:val="00F65A9E"/>
    <w:rsid w:val="00F674E1"/>
    <w:rsid w:val="00F71B6E"/>
    <w:rsid w:val="00F71EAD"/>
    <w:rsid w:val="00F814AD"/>
    <w:rsid w:val="00F81882"/>
    <w:rsid w:val="00F84314"/>
    <w:rsid w:val="00F8477A"/>
    <w:rsid w:val="00F85D73"/>
    <w:rsid w:val="00F87129"/>
    <w:rsid w:val="00F9266A"/>
    <w:rsid w:val="00F94AAA"/>
    <w:rsid w:val="00F94BE5"/>
    <w:rsid w:val="00F96D01"/>
    <w:rsid w:val="00FA1442"/>
    <w:rsid w:val="00FA2BAB"/>
    <w:rsid w:val="00FA4799"/>
    <w:rsid w:val="00FA676D"/>
    <w:rsid w:val="00FB3128"/>
    <w:rsid w:val="00FB6AEA"/>
    <w:rsid w:val="00FC413F"/>
    <w:rsid w:val="00FC4E9B"/>
    <w:rsid w:val="00FC7A77"/>
    <w:rsid w:val="00FD3DAB"/>
    <w:rsid w:val="00FD4088"/>
    <w:rsid w:val="00FD4727"/>
    <w:rsid w:val="00FD70BA"/>
    <w:rsid w:val="00FE0427"/>
    <w:rsid w:val="00FF00D9"/>
    <w:rsid w:val="00FF0ABC"/>
    <w:rsid w:val="00FF3C46"/>
    <w:rsid w:val="00FF6148"/>
    <w:rsid w:val="00FF626B"/>
    <w:rsid w:val="00FF678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60DE1C9"/>
  <w15:chartTrackingRefBased/>
  <w15:docId w15:val="{67436F92-CC98-42D2-A124-E8F0E4257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0FB"/>
    <w:pPr>
      <w:spacing w:line="240" w:lineRule="auto"/>
    </w:pPr>
    <w:rPr>
      <w:rFonts w:ascii="Segoe UI" w:hAnsi="Segoe UI"/>
      <w:sz w:val="21"/>
    </w:rPr>
  </w:style>
  <w:style w:type="paragraph" w:styleId="Heading1">
    <w:name w:val="heading 1"/>
    <w:basedOn w:val="Normal"/>
    <w:next w:val="Normal"/>
    <w:link w:val="Heading1Char"/>
    <w:uiPriority w:val="9"/>
    <w:qFormat/>
    <w:rsid w:val="002A5AB5"/>
    <w:pPr>
      <w:keepNext/>
      <w:keepLines/>
      <w:shd w:val="clear" w:color="auto" w:fill="002D72"/>
      <w:spacing w:before="1200" w:after="240"/>
      <w:outlineLvl w:val="0"/>
    </w:pPr>
    <w:rPr>
      <w:rFonts w:ascii="Segoe UI Semibold" w:eastAsiaTheme="majorEastAsia" w:hAnsi="Segoe UI Semibold" w:cs="Segoe UI Semibold"/>
      <w:color w:val="FFFFFF" w:themeColor="background1"/>
      <w:sz w:val="48"/>
      <w:szCs w:val="48"/>
    </w:rPr>
  </w:style>
  <w:style w:type="paragraph" w:styleId="Heading2">
    <w:name w:val="heading 2"/>
    <w:basedOn w:val="Normal"/>
    <w:next w:val="Normal"/>
    <w:link w:val="Heading2Char"/>
    <w:uiPriority w:val="9"/>
    <w:unhideWhenUsed/>
    <w:qFormat/>
    <w:rsid w:val="00D32BC5"/>
    <w:pPr>
      <w:keepNext/>
      <w:spacing w:after="120"/>
      <w:outlineLvl w:val="1"/>
    </w:pPr>
    <w:rPr>
      <w:rFonts w:ascii="Segoe UI Semibold" w:eastAsia="MingLiU" w:hAnsi="Segoe UI Semibold" w:cs="Segoe UI Semibold"/>
      <w:color w:val="002D72"/>
      <w:sz w:val="36"/>
      <w:szCs w:val="26"/>
    </w:rPr>
  </w:style>
  <w:style w:type="paragraph" w:styleId="Heading3">
    <w:name w:val="heading 3"/>
    <w:basedOn w:val="Normal"/>
    <w:next w:val="Normal"/>
    <w:link w:val="Heading3Char"/>
    <w:uiPriority w:val="9"/>
    <w:unhideWhenUsed/>
    <w:qFormat/>
    <w:rsid w:val="00772C27"/>
    <w:pPr>
      <w:keepNext/>
      <w:spacing w:before="120" w:after="120"/>
      <w:outlineLvl w:val="2"/>
    </w:pPr>
    <w:rPr>
      <w:rFonts w:ascii="Segoe UI Semibold" w:eastAsia="MingLiU" w:hAnsi="Segoe UI Semibold" w:cs="Segoe UI Semibold"/>
      <w:color w:val="002D72"/>
      <w:sz w:val="30"/>
      <w:szCs w:val="30"/>
    </w:rPr>
  </w:style>
  <w:style w:type="paragraph" w:styleId="Heading4">
    <w:name w:val="heading 4"/>
    <w:basedOn w:val="Normal"/>
    <w:next w:val="Normal"/>
    <w:link w:val="Heading4Char"/>
    <w:uiPriority w:val="9"/>
    <w:unhideWhenUsed/>
    <w:qFormat/>
    <w:rsid w:val="00C36E40"/>
    <w:pPr>
      <w:keepNext/>
      <w:spacing w:before="120" w:after="120"/>
      <w:outlineLvl w:val="3"/>
    </w:pPr>
    <w:rPr>
      <w:rFonts w:ascii="Segoe UI Semibold" w:eastAsia="MingLiU" w:hAnsi="Segoe UI Semibold" w:cs="Segoe UI Semibold"/>
      <w:color w:val="4C5564"/>
      <w:sz w:val="26"/>
      <w:szCs w:val="26"/>
    </w:rPr>
  </w:style>
  <w:style w:type="paragraph" w:styleId="Heading5">
    <w:name w:val="heading 5"/>
    <w:basedOn w:val="Normal"/>
    <w:next w:val="Normal"/>
    <w:link w:val="Heading5Char"/>
    <w:uiPriority w:val="9"/>
    <w:unhideWhenUsed/>
    <w:qFormat/>
    <w:rsid w:val="00C36E40"/>
    <w:pPr>
      <w:keepNext/>
      <w:spacing w:before="120" w:after="120"/>
      <w:outlineLvl w:val="4"/>
    </w:pPr>
    <w:rPr>
      <w:rFonts w:ascii="Segoe UI Semibold" w:eastAsia="MingLiU" w:hAnsi="Segoe UI Semibold" w:cs="Segoe UI Semibold"/>
      <w:color w:val="4C5564"/>
    </w:rPr>
  </w:style>
  <w:style w:type="paragraph" w:styleId="Heading6">
    <w:name w:val="heading 6"/>
    <w:basedOn w:val="Normal"/>
    <w:next w:val="Normal"/>
    <w:link w:val="Heading6Char"/>
    <w:uiPriority w:val="9"/>
    <w:unhideWhenUsed/>
    <w:qFormat/>
    <w:rsid w:val="00C36E40"/>
    <w:pPr>
      <w:keepNext/>
      <w:spacing w:before="120" w:after="120"/>
      <w:outlineLvl w:val="5"/>
    </w:pPr>
    <w:rPr>
      <w:rFonts w:ascii="Segoe UI Semibold" w:eastAsia="MingLiU" w:hAnsi="Segoe UI Semibold" w:cs="Segoe UI Semibold"/>
      <w:color w:val="4C5564"/>
      <w:sz w:val="20"/>
      <w:szCs w:val="20"/>
    </w:rPr>
  </w:style>
  <w:style w:type="paragraph" w:styleId="Heading7">
    <w:name w:val="heading 7"/>
    <w:basedOn w:val="Normal"/>
    <w:next w:val="Normal"/>
    <w:link w:val="Heading7Char"/>
    <w:uiPriority w:val="9"/>
    <w:unhideWhenUsed/>
    <w:qFormat/>
    <w:rsid w:val="00C36E40"/>
    <w:pPr>
      <w:keepNext/>
      <w:keepLines/>
      <w:spacing w:before="40" w:after="0"/>
      <w:outlineLvl w:val="6"/>
    </w:pPr>
    <w:rPr>
      <w:rFonts w:ascii="Segoe UI Semibold" w:eastAsiaTheme="majorEastAsia" w:hAnsi="Segoe UI Semibold" w:cs="Segoe UI Semibold"/>
      <w:iCs/>
      <w:color w:val="4C5564"/>
      <w:sz w:val="18"/>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985DD5"/>
    <w:pPr>
      <w:numPr>
        <w:numId w:val="1"/>
      </w:numPr>
      <w:ind w:left="1134" w:hanging="567"/>
    </w:p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C413F"/>
    <w:rPr>
      <w:color w:val="002D72"/>
      <w:u w:val="single"/>
    </w:rPr>
  </w:style>
  <w:style w:type="character" w:customStyle="1" w:styleId="Heading1Char">
    <w:name w:val="Heading 1 Char"/>
    <w:basedOn w:val="DefaultParagraphFont"/>
    <w:link w:val="Heading1"/>
    <w:uiPriority w:val="9"/>
    <w:rsid w:val="002A5AB5"/>
    <w:rPr>
      <w:rFonts w:ascii="Segoe UI Semibold" w:eastAsiaTheme="majorEastAsia" w:hAnsi="Segoe UI Semibold" w:cs="Segoe UI Semibold"/>
      <w:color w:val="FFFFFF" w:themeColor="background1"/>
      <w:sz w:val="48"/>
      <w:szCs w:val="48"/>
      <w:shd w:val="clear" w:color="auto" w:fill="002D72"/>
    </w:rPr>
  </w:style>
  <w:style w:type="character" w:customStyle="1" w:styleId="Heading2Char">
    <w:name w:val="Heading 2 Char"/>
    <w:basedOn w:val="DefaultParagraphFont"/>
    <w:link w:val="Heading2"/>
    <w:uiPriority w:val="9"/>
    <w:rsid w:val="00D32BC5"/>
    <w:rPr>
      <w:rFonts w:ascii="Segoe UI Semibold" w:eastAsia="MingLiU" w:hAnsi="Segoe UI Semibold" w:cs="Segoe UI Semibold"/>
      <w:color w:val="002D72"/>
      <w:sz w:val="36"/>
      <w:szCs w:val="26"/>
    </w:rPr>
  </w:style>
  <w:style w:type="character" w:customStyle="1" w:styleId="Heading3Char">
    <w:name w:val="Heading 3 Char"/>
    <w:basedOn w:val="DefaultParagraphFont"/>
    <w:link w:val="Heading3"/>
    <w:uiPriority w:val="9"/>
    <w:rsid w:val="00772C27"/>
    <w:rPr>
      <w:rFonts w:ascii="Segoe UI Semibold" w:eastAsia="MingLiU" w:hAnsi="Segoe UI Semibold" w:cs="Segoe UI Semibold"/>
      <w:color w:val="002D72"/>
      <w:sz w:val="30"/>
      <w:szCs w:val="30"/>
    </w:rPr>
  </w:style>
  <w:style w:type="character" w:customStyle="1" w:styleId="Heading4Char">
    <w:name w:val="Heading 4 Char"/>
    <w:basedOn w:val="DefaultParagraphFont"/>
    <w:link w:val="Heading4"/>
    <w:uiPriority w:val="9"/>
    <w:rsid w:val="00C36E40"/>
    <w:rPr>
      <w:rFonts w:ascii="Segoe UI Semibold" w:eastAsia="MingLiU" w:hAnsi="Segoe UI Semibold" w:cs="Segoe UI Semibold"/>
      <w:color w:val="4C5564"/>
      <w:sz w:val="26"/>
      <w:szCs w:val="26"/>
    </w:rPr>
  </w:style>
  <w:style w:type="character" w:customStyle="1" w:styleId="Heading5Char">
    <w:name w:val="Heading 5 Char"/>
    <w:basedOn w:val="DefaultParagraphFont"/>
    <w:link w:val="Heading5"/>
    <w:uiPriority w:val="9"/>
    <w:rsid w:val="00C36E40"/>
    <w:rPr>
      <w:rFonts w:ascii="Segoe UI Semibold" w:eastAsia="MingLiU" w:hAnsi="Segoe UI Semibold" w:cs="Segoe UI Semibold"/>
      <w:color w:val="4C5564"/>
      <w:sz w:val="21"/>
    </w:rPr>
  </w:style>
  <w:style w:type="character" w:customStyle="1" w:styleId="Heading6Char">
    <w:name w:val="Heading 6 Char"/>
    <w:basedOn w:val="DefaultParagraphFont"/>
    <w:link w:val="Heading6"/>
    <w:uiPriority w:val="9"/>
    <w:rsid w:val="00C36E40"/>
    <w:rPr>
      <w:rFonts w:ascii="Segoe UI Semibold" w:eastAsia="MingLiU" w:hAnsi="Segoe UI Semibold" w:cs="Segoe UI Semibold"/>
      <w:color w:val="4C5564"/>
      <w:sz w:val="20"/>
      <w:szCs w:val="20"/>
    </w:rPr>
  </w:style>
  <w:style w:type="character" w:customStyle="1" w:styleId="Heading7Char">
    <w:name w:val="Heading 7 Char"/>
    <w:basedOn w:val="DefaultParagraphFont"/>
    <w:link w:val="Heading7"/>
    <w:uiPriority w:val="9"/>
    <w:rsid w:val="00C36E40"/>
    <w:rPr>
      <w:rFonts w:ascii="Segoe UI Semibold" w:eastAsiaTheme="majorEastAsia" w:hAnsi="Segoe UI Semibold" w:cs="Segoe UI Semibold"/>
      <w:iCs/>
      <w:color w:val="4C5564"/>
      <w:sz w:val="18"/>
      <w:szCs w:val="18"/>
    </w:rPr>
  </w:style>
  <w:style w:type="paragraph" w:customStyle="1" w:styleId="Heading2notshowing">
    <w:name w:val="Heading 2—not showing"/>
    <w:basedOn w:val="Normal"/>
    <w:next w:val="Normal"/>
    <w:qFormat/>
    <w:rsid w:val="003D71C5"/>
    <w:pPr>
      <w:keepNext/>
      <w:spacing w:after="120"/>
      <w:outlineLvl w:val="1"/>
    </w:pPr>
    <w:rPr>
      <w:rFonts w:ascii="Segoe UI Semibold" w:eastAsia="MingLiU" w:hAnsi="Segoe UI Semibold" w:cs="Segoe UI Semibold"/>
      <w:color w:val="4C5564"/>
      <w:sz w:val="28"/>
      <w:szCs w:val="26"/>
    </w:rPr>
  </w:style>
  <w:style w:type="paragraph" w:customStyle="1" w:styleId="Heading3notshowing">
    <w:name w:val="Heading 3—not showing"/>
    <w:basedOn w:val="Normal"/>
    <w:next w:val="Normal"/>
    <w:qFormat/>
    <w:rsid w:val="00C36E40"/>
    <w:pPr>
      <w:keepNext/>
      <w:spacing w:after="120"/>
      <w:outlineLvl w:val="2"/>
    </w:pPr>
    <w:rPr>
      <w:rFonts w:ascii="Segoe UI Semibold" w:eastAsia="MingLiU" w:hAnsi="Segoe UI Semibold" w:cs="Segoe UI Semibold"/>
      <w:color w:val="4C5564"/>
      <w:sz w:val="24"/>
      <w:szCs w:val="30"/>
    </w:rPr>
  </w:style>
  <w:style w:type="paragraph" w:styleId="Quote">
    <w:name w:val="Quote"/>
    <w:basedOn w:val="Normal"/>
    <w:next w:val="Normal"/>
    <w:link w:val="QuoteChar"/>
    <w:uiPriority w:val="29"/>
    <w:qFormat/>
    <w:rsid w:val="00C36E40"/>
    <w:pPr>
      <w:tabs>
        <w:tab w:val="right" w:pos="9072"/>
      </w:tabs>
      <w:ind w:left="567"/>
    </w:pPr>
    <w:rPr>
      <w:b/>
      <w:color w:val="4C5564"/>
      <w:sz w:val="20"/>
      <w:szCs w:val="20"/>
    </w:rPr>
  </w:style>
  <w:style w:type="character" w:customStyle="1" w:styleId="QuoteChar">
    <w:name w:val="Quote Char"/>
    <w:basedOn w:val="DefaultParagraphFont"/>
    <w:link w:val="Quote"/>
    <w:uiPriority w:val="29"/>
    <w:rsid w:val="00C36E40"/>
    <w:rPr>
      <w:rFonts w:ascii="Segoe UI" w:hAnsi="Segoe UI"/>
      <w:b/>
      <w:color w:val="4C5564"/>
      <w:sz w:val="20"/>
      <w:szCs w:val="2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B5393D"/>
    <w:pPr>
      <w:numPr>
        <w:numId w:val="2"/>
      </w:numPr>
    </w:pPr>
    <w:rPr>
      <w:lang w:eastAsia="zh-TW"/>
    </w:rPr>
  </w:style>
  <w:style w:type="paragraph" w:styleId="ListParagraph">
    <w:name w:val="List Paragraph"/>
    <w:basedOn w:val="Normal"/>
    <w:uiPriority w:val="34"/>
    <w:qFormat/>
    <w:rsid w:val="00B5393D"/>
    <w:pPr>
      <w:numPr>
        <w:numId w:val="3"/>
      </w:numPr>
      <w:ind w:left="567" w:hanging="567"/>
      <w:contextualSpacing/>
    </w:pPr>
  </w:style>
  <w:style w:type="paragraph" w:customStyle="1" w:styleId="Tabletext">
    <w:name w:val="Table text"/>
    <w:basedOn w:val="Normal"/>
    <w:qFormat/>
    <w:rsid w:val="00217C11"/>
    <w:pPr>
      <w:spacing w:after="0"/>
    </w:pPr>
    <w:rPr>
      <w:rFonts w:eastAsia="Times New Roman" w:cs="Times New Roman"/>
      <w:sz w:val="20"/>
      <w:szCs w:val="20"/>
    </w:rPr>
  </w:style>
  <w:style w:type="paragraph" w:customStyle="1" w:styleId="Tablerowcolumnheading">
    <w:name w:val="Table row/column heading"/>
    <w:basedOn w:val="Normal"/>
    <w:next w:val="Normal"/>
    <w:rsid w:val="00323710"/>
    <w:pPr>
      <w:spacing w:after="0"/>
    </w:pPr>
    <w:rPr>
      <w:rFonts w:eastAsia="Times New Roman" w:cs="Times New Roman"/>
      <w:b/>
      <w:bCs/>
      <w:color w:val="002D72"/>
      <w:sz w:val="20"/>
      <w:szCs w:val="20"/>
    </w:rPr>
  </w:style>
  <w:style w:type="paragraph" w:styleId="FootnoteText">
    <w:name w:val="footnote text"/>
    <w:basedOn w:val="Normal"/>
    <w:link w:val="FootnoteTextChar"/>
    <w:uiPriority w:val="99"/>
    <w:semiHidden/>
    <w:unhideWhenUsed/>
    <w:rsid w:val="00217C11"/>
    <w:pPr>
      <w:spacing w:after="0"/>
    </w:pPr>
    <w:rPr>
      <w:sz w:val="20"/>
      <w:szCs w:val="20"/>
    </w:rPr>
  </w:style>
  <w:style w:type="character" w:customStyle="1" w:styleId="FootnoteTextChar">
    <w:name w:val="Footnote Text Char"/>
    <w:basedOn w:val="DefaultParagraphFont"/>
    <w:link w:val="FootnoteText"/>
    <w:uiPriority w:val="99"/>
    <w:semiHidden/>
    <w:rsid w:val="00217C11"/>
    <w:rPr>
      <w:rFonts w:ascii="Segoe UI" w:hAnsi="Segoe UI"/>
      <w:sz w:val="20"/>
      <w:szCs w:val="20"/>
    </w:rPr>
  </w:style>
  <w:style w:type="character" w:styleId="FootnoteReference">
    <w:name w:val="footnote reference"/>
    <w:basedOn w:val="DefaultParagraphFont"/>
    <w:uiPriority w:val="99"/>
    <w:semiHidden/>
    <w:unhideWhenUsed/>
    <w:rsid w:val="00217C11"/>
    <w:rPr>
      <w:vertAlign w:val="superscript"/>
    </w:rPr>
  </w:style>
  <w:style w:type="paragraph" w:customStyle="1" w:styleId="Tablefigureheading">
    <w:name w:val="Table/figure heading"/>
    <w:basedOn w:val="Normal"/>
    <w:next w:val="Normal"/>
    <w:qFormat/>
    <w:rsid w:val="00E80E04"/>
    <w:pPr>
      <w:keepNext/>
      <w:spacing w:after="0"/>
    </w:pPr>
    <w:rPr>
      <w:rFonts w:ascii="Segoe UI Semibold" w:hAnsi="Segoe UI Semibold"/>
      <w:color w:val="002D72"/>
      <w:sz w:val="20"/>
    </w:rPr>
  </w:style>
  <w:style w:type="paragraph" w:customStyle="1" w:styleId="Tabletextcentred">
    <w:name w:val="Table text centred"/>
    <w:basedOn w:val="Tabletext"/>
    <w:next w:val="NoSpacing"/>
    <w:rsid w:val="00217C11"/>
    <w:pPr>
      <w:jc w:val="center"/>
    </w:pPr>
  </w:style>
  <w:style w:type="paragraph" w:customStyle="1" w:styleId="Tablerowcolumnheadingcentred">
    <w:name w:val="Table row/column heading centred"/>
    <w:basedOn w:val="Tablerowcolumnheading"/>
    <w:next w:val="Normal"/>
    <w:rsid w:val="00217C11"/>
    <w:pPr>
      <w:jc w:val="center"/>
    </w:pPr>
    <w:rPr>
      <w:bCs w:val="0"/>
    </w:rPr>
  </w:style>
  <w:style w:type="paragraph" w:customStyle="1" w:styleId="Sourcenote">
    <w:name w:val="Source / note"/>
    <w:basedOn w:val="Normal"/>
    <w:qFormat/>
    <w:rsid w:val="00C36E40"/>
    <w:rPr>
      <w:rFonts w:eastAsia="PMingLiU" w:cs="Mangal"/>
      <w:color w:val="4C5564"/>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0740FB"/>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0740FB"/>
    <w:pPr>
      <w:keepNext/>
      <w:tabs>
        <w:tab w:val="right" w:leader="dot" w:pos="9072"/>
      </w:tabs>
      <w:spacing w:before="120" w:after="0"/>
      <w:ind w:left="567" w:right="567" w:hanging="567"/>
    </w:pPr>
    <w:rPr>
      <w:b/>
      <w:color w:val="002D72"/>
    </w:rPr>
  </w:style>
  <w:style w:type="paragraph" w:styleId="TOC2">
    <w:name w:val="toc 2"/>
    <w:basedOn w:val="Normal"/>
    <w:next w:val="Normal"/>
    <w:autoRedefine/>
    <w:uiPriority w:val="39"/>
    <w:unhideWhenUsed/>
    <w:rsid w:val="000740FB"/>
    <w:pPr>
      <w:tabs>
        <w:tab w:val="right" w:leader="dot" w:pos="9072"/>
      </w:tabs>
      <w:spacing w:after="0"/>
      <w:ind w:left="1134" w:right="567" w:hanging="567"/>
    </w:pPr>
    <w:rPr>
      <w:sz w:val="20"/>
    </w:rPr>
  </w:style>
  <w:style w:type="paragraph" w:styleId="TOC3">
    <w:name w:val="toc 3"/>
    <w:basedOn w:val="Normal"/>
    <w:next w:val="Normal"/>
    <w:autoRedefine/>
    <w:uiPriority w:val="39"/>
    <w:unhideWhenUsed/>
    <w:rsid w:val="000740FB"/>
    <w:pPr>
      <w:tabs>
        <w:tab w:val="right" w:leader="dot" w:pos="9072"/>
      </w:tabs>
      <w:spacing w:after="0"/>
      <w:ind w:left="1701"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character" w:styleId="CommentReference">
    <w:name w:val="annotation reference"/>
    <w:basedOn w:val="DefaultParagraphFont"/>
    <w:uiPriority w:val="99"/>
    <w:semiHidden/>
    <w:unhideWhenUsed/>
    <w:rsid w:val="006D13C6"/>
    <w:rPr>
      <w:sz w:val="16"/>
      <w:szCs w:val="16"/>
    </w:rPr>
  </w:style>
  <w:style w:type="paragraph" w:styleId="CommentText">
    <w:name w:val="annotation text"/>
    <w:basedOn w:val="Normal"/>
    <w:link w:val="CommentTextChar"/>
    <w:uiPriority w:val="99"/>
    <w:unhideWhenUsed/>
    <w:rsid w:val="006D13C6"/>
    <w:rPr>
      <w:sz w:val="20"/>
      <w:szCs w:val="20"/>
    </w:rPr>
  </w:style>
  <w:style w:type="character" w:customStyle="1" w:styleId="CommentTextChar">
    <w:name w:val="Comment Text Char"/>
    <w:basedOn w:val="DefaultParagraphFont"/>
    <w:link w:val="CommentText"/>
    <w:uiPriority w:val="99"/>
    <w:rsid w:val="006D13C6"/>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13C6"/>
    <w:rPr>
      <w:b/>
      <w:bCs/>
    </w:rPr>
  </w:style>
  <w:style w:type="character" w:customStyle="1" w:styleId="CommentSubjectChar">
    <w:name w:val="Comment Subject Char"/>
    <w:basedOn w:val="CommentTextChar"/>
    <w:link w:val="CommentSubject"/>
    <w:uiPriority w:val="99"/>
    <w:semiHidden/>
    <w:rsid w:val="006D13C6"/>
    <w:rPr>
      <w:rFonts w:ascii="Segoe UI" w:hAnsi="Segoe UI"/>
      <w:b/>
      <w:bCs/>
      <w:sz w:val="20"/>
      <w:szCs w:val="20"/>
    </w:rPr>
  </w:style>
  <w:style w:type="paragraph" w:styleId="BalloonText">
    <w:name w:val="Balloon Text"/>
    <w:basedOn w:val="Normal"/>
    <w:link w:val="BalloonTextChar"/>
    <w:uiPriority w:val="99"/>
    <w:semiHidden/>
    <w:unhideWhenUsed/>
    <w:rsid w:val="006D13C6"/>
    <w:pPr>
      <w:spacing w:after="0"/>
    </w:pPr>
    <w:rPr>
      <w:rFonts w:cs="Segoe UI"/>
      <w:sz w:val="18"/>
      <w:szCs w:val="18"/>
    </w:rPr>
  </w:style>
  <w:style w:type="character" w:customStyle="1" w:styleId="BalloonTextChar">
    <w:name w:val="Balloon Text Char"/>
    <w:basedOn w:val="DefaultParagraphFont"/>
    <w:link w:val="BalloonText"/>
    <w:uiPriority w:val="99"/>
    <w:semiHidden/>
    <w:rsid w:val="006D13C6"/>
    <w:rPr>
      <w:rFonts w:ascii="Segoe UI" w:hAnsi="Segoe UI" w:cs="Segoe UI"/>
      <w:sz w:val="18"/>
      <w:szCs w:val="18"/>
    </w:rPr>
  </w:style>
  <w:style w:type="paragraph" w:styleId="TOCHeading">
    <w:name w:val="TOC Heading"/>
    <w:basedOn w:val="Heading1"/>
    <w:next w:val="Normal"/>
    <w:uiPriority w:val="39"/>
    <w:unhideWhenUsed/>
    <w:qFormat/>
    <w:rsid w:val="000908FA"/>
    <w:pPr>
      <w:shd w:val="clear" w:color="auto" w:fill="auto"/>
      <w:spacing w:before="240" w:after="0" w:line="259" w:lineRule="auto"/>
      <w:outlineLvl w:val="9"/>
    </w:pPr>
    <w:rPr>
      <w:rFonts w:asciiTheme="majorHAnsi" w:hAnsiTheme="majorHAnsi" w:cstheme="majorBidi"/>
      <w:color w:val="2E74B5" w:themeColor="accent1" w:themeShade="BF"/>
      <w:sz w:val="32"/>
      <w:szCs w:val="32"/>
      <w:lang w:val="en-US"/>
    </w:rPr>
  </w:style>
  <w:style w:type="paragraph" w:styleId="EndnoteText">
    <w:name w:val="endnote text"/>
    <w:basedOn w:val="Normal"/>
    <w:link w:val="EndnoteTextChar"/>
    <w:uiPriority w:val="99"/>
    <w:semiHidden/>
    <w:unhideWhenUsed/>
    <w:rsid w:val="008E534D"/>
    <w:pPr>
      <w:spacing w:after="0"/>
    </w:pPr>
    <w:rPr>
      <w:sz w:val="20"/>
      <w:szCs w:val="20"/>
    </w:rPr>
  </w:style>
  <w:style w:type="character" w:customStyle="1" w:styleId="EndnoteTextChar">
    <w:name w:val="Endnote Text Char"/>
    <w:basedOn w:val="DefaultParagraphFont"/>
    <w:link w:val="EndnoteText"/>
    <w:uiPriority w:val="99"/>
    <w:semiHidden/>
    <w:rsid w:val="008E534D"/>
    <w:rPr>
      <w:rFonts w:ascii="Segoe UI" w:hAnsi="Segoe UI"/>
      <w:sz w:val="20"/>
      <w:szCs w:val="20"/>
    </w:rPr>
  </w:style>
  <w:style w:type="character" w:styleId="EndnoteReference">
    <w:name w:val="endnote reference"/>
    <w:basedOn w:val="DefaultParagraphFont"/>
    <w:uiPriority w:val="99"/>
    <w:semiHidden/>
    <w:unhideWhenUsed/>
    <w:rsid w:val="008E534D"/>
    <w:rPr>
      <w:vertAlign w:val="superscript"/>
    </w:rPr>
  </w:style>
  <w:style w:type="character" w:styleId="FollowedHyperlink">
    <w:name w:val="FollowedHyperlink"/>
    <w:basedOn w:val="DefaultParagraphFont"/>
    <w:uiPriority w:val="99"/>
    <w:semiHidden/>
    <w:unhideWhenUsed/>
    <w:rsid w:val="0094642A"/>
    <w:rPr>
      <w:color w:val="954F72" w:themeColor="followedHyperlink"/>
      <w:u w:val="single"/>
    </w:rPr>
  </w:style>
  <w:style w:type="table" w:styleId="TableGrid">
    <w:name w:val="Table Grid"/>
    <w:basedOn w:val="TableNormal"/>
    <w:uiPriority w:val="39"/>
    <w:rsid w:val="00D055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4882"/>
    <w:pPr>
      <w:spacing w:after="0" w:line="240" w:lineRule="auto"/>
    </w:pPr>
    <w:rPr>
      <w:rFonts w:ascii="Segoe UI" w:hAnsi="Segoe UI"/>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98497">
      <w:bodyDiv w:val="1"/>
      <w:marLeft w:val="0"/>
      <w:marRight w:val="0"/>
      <w:marTop w:val="0"/>
      <w:marBottom w:val="0"/>
      <w:divBdr>
        <w:top w:val="none" w:sz="0" w:space="0" w:color="auto"/>
        <w:left w:val="none" w:sz="0" w:space="0" w:color="auto"/>
        <w:bottom w:val="none" w:sz="0" w:space="0" w:color="auto"/>
        <w:right w:val="none" w:sz="0" w:space="0" w:color="auto"/>
      </w:divBdr>
    </w:div>
    <w:div w:id="46803026">
      <w:bodyDiv w:val="1"/>
      <w:marLeft w:val="0"/>
      <w:marRight w:val="0"/>
      <w:marTop w:val="0"/>
      <w:marBottom w:val="0"/>
      <w:divBdr>
        <w:top w:val="none" w:sz="0" w:space="0" w:color="auto"/>
        <w:left w:val="none" w:sz="0" w:space="0" w:color="auto"/>
        <w:bottom w:val="none" w:sz="0" w:space="0" w:color="auto"/>
        <w:right w:val="none" w:sz="0" w:space="0" w:color="auto"/>
      </w:divBdr>
    </w:div>
    <w:div w:id="84805437">
      <w:bodyDiv w:val="1"/>
      <w:marLeft w:val="0"/>
      <w:marRight w:val="0"/>
      <w:marTop w:val="0"/>
      <w:marBottom w:val="0"/>
      <w:divBdr>
        <w:top w:val="none" w:sz="0" w:space="0" w:color="auto"/>
        <w:left w:val="none" w:sz="0" w:space="0" w:color="auto"/>
        <w:bottom w:val="none" w:sz="0" w:space="0" w:color="auto"/>
        <w:right w:val="none" w:sz="0" w:space="0" w:color="auto"/>
      </w:divBdr>
    </w:div>
    <w:div w:id="131531670">
      <w:bodyDiv w:val="1"/>
      <w:marLeft w:val="0"/>
      <w:marRight w:val="0"/>
      <w:marTop w:val="0"/>
      <w:marBottom w:val="0"/>
      <w:divBdr>
        <w:top w:val="none" w:sz="0" w:space="0" w:color="auto"/>
        <w:left w:val="none" w:sz="0" w:space="0" w:color="auto"/>
        <w:bottom w:val="none" w:sz="0" w:space="0" w:color="auto"/>
        <w:right w:val="none" w:sz="0" w:space="0" w:color="auto"/>
      </w:divBdr>
    </w:div>
    <w:div w:id="247274612">
      <w:bodyDiv w:val="1"/>
      <w:marLeft w:val="0"/>
      <w:marRight w:val="0"/>
      <w:marTop w:val="0"/>
      <w:marBottom w:val="0"/>
      <w:divBdr>
        <w:top w:val="none" w:sz="0" w:space="0" w:color="auto"/>
        <w:left w:val="none" w:sz="0" w:space="0" w:color="auto"/>
        <w:bottom w:val="none" w:sz="0" w:space="0" w:color="auto"/>
        <w:right w:val="none" w:sz="0" w:space="0" w:color="auto"/>
      </w:divBdr>
    </w:div>
    <w:div w:id="296842807">
      <w:bodyDiv w:val="1"/>
      <w:marLeft w:val="0"/>
      <w:marRight w:val="0"/>
      <w:marTop w:val="0"/>
      <w:marBottom w:val="0"/>
      <w:divBdr>
        <w:top w:val="none" w:sz="0" w:space="0" w:color="auto"/>
        <w:left w:val="none" w:sz="0" w:space="0" w:color="auto"/>
        <w:bottom w:val="none" w:sz="0" w:space="0" w:color="auto"/>
        <w:right w:val="none" w:sz="0" w:space="0" w:color="auto"/>
      </w:divBdr>
    </w:div>
    <w:div w:id="394939269">
      <w:bodyDiv w:val="1"/>
      <w:marLeft w:val="0"/>
      <w:marRight w:val="0"/>
      <w:marTop w:val="0"/>
      <w:marBottom w:val="0"/>
      <w:divBdr>
        <w:top w:val="none" w:sz="0" w:space="0" w:color="auto"/>
        <w:left w:val="none" w:sz="0" w:space="0" w:color="auto"/>
        <w:bottom w:val="none" w:sz="0" w:space="0" w:color="auto"/>
        <w:right w:val="none" w:sz="0" w:space="0" w:color="auto"/>
      </w:divBdr>
    </w:div>
    <w:div w:id="421997119">
      <w:bodyDiv w:val="1"/>
      <w:marLeft w:val="0"/>
      <w:marRight w:val="0"/>
      <w:marTop w:val="0"/>
      <w:marBottom w:val="0"/>
      <w:divBdr>
        <w:top w:val="none" w:sz="0" w:space="0" w:color="auto"/>
        <w:left w:val="none" w:sz="0" w:space="0" w:color="auto"/>
        <w:bottom w:val="none" w:sz="0" w:space="0" w:color="auto"/>
        <w:right w:val="none" w:sz="0" w:space="0" w:color="auto"/>
      </w:divBdr>
    </w:div>
    <w:div w:id="587347179">
      <w:bodyDiv w:val="1"/>
      <w:marLeft w:val="0"/>
      <w:marRight w:val="0"/>
      <w:marTop w:val="0"/>
      <w:marBottom w:val="0"/>
      <w:divBdr>
        <w:top w:val="none" w:sz="0" w:space="0" w:color="auto"/>
        <w:left w:val="none" w:sz="0" w:space="0" w:color="auto"/>
        <w:bottom w:val="none" w:sz="0" w:space="0" w:color="auto"/>
        <w:right w:val="none" w:sz="0" w:space="0" w:color="auto"/>
      </w:divBdr>
    </w:div>
    <w:div w:id="698897913">
      <w:bodyDiv w:val="1"/>
      <w:marLeft w:val="0"/>
      <w:marRight w:val="0"/>
      <w:marTop w:val="0"/>
      <w:marBottom w:val="0"/>
      <w:divBdr>
        <w:top w:val="none" w:sz="0" w:space="0" w:color="auto"/>
        <w:left w:val="none" w:sz="0" w:space="0" w:color="auto"/>
        <w:bottom w:val="none" w:sz="0" w:space="0" w:color="auto"/>
        <w:right w:val="none" w:sz="0" w:space="0" w:color="auto"/>
      </w:divBdr>
    </w:div>
    <w:div w:id="1092386456">
      <w:bodyDiv w:val="1"/>
      <w:marLeft w:val="0"/>
      <w:marRight w:val="0"/>
      <w:marTop w:val="0"/>
      <w:marBottom w:val="0"/>
      <w:divBdr>
        <w:top w:val="none" w:sz="0" w:space="0" w:color="auto"/>
        <w:left w:val="none" w:sz="0" w:space="0" w:color="auto"/>
        <w:bottom w:val="none" w:sz="0" w:space="0" w:color="auto"/>
        <w:right w:val="none" w:sz="0" w:space="0" w:color="auto"/>
      </w:divBdr>
    </w:div>
    <w:div w:id="1194415637">
      <w:bodyDiv w:val="1"/>
      <w:marLeft w:val="0"/>
      <w:marRight w:val="0"/>
      <w:marTop w:val="0"/>
      <w:marBottom w:val="0"/>
      <w:divBdr>
        <w:top w:val="none" w:sz="0" w:space="0" w:color="auto"/>
        <w:left w:val="none" w:sz="0" w:space="0" w:color="auto"/>
        <w:bottom w:val="none" w:sz="0" w:space="0" w:color="auto"/>
        <w:right w:val="none" w:sz="0" w:space="0" w:color="auto"/>
      </w:divBdr>
    </w:div>
    <w:div w:id="1549533830">
      <w:bodyDiv w:val="1"/>
      <w:marLeft w:val="0"/>
      <w:marRight w:val="0"/>
      <w:marTop w:val="0"/>
      <w:marBottom w:val="0"/>
      <w:divBdr>
        <w:top w:val="none" w:sz="0" w:space="0" w:color="auto"/>
        <w:left w:val="none" w:sz="0" w:space="0" w:color="auto"/>
        <w:bottom w:val="none" w:sz="0" w:space="0" w:color="auto"/>
        <w:right w:val="none" w:sz="0" w:space="0" w:color="auto"/>
      </w:divBdr>
    </w:div>
    <w:div w:id="1680040281">
      <w:bodyDiv w:val="1"/>
      <w:marLeft w:val="0"/>
      <w:marRight w:val="0"/>
      <w:marTop w:val="0"/>
      <w:marBottom w:val="0"/>
      <w:divBdr>
        <w:top w:val="none" w:sz="0" w:space="0" w:color="auto"/>
        <w:left w:val="none" w:sz="0" w:space="0" w:color="auto"/>
        <w:bottom w:val="none" w:sz="0" w:space="0" w:color="auto"/>
        <w:right w:val="none" w:sz="0" w:space="0" w:color="auto"/>
      </w:divBdr>
    </w:div>
    <w:div w:id="1765571131">
      <w:bodyDiv w:val="1"/>
      <w:marLeft w:val="0"/>
      <w:marRight w:val="0"/>
      <w:marTop w:val="0"/>
      <w:marBottom w:val="0"/>
      <w:divBdr>
        <w:top w:val="none" w:sz="0" w:space="0" w:color="auto"/>
        <w:left w:val="none" w:sz="0" w:space="0" w:color="auto"/>
        <w:bottom w:val="none" w:sz="0" w:space="0" w:color="auto"/>
        <w:right w:val="none" w:sz="0" w:space="0" w:color="auto"/>
      </w:divBdr>
    </w:div>
    <w:div w:id="1812362109">
      <w:bodyDiv w:val="1"/>
      <w:marLeft w:val="0"/>
      <w:marRight w:val="0"/>
      <w:marTop w:val="0"/>
      <w:marBottom w:val="0"/>
      <w:divBdr>
        <w:top w:val="none" w:sz="0" w:space="0" w:color="auto"/>
        <w:left w:val="none" w:sz="0" w:space="0" w:color="auto"/>
        <w:bottom w:val="none" w:sz="0" w:space="0" w:color="auto"/>
        <w:right w:val="none" w:sz="0" w:space="0" w:color="auto"/>
      </w:divBdr>
    </w:div>
    <w:div w:id="1928879759">
      <w:bodyDiv w:val="1"/>
      <w:marLeft w:val="0"/>
      <w:marRight w:val="0"/>
      <w:marTop w:val="0"/>
      <w:marBottom w:val="0"/>
      <w:divBdr>
        <w:top w:val="none" w:sz="0" w:space="0" w:color="auto"/>
        <w:left w:val="none" w:sz="0" w:space="0" w:color="auto"/>
        <w:bottom w:val="none" w:sz="0" w:space="0" w:color="auto"/>
        <w:right w:val="none" w:sz="0" w:space="0" w:color="auto"/>
      </w:divBdr>
    </w:div>
    <w:div w:id="1937130400">
      <w:bodyDiv w:val="1"/>
      <w:marLeft w:val="0"/>
      <w:marRight w:val="0"/>
      <w:marTop w:val="0"/>
      <w:marBottom w:val="0"/>
      <w:divBdr>
        <w:top w:val="none" w:sz="0" w:space="0" w:color="auto"/>
        <w:left w:val="none" w:sz="0" w:space="0" w:color="auto"/>
        <w:bottom w:val="none" w:sz="0" w:space="0" w:color="auto"/>
        <w:right w:val="none" w:sz="0" w:space="0" w:color="auto"/>
      </w:divBdr>
    </w:div>
    <w:div w:id="1970547848">
      <w:bodyDiv w:val="1"/>
      <w:marLeft w:val="0"/>
      <w:marRight w:val="0"/>
      <w:marTop w:val="0"/>
      <w:marBottom w:val="0"/>
      <w:divBdr>
        <w:top w:val="none" w:sz="0" w:space="0" w:color="auto"/>
        <w:left w:val="none" w:sz="0" w:space="0" w:color="auto"/>
        <w:bottom w:val="none" w:sz="0" w:space="0" w:color="auto"/>
        <w:right w:val="none" w:sz="0" w:space="0" w:color="auto"/>
      </w:divBdr>
    </w:div>
    <w:div w:id="200870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agric.wa.gov.au/r4r/digital-farm-grants-program"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www.communications.gov.au/mbsp"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telstra.com.au/business-enterprise/solutions/internet-of-things/iot-coverag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yperlink" Target="https://www.agric.wa.gov.au/sites/gateway/files/Digital%20Farm%20Grants%20Program%20Map%201%20A3_20200723.pdf"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telstra.com.au/business-enterprise/solutions/internet-of-things/iot-coverage" TargetMode="External"/><Relationship Id="rId27" Type="http://schemas.openxmlformats.org/officeDocument/2006/relationships/image" Target="media/image12.emf"/><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hyperlink" Target="http://www.infrastructure.gov.a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hyperlink" Target="http://www.infrastructure.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miot.com.au/support/telstra-bridge/" TargetMode="External"/><Relationship Id="rId2" Type="http://schemas.openxmlformats.org/officeDocument/2006/relationships/hyperlink" Target="https://www.nbnco.com.au/learn/network-technology/fixed-wireless-explained" TargetMode="External"/><Relationship Id="rId1" Type="http://schemas.openxmlformats.org/officeDocument/2006/relationships/hyperlink" Target="https://www.agric.wa.gov.au/grains-research-development/western-australian-grains-indust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DEPT\department--report--accessible--6may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2546950A-2713-452B-9452-7724CAA689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BDF9F0485B8D1443A35CCB2766B6C955" ma:contentTypeVersion="" ma:contentTypeDescription="PDMS Document Site Content Type" ma:contentTypeScope="" ma:versionID="8601d3826ee7661c91114e59cc53a52e">
  <xsd:schema xmlns:xsd="http://www.w3.org/2001/XMLSchema" xmlns:xs="http://www.w3.org/2001/XMLSchema" xmlns:p="http://schemas.microsoft.com/office/2006/metadata/properties" xmlns:ns2="2546950A-2713-452B-9452-7724CAA6899E" targetNamespace="http://schemas.microsoft.com/office/2006/metadata/properties" ma:root="true" ma:fieldsID="e4d17fd5bd95c6d72849009bf76b6949" ns2:_="">
    <xsd:import namespace="2546950A-2713-452B-9452-7724CAA6899E"/>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46950A-2713-452B-9452-7724CAA6899E"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501ED-0506-48F3-BAB9-D157F06D1708}">
  <ds:schemaRefs>
    <ds:schemaRef ds:uri="http://schemas.microsoft.com/sharepoint/v3/contenttype/forms"/>
  </ds:schemaRefs>
</ds:datastoreItem>
</file>

<file path=customXml/itemProps2.xml><?xml version="1.0" encoding="utf-8"?>
<ds:datastoreItem xmlns:ds="http://schemas.openxmlformats.org/officeDocument/2006/customXml" ds:itemID="{06E9CA54-A9CE-43E1-A01B-B57775693887}">
  <ds:schemaRefs>
    <ds:schemaRef ds:uri="http://schemas.microsoft.com/office/2006/metadata/properties"/>
    <ds:schemaRef ds:uri="2546950A-2713-452B-9452-7724CAA6899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E1CE3B3C-2C88-436A-BAED-1C1564870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46950A-2713-452B-9452-7724CAA68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94E45C-7746-4B70-9BF8-DDF46853C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department--report--accessible--6may2020.dotx</Template>
  <TotalTime>0</TotalTime>
  <Pages>24</Pages>
  <Words>7387</Words>
  <Characters>42106</Characters>
  <Application>Microsoft Office Word</Application>
  <DocSecurity>4</DocSecurity>
  <Lines>350</Lines>
  <Paragraphs>98</Paragraphs>
  <ScaleCrop>false</ScaleCrop>
  <HeadingPairs>
    <vt:vector size="2" baseType="variant">
      <vt:variant>
        <vt:lpstr>Title</vt:lpstr>
      </vt:variant>
      <vt:variant>
        <vt:i4>1</vt:i4>
      </vt:variant>
    </vt:vector>
  </HeadingPairs>
  <TitlesOfParts>
    <vt:vector size="1" baseType="lpstr">
      <vt:lpstr>Improved Connectivity in the WA Grainbelt Commonwealth Feasibility Study</vt:lpstr>
    </vt:vector>
  </TitlesOfParts>
  <Company>Department of Infrastructure, Transport, Regional Development and Communications</Company>
  <LinksUpToDate>false</LinksUpToDate>
  <CharactersWithSpaces>49395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Improved Connectivity in the WA Grainbelt Commonwealth Feasibility Study</dc:title>
  <dc:subject/>
  <dc:creator>Department of Infrastructure, Transport, Regional Development and Communications</dc:creator>
  <cp:keywords/>
  <dc:description>6 May 2020</dc:description>
  <cp:lastModifiedBy>Hall, Theresa</cp:lastModifiedBy>
  <cp:revision>2</cp:revision>
  <cp:lastPrinted>2020-11-30T07:38:00Z</cp:lastPrinted>
  <dcterms:created xsi:type="dcterms:W3CDTF">2020-12-14T06:06:00Z</dcterms:created>
  <dcterms:modified xsi:type="dcterms:W3CDTF">2020-12-14T06:06:00Z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0x010100266966F133664895A6EE3632470D45F500BDF9F0485B8D1443A35CCB2766B6C955</vt:lpwstr>
  </property>
  <property fmtid="{D5CDD505-2E9C-101B-9397-08002B2CF9AE}" pid="3" name="TrimRevisionNumber">
    <vt:i4>64</vt:i4>
  </property>
</Properties>
</file>