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2BAC5" w14:textId="77777777" w:rsidR="00567FAF" w:rsidRDefault="00297528" w:rsidP="00763EAB">
      <w:pPr>
        <w:keepLines/>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47A4408E" wp14:editId="034D6BB2">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BB3DDB3" w14:textId="5603034D" w:rsidR="00A7176A" w:rsidRDefault="00027088" w:rsidP="00763EAB">
      <w:pPr>
        <w:pStyle w:val="Heading1"/>
        <w:keepLines/>
      </w:pPr>
      <w:r>
        <w:t>Funding of telecommunications consumer representation grants</w:t>
      </w:r>
    </w:p>
    <w:p w14:paraId="4E4CF677" w14:textId="7A8EC48E" w:rsidR="00A7176A" w:rsidRPr="005621D9" w:rsidRDefault="00027088" w:rsidP="00763EAB">
      <w:pPr>
        <w:pStyle w:val="subtitleofdocument"/>
        <w:keepLines/>
      </w:pPr>
      <w:r>
        <w:t xml:space="preserve">Annual Report </w:t>
      </w:r>
      <w:r w:rsidR="009E7989">
        <w:t>2016–17</w:t>
      </w:r>
    </w:p>
    <w:p w14:paraId="79981648" w14:textId="691B35F2" w:rsidR="00A7176A" w:rsidRDefault="00763EAB" w:rsidP="00763EAB">
      <w:pPr>
        <w:pStyle w:val="Normal-monthyearforcoverpage"/>
        <w:keepLines/>
      </w:pPr>
      <w:r w:rsidRPr="00763EAB">
        <w:t>November</w:t>
      </w:r>
      <w:r w:rsidR="00C53C30" w:rsidRPr="00763EAB">
        <w:t xml:space="preserve"> </w:t>
      </w:r>
      <w:r w:rsidR="00027088" w:rsidRPr="00763EAB">
        <w:t>2017</w:t>
      </w:r>
    </w:p>
    <w:p w14:paraId="5A9BCD4D" w14:textId="77777777" w:rsidR="00A7176A" w:rsidRDefault="00A7176A" w:rsidP="00763EAB">
      <w:pPr>
        <w:keepLines/>
      </w:pPr>
      <w:r>
        <w:lastRenderedPageBreak/>
        <w:br w:type="page"/>
      </w:r>
    </w:p>
    <w:p w14:paraId="261FFAA3" w14:textId="77777777" w:rsidR="00C53C30" w:rsidRPr="0009516A" w:rsidRDefault="00C53C30" w:rsidP="00763EAB">
      <w:pPr>
        <w:pStyle w:val="Heading2-notshowingincontentsindocument"/>
        <w:keepLines/>
      </w:pPr>
      <w:r>
        <w:lastRenderedPageBreak/>
        <w:t>Disclaimer</w:t>
      </w:r>
    </w:p>
    <w:p w14:paraId="33DEF5C4" w14:textId="77777777" w:rsidR="00C53C30" w:rsidRPr="006628F3" w:rsidRDefault="00C53C30" w:rsidP="00763EAB">
      <w:pPr>
        <w:keepLines/>
      </w:pPr>
      <w:r w:rsidRPr="006628F3">
        <w:t xml:space="preserve">The material in this </w:t>
      </w:r>
      <w:r w:rsidR="00027088">
        <w:t>report</w:t>
      </w:r>
      <w:r w:rsidRPr="006628F3">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0B871CAC" w14:textId="77777777" w:rsidR="00C53C30" w:rsidRPr="006628F3" w:rsidRDefault="00C53C30" w:rsidP="00763EAB">
      <w:pPr>
        <w:keepLines/>
      </w:pPr>
      <w:r w:rsidRPr="006628F3">
        <w:t xml:space="preserve">The Commonwealth accepts no responsibility or liability for any damage, loss or expense incurred as a result of the reliance on information contained in this </w:t>
      </w:r>
      <w:r w:rsidR="00027088">
        <w:t>report</w:t>
      </w:r>
      <w:r w:rsidRPr="006628F3">
        <w:t>.</w:t>
      </w:r>
    </w:p>
    <w:p w14:paraId="5963BC5D" w14:textId="77777777" w:rsidR="00C53C30" w:rsidRDefault="00C53C30" w:rsidP="00763EAB">
      <w:pPr>
        <w:keepLines/>
      </w:pPr>
      <w:r w:rsidRPr="006628F3">
        <w:t xml:space="preserve">This </w:t>
      </w:r>
      <w:r w:rsidR="00027088">
        <w:t>report</w:t>
      </w:r>
      <w:r w:rsidRPr="006628F3">
        <w:t xml:space="preserve"> has been prepared for consultation purposes only and does not indicate the Commonwealth’s commitment to a particular course of action. Additionally, any third party views or recommendations included in </w:t>
      </w:r>
      <w:r w:rsidR="00027088">
        <w:t>report</w:t>
      </w:r>
      <w:r w:rsidRPr="006628F3">
        <w:t xml:space="preserve"> do not reflect the views of the Commonwealth, or indicate its commitment to a particular course of action.</w:t>
      </w:r>
    </w:p>
    <w:p w14:paraId="623E195E" w14:textId="77777777" w:rsidR="00C53C30" w:rsidRPr="0009516A" w:rsidRDefault="00C53C30" w:rsidP="00763EAB">
      <w:pPr>
        <w:pStyle w:val="Heading2-notshowingincontentsindocument"/>
        <w:keepLines/>
      </w:pPr>
      <w:bookmarkStart w:id="0" w:name="_GoBack"/>
      <w:bookmarkEnd w:id="0"/>
      <w:r w:rsidRPr="0009516A">
        <w:t>Co</w:t>
      </w:r>
      <w:r>
        <w:t>pyright</w:t>
      </w:r>
    </w:p>
    <w:p w14:paraId="03602656" w14:textId="77777777" w:rsidR="00C53C30" w:rsidRPr="006628F3" w:rsidRDefault="00C53C30" w:rsidP="00763EAB">
      <w:pPr>
        <w:keepLines/>
      </w:pPr>
      <w:r w:rsidRPr="006628F3">
        <w:t xml:space="preserve">© Commonwealth of Australia </w:t>
      </w:r>
      <w:r w:rsidR="00027088">
        <w:t>2017</w:t>
      </w:r>
    </w:p>
    <w:p w14:paraId="1AAB5609" w14:textId="77777777" w:rsidR="00C53C30" w:rsidRPr="006628F3" w:rsidRDefault="00C53C30" w:rsidP="00763EAB">
      <w:pPr>
        <w:keepLines/>
      </w:pPr>
      <w:r w:rsidRPr="006628F3">
        <w:rPr>
          <w:noProof/>
          <w:lang w:eastAsia="en-AU"/>
        </w:rPr>
        <w:drawing>
          <wp:inline distT="0" distB="0" distL="0" distR="0" wp14:anchorId="4C29328D" wp14:editId="63852F7A">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Attribution—3.0 Australia license, with the exception of:</w:t>
      </w:r>
    </w:p>
    <w:p w14:paraId="3A1051DD" w14:textId="77777777" w:rsidR="00C53C30" w:rsidRPr="006628F3" w:rsidRDefault="00C53C30" w:rsidP="00763EAB">
      <w:pPr>
        <w:pStyle w:val="Bulletlevel1"/>
        <w:keepLines/>
      </w:pPr>
      <w:r>
        <w:t>the Commonwealth Coat of Arms</w:t>
      </w:r>
    </w:p>
    <w:p w14:paraId="1F2166C6" w14:textId="77777777" w:rsidR="00C53C30" w:rsidRPr="006628F3" w:rsidRDefault="00C53C30" w:rsidP="00763EAB">
      <w:pPr>
        <w:pStyle w:val="Bulletlevel1"/>
        <w:keepLines/>
      </w:pPr>
      <w:r w:rsidRPr="006628F3">
        <w:t>this Department’s logo</w:t>
      </w:r>
    </w:p>
    <w:p w14:paraId="5F708B73" w14:textId="77777777" w:rsidR="00C53C30" w:rsidRPr="006628F3" w:rsidRDefault="00C53C30" w:rsidP="00763EAB">
      <w:pPr>
        <w:pStyle w:val="Bulletlevel1"/>
        <w:keepLines/>
      </w:pPr>
      <w:r w:rsidRPr="006628F3">
        <w:t>any third party material</w:t>
      </w:r>
    </w:p>
    <w:p w14:paraId="7BA2AC97" w14:textId="77777777" w:rsidR="00C53C30" w:rsidRPr="006628F3" w:rsidRDefault="00C53C30" w:rsidP="00763EAB">
      <w:pPr>
        <w:pStyle w:val="Bulletlevel1"/>
        <w:keepLines/>
      </w:pPr>
      <w:r w:rsidRPr="006628F3">
        <w:t>any material protected by a trademark</w:t>
      </w:r>
      <w:r>
        <w:t>,</w:t>
      </w:r>
      <w:r w:rsidRPr="006628F3">
        <w:t xml:space="preserve"> and</w:t>
      </w:r>
    </w:p>
    <w:p w14:paraId="2AC419B0" w14:textId="77777777" w:rsidR="00C53C30" w:rsidRPr="006628F3" w:rsidRDefault="00C53C30" w:rsidP="00763EAB">
      <w:pPr>
        <w:pStyle w:val="Bulletlevel1"/>
        <w:keepLines/>
      </w:pPr>
      <w:r w:rsidRPr="006628F3">
        <w:t>any images and/or photographs.</w:t>
      </w:r>
    </w:p>
    <w:p w14:paraId="401A4017" w14:textId="77777777" w:rsidR="00C53C30" w:rsidRPr="006628F3" w:rsidRDefault="00C53C30" w:rsidP="00763EAB">
      <w:pPr>
        <w:keepLines/>
      </w:pPr>
      <w:r w:rsidRPr="006628F3">
        <w:lastRenderedPageBreak/>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00027088">
        <w:t>Consumer Safeguards branch</w:t>
      </w:r>
      <w:r w:rsidRPr="006628F3">
        <w:t>, Department of Communications and the Arts, GPO Box 2154, Canberra, ACT, 2601.</w:t>
      </w:r>
    </w:p>
    <w:p w14:paraId="4A199350" w14:textId="77777777" w:rsidR="00C53C30" w:rsidRPr="0009516A" w:rsidRDefault="00C53C30" w:rsidP="00763EAB">
      <w:pPr>
        <w:pStyle w:val="Heading3-notshowingincontentsindocument"/>
        <w:keepLines/>
      </w:pPr>
      <w:r w:rsidRPr="0009516A">
        <w:t>Attribution</w:t>
      </w:r>
    </w:p>
    <w:p w14:paraId="52353F8D" w14:textId="77777777" w:rsidR="00C53C30" w:rsidRPr="006628F3" w:rsidRDefault="00C53C30" w:rsidP="00763EAB">
      <w:pPr>
        <w:keepLines/>
      </w:pPr>
      <w:r w:rsidRPr="006628F3">
        <w:t xml:space="preserve">Use of all or part of this </w:t>
      </w:r>
      <w:r w:rsidR="00027088">
        <w:t>report</w:t>
      </w:r>
      <w:r w:rsidRPr="006628F3">
        <w:t xml:space="preserve"> must include the following attribution:</w:t>
      </w:r>
    </w:p>
    <w:p w14:paraId="5FD3D5BE" w14:textId="77777777" w:rsidR="00C53C30" w:rsidRDefault="00C53C30" w:rsidP="00763EAB">
      <w:pPr>
        <w:keepLines/>
        <w:ind w:left="567"/>
      </w:pPr>
      <w:r w:rsidRPr="006628F3">
        <w:t xml:space="preserve">© Commonwealth of Australia </w:t>
      </w:r>
      <w:r w:rsidR="00027088">
        <w:t>2017</w:t>
      </w:r>
    </w:p>
    <w:p w14:paraId="5CBBCBD7" w14:textId="77777777" w:rsidR="00C53C30" w:rsidRPr="0009516A" w:rsidRDefault="00C53C30" w:rsidP="00763EAB">
      <w:pPr>
        <w:pStyle w:val="Heading3-notshowingincontentsindocument"/>
        <w:keepLines/>
      </w:pPr>
      <w:bookmarkStart w:id="1" w:name="_Toc356292524"/>
      <w:r w:rsidRPr="0009516A">
        <w:t>Using the Commonwealth Coat of Arms</w:t>
      </w:r>
      <w:bookmarkEnd w:id="1"/>
    </w:p>
    <w:p w14:paraId="2B87CD93" w14:textId="77777777" w:rsidR="00C53C30" w:rsidRPr="006628F3" w:rsidRDefault="00C53C30" w:rsidP="00763EAB">
      <w:pPr>
        <w:keepLines/>
      </w:pPr>
      <w:bookmarkStart w:id="2" w:name="_Toc356292525"/>
      <w:r w:rsidRPr="006628F3">
        <w:t xml:space="preserve">The terms of use for the Coat of Arms are available from the It’s an Honour website (see </w:t>
      </w:r>
      <w:bookmarkEnd w:id="2"/>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13E64B69" w14:textId="77777777" w:rsidR="00A7176A" w:rsidRDefault="00A7176A" w:rsidP="00763EAB">
      <w:pPr>
        <w:keepLines/>
      </w:pPr>
      <w:r>
        <w:br w:type="page"/>
      </w:r>
    </w:p>
    <w:p w14:paraId="04E7A7CE" w14:textId="77777777" w:rsidR="00A7176A" w:rsidRPr="0009516A" w:rsidRDefault="00A7176A" w:rsidP="00763EAB">
      <w:pPr>
        <w:pStyle w:val="Heading2-notshowingincontentsindocument"/>
        <w:keepLines/>
      </w:pPr>
      <w:r w:rsidRPr="0009516A">
        <w:lastRenderedPageBreak/>
        <w:t>Contents</w:t>
      </w:r>
    </w:p>
    <w:p w14:paraId="78FA3498" w14:textId="77777777" w:rsidR="009E7989"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500146083" w:history="1">
        <w:r w:rsidR="009E7989" w:rsidRPr="001D1913">
          <w:rPr>
            <w:rStyle w:val="Hyperlink"/>
            <w:noProof/>
          </w:rPr>
          <w:t xml:space="preserve">Purpose of Section 593 of </w:t>
        </w:r>
        <w:r w:rsidR="009E7989" w:rsidRPr="001D1913">
          <w:rPr>
            <w:rStyle w:val="Hyperlink"/>
            <w:i/>
            <w:noProof/>
          </w:rPr>
          <w:t>Telecommunications Act 1997</w:t>
        </w:r>
        <w:r w:rsidR="009E7989">
          <w:rPr>
            <w:noProof/>
            <w:webHidden/>
          </w:rPr>
          <w:tab/>
        </w:r>
        <w:r w:rsidR="009E7989">
          <w:rPr>
            <w:noProof/>
            <w:webHidden/>
          </w:rPr>
          <w:fldChar w:fldCharType="begin"/>
        </w:r>
        <w:r w:rsidR="009E7989">
          <w:rPr>
            <w:noProof/>
            <w:webHidden/>
          </w:rPr>
          <w:instrText xml:space="preserve"> PAGEREF _Toc500146083 \h </w:instrText>
        </w:r>
        <w:r w:rsidR="009E7989">
          <w:rPr>
            <w:noProof/>
            <w:webHidden/>
          </w:rPr>
        </w:r>
        <w:r w:rsidR="009E7989">
          <w:rPr>
            <w:noProof/>
            <w:webHidden/>
          </w:rPr>
          <w:fldChar w:fldCharType="separate"/>
        </w:r>
        <w:r w:rsidR="009E7989">
          <w:rPr>
            <w:noProof/>
            <w:webHidden/>
          </w:rPr>
          <w:t>4</w:t>
        </w:r>
        <w:r w:rsidR="009E7989">
          <w:rPr>
            <w:noProof/>
            <w:webHidden/>
          </w:rPr>
          <w:fldChar w:fldCharType="end"/>
        </w:r>
      </w:hyperlink>
    </w:p>
    <w:p w14:paraId="31C0B0D1" w14:textId="77777777" w:rsidR="009E7989" w:rsidRDefault="009E7989">
      <w:pPr>
        <w:pStyle w:val="TOC1"/>
        <w:tabs>
          <w:tab w:val="right" w:leader="dot" w:pos="9323"/>
        </w:tabs>
        <w:rPr>
          <w:rFonts w:eastAsiaTheme="minorEastAsia"/>
          <w:b w:val="0"/>
          <w:noProof/>
          <w:color w:val="auto"/>
          <w:sz w:val="22"/>
          <w:lang w:eastAsia="en-AU"/>
        </w:rPr>
      </w:pPr>
      <w:hyperlink w:anchor="_Toc500146084" w:history="1">
        <w:r w:rsidRPr="001D1913">
          <w:rPr>
            <w:rStyle w:val="Hyperlink"/>
            <w:noProof/>
          </w:rPr>
          <w:t>Funding Provided for 2016–17</w:t>
        </w:r>
        <w:r>
          <w:rPr>
            <w:noProof/>
            <w:webHidden/>
          </w:rPr>
          <w:tab/>
        </w:r>
        <w:r>
          <w:rPr>
            <w:noProof/>
            <w:webHidden/>
          </w:rPr>
          <w:fldChar w:fldCharType="begin"/>
        </w:r>
        <w:r>
          <w:rPr>
            <w:noProof/>
            <w:webHidden/>
          </w:rPr>
          <w:instrText xml:space="preserve"> PAGEREF _Toc500146084 \h </w:instrText>
        </w:r>
        <w:r>
          <w:rPr>
            <w:noProof/>
            <w:webHidden/>
          </w:rPr>
        </w:r>
        <w:r>
          <w:rPr>
            <w:noProof/>
            <w:webHidden/>
          </w:rPr>
          <w:fldChar w:fldCharType="separate"/>
        </w:r>
        <w:r>
          <w:rPr>
            <w:noProof/>
            <w:webHidden/>
          </w:rPr>
          <w:t>4</w:t>
        </w:r>
        <w:r>
          <w:rPr>
            <w:noProof/>
            <w:webHidden/>
          </w:rPr>
          <w:fldChar w:fldCharType="end"/>
        </w:r>
      </w:hyperlink>
    </w:p>
    <w:p w14:paraId="484C16AB" w14:textId="77777777" w:rsidR="009E7989" w:rsidRDefault="009E7989">
      <w:pPr>
        <w:pStyle w:val="TOC1"/>
        <w:tabs>
          <w:tab w:val="right" w:leader="dot" w:pos="9323"/>
        </w:tabs>
        <w:rPr>
          <w:rFonts w:eastAsiaTheme="minorEastAsia"/>
          <w:b w:val="0"/>
          <w:noProof/>
          <w:color w:val="auto"/>
          <w:sz w:val="22"/>
          <w:lang w:eastAsia="en-AU"/>
        </w:rPr>
      </w:pPr>
      <w:hyperlink w:anchor="_Toc500146085" w:history="1">
        <w:r w:rsidRPr="001D1913">
          <w:rPr>
            <w:rStyle w:val="Hyperlink"/>
            <w:noProof/>
          </w:rPr>
          <w:t>Assessment of ACCAN’s General Performance</w:t>
        </w:r>
        <w:r>
          <w:rPr>
            <w:noProof/>
            <w:webHidden/>
          </w:rPr>
          <w:tab/>
        </w:r>
        <w:r>
          <w:rPr>
            <w:noProof/>
            <w:webHidden/>
          </w:rPr>
          <w:fldChar w:fldCharType="begin"/>
        </w:r>
        <w:r>
          <w:rPr>
            <w:noProof/>
            <w:webHidden/>
          </w:rPr>
          <w:instrText xml:space="preserve"> PAGEREF _Toc500146085 \h </w:instrText>
        </w:r>
        <w:r>
          <w:rPr>
            <w:noProof/>
            <w:webHidden/>
          </w:rPr>
        </w:r>
        <w:r>
          <w:rPr>
            <w:noProof/>
            <w:webHidden/>
          </w:rPr>
          <w:fldChar w:fldCharType="separate"/>
        </w:r>
        <w:r>
          <w:rPr>
            <w:noProof/>
            <w:webHidden/>
          </w:rPr>
          <w:t>4</w:t>
        </w:r>
        <w:r>
          <w:rPr>
            <w:noProof/>
            <w:webHidden/>
          </w:rPr>
          <w:fldChar w:fldCharType="end"/>
        </w:r>
      </w:hyperlink>
    </w:p>
    <w:p w14:paraId="2A0E88AC" w14:textId="77777777" w:rsidR="009E7989" w:rsidRDefault="009E7989">
      <w:pPr>
        <w:pStyle w:val="TOC1"/>
        <w:tabs>
          <w:tab w:val="right" w:leader="dot" w:pos="9323"/>
        </w:tabs>
        <w:rPr>
          <w:rFonts w:eastAsiaTheme="minorEastAsia"/>
          <w:b w:val="0"/>
          <w:noProof/>
          <w:color w:val="auto"/>
          <w:sz w:val="22"/>
          <w:lang w:eastAsia="en-AU"/>
        </w:rPr>
      </w:pPr>
      <w:hyperlink w:anchor="_Toc500146086" w:history="1">
        <w:r w:rsidRPr="001D1913">
          <w:rPr>
            <w:rStyle w:val="Hyperlink"/>
            <w:noProof/>
          </w:rPr>
          <w:t>Independent Grants Program</w:t>
        </w:r>
        <w:r>
          <w:rPr>
            <w:noProof/>
            <w:webHidden/>
          </w:rPr>
          <w:tab/>
        </w:r>
        <w:r>
          <w:rPr>
            <w:noProof/>
            <w:webHidden/>
          </w:rPr>
          <w:fldChar w:fldCharType="begin"/>
        </w:r>
        <w:r>
          <w:rPr>
            <w:noProof/>
            <w:webHidden/>
          </w:rPr>
          <w:instrText xml:space="preserve"> PAGEREF _Toc500146086 \h </w:instrText>
        </w:r>
        <w:r>
          <w:rPr>
            <w:noProof/>
            <w:webHidden/>
          </w:rPr>
        </w:r>
        <w:r>
          <w:rPr>
            <w:noProof/>
            <w:webHidden/>
          </w:rPr>
          <w:fldChar w:fldCharType="separate"/>
        </w:r>
        <w:r>
          <w:rPr>
            <w:noProof/>
            <w:webHidden/>
          </w:rPr>
          <w:t>5</w:t>
        </w:r>
        <w:r>
          <w:rPr>
            <w:noProof/>
            <w:webHidden/>
          </w:rPr>
          <w:fldChar w:fldCharType="end"/>
        </w:r>
      </w:hyperlink>
    </w:p>
    <w:p w14:paraId="0A9DED34" w14:textId="77777777" w:rsidR="009E7989" w:rsidRDefault="009E7989">
      <w:pPr>
        <w:pStyle w:val="TOC1"/>
        <w:tabs>
          <w:tab w:val="right" w:leader="dot" w:pos="9323"/>
        </w:tabs>
        <w:rPr>
          <w:rFonts w:eastAsiaTheme="minorEastAsia"/>
          <w:b w:val="0"/>
          <w:noProof/>
          <w:color w:val="auto"/>
          <w:sz w:val="22"/>
          <w:lang w:eastAsia="en-AU"/>
        </w:rPr>
      </w:pPr>
      <w:hyperlink w:anchor="_Toc500146087" w:history="1">
        <w:r w:rsidRPr="001D1913">
          <w:rPr>
            <w:rStyle w:val="Hyperlink"/>
            <w:noProof/>
          </w:rPr>
          <w:t>Financial Accounts</w:t>
        </w:r>
        <w:r>
          <w:rPr>
            <w:noProof/>
            <w:webHidden/>
          </w:rPr>
          <w:tab/>
        </w:r>
        <w:r>
          <w:rPr>
            <w:noProof/>
            <w:webHidden/>
          </w:rPr>
          <w:fldChar w:fldCharType="begin"/>
        </w:r>
        <w:r>
          <w:rPr>
            <w:noProof/>
            <w:webHidden/>
          </w:rPr>
          <w:instrText xml:space="preserve"> PAGEREF _Toc500146087 \h </w:instrText>
        </w:r>
        <w:r>
          <w:rPr>
            <w:noProof/>
            <w:webHidden/>
          </w:rPr>
        </w:r>
        <w:r>
          <w:rPr>
            <w:noProof/>
            <w:webHidden/>
          </w:rPr>
          <w:fldChar w:fldCharType="separate"/>
        </w:r>
        <w:r>
          <w:rPr>
            <w:noProof/>
            <w:webHidden/>
          </w:rPr>
          <w:t>6</w:t>
        </w:r>
        <w:r>
          <w:rPr>
            <w:noProof/>
            <w:webHidden/>
          </w:rPr>
          <w:fldChar w:fldCharType="end"/>
        </w:r>
      </w:hyperlink>
    </w:p>
    <w:p w14:paraId="7ED5619B" w14:textId="77777777" w:rsidR="00A7176A" w:rsidRDefault="00540B2F" w:rsidP="00763EAB">
      <w:pPr>
        <w:keepLines/>
      </w:pPr>
      <w:r>
        <w:rPr>
          <w:b/>
          <w:color w:val="07478C"/>
          <w:sz w:val="24"/>
        </w:rPr>
        <w:fldChar w:fldCharType="end"/>
      </w:r>
    </w:p>
    <w:p w14:paraId="5B0E69A6" w14:textId="77777777" w:rsidR="00A7176A" w:rsidRDefault="00A7176A" w:rsidP="00763EAB">
      <w:pPr>
        <w:keepLines/>
      </w:pPr>
      <w:r>
        <w:br w:type="page"/>
      </w:r>
    </w:p>
    <w:p w14:paraId="52F7E656" w14:textId="77777777" w:rsidR="00C53C30" w:rsidRDefault="00027088" w:rsidP="00763EAB">
      <w:pPr>
        <w:pStyle w:val="Heading2"/>
        <w:keepLines/>
      </w:pPr>
      <w:bookmarkStart w:id="3" w:name="_Toc500146083"/>
      <w:r>
        <w:lastRenderedPageBreak/>
        <w:t xml:space="preserve">Purpose of Section 593 of </w:t>
      </w:r>
      <w:r w:rsidR="00E44CA1" w:rsidRPr="009E7989">
        <w:rPr>
          <w:i/>
        </w:rPr>
        <w:t>Telecommunications</w:t>
      </w:r>
      <w:r w:rsidRPr="009E7989">
        <w:rPr>
          <w:i/>
        </w:rPr>
        <w:t xml:space="preserve"> Act 1997</w:t>
      </w:r>
      <w:bookmarkEnd w:id="3"/>
    </w:p>
    <w:p w14:paraId="0B4C53B4" w14:textId="77777777" w:rsidR="00E44CA1" w:rsidRPr="00E44CA1" w:rsidRDefault="00E44CA1" w:rsidP="00763EAB">
      <w:pPr>
        <w:keepLines/>
        <w:tabs>
          <w:tab w:val="left" w:pos="720"/>
          <w:tab w:val="center" w:pos="4153"/>
          <w:tab w:val="right" w:pos="8306"/>
        </w:tabs>
        <w:spacing w:after="120"/>
      </w:pPr>
      <w:r w:rsidRPr="00E44CA1">
        <w:t xml:space="preserve">Section 593 of the </w:t>
      </w:r>
      <w:r w:rsidRPr="00E44CA1">
        <w:rPr>
          <w:i/>
        </w:rPr>
        <w:t>Telecommunications Act 1997</w:t>
      </w:r>
      <w:r w:rsidRPr="00E44CA1">
        <w:t xml:space="preserve"> </w:t>
      </w:r>
      <w:r w:rsidRPr="00E44CA1">
        <w:rPr>
          <w:rFonts w:eastAsia="Calibri"/>
        </w:rPr>
        <w:t xml:space="preserve">(Telco Act) </w:t>
      </w:r>
      <w:r w:rsidRPr="00E44CA1">
        <w:t>provides for the Minister for Communications (Minister) to make grants of financial assistance to:</w:t>
      </w:r>
    </w:p>
    <w:p w14:paraId="0A33C76F" w14:textId="77777777" w:rsidR="00E44CA1" w:rsidRPr="00E44CA1" w:rsidRDefault="00E44CA1" w:rsidP="00763EAB">
      <w:pPr>
        <w:keepLines/>
        <w:numPr>
          <w:ilvl w:val="0"/>
          <w:numId w:val="43"/>
        </w:numPr>
        <w:tabs>
          <w:tab w:val="center" w:pos="4153"/>
          <w:tab w:val="right" w:pos="8306"/>
        </w:tabs>
        <w:spacing w:after="120"/>
      </w:pPr>
      <w:r w:rsidRPr="00E44CA1">
        <w:t>consumer bodies for purposes in connection with the representation of the interests of consumers in relation to telecommunications issues; and</w:t>
      </w:r>
    </w:p>
    <w:p w14:paraId="7F7692C9" w14:textId="77777777" w:rsidR="00E44CA1" w:rsidRDefault="00E44CA1" w:rsidP="00763EAB">
      <w:pPr>
        <w:keepLines/>
        <w:numPr>
          <w:ilvl w:val="0"/>
          <w:numId w:val="43"/>
        </w:numPr>
        <w:tabs>
          <w:tab w:val="center" w:pos="4153"/>
          <w:tab w:val="right" w:pos="8306"/>
        </w:tabs>
        <w:spacing w:after="0"/>
      </w:pPr>
      <w:r w:rsidRPr="00E44CA1">
        <w:t>persons or bodies for purposes in connection with research into social, economic, environmental or technological implications of developments relating to telecommunications.</w:t>
      </w:r>
    </w:p>
    <w:p w14:paraId="02EA2255" w14:textId="7415CFF2" w:rsidR="00E44CA1" w:rsidRDefault="00E44CA1" w:rsidP="00763EAB">
      <w:pPr>
        <w:pStyle w:val="Heading2"/>
        <w:keepLines/>
        <w:spacing w:before="240"/>
      </w:pPr>
      <w:bookmarkStart w:id="4" w:name="_Toc500146084"/>
      <w:r>
        <w:t xml:space="preserve">Funding Provided for </w:t>
      </w:r>
      <w:r w:rsidR="009E7989">
        <w:t>2016–17</w:t>
      </w:r>
      <w:bookmarkEnd w:id="4"/>
    </w:p>
    <w:p w14:paraId="67DEAB1C" w14:textId="3C8BD2FD" w:rsidR="002B41F3" w:rsidRPr="00763EAB" w:rsidRDefault="00E44CA1" w:rsidP="00763EAB">
      <w:pPr>
        <w:keepLines/>
      </w:pPr>
      <w:r w:rsidRPr="00763EAB">
        <w:t xml:space="preserve">Funding under section 593 of the Telco Act for </w:t>
      </w:r>
      <w:r w:rsidR="009E7989">
        <w:t>2016–17</w:t>
      </w:r>
      <w:r w:rsidRPr="00763EAB">
        <w:t xml:space="preserve"> was provided only to the Australian Communications Consumer Action Network (ACCAN).</w:t>
      </w:r>
      <w:r w:rsidR="0009305F" w:rsidRPr="00763EAB">
        <w:t xml:space="preserve"> This funding was provided under </w:t>
      </w:r>
      <w:r w:rsidR="00EA57D7" w:rsidRPr="00763EAB">
        <w:t xml:space="preserve">contract </w:t>
      </w:r>
      <w:r w:rsidR="0009305F" w:rsidRPr="00763EAB">
        <w:t xml:space="preserve">between ACCAN and the Department of Communications and the Arts. </w:t>
      </w:r>
      <w:r w:rsidR="001465BA" w:rsidRPr="00763EAB">
        <w:t>ACCAN was provided with funding of $2,230,000 (GST</w:t>
      </w:r>
      <w:r w:rsidR="002B41F3" w:rsidRPr="00763EAB">
        <w:t>-</w:t>
      </w:r>
      <w:r w:rsidR="001465BA" w:rsidRPr="00763EAB">
        <w:t xml:space="preserve">exclusive) for the </w:t>
      </w:r>
      <w:r w:rsidR="009E7989">
        <w:t>2016–17</w:t>
      </w:r>
      <w:r w:rsidR="001465BA" w:rsidRPr="00763EAB">
        <w:t xml:space="preserve"> financial year. </w:t>
      </w:r>
    </w:p>
    <w:p w14:paraId="3D59D18F" w14:textId="07C2943E" w:rsidR="007A5031" w:rsidRPr="00763EAB" w:rsidRDefault="00941E27" w:rsidP="00763EAB">
      <w:pPr>
        <w:keepLines/>
      </w:pPr>
      <w:r w:rsidRPr="00763EAB">
        <w:t>Th</w:t>
      </w:r>
      <w:r w:rsidR="00EA57D7" w:rsidRPr="00763EAB">
        <w:t xml:space="preserve">e </w:t>
      </w:r>
      <w:r w:rsidR="009E7989">
        <w:t>2012–17</w:t>
      </w:r>
      <w:r w:rsidR="00EA57D7" w:rsidRPr="00763EAB">
        <w:t xml:space="preserve"> </w:t>
      </w:r>
      <w:r w:rsidRPr="00763EAB">
        <w:t xml:space="preserve">Funding Agreement </w:t>
      </w:r>
      <w:r w:rsidR="00EA57D7" w:rsidRPr="00763EAB">
        <w:t>expired on 30 May 2017.</w:t>
      </w:r>
      <w:r w:rsidR="001465BA" w:rsidRPr="00763EAB">
        <w:t xml:space="preserve"> </w:t>
      </w:r>
      <w:r w:rsidRPr="00763EAB">
        <w:t xml:space="preserve">ACCAN and the </w:t>
      </w:r>
      <w:r w:rsidR="006F2CD4" w:rsidRPr="00763EAB">
        <w:t xml:space="preserve">Department of Communications and the Arts entered into a subsequent </w:t>
      </w:r>
      <w:r w:rsidR="00EA57D7" w:rsidRPr="00763EAB">
        <w:t xml:space="preserve">multi-year </w:t>
      </w:r>
      <w:r w:rsidR="006F2CD4" w:rsidRPr="00763EAB">
        <w:t>Funding A</w:t>
      </w:r>
      <w:r w:rsidRPr="00763EAB">
        <w:t>greement</w:t>
      </w:r>
      <w:r w:rsidR="00EA57D7" w:rsidRPr="00763EAB">
        <w:t>,</w:t>
      </w:r>
      <w:r w:rsidRPr="00763EAB">
        <w:t xml:space="preserve"> </w:t>
      </w:r>
      <w:r w:rsidR="006F2CD4" w:rsidRPr="00763EAB">
        <w:t>signed on 8</w:t>
      </w:r>
      <w:r w:rsidR="002B41F3" w:rsidRPr="00763EAB">
        <w:t> </w:t>
      </w:r>
      <w:r w:rsidR="006F2CD4" w:rsidRPr="00763EAB">
        <w:t>June 2017</w:t>
      </w:r>
      <w:r w:rsidR="00EA57D7" w:rsidRPr="00763EAB">
        <w:t xml:space="preserve"> and</w:t>
      </w:r>
      <w:r w:rsidR="006F2CD4" w:rsidRPr="00763EAB">
        <w:t xml:space="preserve"> continu</w:t>
      </w:r>
      <w:r w:rsidR="00EA57D7" w:rsidRPr="00763EAB">
        <w:t>ing</w:t>
      </w:r>
      <w:r w:rsidR="006F2CD4" w:rsidRPr="00763EAB">
        <w:t xml:space="preserve"> until 31 May 2022</w:t>
      </w:r>
      <w:r w:rsidR="009E7989">
        <w:t>.</w:t>
      </w:r>
    </w:p>
    <w:p w14:paraId="39C94007" w14:textId="3A761592" w:rsidR="00E44CA1" w:rsidRPr="00763EAB" w:rsidRDefault="006F2CD4" w:rsidP="00763EAB">
      <w:pPr>
        <w:keepLines/>
      </w:pPr>
      <w:r w:rsidRPr="00763EAB">
        <w:t xml:space="preserve">Each quarterly payment to ACCAN under these Funding Agreements is subject to </w:t>
      </w:r>
      <w:r w:rsidR="00CE2524" w:rsidRPr="00763EAB">
        <w:t xml:space="preserve">quarterly </w:t>
      </w:r>
      <w:r w:rsidRPr="00763EAB">
        <w:t>assessment of the six Key Performance Indicators (KPIs)</w:t>
      </w:r>
      <w:r w:rsidR="00CE2524" w:rsidRPr="00763EAB">
        <w:t xml:space="preserve"> and related activities</w:t>
      </w:r>
      <w:r w:rsidRPr="00763EAB">
        <w:t>, as set out in the Funding Agreement.</w:t>
      </w:r>
    </w:p>
    <w:p w14:paraId="78AA27A7" w14:textId="77777777" w:rsidR="006F2CD4" w:rsidRPr="00763EAB" w:rsidRDefault="006F2CD4" w:rsidP="00763EAB">
      <w:pPr>
        <w:keepLines/>
        <w:tabs>
          <w:tab w:val="left" w:pos="720"/>
          <w:tab w:val="center" w:pos="4153"/>
          <w:tab w:val="right" w:pos="8306"/>
        </w:tabs>
        <w:spacing w:after="0"/>
        <w:rPr>
          <w:i/>
        </w:rPr>
      </w:pPr>
      <w:r w:rsidRPr="00763EAB">
        <w:t xml:space="preserve">The funding provided to ACCAN under section 593 of the Telco Act is recovered from the annual carrier licence charge imposed under the </w:t>
      </w:r>
      <w:r w:rsidRPr="00763EAB">
        <w:rPr>
          <w:i/>
        </w:rPr>
        <w:t>Telecommunications (Carrier Licence Charges) Act 1997.</w:t>
      </w:r>
    </w:p>
    <w:p w14:paraId="32C02D13" w14:textId="77777777" w:rsidR="0086336E" w:rsidRDefault="0086336E" w:rsidP="00763EAB">
      <w:pPr>
        <w:pStyle w:val="Heading2"/>
        <w:keepLines/>
        <w:spacing w:before="240"/>
      </w:pPr>
      <w:bookmarkStart w:id="5" w:name="_Toc500146085"/>
      <w:r>
        <w:lastRenderedPageBreak/>
        <w:t>Assessment of ACCAN’s General Performance</w:t>
      </w:r>
      <w:bookmarkEnd w:id="5"/>
    </w:p>
    <w:p w14:paraId="118E120A" w14:textId="75BD832C" w:rsidR="0086336E" w:rsidRPr="00763EAB" w:rsidRDefault="0086336E" w:rsidP="00763EAB">
      <w:pPr>
        <w:keepLines/>
      </w:pPr>
      <w:r w:rsidRPr="00763EAB">
        <w:t xml:space="preserve">Quarterly progress reports for </w:t>
      </w:r>
      <w:r w:rsidR="009E7989">
        <w:t>2016–17</w:t>
      </w:r>
      <w:r w:rsidRPr="00763EAB">
        <w:t xml:space="preserve"> demonstrated that ACCAN </w:t>
      </w:r>
      <w:r w:rsidR="005E1624" w:rsidRPr="00763EAB">
        <w:t>satisfactorily</w:t>
      </w:r>
      <w:r w:rsidRPr="00763EAB">
        <w:t xml:space="preserve"> met each of its KPIs and Funding Agreement milestones.</w:t>
      </w:r>
    </w:p>
    <w:p w14:paraId="1256BED6" w14:textId="77777777" w:rsidR="0086336E" w:rsidRPr="00763EAB" w:rsidRDefault="0086336E" w:rsidP="00763EAB">
      <w:pPr>
        <w:keepLines/>
        <w:spacing w:after="120"/>
      </w:pPr>
      <w:r w:rsidRPr="00763EAB">
        <w:t xml:space="preserve">ACCAN has published its 2016–17 </w:t>
      </w:r>
      <w:hyperlink r:id="rId16" w:history="1">
        <w:r w:rsidRPr="00763EAB">
          <w:rPr>
            <w:rStyle w:val="Hyperlink"/>
          </w:rPr>
          <w:t>Annual Report</w:t>
        </w:r>
      </w:hyperlink>
      <w:r w:rsidRPr="00763EAB">
        <w:t xml:space="preserve"> on its website. This showed that in 2016–17 ACCAN:</w:t>
      </w:r>
    </w:p>
    <w:p w14:paraId="24E3C9DF" w14:textId="03A21F1B" w:rsidR="000E0F9A" w:rsidRPr="00763EAB" w:rsidRDefault="009E7989" w:rsidP="00763EAB">
      <w:pPr>
        <w:pStyle w:val="ListParagraph"/>
        <w:keepLines/>
        <w:numPr>
          <w:ilvl w:val="0"/>
          <w:numId w:val="45"/>
        </w:numPr>
        <w:spacing w:after="120"/>
        <w:ind w:left="357" w:hanging="357"/>
        <w:contextualSpacing w:val="0"/>
      </w:pPr>
      <w:r>
        <w:t>R</w:t>
      </w:r>
      <w:r w:rsidR="00884C93" w:rsidRPr="00763EAB">
        <w:t>epresented consumer interests in more than 30 government, ind</w:t>
      </w:r>
      <w:r>
        <w:t>ustry and regulatory committees.</w:t>
      </w:r>
    </w:p>
    <w:p w14:paraId="7D21F3E1" w14:textId="062D2D6F" w:rsidR="009E7989" w:rsidRDefault="009E7989" w:rsidP="00763EAB">
      <w:pPr>
        <w:pStyle w:val="ListParagraph"/>
        <w:keepLines/>
        <w:numPr>
          <w:ilvl w:val="0"/>
          <w:numId w:val="45"/>
        </w:numPr>
        <w:spacing w:after="120"/>
        <w:ind w:left="357" w:hanging="357"/>
        <w:contextualSpacing w:val="0"/>
      </w:pPr>
      <w:r>
        <w:t>M</w:t>
      </w:r>
      <w:r w:rsidR="00884C93" w:rsidRPr="00763EAB">
        <w:t>ade over 40 submissions to government, regulatory and other inquiries</w:t>
      </w:r>
      <w:r w:rsidR="00EA57D7" w:rsidRPr="00763EAB">
        <w:t>,</w:t>
      </w:r>
      <w:r w:rsidR="00884C93" w:rsidRPr="00763EAB">
        <w:t xml:space="preserve"> all of which are available at </w:t>
      </w:r>
      <w:hyperlink r:id="rId17" w:history="1">
        <w:r w:rsidR="00884C93" w:rsidRPr="00763EAB">
          <w:rPr>
            <w:rStyle w:val="Hyperlink"/>
          </w:rPr>
          <w:t>www.accan.org.au/submissions</w:t>
        </w:r>
      </w:hyperlink>
      <w:r>
        <w:t>.</w:t>
      </w:r>
    </w:p>
    <w:p w14:paraId="07CC9071" w14:textId="24CC1235" w:rsidR="009E7989" w:rsidRDefault="009E7989" w:rsidP="00763EAB">
      <w:pPr>
        <w:pStyle w:val="ListParagraph"/>
        <w:keepLines/>
        <w:numPr>
          <w:ilvl w:val="0"/>
          <w:numId w:val="45"/>
        </w:numPr>
        <w:spacing w:after="120"/>
        <w:ind w:left="357" w:hanging="357"/>
        <w:contextualSpacing w:val="0"/>
      </w:pPr>
      <w:r>
        <w:t>R</w:t>
      </w:r>
      <w:r w:rsidR="00884C93" w:rsidRPr="00763EAB">
        <w:t>aised consumer awareness</w:t>
      </w:r>
      <w:r w:rsidR="00B64A4F" w:rsidRPr="00763EAB">
        <w:t>, including</w:t>
      </w:r>
      <w:r w:rsidR="00884C93" w:rsidRPr="00763EAB">
        <w:t xml:space="preserve"> publi</w:t>
      </w:r>
      <w:r w:rsidR="00B64A4F" w:rsidRPr="00763EAB">
        <w:t xml:space="preserve">shing </w:t>
      </w:r>
      <w:r w:rsidR="00884C93" w:rsidRPr="00763EAB">
        <w:t>several new telecommunications consumer guides</w:t>
      </w:r>
      <w:r w:rsidR="00B64A4F" w:rsidRPr="00763EAB">
        <w:t>, achieving</w:t>
      </w:r>
      <w:r w:rsidR="00884C93" w:rsidRPr="00763EAB">
        <w:t xml:space="preserve"> </w:t>
      </w:r>
      <w:r w:rsidR="009B1126" w:rsidRPr="00763EAB">
        <w:t>913</w:t>
      </w:r>
      <w:r w:rsidR="00884C93" w:rsidRPr="00763EAB">
        <w:t xml:space="preserve"> media mentions</w:t>
      </w:r>
      <w:r w:rsidR="00AC0DDF" w:rsidRPr="00763EAB">
        <w:t xml:space="preserve"> and </w:t>
      </w:r>
      <w:r w:rsidR="00B64A4F" w:rsidRPr="00763EAB">
        <w:t xml:space="preserve">attracting </w:t>
      </w:r>
      <w:r w:rsidR="00AC0DDF" w:rsidRPr="00763EAB">
        <w:t>195,908 website visits</w:t>
      </w:r>
      <w:r>
        <w:t>—</w:t>
      </w:r>
      <w:r w:rsidR="009B1126" w:rsidRPr="00763EAB">
        <w:t xml:space="preserve">a significant increase </w:t>
      </w:r>
      <w:r w:rsidR="00AC0DDF" w:rsidRPr="00763EAB">
        <w:t xml:space="preserve">in both </w:t>
      </w:r>
      <w:r w:rsidR="009B1126" w:rsidRPr="00763EAB">
        <w:t>from the previous year</w:t>
      </w:r>
      <w:r>
        <w:t>.</w:t>
      </w:r>
    </w:p>
    <w:p w14:paraId="70F215CF" w14:textId="5A6C9A8B" w:rsidR="009E7989" w:rsidRDefault="009E7989" w:rsidP="00763EAB">
      <w:pPr>
        <w:pStyle w:val="ListParagraph"/>
        <w:keepLines/>
        <w:numPr>
          <w:ilvl w:val="0"/>
          <w:numId w:val="45"/>
        </w:numPr>
        <w:spacing w:after="120"/>
        <w:ind w:left="357" w:hanging="357"/>
        <w:contextualSpacing w:val="0"/>
      </w:pPr>
      <w:r>
        <w:t>H</w:t>
      </w:r>
      <w:r w:rsidR="000752A1" w:rsidRPr="00763EAB">
        <w:t xml:space="preserve">osted </w:t>
      </w:r>
      <w:r w:rsidR="00B64A4F" w:rsidRPr="00763EAB">
        <w:t>its annual conference,</w:t>
      </w:r>
      <w:r w:rsidR="000752A1" w:rsidRPr="00763EAB">
        <w:rPr>
          <w:i/>
        </w:rPr>
        <w:t xml:space="preserve"> ACCANect: Equipping consumers to stay connected</w:t>
      </w:r>
      <w:r w:rsidR="000752A1" w:rsidRPr="00763EAB">
        <w:t>, which was attended by more than 220 delegates</w:t>
      </w:r>
      <w:r>
        <w:t>.</w:t>
      </w:r>
    </w:p>
    <w:p w14:paraId="1107A1A9" w14:textId="3516AECC" w:rsidR="009E7989" w:rsidRDefault="009E7989" w:rsidP="00763EAB">
      <w:pPr>
        <w:pStyle w:val="ListParagraph"/>
        <w:keepLines/>
        <w:numPr>
          <w:ilvl w:val="0"/>
          <w:numId w:val="45"/>
        </w:numPr>
        <w:spacing w:after="120"/>
        <w:ind w:left="357" w:hanging="357"/>
        <w:contextualSpacing w:val="0"/>
      </w:pPr>
      <w:r>
        <w:t>H</w:t>
      </w:r>
      <w:r w:rsidR="00B64A4F" w:rsidRPr="00763EAB">
        <w:t>eld</w:t>
      </w:r>
      <w:r w:rsidR="0017581F" w:rsidRPr="00763EAB">
        <w:t xml:space="preserve"> a consumer roundtable with industry representatives on the Customer Service Guarantee</w:t>
      </w:r>
      <w:r>
        <w:t>.</w:t>
      </w:r>
    </w:p>
    <w:p w14:paraId="3CAE7455" w14:textId="0B5663E1" w:rsidR="009E7989" w:rsidRDefault="009E7989" w:rsidP="00763EAB">
      <w:pPr>
        <w:pStyle w:val="ListParagraph"/>
        <w:keepLines/>
        <w:numPr>
          <w:ilvl w:val="0"/>
          <w:numId w:val="45"/>
        </w:numPr>
        <w:spacing w:after="120"/>
        <w:ind w:left="357" w:hanging="357"/>
        <w:contextualSpacing w:val="0"/>
      </w:pPr>
      <w:r>
        <w:t>H</w:t>
      </w:r>
      <w:r w:rsidR="0017581F" w:rsidRPr="00763EAB">
        <w:t>eld an advisory forum with rural, regional and remote stakeholders</w:t>
      </w:r>
      <w:r w:rsidR="00B64A4F" w:rsidRPr="00763EAB">
        <w:t>,</w:t>
      </w:r>
      <w:r w:rsidR="0017581F" w:rsidRPr="00763EAB">
        <w:t xml:space="preserve"> </w:t>
      </w:r>
      <w:r w:rsidR="00763EAB" w:rsidRPr="00763EAB">
        <w:t xml:space="preserve">leading </w:t>
      </w:r>
      <w:r w:rsidR="0017581F" w:rsidRPr="00763EAB">
        <w:t>to the formation of the Regional, Rural and Remote Communications Coalition</w:t>
      </w:r>
      <w:r w:rsidR="00763EAB" w:rsidRPr="00763EAB">
        <w:t>. This Coalition includes</w:t>
      </w:r>
      <w:r w:rsidR="0017581F" w:rsidRPr="00763EAB">
        <w:t xml:space="preserve"> organisations from the farming sector, country women’s associations, rural health organisations and others</w:t>
      </w:r>
      <w:r>
        <w:t>.</w:t>
      </w:r>
    </w:p>
    <w:p w14:paraId="399D55D0" w14:textId="0586E91D" w:rsidR="009E7989" w:rsidRDefault="009E7989" w:rsidP="00763EAB">
      <w:pPr>
        <w:pStyle w:val="ListParagraph"/>
        <w:keepLines/>
        <w:numPr>
          <w:ilvl w:val="0"/>
          <w:numId w:val="45"/>
        </w:numPr>
        <w:spacing w:after="120"/>
        <w:ind w:left="357" w:hanging="357"/>
        <w:contextualSpacing w:val="0"/>
      </w:pPr>
      <w:r>
        <w:t>F</w:t>
      </w:r>
      <w:r w:rsidR="00D830ED" w:rsidRPr="00763EAB">
        <w:t xml:space="preserve">ormed part of Australia’s </w:t>
      </w:r>
      <w:r w:rsidR="009B1126" w:rsidRPr="00763EAB">
        <w:t>delegation to the International Standards Consumer Policy Committee in Malaysia</w:t>
      </w:r>
      <w:r>
        <w:t>.</w:t>
      </w:r>
    </w:p>
    <w:p w14:paraId="5209D020" w14:textId="6BAD0E68" w:rsidR="009E7989" w:rsidRDefault="009E7989" w:rsidP="00763EAB">
      <w:pPr>
        <w:pStyle w:val="ListParagraph"/>
        <w:keepLines/>
        <w:numPr>
          <w:ilvl w:val="0"/>
          <w:numId w:val="45"/>
        </w:numPr>
        <w:spacing w:after="120"/>
        <w:ind w:left="357" w:hanging="357"/>
        <w:contextualSpacing w:val="0"/>
      </w:pPr>
      <w:r>
        <w:t>L</w:t>
      </w:r>
      <w:r w:rsidR="00A53936" w:rsidRPr="00763EAB">
        <w:t>aunched numerous policy initiatives across a range of consumer issues including affordability, cyber security, and accessibility</w:t>
      </w:r>
      <w:r>
        <w:t>.</w:t>
      </w:r>
    </w:p>
    <w:p w14:paraId="6669B1FD" w14:textId="1DCDA09E" w:rsidR="009E7989" w:rsidRDefault="009E7989" w:rsidP="00763EAB">
      <w:pPr>
        <w:pStyle w:val="ListParagraph"/>
        <w:keepLines/>
        <w:numPr>
          <w:ilvl w:val="0"/>
          <w:numId w:val="45"/>
        </w:numPr>
        <w:spacing w:after="120"/>
        <w:ind w:left="357" w:hanging="357"/>
        <w:contextualSpacing w:val="0"/>
      </w:pPr>
      <w:r>
        <w:t>C</w:t>
      </w:r>
      <w:r w:rsidR="0091036B" w:rsidRPr="00763EAB">
        <w:t>ontinued its engagement with industry through quarterly meetings with Communications Alliance and participation in Communications Alliance working groups, bi-annual meetings with the Australian Mobile Telecommunications Association and through regular briefings and issues-specific dialogue with the major retail telecommunications service providers</w:t>
      </w:r>
      <w:r>
        <w:t>.</w:t>
      </w:r>
    </w:p>
    <w:p w14:paraId="1AC1F45A" w14:textId="78062BB1" w:rsidR="009B1126" w:rsidRPr="00763EAB" w:rsidRDefault="009E7989" w:rsidP="00763EAB">
      <w:pPr>
        <w:pStyle w:val="ListParagraph"/>
        <w:keepLines/>
        <w:numPr>
          <w:ilvl w:val="0"/>
          <w:numId w:val="45"/>
        </w:numPr>
        <w:ind w:left="357" w:hanging="357"/>
        <w:contextualSpacing w:val="0"/>
      </w:pPr>
      <w:r>
        <w:t>I</w:t>
      </w:r>
      <w:r w:rsidR="008B1335" w:rsidRPr="00763EAB">
        <w:t>ssued 20 media releases covering important consumer issues including regional communications, accessibility, broadband availability, affordability and t</w:t>
      </w:r>
      <w:r w:rsidR="00A53936" w:rsidRPr="00763EAB">
        <w:t>he Universal Service Obligation.</w:t>
      </w:r>
    </w:p>
    <w:p w14:paraId="42B99A62" w14:textId="65F664DF" w:rsidR="00AA58EE" w:rsidRPr="00763EAB" w:rsidRDefault="00AA58EE" w:rsidP="00763EAB">
      <w:pPr>
        <w:keepLines/>
      </w:pPr>
      <w:r w:rsidRPr="00763EAB">
        <w:t>ACCAN organisational membership increased to 11</w:t>
      </w:r>
      <w:r w:rsidR="002D5980" w:rsidRPr="00763EAB">
        <w:t xml:space="preserve">8. </w:t>
      </w:r>
      <w:r w:rsidRPr="00763EAB">
        <w:t>Member organisations represent remote and rural consumers, indigenous organisations, small businesses, farmers, disability groups, financial counsellors and community legal centres from across Australia.</w:t>
      </w:r>
    </w:p>
    <w:p w14:paraId="198A6679" w14:textId="6FC412F2" w:rsidR="00A53936" w:rsidRPr="00763EAB" w:rsidRDefault="009150E9" w:rsidP="00763EAB">
      <w:pPr>
        <w:keepLines/>
      </w:pPr>
      <w:r w:rsidRPr="00763EAB">
        <w:t xml:space="preserve">ACCAN’s board also saw changes in </w:t>
      </w:r>
      <w:r w:rsidR="009E7989">
        <w:t>2016–17</w:t>
      </w:r>
      <w:r w:rsidRPr="00763EAB">
        <w:t xml:space="preserve"> with</w:t>
      </w:r>
      <w:r w:rsidR="00BB1F2D" w:rsidRPr="00763EAB">
        <w:t xml:space="preserve"> </w:t>
      </w:r>
      <w:r w:rsidRPr="00763EAB">
        <w:t>Deputy Chair Holly Raiche and Board Director Michael West standing down</w:t>
      </w:r>
      <w:r w:rsidR="00BB1F2D" w:rsidRPr="00763EAB">
        <w:t xml:space="preserve"> in September 2016</w:t>
      </w:r>
      <w:r w:rsidR="00AA58EE" w:rsidRPr="00763EAB">
        <w:t>. Two new members joined the b</w:t>
      </w:r>
      <w:r w:rsidRPr="00763EAB">
        <w:t>oard, Sarah Wilson and Nadia Moffat, both on three</w:t>
      </w:r>
      <w:r w:rsidR="00AA58EE" w:rsidRPr="00763EAB">
        <w:t>-</w:t>
      </w:r>
      <w:r w:rsidRPr="00763EAB">
        <w:t>year terms</w:t>
      </w:r>
      <w:r w:rsidR="00BB1F2D" w:rsidRPr="00763EAB">
        <w:t>.</w:t>
      </w:r>
    </w:p>
    <w:p w14:paraId="6D89F44A" w14:textId="77777777" w:rsidR="000E0F9A" w:rsidRDefault="000E0F9A" w:rsidP="00763EAB">
      <w:pPr>
        <w:pStyle w:val="Heading2"/>
        <w:keepLines/>
        <w:spacing w:before="240"/>
      </w:pPr>
      <w:bookmarkStart w:id="6" w:name="_Toc500146086"/>
      <w:r>
        <w:t>Independent Grants Program</w:t>
      </w:r>
      <w:bookmarkEnd w:id="6"/>
    </w:p>
    <w:p w14:paraId="31762A7A" w14:textId="77777777" w:rsidR="005D239B" w:rsidRDefault="000E0F9A" w:rsidP="005D239B">
      <w:pPr>
        <w:keepLines/>
      </w:pPr>
      <w:r w:rsidRPr="00763EAB">
        <w:t>ACCAN administers a competitive Independent Grants Program (IGP) in accordance with its Funding Agreement.</w:t>
      </w:r>
      <w:r w:rsidR="0051167E" w:rsidRPr="00763EAB">
        <w:t xml:space="preserve"> </w:t>
      </w:r>
      <w:r w:rsidR="002D6192" w:rsidRPr="00763EAB">
        <w:t xml:space="preserve">ACCAN’s </w:t>
      </w:r>
      <w:r w:rsidR="00FB1442" w:rsidRPr="00763EAB">
        <w:t xml:space="preserve">total </w:t>
      </w:r>
      <w:r w:rsidR="002D6192" w:rsidRPr="00763EAB">
        <w:t xml:space="preserve">expenditure </w:t>
      </w:r>
      <w:r w:rsidR="00FB1442" w:rsidRPr="00763EAB">
        <w:t xml:space="preserve">for </w:t>
      </w:r>
      <w:r w:rsidR="002D6192" w:rsidRPr="00763EAB">
        <w:t xml:space="preserve">the </w:t>
      </w:r>
      <w:r w:rsidR="00FB1442" w:rsidRPr="00763EAB">
        <w:t>IGP in 201</w:t>
      </w:r>
      <w:r w:rsidR="00A405FC" w:rsidRPr="00763EAB">
        <w:t>6</w:t>
      </w:r>
      <w:r w:rsidR="00FB1442" w:rsidRPr="00763EAB">
        <w:t>–1</w:t>
      </w:r>
      <w:r w:rsidR="00A405FC" w:rsidRPr="00763EAB">
        <w:t>7</w:t>
      </w:r>
      <w:r w:rsidR="00FB1442" w:rsidRPr="00763EAB">
        <w:t xml:space="preserve"> </w:t>
      </w:r>
      <w:r w:rsidR="002D6192" w:rsidRPr="00763EAB">
        <w:t xml:space="preserve">(including overheads) </w:t>
      </w:r>
      <w:r w:rsidR="00FB1442" w:rsidRPr="00763EAB">
        <w:t>was $30</w:t>
      </w:r>
      <w:r w:rsidR="002D6192" w:rsidRPr="00763EAB">
        <w:t>4</w:t>
      </w:r>
      <w:r w:rsidR="00FB1442" w:rsidRPr="00763EAB">
        <w:t>,</w:t>
      </w:r>
      <w:r w:rsidR="002D6192" w:rsidRPr="00763EAB">
        <w:t>194</w:t>
      </w:r>
      <w:r w:rsidR="00A405FC" w:rsidRPr="00763EAB">
        <w:rPr>
          <w:rStyle w:val="FootnoteReference"/>
        </w:rPr>
        <w:footnoteReference w:customMarkFollows="1" w:id="1"/>
        <w:t>*</w:t>
      </w:r>
      <w:r w:rsidR="002D6192" w:rsidRPr="00763EAB">
        <w:t xml:space="preserve">. </w:t>
      </w:r>
    </w:p>
    <w:p w14:paraId="4E90BACB" w14:textId="11A586A2" w:rsidR="00FB1442" w:rsidRPr="00763EAB" w:rsidRDefault="00FB1442" w:rsidP="005D239B">
      <w:pPr>
        <w:keepLines/>
      </w:pPr>
      <w:r w:rsidRPr="00763EAB">
        <w:lastRenderedPageBreak/>
        <w:t>Six projects were awarded funding, out of the 39 eligible applications received (see Table 1 below). The projects relate to ranking telecommunications practices, research into identity theft, mental health applications, security and privacy threats from smart home ‘Internet of Things’ (IOT) devices, consumer access to digital media content and a telecommunication</w:t>
      </w:r>
      <w:r w:rsidR="00CA300D">
        <w:t>s</w:t>
      </w:r>
      <w:r w:rsidRPr="00763EAB">
        <w:t xml:space="preserve"> education project.</w:t>
      </w:r>
      <w:r w:rsidR="002D6192" w:rsidRPr="00763EAB">
        <w:t xml:space="preserve"> </w:t>
      </w:r>
    </w:p>
    <w:p w14:paraId="06015D64" w14:textId="61E08F10" w:rsidR="003E4658" w:rsidRPr="00763EAB" w:rsidRDefault="003E4658" w:rsidP="00763EAB">
      <w:pPr>
        <w:keepLines/>
        <w:tabs>
          <w:tab w:val="left" w:pos="720"/>
          <w:tab w:val="center" w:pos="4153"/>
          <w:tab w:val="right" w:pos="8306"/>
        </w:tabs>
      </w:pPr>
      <w:r w:rsidRPr="00763EAB">
        <w:t xml:space="preserve">Due to the expiry of the </w:t>
      </w:r>
      <w:r w:rsidR="009E7989">
        <w:t>2012–17</w:t>
      </w:r>
      <w:r w:rsidRPr="00763EAB">
        <w:t xml:space="preserve"> Funding Agreement, all </w:t>
      </w:r>
      <w:r w:rsidR="009E7989">
        <w:t>2016–17</w:t>
      </w:r>
      <w:r w:rsidRPr="00763EAB">
        <w:t xml:space="preserve"> IGP projects were completed by 30</w:t>
      </w:r>
      <w:r w:rsidR="00763EAB">
        <w:t> </w:t>
      </w:r>
      <w:r w:rsidRPr="00763EAB">
        <w:t>May 2017.</w:t>
      </w:r>
    </w:p>
    <w:p w14:paraId="6AB5237F" w14:textId="7149D5B5" w:rsidR="00785DEB" w:rsidRDefault="00785DEB" w:rsidP="00763EAB">
      <w:pPr>
        <w:pStyle w:val="Tablefigureheading"/>
        <w:keepLines/>
        <w:spacing w:before="240" w:after="120"/>
      </w:pPr>
      <w:r>
        <w:t xml:space="preserve">Table 1: </w:t>
      </w:r>
      <w:r w:rsidR="005D6677">
        <w:t>IGP projects delivered</w:t>
      </w:r>
      <w:r>
        <w:t xml:space="preserve"> in </w:t>
      </w:r>
      <w:r w:rsidR="009E7989">
        <w:t>2016–17</w:t>
      </w:r>
    </w:p>
    <w:tbl>
      <w:tblPr>
        <w:tblStyle w:val="TableGrid"/>
        <w:tblW w:w="9498" w:type="dxa"/>
        <w:tblBorders>
          <w:top w:val="none" w:sz="0" w:space="0" w:color="auto"/>
          <w:left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Description w:val="Recipient Amount ($)&#10;Financial and Consumer Rights Council - Rank the Telco 2017 $60,000&#10;Australian National University (Research School of Management) - Understanding Consumer Identity Theft Risks Across Communications Media $44,966&#10;University of Sydney (Charles Perkins Centre) - Finding Peace of Mind: Navigating the Marketplace of Mental Health Apps $59,842&#10;University of NSW (School of Electrical Engineering and Telecommuications) - Increasing Public Awareness in Australia on Security and Privacy Threats for Smart Home IoT Devices $50,000&#10;Queensland University of Technology (Digital Media Research Centre) - Australian Consumer Access to Digital Media Content $59,860&#10;Association of Hazaras in Victoria - Telecommunications Education Project $7,500&#10;TOTAL $282,168"/>
      </w:tblPr>
      <w:tblGrid>
        <w:gridCol w:w="7655"/>
        <w:gridCol w:w="1843"/>
      </w:tblGrid>
      <w:tr w:rsidR="00785DEB" w:rsidRPr="00763EAB" w14:paraId="72A824EA" w14:textId="77777777" w:rsidTr="00763EAB">
        <w:trPr>
          <w:cantSplit/>
          <w:tblHeader/>
        </w:trPr>
        <w:tc>
          <w:tcPr>
            <w:tcW w:w="7655" w:type="dxa"/>
            <w:tcBorders>
              <w:top w:val="nil"/>
              <w:left w:val="nil"/>
              <w:bottom w:val="thickThinLargeGap" w:sz="24" w:space="0" w:color="auto"/>
              <w:right w:val="nil"/>
            </w:tcBorders>
            <w:shd w:val="clear" w:color="auto" w:fill="E4E4E4"/>
            <w:vAlign w:val="center"/>
            <w:hideMark/>
          </w:tcPr>
          <w:p w14:paraId="421FC243" w14:textId="77777777" w:rsidR="00785DEB" w:rsidRPr="00763EAB" w:rsidRDefault="00785DEB" w:rsidP="00763EAB">
            <w:pPr>
              <w:pStyle w:val="Tableheading"/>
              <w:keepLines/>
              <w:jc w:val="center"/>
              <w:rPr>
                <w:szCs w:val="22"/>
              </w:rPr>
            </w:pPr>
            <w:r w:rsidRPr="00763EAB">
              <w:rPr>
                <w:szCs w:val="22"/>
              </w:rPr>
              <w:t>Recipient</w:t>
            </w:r>
          </w:p>
        </w:tc>
        <w:tc>
          <w:tcPr>
            <w:tcW w:w="1843" w:type="dxa"/>
            <w:tcBorders>
              <w:top w:val="nil"/>
              <w:left w:val="nil"/>
              <w:bottom w:val="thickThinLargeGap" w:sz="24" w:space="0" w:color="auto"/>
              <w:right w:val="nil"/>
            </w:tcBorders>
            <w:shd w:val="clear" w:color="auto" w:fill="E4E4E4"/>
            <w:vAlign w:val="center"/>
            <w:hideMark/>
          </w:tcPr>
          <w:p w14:paraId="576C593C" w14:textId="1459C975" w:rsidR="00785DEB" w:rsidRPr="00763EAB" w:rsidRDefault="00763EAB" w:rsidP="00763EAB">
            <w:pPr>
              <w:pStyle w:val="Tableheadingcentred"/>
              <w:keepLines/>
              <w:rPr>
                <w:szCs w:val="22"/>
              </w:rPr>
            </w:pPr>
            <w:r>
              <w:rPr>
                <w:szCs w:val="22"/>
              </w:rPr>
              <w:t>Amount (e</w:t>
            </w:r>
            <w:r w:rsidR="00785DEB" w:rsidRPr="00763EAB">
              <w:rPr>
                <w:szCs w:val="22"/>
              </w:rPr>
              <w:t>x</w:t>
            </w:r>
            <w:r>
              <w:rPr>
                <w:szCs w:val="22"/>
              </w:rPr>
              <w:t xml:space="preserve">. </w:t>
            </w:r>
            <w:r w:rsidR="00785DEB" w:rsidRPr="00763EAB">
              <w:rPr>
                <w:szCs w:val="22"/>
              </w:rPr>
              <w:t>GST)</w:t>
            </w:r>
          </w:p>
        </w:tc>
      </w:tr>
      <w:tr w:rsidR="005D6677" w:rsidRPr="00763EAB" w14:paraId="10FD0DC6" w14:textId="77777777" w:rsidTr="00763EAB">
        <w:trPr>
          <w:cantSplit/>
        </w:trPr>
        <w:tc>
          <w:tcPr>
            <w:tcW w:w="7655" w:type="dxa"/>
            <w:tcBorders>
              <w:top w:val="thickThinLargeGap" w:sz="24" w:space="0" w:color="auto"/>
              <w:left w:val="nil"/>
              <w:bottom w:val="single" w:sz="4" w:space="0" w:color="auto"/>
              <w:right w:val="nil"/>
            </w:tcBorders>
            <w:vAlign w:val="bottom"/>
          </w:tcPr>
          <w:p w14:paraId="379D2835" w14:textId="1900F163" w:rsidR="005D6677" w:rsidRPr="00763EAB" w:rsidRDefault="005D6677" w:rsidP="00763EAB">
            <w:pPr>
              <w:pStyle w:val="Tabletext"/>
              <w:keepLines/>
              <w:rPr>
                <w:szCs w:val="22"/>
              </w:rPr>
            </w:pPr>
            <w:r w:rsidRPr="00763EAB">
              <w:rPr>
                <w:color w:val="000000"/>
                <w:szCs w:val="22"/>
              </w:rPr>
              <w:t>Financial and Consumer Rights Council (FCRC)</w:t>
            </w:r>
            <w:r w:rsidR="009E7989">
              <w:rPr>
                <w:color w:val="000000"/>
                <w:szCs w:val="22"/>
              </w:rPr>
              <w:t>—</w:t>
            </w:r>
            <w:r w:rsidRPr="00763EAB">
              <w:rPr>
                <w:i/>
                <w:iCs/>
                <w:color w:val="000000"/>
                <w:szCs w:val="22"/>
              </w:rPr>
              <w:t>’Rank the Telco 2017’</w:t>
            </w:r>
          </w:p>
        </w:tc>
        <w:tc>
          <w:tcPr>
            <w:tcW w:w="1843" w:type="dxa"/>
            <w:tcBorders>
              <w:top w:val="thickThinLargeGap" w:sz="24" w:space="0" w:color="auto"/>
              <w:left w:val="nil"/>
              <w:bottom w:val="single" w:sz="4" w:space="0" w:color="auto"/>
              <w:right w:val="nil"/>
            </w:tcBorders>
          </w:tcPr>
          <w:p w14:paraId="231C5531" w14:textId="53B045E1" w:rsidR="005D6677" w:rsidRPr="00763EAB" w:rsidRDefault="005D6677" w:rsidP="00763EAB">
            <w:pPr>
              <w:pStyle w:val="Tabletextcentred"/>
              <w:keepLines/>
              <w:rPr>
                <w:szCs w:val="22"/>
              </w:rPr>
            </w:pPr>
            <w:r w:rsidRPr="00763EAB">
              <w:rPr>
                <w:szCs w:val="22"/>
              </w:rPr>
              <w:t>$60,000</w:t>
            </w:r>
          </w:p>
        </w:tc>
      </w:tr>
      <w:tr w:rsidR="005D6677" w:rsidRPr="00763EAB" w14:paraId="187A5BA0" w14:textId="77777777" w:rsidTr="00763EAB">
        <w:trPr>
          <w:cantSplit/>
        </w:trPr>
        <w:tc>
          <w:tcPr>
            <w:tcW w:w="7655" w:type="dxa"/>
            <w:tcBorders>
              <w:top w:val="single" w:sz="4" w:space="0" w:color="auto"/>
              <w:left w:val="nil"/>
              <w:bottom w:val="single" w:sz="4" w:space="0" w:color="auto"/>
              <w:right w:val="nil"/>
            </w:tcBorders>
            <w:vAlign w:val="bottom"/>
          </w:tcPr>
          <w:p w14:paraId="570617A8" w14:textId="3085B78A" w:rsidR="005D6677" w:rsidRPr="00763EAB" w:rsidRDefault="005D6677" w:rsidP="00763EAB">
            <w:pPr>
              <w:pStyle w:val="Tabletext"/>
              <w:keepLines/>
              <w:rPr>
                <w:szCs w:val="22"/>
              </w:rPr>
            </w:pPr>
            <w:r w:rsidRPr="00763EAB">
              <w:rPr>
                <w:color w:val="000000"/>
                <w:szCs w:val="22"/>
              </w:rPr>
              <w:t>Australian National University (Research School of Management)</w:t>
            </w:r>
            <w:r w:rsidR="009E7989">
              <w:rPr>
                <w:color w:val="000000"/>
                <w:szCs w:val="22"/>
              </w:rPr>
              <w:t>—</w:t>
            </w:r>
            <w:r w:rsidRPr="00763EAB">
              <w:rPr>
                <w:i/>
                <w:color w:val="000000"/>
                <w:szCs w:val="22"/>
              </w:rPr>
              <w:t>‘U</w:t>
            </w:r>
            <w:r w:rsidRPr="00763EAB">
              <w:rPr>
                <w:i/>
                <w:iCs/>
                <w:color w:val="000000"/>
                <w:szCs w:val="22"/>
              </w:rPr>
              <w:t xml:space="preserve">nderstanding Consumer Identity Theft Risks Across Communications Media’ </w:t>
            </w:r>
          </w:p>
        </w:tc>
        <w:tc>
          <w:tcPr>
            <w:tcW w:w="1843" w:type="dxa"/>
            <w:tcBorders>
              <w:top w:val="single" w:sz="4" w:space="0" w:color="auto"/>
              <w:left w:val="nil"/>
              <w:bottom w:val="single" w:sz="4" w:space="0" w:color="auto"/>
              <w:right w:val="nil"/>
            </w:tcBorders>
          </w:tcPr>
          <w:p w14:paraId="1FC660C0" w14:textId="374CC08D" w:rsidR="005D6677" w:rsidRPr="00763EAB" w:rsidRDefault="005D6677" w:rsidP="00763EAB">
            <w:pPr>
              <w:pStyle w:val="Tabletextcentred"/>
              <w:keepLines/>
              <w:rPr>
                <w:szCs w:val="22"/>
              </w:rPr>
            </w:pPr>
            <w:r w:rsidRPr="00763EAB">
              <w:rPr>
                <w:szCs w:val="22"/>
              </w:rPr>
              <w:t>$44,966</w:t>
            </w:r>
          </w:p>
        </w:tc>
      </w:tr>
      <w:tr w:rsidR="005D6677" w:rsidRPr="00763EAB" w14:paraId="129E5039" w14:textId="77777777" w:rsidTr="00763EAB">
        <w:trPr>
          <w:cantSplit/>
        </w:trPr>
        <w:tc>
          <w:tcPr>
            <w:tcW w:w="7655" w:type="dxa"/>
            <w:tcBorders>
              <w:top w:val="single" w:sz="4" w:space="0" w:color="auto"/>
              <w:left w:val="nil"/>
              <w:bottom w:val="single" w:sz="4" w:space="0" w:color="auto"/>
              <w:right w:val="nil"/>
            </w:tcBorders>
            <w:vAlign w:val="bottom"/>
          </w:tcPr>
          <w:p w14:paraId="2919D39B" w14:textId="4748E13F" w:rsidR="005D6677" w:rsidRPr="00763EAB" w:rsidRDefault="005D6677" w:rsidP="00763EAB">
            <w:pPr>
              <w:pStyle w:val="Tabletext"/>
              <w:keepLines/>
              <w:rPr>
                <w:szCs w:val="22"/>
              </w:rPr>
            </w:pPr>
            <w:r w:rsidRPr="00763EAB">
              <w:rPr>
                <w:color w:val="000000"/>
                <w:szCs w:val="22"/>
              </w:rPr>
              <w:t>University of Sydney (Charles Perkins Centre)</w:t>
            </w:r>
            <w:r w:rsidR="009E7989">
              <w:rPr>
                <w:color w:val="000000"/>
                <w:szCs w:val="22"/>
              </w:rPr>
              <w:t>—</w:t>
            </w:r>
            <w:r w:rsidRPr="00763EAB">
              <w:rPr>
                <w:i/>
                <w:color w:val="000000"/>
                <w:szCs w:val="22"/>
              </w:rPr>
              <w:t>‘</w:t>
            </w:r>
            <w:r w:rsidRPr="00763EAB">
              <w:rPr>
                <w:i/>
                <w:iCs/>
                <w:color w:val="000000"/>
                <w:szCs w:val="22"/>
              </w:rPr>
              <w:t xml:space="preserve">Finding peace of mind: Navigating the marketplace of mental health apps’ </w:t>
            </w:r>
          </w:p>
        </w:tc>
        <w:tc>
          <w:tcPr>
            <w:tcW w:w="1843" w:type="dxa"/>
            <w:tcBorders>
              <w:top w:val="single" w:sz="4" w:space="0" w:color="auto"/>
              <w:left w:val="nil"/>
              <w:bottom w:val="single" w:sz="4" w:space="0" w:color="auto"/>
              <w:right w:val="nil"/>
            </w:tcBorders>
          </w:tcPr>
          <w:p w14:paraId="5ED7A9EA" w14:textId="5613CD56" w:rsidR="005D6677" w:rsidRPr="00763EAB" w:rsidRDefault="005D6677" w:rsidP="00763EAB">
            <w:pPr>
              <w:pStyle w:val="Tabletextcentred"/>
              <w:keepLines/>
              <w:rPr>
                <w:szCs w:val="22"/>
              </w:rPr>
            </w:pPr>
            <w:r w:rsidRPr="00763EAB">
              <w:rPr>
                <w:szCs w:val="22"/>
              </w:rPr>
              <w:t>$59,842</w:t>
            </w:r>
          </w:p>
        </w:tc>
      </w:tr>
      <w:tr w:rsidR="005D6677" w:rsidRPr="00763EAB" w14:paraId="6DFEE3DA" w14:textId="77777777" w:rsidTr="00763EAB">
        <w:trPr>
          <w:cantSplit/>
        </w:trPr>
        <w:tc>
          <w:tcPr>
            <w:tcW w:w="7655" w:type="dxa"/>
            <w:tcBorders>
              <w:top w:val="single" w:sz="4" w:space="0" w:color="auto"/>
              <w:left w:val="nil"/>
              <w:bottom w:val="single" w:sz="4" w:space="0" w:color="auto"/>
              <w:right w:val="nil"/>
            </w:tcBorders>
            <w:vAlign w:val="bottom"/>
          </w:tcPr>
          <w:p w14:paraId="5E7868DB" w14:textId="6587E844" w:rsidR="005D6677" w:rsidRPr="00763EAB" w:rsidRDefault="005D6677" w:rsidP="00763EAB">
            <w:pPr>
              <w:pStyle w:val="Tabletext"/>
              <w:keepLines/>
              <w:rPr>
                <w:szCs w:val="22"/>
              </w:rPr>
            </w:pPr>
            <w:r w:rsidRPr="00763EAB">
              <w:rPr>
                <w:color w:val="000000"/>
                <w:szCs w:val="22"/>
              </w:rPr>
              <w:t>University of NSW (School of Electrical Engineering and Telecommunications)</w:t>
            </w:r>
            <w:r w:rsidR="009E7989">
              <w:rPr>
                <w:color w:val="000000"/>
                <w:szCs w:val="22"/>
              </w:rPr>
              <w:t>—</w:t>
            </w:r>
            <w:r w:rsidRPr="00763EAB">
              <w:rPr>
                <w:i/>
                <w:color w:val="000000"/>
                <w:szCs w:val="22"/>
              </w:rPr>
              <w:t>‘</w:t>
            </w:r>
            <w:r w:rsidRPr="00763EAB">
              <w:rPr>
                <w:i/>
                <w:iCs/>
                <w:color w:val="000000"/>
                <w:szCs w:val="22"/>
              </w:rPr>
              <w:t>Increasing Public Awareness in Australia on Security and Privacy Threats for Smart-Home IoT Devices’</w:t>
            </w:r>
          </w:p>
        </w:tc>
        <w:tc>
          <w:tcPr>
            <w:tcW w:w="1843" w:type="dxa"/>
            <w:tcBorders>
              <w:top w:val="single" w:sz="4" w:space="0" w:color="auto"/>
              <w:left w:val="nil"/>
              <w:bottom w:val="single" w:sz="4" w:space="0" w:color="auto"/>
              <w:right w:val="nil"/>
            </w:tcBorders>
          </w:tcPr>
          <w:p w14:paraId="4C5B84B5" w14:textId="7047C82A" w:rsidR="005D6677" w:rsidRPr="00763EAB" w:rsidRDefault="005D6677" w:rsidP="00763EAB">
            <w:pPr>
              <w:pStyle w:val="Tabletextcentred"/>
              <w:keepLines/>
              <w:rPr>
                <w:szCs w:val="22"/>
              </w:rPr>
            </w:pPr>
            <w:r w:rsidRPr="00763EAB">
              <w:rPr>
                <w:szCs w:val="22"/>
              </w:rPr>
              <w:t>$50,000</w:t>
            </w:r>
          </w:p>
        </w:tc>
      </w:tr>
      <w:tr w:rsidR="005D6677" w:rsidRPr="00763EAB" w14:paraId="6D4DE535" w14:textId="77777777" w:rsidTr="00763EAB">
        <w:trPr>
          <w:cantSplit/>
        </w:trPr>
        <w:tc>
          <w:tcPr>
            <w:tcW w:w="7655" w:type="dxa"/>
            <w:tcBorders>
              <w:top w:val="single" w:sz="4" w:space="0" w:color="auto"/>
              <w:left w:val="nil"/>
              <w:bottom w:val="single" w:sz="4" w:space="0" w:color="auto"/>
              <w:right w:val="nil"/>
            </w:tcBorders>
            <w:vAlign w:val="bottom"/>
          </w:tcPr>
          <w:p w14:paraId="667802B3" w14:textId="7B60CB0A" w:rsidR="005D6677" w:rsidRPr="00763EAB" w:rsidRDefault="005D6677" w:rsidP="009E7989">
            <w:pPr>
              <w:pStyle w:val="Tabletext"/>
              <w:keepLines/>
              <w:rPr>
                <w:szCs w:val="22"/>
              </w:rPr>
            </w:pPr>
            <w:r w:rsidRPr="00763EAB">
              <w:rPr>
                <w:color w:val="000000"/>
                <w:szCs w:val="22"/>
              </w:rPr>
              <w:t>Queensland University of Technology (Digital Media Research Centre)</w:t>
            </w:r>
            <w:r w:rsidR="009E7989">
              <w:rPr>
                <w:color w:val="000000"/>
                <w:szCs w:val="22"/>
              </w:rPr>
              <w:t>—</w:t>
            </w:r>
            <w:r w:rsidRPr="00763EAB">
              <w:rPr>
                <w:i/>
                <w:color w:val="000000"/>
                <w:szCs w:val="22"/>
              </w:rPr>
              <w:t>‘</w:t>
            </w:r>
            <w:r w:rsidRPr="00763EAB">
              <w:rPr>
                <w:i/>
                <w:iCs/>
                <w:color w:val="000000"/>
                <w:szCs w:val="22"/>
              </w:rPr>
              <w:t>Australian consumer access to digital media content’</w:t>
            </w:r>
          </w:p>
        </w:tc>
        <w:tc>
          <w:tcPr>
            <w:tcW w:w="1843" w:type="dxa"/>
            <w:tcBorders>
              <w:top w:val="single" w:sz="4" w:space="0" w:color="auto"/>
              <w:left w:val="nil"/>
              <w:bottom w:val="single" w:sz="4" w:space="0" w:color="auto"/>
              <w:right w:val="nil"/>
            </w:tcBorders>
          </w:tcPr>
          <w:p w14:paraId="250C8B6F" w14:textId="2A6408ED" w:rsidR="005D6677" w:rsidRPr="00763EAB" w:rsidRDefault="005D6677" w:rsidP="00763EAB">
            <w:pPr>
              <w:pStyle w:val="Tabletextcentred"/>
              <w:keepLines/>
              <w:rPr>
                <w:szCs w:val="22"/>
              </w:rPr>
            </w:pPr>
            <w:r w:rsidRPr="00763EAB">
              <w:rPr>
                <w:szCs w:val="22"/>
              </w:rPr>
              <w:t>$59,860</w:t>
            </w:r>
          </w:p>
        </w:tc>
      </w:tr>
      <w:tr w:rsidR="005D6677" w:rsidRPr="00763EAB" w14:paraId="1A3507E2" w14:textId="77777777" w:rsidTr="00763EAB">
        <w:trPr>
          <w:cantSplit/>
        </w:trPr>
        <w:tc>
          <w:tcPr>
            <w:tcW w:w="7655" w:type="dxa"/>
            <w:tcBorders>
              <w:top w:val="single" w:sz="4" w:space="0" w:color="auto"/>
              <w:left w:val="nil"/>
              <w:bottom w:val="single" w:sz="4" w:space="0" w:color="auto"/>
              <w:right w:val="nil"/>
            </w:tcBorders>
            <w:vAlign w:val="bottom"/>
          </w:tcPr>
          <w:p w14:paraId="605F11D2" w14:textId="61D89617" w:rsidR="005D6677" w:rsidRPr="00763EAB" w:rsidRDefault="005D6677" w:rsidP="00763EAB">
            <w:pPr>
              <w:pStyle w:val="Tabletext"/>
              <w:keepLines/>
              <w:rPr>
                <w:szCs w:val="22"/>
              </w:rPr>
            </w:pPr>
            <w:r w:rsidRPr="00763EAB">
              <w:rPr>
                <w:color w:val="000000"/>
                <w:szCs w:val="22"/>
              </w:rPr>
              <w:t>Association of Hazaras in Victoria</w:t>
            </w:r>
            <w:r w:rsidR="009E7989">
              <w:rPr>
                <w:color w:val="000000"/>
                <w:szCs w:val="22"/>
              </w:rPr>
              <w:t>—</w:t>
            </w:r>
            <w:r w:rsidRPr="00763EAB">
              <w:rPr>
                <w:i/>
                <w:color w:val="000000"/>
                <w:szCs w:val="22"/>
              </w:rPr>
              <w:t>‘</w:t>
            </w:r>
            <w:r w:rsidRPr="00763EAB">
              <w:rPr>
                <w:i/>
                <w:iCs/>
                <w:color w:val="000000"/>
                <w:szCs w:val="22"/>
              </w:rPr>
              <w:t>Telecommunications Education Project’</w:t>
            </w:r>
          </w:p>
        </w:tc>
        <w:tc>
          <w:tcPr>
            <w:tcW w:w="1843" w:type="dxa"/>
            <w:tcBorders>
              <w:top w:val="single" w:sz="4" w:space="0" w:color="auto"/>
              <w:left w:val="nil"/>
              <w:bottom w:val="single" w:sz="4" w:space="0" w:color="auto"/>
              <w:right w:val="nil"/>
            </w:tcBorders>
          </w:tcPr>
          <w:p w14:paraId="3A3B90F6" w14:textId="43C67C93" w:rsidR="005D6677" w:rsidRPr="00763EAB" w:rsidRDefault="005D6677" w:rsidP="00763EAB">
            <w:pPr>
              <w:pStyle w:val="Tabletextcentred"/>
              <w:keepLines/>
              <w:rPr>
                <w:szCs w:val="22"/>
              </w:rPr>
            </w:pPr>
            <w:r w:rsidRPr="00763EAB">
              <w:rPr>
                <w:szCs w:val="22"/>
              </w:rPr>
              <w:t>$7,500</w:t>
            </w:r>
          </w:p>
        </w:tc>
      </w:tr>
      <w:tr w:rsidR="005D6677" w:rsidRPr="00763EAB" w14:paraId="4899501D" w14:textId="77777777" w:rsidTr="00763EAB">
        <w:trPr>
          <w:cantSplit/>
        </w:trPr>
        <w:tc>
          <w:tcPr>
            <w:tcW w:w="7655" w:type="dxa"/>
            <w:tcBorders>
              <w:top w:val="single" w:sz="4" w:space="0" w:color="auto"/>
              <w:left w:val="nil"/>
              <w:bottom w:val="single" w:sz="12" w:space="0" w:color="auto"/>
              <w:right w:val="nil"/>
            </w:tcBorders>
            <w:vAlign w:val="center"/>
          </w:tcPr>
          <w:p w14:paraId="13A0098E" w14:textId="77777777" w:rsidR="005D6677" w:rsidRPr="00763EAB" w:rsidRDefault="005D6677" w:rsidP="00763EAB">
            <w:pPr>
              <w:pStyle w:val="Tabletext"/>
              <w:keepLines/>
              <w:rPr>
                <w:b/>
                <w:szCs w:val="22"/>
              </w:rPr>
            </w:pPr>
            <w:r w:rsidRPr="00763EAB">
              <w:rPr>
                <w:b/>
                <w:szCs w:val="22"/>
              </w:rPr>
              <w:t>Total</w:t>
            </w:r>
          </w:p>
        </w:tc>
        <w:tc>
          <w:tcPr>
            <w:tcW w:w="1843" w:type="dxa"/>
            <w:tcBorders>
              <w:top w:val="single" w:sz="4" w:space="0" w:color="auto"/>
              <w:left w:val="nil"/>
              <w:bottom w:val="single" w:sz="12" w:space="0" w:color="auto"/>
              <w:right w:val="nil"/>
            </w:tcBorders>
            <w:vAlign w:val="center"/>
          </w:tcPr>
          <w:p w14:paraId="7D9B4454" w14:textId="67CEE351" w:rsidR="005D6677" w:rsidRPr="00763EAB" w:rsidRDefault="005D6677" w:rsidP="00763EAB">
            <w:pPr>
              <w:pStyle w:val="Tabletextcentred"/>
              <w:keepLines/>
              <w:rPr>
                <w:b/>
                <w:szCs w:val="22"/>
              </w:rPr>
            </w:pPr>
            <w:r w:rsidRPr="00763EAB">
              <w:rPr>
                <w:b/>
                <w:szCs w:val="22"/>
              </w:rPr>
              <w:t>$282,168</w:t>
            </w:r>
          </w:p>
        </w:tc>
      </w:tr>
    </w:tbl>
    <w:p w14:paraId="7C07ABFA" w14:textId="77777777" w:rsidR="007C7DCA" w:rsidRPr="006B767D" w:rsidRDefault="007C7DCA" w:rsidP="005D239B">
      <w:pPr>
        <w:pStyle w:val="Heading2"/>
        <w:keepLines/>
        <w:spacing w:before="240"/>
      </w:pPr>
      <w:bookmarkStart w:id="7" w:name="_Toc256000019"/>
      <w:bookmarkStart w:id="8" w:name="_Toc256000014"/>
      <w:bookmarkStart w:id="9" w:name="_Toc256000009"/>
      <w:bookmarkStart w:id="10" w:name="_Toc256000004"/>
      <w:bookmarkStart w:id="11" w:name="_Toc471463034"/>
      <w:bookmarkStart w:id="12" w:name="_Toc471208854"/>
      <w:bookmarkStart w:id="13" w:name="_Toc382493211"/>
      <w:bookmarkStart w:id="14" w:name="_Toc412126163"/>
      <w:bookmarkStart w:id="15" w:name="_Toc500146087"/>
      <w:r w:rsidRPr="006B767D">
        <w:t xml:space="preserve">Financial </w:t>
      </w:r>
      <w:r>
        <w:t>Accounts</w:t>
      </w:r>
      <w:bookmarkEnd w:id="7"/>
      <w:bookmarkEnd w:id="8"/>
      <w:bookmarkEnd w:id="9"/>
      <w:bookmarkEnd w:id="10"/>
      <w:bookmarkEnd w:id="11"/>
      <w:bookmarkEnd w:id="15"/>
    </w:p>
    <w:p w14:paraId="4D5D86D0" w14:textId="77777777" w:rsidR="007C7DCA" w:rsidRPr="00763EAB" w:rsidRDefault="007C7DCA" w:rsidP="00763EAB">
      <w:pPr>
        <w:keepLines/>
        <w:spacing w:after="120"/>
      </w:pPr>
      <w:r w:rsidRPr="00763EAB">
        <w:t xml:space="preserve">There were no significant changes in the nature of ACCAN’s activities during the financial year. The independent auditor of ACCAN’s financial accounts found that the accounts were prepared in accordance with the </w:t>
      </w:r>
      <w:r w:rsidRPr="00763EAB">
        <w:rPr>
          <w:i/>
        </w:rPr>
        <w:t>Corporations Act 2001</w:t>
      </w:r>
      <w:r w:rsidRPr="00763EAB">
        <w:t xml:space="preserve"> and:</w:t>
      </w:r>
    </w:p>
    <w:p w14:paraId="1809B01C" w14:textId="381F89D0" w:rsidR="007C7DCA" w:rsidRPr="00763EAB" w:rsidRDefault="007C7DCA" w:rsidP="00763EAB">
      <w:pPr>
        <w:keepLines/>
        <w:numPr>
          <w:ilvl w:val="0"/>
          <w:numId w:val="44"/>
        </w:numPr>
        <w:tabs>
          <w:tab w:val="left" w:pos="426"/>
        </w:tabs>
        <w:spacing w:after="120"/>
        <w:ind w:left="425" w:hanging="425"/>
      </w:pPr>
      <w:r w:rsidRPr="00763EAB">
        <w:lastRenderedPageBreak/>
        <w:t>gave a true and fair view of ACCAN’s financial position as at 30 June 2017 and its performance for the year ended on that date</w:t>
      </w:r>
      <w:r w:rsidR="00AA14C4">
        <w:t>,</w:t>
      </w:r>
      <w:r w:rsidRPr="00763EAB">
        <w:t xml:space="preserve"> and</w:t>
      </w:r>
    </w:p>
    <w:p w14:paraId="46B5CDC8" w14:textId="7F670E15" w:rsidR="007C7DCA" w:rsidRPr="00763EAB" w:rsidRDefault="007C7DCA" w:rsidP="00763EAB">
      <w:pPr>
        <w:keepLines/>
        <w:numPr>
          <w:ilvl w:val="0"/>
          <w:numId w:val="44"/>
        </w:numPr>
        <w:tabs>
          <w:tab w:val="left" w:pos="426"/>
        </w:tabs>
        <w:spacing w:after="120"/>
        <w:ind w:left="425" w:hanging="425"/>
      </w:pPr>
      <w:r w:rsidRPr="00763EAB">
        <w:t>complied with Australian Accounting Standards</w:t>
      </w:r>
      <w:r w:rsidR="009E7989">
        <w:t>—</w:t>
      </w:r>
      <w:r w:rsidRPr="00763EAB">
        <w:t>Reduced Disclosure Requirements</w:t>
      </w:r>
      <w:r w:rsidR="00467C16" w:rsidRPr="00763EAB">
        <w:t xml:space="preserve">, the </w:t>
      </w:r>
      <w:r w:rsidR="00467C16" w:rsidRPr="00763EAB">
        <w:rPr>
          <w:i/>
        </w:rPr>
        <w:t xml:space="preserve">Australian Charities and Not-for-profits Commission Act 2012, </w:t>
      </w:r>
      <w:r w:rsidR="00467C16" w:rsidRPr="00763EAB">
        <w:t xml:space="preserve">and </w:t>
      </w:r>
      <w:r w:rsidR="00467C16" w:rsidRPr="00763EAB">
        <w:rPr>
          <w:i/>
        </w:rPr>
        <w:t>Australian Charities and Not-for-profits Commission Regulation 2013,</w:t>
      </w:r>
      <w:r w:rsidRPr="00763EAB">
        <w:t xml:space="preserve"> and the </w:t>
      </w:r>
      <w:r w:rsidRPr="00763EAB">
        <w:rPr>
          <w:i/>
        </w:rPr>
        <w:t>Corporations Regulations 2001.</w:t>
      </w:r>
      <w:bookmarkEnd w:id="12"/>
      <w:bookmarkEnd w:id="13"/>
      <w:bookmarkEnd w:id="14"/>
    </w:p>
    <w:sectPr w:rsidR="007C7DCA" w:rsidRPr="00763EAB" w:rsidSect="00B74F9F">
      <w:headerReference w:type="default" r:id="rId18"/>
      <w:footerReference w:type="default" r:id="rId19"/>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461EA" w14:textId="77777777" w:rsidR="001469FA" w:rsidRDefault="001469FA" w:rsidP="003F0A2D">
      <w:pPr>
        <w:spacing w:after="0"/>
      </w:pPr>
      <w:r>
        <w:separator/>
      </w:r>
    </w:p>
  </w:endnote>
  <w:endnote w:type="continuationSeparator" w:id="0">
    <w:p w14:paraId="7D654A8E" w14:textId="77777777" w:rsidR="001469FA" w:rsidRDefault="001469FA"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9CB7" w14:textId="77777777" w:rsidR="001469FA" w:rsidRDefault="001469FA" w:rsidP="00297528">
    <w:pPr>
      <w:pStyle w:val="Footer"/>
      <w:ind w:left="-1418"/>
    </w:pPr>
    <w:r>
      <w:rPr>
        <w:noProof/>
        <w:lang w:eastAsia="en-AU"/>
      </w:rPr>
      <w:drawing>
        <wp:inline distT="0" distB="0" distL="0" distR="0" wp14:anchorId="3826011F" wp14:editId="2505CA1F">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6341" w14:textId="3F340ECE" w:rsidR="001469FA" w:rsidRPr="0037566A" w:rsidRDefault="009E7989" w:rsidP="00D83284">
    <w:pPr>
      <w:pStyle w:val="Footer"/>
      <w:tabs>
        <w:tab w:val="clear" w:pos="9026"/>
        <w:tab w:val="right" w:pos="9333"/>
      </w:tabs>
      <w:rPr>
        <w:sz w:val="18"/>
        <w:szCs w:val="18"/>
      </w:rPr>
    </w:pPr>
    <w:r w:rsidRPr="009E7989">
      <w:rPr>
        <w:sz w:val="18"/>
        <w:szCs w:val="18"/>
      </w:rPr>
      <w:t>Funding of telecommunications consumer</w:t>
    </w:r>
    <w:r w:rsidR="001469FA">
      <w:rPr>
        <w:sz w:val="18"/>
        <w:szCs w:val="18"/>
      </w:rPr>
      <w:tab/>
    </w:r>
    <w:hyperlink r:id="rId1" w:history="1">
      <w:r w:rsidR="001469FA" w:rsidRPr="0037566A">
        <w:rPr>
          <w:rStyle w:val="Hyperlink"/>
          <w:sz w:val="18"/>
          <w:szCs w:val="18"/>
        </w:rPr>
        <w:t>www.communications.gov.au</w:t>
      </w:r>
    </w:hyperlink>
  </w:p>
  <w:p w14:paraId="1C3F7774" w14:textId="034A1F31" w:rsidR="001469FA" w:rsidRPr="00B74F9F" w:rsidRDefault="009E7989" w:rsidP="00D83284">
    <w:pPr>
      <w:pStyle w:val="Footer"/>
      <w:tabs>
        <w:tab w:val="clear" w:pos="9026"/>
        <w:tab w:val="right" w:pos="9333"/>
      </w:tabs>
      <w:rPr>
        <w:rStyle w:val="Hyperlink"/>
        <w:color w:val="auto"/>
        <w:sz w:val="18"/>
        <w:szCs w:val="18"/>
      </w:rPr>
    </w:pPr>
    <w:r w:rsidRPr="009E7989">
      <w:rPr>
        <w:sz w:val="18"/>
        <w:szCs w:val="18"/>
      </w:rPr>
      <w:t>representation grants—</w:t>
    </w:r>
    <w:r w:rsidR="001469FA" w:rsidRPr="0037566A">
      <w:rPr>
        <w:sz w:val="18"/>
        <w:szCs w:val="18"/>
      </w:rPr>
      <w:tab/>
    </w:r>
    <w:hyperlink r:id="rId2" w:history="1">
      <w:r w:rsidR="001469FA" w:rsidRPr="0037566A">
        <w:rPr>
          <w:rStyle w:val="Hyperlink"/>
          <w:sz w:val="18"/>
          <w:szCs w:val="18"/>
        </w:rPr>
        <w:t>www.arts.gov.au</w:t>
      </w:r>
    </w:hyperlink>
    <w:r w:rsidR="001469FA" w:rsidRPr="00B74F9F">
      <w:rPr>
        <w:sz w:val="18"/>
        <w:szCs w:val="18"/>
      </w:rPr>
      <w:t xml:space="preserve"> </w:t>
    </w:r>
    <w:r w:rsidR="001469FA" w:rsidRPr="0037566A">
      <w:rPr>
        <w:sz w:val="18"/>
        <w:szCs w:val="18"/>
      </w:rPr>
      <w:tab/>
    </w:r>
    <w:sdt>
      <w:sdtPr>
        <w:rPr>
          <w:sz w:val="18"/>
          <w:szCs w:val="18"/>
        </w:rPr>
        <w:id w:val="-984167973"/>
        <w:docPartObj>
          <w:docPartGallery w:val="Page Numbers (Top of Page)"/>
          <w:docPartUnique/>
        </w:docPartObj>
      </w:sdtPr>
      <w:sdtEndPr/>
      <w:sdtContent>
        <w:r w:rsidR="001469FA" w:rsidRPr="0037566A">
          <w:rPr>
            <w:sz w:val="18"/>
            <w:szCs w:val="18"/>
          </w:rPr>
          <w:t xml:space="preserve">Page </w:t>
        </w:r>
        <w:r w:rsidR="001469FA" w:rsidRPr="0037566A">
          <w:rPr>
            <w:bCs/>
            <w:sz w:val="18"/>
            <w:szCs w:val="18"/>
          </w:rPr>
          <w:fldChar w:fldCharType="begin"/>
        </w:r>
        <w:r w:rsidR="001469FA" w:rsidRPr="0037566A">
          <w:rPr>
            <w:bCs/>
            <w:sz w:val="18"/>
            <w:szCs w:val="18"/>
          </w:rPr>
          <w:instrText xml:space="preserve"> PAGE </w:instrText>
        </w:r>
        <w:r w:rsidR="001469FA" w:rsidRPr="0037566A">
          <w:rPr>
            <w:bCs/>
            <w:sz w:val="18"/>
            <w:szCs w:val="18"/>
          </w:rPr>
          <w:fldChar w:fldCharType="separate"/>
        </w:r>
        <w:r w:rsidR="004427F9">
          <w:rPr>
            <w:bCs/>
            <w:noProof/>
            <w:sz w:val="18"/>
            <w:szCs w:val="18"/>
          </w:rPr>
          <w:t>3</w:t>
        </w:r>
        <w:r w:rsidR="001469FA" w:rsidRPr="0037566A">
          <w:rPr>
            <w:bCs/>
            <w:sz w:val="18"/>
            <w:szCs w:val="18"/>
          </w:rPr>
          <w:fldChar w:fldCharType="end"/>
        </w:r>
        <w:r w:rsidR="001469FA" w:rsidRPr="0037566A">
          <w:rPr>
            <w:sz w:val="18"/>
            <w:szCs w:val="18"/>
          </w:rPr>
          <w:t xml:space="preserve"> of </w:t>
        </w:r>
        <w:r w:rsidR="001469FA" w:rsidRPr="0037566A">
          <w:rPr>
            <w:bCs/>
            <w:sz w:val="18"/>
            <w:szCs w:val="18"/>
          </w:rPr>
          <w:fldChar w:fldCharType="begin"/>
        </w:r>
        <w:r w:rsidR="001469FA" w:rsidRPr="0037566A">
          <w:rPr>
            <w:bCs/>
            <w:sz w:val="18"/>
            <w:szCs w:val="18"/>
          </w:rPr>
          <w:instrText xml:space="preserve"> NUMPAGES  </w:instrText>
        </w:r>
        <w:r w:rsidR="001469FA" w:rsidRPr="0037566A">
          <w:rPr>
            <w:bCs/>
            <w:sz w:val="18"/>
            <w:szCs w:val="18"/>
          </w:rPr>
          <w:fldChar w:fldCharType="separate"/>
        </w:r>
        <w:r w:rsidR="004427F9">
          <w:rPr>
            <w:bCs/>
            <w:noProof/>
            <w:sz w:val="18"/>
            <w:szCs w:val="18"/>
          </w:rPr>
          <w:t>6</w:t>
        </w:r>
        <w:r w:rsidR="001469FA" w:rsidRPr="0037566A">
          <w:rPr>
            <w:bCs/>
            <w:sz w:val="18"/>
            <w:szCs w:val="18"/>
          </w:rPr>
          <w:fldChar w:fldCharType="end"/>
        </w:r>
      </w:sdtContent>
    </w:sdt>
  </w:p>
  <w:p w14:paraId="49D65184" w14:textId="061BDD60" w:rsidR="001469FA" w:rsidRPr="00B74F9F" w:rsidRDefault="009E7989" w:rsidP="00EF66EB">
    <w:pPr>
      <w:pStyle w:val="Footer"/>
      <w:tabs>
        <w:tab w:val="clear" w:pos="9026"/>
        <w:tab w:val="right" w:pos="9333"/>
      </w:tabs>
      <w:rPr>
        <w:rStyle w:val="Hyperlink"/>
        <w:color w:val="auto"/>
        <w:sz w:val="18"/>
        <w:szCs w:val="18"/>
      </w:rPr>
    </w:pPr>
    <w:r w:rsidRPr="009E7989">
      <w:rPr>
        <w:sz w:val="18"/>
        <w:szCs w:val="18"/>
      </w:rPr>
      <w:t>annual report 2016</w:t>
    </w:r>
    <w:r w:rsidR="00AA14C4" w:rsidRPr="009E7989">
      <w:rPr>
        <w:sz w:val="18"/>
        <w:szCs w:val="18"/>
      </w:rPr>
      <w:t>–17</w:t>
    </w:r>
    <w:r w:rsidR="001469FA" w:rsidRPr="0037566A">
      <w:rPr>
        <w:sz w:val="18"/>
        <w:szCs w:val="18"/>
      </w:rPr>
      <w:tab/>
    </w:r>
    <w:hyperlink r:id="rId3" w:history="1">
      <w:r w:rsidR="001469FA"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B64AD" w14:textId="77777777" w:rsidR="001469FA" w:rsidRDefault="001469FA" w:rsidP="003F0A2D">
      <w:pPr>
        <w:spacing w:after="0"/>
      </w:pPr>
      <w:r>
        <w:separator/>
      </w:r>
    </w:p>
  </w:footnote>
  <w:footnote w:type="continuationSeparator" w:id="0">
    <w:p w14:paraId="19E2E1FD" w14:textId="77777777" w:rsidR="001469FA" w:rsidRDefault="001469FA" w:rsidP="003F0A2D">
      <w:pPr>
        <w:spacing w:after="0"/>
      </w:pPr>
      <w:r>
        <w:continuationSeparator/>
      </w:r>
    </w:p>
  </w:footnote>
  <w:footnote w:id="1">
    <w:p w14:paraId="4BFF56C4" w14:textId="0859AAA3" w:rsidR="001469FA" w:rsidRPr="002D5980" w:rsidRDefault="001469FA" w:rsidP="00763EAB">
      <w:pPr>
        <w:spacing w:after="0"/>
        <w:rPr>
          <w:sz w:val="18"/>
          <w:szCs w:val="16"/>
        </w:rPr>
      </w:pPr>
      <w:r w:rsidRPr="002D5980">
        <w:rPr>
          <w:rStyle w:val="FootnoteReference"/>
          <w:sz w:val="24"/>
        </w:rPr>
        <w:t>*</w:t>
      </w:r>
      <w:r w:rsidR="009E7989">
        <w:rPr>
          <w:sz w:val="18"/>
          <w:szCs w:val="16"/>
        </w:rPr>
        <w:t>2016–17</w:t>
      </w:r>
      <w:r w:rsidRPr="002D5980">
        <w:rPr>
          <w:sz w:val="18"/>
          <w:szCs w:val="16"/>
        </w:rPr>
        <w:t xml:space="preserve"> IGP funds were augmented with $25,182 returned after a contract was terminated in 2015</w:t>
      </w:r>
      <w:r w:rsidR="009E7989">
        <w:rPr>
          <w:sz w:val="18"/>
          <w:szCs w:val="16"/>
        </w:rPr>
        <w:t>–</w:t>
      </w:r>
      <w:r w:rsidRPr="002D5980">
        <w:rPr>
          <w:sz w:val="18"/>
          <w:szCs w:val="16"/>
        </w:rPr>
        <w:t>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537D" w14:textId="77777777" w:rsidR="001469FA" w:rsidRDefault="001469FA" w:rsidP="003F0A2D">
    <w:pPr>
      <w:pStyle w:val="Header"/>
      <w:ind w:left="-1418"/>
    </w:pPr>
    <w:r>
      <w:rPr>
        <w:noProof/>
        <w:lang w:eastAsia="en-AU"/>
      </w:rPr>
      <w:drawing>
        <wp:inline distT="0" distB="0" distL="0" distR="0" wp14:anchorId="6A27C227" wp14:editId="12504988">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28EC1A5" w14:textId="5ED53D22" w:rsidR="001469FA" w:rsidRPr="009A56D0" w:rsidRDefault="001469FA"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763EAB">
      <w:rPr>
        <w:color w:val="07478C"/>
      </w:rPr>
      <w:t>Novem</w:t>
    </w:r>
    <w:r>
      <w:rPr>
        <w:color w:val="07478C"/>
      </w:rPr>
      <w:t>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119C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E5DD6"/>
    <w:multiLevelType w:val="hybridMultilevel"/>
    <w:tmpl w:val="223228B8"/>
    <w:lvl w:ilvl="0" w:tplc="94725890">
      <w:start w:val="1"/>
      <w:numFmt w:val="bullet"/>
      <w:lvlText w:val=""/>
      <w:lvlJc w:val="left"/>
      <w:pPr>
        <w:ind w:left="360" w:hanging="360"/>
      </w:pPr>
      <w:rPr>
        <w:rFonts w:ascii="Symbol" w:hAnsi="Symbol" w:hint="default"/>
      </w:rPr>
    </w:lvl>
    <w:lvl w:ilvl="1" w:tplc="26C813AE" w:tentative="1">
      <w:start w:val="1"/>
      <w:numFmt w:val="bullet"/>
      <w:lvlText w:val="o"/>
      <w:lvlJc w:val="left"/>
      <w:pPr>
        <w:ind w:left="1080" w:hanging="360"/>
      </w:pPr>
      <w:rPr>
        <w:rFonts w:ascii="Courier New" w:hAnsi="Courier New" w:cs="Courier New" w:hint="default"/>
      </w:rPr>
    </w:lvl>
    <w:lvl w:ilvl="2" w:tplc="7250DB22" w:tentative="1">
      <w:start w:val="1"/>
      <w:numFmt w:val="bullet"/>
      <w:lvlText w:val=""/>
      <w:lvlJc w:val="left"/>
      <w:pPr>
        <w:ind w:left="1800" w:hanging="360"/>
      </w:pPr>
      <w:rPr>
        <w:rFonts w:ascii="Wingdings" w:hAnsi="Wingdings" w:hint="default"/>
      </w:rPr>
    </w:lvl>
    <w:lvl w:ilvl="3" w:tplc="47BA3726" w:tentative="1">
      <w:start w:val="1"/>
      <w:numFmt w:val="bullet"/>
      <w:lvlText w:val=""/>
      <w:lvlJc w:val="left"/>
      <w:pPr>
        <w:ind w:left="2520" w:hanging="360"/>
      </w:pPr>
      <w:rPr>
        <w:rFonts w:ascii="Symbol" w:hAnsi="Symbol" w:hint="default"/>
      </w:rPr>
    </w:lvl>
    <w:lvl w:ilvl="4" w:tplc="35AA2740" w:tentative="1">
      <w:start w:val="1"/>
      <w:numFmt w:val="bullet"/>
      <w:lvlText w:val="o"/>
      <w:lvlJc w:val="left"/>
      <w:pPr>
        <w:ind w:left="3240" w:hanging="360"/>
      </w:pPr>
      <w:rPr>
        <w:rFonts w:ascii="Courier New" w:hAnsi="Courier New" w:cs="Courier New" w:hint="default"/>
      </w:rPr>
    </w:lvl>
    <w:lvl w:ilvl="5" w:tplc="223A9110" w:tentative="1">
      <w:start w:val="1"/>
      <w:numFmt w:val="bullet"/>
      <w:lvlText w:val=""/>
      <w:lvlJc w:val="left"/>
      <w:pPr>
        <w:ind w:left="3960" w:hanging="360"/>
      </w:pPr>
      <w:rPr>
        <w:rFonts w:ascii="Wingdings" w:hAnsi="Wingdings" w:hint="default"/>
      </w:rPr>
    </w:lvl>
    <w:lvl w:ilvl="6" w:tplc="8A901B0E" w:tentative="1">
      <w:start w:val="1"/>
      <w:numFmt w:val="bullet"/>
      <w:lvlText w:val=""/>
      <w:lvlJc w:val="left"/>
      <w:pPr>
        <w:ind w:left="4680" w:hanging="360"/>
      </w:pPr>
      <w:rPr>
        <w:rFonts w:ascii="Symbol" w:hAnsi="Symbol" w:hint="default"/>
      </w:rPr>
    </w:lvl>
    <w:lvl w:ilvl="7" w:tplc="29B2E75C" w:tentative="1">
      <w:start w:val="1"/>
      <w:numFmt w:val="bullet"/>
      <w:lvlText w:val="o"/>
      <w:lvlJc w:val="left"/>
      <w:pPr>
        <w:ind w:left="5400" w:hanging="360"/>
      </w:pPr>
      <w:rPr>
        <w:rFonts w:ascii="Courier New" w:hAnsi="Courier New" w:cs="Courier New" w:hint="default"/>
      </w:rPr>
    </w:lvl>
    <w:lvl w:ilvl="8" w:tplc="54D87BFE" w:tentative="1">
      <w:start w:val="1"/>
      <w:numFmt w:val="bullet"/>
      <w:lvlText w:val=""/>
      <w:lvlJc w:val="left"/>
      <w:pPr>
        <w:ind w:left="6120" w:hanging="360"/>
      </w:pPr>
      <w:rPr>
        <w:rFonts w:ascii="Wingdings" w:hAnsi="Wingdings" w:hint="default"/>
      </w:rPr>
    </w:lvl>
  </w:abstractNum>
  <w:abstractNum w:abstractNumId="31"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513E79"/>
    <w:multiLevelType w:val="hybridMultilevel"/>
    <w:tmpl w:val="BAA0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41"/>
  </w:num>
  <w:num w:numId="4">
    <w:abstractNumId w:val="0"/>
  </w:num>
  <w:num w:numId="5">
    <w:abstractNumId w:val="37"/>
  </w:num>
  <w:num w:numId="6">
    <w:abstractNumId w:val="29"/>
  </w:num>
  <w:num w:numId="7">
    <w:abstractNumId w:val="28"/>
  </w:num>
  <w:num w:numId="8">
    <w:abstractNumId w:val="34"/>
  </w:num>
  <w:num w:numId="9">
    <w:abstractNumId w:val="31"/>
  </w:num>
  <w:num w:numId="10">
    <w:abstractNumId w:val="38"/>
  </w:num>
  <w:num w:numId="11">
    <w:abstractNumId w:val="35"/>
  </w:num>
  <w:num w:numId="12">
    <w:abstractNumId w:val="44"/>
  </w:num>
  <w:num w:numId="13">
    <w:abstractNumId w:val="4"/>
  </w:num>
  <w:num w:numId="14">
    <w:abstractNumId w:val="18"/>
  </w:num>
  <w:num w:numId="15">
    <w:abstractNumId w:val="14"/>
  </w:num>
  <w:num w:numId="16">
    <w:abstractNumId w:val="2"/>
  </w:num>
  <w:num w:numId="17">
    <w:abstractNumId w:val="24"/>
  </w:num>
  <w:num w:numId="18">
    <w:abstractNumId w:val="10"/>
  </w:num>
  <w:num w:numId="19">
    <w:abstractNumId w:val="33"/>
  </w:num>
  <w:num w:numId="20">
    <w:abstractNumId w:val="17"/>
  </w:num>
  <w:num w:numId="21">
    <w:abstractNumId w:val="40"/>
  </w:num>
  <w:num w:numId="22">
    <w:abstractNumId w:val="13"/>
  </w:num>
  <w:num w:numId="23">
    <w:abstractNumId w:val="21"/>
  </w:num>
  <w:num w:numId="24">
    <w:abstractNumId w:val="3"/>
  </w:num>
  <w:num w:numId="25">
    <w:abstractNumId w:val="11"/>
  </w:num>
  <w:num w:numId="26">
    <w:abstractNumId w:val="39"/>
  </w:num>
  <w:num w:numId="27">
    <w:abstractNumId w:val="42"/>
  </w:num>
  <w:num w:numId="28">
    <w:abstractNumId w:val="26"/>
  </w:num>
  <w:num w:numId="29">
    <w:abstractNumId w:val="1"/>
  </w:num>
  <w:num w:numId="30">
    <w:abstractNumId w:val="12"/>
  </w:num>
  <w:num w:numId="31">
    <w:abstractNumId w:val="25"/>
  </w:num>
  <w:num w:numId="32">
    <w:abstractNumId w:val="6"/>
  </w:num>
  <w:num w:numId="33">
    <w:abstractNumId w:val="43"/>
  </w:num>
  <w:num w:numId="34">
    <w:abstractNumId w:val="15"/>
  </w:num>
  <w:num w:numId="35">
    <w:abstractNumId w:val="5"/>
  </w:num>
  <w:num w:numId="36">
    <w:abstractNumId w:val="23"/>
  </w:num>
  <w:num w:numId="37">
    <w:abstractNumId w:val="19"/>
  </w:num>
  <w:num w:numId="38">
    <w:abstractNumId w:val="22"/>
  </w:num>
  <w:num w:numId="39">
    <w:abstractNumId w:val="32"/>
  </w:num>
  <w:num w:numId="40">
    <w:abstractNumId w:val="8"/>
  </w:num>
  <w:num w:numId="41">
    <w:abstractNumId w:val="9"/>
  </w:num>
  <w:num w:numId="42">
    <w:abstractNumId w:val="20"/>
  </w:num>
  <w:num w:numId="43">
    <w:abstractNumId w:val="7"/>
  </w:num>
  <w:num w:numId="44">
    <w:abstractNumId w:val="30"/>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88"/>
    <w:rsid w:val="0002014A"/>
    <w:rsid w:val="000249BC"/>
    <w:rsid w:val="00027088"/>
    <w:rsid w:val="00060605"/>
    <w:rsid w:val="000752A1"/>
    <w:rsid w:val="0008143D"/>
    <w:rsid w:val="0008611B"/>
    <w:rsid w:val="0009305F"/>
    <w:rsid w:val="000C460E"/>
    <w:rsid w:val="000E0F9A"/>
    <w:rsid w:val="000E18E3"/>
    <w:rsid w:val="000E1A93"/>
    <w:rsid w:val="000E7299"/>
    <w:rsid w:val="000F2ED9"/>
    <w:rsid w:val="001465BA"/>
    <w:rsid w:val="001469FA"/>
    <w:rsid w:val="0017581F"/>
    <w:rsid w:val="00183E66"/>
    <w:rsid w:val="001F3924"/>
    <w:rsid w:val="00225F14"/>
    <w:rsid w:val="00226203"/>
    <w:rsid w:val="0024105A"/>
    <w:rsid w:val="00256601"/>
    <w:rsid w:val="00285881"/>
    <w:rsid w:val="00297528"/>
    <w:rsid w:val="002B0472"/>
    <w:rsid w:val="002B41F3"/>
    <w:rsid w:val="002C6102"/>
    <w:rsid w:val="002C6776"/>
    <w:rsid w:val="002D5980"/>
    <w:rsid w:val="002D6192"/>
    <w:rsid w:val="002D7EAC"/>
    <w:rsid w:val="00311C35"/>
    <w:rsid w:val="00330317"/>
    <w:rsid w:val="0034609F"/>
    <w:rsid w:val="003509FE"/>
    <w:rsid w:val="0037566A"/>
    <w:rsid w:val="00380D75"/>
    <w:rsid w:val="00391A40"/>
    <w:rsid w:val="003929F5"/>
    <w:rsid w:val="003A224E"/>
    <w:rsid w:val="003E4658"/>
    <w:rsid w:val="003F0A2D"/>
    <w:rsid w:val="0040012A"/>
    <w:rsid w:val="0040622C"/>
    <w:rsid w:val="00437E90"/>
    <w:rsid w:val="004427F9"/>
    <w:rsid w:val="0045434B"/>
    <w:rsid w:val="00467C16"/>
    <w:rsid w:val="0047258C"/>
    <w:rsid w:val="00490F2B"/>
    <w:rsid w:val="00496448"/>
    <w:rsid w:val="004C5FB0"/>
    <w:rsid w:val="004C719D"/>
    <w:rsid w:val="004D1391"/>
    <w:rsid w:val="004F3C4E"/>
    <w:rsid w:val="00502933"/>
    <w:rsid w:val="00507E41"/>
    <w:rsid w:val="00510E3F"/>
    <w:rsid w:val="0051167E"/>
    <w:rsid w:val="005263B0"/>
    <w:rsid w:val="00534F43"/>
    <w:rsid w:val="00535ADA"/>
    <w:rsid w:val="0053791B"/>
    <w:rsid w:val="00540B2F"/>
    <w:rsid w:val="00556638"/>
    <w:rsid w:val="00566376"/>
    <w:rsid w:val="00567FAF"/>
    <w:rsid w:val="0057510D"/>
    <w:rsid w:val="00575C20"/>
    <w:rsid w:val="00597042"/>
    <w:rsid w:val="005B3C09"/>
    <w:rsid w:val="005D239B"/>
    <w:rsid w:val="005D6677"/>
    <w:rsid w:val="005E1624"/>
    <w:rsid w:val="005F08D5"/>
    <w:rsid w:val="0060346D"/>
    <w:rsid w:val="00606BE5"/>
    <w:rsid w:val="006124B9"/>
    <w:rsid w:val="00612A2A"/>
    <w:rsid w:val="00630E91"/>
    <w:rsid w:val="00641088"/>
    <w:rsid w:val="0064771D"/>
    <w:rsid w:val="006A19A2"/>
    <w:rsid w:val="006A5852"/>
    <w:rsid w:val="006D014F"/>
    <w:rsid w:val="006F2CD4"/>
    <w:rsid w:val="00704775"/>
    <w:rsid w:val="00712D56"/>
    <w:rsid w:val="00715BC8"/>
    <w:rsid w:val="00763EAB"/>
    <w:rsid w:val="00770928"/>
    <w:rsid w:val="00785DEB"/>
    <w:rsid w:val="00796C39"/>
    <w:rsid w:val="007A5031"/>
    <w:rsid w:val="007C0935"/>
    <w:rsid w:val="007C7DCA"/>
    <w:rsid w:val="0080530D"/>
    <w:rsid w:val="00815DD0"/>
    <w:rsid w:val="00823305"/>
    <w:rsid w:val="00832492"/>
    <w:rsid w:val="0084603E"/>
    <w:rsid w:val="00852E5C"/>
    <w:rsid w:val="00853419"/>
    <w:rsid w:val="0086336E"/>
    <w:rsid w:val="00884C93"/>
    <w:rsid w:val="008A0CB2"/>
    <w:rsid w:val="008A312B"/>
    <w:rsid w:val="008A6EBC"/>
    <w:rsid w:val="008B1335"/>
    <w:rsid w:val="008C0218"/>
    <w:rsid w:val="008C6204"/>
    <w:rsid w:val="008C6C53"/>
    <w:rsid w:val="008D36D1"/>
    <w:rsid w:val="0091036B"/>
    <w:rsid w:val="009150E9"/>
    <w:rsid w:val="00933ABA"/>
    <w:rsid w:val="00941E27"/>
    <w:rsid w:val="009456E0"/>
    <w:rsid w:val="00945743"/>
    <w:rsid w:val="00987507"/>
    <w:rsid w:val="009A56D0"/>
    <w:rsid w:val="009B1126"/>
    <w:rsid w:val="009E7989"/>
    <w:rsid w:val="00A273A2"/>
    <w:rsid w:val="00A405FC"/>
    <w:rsid w:val="00A50344"/>
    <w:rsid w:val="00A53936"/>
    <w:rsid w:val="00A625B3"/>
    <w:rsid w:val="00A669A1"/>
    <w:rsid w:val="00A7176A"/>
    <w:rsid w:val="00A72966"/>
    <w:rsid w:val="00AA14C4"/>
    <w:rsid w:val="00AA40DB"/>
    <w:rsid w:val="00AA58EE"/>
    <w:rsid w:val="00AB2962"/>
    <w:rsid w:val="00AC0DDF"/>
    <w:rsid w:val="00AD1838"/>
    <w:rsid w:val="00AF277C"/>
    <w:rsid w:val="00B25364"/>
    <w:rsid w:val="00B370BC"/>
    <w:rsid w:val="00B64A4F"/>
    <w:rsid w:val="00B72C06"/>
    <w:rsid w:val="00B74F9F"/>
    <w:rsid w:val="00B94092"/>
    <w:rsid w:val="00BB1F2D"/>
    <w:rsid w:val="00BE6F9D"/>
    <w:rsid w:val="00C53C30"/>
    <w:rsid w:val="00C61D2E"/>
    <w:rsid w:val="00C6576B"/>
    <w:rsid w:val="00C93B86"/>
    <w:rsid w:val="00C97AC9"/>
    <w:rsid w:val="00CA300D"/>
    <w:rsid w:val="00CD41C6"/>
    <w:rsid w:val="00CE2524"/>
    <w:rsid w:val="00D03788"/>
    <w:rsid w:val="00D24D05"/>
    <w:rsid w:val="00D54A6E"/>
    <w:rsid w:val="00D630D5"/>
    <w:rsid w:val="00D830ED"/>
    <w:rsid w:val="00D83284"/>
    <w:rsid w:val="00D83613"/>
    <w:rsid w:val="00DB095A"/>
    <w:rsid w:val="00DD4718"/>
    <w:rsid w:val="00DE770A"/>
    <w:rsid w:val="00E12CFB"/>
    <w:rsid w:val="00E240F8"/>
    <w:rsid w:val="00E24CC5"/>
    <w:rsid w:val="00E44CA1"/>
    <w:rsid w:val="00E56962"/>
    <w:rsid w:val="00E85992"/>
    <w:rsid w:val="00E9552F"/>
    <w:rsid w:val="00EA57D7"/>
    <w:rsid w:val="00EB64F7"/>
    <w:rsid w:val="00ED6E52"/>
    <w:rsid w:val="00EF66EB"/>
    <w:rsid w:val="00F0693D"/>
    <w:rsid w:val="00F222BC"/>
    <w:rsid w:val="00F22CCE"/>
    <w:rsid w:val="00F36EFE"/>
    <w:rsid w:val="00F41896"/>
    <w:rsid w:val="00F729AE"/>
    <w:rsid w:val="00F977DF"/>
    <w:rsid w:val="00FA414F"/>
    <w:rsid w:val="00FA743F"/>
    <w:rsid w:val="00FA7C28"/>
    <w:rsid w:val="00FB1442"/>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218D5D"/>
  <w15:chartTrackingRefBased/>
  <w15:docId w15:val="{F456DE9E-EB2F-4A51-AA20-1E48D45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30"/>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unhideWhenUsed/>
    <w:rsid w:val="00987507"/>
    <w:pPr>
      <w:spacing w:after="200"/>
    </w:pPr>
    <w:rPr>
      <w:sz w:val="20"/>
      <w:szCs w:val="20"/>
    </w:rPr>
  </w:style>
  <w:style w:type="character" w:customStyle="1" w:styleId="CommentTextChar">
    <w:name w:val="Comment Text Char"/>
    <w:basedOn w:val="DefaultParagraphFont"/>
    <w:link w:val="CommentText"/>
    <w:uiPriority w:val="99"/>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pPr>
      <w:ind w:left="567"/>
    </w:pPr>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rsid w:val="00226203"/>
    <w:pPr>
      <w:pageBreakBefore/>
      <w:numPr>
        <w:numId w:val="41"/>
      </w:numPr>
      <w:ind w:left="851" w:hanging="851"/>
    </w:pPr>
  </w:style>
  <w:style w:type="paragraph" w:customStyle="1" w:styleId="Heading3-list">
    <w:name w:val="Heading 3 - list"/>
    <w:basedOn w:val="Heading3"/>
    <w:next w:val="Normal"/>
    <w:rsid w:val="00987507"/>
    <w:pPr>
      <w:numPr>
        <w:ilvl w:val="1"/>
        <w:numId w:val="41"/>
      </w:numPr>
      <w:ind w:left="851" w:hanging="851"/>
    </w:pPr>
  </w:style>
  <w:style w:type="paragraph" w:customStyle="1" w:styleId="Heading4-list">
    <w:name w:val="Heading 4 - list"/>
    <w:basedOn w:val="Heading4"/>
    <w:next w:val="Normal"/>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ccan.org.au/submissions" TargetMode="External"/><Relationship Id="rId2" Type="http://schemas.openxmlformats.org/officeDocument/2006/relationships/customXml" Target="../customXml/item2.xml"/><Relationship Id="rId16" Type="http://schemas.openxmlformats.org/officeDocument/2006/relationships/hyperlink" Target="http://accan.org.au/about/annual-repo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4DB0D4-E638-4866-9A19-C38349981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E8A4F1F6-F8E9-4015-873B-122577F5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0</TotalTime>
  <Pages>6</Pages>
  <Words>1329</Words>
  <Characters>7580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of telecommunications consumer representation grants—annual report 2016–17</dc:title>
  <dc:subject/>
  <dc:creator>Lees, Colin</dc:creator>
  <cp:keywords/>
  <dc:description/>
  <cp:lastModifiedBy>Department of Communications and the Arts</cp:lastModifiedBy>
  <cp:revision>2</cp:revision>
  <cp:lastPrinted>2017-10-30T02:57:00Z</cp:lastPrinted>
  <dcterms:created xsi:type="dcterms:W3CDTF">2017-12-03T23:51:00Z</dcterms:created>
  <dcterms:modified xsi:type="dcterms:W3CDTF">2017-12-03T23:51:00Z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0x01010093A6368D7756F841BF70C428B8020122</vt:lpwstr>
  </property>
  <property fmtid="{D5CDD505-2E9C-101B-9397-08002B2CF9AE}" pid="3" name="TrimRevisionNumber">
    <vt:i4>12</vt:i4>
  </property>
</Properties>
</file>