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9D5E5" w14:textId="77777777" w:rsidR="0075055C" w:rsidRPr="003E55CD" w:rsidRDefault="0075055C" w:rsidP="0075055C">
      <w:pPr>
        <w:pStyle w:val="Heading1"/>
        <w:jc w:val="center"/>
        <w:rPr>
          <w:color w:val="000000"/>
          <w:sz w:val="36"/>
          <w:lang w:val="en-GB"/>
        </w:rPr>
      </w:pPr>
      <w:r w:rsidRPr="003E55CD">
        <w:rPr>
          <w:color w:val="000000"/>
          <w:sz w:val="36"/>
          <w:lang w:val="en-GB"/>
        </w:rPr>
        <w:t>Explanatory Note</w:t>
      </w:r>
    </w:p>
    <w:p w14:paraId="3CBF6093" w14:textId="36547C0C" w:rsidR="0075055C" w:rsidRPr="003E55CD" w:rsidRDefault="0075055C" w:rsidP="0075055C">
      <w:pPr>
        <w:jc w:val="center"/>
        <w:rPr>
          <w:rFonts w:cs="Calibri"/>
          <w:szCs w:val="24"/>
          <w:lang w:eastAsia="en-AU"/>
        </w:rPr>
      </w:pPr>
      <w:r w:rsidRPr="003E55CD">
        <w:rPr>
          <w:szCs w:val="24"/>
          <w:lang w:eastAsia="en-AU"/>
        </w:rPr>
        <w:t xml:space="preserve">Issued by the Authority of </w:t>
      </w:r>
      <w:r w:rsidR="00C81E64" w:rsidRPr="003E55CD">
        <w:rPr>
          <w:szCs w:val="24"/>
          <w:lang w:eastAsia="en-AU"/>
        </w:rPr>
        <w:t>the Minister for Communications</w:t>
      </w:r>
      <w:r w:rsidR="00A73A9D" w:rsidRPr="003E55CD">
        <w:rPr>
          <w:szCs w:val="24"/>
          <w:lang w:eastAsia="en-AU"/>
        </w:rPr>
        <w:t>, Cyber Safety and the Arts</w:t>
      </w:r>
    </w:p>
    <w:p w14:paraId="14E8B716" w14:textId="77777777" w:rsidR="0075055C" w:rsidRPr="003E55CD" w:rsidRDefault="0075055C" w:rsidP="0075055C">
      <w:pPr>
        <w:spacing w:after="100" w:afterAutospacing="1" w:line="360" w:lineRule="auto"/>
        <w:contextualSpacing/>
        <w:jc w:val="center"/>
        <w:rPr>
          <w:i/>
          <w:szCs w:val="24"/>
          <w:lang w:eastAsia="en-AU"/>
        </w:rPr>
      </w:pPr>
      <w:r w:rsidRPr="003E55CD">
        <w:rPr>
          <w:i/>
          <w:szCs w:val="24"/>
          <w:lang w:eastAsia="en-AU"/>
        </w:rPr>
        <w:t>Telecommunications Act 1997</w:t>
      </w:r>
    </w:p>
    <w:p w14:paraId="15587FB7" w14:textId="77777777" w:rsidR="0075055C" w:rsidRPr="003E55CD" w:rsidRDefault="0075055C" w:rsidP="0075055C">
      <w:pPr>
        <w:jc w:val="center"/>
        <w:rPr>
          <w:i/>
          <w:sz w:val="2"/>
          <w:lang w:eastAsia="en-AU"/>
        </w:rPr>
      </w:pPr>
    </w:p>
    <w:p w14:paraId="7F283A69" w14:textId="6380018C" w:rsidR="0075055C" w:rsidRPr="003E55CD" w:rsidRDefault="0075055C" w:rsidP="006C0A1D">
      <w:pPr>
        <w:jc w:val="center"/>
        <w:outlineLvl w:val="0"/>
        <w:rPr>
          <w:i/>
          <w:sz w:val="28"/>
          <w:szCs w:val="28"/>
          <w:lang w:eastAsia="en-AU"/>
        </w:rPr>
      </w:pPr>
      <w:r w:rsidRPr="003E55CD">
        <w:rPr>
          <w:i/>
          <w:sz w:val="28"/>
          <w:szCs w:val="28"/>
          <w:lang w:eastAsia="en-AU"/>
        </w:rPr>
        <w:t>Telecom</w:t>
      </w:r>
      <w:r w:rsidR="00F96D70" w:rsidRPr="003E55CD">
        <w:rPr>
          <w:i/>
          <w:sz w:val="28"/>
          <w:szCs w:val="28"/>
          <w:lang w:eastAsia="en-AU"/>
        </w:rPr>
        <w:t>munications (</w:t>
      </w:r>
      <w:r w:rsidR="002509C4" w:rsidRPr="003E55CD">
        <w:rPr>
          <w:i/>
          <w:sz w:val="28"/>
          <w:szCs w:val="28"/>
          <w:lang w:eastAsia="en-AU"/>
        </w:rPr>
        <w:t>Local Access Lines</w:t>
      </w:r>
      <w:r w:rsidR="00F96D70" w:rsidRPr="003E55CD">
        <w:rPr>
          <w:i/>
          <w:sz w:val="28"/>
          <w:szCs w:val="28"/>
          <w:lang w:eastAsia="en-AU"/>
        </w:rPr>
        <w:t xml:space="preserve"> Exemption—SmartFarmNet</w:t>
      </w:r>
      <w:r w:rsidRPr="003E55CD">
        <w:rPr>
          <w:i/>
          <w:sz w:val="28"/>
          <w:szCs w:val="28"/>
          <w:lang w:eastAsia="en-AU"/>
        </w:rPr>
        <w:t>)</w:t>
      </w:r>
      <w:r w:rsidR="00914E3F" w:rsidRPr="003E55CD">
        <w:rPr>
          <w:i/>
          <w:sz w:val="28"/>
          <w:szCs w:val="28"/>
          <w:lang w:eastAsia="en-AU"/>
        </w:rPr>
        <w:t xml:space="preserve"> </w:t>
      </w:r>
      <w:r w:rsidRPr="003E55CD">
        <w:rPr>
          <w:i/>
          <w:sz w:val="28"/>
          <w:szCs w:val="28"/>
          <w:lang w:eastAsia="en-AU"/>
        </w:rPr>
        <w:t>Instrum</w:t>
      </w:r>
      <w:r w:rsidR="00F96D70" w:rsidRPr="003E55CD">
        <w:rPr>
          <w:i/>
          <w:sz w:val="28"/>
          <w:szCs w:val="28"/>
          <w:lang w:eastAsia="en-AU"/>
        </w:rPr>
        <w:t>ent 20</w:t>
      </w:r>
      <w:r w:rsidR="00E55218" w:rsidRPr="003E55CD">
        <w:rPr>
          <w:i/>
          <w:sz w:val="28"/>
          <w:szCs w:val="28"/>
          <w:lang w:eastAsia="en-AU"/>
        </w:rPr>
        <w:t>20</w:t>
      </w:r>
    </w:p>
    <w:p w14:paraId="4555D16B" w14:textId="77777777" w:rsidR="008F2593" w:rsidRPr="003E55CD" w:rsidRDefault="00B40F09" w:rsidP="006C0A1D">
      <w:pPr>
        <w:pStyle w:val="Heading2"/>
      </w:pPr>
      <w:r w:rsidRPr="003E55CD">
        <w:t>Authority</w:t>
      </w:r>
    </w:p>
    <w:p w14:paraId="084FD8B5" w14:textId="5EFA8309" w:rsidR="00B40F09" w:rsidRPr="003E55CD" w:rsidRDefault="00B40F09" w:rsidP="008F2593">
      <w:pPr>
        <w:rPr>
          <w:szCs w:val="24"/>
        </w:rPr>
      </w:pPr>
      <w:r w:rsidRPr="003E55CD">
        <w:rPr>
          <w:szCs w:val="24"/>
        </w:rPr>
        <w:t>Subsection 141A(</w:t>
      </w:r>
      <w:r w:rsidR="002509C4" w:rsidRPr="003E55CD">
        <w:rPr>
          <w:szCs w:val="24"/>
        </w:rPr>
        <w:t>2</w:t>
      </w:r>
      <w:r w:rsidRPr="003E55CD">
        <w:rPr>
          <w:szCs w:val="24"/>
        </w:rPr>
        <w:t xml:space="preserve">) of the </w:t>
      </w:r>
      <w:r w:rsidRPr="003E55CD">
        <w:rPr>
          <w:i/>
          <w:szCs w:val="24"/>
        </w:rPr>
        <w:t>Telecommunications Act 1997</w:t>
      </w:r>
      <w:r w:rsidRPr="003E55CD">
        <w:rPr>
          <w:szCs w:val="24"/>
        </w:rPr>
        <w:t xml:space="preserve"> (the Act) confers power on the Minister for Communications</w:t>
      </w:r>
      <w:r w:rsidR="00A73A9D" w:rsidRPr="003E55CD">
        <w:rPr>
          <w:szCs w:val="24"/>
        </w:rPr>
        <w:t>, Cyber Safety and the Arts</w:t>
      </w:r>
      <w:r w:rsidRPr="003E55CD">
        <w:rPr>
          <w:szCs w:val="24"/>
        </w:rPr>
        <w:t xml:space="preserve"> to exempt specified</w:t>
      </w:r>
      <w:r w:rsidR="00FC2741" w:rsidRPr="003E55CD">
        <w:rPr>
          <w:szCs w:val="24"/>
        </w:rPr>
        <w:t xml:space="preserve"> local access</w:t>
      </w:r>
      <w:r w:rsidRPr="003E55CD">
        <w:rPr>
          <w:szCs w:val="24"/>
        </w:rPr>
        <w:t xml:space="preserve"> </w:t>
      </w:r>
      <w:r w:rsidR="002509C4" w:rsidRPr="003E55CD">
        <w:rPr>
          <w:szCs w:val="24"/>
        </w:rPr>
        <w:t>lines</w:t>
      </w:r>
      <w:r w:rsidRPr="003E55CD">
        <w:rPr>
          <w:szCs w:val="24"/>
        </w:rPr>
        <w:t xml:space="preserve"> from the </w:t>
      </w:r>
      <w:r w:rsidR="00F90C5C" w:rsidRPr="003E55CD">
        <w:rPr>
          <w:szCs w:val="24"/>
        </w:rPr>
        <w:t xml:space="preserve">Layer </w:t>
      </w:r>
      <w:r w:rsidRPr="003E55CD">
        <w:rPr>
          <w:szCs w:val="24"/>
        </w:rPr>
        <w:t>2 bitstream requirements of section 141 of the Act.</w:t>
      </w:r>
      <w:r w:rsidR="00C14869" w:rsidRPr="003E55CD">
        <w:rPr>
          <w:szCs w:val="24"/>
        </w:rPr>
        <w:t xml:space="preserve"> </w:t>
      </w:r>
      <w:r w:rsidR="00A80A09" w:rsidRPr="003E55CD">
        <w:rPr>
          <w:szCs w:val="24"/>
        </w:rPr>
        <w:t>Subsection 144(</w:t>
      </w:r>
      <w:r w:rsidR="002509C4" w:rsidRPr="003E55CD">
        <w:rPr>
          <w:szCs w:val="24"/>
        </w:rPr>
        <w:t>2</w:t>
      </w:r>
      <w:r w:rsidR="00A80A09" w:rsidRPr="003E55CD">
        <w:rPr>
          <w:szCs w:val="24"/>
        </w:rPr>
        <w:t xml:space="preserve">) of the Act confers power on the Minister to exempt specified </w:t>
      </w:r>
      <w:r w:rsidR="00FC2741" w:rsidRPr="003E55CD">
        <w:rPr>
          <w:szCs w:val="24"/>
        </w:rPr>
        <w:t xml:space="preserve">local access </w:t>
      </w:r>
      <w:r w:rsidR="002509C4" w:rsidRPr="003E55CD">
        <w:rPr>
          <w:szCs w:val="24"/>
        </w:rPr>
        <w:t>line</w:t>
      </w:r>
      <w:r w:rsidR="00A80A09" w:rsidRPr="003E55CD">
        <w:rPr>
          <w:szCs w:val="24"/>
        </w:rPr>
        <w:t>s from the wholesale</w:t>
      </w:r>
      <w:r w:rsidR="005D5870" w:rsidRPr="003E55CD">
        <w:rPr>
          <w:szCs w:val="24"/>
        </w:rPr>
        <w:t>-</w:t>
      </w:r>
      <w:r w:rsidR="00A80A09" w:rsidRPr="003E55CD">
        <w:rPr>
          <w:szCs w:val="24"/>
        </w:rPr>
        <w:t>only requirements of section 143 of the Act.</w:t>
      </w:r>
      <w:r w:rsidR="008F2593" w:rsidRPr="003E55CD">
        <w:rPr>
          <w:szCs w:val="24"/>
        </w:rPr>
        <w:t xml:space="preserve"> Subsections</w:t>
      </w:r>
      <w:r w:rsidR="00FC2741" w:rsidRPr="003E55CD">
        <w:rPr>
          <w:szCs w:val="24"/>
        </w:rPr>
        <w:t xml:space="preserve"> </w:t>
      </w:r>
      <w:r w:rsidR="008F2593" w:rsidRPr="003E55CD">
        <w:rPr>
          <w:szCs w:val="24"/>
        </w:rPr>
        <w:t>14</w:t>
      </w:r>
      <w:r w:rsidR="00FC2741" w:rsidRPr="003E55CD">
        <w:rPr>
          <w:szCs w:val="24"/>
        </w:rPr>
        <w:t>1</w:t>
      </w:r>
      <w:r w:rsidR="008F2593" w:rsidRPr="003E55CD">
        <w:rPr>
          <w:szCs w:val="24"/>
        </w:rPr>
        <w:t>A(4) and 14</w:t>
      </w:r>
      <w:r w:rsidR="005E2F10" w:rsidRPr="003E55CD">
        <w:rPr>
          <w:szCs w:val="24"/>
        </w:rPr>
        <w:t>4(4) provide that the related ex</w:t>
      </w:r>
      <w:r w:rsidR="008F2593" w:rsidRPr="003E55CD">
        <w:rPr>
          <w:szCs w:val="24"/>
        </w:rPr>
        <w:t>e</w:t>
      </w:r>
      <w:r w:rsidR="005E2F10" w:rsidRPr="003E55CD">
        <w:rPr>
          <w:szCs w:val="24"/>
        </w:rPr>
        <w:t>m</w:t>
      </w:r>
      <w:r w:rsidR="008F2593" w:rsidRPr="003E55CD">
        <w:rPr>
          <w:szCs w:val="24"/>
        </w:rPr>
        <w:t xml:space="preserve">ption instrument may be unconditional or subject to such conditions (if any) as are specified in the instrument. </w:t>
      </w:r>
    </w:p>
    <w:p w14:paraId="00A3A3A8" w14:textId="254D03AF" w:rsidR="0071130A" w:rsidRPr="003E55CD" w:rsidRDefault="0071130A">
      <w:pPr>
        <w:rPr>
          <w:szCs w:val="24"/>
        </w:rPr>
      </w:pPr>
      <w:r w:rsidRPr="003E55CD">
        <w:rPr>
          <w:szCs w:val="24"/>
        </w:rPr>
        <w:t xml:space="preserve">This Instrument is not a legislative instrument for the purposes of the </w:t>
      </w:r>
      <w:r w:rsidRPr="003E55CD">
        <w:rPr>
          <w:i/>
          <w:szCs w:val="24"/>
        </w:rPr>
        <w:t>Legislati</w:t>
      </w:r>
      <w:r w:rsidR="00577C30" w:rsidRPr="003E55CD">
        <w:rPr>
          <w:i/>
          <w:szCs w:val="24"/>
        </w:rPr>
        <w:t>on</w:t>
      </w:r>
      <w:r w:rsidR="008C2193" w:rsidRPr="003E55CD">
        <w:rPr>
          <w:i/>
          <w:szCs w:val="24"/>
        </w:rPr>
        <w:t> </w:t>
      </w:r>
      <w:r w:rsidRPr="003E55CD">
        <w:rPr>
          <w:i/>
          <w:szCs w:val="24"/>
        </w:rPr>
        <w:t>Act 2003</w:t>
      </w:r>
      <w:r w:rsidRPr="003E55CD">
        <w:rPr>
          <w:szCs w:val="24"/>
        </w:rPr>
        <w:t xml:space="preserve"> (see subsections 141A(6) and 144(6) of the Act).</w:t>
      </w:r>
    </w:p>
    <w:p w14:paraId="20CA1290" w14:textId="77777777" w:rsidR="00350D5A" w:rsidRPr="003E55CD" w:rsidRDefault="00350D5A" w:rsidP="006C0A1D">
      <w:pPr>
        <w:pStyle w:val="Heading2"/>
      </w:pPr>
      <w:r w:rsidRPr="003E55CD">
        <w:lastRenderedPageBreak/>
        <w:t>Purpose</w:t>
      </w:r>
    </w:p>
    <w:p w14:paraId="623EE3E6" w14:textId="30D6C625" w:rsidR="005E2F10" w:rsidRPr="003E55CD" w:rsidRDefault="00350D5A">
      <w:pPr>
        <w:rPr>
          <w:szCs w:val="24"/>
        </w:rPr>
      </w:pPr>
      <w:r w:rsidRPr="003E55CD">
        <w:rPr>
          <w:szCs w:val="24"/>
        </w:rPr>
        <w:t xml:space="preserve">The purpose of this Instrument is to </w:t>
      </w:r>
      <w:r w:rsidR="00F96D70" w:rsidRPr="003E55CD">
        <w:rPr>
          <w:szCs w:val="24"/>
        </w:rPr>
        <w:t xml:space="preserve">grant exemptions for Technomics International </w:t>
      </w:r>
      <w:r w:rsidR="00EE1A5C" w:rsidRPr="003E55CD">
        <w:rPr>
          <w:szCs w:val="24"/>
        </w:rPr>
        <w:t>Pty</w:t>
      </w:r>
      <w:r w:rsidR="00F96D70" w:rsidRPr="003E55CD">
        <w:rPr>
          <w:szCs w:val="24"/>
        </w:rPr>
        <w:t xml:space="preserve"> Limited</w:t>
      </w:r>
      <w:r w:rsidR="00EE1A5C" w:rsidRPr="003E55CD">
        <w:rPr>
          <w:szCs w:val="24"/>
        </w:rPr>
        <w:t xml:space="preserve"> (A</w:t>
      </w:r>
      <w:r w:rsidR="00F46A3B" w:rsidRPr="003E55CD">
        <w:rPr>
          <w:szCs w:val="24"/>
        </w:rPr>
        <w:t>C</w:t>
      </w:r>
      <w:r w:rsidR="00EE1A5C" w:rsidRPr="003E55CD">
        <w:rPr>
          <w:szCs w:val="24"/>
        </w:rPr>
        <w:t>N 085 129 915)</w:t>
      </w:r>
      <w:r w:rsidR="00F96D70" w:rsidRPr="003E55CD">
        <w:rPr>
          <w:szCs w:val="24"/>
        </w:rPr>
        <w:t xml:space="preserve">, </w:t>
      </w:r>
      <w:r w:rsidR="00EE1A5C" w:rsidRPr="003E55CD">
        <w:rPr>
          <w:szCs w:val="24"/>
        </w:rPr>
        <w:t>with the registered business name</w:t>
      </w:r>
      <w:r w:rsidR="00F96D70" w:rsidRPr="003E55CD">
        <w:rPr>
          <w:szCs w:val="24"/>
        </w:rPr>
        <w:t xml:space="preserve"> SmartFarmNet, from the requirements of Parts 7 and 8 of the</w:t>
      </w:r>
      <w:r w:rsidR="00EE1A5C" w:rsidRPr="003E55CD">
        <w:rPr>
          <w:szCs w:val="24"/>
        </w:rPr>
        <w:t xml:space="preserve"> Act</w:t>
      </w:r>
      <w:r w:rsidRPr="003E55CD">
        <w:rPr>
          <w:szCs w:val="24"/>
        </w:rPr>
        <w:t>.</w:t>
      </w:r>
      <w:r w:rsidR="00C4751D" w:rsidRPr="003E55CD">
        <w:rPr>
          <w:szCs w:val="24"/>
          <w:vertAlign w:val="superscript"/>
        </w:rPr>
        <w:footnoteReference w:id="2"/>
      </w:r>
    </w:p>
    <w:p w14:paraId="6DB2BAA9" w14:textId="77777777" w:rsidR="00350D5A" w:rsidRPr="003E55CD" w:rsidRDefault="00350D5A" w:rsidP="006C0A1D">
      <w:pPr>
        <w:pStyle w:val="Heading2"/>
      </w:pPr>
      <w:r w:rsidRPr="003E55CD">
        <w:t>Background</w:t>
      </w:r>
    </w:p>
    <w:p w14:paraId="7CAFCFE7" w14:textId="4D287761" w:rsidR="0054340F" w:rsidRPr="003E55CD" w:rsidRDefault="00FC2741" w:rsidP="0054340F">
      <w:pPr>
        <w:spacing w:after="0"/>
        <w:rPr>
          <w:szCs w:val="24"/>
        </w:rPr>
      </w:pPr>
      <w:r w:rsidRPr="003E55CD">
        <w:rPr>
          <w:szCs w:val="24"/>
        </w:rPr>
        <w:t>Parts 7 and 8</w:t>
      </w:r>
      <w:r w:rsidR="0054340F" w:rsidRPr="003E55CD">
        <w:rPr>
          <w:szCs w:val="24"/>
        </w:rPr>
        <w:t xml:space="preserve"> affect local access lines that are:</w:t>
      </w:r>
    </w:p>
    <w:p w14:paraId="7FC7DCCE" w14:textId="53CDD12A" w:rsidR="0054340F" w:rsidRPr="003E55CD" w:rsidRDefault="0054340F" w:rsidP="006C0A1D">
      <w:pPr>
        <w:pStyle w:val="ListParagraph"/>
        <w:numPr>
          <w:ilvl w:val="0"/>
          <w:numId w:val="7"/>
        </w:numPr>
        <w:ind w:left="567" w:hanging="567"/>
        <w:rPr>
          <w:szCs w:val="24"/>
        </w:rPr>
      </w:pPr>
      <w:r w:rsidRPr="003E55CD">
        <w:rPr>
          <w:szCs w:val="24"/>
        </w:rPr>
        <w:t xml:space="preserve">part of a network built after 1 January 2011 and used to supply superfast carriage services </w:t>
      </w:r>
      <w:r w:rsidR="00C4751D" w:rsidRPr="003E55CD">
        <w:rPr>
          <w:szCs w:val="24"/>
        </w:rPr>
        <w:t xml:space="preserve">(that is, services that normally provide a download transmission speed of more than 25 Megabits per second) </w:t>
      </w:r>
      <w:r w:rsidRPr="003E55CD">
        <w:rPr>
          <w:szCs w:val="24"/>
        </w:rPr>
        <w:t>wholly or principally to residential and small business customers; or</w:t>
      </w:r>
    </w:p>
    <w:p w14:paraId="316ECFD6" w14:textId="77777777" w:rsidR="0054340F" w:rsidRPr="003E55CD" w:rsidRDefault="0054340F" w:rsidP="006C0A1D">
      <w:pPr>
        <w:pStyle w:val="ListParagraph"/>
        <w:numPr>
          <w:ilvl w:val="0"/>
          <w:numId w:val="7"/>
        </w:numPr>
        <w:ind w:left="567" w:hanging="567"/>
        <w:rPr>
          <w:szCs w:val="24"/>
        </w:rPr>
      </w:pPr>
      <w:r w:rsidRPr="003E55CD">
        <w:rPr>
          <w:szCs w:val="24"/>
        </w:rPr>
        <w:t>part of a network built before 1 January 2011 that is upgraded or a</w:t>
      </w:r>
      <w:r w:rsidR="007719A9" w:rsidRPr="003E55CD">
        <w:rPr>
          <w:szCs w:val="24"/>
        </w:rPr>
        <w:t>lter</w:t>
      </w:r>
      <w:r w:rsidRPr="003E55CD">
        <w:rPr>
          <w:szCs w:val="24"/>
        </w:rPr>
        <w:t xml:space="preserve">ed after 1 January 2011 so that it became capable of being used to supply superfast carriage services to residential or small business customers. </w:t>
      </w:r>
    </w:p>
    <w:p w14:paraId="0328081B" w14:textId="5E24DDD5" w:rsidR="0054340F" w:rsidRPr="003E55CD" w:rsidRDefault="0054340F" w:rsidP="006C0A1D">
      <w:pPr>
        <w:keepLines/>
        <w:rPr>
          <w:szCs w:val="24"/>
        </w:rPr>
      </w:pPr>
      <w:r w:rsidRPr="003E55CD">
        <w:rPr>
          <w:szCs w:val="24"/>
        </w:rPr>
        <w:t xml:space="preserve">Under Part 7 and </w:t>
      </w:r>
      <w:r w:rsidR="007642B2" w:rsidRPr="003E55CD">
        <w:rPr>
          <w:szCs w:val="24"/>
        </w:rPr>
        <w:t xml:space="preserve">the </w:t>
      </w:r>
      <w:r w:rsidRPr="003E55CD">
        <w:rPr>
          <w:szCs w:val="24"/>
        </w:rPr>
        <w:t xml:space="preserve">associated provisions of the </w:t>
      </w:r>
      <w:r w:rsidRPr="003E55CD">
        <w:rPr>
          <w:i/>
          <w:szCs w:val="24"/>
        </w:rPr>
        <w:t>Competition and Consumer Act 2010</w:t>
      </w:r>
      <w:r w:rsidRPr="003E55CD">
        <w:rPr>
          <w:szCs w:val="24"/>
        </w:rPr>
        <w:t xml:space="preserve">, Layer 2 bitstream services must be made available on such networks on an open access and non-discriminatory basis. </w:t>
      </w:r>
      <w:r w:rsidRPr="003E55CD">
        <w:rPr>
          <w:szCs w:val="24"/>
        </w:rPr>
        <w:lastRenderedPageBreak/>
        <w:t>Under Part 8, a controller of such a network is required to operate it on a wholesale-only basis.</w:t>
      </w:r>
    </w:p>
    <w:p w14:paraId="31CBB29A" w14:textId="1C1F1DA6" w:rsidR="0054340F" w:rsidRPr="003E55CD" w:rsidRDefault="00C14869" w:rsidP="00350D5A">
      <w:pPr>
        <w:rPr>
          <w:szCs w:val="24"/>
        </w:rPr>
      </w:pPr>
      <w:r w:rsidRPr="003E55CD">
        <w:rPr>
          <w:szCs w:val="24"/>
        </w:rPr>
        <w:t>SmartFarmNet</w:t>
      </w:r>
      <w:r w:rsidR="0054340F" w:rsidRPr="003E55CD">
        <w:rPr>
          <w:szCs w:val="24"/>
        </w:rPr>
        <w:t xml:space="preserve"> </w:t>
      </w:r>
      <w:r w:rsidR="00585B76" w:rsidRPr="003E55CD">
        <w:rPr>
          <w:szCs w:val="24"/>
        </w:rPr>
        <w:t xml:space="preserve">has </w:t>
      </w:r>
      <w:r w:rsidR="0054340F" w:rsidRPr="003E55CD">
        <w:rPr>
          <w:szCs w:val="24"/>
        </w:rPr>
        <w:t>requested exemptions from Part 7 and Part 8 of the Act for its</w:t>
      </w:r>
      <w:r w:rsidRPr="003E55CD">
        <w:rPr>
          <w:szCs w:val="24"/>
        </w:rPr>
        <w:t xml:space="preserve"> proposed</w:t>
      </w:r>
      <w:r w:rsidR="0054340F" w:rsidRPr="003E55CD">
        <w:rPr>
          <w:szCs w:val="24"/>
        </w:rPr>
        <w:t xml:space="preserve"> </w:t>
      </w:r>
      <w:r w:rsidRPr="003E55CD">
        <w:rPr>
          <w:szCs w:val="24"/>
        </w:rPr>
        <w:t>fibre-to-the-premises</w:t>
      </w:r>
      <w:r w:rsidR="0054340F" w:rsidRPr="003E55CD">
        <w:rPr>
          <w:szCs w:val="24"/>
        </w:rPr>
        <w:t xml:space="preserve"> network </w:t>
      </w:r>
      <w:r w:rsidRPr="003E55CD">
        <w:rPr>
          <w:szCs w:val="24"/>
        </w:rPr>
        <w:t xml:space="preserve">in rural areas outside the NBN </w:t>
      </w:r>
      <w:r w:rsidR="006D3AC4" w:rsidRPr="003E55CD">
        <w:rPr>
          <w:szCs w:val="24"/>
        </w:rPr>
        <w:t xml:space="preserve">Co </w:t>
      </w:r>
      <w:r w:rsidRPr="003E55CD">
        <w:rPr>
          <w:szCs w:val="24"/>
        </w:rPr>
        <w:t>fixed-line footprint for a period of 30 years.</w:t>
      </w:r>
    </w:p>
    <w:p w14:paraId="113B56B0" w14:textId="4A6B8A84" w:rsidR="0054340F" w:rsidRPr="003E55CD" w:rsidRDefault="00350D5A" w:rsidP="00350D5A">
      <w:pPr>
        <w:rPr>
          <w:szCs w:val="24"/>
        </w:rPr>
      </w:pPr>
      <w:r w:rsidRPr="003E55CD">
        <w:rPr>
          <w:szCs w:val="24"/>
        </w:rPr>
        <w:t>In accordance with subsections 141A(5) and 144(5) of the Act</w:t>
      </w:r>
      <w:r w:rsidR="007642B2" w:rsidRPr="003E55CD">
        <w:rPr>
          <w:szCs w:val="24"/>
        </w:rPr>
        <w:t xml:space="preserve">, </w:t>
      </w:r>
      <w:r w:rsidRPr="003E55CD">
        <w:rPr>
          <w:szCs w:val="24"/>
        </w:rPr>
        <w:t xml:space="preserve">the Minister wrote to the Chairs of the </w:t>
      </w:r>
      <w:r w:rsidR="00A92C4E" w:rsidRPr="003E55CD">
        <w:rPr>
          <w:szCs w:val="24"/>
        </w:rPr>
        <w:t>Australian Competition and Consumer Commission (</w:t>
      </w:r>
      <w:r w:rsidRPr="003E55CD">
        <w:rPr>
          <w:szCs w:val="24"/>
        </w:rPr>
        <w:t>ACCC</w:t>
      </w:r>
      <w:r w:rsidR="00A92C4E" w:rsidRPr="003E55CD">
        <w:rPr>
          <w:szCs w:val="24"/>
        </w:rPr>
        <w:t>)</w:t>
      </w:r>
      <w:r w:rsidRPr="003E55CD">
        <w:rPr>
          <w:szCs w:val="24"/>
        </w:rPr>
        <w:t xml:space="preserve"> and the </w:t>
      </w:r>
      <w:r w:rsidR="00A92C4E" w:rsidRPr="003E55CD">
        <w:rPr>
          <w:szCs w:val="24"/>
        </w:rPr>
        <w:t>Australian Communications and Media Authority (</w:t>
      </w:r>
      <w:r w:rsidRPr="003E55CD">
        <w:rPr>
          <w:szCs w:val="24"/>
        </w:rPr>
        <w:t>ACMA</w:t>
      </w:r>
      <w:r w:rsidR="00A92C4E" w:rsidRPr="003E55CD">
        <w:rPr>
          <w:szCs w:val="24"/>
        </w:rPr>
        <w:t>)</w:t>
      </w:r>
      <w:r w:rsidRPr="003E55CD">
        <w:rPr>
          <w:szCs w:val="24"/>
        </w:rPr>
        <w:t xml:space="preserve"> to </w:t>
      </w:r>
      <w:r w:rsidR="00C14869" w:rsidRPr="003E55CD">
        <w:rPr>
          <w:szCs w:val="24"/>
        </w:rPr>
        <w:t>seek their comments on SmartFarmNet</w:t>
      </w:r>
      <w:r w:rsidR="00F90C5C" w:rsidRPr="003E55CD">
        <w:rPr>
          <w:szCs w:val="24"/>
        </w:rPr>
        <w:t>’s request</w:t>
      </w:r>
      <w:r w:rsidR="00006369" w:rsidRPr="003E55CD">
        <w:rPr>
          <w:szCs w:val="24"/>
        </w:rPr>
        <w:t>.</w:t>
      </w:r>
    </w:p>
    <w:p w14:paraId="2C794F04" w14:textId="53E782F9" w:rsidR="00350D5A" w:rsidRPr="003E55CD" w:rsidRDefault="00585B76" w:rsidP="00350D5A">
      <w:pPr>
        <w:rPr>
          <w:szCs w:val="24"/>
        </w:rPr>
      </w:pPr>
      <w:r w:rsidRPr="003E55CD">
        <w:rPr>
          <w:szCs w:val="24"/>
        </w:rPr>
        <w:t>T</w:t>
      </w:r>
      <w:r w:rsidR="00006369" w:rsidRPr="003E55CD">
        <w:rPr>
          <w:szCs w:val="24"/>
        </w:rPr>
        <w:t>he ACCC</w:t>
      </w:r>
      <w:r w:rsidR="00350D5A" w:rsidRPr="003E55CD">
        <w:rPr>
          <w:szCs w:val="24"/>
        </w:rPr>
        <w:t xml:space="preserve"> </w:t>
      </w:r>
      <w:r w:rsidR="008F2593" w:rsidRPr="003E55CD">
        <w:rPr>
          <w:szCs w:val="24"/>
        </w:rPr>
        <w:t xml:space="preserve">and the ACMA each </w:t>
      </w:r>
      <w:r w:rsidR="00350D5A" w:rsidRPr="003E55CD">
        <w:rPr>
          <w:szCs w:val="24"/>
        </w:rPr>
        <w:t xml:space="preserve">provided </w:t>
      </w:r>
      <w:r w:rsidR="008F2593" w:rsidRPr="003E55CD">
        <w:rPr>
          <w:szCs w:val="24"/>
        </w:rPr>
        <w:t xml:space="preserve">their </w:t>
      </w:r>
      <w:r w:rsidR="00350D5A" w:rsidRPr="003E55CD">
        <w:rPr>
          <w:szCs w:val="24"/>
        </w:rPr>
        <w:t xml:space="preserve">formal advice to the Minister </w:t>
      </w:r>
      <w:r w:rsidR="00006369" w:rsidRPr="003E55CD">
        <w:rPr>
          <w:szCs w:val="24"/>
        </w:rPr>
        <w:t>regarding the proposal.</w:t>
      </w:r>
    </w:p>
    <w:p w14:paraId="3517D1D9" w14:textId="3C292D4A" w:rsidR="00316FA8" w:rsidRPr="003E55CD" w:rsidRDefault="00214C3C" w:rsidP="00496B86">
      <w:pPr>
        <w:spacing w:after="120"/>
        <w:rPr>
          <w:szCs w:val="24"/>
        </w:rPr>
      </w:pPr>
      <w:r w:rsidRPr="003E55CD">
        <w:rPr>
          <w:szCs w:val="24"/>
        </w:rPr>
        <w:t xml:space="preserve">The Minister </w:t>
      </w:r>
      <w:r w:rsidR="000215D3" w:rsidRPr="003E55CD">
        <w:rPr>
          <w:szCs w:val="24"/>
        </w:rPr>
        <w:t xml:space="preserve">has decided to </w:t>
      </w:r>
      <w:r w:rsidR="003E7568">
        <w:rPr>
          <w:szCs w:val="24"/>
        </w:rPr>
        <w:t>grant exemptions until 12 March</w:t>
      </w:r>
      <w:r w:rsidR="006D3AC4" w:rsidRPr="003E55CD">
        <w:rPr>
          <w:szCs w:val="24"/>
        </w:rPr>
        <w:t> 20</w:t>
      </w:r>
      <w:r w:rsidR="003E7568">
        <w:rPr>
          <w:szCs w:val="24"/>
        </w:rPr>
        <w:t>5</w:t>
      </w:r>
      <w:r w:rsidR="002509C4" w:rsidRPr="003E55CD">
        <w:rPr>
          <w:szCs w:val="24"/>
        </w:rPr>
        <w:t>0</w:t>
      </w:r>
      <w:r w:rsidR="007E1CFC" w:rsidRPr="003E55CD">
        <w:rPr>
          <w:szCs w:val="24"/>
        </w:rPr>
        <w:t xml:space="preserve"> subject to certain conditions</w:t>
      </w:r>
      <w:r w:rsidR="008C2193" w:rsidRPr="003E55CD">
        <w:rPr>
          <w:szCs w:val="24"/>
        </w:rPr>
        <w:t xml:space="preserve">. </w:t>
      </w:r>
      <w:r w:rsidR="00496B86" w:rsidRPr="003E55CD">
        <w:rPr>
          <w:szCs w:val="24"/>
        </w:rPr>
        <w:t>The decision to grant these exem</w:t>
      </w:r>
      <w:r w:rsidR="00FC2741" w:rsidRPr="003E55CD">
        <w:rPr>
          <w:szCs w:val="24"/>
        </w:rPr>
        <w:t xml:space="preserve">ptions reflects </w:t>
      </w:r>
      <w:r w:rsidR="00EE1A5C" w:rsidRPr="003E55CD">
        <w:rPr>
          <w:szCs w:val="24"/>
        </w:rPr>
        <w:t xml:space="preserve">that </w:t>
      </w:r>
      <w:r w:rsidR="00496B86" w:rsidRPr="003E55CD">
        <w:rPr>
          <w:szCs w:val="24"/>
        </w:rPr>
        <w:t>the deployment of SmartFarmNet infrastructure will:</w:t>
      </w:r>
    </w:p>
    <w:p w14:paraId="17FF7616" w14:textId="36C54564" w:rsidR="00496B86" w:rsidRPr="003E55CD" w:rsidRDefault="00496B86" w:rsidP="006C0A1D">
      <w:pPr>
        <w:pStyle w:val="ListParagraph"/>
        <w:numPr>
          <w:ilvl w:val="0"/>
          <w:numId w:val="7"/>
        </w:numPr>
        <w:ind w:left="567" w:hanging="567"/>
        <w:rPr>
          <w:szCs w:val="24"/>
        </w:rPr>
      </w:pPr>
      <w:r w:rsidRPr="003E55CD">
        <w:rPr>
          <w:szCs w:val="24"/>
        </w:rPr>
        <w:t>support high</w:t>
      </w:r>
      <w:r w:rsidR="007642B2" w:rsidRPr="003E55CD">
        <w:rPr>
          <w:szCs w:val="24"/>
        </w:rPr>
        <w:t>er</w:t>
      </w:r>
      <w:r w:rsidRPr="003E55CD">
        <w:rPr>
          <w:szCs w:val="24"/>
        </w:rPr>
        <w:t xml:space="preserve"> q</w:t>
      </w:r>
      <w:r w:rsidR="007642B2" w:rsidRPr="003E55CD">
        <w:rPr>
          <w:szCs w:val="24"/>
        </w:rPr>
        <w:t>uality and more reliable services becoming</w:t>
      </w:r>
      <w:r w:rsidR="00FC2741" w:rsidRPr="003E55CD">
        <w:rPr>
          <w:szCs w:val="24"/>
        </w:rPr>
        <w:t xml:space="preserve"> available to </w:t>
      </w:r>
      <w:r w:rsidRPr="003E55CD">
        <w:rPr>
          <w:szCs w:val="24"/>
        </w:rPr>
        <w:t>Australians</w:t>
      </w:r>
      <w:r w:rsidR="00FC2741" w:rsidRPr="003E55CD">
        <w:rPr>
          <w:szCs w:val="24"/>
        </w:rPr>
        <w:t xml:space="preserve"> in regional locations</w:t>
      </w:r>
      <w:r w:rsidRPr="003E55CD">
        <w:rPr>
          <w:szCs w:val="24"/>
        </w:rPr>
        <w:t>;</w:t>
      </w:r>
    </w:p>
    <w:p w14:paraId="3E61DBAC" w14:textId="3AD1B7FE" w:rsidR="00496B86" w:rsidRPr="003E55CD" w:rsidRDefault="00496B86" w:rsidP="006C0A1D">
      <w:pPr>
        <w:pStyle w:val="ListParagraph"/>
        <w:numPr>
          <w:ilvl w:val="0"/>
          <w:numId w:val="7"/>
        </w:numPr>
        <w:ind w:left="567" w:hanging="567"/>
        <w:rPr>
          <w:szCs w:val="24"/>
        </w:rPr>
      </w:pPr>
      <w:r w:rsidRPr="003E55CD">
        <w:rPr>
          <w:szCs w:val="24"/>
        </w:rPr>
        <w:t>promote competition and choice fo</w:t>
      </w:r>
      <w:r w:rsidR="00FC2741" w:rsidRPr="003E55CD">
        <w:rPr>
          <w:szCs w:val="24"/>
        </w:rPr>
        <w:t>r</w:t>
      </w:r>
      <w:r w:rsidR="007642B2" w:rsidRPr="003E55CD">
        <w:rPr>
          <w:szCs w:val="24"/>
        </w:rPr>
        <w:t xml:space="preserve"> Australians</w:t>
      </w:r>
      <w:r w:rsidR="00FC2741" w:rsidRPr="003E55CD">
        <w:rPr>
          <w:szCs w:val="24"/>
        </w:rPr>
        <w:t xml:space="preserve"> in regional locations</w:t>
      </w:r>
      <w:r w:rsidRPr="003E55CD">
        <w:rPr>
          <w:szCs w:val="24"/>
        </w:rPr>
        <w:t>; and</w:t>
      </w:r>
    </w:p>
    <w:p w14:paraId="45499E1F" w14:textId="5EE995EB" w:rsidR="00496B86" w:rsidRPr="003E55CD" w:rsidRDefault="003F486C" w:rsidP="006C0A1D">
      <w:pPr>
        <w:pStyle w:val="ListParagraph"/>
        <w:numPr>
          <w:ilvl w:val="0"/>
          <w:numId w:val="7"/>
        </w:numPr>
        <w:ind w:left="567" w:hanging="567"/>
        <w:rPr>
          <w:szCs w:val="24"/>
        </w:rPr>
      </w:pPr>
      <w:r w:rsidRPr="003E55CD">
        <w:rPr>
          <w:szCs w:val="24"/>
        </w:rPr>
        <w:t>not disrupt</w:t>
      </w:r>
      <w:r w:rsidR="00496B86" w:rsidRPr="003E55CD">
        <w:rPr>
          <w:szCs w:val="24"/>
        </w:rPr>
        <w:t xml:space="preserve"> the Government’s broader tel</w:t>
      </w:r>
      <w:r w:rsidR="007642B2" w:rsidRPr="003E55CD">
        <w:rPr>
          <w:szCs w:val="24"/>
        </w:rPr>
        <w:t xml:space="preserve">ecommunications reform processes, </w:t>
      </w:r>
      <w:r w:rsidR="00EE1A5C" w:rsidRPr="003E55CD">
        <w:rPr>
          <w:szCs w:val="24"/>
        </w:rPr>
        <w:t>including</w:t>
      </w:r>
      <w:r w:rsidR="007642B2" w:rsidRPr="003E55CD">
        <w:rPr>
          <w:szCs w:val="24"/>
        </w:rPr>
        <w:t xml:space="preserve"> deployment of the National Broadband Network (NBN)</w:t>
      </w:r>
      <w:r w:rsidR="00EE1A5C" w:rsidRPr="003E55CD">
        <w:rPr>
          <w:szCs w:val="24"/>
        </w:rPr>
        <w:t>,</w:t>
      </w:r>
      <w:r w:rsidR="007642B2" w:rsidRPr="003E55CD">
        <w:rPr>
          <w:szCs w:val="24"/>
        </w:rPr>
        <w:t xml:space="preserve"> because</w:t>
      </w:r>
      <w:r w:rsidRPr="003E55CD">
        <w:rPr>
          <w:szCs w:val="24"/>
        </w:rPr>
        <w:t xml:space="preserve"> the exempted areas will be limited in scope.</w:t>
      </w:r>
    </w:p>
    <w:p w14:paraId="774C16A7" w14:textId="77777777" w:rsidR="0019499D" w:rsidRPr="003E55CD" w:rsidRDefault="0019499D" w:rsidP="006C0A1D">
      <w:pPr>
        <w:pStyle w:val="Heading2"/>
      </w:pPr>
      <w:r w:rsidRPr="003E55CD">
        <w:t>Details</w:t>
      </w:r>
    </w:p>
    <w:p w14:paraId="3D0DF390" w14:textId="44D693B1" w:rsidR="0019499D" w:rsidRPr="006C0A1D" w:rsidRDefault="0019499D" w:rsidP="006C0A1D">
      <w:pPr>
        <w:pStyle w:val="Heading3"/>
      </w:pPr>
      <w:r w:rsidRPr="006C0A1D">
        <w:t>Clause 1</w:t>
      </w:r>
      <w:r w:rsidR="006C0A1D">
        <w:t>—</w:t>
      </w:r>
      <w:r w:rsidRPr="006C0A1D">
        <w:t>Name of Exemption Instrument</w:t>
      </w:r>
    </w:p>
    <w:p w14:paraId="5B45AE8E" w14:textId="652548A1" w:rsidR="0019499D" w:rsidRPr="003E55CD" w:rsidRDefault="0019499D" w:rsidP="0019499D">
      <w:pPr>
        <w:rPr>
          <w:szCs w:val="24"/>
        </w:rPr>
      </w:pPr>
      <w:r w:rsidRPr="003E55CD">
        <w:rPr>
          <w:szCs w:val="24"/>
        </w:rPr>
        <w:t xml:space="preserve">Clause 1 provides that the name of the Instrument is the </w:t>
      </w:r>
      <w:r w:rsidR="007E1CFC" w:rsidRPr="003E55CD">
        <w:rPr>
          <w:i/>
          <w:szCs w:val="24"/>
        </w:rPr>
        <w:t>Telecommunications (</w:t>
      </w:r>
      <w:r w:rsidR="002509C4" w:rsidRPr="003E55CD">
        <w:rPr>
          <w:i/>
          <w:szCs w:val="24"/>
        </w:rPr>
        <w:t>Local Access Lines</w:t>
      </w:r>
      <w:r w:rsidR="007E1CFC" w:rsidRPr="003E55CD">
        <w:rPr>
          <w:i/>
          <w:szCs w:val="24"/>
        </w:rPr>
        <w:t xml:space="preserve"> Exemption — SmartFarmNet) Instrument 20</w:t>
      </w:r>
      <w:r w:rsidR="00E55218" w:rsidRPr="003E55CD">
        <w:rPr>
          <w:i/>
          <w:szCs w:val="24"/>
        </w:rPr>
        <w:t>20</w:t>
      </w:r>
      <w:r w:rsidR="00FA7751" w:rsidRPr="003E55CD">
        <w:rPr>
          <w:i/>
          <w:szCs w:val="24"/>
        </w:rPr>
        <w:t>.</w:t>
      </w:r>
    </w:p>
    <w:p w14:paraId="1B467639" w14:textId="163F2AEA" w:rsidR="0020759A" w:rsidRPr="003E55CD" w:rsidRDefault="0020759A" w:rsidP="006C0A1D">
      <w:pPr>
        <w:pStyle w:val="Heading3"/>
      </w:pPr>
      <w:r w:rsidRPr="003E55CD">
        <w:t>Clause 2</w:t>
      </w:r>
      <w:r w:rsidR="006C0A1D">
        <w:t>—</w:t>
      </w:r>
      <w:r w:rsidRPr="003E55CD">
        <w:t>Commencement</w:t>
      </w:r>
    </w:p>
    <w:p w14:paraId="79322D1D" w14:textId="090462D6" w:rsidR="0020759A" w:rsidRPr="003E55CD" w:rsidRDefault="0020759A" w:rsidP="0019499D">
      <w:pPr>
        <w:rPr>
          <w:szCs w:val="24"/>
        </w:rPr>
      </w:pPr>
      <w:r w:rsidRPr="003E55CD">
        <w:rPr>
          <w:szCs w:val="24"/>
        </w:rPr>
        <w:t>The Instrument takes effect on the day it is signed by th</w:t>
      </w:r>
      <w:r w:rsidR="003F32F2" w:rsidRPr="003E55CD">
        <w:rPr>
          <w:szCs w:val="24"/>
        </w:rPr>
        <w:t>e Minister for Communications</w:t>
      </w:r>
      <w:r w:rsidR="00D5075F" w:rsidRPr="003E55CD">
        <w:rPr>
          <w:szCs w:val="24"/>
        </w:rPr>
        <w:t>, Cyber Safety and the Arts</w:t>
      </w:r>
      <w:r w:rsidR="003F32F2" w:rsidRPr="003E55CD">
        <w:rPr>
          <w:szCs w:val="24"/>
        </w:rPr>
        <w:t xml:space="preserve">. </w:t>
      </w:r>
      <w:r w:rsidRPr="003E55CD">
        <w:rPr>
          <w:szCs w:val="24"/>
        </w:rPr>
        <w:t>A</w:t>
      </w:r>
      <w:r w:rsidR="00DE5390" w:rsidRPr="003E55CD">
        <w:rPr>
          <w:szCs w:val="24"/>
        </w:rPr>
        <w:t> </w:t>
      </w:r>
      <w:r w:rsidR="005E2F10" w:rsidRPr="003E55CD">
        <w:rPr>
          <w:szCs w:val="24"/>
        </w:rPr>
        <w:t>copy of the i</w:t>
      </w:r>
      <w:r w:rsidRPr="003E55CD">
        <w:rPr>
          <w:szCs w:val="24"/>
        </w:rPr>
        <w:t>nstrument wil</w:t>
      </w:r>
      <w:r w:rsidR="00FC2741" w:rsidRPr="003E55CD">
        <w:rPr>
          <w:szCs w:val="24"/>
        </w:rPr>
        <w:t>l be published online</w:t>
      </w:r>
      <w:r w:rsidRPr="003E55CD">
        <w:rPr>
          <w:szCs w:val="24"/>
        </w:rPr>
        <w:t>.</w:t>
      </w:r>
    </w:p>
    <w:p w14:paraId="14F9AB85" w14:textId="0689C26A" w:rsidR="0019499D" w:rsidRPr="003E55CD" w:rsidRDefault="007E1CFC" w:rsidP="006C0A1D">
      <w:pPr>
        <w:pStyle w:val="Heading3"/>
      </w:pPr>
      <w:r w:rsidRPr="003E55CD">
        <w:t>Clause 3</w:t>
      </w:r>
      <w:r w:rsidR="006C0A1D">
        <w:t>—</w:t>
      </w:r>
      <w:r w:rsidRPr="003E55CD">
        <w:t>Cessation</w:t>
      </w:r>
    </w:p>
    <w:p w14:paraId="4935DC11" w14:textId="4F58713D" w:rsidR="00A80A09" w:rsidRPr="003E55CD" w:rsidRDefault="00CC424C" w:rsidP="00E1702B">
      <w:pPr>
        <w:rPr>
          <w:szCs w:val="24"/>
        </w:rPr>
      </w:pPr>
      <w:r w:rsidRPr="003E55CD">
        <w:rPr>
          <w:szCs w:val="24"/>
        </w:rPr>
        <w:t>Th</w:t>
      </w:r>
      <w:r w:rsidR="007E1CFC" w:rsidRPr="003E55CD">
        <w:rPr>
          <w:szCs w:val="24"/>
        </w:rPr>
        <w:t xml:space="preserve">e instrument ceases to </w:t>
      </w:r>
      <w:r w:rsidR="00D5075F" w:rsidRPr="003E55CD">
        <w:rPr>
          <w:szCs w:val="24"/>
        </w:rPr>
        <w:t xml:space="preserve">have </w:t>
      </w:r>
      <w:r w:rsidR="003E7568">
        <w:rPr>
          <w:szCs w:val="24"/>
        </w:rPr>
        <w:t>effect on 12</w:t>
      </w:r>
      <w:r w:rsidR="006D3AC4" w:rsidRPr="003E55CD">
        <w:rPr>
          <w:szCs w:val="24"/>
        </w:rPr>
        <w:t xml:space="preserve"> </w:t>
      </w:r>
      <w:r w:rsidR="003E7568">
        <w:rPr>
          <w:szCs w:val="24"/>
        </w:rPr>
        <w:t>March</w:t>
      </w:r>
      <w:r w:rsidR="006D3AC4" w:rsidRPr="003E55CD">
        <w:rPr>
          <w:szCs w:val="24"/>
        </w:rPr>
        <w:t xml:space="preserve"> 20</w:t>
      </w:r>
      <w:r w:rsidR="003E7568">
        <w:rPr>
          <w:szCs w:val="24"/>
        </w:rPr>
        <w:t>5</w:t>
      </w:r>
      <w:r w:rsidR="006D3AC4" w:rsidRPr="003E55CD">
        <w:rPr>
          <w:szCs w:val="24"/>
        </w:rPr>
        <w:t>0</w:t>
      </w:r>
      <w:r w:rsidRPr="003E55CD">
        <w:rPr>
          <w:szCs w:val="24"/>
        </w:rPr>
        <w:t>.</w:t>
      </w:r>
      <w:r w:rsidR="00BB4DA7" w:rsidRPr="003E55CD">
        <w:rPr>
          <w:szCs w:val="24"/>
        </w:rPr>
        <w:t xml:space="preserve"> </w:t>
      </w:r>
      <w:r w:rsidR="00AF5B3C" w:rsidRPr="003E55CD">
        <w:rPr>
          <w:szCs w:val="24"/>
        </w:rPr>
        <w:t xml:space="preserve">This cessation date for the instrument </w:t>
      </w:r>
      <w:r w:rsidR="00FC2741" w:rsidRPr="003E55CD">
        <w:rPr>
          <w:szCs w:val="24"/>
        </w:rPr>
        <w:t>is designed</w:t>
      </w:r>
      <w:r w:rsidR="00AF5B3C" w:rsidRPr="003E55CD">
        <w:rPr>
          <w:szCs w:val="24"/>
        </w:rPr>
        <w:t xml:space="preserve"> to provide</w:t>
      </w:r>
      <w:r w:rsidR="00BB4DA7" w:rsidRPr="003E55CD">
        <w:rPr>
          <w:szCs w:val="24"/>
        </w:rPr>
        <w:t xml:space="preserve"> SmartFarmNet with sufficient commercial certainty to invest </w:t>
      </w:r>
      <w:r w:rsidR="00FC2741" w:rsidRPr="003E55CD">
        <w:rPr>
          <w:szCs w:val="24"/>
        </w:rPr>
        <w:t>in</w:t>
      </w:r>
      <w:r w:rsidR="006D3AC4" w:rsidRPr="003E55CD">
        <w:rPr>
          <w:szCs w:val="24"/>
        </w:rPr>
        <w:t xml:space="preserve"> network infrastructure.</w:t>
      </w:r>
    </w:p>
    <w:p w14:paraId="3B0E76AE" w14:textId="483E1AE6" w:rsidR="00DA0627" w:rsidRPr="003E55CD" w:rsidRDefault="00DA0627" w:rsidP="006C0A1D">
      <w:pPr>
        <w:pStyle w:val="Heading3"/>
      </w:pPr>
      <w:r w:rsidRPr="003E55CD">
        <w:t>Clause 4</w:t>
      </w:r>
      <w:r w:rsidR="006C0A1D">
        <w:t>—</w:t>
      </w:r>
      <w:r w:rsidRPr="003E55CD">
        <w:t>Definitions</w:t>
      </w:r>
    </w:p>
    <w:p w14:paraId="0A2B409F" w14:textId="1C00D550" w:rsidR="00DA0627" w:rsidRPr="003E55CD" w:rsidRDefault="00DA0627" w:rsidP="00DA0627">
      <w:pPr>
        <w:rPr>
          <w:szCs w:val="24"/>
        </w:rPr>
      </w:pPr>
      <w:r w:rsidRPr="003E55CD">
        <w:rPr>
          <w:szCs w:val="24"/>
        </w:rPr>
        <w:t>Clause 4 sets out definitions of terms used in the instrument.</w:t>
      </w:r>
    </w:p>
    <w:p w14:paraId="67040DCA" w14:textId="2051D87E" w:rsidR="00DA0627" w:rsidRPr="003E55CD" w:rsidRDefault="00DA0627" w:rsidP="00DA0627">
      <w:pPr>
        <w:rPr>
          <w:szCs w:val="24"/>
        </w:rPr>
      </w:pPr>
      <w:r w:rsidRPr="003E55CD">
        <w:rPr>
          <w:szCs w:val="24"/>
        </w:rPr>
        <w:lastRenderedPageBreak/>
        <w:t xml:space="preserve">All references in the Instrument to ‘Act’ are to the </w:t>
      </w:r>
      <w:r w:rsidRPr="003E55CD">
        <w:rPr>
          <w:i/>
          <w:szCs w:val="24"/>
        </w:rPr>
        <w:t>Telecommunications Act 1997</w:t>
      </w:r>
      <w:r w:rsidRPr="003E55CD">
        <w:rPr>
          <w:szCs w:val="24"/>
        </w:rPr>
        <w:t>.</w:t>
      </w:r>
    </w:p>
    <w:p w14:paraId="51604F01" w14:textId="7D85FC7A" w:rsidR="00DA0627" w:rsidRPr="003E55CD" w:rsidRDefault="00DA0627" w:rsidP="00227DF4">
      <w:pPr>
        <w:rPr>
          <w:szCs w:val="24"/>
        </w:rPr>
      </w:pPr>
      <w:r w:rsidRPr="003E55CD">
        <w:rPr>
          <w:szCs w:val="24"/>
        </w:rPr>
        <w:t xml:space="preserve">The term </w:t>
      </w:r>
      <w:r w:rsidR="00622C24" w:rsidRPr="003E55CD">
        <w:rPr>
          <w:szCs w:val="24"/>
        </w:rPr>
        <w:t>‘</w:t>
      </w:r>
      <w:r w:rsidRPr="003E55CD">
        <w:rPr>
          <w:szCs w:val="24"/>
        </w:rPr>
        <w:t>access seeker</w:t>
      </w:r>
      <w:r w:rsidR="00622C24" w:rsidRPr="003E55CD">
        <w:rPr>
          <w:szCs w:val="24"/>
        </w:rPr>
        <w:t>’</w:t>
      </w:r>
      <w:r w:rsidRPr="003E55CD">
        <w:rPr>
          <w:szCs w:val="24"/>
        </w:rPr>
        <w:t xml:space="preserve"> has the same meaning as in Part XIC of the </w:t>
      </w:r>
      <w:r w:rsidRPr="003E55CD">
        <w:rPr>
          <w:i/>
          <w:szCs w:val="24"/>
        </w:rPr>
        <w:t>Competition and Consumer Act 2010</w:t>
      </w:r>
      <w:r w:rsidR="00CC54FE" w:rsidRPr="003E55CD">
        <w:rPr>
          <w:i/>
          <w:szCs w:val="24"/>
        </w:rPr>
        <w:t xml:space="preserve"> </w:t>
      </w:r>
      <w:r w:rsidR="00CC54FE" w:rsidRPr="003E55CD">
        <w:rPr>
          <w:szCs w:val="24"/>
        </w:rPr>
        <w:t>(Cth)</w:t>
      </w:r>
      <w:r w:rsidRPr="003E55CD">
        <w:rPr>
          <w:szCs w:val="24"/>
        </w:rPr>
        <w:t>.</w:t>
      </w:r>
    </w:p>
    <w:p w14:paraId="33421063" w14:textId="429FA2DE" w:rsidR="00CC54FE" w:rsidRPr="003E55CD" w:rsidRDefault="00CC54FE" w:rsidP="00227DF4">
      <w:pPr>
        <w:rPr>
          <w:szCs w:val="24"/>
        </w:rPr>
      </w:pPr>
      <w:r w:rsidRPr="003E55CD">
        <w:rPr>
          <w:szCs w:val="24"/>
        </w:rPr>
        <w:t xml:space="preserve">The term ‘associated entity’ has the same meaning as in section 50AAA of the </w:t>
      </w:r>
      <w:r w:rsidRPr="003E55CD">
        <w:rPr>
          <w:i/>
          <w:szCs w:val="24"/>
        </w:rPr>
        <w:t>Corporations Act 2001</w:t>
      </w:r>
      <w:r w:rsidRPr="003E55CD">
        <w:rPr>
          <w:szCs w:val="24"/>
        </w:rPr>
        <w:t xml:space="preserve"> (Cth)</w:t>
      </w:r>
    </w:p>
    <w:p w14:paraId="4F34273D" w14:textId="3A3D9E1F" w:rsidR="00DA0627" w:rsidRPr="003E55CD" w:rsidRDefault="00622C24" w:rsidP="00227DF4">
      <w:pPr>
        <w:rPr>
          <w:szCs w:val="24"/>
        </w:rPr>
      </w:pPr>
      <w:r w:rsidRPr="003E55CD">
        <w:rPr>
          <w:szCs w:val="24"/>
        </w:rPr>
        <w:t>The term ‘</w:t>
      </w:r>
      <w:r w:rsidR="00DA0627" w:rsidRPr="003E55CD">
        <w:rPr>
          <w:szCs w:val="24"/>
        </w:rPr>
        <w:t>dark optical fibre</w:t>
      </w:r>
      <w:r w:rsidRPr="003E55CD">
        <w:rPr>
          <w:szCs w:val="24"/>
        </w:rPr>
        <w:t>’ refers to an</w:t>
      </w:r>
      <w:r w:rsidR="00DA0627" w:rsidRPr="003E55CD">
        <w:rPr>
          <w:szCs w:val="24"/>
        </w:rPr>
        <w:t xml:space="preserve"> unlit </w:t>
      </w:r>
      <w:r w:rsidR="00B31B71" w:rsidRPr="003E55CD">
        <w:rPr>
          <w:szCs w:val="24"/>
        </w:rPr>
        <w:t xml:space="preserve">strand of optical fibre </w:t>
      </w:r>
      <w:r w:rsidR="00DA0627" w:rsidRPr="003E55CD">
        <w:rPr>
          <w:szCs w:val="24"/>
        </w:rPr>
        <w:t>terminated on an optical distribution frame</w:t>
      </w:r>
      <w:r w:rsidRPr="003E55CD">
        <w:rPr>
          <w:szCs w:val="24"/>
        </w:rPr>
        <w:t xml:space="preserve">. </w:t>
      </w:r>
      <w:r w:rsidR="00661255" w:rsidRPr="003E55CD">
        <w:rPr>
          <w:szCs w:val="24"/>
        </w:rPr>
        <w:t xml:space="preserve">The term is used in the definition of ‘SmartFarmNet </w:t>
      </w:r>
      <w:r w:rsidR="0037604B" w:rsidRPr="003E55CD">
        <w:rPr>
          <w:szCs w:val="24"/>
        </w:rPr>
        <w:t>D</w:t>
      </w:r>
      <w:r w:rsidR="00661255" w:rsidRPr="003E55CD">
        <w:rPr>
          <w:szCs w:val="24"/>
        </w:rPr>
        <w:t xml:space="preserve">ark </w:t>
      </w:r>
      <w:r w:rsidR="0037604B" w:rsidRPr="003E55CD">
        <w:rPr>
          <w:szCs w:val="24"/>
        </w:rPr>
        <w:t>F</w:t>
      </w:r>
      <w:r w:rsidR="00661255" w:rsidRPr="003E55CD">
        <w:rPr>
          <w:szCs w:val="24"/>
        </w:rPr>
        <w:t xml:space="preserve">ibre </w:t>
      </w:r>
      <w:r w:rsidR="0037604B" w:rsidRPr="003E55CD">
        <w:rPr>
          <w:szCs w:val="24"/>
        </w:rPr>
        <w:t>S</w:t>
      </w:r>
      <w:r w:rsidR="00661255" w:rsidRPr="003E55CD">
        <w:rPr>
          <w:szCs w:val="24"/>
        </w:rPr>
        <w:t>ervice’</w:t>
      </w:r>
      <w:r w:rsidR="00CC54FE" w:rsidRPr="003E55CD">
        <w:rPr>
          <w:szCs w:val="24"/>
        </w:rPr>
        <w:t xml:space="preserve"> (see below)</w:t>
      </w:r>
      <w:r w:rsidR="00661255" w:rsidRPr="003E55CD">
        <w:rPr>
          <w:szCs w:val="24"/>
        </w:rPr>
        <w:t>.</w:t>
      </w:r>
    </w:p>
    <w:p w14:paraId="7B8A64C0" w14:textId="160665D8" w:rsidR="00EA0FE4" w:rsidRPr="003E55CD" w:rsidRDefault="00EA0FE4" w:rsidP="00227DF4">
      <w:pPr>
        <w:rPr>
          <w:szCs w:val="24"/>
        </w:rPr>
      </w:pPr>
      <w:r w:rsidRPr="003E55CD">
        <w:rPr>
          <w:szCs w:val="24"/>
        </w:rPr>
        <w:t xml:space="preserve">The term ‘designated real estate development project’ </w:t>
      </w:r>
      <w:r w:rsidR="00991A65" w:rsidRPr="003E55CD">
        <w:rPr>
          <w:szCs w:val="24"/>
        </w:rPr>
        <w:t>is defined</w:t>
      </w:r>
      <w:r w:rsidR="00CF62E7" w:rsidRPr="003E55CD">
        <w:rPr>
          <w:szCs w:val="24"/>
        </w:rPr>
        <w:t xml:space="preserve"> </w:t>
      </w:r>
      <w:r w:rsidR="005D2E5C" w:rsidRPr="003E55CD">
        <w:rPr>
          <w:szCs w:val="24"/>
        </w:rPr>
        <w:t>to mean</w:t>
      </w:r>
      <w:r w:rsidR="00CF62E7" w:rsidRPr="003E55CD">
        <w:rPr>
          <w:szCs w:val="24"/>
        </w:rPr>
        <w:t xml:space="preserve"> subdivisions of land </w:t>
      </w:r>
      <w:r w:rsidR="00CC54FE" w:rsidRPr="003E55CD">
        <w:rPr>
          <w:szCs w:val="24"/>
        </w:rPr>
        <w:t xml:space="preserve">in Australia </w:t>
      </w:r>
      <w:r w:rsidR="00CF62E7" w:rsidRPr="003E55CD">
        <w:rPr>
          <w:szCs w:val="24"/>
        </w:rPr>
        <w:t>into</w:t>
      </w:r>
      <w:r w:rsidR="005D2E5C" w:rsidRPr="003E55CD">
        <w:rPr>
          <w:szCs w:val="24"/>
        </w:rPr>
        <w:t xml:space="preserve"> lots and either</w:t>
      </w:r>
      <w:r w:rsidR="00CF62E7" w:rsidRPr="003E55CD">
        <w:rPr>
          <w:szCs w:val="24"/>
        </w:rPr>
        <w:t xml:space="preserve"> </w:t>
      </w:r>
      <w:r w:rsidR="00FC2741" w:rsidRPr="003E55CD">
        <w:rPr>
          <w:szCs w:val="24"/>
        </w:rPr>
        <w:t xml:space="preserve">or both: making those lots available for </w:t>
      </w:r>
      <w:r w:rsidR="00CF62E7" w:rsidRPr="003E55CD">
        <w:rPr>
          <w:szCs w:val="24"/>
        </w:rPr>
        <w:t xml:space="preserve">constructing building units for </w:t>
      </w:r>
      <w:r w:rsidR="00FC2741" w:rsidRPr="003E55CD">
        <w:rPr>
          <w:szCs w:val="24"/>
        </w:rPr>
        <w:t xml:space="preserve">sale or lease, </w:t>
      </w:r>
      <w:r w:rsidR="005D2E5C" w:rsidRPr="003E55CD">
        <w:rPr>
          <w:szCs w:val="24"/>
        </w:rPr>
        <w:t>where it is reasona</w:t>
      </w:r>
      <w:r w:rsidR="00CF62E7" w:rsidRPr="003E55CD">
        <w:rPr>
          <w:szCs w:val="24"/>
        </w:rPr>
        <w:t>b</w:t>
      </w:r>
      <w:r w:rsidR="005D2E5C" w:rsidRPr="003E55CD">
        <w:rPr>
          <w:szCs w:val="24"/>
        </w:rPr>
        <w:t>l</w:t>
      </w:r>
      <w:r w:rsidR="00CC54FE" w:rsidRPr="003E55CD">
        <w:rPr>
          <w:szCs w:val="24"/>
        </w:rPr>
        <w:t>e to expect that building units</w:t>
      </w:r>
      <w:r w:rsidR="00CF62E7" w:rsidRPr="003E55CD">
        <w:rPr>
          <w:szCs w:val="24"/>
        </w:rPr>
        <w:t xml:space="preserve"> will subsequently be built on those lots</w:t>
      </w:r>
      <w:r w:rsidR="005D2E5C" w:rsidRPr="003E55CD">
        <w:rPr>
          <w:szCs w:val="24"/>
        </w:rPr>
        <w:t xml:space="preserve"> and sold or leased</w:t>
      </w:r>
      <w:r w:rsidR="00FC2741" w:rsidRPr="003E55CD">
        <w:rPr>
          <w:szCs w:val="24"/>
        </w:rPr>
        <w:t>; or the construction of one or more building units on any of those lots and the making available of any of those building units for sale or lease</w:t>
      </w:r>
      <w:r w:rsidR="00CF62E7" w:rsidRPr="003E55CD">
        <w:rPr>
          <w:szCs w:val="24"/>
        </w:rPr>
        <w:t>.</w:t>
      </w:r>
    </w:p>
    <w:p w14:paraId="645B5047" w14:textId="6E9875D2" w:rsidR="00CC54FE" w:rsidRPr="003E55CD" w:rsidRDefault="00CC54FE" w:rsidP="00227DF4">
      <w:pPr>
        <w:rPr>
          <w:szCs w:val="24"/>
        </w:rPr>
      </w:pPr>
      <w:r w:rsidRPr="003E55CD">
        <w:rPr>
          <w:szCs w:val="24"/>
        </w:rPr>
        <w:t>The term ‘NBN Co’ refers to the NBN Co Limited, which is the company</w:t>
      </w:r>
      <w:r w:rsidR="002509C4" w:rsidRPr="003E55CD">
        <w:rPr>
          <w:szCs w:val="24"/>
        </w:rPr>
        <w:t xml:space="preserve"> responsible for deploying the national broadband n</w:t>
      </w:r>
      <w:r w:rsidRPr="003E55CD">
        <w:rPr>
          <w:szCs w:val="24"/>
        </w:rPr>
        <w:t>etwork.</w:t>
      </w:r>
    </w:p>
    <w:p w14:paraId="0F5A42AA" w14:textId="087C9E59" w:rsidR="002509C4" w:rsidRPr="003E55CD" w:rsidRDefault="002509C4" w:rsidP="00227DF4">
      <w:pPr>
        <w:rPr>
          <w:szCs w:val="24"/>
        </w:rPr>
      </w:pPr>
      <w:r w:rsidRPr="003E55CD">
        <w:rPr>
          <w:szCs w:val="24"/>
        </w:rPr>
        <w:t xml:space="preserve">The term ‘national broadband network’ </w:t>
      </w:r>
      <w:r w:rsidR="009B2AC4" w:rsidRPr="003E55CD">
        <w:rPr>
          <w:szCs w:val="24"/>
        </w:rPr>
        <w:t xml:space="preserve">is defined in the same way as in section 5 of the </w:t>
      </w:r>
      <w:r w:rsidR="009B2AC4" w:rsidRPr="003E55CD">
        <w:rPr>
          <w:i/>
          <w:szCs w:val="24"/>
        </w:rPr>
        <w:t>National Broadband Network Companies Act 2011</w:t>
      </w:r>
      <w:r w:rsidR="009B2AC4" w:rsidRPr="003E55CD">
        <w:rPr>
          <w:szCs w:val="24"/>
        </w:rPr>
        <w:t xml:space="preserve"> (Cth).</w:t>
      </w:r>
    </w:p>
    <w:p w14:paraId="6F397FE4" w14:textId="04D17ED7" w:rsidR="00B31B71" w:rsidRPr="003E55CD" w:rsidRDefault="00B31B71" w:rsidP="00227DF4">
      <w:pPr>
        <w:rPr>
          <w:szCs w:val="24"/>
        </w:rPr>
      </w:pPr>
      <w:r w:rsidRPr="003E55CD">
        <w:rPr>
          <w:szCs w:val="24"/>
        </w:rPr>
        <w:lastRenderedPageBreak/>
        <w:t>The term ‘optical dist</w:t>
      </w:r>
      <w:r w:rsidR="003F32F2" w:rsidRPr="003E55CD">
        <w:rPr>
          <w:szCs w:val="24"/>
        </w:rPr>
        <w:t xml:space="preserve">ribution frame’ is </w:t>
      </w:r>
      <w:r w:rsidR="00D5075F" w:rsidRPr="003E55CD">
        <w:rPr>
          <w:szCs w:val="24"/>
        </w:rPr>
        <w:t xml:space="preserve">defined </w:t>
      </w:r>
      <w:r w:rsidR="003F32F2" w:rsidRPr="003E55CD">
        <w:rPr>
          <w:szCs w:val="24"/>
        </w:rPr>
        <w:t xml:space="preserve">as </w:t>
      </w:r>
      <w:r w:rsidRPr="003E55CD">
        <w:rPr>
          <w:szCs w:val="24"/>
        </w:rPr>
        <w:t>a piece of equipment capable of providing cable interconnections</w:t>
      </w:r>
      <w:r w:rsidR="00D5075F" w:rsidRPr="003E55CD">
        <w:rPr>
          <w:szCs w:val="24"/>
        </w:rPr>
        <w:t xml:space="preserve"> bet</w:t>
      </w:r>
      <w:r w:rsidR="004C5DD1" w:rsidRPr="003E55CD">
        <w:rPr>
          <w:szCs w:val="24"/>
        </w:rPr>
        <w:t>ween</w:t>
      </w:r>
      <w:r w:rsidR="00D5075F" w:rsidRPr="003E55CD">
        <w:rPr>
          <w:szCs w:val="24"/>
        </w:rPr>
        <w:t xml:space="preserve"> communications facilities</w:t>
      </w:r>
      <w:r w:rsidRPr="003E55CD">
        <w:rPr>
          <w:szCs w:val="24"/>
        </w:rPr>
        <w:t>. This</w:t>
      </w:r>
      <w:r w:rsidR="003F32F2" w:rsidRPr="003E55CD">
        <w:rPr>
          <w:szCs w:val="24"/>
        </w:rPr>
        <w:t xml:space="preserve"> is</w:t>
      </w:r>
      <w:r w:rsidRPr="003E55CD">
        <w:rPr>
          <w:szCs w:val="24"/>
        </w:rPr>
        <w:t xml:space="preserve"> </w:t>
      </w:r>
      <w:r w:rsidR="003F32F2" w:rsidRPr="003E55CD">
        <w:rPr>
          <w:szCs w:val="24"/>
        </w:rPr>
        <w:t>to enable access seekers</w:t>
      </w:r>
      <w:r w:rsidRPr="003E55CD">
        <w:rPr>
          <w:szCs w:val="24"/>
        </w:rPr>
        <w:t xml:space="preserve"> to interconnect their own network equipment with SmartFarmNet’s dark optical fibre, which itself is terminated on </w:t>
      </w:r>
      <w:r w:rsidR="00585B76" w:rsidRPr="003E55CD">
        <w:rPr>
          <w:szCs w:val="24"/>
        </w:rPr>
        <w:t>an</w:t>
      </w:r>
      <w:r w:rsidRPr="003E55CD">
        <w:rPr>
          <w:szCs w:val="24"/>
        </w:rPr>
        <w:t xml:space="preserve"> optical distribution frame</w:t>
      </w:r>
      <w:r w:rsidR="005D2E5C" w:rsidRPr="003E55CD">
        <w:rPr>
          <w:szCs w:val="24"/>
        </w:rPr>
        <w:t xml:space="preserve"> (see notes on subclause 5(2) below)</w:t>
      </w:r>
      <w:r w:rsidRPr="003E55CD">
        <w:rPr>
          <w:szCs w:val="24"/>
        </w:rPr>
        <w:t>.</w:t>
      </w:r>
    </w:p>
    <w:p w14:paraId="73FBADD5" w14:textId="1BDF0624" w:rsidR="006A52F3" w:rsidRPr="003E55CD" w:rsidRDefault="006A52F3" w:rsidP="00227DF4">
      <w:pPr>
        <w:rPr>
          <w:szCs w:val="24"/>
        </w:rPr>
      </w:pPr>
      <w:r w:rsidRPr="003E55CD">
        <w:rPr>
          <w:szCs w:val="24"/>
        </w:rPr>
        <w:t>The term ‘SmartFarmNet’ refers to the Technomics</w:t>
      </w:r>
      <w:r w:rsidR="003E55CD">
        <w:rPr>
          <w:szCs w:val="24"/>
        </w:rPr>
        <w:t xml:space="preserve"> International Pty Limited (ACN 085 129 </w:t>
      </w:r>
      <w:r w:rsidRPr="003E55CD">
        <w:rPr>
          <w:szCs w:val="24"/>
        </w:rPr>
        <w:t>915)</w:t>
      </w:r>
      <w:r w:rsidR="00353790" w:rsidRPr="003E55CD">
        <w:rPr>
          <w:szCs w:val="24"/>
        </w:rPr>
        <w:t>. As the time the instrume</w:t>
      </w:r>
      <w:r w:rsidR="003A5917" w:rsidRPr="003E55CD">
        <w:rPr>
          <w:szCs w:val="24"/>
        </w:rPr>
        <w:t xml:space="preserve">nt is </w:t>
      </w:r>
      <w:r w:rsidR="00353790" w:rsidRPr="003E55CD">
        <w:rPr>
          <w:szCs w:val="24"/>
        </w:rPr>
        <w:t xml:space="preserve">made, the company </w:t>
      </w:r>
      <w:r w:rsidRPr="003E55CD">
        <w:rPr>
          <w:szCs w:val="24"/>
        </w:rPr>
        <w:t xml:space="preserve">uses the registered business name </w:t>
      </w:r>
      <w:r w:rsidR="00A80EF4" w:rsidRPr="003E55CD">
        <w:rPr>
          <w:szCs w:val="24"/>
        </w:rPr>
        <w:t>‘</w:t>
      </w:r>
      <w:r w:rsidRPr="003E55CD">
        <w:rPr>
          <w:szCs w:val="24"/>
        </w:rPr>
        <w:t>SmartFarmNet</w:t>
      </w:r>
      <w:r w:rsidR="00A80EF4" w:rsidRPr="003E55CD">
        <w:rPr>
          <w:szCs w:val="24"/>
        </w:rPr>
        <w:t>’</w:t>
      </w:r>
      <w:r w:rsidRPr="003E55CD">
        <w:rPr>
          <w:szCs w:val="24"/>
        </w:rPr>
        <w:t>.</w:t>
      </w:r>
    </w:p>
    <w:p w14:paraId="313DBD1C" w14:textId="1C562BC6" w:rsidR="00B31B71" w:rsidRPr="003E55CD" w:rsidRDefault="00B31B71" w:rsidP="00227DF4">
      <w:pPr>
        <w:rPr>
          <w:szCs w:val="24"/>
        </w:rPr>
      </w:pPr>
      <w:r w:rsidRPr="003E55CD">
        <w:rPr>
          <w:szCs w:val="24"/>
        </w:rPr>
        <w:t xml:space="preserve">The term ‘SmartFarmNet </w:t>
      </w:r>
      <w:r w:rsidR="0037604B" w:rsidRPr="003E55CD">
        <w:rPr>
          <w:szCs w:val="24"/>
        </w:rPr>
        <w:t>D</w:t>
      </w:r>
      <w:r w:rsidRPr="003E55CD">
        <w:rPr>
          <w:szCs w:val="24"/>
        </w:rPr>
        <w:t xml:space="preserve">ark </w:t>
      </w:r>
      <w:r w:rsidR="0037604B" w:rsidRPr="003E55CD">
        <w:rPr>
          <w:szCs w:val="24"/>
        </w:rPr>
        <w:t>F</w:t>
      </w:r>
      <w:r w:rsidRPr="003E55CD">
        <w:rPr>
          <w:szCs w:val="24"/>
        </w:rPr>
        <w:t xml:space="preserve">ibre </w:t>
      </w:r>
      <w:r w:rsidR="0037604B" w:rsidRPr="003E55CD">
        <w:rPr>
          <w:szCs w:val="24"/>
        </w:rPr>
        <w:t>S</w:t>
      </w:r>
      <w:r w:rsidRPr="003E55CD">
        <w:rPr>
          <w:szCs w:val="24"/>
        </w:rPr>
        <w:t xml:space="preserve">ervice’ specifies the </w:t>
      </w:r>
      <w:r w:rsidR="00634F8B" w:rsidRPr="003E55CD">
        <w:rPr>
          <w:szCs w:val="24"/>
        </w:rPr>
        <w:t xml:space="preserve">characteristics </w:t>
      </w:r>
      <w:r w:rsidRPr="003E55CD">
        <w:rPr>
          <w:szCs w:val="24"/>
        </w:rPr>
        <w:t xml:space="preserve">of the service that must be </w:t>
      </w:r>
      <w:r w:rsidR="00CD41B5" w:rsidRPr="003E55CD">
        <w:rPr>
          <w:szCs w:val="24"/>
        </w:rPr>
        <w:t xml:space="preserve">offered and </w:t>
      </w:r>
      <w:r w:rsidRPr="003E55CD">
        <w:rPr>
          <w:szCs w:val="24"/>
        </w:rPr>
        <w:t>supplied</w:t>
      </w:r>
      <w:r w:rsidR="005B55C4" w:rsidRPr="003E55CD">
        <w:rPr>
          <w:szCs w:val="24"/>
        </w:rPr>
        <w:t xml:space="preserve"> by SmartFarmNet upon the request of an access seeker</w:t>
      </w:r>
      <w:r w:rsidR="00CD41B5" w:rsidRPr="003E55CD">
        <w:rPr>
          <w:szCs w:val="24"/>
        </w:rPr>
        <w:t xml:space="preserve"> (see </w:t>
      </w:r>
      <w:r w:rsidR="00F46A3B" w:rsidRPr="003E55CD">
        <w:rPr>
          <w:szCs w:val="24"/>
        </w:rPr>
        <w:t xml:space="preserve">the notes on </w:t>
      </w:r>
      <w:r w:rsidR="00CD41B5" w:rsidRPr="003E55CD">
        <w:rPr>
          <w:szCs w:val="24"/>
        </w:rPr>
        <w:t>subclause 5(2) below).</w:t>
      </w:r>
    </w:p>
    <w:p w14:paraId="169FFEEF" w14:textId="28A31BA5" w:rsidR="00CC15BC" w:rsidRPr="003E55CD" w:rsidRDefault="00B31B71" w:rsidP="006C0A1D">
      <w:pPr>
        <w:keepLines/>
        <w:rPr>
          <w:szCs w:val="24"/>
        </w:rPr>
      </w:pPr>
      <w:r w:rsidRPr="003E55CD">
        <w:rPr>
          <w:szCs w:val="24"/>
        </w:rPr>
        <w:t xml:space="preserve">The term ‘SmartFarmNet </w:t>
      </w:r>
      <w:r w:rsidR="0019317E" w:rsidRPr="003E55CD">
        <w:rPr>
          <w:szCs w:val="24"/>
        </w:rPr>
        <w:t>L</w:t>
      </w:r>
      <w:r w:rsidR="009B2AC4" w:rsidRPr="003E55CD">
        <w:rPr>
          <w:szCs w:val="24"/>
        </w:rPr>
        <w:t>ines</w:t>
      </w:r>
      <w:r w:rsidRPr="003E55CD">
        <w:rPr>
          <w:szCs w:val="24"/>
        </w:rPr>
        <w:t xml:space="preserve">’ </w:t>
      </w:r>
      <w:r w:rsidR="0019317E" w:rsidRPr="003E55CD">
        <w:rPr>
          <w:szCs w:val="24"/>
        </w:rPr>
        <w:t>is central to the exempti</w:t>
      </w:r>
      <w:bookmarkStart w:id="0" w:name="_GoBack"/>
      <w:bookmarkEnd w:id="0"/>
      <w:r w:rsidR="0019317E" w:rsidRPr="003E55CD">
        <w:rPr>
          <w:szCs w:val="24"/>
        </w:rPr>
        <w:t xml:space="preserve">on as it </w:t>
      </w:r>
      <w:r w:rsidRPr="003E55CD">
        <w:rPr>
          <w:szCs w:val="24"/>
        </w:rPr>
        <w:t xml:space="preserve">describes the </w:t>
      </w:r>
      <w:r w:rsidR="00353790" w:rsidRPr="003E55CD">
        <w:rPr>
          <w:szCs w:val="24"/>
        </w:rPr>
        <w:t xml:space="preserve">optical fibre local access </w:t>
      </w:r>
      <w:r w:rsidR="009B2AC4" w:rsidRPr="003E55CD">
        <w:rPr>
          <w:szCs w:val="24"/>
        </w:rPr>
        <w:t>lines</w:t>
      </w:r>
      <w:r w:rsidRPr="003E55CD">
        <w:rPr>
          <w:szCs w:val="24"/>
        </w:rPr>
        <w:t xml:space="preserve"> that</w:t>
      </w:r>
      <w:r w:rsidR="009B2AC4" w:rsidRPr="003E55CD">
        <w:rPr>
          <w:szCs w:val="24"/>
        </w:rPr>
        <w:t xml:space="preserve"> are</w:t>
      </w:r>
      <w:r w:rsidRPr="003E55CD">
        <w:rPr>
          <w:szCs w:val="24"/>
        </w:rPr>
        <w:t xml:space="preserve"> exempted </w:t>
      </w:r>
      <w:r w:rsidR="00353790" w:rsidRPr="003E55CD">
        <w:rPr>
          <w:szCs w:val="24"/>
        </w:rPr>
        <w:t xml:space="preserve">by the Instrument </w:t>
      </w:r>
      <w:r w:rsidRPr="003E55CD">
        <w:rPr>
          <w:szCs w:val="24"/>
        </w:rPr>
        <w:t xml:space="preserve">from Parts 7 and 8 of the Act </w:t>
      </w:r>
      <w:r w:rsidR="0019317E" w:rsidRPr="003E55CD">
        <w:rPr>
          <w:szCs w:val="24"/>
        </w:rPr>
        <w:t xml:space="preserve">subject to the conditions </w:t>
      </w:r>
      <w:r w:rsidRPr="003E55CD">
        <w:rPr>
          <w:szCs w:val="24"/>
        </w:rPr>
        <w:t xml:space="preserve">under subclause 5(1). </w:t>
      </w:r>
      <w:r w:rsidR="00353790" w:rsidRPr="003E55CD">
        <w:rPr>
          <w:szCs w:val="24"/>
        </w:rPr>
        <w:t>L</w:t>
      </w:r>
      <w:r w:rsidR="0019317E" w:rsidRPr="003E55CD">
        <w:rPr>
          <w:szCs w:val="24"/>
        </w:rPr>
        <w:t xml:space="preserve">ocal access lines </w:t>
      </w:r>
      <w:r w:rsidR="00EC79EF" w:rsidRPr="003E55CD">
        <w:rPr>
          <w:szCs w:val="24"/>
        </w:rPr>
        <w:t xml:space="preserve">will only fall within the definition to the extent that </w:t>
      </w:r>
      <w:r w:rsidR="009B2AC4" w:rsidRPr="003E55CD">
        <w:rPr>
          <w:szCs w:val="24"/>
        </w:rPr>
        <w:t>they</w:t>
      </w:r>
      <w:r w:rsidR="00B316DE" w:rsidRPr="003E55CD">
        <w:rPr>
          <w:szCs w:val="24"/>
        </w:rPr>
        <w:t xml:space="preserve"> </w:t>
      </w:r>
      <w:r w:rsidR="009B2AC4" w:rsidRPr="003E55CD">
        <w:rPr>
          <w:szCs w:val="24"/>
        </w:rPr>
        <w:t>are</w:t>
      </w:r>
      <w:r w:rsidR="00A62618" w:rsidRPr="003E55CD">
        <w:rPr>
          <w:szCs w:val="24"/>
        </w:rPr>
        <w:t xml:space="preserve"> </w:t>
      </w:r>
      <w:r w:rsidR="00EC79EF" w:rsidRPr="003E55CD">
        <w:rPr>
          <w:szCs w:val="24"/>
        </w:rPr>
        <w:t>owned and</w:t>
      </w:r>
      <w:r w:rsidR="00FC2741" w:rsidRPr="003E55CD">
        <w:rPr>
          <w:szCs w:val="24"/>
        </w:rPr>
        <w:t xml:space="preserve"> operated </w:t>
      </w:r>
      <w:r w:rsidR="00EC79EF" w:rsidRPr="003E55CD">
        <w:rPr>
          <w:szCs w:val="24"/>
        </w:rPr>
        <w:t xml:space="preserve">by </w:t>
      </w:r>
      <w:r w:rsidR="009B2AC4" w:rsidRPr="003E55CD">
        <w:rPr>
          <w:szCs w:val="24"/>
        </w:rPr>
        <w:t>SmartFarmNet</w:t>
      </w:r>
      <w:r w:rsidR="006C0A1D">
        <w:rPr>
          <w:szCs w:val="24"/>
        </w:rPr>
        <w:t>.</w:t>
      </w:r>
    </w:p>
    <w:p w14:paraId="55C58547" w14:textId="4D697A5A" w:rsidR="00B316DE" w:rsidRPr="003E55CD" w:rsidRDefault="00B316DE" w:rsidP="00FC2741">
      <w:r w:rsidRPr="003E55CD">
        <w:rPr>
          <w:szCs w:val="24"/>
        </w:rPr>
        <w:t xml:space="preserve">Further, SmartFarmNet </w:t>
      </w:r>
      <w:r w:rsidR="0019317E" w:rsidRPr="003E55CD">
        <w:rPr>
          <w:szCs w:val="24"/>
        </w:rPr>
        <w:t>L</w:t>
      </w:r>
      <w:r w:rsidRPr="003E55CD">
        <w:rPr>
          <w:szCs w:val="24"/>
        </w:rPr>
        <w:t xml:space="preserve">ines </w:t>
      </w:r>
      <w:r w:rsidR="00CC15BC" w:rsidRPr="003E55CD">
        <w:rPr>
          <w:szCs w:val="24"/>
        </w:rPr>
        <w:t>will not be exempted if they are located or proposed to be located</w:t>
      </w:r>
      <w:r w:rsidRPr="003E55CD">
        <w:rPr>
          <w:szCs w:val="24"/>
        </w:rPr>
        <w:t xml:space="preserve"> within the footprint of a third party superfast fixed-line network in existence immediately before the commencement of the instrument; </w:t>
      </w:r>
      <w:r w:rsidR="0019317E" w:rsidRPr="003E55CD">
        <w:rPr>
          <w:szCs w:val="24"/>
        </w:rPr>
        <w:t xml:space="preserve">or in </w:t>
      </w:r>
      <w:r w:rsidRPr="003E55CD">
        <w:rPr>
          <w:szCs w:val="24"/>
        </w:rPr>
        <w:t xml:space="preserve">any area within the planned fixed-line footprint </w:t>
      </w:r>
      <w:r w:rsidRPr="003E55CD">
        <w:rPr>
          <w:szCs w:val="24"/>
        </w:rPr>
        <w:lastRenderedPageBreak/>
        <w:t xml:space="preserve">of NBN Co or a third party provider (as published on NBN Co’s website from time-to-time); or </w:t>
      </w:r>
      <w:r w:rsidR="008D46DB">
        <w:rPr>
          <w:szCs w:val="24"/>
        </w:rPr>
        <w:t>in an area of land wi</w:t>
      </w:r>
      <w:r w:rsidR="00CC15BC" w:rsidRPr="003E55CD">
        <w:rPr>
          <w:szCs w:val="24"/>
        </w:rPr>
        <w:t>t</w:t>
      </w:r>
      <w:r w:rsidR="008D46DB">
        <w:rPr>
          <w:szCs w:val="24"/>
        </w:rPr>
        <w:t>h</w:t>
      </w:r>
      <w:r w:rsidR="00CC15BC" w:rsidRPr="003E55CD">
        <w:rPr>
          <w:szCs w:val="24"/>
        </w:rPr>
        <w:t>in a new real estate development (to the extent that civil works associated with the development began to be carried out any time after the commencement of the exemption instrument)</w:t>
      </w:r>
      <w:r w:rsidRPr="003E55CD">
        <w:rPr>
          <w:szCs w:val="24"/>
        </w:rPr>
        <w:t>.</w:t>
      </w:r>
    </w:p>
    <w:p w14:paraId="681D3A19" w14:textId="2372AA50" w:rsidR="00AC1032" w:rsidRPr="003E55CD" w:rsidRDefault="00CC15BC" w:rsidP="00FC2741">
      <w:pPr>
        <w:rPr>
          <w:szCs w:val="24"/>
        </w:rPr>
      </w:pPr>
      <w:r w:rsidRPr="003E55CD">
        <w:rPr>
          <w:szCs w:val="24"/>
        </w:rPr>
        <w:t>W</w:t>
      </w:r>
      <w:r w:rsidR="00AC1032" w:rsidRPr="003E55CD">
        <w:rPr>
          <w:szCs w:val="24"/>
        </w:rPr>
        <w:t>here a local access line is necessary for the provision of carriage services to an area where SmartFarmNet can receive the exemptions, its exempted local access lines can pass through areas where it cannot receive the exemptions.</w:t>
      </w:r>
    </w:p>
    <w:p w14:paraId="42F16325" w14:textId="13BE25B9" w:rsidR="008373A4" w:rsidRPr="003E55CD" w:rsidRDefault="008373A4" w:rsidP="008B63E9">
      <w:pPr>
        <w:rPr>
          <w:szCs w:val="24"/>
        </w:rPr>
      </w:pPr>
      <w:r w:rsidRPr="003E55CD">
        <w:rPr>
          <w:szCs w:val="24"/>
        </w:rPr>
        <w:t>The appro</w:t>
      </w:r>
      <w:r w:rsidR="008B63E9" w:rsidRPr="003E55CD">
        <w:rPr>
          <w:szCs w:val="24"/>
        </w:rPr>
        <w:t>a</w:t>
      </w:r>
      <w:r w:rsidRPr="003E55CD">
        <w:rPr>
          <w:szCs w:val="24"/>
        </w:rPr>
        <w:t xml:space="preserve">ch adopted in </w:t>
      </w:r>
      <w:r w:rsidR="00B87C19" w:rsidRPr="003E55CD">
        <w:rPr>
          <w:szCs w:val="24"/>
        </w:rPr>
        <w:t xml:space="preserve">determining </w:t>
      </w:r>
      <w:r w:rsidRPr="003E55CD">
        <w:rPr>
          <w:szCs w:val="24"/>
        </w:rPr>
        <w:t xml:space="preserve">the </w:t>
      </w:r>
      <w:r w:rsidR="00B34F3B" w:rsidRPr="003E55CD">
        <w:rPr>
          <w:szCs w:val="24"/>
        </w:rPr>
        <w:t xml:space="preserve">permitted </w:t>
      </w:r>
      <w:r w:rsidR="00F17D52" w:rsidRPr="003E55CD">
        <w:rPr>
          <w:szCs w:val="24"/>
        </w:rPr>
        <w:t xml:space="preserve">areas </w:t>
      </w:r>
      <w:r w:rsidR="00B87C19" w:rsidRPr="003E55CD">
        <w:rPr>
          <w:szCs w:val="24"/>
        </w:rPr>
        <w:t xml:space="preserve">for </w:t>
      </w:r>
      <w:r w:rsidR="00F17D52" w:rsidRPr="003E55CD">
        <w:rPr>
          <w:szCs w:val="24"/>
        </w:rPr>
        <w:t xml:space="preserve">exempted </w:t>
      </w:r>
      <w:r w:rsidRPr="003E55CD">
        <w:rPr>
          <w:szCs w:val="24"/>
        </w:rPr>
        <w:t xml:space="preserve">SmartFarmNet </w:t>
      </w:r>
      <w:r w:rsidR="00113BEF" w:rsidRPr="003E55CD">
        <w:rPr>
          <w:szCs w:val="24"/>
        </w:rPr>
        <w:t xml:space="preserve">optical fibre local access lines </w:t>
      </w:r>
      <w:r w:rsidR="00CC15BC" w:rsidRPr="003E55CD">
        <w:rPr>
          <w:szCs w:val="24"/>
        </w:rPr>
        <w:t xml:space="preserve">has been designed </w:t>
      </w:r>
      <w:r w:rsidR="00F17D52" w:rsidRPr="003E55CD">
        <w:rPr>
          <w:szCs w:val="24"/>
        </w:rPr>
        <w:t xml:space="preserve">to </w:t>
      </w:r>
      <w:r w:rsidR="00B34F3B" w:rsidRPr="003E55CD">
        <w:rPr>
          <w:szCs w:val="24"/>
        </w:rPr>
        <w:t>minimis</w:t>
      </w:r>
      <w:r w:rsidR="006D3AC4" w:rsidRPr="003E55CD">
        <w:rPr>
          <w:szCs w:val="24"/>
        </w:rPr>
        <w:t>e overlap</w:t>
      </w:r>
      <w:r w:rsidR="00CC15BC" w:rsidRPr="003E55CD">
        <w:rPr>
          <w:szCs w:val="24"/>
        </w:rPr>
        <w:t xml:space="preserve"> between SmartFarmNet’s lines</w:t>
      </w:r>
      <w:r w:rsidR="006D3AC4" w:rsidRPr="003E55CD">
        <w:rPr>
          <w:szCs w:val="24"/>
        </w:rPr>
        <w:t xml:space="preserve"> with existing </w:t>
      </w:r>
      <w:r w:rsidR="00B34F3B" w:rsidRPr="003E55CD">
        <w:rPr>
          <w:szCs w:val="24"/>
        </w:rPr>
        <w:t>ne</w:t>
      </w:r>
      <w:r w:rsidR="002972DF" w:rsidRPr="003E55CD">
        <w:rPr>
          <w:szCs w:val="24"/>
        </w:rPr>
        <w:t>tworks</w:t>
      </w:r>
      <w:r w:rsidR="006D3AC4" w:rsidRPr="003E55CD">
        <w:rPr>
          <w:szCs w:val="24"/>
        </w:rPr>
        <w:t xml:space="preserve"> and</w:t>
      </w:r>
      <w:r w:rsidR="00B866E6" w:rsidRPr="003E55CD">
        <w:rPr>
          <w:szCs w:val="24"/>
        </w:rPr>
        <w:t xml:space="preserve"> </w:t>
      </w:r>
      <w:r w:rsidR="00CC15BC" w:rsidRPr="003E55CD">
        <w:rPr>
          <w:szCs w:val="24"/>
        </w:rPr>
        <w:t>real est</w:t>
      </w:r>
      <w:r w:rsidR="006D3AC4" w:rsidRPr="003E55CD">
        <w:rPr>
          <w:szCs w:val="24"/>
        </w:rPr>
        <w:t>ate developments</w:t>
      </w:r>
      <w:r w:rsidR="00353790" w:rsidRPr="003E55CD">
        <w:rPr>
          <w:szCs w:val="24"/>
        </w:rPr>
        <w:t xml:space="preserve"> </w:t>
      </w:r>
      <w:r w:rsidR="00B866E6" w:rsidRPr="003E55CD">
        <w:rPr>
          <w:szCs w:val="24"/>
        </w:rPr>
        <w:t xml:space="preserve">that may occur be </w:t>
      </w:r>
      <w:r w:rsidR="00353790" w:rsidRPr="003E55CD">
        <w:rPr>
          <w:szCs w:val="24"/>
        </w:rPr>
        <w:t>at any time in the future</w:t>
      </w:r>
      <w:r w:rsidR="00F17D52" w:rsidRPr="003E55CD">
        <w:rPr>
          <w:szCs w:val="24"/>
        </w:rPr>
        <w:t xml:space="preserve">. </w:t>
      </w:r>
      <w:r w:rsidR="00CC15BC" w:rsidRPr="003E55CD">
        <w:rPr>
          <w:szCs w:val="24"/>
        </w:rPr>
        <w:t>It is expected that Smar</w:t>
      </w:r>
      <w:r w:rsidR="008D46DB">
        <w:rPr>
          <w:szCs w:val="24"/>
        </w:rPr>
        <w:t>t</w:t>
      </w:r>
      <w:r w:rsidR="00CC15BC" w:rsidRPr="003E55CD">
        <w:rPr>
          <w:szCs w:val="24"/>
        </w:rPr>
        <w:t xml:space="preserve">FarmNet’s exemption will generally apply to areas serviced by NBN Co’s loss making fixed-wireless and satellite networks. </w:t>
      </w:r>
    </w:p>
    <w:p w14:paraId="5BF90EBB" w14:textId="4D38EB93" w:rsidR="009E53D1" w:rsidRPr="003E55CD" w:rsidRDefault="002972DF" w:rsidP="007D01D4">
      <w:pPr>
        <w:rPr>
          <w:szCs w:val="24"/>
        </w:rPr>
      </w:pPr>
      <w:r w:rsidRPr="003E55CD">
        <w:rPr>
          <w:szCs w:val="24"/>
        </w:rPr>
        <w:t xml:space="preserve">If </w:t>
      </w:r>
      <w:r w:rsidR="007D01D4" w:rsidRPr="003E55CD">
        <w:rPr>
          <w:szCs w:val="24"/>
        </w:rPr>
        <w:t xml:space="preserve">SmartFarmNet </w:t>
      </w:r>
      <w:r w:rsidR="00353790" w:rsidRPr="003E55CD">
        <w:rPr>
          <w:szCs w:val="24"/>
        </w:rPr>
        <w:t>deploys lo</w:t>
      </w:r>
      <w:r w:rsidR="003A5917" w:rsidRPr="003E55CD">
        <w:rPr>
          <w:szCs w:val="24"/>
        </w:rPr>
        <w:t>c</w:t>
      </w:r>
      <w:r w:rsidR="00353790" w:rsidRPr="003E55CD">
        <w:rPr>
          <w:szCs w:val="24"/>
        </w:rPr>
        <w:t xml:space="preserve">al access lines </w:t>
      </w:r>
      <w:r w:rsidR="003A5917" w:rsidRPr="003E55CD">
        <w:rPr>
          <w:szCs w:val="24"/>
        </w:rPr>
        <w:t>in an area that is not an ex</w:t>
      </w:r>
      <w:r w:rsidR="005E2F10" w:rsidRPr="003E55CD">
        <w:rPr>
          <w:szCs w:val="24"/>
        </w:rPr>
        <w:t>c</w:t>
      </w:r>
      <w:r w:rsidR="003A5917" w:rsidRPr="003E55CD">
        <w:rPr>
          <w:szCs w:val="24"/>
        </w:rPr>
        <w:t xml:space="preserve">luded area at the time </w:t>
      </w:r>
      <w:r w:rsidR="00F20A8B" w:rsidRPr="003E55CD">
        <w:rPr>
          <w:szCs w:val="24"/>
        </w:rPr>
        <w:t xml:space="preserve">of the original deployment </w:t>
      </w:r>
      <w:r w:rsidR="003A5917" w:rsidRPr="003E55CD">
        <w:rPr>
          <w:szCs w:val="24"/>
        </w:rPr>
        <w:t>and at a later point in t</w:t>
      </w:r>
      <w:r w:rsidR="008D46DB">
        <w:rPr>
          <w:szCs w:val="24"/>
        </w:rPr>
        <w:t>ime, the area becomes part of a</w:t>
      </w:r>
      <w:r w:rsidR="003A5917" w:rsidRPr="003E55CD">
        <w:rPr>
          <w:szCs w:val="24"/>
        </w:rPr>
        <w:t xml:space="preserve"> project area of a real estate development project, as soon as the civil works for that project commence (e</w:t>
      </w:r>
      <w:r w:rsidR="005E2F10" w:rsidRPr="003E55CD">
        <w:rPr>
          <w:szCs w:val="24"/>
        </w:rPr>
        <w:t>.</w:t>
      </w:r>
      <w:r w:rsidR="003A5917" w:rsidRPr="003E55CD">
        <w:rPr>
          <w:szCs w:val="24"/>
        </w:rPr>
        <w:t>g</w:t>
      </w:r>
      <w:r w:rsidR="005E2F10" w:rsidRPr="003E55CD">
        <w:rPr>
          <w:szCs w:val="24"/>
        </w:rPr>
        <w:t>.</w:t>
      </w:r>
      <w:r w:rsidR="003A5917" w:rsidRPr="003E55CD">
        <w:rPr>
          <w:szCs w:val="24"/>
        </w:rPr>
        <w:t xml:space="preserve"> trenching</w:t>
      </w:r>
      <w:r w:rsidR="0019317E" w:rsidRPr="003E55CD">
        <w:rPr>
          <w:szCs w:val="24"/>
        </w:rPr>
        <w:t xml:space="preserve"> works begin</w:t>
      </w:r>
      <w:r w:rsidR="003A5917" w:rsidRPr="003E55CD">
        <w:rPr>
          <w:szCs w:val="24"/>
        </w:rPr>
        <w:t xml:space="preserve">) </w:t>
      </w:r>
      <w:r w:rsidR="007D01D4" w:rsidRPr="003E55CD">
        <w:rPr>
          <w:szCs w:val="24"/>
        </w:rPr>
        <w:t>th</w:t>
      </w:r>
      <w:r w:rsidR="003A5917" w:rsidRPr="003E55CD">
        <w:rPr>
          <w:szCs w:val="24"/>
        </w:rPr>
        <w:t>os</w:t>
      </w:r>
      <w:r w:rsidR="007D01D4" w:rsidRPr="003E55CD">
        <w:rPr>
          <w:szCs w:val="24"/>
        </w:rPr>
        <w:t xml:space="preserve">e </w:t>
      </w:r>
      <w:r w:rsidR="003A5917" w:rsidRPr="003E55CD">
        <w:rPr>
          <w:szCs w:val="24"/>
        </w:rPr>
        <w:t xml:space="preserve">line </w:t>
      </w:r>
      <w:r w:rsidR="007D01D4" w:rsidRPr="003E55CD">
        <w:rPr>
          <w:szCs w:val="24"/>
        </w:rPr>
        <w:t xml:space="preserve">will no longer receive the </w:t>
      </w:r>
      <w:r w:rsidR="00B34F3B" w:rsidRPr="003E55CD">
        <w:rPr>
          <w:szCs w:val="24"/>
        </w:rPr>
        <w:t xml:space="preserve">benefit of the </w:t>
      </w:r>
      <w:r w:rsidR="007D01D4" w:rsidRPr="003E55CD">
        <w:rPr>
          <w:szCs w:val="24"/>
        </w:rPr>
        <w:t>exemption.</w:t>
      </w:r>
      <w:r w:rsidR="003A5917" w:rsidRPr="003E55CD">
        <w:rPr>
          <w:szCs w:val="24"/>
        </w:rPr>
        <w:t xml:space="preserve"> S</w:t>
      </w:r>
      <w:r w:rsidR="0019317E" w:rsidRPr="003E55CD">
        <w:rPr>
          <w:szCs w:val="24"/>
        </w:rPr>
        <w:t>mart</w:t>
      </w:r>
      <w:r w:rsidR="003A5917" w:rsidRPr="003E55CD">
        <w:rPr>
          <w:szCs w:val="24"/>
        </w:rPr>
        <w:t xml:space="preserve">FarmNet is expected to closely </w:t>
      </w:r>
      <w:r w:rsidR="00F20A8B" w:rsidRPr="003E55CD">
        <w:rPr>
          <w:szCs w:val="24"/>
        </w:rPr>
        <w:lastRenderedPageBreak/>
        <w:t xml:space="preserve">monitor </w:t>
      </w:r>
      <w:r w:rsidR="003A5917" w:rsidRPr="003E55CD">
        <w:rPr>
          <w:szCs w:val="24"/>
        </w:rPr>
        <w:t xml:space="preserve">the state of affairs in those areas where it deploys exempted local access lines for any changes. </w:t>
      </w:r>
      <w:r w:rsidR="00CC15BC" w:rsidRPr="003E55CD">
        <w:rPr>
          <w:szCs w:val="24"/>
        </w:rPr>
        <w:t xml:space="preserve">This will protect against anti-competitive outcomes, while incentivising service provision in those locations. </w:t>
      </w:r>
    </w:p>
    <w:p w14:paraId="257FED22" w14:textId="20ADB34E" w:rsidR="0060646C" w:rsidRPr="003E55CD" w:rsidRDefault="0060646C" w:rsidP="0063405B">
      <w:pPr>
        <w:rPr>
          <w:szCs w:val="24"/>
        </w:rPr>
      </w:pPr>
      <w:r w:rsidRPr="003E55CD">
        <w:rPr>
          <w:szCs w:val="24"/>
        </w:rPr>
        <w:t>The term ‘third par</w:t>
      </w:r>
      <w:r w:rsidR="0063405B" w:rsidRPr="003E55CD">
        <w:rPr>
          <w:szCs w:val="24"/>
        </w:rPr>
        <w:t>ty superfast fixed-</w:t>
      </w:r>
      <w:r w:rsidRPr="003E55CD">
        <w:rPr>
          <w:szCs w:val="24"/>
        </w:rPr>
        <w:t xml:space="preserve">line network’ means a </w:t>
      </w:r>
      <w:r w:rsidR="0063405B" w:rsidRPr="003E55CD">
        <w:rPr>
          <w:szCs w:val="24"/>
        </w:rPr>
        <w:t xml:space="preserve">fixed-line network that is </w:t>
      </w:r>
      <w:r w:rsidR="003B308B" w:rsidRPr="003E55CD">
        <w:rPr>
          <w:szCs w:val="24"/>
        </w:rPr>
        <w:t xml:space="preserve">or is </w:t>
      </w:r>
      <w:r w:rsidR="0063405B" w:rsidRPr="003E55CD">
        <w:rPr>
          <w:szCs w:val="24"/>
        </w:rPr>
        <w:t>capable of providing s</w:t>
      </w:r>
      <w:r w:rsidRPr="003E55CD">
        <w:rPr>
          <w:szCs w:val="24"/>
        </w:rPr>
        <w:t xml:space="preserve">uperfast </w:t>
      </w:r>
      <w:r w:rsidR="0063405B" w:rsidRPr="003E55CD">
        <w:rPr>
          <w:szCs w:val="24"/>
        </w:rPr>
        <w:t xml:space="preserve">carriage services and is </w:t>
      </w:r>
      <w:r w:rsidRPr="003E55CD">
        <w:rPr>
          <w:szCs w:val="24"/>
        </w:rPr>
        <w:t>owned by an entity other t</w:t>
      </w:r>
      <w:r w:rsidR="0063405B" w:rsidRPr="003E55CD">
        <w:rPr>
          <w:szCs w:val="24"/>
        </w:rPr>
        <w:t xml:space="preserve">han </w:t>
      </w:r>
      <w:r w:rsidR="006A52F3" w:rsidRPr="003E55CD">
        <w:rPr>
          <w:szCs w:val="24"/>
        </w:rPr>
        <w:t>SmartFarmNet and its associates.</w:t>
      </w:r>
    </w:p>
    <w:p w14:paraId="103C3BDF" w14:textId="77A29F09" w:rsidR="00CA62F2" w:rsidRPr="003E55CD" w:rsidRDefault="00CA62F2" w:rsidP="00227DF4">
      <w:pPr>
        <w:rPr>
          <w:szCs w:val="24"/>
        </w:rPr>
      </w:pPr>
      <w:r w:rsidRPr="003E55CD">
        <w:rPr>
          <w:szCs w:val="24"/>
        </w:rPr>
        <w:t xml:space="preserve">Note 1 is included at clause 4 to remind readers that certain expressions used in the Instrument have the same meaning as in the Act. This is by virtue of paragraph 46(1)(b) of the </w:t>
      </w:r>
      <w:r w:rsidRPr="003E55CD">
        <w:rPr>
          <w:i/>
          <w:szCs w:val="24"/>
        </w:rPr>
        <w:t>Acts Interpretation Act 1901</w:t>
      </w:r>
      <w:r w:rsidRPr="003E55CD">
        <w:rPr>
          <w:szCs w:val="24"/>
        </w:rPr>
        <w:t>.</w:t>
      </w:r>
    </w:p>
    <w:p w14:paraId="01BB8B4C" w14:textId="78D99046" w:rsidR="00CA62F2" w:rsidRPr="003E55CD" w:rsidRDefault="00CA62F2" w:rsidP="006C0A1D">
      <w:pPr>
        <w:pStyle w:val="Heading3"/>
      </w:pPr>
      <w:r w:rsidRPr="003E55CD">
        <w:t>Clause 5</w:t>
      </w:r>
      <w:r w:rsidR="006C0A1D">
        <w:t>—</w:t>
      </w:r>
      <w:r w:rsidRPr="003E55CD">
        <w:t>Exemptions</w:t>
      </w:r>
    </w:p>
    <w:p w14:paraId="1D68CCBB" w14:textId="28FBF7FC" w:rsidR="00FD64A0" w:rsidRPr="003E55CD" w:rsidRDefault="00087713" w:rsidP="00227DF4">
      <w:pPr>
        <w:rPr>
          <w:szCs w:val="24"/>
        </w:rPr>
      </w:pPr>
      <w:r w:rsidRPr="003E55CD">
        <w:rPr>
          <w:szCs w:val="24"/>
        </w:rPr>
        <w:t xml:space="preserve">Subclause 5(1) provides that the SmartFarmNet </w:t>
      </w:r>
      <w:r w:rsidR="0037604B" w:rsidRPr="003E55CD">
        <w:rPr>
          <w:szCs w:val="24"/>
        </w:rPr>
        <w:t>F</w:t>
      </w:r>
      <w:r w:rsidRPr="003E55CD">
        <w:rPr>
          <w:szCs w:val="24"/>
        </w:rPr>
        <w:t xml:space="preserve">ibre </w:t>
      </w:r>
      <w:r w:rsidR="0037604B" w:rsidRPr="003E55CD">
        <w:rPr>
          <w:szCs w:val="24"/>
        </w:rPr>
        <w:t xml:space="preserve">Lines are </w:t>
      </w:r>
      <w:r w:rsidRPr="003E55CD">
        <w:rPr>
          <w:szCs w:val="24"/>
        </w:rPr>
        <w:t xml:space="preserve">exempt from the requirements of sections 141 and 143 of the Act, </w:t>
      </w:r>
      <w:r w:rsidR="005B55C4" w:rsidRPr="003E55CD">
        <w:rPr>
          <w:szCs w:val="24"/>
        </w:rPr>
        <w:t xml:space="preserve">contained in Parts 7 and 8 respectively, </w:t>
      </w:r>
      <w:r w:rsidRPr="003E55CD">
        <w:rPr>
          <w:szCs w:val="24"/>
        </w:rPr>
        <w:t xml:space="preserve">provided that all of the conditions in subclause </w:t>
      </w:r>
      <w:r w:rsidR="00C6021F" w:rsidRPr="003E55CD">
        <w:rPr>
          <w:szCs w:val="24"/>
        </w:rPr>
        <w:t>5</w:t>
      </w:r>
      <w:r w:rsidRPr="003E55CD">
        <w:rPr>
          <w:szCs w:val="24"/>
        </w:rPr>
        <w:t>(2) are satisfied.</w:t>
      </w:r>
    </w:p>
    <w:p w14:paraId="343C0C35" w14:textId="77777777" w:rsidR="00C80F51" w:rsidRPr="003E55CD" w:rsidRDefault="00934FAA" w:rsidP="00227DF4">
      <w:pPr>
        <w:rPr>
          <w:szCs w:val="24"/>
        </w:rPr>
      </w:pPr>
      <w:r w:rsidRPr="003E55CD">
        <w:rPr>
          <w:szCs w:val="24"/>
        </w:rPr>
        <w:t xml:space="preserve">Subclause </w:t>
      </w:r>
      <w:r w:rsidR="00C6021F" w:rsidRPr="003E55CD">
        <w:rPr>
          <w:szCs w:val="24"/>
        </w:rPr>
        <w:t>5</w:t>
      </w:r>
      <w:r w:rsidRPr="003E55CD">
        <w:rPr>
          <w:szCs w:val="24"/>
        </w:rPr>
        <w:t>(2) sets out the conditions to the exemptions.</w:t>
      </w:r>
    </w:p>
    <w:p w14:paraId="39C4EFD6" w14:textId="23EC5E0A" w:rsidR="00A24B6E" w:rsidRPr="003E55CD" w:rsidRDefault="00041393" w:rsidP="00227DF4">
      <w:pPr>
        <w:rPr>
          <w:szCs w:val="24"/>
        </w:rPr>
      </w:pPr>
      <w:r w:rsidRPr="003E55CD">
        <w:rPr>
          <w:szCs w:val="24"/>
        </w:rPr>
        <w:t>Paragraph 5(2)(a</w:t>
      </w:r>
      <w:r w:rsidR="00A24B6E" w:rsidRPr="003E55CD">
        <w:rPr>
          <w:szCs w:val="24"/>
        </w:rPr>
        <w:t>) makes it a condition of t</w:t>
      </w:r>
      <w:r w:rsidR="006A52F3" w:rsidRPr="003E55CD">
        <w:rPr>
          <w:szCs w:val="24"/>
        </w:rPr>
        <w:t>he exemptions that SmartFarmNet</w:t>
      </w:r>
      <w:r w:rsidR="00A24B6E" w:rsidRPr="003E55CD">
        <w:rPr>
          <w:szCs w:val="24"/>
        </w:rPr>
        <w:t xml:space="preserve"> must provide the ACCC with an estimate of the number of end-users supplied with services over their networks</w:t>
      </w:r>
      <w:r w:rsidR="003A5917" w:rsidRPr="003E55CD">
        <w:rPr>
          <w:szCs w:val="24"/>
        </w:rPr>
        <w:t xml:space="preserve"> tha</w:t>
      </w:r>
      <w:r w:rsidR="0019317E" w:rsidRPr="003E55CD">
        <w:rPr>
          <w:szCs w:val="24"/>
        </w:rPr>
        <w:t>t include the exempted SmartFar</w:t>
      </w:r>
      <w:r w:rsidR="00DD2C56" w:rsidRPr="003E55CD">
        <w:rPr>
          <w:szCs w:val="24"/>
        </w:rPr>
        <w:t>mN</w:t>
      </w:r>
      <w:r w:rsidR="003A5917" w:rsidRPr="003E55CD">
        <w:rPr>
          <w:szCs w:val="24"/>
        </w:rPr>
        <w:t xml:space="preserve">et </w:t>
      </w:r>
      <w:r w:rsidR="00DD2C56" w:rsidRPr="003E55CD">
        <w:rPr>
          <w:szCs w:val="24"/>
        </w:rPr>
        <w:t xml:space="preserve">Fibre </w:t>
      </w:r>
      <w:r w:rsidR="003A5917" w:rsidRPr="003E55CD">
        <w:rPr>
          <w:szCs w:val="24"/>
        </w:rPr>
        <w:t xml:space="preserve">Lines </w:t>
      </w:r>
      <w:r w:rsidR="00CC0F45" w:rsidRPr="003E55CD">
        <w:rPr>
          <w:szCs w:val="24"/>
        </w:rPr>
        <w:t xml:space="preserve">within 14 days after the </w:t>
      </w:r>
      <w:r w:rsidR="00CC0F45" w:rsidRPr="003E55CD">
        <w:rPr>
          <w:szCs w:val="24"/>
        </w:rPr>
        <w:lastRenderedPageBreak/>
        <w:t>commissioning of telecommunications networks</w:t>
      </w:r>
      <w:r w:rsidRPr="003E55CD">
        <w:rPr>
          <w:szCs w:val="24"/>
        </w:rPr>
        <w:t xml:space="preserve">. </w:t>
      </w:r>
      <w:r w:rsidR="003A5917" w:rsidRPr="003E55CD">
        <w:rPr>
          <w:szCs w:val="24"/>
        </w:rPr>
        <w:t>In addition to assisting with compliance, t</w:t>
      </w:r>
      <w:r w:rsidRPr="003E55CD">
        <w:rPr>
          <w:szCs w:val="24"/>
        </w:rPr>
        <w:t xml:space="preserve">his </w:t>
      </w:r>
      <w:r w:rsidR="003A5917" w:rsidRPr="003E55CD">
        <w:rPr>
          <w:szCs w:val="24"/>
        </w:rPr>
        <w:t xml:space="preserve">additional information </w:t>
      </w:r>
      <w:r w:rsidRPr="003E55CD">
        <w:rPr>
          <w:szCs w:val="24"/>
        </w:rPr>
        <w:t>will assist</w:t>
      </w:r>
      <w:r w:rsidR="00A24B6E" w:rsidRPr="003E55CD">
        <w:rPr>
          <w:szCs w:val="24"/>
        </w:rPr>
        <w:t xml:space="preserve"> the ACCC </w:t>
      </w:r>
      <w:r w:rsidRPr="003E55CD">
        <w:rPr>
          <w:szCs w:val="24"/>
        </w:rPr>
        <w:t>to determine the extent of SmartFarmNet’s deployment</w:t>
      </w:r>
      <w:r w:rsidR="00A24B6E" w:rsidRPr="003E55CD">
        <w:rPr>
          <w:szCs w:val="24"/>
        </w:rPr>
        <w:t xml:space="preserve"> </w:t>
      </w:r>
      <w:r w:rsidR="003A5917" w:rsidRPr="003E55CD">
        <w:rPr>
          <w:szCs w:val="24"/>
        </w:rPr>
        <w:t xml:space="preserve">and </w:t>
      </w:r>
      <w:r w:rsidR="00A24B6E" w:rsidRPr="003E55CD">
        <w:rPr>
          <w:szCs w:val="24"/>
        </w:rPr>
        <w:t xml:space="preserve">whether </w:t>
      </w:r>
      <w:r w:rsidRPr="003E55CD">
        <w:rPr>
          <w:szCs w:val="24"/>
        </w:rPr>
        <w:t>threshold associated with the ACCC’s Superfast Broadband Access Service access determination of 12,000 end-users has been met</w:t>
      </w:r>
      <w:r w:rsidR="00A24B6E" w:rsidRPr="003E55CD">
        <w:rPr>
          <w:szCs w:val="24"/>
        </w:rPr>
        <w:t>.</w:t>
      </w:r>
    </w:p>
    <w:p w14:paraId="0884F0B6" w14:textId="748879EE" w:rsidR="00A92C4E" w:rsidRPr="003E55CD" w:rsidRDefault="00041393" w:rsidP="00227DF4">
      <w:pPr>
        <w:rPr>
          <w:szCs w:val="24"/>
        </w:rPr>
      </w:pPr>
      <w:r w:rsidRPr="003E55CD">
        <w:rPr>
          <w:szCs w:val="24"/>
        </w:rPr>
        <w:t>Paragraph 5(2)(b</w:t>
      </w:r>
      <w:r w:rsidR="00A24B6E" w:rsidRPr="003E55CD">
        <w:rPr>
          <w:szCs w:val="24"/>
        </w:rPr>
        <w:t>) makes it a condition of the exemption</w:t>
      </w:r>
      <w:r w:rsidR="00CC15BC" w:rsidRPr="003E55CD">
        <w:rPr>
          <w:szCs w:val="24"/>
        </w:rPr>
        <w:t xml:space="preserve"> that</w:t>
      </w:r>
      <w:r w:rsidR="00A24B6E" w:rsidRPr="003E55CD">
        <w:rPr>
          <w:szCs w:val="24"/>
        </w:rPr>
        <w:t xml:space="preserve"> </w:t>
      </w:r>
      <w:r w:rsidRPr="003E55CD">
        <w:rPr>
          <w:szCs w:val="24"/>
        </w:rPr>
        <w:t>SmartFarmNet</w:t>
      </w:r>
      <w:r w:rsidR="00B52F53" w:rsidRPr="003E55CD">
        <w:rPr>
          <w:szCs w:val="24"/>
        </w:rPr>
        <w:t xml:space="preserve"> must offer the </w:t>
      </w:r>
      <w:r w:rsidR="00934FAA" w:rsidRPr="003E55CD">
        <w:rPr>
          <w:szCs w:val="24"/>
        </w:rPr>
        <w:t xml:space="preserve">use </w:t>
      </w:r>
      <w:r w:rsidR="00B52F53" w:rsidRPr="003E55CD">
        <w:rPr>
          <w:szCs w:val="24"/>
        </w:rPr>
        <w:t xml:space="preserve">of </w:t>
      </w:r>
      <w:r w:rsidR="00934FAA" w:rsidRPr="003E55CD">
        <w:rPr>
          <w:szCs w:val="24"/>
        </w:rPr>
        <w:t xml:space="preserve">unused optical fibre that is part of SmartFarmNet’s infrastructure deployment </w:t>
      </w:r>
      <w:r w:rsidR="00A92C4E" w:rsidRPr="003E55CD">
        <w:rPr>
          <w:szCs w:val="24"/>
        </w:rPr>
        <w:t xml:space="preserve">on an open and equitable basis </w:t>
      </w:r>
      <w:r w:rsidR="00934FAA" w:rsidRPr="003E55CD">
        <w:rPr>
          <w:szCs w:val="24"/>
        </w:rPr>
        <w:t>for the purposes of supplying telecommunications services.</w:t>
      </w:r>
      <w:r w:rsidR="00A92C4E" w:rsidRPr="003E55CD">
        <w:rPr>
          <w:szCs w:val="24"/>
        </w:rPr>
        <w:t xml:space="preserve"> Further, provision is given for sufficient oversight by the ACCC.</w:t>
      </w:r>
      <w:r w:rsidR="00B52F53" w:rsidRPr="003E55CD">
        <w:rPr>
          <w:szCs w:val="24"/>
        </w:rPr>
        <w:t xml:space="preserve"> Specifically, i</w:t>
      </w:r>
      <w:r w:rsidR="00934FAA" w:rsidRPr="003E55CD">
        <w:rPr>
          <w:szCs w:val="24"/>
        </w:rPr>
        <w:t xml:space="preserve">n order for the exemptions to apply, </w:t>
      </w:r>
      <w:r w:rsidRPr="003E55CD">
        <w:rPr>
          <w:szCs w:val="24"/>
        </w:rPr>
        <w:t>SmartFarmNet</w:t>
      </w:r>
      <w:r w:rsidR="00934FAA" w:rsidRPr="003E55CD">
        <w:rPr>
          <w:szCs w:val="24"/>
        </w:rPr>
        <w:t xml:space="preserve"> must:</w:t>
      </w:r>
    </w:p>
    <w:p w14:paraId="5E8D3EC4" w14:textId="3EC13F40" w:rsidR="007102F7" w:rsidRPr="003E55CD" w:rsidRDefault="000E746C" w:rsidP="006C0A1D">
      <w:pPr>
        <w:pStyle w:val="ListParagraph"/>
        <w:numPr>
          <w:ilvl w:val="0"/>
          <w:numId w:val="8"/>
        </w:numPr>
        <w:ind w:left="567" w:hanging="567"/>
        <w:rPr>
          <w:szCs w:val="24"/>
        </w:rPr>
      </w:pPr>
      <w:r w:rsidRPr="003E55CD">
        <w:rPr>
          <w:szCs w:val="24"/>
        </w:rPr>
        <w:t xml:space="preserve">within 14 days of offering </w:t>
      </w:r>
      <w:r w:rsidR="00F46A3B" w:rsidRPr="003E55CD">
        <w:rPr>
          <w:szCs w:val="24"/>
        </w:rPr>
        <w:t xml:space="preserve">its </w:t>
      </w:r>
      <w:r w:rsidRPr="003E55CD">
        <w:rPr>
          <w:szCs w:val="24"/>
        </w:rPr>
        <w:t xml:space="preserve">first </w:t>
      </w:r>
      <w:r w:rsidR="00F46A3B" w:rsidRPr="003E55CD">
        <w:rPr>
          <w:szCs w:val="24"/>
        </w:rPr>
        <w:t xml:space="preserve">carriage </w:t>
      </w:r>
      <w:r w:rsidRPr="003E55CD">
        <w:rPr>
          <w:szCs w:val="24"/>
        </w:rPr>
        <w:t xml:space="preserve">service over </w:t>
      </w:r>
      <w:r w:rsidR="00F46A3B" w:rsidRPr="003E55CD">
        <w:rPr>
          <w:szCs w:val="24"/>
        </w:rPr>
        <w:t>using a SmartFarmNet</w:t>
      </w:r>
      <w:r w:rsidR="00DD2C56" w:rsidRPr="003E55CD">
        <w:rPr>
          <w:szCs w:val="24"/>
        </w:rPr>
        <w:t xml:space="preserve"> Fibre </w:t>
      </w:r>
      <w:r w:rsidR="003A5917" w:rsidRPr="003E55CD">
        <w:rPr>
          <w:szCs w:val="24"/>
        </w:rPr>
        <w:t>Lines</w:t>
      </w:r>
      <w:r w:rsidRPr="003E55CD">
        <w:rPr>
          <w:szCs w:val="24"/>
        </w:rPr>
        <w:t xml:space="preserve">, </w:t>
      </w:r>
      <w:r w:rsidR="007102F7" w:rsidRPr="003E55CD">
        <w:rPr>
          <w:szCs w:val="24"/>
        </w:rPr>
        <w:t xml:space="preserve">electronically publish, and maintain on its website, a reference offer, with both price and non-price terms and conditions upon which it offers to supply the SmartFarmNet </w:t>
      </w:r>
      <w:r w:rsidR="0037604B" w:rsidRPr="003E55CD">
        <w:rPr>
          <w:szCs w:val="24"/>
        </w:rPr>
        <w:t>D</w:t>
      </w:r>
      <w:r w:rsidR="007102F7" w:rsidRPr="003E55CD">
        <w:rPr>
          <w:szCs w:val="24"/>
        </w:rPr>
        <w:t xml:space="preserve">ark </w:t>
      </w:r>
      <w:r w:rsidR="0037604B" w:rsidRPr="003E55CD">
        <w:rPr>
          <w:szCs w:val="24"/>
        </w:rPr>
        <w:t>F</w:t>
      </w:r>
      <w:r w:rsidR="007102F7" w:rsidRPr="003E55CD">
        <w:rPr>
          <w:szCs w:val="24"/>
        </w:rPr>
        <w:t xml:space="preserve">ibre </w:t>
      </w:r>
      <w:r w:rsidR="0037604B" w:rsidRPr="003E55CD">
        <w:rPr>
          <w:szCs w:val="24"/>
        </w:rPr>
        <w:t>S</w:t>
      </w:r>
      <w:r w:rsidR="007102F7" w:rsidRPr="003E55CD">
        <w:rPr>
          <w:szCs w:val="24"/>
        </w:rPr>
        <w:t xml:space="preserve">ervice (this condition is intended to ensure that there is visibility </w:t>
      </w:r>
      <w:r w:rsidRPr="003E55CD">
        <w:rPr>
          <w:szCs w:val="24"/>
        </w:rPr>
        <w:t>with</w:t>
      </w:r>
      <w:r w:rsidR="007102F7" w:rsidRPr="003E55CD">
        <w:rPr>
          <w:szCs w:val="24"/>
        </w:rPr>
        <w:t xml:space="preserve"> respect </w:t>
      </w:r>
      <w:r w:rsidRPr="003E55CD">
        <w:rPr>
          <w:szCs w:val="24"/>
        </w:rPr>
        <w:t>to</w:t>
      </w:r>
      <w:r w:rsidR="007102F7" w:rsidRPr="003E55CD">
        <w:rPr>
          <w:szCs w:val="24"/>
        </w:rPr>
        <w:t xml:space="preserve"> the terms and conditions of the offer)</w:t>
      </w:r>
      <w:r w:rsidR="00FA7751" w:rsidRPr="003E55CD">
        <w:rPr>
          <w:szCs w:val="24"/>
        </w:rPr>
        <w:t>;</w:t>
      </w:r>
    </w:p>
    <w:p w14:paraId="32B032C0" w14:textId="4D4E248B" w:rsidR="007102F7" w:rsidRPr="003E55CD" w:rsidRDefault="007102F7" w:rsidP="006C0A1D">
      <w:pPr>
        <w:pStyle w:val="ListParagraph"/>
        <w:numPr>
          <w:ilvl w:val="0"/>
          <w:numId w:val="8"/>
        </w:numPr>
        <w:ind w:left="567" w:hanging="567"/>
        <w:rPr>
          <w:szCs w:val="24"/>
        </w:rPr>
      </w:pPr>
      <w:r w:rsidRPr="003E55CD">
        <w:rPr>
          <w:szCs w:val="24"/>
        </w:rPr>
        <w:t>notify the ACCC within 14 days of any difference in the terms and conditions negotiated with an individual access seeker from those in the reference offer</w:t>
      </w:r>
      <w:r w:rsidR="00074D57" w:rsidRPr="003E55CD">
        <w:rPr>
          <w:szCs w:val="24"/>
        </w:rPr>
        <w:t>, as well as the identi</w:t>
      </w:r>
      <w:r w:rsidR="00B65272" w:rsidRPr="003E55CD">
        <w:rPr>
          <w:szCs w:val="24"/>
        </w:rPr>
        <w:t>t</w:t>
      </w:r>
      <w:r w:rsidR="00074D57" w:rsidRPr="003E55CD">
        <w:rPr>
          <w:szCs w:val="24"/>
        </w:rPr>
        <w:t>y of the parties</w:t>
      </w:r>
      <w:r w:rsidRPr="003E55CD">
        <w:rPr>
          <w:szCs w:val="24"/>
        </w:rPr>
        <w:t xml:space="preserve"> (this condition ensures that the ACCC can maintain oversight over differences)</w:t>
      </w:r>
      <w:r w:rsidR="00FA7751" w:rsidRPr="003E55CD">
        <w:rPr>
          <w:szCs w:val="24"/>
        </w:rPr>
        <w:t>; and</w:t>
      </w:r>
    </w:p>
    <w:p w14:paraId="2C97AEEB" w14:textId="7E90B1EB" w:rsidR="007102F7" w:rsidRPr="003E55CD" w:rsidRDefault="007102F7" w:rsidP="006C0A1D">
      <w:pPr>
        <w:pStyle w:val="ListParagraph"/>
        <w:numPr>
          <w:ilvl w:val="0"/>
          <w:numId w:val="8"/>
        </w:numPr>
        <w:ind w:left="567" w:hanging="567"/>
        <w:rPr>
          <w:szCs w:val="24"/>
        </w:rPr>
      </w:pPr>
      <w:r w:rsidRPr="003E55CD">
        <w:rPr>
          <w:szCs w:val="24"/>
        </w:rPr>
        <w:t>notify the ACCC within 14 days of the nature and date of any material change to the reference offer, including to the product specification (this condition further ensures that the ACCC can maintain oversight over the product and the terms and conditions of supply).</w:t>
      </w:r>
    </w:p>
    <w:p w14:paraId="521E2591" w14:textId="2AE62CF9" w:rsidR="007102F7" w:rsidRPr="003E55CD" w:rsidRDefault="007102F7" w:rsidP="006C0A1D">
      <w:r w:rsidRPr="003E55CD">
        <w:t>If at any time the condi</w:t>
      </w:r>
      <w:r w:rsidR="00E647DC" w:rsidRPr="003E55CD">
        <w:t>tions</w:t>
      </w:r>
      <w:r w:rsidR="00074D57" w:rsidRPr="003E55CD">
        <w:t xml:space="preserve"> in subclause 5(2)</w:t>
      </w:r>
      <w:r w:rsidR="00E647DC" w:rsidRPr="003E55CD">
        <w:t xml:space="preserve"> are not satisfied, SmartFarmNet</w:t>
      </w:r>
      <w:r w:rsidRPr="003E55CD">
        <w:t xml:space="preserve"> would be subject to the requirements of section 141 and 143 of the Act with respect to the </w:t>
      </w:r>
      <w:r w:rsidR="00DD2C56" w:rsidRPr="003E55CD">
        <w:t>telecommunica</w:t>
      </w:r>
      <w:r w:rsidR="00F20A8B" w:rsidRPr="003E55CD">
        <w:t>t</w:t>
      </w:r>
      <w:r w:rsidR="00DD2C56" w:rsidRPr="003E55CD">
        <w:t>i</w:t>
      </w:r>
      <w:r w:rsidR="00F20A8B" w:rsidRPr="003E55CD">
        <w:t xml:space="preserve">ons network that </w:t>
      </w:r>
      <w:r w:rsidR="00DD2C56" w:rsidRPr="003E55CD">
        <w:t xml:space="preserve">comprise </w:t>
      </w:r>
      <w:r w:rsidR="003A5917" w:rsidRPr="003E55CD">
        <w:t>local access lines</w:t>
      </w:r>
      <w:r w:rsidR="00336AE4" w:rsidRPr="003E55CD">
        <w:t>, including the offence provisions at subsections 141(4) and 143(3)</w:t>
      </w:r>
      <w:r w:rsidR="006C0A1D">
        <w:t>.</w:t>
      </w:r>
    </w:p>
    <w:p w14:paraId="471D9736" w14:textId="20AE8BDB" w:rsidR="00CC424C" w:rsidRPr="003E55CD" w:rsidRDefault="007102F7" w:rsidP="006C0A1D">
      <w:r w:rsidRPr="003E55CD">
        <w:t xml:space="preserve">The supply of services over the infrastructure would, as a matter of course, also be open to regulation by the ACCC under the telecommunications access regime in Part XIC of the </w:t>
      </w:r>
      <w:r w:rsidRPr="003E55CD">
        <w:rPr>
          <w:i/>
        </w:rPr>
        <w:t>C</w:t>
      </w:r>
      <w:r w:rsidR="00CC0F45" w:rsidRPr="003E55CD">
        <w:rPr>
          <w:i/>
        </w:rPr>
        <w:t xml:space="preserve">ompetition and </w:t>
      </w:r>
      <w:r w:rsidRPr="003E55CD">
        <w:rPr>
          <w:i/>
        </w:rPr>
        <w:t>C</w:t>
      </w:r>
      <w:r w:rsidR="00CC0F45" w:rsidRPr="003E55CD">
        <w:rPr>
          <w:i/>
        </w:rPr>
        <w:t xml:space="preserve">onsumer </w:t>
      </w:r>
      <w:r w:rsidRPr="003E55CD">
        <w:rPr>
          <w:i/>
        </w:rPr>
        <w:t>A</w:t>
      </w:r>
      <w:r w:rsidR="00CC0F45" w:rsidRPr="003E55CD">
        <w:rPr>
          <w:i/>
        </w:rPr>
        <w:t>ct 2010</w:t>
      </w:r>
      <w:r w:rsidR="00CC0F45" w:rsidRPr="003E55CD">
        <w:t xml:space="preserve"> (Cth)</w:t>
      </w:r>
      <w:r w:rsidRPr="003E55CD">
        <w:t>.</w:t>
      </w:r>
    </w:p>
    <w:p w14:paraId="602581C5" w14:textId="24E78617" w:rsidR="00CA62F2" w:rsidRPr="00CC424C" w:rsidRDefault="00CA62F2" w:rsidP="006C0A1D">
      <w:r w:rsidRPr="003E55CD">
        <w:t>Notes 1 and 2 to clause 5 remind readers that</w:t>
      </w:r>
      <w:r w:rsidR="00FA7751" w:rsidRPr="003E55CD">
        <w:t xml:space="preserve"> p</w:t>
      </w:r>
      <w:r w:rsidRPr="003E55CD">
        <w:t>aragraphs 141A(4)(b) and 144(4)(b) confer power upon the Minister to impose conditions on the grant of exemptions pursuant to sections 141A(</w:t>
      </w:r>
      <w:r w:rsidR="00041393" w:rsidRPr="003E55CD">
        <w:t>2</w:t>
      </w:r>
      <w:r w:rsidRPr="003E55CD">
        <w:t>) and 144(</w:t>
      </w:r>
      <w:r w:rsidR="00041393" w:rsidRPr="003E55CD">
        <w:t>2</w:t>
      </w:r>
      <w:r w:rsidRPr="003E55CD">
        <w:t>) of the Act.</w:t>
      </w:r>
    </w:p>
    <w:sectPr w:rsidR="00CA62F2" w:rsidRPr="00CC424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7845B" w14:textId="77777777" w:rsidR="00F20A8B" w:rsidRDefault="00F20A8B" w:rsidP="0054340F">
      <w:pPr>
        <w:spacing w:after="0" w:line="240" w:lineRule="auto"/>
      </w:pPr>
      <w:r>
        <w:separator/>
      </w:r>
    </w:p>
  </w:endnote>
  <w:endnote w:type="continuationSeparator" w:id="0">
    <w:p w14:paraId="00354816" w14:textId="77777777" w:rsidR="00F20A8B" w:rsidRDefault="00F20A8B" w:rsidP="0054340F">
      <w:pPr>
        <w:spacing w:after="0" w:line="240" w:lineRule="auto"/>
      </w:pPr>
      <w:r>
        <w:continuationSeparator/>
      </w:r>
    </w:p>
  </w:endnote>
  <w:endnote w:type="continuationNotice" w:id="1">
    <w:p w14:paraId="08C2ECE4" w14:textId="77777777" w:rsidR="00F20A8B" w:rsidRDefault="00F20A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790172544"/>
      <w:docPartObj>
        <w:docPartGallery w:val="Page Numbers (Bottom of Page)"/>
        <w:docPartUnique/>
      </w:docPartObj>
    </w:sdtPr>
    <w:sdtEndPr>
      <w:rPr>
        <w:noProof/>
      </w:rPr>
    </w:sdtEndPr>
    <w:sdtContent>
      <w:p w14:paraId="7948D340" w14:textId="75D8B3A4" w:rsidR="00F20A8B" w:rsidRDefault="00F20A8B">
        <w:pPr>
          <w:pStyle w:val="Footer"/>
          <w:jc w:val="center"/>
        </w:pPr>
        <w:r>
          <w:rPr>
            <w:noProof w:val="0"/>
          </w:rPr>
          <w:fldChar w:fldCharType="begin"/>
        </w:r>
        <w:r>
          <w:instrText xml:space="preserve"> PAGE   \* MERGEFORMAT </w:instrText>
        </w:r>
        <w:r>
          <w:rPr>
            <w:noProof w:val="0"/>
          </w:rPr>
          <w:fldChar w:fldCharType="separate"/>
        </w:r>
        <w:r w:rsidR="006C0A1D">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72705" w14:textId="77777777" w:rsidR="00F20A8B" w:rsidRDefault="00F20A8B" w:rsidP="0054340F">
      <w:pPr>
        <w:spacing w:after="0" w:line="240" w:lineRule="auto"/>
      </w:pPr>
      <w:r>
        <w:separator/>
      </w:r>
    </w:p>
  </w:footnote>
  <w:footnote w:type="continuationSeparator" w:id="0">
    <w:p w14:paraId="183D9641" w14:textId="77777777" w:rsidR="00F20A8B" w:rsidRDefault="00F20A8B" w:rsidP="0054340F">
      <w:pPr>
        <w:spacing w:after="0" w:line="240" w:lineRule="auto"/>
      </w:pPr>
      <w:r>
        <w:continuationSeparator/>
      </w:r>
    </w:p>
  </w:footnote>
  <w:footnote w:type="continuationNotice" w:id="1">
    <w:p w14:paraId="3326FF3C" w14:textId="77777777" w:rsidR="00F20A8B" w:rsidRDefault="00F20A8B">
      <w:pPr>
        <w:spacing w:after="0" w:line="240" w:lineRule="auto"/>
      </w:pPr>
    </w:p>
  </w:footnote>
  <w:footnote w:id="2">
    <w:p w14:paraId="0E66F685" w14:textId="77777777" w:rsidR="00F20A8B" w:rsidRPr="0005065B" w:rsidRDefault="00F20A8B" w:rsidP="00C4751D">
      <w:pPr>
        <w:pStyle w:val="FootnoteText"/>
        <w:rPr>
          <w:rFonts w:ascii="Times New Roman" w:hAnsi="Times New Roman" w:cs="Times New Roman"/>
        </w:rPr>
      </w:pPr>
      <w:r w:rsidRPr="0005065B">
        <w:rPr>
          <w:rStyle w:val="FootnoteReference"/>
          <w:rFonts w:ascii="Times New Roman" w:hAnsi="Times New Roman"/>
        </w:rPr>
        <w:footnoteRef/>
      </w:r>
      <w:r w:rsidRPr="0005065B">
        <w:rPr>
          <w:rFonts w:ascii="Times New Roman" w:hAnsi="Times New Roman" w:cs="Times New Roman"/>
        </w:rPr>
        <w:t xml:space="preserve"> For convenience, the</w:t>
      </w:r>
      <w:r>
        <w:rPr>
          <w:rFonts w:ascii="Times New Roman" w:hAnsi="Times New Roman" w:cs="Times New Roman"/>
        </w:rPr>
        <w:t>s</w:t>
      </w:r>
      <w:r w:rsidRPr="0005065B">
        <w:rPr>
          <w:rFonts w:ascii="Times New Roman" w:hAnsi="Times New Roman" w:cs="Times New Roman"/>
        </w:rPr>
        <w:t xml:space="preserve">e </w:t>
      </w:r>
      <w:proofErr w:type="gramStart"/>
      <w:r w:rsidRPr="0005065B">
        <w:rPr>
          <w:rFonts w:ascii="Times New Roman" w:hAnsi="Times New Roman" w:cs="Times New Roman"/>
        </w:rPr>
        <w:t>are referred</w:t>
      </w:r>
      <w:proofErr w:type="gramEnd"/>
      <w:r w:rsidRPr="0005065B">
        <w:rPr>
          <w:rFonts w:ascii="Times New Roman" w:hAnsi="Times New Roman" w:cs="Times New Roman"/>
        </w:rPr>
        <w:t xml:space="preserve"> to throughout as Part 7 and Part 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A4D14"/>
    <w:multiLevelType w:val="hybridMultilevel"/>
    <w:tmpl w:val="5BDED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646219"/>
    <w:multiLevelType w:val="hybridMultilevel"/>
    <w:tmpl w:val="5D947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48673A"/>
    <w:multiLevelType w:val="hybridMultilevel"/>
    <w:tmpl w:val="63564184"/>
    <w:lvl w:ilvl="0" w:tplc="0C09000F">
      <w:start w:val="1"/>
      <w:numFmt w:val="decimal"/>
      <w:lvlText w:val="%1."/>
      <w:lvlJc w:val="left"/>
      <w:pPr>
        <w:ind w:left="1211"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7684C2B"/>
    <w:multiLevelType w:val="hybridMultilevel"/>
    <w:tmpl w:val="98986C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4D7A26"/>
    <w:multiLevelType w:val="hybridMultilevel"/>
    <w:tmpl w:val="C088C6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E490630"/>
    <w:multiLevelType w:val="hybridMultilevel"/>
    <w:tmpl w:val="FCE2ECFA"/>
    <w:lvl w:ilvl="0" w:tplc="2BC8F7EE">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55794E9B"/>
    <w:multiLevelType w:val="hybridMultilevel"/>
    <w:tmpl w:val="14542A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AC260DC"/>
    <w:multiLevelType w:val="hybridMultilevel"/>
    <w:tmpl w:val="001A54D8"/>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B2F2DA4"/>
    <w:multiLevelType w:val="hybridMultilevel"/>
    <w:tmpl w:val="E48C5B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87152E4"/>
    <w:multiLevelType w:val="hybridMultilevel"/>
    <w:tmpl w:val="99D4C7F2"/>
    <w:lvl w:ilvl="0" w:tplc="0C090017">
      <w:start w:val="1"/>
      <w:numFmt w:val="lowerLetter"/>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abstractNumId w:val="2"/>
  </w:num>
  <w:num w:numId="2">
    <w:abstractNumId w:val="4"/>
  </w:num>
  <w:num w:numId="3">
    <w:abstractNumId w:val="8"/>
  </w:num>
  <w:num w:numId="4">
    <w:abstractNumId w:val="7"/>
  </w:num>
  <w:num w:numId="5">
    <w:abstractNumId w:val="6"/>
  </w:num>
  <w:num w:numId="6">
    <w:abstractNumId w:val="5"/>
  </w:num>
  <w:num w:numId="7">
    <w:abstractNumId w:val="0"/>
  </w:num>
  <w:num w:numId="8">
    <w:abstractNumId w:val="3"/>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GB" w:vendorID="64" w:dllVersion="131078" w:nlCheck="1" w:checkStyle="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55C"/>
    <w:rsid w:val="00006369"/>
    <w:rsid w:val="000215D3"/>
    <w:rsid w:val="00040135"/>
    <w:rsid w:val="00041393"/>
    <w:rsid w:val="0005133C"/>
    <w:rsid w:val="00074D57"/>
    <w:rsid w:val="0008558B"/>
    <w:rsid w:val="00087713"/>
    <w:rsid w:val="000942AF"/>
    <w:rsid w:val="000D2E99"/>
    <w:rsid w:val="000E4980"/>
    <w:rsid w:val="000E725A"/>
    <w:rsid w:val="000E746C"/>
    <w:rsid w:val="00105204"/>
    <w:rsid w:val="00113BEF"/>
    <w:rsid w:val="00116B7D"/>
    <w:rsid w:val="001445F6"/>
    <w:rsid w:val="00155045"/>
    <w:rsid w:val="00182CD2"/>
    <w:rsid w:val="0019317E"/>
    <w:rsid w:val="0019499D"/>
    <w:rsid w:val="001A4A2B"/>
    <w:rsid w:val="001C0FB0"/>
    <w:rsid w:val="001C5825"/>
    <w:rsid w:val="001F727B"/>
    <w:rsid w:val="0020759A"/>
    <w:rsid w:val="00214C3C"/>
    <w:rsid w:val="00224AA1"/>
    <w:rsid w:val="00224EF1"/>
    <w:rsid w:val="00227DF4"/>
    <w:rsid w:val="00233BBF"/>
    <w:rsid w:val="002509C4"/>
    <w:rsid w:val="00256CA6"/>
    <w:rsid w:val="002775CE"/>
    <w:rsid w:val="002972DF"/>
    <w:rsid w:val="002A1AD1"/>
    <w:rsid w:val="002B0303"/>
    <w:rsid w:val="002B4C86"/>
    <w:rsid w:val="002E1E12"/>
    <w:rsid w:val="002E4ED4"/>
    <w:rsid w:val="0030492C"/>
    <w:rsid w:val="003062F4"/>
    <w:rsid w:val="00313FC0"/>
    <w:rsid w:val="00316FA8"/>
    <w:rsid w:val="0032170B"/>
    <w:rsid w:val="003308D5"/>
    <w:rsid w:val="00330BC2"/>
    <w:rsid w:val="00331372"/>
    <w:rsid w:val="00334DCA"/>
    <w:rsid w:val="00336AE4"/>
    <w:rsid w:val="0033791F"/>
    <w:rsid w:val="00350D5A"/>
    <w:rsid w:val="00353790"/>
    <w:rsid w:val="00360B32"/>
    <w:rsid w:val="0037604B"/>
    <w:rsid w:val="003769ED"/>
    <w:rsid w:val="00384A30"/>
    <w:rsid w:val="003A0D4F"/>
    <w:rsid w:val="003A5917"/>
    <w:rsid w:val="003B12A3"/>
    <w:rsid w:val="003B308B"/>
    <w:rsid w:val="003B3923"/>
    <w:rsid w:val="003B68BD"/>
    <w:rsid w:val="003B6D0D"/>
    <w:rsid w:val="003D1A83"/>
    <w:rsid w:val="003E55CD"/>
    <w:rsid w:val="003E7568"/>
    <w:rsid w:val="003F32F2"/>
    <w:rsid w:val="003F486C"/>
    <w:rsid w:val="00410413"/>
    <w:rsid w:val="00411FB7"/>
    <w:rsid w:val="00427910"/>
    <w:rsid w:val="004370A1"/>
    <w:rsid w:val="00450ED1"/>
    <w:rsid w:val="00457D41"/>
    <w:rsid w:val="00466ADF"/>
    <w:rsid w:val="00472D67"/>
    <w:rsid w:val="00490966"/>
    <w:rsid w:val="00496B86"/>
    <w:rsid w:val="004C5DD1"/>
    <w:rsid w:val="00506760"/>
    <w:rsid w:val="005108F4"/>
    <w:rsid w:val="0051092D"/>
    <w:rsid w:val="0052608E"/>
    <w:rsid w:val="00535368"/>
    <w:rsid w:val="0054340F"/>
    <w:rsid w:val="0054715B"/>
    <w:rsid w:val="005567B9"/>
    <w:rsid w:val="005605FC"/>
    <w:rsid w:val="00576E87"/>
    <w:rsid w:val="00577191"/>
    <w:rsid w:val="00577C30"/>
    <w:rsid w:val="00582179"/>
    <w:rsid w:val="00585B76"/>
    <w:rsid w:val="005A4652"/>
    <w:rsid w:val="005A4BEA"/>
    <w:rsid w:val="005B55C4"/>
    <w:rsid w:val="005C1D69"/>
    <w:rsid w:val="005C2E4A"/>
    <w:rsid w:val="005D2E5C"/>
    <w:rsid w:val="005D5870"/>
    <w:rsid w:val="005E1985"/>
    <w:rsid w:val="005E1DA6"/>
    <w:rsid w:val="005E2F10"/>
    <w:rsid w:val="006030EB"/>
    <w:rsid w:val="0060646C"/>
    <w:rsid w:val="006121B3"/>
    <w:rsid w:val="00622C24"/>
    <w:rsid w:val="0062333D"/>
    <w:rsid w:val="0063405B"/>
    <w:rsid w:val="00634F8B"/>
    <w:rsid w:val="00661255"/>
    <w:rsid w:val="00664F2F"/>
    <w:rsid w:val="00673385"/>
    <w:rsid w:val="00677D55"/>
    <w:rsid w:val="006A52F3"/>
    <w:rsid w:val="006A703B"/>
    <w:rsid w:val="006B7F1F"/>
    <w:rsid w:val="006C0A1D"/>
    <w:rsid w:val="006C6F06"/>
    <w:rsid w:val="006D314B"/>
    <w:rsid w:val="006D3AC4"/>
    <w:rsid w:val="006E0E6E"/>
    <w:rsid w:val="006F6EB1"/>
    <w:rsid w:val="007102F7"/>
    <w:rsid w:val="0071130A"/>
    <w:rsid w:val="0072769E"/>
    <w:rsid w:val="00731545"/>
    <w:rsid w:val="00731656"/>
    <w:rsid w:val="0075055C"/>
    <w:rsid w:val="007642B2"/>
    <w:rsid w:val="007719A9"/>
    <w:rsid w:val="00783D1A"/>
    <w:rsid w:val="00786EF4"/>
    <w:rsid w:val="00787EAF"/>
    <w:rsid w:val="00797DE5"/>
    <w:rsid w:val="007A68C0"/>
    <w:rsid w:val="007B118E"/>
    <w:rsid w:val="007C11FB"/>
    <w:rsid w:val="007C32D0"/>
    <w:rsid w:val="007D01D4"/>
    <w:rsid w:val="007D5B03"/>
    <w:rsid w:val="007E1CFC"/>
    <w:rsid w:val="007F056D"/>
    <w:rsid w:val="007F2C54"/>
    <w:rsid w:val="007F3D3D"/>
    <w:rsid w:val="008373A4"/>
    <w:rsid w:val="00842449"/>
    <w:rsid w:val="00870681"/>
    <w:rsid w:val="008B63E9"/>
    <w:rsid w:val="008C2193"/>
    <w:rsid w:val="008D46A4"/>
    <w:rsid w:val="008D46DB"/>
    <w:rsid w:val="008F2593"/>
    <w:rsid w:val="00907351"/>
    <w:rsid w:val="0091139B"/>
    <w:rsid w:val="00914E3F"/>
    <w:rsid w:val="009202DB"/>
    <w:rsid w:val="00924364"/>
    <w:rsid w:val="009301E6"/>
    <w:rsid w:val="00934851"/>
    <w:rsid w:val="00934FAA"/>
    <w:rsid w:val="00950C40"/>
    <w:rsid w:val="0098179C"/>
    <w:rsid w:val="00991A65"/>
    <w:rsid w:val="009A386A"/>
    <w:rsid w:val="009B0139"/>
    <w:rsid w:val="009B2AC4"/>
    <w:rsid w:val="009B30EF"/>
    <w:rsid w:val="009B4B97"/>
    <w:rsid w:val="009C18C6"/>
    <w:rsid w:val="009C2575"/>
    <w:rsid w:val="009E53D1"/>
    <w:rsid w:val="00A22C71"/>
    <w:rsid w:val="00A24B6E"/>
    <w:rsid w:val="00A33FAF"/>
    <w:rsid w:val="00A62618"/>
    <w:rsid w:val="00A73A9D"/>
    <w:rsid w:val="00A75E03"/>
    <w:rsid w:val="00A80A09"/>
    <w:rsid w:val="00A80EF4"/>
    <w:rsid w:val="00A836D6"/>
    <w:rsid w:val="00A86035"/>
    <w:rsid w:val="00A92C4E"/>
    <w:rsid w:val="00A94B9A"/>
    <w:rsid w:val="00AA3A91"/>
    <w:rsid w:val="00AC1032"/>
    <w:rsid w:val="00AD6CDC"/>
    <w:rsid w:val="00AE2836"/>
    <w:rsid w:val="00AF5B3C"/>
    <w:rsid w:val="00B10614"/>
    <w:rsid w:val="00B13D7E"/>
    <w:rsid w:val="00B22448"/>
    <w:rsid w:val="00B27B17"/>
    <w:rsid w:val="00B316DE"/>
    <w:rsid w:val="00B31B71"/>
    <w:rsid w:val="00B34F3B"/>
    <w:rsid w:val="00B40F09"/>
    <w:rsid w:val="00B52F53"/>
    <w:rsid w:val="00B609B8"/>
    <w:rsid w:val="00B613F5"/>
    <w:rsid w:val="00B65272"/>
    <w:rsid w:val="00B75DA3"/>
    <w:rsid w:val="00B809CD"/>
    <w:rsid w:val="00B866E6"/>
    <w:rsid w:val="00B87C19"/>
    <w:rsid w:val="00BA6131"/>
    <w:rsid w:val="00BB4DA7"/>
    <w:rsid w:val="00BC7419"/>
    <w:rsid w:val="00BE56DF"/>
    <w:rsid w:val="00BF207D"/>
    <w:rsid w:val="00C14869"/>
    <w:rsid w:val="00C17F8A"/>
    <w:rsid w:val="00C4751D"/>
    <w:rsid w:val="00C5497C"/>
    <w:rsid w:val="00C6021F"/>
    <w:rsid w:val="00C643D2"/>
    <w:rsid w:val="00C73AAB"/>
    <w:rsid w:val="00C80F51"/>
    <w:rsid w:val="00C81E64"/>
    <w:rsid w:val="00CA1B38"/>
    <w:rsid w:val="00CA62F2"/>
    <w:rsid w:val="00CB3559"/>
    <w:rsid w:val="00CC0F45"/>
    <w:rsid w:val="00CC15BC"/>
    <w:rsid w:val="00CC424C"/>
    <w:rsid w:val="00CC54FE"/>
    <w:rsid w:val="00CD3D1C"/>
    <w:rsid w:val="00CD41B5"/>
    <w:rsid w:val="00CE0279"/>
    <w:rsid w:val="00CE61A4"/>
    <w:rsid w:val="00CF62E7"/>
    <w:rsid w:val="00D2053C"/>
    <w:rsid w:val="00D5075F"/>
    <w:rsid w:val="00D85DA2"/>
    <w:rsid w:val="00DA0627"/>
    <w:rsid w:val="00DD2C56"/>
    <w:rsid w:val="00DE3F5F"/>
    <w:rsid w:val="00DE5390"/>
    <w:rsid w:val="00DF6C17"/>
    <w:rsid w:val="00E1702B"/>
    <w:rsid w:val="00E55218"/>
    <w:rsid w:val="00E647DC"/>
    <w:rsid w:val="00E752A7"/>
    <w:rsid w:val="00E80BA0"/>
    <w:rsid w:val="00E8399B"/>
    <w:rsid w:val="00EA0FE4"/>
    <w:rsid w:val="00EA5D3C"/>
    <w:rsid w:val="00EB66C5"/>
    <w:rsid w:val="00EC298C"/>
    <w:rsid w:val="00EC79EF"/>
    <w:rsid w:val="00ED411B"/>
    <w:rsid w:val="00EE1A5C"/>
    <w:rsid w:val="00F03161"/>
    <w:rsid w:val="00F079B0"/>
    <w:rsid w:val="00F14329"/>
    <w:rsid w:val="00F17D52"/>
    <w:rsid w:val="00F20A8B"/>
    <w:rsid w:val="00F37822"/>
    <w:rsid w:val="00F46344"/>
    <w:rsid w:val="00F46A3B"/>
    <w:rsid w:val="00F46D9B"/>
    <w:rsid w:val="00F51C08"/>
    <w:rsid w:val="00F81D54"/>
    <w:rsid w:val="00F90C5C"/>
    <w:rsid w:val="00F93441"/>
    <w:rsid w:val="00F96D70"/>
    <w:rsid w:val="00FA6BA5"/>
    <w:rsid w:val="00FA7751"/>
    <w:rsid w:val="00FB422A"/>
    <w:rsid w:val="00FC1275"/>
    <w:rsid w:val="00FC1D30"/>
    <w:rsid w:val="00FC2741"/>
    <w:rsid w:val="00FD64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F9ADE"/>
  <w15:chartTrackingRefBased/>
  <w15:docId w15:val="{5E6CACDD-45FD-4479-B514-47F9B9C9A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1D"/>
    <w:pPr>
      <w:spacing w:after="200" w:line="276" w:lineRule="auto"/>
    </w:pPr>
    <w:rPr>
      <w:rFonts w:ascii="Calibri" w:eastAsia="Calibri" w:hAnsi="Calibri" w:cs="Times New Roman"/>
      <w:noProof/>
      <w:sz w:val="24"/>
    </w:rPr>
  </w:style>
  <w:style w:type="paragraph" w:styleId="Heading1">
    <w:name w:val="heading 1"/>
    <w:basedOn w:val="Normal"/>
    <w:next w:val="Normal"/>
    <w:link w:val="Heading1Char"/>
    <w:uiPriority w:val="9"/>
    <w:qFormat/>
    <w:rsid w:val="0075055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6C0A1D"/>
    <w:pPr>
      <w:keepNext/>
      <w:outlineLvl w:val="1"/>
    </w:pPr>
    <w:rPr>
      <w:b/>
      <w:sz w:val="28"/>
      <w:szCs w:val="28"/>
    </w:rPr>
  </w:style>
  <w:style w:type="paragraph" w:styleId="Heading3">
    <w:name w:val="heading 3"/>
    <w:basedOn w:val="Normal"/>
    <w:next w:val="Normal"/>
    <w:link w:val="Heading3Char"/>
    <w:uiPriority w:val="9"/>
    <w:unhideWhenUsed/>
    <w:qFormat/>
    <w:rsid w:val="006C0A1D"/>
    <w:pPr>
      <w:keepNext/>
      <w:outlineLvl w:val="2"/>
    </w:pPr>
    <w:rPr>
      <w:b/>
      <w:szCs w:val="24"/>
    </w:rPr>
  </w:style>
  <w:style w:type="paragraph" w:styleId="Heading6">
    <w:name w:val="heading 6"/>
    <w:basedOn w:val="Normal"/>
    <w:next w:val="Normal"/>
    <w:link w:val="Heading6Char"/>
    <w:uiPriority w:val="9"/>
    <w:semiHidden/>
    <w:unhideWhenUsed/>
    <w:qFormat/>
    <w:rsid w:val="00F46A3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55C"/>
    <w:rPr>
      <w:rFonts w:ascii="Cambria" w:eastAsia="Times New Roman" w:hAnsi="Cambria" w:cs="Times New Roman"/>
      <w:b/>
      <w:bCs/>
      <w:noProof/>
      <w:color w:val="365F91"/>
      <w:sz w:val="28"/>
      <w:szCs w:val="28"/>
    </w:rPr>
  </w:style>
  <w:style w:type="character" w:styleId="CommentReference">
    <w:name w:val="annotation reference"/>
    <w:basedOn w:val="DefaultParagraphFont"/>
    <w:uiPriority w:val="99"/>
    <w:semiHidden/>
    <w:unhideWhenUsed/>
    <w:rsid w:val="00F90C5C"/>
    <w:rPr>
      <w:sz w:val="16"/>
      <w:szCs w:val="16"/>
    </w:rPr>
  </w:style>
  <w:style w:type="paragraph" w:styleId="CommentText">
    <w:name w:val="annotation text"/>
    <w:basedOn w:val="Normal"/>
    <w:link w:val="CommentTextChar"/>
    <w:uiPriority w:val="99"/>
    <w:semiHidden/>
    <w:unhideWhenUsed/>
    <w:rsid w:val="00F90C5C"/>
    <w:pPr>
      <w:spacing w:line="240" w:lineRule="auto"/>
    </w:pPr>
    <w:rPr>
      <w:sz w:val="20"/>
      <w:szCs w:val="20"/>
    </w:rPr>
  </w:style>
  <w:style w:type="character" w:customStyle="1" w:styleId="CommentTextChar">
    <w:name w:val="Comment Text Char"/>
    <w:basedOn w:val="DefaultParagraphFont"/>
    <w:link w:val="CommentText"/>
    <w:uiPriority w:val="99"/>
    <w:semiHidden/>
    <w:rsid w:val="00F90C5C"/>
    <w:rPr>
      <w:rFonts w:ascii="Calibri" w:eastAsia="Calibri" w:hAnsi="Calibri" w:cs="Times New Roman"/>
      <w:noProof/>
      <w:sz w:val="20"/>
      <w:szCs w:val="20"/>
    </w:rPr>
  </w:style>
  <w:style w:type="paragraph" w:styleId="CommentSubject">
    <w:name w:val="annotation subject"/>
    <w:basedOn w:val="CommentText"/>
    <w:next w:val="CommentText"/>
    <w:link w:val="CommentSubjectChar"/>
    <w:uiPriority w:val="99"/>
    <w:semiHidden/>
    <w:unhideWhenUsed/>
    <w:rsid w:val="00F90C5C"/>
    <w:rPr>
      <w:b/>
      <w:bCs/>
    </w:rPr>
  </w:style>
  <w:style w:type="character" w:customStyle="1" w:styleId="CommentSubjectChar">
    <w:name w:val="Comment Subject Char"/>
    <w:basedOn w:val="CommentTextChar"/>
    <w:link w:val="CommentSubject"/>
    <w:uiPriority w:val="99"/>
    <w:semiHidden/>
    <w:rsid w:val="00F90C5C"/>
    <w:rPr>
      <w:rFonts w:ascii="Calibri" w:eastAsia="Calibri" w:hAnsi="Calibri" w:cs="Times New Roman"/>
      <w:b/>
      <w:bCs/>
      <w:noProof/>
      <w:sz w:val="20"/>
      <w:szCs w:val="20"/>
    </w:rPr>
  </w:style>
  <w:style w:type="paragraph" w:styleId="BalloonText">
    <w:name w:val="Balloon Text"/>
    <w:basedOn w:val="Normal"/>
    <w:link w:val="BalloonTextChar"/>
    <w:uiPriority w:val="99"/>
    <w:semiHidden/>
    <w:unhideWhenUsed/>
    <w:rsid w:val="00F90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C5C"/>
    <w:rPr>
      <w:rFonts w:ascii="Segoe UI" w:eastAsia="Calibri" w:hAnsi="Segoe UI" w:cs="Segoe UI"/>
      <w:noProof/>
      <w:sz w:val="18"/>
      <w:szCs w:val="18"/>
    </w:rPr>
  </w:style>
  <w:style w:type="paragraph" w:styleId="FootnoteText">
    <w:name w:val="footnote text"/>
    <w:basedOn w:val="Normal"/>
    <w:link w:val="FootnoteTextChar"/>
    <w:uiPriority w:val="99"/>
    <w:semiHidden/>
    <w:unhideWhenUsed/>
    <w:rsid w:val="0054340F"/>
    <w:pPr>
      <w:spacing w:after="0" w:line="240" w:lineRule="auto"/>
    </w:pPr>
    <w:rPr>
      <w:rFonts w:asciiTheme="minorHAnsi" w:eastAsiaTheme="minorHAnsi" w:hAnsiTheme="minorHAnsi" w:cstheme="minorBidi"/>
      <w:noProof w:val="0"/>
      <w:sz w:val="20"/>
      <w:szCs w:val="20"/>
    </w:rPr>
  </w:style>
  <w:style w:type="character" w:customStyle="1" w:styleId="FootnoteTextChar">
    <w:name w:val="Footnote Text Char"/>
    <w:basedOn w:val="DefaultParagraphFont"/>
    <w:link w:val="FootnoteText"/>
    <w:uiPriority w:val="99"/>
    <w:semiHidden/>
    <w:rsid w:val="0054340F"/>
    <w:rPr>
      <w:sz w:val="20"/>
      <w:szCs w:val="20"/>
    </w:rPr>
  </w:style>
  <w:style w:type="character" w:styleId="FootnoteReference">
    <w:name w:val="footnote reference"/>
    <w:basedOn w:val="DefaultParagraphFont"/>
    <w:uiPriority w:val="99"/>
    <w:semiHidden/>
    <w:unhideWhenUsed/>
    <w:rsid w:val="0054340F"/>
    <w:rPr>
      <w:vertAlign w:val="superscript"/>
    </w:rPr>
  </w:style>
  <w:style w:type="paragraph" w:styleId="ListParagraph">
    <w:name w:val="List Paragraph"/>
    <w:basedOn w:val="Normal"/>
    <w:uiPriority w:val="34"/>
    <w:qFormat/>
    <w:rsid w:val="006C0A1D"/>
    <w:pPr>
      <w:ind w:left="567" w:hanging="567"/>
      <w:contextualSpacing/>
    </w:pPr>
  </w:style>
  <w:style w:type="paragraph" w:styleId="Header">
    <w:name w:val="header"/>
    <w:basedOn w:val="Normal"/>
    <w:link w:val="HeaderChar"/>
    <w:uiPriority w:val="99"/>
    <w:unhideWhenUsed/>
    <w:rsid w:val="00FA77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751"/>
    <w:rPr>
      <w:rFonts w:ascii="Calibri" w:eastAsia="Calibri" w:hAnsi="Calibri" w:cs="Times New Roman"/>
      <w:noProof/>
    </w:rPr>
  </w:style>
  <w:style w:type="paragraph" w:styleId="Footer">
    <w:name w:val="footer"/>
    <w:basedOn w:val="Normal"/>
    <w:link w:val="FooterChar"/>
    <w:uiPriority w:val="99"/>
    <w:unhideWhenUsed/>
    <w:rsid w:val="00FA77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751"/>
    <w:rPr>
      <w:rFonts w:ascii="Calibri" w:eastAsia="Calibri" w:hAnsi="Calibri" w:cs="Times New Roman"/>
      <w:noProof/>
    </w:rPr>
  </w:style>
  <w:style w:type="character" w:customStyle="1" w:styleId="Heading6Char">
    <w:name w:val="Heading 6 Char"/>
    <w:basedOn w:val="DefaultParagraphFont"/>
    <w:link w:val="Heading6"/>
    <w:uiPriority w:val="9"/>
    <w:semiHidden/>
    <w:rsid w:val="00F46A3B"/>
    <w:rPr>
      <w:rFonts w:asciiTheme="majorHAnsi" w:eastAsiaTheme="majorEastAsia" w:hAnsiTheme="majorHAnsi" w:cstheme="majorBidi"/>
      <w:noProof/>
      <w:color w:val="1F4D78" w:themeColor="accent1" w:themeShade="7F"/>
    </w:rPr>
  </w:style>
  <w:style w:type="character" w:customStyle="1" w:styleId="Heading2Char">
    <w:name w:val="Heading 2 Char"/>
    <w:basedOn w:val="DefaultParagraphFont"/>
    <w:link w:val="Heading2"/>
    <w:uiPriority w:val="9"/>
    <w:rsid w:val="006C0A1D"/>
    <w:rPr>
      <w:rFonts w:ascii="Calibri" w:eastAsia="Calibri" w:hAnsi="Calibri" w:cs="Times New Roman"/>
      <w:b/>
      <w:noProof/>
      <w:sz w:val="28"/>
      <w:szCs w:val="28"/>
    </w:rPr>
  </w:style>
  <w:style w:type="character" w:customStyle="1" w:styleId="Heading3Char">
    <w:name w:val="Heading 3 Char"/>
    <w:basedOn w:val="DefaultParagraphFont"/>
    <w:link w:val="Heading3"/>
    <w:uiPriority w:val="9"/>
    <w:rsid w:val="006C0A1D"/>
    <w:rPr>
      <w:rFonts w:ascii="Calibri" w:eastAsia="Calibri" w:hAnsi="Calibri" w:cs="Times New Roman"/>
      <w:b/>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94724">
      <w:bodyDiv w:val="1"/>
      <w:marLeft w:val="0"/>
      <w:marRight w:val="0"/>
      <w:marTop w:val="0"/>
      <w:marBottom w:val="0"/>
      <w:divBdr>
        <w:top w:val="none" w:sz="0" w:space="0" w:color="auto"/>
        <w:left w:val="none" w:sz="0" w:space="0" w:color="auto"/>
        <w:bottom w:val="none" w:sz="0" w:space="0" w:color="auto"/>
        <w:right w:val="none" w:sz="0" w:space="0" w:color="auto"/>
      </w:divBdr>
    </w:div>
    <w:div w:id="197972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D49837E6F45E47A4B6952FD84B26D6" ma:contentTypeVersion="0" ma:contentTypeDescription="Create a new document." ma:contentTypeScope="" ma:versionID="18faf21c692d6358c054be4fca07633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A2B19-A752-4C7E-8812-8D2DBC0E547B}">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CA71D3A-EB0F-4A9A-AD8D-ABDF28ABC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BC0EAAD-0B2B-4BBF-A657-ACDA9880029B}">
  <ds:schemaRefs>
    <ds:schemaRef ds:uri="http://schemas.microsoft.com/sharepoint/v3/contenttype/forms"/>
  </ds:schemaRefs>
</ds:datastoreItem>
</file>

<file path=customXml/itemProps4.xml><?xml version="1.0" encoding="utf-8"?>
<ds:datastoreItem xmlns:ds="http://schemas.openxmlformats.org/officeDocument/2006/customXml" ds:itemID="{FE5EADCE-D77F-42CF-9E9C-1272FE858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1711</Words>
  <Characters>9758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Explanatory Note—Telecommunications (Local Access Lines Exemption—SmartFarmNet) Instrument 2020</vt:lpstr>
    </vt:vector>
  </TitlesOfParts>
  <Company>Department of Infrastructure, Transport, Regional Development and Communications</Company>
  <LinksUpToDate>false</LinksUpToDate>
  <CharactersWithSpaces>11447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Note—Telecommunications (Local Access Lines Exemption—SmartFarmNet) Instrument 2020</dc:title>
  <dc:subject/>
  <dc:creator>Department of Infrastructure, Transport, Regional Development and Communications</dc:creator>
  <cp:keywords/>
  <dc:description/>
  <cp:lastModifiedBy>Hall, Theresa</cp:lastModifiedBy>
  <cp:revision>3</cp:revision>
  <cp:lastPrinted>2020-02-24T00:32:00Z</cp:lastPrinted>
  <dcterms:created xsi:type="dcterms:W3CDTF">2020-07-08T05:26:00Z</dcterms:created>
  <dcterms:modified xsi:type="dcterms:W3CDTF">2020-07-08T05:31:00Z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0x0101003ED49837E6F45E47A4B6952FD84B26D6</vt:lpwstr>
  </property>
  <property fmtid="{D5CDD505-2E9C-101B-9397-08002B2CF9AE}" pid="3" name="TrimRevisionNumber">
    <vt:i4>34</vt:i4>
  </property>
</Properties>
</file>