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09" w:rsidRDefault="00012209" w:rsidP="00290538">
      <w:pPr>
        <w:pStyle w:val="Title"/>
        <w:rPr>
          <w:color w:val="2E74B5" w:themeColor="accent5" w:themeShade="BF"/>
          <w:sz w:val="28"/>
        </w:rPr>
      </w:pPr>
      <w:bookmarkStart w:id="0" w:name="_GoBack"/>
      <w:bookmarkEnd w:id="0"/>
    </w:p>
    <w:p w:rsidR="00290538" w:rsidRDefault="00290538" w:rsidP="00290538">
      <w:pPr>
        <w:pStyle w:val="Title"/>
        <w:rPr>
          <w:color w:val="2E74B5" w:themeColor="accent5" w:themeShade="BF"/>
          <w:sz w:val="28"/>
        </w:rPr>
      </w:pPr>
      <w:r>
        <w:rPr>
          <w:color w:val="2E74B5" w:themeColor="accent5" w:themeShade="BF"/>
          <w:sz w:val="28"/>
        </w:rPr>
        <w:t>Western Australia</w:t>
      </w:r>
      <w:r w:rsidRPr="00E93430">
        <w:rPr>
          <w:color w:val="2E74B5" w:themeColor="accent5" w:themeShade="BF"/>
          <w:sz w:val="28"/>
        </w:rPr>
        <w:t xml:space="preserve"> – </w:t>
      </w:r>
      <w:r w:rsidR="004C3EA5">
        <w:rPr>
          <w:color w:val="2E74B5" w:themeColor="accent5" w:themeShade="BF"/>
          <w:sz w:val="28"/>
        </w:rPr>
        <w:t>Thriving Suburbs Program projects</w:t>
      </w:r>
      <w:r w:rsidRPr="00E93430">
        <w:rPr>
          <w:color w:val="2E74B5" w:themeColor="accent5" w:themeShade="BF"/>
          <w:sz w:val="28"/>
        </w:rPr>
        <w:t xml:space="preserve"> </w:t>
      </w:r>
      <w:r w:rsidR="006319F2">
        <w:rPr>
          <w:color w:val="2E74B5" w:themeColor="accent5" w:themeShade="BF"/>
          <w:sz w:val="28"/>
        </w:rPr>
        <w:t xml:space="preserve">- </w:t>
      </w:r>
      <w:r w:rsidRPr="00E93430">
        <w:rPr>
          <w:color w:val="2E74B5" w:themeColor="accent5" w:themeShade="BF"/>
          <w:sz w:val="28"/>
        </w:rPr>
        <w:t>as at 2</w:t>
      </w:r>
      <w:r w:rsidR="006319F2">
        <w:rPr>
          <w:color w:val="2E74B5" w:themeColor="accent5" w:themeShade="BF"/>
          <w:sz w:val="28"/>
        </w:rPr>
        <w:t xml:space="preserve"> December </w:t>
      </w:r>
      <w:r w:rsidRPr="00E93430">
        <w:rPr>
          <w:color w:val="2E74B5" w:themeColor="accent5" w:themeShade="BF"/>
          <w:sz w:val="28"/>
        </w:rPr>
        <w:t>2024</w:t>
      </w:r>
    </w:p>
    <w:p w:rsidR="00290538" w:rsidRDefault="00290538"/>
    <w:tbl>
      <w:tblPr>
        <w:tblStyle w:val="TableGrid"/>
        <w:tblpPr w:leftFromText="180" w:rightFromText="180" w:vertAnchor="text" w:tblpX="-431" w:tblpY="1"/>
        <w:tblOverlap w:val="never"/>
        <w:tblW w:w="20455" w:type="dxa"/>
        <w:tblLook w:val="04A0" w:firstRow="1" w:lastRow="0" w:firstColumn="1" w:lastColumn="0" w:noHBand="0" w:noVBand="1"/>
      </w:tblPr>
      <w:tblGrid>
        <w:gridCol w:w="4774"/>
        <w:gridCol w:w="4961"/>
        <w:gridCol w:w="6345"/>
        <w:gridCol w:w="1751"/>
        <w:gridCol w:w="1123"/>
        <w:gridCol w:w="1501"/>
      </w:tblGrid>
      <w:tr w:rsidR="00110106" w:rsidRPr="00946B65" w:rsidTr="00110106">
        <w:tc>
          <w:tcPr>
            <w:tcW w:w="4774" w:type="dxa"/>
            <w:shd w:val="clear" w:color="auto" w:fill="E5EBF7"/>
          </w:tcPr>
          <w:p w:rsidR="00110106" w:rsidRPr="00946B65" w:rsidRDefault="00110106" w:rsidP="00012209">
            <w:pPr>
              <w:jc w:val="center"/>
              <w:rPr>
                <w:rFonts w:asciiTheme="majorHAnsi" w:hAnsiTheme="majorHAnsi" w:cstheme="majorHAnsi"/>
                <w:b/>
                <w:sz w:val="20"/>
                <w:szCs w:val="20"/>
              </w:rPr>
            </w:pPr>
            <w:r>
              <w:rPr>
                <w:rFonts w:asciiTheme="majorHAnsi" w:hAnsiTheme="majorHAnsi" w:cstheme="majorHAnsi"/>
                <w:b/>
                <w:sz w:val="20"/>
                <w:szCs w:val="20"/>
              </w:rPr>
              <w:t xml:space="preserve">Applicant </w:t>
            </w:r>
            <w:r w:rsidRPr="00946B65">
              <w:rPr>
                <w:rFonts w:asciiTheme="majorHAnsi" w:hAnsiTheme="majorHAnsi" w:cstheme="majorHAnsi"/>
                <w:b/>
                <w:sz w:val="20"/>
                <w:szCs w:val="20"/>
              </w:rPr>
              <w:t>Organisation</w:t>
            </w:r>
          </w:p>
          <w:p w:rsidR="00110106" w:rsidRPr="00946B65" w:rsidRDefault="00110106" w:rsidP="00012209">
            <w:pPr>
              <w:jc w:val="center"/>
              <w:rPr>
                <w:rFonts w:asciiTheme="majorHAnsi" w:hAnsiTheme="majorHAnsi" w:cstheme="majorHAnsi"/>
                <w:b/>
                <w:sz w:val="20"/>
                <w:szCs w:val="20"/>
              </w:rPr>
            </w:pPr>
          </w:p>
        </w:tc>
        <w:tc>
          <w:tcPr>
            <w:tcW w:w="4961" w:type="dxa"/>
            <w:shd w:val="clear" w:color="auto" w:fill="E5EBF7"/>
          </w:tcPr>
          <w:p w:rsidR="00110106" w:rsidRPr="00946B65" w:rsidRDefault="00110106" w:rsidP="00012209">
            <w:pPr>
              <w:jc w:val="center"/>
              <w:rPr>
                <w:rFonts w:asciiTheme="majorHAnsi" w:hAnsiTheme="majorHAnsi" w:cstheme="majorHAnsi"/>
                <w:b/>
                <w:sz w:val="20"/>
                <w:szCs w:val="20"/>
              </w:rPr>
            </w:pPr>
            <w:r w:rsidRPr="00946B65">
              <w:rPr>
                <w:rFonts w:asciiTheme="majorHAnsi" w:hAnsiTheme="majorHAnsi" w:cstheme="majorHAnsi"/>
                <w:b/>
                <w:sz w:val="20"/>
                <w:szCs w:val="20"/>
              </w:rPr>
              <w:t>Project Title</w:t>
            </w:r>
          </w:p>
        </w:tc>
        <w:tc>
          <w:tcPr>
            <w:tcW w:w="6345" w:type="dxa"/>
            <w:shd w:val="clear" w:color="auto" w:fill="E5EBF7"/>
          </w:tcPr>
          <w:p w:rsidR="00110106" w:rsidRPr="00946B65" w:rsidRDefault="00110106" w:rsidP="00012209">
            <w:pPr>
              <w:jc w:val="center"/>
              <w:rPr>
                <w:rFonts w:asciiTheme="majorHAnsi" w:hAnsiTheme="majorHAnsi" w:cstheme="majorHAnsi"/>
                <w:b/>
                <w:sz w:val="20"/>
                <w:szCs w:val="20"/>
              </w:rPr>
            </w:pPr>
            <w:r w:rsidRPr="00946B65">
              <w:rPr>
                <w:rFonts w:asciiTheme="majorHAnsi" w:hAnsiTheme="majorHAnsi" w:cstheme="majorHAnsi"/>
                <w:b/>
                <w:sz w:val="20"/>
                <w:szCs w:val="20"/>
              </w:rPr>
              <w:t>Project Description</w:t>
            </w:r>
          </w:p>
        </w:tc>
        <w:tc>
          <w:tcPr>
            <w:tcW w:w="1751" w:type="dxa"/>
            <w:shd w:val="clear" w:color="auto" w:fill="E5EBF7"/>
          </w:tcPr>
          <w:p w:rsidR="00110106" w:rsidRPr="00946B65" w:rsidRDefault="00110106" w:rsidP="00012209">
            <w:pPr>
              <w:jc w:val="center"/>
              <w:rPr>
                <w:rFonts w:asciiTheme="majorHAnsi" w:hAnsiTheme="majorHAnsi" w:cstheme="majorHAnsi"/>
                <w:b/>
                <w:sz w:val="20"/>
                <w:szCs w:val="20"/>
              </w:rPr>
            </w:pPr>
            <w:r w:rsidRPr="00946B65">
              <w:rPr>
                <w:rFonts w:asciiTheme="majorHAnsi" w:hAnsiTheme="majorHAnsi" w:cstheme="majorHAnsi"/>
                <w:b/>
                <w:sz w:val="20"/>
                <w:szCs w:val="20"/>
              </w:rPr>
              <w:t>Project Location</w:t>
            </w:r>
          </w:p>
        </w:tc>
        <w:tc>
          <w:tcPr>
            <w:tcW w:w="1123" w:type="dxa"/>
            <w:shd w:val="clear" w:color="auto" w:fill="E5EBF7"/>
          </w:tcPr>
          <w:p w:rsidR="00110106" w:rsidRPr="00946B65" w:rsidRDefault="00110106" w:rsidP="00012209">
            <w:pPr>
              <w:jc w:val="center"/>
              <w:rPr>
                <w:rFonts w:asciiTheme="majorHAnsi" w:hAnsiTheme="majorHAnsi" w:cstheme="majorHAnsi"/>
                <w:b/>
                <w:sz w:val="20"/>
                <w:szCs w:val="20"/>
              </w:rPr>
            </w:pPr>
            <w:r>
              <w:rPr>
                <w:rFonts w:asciiTheme="majorHAnsi" w:hAnsiTheme="majorHAnsi" w:cstheme="majorHAnsi"/>
                <w:b/>
                <w:sz w:val="20"/>
                <w:szCs w:val="20"/>
              </w:rPr>
              <w:t xml:space="preserve">Project </w:t>
            </w:r>
            <w:r w:rsidRPr="00946B65">
              <w:rPr>
                <w:rFonts w:asciiTheme="majorHAnsi" w:hAnsiTheme="majorHAnsi" w:cstheme="majorHAnsi"/>
                <w:b/>
                <w:sz w:val="20"/>
                <w:szCs w:val="20"/>
              </w:rPr>
              <w:t>State</w:t>
            </w:r>
          </w:p>
        </w:tc>
        <w:tc>
          <w:tcPr>
            <w:tcW w:w="1501" w:type="dxa"/>
            <w:shd w:val="clear" w:color="auto" w:fill="E5EBF7"/>
          </w:tcPr>
          <w:p w:rsidR="00110106" w:rsidRPr="00946B65" w:rsidRDefault="00110106" w:rsidP="00012209">
            <w:pPr>
              <w:jc w:val="center"/>
              <w:rPr>
                <w:rFonts w:asciiTheme="majorHAnsi" w:hAnsiTheme="majorHAnsi" w:cstheme="majorHAnsi"/>
                <w:b/>
                <w:sz w:val="20"/>
                <w:szCs w:val="20"/>
              </w:rPr>
            </w:pPr>
            <w:r>
              <w:rPr>
                <w:rFonts w:asciiTheme="majorHAnsi" w:hAnsiTheme="majorHAnsi" w:cstheme="majorHAnsi"/>
                <w:b/>
                <w:sz w:val="20"/>
                <w:szCs w:val="20"/>
              </w:rPr>
              <w:t xml:space="preserve">Commonwealth Funding </w:t>
            </w:r>
            <w:r w:rsidRPr="00946B65">
              <w:rPr>
                <w:rFonts w:asciiTheme="majorHAnsi" w:hAnsiTheme="majorHAnsi" w:cstheme="majorHAnsi"/>
                <w:b/>
                <w:sz w:val="20"/>
                <w:szCs w:val="20"/>
              </w:rPr>
              <w:t>Approved</w:t>
            </w:r>
          </w:p>
        </w:tc>
      </w:tr>
      <w:tr w:rsidR="00110106" w:rsidRPr="00946B65" w:rsidTr="00110106">
        <w:trPr>
          <w:trHeight w:val="606"/>
        </w:trPr>
        <w:tc>
          <w:tcPr>
            <w:tcW w:w="4774" w:type="dxa"/>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City of Swan</w:t>
            </w:r>
          </w:p>
        </w:tc>
        <w:tc>
          <w:tcPr>
            <w:tcW w:w="4961" w:type="dxa"/>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Brabham District Community Centre</w:t>
            </w:r>
          </w:p>
        </w:tc>
        <w:tc>
          <w:tcPr>
            <w:tcW w:w="6345" w:type="dxa"/>
          </w:tcPr>
          <w:p w:rsidR="00110106" w:rsidRDefault="00110106" w:rsidP="00012209">
            <w:pPr>
              <w:rPr>
                <w:rFonts w:asciiTheme="majorHAnsi" w:hAnsiTheme="majorHAnsi" w:cstheme="majorHAnsi"/>
                <w:sz w:val="20"/>
                <w:szCs w:val="20"/>
              </w:rPr>
            </w:pPr>
            <w:r w:rsidRPr="00D6256C">
              <w:rPr>
                <w:rFonts w:asciiTheme="majorHAnsi" w:hAnsiTheme="majorHAnsi" w:cstheme="majorHAnsi"/>
                <w:sz w:val="20"/>
                <w:szCs w:val="20"/>
              </w:rPr>
              <w:t xml:space="preserve">The project will </w:t>
            </w:r>
            <w:r>
              <w:rPr>
                <w:rFonts w:asciiTheme="majorHAnsi" w:hAnsiTheme="majorHAnsi" w:cstheme="majorHAnsi"/>
                <w:sz w:val="20"/>
                <w:szCs w:val="20"/>
              </w:rPr>
              <w:t>deliver a new district community centre, with versatile bookable meeting rooms, hall catering and outdoor event space facilities to support greater local engagement and social cohesion for the rapidly expanding multicultural population.</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Default="00110106" w:rsidP="00012209">
            <w:pPr>
              <w:rPr>
                <w:rFonts w:asciiTheme="majorHAnsi" w:hAnsiTheme="majorHAnsi" w:cstheme="majorHAnsi"/>
                <w:sz w:val="20"/>
                <w:szCs w:val="20"/>
              </w:rPr>
            </w:pPr>
          </w:p>
          <w:p w:rsidR="00110106" w:rsidRPr="000A20AB" w:rsidRDefault="00110106" w:rsidP="00012209">
            <w:pPr>
              <w:rPr>
                <w:rFonts w:asciiTheme="majorHAnsi" w:hAnsiTheme="majorHAnsi" w:cstheme="majorHAnsi"/>
                <w:sz w:val="20"/>
                <w:szCs w:val="20"/>
              </w:rPr>
            </w:pPr>
            <w:r>
              <w:rPr>
                <w:rFonts w:asciiTheme="majorHAnsi" w:hAnsiTheme="majorHAnsi" w:cstheme="majorHAnsi"/>
                <w:sz w:val="20"/>
                <w:szCs w:val="20"/>
              </w:rPr>
              <w:t>Brabham</w:t>
            </w:r>
          </w:p>
        </w:tc>
        <w:tc>
          <w:tcPr>
            <w:tcW w:w="1123" w:type="dxa"/>
          </w:tcPr>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3,877,500</w:t>
            </w:r>
          </w:p>
        </w:tc>
      </w:tr>
      <w:tr w:rsidR="00110106" w:rsidRPr="00946B65" w:rsidTr="00110106">
        <w:trPr>
          <w:trHeight w:val="1376"/>
        </w:trPr>
        <w:tc>
          <w:tcPr>
            <w:tcW w:w="4774" w:type="dxa"/>
            <w:vAlign w:val="center"/>
          </w:tcPr>
          <w:p w:rsidR="00110106" w:rsidRPr="000A20AB" w:rsidRDefault="00110106" w:rsidP="00012209">
            <w:pPr>
              <w:rPr>
                <w:rFonts w:ascii="Calibri Light" w:hAnsi="Calibri Light" w:cs="Calibri Light"/>
                <w:color w:val="000000"/>
                <w:sz w:val="20"/>
                <w:szCs w:val="20"/>
              </w:rPr>
            </w:pPr>
            <w:r w:rsidRPr="000A20AB">
              <w:rPr>
                <w:rFonts w:ascii="Calibri Light" w:hAnsi="Calibri Light" w:cs="Calibri Light"/>
                <w:color w:val="000000"/>
                <w:sz w:val="20"/>
                <w:szCs w:val="20"/>
              </w:rPr>
              <w:t>City of Belmont</w:t>
            </w:r>
          </w:p>
          <w:p w:rsidR="00110106" w:rsidRPr="00213C3F" w:rsidRDefault="00110106" w:rsidP="00012209">
            <w:pPr>
              <w:rPr>
                <w:rFonts w:ascii="Calibri Light" w:hAnsi="Calibri Light" w:cs="Calibri Light"/>
                <w:sz w:val="20"/>
                <w:szCs w:val="20"/>
              </w:rPr>
            </w:pPr>
          </w:p>
        </w:tc>
        <w:tc>
          <w:tcPr>
            <w:tcW w:w="4961" w:type="dxa"/>
            <w:vAlign w:val="center"/>
          </w:tcPr>
          <w:p w:rsidR="00110106" w:rsidRPr="00213C3F"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Belvidere Streetscape Revitalisation Project</w:t>
            </w:r>
          </w:p>
        </w:tc>
        <w:tc>
          <w:tcPr>
            <w:tcW w:w="6345" w:type="dxa"/>
          </w:tcPr>
          <w:p w:rsidR="00110106" w:rsidRDefault="00110106" w:rsidP="00012209">
            <w:pPr>
              <w:rPr>
                <w:rFonts w:asciiTheme="majorHAnsi" w:hAnsiTheme="majorHAnsi" w:cstheme="majorHAnsi"/>
                <w:sz w:val="20"/>
                <w:szCs w:val="20"/>
                <w:highlight w:val="yellow"/>
              </w:rPr>
            </w:pPr>
            <w:r w:rsidRPr="002D3B47">
              <w:rPr>
                <w:rFonts w:asciiTheme="majorHAnsi" w:hAnsiTheme="majorHAnsi" w:cstheme="majorHAnsi"/>
                <w:color w:val="000000"/>
                <w:sz w:val="20"/>
                <w:szCs w:val="20"/>
              </w:rPr>
              <w:t>The project will</w:t>
            </w:r>
            <w:r>
              <w:rPr>
                <w:rFonts w:asciiTheme="majorHAnsi" w:hAnsiTheme="majorHAnsi" w:cstheme="majorHAnsi"/>
                <w:color w:val="000000"/>
                <w:sz w:val="20"/>
                <w:szCs w:val="20"/>
              </w:rPr>
              <w:t xml:space="preserve"> revitalise the streetscape by transforming the main street into an activated space with alfresco dining areas, green spaces, enhanced lighting, event and market ready spaces and amenity, providing community space and opportunities for community connection, and enhanced liveability for the future residents in the high-density dwelling development.</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Pr="000A20AB" w:rsidRDefault="00110106" w:rsidP="00012209">
            <w:pPr>
              <w:rPr>
                <w:rFonts w:asciiTheme="majorHAnsi" w:hAnsiTheme="majorHAnsi" w:cstheme="majorHAnsi"/>
                <w:sz w:val="20"/>
                <w:szCs w:val="20"/>
              </w:rPr>
            </w:pPr>
          </w:p>
          <w:p w:rsidR="00110106" w:rsidRPr="000A20AB" w:rsidRDefault="00110106" w:rsidP="00012209">
            <w:pPr>
              <w:rPr>
                <w:rFonts w:asciiTheme="majorHAnsi" w:hAnsiTheme="majorHAnsi" w:cstheme="majorHAnsi"/>
                <w:sz w:val="20"/>
                <w:szCs w:val="20"/>
              </w:rPr>
            </w:pPr>
            <w:r w:rsidRPr="000A20AB">
              <w:rPr>
                <w:rFonts w:asciiTheme="majorHAnsi" w:hAnsiTheme="majorHAnsi" w:cstheme="majorHAnsi"/>
                <w:sz w:val="20"/>
                <w:szCs w:val="20"/>
              </w:rPr>
              <w:t>Belmont</w:t>
            </w:r>
          </w:p>
        </w:tc>
        <w:tc>
          <w:tcPr>
            <w:tcW w:w="1123" w:type="dxa"/>
          </w:tcPr>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4,745,000</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vAlign w:val="center"/>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City of Gosnells</w:t>
            </w:r>
          </w:p>
        </w:tc>
        <w:tc>
          <w:tcPr>
            <w:tcW w:w="4961" w:type="dxa"/>
            <w:vAlign w:val="center"/>
          </w:tcPr>
          <w:p w:rsidR="00110106" w:rsidRPr="00213C3F"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Sutherlands Park Sporting and Recreational Precinct</w:t>
            </w:r>
          </w:p>
        </w:tc>
        <w:tc>
          <w:tcPr>
            <w:tcW w:w="6345" w:type="dxa"/>
          </w:tcPr>
          <w:p w:rsidR="00110106" w:rsidRDefault="00110106" w:rsidP="00012209">
            <w:pPr>
              <w:rPr>
                <w:rFonts w:asciiTheme="majorHAnsi" w:hAnsiTheme="majorHAnsi" w:cstheme="majorHAnsi"/>
                <w:sz w:val="20"/>
                <w:szCs w:val="20"/>
              </w:rPr>
            </w:pPr>
            <w:r w:rsidRPr="00213C3F">
              <w:rPr>
                <w:rFonts w:asciiTheme="majorHAnsi" w:hAnsiTheme="majorHAnsi" w:cstheme="majorHAnsi"/>
                <w:sz w:val="20"/>
                <w:szCs w:val="20"/>
              </w:rPr>
              <w:t xml:space="preserve">The </w:t>
            </w:r>
            <w:r>
              <w:rPr>
                <w:rFonts w:asciiTheme="majorHAnsi" w:hAnsiTheme="majorHAnsi" w:cstheme="majorHAnsi"/>
                <w:sz w:val="20"/>
                <w:szCs w:val="20"/>
              </w:rPr>
              <w:t>redevelopment project will replace aged infrastructure providing multi-purpose community rooms with changing, sporting, and catering facilities, accessible public tiered seating, toilet facilities and hireable outdoor spaces to meet the rapidly growing community’s needs.</w:t>
            </w:r>
          </w:p>
          <w:p w:rsidR="00110106" w:rsidRPr="00213C3F" w:rsidRDefault="00110106" w:rsidP="00012209">
            <w:pPr>
              <w:rPr>
                <w:rFonts w:asciiTheme="majorHAnsi" w:hAnsiTheme="majorHAnsi" w:cstheme="majorHAnsi"/>
                <w:sz w:val="20"/>
                <w:szCs w:val="20"/>
                <w:highlight w:val="yellow"/>
              </w:rPr>
            </w:pPr>
          </w:p>
        </w:tc>
        <w:tc>
          <w:tcPr>
            <w:tcW w:w="1751" w:type="dxa"/>
            <w:vAlign w:val="center"/>
          </w:tcPr>
          <w:p w:rsidR="00110106" w:rsidRPr="000A20AB" w:rsidRDefault="00110106" w:rsidP="00012209">
            <w:pPr>
              <w:rPr>
                <w:rFonts w:asciiTheme="majorHAnsi" w:hAnsiTheme="majorHAnsi" w:cstheme="majorHAnsi"/>
                <w:sz w:val="20"/>
                <w:szCs w:val="20"/>
              </w:rPr>
            </w:pPr>
            <w:r w:rsidRPr="000A20AB">
              <w:rPr>
                <w:rFonts w:asciiTheme="majorHAnsi" w:hAnsiTheme="majorHAnsi" w:cstheme="majorHAnsi"/>
                <w:sz w:val="20"/>
                <w:szCs w:val="20"/>
              </w:rPr>
              <w:t>Huntingdale</w:t>
            </w:r>
          </w:p>
        </w:tc>
        <w:tc>
          <w:tcPr>
            <w:tcW w:w="1123" w:type="dxa"/>
            <w:vAlign w:val="center"/>
          </w:tcPr>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Pr>
                <w:rFonts w:asciiTheme="majorHAnsi" w:hAnsiTheme="majorHAnsi" w:cstheme="majorHAnsi"/>
                <w:sz w:val="20"/>
                <w:szCs w:val="20"/>
              </w:rPr>
              <w:t>$10,650,000</w:t>
            </w:r>
          </w:p>
        </w:tc>
      </w:tr>
      <w:tr w:rsidR="00110106" w:rsidRPr="00946B65" w:rsidTr="00110106">
        <w:tc>
          <w:tcPr>
            <w:tcW w:w="4774" w:type="dxa"/>
            <w:vAlign w:val="center"/>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City of Joondalup</w:t>
            </w:r>
          </w:p>
        </w:tc>
        <w:tc>
          <w:tcPr>
            <w:tcW w:w="4961" w:type="dxa"/>
            <w:vAlign w:val="center"/>
          </w:tcPr>
          <w:p w:rsidR="00110106" w:rsidRPr="00213C3F"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Moolanda Boulevard Pedestrian and Cycleway Bridge</w:t>
            </w:r>
          </w:p>
        </w:tc>
        <w:tc>
          <w:tcPr>
            <w:tcW w:w="6345" w:type="dxa"/>
          </w:tcPr>
          <w:p w:rsidR="00110106" w:rsidRDefault="00110106" w:rsidP="00012209">
            <w:pPr>
              <w:rPr>
                <w:rFonts w:asciiTheme="majorHAnsi" w:hAnsiTheme="majorHAnsi" w:cstheme="majorHAnsi"/>
                <w:sz w:val="20"/>
                <w:szCs w:val="20"/>
              </w:rPr>
            </w:pPr>
            <w:r>
              <w:rPr>
                <w:rFonts w:asciiTheme="majorHAnsi" w:hAnsiTheme="majorHAnsi" w:cstheme="majorHAnsi"/>
                <w:sz w:val="20"/>
                <w:szCs w:val="20"/>
              </w:rPr>
              <w:t>The dual-purpose pedestrian and cycleway bridge will provide 2.5km of uninterrupted network of shared pathway access, safely linking the freeway path and connecting residents with five local primary schools, residential and conservation areas, shopping precincts, recreational areas and train stations, enhancing safety and physical connectivity.</w:t>
            </w:r>
          </w:p>
          <w:p w:rsidR="00110106" w:rsidRPr="00213C3F" w:rsidRDefault="00110106" w:rsidP="00012209">
            <w:pPr>
              <w:rPr>
                <w:rFonts w:asciiTheme="majorHAnsi" w:hAnsiTheme="majorHAnsi" w:cstheme="majorHAnsi"/>
                <w:sz w:val="20"/>
                <w:szCs w:val="20"/>
                <w:highlight w:val="yellow"/>
              </w:rPr>
            </w:pPr>
          </w:p>
        </w:tc>
        <w:tc>
          <w:tcPr>
            <w:tcW w:w="1751" w:type="dxa"/>
            <w:vAlign w:val="center"/>
          </w:tcPr>
          <w:p w:rsidR="00110106" w:rsidRPr="000A20AB" w:rsidRDefault="00110106" w:rsidP="00012209">
            <w:pPr>
              <w:rPr>
                <w:rFonts w:asciiTheme="majorHAnsi" w:hAnsiTheme="majorHAnsi" w:cstheme="majorHAnsi"/>
                <w:sz w:val="20"/>
                <w:szCs w:val="20"/>
              </w:rPr>
            </w:pPr>
            <w:r w:rsidRPr="000A20AB">
              <w:rPr>
                <w:rFonts w:asciiTheme="majorHAnsi" w:hAnsiTheme="majorHAnsi" w:cstheme="majorHAnsi"/>
                <w:sz w:val="20"/>
                <w:szCs w:val="20"/>
              </w:rPr>
              <w:t>Kingsley</w:t>
            </w:r>
          </w:p>
        </w:tc>
        <w:tc>
          <w:tcPr>
            <w:tcW w:w="1123" w:type="dxa"/>
            <w:vAlign w:val="center"/>
          </w:tcPr>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2,372,865</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City of Rockingham</w:t>
            </w:r>
          </w:p>
        </w:tc>
        <w:tc>
          <w:tcPr>
            <w:tcW w:w="4961" w:type="dxa"/>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Rockingham Lotteries House and Community Hub Development</w:t>
            </w:r>
          </w:p>
        </w:tc>
        <w:tc>
          <w:tcPr>
            <w:tcW w:w="6345" w:type="dxa"/>
          </w:tcPr>
          <w:p w:rsidR="00110106" w:rsidRDefault="00110106" w:rsidP="00012209">
            <w:pPr>
              <w:rPr>
                <w:rFonts w:asciiTheme="majorHAnsi" w:hAnsiTheme="majorHAnsi" w:cstheme="majorHAnsi"/>
                <w:sz w:val="20"/>
                <w:szCs w:val="20"/>
              </w:rPr>
            </w:pPr>
            <w:r w:rsidRPr="00A969DE">
              <w:rPr>
                <w:rFonts w:asciiTheme="majorHAnsi" w:hAnsiTheme="majorHAnsi" w:cstheme="majorHAnsi"/>
                <w:sz w:val="20"/>
                <w:szCs w:val="20"/>
              </w:rPr>
              <w:t xml:space="preserve">The project will </w:t>
            </w:r>
            <w:r>
              <w:rPr>
                <w:rFonts w:asciiTheme="majorHAnsi" w:hAnsiTheme="majorHAnsi" w:cstheme="majorHAnsi"/>
                <w:sz w:val="20"/>
                <w:szCs w:val="20"/>
              </w:rPr>
              <w:t>deliver a new affordable community hub and fit-for-purpose space for the relocation of the Rockingham Lotteries House, providing improved access to community services, not-for-profit providers, recreation facilities, arts studios, multi-purpose bookable office space, playgroup options and parenting support services.</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Pr="000A20AB" w:rsidRDefault="00110106" w:rsidP="00012209">
            <w:pPr>
              <w:rPr>
                <w:rFonts w:asciiTheme="majorHAnsi" w:hAnsiTheme="majorHAnsi" w:cstheme="majorHAnsi"/>
                <w:sz w:val="20"/>
                <w:szCs w:val="20"/>
              </w:rPr>
            </w:pPr>
            <w:r w:rsidRPr="000A20AB">
              <w:rPr>
                <w:rFonts w:asciiTheme="majorHAnsi" w:hAnsiTheme="majorHAnsi" w:cstheme="majorHAnsi"/>
                <w:sz w:val="20"/>
                <w:szCs w:val="20"/>
              </w:rPr>
              <w:t>Rockingham</w:t>
            </w:r>
          </w:p>
        </w:tc>
        <w:tc>
          <w:tcPr>
            <w:tcW w:w="1123" w:type="dxa"/>
          </w:tcPr>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1,397,975</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Borders>
              <w:bottom w:val="single" w:sz="4" w:space="0" w:color="auto"/>
            </w:tcBorders>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Drukpa Australia Incorporated</w:t>
            </w:r>
          </w:p>
        </w:tc>
        <w:tc>
          <w:tcPr>
            <w:tcW w:w="4961" w:type="dxa"/>
            <w:tcBorders>
              <w:bottom w:val="single" w:sz="4" w:space="0" w:color="auto"/>
            </w:tcBorders>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Drukpa Hall Project</w:t>
            </w:r>
          </w:p>
        </w:tc>
        <w:tc>
          <w:tcPr>
            <w:tcW w:w="6345" w:type="dxa"/>
            <w:tcBorders>
              <w:bottom w:val="single" w:sz="4" w:space="0" w:color="auto"/>
            </w:tcBorders>
          </w:tcPr>
          <w:p w:rsidR="00110106" w:rsidRDefault="00110106" w:rsidP="00012209">
            <w:pPr>
              <w:rPr>
                <w:rFonts w:asciiTheme="majorHAnsi" w:hAnsiTheme="majorHAnsi" w:cstheme="majorHAnsi"/>
                <w:sz w:val="20"/>
                <w:szCs w:val="20"/>
              </w:rPr>
            </w:pPr>
            <w:r w:rsidRPr="00D6256C">
              <w:rPr>
                <w:rFonts w:asciiTheme="majorHAnsi" w:hAnsiTheme="majorHAnsi" w:cstheme="majorHAnsi"/>
                <w:sz w:val="20"/>
                <w:szCs w:val="20"/>
              </w:rPr>
              <w:t xml:space="preserve">The project will </w:t>
            </w:r>
            <w:r>
              <w:rPr>
                <w:rFonts w:asciiTheme="majorHAnsi" w:hAnsiTheme="majorHAnsi" w:cstheme="majorHAnsi"/>
                <w:sz w:val="20"/>
                <w:szCs w:val="20"/>
              </w:rPr>
              <w:t>deliver a dedicated space for the community by transforming an existing warehouse into a functional space to explore Himalayan Buddhist traditions and experience spiritual and cultural teachings, retreats, workshops, charitable events and youth outreach activities, to increase community engagement and cohesion.</w:t>
            </w:r>
          </w:p>
          <w:p w:rsidR="00110106" w:rsidRPr="00D6256C" w:rsidRDefault="00110106" w:rsidP="00012209">
            <w:pPr>
              <w:rPr>
                <w:rFonts w:asciiTheme="majorHAnsi" w:hAnsiTheme="majorHAnsi" w:cstheme="majorHAnsi"/>
                <w:sz w:val="20"/>
                <w:szCs w:val="20"/>
              </w:rPr>
            </w:pPr>
          </w:p>
        </w:tc>
        <w:tc>
          <w:tcPr>
            <w:tcW w:w="1751" w:type="dxa"/>
            <w:tcBorders>
              <w:bottom w:val="single" w:sz="4" w:space="0" w:color="auto"/>
            </w:tcBorders>
          </w:tcPr>
          <w:p w:rsidR="00110106" w:rsidRPr="000A20AB" w:rsidRDefault="00110106" w:rsidP="00012209">
            <w:pPr>
              <w:rPr>
                <w:rFonts w:asciiTheme="majorHAnsi" w:hAnsiTheme="majorHAnsi" w:cstheme="majorHAnsi"/>
                <w:sz w:val="20"/>
                <w:szCs w:val="20"/>
              </w:rPr>
            </w:pPr>
            <w:r>
              <w:rPr>
                <w:rFonts w:asciiTheme="majorHAnsi" w:hAnsiTheme="majorHAnsi" w:cstheme="majorHAnsi"/>
                <w:sz w:val="20"/>
                <w:szCs w:val="20"/>
              </w:rPr>
              <w:t>Wanneroo</w:t>
            </w:r>
          </w:p>
        </w:tc>
        <w:tc>
          <w:tcPr>
            <w:tcW w:w="1123" w:type="dxa"/>
            <w:tcBorders>
              <w:bottom w:val="single" w:sz="4" w:space="0" w:color="auto"/>
            </w:tcBorders>
          </w:tcPr>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Borders>
              <w:bottom w:val="single" w:sz="4" w:space="0" w:color="auto"/>
            </w:tcBorders>
          </w:tcPr>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642,473</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shd w:val="clear" w:color="auto" w:fill="auto"/>
            <w:vAlign w:val="center"/>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City of Kwinana</w:t>
            </w:r>
            <w:r>
              <w:rPr>
                <w:rFonts w:ascii="Calibri Light" w:hAnsi="Calibri Light" w:cs="Calibri Light"/>
                <w:sz w:val="20"/>
                <w:szCs w:val="20"/>
              </w:rPr>
              <w:t xml:space="preserve"> </w:t>
            </w:r>
          </w:p>
        </w:tc>
        <w:tc>
          <w:tcPr>
            <w:tcW w:w="4961" w:type="dxa"/>
            <w:shd w:val="clear" w:color="auto" w:fill="auto"/>
            <w:vAlign w:val="center"/>
          </w:tcPr>
          <w:p w:rsidR="00110106" w:rsidRPr="00213C3F"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Kwinana Recquatic Centre Redevelopment</w:t>
            </w:r>
          </w:p>
        </w:tc>
        <w:tc>
          <w:tcPr>
            <w:tcW w:w="6345" w:type="dxa"/>
            <w:shd w:val="clear" w:color="auto" w:fill="auto"/>
          </w:tcPr>
          <w:p w:rsidR="00110106" w:rsidRDefault="00110106" w:rsidP="00012209">
            <w:pPr>
              <w:rPr>
                <w:rFonts w:asciiTheme="majorHAnsi" w:hAnsiTheme="majorHAnsi" w:cstheme="majorHAnsi"/>
                <w:sz w:val="20"/>
                <w:szCs w:val="20"/>
              </w:rPr>
            </w:pPr>
            <w:r w:rsidRPr="00A969DE">
              <w:rPr>
                <w:rFonts w:asciiTheme="majorHAnsi" w:hAnsiTheme="majorHAnsi" w:cstheme="majorHAnsi"/>
                <w:sz w:val="20"/>
                <w:szCs w:val="20"/>
              </w:rPr>
              <w:t xml:space="preserve">The project will </w:t>
            </w:r>
            <w:r>
              <w:rPr>
                <w:rFonts w:asciiTheme="majorHAnsi" w:hAnsiTheme="majorHAnsi" w:cstheme="majorHAnsi"/>
                <w:sz w:val="20"/>
                <w:szCs w:val="20"/>
              </w:rPr>
              <w:t>redevelop Kwinana’s flagship aquatic and recreation (</w:t>
            </w:r>
            <w:proofErr w:type="spellStart"/>
            <w:r>
              <w:rPr>
                <w:rFonts w:asciiTheme="majorHAnsi" w:hAnsiTheme="majorHAnsi" w:cstheme="majorHAnsi"/>
                <w:sz w:val="20"/>
                <w:szCs w:val="20"/>
              </w:rPr>
              <w:t>recquatic</w:t>
            </w:r>
            <w:proofErr w:type="spellEnd"/>
            <w:r>
              <w:rPr>
                <w:rFonts w:asciiTheme="majorHAnsi" w:hAnsiTheme="majorHAnsi" w:cstheme="majorHAnsi"/>
                <w:sz w:val="20"/>
                <w:szCs w:val="20"/>
              </w:rPr>
              <w:t xml:space="preserve">) centre with expanded pool areas, family water </w:t>
            </w:r>
            <w:proofErr w:type="gramStart"/>
            <w:r>
              <w:rPr>
                <w:rFonts w:asciiTheme="majorHAnsi" w:hAnsiTheme="majorHAnsi" w:cstheme="majorHAnsi"/>
                <w:sz w:val="20"/>
                <w:szCs w:val="20"/>
              </w:rPr>
              <w:t>play</w:t>
            </w:r>
            <w:proofErr w:type="gramEnd"/>
            <w:r>
              <w:rPr>
                <w:rFonts w:asciiTheme="majorHAnsi" w:hAnsiTheme="majorHAnsi" w:cstheme="majorHAnsi"/>
                <w:sz w:val="20"/>
                <w:szCs w:val="20"/>
              </w:rPr>
              <w:t xml:space="preserve"> features, expanded and modernised health, fitness and wellbeing facilities, and changing areas increasing the local community’s access to high-quality amenities, enhancing health, wellbeing and liveability options. </w:t>
            </w:r>
          </w:p>
          <w:p w:rsidR="00110106" w:rsidRPr="00213C3F" w:rsidRDefault="00110106" w:rsidP="00012209">
            <w:pPr>
              <w:rPr>
                <w:rFonts w:asciiTheme="majorHAnsi" w:hAnsiTheme="majorHAnsi" w:cstheme="majorHAnsi"/>
                <w:sz w:val="20"/>
                <w:szCs w:val="20"/>
                <w:highlight w:val="yellow"/>
              </w:rPr>
            </w:pPr>
          </w:p>
        </w:tc>
        <w:tc>
          <w:tcPr>
            <w:tcW w:w="1751" w:type="dxa"/>
            <w:shd w:val="clear" w:color="auto" w:fill="auto"/>
            <w:vAlign w:val="center"/>
          </w:tcPr>
          <w:p w:rsidR="00110106" w:rsidRPr="000A20AB" w:rsidRDefault="00110106" w:rsidP="00012209">
            <w:pPr>
              <w:rPr>
                <w:rFonts w:asciiTheme="majorHAnsi" w:hAnsiTheme="majorHAnsi" w:cstheme="majorHAnsi"/>
                <w:sz w:val="20"/>
                <w:szCs w:val="20"/>
              </w:rPr>
            </w:pPr>
            <w:r w:rsidRPr="000A20AB">
              <w:rPr>
                <w:rFonts w:asciiTheme="majorHAnsi" w:hAnsiTheme="majorHAnsi" w:cstheme="majorHAnsi"/>
                <w:sz w:val="20"/>
                <w:szCs w:val="20"/>
              </w:rPr>
              <w:t>Kwinana Town Centre</w:t>
            </w:r>
          </w:p>
        </w:tc>
        <w:tc>
          <w:tcPr>
            <w:tcW w:w="1123" w:type="dxa"/>
            <w:shd w:val="clear" w:color="auto" w:fill="auto"/>
            <w:vAlign w:val="center"/>
          </w:tcPr>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shd w:val="clear" w:color="auto" w:fill="auto"/>
          </w:tcPr>
          <w:p w:rsidR="00110106" w:rsidRDefault="00110106" w:rsidP="00012209">
            <w:pPr>
              <w:jc w:val="right"/>
              <w:rPr>
                <w:rFonts w:asciiTheme="majorHAnsi" w:hAnsiTheme="majorHAnsi" w:cstheme="majorHAnsi"/>
                <w:bCs/>
                <w:sz w:val="20"/>
                <w:szCs w:val="20"/>
              </w:rPr>
            </w:pPr>
          </w:p>
          <w:p w:rsidR="00110106" w:rsidRDefault="00110106" w:rsidP="00012209">
            <w:pPr>
              <w:jc w:val="right"/>
              <w:rPr>
                <w:rFonts w:asciiTheme="majorHAnsi" w:hAnsiTheme="majorHAnsi" w:cstheme="majorHAnsi"/>
                <w:bCs/>
                <w:sz w:val="20"/>
                <w:szCs w:val="20"/>
              </w:rPr>
            </w:pPr>
          </w:p>
          <w:p w:rsidR="00110106" w:rsidRPr="00946B65" w:rsidRDefault="00110106" w:rsidP="00012209">
            <w:pPr>
              <w:jc w:val="right"/>
              <w:rPr>
                <w:rFonts w:asciiTheme="majorHAnsi" w:hAnsiTheme="majorHAnsi" w:cstheme="majorHAnsi"/>
                <w:bCs/>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15,000,000</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Shire of Murray</w:t>
            </w:r>
          </w:p>
        </w:tc>
        <w:tc>
          <w:tcPr>
            <w:tcW w:w="4961" w:type="dxa"/>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McLarty Sports Pavilion - George Beacham Replacement Changerooms</w:t>
            </w:r>
          </w:p>
        </w:tc>
        <w:tc>
          <w:tcPr>
            <w:tcW w:w="6345" w:type="dxa"/>
          </w:tcPr>
          <w:p w:rsidR="00110106" w:rsidRDefault="00110106" w:rsidP="00012209">
            <w:pPr>
              <w:rPr>
                <w:rFonts w:asciiTheme="majorHAnsi" w:hAnsiTheme="majorHAnsi" w:cstheme="majorHAnsi"/>
                <w:sz w:val="20"/>
                <w:szCs w:val="20"/>
              </w:rPr>
            </w:pPr>
            <w:r>
              <w:rPr>
                <w:rFonts w:asciiTheme="majorHAnsi" w:hAnsiTheme="majorHAnsi" w:cstheme="majorHAnsi"/>
                <w:sz w:val="20"/>
                <w:szCs w:val="20"/>
              </w:rPr>
              <w:t>Part of the Murray Sport and Recreation Infrastructure Plan, t</w:t>
            </w:r>
            <w:r w:rsidRPr="008676C4">
              <w:rPr>
                <w:rFonts w:asciiTheme="majorHAnsi" w:hAnsiTheme="majorHAnsi" w:cstheme="majorHAnsi"/>
                <w:sz w:val="20"/>
                <w:szCs w:val="20"/>
              </w:rPr>
              <w:t xml:space="preserve">his </w:t>
            </w:r>
            <w:r>
              <w:rPr>
                <w:rFonts w:asciiTheme="majorHAnsi" w:hAnsiTheme="majorHAnsi" w:cstheme="majorHAnsi"/>
                <w:sz w:val="20"/>
                <w:szCs w:val="20"/>
              </w:rPr>
              <w:t>project will contribute to the construction of a new George Beacham Pavilion including fit-for-purpose amenity and gender-neutral changerooms, to accommodate the growing female participation in AFL, and increase club participation, to support the rapidly growing community in Pinjarra.</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Pr="00213C3F" w:rsidRDefault="00110106" w:rsidP="00012209">
            <w:pPr>
              <w:rPr>
                <w:rFonts w:asciiTheme="majorHAnsi" w:hAnsiTheme="majorHAnsi" w:cstheme="majorHAnsi"/>
                <w:sz w:val="20"/>
                <w:szCs w:val="20"/>
                <w:highlight w:val="yellow"/>
              </w:rPr>
            </w:pPr>
            <w:r>
              <w:rPr>
                <w:rFonts w:asciiTheme="majorHAnsi" w:hAnsiTheme="majorHAnsi" w:cstheme="majorHAnsi"/>
                <w:sz w:val="20"/>
                <w:szCs w:val="20"/>
              </w:rPr>
              <w:t>Pinjarra</w:t>
            </w:r>
          </w:p>
        </w:tc>
        <w:tc>
          <w:tcPr>
            <w:tcW w:w="1123" w:type="dxa"/>
          </w:tcPr>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bCs/>
                <w:sz w:val="20"/>
                <w:szCs w:val="20"/>
              </w:rPr>
            </w:pPr>
          </w:p>
          <w:p w:rsidR="00110106" w:rsidRPr="00946B65" w:rsidRDefault="00110106" w:rsidP="00012209">
            <w:pPr>
              <w:jc w:val="right"/>
              <w:rPr>
                <w:rFonts w:asciiTheme="majorHAnsi" w:hAnsiTheme="majorHAnsi" w:cstheme="majorHAnsi"/>
                <w:bCs/>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2,065,000</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Pr>
          <w:p w:rsidR="00110106" w:rsidRPr="00213C3F" w:rsidRDefault="00110106" w:rsidP="00012209">
            <w:pPr>
              <w:rPr>
                <w:rFonts w:ascii="Calibri Light" w:hAnsi="Calibri Light" w:cs="Calibri Light"/>
                <w:color w:val="000000"/>
                <w:sz w:val="20"/>
                <w:szCs w:val="20"/>
              </w:rPr>
            </w:pPr>
            <w:r w:rsidRPr="002F7DF9">
              <w:rPr>
                <w:rFonts w:ascii="Calibri Light" w:hAnsi="Calibri Light" w:cs="Calibri Light"/>
                <w:color w:val="000000"/>
                <w:sz w:val="20"/>
                <w:szCs w:val="20"/>
              </w:rPr>
              <w:t>City of Kwinana</w:t>
            </w:r>
          </w:p>
          <w:p w:rsidR="00110106" w:rsidRPr="00213C3F" w:rsidRDefault="00110106" w:rsidP="00012209">
            <w:pPr>
              <w:rPr>
                <w:rFonts w:ascii="Calibri Light" w:hAnsi="Calibri Light" w:cs="Calibri Light"/>
                <w:sz w:val="20"/>
                <w:szCs w:val="20"/>
              </w:rPr>
            </w:pPr>
          </w:p>
        </w:tc>
        <w:tc>
          <w:tcPr>
            <w:tcW w:w="4961" w:type="dxa"/>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Kwinana City Centre: Shaping Vibrant and Connected Public Spaces</w:t>
            </w:r>
          </w:p>
        </w:tc>
        <w:tc>
          <w:tcPr>
            <w:tcW w:w="6345" w:type="dxa"/>
          </w:tcPr>
          <w:p w:rsidR="00110106" w:rsidRDefault="00110106" w:rsidP="00012209">
            <w:pPr>
              <w:rPr>
                <w:rFonts w:asciiTheme="majorHAnsi" w:hAnsiTheme="majorHAnsi" w:cstheme="majorHAnsi"/>
                <w:sz w:val="20"/>
                <w:szCs w:val="20"/>
              </w:rPr>
            </w:pPr>
            <w:r w:rsidRPr="00A969DE">
              <w:rPr>
                <w:rFonts w:asciiTheme="majorHAnsi" w:hAnsiTheme="majorHAnsi" w:cstheme="majorHAnsi"/>
                <w:sz w:val="20"/>
                <w:szCs w:val="20"/>
              </w:rPr>
              <w:t xml:space="preserve">The </w:t>
            </w:r>
            <w:r>
              <w:rPr>
                <w:rFonts w:asciiTheme="majorHAnsi" w:hAnsiTheme="majorHAnsi" w:cstheme="majorHAnsi"/>
                <w:sz w:val="20"/>
                <w:szCs w:val="20"/>
              </w:rPr>
              <w:t>project will transform the city centre precinct providing vibrant, accessible and sustainable urban space with improved connections between public and green spaces, with new surface treatment, public art, wayfinding, seating, signage and pedestrian access prioritising community connectivity and social cohesion.</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Pr="000A20AB" w:rsidRDefault="00110106" w:rsidP="00012209">
            <w:pPr>
              <w:rPr>
                <w:rFonts w:asciiTheme="majorHAnsi" w:hAnsiTheme="majorHAnsi" w:cstheme="majorHAnsi"/>
                <w:sz w:val="20"/>
                <w:szCs w:val="20"/>
              </w:rPr>
            </w:pPr>
            <w:r w:rsidRPr="000A20AB">
              <w:rPr>
                <w:rFonts w:asciiTheme="majorHAnsi" w:hAnsiTheme="majorHAnsi" w:cstheme="majorHAnsi"/>
                <w:sz w:val="20"/>
                <w:szCs w:val="20"/>
              </w:rPr>
              <w:t>Kwinana Town Centre</w:t>
            </w:r>
          </w:p>
        </w:tc>
        <w:tc>
          <w:tcPr>
            <w:tcW w:w="1123" w:type="dxa"/>
          </w:tcPr>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2,100,000</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lastRenderedPageBreak/>
              <w:t>W A Portuguese Club Inc</w:t>
            </w:r>
          </w:p>
        </w:tc>
        <w:tc>
          <w:tcPr>
            <w:tcW w:w="4961" w:type="dxa"/>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WA Portuguese Club Community Cultural Centre - Hamilton Hill</w:t>
            </w:r>
          </w:p>
        </w:tc>
        <w:tc>
          <w:tcPr>
            <w:tcW w:w="6345" w:type="dxa"/>
          </w:tcPr>
          <w:p w:rsidR="00110106" w:rsidRDefault="00110106" w:rsidP="00012209">
            <w:pPr>
              <w:rPr>
                <w:rFonts w:asciiTheme="majorHAnsi" w:hAnsiTheme="majorHAnsi" w:cstheme="majorHAnsi"/>
                <w:color w:val="000000"/>
                <w:sz w:val="20"/>
                <w:szCs w:val="20"/>
              </w:rPr>
            </w:pPr>
            <w:r w:rsidRPr="00752D57">
              <w:rPr>
                <w:rFonts w:asciiTheme="majorHAnsi" w:hAnsiTheme="majorHAnsi" w:cstheme="majorHAnsi"/>
                <w:color w:val="000000"/>
                <w:sz w:val="20"/>
                <w:szCs w:val="20"/>
              </w:rPr>
              <w:t>The multi-purpose space and community function cultural centre project will deliver a vital state-of-the-art cultural hub, with fit-for-purpose amenity, children’s playgrounds, sporting and activated spaces for the Portuguese and broader migrant community within Fremantle, Cockburn and Melville municipalities.</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Default="00110106" w:rsidP="00012209">
            <w:pPr>
              <w:rPr>
                <w:rFonts w:asciiTheme="majorHAnsi" w:hAnsiTheme="majorHAnsi" w:cstheme="majorHAnsi"/>
                <w:sz w:val="20"/>
                <w:szCs w:val="20"/>
              </w:rPr>
            </w:pPr>
          </w:p>
          <w:p w:rsidR="00110106" w:rsidRPr="00213C3F" w:rsidRDefault="00110106" w:rsidP="00012209">
            <w:pPr>
              <w:rPr>
                <w:rFonts w:asciiTheme="majorHAnsi" w:hAnsiTheme="majorHAnsi" w:cstheme="majorHAnsi"/>
                <w:sz w:val="20"/>
                <w:szCs w:val="20"/>
                <w:highlight w:val="yellow"/>
              </w:rPr>
            </w:pPr>
            <w:r>
              <w:rPr>
                <w:rFonts w:asciiTheme="majorHAnsi" w:hAnsiTheme="majorHAnsi" w:cstheme="majorHAnsi"/>
                <w:sz w:val="20"/>
                <w:szCs w:val="20"/>
              </w:rPr>
              <w:t>Hamilton Hill</w:t>
            </w:r>
          </w:p>
        </w:tc>
        <w:tc>
          <w:tcPr>
            <w:tcW w:w="1123" w:type="dxa"/>
          </w:tcPr>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2,405,000</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vAlign w:val="center"/>
          </w:tcPr>
          <w:p w:rsidR="00110106" w:rsidRPr="00213C3F" w:rsidRDefault="00110106" w:rsidP="00012209">
            <w:pPr>
              <w:rPr>
                <w:rFonts w:ascii="Calibri Light" w:hAnsi="Calibri Light" w:cs="Calibri Light"/>
                <w:sz w:val="20"/>
                <w:szCs w:val="20"/>
              </w:rPr>
            </w:pPr>
            <w:r w:rsidRPr="002F7DF9">
              <w:rPr>
                <w:rFonts w:ascii="Calibri Light" w:hAnsi="Calibri Light" w:cs="Calibri Light"/>
                <w:sz w:val="20"/>
                <w:szCs w:val="20"/>
              </w:rPr>
              <w:t>City of Melville</w:t>
            </w:r>
          </w:p>
        </w:tc>
        <w:tc>
          <w:tcPr>
            <w:tcW w:w="4961" w:type="dxa"/>
            <w:vAlign w:val="center"/>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City of Melville Cultural Heart Precinct – Library and Cultural Centre</w:t>
            </w:r>
          </w:p>
        </w:tc>
        <w:tc>
          <w:tcPr>
            <w:tcW w:w="6345" w:type="dxa"/>
          </w:tcPr>
          <w:p w:rsidR="00110106" w:rsidRDefault="00110106" w:rsidP="00C7471A">
            <w:pPr>
              <w:rPr>
                <w:rFonts w:asciiTheme="majorHAnsi" w:hAnsiTheme="majorHAnsi" w:cstheme="majorHAnsi"/>
                <w:sz w:val="20"/>
                <w:szCs w:val="20"/>
              </w:rPr>
            </w:pPr>
            <w:r w:rsidRPr="00C7471A">
              <w:rPr>
                <w:rFonts w:asciiTheme="majorHAnsi" w:hAnsiTheme="majorHAnsi" w:cstheme="majorHAnsi"/>
                <w:sz w:val="20"/>
                <w:szCs w:val="20"/>
              </w:rPr>
              <w:t>The project is part of the broader Melville Cultural Heart Precinct Project delivering a new 6-star accredited library and cultural centre with revitalisation of the surrounding environment to support literacy level improvement and encourage greater local resident engagement.</w:t>
            </w:r>
          </w:p>
          <w:p w:rsidR="0084391A" w:rsidRPr="00A969DE" w:rsidRDefault="0084391A" w:rsidP="00C7471A">
            <w:pPr>
              <w:rPr>
                <w:rFonts w:asciiTheme="majorHAnsi" w:hAnsiTheme="majorHAnsi" w:cstheme="majorHAnsi"/>
                <w:sz w:val="20"/>
                <w:szCs w:val="20"/>
              </w:rPr>
            </w:pPr>
          </w:p>
        </w:tc>
        <w:tc>
          <w:tcPr>
            <w:tcW w:w="1751" w:type="dxa"/>
            <w:vAlign w:val="center"/>
          </w:tcPr>
          <w:p w:rsidR="00110106" w:rsidRPr="00A969DE" w:rsidRDefault="00110106" w:rsidP="00012209">
            <w:pPr>
              <w:rPr>
                <w:rFonts w:asciiTheme="majorHAnsi" w:hAnsiTheme="majorHAnsi" w:cstheme="majorHAnsi"/>
                <w:sz w:val="20"/>
                <w:szCs w:val="20"/>
              </w:rPr>
            </w:pPr>
            <w:r>
              <w:rPr>
                <w:rFonts w:asciiTheme="majorHAnsi" w:hAnsiTheme="majorHAnsi" w:cstheme="majorHAnsi"/>
                <w:sz w:val="20"/>
                <w:szCs w:val="20"/>
              </w:rPr>
              <w:t>Booragoon</w:t>
            </w:r>
          </w:p>
        </w:tc>
        <w:tc>
          <w:tcPr>
            <w:tcW w:w="1123" w:type="dxa"/>
            <w:vAlign w:val="center"/>
          </w:tcPr>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sz w:val="20"/>
                <w:szCs w:val="20"/>
              </w:rPr>
            </w:pPr>
          </w:p>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15,000,000</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Pr>
          <w:p w:rsidR="00110106" w:rsidRPr="00213C3F" w:rsidRDefault="00110106" w:rsidP="00012209">
            <w:pPr>
              <w:rPr>
                <w:rFonts w:ascii="Calibri Light" w:hAnsi="Calibri Light" w:cs="Calibri Light"/>
                <w:color w:val="000000"/>
                <w:sz w:val="20"/>
                <w:szCs w:val="20"/>
              </w:rPr>
            </w:pPr>
            <w:r w:rsidRPr="002F7DF9">
              <w:rPr>
                <w:rFonts w:ascii="Calibri Light" w:hAnsi="Calibri Light" w:cs="Calibri Light"/>
                <w:color w:val="000000"/>
                <w:sz w:val="20"/>
                <w:szCs w:val="20"/>
              </w:rPr>
              <w:t>City of Fremantle</w:t>
            </w:r>
          </w:p>
          <w:p w:rsidR="00110106" w:rsidRPr="00213C3F" w:rsidRDefault="00110106" w:rsidP="00012209">
            <w:pPr>
              <w:rPr>
                <w:rFonts w:ascii="Calibri Light" w:hAnsi="Calibri Light" w:cs="Calibri Light"/>
                <w:sz w:val="20"/>
                <w:szCs w:val="20"/>
              </w:rPr>
            </w:pPr>
          </w:p>
        </w:tc>
        <w:tc>
          <w:tcPr>
            <w:tcW w:w="4961" w:type="dxa"/>
          </w:tcPr>
          <w:p w:rsidR="00110106" w:rsidRPr="00213C3F"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Hilton Park - Stage 1 (Northern Zone)</w:t>
            </w:r>
          </w:p>
        </w:tc>
        <w:tc>
          <w:tcPr>
            <w:tcW w:w="6345" w:type="dxa"/>
          </w:tcPr>
          <w:p w:rsidR="00110106" w:rsidRDefault="00110106" w:rsidP="00012209">
            <w:pPr>
              <w:rPr>
                <w:rFonts w:asciiTheme="majorHAnsi" w:hAnsiTheme="majorHAnsi" w:cstheme="majorHAnsi"/>
                <w:sz w:val="20"/>
                <w:szCs w:val="20"/>
              </w:rPr>
            </w:pPr>
            <w:r w:rsidRPr="008676C4">
              <w:rPr>
                <w:rFonts w:asciiTheme="majorHAnsi" w:hAnsiTheme="majorHAnsi" w:cstheme="majorHAnsi"/>
                <w:sz w:val="20"/>
                <w:szCs w:val="20"/>
              </w:rPr>
              <w:t xml:space="preserve">The </w:t>
            </w:r>
            <w:r>
              <w:rPr>
                <w:rFonts w:asciiTheme="majorHAnsi" w:hAnsiTheme="majorHAnsi" w:cstheme="majorHAnsi"/>
                <w:sz w:val="20"/>
                <w:szCs w:val="20"/>
              </w:rPr>
              <w:t xml:space="preserve">Brad Hardie Pavilion revitalisation </w:t>
            </w:r>
            <w:r w:rsidRPr="008676C4">
              <w:rPr>
                <w:rFonts w:asciiTheme="majorHAnsi" w:hAnsiTheme="majorHAnsi" w:cstheme="majorHAnsi"/>
                <w:sz w:val="20"/>
                <w:szCs w:val="20"/>
              </w:rPr>
              <w:t xml:space="preserve">project will </w:t>
            </w:r>
            <w:r>
              <w:rPr>
                <w:rFonts w:asciiTheme="majorHAnsi" w:hAnsiTheme="majorHAnsi" w:cstheme="majorHAnsi"/>
                <w:sz w:val="20"/>
                <w:szCs w:val="20"/>
              </w:rPr>
              <w:t xml:space="preserve">deliver accessible full size and junior ovals with associated sporting amenities, native green spaces, and creation of new gathering spaces co-designed with local Elders to provide a culturally safe yarning circle area, and enhanced sporting and active recreation opportunities for the local diverse community. </w:t>
            </w:r>
          </w:p>
          <w:p w:rsidR="00110106" w:rsidRPr="00213C3F" w:rsidRDefault="00110106" w:rsidP="00012209">
            <w:pPr>
              <w:rPr>
                <w:rFonts w:asciiTheme="majorHAnsi" w:hAnsiTheme="majorHAnsi" w:cstheme="majorHAnsi"/>
                <w:sz w:val="20"/>
                <w:szCs w:val="20"/>
                <w:highlight w:val="yellow"/>
              </w:rPr>
            </w:pPr>
          </w:p>
        </w:tc>
        <w:tc>
          <w:tcPr>
            <w:tcW w:w="1751" w:type="dxa"/>
          </w:tcPr>
          <w:p w:rsidR="00110106" w:rsidRDefault="00110106" w:rsidP="00012209">
            <w:pPr>
              <w:rPr>
                <w:rFonts w:asciiTheme="majorHAnsi" w:hAnsiTheme="majorHAnsi" w:cstheme="majorHAnsi"/>
                <w:sz w:val="20"/>
                <w:szCs w:val="20"/>
              </w:rPr>
            </w:pPr>
          </w:p>
          <w:p w:rsidR="00110106" w:rsidRDefault="00110106" w:rsidP="00012209">
            <w:pPr>
              <w:rPr>
                <w:rFonts w:asciiTheme="majorHAnsi" w:hAnsiTheme="majorHAnsi" w:cstheme="majorHAnsi"/>
                <w:sz w:val="20"/>
                <w:szCs w:val="20"/>
              </w:rPr>
            </w:pPr>
          </w:p>
          <w:p w:rsidR="00110106" w:rsidRPr="002F7DF9" w:rsidRDefault="00110106" w:rsidP="00012209">
            <w:pPr>
              <w:rPr>
                <w:rFonts w:asciiTheme="majorHAnsi" w:hAnsiTheme="majorHAnsi" w:cstheme="majorHAnsi"/>
                <w:sz w:val="20"/>
                <w:szCs w:val="20"/>
              </w:rPr>
            </w:pPr>
            <w:r>
              <w:rPr>
                <w:rFonts w:asciiTheme="majorHAnsi" w:hAnsiTheme="majorHAnsi" w:cstheme="majorHAnsi"/>
                <w:sz w:val="20"/>
                <w:szCs w:val="20"/>
              </w:rPr>
              <w:t>Beaconsfield</w:t>
            </w:r>
          </w:p>
        </w:tc>
        <w:tc>
          <w:tcPr>
            <w:tcW w:w="1123" w:type="dxa"/>
          </w:tcPr>
          <w:p w:rsidR="00110106" w:rsidRDefault="00110106" w:rsidP="00012209">
            <w:pPr>
              <w:jc w:val="center"/>
              <w:rPr>
                <w:rFonts w:asciiTheme="majorHAnsi" w:hAnsiTheme="majorHAnsi" w:cstheme="majorHAnsi"/>
                <w:sz w:val="20"/>
                <w:szCs w:val="20"/>
              </w:rPr>
            </w:pPr>
          </w:p>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p w:rsidR="00110106" w:rsidRPr="00946B65"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p>
        </w:tc>
        <w:tc>
          <w:tcPr>
            <w:tcW w:w="1501" w:type="dxa"/>
          </w:tcPr>
          <w:p w:rsidR="00110106" w:rsidRDefault="00110106" w:rsidP="00012209">
            <w:pPr>
              <w:jc w:val="right"/>
              <w:rPr>
                <w:rFonts w:asciiTheme="majorHAnsi" w:hAnsiTheme="majorHAnsi" w:cstheme="majorHAnsi"/>
                <w:bCs/>
                <w:sz w:val="20"/>
                <w:szCs w:val="20"/>
              </w:rPr>
            </w:pPr>
          </w:p>
          <w:p w:rsidR="00110106" w:rsidRDefault="00110106" w:rsidP="00012209">
            <w:pPr>
              <w:jc w:val="right"/>
              <w:rPr>
                <w:rFonts w:asciiTheme="majorHAnsi" w:hAnsiTheme="majorHAnsi" w:cstheme="majorHAnsi"/>
                <w:bCs/>
                <w:sz w:val="20"/>
                <w:szCs w:val="20"/>
              </w:rPr>
            </w:pPr>
          </w:p>
          <w:p w:rsidR="00110106" w:rsidRPr="00946B65" w:rsidRDefault="00110106" w:rsidP="00012209">
            <w:pPr>
              <w:jc w:val="right"/>
              <w:rPr>
                <w:rFonts w:asciiTheme="majorHAnsi" w:hAnsiTheme="majorHAnsi" w:cstheme="majorHAnsi"/>
                <w:bCs/>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3,747,977</w:t>
            </w:r>
          </w:p>
          <w:p w:rsidR="00110106" w:rsidRPr="00946B65" w:rsidRDefault="00110106" w:rsidP="00012209">
            <w:pPr>
              <w:jc w:val="right"/>
              <w:rPr>
                <w:rFonts w:asciiTheme="majorHAnsi" w:hAnsiTheme="majorHAnsi" w:cstheme="majorHAnsi"/>
                <w:sz w:val="20"/>
                <w:szCs w:val="20"/>
              </w:rPr>
            </w:pPr>
          </w:p>
        </w:tc>
      </w:tr>
      <w:tr w:rsidR="00110106" w:rsidRPr="00946B65" w:rsidTr="00110106">
        <w:tc>
          <w:tcPr>
            <w:tcW w:w="4774" w:type="dxa"/>
            <w:tcBorders>
              <w:bottom w:val="single" w:sz="4" w:space="0" w:color="auto"/>
            </w:tcBorders>
          </w:tcPr>
          <w:p w:rsidR="00110106" w:rsidRPr="00213C3F" w:rsidRDefault="00110106" w:rsidP="00012209">
            <w:pPr>
              <w:rPr>
                <w:rFonts w:ascii="Calibri Light" w:hAnsi="Calibri Light" w:cs="Calibri Light"/>
                <w:color w:val="000000"/>
                <w:sz w:val="20"/>
                <w:szCs w:val="20"/>
              </w:rPr>
            </w:pPr>
            <w:r w:rsidRPr="002F7DF9">
              <w:rPr>
                <w:rFonts w:ascii="Calibri Light" w:hAnsi="Calibri Light" w:cs="Calibri Light"/>
                <w:color w:val="000000"/>
                <w:sz w:val="20"/>
                <w:szCs w:val="20"/>
              </w:rPr>
              <w:t>Shire of Mundaring</w:t>
            </w:r>
          </w:p>
          <w:p w:rsidR="00110106" w:rsidRPr="00213C3F" w:rsidRDefault="00110106" w:rsidP="00012209">
            <w:pPr>
              <w:rPr>
                <w:rFonts w:ascii="Calibri Light" w:hAnsi="Calibri Light" w:cs="Calibri Light"/>
                <w:sz w:val="20"/>
                <w:szCs w:val="20"/>
              </w:rPr>
            </w:pPr>
          </w:p>
        </w:tc>
        <w:tc>
          <w:tcPr>
            <w:tcW w:w="4961" w:type="dxa"/>
            <w:tcBorders>
              <w:bottom w:val="single" w:sz="4" w:space="0" w:color="auto"/>
            </w:tcBorders>
          </w:tcPr>
          <w:p w:rsidR="00110106" w:rsidRPr="00946B65" w:rsidRDefault="00110106" w:rsidP="00012209">
            <w:pPr>
              <w:rPr>
                <w:rFonts w:asciiTheme="majorHAnsi" w:hAnsiTheme="majorHAnsi" w:cstheme="majorHAnsi"/>
                <w:sz w:val="20"/>
                <w:szCs w:val="20"/>
              </w:rPr>
            </w:pPr>
            <w:r w:rsidRPr="002F7DF9">
              <w:rPr>
                <w:rFonts w:asciiTheme="majorHAnsi" w:hAnsiTheme="majorHAnsi" w:cstheme="majorHAnsi"/>
                <w:sz w:val="20"/>
                <w:szCs w:val="20"/>
              </w:rPr>
              <w:t>Mundaring Cultural Hub</w:t>
            </w:r>
          </w:p>
        </w:tc>
        <w:tc>
          <w:tcPr>
            <w:tcW w:w="6345" w:type="dxa"/>
            <w:tcBorders>
              <w:bottom w:val="single" w:sz="4" w:space="0" w:color="auto"/>
            </w:tcBorders>
          </w:tcPr>
          <w:p w:rsidR="00110106" w:rsidRDefault="00110106" w:rsidP="00012209">
            <w:pPr>
              <w:rPr>
                <w:rFonts w:asciiTheme="majorHAnsi" w:hAnsiTheme="majorHAnsi" w:cstheme="majorHAnsi"/>
                <w:sz w:val="20"/>
                <w:szCs w:val="20"/>
              </w:rPr>
            </w:pPr>
            <w:r w:rsidRPr="00D6256C">
              <w:rPr>
                <w:rFonts w:asciiTheme="majorHAnsi" w:hAnsiTheme="majorHAnsi" w:cstheme="majorHAnsi"/>
                <w:sz w:val="20"/>
                <w:szCs w:val="20"/>
              </w:rPr>
              <w:t xml:space="preserve">The project will </w:t>
            </w:r>
            <w:r>
              <w:rPr>
                <w:rFonts w:asciiTheme="majorHAnsi" w:hAnsiTheme="majorHAnsi" w:cstheme="majorHAnsi"/>
                <w:sz w:val="20"/>
                <w:szCs w:val="20"/>
              </w:rPr>
              <w:t>deliver a dynamic multi-purpose town centre community hub facility that integrates community services, including toy and library services, a visitor centre, museum, arts centre, flexible meeting and event spaces, fostering social, cultural cohesion and economic growth in the region.</w:t>
            </w:r>
          </w:p>
          <w:p w:rsidR="00110106" w:rsidRPr="00213C3F" w:rsidRDefault="00110106" w:rsidP="00012209">
            <w:pPr>
              <w:rPr>
                <w:rFonts w:asciiTheme="majorHAnsi" w:hAnsiTheme="majorHAnsi" w:cstheme="majorHAnsi"/>
                <w:sz w:val="20"/>
                <w:szCs w:val="20"/>
                <w:highlight w:val="yellow"/>
              </w:rPr>
            </w:pPr>
          </w:p>
        </w:tc>
        <w:tc>
          <w:tcPr>
            <w:tcW w:w="1751" w:type="dxa"/>
            <w:tcBorders>
              <w:bottom w:val="single" w:sz="4" w:space="0" w:color="auto"/>
            </w:tcBorders>
          </w:tcPr>
          <w:p w:rsidR="00110106" w:rsidRDefault="00110106" w:rsidP="00012209">
            <w:pPr>
              <w:rPr>
                <w:rFonts w:asciiTheme="majorHAnsi" w:hAnsiTheme="majorHAnsi" w:cstheme="majorHAnsi"/>
                <w:sz w:val="20"/>
                <w:szCs w:val="20"/>
              </w:rPr>
            </w:pPr>
          </w:p>
          <w:p w:rsidR="00110106" w:rsidRDefault="00110106" w:rsidP="00012209">
            <w:pPr>
              <w:rPr>
                <w:rFonts w:asciiTheme="majorHAnsi" w:hAnsiTheme="majorHAnsi" w:cstheme="majorHAnsi"/>
                <w:sz w:val="20"/>
                <w:szCs w:val="20"/>
              </w:rPr>
            </w:pPr>
          </w:p>
          <w:p w:rsidR="00110106" w:rsidRPr="000A20AB" w:rsidRDefault="00110106" w:rsidP="00012209">
            <w:pPr>
              <w:rPr>
                <w:rFonts w:asciiTheme="majorHAnsi" w:hAnsiTheme="majorHAnsi" w:cstheme="majorHAnsi"/>
                <w:sz w:val="20"/>
                <w:szCs w:val="20"/>
              </w:rPr>
            </w:pPr>
            <w:r>
              <w:rPr>
                <w:rFonts w:asciiTheme="majorHAnsi" w:hAnsiTheme="majorHAnsi" w:cstheme="majorHAnsi"/>
                <w:sz w:val="20"/>
                <w:szCs w:val="20"/>
              </w:rPr>
              <w:t>Mundaring</w:t>
            </w:r>
          </w:p>
        </w:tc>
        <w:tc>
          <w:tcPr>
            <w:tcW w:w="1123" w:type="dxa"/>
            <w:tcBorders>
              <w:bottom w:val="single" w:sz="4" w:space="0" w:color="auto"/>
            </w:tcBorders>
          </w:tcPr>
          <w:p w:rsidR="00110106" w:rsidRDefault="00110106" w:rsidP="00012209">
            <w:pPr>
              <w:jc w:val="center"/>
              <w:rPr>
                <w:rFonts w:asciiTheme="majorHAnsi" w:hAnsiTheme="majorHAnsi" w:cstheme="majorHAnsi"/>
                <w:sz w:val="20"/>
                <w:szCs w:val="20"/>
              </w:rPr>
            </w:pPr>
          </w:p>
          <w:p w:rsidR="00110106" w:rsidRDefault="00110106" w:rsidP="00012209">
            <w:pPr>
              <w:jc w:val="center"/>
              <w:rPr>
                <w:rFonts w:asciiTheme="majorHAnsi" w:hAnsiTheme="majorHAnsi" w:cstheme="majorHAnsi"/>
                <w:sz w:val="20"/>
                <w:szCs w:val="20"/>
              </w:rPr>
            </w:pPr>
          </w:p>
          <w:p w:rsidR="00110106" w:rsidRPr="00946B65" w:rsidRDefault="00110106" w:rsidP="00012209">
            <w:pPr>
              <w:jc w:val="center"/>
              <w:rPr>
                <w:rFonts w:asciiTheme="majorHAnsi" w:hAnsiTheme="majorHAnsi" w:cstheme="majorHAnsi"/>
                <w:sz w:val="20"/>
                <w:szCs w:val="20"/>
              </w:rPr>
            </w:pPr>
            <w:r>
              <w:rPr>
                <w:rFonts w:asciiTheme="majorHAnsi" w:hAnsiTheme="majorHAnsi" w:cstheme="majorHAnsi"/>
                <w:sz w:val="20"/>
                <w:szCs w:val="20"/>
              </w:rPr>
              <w:t>WA</w:t>
            </w:r>
          </w:p>
        </w:tc>
        <w:tc>
          <w:tcPr>
            <w:tcW w:w="1501" w:type="dxa"/>
            <w:tcBorders>
              <w:bottom w:val="single" w:sz="4" w:space="0" w:color="auto"/>
            </w:tcBorders>
          </w:tcPr>
          <w:p w:rsidR="00110106" w:rsidRDefault="00110106" w:rsidP="00012209">
            <w:pPr>
              <w:jc w:val="right"/>
              <w:rPr>
                <w:rFonts w:asciiTheme="majorHAnsi" w:hAnsiTheme="majorHAnsi" w:cstheme="majorHAnsi"/>
                <w:sz w:val="20"/>
                <w:szCs w:val="20"/>
              </w:rPr>
            </w:pPr>
          </w:p>
          <w:p w:rsidR="00110106" w:rsidRDefault="00110106" w:rsidP="00012209">
            <w:pPr>
              <w:jc w:val="right"/>
              <w:rPr>
                <w:rFonts w:asciiTheme="majorHAnsi" w:hAnsiTheme="majorHAnsi" w:cstheme="majorHAnsi"/>
                <w:sz w:val="20"/>
                <w:szCs w:val="20"/>
              </w:rPr>
            </w:pPr>
          </w:p>
          <w:p w:rsidR="00110106" w:rsidRPr="00946B65" w:rsidRDefault="00110106" w:rsidP="00012209">
            <w:pPr>
              <w:jc w:val="right"/>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15,000,000</w:t>
            </w:r>
          </w:p>
          <w:p w:rsidR="00110106" w:rsidRPr="00946B65" w:rsidRDefault="00110106" w:rsidP="00012209">
            <w:pPr>
              <w:jc w:val="right"/>
              <w:rPr>
                <w:rFonts w:asciiTheme="majorHAnsi" w:hAnsiTheme="majorHAnsi" w:cstheme="majorHAnsi"/>
                <w:sz w:val="20"/>
                <w:szCs w:val="20"/>
              </w:rPr>
            </w:pPr>
          </w:p>
        </w:tc>
      </w:tr>
    </w:tbl>
    <w:p w:rsidR="00EC2D88" w:rsidRDefault="00012209">
      <w:r>
        <w:br w:type="textWrapping" w:clear="all"/>
      </w:r>
    </w:p>
    <w:sectPr w:rsidR="00EC2D88" w:rsidSect="00012209">
      <w:headerReference w:type="default" r:id="rId6"/>
      <w:footerReference w:type="default" r:id="rId7"/>
      <w:footerReference w:type="first" r:id="rId8"/>
      <w:pgSz w:w="23811" w:h="16838" w:orient="landscape" w:code="8"/>
      <w:pgMar w:top="284"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66F" w:rsidRDefault="00C0366F" w:rsidP="008C5E42">
      <w:pPr>
        <w:spacing w:after="0" w:line="240" w:lineRule="auto"/>
      </w:pPr>
      <w:r>
        <w:separator/>
      </w:r>
    </w:p>
  </w:endnote>
  <w:endnote w:type="continuationSeparator" w:id="0">
    <w:p w:rsidR="00C0366F" w:rsidRDefault="00C0366F" w:rsidP="008C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830342"/>
      <w:docPartObj>
        <w:docPartGallery w:val="Page Numbers (Bottom of Page)"/>
        <w:docPartUnique/>
      </w:docPartObj>
    </w:sdtPr>
    <w:sdtEndPr>
      <w:rPr>
        <w:noProof/>
      </w:rPr>
    </w:sdtEndPr>
    <w:sdtContent>
      <w:p w:rsidR="008C5E42" w:rsidRDefault="008C5E42" w:rsidP="008C5E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C5E42" w:rsidRDefault="008C5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5521"/>
      <w:docPartObj>
        <w:docPartGallery w:val="Page Numbers (Bottom of Page)"/>
        <w:docPartUnique/>
      </w:docPartObj>
    </w:sdtPr>
    <w:sdtEndPr>
      <w:rPr>
        <w:noProof/>
      </w:rPr>
    </w:sdtEndPr>
    <w:sdtContent>
      <w:p w:rsidR="003D1ACB" w:rsidRDefault="003D1A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D1ACB" w:rsidRDefault="003D1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66F" w:rsidRDefault="00C0366F" w:rsidP="008C5E42">
      <w:pPr>
        <w:spacing w:after="0" w:line="240" w:lineRule="auto"/>
      </w:pPr>
      <w:r>
        <w:separator/>
      </w:r>
    </w:p>
  </w:footnote>
  <w:footnote w:type="continuationSeparator" w:id="0">
    <w:p w:rsidR="00C0366F" w:rsidRDefault="00C0366F" w:rsidP="008C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209" w:rsidRDefault="00012209" w:rsidP="00012209">
    <w:pPr>
      <w:pStyle w:val="Title"/>
      <w:rPr>
        <w:color w:val="2E74B5" w:themeColor="accent5" w:themeShade="BF"/>
        <w:sz w:val="28"/>
      </w:rPr>
    </w:pPr>
  </w:p>
  <w:p w:rsidR="00012209" w:rsidRDefault="00012209" w:rsidP="00012209">
    <w:pPr>
      <w:pStyle w:val="Title"/>
      <w:rPr>
        <w:color w:val="2E74B5" w:themeColor="accent5" w:themeShade="BF"/>
        <w:sz w:val="28"/>
      </w:rPr>
    </w:pPr>
    <w:r>
      <w:rPr>
        <w:color w:val="2E74B5" w:themeColor="accent5" w:themeShade="BF"/>
        <w:sz w:val="28"/>
      </w:rPr>
      <w:t>Western Australia</w:t>
    </w:r>
    <w:r w:rsidRPr="00E93430">
      <w:rPr>
        <w:color w:val="2E74B5" w:themeColor="accent5" w:themeShade="BF"/>
        <w:sz w:val="28"/>
      </w:rPr>
      <w:t xml:space="preserve"> – </w:t>
    </w:r>
    <w:r w:rsidR="004C3EA5">
      <w:rPr>
        <w:color w:val="2E74B5" w:themeColor="accent5" w:themeShade="BF"/>
        <w:sz w:val="28"/>
      </w:rPr>
      <w:t xml:space="preserve">Thriving Suburbs Program Projects </w:t>
    </w:r>
    <w:r w:rsidRPr="00E93430">
      <w:rPr>
        <w:color w:val="2E74B5" w:themeColor="accent5" w:themeShade="BF"/>
        <w:sz w:val="28"/>
      </w:rPr>
      <w:t>as at 2/1</w:t>
    </w:r>
    <w:r w:rsidR="004C3EA5">
      <w:rPr>
        <w:color w:val="2E74B5" w:themeColor="accent5" w:themeShade="BF"/>
        <w:sz w:val="28"/>
      </w:rPr>
      <w:t>2</w:t>
    </w:r>
    <w:r w:rsidRPr="00E93430">
      <w:rPr>
        <w:color w:val="2E74B5" w:themeColor="accent5" w:themeShade="BF"/>
        <w:sz w:val="28"/>
      </w:rPr>
      <w:t>/2024</w:t>
    </w:r>
  </w:p>
  <w:p w:rsidR="008C5E42" w:rsidRDefault="008C5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73"/>
    <w:rsid w:val="00012209"/>
    <w:rsid w:val="000722F4"/>
    <w:rsid w:val="000A20AB"/>
    <w:rsid w:val="000A2ECD"/>
    <w:rsid w:val="000B7644"/>
    <w:rsid w:val="000C2A5B"/>
    <w:rsid w:val="00110106"/>
    <w:rsid w:val="001309EC"/>
    <w:rsid w:val="00164C0D"/>
    <w:rsid w:val="001A2430"/>
    <w:rsid w:val="001D7ADD"/>
    <w:rsid w:val="00202D83"/>
    <w:rsid w:val="00213C3F"/>
    <w:rsid w:val="00220DAE"/>
    <w:rsid w:val="002900AA"/>
    <w:rsid w:val="00290538"/>
    <w:rsid w:val="002D3B47"/>
    <w:rsid w:val="002F7DF9"/>
    <w:rsid w:val="00324663"/>
    <w:rsid w:val="00342D1D"/>
    <w:rsid w:val="003D1ACB"/>
    <w:rsid w:val="00424A86"/>
    <w:rsid w:val="00442272"/>
    <w:rsid w:val="00452A94"/>
    <w:rsid w:val="004B2780"/>
    <w:rsid w:val="004B6627"/>
    <w:rsid w:val="004C3EA5"/>
    <w:rsid w:val="005309B9"/>
    <w:rsid w:val="005A542C"/>
    <w:rsid w:val="005C5673"/>
    <w:rsid w:val="005D7BE2"/>
    <w:rsid w:val="005F284E"/>
    <w:rsid w:val="00610A26"/>
    <w:rsid w:val="006319F2"/>
    <w:rsid w:val="00650374"/>
    <w:rsid w:val="00661374"/>
    <w:rsid w:val="00663624"/>
    <w:rsid w:val="00663784"/>
    <w:rsid w:val="006650C9"/>
    <w:rsid w:val="006E2B0F"/>
    <w:rsid w:val="00740CC9"/>
    <w:rsid w:val="007458ED"/>
    <w:rsid w:val="00752D57"/>
    <w:rsid w:val="00760D7C"/>
    <w:rsid w:val="0077069D"/>
    <w:rsid w:val="007A2220"/>
    <w:rsid w:val="007B221F"/>
    <w:rsid w:val="007B45C6"/>
    <w:rsid w:val="007C4C81"/>
    <w:rsid w:val="00800918"/>
    <w:rsid w:val="00802B53"/>
    <w:rsid w:val="0084391A"/>
    <w:rsid w:val="00844FFD"/>
    <w:rsid w:val="008500EF"/>
    <w:rsid w:val="008676C4"/>
    <w:rsid w:val="008A0C75"/>
    <w:rsid w:val="008C1A50"/>
    <w:rsid w:val="008C5E42"/>
    <w:rsid w:val="00922E7E"/>
    <w:rsid w:val="00932E85"/>
    <w:rsid w:val="0093650E"/>
    <w:rsid w:val="00946B65"/>
    <w:rsid w:val="0095240C"/>
    <w:rsid w:val="00992C78"/>
    <w:rsid w:val="009D0EEF"/>
    <w:rsid w:val="009F6477"/>
    <w:rsid w:val="00A41186"/>
    <w:rsid w:val="00A93ED8"/>
    <w:rsid w:val="00A969DE"/>
    <w:rsid w:val="00AC0576"/>
    <w:rsid w:val="00BB212F"/>
    <w:rsid w:val="00BD6C17"/>
    <w:rsid w:val="00BE2191"/>
    <w:rsid w:val="00BF1A0E"/>
    <w:rsid w:val="00BF3EB0"/>
    <w:rsid w:val="00C0366F"/>
    <w:rsid w:val="00C55924"/>
    <w:rsid w:val="00C7471A"/>
    <w:rsid w:val="00C81FE0"/>
    <w:rsid w:val="00C84AAA"/>
    <w:rsid w:val="00C94ED1"/>
    <w:rsid w:val="00CC78D1"/>
    <w:rsid w:val="00CD6AFB"/>
    <w:rsid w:val="00CE2EC2"/>
    <w:rsid w:val="00D6256C"/>
    <w:rsid w:val="00D861D5"/>
    <w:rsid w:val="00D9371E"/>
    <w:rsid w:val="00E133FB"/>
    <w:rsid w:val="00EA6C0E"/>
    <w:rsid w:val="00EB643F"/>
    <w:rsid w:val="00EC2D88"/>
    <w:rsid w:val="00ED430C"/>
    <w:rsid w:val="00F11A88"/>
    <w:rsid w:val="00F20563"/>
    <w:rsid w:val="00F46278"/>
    <w:rsid w:val="00F7226D"/>
    <w:rsid w:val="00FF58BD"/>
    <w:rsid w:val="00FF7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8E7CE3-7F9B-4861-AD06-EFE27DA2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0C"/>
    <w:rPr>
      <w:rFonts w:ascii="Segoe UI" w:hAnsi="Segoe UI" w:cs="Segoe UI"/>
      <w:sz w:val="18"/>
      <w:szCs w:val="18"/>
    </w:rPr>
  </w:style>
  <w:style w:type="paragraph" w:styleId="Header">
    <w:name w:val="header"/>
    <w:basedOn w:val="Normal"/>
    <w:link w:val="HeaderChar"/>
    <w:uiPriority w:val="99"/>
    <w:unhideWhenUsed/>
    <w:rsid w:val="008C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E42"/>
  </w:style>
  <w:style w:type="paragraph" w:styleId="Footer">
    <w:name w:val="footer"/>
    <w:basedOn w:val="Normal"/>
    <w:link w:val="FooterChar"/>
    <w:uiPriority w:val="99"/>
    <w:unhideWhenUsed/>
    <w:rsid w:val="008C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E42"/>
  </w:style>
  <w:style w:type="paragraph" w:styleId="Title">
    <w:name w:val="Title"/>
    <w:basedOn w:val="Normal"/>
    <w:next w:val="Normal"/>
    <w:link w:val="TitleChar"/>
    <w:uiPriority w:val="10"/>
    <w:qFormat/>
    <w:rsid w:val="002905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53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E2B0F"/>
    <w:rPr>
      <w:sz w:val="16"/>
      <w:szCs w:val="16"/>
    </w:rPr>
  </w:style>
  <w:style w:type="paragraph" w:styleId="CommentText">
    <w:name w:val="annotation text"/>
    <w:basedOn w:val="Normal"/>
    <w:link w:val="CommentTextChar"/>
    <w:uiPriority w:val="99"/>
    <w:semiHidden/>
    <w:unhideWhenUsed/>
    <w:rsid w:val="006E2B0F"/>
    <w:pPr>
      <w:spacing w:line="240" w:lineRule="auto"/>
    </w:pPr>
    <w:rPr>
      <w:sz w:val="20"/>
      <w:szCs w:val="20"/>
    </w:rPr>
  </w:style>
  <w:style w:type="character" w:customStyle="1" w:styleId="CommentTextChar">
    <w:name w:val="Comment Text Char"/>
    <w:basedOn w:val="DefaultParagraphFont"/>
    <w:link w:val="CommentText"/>
    <w:uiPriority w:val="99"/>
    <w:semiHidden/>
    <w:rsid w:val="006E2B0F"/>
    <w:rPr>
      <w:sz w:val="20"/>
      <w:szCs w:val="20"/>
    </w:rPr>
  </w:style>
  <w:style w:type="paragraph" w:styleId="CommentSubject">
    <w:name w:val="annotation subject"/>
    <w:basedOn w:val="CommentText"/>
    <w:next w:val="CommentText"/>
    <w:link w:val="CommentSubjectChar"/>
    <w:uiPriority w:val="99"/>
    <w:semiHidden/>
    <w:unhideWhenUsed/>
    <w:rsid w:val="006E2B0F"/>
    <w:rPr>
      <w:b/>
      <w:bCs/>
    </w:rPr>
  </w:style>
  <w:style w:type="character" w:customStyle="1" w:styleId="CommentSubjectChar">
    <w:name w:val="Comment Subject Char"/>
    <w:basedOn w:val="CommentTextChar"/>
    <w:link w:val="CommentSubject"/>
    <w:uiPriority w:val="99"/>
    <w:semiHidden/>
    <w:rsid w:val="006E2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262">
      <w:bodyDiv w:val="1"/>
      <w:marLeft w:val="0"/>
      <w:marRight w:val="0"/>
      <w:marTop w:val="0"/>
      <w:marBottom w:val="0"/>
      <w:divBdr>
        <w:top w:val="none" w:sz="0" w:space="0" w:color="auto"/>
        <w:left w:val="none" w:sz="0" w:space="0" w:color="auto"/>
        <w:bottom w:val="none" w:sz="0" w:space="0" w:color="auto"/>
        <w:right w:val="none" w:sz="0" w:space="0" w:color="auto"/>
      </w:divBdr>
    </w:div>
    <w:div w:id="23292225">
      <w:bodyDiv w:val="1"/>
      <w:marLeft w:val="0"/>
      <w:marRight w:val="0"/>
      <w:marTop w:val="0"/>
      <w:marBottom w:val="0"/>
      <w:divBdr>
        <w:top w:val="none" w:sz="0" w:space="0" w:color="auto"/>
        <w:left w:val="none" w:sz="0" w:space="0" w:color="auto"/>
        <w:bottom w:val="none" w:sz="0" w:space="0" w:color="auto"/>
        <w:right w:val="none" w:sz="0" w:space="0" w:color="auto"/>
      </w:divBdr>
    </w:div>
    <w:div w:id="78210228">
      <w:bodyDiv w:val="1"/>
      <w:marLeft w:val="0"/>
      <w:marRight w:val="0"/>
      <w:marTop w:val="0"/>
      <w:marBottom w:val="0"/>
      <w:divBdr>
        <w:top w:val="none" w:sz="0" w:space="0" w:color="auto"/>
        <w:left w:val="none" w:sz="0" w:space="0" w:color="auto"/>
        <w:bottom w:val="none" w:sz="0" w:space="0" w:color="auto"/>
        <w:right w:val="none" w:sz="0" w:space="0" w:color="auto"/>
      </w:divBdr>
    </w:div>
    <w:div w:id="91824327">
      <w:bodyDiv w:val="1"/>
      <w:marLeft w:val="0"/>
      <w:marRight w:val="0"/>
      <w:marTop w:val="0"/>
      <w:marBottom w:val="0"/>
      <w:divBdr>
        <w:top w:val="none" w:sz="0" w:space="0" w:color="auto"/>
        <w:left w:val="none" w:sz="0" w:space="0" w:color="auto"/>
        <w:bottom w:val="none" w:sz="0" w:space="0" w:color="auto"/>
        <w:right w:val="none" w:sz="0" w:space="0" w:color="auto"/>
      </w:divBdr>
    </w:div>
    <w:div w:id="105538878">
      <w:bodyDiv w:val="1"/>
      <w:marLeft w:val="0"/>
      <w:marRight w:val="0"/>
      <w:marTop w:val="0"/>
      <w:marBottom w:val="0"/>
      <w:divBdr>
        <w:top w:val="none" w:sz="0" w:space="0" w:color="auto"/>
        <w:left w:val="none" w:sz="0" w:space="0" w:color="auto"/>
        <w:bottom w:val="none" w:sz="0" w:space="0" w:color="auto"/>
        <w:right w:val="none" w:sz="0" w:space="0" w:color="auto"/>
      </w:divBdr>
    </w:div>
    <w:div w:id="119540473">
      <w:bodyDiv w:val="1"/>
      <w:marLeft w:val="0"/>
      <w:marRight w:val="0"/>
      <w:marTop w:val="0"/>
      <w:marBottom w:val="0"/>
      <w:divBdr>
        <w:top w:val="none" w:sz="0" w:space="0" w:color="auto"/>
        <w:left w:val="none" w:sz="0" w:space="0" w:color="auto"/>
        <w:bottom w:val="none" w:sz="0" w:space="0" w:color="auto"/>
        <w:right w:val="none" w:sz="0" w:space="0" w:color="auto"/>
      </w:divBdr>
    </w:div>
    <w:div w:id="138153558">
      <w:bodyDiv w:val="1"/>
      <w:marLeft w:val="0"/>
      <w:marRight w:val="0"/>
      <w:marTop w:val="0"/>
      <w:marBottom w:val="0"/>
      <w:divBdr>
        <w:top w:val="none" w:sz="0" w:space="0" w:color="auto"/>
        <w:left w:val="none" w:sz="0" w:space="0" w:color="auto"/>
        <w:bottom w:val="none" w:sz="0" w:space="0" w:color="auto"/>
        <w:right w:val="none" w:sz="0" w:space="0" w:color="auto"/>
      </w:divBdr>
    </w:div>
    <w:div w:id="166409600">
      <w:bodyDiv w:val="1"/>
      <w:marLeft w:val="0"/>
      <w:marRight w:val="0"/>
      <w:marTop w:val="0"/>
      <w:marBottom w:val="0"/>
      <w:divBdr>
        <w:top w:val="none" w:sz="0" w:space="0" w:color="auto"/>
        <w:left w:val="none" w:sz="0" w:space="0" w:color="auto"/>
        <w:bottom w:val="none" w:sz="0" w:space="0" w:color="auto"/>
        <w:right w:val="none" w:sz="0" w:space="0" w:color="auto"/>
      </w:divBdr>
    </w:div>
    <w:div w:id="220142961">
      <w:bodyDiv w:val="1"/>
      <w:marLeft w:val="0"/>
      <w:marRight w:val="0"/>
      <w:marTop w:val="0"/>
      <w:marBottom w:val="0"/>
      <w:divBdr>
        <w:top w:val="none" w:sz="0" w:space="0" w:color="auto"/>
        <w:left w:val="none" w:sz="0" w:space="0" w:color="auto"/>
        <w:bottom w:val="none" w:sz="0" w:space="0" w:color="auto"/>
        <w:right w:val="none" w:sz="0" w:space="0" w:color="auto"/>
      </w:divBdr>
    </w:div>
    <w:div w:id="221674373">
      <w:bodyDiv w:val="1"/>
      <w:marLeft w:val="0"/>
      <w:marRight w:val="0"/>
      <w:marTop w:val="0"/>
      <w:marBottom w:val="0"/>
      <w:divBdr>
        <w:top w:val="none" w:sz="0" w:space="0" w:color="auto"/>
        <w:left w:val="none" w:sz="0" w:space="0" w:color="auto"/>
        <w:bottom w:val="none" w:sz="0" w:space="0" w:color="auto"/>
        <w:right w:val="none" w:sz="0" w:space="0" w:color="auto"/>
      </w:divBdr>
    </w:div>
    <w:div w:id="248538393">
      <w:bodyDiv w:val="1"/>
      <w:marLeft w:val="0"/>
      <w:marRight w:val="0"/>
      <w:marTop w:val="0"/>
      <w:marBottom w:val="0"/>
      <w:divBdr>
        <w:top w:val="none" w:sz="0" w:space="0" w:color="auto"/>
        <w:left w:val="none" w:sz="0" w:space="0" w:color="auto"/>
        <w:bottom w:val="none" w:sz="0" w:space="0" w:color="auto"/>
        <w:right w:val="none" w:sz="0" w:space="0" w:color="auto"/>
      </w:divBdr>
    </w:div>
    <w:div w:id="321936351">
      <w:bodyDiv w:val="1"/>
      <w:marLeft w:val="0"/>
      <w:marRight w:val="0"/>
      <w:marTop w:val="0"/>
      <w:marBottom w:val="0"/>
      <w:divBdr>
        <w:top w:val="none" w:sz="0" w:space="0" w:color="auto"/>
        <w:left w:val="none" w:sz="0" w:space="0" w:color="auto"/>
        <w:bottom w:val="none" w:sz="0" w:space="0" w:color="auto"/>
        <w:right w:val="none" w:sz="0" w:space="0" w:color="auto"/>
      </w:divBdr>
    </w:div>
    <w:div w:id="328295056">
      <w:bodyDiv w:val="1"/>
      <w:marLeft w:val="0"/>
      <w:marRight w:val="0"/>
      <w:marTop w:val="0"/>
      <w:marBottom w:val="0"/>
      <w:divBdr>
        <w:top w:val="none" w:sz="0" w:space="0" w:color="auto"/>
        <w:left w:val="none" w:sz="0" w:space="0" w:color="auto"/>
        <w:bottom w:val="none" w:sz="0" w:space="0" w:color="auto"/>
        <w:right w:val="none" w:sz="0" w:space="0" w:color="auto"/>
      </w:divBdr>
    </w:div>
    <w:div w:id="347635405">
      <w:bodyDiv w:val="1"/>
      <w:marLeft w:val="0"/>
      <w:marRight w:val="0"/>
      <w:marTop w:val="0"/>
      <w:marBottom w:val="0"/>
      <w:divBdr>
        <w:top w:val="none" w:sz="0" w:space="0" w:color="auto"/>
        <w:left w:val="none" w:sz="0" w:space="0" w:color="auto"/>
        <w:bottom w:val="none" w:sz="0" w:space="0" w:color="auto"/>
        <w:right w:val="none" w:sz="0" w:space="0" w:color="auto"/>
      </w:divBdr>
    </w:div>
    <w:div w:id="371003653">
      <w:bodyDiv w:val="1"/>
      <w:marLeft w:val="0"/>
      <w:marRight w:val="0"/>
      <w:marTop w:val="0"/>
      <w:marBottom w:val="0"/>
      <w:divBdr>
        <w:top w:val="none" w:sz="0" w:space="0" w:color="auto"/>
        <w:left w:val="none" w:sz="0" w:space="0" w:color="auto"/>
        <w:bottom w:val="none" w:sz="0" w:space="0" w:color="auto"/>
        <w:right w:val="none" w:sz="0" w:space="0" w:color="auto"/>
      </w:divBdr>
    </w:div>
    <w:div w:id="441727959">
      <w:bodyDiv w:val="1"/>
      <w:marLeft w:val="0"/>
      <w:marRight w:val="0"/>
      <w:marTop w:val="0"/>
      <w:marBottom w:val="0"/>
      <w:divBdr>
        <w:top w:val="none" w:sz="0" w:space="0" w:color="auto"/>
        <w:left w:val="none" w:sz="0" w:space="0" w:color="auto"/>
        <w:bottom w:val="none" w:sz="0" w:space="0" w:color="auto"/>
        <w:right w:val="none" w:sz="0" w:space="0" w:color="auto"/>
      </w:divBdr>
    </w:div>
    <w:div w:id="456338409">
      <w:bodyDiv w:val="1"/>
      <w:marLeft w:val="0"/>
      <w:marRight w:val="0"/>
      <w:marTop w:val="0"/>
      <w:marBottom w:val="0"/>
      <w:divBdr>
        <w:top w:val="none" w:sz="0" w:space="0" w:color="auto"/>
        <w:left w:val="none" w:sz="0" w:space="0" w:color="auto"/>
        <w:bottom w:val="none" w:sz="0" w:space="0" w:color="auto"/>
        <w:right w:val="none" w:sz="0" w:space="0" w:color="auto"/>
      </w:divBdr>
    </w:div>
    <w:div w:id="475340873">
      <w:bodyDiv w:val="1"/>
      <w:marLeft w:val="0"/>
      <w:marRight w:val="0"/>
      <w:marTop w:val="0"/>
      <w:marBottom w:val="0"/>
      <w:divBdr>
        <w:top w:val="none" w:sz="0" w:space="0" w:color="auto"/>
        <w:left w:val="none" w:sz="0" w:space="0" w:color="auto"/>
        <w:bottom w:val="none" w:sz="0" w:space="0" w:color="auto"/>
        <w:right w:val="none" w:sz="0" w:space="0" w:color="auto"/>
      </w:divBdr>
    </w:div>
    <w:div w:id="498808034">
      <w:bodyDiv w:val="1"/>
      <w:marLeft w:val="0"/>
      <w:marRight w:val="0"/>
      <w:marTop w:val="0"/>
      <w:marBottom w:val="0"/>
      <w:divBdr>
        <w:top w:val="none" w:sz="0" w:space="0" w:color="auto"/>
        <w:left w:val="none" w:sz="0" w:space="0" w:color="auto"/>
        <w:bottom w:val="none" w:sz="0" w:space="0" w:color="auto"/>
        <w:right w:val="none" w:sz="0" w:space="0" w:color="auto"/>
      </w:divBdr>
    </w:div>
    <w:div w:id="617225303">
      <w:bodyDiv w:val="1"/>
      <w:marLeft w:val="0"/>
      <w:marRight w:val="0"/>
      <w:marTop w:val="0"/>
      <w:marBottom w:val="0"/>
      <w:divBdr>
        <w:top w:val="none" w:sz="0" w:space="0" w:color="auto"/>
        <w:left w:val="none" w:sz="0" w:space="0" w:color="auto"/>
        <w:bottom w:val="none" w:sz="0" w:space="0" w:color="auto"/>
        <w:right w:val="none" w:sz="0" w:space="0" w:color="auto"/>
      </w:divBdr>
    </w:div>
    <w:div w:id="632489473">
      <w:bodyDiv w:val="1"/>
      <w:marLeft w:val="0"/>
      <w:marRight w:val="0"/>
      <w:marTop w:val="0"/>
      <w:marBottom w:val="0"/>
      <w:divBdr>
        <w:top w:val="none" w:sz="0" w:space="0" w:color="auto"/>
        <w:left w:val="none" w:sz="0" w:space="0" w:color="auto"/>
        <w:bottom w:val="none" w:sz="0" w:space="0" w:color="auto"/>
        <w:right w:val="none" w:sz="0" w:space="0" w:color="auto"/>
      </w:divBdr>
    </w:div>
    <w:div w:id="674696096">
      <w:bodyDiv w:val="1"/>
      <w:marLeft w:val="0"/>
      <w:marRight w:val="0"/>
      <w:marTop w:val="0"/>
      <w:marBottom w:val="0"/>
      <w:divBdr>
        <w:top w:val="none" w:sz="0" w:space="0" w:color="auto"/>
        <w:left w:val="none" w:sz="0" w:space="0" w:color="auto"/>
        <w:bottom w:val="none" w:sz="0" w:space="0" w:color="auto"/>
        <w:right w:val="none" w:sz="0" w:space="0" w:color="auto"/>
      </w:divBdr>
    </w:div>
    <w:div w:id="807434331">
      <w:bodyDiv w:val="1"/>
      <w:marLeft w:val="0"/>
      <w:marRight w:val="0"/>
      <w:marTop w:val="0"/>
      <w:marBottom w:val="0"/>
      <w:divBdr>
        <w:top w:val="none" w:sz="0" w:space="0" w:color="auto"/>
        <w:left w:val="none" w:sz="0" w:space="0" w:color="auto"/>
        <w:bottom w:val="none" w:sz="0" w:space="0" w:color="auto"/>
        <w:right w:val="none" w:sz="0" w:space="0" w:color="auto"/>
      </w:divBdr>
    </w:div>
    <w:div w:id="826433728">
      <w:bodyDiv w:val="1"/>
      <w:marLeft w:val="0"/>
      <w:marRight w:val="0"/>
      <w:marTop w:val="0"/>
      <w:marBottom w:val="0"/>
      <w:divBdr>
        <w:top w:val="none" w:sz="0" w:space="0" w:color="auto"/>
        <w:left w:val="none" w:sz="0" w:space="0" w:color="auto"/>
        <w:bottom w:val="none" w:sz="0" w:space="0" w:color="auto"/>
        <w:right w:val="none" w:sz="0" w:space="0" w:color="auto"/>
      </w:divBdr>
    </w:div>
    <w:div w:id="965742724">
      <w:bodyDiv w:val="1"/>
      <w:marLeft w:val="0"/>
      <w:marRight w:val="0"/>
      <w:marTop w:val="0"/>
      <w:marBottom w:val="0"/>
      <w:divBdr>
        <w:top w:val="none" w:sz="0" w:space="0" w:color="auto"/>
        <w:left w:val="none" w:sz="0" w:space="0" w:color="auto"/>
        <w:bottom w:val="none" w:sz="0" w:space="0" w:color="auto"/>
        <w:right w:val="none" w:sz="0" w:space="0" w:color="auto"/>
      </w:divBdr>
    </w:div>
    <w:div w:id="1155999258">
      <w:bodyDiv w:val="1"/>
      <w:marLeft w:val="0"/>
      <w:marRight w:val="0"/>
      <w:marTop w:val="0"/>
      <w:marBottom w:val="0"/>
      <w:divBdr>
        <w:top w:val="none" w:sz="0" w:space="0" w:color="auto"/>
        <w:left w:val="none" w:sz="0" w:space="0" w:color="auto"/>
        <w:bottom w:val="none" w:sz="0" w:space="0" w:color="auto"/>
        <w:right w:val="none" w:sz="0" w:space="0" w:color="auto"/>
      </w:divBdr>
    </w:div>
    <w:div w:id="1195582488">
      <w:bodyDiv w:val="1"/>
      <w:marLeft w:val="0"/>
      <w:marRight w:val="0"/>
      <w:marTop w:val="0"/>
      <w:marBottom w:val="0"/>
      <w:divBdr>
        <w:top w:val="none" w:sz="0" w:space="0" w:color="auto"/>
        <w:left w:val="none" w:sz="0" w:space="0" w:color="auto"/>
        <w:bottom w:val="none" w:sz="0" w:space="0" w:color="auto"/>
        <w:right w:val="none" w:sz="0" w:space="0" w:color="auto"/>
      </w:divBdr>
    </w:div>
    <w:div w:id="1220434628">
      <w:bodyDiv w:val="1"/>
      <w:marLeft w:val="0"/>
      <w:marRight w:val="0"/>
      <w:marTop w:val="0"/>
      <w:marBottom w:val="0"/>
      <w:divBdr>
        <w:top w:val="none" w:sz="0" w:space="0" w:color="auto"/>
        <w:left w:val="none" w:sz="0" w:space="0" w:color="auto"/>
        <w:bottom w:val="none" w:sz="0" w:space="0" w:color="auto"/>
        <w:right w:val="none" w:sz="0" w:space="0" w:color="auto"/>
      </w:divBdr>
    </w:div>
    <w:div w:id="1290942194">
      <w:bodyDiv w:val="1"/>
      <w:marLeft w:val="0"/>
      <w:marRight w:val="0"/>
      <w:marTop w:val="0"/>
      <w:marBottom w:val="0"/>
      <w:divBdr>
        <w:top w:val="none" w:sz="0" w:space="0" w:color="auto"/>
        <w:left w:val="none" w:sz="0" w:space="0" w:color="auto"/>
        <w:bottom w:val="none" w:sz="0" w:space="0" w:color="auto"/>
        <w:right w:val="none" w:sz="0" w:space="0" w:color="auto"/>
      </w:divBdr>
    </w:div>
    <w:div w:id="1297758583">
      <w:bodyDiv w:val="1"/>
      <w:marLeft w:val="0"/>
      <w:marRight w:val="0"/>
      <w:marTop w:val="0"/>
      <w:marBottom w:val="0"/>
      <w:divBdr>
        <w:top w:val="none" w:sz="0" w:space="0" w:color="auto"/>
        <w:left w:val="none" w:sz="0" w:space="0" w:color="auto"/>
        <w:bottom w:val="none" w:sz="0" w:space="0" w:color="auto"/>
        <w:right w:val="none" w:sz="0" w:space="0" w:color="auto"/>
      </w:divBdr>
    </w:div>
    <w:div w:id="1516841393">
      <w:bodyDiv w:val="1"/>
      <w:marLeft w:val="0"/>
      <w:marRight w:val="0"/>
      <w:marTop w:val="0"/>
      <w:marBottom w:val="0"/>
      <w:divBdr>
        <w:top w:val="none" w:sz="0" w:space="0" w:color="auto"/>
        <w:left w:val="none" w:sz="0" w:space="0" w:color="auto"/>
        <w:bottom w:val="none" w:sz="0" w:space="0" w:color="auto"/>
        <w:right w:val="none" w:sz="0" w:space="0" w:color="auto"/>
      </w:divBdr>
    </w:div>
    <w:div w:id="1519464395">
      <w:bodyDiv w:val="1"/>
      <w:marLeft w:val="0"/>
      <w:marRight w:val="0"/>
      <w:marTop w:val="0"/>
      <w:marBottom w:val="0"/>
      <w:divBdr>
        <w:top w:val="none" w:sz="0" w:space="0" w:color="auto"/>
        <w:left w:val="none" w:sz="0" w:space="0" w:color="auto"/>
        <w:bottom w:val="none" w:sz="0" w:space="0" w:color="auto"/>
        <w:right w:val="none" w:sz="0" w:space="0" w:color="auto"/>
      </w:divBdr>
    </w:div>
    <w:div w:id="1675952987">
      <w:bodyDiv w:val="1"/>
      <w:marLeft w:val="0"/>
      <w:marRight w:val="0"/>
      <w:marTop w:val="0"/>
      <w:marBottom w:val="0"/>
      <w:divBdr>
        <w:top w:val="none" w:sz="0" w:space="0" w:color="auto"/>
        <w:left w:val="none" w:sz="0" w:space="0" w:color="auto"/>
        <w:bottom w:val="none" w:sz="0" w:space="0" w:color="auto"/>
        <w:right w:val="none" w:sz="0" w:space="0" w:color="auto"/>
      </w:divBdr>
    </w:div>
    <w:div w:id="1695110947">
      <w:bodyDiv w:val="1"/>
      <w:marLeft w:val="0"/>
      <w:marRight w:val="0"/>
      <w:marTop w:val="0"/>
      <w:marBottom w:val="0"/>
      <w:divBdr>
        <w:top w:val="none" w:sz="0" w:space="0" w:color="auto"/>
        <w:left w:val="none" w:sz="0" w:space="0" w:color="auto"/>
        <w:bottom w:val="none" w:sz="0" w:space="0" w:color="auto"/>
        <w:right w:val="none" w:sz="0" w:space="0" w:color="auto"/>
      </w:divBdr>
    </w:div>
    <w:div w:id="1738093749">
      <w:bodyDiv w:val="1"/>
      <w:marLeft w:val="0"/>
      <w:marRight w:val="0"/>
      <w:marTop w:val="0"/>
      <w:marBottom w:val="0"/>
      <w:divBdr>
        <w:top w:val="none" w:sz="0" w:space="0" w:color="auto"/>
        <w:left w:val="none" w:sz="0" w:space="0" w:color="auto"/>
        <w:bottom w:val="none" w:sz="0" w:space="0" w:color="auto"/>
        <w:right w:val="none" w:sz="0" w:space="0" w:color="auto"/>
      </w:divBdr>
    </w:div>
    <w:div w:id="1770152677">
      <w:bodyDiv w:val="1"/>
      <w:marLeft w:val="0"/>
      <w:marRight w:val="0"/>
      <w:marTop w:val="0"/>
      <w:marBottom w:val="0"/>
      <w:divBdr>
        <w:top w:val="none" w:sz="0" w:space="0" w:color="auto"/>
        <w:left w:val="none" w:sz="0" w:space="0" w:color="auto"/>
        <w:bottom w:val="none" w:sz="0" w:space="0" w:color="auto"/>
        <w:right w:val="none" w:sz="0" w:space="0" w:color="auto"/>
      </w:divBdr>
    </w:div>
    <w:div w:id="1816796269">
      <w:bodyDiv w:val="1"/>
      <w:marLeft w:val="0"/>
      <w:marRight w:val="0"/>
      <w:marTop w:val="0"/>
      <w:marBottom w:val="0"/>
      <w:divBdr>
        <w:top w:val="none" w:sz="0" w:space="0" w:color="auto"/>
        <w:left w:val="none" w:sz="0" w:space="0" w:color="auto"/>
        <w:bottom w:val="none" w:sz="0" w:space="0" w:color="auto"/>
        <w:right w:val="none" w:sz="0" w:space="0" w:color="auto"/>
      </w:divBdr>
    </w:div>
    <w:div w:id="1842885876">
      <w:bodyDiv w:val="1"/>
      <w:marLeft w:val="0"/>
      <w:marRight w:val="0"/>
      <w:marTop w:val="0"/>
      <w:marBottom w:val="0"/>
      <w:divBdr>
        <w:top w:val="none" w:sz="0" w:space="0" w:color="auto"/>
        <w:left w:val="none" w:sz="0" w:space="0" w:color="auto"/>
        <w:bottom w:val="none" w:sz="0" w:space="0" w:color="auto"/>
        <w:right w:val="none" w:sz="0" w:space="0" w:color="auto"/>
      </w:divBdr>
    </w:div>
    <w:div w:id="1855074460">
      <w:bodyDiv w:val="1"/>
      <w:marLeft w:val="0"/>
      <w:marRight w:val="0"/>
      <w:marTop w:val="0"/>
      <w:marBottom w:val="0"/>
      <w:divBdr>
        <w:top w:val="none" w:sz="0" w:space="0" w:color="auto"/>
        <w:left w:val="none" w:sz="0" w:space="0" w:color="auto"/>
        <w:bottom w:val="none" w:sz="0" w:space="0" w:color="auto"/>
        <w:right w:val="none" w:sz="0" w:space="0" w:color="auto"/>
      </w:divBdr>
    </w:div>
    <w:div w:id="1882933157">
      <w:bodyDiv w:val="1"/>
      <w:marLeft w:val="0"/>
      <w:marRight w:val="0"/>
      <w:marTop w:val="0"/>
      <w:marBottom w:val="0"/>
      <w:divBdr>
        <w:top w:val="none" w:sz="0" w:space="0" w:color="auto"/>
        <w:left w:val="none" w:sz="0" w:space="0" w:color="auto"/>
        <w:bottom w:val="none" w:sz="0" w:space="0" w:color="auto"/>
        <w:right w:val="none" w:sz="0" w:space="0" w:color="auto"/>
      </w:divBdr>
    </w:div>
    <w:div w:id="1920021382">
      <w:bodyDiv w:val="1"/>
      <w:marLeft w:val="0"/>
      <w:marRight w:val="0"/>
      <w:marTop w:val="0"/>
      <w:marBottom w:val="0"/>
      <w:divBdr>
        <w:top w:val="none" w:sz="0" w:space="0" w:color="auto"/>
        <w:left w:val="none" w:sz="0" w:space="0" w:color="auto"/>
        <w:bottom w:val="none" w:sz="0" w:space="0" w:color="auto"/>
        <w:right w:val="none" w:sz="0" w:space="0" w:color="auto"/>
      </w:divBdr>
    </w:div>
    <w:div w:id="1928029727">
      <w:bodyDiv w:val="1"/>
      <w:marLeft w:val="0"/>
      <w:marRight w:val="0"/>
      <w:marTop w:val="0"/>
      <w:marBottom w:val="0"/>
      <w:divBdr>
        <w:top w:val="none" w:sz="0" w:space="0" w:color="auto"/>
        <w:left w:val="none" w:sz="0" w:space="0" w:color="auto"/>
        <w:bottom w:val="none" w:sz="0" w:space="0" w:color="auto"/>
        <w:right w:val="none" w:sz="0" w:space="0" w:color="auto"/>
      </w:divBdr>
    </w:div>
    <w:div w:id="1982299936">
      <w:bodyDiv w:val="1"/>
      <w:marLeft w:val="0"/>
      <w:marRight w:val="0"/>
      <w:marTop w:val="0"/>
      <w:marBottom w:val="0"/>
      <w:divBdr>
        <w:top w:val="none" w:sz="0" w:space="0" w:color="auto"/>
        <w:left w:val="none" w:sz="0" w:space="0" w:color="auto"/>
        <w:bottom w:val="none" w:sz="0" w:space="0" w:color="auto"/>
        <w:right w:val="none" w:sz="0" w:space="0" w:color="auto"/>
      </w:divBdr>
    </w:div>
    <w:div w:id="2044817912">
      <w:bodyDiv w:val="1"/>
      <w:marLeft w:val="0"/>
      <w:marRight w:val="0"/>
      <w:marTop w:val="0"/>
      <w:marBottom w:val="0"/>
      <w:divBdr>
        <w:top w:val="none" w:sz="0" w:space="0" w:color="auto"/>
        <w:left w:val="none" w:sz="0" w:space="0" w:color="auto"/>
        <w:bottom w:val="none" w:sz="0" w:space="0" w:color="auto"/>
        <w:right w:val="none" w:sz="0" w:space="0" w:color="auto"/>
      </w:divBdr>
    </w:div>
    <w:div w:id="2098403215">
      <w:bodyDiv w:val="1"/>
      <w:marLeft w:val="0"/>
      <w:marRight w:val="0"/>
      <w:marTop w:val="0"/>
      <w:marBottom w:val="0"/>
      <w:divBdr>
        <w:top w:val="none" w:sz="0" w:space="0" w:color="auto"/>
        <w:left w:val="none" w:sz="0" w:space="0" w:color="auto"/>
        <w:bottom w:val="none" w:sz="0" w:space="0" w:color="auto"/>
        <w:right w:val="none" w:sz="0" w:space="0" w:color="auto"/>
      </w:divBdr>
    </w:div>
    <w:div w:id="2107991016">
      <w:bodyDiv w:val="1"/>
      <w:marLeft w:val="0"/>
      <w:marRight w:val="0"/>
      <w:marTop w:val="0"/>
      <w:marBottom w:val="0"/>
      <w:divBdr>
        <w:top w:val="none" w:sz="0" w:space="0" w:color="auto"/>
        <w:left w:val="none" w:sz="0" w:space="0" w:color="auto"/>
        <w:bottom w:val="none" w:sz="0" w:space="0" w:color="auto"/>
        <w:right w:val="none" w:sz="0" w:space="0" w:color="auto"/>
      </w:divBdr>
    </w:div>
    <w:div w:id="2132556364">
      <w:bodyDiv w:val="1"/>
      <w:marLeft w:val="0"/>
      <w:marRight w:val="0"/>
      <w:marTop w:val="0"/>
      <w:marBottom w:val="0"/>
      <w:divBdr>
        <w:top w:val="none" w:sz="0" w:space="0" w:color="auto"/>
        <w:left w:val="none" w:sz="0" w:space="0" w:color="auto"/>
        <w:bottom w:val="none" w:sz="0" w:space="0" w:color="auto"/>
        <w:right w:val="none" w:sz="0" w:space="0" w:color="auto"/>
      </w:divBdr>
    </w:div>
    <w:div w:id="2139907846">
      <w:bodyDiv w:val="1"/>
      <w:marLeft w:val="0"/>
      <w:marRight w:val="0"/>
      <w:marTop w:val="0"/>
      <w:marBottom w:val="0"/>
      <w:divBdr>
        <w:top w:val="none" w:sz="0" w:space="0" w:color="auto"/>
        <w:left w:val="none" w:sz="0" w:space="0" w:color="auto"/>
        <w:bottom w:val="none" w:sz="0" w:space="0" w:color="auto"/>
        <w:right w:val="none" w:sz="0" w:space="0" w:color="auto"/>
      </w:divBdr>
    </w:div>
    <w:div w:id="21410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Infrastructure, Transport, Regional Development, Communications and the Arts</dc:title>
  <dc:subject/>
  <dc:creator>Department of Infrastructure Transport Regional Development Communications and the Arts</dc:creator>
  <cp:keywords/>
  <dc:description/>
  <cp:revision>7</cp:revision>
  <dcterms:created xsi:type="dcterms:W3CDTF">2024-12-02T04:22:00Z</dcterms:created>
  <dcterms:modified xsi:type="dcterms:W3CDTF">2024-12-02T22:49:00Z</dcterms:modified>
</cp:coreProperties>
</file>