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1AC884" w14:textId="5A6B8C46" w:rsidR="008456D5" w:rsidRPr="00742989" w:rsidRDefault="00040206" w:rsidP="002C6D61">
      <w:pPr>
        <w:pStyle w:val="EPPfiguresource"/>
      </w:pPr>
      <w:bookmarkStart w:id="0" w:name="_GoBack"/>
      <w:bookmarkEnd w:id="0"/>
      <w:r>
        <w:rPr>
          <w:noProof/>
        </w:rPr>
        <w:drawing>
          <wp:anchor distT="0" distB="0" distL="114300" distR="114300" simplePos="0" relativeHeight="251659370" behindDoc="0" locked="0" layoutInCell="1" allowOverlap="1" wp14:anchorId="7C59171C" wp14:editId="256AA165">
            <wp:simplePos x="0" y="0"/>
            <wp:positionH relativeFrom="column">
              <wp:posOffset>-1294501</wp:posOffset>
            </wp:positionH>
            <wp:positionV relativeFrom="paragraph">
              <wp:posOffset>565150</wp:posOffset>
            </wp:positionV>
            <wp:extent cx="7265670" cy="8569960"/>
            <wp:effectExtent l="0" t="0" r="0" b="254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265670" cy="856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7AF" w:rsidRPr="00742989">
        <w:rPr>
          <w:noProof/>
          <w:lang w:eastAsia="en-AU"/>
        </w:rPr>
        <w:drawing>
          <wp:anchor distT="0" distB="0" distL="114300" distR="114300" simplePos="0" relativeHeight="251660394" behindDoc="0" locked="0" layoutInCell="1" allowOverlap="1" wp14:anchorId="2AD731A3" wp14:editId="1527E2AE">
            <wp:simplePos x="0" y="0"/>
            <wp:positionH relativeFrom="column">
              <wp:posOffset>-465359</wp:posOffset>
            </wp:positionH>
            <wp:positionV relativeFrom="paragraph">
              <wp:posOffset>47625</wp:posOffset>
            </wp:positionV>
            <wp:extent cx="3647440" cy="668655"/>
            <wp:effectExtent l="0" t="0" r="0" b="0"/>
            <wp:wrapTopAndBottom/>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7440" cy="668655"/>
                    </a:xfrm>
                    <a:prstGeom prst="rect">
                      <a:avLst/>
                    </a:prstGeom>
                  </pic:spPr>
                </pic:pic>
              </a:graphicData>
            </a:graphic>
            <wp14:sizeRelH relativeFrom="page">
              <wp14:pctWidth>0</wp14:pctWidth>
            </wp14:sizeRelH>
            <wp14:sizeRelV relativeFrom="page">
              <wp14:pctHeight>0</wp14:pctHeight>
            </wp14:sizeRelV>
          </wp:anchor>
        </w:drawing>
      </w:r>
    </w:p>
    <w:p w14:paraId="6D067663" w14:textId="3ADAA1AC" w:rsidR="00AC7F5B" w:rsidRPr="00742989" w:rsidRDefault="00AC7F5B" w:rsidP="00AC7F5B">
      <w:pPr>
        <w:pStyle w:val="Box1Text"/>
        <w:ind w:left="0"/>
        <w:rPr>
          <w:sz w:val="20"/>
          <w:lang w:val="en-AU"/>
        </w:rPr>
        <w:sectPr w:rsidR="00AC7F5B" w:rsidRPr="00742989" w:rsidSect="0008251C">
          <w:headerReference w:type="even" r:id="rId11"/>
          <w:headerReference w:type="default" r:id="rId12"/>
          <w:footerReference w:type="even" r:id="rId13"/>
          <w:footerReference w:type="default" r:id="rId14"/>
          <w:pgSz w:w="11906" w:h="16838" w:code="9"/>
          <w:pgMar w:top="1021" w:right="1021" w:bottom="1021" w:left="2268" w:header="510" w:footer="567" w:gutter="0"/>
          <w:cols w:space="708"/>
          <w:titlePg/>
          <w:docGrid w:linePitch="360"/>
        </w:sectPr>
      </w:pPr>
    </w:p>
    <w:p w14:paraId="6942F2D5" w14:textId="33DFA155" w:rsidR="00C369D9" w:rsidRPr="00742989" w:rsidRDefault="00C369D9" w:rsidP="00D9636F">
      <w:pPr>
        <w:pStyle w:val="Heading1"/>
        <w:spacing w:before="0"/>
      </w:pPr>
      <w:bookmarkStart w:id="1" w:name="_Toc160719108"/>
      <w:r w:rsidRPr="00742989">
        <w:lastRenderedPageBreak/>
        <w:t>Executive summary</w:t>
      </w:r>
      <w:bookmarkEnd w:id="1"/>
    </w:p>
    <w:p w14:paraId="34E2F9CC" w14:textId="01BA9DCC" w:rsidR="00C21188" w:rsidRPr="00742989" w:rsidRDefault="00671BE7" w:rsidP="00671BE7">
      <w:pPr>
        <w:rPr>
          <w:i/>
          <w:color w:val="081E3E" w:themeColor="text2"/>
        </w:rPr>
      </w:pPr>
      <w:r w:rsidRPr="00742989">
        <w:rPr>
          <w:i/>
          <w:color w:val="081E3E" w:themeColor="text2"/>
        </w:rPr>
        <w:t xml:space="preserve">This Consultation Roadmap seeks feedback on potential pathways for transport and transport infrastructure to support </w:t>
      </w:r>
      <w:r w:rsidR="00F9139B" w:rsidRPr="00742989">
        <w:rPr>
          <w:i/>
          <w:color w:val="081E3E" w:themeColor="text2"/>
        </w:rPr>
        <w:t>economy</w:t>
      </w:r>
      <w:r w:rsidR="00F9139B">
        <w:rPr>
          <w:i/>
          <w:color w:val="081E3E" w:themeColor="text2"/>
        </w:rPr>
        <w:t>-</w:t>
      </w:r>
      <w:r w:rsidRPr="00742989">
        <w:rPr>
          <w:i/>
          <w:color w:val="081E3E" w:themeColor="text2"/>
        </w:rPr>
        <w:t xml:space="preserve">wide net zero as well as the actions or policies the </w:t>
      </w:r>
      <w:r w:rsidR="007C62B2">
        <w:rPr>
          <w:i/>
          <w:color w:val="081E3E" w:themeColor="text2"/>
        </w:rPr>
        <w:t>Australian G</w:t>
      </w:r>
      <w:r w:rsidRPr="00742989">
        <w:rPr>
          <w:i/>
          <w:color w:val="081E3E" w:themeColor="text2"/>
        </w:rPr>
        <w:t>overnment will need to take to support these potential pathways.</w:t>
      </w:r>
      <w:r w:rsidR="00152CF4" w:rsidRPr="00742989">
        <w:rPr>
          <w:i/>
          <w:color w:val="081E3E" w:themeColor="text2"/>
        </w:rPr>
        <w:t xml:space="preserve"> </w:t>
      </w:r>
    </w:p>
    <w:p w14:paraId="006FBAC6" w14:textId="07A4F134" w:rsidR="00CE32A0" w:rsidRPr="00742989" w:rsidRDefault="00152CF4" w:rsidP="00EC5178">
      <w:pPr>
        <w:rPr>
          <w:i/>
          <w:color w:val="081E3E" w:themeColor="text2"/>
        </w:rPr>
      </w:pPr>
      <w:r w:rsidRPr="00742989">
        <w:rPr>
          <w:i/>
          <w:color w:val="081E3E" w:themeColor="text2"/>
        </w:rPr>
        <w:t>The Consultation Roadmap sets out the challenge in chapter 1</w:t>
      </w:r>
      <w:r w:rsidR="00275B61">
        <w:rPr>
          <w:i/>
          <w:color w:val="081E3E" w:themeColor="text2"/>
        </w:rPr>
        <w:t xml:space="preserve"> and</w:t>
      </w:r>
      <w:r w:rsidRPr="00742989">
        <w:rPr>
          <w:i/>
          <w:color w:val="081E3E" w:themeColor="text2"/>
        </w:rPr>
        <w:t xml:space="preserve"> considers opportunities to decarbonise the movement of people and goods in chapter 2, before analysing each transport mode in chapter </w:t>
      </w:r>
      <w:r w:rsidR="00C21188" w:rsidRPr="00742989">
        <w:rPr>
          <w:i/>
          <w:color w:val="081E3E" w:themeColor="text2"/>
        </w:rPr>
        <w:t>3</w:t>
      </w:r>
      <w:r w:rsidRPr="00742989">
        <w:rPr>
          <w:i/>
          <w:color w:val="081E3E" w:themeColor="text2"/>
        </w:rPr>
        <w:t xml:space="preserve">. The enabling systems, including transport infrastructure and transport’s energy needs, are outlined in chapter 4. </w:t>
      </w:r>
      <w:r w:rsidR="00C21188" w:rsidRPr="00742989">
        <w:rPr>
          <w:i/>
          <w:color w:val="081E3E" w:themeColor="text2"/>
        </w:rPr>
        <w:t xml:space="preserve">The final chapter describes how the </w:t>
      </w:r>
      <w:r w:rsidR="007C62B2">
        <w:rPr>
          <w:i/>
          <w:color w:val="081E3E" w:themeColor="text2"/>
        </w:rPr>
        <w:t>Australian G</w:t>
      </w:r>
      <w:r w:rsidR="00C21188" w:rsidRPr="00742989">
        <w:rPr>
          <w:i/>
          <w:color w:val="081E3E" w:themeColor="text2"/>
        </w:rPr>
        <w:t>overnment will work collaboratively to reduce transport and transport infrastructure emissions.</w:t>
      </w:r>
      <w:r w:rsidR="001F4096" w:rsidRPr="00742989">
        <w:rPr>
          <w:i/>
          <w:color w:val="081E3E" w:themeColor="text2"/>
        </w:rPr>
        <w:t xml:space="preserve"> </w:t>
      </w:r>
    </w:p>
    <w:p w14:paraId="60ED376C" w14:textId="7FB4840C" w:rsidR="004628E2" w:rsidRPr="00742989" w:rsidRDefault="00C77749" w:rsidP="001F4096">
      <w:pPr>
        <w:rPr>
          <w:i/>
          <w:color w:val="081E3E" w:themeColor="text2"/>
        </w:rPr>
      </w:pPr>
      <w:bookmarkStart w:id="2" w:name="_Chapter_1_–"/>
      <w:bookmarkEnd w:id="2"/>
      <w:r w:rsidRPr="00742989">
        <w:rPr>
          <w:i/>
          <w:noProof/>
          <w:color w:val="081E3E" w:themeColor="text2"/>
        </w:rPr>
        <w:drawing>
          <wp:anchor distT="0" distB="0" distL="114300" distR="114300" simplePos="0" relativeHeight="251658297" behindDoc="0" locked="0" layoutInCell="1" allowOverlap="1" wp14:anchorId="28BB19F2" wp14:editId="7BA5CCC2">
            <wp:simplePos x="0" y="0"/>
            <wp:positionH relativeFrom="column">
              <wp:posOffset>0</wp:posOffset>
            </wp:positionH>
            <wp:positionV relativeFrom="paragraph">
              <wp:posOffset>677028</wp:posOffset>
            </wp:positionV>
            <wp:extent cx="6263640" cy="1460500"/>
            <wp:effectExtent l="0" t="0" r="3810" b="0"/>
            <wp:wrapTopAndBottom/>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3640" cy="1460500"/>
                    </a:xfrm>
                    <a:prstGeom prst="rect">
                      <a:avLst/>
                    </a:prstGeom>
                    <a:noFill/>
                  </pic:spPr>
                </pic:pic>
              </a:graphicData>
            </a:graphic>
            <wp14:sizeRelH relativeFrom="page">
              <wp14:pctWidth>0</wp14:pctWidth>
            </wp14:sizeRelH>
            <wp14:sizeRelV relativeFrom="page">
              <wp14:pctHeight>0</wp14:pctHeight>
            </wp14:sizeRelV>
          </wp:anchor>
        </w:drawing>
      </w:r>
      <w:r w:rsidR="001F4096" w:rsidRPr="00742989">
        <w:rPr>
          <w:i/>
          <w:color w:val="081E3E" w:themeColor="text2"/>
        </w:rPr>
        <w:t xml:space="preserve">The responses to the questions asked throughout the Consultation Roadmap will inform the pathways, actions and policies that the </w:t>
      </w:r>
      <w:r w:rsidR="007C62B2">
        <w:rPr>
          <w:i/>
          <w:color w:val="081E3E" w:themeColor="text2"/>
        </w:rPr>
        <w:t>Australian G</w:t>
      </w:r>
      <w:r w:rsidR="001F4096" w:rsidRPr="00742989">
        <w:rPr>
          <w:i/>
          <w:color w:val="081E3E" w:themeColor="text2"/>
        </w:rPr>
        <w:t>overnment will commit to in the final Transport and Infrastructure Net Zero Roadmap and Action Plan that will be released later this year.</w:t>
      </w:r>
    </w:p>
    <w:p w14:paraId="0FC84917" w14:textId="51D3E0BB" w:rsidR="00671BE7" w:rsidRPr="00742989" w:rsidRDefault="0058132E" w:rsidP="00671BE7">
      <w:pPr>
        <w:pStyle w:val="Heading5"/>
        <w:rPr>
          <w:color w:val="auto"/>
        </w:rPr>
      </w:pPr>
      <w:r w:rsidRPr="0058132E">
        <w:t>Chapter 1 – Introduction</w:t>
      </w:r>
      <w:r w:rsidR="00671BE7" w:rsidRPr="00742989">
        <w:rPr>
          <w:color w:val="auto"/>
        </w:rPr>
        <w:t xml:space="preserve"> </w:t>
      </w:r>
    </w:p>
    <w:p w14:paraId="11A8C356" w14:textId="09F8F163" w:rsidR="00671BE7" w:rsidRPr="00742989" w:rsidRDefault="00C21188" w:rsidP="00671BE7">
      <w:r w:rsidRPr="00742989">
        <w:t xml:space="preserve">The Consultation Roadmap begins by bringing together evidence to illustrate the challenge to reduce transport emissions. </w:t>
      </w:r>
      <w:r w:rsidR="00671BE7" w:rsidRPr="00742989">
        <w:t xml:space="preserve">The Australian Government has an ambitious climate agenda, legislating to reduce national emissions by 43% on 2005 levels by 2030 and net zero by 2050 in line with the global goal to keep warming to well below 2°C and pursue efforts to keep it to 1.5°C. In addition, the </w:t>
      </w:r>
      <w:r w:rsidR="00016484">
        <w:t>g</w:t>
      </w:r>
      <w:r w:rsidR="00671BE7" w:rsidRPr="00742989">
        <w:t xml:space="preserve">overnment is developing a Net Zero Plan to help Australia maximise the benefits of the global transition to net zero. It will provide certainty through long-term policy and help drive investments in low emissions and renewable technologies. To support the Net Zero Plan, the </w:t>
      </w:r>
      <w:r w:rsidR="00016484">
        <w:t>g</w:t>
      </w:r>
      <w:r w:rsidR="00671BE7" w:rsidRPr="00742989">
        <w:t>overnment is developing six sectoral plans.</w:t>
      </w:r>
    </w:p>
    <w:p w14:paraId="125A74C4" w14:textId="5F5E4207" w:rsidR="00671BE7" w:rsidRPr="00742989" w:rsidRDefault="00671BE7" w:rsidP="00671BE7">
      <w:r w:rsidRPr="00742989">
        <w:t xml:space="preserve">The Transport and Infrastructure Net Zero Roadmap and Action Plan will be the net zero sectoral plan for the transport and transport infrastructure sectors. It is being developed in two stages. The first stage is this Consultation Roadmap, which seeks your views on potential pathways to net zero for transport and transport infrastructure as well as the actions or policies taken by governments to support these potential pathways. What we hear from you will inform the pathways, actions and policies that the </w:t>
      </w:r>
      <w:r w:rsidR="00016484">
        <w:t>g</w:t>
      </w:r>
      <w:r w:rsidRPr="00742989">
        <w:t>overnment will commit to in the second stage of development, the final Transport and Infrastructure Net Zero Roadmap and Action Plan.</w:t>
      </w:r>
    </w:p>
    <w:p w14:paraId="333E315C" w14:textId="605AD201" w:rsidR="00671BE7" w:rsidRPr="00742989" w:rsidRDefault="00CE32A0" w:rsidP="00671BE7">
      <w:r w:rsidRPr="00742989">
        <w:rPr>
          <w:noProof/>
        </w:rPr>
        <mc:AlternateContent>
          <mc:Choice Requires="wps">
            <w:drawing>
              <wp:anchor distT="45720" distB="45720" distL="114300" distR="114300" simplePos="0" relativeHeight="251658246" behindDoc="0" locked="0" layoutInCell="1" allowOverlap="1" wp14:anchorId="56C17F44" wp14:editId="5689423C">
                <wp:simplePos x="0" y="0"/>
                <wp:positionH relativeFrom="column">
                  <wp:posOffset>3371215</wp:posOffset>
                </wp:positionH>
                <wp:positionV relativeFrom="paragraph">
                  <wp:posOffset>41910</wp:posOffset>
                </wp:positionV>
                <wp:extent cx="2934970" cy="1404620"/>
                <wp:effectExtent l="0" t="0" r="17780" b="222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404620"/>
                        </a:xfrm>
                        <a:prstGeom prst="rect">
                          <a:avLst/>
                        </a:prstGeom>
                        <a:solidFill>
                          <a:schemeClr val="accent1">
                            <a:lumMod val="10000"/>
                            <a:lumOff val="90000"/>
                          </a:schemeClr>
                        </a:solidFill>
                        <a:ln w="9525">
                          <a:solidFill>
                            <a:srgbClr val="000000"/>
                          </a:solidFill>
                          <a:miter lim="800000"/>
                          <a:headEnd/>
                          <a:tailEnd/>
                        </a:ln>
                      </wps:spPr>
                      <wps:txbx>
                        <w:txbxContent>
                          <w:p w14:paraId="6FA5E035" w14:textId="37FD67F3"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GD</w:t>
                            </w:r>
                            <w:r w:rsidR="00684C3F">
                              <w:rPr>
                                <w:sz w:val="20"/>
                                <w:lang w:val="en-US"/>
                              </w:rPr>
                              <w:t>P</w:t>
                            </w:r>
                            <w:r w:rsidRPr="00CE32A0">
                              <w:rPr>
                                <w:sz w:val="20"/>
                                <w:lang w:val="en-US"/>
                              </w:rPr>
                              <w:t xml:space="preserve">. Transport was the second largest sector of the economy, behind the </w:t>
                            </w:r>
                            <w:r>
                              <w:rPr>
                                <w:sz w:val="20"/>
                                <w:lang w:val="en-US"/>
                              </w:rPr>
                              <w:t>m</w:t>
                            </w:r>
                            <w:r w:rsidRPr="00CE32A0">
                              <w:rPr>
                                <w:sz w:val="20"/>
                                <w:lang w:val="en-US"/>
                              </w:rPr>
                              <w:t>ining sector.</w:t>
                            </w:r>
                          </w:p>
                          <w:p w14:paraId="499735CF" w14:textId="55324423"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in 2020-21. A further 85,400 people were employed in the delivery of public roads</w:t>
                            </w:r>
                            <w:r>
                              <w:rPr>
                                <w:sz w:val="20"/>
                                <w:lang w:val="en-US"/>
                              </w:rPr>
                              <w:t>,</w:t>
                            </w:r>
                            <w:r w:rsidRPr="00CE32A0">
                              <w:rPr>
                                <w:sz w:val="20"/>
                                <w:lang w:val="en-US"/>
                              </w:rPr>
                              <w:t xml:space="preserve"> highways and subdivisions, bridges, railways and </w:t>
                            </w:r>
                            <w:r w:rsidRPr="00275B61">
                              <w:rPr>
                                <w:sz w:val="20"/>
                              </w:rPr>
                              <w:t>harbours</w:t>
                            </w:r>
                            <w:r w:rsidRPr="00CE32A0">
                              <w:rPr>
                                <w:sz w:val="20"/>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C17F44" id="_x0000_t202" coordsize="21600,21600" o:spt="202" path="m,l,21600r21600,l21600,xe">
                <v:stroke joinstyle="miter"/>
                <v:path gradientshapeok="t" o:connecttype="rect"/>
              </v:shapetype>
              <v:shape id="Text Box 2" o:spid="_x0000_s1026" type="#_x0000_t202" style="position:absolute;left:0;text-align:left;margin-left:265.45pt;margin-top:3.3pt;width:231.1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" fillcolor="#d8e6fa [340]">
                <v:textbox style="mso-fit-shape-to-text:t">
                  <w:txbxContent>
                    <w:p w14:paraId="6FA5E035" w14:textId="37FD67F3"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GD</w:t>
                      </w:r>
                      <w:r w:rsidR="00684C3F">
                        <w:rPr>
                          <w:sz w:val="20"/>
                          <w:lang w:val="en-US"/>
                        </w:rPr>
                        <w:t>P</w:t>
                      </w:r>
                      <w:r w:rsidRPr="00CE32A0">
                        <w:rPr>
                          <w:sz w:val="20"/>
                          <w:lang w:val="en-US"/>
                        </w:rPr>
                        <w:t xml:space="preserve">. Transport was the second largest sector of the economy, behind the </w:t>
                      </w:r>
                      <w:r>
                        <w:rPr>
                          <w:sz w:val="20"/>
                          <w:lang w:val="en-US"/>
                        </w:rPr>
                        <w:t>m</w:t>
                      </w:r>
                      <w:r w:rsidRPr="00CE32A0">
                        <w:rPr>
                          <w:sz w:val="20"/>
                          <w:lang w:val="en-US"/>
                        </w:rPr>
                        <w:t>ining sector.</w:t>
                      </w:r>
                    </w:p>
                    <w:p w14:paraId="499735CF" w14:textId="55324423"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in 2020-21. A further 85,400 people were employed in the delivery of public roads</w:t>
                      </w:r>
                      <w:r>
                        <w:rPr>
                          <w:sz w:val="20"/>
                          <w:lang w:val="en-US"/>
                        </w:rPr>
                        <w:t>,</w:t>
                      </w:r>
                      <w:r w:rsidRPr="00CE32A0">
                        <w:rPr>
                          <w:sz w:val="20"/>
                          <w:lang w:val="en-US"/>
                        </w:rPr>
                        <w:t xml:space="preserve"> highways and subdivisions, bridges, railways and </w:t>
                      </w:r>
                      <w:r w:rsidRPr="00275B61">
                        <w:rPr>
                          <w:sz w:val="20"/>
                        </w:rPr>
                        <w:t>harbours</w:t>
                      </w:r>
                      <w:r w:rsidRPr="00CE32A0">
                        <w:rPr>
                          <w:sz w:val="20"/>
                          <w:lang w:val="en-US"/>
                        </w:rPr>
                        <w:t>.</w:t>
                      </w:r>
                    </w:p>
                  </w:txbxContent>
                </v:textbox>
                <w10:wrap type="square"/>
              </v:shape>
            </w:pict>
          </mc:Fallback>
        </mc:AlternateContent>
      </w:r>
      <w:r w:rsidRPr="00742989">
        <w:rPr>
          <w:noProof/>
        </w:rPr>
        <mc:AlternateContent>
          <mc:Choice Requires="wps">
            <w:drawing>
              <wp:anchor distT="45720" distB="45720" distL="114300" distR="114300" simplePos="0" relativeHeight="251658245" behindDoc="0" locked="0" layoutInCell="1" allowOverlap="1" wp14:anchorId="56C17F44" wp14:editId="5689423C">
                <wp:simplePos x="0" y="0"/>
                <wp:positionH relativeFrom="column">
                  <wp:posOffset>3371215</wp:posOffset>
                </wp:positionH>
                <wp:positionV relativeFrom="paragraph">
                  <wp:posOffset>41910</wp:posOffset>
                </wp:positionV>
                <wp:extent cx="2934970" cy="1404620"/>
                <wp:effectExtent l="0" t="0" r="17780" b="222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404620"/>
                        </a:xfrm>
                        <a:prstGeom prst="rect">
                          <a:avLst/>
                        </a:prstGeom>
                        <a:solidFill>
                          <a:schemeClr val="accent1">
                            <a:lumMod val="10000"/>
                            <a:lumOff val="90000"/>
                          </a:schemeClr>
                        </a:solidFill>
                        <a:ln w="9525">
                          <a:solidFill>
                            <a:srgbClr val="000000"/>
                          </a:solidFill>
                          <a:miter lim="800000"/>
                          <a:headEnd/>
                          <a:tailEnd/>
                        </a:ln>
                      </wps:spPr>
                      <wps:txbx>
                        <w:txbxContent>
                          <w:p w14:paraId="1D128481" w14:textId="77777777"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GPD. Transport was the second largest sector of the economy, behind the Mining sector.</w:t>
                            </w:r>
                          </w:p>
                          <w:p w14:paraId="6A721942" w14:textId="77777777"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in 2020-21. A further 85,400 people were employed in the delivery of public roads highways and subdivisions, and bridges, railways and harbours.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17F44" id="_x0000_s1027" type="#_x0000_t202" style="position:absolute;left:0;text-align:left;margin-left:265.45pt;margin-top:3.3pt;width:231.1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" fillcolor="#d8e6fa [340]">
                <v:textbox style="mso-fit-shape-to-text:t">
                  <w:txbxContent>
                    <w:p w14:paraId="1D128481" w14:textId="77777777"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GPD. Transport was the second largest sector of the economy, behind the Mining sector.</w:t>
                      </w:r>
                    </w:p>
                    <w:p w14:paraId="6A721942" w14:textId="77777777"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 xml:space="preserve">in 2020-21. A further 85,400 people were employed in the delivery of public roads highways and subdivisions, and bridges, railways and </w:t>
                      </w:r>
                      <w:proofErr w:type="spellStart"/>
                      <w:r w:rsidRPr="00CE32A0">
                        <w:rPr>
                          <w:sz w:val="20"/>
                          <w:lang w:val="en-US"/>
                        </w:rPr>
                        <w:t>harbours</w:t>
                      </w:r>
                      <w:proofErr w:type="spellEnd"/>
                      <w:r w:rsidRPr="00CE32A0">
                        <w:rPr>
                          <w:sz w:val="20"/>
                          <w:lang w:val="en-US"/>
                        </w:rPr>
                        <w:t>.</w:t>
                      </w:r>
                    </w:p>
                  </w:txbxContent>
                </v:textbox>
                <w10:wrap type="square"/>
              </v:shape>
            </w:pict>
          </mc:Fallback>
        </mc:AlternateContent>
      </w:r>
      <w:r w:rsidRPr="00742989">
        <w:rPr>
          <w:noProof/>
        </w:rPr>
        <mc:AlternateContent>
          <mc:Choice Requires="wps">
            <w:drawing>
              <wp:anchor distT="45720" distB="45720" distL="114300" distR="114300" simplePos="0" relativeHeight="251658244" behindDoc="0" locked="0" layoutInCell="1" allowOverlap="1" wp14:anchorId="75D3DD72" wp14:editId="5BE3425E">
                <wp:simplePos x="0" y="0"/>
                <wp:positionH relativeFrom="column">
                  <wp:posOffset>3371215</wp:posOffset>
                </wp:positionH>
                <wp:positionV relativeFrom="paragraph">
                  <wp:posOffset>41910</wp:posOffset>
                </wp:positionV>
                <wp:extent cx="2934970" cy="1404620"/>
                <wp:effectExtent l="0" t="0" r="17780" b="222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404620"/>
                        </a:xfrm>
                        <a:prstGeom prst="rect">
                          <a:avLst/>
                        </a:prstGeom>
                        <a:solidFill>
                          <a:schemeClr val="accent1">
                            <a:lumMod val="10000"/>
                            <a:lumOff val="90000"/>
                          </a:schemeClr>
                        </a:solidFill>
                        <a:ln w="9525">
                          <a:solidFill>
                            <a:srgbClr val="000000"/>
                          </a:solidFill>
                          <a:miter lim="800000"/>
                          <a:headEnd/>
                          <a:tailEnd/>
                        </a:ln>
                      </wps:spPr>
                      <wps:txbx>
                        <w:txbxContent>
                          <w:p w14:paraId="4573D44D" w14:textId="77777777"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GPD. Transport was the second largest sector of the economy, behind the Mining sector.</w:t>
                            </w:r>
                          </w:p>
                          <w:p w14:paraId="07A477A0" w14:textId="77777777"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in 2020-21. A further 85,400 people were employed in the delivery of public roads highways and subdivisions, and bridges, railways and harbours.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D3DD72" id="_x0000_s1028" type="#_x0000_t202" style="position:absolute;left:0;text-align:left;margin-left:265.45pt;margin-top:3.3pt;width:231.1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" fillcolor="#d8e6fa [340]">
                <v:textbox style="mso-fit-shape-to-text:t">
                  <w:txbxContent>
                    <w:p w14:paraId="4573D44D" w14:textId="77777777"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GPD. Transport was the second largest sector of the economy, behind the Mining sector.</w:t>
                      </w:r>
                    </w:p>
                    <w:p w14:paraId="07A477A0" w14:textId="77777777"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 xml:space="preserve">in 2020-21. A further 85,400 people were employed in the delivery of public roads highways and subdivisions, and bridges, railways and </w:t>
                      </w:r>
                      <w:proofErr w:type="spellStart"/>
                      <w:r w:rsidRPr="00CE32A0">
                        <w:rPr>
                          <w:sz w:val="20"/>
                          <w:lang w:val="en-US"/>
                        </w:rPr>
                        <w:t>harbours</w:t>
                      </w:r>
                      <w:proofErr w:type="spellEnd"/>
                      <w:r w:rsidRPr="00CE32A0">
                        <w:rPr>
                          <w:sz w:val="20"/>
                          <w:lang w:val="en-US"/>
                        </w:rPr>
                        <w:t>.</w:t>
                      </w:r>
                    </w:p>
                  </w:txbxContent>
                </v:textbox>
                <w10:wrap type="square"/>
              </v:shape>
            </w:pict>
          </mc:Fallback>
        </mc:AlternateContent>
      </w:r>
      <w:r w:rsidRPr="00742989">
        <w:rPr>
          <w:noProof/>
        </w:rPr>
        <mc:AlternateContent>
          <mc:Choice Requires="wps">
            <w:drawing>
              <wp:anchor distT="45720" distB="45720" distL="114300" distR="114300" simplePos="0" relativeHeight="251658243" behindDoc="0" locked="0" layoutInCell="1" allowOverlap="1" wp14:anchorId="56C17F44" wp14:editId="5689423C">
                <wp:simplePos x="0" y="0"/>
                <wp:positionH relativeFrom="column">
                  <wp:posOffset>3371215</wp:posOffset>
                </wp:positionH>
                <wp:positionV relativeFrom="paragraph">
                  <wp:posOffset>41910</wp:posOffset>
                </wp:positionV>
                <wp:extent cx="2934970" cy="1404620"/>
                <wp:effectExtent l="0" t="0" r="17780" b="222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404620"/>
                        </a:xfrm>
                        <a:prstGeom prst="rect">
                          <a:avLst/>
                        </a:prstGeom>
                        <a:solidFill>
                          <a:schemeClr val="accent1">
                            <a:lumMod val="10000"/>
                            <a:lumOff val="90000"/>
                          </a:schemeClr>
                        </a:solidFill>
                        <a:ln w="9525">
                          <a:solidFill>
                            <a:srgbClr val="000000"/>
                          </a:solidFill>
                          <a:miter lim="800000"/>
                          <a:headEnd/>
                          <a:tailEnd/>
                        </a:ln>
                      </wps:spPr>
                      <wps:txbx>
                        <w:txbxContent>
                          <w:p w14:paraId="0F8FC211" w14:textId="77777777"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GPD. Transport was the second largest sector of the economy, behind the Mining sector.</w:t>
                            </w:r>
                          </w:p>
                          <w:p w14:paraId="1914B54F" w14:textId="77777777"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in 2020-21. A further 85,400 people were employed in the delivery of public roads highways and subdivisions, and bridges, railways and harbours.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17F44" id="_x0000_s1029" type="#_x0000_t202" style="position:absolute;left:0;text-align:left;margin-left:265.45pt;margin-top:3.3pt;width:231.1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" fillcolor="#d8e6fa [340]">
                <v:textbox style="mso-fit-shape-to-text:t">
                  <w:txbxContent>
                    <w:p w14:paraId="0F8FC211" w14:textId="77777777"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GPD. Transport was the second largest sector of the economy, behind the Mining sector.</w:t>
                      </w:r>
                    </w:p>
                    <w:p w14:paraId="1914B54F" w14:textId="77777777"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 xml:space="preserve">in 2020-21. A further 85,400 people were employed in the delivery of public roads highways and subdivisions, and bridges, railways and </w:t>
                      </w:r>
                      <w:proofErr w:type="spellStart"/>
                      <w:r w:rsidRPr="00CE32A0">
                        <w:rPr>
                          <w:sz w:val="20"/>
                          <w:lang w:val="en-US"/>
                        </w:rPr>
                        <w:t>harbours</w:t>
                      </w:r>
                      <w:proofErr w:type="spellEnd"/>
                      <w:r w:rsidRPr="00CE32A0">
                        <w:rPr>
                          <w:sz w:val="20"/>
                          <w:lang w:val="en-US"/>
                        </w:rPr>
                        <w:t>.</w:t>
                      </w:r>
                    </w:p>
                  </w:txbxContent>
                </v:textbox>
                <w10:wrap type="square"/>
              </v:shape>
            </w:pict>
          </mc:Fallback>
        </mc:AlternateContent>
      </w:r>
      <w:r w:rsidRPr="00742989">
        <w:rPr>
          <w:noProof/>
        </w:rPr>
        <mc:AlternateContent>
          <mc:Choice Requires="wps">
            <w:drawing>
              <wp:anchor distT="45720" distB="45720" distL="114300" distR="114300" simplePos="0" relativeHeight="251658241" behindDoc="0" locked="0" layoutInCell="1" allowOverlap="1" wp14:anchorId="56C17F44" wp14:editId="5689423C">
                <wp:simplePos x="0" y="0"/>
                <wp:positionH relativeFrom="column">
                  <wp:posOffset>3371215</wp:posOffset>
                </wp:positionH>
                <wp:positionV relativeFrom="paragraph">
                  <wp:posOffset>41910</wp:posOffset>
                </wp:positionV>
                <wp:extent cx="2934970" cy="1404620"/>
                <wp:effectExtent l="0" t="0" r="1778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404620"/>
                        </a:xfrm>
                        <a:prstGeom prst="rect">
                          <a:avLst/>
                        </a:prstGeom>
                        <a:solidFill>
                          <a:schemeClr val="accent1">
                            <a:lumMod val="10000"/>
                            <a:lumOff val="90000"/>
                          </a:schemeClr>
                        </a:solidFill>
                        <a:ln w="9525">
                          <a:solidFill>
                            <a:srgbClr val="000000"/>
                          </a:solidFill>
                          <a:miter lim="800000"/>
                          <a:headEnd/>
                          <a:tailEnd/>
                        </a:ln>
                      </wps:spPr>
                      <wps:txbx>
                        <w:txbxContent>
                          <w:p w14:paraId="59E1311B" w14:textId="41201DA9"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GPD. Transport was the second largest sector of the economy, behind the Mining sector.</w:t>
                            </w:r>
                          </w:p>
                          <w:p w14:paraId="081EA501" w14:textId="68F3DF0D"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in 2020-21. A further 85,400 people were employed in the delivery of public roads highways and subdivisions, and bridges, railways and harbours.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17F44" id="_x0000_s1030" type="#_x0000_t202" style="position:absolute;left:0;text-align:left;margin-left:265.45pt;margin-top:3.3pt;width:231.1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" fillcolor="#d8e6fa [340]">
                <v:textbox style="mso-fit-shape-to-text:t">
                  <w:txbxContent>
                    <w:p w14:paraId="59E1311B" w14:textId="41201DA9" w:rsidR="00A7420B" w:rsidRPr="00CE32A0" w:rsidRDefault="00A7420B" w:rsidP="00CE32A0">
                      <w:pPr>
                        <w:spacing w:after="0"/>
                        <w:jc w:val="left"/>
                        <w:rPr>
                          <w:sz w:val="20"/>
                          <w:lang w:val="en-US"/>
                        </w:rPr>
                      </w:pPr>
                      <w:r w:rsidRPr="00CE32A0">
                        <w:rPr>
                          <w:sz w:val="20"/>
                          <w:lang w:val="en-US"/>
                        </w:rPr>
                        <w:t>Transport activity’s total contribution to the economy in 2020-21 was $164.4 billion or 7.9% of GPD. Transport was the second largest sector of the economy, behind the Mining sector.</w:t>
                      </w:r>
                    </w:p>
                    <w:p w14:paraId="081EA501" w14:textId="68F3DF0D" w:rsidR="00A7420B" w:rsidRPr="00CE32A0" w:rsidRDefault="00A7420B" w:rsidP="00CE32A0">
                      <w:pPr>
                        <w:spacing w:after="0"/>
                        <w:jc w:val="left"/>
                        <w:rPr>
                          <w:sz w:val="20"/>
                        </w:rPr>
                      </w:pPr>
                      <w:r w:rsidRPr="00CE32A0">
                        <w:rPr>
                          <w:sz w:val="20"/>
                          <w:lang w:val="en-US"/>
                        </w:rPr>
                        <w:t xml:space="preserve">Total employment across all transport activity </w:t>
                      </w:r>
                      <w:r>
                        <w:rPr>
                          <w:sz w:val="20"/>
                          <w:lang w:val="en-US"/>
                        </w:rPr>
                        <w:t>was</w:t>
                      </w:r>
                      <w:r w:rsidRPr="00CE32A0">
                        <w:rPr>
                          <w:sz w:val="20"/>
                          <w:lang w:val="en-US"/>
                        </w:rPr>
                        <w:t xml:space="preserve"> 1.25 million </w:t>
                      </w:r>
                      <w:r>
                        <w:rPr>
                          <w:sz w:val="20"/>
                          <w:lang w:val="en-US"/>
                        </w:rPr>
                        <w:t xml:space="preserve">people </w:t>
                      </w:r>
                      <w:r w:rsidRPr="00CE32A0">
                        <w:rPr>
                          <w:sz w:val="20"/>
                          <w:lang w:val="en-US"/>
                        </w:rPr>
                        <w:t xml:space="preserve">in 2020-21. A further 85,400 people were employed in the delivery of public roads highways and subdivisions, and bridges, railways and </w:t>
                      </w:r>
                      <w:proofErr w:type="spellStart"/>
                      <w:r w:rsidRPr="00CE32A0">
                        <w:rPr>
                          <w:sz w:val="20"/>
                          <w:lang w:val="en-US"/>
                        </w:rPr>
                        <w:t>harbours</w:t>
                      </w:r>
                      <w:proofErr w:type="spellEnd"/>
                      <w:r w:rsidRPr="00CE32A0">
                        <w:rPr>
                          <w:sz w:val="20"/>
                          <w:lang w:val="en-US"/>
                        </w:rPr>
                        <w:t>.</w:t>
                      </w:r>
                    </w:p>
                  </w:txbxContent>
                </v:textbox>
                <w10:wrap type="square"/>
              </v:shape>
            </w:pict>
          </mc:Fallback>
        </mc:AlternateContent>
      </w:r>
      <w:r w:rsidR="00671BE7" w:rsidRPr="00742989">
        <w:t xml:space="preserve">Transport connects Australians to each other and to the rest of the world. It is essential for our economy and wellbeing. Transport is also the </w:t>
      </w:r>
      <w:r w:rsidR="00F9139B" w:rsidRPr="00742989">
        <w:t>third</w:t>
      </w:r>
      <w:r w:rsidR="00F9139B">
        <w:t>-</w:t>
      </w:r>
      <w:r w:rsidR="00671BE7" w:rsidRPr="00742989">
        <w:t>largest source of greenhouse gas emissions in Australia, amounting to 21% of Australia’s greenhouse gas emissions</w:t>
      </w:r>
      <w:r w:rsidR="004634F1" w:rsidRPr="00742989">
        <w:t xml:space="preserve"> in </w:t>
      </w:r>
      <w:r w:rsidR="00277ABC" w:rsidRPr="00742989">
        <w:t>2023</w:t>
      </w:r>
      <w:r w:rsidR="00671BE7" w:rsidRPr="00742989">
        <w:t xml:space="preserve">. Since 2005, transport emissions have increased by </w:t>
      </w:r>
      <w:r w:rsidR="00C749A5" w:rsidRPr="00742989">
        <w:t>19</w:t>
      </w:r>
      <w:r w:rsidR="00671BE7" w:rsidRPr="00742989">
        <w:t>%. Without further action, transport will be the largest source of emissions in Australia by 2030.</w:t>
      </w:r>
      <w:r w:rsidR="00B54EF6" w:rsidRPr="00742989">
        <w:t xml:space="preserve"> We have an opportunity to decarbonise transport</w:t>
      </w:r>
      <w:r w:rsidR="00D059C0" w:rsidRPr="00742989">
        <w:t xml:space="preserve"> and support Australia’s goal of reaching net zero by 2050.</w:t>
      </w:r>
    </w:p>
    <w:p w14:paraId="0F30CE37" w14:textId="1A17845F" w:rsidR="00B257D1" w:rsidRPr="00742989" w:rsidRDefault="00EF44D4" w:rsidP="00B257D1">
      <w:r w:rsidRPr="00742989">
        <w:rPr>
          <w:noProof/>
        </w:rPr>
        <w:lastRenderedPageBreak/>
        <mc:AlternateContent>
          <mc:Choice Requires="wps">
            <w:drawing>
              <wp:anchor distT="0" distB="0" distL="114300" distR="114300" simplePos="0" relativeHeight="251658242" behindDoc="0" locked="0" layoutInCell="1" allowOverlap="1" wp14:anchorId="4F488972" wp14:editId="40E8DD55">
                <wp:simplePos x="0" y="0"/>
                <wp:positionH relativeFrom="margin">
                  <wp:posOffset>-635</wp:posOffset>
                </wp:positionH>
                <wp:positionV relativeFrom="paragraph">
                  <wp:posOffset>857250</wp:posOffset>
                </wp:positionV>
                <wp:extent cx="2883535" cy="3505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883535" cy="3505200"/>
                        </a:xfrm>
                        <a:prstGeom prst="rect">
                          <a:avLst/>
                        </a:prstGeom>
                        <a:solidFill>
                          <a:prstClr val="white"/>
                        </a:solidFill>
                        <a:ln>
                          <a:noFill/>
                        </a:ln>
                      </wps:spPr>
                      <wps:txbx>
                        <w:txbxContent>
                          <w:p w14:paraId="4FEE55AB" w14:textId="147BCC23" w:rsidR="00A7420B" w:rsidRPr="00685CB8" w:rsidRDefault="00A7420B" w:rsidP="00685CB8">
                            <w:pPr>
                              <w:rPr>
                                <w:b/>
                              </w:rPr>
                            </w:pPr>
                            <w:bookmarkStart w:id="3" w:name="_Toc159411915"/>
                            <w:r w:rsidRPr="00685CB8">
                              <w:rPr>
                                <w:b/>
                              </w:rPr>
                              <w:t>Road vehicles are responsible for the majority of transport emissions</w:t>
                            </w:r>
                            <w:bookmarkEnd w:id="3"/>
                          </w:p>
                          <w:p w14:paraId="0911B9D0" w14:textId="5036519C" w:rsidR="00A7420B" w:rsidRDefault="00A7420B" w:rsidP="008B6A31">
                            <w:pPr>
                              <w:pStyle w:val="EPPfiguresource"/>
                              <w:keepNext/>
                              <w:keepLines/>
                              <w:rPr>
                                <w:lang w:eastAsia="en-AU"/>
                              </w:rPr>
                            </w:pPr>
                            <w:r>
                              <w:rPr>
                                <w:lang w:eastAsia="en-AU"/>
                              </w:rPr>
                              <w:t>Emission trends from the transport sector projected to 2035</w:t>
                            </w:r>
                          </w:p>
                          <w:p w14:paraId="4EE5B78C" w14:textId="0ED9C842" w:rsidR="008B6A31" w:rsidRDefault="008B6A31" w:rsidP="008B6A31">
                            <w:pPr>
                              <w:pStyle w:val="EPPfiguresource"/>
                              <w:keepNext/>
                              <w:keepLines/>
                              <w:rPr>
                                <w:lang w:eastAsia="en-AU"/>
                              </w:rPr>
                            </w:pPr>
                          </w:p>
                          <w:p w14:paraId="53E45661" w14:textId="40F8415F" w:rsidR="008B6A31" w:rsidRDefault="008B6A31" w:rsidP="008B6A31">
                            <w:pPr>
                              <w:pStyle w:val="EPPfiguresource"/>
                              <w:keepNext/>
                              <w:keepLines/>
                              <w:rPr>
                                <w:lang w:eastAsia="en-AU"/>
                              </w:rPr>
                            </w:pPr>
                          </w:p>
                          <w:p w14:paraId="0EF0BBAC" w14:textId="1D97113E" w:rsidR="008B6A31" w:rsidRDefault="008B6A31" w:rsidP="008B6A31">
                            <w:pPr>
                              <w:pStyle w:val="EPPfiguresource"/>
                              <w:keepNext/>
                              <w:keepLines/>
                              <w:rPr>
                                <w:lang w:eastAsia="en-AU"/>
                              </w:rPr>
                            </w:pPr>
                          </w:p>
                          <w:p w14:paraId="477D3125" w14:textId="77777777" w:rsidR="008B6A31" w:rsidRDefault="008B6A31" w:rsidP="008B6A31">
                            <w:pPr>
                              <w:pStyle w:val="EPPfiguresource"/>
                              <w:keepNext/>
                              <w:keepLines/>
                              <w:rPr>
                                <w:lang w:eastAsia="en-AU"/>
                              </w:rPr>
                            </w:pPr>
                          </w:p>
                          <w:p w14:paraId="48457F71" w14:textId="61B2E44D" w:rsidR="008B6A31" w:rsidRDefault="008B6A31" w:rsidP="008B6A31">
                            <w:pPr>
                              <w:pStyle w:val="EPPfiguresource"/>
                              <w:keepNext/>
                              <w:keepLines/>
                              <w:rPr>
                                <w:lang w:eastAsia="en-AU"/>
                              </w:rPr>
                            </w:pPr>
                          </w:p>
                          <w:p w14:paraId="26ED42E7" w14:textId="69BE135E" w:rsidR="008B6A31" w:rsidRDefault="008B6A31" w:rsidP="008B6A31">
                            <w:pPr>
                              <w:pStyle w:val="EPPfiguresource"/>
                              <w:keepNext/>
                              <w:keepLines/>
                              <w:rPr>
                                <w:lang w:eastAsia="en-AU"/>
                              </w:rPr>
                            </w:pPr>
                          </w:p>
                          <w:p w14:paraId="3BF9EB38" w14:textId="2FF7E97F" w:rsidR="008B6A31" w:rsidRDefault="008B6A31" w:rsidP="008B6A31">
                            <w:pPr>
                              <w:pStyle w:val="EPPfiguresource"/>
                              <w:keepNext/>
                              <w:keepLines/>
                              <w:rPr>
                                <w:lang w:eastAsia="en-AU"/>
                              </w:rPr>
                            </w:pPr>
                          </w:p>
                          <w:p w14:paraId="54C56EEC" w14:textId="48AB4872" w:rsidR="008B6A31" w:rsidRDefault="008B6A31" w:rsidP="008B6A31">
                            <w:pPr>
                              <w:pStyle w:val="EPPfiguresource"/>
                              <w:keepNext/>
                              <w:keepLines/>
                              <w:rPr>
                                <w:lang w:eastAsia="en-AU"/>
                              </w:rPr>
                            </w:pPr>
                          </w:p>
                          <w:p w14:paraId="6E072BEE" w14:textId="3AF00E55" w:rsidR="008B6A31" w:rsidRDefault="008B6A31" w:rsidP="008B6A31">
                            <w:pPr>
                              <w:pStyle w:val="EPPfiguresource"/>
                              <w:keepNext/>
                              <w:keepLines/>
                              <w:rPr>
                                <w:lang w:eastAsia="en-AU"/>
                              </w:rPr>
                            </w:pPr>
                          </w:p>
                          <w:p w14:paraId="18FBDB9D" w14:textId="77777777" w:rsidR="008B6A31" w:rsidRDefault="008B6A31" w:rsidP="008B6A31">
                            <w:pPr>
                              <w:pStyle w:val="NormalWeb"/>
                              <w:spacing w:before="120" w:beforeAutospacing="0" w:after="80" w:afterAutospacing="0"/>
                              <w:rPr>
                                <w:rFonts w:ascii="Calibri" w:hAnsi="Calibri" w:cs="Calibri"/>
                                <w:color w:val="000000"/>
                                <w:sz w:val="16"/>
                                <w:szCs w:val="16"/>
                              </w:rPr>
                            </w:pPr>
                            <w:r>
                              <w:rPr>
                                <w:rFonts w:ascii="Calibri" w:hAnsi="Calibri" w:cs="Calibri"/>
                                <w:color w:val="000000"/>
                                <w:sz w:val="16"/>
                                <w:szCs w:val="16"/>
                                <w:lang w:val="en-US"/>
                              </w:rPr>
                              <w:t xml:space="preserve">Source: </w:t>
                            </w:r>
                            <w:r>
                              <w:rPr>
                                <w:rFonts w:ascii="Calibri" w:hAnsi="Calibri" w:cs="Calibri"/>
                                <w:color w:val="000000"/>
                                <w:sz w:val="16"/>
                                <w:szCs w:val="16"/>
                              </w:rPr>
                              <w:t>DCCEEW, Australia</w:t>
                            </w:r>
                            <w:r>
                              <w:rPr>
                                <w:rFonts w:ascii="Calibri" w:hAnsi="Calibri" w:cs="Calibri"/>
                                <w:color w:val="000000"/>
                                <w:sz w:val="16"/>
                                <w:szCs w:val="16"/>
                                <w:lang w:val="x-none"/>
                              </w:rPr>
                              <w:t>’</w:t>
                            </w:r>
                            <w:r>
                              <w:rPr>
                                <w:rFonts w:ascii="Calibri" w:hAnsi="Calibri" w:cs="Calibri"/>
                                <w:color w:val="000000"/>
                                <w:sz w:val="16"/>
                                <w:szCs w:val="16"/>
                              </w:rPr>
                              <w:t>s emissions projections 2023, Australian Government,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88972" id="Text Box 29" o:spid="_x0000_s1031" type="#_x0000_t202" style="position:absolute;left:0;text-align:left;margin-left:-.05pt;margin-top:67.5pt;width:227.05pt;height:276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" stroked="f">
                <v:textbox inset="0,0,0,0">
                  <w:txbxContent>
                    <w:p w14:paraId="4FEE55AB" w14:textId="147BCC23" w:rsidR="00A7420B" w:rsidRPr="00685CB8" w:rsidRDefault="00A7420B" w:rsidP="00685CB8">
                      <w:pPr>
                        <w:rPr>
                          <w:b/>
                        </w:rPr>
                      </w:pPr>
                      <w:bookmarkStart w:id="3" w:name="_Toc159411915"/>
                      <w:r w:rsidRPr="00685CB8">
                        <w:rPr>
                          <w:b/>
                        </w:rPr>
                        <w:t>Road vehicles are responsible for the majority of transport emissions</w:t>
                      </w:r>
                      <w:bookmarkEnd w:id="3"/>
                    </w:p>
                    <w:p w14:paraId="0911B9D0" w14:textId="5036519C" w:rsidR="00A7420B" w:rsidRDefault="00A7420B" w:rsidP="008B6A31">
                      <w:pPr>
                        <w:pStyle w:val="EPPfiguresource"/>
                        <w:keepNext/>
                        <w:keepLines/>
                        <w:rPr>
                          <w:lang w:eastAsia="en-AU"/>
                        </w:rPr>
                      </w:pPr>
                      <w:r>
                        <w:rPr>
                          <w:lang w:eastAsia="en-AU"/>
                        </w:rPr>
                        <w:t>Emission trends from the transport sector projected to 2035</w:t>
                      </w:r>
                    </w:p>
                    <w:p w14:paraId="4EE5B78C" w14:textId="0ED9C842" w:rsidR="008B6A31" w:rsidRDefault="008B6A31" w:rsidP="008B6A31">
                      <w:pPr>
                        <w:pStyle w:val="EPPfiguresource"/>
                        <w:keepNext/>
                        <w:keepLines/>
                        <w:rPr>
                          <w:lang w:eastAsia="en-AU"/>
                        </w:rPr>
                      </w:pPr>
                    </w:p>
                    <w:p w14:paraId="53E45661" w14:textId="40F8415F" w:rsidR="008B6A31" w:rsidRDefault="008B6A31" w:rsidP="008B6A31">
                      <w:pPr>
                        <w:pStyle w:val="EPPfiguresource"/>
                        <w:keepNext/>
                        <w:keepLines/>
                        <w:rPr>
                          <w:lang w:eastAsia="en-AU"/>
                        </w:rPr>
                      </w:pPr>
                    </w:p>
                    <w:p w14:paraId="0EF0BBAC" w14:textId="1D97113E" w:rsidR="008B6A31" w:rsidRDefault="008B6A31" w:rsidP="008B6A31">
                      <w:pPr>
                        <w:pStyle w:val="EPPfiguresource"/>
                        <w:keepNext/>
                        <w:keepLines/>
                        <w:rPr>
                          <w:lang w:eastAsia="en-AU"/>
                        </w:rPr>
                      </w:pPr>
                    </w:p>
                    <w:p w14:paraId="477D3125" w14:textId="77777777" w:rsidR="008B6A31" w:rsidRDefault="008B6A31" w:rsidP="008B6A31">
                      <w:pPr>
                        <w:pStyle w:val="EPPfiguresource"/>
                        <w:keepNext/>
                        <w:keepLines/>
                        <w:rPr>
                          <w:lang w:eastAsia="en-AU"/>
                        </w:rPr>
                      </w:pPr>
                    </w:p>
                    <w:p w14:paraId="48457F71" w14:textId="61B2E44D" w:rsidR="008B6A31" w:rsidRDefault="008B6A31" w:rsidP="008B6A31">
                      <w:pPr>
                        <w:pStyle w:val="EPPfiguresource"/>
                        <w:keepNext/>
                        <w:keepLines/>
                        <w:rPr>
                          <w:lang w:eastAsia="en-AU"/>
                        </w:rPr>
                      </w:pPr>
                    </w:p>
                    <w:p w14:paraId="26ED42E7" w14:textId="69BE135E" w:rsidR="008B6A31" w:rsidRDefault="008B6A31" w:rsidP="008B6A31">
                      <w:pPr>
                        <w:pStyle w:val="EPPfiguresource"/>
                        <w:keepNext/>
                        <w:keepLines/>
                        <w:rPr>
                          <w:lang w:eastAsia="en-AU"/>
                        </w:rPr>
                      </w:pPr>
                    </w:p>
                    <w:p w14:paraId="3BF9EB38" w14:textId="2FF7E97F" w:rsidR="008B6A31" w:rsidRDefault="008B6A31" w:rsidP="008B6A31">
                      <w:pPr>
                        <w:pStyle w:val="EPPfiguresource"/>
                        <w:keepNext/>
                        <w:keepLines/>
                        <w:rPr>
                          <w:lang w:eastAsia="en-AU"/>
                        </w:rPr>
                      </w:pPr>
                    </w:p>
                    <w:p w14:paraId="54C56EEC" w14:textId="48AB4872" w:rsidR="008B6A31" w:rsidRDefault="008B6A31" w:rsidP="008B6A31">
                      <w:pPr>
                        <w:pStyle w:val="EPPfiguresource"/>
                        <w:keepNext/>
                        <w:keepLines/>
                        <w:rPr>
                          <w:lang w:eastAsia="en-AU"/>
                        </w:rPr>
                      </w:pPr>
                    </w:p>
                    <w:p w14:paraId="6E072BEE" w14:textId="3AF00E55" w:rsidR="008B6A31" w:rsidRDefault="008B6A31" w:rsidP="008B6A31">
                      <w:pPr>
                        <w:pStyle w:val="EPPfiguresource"/>
                        <w:keepNext/>
                        <w:keepLines/>
                        <w:rPr>
                          <w:lang w:eastAsia="en-AU"/>
                        </w:rPr>
                      </w:pPr>
                    </w:p>
                    <w:p w14:paraId="18FBDB9D" w14:textId="77777777" w:rsidR="008B6A31" w:rsidRDefault="008B6A31" w:rsidP="008B6A31">
                      <w:pPr>
                        <w:pStyle w:val="NormalWeb"/>
                        <w:spacing w:before="120" w:beforeAutospacing="0" w:after="80" w:afterAutospacing="0"/>
                        <w:rPr>
                          <w:rFonts w:ascii="Calibri" w:hAnsi="Calibri" w:cs="Calibri"/>
                          <w:color w:val="000000"/>
                          <w:sz w:val="16"/>
                          <w:szCs w:val="16"/>
                        </w:rPr>
                      </w:pPr>
                      <w:r>
                        <w:rPr>
                          <w:rFonts w:ascii="Calibri" w:hAnsi="Calibri" w:cs="Calibri"/>
                          <w:color w:val="000000"/>
                          <w:sz w:val="16"/>
                          <w:szCs w:val="16"/>
                          <w:lang w:val="en-US"/>
                        </w:rPr>
                        <w:t xml:space="preserve">Source: </w:t>
                      </w:r>
                      <w:r>
                        <w:rPr>
                          <w:rFonts w:ascii="Calibri" w:hAnsi="Calibri" w:cs="Calibri"/>
                          <w:color w:val="000000"/>
                          <w:sz w:val="16"/>
                          <w:szCs w:val="16"/>
                        </w:rPr>
                        <w:t>DCCEEW, Australia</w:t>
                      </w:r>
                      <w:r>
                        <w:rPr>
                          <w:rFonts w:ascii="Calibri" w:hAnsi="Calibri" w:cs="Calibri"/>
                          <w:color w:val="000000"/>
                          <w:sz w:val="16"/>
                          <w:szCs w:val="16"/>
                          <w:lang w:val="x-none"/>
                        </w:rPr>
                        <w:t>’</w:t>
                      </w:r>
                      <w:r>
                        <w:rPr>
                          <w:rFonts w:ascii="Calibri" w:hAnsi="Calibri" w:cs="Calibri"/>
                          <w:color w:val="000000"/>
                          <w:sz w:val="16"/>
                          <w:szCs w:val="16"/>
                        </w:rPr>
                        <w:t>s emissions projections 2023, Australian Government, 2023.</w:t>
                      </w:r>
                    </w:p>
                  </w:txbxContent>
                </v:textbox>
                <w10:wrap type="square" anchorx="margin"/>
              </v:shape>
            </w:pict>
          </mc:Fallback>
        </mc:AlternateContent>
      </w:r>
      <w:r w:rsidR="00B257D1" w:rsidRPr="00742989">
        <w:t xml:space="preserve">Road transport is the main source of transport emissions (at around 83%), with emissions from light vehicles alone (passenger cars, motorcycles and light commercial vehicles) responsible for almost 60% of the sector’s emissions. Heavy vehicle emissions account for 23% of all transport emissions. After light vehicles, heavy vehicles present the largest abatement opportunity for the transport sector. Emissions from domestic aviation are </w:t>
      </w:r>
      <w:r w:rsidR="00E74580" w:rsidRPr="00742989">
        <w:t>9</w:t>
      </w:r>
      <w:r w:rsidR="00B257D1" w:rsidRPr="00742989">
        <w:t>% of transport emissions, rail roughly 4% and domestic maritime roughly 2%. It is estimated that the embodied emissions in transport infrastructure account</w:t>
      </w:r>
      <w:r w:rsidR="003D28C5">
        <w:t>s</w:t>
      </w:r>
      <w:r w:rsidR="00B257D1" w:rsidRPr="00742989">
        <w:t xml:space="preserve"> for </w:t>
      </w:r>
      <w:r w:rsidR="00F03BB6">
        <w:t xml:space="preserve">approximately </w:t>
      </w:r>
      <w:r w:rsidR="00B257D1" w:rsidRPr="00742989">
        <w:t xml:space="preserve">3% of Australia’s total emissions. </w:t>
      </w:r>
    </w:p>
    <w:p w14:paraId="1C569342" w14:textId="133DF05B" w:rsidR="00671BE7" w:rsidRPr="00742989" w:rsidRDefault="008B6A31" w:rsidP="00671BE7">
      <w:r w:rsidRPr="00742989">
        <w:rPr>
          <w:noProof/>
        </w:rPr>
        <w:drawing>
          <wp:anchor distT="0" distB="0" distL="114300" distR="114300" simplePos="0" relativeHeight="251658295" behindDoc="0" locked="0" layoutInCell="1" allowOverlap="1" wp14:anchorId="7A7E5C66" wp14:editId="7F8B39D1">
            <wp:simplePos x="0" y="0"/>
            <wp:positionH relativeFrom="margin">
              <wp:posOffset>-635</wp:posOffset>
            </wp:positionH>
            <wp:positionV relativeFrom="paragraph">
              <wp:posOffset>250825</wp:posOffset>
            </wp:positionV>
            <wp:extent cx="2762250" cy="2628900"/>
            <wp:effectExtent l="0" t="0" r="0" b="0"/>
            <wp:wrapSquare wrapText="bothSides"/>
            <wp:docPr id="32" name="Picture 32" descr="This area chart shows transport emissions from 1990 projected out to 2035. The chart shows five segments: road – light vehicles, road – heavy vehicles, rail, maritime and aviation. As of 2023, road – light vehicles accounted for 59 Mt of CO2e, road – heavy vehicles emitted 23 Mt of CO2e, rail emitted 4 Mt of CO2e, maritime emitted 2 Mt of CO2e, and aviation emitted 9 Mt of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2628900"/>
                    </a:xfrm>
                    <a:prstGeom prst="rect">
                      <a:avLst/>
                    </a:prstGeom>
                    <a:noFill/>
                  </pic:spPr>
                </pic:pic>
              </a:graphicData>
            </a:graphic>
            <wp14:sizeRelH relativeFrom="margin">
              <wp14:pctWidth>0</wp14:pctWidth>
            </wp14:sizeRelH>
            <wp14:sizeRelV relativeFrom="margin">
              <wp14:pctHeight>0</wp14:pctHeight>
            </wp14:sizeRelV>
          </wp:anchor>
        </w:drawing>
      </w:r>
      <w:r w:rsidR="00D0471F" w:rsidRPr="00742989">
        <w:t>T</w:t>
      </w:r>
      <w:r w:rsidR="00671BE7" w:rsidRPr="00742989">
        <w:t>ransport activity is also expected to continue to increase to 2050</w:t>
      </w:r>
      <w:r w:rsidR="00D0471F" w:rsidRPr="00742989">
        <w:t xml:space="preserve"> in line with</w:t>
      </w:r>
      <w:r w:rsidR="00FB6206" w:rsidRPr="00742989">
        <w:t xml:space="preserve"> population and</w:t>
      </w:r>
      <w:r w:rsidR="00D0471F" w:rsidRPr="00742989">
        <w:t xml:space="preserve"> economic growth</w:t>
      </w:r>
      <w:r w:rsidR="00671BE7" w:rsidRPr="00742989">
        <w:t>. The challenge is that</w:t>
      </w:r>
      <w:r w:rsidR="00F9139B">
        <w:t>,</w:t>
      </w:r>
      <w:r w:rsidR="00671BE7" w:rsidRPr="00742989">
        <w:t xml:space="preserve"> at the same time transport activity is projected to increase, we need to be reducing transport emissions. </w:t>
      </w:r>
      <w:r w:rsidR="00521235" w:rsidRPr="00742989">
        <w:t xml:space="preserve">The projected emissions associated with our growing transport task </w:t>
      </w:r>
      <w:r w:rsidR="00830606" w:rsidRPr="00742989">
        <w:t>are</w:t>
      </w:r>
      <w:r w:rsidR="00521235" w:rsidRPr="00742989">
        <w:t xml:space="preserve"> outlined in </w:t>
      </w:r>
      <w:r w:rsidR="00114EC7" w:rsidRPr="00742989">
        <w:t xml:space="preserve">detail in </w:t>
      </w:r>
      <w:r w:rsidR="007D5F58">
        <w:t>chapter</w:t>
      </w:r>
      <w:r w:rsidR="00521235" w:rsidRPr="00742989">
        <w:t xml:space="preserve"> 1.2 of this Consultation Roadmap.</w:t>
      </w:r>
    </w:p>
    <w:p w14:paraId="405BFEC1" w14:textId="275354DB" w:rsidR="00671BE7" w:rsidRPr="00742989" w:rsidRDefault="00671BE7" w:rsidP="00671BE7">
      <w:r w:rsidRPr="00742989">
        <w:t xml:space="preserve">The </w:t>
      </w:r>
      <w:r w:rsidR="00016484">
        <w:t>g</w:t>
      </w:r>
      <w:r w:rsidRPr="00742989">
        <w:t xml:space="preserve">overnment has a range of policy roles that can steer Australia to net zero: </w:t>
      </w:r>
      <w:r w:rsidRPr="00742989">
        <w:rPr>
          <w:i/>
        </w:rPr>
        <w:t>leadership</w:t>
      </w:r>
      <w:r w:rsidR="00F9139B">
        <w:t>,</w:t>
      </w:r>
      <w:r w:rsidRPr="00742989">
        <w:t xml:space="preserve"> </w:t>
      </w:r>
      <w:r w:rsidRPr="00742989">
        <w:rPr>
          <w:i/>
        </w:rPr>
        <w:t>investment</w:t>
      </w:r>
      <w:r w:rsidRPr="00742989">
        <w:t xml:space="preserve"> and </w:t>
      </w:r>
      <w:r w:rsidRPr="00742989">
        <w:rPr>
          <w:i/>
        </w:rPr>
        <w:t>regulation</w:t>
      </w:r>
      <w:r w:rsidRPr="00742989">
        <w:t xml:space="preserve">. Several key principles will guide how the </w:t>
      </w:r>
      <w:r w:rsidR="00016484">
        <w:t>g</w:t>
      </w:r>
      <w:r w:rsidRPr="00742989">
        <w:t xml:space="preserve">overnment exercises these roles in developing the final Action Plan. We will seek to </w:t>
      </w:r>
      <w:r w:rsidRPr="00742989">
        <w:rPr>
          <w:i/>
        </w:rPr>
        <w:t>maximise emissions reduction</w:t>
      </w:r>
      <w:r w:rsidRPr="00742989">
        <w:t xml:space="preserve"> and</w:t>
      </w:r>
      <w:r w:rsidR="00902F86" w:rsidRPr="00742989">
        <w:t xml:space="preserve"> </w:t>
      </w:r>
      <w:r w:rsidR="00902F86" w:rsidRPr="00742989">
        <w:rPr>
          <w:i/>
        </w:rPr>
        <w:t>economic opportunities</w:t>
      </w:r>
      <w:r w:rsidR="00902F86" w:rsidRPr="00742989">
        <w:t xml:space="preserve"> by</w:t>
      </w:r>
      <w:r w:rsidRPr="00742989">
        <w:t xml:space="preserve"> provid</w:t>
      </w:r>
      <w:r w:rsidR="00902F86" w:rsidRPr="00742989">
        <w:t>ing</w:t>
      </w:r>
      <w:r w:rsidRPr="00742989">
        <w:t xml:space="preserve"> </w:t>
      </w:r>
      <w:r w:rsidRPr="00742989">
        <w:rPr>
          <w:i/>
        </w:rPr>
        <w:t>value for money</w:t>
      </w:r>
      <w:r w:rsidRPr="00742989">
        <w:t xml:space="preserve"> in an </w:t>
      </w:r>
      <w:r w:rsidRPr="00742989">
        <w:rPr>
          <w:i/>
        </w:rPr>
        <w:t>inclusive and equitable</w:t>
      </w:r>
      <w:r w:rsidRPr="00742989">
        <w:t xml:space="preserve"> way that is </w:t>
      </w:r>
      <w:r w:rsidRPr="00742989">
        <w:rPr>
          <w:i/>
        </w:rPr>
        <w:t>evidence-based</w:t>
      </w:r>
      <w:r w:rsidRPr="00742989">
        <w:t>.</w:t>
      </w:r>
    </w:p>
    <w:p w14:paraId="2448F94C" w14:textId="603D8DC4" w:rsidR="00671BE7" w:rsidRPr="00742989" w:rsidRDefault="00671BE7" w:rsidP="00671BE7">
      <w:r w:rsidRPr="00742989">
        <w:t xml:space="preserve">We will also </w:t>
      </w:r>
      <w:r w:rsidRPr="00742989">
        <w:rPr>
          <w:i/>
        </w:rPr>
        <w:t>build on existing effort and knowledge</w:t>
      </w:r>
      <w:r w:rsidRPr="00742989">
        <w:t xml:space="preserve">, acknowledging a range of actions have already been taken by governments, industry and communities to address climate change. As action on climate change is a shared responsibility, we will continue to </w:t>
      </w:r>
      <w:r w:rsidRPr="00742989">
        <w:rPr>
          <w:i/>
        </w:rPr>
        <w:t>work in partnership</w:t>
      </w:r>
      <w:r w:rsidRPr="00742989">
        <w:t xml:space="preserve"> to reach net zero, especially with state and territory governments, industry, communities and international organisations. It is also necessary to work across </w:t>
      </w:r>
      <w:r w:rsidRPr="00742989">
        <w:rPr>
          <w:i/>
        </w:rPr>
        <w:t>multiple timeframes</w:t>
      </w:r>
      <w:r w:rsidRPr="00742989">
        <w:t xml:space="preserve">, considering actions that can be achieved in the short (2024-2030), medium (2030-2040) and long term (2040-2050). We will also look to embed resilience to current and future climate change in </w:t>
      </w:r>
      <w:r w:rsidR="00F04A62" w:rsidRPr="00742989">
        <w:t>developing the final Action Plan.</w:t>
      </w:r>
    </w:p>
    <w:p w14:paraId="1E90A184" w14:textId="6508FB93" w:rsidR="00671BE7" w:rsidRPr="00742989" w:rsidRDefault="00671BE7" w:rsidP="00671BE7">
      <w:r w:rsidRPr="00742989">
        <w:t xml:space="preserve">Across these multiple timeframes it is necessary to consider abatement opportunities </w:t>
      </w:r>
      <w:r w:rsidR="00C00611" w:rsidRPr="00742989">
        <w:t>throughout</w:t>
      </w:r>
      <w:r w:rsidRPr="00742989">
        <w:t xml:space="preserve"> our transport systems (</w:t>
      </w:r>
      <w:r w:rsidR="00521235" w:rsidRPr="00742989">
        <w:t xml:space="preserve">chapter 2 looks at </w:t>
      </w:r>
      <w:r w:rsidRPr="00742989">
        <w:t>how people and goods move around our vast country), all four transport modes (</w:t>
      </w:r>
      <w:r w:rsidR="00521235" w:rsidRPr="00742989">
        <w:t xml:space="preserve">chapter </w:t>
      </w:r>
      <w:r w:rsidR="008404E2" w:rsidRPr="00742989">
        <w:t>3 breaks down the opportunities for</w:t>
      </w:r>
      <w:r w:rsidR="00521235" w:rsidRPr="00742989">
        <w:t xml:space="preserve"> </w:t>
      </w:r>
      <w:r w:rsidRPr="00742989">
        <w:t>road, rail, maritime and aviation) and the enabling inputs and policies (</w:t>
      </w:r>
      <w:r w:rsidR="008404E2" w:rsidRPr="00742989">
        <w:t xml:space="preserve">chapter 4 considers </w:t>
      </w:r>
      <w:r w:rsidRPr="00742989">
        <w:t xml:space="preserve">transport infrastructure and </w:t>
      </w:r>
      <w:r w:rsidR="008404E2" w:rsidRPr="00742989">
        <w:t>transport’s energy use</w:t>
      </w:r>
      <w:r w:rsidRPr="00742989">
        <w:t>).</w:t>
      </w:r>
    </w:p>
    <w:p w14:paraId="2D9114AE" w14:textId="744F355B" w:rsidR="00671BE7" w:rsidRPr="00742989" w:rsidRDefault="006E745C" w:rsidP="00671BE7">
      <w:pPr>
        <w:pStyle w:val="Heading5"/>
        <w:rPr>
          <w:color w:val="auto"/>
          <w:u w:val="single"/>
        </w:rPr>
      </w:pPr>
      <w:bookmarkStart w:id="4" w:name="_Chapter_2_–"/>
      <w:bookmarkEnd w:id="4"/>
      <w:r w:rsidRPr="006E745C">
        <w:rPr>
          <w:color w:val="auto"/>
          <w:u w:val="single"/>
        </w:rPr>
        <w:t>Chapter 2 – Rethinking our transport networks and systems</w:t>
      </w:r>
    </w:p>
    <w:p w14:paraId="31D314E1" w14:textId="76AE7350" w:rsidR="00671BE7" w:rsidRPr="00742989" w:rsidRDefault="00CE32A0" w:rsidP="00671BE7">
      <w:r w:rsidRPr="00742989">
        <w:t xml:space="preserve">Chapter 2 </w:t>
      </w:r>
      <w:r w:rsidR="002041C0" w:rsidRPr="00742989">
        <w:t>outlines</w:t>
      </w:r>
      <w:r w:rsidRPr="00742989">
        <w:t xml:space="preserve"> how our transport networks and systems can </w:t>
      </w:r>
      <w:r w:rsidR="002041C0" w:rsidRPr="00742989">
        <w:t>support</w:t>
      </w:r>
      <w:r w:rsidRPr="00742989">
        <w:t xml:space="preserve"> </w:t>
      </w:r>
      <w:r w:rsidR="002041C0" w:rsidRPr="00742989">
        <w:t>decarbonisation.</w:t>
      </w:r>
      <w:r w:rsidRPr="00742989">
        <w:t xml:space="preserve"> </w:t>
      </w:r>
      <w:r w:rsidR="00671BE7" w:rsidRPr="00742989">
        <w:t xml:space="preserve">There are opportunities to reduce emissions by promoting better planning and increased use of digital communication technologies. Transport systems and networks can also be designed to encourage a shift to sustainable, low emissions ways of moving people and goods, such as </w:t>
      </w:r>
      <w:r w:rsidR="002C0C87">
        <w:t xml:space="preserve">active and </w:t>
      </w:r>
      <w:r w:rsidR="00671BE7" w:rsidRPr="00742989">
        <w:t>public transport</w:t>
      </w:r>
      <w:r w:rsidR="00C91C1E">
        <w:t xml:space="preserve"> for moving people</w:t>
      </w:r>
      <w:r w:rsidR="00671BE7" w:rsidRPr="00742989">
        <w:t>.</w:t>
      </w:r>
      <w:r w:rsidR="0099719F" w:rsidRPr="00742989">
        <w:t xml:space="preserve"> </w:t>
      </w:r>
      <w:r w:rsidR="0056682F" w:rsidRPr="00742989">
        <w:t>Chapter 2.1 considers</w:t>
      </w:r>
      <w:r w:rsidR="008A7886" w:rsidRPr="00742989">
        <w:t xml:space="preserve"> the movement of people and chapter 2.2 looks at the movement of goods. </w:t>
      </w:r>
    </w:p>
    <w:p w14:paraId="09D4C206" w14:textId="26E65C35" w:rsidR="00671BE7" w:rsidRPr="00742989" w:rsidRDefault="00847C33" w:rsidP="00671BE7">
      <w:r>
        <w:t>A</w:t>
      </w:r>
      <w:r w:rsidR="00671BE7" w:rsidRPr="00742989">
        <w:t xml:space="preserve">ctive and public transport </w:t>
      </w:r>
      <w:r w:rsidR="00CA35C4">
        <w:t>can</w:t>
      </w:r>
      <w:r w:rsidR="00C26AB4">
        <w:t xml:space="preserve"> </w:t>
      </w:r>
      <w:r w:rsidR="00671BE7" w:rsidRPr="00742989">
        <w:t xml:space="preserve">ease congestion, reduce harmful pollution, </w:t>
      </w:r>
      <w:r w:rsidR="00E7096E">
        <w:t xml:space="preserve">reduce </w:t>
      </w:r>
      <w:r w:rsidR="00671BE7" w:rsidRPr="00742989">
        <w:t xml:space="preserve">heat and noise, decrease household transport costs and provide health benefits from increased physical activity levels. Achieving higher rates of active and public travel will require investment in electrified public transport and improvements in the safety, connectivity and convenience </w:t>
      </w:r>
      <w:r w:rsidR="00671BE7" w:rsidRPr="0073600A">
        <w:t>of walking and cycling infrastructure. All levels of government, especially state and local governments, will need to continue to work together on the planning, design and delivery of this transport and infrastructure investment.</w:t>
      </w:r>
      <w:r w:rsidRPr="0073600A">
        <w:t xml:space="preserve"> The Australian Government’s $100 million investment in a new Active Transport Fund open to states and territories will ensure people who want to walk and cycle in their local community can do so.</w:t>
      </w:r>
    </w:p>
    <w:p w14:paraId="42242231" w14:textId="016CD9B4" w:rsidR="00671BE7" w:rsidRPr="00742989" w:rsidRDefault="00671BE7" w:rsidP="00671BE7">
      <w:r w:rsidRPr="00742989">
        <w:t xml:space="preserve">A </w:t>
      </w:r>
      <w:r w:rsidRPr="00742989">
        <w:rPr>
          <w:i/>
        </w:rPr>
        <w:t>shift</w:t>
      </w:r>
      <w:r w:rsidRPr="00742989">
        <w:t xml:space="preserve"> to sustainable, low emissions ways of moving goods also necessitates an end-to-end consideration of our freight and supply chains. </w:t>
      </w:r>
      <w:r w:rsidRPr="00742989">
        <w:rPr>
          <w:i/>
        </w:rPr>
        <w:t>Improving</w:t>
      </w:r>
      <w:r w:rsidRPr="00742989">
        <w:t xml:space="preserve"> efficiency by adopting low or zero emission technologies across the </w:t>
      </w:r>
      <w:r w:rsidRPr="00742989">
        <w:lastRenderedPageBreak/>
        <w:t>freight sector must consider the cost impacts on commercial operators and consumers. Increasing access to intermodal facilities, and the share of goods moved on rail, as well as rolling out the required energy and transport infrastructure to enable low and zero emission freight transport modes will be essential to the transition</w:t>
      </w:r>
      <w:r w:rsidR="003511B4" w:rsidRPr="00742989">
        <w:t>.</w:t>
      </w:r>
    </w:p>
    <w:p w14:paraId="7F408C9C" w14:textId="2D828217" w:rsidR="00671BE7" w:rsidRPr="00742989" w:rsidRDefault="00671BE7" w:rsidP="00671BE7">
      <w:r w:rsidRPr="00742989">
        <w:t xml:space="preserve">The </w:t>
      </w:r>
      <w:r w:rsidR="007C62B2">
        <w:t xml:space="preserve">Australian </w:t>
      </w:r>
      <w:r w:rsidRPr="00742989">
        <w:t xml:space="preserve">Government is investing in nationally significant transport infrastructure consistent with the </w:t>
      </w:r>
      <w:r w:rsidRPr="00742989">
        <w:rPr>
          <w:i/>
        </w:rPr>
        <w:t>Infrastructure Policy Statement</w:t>
      </w:r>
      <w:r w:rsidRPr="00742989">
        <w:t>, which sets out three strategic themes to guide investment decisions. One of those themes is Sustainability, which is focused on reducing transport and infrastructure emissions through decarbonising transport operations, reducing emissions in the design, construction and operation of transport infrastructure, and investing in projects that encourage and enable more integrated and sustainable approaches to land use planning.</w:t>
      </w:r>
    </w:p>
    <w:p w14:paraId="6A5F4291" w14:textId="1DBEEA42" w:rsidR="00671BE7" w:rsidRPr="00742989" w:rsidRDefault="006E745C" w:rsidP="00671BE7">
      <w:pPr>
        <w:pStyle w:val="Heading5"/>
        <w:rPr>
          <w:color w:val="auto"/>
        </w:rPr>
      </w:pPr>
      <w:bookmarkStart w:id="5" w:name="_Chapter_3_–"/>
      <w:bookmarkEnd w:id="5"/>
      <w:r w:rsidRPr="006E745C">
        <w:rPr>
          <w:color w:val="auto"/>
        </w:rPr>
        <w:t>Chapter 3 – Net zero pathways for each transport mode</w:t>
      </w:r>
    </w:p>
    <w:p w14:paraId="6389A54B" w14:textId="604D3C5B" w:rsidR="00671BE7" w:rsidRPr="00742989" w:rsidRDefault="00671BE7" w:rsidP="00671BE7">
      <w:r w:rsidRPr="00742989">
        <w:t xml:space="preserve">The pathway to net zero will be different for each transport mode. The approach for each transport mode will require </w:t>
      </w:r>
      <w:r w:rsidR="003E6052">
        <w:t xml:space="preserve">a </w:t>
      </w:r>
      <w:r w:rsidRPr="00742989">
        <w:t xml:space="preserve">mix of technologies, policies and planning, based on evidence, market readiness and science. </w:t>
      </w:r>
      <w:r w:rsidR="00114EC7" w:rsidRPr="00742989">
        <w:t>Chapter 3 outlines</w:t>
      </w:r>
      <w:r w:rsidRPr="00742989">
        <w:t xml:space="preserve"> each </w:t>
      </w:r>
      <w:r w:rsidR="00114EC7" w:rsidRPr="00742989">
        <w:t xml:space="preserve">transport </w:t>
      </w:r>
      <w:r w:rsidRPr="00742989">
        <w:t>mode</w:t>
      </w:r>
      <w:r w:rsidR="003511B4" w:rsidRPr="00742989">
        <w:t xml:space="preserve"> and opportunities</w:t>
      </w:r>
      <w:r w:rsidRPr="00742989">
        <w:t xml:space="preserve"> to </w:t>
      </w:r>
      <w:r w:rsidRPr="00742989">
        <w:rPr>
          <w:i/>
        </w:rPr>
        <w:t>improve</w:t>
      </w:r>
      <w:r w:rsidRPr="00742989">
        <w:t xml:space="preserve"> the technology or efficiency of that mode. </w:t>
      </w:r>
    </w:p>
    <w:p w14:paraId="32970850" w14:textId="32B6A28B" w:rsidR="00671BE7" w:rsidRPr="00742989" w:rsidRDefault="00114EC7" w:rsidP="00671BE7">
      <w:r w:rsidRPr="00742989">
        <w:rPr>
          <w:b/>
          <w:i/>
        </w:rPr>
        <w:t>Road – light vehicles</w:t>
      </w:r>
      <w:r w:rsidRPr="00742989">
        <w:t xml:space="preserve"> (chapter 3.1): </w:t>
      </w:r>
      <w:r w:rsidR="00671BE7" w:rsidRPr="00742989">
        <w:t xml:space="preserve">Road transport presents the largest emissions reduction opportunity. </w:t>
      </w:r>
      <w:r w:rsidR="006446B6">
        <w:t>The decarbonisation pathway for l</w:t>
      </w:r>
      <w:r w:rsidR="00671BE7" w:rsidRPr="00742989">
        <w:t xml:space="preserve">ight vehicles </w:t>
      </w:r>
      <w:r w:rsidR="006446B6">
        <w:t>is</w:t>
      </w:r>
      <w:r w:rsidR="00671BE7" w:rsidRPr="00742989">
        <w:t xml:space="preserve"> fuel efficiency and electrification. That is why the </w:t>
      </w:r>
      <w:r w:rsidR="00016484">
        <w:t>g</w:t>
      </w:r>
      <w:r w:rsidR="00671BE7" w:rsidRPr="00742989">
        <w:t xml:space="preserve">overnment is taking action through an </w:t>
      </w:r>
      <w:r w:rsidR="00671BE7" w:rsidRPr="00742989">
        <w:rPr>
          <w:i/>
        </w:rPr>
        <w:t>Australian New Vehicle Efficiency Standard</w:t>
      </w:r>
      <w:r w:rsidR="00671BE7" w:rsidRPr="00742989">
        <w:t xml:space="preserve"> and the </w:t>
      </w:r>
      <w:r w:rsidR="00671BE7" w:rsidRPr="00742989">
        <w:rPr>
          <w:i/>
        </w:rPr>
        <w:t>National Electric Vehicle Strategy</w:t>
      </w:r>
      <w:r w:rsidR="00671BE7" w:rsidRPr="00742989">
        <w:t>.</w:t>
      </w:r>
    </w:p>
    <w:p w14:paraId="6726A546" w14:textId="027D9921" w:rsidR="00671BE7" w:rsidRPr="00742989" w:rsidRDefault="00671BE7" w:rsidP="00671BE7">
      <w:r w:rsidRPr="00742989">
        <w:t xml:space="preserve">The introduction of an Australian New Vehicle Efficiency Standard will increase the availability of new cleaner, cheaper-to-run vehicles and contribute to a cleaner, greener and more sustainable transport sector over time. It will also </w:t>
      </w:r>
      <w:r w:rsidR="00E406EE" w:rsidRPr="00742989">
        <w:t xml:space="preserve">encourage </w:t>
      </w:r>
      <w:r w:rsidRPr="00742989">
        <w:t xml:space="preserve">supply </w:t>
      </w:r>
      <w:r w:rsidR="00E406EE" w:rsidRPr="00742989">
        <w:t xml:space="preserve">of </w:t>
      </w:r>
      <w:r w:rsidR="00613BC4" w:rsidRPr="00742989">
        <w:t xml:space="preserve">hybrid vehicles and </w:t>
      </w:r>
      <w:r w:rsidRPr="00742989">
        <w:t>zero-emissions vehicles, such as electric vehicles (EVs)</w:t>
      </w:r>
      <w:r w:rsidR="00613BC4" w:rsidRPr="00742989">
        <w:t>,</w:t>
      </w:r>
      <w:r w:rsidRPr="00742989">
        <w:t xml:space="preserve"> to the Australian market. The National Electric Vehicle Strategy is implementing a number of policy initiatives to accelerate the uptake of EVs. Through this Consultation Roadmap</w:t>
      </w:r>
      <w:r w:rsidR="003511B4" w:rsidRPr="00742989">
        <w:t>,</w:t>
      </w:r>
      <w:r w:rsidRPr="00742989">
        <w:t xml:space="preserve"> the </w:t>
      </w:r>
      <w:r w:rsidR="00016484">
        <w:t>g</w:t>
      </w:r>
      <w:r w:rsidRPr="00742989">
        <w:t xml:space="preserve">overnment welcomes ideas </w:t>
      </w:r>
      <w:r w:rsidR="003511B4" w:rsidRPr="00742989">
        <w:t>to reduce</w:t>
      </w:r>
      <w:r w:rsidRPr="00742989">
        <w:t xml:space="preserve"> emissions in the existing light vehicle fleet.</w:t>
      </w:r>
    </w:p>
    <w:p w14:paraId="509F61D2" w14:textId="7AC42026" w:rsidR="00671BE7" w:rsidRPr="00742989" w:rsidRDefault="00114EC7" w:rsidP="00671BE7">
      <w:r w:rsidRPr="00742989">
        <w:rPr>
          <w:b/>
          <w:i/>
        </w:rPr>
        <w:t>Road – heavy vehicles</w:t>
      </w:r>
      <w:r w:rsidRPr="00742989">
        <w:rPr>
          <w:i/>
        </w:rPr>
        <w:t xml:space="preserve"> </w:t>
      </w:r>
      <w:r w:rsidRPr="00742989">
        <w:t xml:space="preserve">(chapter 3.2): </w:t>
      </w:r>
      <w:r w:rsidR="00671BE7" w:rsidRPr="00742989">
        <w:t>The pathway for heavy vehicles is not as clear as it is for light vehicles. Battery electric trucks may be limited to shorter distances with lighter payloads until battery technology and charging infrastructure improves. Hydrogen or low carbon liquid fuels</w:t>
      </w:r>
      <w:r w:rsidR="00AC7F5B" w:rsidRPr="00742989">
        <w:t xml:space="preserve"> </w:t>
      </w:r>
      <w:r w:rsidR="00671BE7" w:rsidRPr="00742989">
        <w:t xml:space="preserve">may be required for larger payloads and distances. </w:t>
      </w:r>
    </w:p>
    <w:p w14:paraId="46958A12" w14:textId="2F865B61" w:rsidR="003E0381" w:rsidRPr="00742989" w:rsidRDefault="00671BE7" w:rsidP="00E950D3">
      <w:pPr>
        <w:rPr>
          <w:rFonts w:ascii="Calibri" w:hAnsi="Calibri" w:cs="Arial Unicode MS"/>
          <w:color w:val="000000"/>
          <w:u w:color="000000"/>
          <w:lang w:eastAsia="en-AU"/>
          <w14:textOutline w14:w="12700" w14:cap="flat" w14:cmpd="sng" w14:algn="ctr">
            <w14:noFill/>
            <w14:prstDash w14:val="solid"/>
            <w14:miter w14:lim="400000"/>
          </w14:textOutline>
        </w:rPr>
      </w:pPr>
      <w:r w:rsidRPr="00742989">
        <w:t xml:space="preserve">The </w:t>
      </w:r>
      <w:r w:rsidR="00016484">
        <w:t>g</w:t>
      </w:r>
      <w:r w:rsidRPr="00742989">
        <w:t>overnment is currently working with the states and territories to remove regulatory barriers (width and mass limits)</w:t>
      </w:r>
      <w:r w:rsidR="003E0381">
        <w:t xml:space="preserve"> to support Euro VI standards. </w:t>
      </w:r>
      <w:r w:rsidR="003E0381" w:rsidRPr="003E0381">
        <w:t>Introducing Euro VI will mean manufacturers must add the advanced safety and fuel-saving technologies to Australian models that other countries already have. This will help improve safety outcomes and contribute to our emissions reduction targets.</w:t>
      </w:r>
      <w:r w:rsidR="003E0381" w:rsidRPr="00742989" w:rsidDel="003E0381">
        <w:t xml:space="preserve"> </w:t>
      </w:r>
      <w:r w:rsidR="003E0381">
        <w:rPr>
          <w:rFonts w:ascii="Calibri" w:hAnsi="Calibri" w:cs="Arial Unicode MS"/>
          <w:color w:val="000000"/>
          <w:u w:color="000000"/>
          <w:lang w:eastAsia="en-AU"/>
          <w14:textOutline w14:w="12700" w14:cap="flat" w14:cmpd="sng" w14:algn="ctr">
            <w14:noFill/>
            <w14:prstDash w14:val="solid"/>
            <w14:miter w14:lim="400000"/>
          </w14:textOutline>
        </w:rPr>
        <w:t xml:space="preserve">However, the reforms to mass limits to support Euro VI will not, by themselves, be enough to overcome the productivity penalty that zero emission trucks face as a result of their heavy batteries. </w:t>
      </w:r>
      <w:r w:rsidR="003E0381" w:rsidRPr="00E56253">
        <w:rPr>
          <w:rFonts w:ascii="Calibri" w:hAnsi="Calibri" w:cs="Arial Unicode MS"/>
          <w:color w:val="000000"/>
          <w:u w:color="000000"/>
          <w:lang w:eastAsia="en-AU"/>
          <w14:textOutline w14:w="12700" w14:cap="flat" w14:cmpd="sng" w14:algn="ctr">
            <w14:noFill/>
            <w14:prstDash w14:val="solid"/>
            <w14:miter w14:lim="400000"/>
          </w14:textOutline>
        </w:rPr>
        <w:t xml:space="preserve">Australia’s steer axle mass limit, currently at 6.5 tonnes, </w:t>
      </w:r>
      <w:r w:rsidR="003E0381">
        <w:rPr>
          <w:rFonts w:ascii="Calibri" w:hAnsi="Calibri" w:cs="Arial Unicode MS"/>
          <w:color w:val="000000"/>
          <w:u w:color="000000"/>
          <w:lang w:eastAsia="en-AU"/>
          <w14:textOutline w14:w="12700" w14:cap="flat" w14:cmpd="sng" w14:algn="ctr">
            <w14:noFill/>
            <w14:prstDash w14:val="solid"/>
            <w14:miter w14:lim="400000"/>
          </w14:textOutline>
        </w:rPr>
        <w:t>will continue to limit</w:t>
      </w:r>
      <w:r w:rsidR="003E0381" w:rsidRPr="00E56253">
        <w:rPr>
          <w:rFonts w:ascii="Calibri" w:hAnsi="Calibri" w:cs="Arial Unicode MS"/>
          <w:color w:val="000000"/>
          <w:u w:color="000000"/>
          <w:lang w:eastAsia="en-AU"/>
          <w14:textOutline w14:w="12700" w14:cap="flat" w14:cmpd="sng" w14:algn="ctr">
            <w14:noFill/>
            <w14:prstDash w14:val="solid"/>
            <w14:miter w14:lim="400000"/>
          </w14:textOutline>
        </w:rPr>
        <w:t xml:space="preserve"> the deployment of larger </w:t>
      </w:r>
      <w:r w:rsidR="003E0381">
        <w:rPr>
          <w:rFonts w:ascii="Calibri" w:hAnsi="Calibri" w:cs="Arial Unicode MS"/>
          <w:color w:val="000000"/>
          <w:u w:color="000000"/>
          <w:lang w:eastAsia="en-AU"/>
          <w14:textOutline w14:w="12700" w14:cap="flat" w14:cmpd="sng" w14:algn="ctr">
            <w14:noFill/>
            <w14:prstDash w14:val="solid"/>
            <w14:miter w14:lim="400000"/>
          </w14:textOutline>
        </w:rPr>
        <w:t>battery electric truck models. Although battery technology may become lighter over time, further reforms to mass limits will be necessary to remove this productivity penalty and increase the range of zero emission trucks available in Australia.</w:t>
      </w:r>
    </w:p>
    <w:p w14:paraId="4B85E046" w14:textId="7863A587" w:rsidR="00671BE7" w:rsidRPr="00742989" w:rsidRDefault="00671BE7" w:rsidP="00671BE7">
      <w:r w:rsidRPr="00742989">
        <w:t>The high upfront cost of switching</w:t>
      </w:r>
      <w:r w:rsidR="003E6052">
        <w:t xml:space="preserve"> to</w:t>
      </w:r>
      <w:r w:rsidRPr="00742989">
        <w:t xml:space="preserve"> low and zero emission heavy vehicles, together with the potential impact heavier vehicles w</w:t>
      </w:r>
      <w:r w:rsidR="00173693">
        <w:t>ould</w:t>
      </w:r>
      <w:r w:rsidRPr="00742989">
        <w:t xml:space="preserve"> have on our road pavements, will remain challenging, even after regulatory barriers have been removed. Through this Consultation Roadmap</w:t>
      </w:r>
      <w:r w:rsidR="003511B4" w:rsidRPr="00742989">
        <w:t>,</w:t>
      </w:r>
      <w:r w:rsidRPr="00742989">
        <w:t xml:space="preserve"> the </w:t>
      </w:r>
      <w:r w:rsidR="00016484">
        <w:t>g</w:t>
      </w:r>
      <w:r w:rsidRPr="00742989">
        <w:t>overnment welcomes ideas to support the supply, uptake and operation of low and zero emission heavy vehicles.</w:t>
      </w:r>
    </w:p>
    <w:p w14:paraId="0B456218" w14:textId="71879B34" w:rsidR="00671BE7" w:rsidRPr="00742989" w:rsidRDefault="00114EC7" w:rsidP="00671BE7">
      <w:r w:rsidRPr="00742989">
        <w:rPr>
          <w:b/>
          <w:i/>
        </w:rPr>
        <w:t>Rail</w:t>
      </w:r>
      <w:r w:rsidRPr="00742989">
        <w:rPr>
          <w:b/>
        </w:rPr>
        <w:t xml:space="preserve"> </w:t>
      </w:r>
      <w:r w:rsidRPr="00742989">
        <w:t xml:space="preserve">(chapter 3.3): </w:t>
      </w:r>
      <w:r w:rsidR="00152CF4" w:rsidRPr="00742989">
        <w:t>R</w:t>
      </w:r>
      <w:r w:rsidR="00671BE7" w:rsidRPr="00742989">
        <w:t>ail is a low-emissions mode of transport</w:t>
      </w:r>
      <w:r w:rsidR="00152CF4" w:rsidRPr="00742989">
        <w:t xml:space="preserve"> when compared to other modes</w:t>
      </w:r>
      <w:r w:rsidR="00671BE7" w:rsidRPr="00742989">
        <w:t>. An efficient and integrated rail system that supports Australia’s passenger and freight tasks is also crucial to our wellbeing and economic outcomes. Where feasible, increasing the share of freight moved on rail will also contribute to reducing overall freight emissions.</w:t>
      </w:r>
    </w:p>
    <w:p w14:paraId="7FD0F2DB" w14:textId="2A2424C4" w:rsidR="00671BE7" w:rsidRPr="00742989" w:rsidRDefault="00671BE7" w:rsidP="00671BE7">
      <w:r w:rsidRPr="00742989">
        <w:t xml:space="preserve">The decarbonisation of our rail sector will require the roll-out of infrastructure to support hydrogen and battery-electric trains, and consideration of policy settings to shift demand away from diesel locomotives. Low carbon liquid fuels could be required for larger payloads and distances until the supporting infrastructure for </w:t>
      </w:r>
      <w:r w:rsidRPr="00742989">
        <w:lastRenderedPageBreak/>
        <w:t xml:space="preserve">electrification is in place. </w:t>
      </w:r>
      <w:r w:rsidR="00AC7F5B" w:rsidRPr="00742989">
        <w:t xml:space="preserve">Through this Consultation Roadmap, the </w:t>
      </w:r>
      <w:r w:rsidR="00016484">
        <w:t>g</w:t>
      </w:r>
      <w:r w:rsidR="00AC7F5B" w:rsidRPr="00742989">
        <w:t>overnment welcomes ideas to support rail decarbonisation.</w:t>
      </w:r>
    </w:p>
    <w:p w14:paraId="0E01A7FC" w14:textId="196E516E" w:rsidR="00671BE7" w:rsidRPr="00742989" w:rsidRDefault="00114EC7" w:rsidP="00671BE7">
      <w:r w:rsidRPr="00742989">
        <w:rPr>
          <w:b/>
          <w:i/>
        </w:rPr>
        <w:t>Maritime</w:t>
      </w:r>
      <w:r w:rsidRPr="00742989">
        <w:rPr>
          <w:i/>
        </w:rPr>
        <w:t xml:space="preserve"> </w:t>
      </w:r>
      <w:r w:rsidRPr="00742989">
        <w:t xml:space="preserve">(chapter 3.4): </w:t>
      </w:r>
      <w:r w:rsidR="00671BE7" w:rsidRPr="00742989">
        <w:t>Maritime is a hard-to-electrify sector; it is unable to be completely electrified in the foreseeable future. Low carbon liquid fuels</w:t>
      </w:r>
      <w:r w:rsidR="006F14E9">
        <w:t xml:space="preserve">, </w:t>
      </w:r>
      <w:r w:rsidR="00671BE7" w:rsidRPr="00742989">
        <w:t>hydrogen-derived fuels (such as green hydrogen, green ammonia and e-methanol), electrification and energy efficiency and optimi</w:t>
      </w:r>
      <w:r w:rsidR="003511B4" w:rsidRPr="00742989">
        <w:t>s</w:t>
      </w:r>
      <w:r w:rsidR="00671BE7" w:rsidRPr="00742989">
        <w:t>ation improvements will all likely be needed to decarbonise maritime transport.</w:t>
      </w:r>
    </w:p>
    <w:p w14:paraId="70961BBA" w14:textId="78A87744" w:rsidR="00671BE7" w:rsidRPr="00742989" w:rsidRDefault="00671BE7" w:rsidP="00671BE7">
      <w:r w:rsidRPr="00742989">
        <w:t xml:space="preserve">The </w:t>
      </w:r>
      <w:r w:rsidRPr="00742989">
        <w:rPr>
          <w:i/>
        </w:rPr>
        <w:t>Maritime Emissions Reduction National Action Plan (MERNAP)</w:t>
      </w:r>
      <w:r w:rsidRPr="00742989">
        <w:t xml:space="preserve"> will set the strategic direction and recommend actions to decarbonise our domestic maritime transport sector, as well </w:t>
      </w:r>
      <w:r w:rsidR="003E6052">
        <w:t xml:space="preserve">as </w:t>
      </w:r>
      <w:r w:rsidRPr="00742989">
        <w:t>our contribution to international shipping emissions. Australia’s reliance on international vessels for coastal shipping services means international decisions will have great influence on decarbonising maritime transport. Australia will need to accommodate multiple energy sources and technologies, especially for international bunkering.</w:t>
      </w:r>
    </w:p>
    <w:p w14:paraId="49B29CB7" w14:textId="11D46929" w:rsidR="00671BE7" w:rsidRPr="00742989" w:rsidRDefault="00114EC7" w:rsidP="00671BE7">
      <w:r w:rsidRPr="00742989">
        <w:rPr>
          <w:b/>
          <w:i/>
        </w:rPr>
        <w:t>Aviation</w:t>
      </w:r>
      <w:r w:rsidRPr="00742989">
        <w:rPr>
          <w:b/>
        </w:rPr>
        <w:t xml:space="preserve"> </w:t>
      </w:r>
      <w:r w:rsidRPr="00742989">
        <w:t xml:space="preserve">(chapter 3.5): </w:t>
      </w:r>
      <w:r w:rsidR="003C50F8" w:rsidRPr="00742989">
        <w:t>As</w:t>
      </w:r>
      <w:r w:rsidR="00671BE7" w:rsidRPr="00742989">
        <w:t xml:space="preserve"> a hard-to-electrify sector</w:t>
      </w:r>
      <w:r w:rsidR="003C50F8" w:rsidRPr="00742989">
        <w:t>, s</w:t>
      </w:r>
      <w:r w:rsidR="00671BE7" w:rsidRPr="00742989">
        <w:t xml:space="preserve">ustainable aviation fuel (SAF) </w:t>
      </w:r>
      <w:r w:rsidR="003C50F8" w:rsidRPr="00742989">
        <w:t>will be</w:t>
      </w:r>
      <w:r w:rsidR="00671BE7" w:rsidRPr="00742989">
        <w:t xml:space="preserve"> the primary technology to reduce aviation emissions</w:t>
      </w:r>
      <w:r w:rsidR="003C50F8" w:rsidRPr="00742989">
        <w:t xml:space="preserve"> in the short-to-medium term</w:t>
      </w:r>
      <w:r w:rsidR="00671BE7" w:rsidRPr="00742989">
        <w:t xml:space="preserve">. </w:t>
      </w:r>
      <w:r w:rsidR="00AC1AF2" w:rsidRPr="00742989">
        <w:t xml:space="preserve">SAF is available as a drop-in fuel now. </w:t>
      </w:r>
      <w:r w:rsidR="00671BE7" w:rsidRPr="00742989">
        <w:t xml:space="preserve">There are opportunities to encourage the development and deployment of SAF and other low carbon liquid </w:t>
      </w:r>
      <w:r w:rsidR="00671BE7" w:rsidRPr="0073600A">
        <w:t>fuels</w:t>
      </w:r>
      <w:r w:rsidR="00B2460E" w:rsidRPr="0073600A">
        <w:t xml:space="preserve"> (LCLFs)</w:t>
      </w:r>
      <w:r w:rsidR="00671BE7" w:rsidRPr="0073600A">
        <w:t>. Reducing the carbon intensity of liquid fuels with certification that verifies emissions abatement would ensure genuine</w:t>
      </w:r>
      <w:r w:rsidR="00671BE7" w:rsidRPr="00742989">
        <w:t xml:space="preserve"> emissions reduction in the aviation sector. Other technologies such as battery electric and </w:t>
      </w:r>
      <w:r w:rsidR="001F66DD" w:rsidRPr="00742989">
        <w:t>hydrogen</w:t>
      </w:r>
      <w:r w:rsidR="001F66DD">
        <w:t>-</w:t>
      </w:r>
      <w:r w:rsidR="00671BE7" w:rsidRPr="00742989">
        <w:t>powered aircraft are promising and will be trialled in Australia by regional domestic airlines.</w:t>
      </w:r>
    </w:p>
    <w:p w14:paraId="7F90BFA0" w14:textId="77777777" w:rsidR="00B2460E" w:rsidRDefault="00671BE7" w:rsidP="00671BE7">
      <w:r w:rsidRPr="00742989">
        <w:t xml:space="preserve">The </w:t>
      </w:r>
      <w:r w:rsidR="00016484">
        <w:t>g</w:t>
      </w:r>
      <w:r w:rsidRPr="00742989">
        <w:t xml:space="preserve">overnment is working with industry stakeholders, including through the </w:t>
      </w:r>
      <w:r w:rsidRPr="00742989">
        <w:rPr>
          <w:i/>
        </w:rPr>
        <w:t>Australian Jet Zero Council</w:t>
      </w:r>
      <w:r w:rsidRPr="00742989">
        <w:t xml:space="preserve">, to maximise aviation’s contribution to achieving net zero through SAF and emerging technologies. </w:t>
      </w:r>
      <w:r w:rsidR="00AC1AF2" w:rsidRPr="00742989">
        <w:t xml:space="preserve">The </w:t>
      </w:r>
      <w:r w:rsidR="00AC1AF2" w:rsidRPr="002C0C87">
        <w:rPr>
          <w:i/>
        </w:rPr>
        <w:t>Aviation White Paper</w:t>
      </w:r>
      <w:r w:rsidR="00AC1AF2" w:rsidRPr="00742989">
        <w:t xml:space="preserve"> will set the long-term policies to guide the next generation of growth and innovation in the aviation sector, including how to maximise the aviation sector's contribution to achieving net zero carbon emissions.</w:t>
      </w:r>
      <w:r w:rsidR="0071318C">
        <w:t xml:space="preserve"> </w:t>
      </w:r>
    </w:p>
    <w:p w14:paraId="6432F2EB" w14:textId="5909786E" w:rsidR="00671BE7" w:rsidRPr="00742989" w:rsidRDefault="0071318C" w:rsidP="00671BE7">
      <w:r w:rsidRPr="0073600A">
        <w:t xml:space="preserve">Building on consultation undertaken through the </w:t>
      </w:r>
      <w:r w:rsidRPr="0073600A">
        <w:rPr>
          <w:i/>
        </w:rPr>
        <w:t>Aviation White Paper</w:t>
      </w:r>
      <w:r w:rsidRPr="0073600A">
        <w:t xml:space="preserve">, the government </w:t>
      </w:r>
      <w:r w:rsidR="00A7420B">
        <w:t>will be</w:t>
      </w:r>
      <w:r w:rsidRPr="0073600A">
        <w:t xml:space="preserve"> undertaking targeted consultation to identify options for production incentives to support the establishment of a made in Australia </w:t>
      </w:r>
      <w:r w:rsidR="00B2460E" w:rsidRPr="0073600A">
        <w:t>LCLF</w:t>
      </w:r>
      <w:r w:rsidRPr="0073600A">
        <w:t xml:space="preserve"> industry, including through the release of a </w:t>
      </w:r>
      <w:r w:rsidR="00B2460E" w:rsidRPr="0073600A">
        <w:t>LCLF</w:t>
      </w:r>
      <w:r w:rsidRPr="0073600A">
        <w:t xml:space="preserve"> consultation paper.</w:t>
      </w:r>
    </w:p>
    <w:p w14:paraId="119E046E" w14:textId="77777777" w:rsidR="00671BE7" w:rsidRPr="00742989" w:rsidRDefault="00671BE7" w:rsidP="00671BE7">
      <w:r w:rsidRPr="00742989">
        <w:t>Australia also supports initiatives from the International Maritime Organization (IMO) and the International Civil Aviation Organization (ICAO) to reduce maritime and aviation emissions.</w:t>
      </w:r>
    </w:p>
    <w:p w14:paraId="761CA861" w14:textId="402DA5BE" w:rsidR="00671BE7" w:rsidRPr="00742989" w:rsidRDefault="006E745C" w:rsidP="00671BE7">
      <w:pPr>
        <w:pStyle w:val="Heading5"/>
        <w:rPr>
          <w:color w:val="auto"/>
        </w:rPr>
      </w:pPr>
      <w:bookmarkStart w:id="6" w:name="_Chapter_4_–"/>
      <w:bookmarkEnd w:id="6"/>
      <w:r w:rsidRPr="006E745C">
        <w:rPr>
          <w:color w:val="auto"/>
        </w:rPr>
        <w:t>Chapter 4 – Supporting transport’s net zero pathways</w:t>
      </w:r>
    </w:p>
    <w:p w14:paraId="447488D3" w14:textId="3C7CC22D" w:rsidR="00671BE7" w:rsidRPr="00742989" w:rsidRDefault="00152CF4" w:rsidP="00671BE7">
      <w:r w:rsidRPr="00742989">
        <w:t xml:space="preserve">Chapter 4 looks at the enabling systems. </w:t>
      </w:r>
      <w:r w:rsidR="00671BE7" w:rsidRPr="00742989">
        <w:t>There are several key inputs and enabling policies that are essential to transport achieving net zero, including appropriate and decarbonised transport infrastructure and the availability of low emissions energy (electricity and low carbon liquid fuels).</w:t>
      </w:r>
    </w:p>
    <w:p w14:paraId="45B1DC98" w14:textId="739A226D" w:rsidR="00671BE7" w:rsidRPr="00742989" w:rsidRDefault="00114EC7" w:rsidP="00671BE7">
      <w:r w:rsidRPr="00742989">
        <w:rPr>
          <w:b/>
          <w:i/>
        </w:rPr>
        <w:t>Transport infrastructure</w:t>
      </w:r>
      <w:r w:rsidRPr="00742989">
        <w:rPr>
          <w:b/>
        </w:rPr>
        <w:t xml:space="preserve"> </w:t>
      </w:r>
      <w:r w:rsidRPr="00742989">
        <w:t>(chapter 4.1)</w:t>
      </w:r>
      <w:r w:rsidR="003511B4" w:rsidRPr="00742989">
        <w:t>:</w:t>
      </w:r>
      <w:r w:rsidRPr="00742989">
        <w:t xml:space="preserve"> </w:t>
      </w:r>
      <w:bookmarkStart w:id="7" w:name="_Hlk164082646"/>
      <w:r w:rsidR="00671BE7" w:rsidRPr="00742989">
        <w:t xml:space="preserve">Decisions around where and what infrastructure we build influences the greenhouse gases emitted by the transport sector; for example, the building of roads could increase the emissions from light and heavy vehicles by enabling this transport mode. The Sustainability theme in the </w:t>
      </w:r>
      <w:r w:rsidR="00671BE7" w:rsidRPr="00742989">
        <w:rPr>
          <w:i/>
        </w:rPr>
        <w:t>Infrastructure Policy Statement</w:t>
      </w:r>
      <w:r w:rsidR="00671BE7" w:rsidRPr="00742989">
        <w:t xml:space="preserve"> ensures that infrastructure’s role in enabling low and zero emission transport modes is considered in transport network planning and project selection frameworks.</w:t>
      </w:r>
    </w:p>
    <w:p w14:paraId="28393664" w14:textId="63BF549E" w:rsidR="00DE271F" w:rsidRPr="00742989" w:rsidRDefault="00671BE7" w:rsidP="00671BE7">
      <w:bookmarkStart w:id="8" w:name="_Hlk164082739"/>
      <w:bookmarkEnd w:id="7"/>
      <w:r w:rsidRPr="00742989">
        <w:t>However, the building, operation and decommissioning of transport infrastructure (roads, railways, ports and airports) also produce</w:t>
      </w:r>
      <w:r w:rsidR="003511B4" w:rsidRPr="00742989">
        <w:t>s</w:t>
      </w:r>
      <w:r w:rsidRPr="00742989">
        <w:t xml:space="preserve"> emissions. These emissions mostly come from the production of construction materials, such as cement, aluminium and steel. To decarbonise transport infrastructure, the main emission</w:t>
      </w:r>
      <w:r w:rsidR="004E7508">
        <w:t>s</w:t>
      </w:r>
      <w:r w:rsidRPr="00742989">
        <w:t xml:space="preserve"> reduction pathways will be through materials (low-carbon input materials such as green steel, concrete/cement, asphalt, aluminium and </w:t>
      </w:r>
      <w:r w:rsidR="001F66DD" w:rsidRPr="00742989">
        <w:t>low</w:t>
      </w:r>
      <w:r w:rsidR="001F66DD">
        <w:t>-</w:t>
      </w:r>
      <w:r w:rsidRPr="00742989">
        <w:t>carbon recycled materials) and design (circular economy principles such as no-build situations, better maintenance, refurbishment or using more efficient planning, design and building techniques).</w:t>
      </w:r>
      <w:r w:rsidR="00AC7F5B" w:rsidRPr="00742989">
        <w:t xml:space="preserve"> </w:t>
      </w:r>
      <w:bookmarkEnd w:id="8"/>
      <w:r w:rsidR="00AC7F5B" w:rsidRPr="00742989">
        <w:t xml:space="preserve">Through this Consultation Roadmap, the </w:t>
      </w:r>
      <w:r w:rsidR="00016484">
        <w:t>g</w:t>
      </w:r>
      <w:r w:rsidR="00AC7F5B" w:rsidRPr="00742989">
        <w:t>overnment welcomes ideas on how to support transport infrastructure decarbonisation through materials and design, as well as the role of</w:t>
      </w:r>
      <w:r w:rsidR="00F04A62" w:rsidRPr="00742989">
        <w:t xml:space="preserve"> infrastructure in enabling low and zero emission transport modes.</w:t>
      </w:r>
    </w:p>
    <w:p w14:paraId="6EEF537D" w14:textId="651FBBB1" w:rsidR="00671BE7" w:rsidRPr="00742989" w:rsidRDefault="00114EC7" w:rsidP="00671BE7">
      <w:r w:rsidRPr="00742989">
        <w:rPr>
          <w:b/>
          <w:i/>
        </w:rPr>
        <w:t>Energy – electricity and low carbon liquid fuels</w:t>
      </w:r>
      <w:r w:rsidRPr="00742989">
        <w:t xml:space="preserve"> (chapter 4.2): </w:t>
      </w:r>
      <w:r w:rsidR="00671BE7" w:rsidRPr="00742989">
        <w:t xml:space="preserve">All of the varied decarbonisation opportunities across Australia’s transport sector will require a shift away from fossil fuels. Transport currently makes up 75% </w:t>
      </w:r>
      <w:r w:rsidR="00671BE7" w:rsidRPr="00742989">
        <w:lastRenderedPageBreak/>
        <w:t>of Australia’s liquid fuel demand. The primary method for reducing transport emissions will be through electrification, which is dependent on the de</w:t>
      </w:r>
      <w:r w:rsidR="0008597B" w:rsidRPr="00742989">
        <w:t>c</w:t>
      </w:r>
      <w:r w:rsidR="00671BE7" w:rsidRPr="00742989">
        <w:t xml:space="preserve">arbonisation of the electricity grid. </w:t>
      </w:r>
    </w:p>
    <w:p w14:paraId="106990F3" w14:textId="29425210" w:rsidR="0071318C" w:rsidRPr="0073600A" w:rsidRDefault="0071318C" w:rsidP="001164F0">
      <w:pPr>
        <w:rPr>
          <w:color w:val="auto"/>
        </w:rPr>
      </w:pPr>
      <w:r w:rsidRPr="0073600A">
        <w:t xml:space="preserve">As part of the Future Made in Australia plan, the government will fast-track support for a LCLF industry, with an initial focus on sustainable aviation fuel and renewable diesel to support emissions reduction in the aviation, heavy vehicle, rail and maritime sectors. This </w:t>
      </w:r>
      <w:r w:rsidR="00671BE7" w:rsidRPr="0073600A">
        <w:t xml:space="preserve">will require local settings to develop the supply and use of </w:t>
      </w:r>
      <w:r w:rsidR="00355A8A" w:rsidRPr="0073600A">
        <w:t>LCLFs</w:t>
      </w:r>
      <w:r w:rsidR="00671BE7" w:rsidRPr="0073600A">
        <w:t xml:space="preserve"> in Australia, as well as a regulatory system based on those used internationally to certify and accurately measure the lifecycle emissions of </w:t>
      </w:r>
      <w:r w:rsidRPr="0073600A">
        <w:t>LCLFs</w:t>
      </w:r>
      <w:r w:rsidR="00671BE7" w:rsidRPr="0073600A">
        <w:t>.</w:t>
      </w:r>
      <w:r w:rsidR="00402507" w:rsidRPr="0073600A">
        <w:t xml:space="preserve"> </w:t>
      </w:r>
      <w:r w:rsidR="00671BE7" w:rsidRPr="0073600A">
        <w:t>This is necessary so that government and industry are confident that the emissions benefits associated with displacing fossil fuel use are not being undermined by increasing carbon emissions elsewhere.</w:t>
      </w:r>
      <w:r w:rsidR="001164F0" w:rsidRPr="0073600A">
        <w:t xml:space="preserve"> </w:t>
      </w:r>
      <w:r w:rsidR="001164F0" w:rsidRPr="0073600A">
        <w:rPr>
          <w:color w:val="auto"/>
        </w:rPr>
        <w:t xml:space="preserve">Domestic production of LCLFs could provide opportunities for </w:t>
      </w:r>
      <w:r w:rsidR="00355A8A" w:rsidRPr="0073600A">
        <w:rPr>
          <w:color w:val="auto"/>
        </w:rPr>
        <w:t>regional development and new jobs</w:t>
      </w:r>
      <w:r w:rsidR="001164F0" w:rsidRPr="0073600A">
        <w:rPr>
          <w:color w:val="auto"/>
        </w:rPr>
        <w:t xml:space="preserve"> as well as liquid fuel security benefits.</w:t>
      </w:r>
      <w:r w:rsidRPr="0073600A">
        <w:rPr>
          <w:color w:val="auto"/>
        </w:rPr>
        <w:t xml:space="preserve"> </w:t>
      </w:r>
    </w:p>
    <w:p w14:paraId="194015C0" w14:textId="57104793" w:rsidR="001164F0" w:rsidRPr="001164F0" w:rsidRDefault="0071318C" w:rsidP="001164F0">
      <w:pPr>
        <w:rPr>
          <w:color w:val="auto"/>
        </w:rPr>
      </w:pPr>
      <w:r w:rsidRPr="0073600A">
        <w:rPr>
          <w:color w:val="auto"/>
        </w:rPr>
        <w:t xml:space="preserve">The government </w:t>
      </w:r>
      <w:r w:rsidR="00467ABC">
        <w:rPr>
          <w:color w:val="auto"/>
        </w:rPr>
        <w:t>will be</w:t>
      </w:r>
      <w:r w:rsidRPr="0073600A">
        <w:rPr>
          <w:color w:val="auto"/>
        </w:rPr>
        <w:t xml:space="preserve"> undertaking targeted consultation to identify options for production incentives to support the establishment of a made in Australia LCLF industry, including through the release of a LCLF consultation paper.</w:t>
      </w:r>
    </w:p>
    <w:p w14:paraId="5DF38860" w14:textId="323C339B" w:rsidR="00671BE7" w:rsidRPr="00742989" w:rsidRDefault="006E745C" w:rsidP="00671BE7">
      <w:pPr>
        <w:pStyle w:val="Heading5"/>
        <w:rPr>
          <w:color w:val="auto"/>
        </w:rPr>
      </w:pPr>
      <w:bookmarkStart w:id="9" w:name="_Chapter_5_–"/>
      <w:bookmarkEnd w:id="9"/>
      <w:r w:rsidRPr="006E745C">
        <w:rPr>
          <w:color w:val="auto"/>
        </w:rPr>
        <w:t>Chapter 5 – Achieving net zero together</w:t>
      </w:r>
    </w:p>
    <w:p w14:paraId="349C7E31" w14:textId="6F4CA181" w:rsidR="0011224A" w:rsidRPr="00742989" w:rsidRDefault="00671BE7" w:rsidP="006C06F6">
      <w:r w:rsidRPr="00742989">
        <w:t xml:space="preserve">Collective action is needed for transport and transport infrastructure to reach net zero. That is why </w:t>
      </w:r>
      <w:r w:rsidR="002041C0" w:rsidRPr="00742989">
        <w:t xml:space="preserve">chapter 5 discusses how </w:t>
      </w:r>
      <w:r w:rsidRPr="00742989">
        <w:t xml:space="preserve">the </w:t>
      </w:r>
      <w:r w:rsidR="00016484">
        <w:t>g</w:t>
      </w:r>
      <w:r w:rsidRPr="00742989">
        <w:t xml:space="preserve">overnment will continue to work collaboratively with states and territories, industry, unions, experts and local communities, as well as internationally, to develop the final Roadmap and Action Plan. What we hear from you on this Consultation Roadmap and the potential pathways to net zero will guide the development of the actions and policies the </w:t>
      </w:r>
      <w:r w:rsidR="00016484">
        <w:t>g</w:t>
      </w:r>
      <w:r w:rsidRPr="00742989">
        <w:t>overnment will commit to in the final Transport and Infrastructure Net Zero Roadmap and Action Plan.</w:t>
      </w:r>
      <w:r w:rsidR="00B67CE2" w:rsidRPr="00742989">
        <w:t xml:space="preserve"> </w:t>
      </w:r>
      <w:r w:rsidR="006C06F6" w:rsidRPr="00742989">
        <w:t>These potential pathways are summarised on the next page.</w:t>
      </w:r>
    </w:p>
    <w:p w14:paraId="71586625" w14:textId="4D8D1981" w:rsidR="006C06F6" w:rsidRPr="00742989" w:rsidRDefault="00D326BD" w:rsidP="00D354B3">
      <w:pPr>
        <w:jc w:val="center"/>
      </w:pPr>
      <w:r>
        <w:rPr>
          <w:noProof/>
        </w:rPr>
        <w:lastRenderedPageBreak/>
        <w:drawing>
          <wp:anchor distT="0" distB="0" distL="114300" distR="114300" simplePos="0" relativeHeight="251662442" behindDoc="0" locked="0" layoutInCell="1" allowOverlap="1" wp14:anchorId="391837B7" wp14:editId="711E36C0">
            <wp:simplePos x="0" y="0"/>
            <wp:positionH relativeFrom="margin">
              <wp:posOffset>0</wp:posOffset>
            </wp:positionH>
            <wp:positionV relativeFrom="paragraph">
              <wp:posOffset>219075</wp:posOffset>
            </wp:positionV>
            <wp:extent cx="6398260" cy="8505190"/>
            <wp:effectExtent l="0" t="0" r="2540" b="0"/>
            <wp:wrapTopAndBottom/>
            <wp:docPr id="243" name="Picture 243" descr="This graphic shows the possible timeline of transport decarbonisation pathways for all transport modes, plus transport infrastructure and the enabling systems. &#10;For light vehicles it lists from now to 2030: battery electric passenger vehicles mass market adoption; and hydrogen fuel cell electric vehicles demonstration. Between 2030-2040 it lists: expansion of next-generation passenger and advancements for light commercial vehicles; hydrogen fuel cell electric adoption. Between 2040-2050 it lists battery electric available for all light vehicle tasks; hydrogen fuel cell electric vehicles where electrification is not feasible.&#10;For heavy vehicles it lists: battery electric and hydrogen fuel cell demonstration; low carbon liquid fuels (LCLFs) blended in existing fleet use from now to 2030, with synthetic LCLF R&amp;D starting now and extending to 2040. Between 2030-2040 it lists: battery electric and hydrogen fuel cell adoption accelerates; LCLFs support long distance, hard to electrify cases to transition. Between 2040-2050 it lists: battery electric and hydrogen fuel cell vehicles mass market adoption and efficiency improvements; LCLFs where battery electric and hydrogen fuel cell vehicles are still advancing/not feasible. &#10;For rail it lists: passenger rail electrification between now and 2050; hybrid and battery electric freight rail deployed; hydrogen fuel cell demonstration and LCLFs blended in existing fleet use between now and 2030, with synthetic LCLF R&amp;D starting now and extending to 2040. From 2030-2050 it lists: hybrid, battery electric and hydrogen fuel cell mass market adoption and efficiency improvements. From 2030-2040 it lists: LCLFs support long distance, hard to electrify cases to transition. Between 2040-2050 it lists LCLFs where battery electric and hydrogen fuel cell are still advancing/not feasible. &#10;For maritime it lists: battery electric and hybrid propulsion and deployment for short range vessels; LCLFs blended in existing fleet use; and synthetic LCLF R&amp;D between now and 2030. Between 2030-2040 it lists: short range battery electric vessels deployed; LCLFs deployed for long range vessels; continued synthetic LCLF investment. Between 2040-2050 it lists: short range battery electric vessels adoption and efficiency improvements; and LCLFs used for majority of long range vessels.&#10;For aviation it lists: battery electric and hydrogen fuel cell development; LCLFs blended in existing fleet use; and synthetic LCLF R&amp;D between now and 2030. Between 2030-2040 it lists battery electric and hydrogen fuel cell for short range flight demonstration; LCLFs for short, medium and long haul flights deployed in the market; and continued synthetic LCLF investment. Between 2040-2050 it lists: battery electric and hydrogen fuel cell deployment for short range flights; and LCLFs used for majority of medium and long haul flights. &#10;For transport infrastructure it lists: domestic low and zero carbon cement, alumina and steel industries emerging – used in transport infrastructure between now and 2030. Between 2030-2040 it lists domestic low and zero carbon cement and steel industries developing. Between 2040-2050 it lists: low and zero carbon concrete and steel is available for infrastructure projects.&#10;For the enabling systems it lists: LCLF optionality in existing fleets; LCLF certification stimulates further demand; optimisation of intermodal infrastructure developing; and continued investment in active and public transport infrastructure between now and 2030. Between 2030-2050 it lists: LCLF used by transport modes that have limited electrification opportunities (aviation, heavy vehicles and maritime); increased low and zero carbon options to transport goods; and sustained investment and increasing use of public trans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398260" cy="850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F77B0" w14:textId="77777777" w:rsidR="004A3726" w:rsidRPr="00742989" w:rsidRDefault="004A3726" w:rsidP="00E46FEB">
      <w:pPr>
        <w:pStyle w:val="Heading1Numbered"/>
        <w:numPr>
          <w:ilvl w:val="0"/>
          <w:numId w:val="0"/>
        </w:numPr>
      </w:pPr>
    </w:p>
    <w:sectPr w:rsidR="004A3726" w:rsidRPr="00742989" w:rsidSect="00D87AD8">
      <w:headerReference w:type="default" r:id="rId18"/>
      <w:pgSz w:w="11906" w:h="16838" w:code="9"/>
      <w:pgMar w:top="1021" w:right="1021" w:bottom="1021" w:left="102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78299" w14:textId="77777777" w:rsidR="00A7420B" w:rsidRDefault="00A7420B" w:rsidP="008456D5">
      <w:pPr>
        <w:spacing w:before="0" w:after="0"/>
      </w:pPr>
      <w:r>
        <w:separator/>
      </w:r>
    </w:p>
    <w:p w14:paraId="6539DD61" w14:textId="77777777" w:rsidR="00A7420B" w:rsidRDefault="00A7420B"/>
  </w:endnote>
  <w:endnote w:type="continuationSeparator" w:id="0">
    <w:p w14:paraId="1CB37144" w14:textId="77777777" w:rsidR="00A7420B" w:rsidRDefault="00A7420B" w:rsidP="008456D5">
      <w:pPr>
        <w:spacing w:before="0" w:after="0"/>
      </w:pPr>
      <w:r>
        <w:continuationSeparator/>
      </w:r>
    </w:p>
    <w:p w14:paraId="2B0CF12E" w14:textId="77777777" w:rsidR="00A7420B" w:rsidRDefault="00A7420B"/>
  </w:endnote>
  <w:endnote w:type="continuationNotice" w:id="1">
    <w:p w14:paraId="085EDFFF" w14:textId="77777777" w:rsidR="00A7420B" w:rsidRDefault="00A7420B">
      <w:pPr>
        <w:spacing w:before="0" w:after="0"/>
      </w:pPr>
    </w:p>
    <w:p w14:paraId="3AC3E180" w14:textId="77777777" w:rsidR="00A7420B" w:rsidRDefault="00A74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9F1FA" w14:textId="40C299A8" w:rsidR="00A7420B" w:rsidRDefault="00A7420B" w:rsidP="00E50D64">
    <w:pPr>
      <w:pStyle w:val="Footer"/>
      <w:spacing w:before="720"/>
      <w:jc w:val="right"/>
    </w:pPr>
    <w:r>
      <w:rPr>
        <w:noProof/>
        <w:lang w:eastAsia="en-AU"/>
      </w:rPr>
      <mc:AlternateContent>
        <mc:Choice Requires="wps">
          <w:drawing>
            <wp:anchor distT="0" distB="0" distL="114300" distR="114300" simplePos="0" relativeHeight="251658256" behindDoc="1" locked="1" layoutInCell="1" allowOverlap="1" wp14:anchorId="7FBD59CF" wp14:editId="1E2B584E">
              <wp:simplePos x="0" y="0"/>
              <wp:positionH relativeFrom="page">
                <wp:align>left</wp:align>
              </wp:positionH>
              <wp:positionV relativeFrom="page">
                <wp:align>bottom</wp:align>
              </wp:positionV>
              <wp:extent cx="1007280" cy="539280"/>
              <wp:effectExtent l="0" t="0" r="2540" b="0"/>
              <wp:wrapNone/>
              <wp:docPr id="69" name="Text Box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74524587" w14:textId="77777777" w:rsidR="00A7420B" w:rsidRPr="007A05BE" w:rsidRDefault="00A7420B"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D59CF" id="_x0000_t202" coordsize="21600,21600" o:spt="202" path="m,l,21600r21600,l21600,xe">
              <v:stroke joinstyle="miter"/>
              <v:path gradientshapeok="t" o:connecttype="rect"/>
            </v:shapetype>
            <v:shape id="Text Box 69" o:spid="_x0000_s1032" type="#_x0000_t202" style="position:absolute;left:0;text-align:left;margin-left:0;margin-top:0;width:79.3pt;height:42.45pt;z-index:-2516582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AQkQscgQIA&#10;AAwFAAAOAAAAAAAAAAAAAAAAAC4CAABkcnMvZTJvRG9jLnhtbFBLAQItABQABgAIAAAAIQBJDJB4&#10;3AAAAAQBAAAPAAAAAAAAAAAAAAAAANsEAABkcnMvZG93bnJldi54bWxQSwUGAAAAAAQABADzAAAA&#10;5AUAAAAA&#10;" filled="f" stroked="f" strokeweight=".5pt">
              <v:textbox inset="18mm,0,0,10mm">
                <w:txbxContent>
                  <w:p w14:paraId="74524587" w14:textId="77777777" w:rsidR="00A7420B" w:rsidRPr="007A05BE" w:rsidRDefault="00A7420B"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55" behindDoc="1" locked="1" layoutInCell="1" allowOverlap="1" wp14:anchorId="7FE776C8" wp14:editId="6DC4DDAD">
              <wp:simplePos x="0" y="0"/>
              <wp:positionH relativeFrom="page">
                <wp:align>left</wp:align>
              </wp:positionH>
              <wp:positionV relativeFrom="page">
                <wp:align>bottom</wp:align>
              </wp:positionV>
              <wp:extent cx="4320000" cy="539280"/>
              <wp:effectExtent l="0" t="0" r="4445" b="0"/>
              <wp:wrapNone/>
              <wp:docPr id="70" name="Text Box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7D11D971" w14:textId="77777777" w:rsidR="00A7420B" w:rsidRDefault="00A7420B" w:rsidP="00E50D64">
                          <w:pPr>
                            <w:pStyle w:val="Footer"/>
                          </w:pPr>
                          <w:r>
                            <w:t>Transport and Infrastructure Net Zero Roadmap – Draft for Public Consultation</w:t>
                          </w:r>
                        </w:p>
                        <w:p w14:paraId="681416BD" w14:textId="5E33250A" w:rsidR="00A7420B" w:rsidRDefault="00A7420B" w:rsidP="00E50D64">
                          <w:pPr>
                            <w:pStyle w:val="Footer"/>
                          </w:pPr>
                          <w:r>
                            <w:t>– Draft for Public Consultati</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76C8" id="Text Box 70" o:spid="_x0000_s1033" type="#_x0000_t202" style="position:absolute;left:0;text-align:left;margin-left:0;margin-top:0;width:340.15pt;height:42.45pt;z-index:-25165822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bw7/zoYCAAAUBQAADgAAAAAAAAAAAAAAAAAuAgAAZHJzL2Uyb0RvYy54bWxQSwECLQAUAAYACAAA&#10;ACEAIGoVVt4AAAAEAQAADwAAAAAAAAAAAAAAAADgBAAAZHJzL2Rvd25yZXYueG1sUEsFBgAAAAAE&#10;AAQA8wAAAOsFAAAAAA==&#10;" filled="f" stroked="f" strokeweight=".5pt">
              <v:textbox inset="28mm,0,0,10mm">
                <w:txbxContent>
                  <w:p w14:paraId="7D11D971" w14:textId="77777777" w:rsidR="00A7420B" w:rsidRDefault="00A7420B" w:rsidP="00E50D64">
                    <w:pPr>
                      <w:pStyle w:val="Footer"/>
                    </w:pPr>
                    <w:r>
                      <w:t>Transport and Infrastructure Net Zero Roadmap – Draft for Public Consultation</w:t>
                    </w:r>
                  </w:p>
                  <w:p w14:paraId="681416BD" w14:textId="5E33250A" w:rsidR="00A7420B" w:rsidRDefault="00A7420B" w:rsidP="00E50D64">
                    <w:pPr>
                      <w:pStyle w:val="Footer"/>
                    </w:pPr>
                    <w:r>
                      <w:t>– Draft for Public Consultati</w:t>
                    </w:r>
                  </w:p>
                </w:txbxContent>
              </v:textbox>
              <w10:wrap anchorx="page" anchory="page"/>
              <w10:anchorlock/>
            </v:shape>
          </w:pict>
        </mc:Fallback>
      </mc:AlternateContent>
    </w:r>
    <w:r>
      <w:rPr>
        <w:noProof/>
        <w:lang w:eastAsia="en-AU"/>
      </w:rPr>
      <w:drawing>
        <wp:anchor distT="0" distB="0" distL="114300" distR="114300" simplePos="0" relativeHeight="251658254" behindDoc="1" locked="1" layoutInCell="1" allowOverlap="1" wp14:anchorId="34791BFA" wp14:editId="25330F7A">
          <wp:simplePos x="0" y="0"/>
          <wp:positionH relativeFrom="page">
            <wp:align>right</wp:align>
          </wp:positionH>
          <wp:positionV relativeFrom="page">
            <wp:align>bottom</wp:align>
          </wp:positionV>
          <wp:extent cx="10692000" cy="183240"/>
          <wp:effectExtent l="0" t="0" r="0" b="762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9" behindDoc="1" locked="1" layoutInCell="1" allowOverlap="1" wp14:anchorId="6D7F0D63" wp14:editId="3E318F8B">
              <wp:simplePos x="0" y="0"/>
              <wp:positionH relativeFrom="page">
                <wp:align>left</wp:align>
              </wp:positionH>
              <wp:positionV relativeFrom="page">
                <wp:align>bottom</wp:align>
              </wp:positionV>
              <wp:extent cx="1007280" cy="539280"/>
              <wp:effectExtent l="0" t="0" r="254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4110A917" w14:textId="77777777" w:rsidR="00A7420B" w:rsidRPr="007A05BE" w:rsidRDefault="00A7420B"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0D63" id="Text Box 1" o:spid="_x0000_s1034" type="#_x0000_t202" style="position:absolute;left:0;text-align:left;margin-left:0;margin-top:0;width:79.3pt;height:42.45pt;z-index:-25165823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" filled="f" stroked="f" strokeweight=".5pt">
              <v:textbox inset="18mm,0,0,10mm">
                <w:txbxContent>
                  <w:p w14:paraId="4110A917" w14:textId="77777777" w:rsidR="00A7420B" w:rsidRPr="007A05BE" w:rsidRDefault="00A7420B"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8" behindDoc="1" locked="1" layoutInCell="1" allowOverlap="1" wp14:anchorId="0E5C95A6" wp14:editId="10E5C618">
              <wp:simplePos x="0" y="0"/>
              <wp:positionH relativeFrom="page">
                <wp:align>left</wp:align>
              </wp:positionH>
              <wp:positionV relativeFrom="page">
                <wp:align>bottom</wp:align>
              </wp:positionV>
              <wp:extent cx="4320000" cy="539280"/>
              <wp:effectExtent l="0" t="0" r="4445" b="0"/>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1571FEB5" w14:textId="77777777" w:rsidR="00A7420B" w:rsidRDefault="00A7420B" w:rsidP="00E50D64">
                          <w:pPr>
                            <w:pStyle w:val="Footer"/>
                          </w:pPr>
                          <w:r>
                            <w:t>Transport and Infrastructure Net Zero Roadmap – Draft for Public Consultation</w:t>
                          </w:r>
                        </w:p>
                        <w:p w14:paraId="1D946AF8" w14:textId="668278EB" w:rsidR="00A7420B" w:rsidRDefault="00A7420B" w:rsidP="00E50D64">
                          <w:pPr>
                            <w:pStyle w:val="Footer"/>
                          </w:pPr>
                          <w:r>
                            <w:t>– Draft for Public Consultati</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95A6" id="Text Box 17" o:spid="_x0000_s1035" type="#_x0000_t202" style="position:absolute;left:0;text-align:left;margin-left:0;margin-top:0;width:340.15pt;height:42.45pt;z-index:-2516582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" filled="f" stroked="f" strokeweight=".5pt">
              <v:textbox inset="28mm,0,0,10mm">
                <w:txbxContent>
                  <w:p w14:paraId="1571FEB5" w14:textId="77777777" w:rsidR="00A7420B" w:rsidRDefault="00A7420B" w:rsidP="00E50D64">
                    <w:pPr>
                      <w:pStyle w:val="Footer"/>
                    </w:pPr>
                    <w:r>
                      <w:t>Transport and Infrastructure Net Zero Roadmap – Draft for Public Consultation</w:t>
                    </w:r>
                  </w:p>
                  <w:p w14:paraId="1D946AF8" w14:textId="668278EB" w:rsidR="00A7420B" w:rsidRDefault="00A7420B" w:rsidP="00E50D64">
                    <w:pPr>
                      <w:pStyle w:val="Footer"/>
                    </w:pPr>
                    <w:r>
                      <w:t>– Draft for Public Consultati</w:t>
                    </w:r>
                  </w:p>
                </w:txbxContent>
              </v:textbox>
              <w10:wrap anchorx="page" anchory="page"/>
              <w10:anchorlock/>
            </v:shape>
          </w:pict>
        </mc:Fallback>
      </mc:AlternateContent>
    </w:r>
    <w:r>
      <w:rPr>
        <w:noProof/>
        <w:lang w:eastAsia="en-AU"/>
      </w:rPr>
      <w:drawing>
        <wp:anchor distT="0" distB="0" distL="114300" distR="114300" simplePos="0" relativeHeight="251658247" behindDoc="1" locked="1" layoutInCell="1" allowOverlap="1" wp14:anchorId="59ED3074" wp14:editId="7B68B2A5">
          <wp:simplePos x="0" y="0"/>
          <wp:positionH relativeFrom="page">
            <wp:align>right</wp:align>
          </wp:positionH>
          <wp:positionV relativeFrom="page">
            <wp:align>bottom</wp:align>
          </wp:positionV>
          <wp:extent cx="10692000" cy="183240"/>
          <wp:effectExtent l="0" t="0" r="0" b="762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2" behindDoc="1" locked="1" layoutInCell="1" allowOverlap="1" wp14:anchorId="6D7F0D63" wp14:editId="3E318F8B">
              <wp:simplePos x="0" y="0"/>
              <wp:positionH relativeFrom="page">
                <wp:align>left</wp:align>
              </wp:positionH>
              <wp:positionV relativeFrom="page">
                <wp:align>bottom</wp:align>
              </wp:positionV>
              <wp:extent cx="1007280" cy="539280"/>
              <wp:effectExtent l="0" t="0" r="254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60A3E570" w14:textId="77777777" w:rsidR="00A7420B" w:rsidRPr="007A05BE" w:rsidRDefault="00A7420B"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0D63" id="Text Box 16" o:spid="_x0000_s1036" type="#_x0000_t202" style="position:absolute;left:0;text-align:left;margin-left:0;margin-top:0;width:79.3pt;height:42.45pt;z-index:-25165823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" filled="f" stroked="f" strokeweight=".5pt">
              <v:textbox inset="18mm,0,0,10mm">
                <w:txbxContent>
                  <w:p w14:paraId="60A3E570" w14:textId="77777777" w:rsidR="00A7420B" w:rsidRPr="007A05BE" w:rsidRDefault="00A7420B"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1" behindDoc="1" locked="1" layoutInCell="1" allowOverlap="1" wp14:anchorId="0E5C95A6" wp14:editId="10E5C618">
              <wp:simplePos x="0" y="0"/>
              <wp:positionH relativeFrom="page">
                <wp:align>left</wp:align>
              </wp:positionH>
              <wp:positionV relativeFrom="page">
                <wp:align>bottom</wp:align>
              </wp:positionV>
              <wp:extent cx="4320000" cy="539280"/>
              <wp:effectExtent l="0" t="0" r="4445"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43D3ACB4" w14:textId="77777777" w:rsidR="00A7420B" w:rsidRDefault="00A7420B" w:rsidP="00E50D64">
                          <w:pPr>
                            <w:pStyle w:val="Footer"/>
                          </w:pPr>
                          <w:r>
                            <w:t>Transport and Infrastructure Net Zero Roadmap – Draft for Public Consultation</w:t>
                          </w:r>
                        </w:p>
                        <w:p w14:paraId="450C0CDB" w14:textId="75E844F9" w:rsidR="00A7420B" w:rsidRDefault="00A7420B" w:rsidP="00E50D64">
                          <w:pPr>
                            <w:pStyle w:val="Footer"/>
                          </w:pPr>
                          <w:r>
                            <w:t>– Draft for Public Consultati</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95A6" id="Text Box 18" o:spid="_x0000_s1037" type="#_x0000_t202" style="position:absolute;left:0;text-align:left;margin-left:0;margin-top:0;width:340.15pt;height:42.45pt;z-index:-25165823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" filled="f" stroked="f" strokeweight=".5pt">
              <v:textbox inset="28mm,0,0,10mm">
                <w:txbxContent>
                  <w:p w14:paraId="43D3ACB4" w14:textId="77777777" w:rsidR="00A7420B" w:rsidRDefault="00A7420B" w:rsidP="00E50D64">
                    <w:pPr>
                      <w:pStyle w:val="Footer"/>
                    </w:pPr>
                    <w:r>
                      <w:t>Transport and Infrastructure Net Zero Roadmap – Draft for Public Consultation</w:t>
                    </w:r>
                  </w:p>
                  <w:p w14:paraId="450C0CDB" w14:textId="75E844F9" w:rsidR="00A7420B" w:rsidRDefault="00A7420B" w:rsidP="00E50D64">
                    <w:pPr>
                      <w:pStyle w:val="Footer"/>
                    </w:pPr>
                    <w:r>
                      <w:t>– Draft for Public Consultati</w:t>
                    </w:r>
                  </w:p>
                </w:txbxContent>
              </v:textbox>
              <w10:wrap anchorx="page" anchory="page"/>
              <w10:anchorlock/>
            </v:shape>
          </w:pict>
        </mc:Fallback>
      </mc:AlternateContent>
    </w:r>
    <w:r>
      <w:rPr>
        <w:noProof/>
        <w:lang w:eastAsia="en-AU"/>
      </w:rPr>
      <w:drawing>
        <wp:anchor distT="0" distB="0" distL="114300" distR="114300" simplePos="0" relativeHeight="251658240" behindDoc="1" locked="1" layoutInCell="1" allowOverlap="1" wp14:anchorId="59ED3074" wp14:editId="7B68B2A5">
          <wp:simplePos x="0" y="0"/>
          <wp:positionH relativeFrom="page">
            <wp:align>right</wp:align>
          </wp:positionH>
          <wp:positionV relativeFrom="page">
            <wp:align>bottom</wp:align>
          </wp:positionV>
          <wp:extent cx="10692000" cy="183240"/>
          <wp:effectExtent l="0" t="0" r="0" b="762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119558"/>
      <w:docPartObj>
        <w:docPartGallery w:val="Page Numbers (Bottom of Page)"/>
        <w:docPartUnique/>
      </w:docPartObj>
    </w:sdtPr>
    <w:sdtEndPr>
      <w:rPr>
        <w:noProof/>
      </w:rPr>
    </w:sdtEndPr>
    <w:sdtContent>
      <w:p w14:paraId="63301D4A" w14:textId="0ED4C464" w:rsidR="0008251C" w:rsidRDefault="000825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A2202A" w14:textId="77777777" w:rsidR="0008251C" w:rsidRDefault="00082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F29A3" w14:textId="77777777" w:rsidR="00A7420B" w:rsidRPr="005912BE" w:rsidRDefault="00A7420B" w:rsidP="005912BE">
      <w:pPr>
        <w:spacing w:before="300"/>
        <w:rPr>
          <w:color w:val="008089" w:themeColor="accent2"/>
        </w:rPr>
      </w:pPr>
      <w:r w:rsidRPr="004063DE">
        <w:rPr>
          <w:color w:val="004044" w:themeColor="accent2" w:themeShade="80"/>
        </w:rPr>
        <w:t>----------</w:t>
      </w:r>
    </w:p>
  </w:footnote>
  <w:footnote w:type="continuationSeparator" w:id="0">
    <w:p w14:paraId="13DB21AD" w14:textId="77777777" w:rsidR="00A7420B" w:rsidRDefault="00A7420B" w:rsidP="008456D5">
      <w:pPr>
        <w:spacing w:before="0" w:after="0"/>
      </w:pPr>
      <w:r>
        <w:continuationSeparator/>
      </w:r>
    </w:p>
    <w:p w14:paraId="58A7B0CE" w14:textId="77777777" w:rsidR="00A7420B" w:rsidRDefault="00A7420B"/>
  </w:footnote>
  <w:footnote w:type="continuationNotice" w:id="1">
    <w:p w14:paraId="3005E59E" w14:textId="77777777" w:rsidR="00A7420B" w:rsidRDefault="00A7420B">
      <w:pPr>
        <w:spacing w:before="0" w:after="0"/>
      </w:pPr>
    </w:p>
    <w:p w14:paraId="6D469AF0" w14:textId="77777777" w:rsidR="00A7420B" w:rsidRDefault="00A742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17924" w14:textId="7032D4EA" w:rsidR="00A7420B" w:rsidRDefault="003F1C43" w:rsidP="00D87AD8">
    <w:pPr>
      <w:pStyle w:val="Header"/>
      <w:spacing w:after="1320"/>
      <w:jc w:val="left"/>
    </w:pPr>
    <w:r>
      <w:fldChar w:fldCharType="begin"/>
    </w:r>
    <w:r>
      <w:instrText xml:space="preserve"> STYLEREF  "Heading 1"  \* MERGEFORMAT </w:instrText>
    </w:r>
    <w:r>
      <w:fldChar w:fldCharType="separate"/>
    </w:r>
    <w:r w:rsidR="00A7420B">
      <w:rPr>
        <w:noProof/>
      </w:rPr>
      <w:t>Table of Contents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014C2" w14:textId="70C97D41" w:rsidR="00A7420B" w:rsidRPr="00727472" w:rsidRDefault="00A7420B" w:rsidP="00E950D3">
    <w:pPr>
      <w:pStyle w:val="Header"/>
      <w:spacing w:after="640"/>
      <w:jc w:val="center"/>
      <w:rPr>
        <w:b/>
        <w:color w:val="C00000"/>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95E37" w14:textId="29F79246" w:rsidR="00A7420B" w:rsidRDefault="0008251C" w:rsidP="0008251C">
    <w:pPr>
      <w:pStyle w:val="Header"/>
      <w:spacing w:after="480"/>
      <w:jc w:val="left"/>
    </w:pPr>
    <w:r>
      <w:t>Transport and Infrastructure Net Zero Roadmap Executive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723BF8"/>
    <w:multiLevelType w:val="hybridMultilevel"/>
    <w:tmpl w:val="24A6703A"/>
    <w:lvl w:ilvl="0" w:tplc="D9D8D46A">
      <w:start w:val="1"/>
      <w:numFmt w:val="decimal"/>
      <w:pStyle w:val="Box2Bullet1"/>
      <w:lvlText w:val="%1."/>
      <w:lvlJc w:val="left"/>
      <w:pPr>
        <w:ind w:left="1004" w:hanging="360"/>
      </w:pPr>
      <w:rPr>
        <w:b w:val="0"/>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1803E9F"/>
    <w:multiLevelType w:val="hybridMultilevel"/>
    <w:tmpl w:val="5B2C2A0A"/>
    <w:lvl w:ilvl="0" w:tplc="FAD8EC4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DE29D2"/>
    <w:multiLevelType w:val="hybridMultilevel"/>
    <w:tmpl w:val="49F6E8C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35D35BC"/>
    <w:multiLevelType w:val="hybridMultilevel"/>
    <w:tmpl w:val="76ECC5AE"/>
    <w:lvl w:ilvl="0" w:tplc="61AEA666">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7252C6"/>
    <w:multiLevelType w:val="hybridMultilevel"/>
    <w:tmpl w:val="70EEBD0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04E56B74"/>
    <w:multiLevelType w:val="hybridMultilevel"/>
    <w:tmpl w:val="3D3A37E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E34C9B"/>
    <w:multiLevelType w:val="hybridMultilevel"/>
    <w:tmpl w:val="1F102B3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094D6E73"/>
    <w:multiLevelType w:val="hybridMultilevel"/>
    <w:tmpl w:val="07EA00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621AED"/>
    <w:multiLevelType w:val="multilevel"/>
    <w:tmpl w:val="C2EED61A"/>
    <w:numStyleLink w:val="NumberedHeadings"/>
  </w:abstractNum>
  <w:abstractNum w:abstractNumId="11" w15:restartNumberingAfterBreak="0">
    <w:nsid w:val="0D8E4130"/>
    <w:multiLevelType w:val="hybridMultilevel"/>
    <w:tmpl w:val="FBAC7E6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0DD274C5"/>
    <w:multiLevelType w:val="hybridMultilevel"/>
    <w:tmpl w:val="464C2392"/>
    <w:lvl w:ilvl="0" w:tplc="D1483A42">
      <w:numFmt w:val="bullet"/>
      <w:lvlText w:val="•"/>
      <w:lvlJc w:val="left"/>
      <w:pPr>
        <w:ind w:left="719" w:hanging="435"/>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0DF344F5"/>
    <w:multiLevelType w:val="hybridMultilevel"/>
    <w:tmpl w:val="797C2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FA2E9F"/>
    <w:multiLevelType w:val="hybridMultilevel"/>
    <w:tmpl w:val="816C9532"/>
    <w:lvl w:ilvl="0" w:tplc="66AE998C">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707400"/>
    <w:multiLevelType w:val="hybridMultilevel"/>
    <w:tmpl w:val="DFBCF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53E2446"/>
    <w:multiLevelType w:val="hybridMultilevel"/>
    <w:tmpl w:val="B952079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15E64B76"/>
    <w:multiLevelType w:val="hybridMultilevel"/>
    <w:tmpl w:val="7592C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9906C5F"/>
    <w:multiLevelType w:val="hybridMultilevel"/>
    <w:tmpl w:val="898649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9B971C7"/>
    <w:multiLevelType w:val="hybridMultilevel"/>
    <w:tmpl w:val="759C7C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BE0160D"/>
    <w:multiLevelType w:val="hybridMultilevel"/>
    <w:tmpl w:val="2CB6B1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C411A61"/>
    <w:multiLevelType w:val="hybridMultilevel"/>
    <w:tmpl w:val="6714EC38"/>
    <w:lvl w:ilvl="0" w:tplc="A34AFCD6">
      <w:start w:val="2020"/>
      <w:numFmt w:val="bullet"/>
      <w:lvlText w:val=""/>
      <w:lvlJc w:val="left"/>
      <w:pPr>
        <w:ind w:left="360" w:hanging="360"/>
      </w:pPr>
      <w:rPr>
        <w:rFonts w:ascii="Symbol" w:eastAsiaTheme="minorHAnsi" w:hAnsi="Symbol"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87B3F78"/>
    <w:multiLevelType w:val="hybridMultilevel"/>
    <w:tmpl w:val="2E6EA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88F2F1E"/>
    <w:multiLevelType w:val="hybridMultilevel"/>
    <w:tmpl w:val="B6BA88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A053EA3"/>
    <w:multiLevelType w:val="hybridMultilevel"/>
    <w:tmpl w:val="81E83F2A"/>
    <w:lvl w:ilvl="0" w:tplc="61AEA666">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A8C092A"/>
    <w:multiLevelType w:val="hybridMultilevel"/>
    <w:tmpl w:val="7FC633F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2DF54068"/>
    <w:multiLevelType w:val="hybridMultilevel"/>
    <w:tmpl w:val="5350B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E093D9F"/>
    <w:multiLevelType w:val="hybridMultilevel"/>
    <w:tmpl w:val="5DC60300"/>
    <w:lvl w:ilvl="0" w:tplc="FAD8EC4A">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F8E1E4B"/>
    <w:multiLevelType w:val="hybridMultilevel"/>
    <w:tmpl w:val="A01E2D9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2FE10022"/>
    <w:multiLevelType w:val="hybridMultilevel"/>
    <w:tmpl w:val="8556BBE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30B141A8"/>
    <w:multiLevelType w:val="hybridMultilevel"/>
    <w:tmpl w:val="2B084D1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32827198"/>
    <w:multiLevelType w:val="hybridMultilevel"/>
    <w:tmpl w:val="540E2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3ED530E"/>
    <w:multiLevelType w:val="hybridMultilevel"/>
    <w:tmpl w:val="295276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4B82216"/>
    <w:multiLevelType w:val="hybridMultilevel"/>
    <w:tmpl w:val="3B324AB4"/>
    <w:lvl w:ilvl="0" w:tplc="6616BFF8">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064252"/>
    <w:multiLevelType w:val="hybridMultilevel"/>
    <w:tmpl w:val="E7368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69D6A16"/>
    <w:multiLevelType w:val="hybridMultilevel"/>
    <w:tmpl w:val="542481CC"/>
    <w:lvl w:ilvl="0" w:tplc="61AEA666">
      <w:start w:val="1"/>
      <w:numFmt w:val="bullet"/>
      <w:lvlText w:val=""/>
      <w:lvlJc w:val="left"/>
      <w:pPr>
        <w:ind w:left="644" w:hanging="360"/>
      </w:pPr>
      <w:rPr>
        <w:rFonts w:ascii="Symbol" w:hAnsi="Symbol" w:hint="default"/>
        <w:sz w:val="2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36D60098"/>
    <w:multiLevelType w:val="hybridMultilevel"/>
    <w:tmpl w:val="DB3C29FC"/>
    <w:lvl w:ilvl="0" w:tplc="AE6CD43E">
      <w:start w:val="1"/>
      <w:numFmt w:val="bullet"/>
      <w:lvlText w:val=""/>
      <w:lvlJc w:val="left"/>
      <w:pPr>
        <w:ind w:left="360" w:hanging="360"/>
      </w:pPr>
      <w:rPr>
        <w:rFonts w:ascii="Symbol" w:hAnsi="Symbol" w:hint="default"/>
        <w:color w:val="008089"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AA51938"/>
    <w:multiLevelType w:val="multilevel"/>
    <w:tmpl w:val="298C34E4"/>
    <w:numStyleLink w:val="AppendixNumbers"/>
  </w:abstractNum>
  <w:abstractNum w:abstractNumId="39" w15:restartNumberingAfterBreak="0">
    <w:nsid w:val="3D6E6200"/>
    <w:multiLevelType w:val="hybridMultilevel"/>
    <w:tmpl w:val="C874C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762AC0"/>
    <w:multiLevelType w:val="hybridMultilevel"/>
    <w:tmpl w:val="880A84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173295E"/>
    <w:multiLevelType w:val="multilevel"/>
    <w:tmpl w:val="45A2AB64"/>
    <w:styleLink w:val="Bullets"/>
    <w:lvl w:ilvl="0">
      <w:start w:val="1"/>
      <w:numFmt w:val="bullet"/>
      <w:pStyle w:val="Bullet1"/>
      <w:lvlText w:val=""/>
      <w:lvlJc w:val="left"/>
      <w:pPr>
        <w:ind w:left="-6423" w:hanging="360"/>
      </w:pPr>
      <w:rPr>
        <w:rFonts w:ascii="Symbol" w:hAnsi="Symbol" w:hint="default"/>
        <w:color w:val="008089" w:themeColor="accent2"/>
      </w:rPr>
    </w:lvl>
    <w:lvl w:ilvl="1">
      <w:start w:val="1"/>
      <w:numFmt w:val="bullet"/>
      <w:lvlText w:val="–"/>
      <w:lvlJc w:val="left"/>
      <w:pPr>
        <w:ind w:left="-6215" w:hanging="284"/>
      </w:pPr>
      <w:rPr>
        <w:rFonts w:ascii="Calibri" w:hAnsi="Calibri" w:hint="default"/>
        <w:color w:val="auto"/>
      </w:rPr>
    </w:lvl>
    <w:lvl w:ilvl="2">
      <w:start w:val="1"/>
      <w:numFmt w:val="bullet"/>
      <w:lvlText w:val="›"/>
      <w:lvlJc w:val="left"/>
      <w:pPr>
        <w:ind w:left="-5931" w:hanging="284"/>
      </w:pPr>
      <w:rPr>
        <w:rFonts w:ascii="Calibri" w:hAnsi="Calibri" w:hint="default"/>
        <w:color w:val="auto"/>
      </w:rPr>
    </w:lvl>
    <w:lvl w:ilvl="3">
      <w:start w:val="1"/>
      <w:numFmt w:val="bullet"/>
      <w:lvlText w:val="▫"/>
      <w:lvlJc w:val="left"/>
      <w:pPr>
        <w:ind w:left="-5647" w:hanging="284"/>
      </w:pPr>
      <w:rPr>
        <w:rFonts w:ascii="Calibri" w:hAnsi="Calibri" w:hint="default"/>
        <w:color w:val="auto"/>
      </w:rPr>
    </w:lvl>
    <w:lvl w:ilvl="4">
      <w:start w:val="1"/>
      <w:numFmt w:val="bullet"/>
      <w:lvlText w:val="—"/>
      <w:lvlJc w:val="left"/>
      <w:pPr>
        <w:ind w:left="-5363" w:hanging="284"/>
      </w:pPr>
      <w:rPr>
        <w:rFonts w:ascii="Calibri" w:hAnsi="Calibri" w:hint="default"/>
        <w:color w:val="auto"/>
      </w:rPr>
    </w:lvl>
    <w:lvl w:ilvl="5">
      <w:start w:val="1"/>
      <w:numFmt w:val="bullet"/>
      <w:lvlText w:val="»"/>
      <w:lvlJc w:val="left"/>
      <w:pPr>
        <w:ind w:left="-5079" w:hanging="284"/>
      </w:pPr>
      <w:rPr>
        <w:rFonts w:ascii="Calibri" w:hAnsi="Calibri" w:hint="default"/>
        <w:color w:val="auto"/>
      </w:rPr>
    </w:lvl>
    <w:lvl w:ilvl="6">
      <w:start w:val="1"/>
      <w:numFmt w:val="decimal"/>
      <w:lvlText w:val="%7."/>
      <w:lvlJc w:val="left"/>
      <w:pPr>
        <w:ind w:left="-4795" w:hanging="284"/>
      </w:pPr>
      <w:rPr>
        <w:rFonts w:hint="default"/>
      </w:rPr>
    </w:lvl>
    <w:lvl w:ilvl="7">
      <w:start w:val="1"/>
      <w:numFmt w:val="lowerLetter"/>
      <w:lvlText w:val="%8."/>
      <w:lvlJc w:val="left"/>
      <w:pPr>
        <w:ind w:left="-4511" w:hanging="284"/>
      </w:pPr>
      <w:rPr>
        <w:rFonts w:hint="default"/>
      </w:rPr>
    </w:lvl>
    <w:lvl w:ilvl="8">
      <w:start w:val="1"/>
      <w:numFmt w:val="lowerRoman"/>
      <w:lvlText w:val="%9."/>
      <w:lvlJc w:val="left"/>
      <w:pPr>
        <w:ind w:left="-4227" w:hanging="284"/>
      </w:pPr>
      <w:rPr>
        <w:rFonts w:hint="default"/>
      </w:rPr>
    </w:lvl>
  </w:abstractNum>
  <w:abstractNum w:abstractNumId="43" w15:restartNumberingAfterBreak="0">
    <w:nsid w:val="42766347"/>
    <w:multiLevelType w:val="multilevel"/>
    <w:tmpl w:val="A8DA4E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42C71ACF"/>
    <w:multiLevelType w:val="hybridMultilevel"/>
    <w:tmpl w:val="5F04AD52"/>
    <w:lvl w:ilvl="0" w:tplc="FAD8EC4A">
      <w:start w:val="1"/>
      <w:numFmt w:val="decimal"/>
      <w:lvlText w:val="%1."/>
      <w:lvlJc w:val="left"/>
      <w:pPr>
        <w:ind w:left="360" w:hanging="360"/>
      </w:pPr>
      <w:rPr>
        <w:rFonts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33C2073"/>
    <w:multiLevelType w:val="hybridMultilevel"/>
    <w:tmpl w:val="24844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38D46D9"/>
    <w:multiLevelType w:val="hybridMultilevel"/>
    <w:tmpl w:val="89725024"/>
    <w:lvl w:ilvl="0" w:tplc="61AEA666">
      <w:start w:val="1"/>
      <w:numFmt w:val="bullet"/>
      <w:lvlText w:val=""/>
      <w:lvlJc w:val="left"/>
      <w:pPr>
        <w:ind w:left="644" w:hanging="360"/>
      </w:pPr>
      <w:rPr>
        <w:rFonts w:ascii="Symbol" w:hAnsi="Symbol" w:hint="default"/>
        <w:sz w:val="2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7" w15:restartNumberingAfterBreak="0">
    <w:nsid w:val="490801AA"/>
    <w:multiLevelType w:val="hybridMultilevel"/>
    <w:tmpl w:val="0A108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A206EB6"/>
    <w:multiLevelType w:val="hybridMultilevel"/>
    <w:tmpl w:val="39CA707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9" w15:restartNumberingAfterBreak="0">
    <w:nsid w:val="4C023BEA"/>
    <w:multiLevelType w:val="hybridMultilevel"/>
    <w:tmpl w:val="9FA2AF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1C826DF"/>
    <w:multiLevelType w:val="hybridMultilevel"/>
    <w:tmpl w:val="D59EB6D0"/>
    <w:lvl w:ilvl="0" w:tplc="AE6CD43E">
      <w:start w:val="1"/>
      <w:numFmt w:val="bullet"/>
      <w:lvlText w:val=""/>
      <w:lvlJc w:val="left"/>
      <w:pPr>
        <w:ind w:left="360" w:hanging="360"/>
      </w:pPr>
      <w:rPr>
        <w:rFonts w:ascii="Symbol" w:hAnsi="Symbol" w:hint="default"/>
        <w:color w:val="008089"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3B467AA"/>
    <w:multiLevelType w:val="hybridMultilevel"/>
    <w:tmpl w:val="848ED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0B7D43"/>
    <w:multiLevelType w:val="multilevel"/>
    <w:tmpl w:val="937C70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56C80D5B"/>
    <w:multiLevelType w:val="hybridMultilevel"/>
    <w:tmpl w:val="71FEA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91957D2"/>
    <w:multiLevelType w:val="hybridMultilevel"/>
    <w:tmpl w:val="CB2AC9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5B6E4EE8"/>
    <w:multiLevelType w:val="hybridMultilevel"/>
    <w:tmpl w:val="C024B118"/>
    <w:lvl w:ilvl="0" w:tplc="FAD8EC4A">
      <w:start w:val="1"/>
      <w:numFmt w:val="decimal"/>
      <w:lvlText w:val="%1."/>
      <w:lvlJc w:val="left"/>
      <w:pPr>
        <w:ind w:left="644" w:hanging="360"/>
      </w:pPr>
      <w:rPr>
        <w:rFonts w:hint="default"/>
        <w:sz w:val="2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6" w15:restartNumberingAfterBreak="0">
    <w:nsid w:val="5C050617"/>
    <w:multiLevelType w:val="hybridMultilevel"/>
    <w:tmpl w:val="930E1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D1D6B49"/>
    <w:multiLevelType w:val="hybridMultilevel"/>
    <w:tmpl w:val="99D2973C"/>
    <w:lvl w:ilvl="0" w:tplc="00D0ACA4">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5D9F6341"/>
    <w:multiLevelType w:val="hybridMultilevel"/>
    <w:tmpl w:val="04B882F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0" w15:restartNumberingAfterBreak="0">
    <w:nsid w:val="5DE97A38"/>
    <w:multiLevelType w:val="hybridMultilevel"/>
    <w:tmpl w:val="3496DB08"/>
    <w:lvl w:ilvl="0" w:tplc="61AEA666">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E193DAD"/>
    <w:multiLevelType w:val="hybridMultilevel"/>
    <w:tmpl w:val="D0307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EAB1E9A"/>
    <w:multiLevelType w:val="hybridMultilevel"/>
    <w:tmpl w:val="3C588DF2"/>
    <w:lvl w:ilvl="0" w:tplc="AE6CD43E">
      <w:start w:val="1"/>
      <w:numFmt w:val="bullet"/>
      <w:lvlText w:val=""/>
      <w:lvlJc w:val="left"/>
      <w:pPr>
        <w:ind w:left="360" w:hanging="360"/>
      </w:pPr>
      <w:rPr>
        <w:rFonts w:ascii="Symbol" w:hAnsi="Symbol" w:hint="default"/>
        <w:color w:val="008089"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EC31ACB"/>
    <w:multiLevelType w:val="hybridMultilevel"/>
    <w:tmpl w:val="1D328F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5F976DDD"/>
    <w:multiLevelType w:val="hybridMultilevel"/>
    <w:tmpl w:val="01929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0E7485E"/>
    <w:multiLevelType w:val="multilevel"/>
    <w:tmpl w:val="99DAAA78"/>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1DF610D"/>
    <w:multiLevelType w:val="hybridMultilevel"/>
    <w:tmpl w:val="02827C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764259C"/>
    <w:multiLevelType w:val="hybridMultilevel"/>
    <w:tmpl w:val="F64092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6A087461"/>
    <w:multiLevelType w:val="hybridMultilevel"/>
    <w:tmpl w:val="F064D794"/>
    <w:lvl w:ilvl="0" w:tplc="FAD8EC4A">
      <w:start w:val="1"/>
      <w:numFmt w:val="decimal"/>
      <w:lvlText w:val="%1."/>
      <w:lvlJc w:val="left"/>
      <w:pPr>
        <w:ind w:left="1004" w:hanging="72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9" w15:restartNumberingAfterBreak="0">
    <w:nsid w:val="6AE93840"/>
    <w:multiLevelType w:val="hybridMultilevel"/>
    <w:tmpl w:val="104477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B7816FB"/>
    <w:multiLevelType w:val="hybridMultilevel"/>
    <w:tmpl w:val="A07AF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CE601AC"/>
    <w:multiLevelType w:val="hybridMultilevel"/>
    <w:tmpl w:val="94F64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D0A5D7B"/>
    <w:multiLevelType w:val="hybridMultilevel"/>
    <w:tmpl w:val="E24617F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3" w15:restartNumberingAfterBreak="0">
    <w:nsid w:val="731D000E"/>
    <w:multiLevelType w:val="hybridMultilevel"/>
    <w:tmpl w:val="8E8899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3EE49C1"/>
    <w:multiLevelType w:val="hybridMultilevel"/>
    <w:tmpl w:val="34DC5D20"/>
    <w:lvl w:ilvl="0" w:tplc="B408119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4E9666A"/>
    <w:multiLevelType w:val="hybridMultilevel"/>
    <w:tmpl w:val="7E305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50A4C86"/>
    <w:multiLevelType w:val="hybridMultilevel"/>
    <w:tmpl w:val="EA88F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CEB27C6"/>
    <w:multiLevelType w:val="hybridMultilevel"/>
    <w:tmpl w:val="33E400D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8" w15:restartNumberingAfterBreak="0">
    <w:nsid w:val="7D3E04C9"/>
    <w:multiLevelType w:val="hybridMultilevel"/>
    <w:tmpl w:val="704CB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42"/>
  </w:num>
  <w:num w:numId="2">
    <w:abstractNumId w:val="79"/>
  </w:num>
  <w:num w:numId="3">
    <w:abstractNumId w:val="7"/>
  </w:num>
  <w:num w:numId="4">
    <w:abstractNumId w:val="41"/>
  </w:num>
  <w:num w:numId="5">
    <w:abstractNumId w:val="10"/>
  </w:num>
  <w:num w:numId="6">
    <w:abstractNumId w:val="28"/>
  </w:num>
  <w:num w:numId="7">
    <w:abstractNumId w:val="38"/>
  </w:num>
  <w:num w:numId="8">
    <w:abstractNumId w:val="57"/>
  </w:num>
  <w:num w:numId="9">
    <w:abstractNumId w:val="65"/>
    <w:lvlOverride w:ilvl="0">
      <w:lvl w:ilvl="0">
        <w:start w:val="1"/>
        <w:numFmt w:val="bullet"/>
        <w:pStyle w:val="Box1Bullet1"/>
        <w:lvlText w:val=""/>
        <w:lvlJc w:val="left"/>
        <w:pPr>
          <w:ind w:left="567" w:hanging="283"/>
        </w:pPr>
        <w:rPr>
          <w:rFonts w:ascii="Symbol" w:hAnsi="Symbol" w:hint="default"/>
          <w:color w:val="auto"/>
        </w:rPr>
      </w:lvl>
    </w:lvlOverride>
    <w:lvlOverride w:ilvl="1">
      <w:lvl w:ilvl="1">
        <w:start w:val="1"/>
        <w:numFmt w:val="bullet"/>
        <w:lvlText w:val=""/>
        <w:lvlJc w:val="left"/>
        <w:pPr>
          <w:ind w:left="567" w:hanging="283"/>
        </w:pPr>
        <w:rPr>
          <w:rFonts w:ascii="Symbol" w:hAnsi="Symbol" w:hint="default"/>
          <w:color w:val="auto"/>
        </w:rPr>
      </w:lvl>
    </w:lvlOverride>
    <w:lvlOverride w:ilvl="2">
      <w:lvl w:ilvl="2">
        <w:start w:val="1"/>
        <w:numFmt w:val="bullet"/>
        <w:pStyle w:val="Box2Checklist"/>
        <w:lvlText w:val="□"/>
        <w:lvlJc w:val="left"/>
        <w:pPr>
          <w:ind w:left="567" w:hanging="283"/>
        </w:pPr>
        <w:rPr>
          <w:rFonts w:ascii="Calibri" w:hAnsi="Calibri"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65"/>
  </w:num>
  <w:num w:numId="11">
    <w:abstractNumId w:val="1"/>
  </w:num>
  <w:num w:numId="12">
    <w:abstractNumId w:val="66"/>
  </w:num>
  <w:num w:numId="13">
    <w:abstractNumId w:val="17"/>
  </w:num>
  <w:num w:numId="14">
    <w:abstractNumId w:val="12"/>
  </w:num>
  <w:num w:numId="15">
    <w:abstractNumId w:val="78"/>
  </w:num>
  <w:num w:numId="16">
    <w:abstractNumId w:val="15"/>
  </w:num>
  <w:num w:numId="17">
    <w:abstractNumId w:val="75"/>
  </w:num>
  <w:num w:numId="18">
    <w:abstractNumId w:val="32"/>
  </w:num>
  <w:num w:numId="19">
    <w:abstractNumId w:val="69"/>
  </w:num>
  <w:num w:numId="20">
    <w:abstractNumId w:val="35"/>
  </w:num>
  <w:num w:numId="21">
    <w:abstractNumId w:val="40"/>
  </w:num>
  <w:num w:numId="22">
    <w:abstractNumId w:val="67"/>
  </w:num>
  <w:num w:numId="23">
    <w:abstractNumId w:val="26"/>
  </w:num>
  <w:num w:numId="24">
    <w:abstractNumId w:val="54"/>
  </w:num>
  <w:num w:numId="25">
    <w:abstractNumId w:val="63"/>
  </w:num>
  <w:num w:numId="26">
    <w:abstractNumId w:val="22"/>
  </w:num>
  <w:num w:numId="27">
    <w:abstractNumId w:val="14"/>
  </w:num>
  <w:num w:numId="28">
    <w:abstractNumId w:val="48"/>
  </w:num>
  <w:num w:numId="29">
    <w:abstractNumId w:val="73"/>
  </w:num>
  <w:num w:numId="30">
    <w:abstractNumId w:val="19"/>
  </w:num>
  <w:num w:numId="31">
    <w:abstractNumId w:val="33"/>
  </w:num>
  <w:num w:numId="32">
    <w:abstractNumId w:val="71"/>
  </w:num>
  <w:num w:numId="33">
    <w:abstractNumId w:val="6"/>
  </w:num>
  <w:num w:numId="34">
    <w:abstractNumId w:val="25"/>
  </w:num>
  <w:num w:numId="35">
    <w:abstractNumId w:val="8"/>
  </w:num>
  <w:num w:numId="36">
    <w:abstractNumId w:val="59"/>
  </w:num>
  <w:num w:numId="37">
    <w:abstractNumId w:val="30"/>
  </w:num>
  <w:num w:numId="38">
    <w:abstractNumId w:val="77"/>
  </w:num>
  <w:num w:numId="39">
    <w:abstractNumId w:val="29"/>
  </w:num>
  <w:num w:numId="40">
    <w:abstractNumId w:val="3"/>
  </w:num>
  <w:num w:numId="41">
    <w:abstractNumId w:val="11"/>
  </w:num>
  <w:num w:numId="42">
    <w:abstractNumId w:val="5"/>
  </w:num>
  <w:num w:numId="43">
    <w:abstractNumId w:val="60"/>
  </w:num>
  <w:num w:numId="44">
    <w:abstractNumId w:val="46"/>
  </w:num>
  <w:num w:numId="45">
    <w:abstractNumId w:val="21"/>
  </w:num>
  <w:num w:numId="46">
    <w:abstractNumId w:val="76"/>
  </w:num>
  <w:num w:numId="47">
    <w:abstractNumId w:val="2"/>
  </w:num>
  <w:num w:numId="48">
    <w:abstractNumId w:val="27"/>
  </w:num>
  <w:num w:numId="49">
    <w:abstractNumId w:val="4"/>
  </w:num>
  <w:num w:numId="50">
    <w:abstractNumId w:val="44"/>
  </w:num>
  <w:num w:numId="51">
    <w:abstractNumId w:val="68"/>
  </w:num>
  <w:num w:numId="52">
    <w:abstractNumId w:val="36"/>
  </w:num>
  <w:num w:numId="53">
    <w:abstractNumId w:val="55"/>
  </w:num>
  <w:num w:numId="54">
    <w:abstractNumId w:val="24"/>
  </w:num>
  <w:num w:numId="55">
    <w:abstractNumId w:val="34"/>
  </w:num>
  <w:num w:numId="56">
    <w:abstractNumId w:val="13"/>
  </w:num>
  <w:num w:numId="57">
    <w:abstractNumId w:val="51"/>
  </w:num>
  <w:num w:numId="58">
    <w:abstractNumId w:val="64"/>
  </w:num>
  <w:num w:numId="59">
    <w:abstractNumId w:val="9"/>
  </w:num>
  <w:num w:numId="60">
    <w:abstractNumId w:val="53"/>
  </w:num>
  <w:num w:numId="61">
    <w:abstractNumId w:val="61"/>
  </w:num>
  <w:num w:numId="62">
    <w:abstractNumId w:val="45"/>
  </w:num>
  <w:num w:numId="63">
    <w:abstractNumId w:val="23"/>
  </w:num>
  <w:num w:numId="64">
    <w:abstractNumId w:val="39"/>
  </w:num>
  <w:num w:numId="65">
    <w:abstractNumId w:val="20"/>
  </w:num>
  <w:num w:numId="66">
    <w:abstractNumId w:val="70"/>
  </w:num>
  <w:num w:numId="67">
    <w:abstractNumId w:val="16"/>
  </w:num>
  <w:num w:numId="68">
    <w:abstractNumId w:val="47"/>
  </w:num>
  <w:num w:numId="69">
    <w:abstractNumId w:val="58"/>
  </w:num>
  <w:num w:numId="70">
    <w:abstractNumId w:val="43"/>
  </w:num>
  <w:num w:numId="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4"/>
  </w:num>
  <w:num w:numId="83">
    <w:abstractNumId w:val="52"/>
  </w:num>
  <w:num w:numId="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
  </w:num>
  <w:num w:numId="96">
    <w:abstractNumId w:val="37"/>
  </w:num>
  <w:num w:numId="97">
    <w:abstractNumId w:val="0"/>
  </w:num>
  <w:num w:numId="98">
    <w:abstractNumId w:val="62"/>
  </w:num>
  <w:num w:numId="99">
    <w:abstractNumId w:val="50"/>
  </w:num>
  <w:num w:numId="100">
    <w:abstractNumId w:val="49"/>
  </w:num>
  <w:num w:numId="101">
    <w:abstractNumId w:val="72"/>
  </w:num>
  <w:num w:numId="102">
    <w:abstractNumId w:val="31"/>
  </w:num>
  <w:num w:numId="103">
    <w:abstractNumId w:val="5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171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13F"/>
    <w:rsid w:val="00000DB0"/>
    <w:rsid w:val="00001F75"/>
    <w:rsid w:val="00001FD9"/>
    <w:rsid w:val="00001FFD"/>
    <w:rsid w:val="00002ACD"/>
    <w:rsid w:val="000034CC"/>
    <w:rsid w:val="00003769"/>
    <w:rsid w:val="00003F66"/>
    <w:rsid w:val="00004254"/>
    <w:rsid w:val="00004A78"/>
    <w:rsid w:val="00004F00"/>
    <w:rsid w:val="00004F20"/>
    <w:rsid w:val="00005A56"/>
    <w:rsid w:val="00005AC0"/>
    <w:rsid w:val="000060DF"/>
    <w:rsid w:val="0000641A"/>
    <w:rsid w:val="00006499"/>
    <w:rsid w:val="00006B6B"/>
    <w:rsid w:val="00006C27"/>
    <w:rsid w:val="00006C2D"/>
    <w:rsid w:val="00006F7C"/>
    <w:rsid w:val="00007CC3"/>
    <w:rsid w:val="00007F1D"/>
    <w:rsid w:val="00010658"/>
    <w:rsid w:val="00012D43"/>
    <w:rsid w:val="00012D8B"/>
    <w:rsid w:val="000132F7"/>
    <w:rsid w:val="00013A42"/>
    <w:rsid w:val="00013FA5"/>
    <w:rsid w:val="00014073"/>
    <w:rsid w:val="0001430B"/>
    <w:rsid w:val="000147A5"/>
    <w:rsid w:val="00014C94"/>
    <w:rsid w:val="00014E30"/>
    <w:rsid w:val="0001570A"/>
    <w:rsid w:val="00015858"/>
    <w:rsid w:val="00016484"/>
    <w:rsid w:val="00017975"/>
    <w:rsid w:val="0002186C"/>
    <w:rsid w:val="00021F43"/>
    <w:rsid w:val="00022061"/>
    <w:rsid w:val="00022570"/>
    <w:rsid w:val="0002360D"/>
    <w:rsid w:val="0002448C"/>
    <w:rsid w:val="00025C58"/>
    <w:rsid w:val="000262A4"/>
    <w:rsid w:val="00026F82"/>
    <w:rsid w:val="00027502"/>
    <w:rsid w:val="00027981"/>
    <w:rsid w:val="0003093B"/>
    <w:rsid w:val="000310CB"/>
    <w:rsid w:val="00031464"/>
    <w:rsid w:val="00031B7B"/>
    <w:rsid w:val="00032F2E"/>
    <w:rsid w:val="000331D7"/>
    <w:rsid w:val="000332D0"/>
    <w:rsid w:val="00033685"/>
    <w:rsid w:val="000339B8"/>
    <w:rsid w:val="00033DE1"/>
    <w:rsid w:val="00034CBC"/>
    <w:rsid w:val="00034FC7"/>
    <w:rsid w:val="0003569B"/>
    <w:rsid w:val="00036305"/>
    <w:rsid w:val="000366E3"/>
    <w:rsid w:val="000371F8"/>
    <w:rsid w:val="000377C7"/>
    <w:rsid w:val="00037C1C"/>
    <w:rsid w:val="00040206"/>
    <w:rsid w:val="00040574"/>
    <w:rsid w:val="00041240"/>
    <w:rsid w:val="000418BC"/>
    <w:rsid w:val="00041D1B"/>
    <w:rsid w:val="000420BB"/>
    <w:rsid w:val="00043D1B"/>
    <w:rsid w:val="00043FE9"/>
    <w:rsid w:val="00045539"/>
    <w:rsid w:val="000463D8"/>
    <w:rsid w:val="000465A3"/>
    <w:rsid w:val="00046B1E"/>
    <w:rsid w:val="00046E6D"/>
    <w:rsid w:val="00046FF1"/>
    <w:rsid w:val="000475C2"/>
    <w:rsid w:val="0004777F"/>
    <w:rsid w:val="00047CE6"/>
    <w:rsid w:val="00047D74"/>
    <w:rsid w:val="00047F52"/>
    <w:rsid w:val="0005049B"/>
    <w:rsid w:val="00051559"/>
    <w:rsid w:val="000519E3"/>
    <w:rsid w:val="00053D16"/>
    <w:rsid w:val="0005402A"/>
    <w:rsid w:val="00054186"/>
    <w:rsid w:val="000558FF"/>
    <w:rsid w:val="00055D01"/>
    <w:rsid w:val="00057291"/>
    <w:rsid w:val="000579D1"/>
    <w:rsid w:val="00057E95"/>
    <w:rsid w:val="000605AF"/>
    <w:rsid w:val="00060AF1"/>
    <w:rsid w:val="00060BDC"/>
    <w:rsid w:val="00062161"/>
    <w:rsid w:val="00062456"/>
    <w:rsid w:val="000625CE"/>
    <w:rsid w:val="00062887"/>
    <w:rsid w:val="00062FA0"/>
    <w:rsid w:val="00063311"/>
    <w:rsid w:val="00063414"/>
    <w:rsid w:val="000635D8"/>
    <w:rsid w:val="0006378E"/>
    <w:rsid w:val="00063DFE"/>
    <w:rsid w:val="00064040"/>
    <w:rsid w:val="00064753"/>
    <w:rsid w:val="000648C6"/>
    <w:rsid w:val="000651DB"/>
    <w:rsid w:val="00065C52"/>
    <w:rsid w:val="0006662E"/>
    <w:rsid w:val="0006684F"/>
    <w:rsid w:val="000669C0"/>
    <w:rsid w:val="00066B65"/>
    <w:rsid w:val="00066C62"/>
    <w:rsid w:val="000679BC"/>
    <w:rsid w:val="00067D33"/>
    <w:rsid w:val="00070001"/>
    <w:rsid w:val="00070962"/>
    <w:rsid w:val="00070A38"/>
    <w:rsid w:val="000710B3"/>
    <w:rsid w:val="0007141F"/>
    <w:rsid w:val="00071D59"/>
    <w:rsid w:val="00071DA9"/>
    <w:rsid w:val="0007242C"/>
    <w:rsid w:val="00072A26"/>
    <w:rsid w:val="000734FC"/>
    <w:rsid w:val="00073643"/>
    <w:rsid w:val="00074656"/>
    <w:rsid w:val="00074D9D"/>
    <w:rsid w:val="0007507E"/>
    <w:rsid w:val="00075118"/>
    <w:rsid w:val="00075564"/>
    <w:rsid w:val="00076143"/>
    <w:rsid w:val="00076AA3"/>
    <w:rsid w:val="00076FEB"/>
    <w:rsid w:val="00076FEE"/>
    <w:rsid w:val="000777DD"/>
    <w:rsid w:val="00077B56"/>
    <w:rsid w:val="00077CB9"/>
    <w:rsid w:val="00077DB3"/>
    <w:rsid w:val="00077F66"/>
    <w:rsid w:val="0008004E"/>
    <w:rsid w:val="00080595"/>
    <w:rsid w:val="00081161"/>
    <w:rsid w:val="00081E06"/>
    <w:rsid w:val="0008251C"/>
    <w:rsid w:val="000827E3"/>
    <w:rsid w:val="00082CA0"/>
    <w:rsid w:val="00082EF7"/>
    <w:rsid w:val="00083FCC"/>
    <w:rsid w:val="000848AF"/>
    <w:rsid w:val="0008521B"/>
    <w:rsid w:val="00085622"/>
    <w:rsid w:val="0008597B"/>
    <w:rsid w:val="00085D7A"/>
    <w:rsid w:val="0008630E"/>
    <w:rsid w:val="00087187"/>
    <w:rsid w:val="00087B60"/>
    <w:rsid w:val="00087BF3"/>
    <w:rsid w:val="00091040"/>
    <w:rsid w:val="00091B4B"/>
    <w:rsid w:val="00092BE2"/>
    <w:rsid w:val="000934BB"/>
    <w:rsid w:val="00093CA2"/>
    <w:rsid w:val="00094CA1"/>
    <w:rsid w:val="0009500D"/>
    <w:rsid w:val="00095380"/>
    <w:rsid w:val="0009554B"/>
    <w:rsid w:val="000956DC"/>
    <w:rsid w:val="00095953"/>
    <w:rsid w:val="00095A70"/>
    <w:rsid w:val="000960F0"/>
    <w:rsid w:val="000967D2"/>
    <w:rsid w:val="00096C55"/>
    <w:rsid w:val="000975DA"/>
    <w:rsid w:val="000A14C3"/>
    <w:rsid w:val="000A1A26"/>
    <w:rsid w:val="000A253D"/>
    <w:rsid w:val="000A283D"/>
    <w:rsid w:val="000A2A22"/>
    <w:rsid w:val="000A3276"/>
    <w:rsid w:val="000A34BA"/>
    <w:rsid w:val="000A3755"/>
    <w:rsid w:val="000A3C88"/>
    <w:rsid w:val="000A3CCB"/>
    <w:rsid w:val="000A4E89"/>
    <w:rsid w:val="000A5256"/>
    <w:rsid w:val="000A5BCA"/>
    <w:rsid w:val="000A5BD8"/>
    <w:rsid w:val="000A6EB5"/>
    <w:rsid w:val="000A7213"/>
    <w:rsid w:val="000A7705"/>
    <w:rsid w:val="000A7D98"/>
    <w:rsid w:val="000B006E"/>
    <w:rsid w:val="000B0214"/>
    <w:rsid w:val="000B06E1"/>
    <w:rsid w:val="000B0CBB"/>
    <w:rsid w:val="000B29EB"/>
    <w:rsid w:val="000B2A87"/>
    <w:rsid w:val="000B37EF"/>
    <w:rsid w:val="000B3A63"/>
    <w:rsid w:val="000B450C"/>
    <w:rsid w:val="000B4AAA"/>
    <w:rsid w:val="000B55B3"/>
    <w:rsid w:val="000B65C2"/>
    <w:rsid w:val="000B6E69"/>
    <w:rsid w:val="000B7117"/>
    <w:rsid w:val="000B7811"/>
    <w:rsid w:val="000B79F8"/>
    <w:rsid w:val="000B7DA5"/>
    <w:rsid w:val="000C08F8"/>
    <w:rsid w:val="000C0FF8"/>
    <w:rsid w:val="000C11F8"/>
    <w:rsid w:val="000C15BE"/>
    <w:rsid w:val="000C18BD"/>
    <w:rsid w:val="000C2276"/>
    <w:rsid w:val="000C2840"/>
    <w:rsid w:val="000C2955"/>
    <w:rsid w:val="000C3008"/>
    <w:rsid w:val="000C369F"/>
    <w:rsid w:val="000C3AF8"/>
    <w:rsid w:val="000C3CA8"/>
    <w:rsid w:val="000C3F38"/>
    <w:rsid w:val="000C4698"/>
    <w:rsid w:val="000C5580"/>
    <w:rsid w:val="000C5649"/>
    <w:rsid w:val="000C5E2B"/>
    <w:rsid w:val="000C5EAC"/>
    <w:rsid w:val="000C6AEE"/>
    <w:rsid w:val="000C7032"/>
    <w:rsid w:val="000C7A0A"/>
    <w:rsid w:val="000D0150"/>
    <w:rsid w:val="000D0266"/>
    <w:rsid w:val="000D092B"/>
    <w:rsid w:val="000D0A0F"/>
    <w:rsid w:val="000D0B08"/>
    <w:rsid w:val="000D1BEE"/>
    <w:rsid w:val="000D26C8"/>
    <w:rsid w:val="000D294E"/>
    <w:rsid w:val="000D2AEF"/>
    <w:rsid w:val="000D47E0"/>
    <w:rsid w:val="000D5266"/>
    <w:rsid w:val="000D57C4"/>
    <w:rsid w:val="000D5A46"/>
    <w:rsid w:val="000D61DB"/>
    <w:rsid w:val="000D6592"/>
    <w:rsid w:val="000D6D9C"/>
    <w:rsid w:val="000D7E71"/>
    <w:rsid w:val="000E02DD"/>
    <w:rsid w:val="000E06EF"/>
    <w:rsid w:val="000E12B3"/>
    <w:rsid w:val="000E1C5A"/>
    <w:rsid w:val="000E232D"/>
    <w:rsid w:val="000E24BA"/>
    <w:rsid w:val="000E2A75"/>
    <w:rsid w:val="000E2D92"/>
    <w:rsid w:val="000E3201"/>
    <w:rsid w:val="000E36F7"/>
    <w:rsid w:val="000E38A2"/>
    <w:rsid w:val="000E3B68"/>
    <w:rsid w:val="000E3CD5"/>
    <w:rsid w:val="000E4EDE"/>
    <w:rsid w:val="000E5674"/>
    <w:rsid w:val="000E5DB6"/>
    <w:rsid w:val="000E6036"/>
    <w:rsid w:val="000E61B2"/>
    <w:rsid w:val="000E649A"/>
    <w:rsid w:val="000E6C6E"/>
    <w:rsid w:val="000E71E8"/>
    <w:rsid w:val="000E75F7"/>
    <w:rsid w:val="000E7A2B"/>
    <w:rsid w:val="000E7CCA"/>
    <w:rsid w:val="000F1791"/>
    <w:rsid w:val="000F1B21"/>
    <w:rsid w:val="000F2116"/>
    <w:rsid w:val="000F2AF1"/>
    <w:rsid w:val="000F38A1"/>
    <w:rsid w:val="000F3904"/>
    <w:rsid w:val="000F43D2"/>
    <w:rsid w:val="000F4B23"/>
    <w:rsid w:val="000F4F53"/>
    <w:rsid w:val="000F5AFD"/>
    <w:rsid w:val="000F5E4F"/>
    <w:rsid w:val="000F6044"/>
    <w:rsid w:val="000F6580"/>
    <w:rsid w:val="000F66FA"/>
    <w:rsid w:val="000F6758"/>
    <w:rsid w:val="000F6941"/>
    <w:rsid w:val="000F7F56"/>
    <w:rsid w:val="00100086"/>
    <w:rsid w:val="0010037B"/>
    <w:rsid w:val="0010062D"/>
    <w:rsid w:val="00101763"/>
    <w:rsid w:val="00101F0A"/>
    <w:rsid w:val="0010273A"/>
    <w:rsid w:val="001029AE"/>
    <w:rsid w:val="001029C2"/>
    <w:rsid w:val="00102BFF"/>
    <w:rsid w:val="001041F2"/>
    <w:rsid w:val="0010479E"/>
    <w:rsid w:val="00104876"/>
    <w:rsid w:val="00104F4B"/>
    <w:rsid w:val="00104F5E"/>
    <w:rsid w:val="00105679"/>
    <w:rsid w:val="00106550"/>
    <w:rsid w:val="00106892"/>
    <w:rsid w:val="00110E6F"/>
    <w:rsid w:val="00111641"/>
    <w:rsid w:val="0011224A"/>
    <w:rsid w:val="0011229F"/>
    <w:rsid w:val="001128B6"/>
    <w:rsid w:val="00114BBF"/>
    <w:rsid w:val="00114DA2"/>
    <w:rsid w:val="00114EC7"/>
    <w:rsid w:val="00115208"/>
    <w:rsid w:val="001164F0"/>
    <w:rsid w:val="0011667F"/>
    <w:rsid w:val="001208D5"/>
    <w:rsid w:val="001219C6"/>
    <w:rsid w:val="00121F10"/>
    <w:rsid w:val="0012247E"/>
    <w:rsid w:val="00122EFA"/>
    <w:rsid w:val="00123152"/>
    <w:rsid w:val="00123973"/>
    <w:rsid w:val="00124493"/>
    <w:rsid w:val="001247A9"/>
    <w:rsid w:val="001258CE"/>
    <w:rsid w:val="00125958"/>
    <w:rsid w:val="00125C2D"/>
    <w:rsid w:val="00125CD0"/>
    <w:rsid w:val="001261E0"/>
    <w:rsid w:val="00126C2A"/>
    <w:rsid w:val="00126C4F"/>
    <w:rsid w:val="00126C63"/>
    <w:rsid w:val="00126E93"/>
    <w:rsid w:val="0012767D"/>
    <w:rsid w:val="00130263"/>
    <w:rsid w:val="00130B73"/>
    <w:rsid w:val="00130B9D"/>
    <w:rsid w:val="00130CD4"/>
    <w:rsid w:val="00130FBF"/>
    <w:rsid w:val="001315F6"/>
    <w:rsid w:val="00131B0C"/>
    <w:rsid w:val="00131C08"/>
    <w:rsid w:val="00131CCD"/>
    <w:rsid w:val="0013251D"/>
    <w:rsid w:val="00132A6E"/>
    <w:rsid w:val="0013377E"/>
    <w:rsid w:val="001337C5"/>
    <w:rsid w:val="001340EF"/>
    <w:rsid w:val="001349C6"/>
    <w:rsid w:val="00134D36"/>
    <w:rsid w:val="001354DD"/>
    <w:rsid w:val="001361CF"/>
    <w:rsid w:val="0013632F"/>
    <w:rsid w:val="00137609"/>
    <w:rsid w:val="001376A2"/>
    <w:rsid w:val="001379DA"/>
    <w:rsid w:val="00140D82"/>
    <w:rsid w:val="00141E9E"/>
    <w:rsid w:val="00141F6B"/>
    <w:rsid w:val="0014241D"/>
    <w:rsid w:val="00142937"/>
    <w:rsid w:val="00142B9B"/>
    <w:rsid w:val="00142E5D"/>
    <w:rsid w:val="00142EE8"/>
    <w:rsid w:val="00142F2F"/>
    <w:rsid w:val="00143451"/>
    <w:rsid w:val="0014355F"/>
    <w:rsid w:val="001436CD"/>
    <w:rsid w:val="00143D19"/>
    <w:rsid w:val="0014490A"/>
    <w:rsid w:val="001454EA"/>
    <w:rsid w:val="001457F2"/>
    <w:rsid w:val="001461A3"/>
    <w:rsid w:val="00146AF3"/>
    <w:rsid w:val="00146FD5"/>
    <w:rsid w:val="0015013F"/>
    <w:rsid w:val="00150C2E"/>
    <w:rsid w:val="00151AC5"/>
    <w:rsid w:val="00151EA1"/>
    <w:rsid w:val="00152874"/>
    <w:rsid w:val="00152BD6"/>
    <w:rsid w:val="00152CF4"/>
    <w:rsid w:val="00152FFE"/>
    <w:rsid w:val="00153549"/>
    <w:rsid w:val="001538B1"/>
    <w:rsid w:val="00153AE1"/>
    <w:rsid w:val="00154176"/>
    <w:rsid w:val="0015428B"/>
    <w:rsid w:val="001547C9"/>
    <w:rsid w:val="00155E4C"/>
    <w:rsid w:val="00155E72"/>
    <w:rsid w:val="0015611E"/>
    <w:rsid w:val="001563D0"/>
    <w:rsid w:val="00156D22"/>
    <w:rsid w:val="0015713F"/>
    <w:rsid w:val="00160FEE"/>
    <w:rsid w:val="00161331"/>
    <w:rsid w:val="00161F48"/>
    <w:rsid w:val="00162516"/>
    <w:rsid w:val="00163257"/>
    <w:rsid w:val="001633E0"/>
    <w:rsid w:val="001634C1"/>
    <w:rsid w:val="00163613"/>
    <w:rsid w:val="0016363D"/>
    <w:rsid w:val="00164181"/>
    <w:rsid w:val="00164257"/>
    <w:rsid w:val="00165328"/>
    <w:rsid w:val="0016639C"/>
    <w:rsid w:val="00166DD5"/>
    <w:rsid w:val="00166E0A"/>
    <w:rsid w:val="00167AFF"/>
    <w:rsid w:val="001703D8"/>
    <w:rsid w:val="00170F16"/>
    <w:rsid w:val="0017113A"/>
    <w:rsid w:val="001714A9"/>
    <w:rsid w:val="00172001"/>
    <w:rsid w:val="0017231C"/>
    <w:rsid w:val="00172E28"/>
    <w:rsid w:val="00173388"/>
    <w:rsid w:val="00173693"/>
    <w:rsid w:val="0017379C"/>
    <w:rsid w:val="00174254"/>
    <w:rsid w:val="00174590"/>
    <w:rsid w:val="001745BC"/>
    <w:rsid w:val="00174620"/>
    <w:rsid w:val="0017581D"/>
    <w:rsid w:val="00175A92"/>
    <w:rsid w:val="00176512"/>
    <w:rsid w:val="001766C2"/>
    <w:rsid w:val="00176EC7"/>
    <w:rsid w:val="001772A8"/>
    <w:rsid w:val="00177386"/>
    <w:rsid w:val="00177484"/>
    <w:rsid w:val="00177AA7"/>
    <w:rsid w:val="001801B8"/>
    <w:rsid w:val="001811CD"/>
    <w:rsid w:val="00181851"/>
    <w:rsid w:val="00181955"/>
    <w:rsid w:val="00181AE9"/>
    <w:rsid w:val="00181B59"/>
    <w:rsid w:val="00182AE3"/>
    <w:rsid w:val="00182CB1"/>
    <w:rsid w:val="00182DC9"/>
    <w:rsid w:val="00182EE0"/>
    <w:rsid w:val="00183FE4"/>
    <w:rsid w:val="001863D6"/>
    <w:rsid w:val="00186962"/>
    <w:rsid w:val="00186BA4"/>
    <w:rsid w:val="00186C37"/>
    <w:rsid w:val="00186D9E"/>
    <w:rsid w:val="001871FE"/>
    <w:rsid w:val="0018732B"/>
    <w:rsid w:val="00187BCB"/>
    <w:rsid w:val="00187D0F"/>
    <w:rsid w:val="00190A1B"/>
    <w:rsid w:val="00190A81"/>
    <w:rsid w:val="00190BB5"/>
    <w:rsid w:val="00191117"/>
    <w:rsid w:val="0019141C"/>
    <w:rsid w:val="001916E6"/>
    <w:rsid w:val="00191FF3"/>
    <w:rsid w:val="001926CF"/>
    <w:rsid w:val="001936B3"/>
    <w:rsid w:val="00193CE7"/>
    <w:rsid w:val="00193E73"/>
    <w:rsid w:val="00194419"/>
    <w:rsid w:val="001946BF"/>
    <w:rsid w:val="00194ED7"/>
    <w:rsid w:val="00194F6C"/>
    <w:rsid w:val="001962EB"/>
    <w:rsid w:val="001966C0"/>
    <w:rsid w:val="00196C2C"/>
    <w:rsid w:val="00196E24"/>
    <w:rsid w:val="00197026"/>
    <w:rsid w:val="001970B5"/>
    <w:rsid w:val="00197123"/>
    <w:rsid w:val="0019726D"/>
    <w:rsid w:val="001977EA"/>
    <w:rsid w:val="00197A19"/>
    <w:rsid w:val="00197F54"/>
    <w:rsid w:val="001A056B"/>
    <w:rsid w:val="001A05D7"/>
    <w:rsid w:val="001A06AD"/>
    <w:rsid w:val="001A0825"/>
    <w:rsid w:val="001A168E"/>
    <w:rsid w:val="001A17DC"/>
    <w:rsid w:val="001A1F8F"/>
    <w:rsid w:val="001A23BE"/>
    <w:rsid w:val="001A24BA"/>
    <w:rsid w:val="001A24E0"/>
    <w:rsid w:val="001A2AF2"/>
    <w:rsid w:val="001A3261"/>
    <w:rsid w:val="001A3548"/>
    <w:rsid w:val="001A4967"/>
    <w:rsid w:val="001A5254"/>
    <w:rsid w:val="001A5C2F"/>
    <w:rsid w:val="001A5E5B"/>
    <w:rsid w:val="001A622B"/>
    <w:rsid w:val="001A6BE3"/>
    <w:rsid w:val="001A73AD"/>
    <w:rsid w:val="001A77A2"/>
    <w:rsid w:val="001A7A49"/>
    <w:rsid w:val="001A7D7F"/>
    <w:rsid w:val="001A7E4F"/>
    <w:rsid w:val="001A7F0B"/>
    <w:rsid w:val="001B0341"/>
    <w:rsid w:val="001B1043"/>
    <w:rsid w:val="001B16C3"/>
    <w:rsid w:val="001B1B62"/>
    <w:rsid w:val="001B32C8"/>
    <w:rsid w:val="001B4353"/>
    <w:rsid w:val="001B463A"/>
    <w:rsid w:val="001B4A5E"/>
    <w:rsid w:val="001B500C"/>
    <w:rsid w:val="001B55C3"/>
    <w:rsid w:val="001B6501"/>
    <w:rsid w:val="001B66E7"/>
    <w:rsid w:val="001B69C2"/>
    <w:rsid w:val="001B763E"/>
    <w:rsid w:val="001C11E5"/>
    <w:rsid w:val="001C137C"/>
    <w:rsid w:val="001C1E6E"/>
    <w:rsid w:val="001C22C0"/>
    <w:rsid w:val="001C28D3"/>
    <w:rsid w:val="001C3019"/>
    <w:rsid w:val="001C43F4"/>
    <w:rsid w:val="001C5116"/>
    <w:rsid w:val="001C6259"/>
    <w:rsid w:val="001C63AD"/>
    <w:rsid w:val="001C69D3"/>
    <w:rsid w:val="001C711D"/>
    <w:rsid w:val="001D0552"/>
    <w:rsid w:val="001D1850"/>
    <w:rsid w:val="001D1B1F"/>
    <w:rsid w:val="001D227D"/>
    <w:rsid w:val="001D247D"/>
    <w:rsid w:val="001D27F3"/>
    <w:rsid w:val="001D3130"/>
    <w:rsid w:val="001D38ED"/>
    <w:rsid w:val="001D3961"/>
    <w:rsid w:val="001D3D30"/>
    <w:rsid w:val="001D423F"/>
    <w:rsid w:val="001D4EC3"/>
    <w:rsid w:val="001D5317"/>
    <w:rsid w:val="001D5392"/>
    <w:rsid w:val="001D5F0F"/>
    <w:rsid w:val="001D6471"/>
    <w:rsid w:val="001D6934"/>
    <w:rsid w:val="001E11B3"/>
    <w:rsid w:val="001E161E"/>
    <w:rsid w:val="001E17E5"/>
    <w:rsid w:val="001E1A3F"/>
    <w:rsid w:val="001E1D08"/>
    <w:rsid w:val="001E29A9"/>
    <w:rsid w:val="001E2A4C"/>
    <w:rsid w:val="001E2AD0"/>
    <w:rsid w:val="001E3ADF"/>
    <w:rsid w:val="001E40E7"/>
    <w:rsid w:val="001E4547"/>
    <w:rsid w:val="001E4CF6"/>
    <w:rsid w:val="001E5738"/>
    <w:rsid w:val="001E5A33"/>
    <w:rsid w:val="001E63D1"/>
    <w:rsid w:val="001E6BC9"/>
    <w:rsid w:val="001E6C4C"/>
    <w:rsid w:val="001E760D"/>
    <w:rsid w:val="001E77BE"/>
    <w:rsid w:val="001E7926"/>
    <w:rsid w:val="001E7C30"/>
    <w:rsid w:val="001F045A"/>
    <w:rsid w:val="001F0B0E"/>
    <w:rsid w:val="001F0D47"/>
    <w:rsid w:val="001F1296"/>
    <w:rsid w:val="001F298B"/>
    <w:rsid w:val="001F35C5"/>
    <w:rsid w:val="001F3936"/>
    <w:rsid w:val="001F3BC3"/>
    <w:rsid w:val="001F4096"/>
    <w:rsid w:val="001F66DD"/>
    <w:rsid w:val="001F67CD"/>
    <w:rsid w:val="001F6936"/>
    <w:rsid w:val="002003E8"/>
    <w:rsid w:val="0020054B"/>
    <w:rsid w:val="0020086E"/>
    <w:rsid w:val="002041C0"/>
    <w:rsid w:val="002042BC"/>
    <w:rsid w:val="002044AD"/>
    <w:rsid w:val="0020453F"/>
    <w:rsid w:val="00204B16"/>
    <w:rsid w:val="0020546B"/>
    <w:rsid w:val="00205F79"/>
    <w:rsid w:val="00206796"/>
    <w:rsid w:val="00206AAA"/>
    <w:rsid w:val="00206DD7"/>
    <w:rsid w:val="00206DF0"/>
    <w:rsid w:val="0020706F"/>
    <w:rsid w:val="00207156"/>
    <w:rsid w:val="00207F91"/>
    <w:rsid w:val="002103A5"/>
    <w:rsid w:val="00210CBB"/>
    <w:rsid w:val="002114B2"/>
    <w:rsid w:val="0021159F"/>
    <w:rsid w:val="0021193F"/>
    <w:rsid w:val="00211E91"/>
    <w:rsid w:val="00212680"/>
    <w:rsid w:val="00212738"/>
    <w:rsid w:val="00212E08"/>
    <w:rsid w:val="0021341F"/>
    <w:rsid w:val="00213DD0"/>
    <w:rsid w:val="00214F12"/>
    <w:rsid w:val="00216596"/>
    <w:rsid w:val="0021693C"/>
    <w:rsid w:val="00217671"/>
    <w:rsid w:val="00217C2D"/>
    <w:rsid w:val="00217E0D"/>
    <w:rsid w:val="002205B1"/>
    <w:rsid w:val="00221446"/>
    <w:rsid w:val="002214FC"/>
    <w:rsid w:val="00221B18"/>
    <w:rsid w:val="00222335"/>
    <w:rsid w:val="00222C7D"/>
    <w:rsid w:val="002230E1"/>
    <w:rsid w:val="00223306"/>
    <w:rsid w:val="00224B3D"/>
    <w:rsid w:val="002254D5"/>
    <w:rsid w:val="00225B2C"/>
    <w:rsid w:val="0022611D"/>
    <w:rsid w:val="002263E3"/>
    <w:rsid w:val="0022647E"/>
    <w:rsid w:val="002264B5"/>
    <w:rsid w:val="00227577"/>
    <w:rsid w:val="00227D6B"/>
    <w:rsid w:val="00227EF2"/>
    <w:rsid w:val="00227FE8"/>
    <w:rsid w:val="00230215"/>
    <w:rsid w:val="0023110B"/>
    <w:rsid w:val="00231AD4"/>
    <w:rsid w:val="00232E91"/>
    <w:rsid w:val="00233476"/>
    <w:rsid w:val="00234B15"/>
    <w:rsid w:val="00235E9F"/>
    <w:rsid w:val="00236490"/>
    <w:rsid w:val="00236779"/>
    <w:rsid w:val="002370A5"/>
    <w:rsid w:val="00237753"/>
    <w:rsid w:val="002379BB"/>
    <w:rsid w:val="00240DC6"/>
    <w:rsid w:val="00241834"/>
    <w:rsid w:val="00241D63"/>
    <w:rsid w:val="002425F5"/>
    <w:rsid w:val="00242FEA"/>
    <w:rsid w:val="0024300E"/>
    <w:rsid w:val="00243CEB"/>
    <w:rsid w:val="00243D4B"/>
    <w:rsid w:val="00244A49"/>
    <w:rsid w:val="002450BA"/>
    <w:rsid w:val="0024548B"/>
    <w:rsid w:val="00247C13"/>
    <w:rsid w:val="00247CDB"/>
    <w:rsid w:val="00247CE3"/>
    <w:rsid w:val="0025027A"/>
    <w:rsid w:val="002503E7"/>
    <w:rsid w:val="002506B5"/>
    <w:rsid w:val="0025084D"/>
    <w:rsid w:val="00251148"/>
    <w:rsid w:val="00252072"/>
    <w:rsid w:val="002523AF"/>
    <w:rsid w:val="00252A38"/>
    <w:rsid w:val="00252AB7"/>
    <w:rsid w:val="00252B88"/>
    <w:rsid w:val="00252B8E"/>
    <w:rsid w:val="00253734"/>
    <w:rsid w:val="00253BC6"/>
    <w:rsid w:val="00254408"/>
    <w:rsid w:val="002556FE"/>
    <w:rsid w:val="002561B0"/>
    <w:rsid w:val="00256FD2"/>
    <w:rsid w:val="00257CAC"/>
    <w:rsid w:val="00260949"/>
    <w:rsid w:val="002609C1"/>
    <w:rsid w:val="0026119F"/>
    <w:rsid w:val="00261381"/>
    <w:rsid w:val="00261D6B"/>
    <w:rsid w:val="00261EA8"/>
    <w:rsid w:val="00263503"/>
    <w:rsid w:val="00266EE2"/>
    <w:rsid w:val="00267286"/>
    <w:rsid w:val="00270C46"/>
    <w:rsid w:val="00270F5E"/>
    <w:rsid w:val="0027274A"/>
    <w:rsid w:val="00272E38"/>
    <w:rsid w:val="00273DFF"/>
    <w:rsid w:val="00273F79"/>
    <w:rsid w:val="00274032"/>
    <w:rsid w:val="002745C8"/>
    <w:rsid w:val="00274EAF"/>
    <w:rsid w:val="002756C8"/>
    <w:rsid w:val="00275B61"/>
    <w:rsid w:val="00275CAB"/>
    <w:rsid w:val="00275CCB"/>
    <w:rsid w:val="00275D66"/>
    <w:rsid w:val="002765F8"/>
    <w:rsid w:val="0027723F"/>
    <w:rsid w:val="002778B1"/>
    <w:rsid w:val="00277ABC"/>
    <w:rsid w:val="0028012E"/>
    <w:rsid w:val="00280360"/>
    <w:rsid w:val="00280939"/>
    <w:rsid w:val="002809DF"/>
    <w:rsid w:val="00280E48"/>
    <w:rsid w:val="00280F8A"/>
    <w:rsid w:val="00281CBA"/>
    <w:rsid w:val="00281E28"/>
    <w:rsid w:val="00282066"/>
    <w:rsid w:val="0028281A"/>
    <w:rsid w:val="0028324C"/>
    <w:rsid w:val="00283A0A"/>
    <w:rsid w:val="00283C16"/>
    <w:rsid w:val="002840F5"/>
    <w:rsid w:val="00284164"/>
    <w:rsid w:val="00284C42"/>
    <w:rsid w:val="00285790"/>
    <w:rsid w:val="00286F4E"/>
    <w:rsid w:val="00287697"/>
    <w:rsid w:val="0028791D"/>
    <w:rsid w:val="00287D36"/>
    <w:rsid w:val="00287E71"/>
    <w:rsid w:val="002909E8"/>
    <w:rsid w:val="00291050"/>
    <w:rsid w:val="00291285"/>
    <w:rsid w:val="0029188B"/>
    <w:rsid w:val="00291A87"/>
    <w:rsid w:val="00292538"/>
    <w:rsid w:val="00293BCE"/>
    <w:rsid w:val="00295949"/>
    <w:rsid w:val="002959F6"/>
    <w:rsid w:val="00296311"/>
    <w:rsid w:val="00296937"/>
    <w:rsid w:val="002976D3"/>
    <w:rsid w:val="00297D29"/>
    <w:rsid w:val="002A2003"/>
    <w:rsid w:val="002A24A2"/>
    <w:rsid w:val="002A24E5"/>
    <w:rsid w:val="002A2815"/>
    <w:rsid w:val="002A2F93"/>
    <w:rsid w:val="002A353F"/>
    <w:rsid w:val="002A364F"/>
    <w:rsid w:val="002A4636"/>
    <w:rsid w:val="002A52EF"/>
    <w:rsid w:val="002A6BFE"/>
    <w:rsid w:val="002A6F8E"/>
    <w:rsid w:val="002B27CE"/>
    <w:rsid w:val="002B3569"/>
    <w:rsid w:val="002B5CB6"/>
    <w:rsid w:val="002B6B32"/>
    <w:rsid w:val="002B7197"/>
    <w:rsid w:val="002B7A30"/>
    <w:rsid w:val="002B7AEC"/>
    <w:rsid w:val="002C0398"/>
    <w:rsid w:val="002C0682"/>
    <w:rsid w:val="002C0C87"/>
    <w:rsid w:val="002C14EE"/>
    <w:rsid w:val="002C258E"/>
    <w:rsid w:val="002C302F"/>
    <w:rsid w:val="002C3611"/>
    <w:rsid w:val="002C3FAF"/>
    <w:rsid w:val="002C4DBF"/>
    <w:rsid w:val="002C5167"/>
    <w:rsid w:val="002C5BBA"/>
    <w:rsid w:val="002C5D73"/>
    <w:rsid w:val="002C5F90"/>
    <w:rsid w:val="002C6D61"/>
    <w:rsid w:val="002C706F"/>
    <w:rsid w:val="002C7EC0"/>
    <w:rsid w:val="002D0763"/>
    <w:rsid w:val="002D07BA"/>
    <w:rsid w:val="002D0A36"/>
    <w:rsid w:val="002D0E44"/>
    <w:rsid w:val="002D0F55"/>
    <w:rsid w:val="002D20CB"/>
    <w:rsid w:val="002D2471"/>
    <w:rsid w:val="002D289D"/>
    <w:rsid w:val="002D3BA9"/>
    <w:rsid w:val="002D423B"/>
    <w:rsid w:val="002D42B6"/>
    <w:rsid w:val="002D46F2"/>
    <w:rsid w:val="002D490B"/>
    <w:rsid w:val="002D4B6C"/>
    <w:rsid w:val="002D5296"/>
    <w:rsid w:val="002D586B"/>
    <w:rsid w:val="002D5E5D"/>
    <w:rsid w:val="002D6383"/>
    <w:rsid w:val="002D7D55"/>
    <w:rsid w:val="002D7FD6"/>
    <w:rsid w:val="002E1309"/>
    <w:rsid w:val="002E142A"/>
    <w:rsid w:val="002E1ADA"/>
    <w:rsid w:val="002E1CC8"/>
    <w:rsid w:val="002E2A69"/>
    <w:rsid w:val="002E3F17"/>
    <w:rsid w:val="002E4658"/>
    <w:rsid w:val="002E53CE"/>
    <w:rsid w:val="002E57CE"/>
    <w:rsid w:val="002E5A75"/>
    <w:rsid w:val="002E5E5F"/>
    <w:rsid w:val="002E65EB"/>
    <w:rsid w:val="002E703E"/>
    <w:rsid w:val="002E70E5"/>
    <w:rsid w:val="002E7467"/>
    <w:rsid w:val="002E7754"/>
    <w:rsid w:val="002E77B1"/>
    <w:rsid w:val="002F14F0"/>
    <w:rsid w:val="002F256A"/>
    <w:rsid w:val="002F30B8"/>
    <w:rsid w:val="002F330B"/>
    <w:rsid w:val="002F3A8A"/>
    <w:rsid w:val="002F3F4F"/>
    <w:rsid w:val="002F4194"/>
    <w:rsid w:val="002F450D"/>
    <w:rsid w:val="002F45D8"/>
    <w:rsid w:val="002F534C"/>
    <w:rsid w:val="002F5F66"/>
    <w:rsid w:val="002F6EBE"/>
    <w:rsid w:val="002F7423"/>
    <w:rsid w:val="00300414"/>
    <w:rsid w:val="00301238"/>
    <w:rsid w:val="0030139A"/>
    <w:rsid w:val="00301513"/>
    <w:rsid w:val="00302183"/>
    <w:rsid w:val="003021A4"/>
    <w:rsid w:val="0030271F"/>
    <w:rsid w:val="003031F8"/>
    <w:rsid w:val="00303226"/>
    <w:rsid w:val="00303AAF"/>
    <w:rsid w:val="00303BF4"/>
    <w:rsid w:val="00304411"/>
    <w:rsid w:val="00304789"/>
    <w:rsid w:val="00305977"/>
    <w:rsid w:val="00305F75"/>
    <w:rsid w:val="00306313"/>
    <w:rsid w:val="003066EA"/>
    <w:rsid w:val="00306D33"/>
    <w:rsid w:val="0030751B"/>
    <w:rsid w:val="003111B6"/>
    <w:rsid w:val="0031350F"/>
    <w:rsid w:val="00313557"/>
    <w:rsid w:val="00313A5B"/>
    <w:rsid w:val="00313CFF"/>
    <w:rsid w:val="00314618"/>
    <w:rsid w:val="00314BDB"/>
    <w:rsid w:val="00314CD9"/>
    <w:rsid w:val="003153CD"/>
    <w:rsid w:val="003155A7"/>
    <w:rsid w:val="00315AEA"/>
    <w:rsid w:val="00316898"/>
    <w:rsid w:val="003179AF"/>
    <w:rsid w:val="0032025E"/>
    <w:rsid w:val="003206A2"/>
    <w:rsid w:val="003217D1"/>
    <w:rsid w:val="0032214C"/>
    <w:rsid w:val="003225C5"/>
    <w:rsid w:val="003226CA"/>
    <w:rsid w:val="0032283E"/>
    <w:rsid w:val="00322E95"/>
    <w:rsid w:val="003230EA"/>
    <w:rsid w:val="00323F6C"/>
    <w:rsid w:val="003253D1"/>
    <w:rsid w:val="0032562E"/>
    <w:rsid w:val="00325935"/>
    <w:rsid w:val="003261CF"/>
    <w:rsid w:val="00326536"/>
    <w:rsid w:val="003266C6"/>
    <w:rsid w:val="00330715"/>
    <w:rsid w:val="00330A1D"/>
    <w:rsid w:val="00330A64"/>
    <w:rsid w:val="00330B2B"/>
    <w:rsid w:val="00331312"/>
    <w:rsid w:val="00331B8B"/>
    <w:rsid w:val="00332AC1"/>
    <w:rsid w:val="00332FFC"/>
    <w:rsid w:val="00333C19"/>
    <w:rsid w:val="00334CEC"/>
    <w:rsid w:val="00334E9F"/>
    <w:rsid w:val="00335192"/>
    <w:rsid w:val="0033537D"/>
    <w:rsid w:val="00335748"/>
    <w:rsid w:val="0033575A"/>
    <w:rsid w:val="00335A1B"/>
    <w:rsid w:val="00335B81"/>
    <w:rsid w:val="003361DF"/>
    <w:rsid w:val="00336B0E"/>
    <w:rsid w:val="00336FCA"/>
    <w:rsid w:val="003372D6"/>
    <w:rsid w:val="0033744A"/>
    <w:rsid w:val="003401A0"/>
    <w:rsid w:val="00340277"/>
    <w:rsid w:val="00340415"/>
    <w:rsid w:val="00340E0F"/>
    <w:rsid w:val="00341737"/>
    <w:rsid w:val="00342CE5"/>
    <w:rsid w:val="00342E81"/>
    <w:rsid w:val="00342FA1"/>
    <w:rsid w:val="00343666"/>
    <w:rsid w:val="00343F03"/>
    <w:rsid w:val="00344059"/>
    <w:rsid w:val="003444F3"/>
    <w:rsid w:val="0034524D"/>
    <w:rsid w:val="00345953"/>
    <w:rsid w:val="003459A7"/>
    <w:rsid w:val="00346BFF"/>
    <w:rsid w:val="00347832"/>
    <w:rsid w:val="003479DA"/>
    <w:rsid w:val="00347C15"/>
    <w:rsid w:val="003500E3"/>
    <w:rsid w:val="003503D5"/>
    <w:rsid w:val="0035067B"/>
    <w:rsid w:val="003511B4"/>
    <w:rsid w:val="00352966"/>
    <w:rsid w:val="003532DA"/>
    <w:rsid w:val="003536F4"/>
    <w:rsid w:val="003538B5"/>
    <w:rsid w:val="00353B55"/>
    <w:rsid w:val="00353FDC"/>
    <w:rsid w:val="00354359"/>
    <w:rsid w:val="003546C8"/>
    <w:rsid w:val="0035497F"/>
    <w:rsid w:val="00354AEE"/>
    <w:rsid w:val="003557DD"/>
    <w:rsid w:val="00355A03"/>
    <w:rsid w:val="00355A8A"/>
    <w:rsid w:val="00355BEA"/>
    <w:rsid w:val="003569E0"/>
    <w:rsid w:val="00357956"/>
    <w:rsid w:val="00360DBD"/>
    <w:rsid w:val="00362548"/>
    <w:rsid w:val="00362D0C"/>
    <w:rsid w:val="00363281"/>
    <w:rsid w:val="00363D75"/>
    <w:rsid w:val="00363EA5"/>
    <w:rsid w:val="003642CE"/>
    <w:rsid w:val="003647FF"/>
    <w:rsid w:val="00364DEA"/>
    <w:rsid w:val="003651D3"/>
    <w:rsid w:val="00365813"/>
    <w:rsid w:val="003658B2"/>
    <w:rsid w:val="003702B8"/>
    <w:rsid w:val="00370776"/>
    <w:rsid w:val="00371932"/>
    <w:rsid w:val="00371A4F"/>
    <w:rsid w:val="003720E9"/>
    <w:rsid w:val="003722D9"/>
    <w:rsid w:val="00372A57"/>
    <w:rsid w:val="00373B55"/>
    <w:rsid w:val="00373FCE"/>
    <w:rsid w:val="00374338"/>
    <w:rsid w:val="0037478C"/>
    <w:rsid w:val="00375428"/>
    <w:rsid w:val="003756A9"/>
    <w:rsid w:val="00375B55"/>
    <w:rsid w:val="003764B9"/>
    <w:rsid w:val="00377BB2"/>
    <w:rsid w:val="003808B8"/>
    <w:rsid w:val="003814A5"/>
    <w:rsid w:val="00381BAD"/>
    <w:rsid w:val="00382882"/>
    <w:rsid w:val="003829CF"/>
    <w:rsid w:val="00382CB1"/>
    <w:rsid w:val="00383216"/>
    <w:rsid w:val="00384046"/>
    <w:rsid w:val="003840C7"/>
    <w:rsid w:val="00385159"/>
    <w:rsid w:val="00385E5D"/>
    <w:rsid w:val="00385F06"/>
    <w:rsid w:val="003865E3"/>
    <w:rsid w:val="003901F7"/>
    <w:rsid w:val="0039031A"/>
    <w:rsid w:val="003910D9"/>
    <w:rsid w:val="003928B6"/>
    <w:rsid w:val="00392925"/>
    <w:rsid w:val="00393065"/>
    <w:rsid w:val="003939F3"/>
    <w:rsid w:val="00394D52"/>
    <w:rsid w:val="003969D6"/>
    <w:rsid w:val="00396F3B"/>
    <w:rsid w:val="003A0134"/>
    <w:rsid w:val="003A03CC"/>
    <w:rsid w:val="003A0481"/>
    <w:rsid w:val="003A051A"/>
    <w:rsid w:val="003A091B"/>
    <w:rsid w:val="003A136C"/>
    <w:rsid w:val="003A1516"/>
    <w:rsid w:val="003A18EE"/>
    <w:rsid w:val="003A23A2"/>
    <w:rsid w:val="003A2A95"/>
    <w:rsid w:val="003A2ADC"/>
    <w:rsid w:val="003A2B20"/>
    <w:rsid w:val="003A2FFF"/>
    <w:rsid w:val="003A3A4A"/>
    <w:rsid w:val="003A5933"/>
    <w:rsid w:val="003A66D9"/>
    <w:rsid w:val="003A6AD3"/>
    <w:rsid w:val="003A736A"/>
    <w:rsid w:val="003B09A3"/>
    <w:rsid w:val="003B0C5A"/>
    <w:rsid w:val="003B1466"/>
    <w:rsid w:val="003B18B9"/>
    <w:rsid w:val="003B1C65"/>
    <w:rsid w:val="003B1CC6"/>
    <w:rsid w:val="003B1F79"/>
    <w:rsid w:val="003B200A"/>
    <w:rsid w:val="003B270E"/>
    <w:rsid w:val="003B2A31"/>
    <w:rsid w:val="003B2BCA"/>
    <w:rsid w:val="003B2C76"/>
    <w:rsid w:val="003B3C9C"/>
    <w:rsid w:val="003B411E"/>
    <w:rsid w:val="003B421C"/>
    <w:rsid w:val="003B43D3"/>
    <w:rsid w:val="003B5116"/>
    <w:rsid w:val="003B537E"/>
    <w:rsid w:val="003B5637"/>
    <w:rsid w:val="003B58CB"/>
    <w:rsid w:val="003B626A"/>
    <w:rsid w:val="003B68E3"/>
    <w:rsid w:val="003B774C"/>
    <w:rsid w:val="003B78AA"/>
    <w:rsid w:val="003B7EF5"/>
    <w:rsid w:val="003C013D"/>
    <w:rsid w:val="003C0A9D"/>
    <w:rsid w:val="003C182F"/>
    <w:rsid w:val="003C21E4"/>
    <w:rsid w:val="003C3127"/>
    <w:rsid w:val="003C327D"/>
    <w:rsid w:val="003C368F"/>
    <w:rsid w:val="003C37C6"/>
    <w:rsid w:val="003C3E04"/>
    <w:rsid w:val="003C41C2"/>
    <w:rsid w:val="003C421D"/>
    <w:rsid w:val="003C4373"/>
    <w:rsid w:val="003C4419"/>
    <w:rsid w:val="003C474F"/>
    <w:rsid w:val="003C4E9D"/>
    <w:rsid w:val="003C50F8"/>
    <w:rsid w:val="003C54E4"/>
    <w:rsid w:val="003C57EF"/>
    <w:rsid w:val="003C59B0"/>
    <w:rsid w:val="003C5D73"/>
    <w:rsid w:val="003C5E13"/>
    <w:rsid w:val="003C625A"/>
    <w:rsid w:val="003C6E76"/>
    <w:rsid w:val="003D0305"/>
    <w:rsid w:val="003D06D8"/>
    <w:rsid w:val="003D0856"/>
    <w:rsid w:val="003D0B76"/>
    <w:rsid w:val="003D0C20"/>
    <w:rsid w:val="003D14DE"/>
    <w:rsid w:val="003D1FA8"/>
    <w:rsid w:val="003D21D2"/>
    <w:rsid w:val="003D28C5"/>
    <w:rsid w:val="003D2900"/>
    <w:rsid w:val="003D371E"/>
    <w:rsid w:val="003D3ABA"/>
    <w:rsid w:val="003D41B0"/>
    <w:rsid w:val="003D42E6"/>
    <w:rsid w:val="003D4635"/>
    <w:rsid w:val="003D5084"/>
    <w:rsid w:val="003D573E"/>
    <w:rsid w:val="003D5D9C"/>
    <w:rsid w:val="003D6586"/>
    <w:rsid w:val="003D65F7"/>
    <w:rsid w:val="003D662C"/>
    <w:rsid w:val="003D69BE"/>
    <w:rsid w:val="003D7607"/>
    <w:rsid w:val="003E0097"/>
    <w:rsid w:val="003E018A"/>
    <w:rsid w:val="003E0381"/>
    <w:rsid w:val="003E0AC2"/>
    <w:rsid w:val="003E1785"/>
    <w:rsid w:val="003E1BBB"/>
    <w:rsid w:val="003E20A3"/>
    <w:rsid w:val="003E3B7A"/>
    <w:rsid w:val="003E3CE5"/>
    <w:rsid w:val="003E3CEB"/>
    <w:rsid w:val="003E3FF8"/>
    <w:rsid w:val="003E4176"/>
    <w:rsid w:val="003E45A4"/>
    <w:rsid w:val="003E46EB"/>
    <w:rsid w:val="003E46FA"/>
    <w:rsid w:val="003E4F65"/>
    <w:rsid w:val="003E537D"/>
    <w:rsid w:val="003E6052"/>
    <w:rsid w:val="003E6132"/>
    <w:rsid w:val="003E666D"/>
    <w:rsid w:val="003E729A"/>
    <w:rsid w:val="003E79E4"/>
    <w:rsid w:val="003E7A9F"/>
    <w:rsid w:val="003F0425"/>
    <w:rsid w:val="003F0469"/>
    <w:rsid w:val="003F05A1"/>
    <w:rsid w:val="003F074A"/>
    <w:rsid w:val="003F0B86"/>
    <w:rsid w:val="003F10BA"/>
    <w:rsid w:val="003F138E"/>
    <w:rsid w:val="003F1C43"/>
    <w:rsid w:val="003F288D"/>
    <w:rsid w:val="003F345B"/>
    <w:rsid w:val="003F3483"/>
    <w:rsid w:val="003F3BD9"/>
    <w:rsid w:val="003F3EC7"/>
    <w:rsid w:val="003F49C9"/>
    <w:rsid w:val="003F560A"/>
    <w:rsid w:val="003F6522"/>
    <w:rsid w:val="003F6905"/>
    <w:rsid w:val="003F6B48"/>
    <w:rsid w:val="003F6B7F"/>
    <w:rsid w:val="003F6C70"/>
    <w:rsid w:val="003F775D"/>
    <w:rsid w:val="003F7A3A"/>
    <w:rsid w:val="003F7A4F"/>
    <w:rsid w:val="0040025F"/>
    <w:rsid w:val="00400B07"/>
    <w:rsid w:val="00400E3F"/>
    <w:rsid w:val="004016FA"/>
    <w:rsid w:val="00401943"/>
    <w:rsid w:val="00402507"/>
    <w:rsid w:val="00402A66"/>
    <w:rsid w:val="00402BA3"/>
    <w:rsid w:val="00403420"/>
    <w:rsid w:val="004036FA"/>
    <w:rsid w:val="00404065"/>
    <w:rsid w:val="004041FD"/>
    <w:rsid w:val="00404461"/>
    <w:rsid w:val="004047EC"/>
    <w:rsid w:val="004049FD"/>
    <w:rsid w:val="00405E5C"/>
    <w:rsid w:val="004063DE"/>
    <w:rsid w:val="004064D4"/>
    <w:rsid w:val="00406CB9"/>
    <w:rsid w:val="00406FBC"/>
    <w:rsid w:val="0040771A"/>
    <w:rsid w:val="00407F81"/>
    <w:rsid w:val="00410299"/>
    <w:rsid w:val="004105A5"/>
    <w:rsid w:val="00411103"/>
    <w:rsid w:val="00411A0F"/>
    <w:rsid w:val="00411F78"/>
    <w:rsid w:val="00412465"/>
    <w:rsid w:val="004128D3"/>
    <w:rsid w:val="00412F40"/>
    <w:rsid w:val="00412FB6"/>
    <w:rsid w:val="004135C5"/>
    <w:rsid w:val="004139A0"/>
    <w:rsid w:val="004139DD"/>
    <w:rsid w:val="004147A4"/>
    <w:rsid w:val="00414970"/>
    <w:rsid w:val="00415643"/>
    <w:rsid w:val="00416074"/>
    <w:rsid w:val="00417398"/>
    <w:rsid w:val="004178D4"/>
    <w:rsid w:val="00417982"/>
    <w:rsid w:val="00417F60"/>
    <w:rsid w:val="00420375"/>
    <w:rsid w:val="0042089D"/>
    <w:rsid w:val="00420F04"/>
    <w:rsid w:val="00421F3F"/>
    <w:rsid w:val="00422784"/>
    <w:rsid w:val="00422E04"/>
    <w:rsid w:val="0042334D"/>
    <w:rsid w:val="0042357C"/>
    <w:rsid w:val="00424546"/>
    <w:rsid w:val="0042491C"/>
    <w:rsid w:val="0042525D"/>
    <w:rsid w:val="0042528B"/>
    <w:rsid w:val="00425963"/>
    <w:rsid w:val="00427806"/>
    <w:rsid w:val="00427949"/>
    <w:rsid w:val="00427B92"/>
    <w:rsid w:val="00431719"/>
    <w:rsid w:val="00431819"/>
    <w:rsid w:val="00431DB4"/>
    <w:rsid w:val="00432B0A"/>
    <w:rsid w:val="00432D04"/>
    <w:rsid w:val="00432F13"/>
    <w:rsid w:val="004336CF"/>
    <w:rsid w:val="004344E5"/>
    <w:rsid w:val="0043470A"/>
    <w:rsid w:val="004350E4"/>
    <w:rsid w:val="00435251"/>
    <w:rsid w:val="004352CB"/>
    <w:rsid w:val="004359A0"/>
    <w:rsid w:val="00437165"/>
    <w:rsid w:val="00437289"/>
    <w:rsid w:val="004376CA"/>
    <w:rsid w:val="00437C23"/>
    <w:rsid w:val="00440395"/>
    <w:rsid w:val="00440851"/>
    <w:rsid w:val="00441636"/>
    <w:rsid w:val="00441DC5"/>
    <w:rsid w:val="00442438"/>
    <w:rsid w:val="004428E6"/>
    <w:rsid w:val="00443EA3"/>
    <w:rsid w:val="00445C15"/>
    <w:rsid w:val="0044621A"/>
    <w:rsid w:val="00446C82"/>
    <w:rsid w:val="004501BA"/>
    <w:rsid w:val="00450B32"/>
    <w:rsid w:val="00450CBE"/>
    <w:rsid w:val="004532C3"/>
    <w:rsid w:val="004536E3"/>
    <w:rsid w:val="00453B20"/>
    <w:rsid w:val="00453FF8"/>
    <w:rsid w:val="00454F35"/>
    <w:rsid w:val="0045520A"/>
    <w:rsid w:val="00460EBB"/>
    <w:rsid w:val="0046146D"/>
    <w:rsid w:val="00461ABA"/>
    <w:rsid w:val="00461B1A"/>
    <w:rsid w:val="004628E2"/>
    <w:rsid w:val="00463231"/>
    <w:rsid w:val="004634F1"/>
    <w:rsid w:val="00463594"/>
    <w:rsid w:val="004637A2"/>
    <w:rsid w:val="00463878"/>
    <w:rsid w:val="00463B8A"/>
    <w:rsid w:val="004642C2"/>
    <w:rsid w:val="004648E9"/>
    <w:rsid w:val="004655BC"/>
    <w:rsid w:val="00465EE2"/>
    <w:rsid w:val="0046635E"/>
    <w:rsid w:val="004663B9"/>
    <w:rsid w:val="00467439"/>
    <w:rsid w:val="00467ABC"/>
    <w:rsid w:val="00474401"/>
    <w:rsid w:val="004750CD"/>
    <w:rsid w:val="0047669E"/>
    <w:rsid w:val="00476C49"/>
    <w:rsid w:val="00476DE1"/>
    <w:rsid w:val="004773D6"/>
    <w:rsid w:val="004775BB"/>
    <w:rsid w:val="00477A4F"/>
    <w:rsid w:val="00477E77"/>
    <w:rsid w:val="004812BC"/>
    <w:rsid w:val="00483461"/>
    <w:rsid w:val="00483D70"/>
    <w:rsid w:val="004844FF"/>
    <w:rsid w:val="00484D39"/>
    <w:rsid w:val="0048555B"/>
    <w:rsid w:val="00485825"/>
    <w:rsid w:val="00485EC9"/>
    <w:rsid w:val="004862E4"/>
    <w:rsid w:val="0048762A"/>
    <w:rsid w:val="00487B1E"/>
    <w:rsid w:val="00487E6D"/>
    <w:rsid w:val="0049039A"/>
    <w:rsid w:val="00490F01"/>
    <w:rsid w:val="00491593"/>
    <w:rsid w:val="004917D0"/>
    <w:rsid w:val="004919F3"/>
    <w:rsid w:val="00491B03"/>
    <w:rsid w:val="0049295B"/>
    <w:rsid w:val="00492B41"/>
    <w:rsid w:val="0049515B"/>
    <w:rsid w:val="00495462"/>
    <w:rsid w:val="0049575B"/>
    <w:rsid w:val="00495796"/>
    <w:rsid w:val="0049596D"/>
    <w:rsid w:val="00495A01"/>
    <w:rsid w:val="00495B77"/>
    <w:rsid w:val="004978C5"/>
    <w:rsid w:val="00497E29"/>
    <w:rsid w:val="00497F0E"/>
    <w:rsid w:val="004A022A"/>
    <w:rsid w:val="004A2064"/>
    <w:rsid w:val="004A22E4"/>
    <w:rsid w:val="004A3726"/>
    <w:rsid w:val="004A3D26"/>
    <w:rsid w:val="004A54AF"/>
    <w:rsid w:val="004A5B8D"/>
    <w:rsid w:val="004A6A7D"/>
    <w:rsid w:val="004A6E03"/>
    <w:rsid w:val="004A7E2A"/>
    <w:rsid w:val="004B040F"/>
    <w:rsid w:val="004B0E35"/>
    <w:rsid w:val="004B1378"/>
    <w:rsid w:val="004B1964"/>
    <w:rsid w:val="004B1BDA"/>
    <w:rsid w:val="004B1FFE"/>
    <w:rsid w:val="004B41DD"/>
    <w:rsid w:val="004B42B3"/>
    <w:rsid w:val="004B4BFA"/>
    <w:rsid w:val="004B4C42"/>
    <w:rsid w:val="004B6AE0"/>
    <w:rsid w:val="004B79B6"/>
    <w:rsid w:val="004B7A76"/>
    <w:rsid w:val="004B7E24"/>
    <w:rsid w:val="004B7EE0"/>
    <w:rsid w:val="004C0723"/>
    <w:rsid w:val="004C0A83"/>
    <w:rsid w:val="004C0F98"/>
    <w:rsid w:val="004C2CF3"/>
    <w:rsid w:val="004C2F75"/>
    <w:rsid w:val="004C354D"/>
    <w:rsid w:val="004C3634"/>
    <w:rsid w:val="004C403A"/>
    <w:rsid w:val="004C437C"/>
    <w:rsid w:val="004C463A"/>
    <w:rsid w:val="004C4CEA"/>
    <w:rsid w:val="004C4E62"/>
    <w:rsid w:val="004C5DA9"/>
    <w:rsid w:val="004C69DC"/>
    <w:rsid w:val="004C6A33"/>
    <w:rsid w:val="004C7B0F"/>
    <w:rsid w:val="004D16F0"/>
    <w:rsid w:val="004D18F9"/>
    <w:rsid w:val="004D23BD"/>
    <w:rsid w:val="004D249F"/>
    <w:rsid w:val="004D2C61"/>
    <w:rsid w:val="004D3414"/>
    <w:rsid w:val="004D40E4"/>
    <w:rsid w:val="004D4381"/>
    <w:rsid w:val="004D45AE"/>
    <w:rsid w:val="004D4997"/>
    <w:rsid w:val="004D4A21"/>
    <w:rsid w:val="004D4D67"/>
    <w:rsid w:val="004D59A0"/>
    <w:rsid w:val="004D5A1F"/>
    <w:rsid w:val="004D6BB4"/>
    <w:rsid w:val="004D6C3E"/>
    <w:rsid w:val="004D6E3B"/>
    <w:rsid w:val="004D6EBD"/>
    <w:rsid w:val="004D77E6"/>
    <w:rsid w:val="004D7FB8"/>
    <w:rsid w:val="004E02B8"/>
    <w:rsid w:val="004E0B53"/>
    <w:rsid w:val="004E2BF2"/>
    <w:rsid w:val="004E3646"/>
    <w:rsid w:val="004E4DF5"/>
    <w:rsid w:val="004E561F"/>
    <w:rsid w:val="004E5931"/>
    <w:rsid w:val="004E5B61"/>
    <w:rsid w:val="004E5D05"/>
    <w:rsid w:val="004E6534"/>
    <w:rsid w:val="004E7508"/>
    <w:rsid w:val="004E7AC6"/>
    <w:rsid w:val="004E7F6E"/>
    <w:rsid w:val="004F0195"/>
    <w:rsid w:val="004F0B3A"/>
    <w:rsid w:val="004F0C63"/>
    <w:rsid w:val="004F0FC3"/>
    <w:rsid w:val="004F1699"/>
    <w:rsid w:val="004F1DF5"/>
    <w:rsid w:val="004F268D"/>
    <w:rsid w:val="004F2702"/>
    <w:rsid w:val="004F371F"/>
    <w:rsid w:val="004F447F"/>
    <w:rsid w:val="004F453F"/>
    <w:rsid w:val="004F4755"/>
    <w:rsid w:val="004F4FF6"/>
    <w:rsid w:val="004F50D2"/>
    <w:rsid w:val="004F5837"/>
    <w:rsid w:val="004F5C03"/>
    <w:rsid w:val="004F661C"/>
    <w:rsid w:val="004F66D7"/>
    <w:rsid w:val="004F67A5"/>
    <w:rsid w:val="004F6C15"/>
    <w:rsid w:val="004F7247"/>
    <w:rsid w:val="004F7470"/>
    <w:rsid w:val="004F75B6"/>
    <w:rsid w:val="004F7C2B"/>
    <w:rsid w:val="0050035E"/>
    <w:rsid w:val="00500BB5"/>
    <w:rsid w:val="00500CB8"/>
    <w:rsid w:val="00500ED9"/>
    <w:rsid w:val="00500F05"/>
    <w:rsid w:val="005013F1"/>
    <w:rsid w:val="00501A15"/>
    <w:rsid w:val="00501D94"/>
    <w:rsid w:val="00502232"/>
    <w:rsid w:val="00502580"/>
    <w:rsid w:val="0050263C"/>
    <w:rsid w:val="00502A30"/>
    <w:rsid w:val="0050339F"/>
    <w:rsid w:val="00503678"/>
    <w:rsid w:val="00504339"/>
    <w:rsid w:val="0050487C"/>
    <w:rsid w:val="00505025"/>
    <w:rsid w:val="005050F3"/>
    <w:rsid w:val="005051F3"/>
    <w:rsid w:val="00505428"/>
    <w:rsid w:val="00505E04"/>
    <w:rsid w:val="00506B63"/>
    <w:rsid w:val="00506D65"/>
    <w:rsid w:val="005070E0"/>
    <w:rsid w:val="005073E0"/>
    <w:rsid w:val="00507479"/>
    <w:rsid w:val="005105AA"/>
    <w:rsid w:val="00510C82"/>
    <w:rsid w:val="005111AC"/>
    <w:rsid w:val="00511E9B"/>
    <w:rsid w:val="00511FD4"/>
    <w:rsid w:val="00512893"/>
    <w:rsid w:val="00512D70"/>
    <w:rsid w:val="00512E81"/>
    <w:rsid w:val="0051337A"/>
    <w:rsid w:val="00513468"/>
    <w:rsid w:val="0051389F"/>
    <w:rsid w:val="005138B3"/>
    <w:rsid w:val="00513927"/>
    <w:rsid w:val="00513F36"/>
    <w:rsid w:val="00514314"/>
    <w:rsid w:val="005145AD"/>
    <w:rsid w:val="00514829"/>
    <w:rsid w:val="0051520B"/>
    <w:rsid w:val="005156B3"/>
    <w:rsid w:val="00516181"/>
    <w:rsid w:val="0051780B"/>
    <w:rsid w:val="00517D6A"/>
    <w:rsid w:val="00521235"/>
    <w:rsid w:val="0052205B"/>
    <w:rsid w:val="005228DA"/>
    <w:rsid w:val="00523263"/>
    <w:rsid w:val="00523F8D"/>
    <w:rsid w:val="00524172"/>
    <w:rsid w:val="00524615"/>
    <w:rsid w:val="005250BC"/>
    <w:rsid w:val="005250CC"/>
    <w:rsid w:val="00527482"/>
    <w:rsid w:val="00530E92"/>
    <w:rsid w:val="0053112A"/>
    <w:rsid w:val="005319C8"/>
    <w:rsid w:val="00531BE2"/>
    <w:rsid w:val="005325F0"/>
    <w:rsid w:val="0053391B"/>
    <w:rsid w:val="00534B95"/>
    <w:rsid w:val="00535E27"/>
    <w:rsid w:val="005366AD"/>
    <w:rsid w:val="00536739"/>
    <w:rsid w:val="00536B06"/>
    <w:rsid w:val="00536EA5"/>
    <w:rsid w:val="005376A0"/>
    <w:rsid w:val="00537806"/>
    <w:rsid w:val="0054016A"/>
    <w:rsid w:val="005403D7"/>
    <w:rsid w:val="00540617"/>
    <w:rsid w:val="00540C77"/>
    <w:rsid w:val="00541213"/>
    <w:rsid w:val="00541831"/>
    <w:rsid w:val="00542929"/>
    <w:rsid w:val="00542B53"/>
    <w:rsid w:val="00542F7D"/>
    <w:rsid w:val="00543506"/>
    <w:rsid w:val="0054353D"/>
    <w:rsid w:val="005436FA"/>
    <w:rsid w:val="00543AF3"/>
    <w:rsid w:val="00544162"/>
    <w:rsid w:val="0054429C"/>
    <w:rsid w:val="0054473C"/>
    <w:rsid w:val="00544AFF"/>
    <w:rsid w:val="00545FBD"/>
    <w:rsid w:val="00546218"/>
    <w:rsid w:val="00546597"/>
    <w:rsid w:val="00546912"/>
    <w:rsid w:val="00546ACA"/>
    <w:rsid w:val="00546E65"/>
    <w:rsid w:val="005511CC"/>
    <w:rsid w:val="0055162B"/>
    <w:rsid w:val="005518A4"/>
    <w:rsid w:val="005527B1"/>
    <w:rsid w:val="005527C4"/>
    <w:rsid w:val="005532CE"/>
    <w:rsid w:val="0055425A"/>
    <w:rsid w:val="00554DA2"/>
    <w:rsid w:val="00554DA6"/>
    <w:rsid w:val="00554DF7"/>
    <w:rsid w:val="00554E37"/>
    <w:rsid w:val="00554F5D"/>
    <w:rsid w:val="00555781"/>
    <w:rsid w:val="00555CAC"/>
    <w:rsid w:val="00556EE1"/>
    <w:rsid w:val="00556F8C"/>
    <w:rsid w:val="0055715C"/>
    <w:rsid w:val="005579F5"/>
    <w:rsid w:val="00557CA1"/>
    <w:rsid w:val="00557D11"/>
    <w:rsid w:val="005611E6"/>
    <w:rsid w:val="00561DDB"/>
    <w:rsid w:val="00562293"/>
    <w:rsid w:val="0056229C"/>
    <w:rsid w:val="00562CA3"/>
    <w:rsid w:val="00563A31"/>
    <w:rsid w:val="005643AA"/>
    <w:rsid w:val="0056444A"/>
    <w:rsid w:val="00565140"/>
    <w:rsid w:val="00565735"/>
    <w:rsid w:val="00566136"/>
    <w:rsid w:val="0056682F"/>
    <w:rsid w:val="0056756E"/>
    <w:rsid w:val="0056791D"/>
    <w:rsid w:val="00570216"/>
    <w:rsid w:val="00571D37"/>
    <w:rsid w:val="0057233A"/>
    <w:rsid w:val="00572A6E"/>
    <w:rsid w:val="005732EF"/>
    <w:rsid w:val="00573518"/>
    <w:rsid w:val="005739CA"/>
    <w:rsid w:val="0057404D"/>
    <w:rsid w:val="00574235"/>
    <w:rsid w:val="0057487F"/>
    <w:rsid w:val="0057569A"/>
    <w:rsid w:val="0057637A"/>
    <w:rsid w:val="0057638E"/>
    <w:rsid w:val="00576BCC"/>
    <w:rsid w:val="00576C5F"/>
    <w:rsid w:val="00577B16"/>
    <w:rsid w:val="00577F0C"/>
    <w:rsid w:val="00577F6F"/>
    <w:rsid w:val="005810D6"/>
    <w:rsid w:val="0058132E"/>
    <w:rsid w:val="0058162E"/>
    <w:rsid w:val="00582A9F"/>
    <w:rsid w:val="00582E0D"/>
    <w:rsid w:val="00583075"/>
    <w:rsid w:val="00584AE7"/>
    <w:rsid w:val="00584BEA"/>
    <w:rsid w:val="005854D4"/>
    <w:rsid w:val="00585DF1"/>
    <w:rsid w:val="005860C9"/>
    <w:rsid w:val="005863F0"/>
    <w:rsid w:val="00586FED"/>
    <w:rsid w:val="0058759E"/>
    <w:rsid w:val="00587643"/>
    <w:rsid w:val="005878A7"/>
    <w:rsid w:val="00590194"/>
    <w:rsid w:val="00590B48"/>
    <w:rsid w:val="005912BE"/>
    <w:rsid w:val="00591D4E"/>
    <w:rsid w:val="00591F6B"/>
    <w:rsid w:val="00592B95"/>
    <w:rsid w:val="005931F4"/>
    <w:rsid w:val="00593620"/>
    <w:rsid w:val="00593B76"/>
    <w:rsid w:val="00594079"/>
    <w:rsid w:val="0059421F"/>
    <w:rsid w:val="005944EC"/>
    <w:rsid w:val="00594A7C"/>
    <w:rsid w:val="00594F72"/>
    <w:rsid w:val="005951BB"/>
    <w:rsid w:val="00595CA5"/>
    <w:rsid w:val="005964E9"/>
    <w:rsid w:val="0059674C"/>
    <w:rsid w:val="00596B7E"/>
    <w:rsid w:val="00597354"/>
    <w:rsid w:val="0059740A"/>
    <w:rsid w:val="0059791F"/>
    <w:rsid w:val="005A05A0"/>
    <w:rsid w:val="005A1045"/>
    <w:rsid w:val="005A2303"/>
    <w:rsid w:val="005A234C"/>
    <w:rsid w:val="005A240B"/>
    <w:rsid w:val="005A2B1C"/>
    <w:rsid w:val="005A2E54"/>
    <w:rsid w:val="005A2FE0"/>
    <w:rsid w:val="005A317A"/>
    <w:rsid w:val="005A484A"/>
    <w:rsid w:val="005A4DC3"/>
    <w:rsid w:val="005A5069"/>
    <w:rsid w:val="005A54CD"/>
    <w:rsid w:val="005A5A2D"/>
    <w:rsid w:val="005A5DE7"/>
    <w:rsid w:val="005A76AC"/>
    <w:rsid w:val="005A7945"/>
    <w:rsid w:val="005B0203"/>
    <w:rsid w:val="005B0465"/>
    <w:rsid w:val="005B1F3A"/>
    <w:rsid w:val="005B2C2E"/>
    <w:rsid w:val="005B33A4"/>
    <w:rsid w:val="005B496C"/>
    <w:rsid w:val="005B4B74"/>
    <w:rsid w:val="005B4F1E"/>
    <w:rsid w:val="005B5B1E"/>
    <w:rsid w:val="005B66AE"/>
    <w:rsid w:val="005B6A2C"/>
    <w:rsid w:val="005B7640"/>
    <w:rsid w:val="005C10DB"/>
    <w:rsid w:val="005C1358"/>
    <w:rsid w:val="005C1471"/>
    <w:rsid w:val="005C15CE"/>
    <w:rsid w:val="005C1AEB"/>
    <w:rsid w:val="005C21CF"/>
    <w:rsid w:val="005C32AD"/>
    <w:rsid w:val="005C3443"/>
    <w:rsid w:val="005C358E"/>
    <w:rsid w:val="005C46F9"/>
    <w:rsid w:val="005C48AC"/>
    <w:rsid w:val="005C53EC"/>
    <w:rsid w:val="005C57B2"/>
    <w:rsid w:val="005C57C1"/>
    <w:rsid w:val="005C5AB3"/>
    <w:rsid w:val="005C64BD"/>
    <w:rsid w:val="005C6648"/>
    <w:rsid w:val="005C6C35"/>
    <w:rsid w:val="005C6FE2"/>
    <w:rsid w:val="005C76AC"/>
    <w:rsid w:val="005C76E7"/>
    <w:rsid w:val="005D001C"/>
    <w:rsid w:val="005D0218"/>
    <w:rsid w:val="005D198E"/>
    <w:rsid w:val="005D1BA8"/>
    <w:rsid w:val="005D24CF"/>
    <w:rsid w:val="005D268D"/>
    <w:rsid w:val="005D30E0"/>
    <w:rsid w:val="005D334F"/>
    <w:rsid w:val="005D3A64"/>
    <w:rsid w:val="005D4ECB"/>
    <w:rsid w:val="005D523D"/>
    <w:rsid w:val="005D5B99"/>
    <w:rsid w:val="005D660D"/>
    <w:rsid w:val="005D74CC"/>
    <w:rsid w:val="005D7E70"/>
    <w:rsid w:val="005E0A54"/>
    <w:rsid w:val="005E1800"/>
    <w:rsid w:val="005E2095"/>
    <w:rsid w:val="005E21D7"/>
    <w:rsid w:val="005E257F"/>
    <w:rsid w:val="005E3D5F"/>
    <w:rsid w:val="005E3DBB"/>
    <w:rsid w:val="005E4046"/>
    <w:rsid w:val="005E4168"/>
    <w:rsid w:val="005E4D03"/>
    <w:rsid w:val="005E5022"/>
    <w:rsid w:val="005E552E"/>
    <w:rsid w:val="005E5655"/>
    <w:rsid w:val="005E5ABE"/>
    <w:rsid w:val="005E7025"/>
    <w:rsid w:val="005F0113"/>
    <w:rsid w:val="005F02E2"/>
    <w:rsid w:val="005F09B0"/>
    <w:rsid w:val="005F0C20"/>
    <w:rsid w:val="005F0D5D"/>
    <w:rsid w:val="005F1494"/>
    <w:rsid w:val="005F1940"/>
    <w:rsid w:val="005F1E97"/>
    <w:rsid w:val="005F245A"/>
    <w:rsid w:val="005F2669"/>
    <w:rsid w:val="005F2A29"/>
    <w:rsid w:val="005F32C7"/>
    <w:rsid w:val="005F38E7"/>
    <w:rsid w:val="005F3C6E"/>
    <w:rsid w:val="005F3F53"/>
    <w:rsid w:val="005F432C"/>
    <w:rsid w:val="005F451B"/>
    <w:rsid w:val="005F458F"/>
    <w:rsid w:val="005F5260"/>
    <w:rsid w:val="005F53BB"/>
    <w:rsid w:val="005F626F"/>
    <w:rsid w:val="005F64F8"/>
    <w:rsid w:val="005F6A96"/>
    <w:rsid w:val="005F70C5"/>
    <w:rsid w:val="005F73B7"/>
    <w:rsid w:val="005F73EE"/>
    <w:rsid w:val="005F75B7"/>
    <w:rsid w:val="005F794B"/>
    <w:rsid w:val="00600FA1"/>
    <w:rsid w:val="0060132A"/>
    <w:rsid w:val="006017AF"/>
    <w:rsid w:val="00601C18"/>
    <w:rsid w:val="00601FE3"/>
    <w:rsid w:val="0060281B"/>
    <w:rsid w:val="00603F19"/>
    <w:rsid w:val="00604523"/>
    <w:rsid w:val="00604AAF"/>
    <w:rsid w:val="00604AE4"/>
    <w:rsid w:val="00604E70"/>
    <w:rsid w:val="00605657"/>
    <w:rsid w:val="00605BB7"/>
    <w:rsid w:val="00605D8F"/>
    <w:rsid w:val="006064A9"/>
    <w:rsid w:val="00606CCB"/>
    <w:rsid w:val="006074FE"/>
    <w:rsid w:val="00607FB1"/>
    <w:rsid w:val="00610263"/>
    <w:rsid w:val="00610FDD"/>
    <w:rsid w:val="006119E5"/>
    <w:rsid w:val="0061208A"/>
    <w:rsid w:val="00612C17"/>
    <w:rsid w:val="00612D16"/>
    <w:rsid w:val="00613773"/>
    <w:rsid w:val="00613BC4"/>
    <w:rsid w:val="00613C0F"/>
    <w:rsid w:val="006147DF"/>
    <w:rsid w:val="00614C73"/>
    <w:rsid w:val="00615135"/>
    <w:rsid w:val="0061560E"/>
    <w:rsid w:val="00615739"/>
    <w:rsid w:val="0061724C"/>
    <w:rsid w:val="00617AE0"/>
    <w:rsid w:val="00617E75"/>
    <w:rsid w:val="0062050A"/>
    <w:rsid w:val="00620858"/>
    <w:rsid w:val="00620CAD"/>
    <w:rsid w:val="00621403"/>
    <w:rsid w:val="00621843"/>
    <w:rsid w:val="00622C77"/>
    <w:rsid w:val="00623ADA"/>
    <w:rsid w:val="00623BC8"/>
    <w:rsid w:val="00624816"/>
    <w:rsid w:val="00624CC4"/>
    <w:rsid w:val="00626DB2"/>
    <w:rsid w:val="00626E39"/>
    <w:rsid w:val="006273D5"/>
    <w:rsid w:val="00627AA4"/>
    <w:rsid w:val="00627CB0"/>
    <w:rsid w:val="006309C6"/>
    <w:rsid w:val="00630D4A"/>
    <w:rsid w:val="00631518"/>
    <w:rsid w:val="0063192A"/>
    <w:rsid w:val="00631A7E"/>
    <w:rsid w:val="00633D5B"/>
    <w:rsid w:val="00633D66"/>
    <w:rsid w:val="00633E07"/>
    <w:rsid w:val="00634147"/>
    <w:rsid w:val="0063465F"/>
    <w:rsid w:val="00635A40"/>
    <w:rsid w:val="006360ED"/>
    <w:rsid w:val="00636969"/>
    <w:rsid w:val="00636BA6"/>
    <w:rsid w:val="0063722B"/>
    <w:rsid w:val="006376C5"/>
    <w:rsid w:val="00637F8C"/>
    <w:rsid w:val="006411AE"/>
    <w:rsid w:val="006412FA"/>
    <w:rsid w:val="0064175D"/>
    <w:rsid w:val="0064248C"/>
    <w:rsid w:val="00642530"/>
    <w:rsid w:val="006425CB"/>
    <w:rsid w:val="00642EF2"/>
    <w:rsid w:val="006434C7"/>
    <w:rsid w:val="006436DA"/>
    <w:rsid w:val="00643CEE"/>
    <w:rsid w:val="0064400F"/>
    <w:rsid w:val="00644167"/>
    <w:rsid w:val="006446B6"/>
    <w:rsid w:val="00644E30"/>
    <w:rsid w:val="00647615"/>
    <w:rsid w:val="006504B1"/>
    <w:rsid w:val="00650854"/>
    <w:rsid w:val="00650F32"/>
    <w:rsid w:val="006519E6"/>
    <w:rsid w:val="00651D4C"/>
    <w:rsid w:val="006530DA"/>
    <w:rsid w:val="006538E3"/>
    <w:rsid w:val="00654949"/>
    <w:rsid w:val="006552BD"/>
    <w:rsid w:val="00655319"/>
    <w:rsid w:val="006557C7"/>
    <w:rsid w:val="006562D8"/>
    <w:rsid w:val="0065682A"/>
    <w:rsid w:val="00656CC3"/>
    <w:rsid w:val="00657BE1"/>
    <w:rsid w:val="00657EF3"/>
    <w:rsid w:val="006605DC"/>
    <w:rsid w:val="006606E3"/>
    <w:rsid w:val="0066107C"/>
    <w:rsid w:val="00662566"/>
    <w:rsid w:val="0066258E"/>
    <w:rsid w:val="00662C97"/>
    <w:rsid w:val="00663D2D"/>
    <w:rsid w:val="0066469C"/>
    <w:rsid w:val="00664B16"/>
    <w:rsid w:val="00664C4F"/>
    <w:rsid w:val="00664D24"/>
    <w:rsid w:val="0066514D"/>
    <w:rsid w:val="006656DA"/>
    <w:rsid w:val="006660D9"/>
    <w:rsid w:val="0066678A"/>
    <w:rsid w:val="00666B9F"/>
    <w:rsid w:val="00666FD6"/>
    <w:rsid w:val="006676A8"/>
    <w:rsid w:val="006677C7"/>
    <w:rsid w:val="006704A7"/>
    <w:rsid w:val="006706DA"/>
    <w:rsid w:val="006706E2"/>
    <w:rsid w:val="00670FB7"/>
    <w:rsid w:val="00671AF2"/>
    <w:rsid w:val="00671B51"/>
    <w:rsid w:val="00671BE7"/>
    <w:rsid w:val="0067249D"/>
    <w:rsid w:val="0067291F"/>
    <w:rsid w:val="006729A6"/>
    <w:rsid w:val="0067327F"/>
    <w:rsid w:val="00673663"/>
    <w:rsid w:val="00673831"/>
    <w:rsid w:val="00674E44"/>
    <w:rsid w:val="006754E7"/>
    <w:rsid w:val="006759A5"/>
    <w:rsid w:val="006767DB"/>
    <w:rsid w:val="006768B7"/>
    <w:rsid w:val="00676E6B"/>
    <w:rsid w:val="00677486"/>
    <w:rsid w:val="00677BE7"/>
    <w:rsid w:val="00677EC0"/>
    <w:rsid w:val="006803A7"/>
    <w:rsid w:val="006811F2"/>
    <w:rsid w:val="00681D71"/>
    <w:rsid w:val="00682C62"/>
    <w:rsid w:val="0068381F"/>
    <w:rsid w:val="006839A7"/>
    <w:rsid w:val="00683AB4"/>
    <w:rsid w:val="006845B3"/>
    <w:rsid w:val="00684C3F"/>
    <w:rsid w:val="00684C7C"/>
    <w:rsid w:val="0068538C"/>
    <w:rsid w:val="0068540A"/>
    <w:rsid w:val="0068566A"/>
    <w:rsid w:val="00685961"/>
    <w:rsid w:val="00685CB8"/>
    <w:rsid w:val="00685EE1"/>
    <w:rsid w:val="00686077"/>
    <w:rsid w:val="00687409"/>
    <w:rsid w:val="00687453"/>
    <w:rsid w:val="006878A4"/>
    <w:rsid w:val="00687AD4"/>
    <w:rsid w:val="00687CBE"/>
    <w:rsid w:val="00690187"/>
    <w:rsid w:val="00690487"/>
    <w:rsid w:val="006905FF"/>
    <w:rsid w:val="00690E9D"/>
    <w:rsid w:val="00691155"/>
    <w:rsid w:val="00691589"/>
    <w:rsid w:val="00691906"/>
    <w:rsid w:val="00691F78"/>
    <w:rsid w:val="006927C3"/>
    <w:rsid w:val="00692CC7"/>
    <w:rsid w:val="00693CC6"/>
    <w:rsid w:val="00694320"/>
    <w:rsid w:val="0069464C"/>
    <w:rsid w:val="00695769"/>
    <w:rsid w:val="0069610D"/>
    <w:rsid w:val="00696A43"/>
    <w:rsid w:val="00697E91"/>
    <w:rsid w:val="00697F4A"/>
    <w:rsid w:val="006A01DA"/>
    <w:rsid w:val="006A0CD2"/>
    <w:rsid w:val="006A0F88"/>
    <w:rsid w:val="006A27D3"/>
    <w:rsid w:val="006A3054"/>
    <w:rsid w:val="006A3DDE"/>
    <w:rsid w:val="006A431D"/>
    <w:rsid w:val="006A43BA"/>
    <w:rsid w:val="006A4A69"/>
    <w:rsid w:val="006A51C2"/>
    <w:rsid w:val="006A6BFF"/>
    <w:rsid w:val="006A73BD"/>
    <w:rsid w:val="006A775D"/>
    <w:rsid w:val="006A7F46"/>
    <w:rsid w:val="006B0BEE"/>
    <w:rsid w:val="006B0F53"/>
    <w:rsid w:val="006B120E"/>
    <w:rsid w:val="006B159D"/>
    <w:rsid w:val="006B1D39"/>
    <w:rsid w:val="006B2146"/>
    <w:rsid w:val="006B21C0"/>
    <w:rsid w:val="006B22CA"/>
    <w:rsid w:val="006B2564"/>
    <w:rsid w:val="006B28E0"/>
    <w:rsid w:val="006B2DBF"/>
    <w:rsid w:val="006B33BF"/>
    <w:rsid w:val="006B3564"/>
    <w:rsid w:val="006B3BA8"/>
    <w:rsid w:val="006B3C14"/>
    <w:rsid w:val="006B3C60"/>
    <w:rsid w:val="006B3C91"/>
    <w:rsid w:val="006B430B"/>
    <w:rsid w:val="006B4B8C"/>
    <w:rsid w:val="006B613E"/>
    <w:rsid w:val="006B617E"/>
    <w:rsid w:val="006B620C"/>
    <w:rsid w:val="006B6BBD"/>
    <w:rsid w:val="006B6D16"/>
    <w:rsid w:val="006B6DB1"/>
    <w:rsid w:val="006B6F51"/>
    <w:rsid w:val="006B717D"/>
    <w:rsid w:val="006B76A1"/>
    <w:rsid w:val="006C0285"/>
    <w:rsid w:val="006C06F6"/>
    <w:rsid w:val="006C13C6"/>
    <w:rsid w:val="006C183B"/>
    <w:rsid w:val="006C1ECD"/>
    <w:rsid w:val="006C1F9F"/>
    <w:rsid w:val="006C24A0"/>
    <w:rsid w:val="006C2FA2"/>
    <w:rsid w:val="006C37CB"/>
    <w:rsid w:val="006C437D"/>
    <w:rsid w:val="006C4615"/>
    <w:rsid w:val="006C5333"/>
    <w:rsid w:val="006C56CA"/>
    <w:rsid w:val="006C57AA"/>
    <w:rsid w:val="006C5800"/>
    <w:rsid w:val="006C724F"/>
    <w:rsid w:val="006C74D5"/>
    <w:rsid w:val="006C7CB6"/>
    <w:rsid w:val="006C7E3D"/>
    <w:rsid w:val="006D017A"/>
    <w:rsid w:val="006D0B70"/>
    <w:rsid w:val="006D2706"/>
    <w:rsid w:val="006D2749"/>
    <w:rsid w:val="006D3B82"/>
    <w:rsid w:val="006D3E28"/>
    <w:rsid w:val="006D437F"/>
    <w:rsid w:val="006D4508"/>
    <w:rsid w:val="006D4A31"/>
    <w:rsid w:val="006D4B6C"/>
    <w:rsid w:val="006D6998"/>
    <w:rsid w:val="006D6AF1"/>
    <w:rsid w:val="006D7A5F"/>
    <w:rsid w:val="006E07D2"/>
    <w:rsid w:val="006E0C3C"/>
    <w:rsid w:val="006E0FD9"/>
    <w:rsid w:val="006E13DB"/>
    <w:rsid w:val="006E1D9A"/>
    <w:rsid w:val="006E1ECA"/>
    <w:rsid w:val="006E2F18"/>
    <w:rsid w:val="006E4E68"/>
    <w:rsid w:val="006E52FB"/>
    <w:rsid w:val="006E56F9"/>
    <w:rsid w:val="006E5F39"/>
    <w:rsid w:val="006E745C"/>
    <w:rsid w:val="006E7625"/>
    <w:rsid w:val="006F129B"/>
    <w:rsid w:val="006F14E9"/>
    <w:rsid w:val="006F2723"/>
    <w:rsid w:val="006F2EE0"/>
    <w:rsid w:val="006F4322"/>
    <w:rsid w:val="006F584F"/>
    <w:rsid w:val="006F6242"/>
    <w:rsid w:val="006F6F23"/>
    <w:rsid w:val="006F7164"/>
    <w:rsid w:val="006F73A2"/>
    <w:rsid w:val="006F7F58"/>
    <w:rsid w:val="007005E5"/>
    <w:rsid w:val="00700975"/>
    <w:rsid w:val="00700BE4"/>
    <w:rsid w:val="00701763"/>
    <w:rsid w:val="0070178F"/>
    <w:rsid w:val="0070289C"/>
    <w:rsid w:val="007033F8"/>
    <w:rsid w:val="007037E1"/>
    <w:rsid w:val="00703C96"/>
    <w:rsid w:val="00704059"/>
    <w:rsid w:val="0070425B"/>
    <w:rsid w:val="007044E2"/>
    <w:rsid w:val="00705165"/>
    <w:rsid w:val="00707419"/>
    <w:rsid w:val="0071015B"/>
    <w:rsid w:val="0071063E"/>
    <w:rsid w:val="00710997"/>
    <w:rsid w:val="0071202A"/>
    <w:rsid w:val="00712106"/>
    <w:rsid w:val="00712190"/>
    <w:rsid w:val="007123A6"/>
    <w:rsid w:val="00712ADD"/>
    <w:rsid w:val="00712B94"/>
    <w:rsid w:val="00712CC8"/>
    <w:rsid w:val="0071318C"/>
    <w:rsid w:val="00714600"/>
    <w:rsid w:val="007146F8"/>
    <w:rsid w:val="007148FD"/>
    <w:rsid w:val="007165BA"/>
    <w:rsid w:val="00716626"/>
    <w:rsid w:val="00716D8B"/>
    <w:rsid w:val="00717899"/>
    <w:rsid w:val="00717FD4"/>
    <w:rsid w:val="007200D2"/>
    <w:rsid w:val="00720CBF"/>
    <w:rsid w:val="007211E4"/>
    <w:rsid w:val="00721603"/>
    <w:rsid w:val="00722169"/>
    <w:rsid w:val="0072351F"/>
    <w:rsid w:val="007235FC"/>
    <w:rsid w:val="00723BBD"/>
    <w:rsid w:val="00723BBE"/>
    <w:rsid w:val="007249E2"/>
    <w:rsid w:val="00724B79"/>
    <w:rsid w:val="00724F01"/>
    <w:rsid w:val="00724F7B"/>
    <w:rsid w:val="00725810"/>
    <w:rsid w:val="00725B9B"/>
    <w:rsid w:val="00725EBA"/>
    <w:rsid w:val="007267C7"/>
    <w:rsid w:val="00727439"/>
    <w:rsid w:val="0072744F"/>
    <w:rsid w:val="00727472"/>
    <w:rsid w:val="00727700"/>
    <w:rsid w:val="00730703"/>
    <w:rsid w:val="00730DC2"/>
    <w:rsid w:val="00731781"/>
    <w:rsid w:val="00732047"/>
    <w:rsid w:val="00732F78"/>
    <w:rsid w:val="007331E4"/>
    <w:rsid w:val="00733350"/>
    <w:rsid w:val="007333AC"/>
    <w:rsid w:val="00733CB8"/>
    <w:rsid w:val="00733ECC"/>
    <w:rsid w:val="007342DE"/>
    <w:rsid w:val="00734818"/>
    <w:rsid w:val="00734B29"/>
    <w:rsid w:val="00734B52"/>
    <w:rsid w:val="007353E5"/>
    <w:rsid w:val="0073600A"/>
    <w:rsid w:val="007361EF"/>
    <w:rsid w:val="0073627C"/>
    <w:rsid w:val="00737D42"/>
    <w:rsid w:val="00740289"/>
    <w:rsid w:val="00741AFE"/>
    <w:rsid w:val="00741BFA"/>
    <w:rsid w:val="0074209D"/>
    <w:rsid w:val="00742577"/>
    <w:rsid w:val="00742989"/>
    <w:rsid w:val="00744BB9"/>
    <w:rsid w:val="00745743"/>
    <w:rsid w:val="00746A95"/>
    <w:rsid w:val="00747641"/>
    <w:rsid w:val="007476F4"/>
    <w:rsid w:val="00747F13"/>
    <w:rsid w:val="00750379"/>
    <w:rsid w:val="00750BE5"/>
    <w:rsid w:val="00751893"/>
    <w:rsid w:val="007524CF"/>
    <w:rsid w:val="00752B2D"/>
    <w:rsid w:val="00752CBA"/>
    <w:rsid w:val="00752F77"/>
    <w:rsid w:val="0075329F"/>
    <w:rsid w:val="00753BA2"/>
    <w:rsid w:val="00753DD8"/>
    <w:rsid w:val="007540BD"/>
    <w:rsid w:val="00754130"/>
    <w:rsid w:val="00754460"/>
    <w:rsid w:val="00754560"/>
    <w:rsid w:val="0075477A"/>
    <w:rsid w:val="0075485E"/>
    <w:rsid w:val="00755459"/>
    <w:rsid w:val="0075577E"/>
    <w:rsid w:val="007565AC"/>
    <w:rsid w:val="00756AD6"/>
    <w:rsid w:val="00756C40"/>
    <w:rsid w:val="00756D67"/>
    <w:rsid w:val="00757071"/>
    <w:rsid w:val="0075727C"/>
    <w:rsid w:val="00757D0E"/>
    <w:rsid w:val="00760BB2"/>
    <w:rsid w:val="007610F6"/>
    <w:rsid w:val="00761629"/>
    <w:rsid w:val="00761B01"/>
    <w:rsid w:val="0076208F"/>
    <w:rsid w:val="00762E02"/>
    <w:rsid w:val="00764B13"/>
    <w:rsid w:val="00764DEE"/>
    <w:rsid w:val="00766A1E"/>
    <w:rsid w:val="00766D2A"/>
    <w:rsid w:val="00766F8A"/>
    <w:rsid w:val="00767511"/>
    <w:rsid w:val="0076773B"/>
    <w:rsid w:val="00767C06"/>
    <w:rsid w:val="00767D96"/>
    <w:rsid w:val="00770676"/>
    <w:rsid w:val="00770B4A"/>
    <w:rsid w:val="007718BC"/>
    <w:rsid w:val="007718D6"/>
    <w:rsid w:val="00771FFC"/>
    <w:rsid w:val="0077270D"/>
    <w:rsid w:val="00772C3C"/>
    <w:rsid w:val="00773201"/>
    <w:rsid w:val="00773EA9"/>
    <w:rsid w:val="0077473B"/>
    <w:rsid w:val="00774858"/>
    <w:rsid w:val="00774C9E"/>
    <w:rsid w:val="00775882"/>
    <w:rsid w:val="00776F8E"/>
    <w:rsid w:val="00777254"/>
    <w:rsid w:val="00777D57"/>
    <w:rsid w:val="00780EBE"/>
    <w:rsid w:val="007818E3"/>
    <w:rsid w:val="00781B05"/>
    <w:rsid w:val="00782677"/>
    <w:rsid w:val="00782FDB"/>
    <w:rsid w:val="00783897"/>
    <w:rsid w:val="00784AB5"/>
    <w:rsid w:val="00785A9E"/>
    <w:rsid w:val="0078654A"/>
    <w:rsid w:val="007867AE"/>
    <w:rsid w:val="007868D8"/>
    <w:rsid w:val="00786F71"/>
    <w:rsid w:val="00787EB1"/>
    <w:rsid w:val="00790354"/>
    <w:rsid w:val="00790524"/>
    <w:rsid w:val="00790F3E"/>
    <w:rsid w:val="00791B22"/>
    <w:rsid w:val="00791E92"/>
    <w:rsid w:val="007922BF"/>
    <w:rsid w:val="0079242D"/>
    <w:rsid w:val="00792776"/>
    <w:rsid w:val="0079325E"/>
    <w:rsid w:val="0079346A"/>
    <w:rsid w:val="00793C82"/>
    <w:rsid w:val="00794DDD"/>
    <w:rsid w:val="0079675B"/>
    <w:rsid w:val="007968AD"/>
    <w:rsid w:val="00796A7E"/>
    <w:rsid w:val="00797284"/>
    <w:rsid w:val="00797399"/>
    <w:rsid w:val="00797754"/>
    <w:rsid w:val="00797833"/>
    <w:rsid w:val="00797885"/>
    <w:rsid w:val="007A0049"/>
    <w:rsid w:val="007A05BE"/>
    <w:rsid w:val="007A1448"/>
    <w:rsid w:val="007A1884"/>
    <w:rsid w:val="007A1E38"/>
    <w:rsid w:val="007A275A"/>
    <w:rsid w:val="007A27DE"/>
    <w:rsid w:val="007A3F3B"/>
    <w:rsid w:val="007A470D"/>
    <w:rsid w:val="007A4983"/>
    <w:rsid w:val="007A49CE"/>
    <w:rsid w:val="007A52B0"/>
    <w:rsid w:val="007A5D1C"/>
    <w:rsid w:val="007A5D89"/>
    <w:rsid w:val="007A5FAB"/>
    <w:rsid w:val="007A666D"/>
    <w:rsid w:val="007A6683"/>
    <w:rsid w:val="007A676B"/>
    <w:rsid w:val="007A6797"/>
    <w:rsid w:val="007A6D7F"/>
    <w:rsid w:val="007A6D87"/>
    <w:rsid w:val="007A6E01"/>
    <w:rsid w:val="007A7BAD"/>
    <w:rsid w:val="007A7C1E"/>
    <w:rsid w:val="007A7C93"/>
    <w:rsid w:val="007B0877"/>
    <w:rsid w:val="007B0C4B"/>
    <w:rsid w:val="007B1560"/>
    <w:rsid w:val="007B175A"/>
    <w:rsid w:val="007B180D"/>
    <w:rsid w:val="007B1848"/>
    <w:rsid w:val="007B1A03"/>
    <w:rsid w:val="007B1A90"/>
    <w:rsid w:val="007B1F1E"/>
    <w:rsid w:val="007B2981"/>
    <w:rsid w:val="007B32E1"/>
    <w:rsid w:val="007B33F7"/>
    <w:rsid w:val="007B3B4B"/>
    <w:rsid w:val="007B4826"/>
    <w:rsid w:val="007B5169"/>
    <w:rsid w:val="007B5455"/>
    <w:rsid w:val="007B61F4"/>
    <w:rsid w:val="007B68B3"/>
    <w:rsid w:val="007B7146"/>
    <w:rsid w:val="007B7480"/>
    <w:rsid w:val="007B7F30"/>
    <w:rsid w:val="007C249F"/>
    <w:rsid w:val="007C268C"/>
    <w:rsid w:val="007C2E1C"/>
    <w:rsid w:val="007C3438"/>
    <w:rsid w:val="007C3A58"/>
    <w:rsid w:val="007C428D"/>
    <w:rsid w:val="007C43AC"/>
    <w:rsid w:val="007C4F76"/>
    <w:rsid w:val="007C50A3"/>
    <w:rsid w:val="007C541F"/>
    <w:rsid w:val="007C5CB8"/>
    <w:rsid w:val="007C5DAE"/>
    <w:rsid w:val="007C624B"/>
    <w:rsid w:val="007C62B2"/>
    <w:rsid w:val="007C66A1"/>
    <w:rsid w:val="007C7AF7"/>
    <w:rsid w:val="007D035B"/>
    <w:rsid w:val="007D04AB"/>
    <w:rsid w:val="007D14F0"/>
    <w:rsid w:val="007D18BE"/>
    <w:rsid w:val="007D1C0E"/>
    <w:rsid w:val="007D2D65"/>
    <w:rsid w:val="007D35C2"/>
    <w:rsid w:val="007D36AD"/>
    <w:rsid w:val="007D3A4C"/>
    <w:rsid w:val="007D469D"/>
    <w:rsid w:val="007D5F58"/>
    <w:rsid w:val="007D6A46"/>
    <w:rsid w:val="007D6AC5"/>
    <w:rsid w:val="007E0162"/>
    <w:rsid w:val="007E0573"/>
    <w:rsid w:val="007E0AFD"/>
    <w:rsid w:val="007E10A1"/>
    <w:rsid w:val="007E1A3D"/>
    <w:rsid w:val="007E2C42"/>
    <w:rsid w:val="007E328E"/>
    <w:rsid w:val="007E415D"/>
    <w:rsid w:val="007E4ED0"/>
    <w:rsid w:val="007E5F02"/>
    <w:rsid w:val="007E6A2D"/>
    <w:rsid w:val="007E7559"/>
    <w:rsid w:val="007E7786"/>
    <w:rsid w:val="007E7947"/>
    <w:rsid w:val="007F0BB7"/>
    <w:rsid w:val="007F0F2E"/>
    <w:rsid w:val="007F1342"/>
    <w:rsid w:val="007F14DD"/>
    <w:rsid w:val="007F16A3"/>
    <w:rsid w:val="007F20FF"/>
    <w:rsid w:val="007F250B"/>
    <w:rsid w:val="007F2EE6"/>
    <w:rsid w:val="007F3232"/>
    <w:rsid w:val="007F32B2"/>
    <w:rsid w:val="007F47DE"/>
    <w:rsid w:val="007F5940"/>
    <w:rsid w:val="007F5E2A"/>
    <w:rsid w:val="007F5FF5"/>
    <w:rsid w:val="007F6292"/>
    <w:rsid w:val="007F6673"/>
    <w:rsid w:val="007F6A8C"/>
    <w:rsid w:val="007F6F22"/>
    <w:rsid w:val="007F7449"/>
    <w:rsid w:val="007F7EE4"/>
    <w:rsid w:val="0080014A"/>
    <w:rsid w:val="00801995"/>
    <w:rsid w:val="0080286D"/>
    <w:rsid w:val="00802AA5"/>
    <w:rsid w:val="008047FE"/>
    <w:rsid w:val="00805479"/>
    <w:rsid w:val="00805D4F"/>
    <w:rsid w:val="00805FBA"/>
    <w:rsid w:val="008067A1"/>
    <w:rsid w:val="00807069"/>
    <w:rsid w:val="0080736A"/>
    <w:rsid w:val="00810830"/>
    <w:rsid w:val="008119EF"/>
    <w:rsid w:val="0081211F"/>
    <w:rsid w:val="008125A9"/>
    <w:rsid w:val="00813ED7"/>
    <w:rsid w:val="008154AF"/>
    <w:rsid w:val="00815DA6"/>
    <w:rsid w:val="00815EBE"/>
    <w:rsid w:val="008160E7"/>
    <w:rsid w:val="0081625A"/>
    <w:rsid w:val="00816AD7"/>
    <w:rsid w:val="008173CB"/>
    <w:rsid w:val="00817B8E"/>
    <w:rsid w:val="00817E0A"/>
    <w:rsid w:val="00820707"/>
    <w:rsid w:val="00820771"/>
    <w:rsid w:val="00820D12"/>
    <w:rsid w:val="00821A65"/>
    <w:rsid w:val="00822DA5"/>
    <w:rsid w:val="00823033"/>
    <w:rsid w:val="0082352A"/>
    <w:rsid w:val="00823C83"/>
    <w:rsid w:val="00824A94"/>
    <w:rsid w:val="00824B79"/>
    <w:rsid w:val="00824E28"/>
    <w:rsid w:val="00825A83"/>
    <w:rsid w:val="00825CCD"/>
    <w:rsid w:val="008261D5"/>
    <w:rsid w:val="00826564"/>
    <w:rsid w:val="008268E2"/>
    <w:rsid w:val="00826994"/>
    <w:rsid w:val="0082740C"/>
    <w:rsid w:val="00830606"/>
    <w:rsid w:val="00830745"/>
    <w:rsid w:val="00830748"/>
    <w:rsid w:val="0083081D"/>
    <w:rsid w:val="00831442"/>
    <w:rsid w:val="008329D6"/>
    <w:rsid w:val="00833239"/>
    <w:rsid w:val="00833458"/>
    <w:rsid w:val="008336AE"/>
    <w:rsid w:val="00833A67"/>
    <w:rsid w:val="00833EE1"/>
    <w:rsid w:val="0083545A"/>
    <w:rsid w:val="00835A01"/>
    <w:rsid w:val="00836244"/>
    <w:rsid w:val="008363BE"/>
    <w:rsid w:val="008365F4"/>
    <w:rsid w:val="00836A15"/>
    <w:rsid w:val="00837133"/>
    <w:rsid w:val="00837273"/>
    <w:rsid w:val="008376BA"/>
    <w:rsid w:val="00837AB8"/>
    <w:rsid w:val="00837CB6"/>
    <w:rsid w:val="008404E2"/>
    <w:rsid w:val="00840EE8"/>
    <w:rsid w:val="0084160B"/>
    <w:rsid w:val="00841803"/>
    <w:rsid w:val="00842166"/>
    <w:rsid w:val="0084368E"/>
    <w:rsid w:val="008438DC"/>
    <w:rsid w:val="00843BE4"/>
    <w:rsid w:val="00844AC7"/>
    <w:rsid w:val="008450CE"/>
    <w:rsid w:val="00845619"/>
    <w:rsid w:val="008456D5"/>
    <w:rsid w:val="00845822"/>
    <w:rsid w:val="00845868"/>
    <w:rsid w:val="00845E9E"/>
    <w:rsid w:val="0084606C"/>
    <w:rsid w:val="0084634B"/>
    <w:rsid w:val="00846F54"/>
    <w:rsid w:val="008476DB"/>
    <w:rsid w:val="00847ACD"/>
    <w:rsid w:val="00847C33"/>
    <w:rsid w:val="00850150"/>
    <w:rsid w:val="0085077B"/>
    <w:rsid w:val="00850A94"/>
    <w:rsid w:val="00850B01"/>
    <w:rsid w:val="00850EFF"/>
    <w:rsid w:val="00850F4B"/>
    <w:rsid w:val="00851FF0"/>
    <w:rsid w:val="00853083"/>
    <w:rsid w:val="0085352A"/>
    <w:rsid w:val="0085389E"/>
    <w:rsid w:val="00853F52"/>
    <w:rsid w:val="008605A6"/>
    <w:rsid w:val="00860C21"/>
    <w:rsid w:val="0086174D"/>
    <w:rsid w:val="00861D5B"/>
    <w:rsid w:val="00862BA9"/>
    <w:rsid w:val="00863A1E"/>
    <w:rsid w:val="00863AD1"/>
    <w:rsid w:val="00863E69"/>
    <w:rsid w:val="008646C4"/>
    <w:rsid w:val="00864886"/>
    <w:rsid w:val="00865AE7"/>
    <w:rsid w:val="00866DCE"/>
    <w:rsid w:val="008676F6"/>
    <w:rsid w:val="00867A3C"/>
    <w:rsid w:val="00870DDE"/>
    <w:rsid w:val="00871A9C"/>
    <w:rsid w:val="00872A24"/>
    <w:rsid w:val="00874D48"/>
    <w:rsid w:val="008754ED"/>
    <w:rsid w:val="00876745"/>
    <w:rsid w:val="00877482"/>
    <w:rsid w:val="00877658"/>
    <w:rsid w:val="00880413"/>
    <w:rsid w:val="00880E1B"/>
    <w:rsid w:val="00882788"/>
    <w:rsid w:val="008832D1"/>
    <w:rsid w:val="0088359F"/>
    <w:rsid w:val="00883638"/>
    <w:rsid w:val="0088377F"/>
    <w:rsid w:val="00883822"/>
    <w:rsid w:val="00883842"/>
    <w:rsid w:val="00883DBB"/>
    <w:rsid w:val="00883E1B"/>
    <w:rsid w:val="0088471A"/>
    <w:rsid w:val="00884DD1"/>
    <w:rsid w:val="008852FF"/>
    <w:rsid w:val="00885993"/>
    <w:rsid w:val="00886873"/>
    <w:rsid w:val="008869F4"/>
    <w:rsid w:val="00886C90"/>
    <w:rsid w:val="00887706"/>
    <w:rsid w:val="0089049B"/>
    <w:rsid w:val="008909D9"/>
    <w:rsid w:val="00891022"/>
    <w:rsid w:val="00891EAA"/>
    <w:rsid w:val="00892700"/>
    <w:rsid w:val="00892993"/>
    <w:rsid w:val="008933F3"/>
    <w:rsid w:val="00893B86"/>
    <w:rsid w:val="008943C8"/>
    <w:rsid w:val="00894D11"/>
    <w:rsid w:val="008950E3"/>
    <w:rsid w:val="00895A5B"/>
    <w:rsid w:val="008960E3"/>
    <w:rsid w:val="008969CD"/>
    <w:rsid w:val="00896F9E"/>
    <w:rsid w:val="00897508"/>
    <w:rsid w:val="00897669"/>
    <w:rsid w:val="00897A0E"/>
    <w:rsid w:val="00897AE0"/>
    <w:rsid w:val="00897F88"/>
    <w:rsid w:val="008A0656"/>
    <w:rsid w:val="008A0674"/>
    <w:rsid w:val="008A08A8"/>
    <w:rsid w:val="008A1887"/>
    <w:rsid w:val="008A2768"/>
    <w:rsid w:val="008A3B8D"/>
    <w:rsid w:val="008A4D14"/>
    <w:rsid w:val="008A4EE6"/>
    <w:rsid w:val="008A523C"/>
    <w:rsid w:val="008A5871"/>
    <w:rsid w:val="008A5898"/>
    <w:rsid w:val="008A5D24"/>
    <w:rsid w:val="008A5D89"/>
    <w:rsid w:val="008A7530"/>
    <w:rsid w:val="008A7886"/>
    <w:rsid w:val="008B057A"/>
    <w:rsid w:val="008B0B27"/>
    <w:rsid w:val="008B0BBA"/>
    <w:rsid w:val="008B0C46"/>
    <w:rsid w:val="008B0FE1"/>
    <w:rsid w:val="008B0FF0"/>
    <w:rsid w:val="008B185B"/>
    <w:rsid w:val="008B28F7"/>
    <w:rsid w:val="008B2F38"/>
    <w:rsid w:val="008B3B2B"/>
    <w:rsid w:val="008B41D6"/>
    <w:rsid w:val="008B48C8"/>
    <w:rsid w:val="008B4B8B"/>
    <w:rsid w:val="008B4FE5"/>
    <w:rsid w:val="008B565F"/>
    <w:rsid w:val="008B6090"/>
    <w:rsid w:val="008B6681"/>
    <w:rsid w:val="008B6A31"/>
    <w:rsid w:val="008B6A81"/>
    <w:rsid w:val="008B76FC"/>
    <w:rsid w:val="008B7E70"/>
    <w:rsid w:val="008B7EFF"/>
    <w:rsid w:val="008B7F50"/>
    <w:rsid w:val="008C11A0"/>
    <w:rsid w:val="008C35FC"/>
    <w:rsid w:val="008C3D42"/>
    <w:rsid w:val="008C4659"/>
    <w:rsid w:val="008C4728"/>
    <w:rsid w:val="008C4AA7"/>
    <w:rsid w:val="008C4F0F"/>
    <w:rsid w:val="008C5165"/>
    <w:rsid w:val="008C7527"/>
    <w:rsid w:val="008C7831"/>
    <w:rsid w:val="008C7BA2"/>
    <w:rsid w:val="008D049A"/>
    <w:rsid w:val="008D07CB"/>
    <w:rsid w:val="008D1502"/>
    <w:rsid w:val="008D1B7A"/>
    <w:rsid w:val="008D1FD1"/>
    <w:rsid w:val="008D27D0"/>
    <w:rsid w:val="008D352B"/>
    <w:rsid w:val="008D369B"/>
    <w:rsid w:val="008D4374"/>
    <w:rsid w:val="008D559E"/>
    <w:rsid w:val="008D66D5"/>
    <w:rsid w:val="008D6DD9"/>
    <w:rsid w:val="008D6E77"/>
    <w:rsid w:val="008D78EF"/>
    <w:rsid w:val="008D7A00"/>
    <w:rsid w:val="008E04DF"/>
    <w:rsid w:val="008E052C"/>
    <w:rsid w:val="008E237C"/>
    <w:rsid w:val="008E28AB"/>
    <w:rsid w:val="008E2A0D"/>
    <w:rsid w:val="008E30A0"/>
    <w:rsid w:val="008E384E"/>
    <w:rsid w:val="008E427D"/>
    <w:rsid w:val="008E4650"/>
    <w:rsid w:val="008E4D33"/>
    <w:rsid w:val="008E50E5"/>
    <w:rsid w:val="008E7819"/>
    <w:rsid w:val="008E793F"/>
    <w:rsid w:val="008F0082"/>
    <w:rsid w:val="008F0A6B"/>
    <w:rsid w:val="008F0DCA"/>
    <w:rsid w:val="008F1340"/>
    <w:rsid w:val="008F17CB"/>
    <w:rsid w:val="008F196C"/>
    <w:rsid w:val="008F197C"/>
    <w:rsid w:val="008F2350"/>
    <w:rsid w:val="008F2972"/>
    <w:rsid w:val="008F3166"/>
    <w:rsid w:val="008F3290"/>
    <w:rsid w:val="008F3447"/>
    <w:rsid w:val="008F3F33"/>
    <w:rsid w:val="008F4887"/>
    <w:rsid w:val="008F5F94"/>
    <w:rsid w:val="008F6923"/>
    <w:rsid w:val="008F6BD1"/>
    <w:rsid w:val="008F6FCF"/>
    <w:rsid w:val="008F7006"/>
    <w:rsid w:val="008F7BC9"/>
    <w:rsid w:val="008F7C17"/>
    <w:rsid w:val="00900769"/>
    <w:rsid w:val="00900ECA"/>
    <w:rsid w:val="00902E57"/>
    <w:rsid w:val="00902F86"/>
    <w:rsid w:val="009036A6"/>
    <w:rsid w:val="0090424B"/>
    <w:rsid w:val="00904BB5"/>
    <w:rsid w:val="0090566C"/>
    <w:rsid w:val="00905ABC"/>
    <w:rsid w:val="00905BFB"/>
    <w:rsid w:val="00906F98"/>
    <w:rsid w:val="009070BA"/>
    <w:rsid w:val="00907A1A"/>
    <w:rsid w:val="00910E84"/>
    <w:rsid w:val="00911A9F"/>
    <w:rsid w:val="0091232F"/>
    <w:rsid w:val="0091286F"/>
    <w:rsid w:val="00912E58"/>
    <w:rsid w:val="00913635"/>
    <w:rsid w:val="009137AC"/>
    <w:rsid w:val="00914A3D"/>
    <w:rsid w:val="00914C6C"/>
    <w:rsid w:val="00915559"/>
    <w:rsid w:val="00915D72"/>
    <w:rsid w:val="009165E1"/>
    <w:rsid w:val="0091675A"/>
    <w:rsid w:val="00916824"/>
    <w:rsid w:val="00917049"/>
    <w:rsid w:val="00920CD6"/>
    <w:rsid w:val="009212E6"/>
    <w:rsid w:val="009219E1"/>
    <w:rsid w:val="0092284F"/>
    <w:rsid w:val="00922E64"/>
    <w:rsid w:val="00923030"/>
    <w:rsid w:val="00923483"/>
    <w:rsid w:val="00924388"/>
    <w:rsid w:val="00924594"/>
    <w:rsid w:val="009247F4"/>
    <w:rsid w:val="009249E7"/>
    <w:rsid w:val="00924A8C"/>
    <w:rsid w:val="00925552"/>
    <w:rsid w:val="00925846"/>
    <w:rsid w:val="00925ADB"/>
    <w:rsid w:val="0092774F"/>
    <w:rsid w:val="009278BC"/>
    <w:rsid w:val="00927ABC"/>
    <w:rsid w:val="009301C9"/>
    <w:rsid w:val="0093029A"/>
    <w:rsid w:val="00930F25"/>
    <w:rsid w:val="00932418"/>
    <w:rsid w:val="00932BFF"/>
    <w:rsid w:val="00935EA1"/>
    <w:rsid w:val="0093656D"/>
    <w:rsid w:val="00936757"/>
    <w:rsid w:val="00936E0B"/>
    <w:rsid w:val="009371D4"/>
    <w:rsid w:val="009375C5"/>
    <w:rsid w:val="00937931"/>
    <w:rsid w:val="00940BB2"/>
    <w:rsid w:val="00941214"/>
    <w:rsid w:val="009412C4"/>
    <w:rsid w:val="0094154F"/>
    <w:rsid w:val="0094195B"/>
    <w:rsid w:val="00942357"/>
    <w:rsid w:val="009428AB"/>
    <w:rsid w:val="00942B7F"/>
    <w:rsid w:val="009434F9"/>
    <w:rsid w:val="0094359F"/>
    <w:rsid w:val="00943D33"/>
    <w:rsid w:val="009440CB"/>
    <w:rsid w:val="009452A6"/>
    <w:rsid w:val="00945C4D"/>
    <w:rsid w:val="00946B62"/>
    <w:rsid w:val="009470B5"/>
    <w:rsid w:val="00947965"/>
    <w:rsid w:val="00947A28"/>
    <w:rsid w:val="00950774"/>
    <w:rsid w:val="00951649"/>
    <w:rsid w:val="009526D4"/>
    <w:rsid w:val="0095285A"/>
    <w:rsid w:val="00952AB6"/>
    <w:rsid w:val="009533A4"/>
    <w:rsid w:val="00953B4B"/>
    <w:rsid w:val="00953E2E"/>
    <w:rsid w:val="0095462D"/>
    <w:rsid w:val="009549D1"/>
    <w:rsid w:val="00954FD9"/>
    <w:rsid w:val="0095515D"/>
    <w:rsid w:val="009557AA"/>
    <w:rsid w:val="00955ED5"/>
    <w:rsid w:val="00957B74"/>
    <w:rsid w:val="00957EA3"/>
    <w:rsid w:val="0096045A"/>
    <w:rsid w:val="0096059B"/>
    <w:rsid w:val="00960EFA"/>
    <w:rsid w:val="009610F1"/>
    <w:rsid w:val="009616E9"/>
    <w:rsid w:val="009627B6"/>
    <w:rsid w:val="00962D60"/>
    <w:rsid w:val="0096306D"/>
    <w:rsid w:val="00963643"/>
    <w:rsid w:val="00965F92"/>
    <w:rsid w:val="00966150"/>
    <w:rsid w:val="0096626E"/>
    <w:rsid w:val="00966A35"/>
    <w:rsid w:val="009700C7"/>
    <w:rsid w:val="0097050B"/>
    <w:rsid w:val="009706F7"/>
    <w:rsid w:val="00970CD9"/>
    <w:rsid w:val="009716D4"/>
    <w:rsid w:val="00972E4A"/>
    <w:rsid w:val="009733F3"/>
    <w:rsid w:val="00973F83"/>
    <w:rsid w:val="009744C6"/>
    <w:rsid w:val="009749E2"/>
    <w:rsid w:val="00975593"/>
    <w:rsid w:val="009761AC"/>
    <w:rsid w:val="00976325"/>
    <w:rsid w:val="009767C3"/>
    <w:rsid w:val="00977908"/>
    <w:rsid w:val="00977C1C"/>
    <w:rsid w:val="0098192B"/>
    <w:rsid w:val="00981E1A"/>
    <w:rsid w:val="009823B5"/>
    <w:rsid w:val="00985B79"/>
    <w:rsid w:val="00986120"/>
    <w:rsid w:val="00986CCF"/>
    <w:rsid w:val="009872DA"/>
    <w:rsid w:val="00987434"/>
    <w:rsid w:val="00987B10"/>
    <w:rsid w:val="00987D74"/>
    <w:rsid w:val="0099006D"/>
    <w:rsid w:val="00990338"/>
    <w:rsid w:val="0099034C"/>
    <w:rsid w:val="00990CFE"/>
    <w:rsid w:val="00991A97"/>
    <w:rsid w:val="0099245B"/>
    <w:rsid w:val="00992507"/>
    <w:rsid w:val="009925E6"/>
    <w:rsid w:val="00992ACE"/>
    <w:rsid w:val="00992B73"/>
    <w:rsid w:val="00992E39"/>
    <w:rsid w:val="00992E55"/>
    <w:rsid w:val="00993574"/>
    <w:rsid w:val="00993724"/>
    <w:rsid w:val="00993D47"/>
    <w:rsid w:val="0099512A"/>
    <w:rsid w:val="00995A5B"/>
    <w:rsid w:val="0099719F"/>
    <w:rsid w:val="009972D3"/>
    <w:rsid w:val="009974F8"/>
    <w:rsid w:val="00997667"/>
    <w:rsid w:val="00997A0B"/>
    <w:rsid w:val="009A070E"/>
    <w:rsid w:val="009A0808"/>
    <w:rsid w:val="009A0FF3"/>
    <w:rsid w:val="009A1EC7"/>
    <w:rsid w:val="009A2673"/>
    <w:rsid w:val="009A2689"/>
    <w:rsid w:val="009A288E"/>
    <w:rsid w:val="009A3561"/>
    <w:rsid w:val="009A35E0"/>
    <w:rsid w:val="009A3E3F"/>
    <w:rsid w:val="009A5293"/>
    <w:rsid w:val="009A5924"/>
    <w:rsid w:val="009A5961"/>
    <w:rsid w:val="009A5F26"/>
    <w:rsid w:val="009A5F8B"/>
    <w:rsid w:val="009A69B1"/>
    <w:rsid w:val="009A6AB6"/>
    <w:rsid w:val="009A7108"/>
    <w:rsid w:val="009A7A74"/>
    <w:rsid w:val="009B00F2"/>
    <w:rsid w:val="009B07A4"/>
    <w:rsid w:val="009B10C6"/>
    <w:rsid w:val="009B2817"/>
    <w:rsid w:val="009B28EB"/>
    <w:rsid w:val="009B2A19"/>
    <w:rsid w:val="009B2C5D"/>
    <w:rsid w:val="009B3C64"/>
    <w:rsid w:val="009B4350"/>
    <w:rsid w:val="009B4485"/>
    <w:rsid w:val="009B4AEB"/>
    <w:rsid w:val="009C0573"/>
    <w:rsid w:val="009C1481"/>
    <w:rsid w:val="009C172C"/>
    <w:rsid w:val="009C1955"/>
    <w:rsid w:val="009C210C"/>
    <w:rsid w:val="009C2A7C"/>
    <w:rsid w:val="009C3808"/>
    <w:rsid w:val="009C39BE"/>
    <w:rsid w:val="009C3C42"/>
    <w:rsid w:val="009C480E"/>
    <w:rsid w:val="009C4ACB"/>
    <w:rsid w:val="009C4D68"/>
    <w:rsid w:val="009C5609"/>
    <w:rsid w:val="009C7276"/>
    <w:rsid w:val="009C7286"/>
    <w:rsid w:val="009C7D6A"/>
    <w:rsid w:val="009C7EB5"/>
    <w:rsid w:val="009D0214"/>
    <w:rsid w:val="009D0868"/>
    <w:rsid w:val="009D0C03"/>
    <w:rsid w:val="009D25BB"/>
    <w:rsid w:val="009D268E"/>
    <w:rsid w:val="009D2FB7"/>
    <w:rsid w:val="009D35D9"/>
    <w:rsid w:val="009D3EFD"/>
    <w:rsid w:val="009D3FF1"/>
    <w:rsid w:val="009D3FF8"/>
    <w:rsid w:val="009D4147"/>
    <w:rsid w:val="009D42CF"/>
    <w:rsid w:val="009D464D"/>
    <w:rsid w:val="009D491F"/>
    <w:rsid w:val="009D52CF"/>
    <w:rsid w:val="009D5C5B"/>
    <w:rsid w:val="009D658D"/>
    <w:rsid w:val="009D7574"/>
    <w:rsid w:val="009D7660"/>
    <w:rsid w:val="009D7817"/>
    <w:rsid w:val="009D79E1"/>
    <w:rsid w:val="009D7CBF"/>
    <w:rsid w:val="009D7CCE"/>
    <w:rsid w:val="009D7D84"/>
    <w:rsid w:val="009E1106"/>
    <w:rsid w:val="009E143B"/>
    <w:rsid w:val="009E19D1"/>
    <w:rsid w:val="009E1D06"/>
    <w:rsid w:val="009E2470"/>
    <w:rsid w:val="009E2861"/>
    <w:rsid w:val="009E324E"/>
    <w:rsid w:val="009E3AD8"/>
    <w:rsid w:val="009E42CF"/>
    <w:rsid w:val="009E4566"/>
    <w:rsid w:val="009E7365"/>
    <w:rsid w:val="009F013C"/>
    <w:rsid w:val="009F08D5"/>
    <w:rsid w:val="009F1312"/>
    <w:rsid w:val="009F1939"/>
    <w:rsid w:val="009F1EAF"/>
    <w:rsid w:val="009F2232"/>
    <w:rsid w:val="009F2917"/>
    <w:rsid w:val="009F2D39"/>
    <w:rsid w:val="009F58A8"/>
    <w:rsid w:val="009F5B8E"/>
    <w:rsid w:val="009F5C13"/>
    <w:rsid w:val="009F60D7"/>
    <w:rsid w:val="009F634C"/>
    <w:rsid w:val="009F63B9"/>
    <w:rsid w:val="009F6668"/>
    <w:rsid w:val="009F6743"/>
    <w:rsid w:val="009F6924"/>
    <w:rsid w:val="009F6A11"/>
    <w:rsid w:val="009F6D40"/>
    <w:rsid w:val="009F70EE"/>
    <w:rsid w:val="00A00D0A"/>
    <w:rsid w:val="00A00E65"/>
    <w:rsid w:val="00A01F37"/>
    <w:rsid w:val="00A036B5"/>
    <w:rsid w:val="00A0397C"/>
    <w:rsid w:val="00A03AC2"/>
    <w:rsid w:val="00A03DC8"/>
    <w:rsid w:val="00A04332"/>
    <w:rsid w:val="00A04F43"/>
    <w:rsid w:val="00A05091"/>
    <w:rsid w:val="00A05347"/>
    <w:rsid w:val="00A06074"/>
    <w:rsid w:val="00A06136"/>
    <w:rsid w:val="00A06C75"/>
    <w:rsid w:val="00A070A2"/>
    <w:rsid w:val="00A074F5"/>
    <w:rsid w:val="00A07CDE"/>
    <w:rsid w:val="00A1002F"/>
    <w:rsid w:val="00A11A65"/>
    <w:rsid w:val="00A11B22"/>
    <w:rsid w:val="00A124F4"/>
    <w:rsid w:val="00A126DD"/>
    <w:rsid w:val="00A127F0"/>
    <w:rsid w:val="00A12DE6"/>
    <w:rsid w:val="00A13522"/>
    <w:rsid w:val="00A13930"/>
    <w:rsid w:val="00A13946"/>
    <w:rsid w:val="00A13A85"/>
    <w:rsid w:val="00A13F94"/>
    <w:rsid w:val="00A1549F"/>
    <w:rsid w:val="00A155DB"/>
    <w:rsid w:val="00A156D7"/>
    <w:rsid w:val="00A159D8"/>
    <w:rsid w:val="00A15BD6"/>
    <w:rsid w:val="00A15D72"/>
    <w:rsid w:val="00A22B90"/>
    <w:rsid w:val="00A230DD"/>
    <w:rsid w:val="00A23870"/>
    <w:rsid w:val="00A24023"/>
    <w:rsid w:val="00A24CBC"/>
    <w:rsid w:val="00A25121"/>
    <w:rsid w:val="00A25CD8"/>
    <w:rsid w:val="00A2665F"/>
    <w:rsid w:val="00A26A73"/>
    <w:rsid w:val="00A2746F"/>
    <w:rsid w:val="00A27899"/>
    <w:rsid w:val="00A3007D"/>
    <w:rsid w:val="00A30F9A"/>
    <w:rsid w:val="00A31180"/>
    <w:rsid w:val="00A31260"/>
    <w:rsid w:val="00A313A6"/>
    <w:rsid w:val="00A3193C"/>
    <w:rsid w:val="00A32CA1"/>
    <w:rsid w:val="00A3424E"/>
    <w:rsid w:val="00A3449E"/>
    <w:rsid w:val="00A364F8"/>
    <w:rsid w:val="00A37467"/>
    <w:rsid w:val="00A4026A"/>
    <w:rsid w:val="00A40FB3"/>
    <w:rsid w:val="00A4175F"/>
    <w:rsid w:val="00A4212E"/>
    <w:rsid w:val="00A42C0F"/>
    <w:rsid w:val="00A42E7B"/>
    <w:rsid w:val="00A4356F"/>
    <w:rsid w:val="00A43C61"/>
    <w:rsid w:val="00A43FDB"/>
    <w:rsid w:val="00A44956"/>
    <w:rsid w:val="00A44B4C"/>
    <w:rsid w:val="00A44E22"/>
    <w:rsid w:val="00A44F67"/>
    <w:rsid w:val="00A45788"/>
    <w:rsid w:val="00A45C45"/>
    <w:rsid w:val="00A45E4B"/>
    <w:rsid w:val="00A46275"/>
    <w:rsid w:val="00A46F27"/>
    <w:rsid w:val="00A471BC"/>
    <w:rsid w:val="00A502C1"/>
    <w:rsid w:val="00A50ABD"/>
    <w:rsid w:val="00A51E0F"/>
    <w:rsid w:val="00A521E4"/>
    <w:rsid w:val="00A524C8"/>
    <w:rsid w:val="00A5289C"/>
    <w:rsid w:val="00A52A95"/>
    <w:rsid w:val="00A52FBC"/>
    <w:rsid w:val="00A53A5E"/>
    <w:rsid w:val="00A54470"/>
    <w:rsid w:val="00A55078"/>
    <w:rsid w:val="00A555E3"/>
    <w:rsid w:val="00A55AE7"/>
    <w:rsid w:val="00A55B4F"/>
    <w:rsid w:val="00A57018"/>
    <w:rsid w:val="00A57599"/>
    <w:rsid w:val="00A6008E"/>
    <w:rsid w:val="00A61643"/>
    <w:rsid w:val="00A61CF7"/>
    <w:rsid w:val="00A61E42"/>
    <w:rsid w:val="00A6201E"/>
    <w:rsid w:val="00A6224F"/>
    <w:rsid w:val="00A629A6"/>
    <w:rsid w:val="00A63443"/>
    <w:rsid w:val="00A64314"/>
    <w:rsid w:val="00A645E4"/>
    <w:rsid w:val="00A64AC0"/>
    <w:rsid w:val="00A64B97"/>
    <w:rsid w:val="00A64EFC"/>
    <w:rsid w:val="00A6544A"/>
    <w:rsid w:val="00A654C0"/>
    <w:rsid w:val="00A65C3F"/>
    <w:rsid w:val="00A677EF"/>
    <w:rsid w:val="00A70B3D"/>
    <w:rsid w:val="00A71572"/>
    <w:rsid w:val="00A71D8D"/>
    <w:rsid w:val="00A72BCA"/>
    <w:rsid w:val="00A7305D"/>
    <w:rsid w:val="00A730C7"/>
    <w:rsid w:val="00A73677"/>
    <w:rsid w:val="00A73687"/>
    <w:rsid w:val="00A73C9F"/>
    <w:rsid w:val="00A7420B"/>
    <w:rsid w:val="00A754F4"/>
    <w:rsid w:val="00A75931"/>
    <w:rsid w:val="00A75BD3"/>
    <w:rsid w:val="00A763BC"/>
    <w:rsid w:val="00A76CF0"/>
    <w:rsid w:val="00A76D54"/>
    <w:rsid w:val="00A779E0"/>
    <w:rsid w:val="00A80EB9"/>
    <w:rsid w:val="00A80FCC"/>
    <w:rsid w:val="00A81173"/>
    <w:rsid w:val="00A824D8"/>
    <w:rsid w:val="00A82A19"/>
    <w:rsid w:val="00A83264"/>
    <w:rsid w:val="00A83A3D"/>
    <w:rsid w:val="00A84183"/>
    <w:rsid w:val="00A84290"/>
    <w:rsid w:val="00A85707"/>
    <w:rsid w:val="00A858C5"/>
    <w:rsid w:val="00A86878"/>
    <w:rsid w:val="00A86D44"/>
    <w:rsid w:val="00A87461"/>
    <w:rsid w:val="00A87CB2"/>
    <w:rsid w:val="00A87F5A"/>
    <w:rsid w:val="00A90A39"/>
    <w:rsid w:val="00A90D89"/>
    <w:rsid w:val="00A9139B"/>
    <w:rsid w:val="00A921AD"/>
    <w:rsid w:val="00A92769"/>
    <w:rsid w:val="00A92D7C"/>
    <w:rsid w:val="00A92EB4"/>
    <w:rsid w:val="00A936BB"/>
    <w:rsid w:val="00A936ED"/>
    <w:rsid w:val="00A9397D"/>
    <w:rsid w:val="00A93A39"/>
    <w:rsid w:val="00A946F0"/>
    <w:rsid w:val="00A95970"/>
    <w:rsid w:val="00A963A2"/>
    <w:rsid w:val="00A9681A"/>
    <w:rsid w:val="00A97458"/>
    <w:rsid w:val="00AA075C"/>
    <w:rsid w:val="00AA07A8"/>
    <w:rsid w:val="00AA0A1A"/>
    <w:rsid w:val="00AA1D8C"/>
    <w:rsid w:val="00AA2A8B"/>
    <w:rsid w:val="00AA3A26"/>
    <w:rsid w:val="00AA3DDB"/>
    <w:rsid w:val="00AA4497"/>
    <w:rsid w:val="00AA4753"/>
    <w:rsid w:val="00AA5A92"/>
    <w:rsid w:val="00AA637F"/>
    <w:rsid w:val="00AA6A58"/>
    <w:rsid w:val="00AA6C54"/>
    <w:rsid w:val="00AB037B"/>
    <w:rsid w:val="00AB0EE6"/>
    <w:rsid w:val="00AB142A"/>
    <w:rsid w:val="00AB18C7"/>
    <w:rsid w:val="00AB2597"/>
    <w:rsid w:val="00AB2CE0"/>
    <w:rsid w:val="00AB2F1B"/>
    <w:rsid w:val="00AB3989"/>
    <w:rsid w:val="00AB409D"/>
    <w:rsid w:val="00AB40B5"/>
    <w:rsid w:val="00AB43A4"/>
    <w:rsid w:val="00AB4B13"/>
    <w:rsid w:val="00AB5152"/>
    <w:rsid w:val="00AB5DE6"/>
    <w:rsid w:val="00AB5E9B"/>
    <w:rsid w:val="00AB6B9E"/>
    <w:rsid w:val="00AB7636"/>
    <w:rsid w:val="00AB79A4"/>
    <w:rsid w:val="00AC05FF"/>
    <w:rsid w:val="00AC1133"/>
    <w:rsid w:val="00AC1302"/>
    <w:rsid w:val="00AC1AF2"/>
    <w:rsid w:val="00AC3BB5"/>
    <w:rsid w:val="00AC4378"/>
    <w:rsid w:val="00AC4D26"/>
    <w:rsid w:val="00AC554C"/>
    <w:rsid w:val="00AC60F9"/>
    <w:rsid w:val="00AC6EB1"/>
    <w:rsid w:val="00AC77E7"/>
    <w:rsid w:val="00AC7825"/>
    <w:rsid w:val="00AC7A2C"/>
    <w:rsid w:val="00AC7F5B"/>
    <w:rsid w:val="00AC7F77"/>
    <w:rsid w:val="00AD0DE5"/>
    <w:rsid w:val="00AD190F"/>
    <w:rsid w:val="00AD1DFD"/>
    <w:rsid w:val="00AD1E5A"/>
    <w:rsid w:val="00AD28C9"/>
    <w:rsid w:val="00AD3056"/>
    <w:rsid w:val="00AD39ED"/>
    <w:rsid w:val="00AD3DC8"/>
    <w:rsid w:val="00AD521F"/>
    <w:rsid w:val="00AD5B72"/>
    <w:rsid w:val="00AD622F"/>
    <w:rsid w:val="00AD685E"/>
    <w:rsid w:val="00AD6DC7"/>
    <w:rsid w:val="00AD724E"/>
    <w:rsid w:val="00AD7703"/>
    <w:rsid w:val="00AD78AD"/>
    <w:rsid w:val="00AD7EDF"/>
    <w:rsid w:val="00AE0988"/>
    <w:rsid w:val="00AE1856"/>
    <w:rsid w:val="00AE1991"/>
    <w:rsid w:val="00AE2203"/>
    <w:rsid w:val="00AE2704"/>
    <w:rsid w:val="00AE2926"/>
    <w:rsid w:val="00AE2D57"/>
    <w:rsid w:val="00AE3177"/>
    <w:rsid w:val="00AE3B4E"/>
    <w:rsid w:val="00AE3F68"/>
    <w:rsid w:val="00AE4A1B"/>
    <w:rsid w:val="00AE534A"/>
    <w:rsid w:val="00AE58EA"/>
    <w:rsid w:val="00AE6280"/>
    <w:rsid w:val="00AE7A29"/>
    <w:rsid w:val="00AF1209"/>
    <w:rsid w:val="00AF194C"/>
    <w:rsid w:val="00AF1CF2"/>
    <w:rsid w:val="00AF2EB5"/>
    <w:rsid w:val="00AF40E9"/>
    <w:rsid w:val="00AF4B3E"/>
    <w:rsid w:val="00AF4E7B"/>
    <w:rsid w:val="00AF5404"/>
    <w:rsid w:val="00AF5426"/>
    <w:rsid w:val="00AF5442"/>
    <w:rsid w:val="00AF5593"/>
    <w:rsid w:val="00AF5819"/>
    <w:rsid w:val="00AF5A53"/>
    <w:rsid w:val="00AF6391"/>
    <w:rsid w:val="00AF6E52"/>
    <w:rsid w:val="00AF6F1E"/>
    <w:rsid w:val="00AF7175"/>
    <w:rsid w:val="00AF77EA"/>
    <w:rsid w:val="00AF7F27"/>
    <w:rsid w:val="00B003C2"/>
    <w:rsid w:val="00B00F99"/>
    <w:rsid w:val="00B01BE8"/>
    <w:rsid w:val="00B02428"/>
    <w:rsid w:val="00B02BEB"/>
    <w:rsid w:val="00B04470"/>
    <w:rsid w:val="00B0457F"/>
    <w:rsid w:val="00B05BF4"/>
    <w:rsid w:val="00B06D96"/>
    <w:rsid w:val="00B06F22"/>
    <w:rsid w:val="00B115D1"/>
    <w:rsid w:val="00B117F3"/>
    <w:rsid w:val="00B11A32"/>
    <w:rsid w:val="00B14A03"/>
    <w:rsid w:val="00B14D20"/>
    <w:rsid w:val="00B14E00"/>
    <w:rsid w:val="00B157E3"/>
    <w:rsid w:val="00B15FDF"/>
    <w:rsid w:val="00B16B1C"/>
    <w:rsid w:val="00B16C07"/>
    <w:rsid w:val="00B175FE"/>
    <w:rsid w:val="00B177C2"/>
    <w:rsid w:val="00B206D5"/>
    <w:rsid w:val="00B20D9A"/>
    <w:rsid w:val="00B21CDE"/>
    <w:rsid w:val="00B21D46"/>
    <w:rsid w:val="00B22052"/>
    <w:rsid w:val="00B24161"/>
    <w:rsid w:val="00B2460E"/>
    <w:rsid w:val="00B24762"/>
    <w:rsid w:val="00B2478D"/>
    <w:rsid w:val="00B247DB"/>
    <w:rsid w:val="00B2480E"/>
    <w:rsid w:val="00B257D1"/>
    <w:rsid w:val="00B258E4"/>
    <w:rsid w:val="00B260BB"/>
    <w:rsid w:val="00B261AB"/>
    <w:rsid w:val="00B269CC"/>
    <w:rsid w:val="00B26E01"/>
    <w:rsid w:val="00B27229"/>
    <w:rsid w:val="00B300D4"/>
    <w:rsid w:val="00B31749"/>
    <w:rsid w:val="00B31B64"/>
    <w:rsid w:val="00B31C46"/>
    <w:rsid w:val="00B31D5E"/>
    <w:rsid w:val="00B31D76"/>
    <w:rsid w:val="00B3216A"/>
    <w:rsid w:val="00B32376"/>
    <w:rsid w:val="00B3286A"/>
    <w:rsid w:val="00B33171"/>
    <w:rsid w:val="00B3336D"/>
    <w:rsid w:val="00B33581"/>
    <w:rsid w:val="00B33643"/>
    <w:rsid w:val="00B337A6"/>
    <w:rsid w:val="00B33AB2"/>
    <w:rsid w:val="00B346DA"/>
    <w:rsid w:val="00B3570D"/>
    <w:rsid w:val="00B35A74"/>
    <w:rsid w:val="00B36955"/>
    <w:rsid w:val="00B377C5"/>
    <w:rsid w:val="00B37843"/>
    <w:rsid w:val="00B37FEE"/>
    <w:rsid w:val="00B40701"/>
    <w:rsid w:val="00B413F6"/>
    <w:rsid w:val="00B4268B"/>
    <w:rsid w:val="00B42949"/>
    <w:rsid w:val="00B42AC2"/>
    <w:rsid w:val="00B435D1"/>
    <w:rsid w:val="00B43A79"/>
    <w:rsid w:val="00B43FD8"/>
    <w:rsid w:val="00B449DC"/>
    <w:rsid w:val="00B44B8A"/>
    <w:rsid w:val="00B45249"/>
    <w:rsid w:val="00B46586"/>
    <w:rsid w:val="00B46685"/>
    <w:rsid w:val="00B469E7"/>
    <w:rsid w:val="00B4791A"/>
    <w:rsid w:val="00B504D5"/>
    <w:rsid w:val="00B5083A"/>
    <w:rsid w:val="00B508DC"/>
    <w:rsid w:val="00B5105A"/>
    <w:rsid w:val="00B5119C"/>
    <w:rsid w:val="00B512E3"/>
    <w:rsid w:val="00B517EC"/>
    <w:rsid w:val="00B51BDA"/>
    <w:rsid w:val="00B51C6B"/>
    <w:rsid w:val="00B51D66"/>
    <w:rsid w:val="00B52EB5"/>
    <w:rsid w:val="00B53544"/>
    <w:rsid w:val="00B53CB1"/>
    <w:rsid w:val="00B53DF0"/>
    <w:rsid w:val="00B54EF6"/>
    <w:rsid w:val="00B552C3"/>
    <w:rsid w:val="00B55335"/>
    <w:rsid w:val="00B55F5B"/>
    <w:rsid w:val="00B56336"/>
    <w:rsid w:val="00B56F96"/>
    <w:rsid w:val="00B57AE9"/>
    <w:rsid w:val="00B602D1"/>
    <w:rsid w:val="00B60A73"/>
    <w:rsid w:val="00B60C5E"/>
    <w:rsid w:val="00B618CD"/>
    <w:rsid w:val="00B61D67"/>
    <w:rsid w:val="00B61E6A"/>
    <w:rsid w:val="00B62360"/>
    <w:rsid w:val="00B62762"/>
    <w:rsid w:val="00B63B82"/>
    <w:rsid w:val="00B65206"/>
    <w:rsid w:val="00B658D0"/>
    <w:rsid w:val="00B66107"/>
    <w:rsid w:val="00B66575"/>
    <w:rsid w:val="00B665B9"/>
    <w:rsid w:val="00B67068"/>
    <w:rsid w:val="00B672FC"/>
    <w:rsid w:val="00B67CE2"/>
    <w:rsid w:val="00B701F4"/>
    <w:rsid w:val="00B709CB"/>
    <w:rsid w:val="00B71835"/>
    <w:rsid w:val="00B71B54"/>
    <w:rsid w:val="00B720AD"/>
    <w:rsid w:val="00B7320E"/>
    <w:rsid w:val="00B73FB9"/>
    <w:rsid w:val="00B740DA"/>
    <w:rsid w:val="00B74CD5"/>
    <w:rsid w:val="00B80066"/>
    <w:rsid w:val="00B81283"/>
    <w:rsid w:val="00B82168"/>
    <w:rsid w:val="00B8246F"/>
    <w:rsid w:val="00B82686"/>
    <w:rsid w:val="00B83090"/>
    <w:rsid w:val="00B83845"/>
    <w:rsid w:val="00B83DAA"/>
    <w:rsid w:val="00B84D54"/>
    <w:rsid w:val="00B85054"/>
    <w:rsid w:val="00B8547C"/>
    <w:rsid w:val="00B85860"/>
    <w:rsid w:val="00B86440"/>
    <w:rsid w:val="00B86549"/>
    <w:rsid w:val="00B866F4"/>
    <w:rsid w:val="00B868CD"/>
    <w:rsid w:val="00B86A08"/>
    <w:rsid w:val="00B86A6F"/>
    <w:rsid w:val="00B86BB7"/>
    <w:rsid w:val="00B86E94"/>
    <w:rsid w:val="00B87420"/>
    <w:rsid w:val="00B879A5"/>
    <w:rsid w:val="00B9093B"/>
    <w:rsid w:val="00B91C3B"/>
    <w:rsid w:val="00B921E1"/>
    <w:rsid w:val="00B9254C"/>
    <w:rsid w:val="00B929A0"/>
    <w:rsid w:val="00B929E7"/>
    <w:rsid w:val="00B92BF0"/>
    <w:rsid w:val="00B937E4"/>
    <w:rsid w:val="00B943A3"/>
    <w:rsid w:val="00B950F9"/>
    <w:rsid w:val="00B95542"/>
    <w:rsid w:val="00B957C8"/>
    <w:rsid w:val="00B963A1"/>
    <w:rsid w:val="00B96F1E"/>
    <w:rsid w:val="00B97D6B"/>
    <w:rsid w:val="00BA00C7"/>
    <w:rsid w:val="00BA0213"/>
    <w:rsid w:val="00BA0DDC"/>
    <w:rsid w:val="00BA2165"/>
    <w:rsid w:val="00BA36D4"/>
    <w:rsid w:val="00BA3A89"/>
    <w:rsid w:val="00BA4296"/>
    <w:rsid w:val="00BA54F5"/>
    <w:rsid w:val="00BA5522"/>
    <w:rsid w:val="00BA57B5"/>
    <w:rsid w:val="00BA6BCD"/>
    <w:rsid w:val="00BA6C14"/>
    <w:rsid w:val="00BA72C0"/>
    <w:rsid w:val="00BB1800"/>
    <w:rsid w:val="00BB1B39"/>
    <w:rsid w:val="00BB23F2"/>
    <w:rsid w:val="00BB39EB"/>
    <w:rsid w:val="00BB3AAC"/>
    <w:rsid w:val="00BB3DE7"/>
    <w:rsid w:val="00BB401E"/>
    <w:rsid w:val="00BB4145"/>
    <w:rsid w:val="00BB43EB"/>
    <w:rsid w:val="00BB4501"/>
    <w:rsid w:val="00BB4950"/>
    <w:rsid w:val="00BB4A37"/>
    <w:rsid w:val="00BB5D86"/>
    <w:rsid w:val="00BB6341"/>
    <w:rsid w:val="00BB635E"/>
    <w:rsid w:val="00BB6A21"/>
    <w:rsid w:val="00BB6BD8"/>
    <w:rsid w:val="00BB7106"/>
    <w:rsid w:val="00BB7180"/>
    <w:rsid w:val="00BB76B5"/>
    <w:rsid w:val="00BB776B"/>
    <w:rsid w:val="00BB791E"/>
    <w:rsid w:val="00BC0CDD"/>
    <w:rsid w:val="00BC2CD5"/>
    <w:rsid w:val="00BC2EDC"/>
    <w:rsid w:val="00BC2F73"/>
    <w:rsid w:val="00BC3704"/>
    <w:rsid w:val="00BC5027"/>
    <w:rsid w:val="00BC58DF"/>
    <w:rsid w:val="00BC7AE2"/>
    <w:rsid w:val="00BC7CC6"/>
    <w:rsid w:val="00BC7D62"/>
    <w:rsid w:val="00BD0D3F"/>
    <w:rsid w:val="00BD10B1"/>
    <w:rsid w:val="00BD1722"/>
    <w:rsid w:val="00BD2460"/>
    <w:rsid w:val="00BD27CE"/>
    <w:rsid w:val="00BD3320"/>
    <w:rsid w:val="00BD3E7B"/>
    <w:rsid w:val="00BD42B0"/>
    <w:rsid w:val="00BD4BC5"/>
    <w:rsid w:val="00BD6113"/>
    <w:rsid w:val="00BD6B46"/>
    <w:rsid w:val="00BD7078"/>
    <w:rsid w:val="00BE1639"/>
    <w:rsid w:val="00BE1E47"/>
    <w:rsid w:val="00BE1F71"/>
    <w:rsid w:val="00BE2799"/>
    <w:rsid w:val="00BE2827"/>
    <w:rsid w:val="00BE2E83"/>
    <w:rsid w:val="00BE3845"/>
    <w:rsid w:val="00BE3CAF"/>
    <w:rsid w:val="00BE3DB1"/>
    <w:rsid w:val="00BE4680"/>
    <w:rsid w:val="00BE522F"/>
    <w:rsid w:val="00BE5520"/>
    <w:rsid w:val="00BE552D"/>
    <w:rsid w:val="00BE565A"/>
    <w:rsid w:val="00BE5A87"/>
    <w:rsid w:val="00BE5B74"/>
    <w:rsid w:val="00BE5E89"/>
    <w:rsid w:val="00BE7137"/>
    <w:rsid w:val="00BE7843"/>
    <w:rsid w:val="00BF03E3"/>
    <w:rsid w:val="00BF1444"/>
    <w:rsid w:val="00BF351D"/>
    <w:rsid w:val="00BF397A"/>
    <w:rsid w:val="00BF4B46"/>
    <w:rsid w:val="00BF551F"/>
    <w:rsid w:val="00BF6092"/>
    <w:rsid w:val="00BF7EE3"/>
    <w:rsid w:val="00C00611"/>
    <w:rsid w:val="00C01825"/>
    <w:rsid w:val="00C02CE5"/>
    <w:rsid w:val="00C035BC"/>
    <w:rsid w:val="00C03ABE"/>
    <w:rsid w:val="00C03D59"/>
    <w:rsid w:val="00C0400E"/>
    <w:rsid w:val="00C04792"/>
    <w:rsid w:val="00C0482F"/>
    <w:rsid w:val="00C04AC5"/>
    <w:rsid w:val="00C050EE"/>
    <w:rsid w:val="00C054E7"/>
    <w:rsid w:val="00C058E7"/>
    <w:rsid w:val="00C068C1"/>
    <w:rsid w:val="00C10325"/>
    <w:rsid w:val="00C10AEC"/>
    <w:rsid w:val="00C10D61"/>
    <w:rsid w:val="00C11973"/>
    <w:rsid w:val="00C11FB8"/>
    <w:rsid w:val="00C1203F"/>
    <w:rsid w:val="00C13628"/>
    <w:rsid w:val="00C151F5"/>
    <w:rsid w:val="00C1553F"/>
    <w:rsid w:val="00C15DB7"/>
    <w:rsid w:val="00C1671C"/>
    <w:rsid w:val="00C16C95"/>
    <w:rsid w:val="00C17AA3"/>
    <w:rsid w:val="00C17B3B"/>
    <w:rsid w:val="00C17FD9"/>
    <w:rsid w:val="00C21188"/>
    <w:rsid w:val="00C21252"/>
    <w:rsid w:val="00C21259"/>
    <w:rsid w:val="00C2199E"/>
    <w:rsid w:val="00C22668"/>
    <w:rsid w:val="00C22A8F"/>
    <w:rsid w:val="00C22D0A"/>
    <w:rsid w:val="00C235CC"/>
    <w:rsid w:val="00C24891"/>
    <w:rsid w:val="00C249EA"/>
    <w:rsid w:val="00C24A1E"/>
    <w:rsid w:val="00C24A99"/>
    <w:rsid w:val="00C24F78"/>
    <w:rsid w:val="00C251A4"/>
    <w:rsid w:val="00C25C6A"/>
    <w:rsid w:val="00C25F0F"/>
    <w:rsid w:val="00C26292"/>
    <w:rsid w:val="00C26874"/>
    <w:rsid w:val="00C26AB4"/>
    <w:rsid w:val="00C26F1B"/>
    <w:rsid w:val="00C3042E"/>
    <w:rsid w:val="00C3097F"/>
    <w:rsid w:val="00C30BD2"/>
    <w:rsid w:val="00C30FD8"/>
    <w:rsid w:val="00C3166D"/>
    <w:rsid w:val="00C319DD"/>
    <w:rsid w:val="00C3200A"/>
    <w:rsid w:val="00C32DE2"/>
    <w:rsid w:val="00C33004"/>
    <w:rsid w:val="00C347FB"/>
    <w:rsid w:val="00C353B2"/>
    <w:rsid w:val="00C36346"/>
    <w:rsid w:val="00C36729"/>
    <w:rsid w:val="00C369D9"/>
    <w:rsid w:val="00C402D5"/>
    <w:rsid w:val="00C4064D"/>
    <w:rsid w:val="00C4068D"/>
    <w:rsid w:val="00C408A9"/>
    <w:rsid w:val="00C40D54"/>
    <w:rsid w:val="00C41AB0"/>
    <w:rsid w:val="00C44060"/>
    <w:rsid w:val="00C44388"/>
    <w:rsid w:val="00C44612"/>
    <w:rsid w:val="00C45858"/>
    <w:rsid w:val="00C45981"/>
    <w:rsid w:val="00C45A6D"/>
    <w:rsid w:val="00C45E63"/>
    <w:rsid w:val="00C461DE"/>
    <w:rsid w:val="00C46B3C"/>
    <w:rsid w:val="00C46B87"/>
    <w:rsid w:val="00C46CAF"/>
    <w:rsid w:val="00C46E79"/>
    <w:rsid w:val="00C47353"/>
    <w:rsid w:val="00C47C86"/>
    <w:rsid w:val="00C47D48"/>
    <w:rsid w:val="00C5056E"/>
    <w:rsid w:val="00C5116A"/>
    <w:rsid w:val="00C51299"/>
    <w:rsid w:val="00C52A06"/>
    <w:rsid w:val="00C52E06"/>
    <w:rsid w:val="00C530CA"/>
    <w:rsid w:val="00C53DA1"/>
    <w:rsid w:val="00C54E60"/>
    <w:rsid w:val="00C55A2F"/>
    <w:rsid w:val="00C57061"/>
    <w:rsid w:val="00C5771E"/>
    <w:rsid w:val="00C60059"/>
    <w:rsid w:val="00C6023A"/>
    <w:rsid w:val="00C61101"/>
    <w:rsid w:val="00C613AC"/>
    <w:rsid w:val="00C616C0"/>
    <w:rsid w:val="00C634AD"/>
    <w:rsid w:val="00C6432A"/>
    <w:rsid w:val="00C6450B"/>
    <w:rsid w:val="00C65963"/>
    <w:rsid w:val="00C65A01"/>
    <w:rsid w:val="00C66426"/>
    <w:rsid w:val="00C669BB"/>
    <w:rsid w:val="00C67DD9"/>
    <w:rsid w:val="00C709FB"/>
    <w:rsid w:val="00C70C1F"/>
    <w:rsid w:val="00C722DF"/>
    <w:rsid w:val="00C726D2"/>
    <w:rsid w:val="00C72EAD"/>
    <w:rsid w:val="00C72F32"/>
    <w:rsid w:val="00C7308A"/>
    <w:rsid w:val="00C732C5"/>
    <w:rsid w:val="00C73813"/>
    <w:rsid w:val="00C74550"/>
    <w:rsid w:val="00C749A5"/>
    <w:rsid w:val="00C75675"/>
    <w:rsid w:val="00C759CF"/>
    <w:rsid w:val="00C75A05"/>
    <w:rsid w:val="00C75AFA"/>
    <w:rsid w:val="00C768C5"/>
    <w:rsid w:val="00C76991"/>
    <w:rsid w:val="00C76D8C"/>
    <w:rsid w:val="00C76FB3"/>
    <w:rsid w:val="00C77749"/>
    <w:rsid w:val="00C77F6B"/>
    <w:rsid w:val="00C80225"/>
    <w:rsid w:val="00C80E21"/>
    <w:rsid w:val="00C80E4B"/>
    <w:rsid w:val="00C812DE"/>
    <w:rsid w:val="00C821F4"/>
    <w:rsid w:val="00C825C5"/>
    <w:rsid w:val="00C83003"/>
    <w:rsid w:val="00C8310E"/>
    <w:rsid w:val="00C832D8"/>
    <w:rsid w:val="00C834FF"/>
    <w:rsid w:val="00C83B88"/>
    <w:rsid w:val="00C83FC8"/>
    <w:rsid w:val="00C854BE"/>
    <w:rsid w:val="00C85C92"/>
    <w:rsid w:val="00C86624"/>
    <w:rsid w:val="00C86AC4"/>
    <w:rsid w:val="00C903E8"/>
    <w:rsid w:val="00C91A0D"/>
    <w:rsid w:val="00C91A28"/>
    <w:rsid w:val="00C91C1E"/>
    <w:rsid w:val="00C91EB6"/>
    <w:rsid w:val="00C920AC"/>
    <w:rsid w:val="00C92104"/>
    <w:rsid w:val="00C92231"/>
    <w:rsid w:val="00C92236"/>
    <w:rsid w:val="00C9262C"/>
    <w:rsid w:val="00C92CF7"/>
    <w:rsid w:val="00C93192"/>
    <w:rsid w:val="00C93586"/>
    <w:rsid w:val="00C94510"/>
    <w:rsid w:val="00C95027"/>
    <w:rsid w:val="00C95425"/>
    <w:rsid w:val="00C95B3C"/>
    <w:rsid w:val="00C961C3"/>
    <w:rsid w:val="00C966BD"/>
    <w:rsid w:val="00C96A71"/>
    <w:rsid w:val="00C970D3"/>
    <w:rsid w:val="00C971B0"/>
    <w:rsid w:val="00C97898"/>
    <w:rsid w:val="00CA020A"/>
    <w:rsid w:val="00CA06AB"/>
    <w:rsid w:val="00CA0856"/>
    <w:rsid w:val="00CA140E"/>
    <w:rsid w:val="00CA20D1"/>
    <w:rsid w:val="00CA229B"/>
    <w:rsid w:val="00CA28FB"/>
    <w:rsid w:val="00CA2CA8"/>
    <w:rsid w:val="00CA2D36"/>
    <w:rsid w:val="00CA2EEA"/>
    <w:rsid w:val="00CA3038"/>
    <w:rsid w:val="00CA35C4"/>
    <w:rsid w:val="00CA3B61"/>
    <w:rsid w:val="00CA4619"/>
    <w:rsid w:val="00CA4D35"/>
    <w:rsid w:val="00CA5D88"/>
    <w:rsid w:val="00CA5E02"/>
    <w:rsid w:val="00CA6B5E"/>
    <w:rsid w:val="00CA71F1"/>
    <w:rsid w:val="00CA7C99"/>
    <w:rsid w:val="00CB0F16"/>
    <w:rsid w:val="00CB128E"/>
    <w:rsid w:val="00CB18C8"/>
    <w:rsid w:val="00CB367E"/>
    <w:rsid w:val="00CB3753"/>
    <w:rsid w:val="00CB46BB"/>
    <w:rsid w:val="00CB4795"/>
    <w:rsid w:val="00CB4ACE"/>
    <w:rsid w:val="00CB4E2E"/>
    <w:rsid w:val="00CB5005"/>
    <w:rsid w:val="00CB509D"/>
    <w:rsid w:val="00CB5B5D"/>
    <w:rsid w:val="00CB632E"/>
    <w:rsid w:val="00CB7B23"/>
    <w:rsid w:val="00CC045B"/>
    <w:rsid w:val="00CC0A6F"/>
    <w:rsid w:val="00CC17CB"/>
    <w:rsid w:val="00CC1F7A"/>
    <w:rsid w:val="00CC2AB4"/>
    <w:rsid w:val="00CC2BF6"/>
    <w:rsid w:val="00CC2D4B"/>
    <w:rsid w:val="00CC30FB"/>
    <w:rsid w:val="00CC4D28"/>
    <w:rsid w:val="00CC4E2B"/>
    <w:rsid w:val="00CC4F7F"/>
    <w:rsid w:val="00CC5495"/>
    <w:rsid w:val="00CC55B1"/>
    <w:rsid w:val="00CC623A"/>
    <w:rsid w:val="00CC6A83"/>
    <w:rsid w:val="00CC6C12"/>
    <w:rsid w:val="00CC7F0A"/>
    <w:rsid w:val="00CD08E0"/>
    <w:rsid w:val="00CD1BAD"/>
    <w:rsid w:val="00CD214D"/>
    <w:rsid w:val="00CD233E"/>
    <w:rsid w:val="00CD335D"/>
    <w:rsid w:val="00CD33B1"/>
    <w:rsid w:val="00CD3A52"/>
    <w:rsid w:val="00CD4889"/>
    <w:rsid w:val="00CD4ACC"/>
    <w:rsid w:val="00CD4B0D"/>
    <w:rsid w:val="00CD4FE4"/>
    <w:rsid w:val="00CD554E"/>
    <w:rsid w:val="00CD5D8E"/>
    <w:rsid w:val="00CD66E2"/>
    <w:rsid w:val="00CD6948"/>
    <w:rsid w:val="00CD74B2"/>
    <w:rsid w:val="00CD796C"/>
    <w:rsid w:val="00CE11F2"/>
    <w:rsid w:val="00CE32A0"/>
    <w:rsid w:val="00CE3CDE"/>
    <w:rsid w:val="00CE40CD"/>
    <w:rsid w:val="00CE5087"/>
    <w:rsid w:val="00CE590D"/>
    <w:rsid w:val="00CE5E36"/>
    <w:rsid w:val="00CE6339"/>
    <w:rsid w:val="00CE6F04"/>
    <w:rsid w:val="00CE6F2B"/>
    <w:rsid w:val="00CE7534"/>
    <w:rsid w:val="00CE7778"/>
    <w:rsid w:val="00CE7FF3"/>
    <w:rsid w:val="00CF0D8C"/>
    <w:rsid w:val="00CF10C6"/>
    <w:rsid w:val="00CF1C6D"/>
    <w:rsid w:val="00CF2A53"/>
    <w:rsid w:val="00CF403D"/>
    <w:rsid w:val="00CF4E28"/>
    <w:rsid w:val="00CF5346"/>
    <w:rsid w:val="00CF543D"/>
    <w:rsid w:val="00CF54E2"/>
    <w:rsid w:val="00CF59D3"/>
    <w:rsid w:val="00CF611D"/>
    <w:rsid w:val="00CF6CFD"/>
    <w:rsid w:val="00CF7488"/>
    <w:rsid w:val="00CF75B1"/>
    <w:rsid w:val="00CF7A3C"/>
    <w:rsid w:val="00D00095"/>
    <w:rsid w:val="00D009F6"/>
    <w:rsid w:val="00D0182D"/>
    <w:rsid w:val="00D0226C"/>
    <w:rsid w:val="00D0259A"/>
    <w:rsid w:val="00D0315B"/>
    <w:rsid w:val="00D0394C"/>
    <w:rsid w:val="00D03EA1"/>
    <w:rsid w:val="00D0471F"/>
    <w:rsid w:val="00D0475D"/>
    <w:rsid w:val="00D04990"/>
    <w:rsid w:val="00D04D90"/>
    <w:rsid w:val="00D04DBB"/>
    <w:rsid w:val="00D054D9"/>
    <w:rsid w:val="00D059C0"/>
    <w:rsid w:val="00D05BCB"/>
    <w:rsid w:val="00D0636A"/>
    <w:rsid w:val="00D06BBE"/>
    <w:rsid w:val="00D0703E"/>
    <w:rsid w:val="00D07051"/>
    <w:rsid w:val="00D075DC"/>
    <w:rsid w:val="00D077F1"/>
    <w:rsid w:val="00D1016C"/>
    <w:rsid w:val="00D10A6B"/>
    <w:rsid w:val="00D10DC2"/>
    <w:rsid w:val="00D10DD4"/>
    <w:rsid w:val="00D11251"/>
    <w:rsid w:val="00D11580"/>
    <w:rsid w:val="00D11838"/>
    <w:rsid w:val="00D11F06"/>
    <w:rsid w:val="00D1200F"/>
    <w:rsid w:val="00D135EF"/>
    <w:rsid w:val="00D13CB9"/>
    <w:rsid w:val="00D13CF5"/>
    <w:rsid w:val="00D13D37"/>
    <w:rsid w:val="00D1424D"/>
    <w:rsid w:val="00D1497C"/>
    <w:rsid w:val="00D151BD"/>
    <w:rsid w:val="00D15339"/>
    <w:rsid w:val="00D15420"/>
    <w:rsid w:val="00D160C7"/>
    <w:rsid w:val="00D16627"/>
    <w:rsid w:val="00D1682E"/>
    <w:rsid w:val="00D16990"/>
    <w:rsid w:val="00D2023B"/>
    <w:rsid w:val="00D206CD"/>
    <w:rsid w:val="00D20BA7"/>
    <w:rsid w:val="00D20C0D"/>
    <w:rsid w:val="00D20E62"/>
    <w:rsid w:val="00D22609"/>
    <w:rsid w:val="00D22D9F"/>
    <w:rsid w:val="00D2333D"/>
    <w:rsid w:val="00D24607"/>
    <w:rsid w:val="00D253A7"/>
    <w:rsid w:val="00D25540"/>
    <w:rsid w:val="00D25760"/>
    <w:rsid w:val="00D25A24"/>
    <w:rsid w:val="00D25D28"/>
    <w:rsid w:val="00D26E82"/>
    <w:rsid w:val="00D2723B"/>
    <w:rsid w:val="00D27703"/>
    <w:rsid w:val="00D27973"/>
    <w:rsid w:val="00D27BCC"/>
    <w:rsid w:val="00D308B8"/>
    <w:rsid w:val="00D30960"/>
    <w:rsid w:val="00D30D95"/>
    <w:rsid w:val="00D310C2"/>
    <w:rsid w:val="00D31BB9"/>
    <w:rsid w:val="00D3229C"/>
    <w:rsid w:val="00D32698"/>
    <w:rsid w:val="00D326BD"/>
    <w:rsid w:val="00D335F8"/>
    <w:rsid w:val="00D338A2"/>
    <w:rsid w:val="00D33B82"/>
    <w:rsid w:val="00D340AD"/>
    <w:rsid w:val="00D344D8"/>
    <w:rsid w:val="00D34830"/>
    <w:rsid w:val="00D34906"/>
    <w:rsid w:val="00D354B3"/>
    <w:rsid w:val="00D35C48"/>
    <w:rsid w:val="00D35D57"/>
    <w:rsid w:val="00D36525"/>
    <w:rsid w:val="00D36C0A"/>
    <w:rsid w:val="00D374B9"/>
    <w:rsid w:val="00D37630"/>
    <w:rsid w:val="00D37B71"/>
    <w:rsid w:val="00D37E7A"/>
    <w:rsid w:val="00D402A9"/>
    <w:rsid w:val="00D41066"/>
    <w:rsid w:val="00D41088"/>
    <w:rsid w:val="00D42543"/>
    <w:rsid w:val="00D4281D"/>
    <w:rsid w:val="00D42958"/>
    <w:rsid w:val="00D42AC5"/>
    <w:rsid w:val="00D42BA0"/>
    <w:rsid w:val="00D43626"/>
    <w:rsid w:val="00D43665"/>
    <w:rsid w:val="00D43F4B"/>
    <w:rsid w:val="00D441B7"/>
    <w:rsid w:val="00D443B5"/>
    <w:rsid w:val="00D47586"/>
    <w:rsid w:val="00D47864"/>
    <w:rsid w:val="00D50EAB"/>
    <w:rsid w:val="00D51EC0"/>
    <w:rsid w:val="00D51F1A"/>
    <w:rsid w:val="00D5286F"/>
    <w:rsid w:val="00D52FB9"/>
    <w:rsid w:val="00D534E0"/>
    <w:rsid w:val="00D536A3"/>
    <w:rsid w:val="00D53F13"/>
    <w:rsid w:val="00D542DD"/>
    <w:rsid w:val="00D5432E"/>
    <w:rsid w:val="00D54386"/>
    <w:rsid w:val="00D5491D"/>
    <w:rsid w:val="00D54FAD"/>
    <w:rsid w:val="00D56236"/>
    <w:rsid w:val="00D56505"/>
    <w:rsid w:val="00D5655E"/>
    <w:rsid w:val="00D566A9"/>
    <w:rsid w:val="00D5687F"/>
    <w:rsid w:val="00D56992"/>
    <w:rsid w:val="00D56F3D"/>
    <w:rsid w:val="00D57153"/>
    <w:rsid w:val="00D57336"/>
    <w:rsid w:val="00D57B5A"/>
    <w:rsid w:val="00D57B69"/>
    <w:rsid w:val="00D57CE0"/>
    <w:rsid w:val="00D60DCD"/>
    <w:rsid w:val="00D6104A"/>
    <w:rsid w:val="00D615BA"/>
    <w:rsid w:val="00D636D7"/>
    <w:rsid w:val="00D63B0E"/>
    <w:rsid w:val="00D64536"/>
    <w:rsid w:val="00D64B11"/>
    <w:rsid w:val="00D65279"/>
    <w:rsid w:val="00D66D7C"/>
    <w:rsid w:val="00D66FB7"/>
    <w:rsid w:val="00D67803"/>
    <w:rsid w:val="00D71280"/>
    <w:rsid w:val="00D71284"/>
    <w:rsid w:val="00D71B82"/>
    <w:rsid w:val="00D71EB7"/>
    <w:rsid w:val="00D72390"/>
    <w:rsid w:val="00D73189"/>
    <w:rsid w:val="00D7332A"/>
    <w:rsid w:val="00D7401E"/>
    <w:rsid w:val="00D7420B"/>
    <w:rsid w:val="00D7497E"/>
    <w:rsid w:val="00D74A00"/>
    <w:rsid w:val="00D74DDA"/>
    <w:rsid w:val="00D75517"/>
    <w:rsid w:val="00D762F3"/>
    <w:rsid w:val="00D76660"/>
    <w:rsid w:val="00D767EF"/>
    <w:rsid w:val="00D77019"/>
    <w:rsid w:val="00D80307"/>
    <w:rsid w:val="00D81458"/>
    <w:rsid w:val="00D81DD9"/>
    <w:rsid w:val="00D82320"/>
    <w:rsid w:val="00D82A97"/>
    <w:rsid w:val="00D83468"/>
    <w:rsid w:val="00D83E2D"/>
    <w:rsid w:val="00D848B8"/>
    <w:rsid w:val="00D84E5D"/>
    <w:rsid w:val="00D85124"/>
    <w:rsid w:val="00D85993"/>
    <w:rsid w:val="00D85AB0"/>
    <w:rsid w:val="00D863BF"/>
    <w:rsid w:val="00D870C7"/>
    <w:rsid w:val="00D873A3"/>
    <w:rsid w:val="00D87AD8"/>
    <w:rsid w:val="00D9025F"/>
    <w:rsid w:val="00D90506"/>
    <w:rsid w:val="00D909F3"/>
    <w:rsid w:val="00D90FE5"/>
    <w:rsid w:val="00D9199A"/>
    <w:rsid w:val="00D923C6"/>
    <w:rsid w:val="00D92735"/>
    <w:rsid w:val="00D92769"/>
    <w:rsid w:val="00D9301B"/>
    <w:rsid w:val="00D93831"/>
    <w:rsid w:val="00D93EF5"/>
    <w:rsid w:val="00D93F54"/>
    <w:rsid w:val="00D9413A"/>
    <w:rsid w:val="00D9520F"/>
    <w:rsid w:val="00D9636F"/>
    <w:rsid w:val="00D9746F"/>
    <w:rsid w:val="00D97D17"/>
    <w:rsid w:val="00DA1769"/>
    <w:rsid w:val="00DA3819"/>
    <w:rsid w:val="00DA3E15"/>
    <w:rsid w:val="00DA3EFF"/>
    <w:rsid w:val="00DA4174"/>
    <w:rsid w:val="00DA4349"/>
    <w:rsid w:val="00DA4683"/>
    <w:rsid w:val="00DA490A"/>
    <w:rsid w:val="00DA5187"/>
    <w:rsid w:val="00DA54B5"/>
    <w:rsid w:val="00DA5CE8"/>
    <w:rsid w:val="00DA5DA8"/>
    <w:rsid w:val="00DA5E7C"/>
    <w:rsid w:val="00DA660D"/>
    <w:rsid w:val="00DA6B9C"/>
    <w:rsid w:val="00DB07B1"/>
    <w:rsid w:val="00DB0B7C"/>
    <w:rsid w:val="00DB1F42"/>
    <w:rsid w:val="00DB26AE"/>
    <w:rsid w:val="00DB3495"/>
    <w:rsid w:val="00DB3594"/>
    <w:rsid w:val="00DB3CBE"/>
    <w:rsid w:val="00DB479D"/>
    <w:rsid w:val="00DB4BED"/>
    <w:rsid w:val="00DB5C9C"/>
    <w:rsid w:val="00DB60A3"/>
    <w:rsid w:val="00DB6120"/>
    <w:rsid w:val="00DB633A"/>
    <w:rsid w:val="00DB65C0"/>
    <w:rsid w:val="00DB6957"/>
    <w:rsid w:val="00DB7A7B"/>
    <w:rsid w:val="00DC0C3E"/>
    <w:rsid w:val="00DC1CEB"/>
    <w:rsid w:val="00DC2601"/>
    <w:rsid w:val="00DC32BF"/>
    <w:rsid w:val="00DC33E0"/>
    <w:rsid w:val="00DC34CE"/>
    <w:rsid w:val="00DC3C44"/>
    <w:rsid w:val="00DC4212"/>
    <w:rsid w:val="00DC4284"/>
    <w:rsid w:val="00DC445C"/>
    <w:rsid w:val="00DC4C32"/>
    <w:rsid w:val="00DC4ECB"/>
    <w:rsid w:val="00DC4F54"/>
    <w:rsid w:val="00DC58FA"/>
    <w:rsid w:val="00DC64D7"/>
    <w:rsid w:val="00DC6EDB"/>
    <w:rsid w:val="00DC75B5"/>
    <w:rsid w:val="00DC7C40"/>
    <w:rsid w:val="00DD0BD8"/>
    <w:rsid w:val="00DD169A"/>
    <w:rsid w:val="00DD1816"/>
    <w:rsid w:val="00DD1A8D"/>
    <w:rsid w:val="00DD30EB"/>
    <w:rsid w:val="00DD3802"/>
    <w:rsid w:val="00DD4110"/>
    <w:rsid w:val="00DD4A09"/>
    <w:rsid w:val="00DD5630"/>
    <w:rsid w:val="00DD5F7A"/>
    <w:rsid w:val="00DD6114"/>
    <w:rsid w:val="00DD61B3"/>
    <w:rsid w:val="00DD62E9"/>
    <w:rsid w:val="00DD66EE"/>
    <w:rsid w:val="00DD678B"/>
    <w:rsid w:val="00DD7DAB"/>
    <w:rsid w:val="00DE01ED"/>
    <w:rsid w:val="00DE028D"/>
    <w:rsid w:val="00DE0793"/>
    <w:rsid w:val="00DE0FB1"/>
    <w:rsid w:val="00DE0FBC"/>
    <w:rsid w:val="00DE1321"/>
    <w:rsid w:val="00DE23B6"/>
    <w:rsid w:val="00DE271F"/>
    <w:rsid w:val="00DE28CA"/>
    <w:rsid w:val="00DE2FAE"/>
    <w:rsid w:val="00DE4362"/>
    <w:rsid w:val="00DE4A4D"/>
    <w:rsid w:val="00DE4FE2"/>
    <w:rsid w:val="00DE5BA0"/>
    <w:rsid w:val="00DE69EB"/>
    <w:rsid w:val="00DE6FC2"/>
    <w:rsid w:val="00DE729A"/>
    <w:rsid w:val="00DF000E"/>
    <w:rsid w:val="00DF005E"/>
    <w:rsid w:val="00DF0132"/>
    <w:rsid w:val="00DF0526"/>
    <w:rsid w:val="00DF05F8"/>
    <w:rsid w:val="00DF1CAD"/>
    <w:rsid w:val="00DF1E3F"/>
    <w:rsid w:val="00DF26EE"/>
    <w:rsid w:val="00DF270A"/>
    <w:rsid w:val="00DF29C4"/>
    <w:rsid w:val="00DF37A0"/>
    <w:rsid w:val="00DF3A7F"/>
    <w:rsid w:val="00DF3D4C"/>
    <w:rsid w:val="00DF4A54"/>
    <w:rsid w:val="00DF4A76"/>
    <w:rsid w:val="00DF4B7A"/>
    <w:rsid w:val="00DF4B84"/>
    <w:rsid w:val="00DF5797"/>
    <w:rsid w:val="00DF5EB6"/>
    <w:rsid w:val="00DF729C"/>
    <w:rsid w:val="00DF773B"/>
    <w:rsid w:val="00DF7789"/>
    <w:rsid w:val="00DF7CB9"/>
    <w:rsid w:val="00E0083E"/>
    <w:rsid w:val="00E00A8E"/>
    <w:rsid w:val="00E00B88"/>
    <w:rsid w:val="00E0105F"/>
    <w:rsid w:val="00E0137E"/>
    <w:rsid w:val="00E020C4"/>
    <w:rsid w:val="00E029AC"/>
    <w:rsid w:val="00E02C20"/>
    <w:rsid w:val="00E03349"/>
    <w:rsid w:val="00E03C4A"/>
    <w:rsid w:val="00E03E5D"/>
    <w:rsid w:val="00E0412F"/>
    <w:rsid w:val="00E041BE"/>
    <w:rsid w:val="00E04387"/>
    <w:rsid w:val="00E04428"/>
    <w:rsid w:val="00E045B4"/>
    <w:rsid w:val="00E0466B"/>
    <w:rsid w:val="00E04908"/>
    <w:rsid w:val="00E05398"/>
    <w:rsid w:val="00E0590E"/>
    <w:rsid w:val="00E061F8"/>
    <w:rsid w:val="00E0636C"/>
    <w:rsid w:val="00E0676E"/>
    <w:rsid w:val="00E06B29"/>
    <w:rsid w:val="00E06D03"/>
    <w:rsid w:val="00E0717A"/>
    <w:rsid w:val="00E077C7"/>
    <w:rsid w:val="00E114A2"/>
    <w:rsid w:val="00E11593"/>
    <w:rsid w:val="00E1164F"/>
    <w:rsid w:val="00E13598"/>
    <w:rsid w:val="00E13D54"/>
    <w:rsid w:val="00E14820"/>
    <w:rsid w:val="00E149D8"/>
    <w:rsid w:val="00E14DAF"/>
    <w:rsid w:val="00E1522B"/>
    <w:rsid w:val="00E15474"/>
    <w:rsid w:val="00E15831"/>
    <w:rsid w:val="00E16532"/>
    <w:rsid w:val="00E165B6"/>
    <w:rsid w:val="00E17153"/>
    <w:rsid w:val="00E2069A"/>
    <w:rsid w:val="00E2173A"/>
    <w:rsid w:val="00E218DD"/>
    <w:rsid w:val="00E2204D"/>
    <w:rsid w:val="00E2205C"/>
    <w:rsid w:val="00E22B2D"/>
    <w:rsid w:val="00E23730"/>
    <w:rsid w:val="00E2434D"/>
    <w:rsid w:val="00E24696"/>
    <w:rsid w:val="00E24A8E"/>
    <w:rsid w:val="00E24AAD"/>
    <w:rsid w:val="00E24BF7"/>
    <w:rsid w:val="00E24CE3"/>
    <w:rsid w:val="00E24DCA"/>
    <w:rsid w:val="00E254C0"/>
    <w:rsid w:val="00E2575F"/>
    <w:rsid w:val="00E25EAE"/>
    <w:rsid w:val="00E2678A"/>
    <w:rsid w:val="00E26824"/>
    <w:rsid w:val="00E26BBD"/>
    <w:rsid w:val="00E270C2"/>
    <w:rsid w:val="00E27367"/>
    <w:rsid w:val="00E27449"/>
    <w:rsid w:val="00E276E2"/>
    <w:rsid w:val="00E30E4A"/>
    <w:rsid w:val="00E31B37"/>
    <w:rsid w:val="00E332DF"/>
    <w:rsid w:val="00E3342F"/>
    <w:rsid w:val="00E3484B"/>
    <w:rsid w:val="00E349BC"/>
    <w:rsid w:val="00E35228"/>
    <w:rsid w:val="00E3557C"/>
    <w:rsid w:val="00E35F9E"/>
    <w:rsid w:val="00E368FA"/>
    <w:rsid w:val="00E371BF"/>
    <w:rsid w:val="00E3736C"/>
    <w:rsid w:val="00E375F9"/>
    <w:rsid w:val="00E3778A"/>
    <w:rsid w:val="00E37BBC"/>
    <w:rsid w:val="00E401A6"/>
    <w:rsid w:val="00E40522"/>
    <w:rsid w:val="00E406EE"/>
    <w:rsid w:val="00E40CBD"/>
    <w:rsid w:val="00E40D1E"/>
    <w:rsid w:val="00E41855"/>
    <w:rsid w:val="00E41BE8"/>
    <w:rsid w:val="00E42122"/>
    <w:rsid w:val="00E42B07"/>
    <w:rsid w:val="00E42FDE"/>
    <w:rsid w:val="00E4313D"/>
    <w:rsid w:val="00E43C55"/>
    <w:rsid w:val="00E445E0"/>
    <w:rsid w:val="00E448C6"/>
    <w:rsid w:val="00E44AE2"/>
    <w:rsid w:val="00E468BF"/>
    <w:rsid w:val="00E46C40"/>
    <w:rsid w:val="00E46DA8"/>
    <w:rsid w:val="00E46ED6"/>
    <w:rsid w:val="00E46FEB"/>
    <w:rsid w:val="00E47E81"/>
    <w:rsid w:val="00E50659"/>
    <w:rsid w:val="00E50D64"/>
    <w:rsid w:val="00E50EBC"/>
    <w:rsid w:val="00E51B7E"/>
    <w:rsid w:val="00E51C31"/>
    <w:rsid w:val="00E51EFA"/>
    <w:rsid w:val="00E530C0"/>
    <w:rsid w:val="00E53947"/>
    <w:rsid w:val="00E53AB9"/>
    <w:rsid w:val="00E54739"/>
    <w:rsid w:val="00E54C22"/>
    <w:rsid w:val="00E55337"/>
    <w:rsid w:val="00E55B7A"/>
    <w:rsid w:val="00E56061"/>
    <w:rsid w:val="00E56253"/>
    <w:rsid w:val="00E565B9"/>
    <w:rsid w:val="00E57965"/>
    <w:rsid w:val="00E57DE7"/>
    <w:rsid w:val="00E602D3"/>
    <w:rsid w:val="00E6138E"/>
    <w:rsid w:val="00E61AC7"/>
    <w:rsid w:val="00E62F23"/>
    <w:rsid w:val="00E637D8"/>
    <w:rsid w:val="00E641F6"/>
    <w:rsid w:val="00E64D75"/>
    <w:rsid w:val="00E64EDA"/>
    <w:rsid w:val="00E667DB"/>
    <w:rsid w:val="00E6687F"/>
    <w:rsid w:val="00E66ADA"/>
    <w:rsid w:val="00E66DEC"/>
    <w:rsid w:val="00E6706A"/>
    <w:rsid w:val="00E67159"/>
    <w:rsid w:val="00E67CB4"/>
    <w:rsid w:val="00E70158"/>
    <w:rsid w:val="00E706E0"/>
    <w:rsid w:val="00E7096E"/>
    <w:rsid w:val="00E70D85"/>
    <w:rsid w:val="00E7117B"/>
    <w:rsid w:val="00E71647"/>
    <w:rsid w:val="00E71FAA"/>
    <w:rsid w:val="00E722C7"/>
    <w:rsid w:val="00E72543"/>
    <w:rsid w:val="00E73381"/>
    <w:rsid w:val="00E737B1"/>
    <w:rsid w:val="00E7382C"/>
    <w:rsid w:val="00E74580"/>
    <w:rsid w:val="00E7490C"/>
    <w:rsid w:val="00E749F7"/>
    <w:rsid w:val="00E74BC0"/>
    <w:rsid w:val="00E74BEE"/>
    <w:rsid w:val="00E74CAC"/>
    <w:rsid w:val="00E76B09"/>
    <w:rsid w:val="00E76D32"/>
    <w:rsid w:val="00E76E08"/>
    <w:rsid w:val="00E773A1"/>
    <w:rsid w:val="00E802F0"/>
    <w:rsid w:val="00E80554"/>
    <w:rsid w:val="00E8103A"/>
    <w:rsid w:val="00E820D1"/>
    <w:rsid w:val="00E83FF9"/>
    <w:rsid w:val="00E84045"/>
    <w:rsid w:val="00E84A3E"/>
    <w:rsid w:val="00E85904"/>
    <w:rsid w:val="00E85A77"/>
    <w:rsid w:val="00E85BAA"/>
    <w:rsid w:val="00E860A6"/>
    <w:rsid w:val="00E876CA"/>
    <w:rsid w:val="00E903DF"/>
    <w:rsid w:val="00E90E82"/>
    <w:rsid w:val="00E918D7"/>
    <w:rsid w:val="00E91950"/>
    <w:rsid w:val="00E91A5B"/>
    <w:rsid w:val="00E939BA"/>
    <w:rsid w:val="00E93A75"/>
    <w:rsid w:val="00E93B75"/>
    <w:rsid w:val="00E943EA"/>
    <w:rsid w:val="00E947EF"/>
    <w:rsid w:val="00E950D3"/>
    <w:rsid w:val="00E9554C"/>
    <w:rsid w:val="00E95F7F"/>
    <w:rsid w:val="00E96C2B"/>
    <w:rsid w:val="00E96F23"/>
    <w:rsid w:val="00E96F76"/>
    <w:rsid w:val="00E97A41"/>
    <w:rsid w:val="00E97D0B"/>
    <w:rsid w:val="00E97E54"/>
    <w:rsid w:val="00EA0356"/>
    <w:rsid w:val="00EA0E4E"/>
    <w:rsid w:val="00EA22FC"/>
    <w:rsid w:val="00EA2A53"/>
    <w:rsid w:val="00EA2A93"/>
    <w:rsid w:val="00EA2ED1"/>
    <w:rsid w:val="00EA39AD"/>
    <w:rsid w:val="00EA4494"/>
    <w:rsid w:val="00EA5A7B"/>
    <w:rsid w:val="00EA5EDF"/>
    <w:rsid w:val="00EA61B5"/>
    <w:rsid w:val="00EA6237"/>
    <w:rsid w:val="00EA6E45"/>
    <w:rsid w:val="00EA77F8"/>
    <w:rsid w:val="00EB0146"/>
    <w:rsid w:val="00EB14FB"/>
    <w:rsid w:val="00EB1BBC"/>
    <w:rsid w:val="00EB3007"/>
    <w:rsid w:val="00EB4389"/>
    <w:rsid w:val="00EB4885"/>
    <w:rsid w:val="00EB5447"/>
    <w:rsid w:val="00EB5602"/>
    <w:rsid w:val="00EB5CEE"/>
    <w:rsid w:val="00EB64A1"/>
    <w:rsid w:val="00EB65B4"/>
    <w:rsid w:val="00EB666D"/>
    <w:rsid w:val="00EB6C2D"/>
    <w:rsid w:val="00EB7631"/>
    <w:rsid w:val="00EB7C37"/>
    <w:rsid w:val="00EB7F81"/>
    <w:rsid w:val="00EC0170"/>
    <w:rsid w:val="00EC03C0"/>
    <w:rsid w:val="00EC098B"/>
    <w:rsid w:val="00EC0A83"/>
    <w:rsid w:val="00EC0BD9"/>
    <w:rsid w:val="00EC1912"/>
    <w:rsid w:val="00EC24B7"/>
    <w:rsid w:val="00EC2641"/>
    <w:rsid w:val="00EC2D86"/>
    <w:rsid w:val="00EC2ED1"/>
    <w:rsid w:val="00EC3057"/>
    <w:rsid w:val="00EC5178"/>
    <w:rsid w:val="00EC5416"/>
    <w:rsid w:val="00EC5443"/>
    <w:rsid w:val="00EC5486"/>
    <w:rsid w:val="00EC5D9D"/>
    <w:rsid w:val="00EC6394"/>
    <w:rsid w:val="00EC6878"/>
    <w:rsid w:val="00EC6922"/>
    <w:rsid w:val="00EC6A20"/>
    <w:rsid w:val="00EC6F1B"/>
    <w:rsid w:val="00EC7F4C"/>
    <w:rsid w:val="00ED05C1"/>
    <w:rsid w:val="00ED0DA2"/>
    <w:rsid w:val="00ED10C8"/>
    <w:rsid w:val="00ED1CCE"/>
    <w:rsid w:val="00ED20F6"/>
    <w:rsid w:val="00ED22A5"/>
    <w:rsid w:val="00ED266B"/>
    <w:rsid w:val="00ED33D9"/>
    <w:rsid w:val="00ED3AC4"/>
    <w:rsid w:val="00ED3AE2"/>
    <w:rsid w:val="00ED3CD6"/>
    <w:rsid w:val="00ED40D9"/>
    <w:rsid w:val="00ED4A0D"/>
    <w:rsid w:val="00ED5B70"/>
    <w:rsid w:val="00ED5D3B"/>
    <w:rsid w:val="00ED777F"/>
    <w:rsid w:val="00ED78B4"/>
    <w:rsid w:val="00ED7EC1"/>
    <w:rsid w:val="00EE1229"/>
    <w:rsid w:val="00EE193A"/>
    <w:rsid w:val="00EE1988"/>
    <w:rsid w:val="00EE1C46"/>
    <w:rsid w:val="00EE1C8D"/>
    <w:rsid w:val="00EE26AC"/>
    <w:rsid w:val="00EE42FE"/>
    <w:rsid w:val="00EE46A9"/>
    <w:rsid w:val="00EE65BE"/>
    <w:rsid w:val="00EE6B42"/>
    <w:rsid w:val="00EE7D27"/>
    <w:rsid w:val="00EE7EB7"/>
    <w:rsid w:val="00EF11FD"/>
    <w:rsid w:val="00EF2A08"/>
    <w:rsid w:val="00EF2D02"/>
    <w:rsid w:val="00EF3085"/>
    <w:rsid w:val="00EF35D1"/>
    <w:rsid w:val="00EF3C47"/>
    <w:rsid w:val="00EF3CA1"/>
    <w:rsid w:val="00EF4497"/>
    <w:rsid w:val="00EF44D4"/>
    <w:rsid w:val="00EF4DE7"/>
    <w:rsid w:val="00EF52A3"/>
    <w:rsid w:val="00EF5B6C"/>
    <w:rsid w:val="00EF5D33"/>
    <w:rsid w:val="00EF6D7B"/>
    <w:rsid w:val="00EF7B45"/>
    <w:rsid w:val="00F018C4"/>
    <w:rsid w:val="00F02E73"/>
    <w:rsid w:val="00F033C1"/>
    <w:rsid w:val="00F03BB6"/>
    <w:rsid w:val="00F03CFD"/>
    <w:rsid w:val="00F03D77"/>
    <w:rsid w:val="00F0407A"/>
    <w:rsid w:val="00F04938"/>
    <w:rsid w:val="00F04A62"/>
    <w:rsid w:val="00F04F05"/>
    <w:rsid w:val="00F050E5"/>
    <w:rsid w:val="00F105C9"/>
    <w:rsid w:val="00F10EDA"/>
    <w:rsid w:val="00F10F5F"/>
    <w:rsid w:val="00F110BC"/>
    <w:rsid w:val="00F115D1"/>
    <w:rsid w:val="00F11AC6"/>
    <w:rsid w:val="00F12242"/>
    <w:rsid w:val="00F1226D"/>
    <w:rsid w:val="00F13457"/>
    <w:rsid w:val="00F1428D"/>
    <w:rsid w:val="00F14B45"/>
    <w:rsid w:val="00F15345"/>
    <w:rsid w:val="00F155C6"/>
    <w:rsid w:val="00F159B9"/>
    <w:rsid w:val="00F1605E"/>
    <w:rsid w:val="00F16609"/>
    <w:rsid w:val="00F1680F"/>
    <w:rsid w:val="00F209F5"/>
    <w:rsid w:val="00F20D7C"/>
    <w:rsid w:val="00F214E0"/>
    <w:rsid w:val="00F21EC6"/>
    <w:rsid w:val="00F2278F"/>
    <w:rsid w:val="00F23099"/>
    <w:rsid w:val="00F2410F"/>
    <w:rsid w:val="00F251B2"/>
    <w:rsid w:val="00F25245"/>
    <w:rsid w:val="00F25805"/>
    <w:rsid w:val="00F25927"/>
    <w:rsid w:val="00F25B6D"/>
    <w:rsid w:val="00F26A9B"/>
    <w:rsid w:val="00F27509"/>
    <w:rsid w:val="00F27AFB"/>
    <w:rsid w:val="00F30BF0"/>
    <w:rsid w:val="00F3171A"/>
    <w:rsid w:val="00F335CA"/>
    <w:rsid w:val="00F33EF2"/>
    <w:rsid w:val="00F34B77"/>
    <w:rsid w:val="00F35AC4"/>
    <w:rsid w:val="00F35CB9"/>
    <w:rsid w:val="00F35F30"/>
    <w:rsid w:val="00F364E7"/>
    <w:rsid w:val="00F37F7F"/>
    <w:rsid w:val="00F40D3F"/>
    <w:rsid w:val="00F4141E"/>
    <w:rsid w:val="00F42721"/>
    <w:rsid w:val="00F42956"/>
    <w:rsid w:val="00F42C69"/>
    <w:rsid w:val="00F4352C"/>
    <w:rsid w:val="00F44170"/>
    <w:rsid w:val="00F4461C"/>
    <w:rsid w:val="00F44ACF"/>
    <w:rsid w:val="00F4555F"/>
    <w:rsid w:val="00F457CD"/>
    <w:rsid w:val="00F46B77"/>
    <w:rsid w:val="00F4744C"/>
    <w:rsid w:val="00F47637"/>
    <w:rsid w:val="00F47816"/>
    <w:rsid w:val="00F478A2"/>
    <w:rsid w:val="00F507B9"/>
    <w:rsid w:val="00F50BA7"/>
    <w:rsid w:val="00F515FA"/>
    <w:rsid w:val="00F519E1"/>
    <w:rsid w:val="00F51D89"/>
    <w:rsid w:val="00F52BAA"/>
    <w:rsid w:val="00F53CE7"/>
    <w:rsid w:val="00F53F7B"/>
    <w:rsid w:val="00F54A0F"/>
    <w:rsid w:val="00F54F0B"/>
    <w:rsid w:val="00F553C8"/>
    <w:rsid w:val="00F55450"/>
    <w:rsid w:val="00F55A11"/>
    <w:rsid w:val="00F55BDF"/>
    <w:rsid w:val="00F55C42"/>
    <w:rsid w:val="00F57729"/>
    <w:rsid w:val="00F60B8D"/>
    <w:rsid w:val="00F60FC9"/>
    <w:rsid w:val="00F611A3"/>
    <w:rsid w:val="00F61AE3"/>
    <w:rsid w:val="00F61B88"/>
    <w:rsid w:val="00F62211"/>
    <w:rsid w:val="00F622BC"/>
    <w:rsid w:val="00F62EB4"/>
    <w:rsid w:val="00F63A19"/>
    <w:rsid w:val="00F64053"/>
    <w:rsid w:val="00F648EB"/>
    <w:rsid w:val="00F64F34"/>
    <w:rsid w:val="00F654D7"/>
    <w:rsid w:val="00F665E4"/>
    <w:rsid w:val="00F66B44"/>
    <w:rsid w:val="00F670E8"/>
    <w:rsid w:val="00F672AF"/>
    <w:rsid w:val="00F67A6B"/>
    <w:rsid w:val="00F67CDB"/>
    <w:rsid w:val="00F70095"/>
    <w:rsid w:val="00F7025D"/>
    <w:rsid w:val="00F708C3"/>
    <w:rsid w:val="00F70D71"/>
    <w:rsid w:val="00F70F73"/>
    <w:rsid w:val="00F715F3"/>
    <w:rsid w:val="00F724CA"/>
    <w:rsid w:val="00F72952"/>
    <w:rsid w:val="00F72E5A"/>
    <w:rsid w:val="00F73061"/>
    <w:rsid w:val="00F73640"/>
    <w:rsid w:val="00F74F50"/>
    <w:rsid w:val="00F7508A"/>
    <w:rsid w:val="00F754D2"/>
    <w:rsid w:val="00F75ACE"/>
    <w:rsid w:val="00F75C05"/>
    <w:rsid w:val="00F76C96"/>
    <w:rsid w:val="00F76E22"/>
    <w:rsid w:val="00F772E5"/>
    <w:rsid w:val="00F77AB1"/>
    <w:rsid w:val="00F800FD"/>
    <w:rsid w:val="00F80D7C"/>
    <w:rsid w:val="00F81078"/>
    <w:rsid w:val="00F81BE0"/>
    <w:rsid w:val="00F82D3D"/>
    <w:rsid w:val="00F83A3D"/>
    <w:rsid w:val="00F83C23"/>
    <w:rsid w:val="00F84CA1"/>
    <w:rsid w:val="00F85328"/>
    <w:rsid w:val="00F854D6"/>
    <w:rsid w:val="00F86305"/>
    <w:rsid w:val="00F86904"/>
    <w:rsid w:val="00F86E8E"/>
    <w:rsid w:val="00F87CB7"/>
    <w:rsid w:val="00F907A0"/>
    <w:rsid w:val="00F90E1E"/>
    <w:rsid w:val="00F9139B"/>
    <w:rsid w:val="00F93040"/>
    <w:rsid w:val="00F9319E"/>
    <w:rsid w:val="00F93234"/>
    <w:rsid w:val="00F933F1"/>
    <w:rsid w:val="00F939CD"/>
    <w:rsid w:val="00F94116"/>
    <w:rsid w:val="00F947EE"/>
    <w:rsid w:val="00F96054"/>
    <w:rsid w:val="00F961C7"/>
    <w:rsid w:val="00F9629E"/>
    <w:rsid w:val="00F96774"/>
    <w:rsid w:val="00F96AB4"/>
    <w:rsid w:val="00F96D50"/>
    <w:rsid w:val="00F9749A"/>
    <w:rsid w:val="00F97C82"/>
    <w:rsid w:val="00FA110C"/>
    <w:rsid w:val="00FA1ADC"/>
    <w:rsid w:val="00FA1AFE"/>
    <w:rsid w:val="00FA21CE"/>
    <w:rsid w:val="00FA25D6"/>
    <w:rsid w:val="00FA2861"/>
    <w:rsid w:val="00FA2940"/>
    <w:rsid w:val="00FA2BC0"/>
    <w:rsid w:val="00FA30D8"/>
    <w:rsid w:val="00FA39B1"/>
    <w:rsid w:val="00FA3FE5"/>
    <w:rsid w:val="00FA4780"/>
    <w:rsid w:val="00FA4FA8"/>
    <w:rsid w:val="00FA5946"/>
    <w:rsid w:val="00FA63DE"/>
    <w:rsid w:val="00FA6C66"/>
    <w:rsid w:val="00FA789C"/>
    <w:rsid w:val="00FA7EB3"/>
    <w:rsid w:val="00FB024A"/>
    <w:rsid w:val="00FB1B23"/>
    <w:rsid w:val="00FB1B9F"/>
    <w:rsid w:val="00FB3B43"/>
    <w:rsid w:val="00FB3D2D"/>
    <w:rsid w:val="00FB505B"/>
    <w:rsid w:val="00FB5291"/>
    <w:rsid w:val="00FB6156"/>
    <w:rsid w:val="00FB6206"/>
    <w:rsid w:val="00FB6A1B"/>
    <w:rsid w:val="00FB7834"/>
    <w:rsid w:val="00FB7854"/>
    <w:rsid w:val="00FB791C"/>
    <w:rsid w:val="00FC07A0"/>
    <w:rsid w:val="00FC1201"/>
    <w:rsid w:val="00FC13CE"/>
    <w:rsid w:val="00FC1A3F"/>
    <w:rsid w:val="00FC1A82"/>
    <w:rsid w:val="00FC210B"/>
    <w:rsid w:val="00FC2503"/>
    <w:rsid w:val="00FC2510"/>
    <w:rsid w:val="00FC2762"/>
    <w:rsid w:val="00FC2D71"/>
    <w:rsid w:val="00FC31BE"/>
    <w:rsid w:val="00FC32B2"/>
    <w:rsid w:val="00FC34AF"/>
    <w:rsid w:val="00FC35B3"/>
    <w:rsid w:val="00FC35B9"/>
    <w:rsid w:val="00FC3BE5"/>
    <w:rsid w:val="00FC46D5"/>
    <w:rsid w:val="00FC4C18"/>
    <w:rsid w:val="00FC527C"/>
    <w:rsid w:val="00FC57A6"/>
    <w:rsid w:val="00FC57EE"/>
    <w:rsid w:val="00FC586E"/>
    <w:rsid w:val="00FC61D0"/>
    <w:rsid w:val="00FC6F2D"/>
    <w:rsid w:val="00FD0BEC"/>
    <w:rsid w:val="00FD180B"/>
    <w:rsid w:val="00FD4133"/>
    <w:rsid w:val="00FD453E"/>
    <w:rsid w:val="00FD4902"/>
    <w:rsid w:val="00FD5235"/>
    <w:rsid w:val="00FD550A"/>
    <w:rsid w:val="00FD6058"/>
    <w:rsid w:val="00FD6196"/>
    <w:rsid w:val="00FD6A68"/>
    <w:rsid w:val="00FD6D2C"/>
    <w:rsid w:val="00FD70E2"/>
    <w:rsid w:val="00FD73D6"/>
    <w:rsid w:val="00FD74BA"/>
    <w:rsid w:val="00FD7B19"/>
    <w:rsid w:val="00FD7BB7"/>
    <w:rsid w:val="00FE069F"/>
    <w:rsid w:val="00FE0AB6"/>
    <w:rsid w:val="00FE22D2"/>
    <w:rsid w:val="00FE2454"/>
    <w:rsid w:val="00FE2B1C"/>
    <w:rsid w:val="00FE2B7D"/>
    <w:rsid w:val="00FE3833"/>
    <w:rsid w:val="00FE597F"/>
    <w:rsid w:val="00FE5A10"/>
    <w:rsid w:val="00FE6C3B"/>
    <w:rsid w:val="00FE7179"/>
    <w:rsid w:val="00FE7327"/>
    <w:rsid w:val="00FE7B64"/>
    <w:rsid w:val="00FE7B77"/>
    <w:rsid w:val="00FE7C7E"/>
    <w:rsid w:val="00FF01BF"/>
    <w:rsid w:val="00FF0AAC"/>
    <w:rsid w:val="00FF108A"/>
    <w:rsid w:val="00FF1739"/>
    <w:rsid w:val="00FF1864"/>
    <w:rsid w:val="00FF19D6"/>
    <w:rsid w:val="00FF2577"/>
    <w:rsid w:val="00FF29BB"/>
    <w:rsid w:val="00FF2C19"/>
    <w:rsid w:val="00FF37F9"/>
    <w:rsid w:val="00FF3BF7"/>
    <w:rsid w:val="00FF4DD0"/>
    <w:rsid w:val="00FF5143"/>
    <w:rsid w:val="00FF5DBA"/>
    <w:rsid w:val="00FF6015"/>
    <w:rsid w:val="00FF64CB"/>
    <w:rsid w:val="00FF6A41"/>
    <w:rsid w:val="00FF6EA7"/>
    <w:rsid w:val="00FF7243"/>
    <w:rsid w:val="00FF7E96"/>
    <w:rsid w:val="00FF7E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1009"/>
    <o:shapelayout v:ext="edit">
      <o:idmap v:ext="edit" data="1"/>
    </o:shapelayout>
  </w:shapeDefaults>
  <w:decimalSymbol w:val="."/>
  <w:listSeparator w:val=","/>
  <w14:docId w14:val="6463FA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54EA"/>
    <w:pPr>
      <w:suppressAutoHyphens/>
      <w:jc w:val="both"/>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paragraph" w:styleId="Heading7">
    <w:name w:val="heading 7"/>
    <w:basedOn w:val="Normal"/>
    <w:next w:val="Normal"/>
    <w:link w:val="Heading7Char"/>
    <w:uiPriority w:val="9"/>
    <w:unhideWhenUsed/>
    <w:qFormat/>
    <w:rsid w:val="00DC2601"/>
    <w:pPr>
      <w:keepNext/>
      <w:keepLines/>
      <w:spacing w:before="40" w:after="0"/>
      <w:outlineLvl w:val="6"/>
    </w:pPr>
    <w:rPr>
      <w:rFonts w:asciiTheme="majorHAnsi" w:eastAsiaTheme="majorEastAsia" w:hAnsiTheme="majorHAnsi" w:cstheme="majorBidi"/>
      <w:i/>
      <w:iCs/>
      <w:color w:val="040E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link w:val="NoSpacingChar"/>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BF1444"/>
    <w:pPr>
      <w:numPr>
        <w:numId w:val="1"/>
      </w:numPr>
      <w:spacing w:before="80"/>
    </w:pPr>
    <w:rPr>
      <w:lang w:val="x-none"/>
    </w:rPr>
  </w:style>
  <w:style w:type="paragraph" w:customStyle="1" w:styleId="Bullet2">
    <w:name w:val="Bullet 2"/>
    <w:basedOn w:val="Bullet1"/>
    <w:uiPriority w:val="3"/>
    <w:qFormat/>
    <w:rsid w:val="00CF6CFD"/>
    <w:pPr>
      <w:numPr>
        <w:ilvl w:val="1"/>
        <w:numId w:val="0"/>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221B18"/>
    <w:pPr>
      <w:pBdr>
        <w:top w:val="single" w:sz="4" w:space="14" w:color="008089" w:themeColor="accent2"/>
        <w:left w:val="single" w:sz="4" w:space="14" w:color="008089" w:themeColor="accent2"/>
        <w:bottom w:val="single" w:sz="4" w:space="14" w:color="008089" w:themeColor="accent2"/>
        <w:right w:val="single" w:sz="4" w:space="14" w:color="008089" w:themeColor="accent2"/>
      </w:pBdr>
      <w:shd w:val="clear" w:color="auto" w:fill="D7E5FA" w:themeFill="text2" w:themeFillTint="1A"/>
      <w:ind w:left="284" w:right="284"/>
    </w:pPr>
    <w:rPr>
      <w:lang w:val="x-none"/>
    </w:rPr>
  </w:style>
  <w:style w:type="paragraph" w:customStyle="1" w:styleId="Box1Heading">
    <w:name w:val="Box 1 Heading"/>
    <w:basedOn w:val="Box1Text"/>
    <w:uiPriority w:val="23"/>
    <w:qFormat/>
    <w:rsid w:val="00221B18"/>
    <w:pPr>
      <w:shd w:val="clear" w:color="auto" w:fill="D7E5FA" w:themeFill="accent1" w:themeFillTint="1A"/>
    </w:pPr>
    <w:rPr>
      <w:b/>
    </w:rPr>
  </w:style>
  <w:style w:type="paragraph" w:customStyle="1" w:styleId="Box1Bullet1">
    <w:name w:val="Box 1 Bullet 1"/>
    <w:basedOn w:val="Box1Text"/>
    <w:uiPriority w:val="24"/>
    <w:qFormat/>
    <w:rsid w:val="00313A5B"/>
    <w:pPr>
      <w:numPr>
        <w:numId w:val="9"/>
      </w:numPr>
      <w:spacing w:before="80"/>
    </w:pPr>
    <w:rPr>
      <w:kern w:val="12"/>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F661C"/>
    <w:pPr>
      <w:numPr>
        <w:numId w:val="11"/>
      </w:numPr>
      <w:spacing w:before="80"/>
      <w:ind w:left="284" w:firstLine="0"/>
    </w:pPr>
    <w:rPr>
      <w:kern w:val="12"/>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D9636F"/>
    <w:pPr>
      <w:numPr>
        <w:numId w:val="5"/>
      </w:numPr>
      <w:spacing w:before="0"/>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C26AB4"/>
    <w:pPr>
      <w:keepLines/>
      <w:tabs>
        <w:tab w:val="left" w:pos="1134"/>
        <w:tab w:val="right" w:leader="dot" w:pos="9854"/>
      </w:tabs>
      <w:spacing w:before="80"/>
      <w:ind w:left="1134"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0"/>
      </w:numPr>
    </w:pPr>
    <w:rPr>
      <w:kern w:val="12"/>
      <w:sz w:val="20"/>
      <w:szCs w:val="20"/>
    </w:rPr>
  </w:style>
  <w:style w:type="numbering" w:customStyle="1" w:styleId="BoxedBullets">
    <w:name w:val="Boxed Bullets"/>
    <w:uiPriority w:val="99"/>
    <w:rsid w:val="009D7CCE"/>
    <w:pPr>
      <w:numPr>
        <w:numId w:val="10"/>
      </w:numPr>
    </w:pPr>
  </w:style>
  <w:style w:type="character" w:styleId="FollowedHyperlink">
    <w:name w:val="FollowedHyperlink"/>
    <w:basedOn w:val="DefaultParagraphFont"/>
    <w:uiPriority w:val="99"/>
    <w:semiHidden/>
    <w:unhideWhenUsed/>
    <w:rsid w:val="00C369D9"/>
    <w:rPr>
      <w:color w:val="0046FF" w:themeColor="followedHyperlink"/>
      <w:u w:val="single"/>
    </w:rPr>
  </w:style>
  <w:style w:type="paragraph" w:customStyle="1" w:styleId="Todo">
    <w:name w:val="To do"/>
    <w:basedOn w:val="Normal"/>
    <w:qFormat/>
    <w:rsid w:val="00C369D9"/>
    <w:pPr>
      <w:shd w:val="clear" w:color="auto" w:fill="FFFF00"/>
    </w:pPr>
  </w:style>
  <w:style w:type="paragraph" w:customStyle="1" w:styleId="EPPsectionheading">
    <w:name w:val="EPP section heading"/>
    <w:basedOn w:val="Normal"/>
    <w:next w:val="Normal"/>
    <w:link w:val="EPPsectionheadingChar"/>
    <w:autoRedefine/>
    <w:qFormat/>
    <w:rsid w:val="00FC57A6"/>
    <w:pPr>
      <w:keepNext/>
      <w:suppressAutoHyphens w:val="0"/>
      <w:spacing w:before="120" w:after="120"/>
    </w:pPr>
    <w:rPr>
      <w:rFonts w:ascii="Calibri" w:eastAsia="Calibri" w:hAnsi="Calibri" w:cs="Times New Roman"/>
      <w:b/>
      <w:color w:val="087379"/>
    </w:rPr>
  </w:style>
  <w:style w:type="character" w:customStyle="1" w:styleId="EPPsectionheadingChar">
    <w:name w:val="EPP section heading Char"/>
    <w:basedOn w:val="DefaultParagraphFont"/>
    <w:link w:val="EPPsectionheading"/>
    <w:rsid w:val="00FC57A6"/>
    <w:rPr>
      <w:rFonts w:ascii="Calibri" w:eastAsia="Calibri" w:hAnsi="Calibri" w:cs="Times New Roman"/>
      <w:b/>
      <w:color w:val="087379"/>
    </w:rPr>
  </w:style>
  <w:style w:type="table" w:styleId="PlainTable1">
    <w:name w:val="Plain Table 1"/>
    <w:basedOn w:val="TableNormal"/>
    <w:uiPriority w:val="41"/>
    <w:rsid w:val="00FC57A6"/>
    <w:pPr>
      <w:spacing w:before="0" w:after="0"/>
    </w:pPr>
    <w:rPr>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C57A6"/>
    <w:pPr>
      <w:spacing w:after="0" w:line="288" w:lineRule="auto"/>
    </w:pPr>
    <w:rPr>
      <w:rFonts w:ascii="Helvetica Neue" w:eastAsia="Arial Unicode MS" w:hAnsi="Helvetica Neue" w:cs="Arial Unicode MS"/>
      <w:color w:val="000000"/>
      <w:sz w:val="24"/>
      <w:szCs w:val="24"/>
      <w:lang w:val="en-US" w:eastAsia="en-AU"/>
      <w14:textOutline w14:w="0" w14:cap="flat" w14:cmpd="sng" w14:algn="ctr">
        <w14:noFill/>
        <w14:prstDash w14:val="solid"/>
        <w14:bevel/>
      </w14:textOutline>
    </w:rPr>
  </w:style>
  <w:style w:type="paragraph" w:styleId="ListParagraph">
    <w:name w:val="List Paragraph"/>
    <w:aliases w:val="Bulleted Para,CAB - List Bullet,CV text,Dot pt,F5 List Paragraph,FooterText,L,List Paragraph1,List Paragraph11,List Paragraph111,List Paragraph2,Medium Grid 1 - Accent 21,NFP GP Bulleted List,Recommendation,Table text,numbered,列出段落,列出段落1"/>
    <w:basedOn w:val="Normal"/>
    <w:link w:val="ListParagraphChar"/>
    <w:uiPriority w:val="34"/>
    <w:qFormat/>
    <w:rsid w:val="001C3019"/>
    <w:pPr>
      <w:suppressAutoHyphens w:val="0"/>
      <w:spacing w:before="0" w:after="120"/>
      <w:ind w:left="720"/>
      <w:contextualSpacing/>
    </w:pPr>
    <w:rPr>
      <w:color w:val="auto"/>
    </w:rPr>
  </w:style>
  <w:style w:type="paragraph" w:customStyle="1" w:styleId="EPPfiguresource">
    <w:name w:val="EPP figure source"/>
    <w:basedOn w:val="Normal"/>
    <w:link w:val="EPPfiguresourceChar"/>
    <w:qFormat/>
    <w:rsid w:val="001C3019"/>
    <w:pPr>
      <w:suppressAutoHyphens w:val="0"/>
      <w:spacing w:before="0" w:after="240"/>
      <w:ind w:left="720" w:hanging="720"/>
    </w:pPr>
    <w:rPr>
      <w:color w:val="auto"/>
      <w:sz w:val="16"/>
    </w:rPr>
  </w:style>
  <w:style w:type="character" w:customStyle="1" w:styleId="EPPfiguresourceChar">
    <w:name w:val="EPP figure source Char"/>
    <w:basedOn w:val="DefaultParagraphFont"/>
    <w:link w:val="EPPfiguresource"/>
    <w:rsid w:val="001C3019"/>
    <w:rPr>
      <w:color w:val="auto"/>
      <w:sz w:val="16"/>
    </w:rPr>
  </w:style>
  <w:style w:type="character" w:styleId="CommentReference">
    <w:name w:val="annotation reference"/>
    <w:basedOn w:val="DefaultParagraphFont"/>
    <w:uiPriority w:val="99"/>
    <w:semiHidden/>
    <w:unhideWhenUsed/>
    <w:rsid w:val="001C3019"/>
    <w:rPr>
      <w:sz w:val="16"/>
      <w:szCs w:val="16"/>
    </w:rPr>
  </w:style>
  <w:style w:type="paragraph" w:styleId="CommentText">
    <w:name w:val="annotation text"/>
    <w:basedOn w:val="Normal"/>
    <w:link w:val="CommentTextChar"/>
    <w:uiPriority w:val="99"/>
    <w:unhideWhenUsed/>
    <w:rsid w:val="00DA54B5"/>
    <w:pPr>
      <w:suppressAutoHyphens w:val="0"/>
      <w:spacing w:before="0" w:after="120"/>
    </w:pPr>
    <w:rPr>
      <w:color w:val="auto"/>
      <w:sz w:val="20"/>
      <w:szCs w:val="20"/>
    </w:rPr>
  </w:style>
  <w:style w:type="character" w:customStyle="1" w:styleId="CommentTextChar">
    <w:name w:val="Comment Text Char"/>
    <w:basedOn w:val="DefaultParagraphFont"/>
    <w:link w:val="CommentText"/>
    <w:uiPriority w:val="99"/>
    <w:rsid w:val="001C3019"/>
    <w:rPr>
      <w:color w:val="auto"/>
      <w:sz w:val="20"/>
      <w:szCs w:val="20"/>
    </w:rPr>
  </w:style>
  <w:style w:type="character" w:customStyle="1" w:styleId="ListParagraphChar">
    <w:name w:val="List Paragraph Char"/>
    <w:aliases w:val="Bulleted Para Char,CAB - List Bullet Char,CV text Char,Dot pt Char,F5 List Paragraph Char,FooterText Char,L Char,List Paragraph1 Char,List Paragraph11 Char,List Paragraph111 Char,List Paragraph2 Char,Medium Grid 1 - Accent 21 Char"/>
    <w:basedOn w:val="DefaultParagraphFont"/>
    <w:link w:val="ListParagraph"/>
    <w:uiPriority w:val="34"/>
    <w:qFormat/>
    <w:rsid w:val="001C3019"/>
    <w:rPr>
      <w:color w:val="auto"/>
    </w:rPr>
  </w:style>
  <w:style w:type="paragraph" w:customStyle="1" w:styleId="EPPfigureheading">
    <w:name w:val="EPP figure heading"/>
    <w:basedOn w:val="Normal"/>
    <w:next w:val="Normal"/>
    <w:link w:val="EPPfigureheadingChar"/>
    <w:autoRedefine/>
    <w:qFormat/>
    <w:rsid w:val="001C3019"/>
    <w:pPr>
      <w:keepNext/>
      <w:suppressAutoHyphens w:val="0"/>
      <w:spacing w:before="240" w:after="60"/>
    </w:pPr>
    <w:rPr>
      <w:rFonts w:ascii="Calibri" w:eastAsia="Calibri" w:hAnsi="Calibri" w:cs="Times New Roman"/>
      <w:b/>
      <w:color w:val="auto"/>
      <w:szCs w:val="20"/>
      <w:lang w:eastAsia="en-AU"/>
    </w:rPr>
  </w:style>
  <w:style w:type="character" w:customStyle="1" w:styleId="EPPfigureheadingChar">
    <w:name w:val="EPP figure heading Char"/>
    <w:basedOn w:val="DefaultParagraphFont"/>
    <w:link w:val="EPPfigureheading"/>
    <w:rsid w:val="001C3019"/>
    <w:rPr>
      <w:rFonts w:ascii="Calibri" w:eastAsia="Calibri" w:hAnsi="Calibri" w:cs="Times New Roman"/>
      <w:b/>
      <w:color w:val="auto"/>
      <w:szCs w:val="20"/>
      <w:lang w:eastAsia="en-AU"/>
    </w:rPr>
  </w:style>
  <w:style w:type="paragraph" w:styleId="BalloonText">
    <w:name w:val="Balloon Text"/>
    <w:basedOn w:val="Normal"/>
    <w:link w:val="BalloonTextChar"/>
    <w:uiPriority w:val="99"/>
    <w:semiHidden/>
    <w:unhideWhenUsed/>
    <w:rsid w:val="001C301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01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C3019"/>
    <w:pPr>
      <w:suppressAutoHyphens/>
      <w:spacing w:before="160" w:after="80"/>
      <w:jc w:val="left"/>
    </w:pPr>
    <w:rPr>
      <w:b/>
      <w:bCs/>
      <w:color w:val="000000" w:themeColor="text1"/>
    </w:rPr>
  </w:style>
  <w:style w:type="character" w:customStyle="1" w:styleId="CommentSubjectChar">
    <w:name w:val="Comment Subject Char"/>
    <w:basedOn w:val="CommentTextChar"/>
    <w:link w:val="CommentSubject"/>
    <w:uiPriority w:val="99"/>
    <w:semiHidden/>
    <w:rsid w:val="001C3019"/>
    <w:rPr>
      <w:b/>
      <w:bCs/>
      <w:color w:val="auto"/>
      <w:sz w:val="20"/>
      <w:szCs w:val="20"/>
    </w:rPr>
  </w:style>
  <w:style w:type="paragraph" w:customStyle="1" w:styleId="Body">
    <w:name w:val="Body"/>
    <w:rsid w:val="00F654D7"/>
    <w:pPr>
      <w:spacing w:before="0" w:after="0"/>
    </w:pPr>
    <w:rPr>
      <w:rFonts w:ascii="Helvetica Neue" w:eastAsia="Arial Unicode MS" w:hAnsi="Helvetica Neue" w:cs="Arial Unicode MS"/>
      <w:color w:val="000000"/>
      <w:lang w:eastAsia="en-AU"/>
      <w14:textOutline w14:w="0" w14:cap="flat" w14:cmpd="sng" w14:algn="ctr">
        <w14:noFill/>
        <w14:prstDash w14:val="solid"/>
        <w14:bevel/>
      </w14:textOutline>
    </w:rPr>
  </w:style>
  <w:style w:type="paragraph" w:customStyle="1" w:styleId="gmail-li2">
    <w:name w:val="gmail-li2"/>
    <w:basedOn w:val="Normal"/>
    <w:rsid w:val="00AB5E9B"/>
    <w:pPr>
      <w:suppressAutoHyphens w:val="0"/>
      <w:spacing w:before="100" w:beforeAutospacing="1" w:after="100" w:afterAutospacing="1"/>
    </w:pPr>
    <w:rPr>
      <w:rFonts w:ascii="Calibri" w:hAnsi="Calibri" w:cs="Calibri"/>
      <w:color w:val="auto"/>
      <w:lang w:eastAsia="en-AU"/>
    </w:rPr>
  </w:style>
  <w:style w:type="table" w:customStyle="1" w:styleId="PlainTable21">
    <w:name w:val="Plain Table 21"/>
    <w:basedOn w:val="TableNormal"/>
    <w:next w:val="PlainTable2"/>
    <w:uiPriority w:val="42"/>
    <w:rsid w:val="00B258E4"/>
    <w:pPr>
      <w:spacing w:before="0" w:after="0"/>
    </w:pPr>
    <w:rPr>
      <w:rFonts w:ascii="Calibri" w:eastAsia="Calibri" w:hAnsi="Calibri" w:cs="Times New Roman"/>
      <w:color w:val="auto"/>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B258E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A">
    <w:name w:val="Body A"/>
    <w:rsid w:val="00546912"/>
    <w:pPr>
      <w:pBdr>
        <w:top w:val="nil"/>
        <w:left w:val="nil"/>
        <w:bottom w:val="nil"/>
        <w:right w:val="nil"/>
        <w:between w:val="nil"/>
        <w:bar w:val="nil"/>
      </w:pBdr>
      <w:spacing w:before="0" w:after="120"/>
      <w:jc w:val="both"/>
    </w:pPr>
    <w:rPr>
      <w:rFonts w:ascii="Calibri" w:eastAsia="Calibri" w:hAnsi="Calibri" w:cs="Calibri"/>
      <w:color w:val="000000"/>
      <w:u w:color="000000"/>
      <w:bdr w:val="nil"/>
      <w:lang w:val="en-US" w:eastAsia="en-AU"/>
      <w14:textOutline w14:w="12700" w14:cap="flat" w14:cmpd="sng" w14:algn="ctr">
        <w14:noFill/>
        <w14:prstDash w14:val="solid"/>
        <w14:miter w14:lim="400000"/>
      </w14:textOutline>
    </w:rPr>
  </w:style>
  <w:style w:type="table" w:customStyle="1" w:styleId="TableGridLight1">
    <w:name w:val="Table Grid Light1"/>
    <w:basedOn w:val="TableNormal"/>
    <w:next w:val="TableGridLight"/>
    <w:uiPriority w:val="40"/>
    <w:rsid w:val="00546912"/>
    <w:pPr>
      <w:spacing w:before="0" w:after="0"/>
    </w:pPr>
    <w:rPr>
      <w:rFonts w:ascii="Calibri" w:eastAsia="Calibri" w:hAnsi="Calibri" w:cs="Times New Roman"/>
      <w:color w:val="aut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54691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957B74"/>
    <w:rPr>
      <w:i/>
      <w:iCs/>
      <w:color w:val="404040" w:themeColor="text1" w:themeTint="BF"/>
    </w:rPr>
  </w:style>
  <w:style w:type="table" w:customStyle="1" w:styleId="PlainTable11">
    <w:name w:val="Plain Table 11"/>
    <w:basedOn w:val="TableNormal"/>
    <w:next w:val="PlainTable1"/>
    <w:uiPriority w:val="41"/>
    <w:rsid w:val="00957B74"/>
    <w:pPr>
      <w:spacing w:before="0" w:after="0"/>
    </w:pPr>
    <w:rPr>
      <w:color w:val="aut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PPsectionsubheading">
    <w:name w:val="EPP section subheading"/>
    <w:basedOn w:val="EPPsectionheading"/>
    <w:next w:val="Normal"/>
    <w:link w:val="EPPsectionsubheadingChar"/>
    <w:autoRedefine/>
    <w:qFormat/>
    <w:rsid w:val="00E045B4"/>
    <w:pPr>
      <w:jc w:val="left"/>
    </w:pPr>
    <w:rPr>
      <w:b w:val="0"/>
      <w:i/>
    </w:rPr>
  </w:style>
  <w:style w:type="character" w:customStyle="1" w:styleId="EPPsectionsubheadingChar">
    <w:name w:val="EPP section subheading Char"/>
    <w:basedOn w:val="EPPsectionheadingChar"/>
    <w:link w:val="EPPsectionsubheading"/>
    <w:rsid w:val="00E045B4"/>
    <w:rPr>
      <w:rFonts w:ascii="Calibri" w:eastAsia="Calibri" w:hAnsi="Calibri" w:cs="Times New Roman"/>
      <w:b w:val="0"/>
      <w:i/>
      <w:color w:val="087379"/>
    </w:rPr>
  </w:style>
  <w:style w:type="table" w:styleId="ListTable3-Accent1">
    <w:name w:val="List Table 3 Accent 1"/>
    <w:basedOn w:val="TableNormal"/>
    <w:uiPriority w:val="48"/>
    <w:rsid w:val="00542F7D"/>
    <w:pPr>
      <w:spacing w:before="0" w:after="0"/>
    </w:pPr>
    <w:rPr>
      <w:color w:val="auto"/>
    </w:rPr>
    <w:tblPr>
      <w:tblStyleRowBandSize w:val="1"/>
      <w:tblStyleColBandSize w:val="1"/>
      <w:tblBorders>
        <w:top w:val="single" w:sz="4" w:space="0" w:color="081E3E" w:themeColor="accent1"/>
        <w:left w:val="single" w:sz="4" w:space="0" w:color="081E3E" w:themeColor="accent1"/>
        <w:bottom w:val="single" w:sz="4" w:space="0" w:color="081E3E" w:themeColor="accent1"/>
        <w:right w:val="single" w:sz="4" w:space="0" w:color="081E3E" w:themeColor="accent1"/>
      </w:tblBorders>
    </w:tblPr>
    <w:tblStylePr w:type="firstRow">
      <w:rPr>
        <w:b/>
        <w:bCs/>
        <w:color w:val="FFFFFF" w:themeColor="background1"/>
      </w:rPr>
      <w:tblPr/>
      <w:tcPr>
        <w:shd w:val="clear" w:color="auto" w:fill="081E3E" w:themeFill="accent1"/>
      </w:tcPr>
    </w:tblStylePr>
    <w:tblStylePr w:type="lastRow">
      <w:rPr>
        <w:b/>
        <w:bCs/>
      </w:rPr>
      <w:tblPr/>
      <w:tcPr>
        <w:tcBorders>
          <w:top w:val="double" w:sz="4" w:space="0" w:color="081E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1E3E" w:themeColor="accent1"/>
          <w:right w:val="single" w:sz="4" w:space="0" w:color="081E3E" w:themeColor="accent1"/>
        </w:tcBorders>
      </w:tcPr>
    </w:tblStylePr>
    <w:tblStylePr w:type="band1Horz">
      <w:tblPr/>
      <w:tcPr>
        <w:tcBorders>
          <w:top w:val="single" w:sz="4" w:space="0" w:color="081E3E" w:themeColor="accent1"/>
          <w:bottom w:val="single" w:sz="4" w:space="0" w:color="081E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1E3E" w:themeColor="accent1"/>
          <w:left w:val="nil"/>
        </w:tcBorders>
      </w:tcPr>
    </w:tblStylePr>
    <w:tblStylePr w:type="swCell">
      <w:tblPr/>
      <w:tcPr>
        <w:tcBorders>
          <w:top w:val="double" w:sz="4" w:space="0" w:color="081E3E" w:themeColor="accent1"/>
          <w:right w:val="nil"/>
        </w:tcBorders>
      </w:tcPr>
    </w:tblStylePr>
  </w:style>
  <w:style w:type="character" w:customStyle="1" w:styleId="normaltextrun">
    <w:name w:val="normaltextrun"/>
    <w:basedOn w:val="DefaultParagraphFont"/>
    <w:rsid w:val="00DF3D4C"/>
  </w:style>
  <w:style w:type="character" w:customStyle="1" w:styleId="eop">
    <w:name w:val="eop"/>
    <w:basedOn w:val="DefaultParagraphFont"/>
    <w:rsid w:val="00DF3D4C"/>
  </w:style>
  <w:style w:type="character" w:styleId="UnresolvedMention">
    <w:name w:val="Unresolved Mention"/>
    <w:basedOn w:val="DefaultParagraphFont"/>
    <w:uiPriority w:val="99"/>
    <w:semiHidden/>
    <w:unhideWhenUsed/>
    <w:rsid w:val="00EA6237"/>
    <w:rPr>
      <w:color w:val="605E5C"/>
      <w:shd w:val="clear" w:color="auto" w:fill="E1DFDD"/>
    </w:rPr>
  </w:style>
  <w:style w:type="character" w:customStyle="1" w:styleId="Heading7Char">
    <w:name w:val="Heading 7 Char"/>
    <w:basedOn w:val="DefaultParagraphFont"/>
    <w:link w:val="Heading7"/>
    <w:uiPriority w:val="9"/>
    <w:rsid w:val="00DC2601"/>
    <w:rPr>
      <w:rFonts w:asciiTheme="majorHAnsi" w:eastAsiaTheme="majorEastAsia" w:hAnsiTheme="majorHAnsi" w:cstheme="majorBidi"/>
      <w:i/>
      <w:iCs/>
      <w:color w:val="040E1E" w:themeColor="accent1" w:themeShade="7F"/>
    </w:rPr>
  </w:style>
  <w:style w:type="paragraph" w:styleId="NormalWeb">
    <w:name w:val="Normal (Web)"/>
    <w:basedOn w:val="Normal"/>
    <w:uiPriority w:val="99"/>
    <w:unhideWhenUsed/>
    <w:rsid w:val="006B4B8C"/>
    <w:pPr>
      <w:suppressAutoHyphens w:val="0"/>
      <w:spacing w:before="100" w:beforeAutospacing="1" w:after="100" w:afterAutospacing="1"/>
      <w:jc w:val="left"/>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9533A4"/>
    <w:pPr>
      <w:spacing w:before="0" w:after="0"/>
    </w:pPr>
  </w:style>
  <w:style w:type="character" w:styleId="Strong">
    <w:name w:val="Strong"/>
    <w:basedOn w:val="DefaultParagraphFont"/>
    <w:uiPriority w:val="22"/>
    <w:qFormat/>
    <w:rsid w:val="007D6AC5"/>
    <w:rPr>
      <w:b/>
      <w:bCs/>
    </w:rPr>
  </w:style>
  <w:style w:type="character" w:customStyle="1" w:styleId="UnresolvedMention1">
    <w:name w:val="Unresolved Mention1"/>
    <w:basedOn w:val="DefaultParagraphFont"/>
    <w:uiPriority w:val="99"/>
    <w:semiHidden/>
    <w:unhideWhenUsed/>
    <w:rsid w:val="00D615BA"/>
    <w:rPr>
      <w:color w:val="605E5C"/>
      <w:shd w:val="clear" w:color="auto" w:fill="E1DFDD"/>
    </w:rPr>
  </w:style>
  <w:style w:type="paragraph" w:styleId="EndnoteText">
    <w:name w:val="endnote text"/>
    <w:basedOn w:val="Normal"/>
    <w:link w:val="EndnoteTextChar"/>
    <w:uiPriority w:val="99"/>
    <w:semiHidden/>
    <w:unhideWhenUsed/>
    <w:rsid w:val="001745BC"/>
    <w:pPr>
      <w:spacing w:before="0" w:after="0"/>
    </w:pPr>
    <w:rPr>
      <w:sz w:val="20"/>
      <w:szCs w:val="20"/>
    </w:rPr>
  </w:style>
  <w:style w:type="character" w:customStyle="1" w:styleId="EndnoteTextChar">
    <w:name w:val="Endnote Text Char"/>
    <w:basedOn w:val="DefaultParagraphFont"/>
    <w:link w:val="EndnoteText"/>
    <w:uiPriority w:val="99"/>
    <w:semiHidden/>
    <w:rsid w:val="001745BC"/>
    <w:rPr>
      <w:sz w:val="20"/>
      <w:szCs w:val="20"/>
    </w:rPr>
  </w:style>
  <w:style w:type="character" w:styleId="EndnoteReference">
    <w:name w:val="endnote reference"/>
    <w:basedOn w:val="DefaultParagraphFont"/>
    <w:uiPriority w:val="99"/>
    <w:semiHidden/>
    <w:unhideWhenUsed/>
    <w:rsid w:val="001745BC"/>
    <w:rPr>
      <w:vertAlign w:val="superscript"/>
    </w:rPr>
  </w:style>
  <w:style w:type="paragraph" w:customStyle="1" w:styleId="BoswellMediaHeader">
    <w:name w:val="BoswellMediaHeader"/>
    <w:rsid w:val="0050263C"/>
    <w:pPr>
      <w:spacing w:before="0" w:after="0"/>
      <w:jc w:val="right"/>
    </w:pPr>
    <w:rPr>
      <w:rFonts w:ascii="Arial" w:eastAsia="Times New Roman" w:hAnsi="Arial" w:cs="Times New Roman"/>
      <w:noProof/>
      <w:color w:val="auto"/>
      <w:sz w:val="23"/>
      <w:szCs w:val="20"/>
      <w:lang w:eastAsia="en-AU"/>
    </w:rPr>
  </w:style>
  <w:style w:type="table" w:customStyle="1" w:styleId="DefaultTable11">
    <w:name w:val="Default Table 11"/>
    <w:basedOn w:val="TableNormal"/>
    <w:uiPriority w:val="99"/>
    <w:rsid w:val="00DA5E7C"/>
    <w:pPr>
      <w:spacing w:before="80"/>
    </w:pPr>
    <w:rPr>
      <w:color w:val="000000"/>
    </w:rPr>
    <w:tblPr>
      <w:tblStyleRowBandSize w:val="1"/>
      <w:tblStyleColBandSize w:val="1"/>
      <w:tblBorders>
        <w:top w:val="single" w:sz="4" w:space="0" w:color="008089"/>
        <w:bottom w:val="single" w:sz="4" w:space="0" w:color="008089"/>
        <w:insideH w:val="single" w:sz="4" w:space="0" w:color="008089"/>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character" w:styleId="Emphasis">
    <w:name w:val="Emphasis"/>
    <w:basedOn w:val="DefaultParagraphFont"/>
    <w:uiPriority w:val="20"/>
    <w:qFormat/>
    <w:rsid w:val="00DE23B6"/>
    <w:rPr>
      <w:i/>
      <w:iCs/>
    </w:rPr>
  </w:style>
  <w:style w:type="character" w:customStyle="1" w:styleId="NoSpacingChar">
    <w:name w:val="No Spacing Char"/>
    <w:basedOn w:val="DefaultParagraphFont"/>
    <w:link w:val="NoSpacing"/>
    <w:uiPriority w:val="1"/>
    <w:rsid w:val="00B257D1"/>
    <w:rPr>
      <w:kern w:val="12"/>
    </w:rPr>
  </w:style>
  <w:style w:type="paragraph" w:customStyle="1" w:styleId="Box3Text">
    <w:name w:val="Box 3 Text"/>
    <w:basedOn w:val="Normal"/>
    <w:uiPriority w:val="23"/>
    <w:qFormat/>
    <w:rsid w:val="00F947EE"/>
    <w:pPr>
      <w:pBdr>
        <w:top w:val="single" w:sz="4" w:space="14" w:color="008089" w:themeColor="accent2"/>
        <w:left w:val="single" w:sz="4" w:space="14" w:color="008089" w:themeColor="accent2"/>
        <w:bottom w:val="single" w:sz="4" w:space="14" w:color="008089" w:themeColor="accent2"/>
        <w:right w:val="single" w:sz="4" w:space="14" w:color="008089" w:themeColor="accent2"/>
      </w:pBdr>
      <w:shd w:val="clear" w:color="auto" w:fill="E2F2EA" w:themeFill="accent6" w:themeFillTint="33"/>
      <w:ind w:left="284" w:right="284"/>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067">
      <w:bodyDiv w:val="1"/>
      <w:marLeft w:val="0"/>
      <w:marRight w:val="0"/>
      <w:marTop w:val="0"/>
      <w:marBottom w:val="0"/>
      <w:divBdr>
        <w:top w:val="none" w:sz="0" w:space="0" w:color="auto"/>
        <w:left w:val="none" w:sz="0" w:space="0" w:color="auto"/>
        <w:bottom w:val="none" w:sz="0" w:space="0" w:color="auto"/>
        <w:right w:val="none" w:sz="0" w:space="0" w:color="auto"/>
      </w:divBdr>
    </w:div>
    <w:div w:id="6056389">
      <w:bodyDiv w:val="1"/>
      <w:marLeft w:val="0"/>
      <w:marRight w:val="0"/>
      <w:marTop w:val="0"/>
      <w:marBottom w:val="0"/>
      <w:divBdr>
        <w:top w:val="none" w:sz="0" w:space="0" w:color="auto"/>
        <w:left w:val="none" w:sz="0" w:space="0" w:color="auto"/>
        <w:bottom w:val="none" w:sz="0" w:space="0" w:color="auto"/>
        <w:right w:val="none" w:sz="0" w:space="0" w:color="auto"/>
      </w:divBdr>
    </w:div>
    <w:div w:id="27801946">
      <w:bodyDiv w:val="1"/>
      <w:marLeft w:val="0"/>
      <w:marRight w:val="0"/>
      <w:marTop w:val="0"/>
      <w:marBottom w:val="0"/>
      <w:divBdr>
        <w:top w:val="none" w:sz="0" w:space="0" w:color="auto"/>
        <w:left w:val="none" w:sz="0" w:space="0" w:color="auto"/>
        <w:bottom w:val="none" w:sz="0" w:space="0" w:color="auto"/>
        <w:right w:val="none" w:sz="0" w:space="0" w:color="auto"/>
      </w:divBdr>
    </w:div>
    <w:div w:id="51319684">
      <w:bodyDiv w:val="1"/>
      <w:marLeft w:val="0"/>
      <w:marRight w:val="0"/>
      <w:marTop w:val="0"/>
      <w:marBottom w:val="0"/>
      <w:divBdr>
        <w:top w:val="none" w:sz="0" w:space="0" w:color="auto"/>
        <w:left w:val="none" w:sz="0" w:space="0" w:color="auto"/>
        <w:bottom w:val="none" w:sz="0" w:space="0" w:color="auto"/>
        <w:right w:val="none" w:sz="0" w:space="0" w:color="auto"/>
      </w:divBdr>
    </w:div>
    <w:div w:id="78335741">
      <w:bodyDiv w:val="1"/>
      <w:marLeft w:val="0"/>
      <w:marRight w:val="0"/>
      <w:marTop w:val="0"/>
      <w:marBottom w:val="0"/>
      <w:divBdr>
        <w:top w:val="none" w:sz="0" w:space="0" w:color="auto"/>
        <w:left w:val="none" w:sz="0" w:space="0" w:color="auto"/>
        <w:bottom w:val="none" w:sz="0" w:space="0" w:color="auto"/>
        <w:right w:val="none" w:sz="0" w:space="0" w:color="auto"/>
      </w:divBdr>
    </w:div>
    <w:div w:id="91626780">
      <w:bodyDiv w:val="1"/>
      <w:marLeft w:val="0"/>
      <w:marRight w:val="0"/>
      <w:marTop w:val="0"/>
      <w:marBottom w:val="0"/>
      <w:divBdr>
        <w:top w:val="none" w:sz="0" w:space="0" w:color="auto"/>
        <w:left w:val="none" w:sz="0" w:space="0" w:color="auto"/>
        <w:bottom w:val="none" w:sz="0" w:space="0" w:color="auto"/>
        <w:right w:val="none" w:sz="0" w:space="0" w:color="auto"/>
      </w:divBdr>
    </w:div>
    <w:div w:id="93939545">
      <w:bodyDiv w:val="1"/>
      <w:marLeft w:val="0"/>
      <w:marRight w:val="0"/>
      <w:marTop w:val="0"/>
      <w:marBottom w:val="0"/>
      <w:divBdr>
        <w:top w:val="none" w:sz="0" w:space="0" w:color="auto"/>
        <w:left w:val="none" w:sz="0" w:space="0" w:color="auto"/>
        <w:bottom w:val="none" w:sz="0" w:space="0" w:color="auto"/>
        <w:right w:val="none" w:sz="0" w:space="0" w:color="auto"/>
      </w:divBdr>
    </w:div>
    <w:div w:id="142281108">
      <w:bodyDiv w:val="1"/>
      <w:marLeft w:val="0"/>
      <w:marRight w:val="0"/>
      <w:marTop w:val="0"/>
      <w:marBottom w:val="0"/>
      <w:divBdr>
        <w:top w:val="none" w:sz="0" w:space="0" w:color="auto"/>
        <w:left w:val="none" w:sz="0" w:space="0" w:color="auto"/>
        <w:bottom w:val="none" w:sz="0" w:space="0" w:color="auto"/>
        <w:right w:val="none" w:sz="0" w:space="0" w:color="auto"/>
      </w:divBdr>
    </w:div>
    <w:div w:id="142740169">
      <w:bodyDiv w:val="1"/>
      <w:marLeft w:val="0"/>
      <w:marRight w:val="0"/>
      <w:marTop w:val="0"/>
      <w:marBottom w:val="0"/>
      <w:divBdr>
        <w:top w:val="none" w:sz="0" w:space="0" w:color="auto"/>
        <w:left w:val="none" w:sz="0" w:space="0" w:color="auto"/>
        <w:bottom w:val="none" w:sz="0" w:space="0" w:color="auto"/>
        <w:right w:val="none" w:sz="0" w:space="0" w:color="auto"/>
      </w:divBdr>
    </w:div>
    <w:div w:id="147485026">
      <w:bodyDiv w:val="1"/>
      <w:marLeft w:val="0"/>
      <w:marRight w:val="0"/>
      <w:marTop w:val="0"/>
      <w:marBottom w:val="0"/>
      <w:divBdr>
        <w:top w:val="none" w:sz="0" w:space="0" w:color="auto"/>
        <w:left w:val="none" w:sz="0" w:space="0" w:color="auto"/>
        <w:bottom w:val="none" w:sz="0" w:space="0" w:color="auto"/>
        <w:right w:val="none" w:sz="0" w:space="0" w:color="auto"/>
      </w:divBdr>
    </w:div>
    <w:div w:id="163712024">
      <w:bodyDiv w:val="1"/>
      <w:marLeft w:val="0"/>
      <w:marRight w:val="0"/>
      <w:marTop w:val="0"/>
      <w:marBottom w:val="0"/>
      <w:divBdr>
        <w:top w:val="none" w:sz="0" w:space="0" w:color="auto"/>
        <w:left w:val="none" w:sz="0" w:space="0" w:color="auto"/>
        <w:bottom w:val="none" w:sz="0" w:space="0" w:color="auto"/>
        <w:right w:val="none" w:sz="0" w:space="0" w:color="auto"/>
      </w:divBdr>
    </w:div>
    <w:div w:id="164251275">
      <w:bodyDiv w:val="1"/>
      <w:marLeft w:val="0"/>
      <w:marRight w:val="0"/>
      <w:marTop w:val="0"/>
      <w:marBottom w:val="0"/>
      <w:divBdr>
        <w:top w:val="none" w:sz="0" w:space="0" w:color="auto"/>
        <w:left w:val="none" w:sz="0" w:space="0" w:color="auto"/>
        <w:bottom w:val="none" w:sz="0" w:space="0" w:color="auto"/>
        <w:right w:val="none" w:sz="0" w:space="0" w:color="auto"/>
      </w:divBdr>
    </w:div>
    <w:div w:id="164322074">
      <w:bodyDiv w:val="1"/>
      <w:marLeft w:val="0"/>
      <w:marRight w:val="0"/>
      <w:marTop w:val="0"/>
      <w:marBottom w:val="0"/>
      <w:divBdr>
        <w:top w:val="none" w:sz="0" w:space="0" w:color="auto"/>
        <w:left w:val="none" w:sz="0" w:space="0" w:color="auto"/>
        <w:bottom w:val="none" w:sz="0" w:space="0" w:color="auto"/>
        <w:right w:val="none" w:sz="0" w:space="0" w:color="auto"/>
      </w:divBdr>
    </w:div>
    <w:div w:id="164327908">
      <w:bodyDiv w:val="1"/>
      <w:marLeft w:val="0"/>
      <w:marRight w:val="0"/>
      <w:marTop w:val="0"/>
      <w:marBottom w:val="0"/>
      <w:divBdr>
        <w:top w:val="none" w:sz="0" w:space="0" w:color="auto"/>
        <w:left w:val="none" w:sz="0" w:space="0" w:color="auto"/>
        <w:bottom w:val="none" w:sz="0" w:space="0" w:color="auto"/>
        <w:right w:val="none" w:sz="0" w:space="0" w:color="auto"/>
      </w:divBdr>
    </w:div>
    <w:div w:id="176697348">
      <w:bodyDiv w:val="1"/>
      <w:marLeft w:val="0"/>
      <w:marRight w:val="0"/>
      <w:marTop w:val="0"/>
      <w:marBottom w:val="0"/>
      <w:divBdr>
        <w:top w:val="none" w:sz="0" w:space="0" w:color="auto"/>
        <w:left w:val="none" w:sz="0" w:space="0" w:color="auto"/>
        <w:bottom w:val="none" w:sz="0" w:space="0" w:color="auto"/>
        <w:right w:val="none" w:sz="0" w:space="0" w:color="auto"/>
      </w:divBdr>
    </w:div>
    <w:div w:id="179509028">
      <w:bodyDiv w:val="1"/>
      <w:marLeft w:val="0"/>
      <w:marRight w:val="0"/>
      <w:marTop w:val="0"/>
      <w:marBottom w:val="0"/>
      <w:divBdr>
        <w:top w:val="none" w:sz="0" w:space="0" w:color="auto"/>
        <w:left w:val="none" w:sz="0" w:space="0" w:color="auto"/>
        <w:bottom w:val="none" w:sz="0" w:space="0" w:color="auto"/>
        <w:right w:val="none" w:sz="0" w:space="0" w:color="auto"/>
      </w:divBdr>
    </w:div>
    <w:div w:id="180434885">
      <w:bodyDiv w:val="1"/>
      <w:marLeft w:val="0"/>
      <w:marRight w:val="0"/>
      <w:marTop w:val="0"/>
      <w:marBottom w:val="0"/>
      <w:divBdr>
        <w:top w:val="none" w:sz="0" w:space="0" w:color="auto"/>
        <w:left w:val="none" w:sz="0" w:space="0" w:color="auto"/>
        <w:bottom w:val="none" w:sz="0" w:space="0" w:color="auto"/>
        <w:right w:val="none" w:sz="0" w:space="0" w:color="auto"/>
      </w:divBdr>
    </w:div>
    <w:div w:id="183714880">
      <w:bodyDiv w:val="1"/>
      <w:marLeft w:val="0"/>
      <w:marRight w:val="0"/>
      <w:marTop w:val="0"/>
      <w:marBottom w:val="0"/>
      <w:divBdr>
        <w:top w:val="none" w:sz="0" w:space="0" w:color="auto"/>
        <w:left w:val="none" w:sz="0" w:space="0" w:color="auto"/>
        <w:bottom w:val="none" w:sz="0" w:space="0" w:color="auto"/>
        <w:right w:val="none" w:sz="0" w:space="0" w:color="auto"/>
      </w:divBdr>
    </w:div>
    <w:div w:id="185296927">
      <w:bodyDiv w:val="1"/>
      <w:marLeft w:val="0"/>
      <w:marRight w:val="0"/>
      <w:marTop w:val="0"/>
      <w:marBottom w:val="0"/>
      <w:divBdr>
        <w:top w:val="none" w:sz="0" w:space="0" w:color="auto"/>
        <w:left w:val="none" w:sz="0" w:space="0" w:color="auto"/>
        <w:bottom w:val="none" w:sz="0" w:space="0" w:color="auto"/>
        <w:right w:val="none" w:sz="0" w:space="0" w:color="auto"/>
      </w:divBdr>
    </w:div>
    <w:div w:id="193733000">
      <w:bodyDiv w:val="1"/>
      <w:marLeft w:val="0"/>
      <w:marRight w:val="0"/>
      <w:marTop w:val="0"/>
      <w:marBottom w:val="0"/>
      <w:divBdr>
        <w:top w:val="none" w:sz="0" w:space="0" w:color="auto"/>
        <w:left w:val="none" w:sz="0" w:space="0" w:color="auto"/>
        <w:bottom w:val="none" w:sz="0" w:space="0" w:color="auto"/>
        <w:right w:val="none" w:sz="0" w:space="0" w:color="auto"/>
      </w:divBdr>
    </w:div>
    <w:div w:id="225646593">
      <w:bodyDiv w:val="1"/>
      <w:marLeft w:val="0"/>
      <w:marRight w:val="0"/>
      <w:marTop w:val="0"/>
      <w:marBottom w:val="0"/>
      <w:divBdr>
        <w:top w:val="none" w:sz="0" w:space="0" w:color="auto"/>
        <w:left w:val="none" w:sz="0" w:space="0" w:color="auto"/>
        <w:bottom w:val="none" w:sz="0" w:space="0" w:color="auto"/>
        <w:right w:val="none" w:sz="0" w:space="0" w:color="auto"/>
      </w:divBdr>
    </w:div>
    <w:div w:id="240143338">
      <w:bodyDiv w:val="1"/>
      <w:marLeft w:val="0"/>
      <w:marRight w:val="0"/>
      <w:marTop w:val="0"/>
      <w:marBottom w:val="0"/>
      <w:divBdr>
        <w:top w:val="none" w:sz="0" w:space="0" w:color="auto"/>
        <w:left w:val="none" w:sz="0" w:space="0" w:color="auto"/>
        <w:bottom w:val="none" w:sz="0" w:space="0" w:color="auto"/>
        <w:right w:val="none" w:sz="0" w:space="0" w:color="auto"/>
      </w:divBdr>
    </w:div>
    <w:div w:id="242689901">
      <w:bodyDiv w:val="1"/>
      <w:marLeft w:val="0"/>
      <w:marRight w:val="0"/>
      <w:marTop w:val="0"/>
      <w:marBottom w:val="0"/>
      <w:divBdr>
        <w:top w:val="none" w:sz="0" w:space="0" w:color="auto"/>
        <w:left w:val="none" w:sz="0" w:space="0" w:color="auto"/>
        <w:bottom w:val="none" w:sz="0" w:space="0" w:color="auto"/>
        <w:right w:val="none" w:sz="0" w:space="0" w:color="auto"/>
      </w:divBdr>
    </w:div>
    <w:div w:id="281811804">
      <w:bodyDiv w:val="1"/>
      <w:marLeft w:val="0"/>
      <w:marRight w:val="0"/>
      <w:marTop w:val="0"/>
      <w:marBottom w:val="0"/>
      <w:divBdr>
        <w:top w:val="none" w:sz="0" w:space="0" w:color="auto"/>
        <w:left w:val="none" w:sz="0" w:space="0" w:color="auto"/>
        <w:bottom w:val="none" w:sz="0" w:space="0" w:color="auto"/>
        <w:right w:val="none" w:sz="0" w:space="0" w:color="auto"/>
      </w:divBdr>
    </w:div>
    <w:div w:id="317999020">
      <w:bodyDiv w:val="1"/>
      <w:marLeft w:val="0"/>
      <w:marRight w:val="0"/>
      <w:marTop w:val="0"/>
      <w:marBottom w:val="0"/>
      <w:divBdr>
        <w:top w:val="none" w:sz="0" w:space="0" w:color="auto"/>
        <w:left w:val="none" w:sz="0" w:space="0" w:color="auto"/>
        <w:bottom w:val="none" w:sz="0" w:space="0" w:color="auto"/>
        <w:right w:val="none" w:sz="0" w:space="0" w:color="auto"/>
      </w:divBdr>
    </w:div>
    <w:div w:id="322709458">
      <w:bodyDiv w:val="1"/>
      <w:marLeft w:val="0"/>
      <w:marRight w:val="0"/>
      <w:marTop w:val="0"/>
      <w:marBottom w:val="0"/>
      <w:divBdr>
        <w:top w:val="none" w:sz="0" w:space="0" w:color="auto"/>
        <w:left w:val="none" w:sz="0" w:space="0" w:color="auto"/>
        <w:bottom w:val="none" w:sz="0" w:space="0" w:color="auto"/>
        <w:right w:val="none" w:sz="0" w:space="0" w:color="auto"/>
      </w:divBdr>
    </w:div>
    <w:div w:id="329020284">
      <w:bodyDiv w:val="1"/>
      <w:marLeft w:val="0"/>
      <w:marRight w:val="0"/>
      <w:marTop w:val="0"/>
      <w:marBottom w:val="0"/>
      <w:divBdr>
        <w:top w:val="none" w:sz="0" w:space="0" w:color="auto"/>
        <w:left w:val="none" w:sz="0" w:space="0" w:color="auto"/>
        <w:bottom w:val="none" w:sz="0" w:space="0" w:color="auto"/>
        <w:right w:val="none" w:sz="0" w:space="0" w:color="auto"/>
      </w:divBdr>
    </w:div>
    <w:div w:id="340667345">
      <w:bodyDiv w:val="1"/>
      <w:marLeft w:val="0"/>
      <w:marRight w:val="0"/>
      <w:marTop w:val="0"/>
      <w:marBottom w:val="0"/>
      <w:divBdr>
        <w:top w:val="none" w:sz="0" w:space="0" w:color="auto"/>
        <w:left w:val="none" w:sz="0" w:space="0" w:color="auto"/>
        <w:bottom w:val="none" w:sz="0" w:space="0" w:color="auto"/>
        <w:right w:val="none" w:sz="0" w:space="0" w:color="auto"/>
      </w:divBdr>
    </w:div>
    <w:div w:id="369653505">
      <w:bodyDiv w:val="1"/>
      <w:marLeft w:val="0"/>
      <w:marRight w:val="0"/>
      <w:marTop w:val="0"/>
      <w:marBottom w:val="0"/>
      <w:divBdr>
        <w:top w:val="none" w:sz="0" w:space="0" w:color="auto"/>
        <w:left w:val="none" w:sz="0" w:space="0" w:color="auto"/>
        <w:bottom w:val="none" w:sz="0" w:space="0" w:color="auto"/>
        <w:right w:val="none" w:sz="0" w:space="0" w:color="auto"/>
      </w:divBdr>
    </w:div>
    <w:div w:id="379285310">
      <w:bodyDiv w:val="1"/>
      <w:marLeft w:val="0"/>
      <w:marRight w:val="0"/>
      <w:marTop w:val="0"/>
      <w:marBottom w:val="0"/>
      <w:divBdr>
        <w:top w:val="none" w:sz="0" w:space="0" w:color="auto"/>
        <w:left w:val="none" w:sz="0" w:space="0" w:color="auto"/>
        <w:bottom w:val="none" w:sz="0" w:space="0" w:color="auto"/>
        <w:right w:val="none" w:sz="0" w:space="0" w:color="auto"/>
      </w:divBdr>
    </w:div>
    <w:div w:id="381366665">
      <w:bodyDiv w:val="1"/>
      <w:marLeft w:val="0"/>
      <w:marRight w:val="0"/>
      <w:marTop w:val="0"/>
      <w:marBottom w:val="0"/>
      <w:divBdr>
        <w:top w:val="none" w:sz="0" w:space="0" w:color="auto"/>
        <w:left w:val="none" w:sz="0" w:space="0" w:color="auto"/>
        <w:bottom w:val="none" w:sz="0" w:space="0" w:color="auto"/>
        <w:right w:val="none" w:sz="0" w:space="0" w:color="auto"/>
      </w:divBdr>
    </w:div>
    <w:div w:id="384718575">
      <w:bodyDiv w:val="1"/>
      <w:marLeft w:val="0"/>
      <w:marRight w:val="0"/>
      <w:marTop w:val="0"/>
      <w:marBottom w:val="0"/>
      <w:divBdr>
        <w:top w:val="none" w:sz="0" w:space="0" w:color="auto"/>
        <w:left w:val="none" w:sz="0" w:space="0" w:color="auto"/>
        <w:bottom w:val="none" w:sz="0" w:space="0" w:color="auto"/>
        <w:right w:val="none" w:sz="0" w:space="0" w:color="auto"/>
      </w:divBdr>
    </w:div>
    <w:div w:id="391998732">
      <w:bodyDiv w:val="1"/>
      <w:marLeft w:val="0"/>
      <w:marRight w:val="0"/>
      <w:marTop w:val="0"/>
      <w:marBottom w:val="0"/>
      <w:divBdr>
        <w:top w:val="none" w:sz="0" w:space="0" w:color="auto"/>
        <w:left w:val="none" w:sz="0" w:space="0" w:color="auto"/>
        <w:bottom w:val="none" w:sz="0" w:space="0" w:color="auto"/>
        <w:right w:val="none" w:sz="0" w:space="0" w:color="auto"/>
      </w:divBdr>
    </w:div>
    <w:div w:id="395668976">
      <w:bodyDiv w:val="1"/>
      <w:marLeft w:val="0"/>
      <w:marRight w:val="0"/>
      <w:marTop w:val="0"/>
      <w:marBottom w:val="0"/>
      <w:divBdr>
        <w:top w:val="none" w:sz="0" w:space="0" w:color="auto"/>
        <w:left w:val="none" w:sz="0" w:space="0" w:color="auto"/>
        <w:bottom w:val="none" w:sz="0" w:space="0" w:color="auto"/>
        <w:right w:val="none" w:sz="0" w:space="0" w:color="auto"/>
      </w:divBdr>
    </w:div>
    <w:div w:id="414127737">
      <w:bodyDiv w:val="1"/>
      <w:marLeft w:val="0"/>
      <w:marRight w:val="0"/>
      <w:marTop w:val="0"/>
      <w:marBottom w:val="0"/>
      <w:divBdr>
        <w:top w:val="none" w:sz="0" w:space="0" w:color="auto"/>
        <w:left w:val="none" w:sz="0" w:space="0" w:color="auto"/>
        <w:bottom w:val="none" w:sz="0" w:space="0" w:color="auto"/>
        <w:right w:val="none" w:sz="0" w:space="0" w:color="auto"/>
      </w:divBdr>
    </w:div>
    <w:div w:id="416288767">
      <w:bodyDiv w:val="1"/>
      <w:marLeft w:val="0"/>
      <w:marRight w:val="0"/>
      <w:marTop w:val="0"/>
      <w:marBottom w:val="0"/>
      <w:divBdr>
        <w:top w:val="none" w:sz="0" w:space="0" w:color="auto"/>
        <w:left w:val="none" w:sz="0" w:space="0" w:color="auto"/>
        <w:bottom w:val="none" w:sz="0" w:space="0" w:color="auto"/>
        <w:right w:val="none" w:sz="0" w:space="0" w:color="auto"/>
      </w:divBdr>
    </w:div>
    <w:div w:id="417798197">
      <w:bodyDiv w:val="1"/>
      <w:marLeft w:val="0"/>
      <w:marRight w:val="0"/>
      <w:marTop w:val="0"/>
      <w:marBottom w:val="0"/>
      <w:divBdr>
        <w:top w:val="none" w:sz="0" w:space="0" w:color="auto"/>
        <w:left w:val="none" w:sz="0" w:space="0" w:color="auto"/>
        <w:bottom w:val="none" w:sz="0" w:space="0" w:color="auto"/>
        <w:right w:val="none" w:sz="0" w:space="0" w:color="auto"/>
      </w:divBdr>
    </w:div>
    <w:div w:id="425659807">
      <w:bodyDiv w:val="1"/>
      <w:marLeft w:val="0"/>
      <w:marRight w:val="0"/>
      <w:marTop w:val="0"/>
      <w:marBottom w:val="0"/>
      <w:divBdr>
        <w:top w:val="none" w:sz="0" w:space="0" w:color="auto"/>
        <w:left w:val="none" w:sz="0" w:space="0" w:color="auto"/>
        <w:bottom w:val="none" w:sz="0" w:space="0" w:color="auto"/>
        <w:right w:val="none" w:sz="0" w:space="0" w:color="auto"/>
      </w:divBdr>
    </w:div>
    <w:div w:id="454131515">
      <w:bodyDiv w:val="1"/>
      <w:marLeft w:val="0"/>
      <w:marRight w:val="0"/>
      <w:marTop w:val="0"/>
      <w:marBottom w:val="0"/>
      <w:divBdr>
        <w:top w:val="none" w:sz="0" w:space="0" w:color="auto"/>
        <w:left w:val="none" w:sz="0" w:space="0" w:color="auto"/>
        <w:bottom w:val="none" w:sz="0" w:space="0" w:color="auto"/>
        <w:right w:val="none" w:sz="0" w:space="0" w:color="auto"/>
      </w:divBdr>
    </w:div>
    <w:div w:id="462432430">
      <w:bodyDiv w:val="1"/>
      <w:marLeft w:val="0"/>
      <w:marRight w:val="0"/>
      <w:marTop w:val="0"/>
      <w:marBottom w:val="0"/>
      <w:divBdr>
        <w:top w:val="none" w:sz="0" w:space="0" w:color="auto"/>
        <w:left w:val="none" w:sz="0" w:space="0" w:color="auto"/>
        <w:bottom w:val="none" w:sz="0" w:space="0" w:color="auto"/>
        <w:right w:val="none" w:sz="0" w:space="0" w:color="auto"/>
      </w:divBdr>
    </w:div>
    <w:div w:id="477655167">
      <w:bodyDiv w:val="1"/>
      <w:marLeft w:val="0"/>
      <w:marRight w:val="0"/>
      <w:marTop w:val="0"/>
      <w:marBottom w:val="0"/>
      <w:divBdr>
        <w:top w:val="none" w:sz="0" w:space="0" w:color="auto"/>
        <w:left w:val="none" w:sz="0" w:space="0" w:color="auto"/>
        <w:bottom w:val="none" w:sz="0" w:space="0" w:color="auto"/>
        <w:right w:val="none" w:sz="0" w:space="0" w:color="auto"/>
      </w:divBdr>
    </w:div>
    <w:div w:id="487209377">
      <w:bodyDiv w:val="1"/>
      <w:marLeft w:val="0"/>
      <w:marRight w:val="0"/>
      <w:marTop w:val="0"/>
      <w:marBottom w:val="0"/>
      <w:divBdr>
        <w:top w:val="none" w:sz="0" w:space="0" w:color="auto"/>
        <w:left w:val="none" w:sz="0" w:space="0" w:color="auto"/>
        <w:bottom w:val="none" w:sz="0" w:space="0" w:color="auto"/>
        <w:right w:val="none" w:sz="0" w:space="0" w:color="auto"/>
      </w:divBdr>
    </w:div>
    <w:div w:id="536549098">
      <w:bodyDiv w:val="1"/>
      <w:marLeft w:val="0"/>
      <w:marRight w:val="0"/>
      <w:marTop w:val="0"/>
      <w:marBottom w:val="0"/>
      <w:divBdr>
        <w:top w:val="none" w:sz="0" w:space="0" w:color="auto"/>
        <w:left w:val="none" w:sz="0" w:space="0" w:color="auto"/>
        <w:bottom w:val="none" w:sz="0" w:space="0" w:color="auto"/>
        <w:right w:val="none" w:sz="0" w:space="0" w:color="auto"/>
      </w:divBdr>
    </w:div>
    <w:div w:id="537788894">
      <w:bodyDiv w:val="1"/>
      <w:marLeft w:val="0"/>
      <w:marRight w:val="0"/>
      <w:marTop w:val="0"/>
      <w:marBottom w:val="0"/>
      <w:divBdr>
        <w:top w:val="none" w:sz="0" w:space="0" w:color="auto"/>
        <w:left w:val="none" w:sz="0" w:space="0" w:color="auto"/>
        <w:bottom w:val="none" w:sz="0" w:space="0" w:color="auto"/>
        <w:right w:val="none" w:sz="0" w:space="0" w:color="auto"/>
      </w:divBdr>
    </w:div>
    <w:div w:id="550577822">
      <w:bodyDiv w:val="1"/>
      <w:marLeft w:val="0"/>
      <w:marRight w:val="0"/>
      <w:marTop w:val="0"/>
      <w:marBottom w:val="0"/>
      <w:divBdr>
        <w:top w:val="none" w:sz="0" w:space="0" w:color="auto"/>
        <w:left w:val="none" w:sz="0" w:space="0" w:color="auto"/>
        <w:bottom w:val="none" w:sz="0" w:space="0" w:color="auto"/>
        <w:right w:val="none" w:sz="0" w:space="0" w:color="auto"/>
      </w:divBdr>
    </w:div>
    <w:div w:id="562833345">
      <w:bodyDiv w:val="1"/>
      <w:marLeft w:val="0"/>
      <w:marRight w:val="0"/>
      <w:marTop w:val="0"/>
      <w:marBottom w:val="0"/>
      <w:divBdr>
        <w:top w:val="none" w:sz="0" w:space="0" w:color="auto"/>
        <w:left w:val="none" w:sz="0" w:space="0" w:color="auto"/>
        <w:bottom w:val="none" w:sz="0" w:space="0" w:color="auto"/>
        <w:right w:val="none" w:sz="0" w:space="0" w:color="auto"/>
      </w:divBdr>
    </w:div>
    <w:div w:id="608706449">
      <w:bodyDiv w:val="1"/>
      <w:marLeft w:val="0"/>
      <w:marRight w:val="0"/>
      <w:marTop w:val="0"/>
      <w:marBottom w:val="0"/>
      <w:divBdr>
        <w:top w:val="none" w:sz="0" w:space="0" w:color="auto"/>
        <w:left w:val="none" w:sz="0" w:space="0" w:color="auto"/>
        <w:bottom w:val="none" w:sz="0" w:space="0" w:color="auto"/>
        <w:right w:val="none" w:sz="0" w:space="0" w:color="auto"/>
      </w:divBdr>
    </w:div>
    <w:div w:id="615336499">
      <w:bodyDiv w:val="1"/>
      <w:marLeft w:val="0"/>
      <w:marRight w:val="0"/>
      <w:marTop w:val="0"/>
      <w:marBottom w:val="0"/>
      <w:divBdr>
        <w:top w:val="none" w:sz="0" w:space="0" w:color="auto"/>
        <w:left w:val="none" w:sz="0" w:space="0" w:color="auto"/>
        <w:bottom w:val="none" w:sz="0" w:space="0" w:color="auto"/>
        <w:right w:val="none" w:sz="0" w:space="0" w:color="auto"/>
      </w:divBdr>
      <w:divsChild>
        <w:div w:id="1923833023">
          <w:marLeft w:val="547"/>
          <w:marRight w:val="0"/>
          <w:marTop w:val="0"/>
          <w:marBottom w:val="0"/>
          <w:divBdr>
            <w:top w:val="none" w:sz="0" w:space="0" w:color="auto"/>
            <w:left w:val="none" w:sz="0" w:space="0" w:color="auto"/>
            <w:bottom w:val="none" w:sz="0" w:space="0" w:color="auto"/>
            <w:right w:val="none" w:sz="0" w:space="0" w:color="auto"/>
          </w:divBdr>
        </w:div>
      </w:divsChild>
    </w:div>
    <w:div w:id="618218312">
      <w:bodyDiv w:val="1"/>
      <w:marLeft w:val="0"/>
      <w:marRight w:val="0"/>
      <w:marTop w:val="0"/>
      <w:marBottom w:val="0"/>
      <w:divBdr>
        <w:top w:val="none" w:sz="0" w:space="0" w:color="auto"/>
        <w:left w:val="none" w:sz="0" w:space="0" w:color="auto"/>
        <w:bottom w:val="none" w:sz="0" w:space="0" w:color="auto"/>
        <w:right w:val="none" w:sz="0" w:space="0" w:color="auto"/>
      </w:divBdr>
    </w:div>
    <w:div w:id="644623053">
      <w:bodyDiv w:val="1"/>
      <w:marLeft w:val="0"/>
      <w:marRight w:val="0"/>
      <w:marTop w:val="0"/>
      <w:marBottom w:val="0"/>
      <w:divBdr>
        <w:top w:val="none" w:sz="0" w:space="0" w:color="auto"/>
        <w:left w:val="none" w:sz="0" w:space="0" w:color="auto"/>
        <w:bottom w:val="none" w:sz="0" w:space="0" w:color="auto"/>
        <w:right w:val="none" w:sz="0" w:space="0" w:color="auto"/>
      </w:divBdr>
    </w:div>
    <w:div w:id="647974001">
      <w:bodyDiv w:val="1"/>
      <w:marLeft w:val="0"/>
      <w:marRight w:val="0"/>
      <w:marTop w:val="0"/>
      <w:marBottom w:val="0"/>
      <w:divBdr>
        <w:top w:val="none" w:sz="0" w:space="0" w:color="auto"/>
        <w:left w:val="none" w:sz="0" w:space="0" w:color="auto"/>
        <w:bottom w:val="none" w:sz="0" w:space="0" w:color="auto"/>
        <w:right w:val="none" w:sz="0" w:space="0" w:color="auto"/>
      </w:divBdr>
    </w:div>
    <w:div w:id="682367535">
      <w:bodyDiv w:val="1"/>
      <w:marLeft w:val="0"/>
      <w:marRight w:val="0"/>
      <w:marTop w:val="0"/>
      <w:marBottom w:val="0"/>
      <w:divBdr>
        <w:top w:val="none" w:sz="0" w:space="0" w:color="auto"/>
        <w:left w:val="none" w:sz="0" w:space="0" w:color="auto"/>
        <w:bottom w:val="none" w:sz="0" w:space="0" w:color="auto"/>
        <w:right w:val="none" w:sz="0" w:space="0" w:color="auto"/>
      </w:divBdr>
      <w:divsChild>
        <w:div w:id="76950735">
          <w:marLeft w:val="547"/>
          <w:marRight w:val="0"/>
          <w:marTop w:val="0"/>
          <w:marBottom w:val="0"/>
          <w:divBdr>
            <w:top w:val="none" w:sz="0" w:space="0" w:color="auto"/>
            <w:left w:val="none" w:sz="0" w:space="0" w:color="auto"/>
            <w:bottom w:val="none" w:sz="0" w:space="0" w:color="auto"/>
            <w:right w:val="none" w:sz="0" w:space="0" w:color="auto"/>
          </w:divBdr>
        </w:div>
      </w:divsChild>
    </w:div>
    <w:div w:id="695741651">
      <w:bodyDiv w:val="1"/>
      <w:marLeft w:val="0"/>
      <w:marRight w:val="0"/>
      <w:marTop w:val="0"/>
      <w:marBottom w:val="0"/>
      <w:divBdr>
        <w:top w:val="none" w:sz="0" w:space="0" w:color="auto"/>
        <w:left w:val="none" w:sz="0" w:space="0" w:color="auto"/>
        <w:bottom w:val="none" w:sz="0" w:space="0" w:color="auto"/>
        <w:right w:val="none" w:sz="0" w:space="0" w:color="auto"/>
      </w:divBdr>
    </w:div>
    <w:div w:id="696275841">
      <w:bodyDiv w:val="1"/>
      <w:marLeft w:val="0"/>
      <w:marRight w:val="0"/>
      <w:marTop w:val="0"/>
      <w:marBottom w:val="0"/>
      <w:divBdr>
        <w:top w:val="none" w:sz="0" w:space="0" w:color="auto"/>
        <w:left w:val="none" w:sz="0" w:space="0" w:color="auto"/>
        <w:bottom w:val="none" w:sz="0" w:space="0" w:color="auto"/>
        <w:right w:val="none" w:sz="0" w:space="0" w:color="auto"/>
      </w:divBdr>
      <w:divsChild>
        <w:div w:id="1571116334">
          <w:marLeft w:val="547"/>
          <w:marRight w:val="0"/>
          <w:marTop w:val="0"/>
          <w:marBottom w:val="0"/>
          <w:divBdr>
            <w:top w:val="none" w:sz="0" w:space="0" w:color="auto"/>
            <w:left w:val="none" w:sz="0" w:space="0" w:color="auto"/>
            <w:bottom w:val="none" w:sz="0" w:space="0" w:color="auto"/>
            <w:right w:val="none" w:sz="0" w:space="0" w:color="auto"/>
          </w:divBdr>
        </w:div>
        <w:div w:id="118769119">
          <w:marLeft w:val="547"/>
          <w:marRight w:val="0"/>
          <w:marTop w:val="0"/>
          <w:marBottom w:val="0"/>
          <w:divBdr>
            <w:top w:val="none" w:sz="0" w:space="0" w:color="auto"/>
            <w:left w:val="none" w:sz="0" w:space="0" w:color="auto"/>
            <w:bottom w:val="none" w:sz="0" w:space="0" w:color="auto"/>
            <w:right w:val="none" w:sz="0" w:space="0" w:color="auto"/>
          </w:divBdr>
        </w:div>
      </w:divsChild>
    </w:div>
    <w:div w:id="708578045">
      <w:bodyDiv w:val="1"/>
      <w:marLeft w:val="0"/>
      <w:marRight w:val="0"/>
      <w:marTop w:val="0"/>
      <w:marBottom w:val="0"/>
      <w:divBdr>
        <w:top w:val="none" w:sz="0" w:space="0" w:color="auto"/>
        <w:left w:val="none" w:sz="0" w:space="0" w:color="auto"/>
        <w:bottom w:val="none" w:sz="0" w:space="0" w:color="auto"/>
        <w:right w:val="none" w:sz="0" w:space="0" w:color="auto"/>
      </w:divBdr>
    </w:div>
    <w:div w:id="721367158">
      <w:bodyDiv w:val="1"/>
      <w:marLeft w:val="0"/>
      <w:marRight w:val="0"/>
      <w:marTop w:val="0"/>
      <w:marBottom w:val="0"/>
      <w:divBdr>
        <w:top w:val="none" w:sz="0" w:space="0" w:color="auto"/>
        <w:left w:val="none" w:sz="0" w:space="0" w:color="auto"/>
        <w:bottom w:val="none" w:sz="0" w:space="0" w:color="auto"/>
        <w:right w:val="none" w:sz="0" w:space="0" w:color="auto"/>
      </w:divBdr>
    </w:div>
    <w:div w:id="722674163">
      <w:bodyDiv w:val="1"/>
      <w:marLeft w:val="0"/>
      <w:marRight w:val="0"/>
      <w:marTop w:val="0"/>
      <w:marBottom w:val="0"/>
      <w:divBdr>
        <w:top w:val="none" w:sz="0" w:space="0" w:color="auto"/>
        <w:left w:val="none" w:sz="0" w:space="0" w:color="auto"/>
        <w:bottom w:val="none" w:sz="0" w:space="0" w:color="auto"/>
        <w:right w:val="none" w:sz="0" w:space="0" w:color="auto"/>
      </w:divBdr>
    </w:div>
    <w:div w:id="725564192">
      <w:bodyDiv w:val="1"/>
      <w:marLeft w:val="0"/>
      <w:marRight w:val="0"/>
      <w:marTop w:val="0"/>
      <w:marBottom w:val="0"/>
      <w:divBdr>
        <w:top w:val="none" w:sz="0" w:space="0" w:color="auto"/>
        <w:left w:val="none" w:sz="0" w:space="0" w:color="auto"/>
        <w:bottom w:val="none" w:sz="0" w:space="0" w:color="auto"/>
        <w:right w:val="none" w:sz="0" w:space="0" w:color="auto"/>
      </w:divBdr>
    </w:div>
    <w:div w:id="725765139">
      <w:bodyDiv w:val="1"/>
      <w:marLeft w:val="0"/>
      <w:marRight w:val="0"/>
      <w:marTop w:val="0"/>
      <w:marBottom w:val="0"/>
      <w:divBdr>
        <w:top w:val="none" w:sz="0" w:space="0" w:color="auto"/>
        <w:left w:val="none" w:sz="0" w:space="0" w:color="auto"/>
        <w:bottom w:val="none" w:sz="0" w:space="0" w:color="auto"/>
        <w:right w:val="none" w:sz="0" w:space="0" w:color="auto"/>
      </w:divBdr>
    </w:div>
    <w:div w:id="726611545">
      <w:bodyDiv w:val="1"/>
      <w:marLeft w:val="0"/>
      <w:marRight w:val="0"/>
      <w:marTop w:val="0"/>
      <w:marBottom w:val="0"/>
      <w:divBdr>
        <w:top w:val="none" w:sz="0" w:space="0" w:color="auto"/>
        <w:left w:val="none" w:sz="0" w:space="0" w:color="auto"/>
        <w:bottom w:val="none" w:sz="0" w:space="0" w:color="auto"/>
        <w:right w:val="none" w:sz="0" w:space="0" w:color="auto"/>
      </w:divBdr>
      <w:divsChild>
        <w:div w:id="754088256">
          <w:marLeft w:val="274"/>
          <w:marRight w:val="0"/>
          <w:marTop w:val="0"/>
          <w:marBottom w:val="0"/>
          <w:divBdr>
            <w:top w:val="none" w:sz="0" w:space="0" w:color="auto"/>
            <w:left w:val="none" w:sz="0" w:space="0" w:color="auto"/>
            <w:bottom w:val="none" w:sz="0" w:space="0" w:color="auto"/>
            <w:right w:val="none" w:sz="0" w:space="0" w:color="auto"/>
          </w:divBdr>
        </w:div>
        <w:div w:id="935946400">
          <w:marLeft w:val="274"/>
          <w:marRight w:val="0"/>
          <w:marTop w:val="0"/>
          <w:marBottom w:val="0"/>
          <w:divBdr>
            <w:top w:val="none" w:sz="0" w:space="0" w:color="auto"/>
            <w:left w:val="none" w:sz="0" w:space="0" w:color="auto"/>
            <w:bottom w:val="none" w:sz="0" w:space="0" w:color="auto"/>
            <w:right w:val="none" w:sz="0" w:space="0" w:color="auto"/>
          </w:divBdr>
        </w:div>
        <w:div w:id="1145122705">
          <w:marLeft w:val="274"/>
          <w:marRight w:val="0"/>
          <w:marTop w:val="0"/>
          <w:marBottom w:val="0"/>
          <w:divBdr>
            <w:top w:val="none" w:sz="0" w:space="0" w:color="auto"/>
            <w:left w:val="none" w:sz="0" w:space="0" w:color="auto"/>
            <w:bottom w:val="none" w:sz="0" w:space="0" w:color="auto"/>
            <w:right w:val="none" w:sz="0" w:space="0" w:color="auto"/>
          </w:divBdr>
        </w:div>
        <w:div w:id="1875387566">
          <w:marLeft w:val="274"/>
          <w:marRight w:val="0"/>
          <w:marTop w:val="0"/>
          <w:marBottom w:val="0"/>
          <w:divBdr>
            <w:top w:val="none" w:sz="0" w:space="0" w:color="auto"/>
            <w:left w:val="none" w:sz="0" w:space="0" w:color="auto"/>
            <w:bottom w:val="none" w:sz="0" w:space="0" w:color="auto"/>
            <w:right w:val="none" w:sz="0" w:space="0" w:color="auto"/>
          </w:divBdr>
        </w:div>
      </w:divsChild>
    </w:div>
    <w:div w:id="799154539">
      <w:bodyDiv w:val="1"/>
      <w:marLeft w:val="0"/>
      <w:marRight w:val="0"/>
      <w:marTop w:val="0"/>
      <w:marBottom w:val="0"/>
      <w:divBdr>
        <w:top w:val="none" w:sz="0" w:space="0" w:color="auto"/>
        <w:left w:val="none" w:sz="0" w:space="0" w:color="auto"/>
        <w:bottom w:val="none" w:sz="0" w:space="0" w:color="auto"/>
        <w:right w:val="none" w:sz="0" w:space="0" w:color="auto"/>
      </w:divBdr>
    </w:div>
    <w:div w:id="816529647">
      <w:bodyDiv w:val="1"/>
      <w:marLeft w:val="0"/>
      <w:marRight w:val="0"/>
      <w:marTop w:val="0"/>
      <w:marBottom w:val="0"/>
      <w:divBdr>
        <w:top w:val="none" w:sz="0" w:space="0" w:color="auto"/>
        <w:left w:val="none" w:sz="0" w:space="0" w:color="auto"/>
        <w:bottom w:val="none" w:sz="0" w:space="0" w:color="auto"/>
        <w:right w:val="none" w:sz="0" w:space="0" w:color="auto"/>
      </w:divBdr>
    </w:div>
    <w:div w:id="820732743">
      <w:bodyDiv w:val="1"/>
      <w:marLeft w:val="0"/>
      <w:marRight w:val="0"/>
      <w:marTop w:val="0"/>
      <w:marBottom w:val="0"/>
      <w:divBdr>
        <w:top w:val="none" w:sz="0" w:space="0" w:color="auto"/>
        <w:left w:val="none" w:sz="0" w:space="0" w:color="auto"/>
        <w:bottom w:val="none" w:sz="0" w:space="0" w:color="auto"/>
        <w:right w:val="none" w:sz="0" w:space="0" w:color="auto"/>
      </w:divBdr>
    </w:div>
    <w:div w:id="831485426">
      <w:bodyDiv w:val="1"/>
      <w:marLeft w:val="0"/>
      <w:marRight w:val="0"/>
      <w:marTop w:val="0"/>
      <w:marBottom w:val="0"/>
      <w:divBdr>
        <w:top w:val="none" w:sz="0" w:space="0" w:color="auto"/>
        <w:left w:val="none" w:sz="0" w:space="0" w:color="auto"/>
        <w:bottom w:val="none" w:sz="0" w:space="0" w:color="auto"/>
        <w:right w:val="none" w:sz="0" w:space="0" w:color="auto"/>
      </w:divBdr>
    </w:div>
    <w:div w:id="835077555">
      <w:bodyDiv w:val="1"/>
      <w:marLeft w:val="0"/>
      <w:marRight w:val="0"/>
      <w:marTop w:val="0"/>
      <w:marBottom w:val="0"/>
      <w:divBdr>
        <w:top w:val="none" w:sz="0" w:space="0" w:color="auto"/>
        <w:left w:val="none" w:sz="0" w:space="0" w:color="auto"/>
        <w:bottom w:val="none" w:sz="0" w:space="0" w:color="auto"/>
        <w:right w:val="none" w:sz="0" w:space="0" w:color="auto"/>
      </w:divBdr>
    </w:div>
    <w:div w:id="844125499">
      <w:bodyDiv w:val="1"/>
      <w:marLeft w:val="0"/>
      <w:marRight w:val="0"/>
      <w:marTop w:val="0"/>
      <w:marBottom w:val="0"/>
      <w:divBdr>
        <w:top w:val="none" w:sz="0" w:space="0" w:color="auto"/>
        <w:left w:val="none" w:sz="0" w:space="0" w:color="auto"/>
        <w:bottom w:val="none" w:sz="0" w:space="0" w:color="auto"/>
        <w:right w:val="none" w:sz="0" w:space="0" w:color="auto"/>
      </w:divBdr>
    </w:div>
    <w:div w:id="850949728">
      <w:bodyDiv w:val="1"/>
      <w:marLeft w:val="0"/>
      <w:marRight w:val="0"/>
      <w:marTop w:val="0"/>
      <w:marBottom w:val="0"/>
      <w:divBdr>
        <w:top w:val="none" w:sz="0" w:space="0" w:color="auto"/>
        <w:left w:val="none" w:sz="0" w:space="0" w:color="auto"/>
        <w:bottom w:val="none" w:sz="0" w:space="0" w:color="auto"/>
        <w:right w:val="none" w:sz="0" w:space="0" w:color="auto"/>
      </w:divBdr>
      <w:divsChild>
        <w:div w:id="611061375">
          <w:marLeft w:val="274"/>
          <w:marRight w:val="0"/>
          <w:marTop w:val="0"/>
          <w:marBottom w:val="0"/>
          <w:divBdr>
            <w:top w:val="none" w:sz="0" w:space="0" w:color="auto"/>
            <w:left w:val="none" w:sz="0" w:space="0" w:color="auto"/>
            <w:bottom w:val="none" w:sz="0" w:space="0" w:color="auto"/>
            <w:right w:val="none" w:sz="0" w:space="0" w:color="auto"/>
          </w:divBdr>
        </w:div>
      </w:divsChild>
    </w:div>
    <w:div w:id="866332983">
      <w:bodyDiv w:val="1"/>
      <w:marLeft w:val="0"/>
      <w:marRight w:val="0"/>
      <w:marTop w:val="0"/>
      <w:marBottom w:val="0"/>
      <w:divBdr>
        <w:top w:val="none" w:sz="0" w:space="0" w:color="auto"/>
        <w:left w:val="none" w:sz="0" w:space="0" w:color="auto"/>
        <w:bottom w:val="none" w:sz="0" w:space="0" w:color="auto"/>
        <w:right w:val="none" w:sz="0" w:space="0" w:color="auto"/>
      </w:divBdr>
    </w:div>
    <w:div w:id="866452721">
      <w:bodyDiv w:val="1"/>
      <w:marLeft w:val="0"/>
      <w:marRight w:val="0"/>
      <w:marTop w:val="0"/>
      <w:marBottom w:val="0"/>
      <w:divBdr>
        <w:top w:val="none" w:sz="0" w:space="0" w:color="auto"/>
        <w:left w:val="none" w:sz="0" w:space="0" w:color="auto"/>
        <w:bottom w:val="none" w:sz="0" w:space="0" w:color="auto"/>
        <w:right w:val="none" w:sz="0" w:space="0" w:color="auto"/>
      </w:divBdr>
    </w:div>
    <w:div w:id="878861428">
      <w:bodyDiv w:val="1"/>
      <w:marLeft w:val="0"/>
      <w:marRight w:val="0"/>
      <w:marTop w:val="0"/>
      <w:marBottom w:val="0"/>
      <w:divBdr>
        <w:top w:val="none" w:sz="0" w:space="0" w:color="auto"/>
        <w:left w:val="none" w:sz="0" w:space="0" w:color="auto"/>
        <w:bottom w:val="none" w:sz="0" w:space="0" w:color="auto"/>
        <w:right w:val="none" w:sz="0" w:space="0" w:color="auto"/>
      </w:divBdr>
    </w:div>
    <w:div w:id="892694739">
      <w:bodyDiv w:val="1"/>
      <w:marLeft w:val="0"/>
      <w:marRight w:val="0"/>
      <w:marTop w:val="0"/>
      <w:marBottom w:val="0"/>
      <w:divBdr>
        <w:top w:val="none" w:sz="0" w:space="0" w:color="auto"/>
        <w:left w:val="none" w:sz="0" w:space="0" w:color="auto"/>
        <w:bottom w:val="none" w:sz="0" w:space="0" w:color="auto"/>
        <w:right w:val="none" w:sz="0" w:space="0" w:color="auto"/>
      </w:divBdr>
    </w:div>
    <w:div w:id="932860833">
      <w:bodyDiv w:val="1"/>
      <w:marLeft w:val="0"/>
      <w:marRight w:val="0"/>
      <w:marTop w:val="0"/>
      <w:marBottom w:val="0"/>
      <w:divBdr>
        <w:top w:val="none" w:sz="0" w:space="0" w:color="auto"/>
        <w:left w:val="none" w:sz="0" w:space="0" w:color="auto"/>
        <w:bottom w:val="none" w:sz="0" w:space="0" w:color="auto"/>
        <w:right w:val="none" w:sz="0" w:space="0" w:color="auto"/>
      </w:divBdr>
    </w:div>
    <w:div w:id="933322277">
      <w:bodyDiv w:val="1"/>
      <w:marLeft w:val="0"/>
      <w:marRight w:val="0"/>
      <w:marTop w:val="0"/>
      <w:marBottom w:val="0"/>
      <w:divBdr>
        <w:top w:val="none" w:sz="0" w:space="0" w:color="auto"/>
        <w:left w:val="none" w:sz="0" w:space="0" w:color="auto"/>
        <w:bottom w:val="none" w:sz="0" w:space="0" w:color="auto"/>
        <w:right w:val="none" w:sz="0" w:space="0" w:color="auto"/>
      </w:divBdr>
    </w:div>
    <w:div w:id="942541053">
      <w:bodyDiv w:val="1"/>
      <w:marLeft w:val="0"/>
      <w:marRight w:val="0"/>
      <w:marTop w:val="0"/>
      <w:marBottom w:val="0"/>
      <w:divBdr>
        <w:top w:val="none" w:sz="0" w:space="0" w:color="auto"/>
        <w:left w:val="none" w:sz="0" w:space="0" w:color="auto"/>
        <w:bottom w:val="none" w:sz="0" w:space="0" w:color="auto"/>
        <w:right w:val="none" w:sz="0" w:space="0" w:color="auto"/>
      </w:divBdr>
    </w:div>
    <w:div w:id="959454817">
      <w:bodyDiv w:val="1"/>
      <w:marLeft w:val="0"/>
      <w:marRight w:val="0"/>
      <w:marTop w:val="0"/>
      <w:marBottom w:val="0"/>
      <w:divBdr>
        <w:top w:val="none" w:sz="0" w:space="0" w:color="auto"/>
        <w:left w:val="none" w:sz="0" w:space="0" w:color="auto"/>
        <w:bottom w:val="none" w:sz="0" w:space="0" w:color="auto"/>
        <w:right w:val="none" w:sz="0" w:space="0" w:color="auto"/>
      </w:divBdr>
      <w:divsChild>
        <w:div w:id="1150367904">
          <w:marLeft w:val="274"/>
          <w:marRight w:val="0"/>
          <w:marTop w:val="0"/>
          <w:marBottom w:val="0"/>
          <w:divBdr>
            <w:top w:val="none" w:sz="0" w:space="0" w:color="auto"/>
            <w:left w:val="none" w:sz="0" w:space="0" w:color="auto"/>
            <w:bottom w:val="none" w:sz="0" w:space="0" w:color="auto"/>
            <w:right w:val="none" w:sz="0" w:space="0" w:color="auto"/>
          </w:divBdr>
        </w:div>
        <w:div w:id="1809127627">
          <w:marLeft w:val="274"/>
          <w:marRight w:val="0"/>
          <w:marTop w:val="0"/>
          <w:marBottom w:val="0"/>
          <w:divBdr>
            <w:top w:val="none" w:sz="0" w:space="0" w:color="auto"/>
            <w:left w:val="none" w:sz="0" w:space="0" w:color="auto"/>
            <w:bottom w:val="none" w:sz="0" w:space="0" w:color="auto"/>
            <w:right w:val="none" w:sz="0" w:space="0" w:color="auto"/>
          </w:divBdr>
        </w:div>
        <w:div w:id="2073231847">
          <w:marLeft w:val="274"/>
          <w:marRight w:val="0"/>
          <w:marTop w:val="0"/>
          <w:marBottom w:val="0"/>
          <w:divBdr>
            <w:top w:val="none" w:sz="0" w:space="0" w:color="auto"/>
            <w:left w:val="none" w:sz="0" w:space="0" w:color="auto"/>
            <w:bottom w:val="none" w:sz="0" w:space="0" w:color="auto"/>
            <w:right w:val="none" w:sz="0" w:space="0" w:color="auto"/>
          </w:divBdr>
        </w:div>
      </w:divsChild>
    </w:div>
    <w:div w:id="970869549">
      <w:bodyDiv w:val="1"/>
      <w:marLeft w:val="0"/>
      <w:marRight w:val="0"/>
      <w:marTop w:val="0"/>
      <w:marBottom w:val="0"/>
      <w:divBdr>
        <w:top w:val="none" w:sz="0" w:space="0" w:color="auto"/>
        <w:left w:val="none" w:sz="0" w:space="0" w:color="auto"/>
        <w:bottom w:val="none" w:sz="0" w:space="0" w:color="auto"/>
        <w:right w:val="none" w:sz="0" w:space="0" w:color="auto"/>
      </w:divBdr>
    </w:div>
    <w:div w:id="974918071">
      <w:bodyDiv w:val="1"/>
      <w:marLeft w:val="0"/>
      <w:marRight w:val="0"/>
      <w:marTop w:val="0"/>
      <w:marBottom w:val="0"/>
      <w:divBdr>
        <w:top w:val="none" w:sz="0" w:space="0" w:color="auto"/>
        <w:left w:val="none" w:sz="0" w:space="0" w:color="auto"/>
        <w:bottom w:val="none" w:sz="0" w:space="0" w:color="auto"/>
        <w:right w:val="none" w:sz="0" w:space="0" w:color="auto"/>
      </w:divBdr>
    </w:div>
    <w:div w:id="980497645">
      <w:bodyDiv w:val="1"/>
      <w:marLeft w:val="0"/>
      <w:marRight w:val="0"/>
      <w:marTop w:val="0"/>
      <w:marBottom w:val="0"/>
      <w:divBdr>
        <w:top w:val="none" w:sz="0" w:space="0" w:color="auto"/>
        <w:left w:val="none" w:sz="0" w:space="0" w:color="auto"/>
        <w:bottom w:val="none" w:sz="0" w:space="0" w:color="auto"/>
        <w:right w:val="none" w:sz="0" w:space="0" w:color="auto"/>
      </w:divBdr>
    </w:div>
    <w:div w:id="988247336">
      <w:bodyDiv w:val="1"/>
      <w:marLeft w:val="0"/>
      <w:marRight w:val="0"/>
      <w:marTop w:val="0"/>
      <w:marBottom w:val="0"/>
      <w:divBdr>
        <w:top w:val="none" w:sz="0" w:space="0" w:color="auto"/>
        <w:left w:val="none" w:sz="0" w:space="0" w:color="auto"/>
        <w:bottom w:val="none" w:sz="0" w:space="0" w:color="auto"/>
        <w:right w:val="none" w:sz="0" w:space="0" w:color="auto"/>
      </w:divBdr>
    </w:div>
    <w:div w:id="999965919">
      <w:bodyDiv w:val="1"/>
      <w:marLeft w:val="0"/>
      <w:marRight w:val="0"/>
      <w:marTop w:val="0"/>
      <w:marBottom w:val="0"/>
      <w:divBdr>
        <w:top w:val="none" w:sz="0" w:space="0" w:color="auto"/>
        <w:left w:val="none" w:sz="0" w:space="0" w:color="auto"/>
        <w:bottom w:val="none" w:sz="0" w:space="0" w:color="auto"/>
        <w:right w:val="none" w:sz="0" w:space="0" w:color="auto"/>
      </w:divBdr>
    </w:div>
    <w:div w:id="1002969437">
      <w:bodyDiv w:val="1"/>
      <w:marLeft w:val="0"/>
      <w:marRight w:val="0"/>
      <w:marTop w:val="0"/>
      <w:marBottom w:val="0"/>
      <w:divBdr>
        <w:top w:val="none" w:sz="0" w:space="0" w:color="auto"/>
        <w:left w:val="none" w:sz="0" w:space="0" w:color="auto"/>
        <w:bottom w:val="none" w:sz="0" w:space="0" w:color="auto"/>
        <w:right w:val="none" w:sz="0" w:space="0" w:color="auto"/>
      </w:divBdr>
    </w:div>
    <w:div w:id="1034385828">
      <w:bodyDiv w:val="1"/>
      <w:marLeft w:val="0"/>
      <w:marRight w:val="0"/>
      <w:marTop w:val="0"/>
      <w:marBottom w:val="0"/>
      <w:divBdr>
        <w:top w:val="none" w:sz="0" w:space="0" w:color="auto"/>
        <w:left w:val="none" w:sz="0" w:space="0" w:color="auto"/>
        <w:bottom w:val="none" w:sz="0" w:space="0" w:color="auto"/>
        <w:right w:val="none" w:sz="0" w:space="0" w:color="auto"/>
      </w:divBdr>
    </w:div>
    <w:div w:id="1034844079">
      <w:bodyDiv w:val="1"/>
      <w:marLeft w:val="0"/>
      <w:marRight w:val="0"/>
      <w:marTop w:val="0"/>
      <w:marBottom w:val="0"/>
      <w:divBdr>
        <w:top w:val="none" w:sz="0" w:space="0" w:color="auto"/>
        <w:left w:val="none" w:sz="0" w:space="0" w:color="auto"/>
        <w:bottom w:val="none" w:sz="0" w:space="0" w:color="auto"/>
        <w:right w:val="none" w:sz="0" w:space="0" w:color="auto"/>
      </w:divBdr>
    </w:div>
    <w:div w:id="1069421552">
      <w:bodyDiv w:val="1"/>
      <w:marLeft w:val="0"/>
      <w:marRight w:val="0"/>
      <w:marTop w:val="0"/>
      <w:marBottom w:val="0"/>
      <w:divBdr>
        <w:top w:val="none" w:sz="0" w:space="0" w:color="auto"/>
        <w:left w:val="none" w:sz="0" w:space="0" w:color="auto"/>
        <w:bottom w:val="none" w:sz="0" w:space="0" w:color="auto"/>
        <w:right w:val="none" w:sz="0" w:space="0" w:color="auto"/>
      </w:divBdr>
    </w:div>
    <w:div w:id="1076514689">
      <w:bodyDiv w:val="1"/>
      <w:marLeft w:val="0"/>
      <w:marRight w:val="0"/>
      <w:marTop w:val="0"/>
      <w:marBottom w:val="0"/>
      <w:divBdr>
        <w:top w:val="none" w:sz="0" w:space="0" w:color="auto"/>
        <w:left w:val="none" w:sz="0" w:space="0" w:color="auto"/>
        <w:bottom w:val="none" w:sz="0" w:space="0" w:color="auto"/>
        <w:right w:val="none" w:sz="0" w:space="0" w:color="auto"/>
      </w:divBdr>
    </w:div>
    <w:div w:id="1078290189">
      <w:bodyDiv w:val="1"/>
      <w:marLeft w:val="0"/>
      <w:marRight w:val="0"/>
      <w:marTop w:val="0"/>
      <w:marBottom w:val="0"/>
      <w:divBdr>
        <w:top w:val="none" w:sz="0" w:space="0" w:color="auto"/>
        <w:left w:val="none" w:sz="0" w:space="0" w:color="auto"/>
        <w:bottom w:val="none" w:sz="0" w:space="0" w:color="auto"/>
        <w:right w:val="none" w:sz="0" w:space="0" w:color="auto"/>
      </w:divBdr>
    </w:div>
    <w:div w:id="1086416044">
      <w:bodyDiv w:val="1"/>
      <w:marLeft w:val="0"/>
      <w:marRight w:val="0"/>
      <w:marTop w:val="0"/>
      <w:marBottom w:val="0"/>
      <w:divBdr>
        <w:top w:val="none" w:sz="0" w:space="0" w:color="auto"/>
        <w:left w:val="none" w:sz="0" w:space="0" w:color="auto"/>
        <w:bottom w:val="none" w:sz="0" w:space="0" w:color="auto"/>
        <w:right w:val="none" w:sz="0" w:space="0" w:color="auto"/>
      </w:divBdr>
    </w:div>
    <w:div w:id="1126315723">
      <w:bodyDiv w:val="1"/>
      <w:marLeft w:val="0"/>
      <w:marRight w:val="0"/>
      <w:marTop w:val="0"/>
      <w:marBottom w:val="0"/>
      <w:divBdr>
        <w:top w:val="none" w:sz="0" w:space="0" w:color="auto"/>
        <w:left w:val="none" w:sz="0" w:space="0" w:color="auto"/>
        <w:bottom w:val="none" w:sz="0" w:space="0" w:color="auto"/>
        <w:right w:val="none" w:sz="0" w:space="0" w:color="auto"/>
      </w:divBdr>
    </w:div>
    <w:div w:id="1128280502">
      <w:bodyDiv w:val="1"/>
      <w:marLeft w:val="0"/>
      <w:marRight w:val="0"/>
      <w:marTop w:val="0"/>
      <w:marBottom w:val="0"/>
      <w:divBdr>
        <w:top w:val="none" w:sz="0" w:space="0" w:color="auto"/>
        <w:left w:val="none" w:sz="0" w:space="0" w:color="auto"/>
        <w:bottom w:val="none" w:sz="0" w:space="0" w:color="auto"/>
        <w:right w:val="none" w:sz="0" w:space="0" w:color="auto"/>
      </w:divBdr>
    </w:div>
    <w:div w:id="1148204619">
      <w:bodyDiv w:val="1"/>
      <w:marLeft w:val="0"/>
      <w:marRight w:val="0"/>
      <w:marTop w:val="0"/>
      <w:marBottom w:val="0"/>
      <w:divBdr>
        <w:top w:val="none" w:sz="0" w:space="0" w:color="auto"/>
        <w:left w:val="none" w:sz="0" w:space="0" w:color="auto"/>
        <w:bottom w:val="none" w:sz="0" w:space="0" w:color="auto"/>
        <w:right w:val="none" w:sz="0" w:space="0" w:color="auto"/>
      </w:divBdr>
    </w:div>
    <w:div w:id="1185941511">
      <w:bodyDiv w:val="1"/>
      <w:marLeft w:val="0"/>
      <w:marRight w:val="0"/>
      <w:marTop w:val="0"/>
      <w:marBottom w:val="0"/>
      <w:divBdr>
        <w:top w:val="none" w:sz="0" w:space="0" w:color="auto"/>
        <w:left w:val="none" w:sz="0" w:space="0" w:color="auto"/>
        <w:bottom w:val="none" w:sz="0" w:space="0" w:color="auto"/>
        <w:right w:val="none" w:sz="0" w:space="0" w:color="auto"/>
      </w:divBdr>
    </w:div>
    <w:div w:id="1191602788">
      <w:bodyDiv w:val="1"/>
      <w:marLeft w:val="0"/>
      <w:marRight w:val="0"/>
      <w:marTop w:val="0"/>
      <w:marBottom w:val="0"/>
      <w:divBdr>
        <w:top w:val="none" w:sz="0" w:space="0" w:color="auto"/>
        <w:left w:val="none" w:sz="0" w:space="0" w:color="auto"/>
        <w:bottom w:val="none" w:sz="0" w:space="0" w:color="auto"/>
        <w:right w:val="none" w:sz="0" w:space="0" w:color="auto"/>
      </w:divBdr>
    </w:div>
    <w:div w:id="1192256499">
      <w:bodyDiv w:val="1"/>
      <w:marLeft w:val="0"/>
      <w:marRight w:val="0"/>
      <w:marTop w:val="0"/>
      <w:marBottom w:val="0"/>
      <w:divBdr>
        <w:top w:val="none" w:sz="0" w:space="0" w:color="auto"/>
        <w:left w:val="none" w:sz="0" w:space="0" w:color="auto"/>
        <w:bottom w:val="none" w:sz="0" w:space="0" w:color="auto"/>
        <w:right w:val="none" w:sz="0" w:space="0" w:color="auto"/>
      </w:divBdr>
    </w:div>
    <w:div w:id="1201743173">
      <w:bodyDiv w:val="1"/>
      <w:marLeft w:val="0"/>
      <w:marRight w:val="0"/>
      <w:marTop w:val="0"/>
      <w:marBottom w:val="0"/>
      <w:divBdr>
        <w:top w:val="none" w:sz="0" w:space="0" w:color="auto"/>
        <w:left w:val="none" w:sz="0" w:space="0" w:color="auto"/>
        <w:bottom w:val="none" w:sz="0" w:space="0" w:color="auto"/>
        <w:right w:val="none" w:sz="0" w:space="0" w:color="auto"/>
      </w:divBdr>
    </w:div>
    <w:div w:id="1203442676">
      <w:bodyDiv w:val="1"/>
      <w:marLeft w:val="0"/>
      <w:marRight w:val="0"/>
      <w:marTop w:val="0"/>
      <w:marBottom w:val="0"/>
      <w:divBdr>
        <w:top w:val="none" w:sz="0" w:space="0" w:color="auto"/>
        <w:left w:val="none" w:sz="0" w:space="0" w:color="auto"/>
        <w:bottom w:val="none" w:sz="0" w:space="0" w:color="auto"/>
        <w:right w:val="none" w:sz="0" w:space="0" w:color="auto"/>
      </w:divBdr>
      <w:divsChild>
        <w:div w:id="8144691">
          <w:marLeft w:val="274"/>
          <w:marRight w:val="0"/>
          <w:marTop w:val="0"/>
          <w:marBottom w:val="86"/>
          <w:divBdr>
            <w:top w:val="none" w:sz="0" w:space="0" w:color="auto"/>
            <w:left w:val="none" w:sz="0" w:space="0" w:color="auto"/>
            <w:bottom w:val="none" w:sz="0" w:space="0" w:color="auto"/>
            <w:right w:val="none" w:sz="0" w:space="0" w:color="auto"/>
          </w:divBdr>
        </w:div>
        <w:div w:id="53554162">
          <w:marLeft w:val="274"/>
          <w:marRight w:val="0"/>
          <w:marTop w:val="0"/>
          <w:marBottom w:val="86"/>
          <w:divBdr>
            <w:top w:val="none" w:sz="0" w:space="0" w:color="auto"/>
            <w:left w:val="none" w:sz="0" w:space="0" w:color="auto"/>
            <w:bottom w:val="none" w:sz="0" w:space="0" w:color="auto"/>
            <w:right w:val="none" w:sz="0" w:space="0" w:color="auto"/>
          </w:divBdr>
        </w:div>
        <w:div w:id="250427857">
          <w:marLeft w:val="274"/>
          <w:marRight w:val="0"/>
          <w:marTop w:val="0"/>
          <w:marBottom w:val="86"/>
          <w:divBdr>
            <w:top w:val="none" w:sz="0" w:space="0" w:color="auto"/>
            <w:left w:val="none" w:sz="0" w:space="0" w:color="auto"/>
            <w:bottom w:val="none" w:sz="0" w:space="0" w:color="auto"/>
            <w:right w:val="none" w:sz="0" w:space="0" w:color="auto"/>
          </w:divBdr>
        </w:div>
        <w:div w:id="431752161">
          <w:marLeft w:val="274"/>
          <w:marRight w:val="0"/>
          <w:marTop w:val="0"/>
          <w:marBottom w:val="86"/>
          <w:divBdr>
            <w:top w:val="none" w:sz="0" w:space="0" w:color="auto"/>
            <w:left w:val="none" w:sz="0" w:space="0" w:color="auto"/>
            <w:bottom w:val="none" w:sz="0" w:space="0" w:color="auto"/>
            <w:right w:val="none" w:sz="0" w:space="0" w:color="auto"/>
          </w:divBdr>
        </w:div>
        <w:div w:id="478694997">
          <w:marLeft w:val="274"/>
          <w:marRight w:val="0"/>
          <w:marTop w:val="0"/>
          <w:marBottom w:val="86"/>
          <w:divBdr>
            <w:top w:val="none" w:sz="0" w:space="0" w:color="auto"/>
            <w:left w:val="none" w:sz="0" w:space="0" w:color="auto"/>
            <w:bottom w:val="none" w:sz="0" w:space="0" w:color="auto"/>
            <w:right w:val="none" w:sz="0" w:space="0" w:color="auto"/>
          </w:divBdr>
        </w:div>
        <w:div w:id="615480288">
          <w:marLeft w:val="274"/>
          <w:marRight w:val="0"/>
          <w:marTop w:val="0"/>
          <w:marBottom w:val="86"/>
          <w:divBdr>
            <w:top w:val="none" w:sz="0" w:space="0" w:color="auto"/>
            <w:left w:val="none" w:sz="0" w:space="0" w:color="auto"/>
            <w:bottom w:val="none" w:sz="0" w:space="0" w:color="auto"/>
            <w:right w:val="none" w:sz="0" w:space="0" w:color="auto"/>
          </w:divBdr>
        </w:div>
        <w:div w:id="678776336">
          <w:marLeft w:val="274"/>
          <w:marRight w:val="0"/>
          <w:marTop w:val="0"/>
          <w:marBottom w:val="86"/>
          <w:divBdr>
            <w:top w:val="none" w:sz="0" w:space="0" w:color="auto"/>
            <w:left w:val="none" w:sz="0" w:space="0" w:color="auto"/>
            <w:bottom w:val="none" w:sz="0" w:space="0" w:color="auto"/>
            <w:right w:val="none" w:sz="0" w:space="0" w:color="auto"/>
          </w:divBdr>
        </w:div>
        <w:div w:id="804784381">
          <w:marLeft w:val="274"/>
          <w:marRight w:val="0"/>
          <w:marTop w:val="0"/>
          <w:marBottom w:val="86"/>
          <w:divBdr>
            <w:top w:val="none" w:sz="0" w:space="0" w:color="auto"/>
            <w:left w:val="none" w:sz="0" w:space="0" w:color="auto"/>
            <w:bottom w:val="none" w:sz="0" w:space="0" w:color="auto"/>
            <w:right w:val="none" w:sz="0" w:space="0" w:color="auto"/>
          </w:divBdr>
        </w:div>
        <w:div w:id="814373649">
          <w:marLeft w:val="274"/>
          <w:marRight w:val="0"/>
          <w:marTop w:val="0"/>
          <w:marBottom w:val="86"/>
          <w:divBdr>
            <w:top w:val="none" w:sz="0" w:space="0" w:color="auto"/>
            <w:left w:val="none" w:sz="0" w:space="0" w:color="auto"/>
            <w:bottom w:val="none" w:sz="0" w:space="0" w:color="auto"/>
            <w:right w:val="none" w:sz="0" w:space="0" w:color="auto"/>
          </w:divBdr>
        </w:div>
        <w:div w:id="999188042">
          <w:marLeft w:val="274"/>
          <w:marRight w:val="0"/>
          <w:marTop w:val="0"/>
          <w:marBottom w:val="86"/>
          <w:divBdr>
            <w:top w:val="none" w:sz="0" w:space="0" w:color="auto"/>
            <w:left w:val="none" w:sz="0" w:space="0" w:color="auto"/>
            <w:bottom w:val="none" w:sz="0" w:space="0" w:color="auto"/>
            <w:right w:val="none" w:sz="0" w:space="0" w:color="auto"/>
          </w:divBdr>
        </w:div>
        <w:div w:id="1010835815">
          <w:marLeft w:val="274"/>
          <w:marRight w:val="0"/>
          <w:marTop w:val="0"/>
          <w:marBottom w:val="86"/>
          <w:divBdr>
            <w:top w:val="none" w:sz="0" w:space="0" w:color="auto"/>
            <w:left w:val="none" w:sz="0" w:space="0" w:color="auto"/>
            <w:bottom w:val="none" w:sz="0" w:space="0" w:color="auto"/>
            <w:right w:val="none" w:sz="0" w:space="0" w:color="auto"/>
          </w:divBdr>
        </w:div>
        <w:div w:id="1053887435">
          <w:marLeft w:val="274"/>
          <w:marRight w:val="0"/>
          <w:marTop w:val="0"/>
          <w:marBottom w:val="86"/>
          <w:divBdr>
            <w:top w:val="none" w:sz="0" w:space="0" w:color="auto"/>
            <w:left w:val="none" w:sz="0" w:space="0" w:color="auto"/>
            <w:bottom w:val="none" w:sz="0" w:space="0" w:color="auto"/>
            <w:right w:val="none" w:sz="0" w:space="0" w:color="auto"/>
          </w:divBdr>
        </w:div>
        <w:div w:id="1074400400">
          <w:marLeft w:val="274"/>
          <w:marRight w:val="0"/>
          <w:marTop w:val="0"/>
          <w:marBottom w:val="86"/>
          <w:divBdr>
            <w:top w:val="none" w:sz="0" w:space="0" w:color="auto"/>
            <w:left w:val="none" w:sz="0" w:space="0" w:color="auto"/>
            <w:bottom w:val="none" w:sz="0" w:space="0" w:color="auto"/>
            <w:right w:val="none" w:sz="0" w:space="0" w:color="auto"/>
          </w:divBdr>
        </w:div>
        <w:div w:id="1078595452">
          <w:marLeft w:val="274"/>
          <w:marRight w:val="0"/>
          <w:marTop w:val="0"/>
          <w:marBottom w:val="86"/>
          <w:divBdr>
            <w:top w:val="none" w:sz="0" w:space="0" w:color="auto"/>
            <w:left w:val="none" w:sz="0" w:space="0" w:color="auto"/>
            <w:bottom w:val="none" w:sz="0" w:space="0" w:color="auto"/>
            <w:right w:val="none" w:sz="0" w:space="0" w:color="auto"/>
          </w:divBdr>
        </w:div>
        <w:div w:id="1153909237">
          <w:marLeft w:val="274"/>
          <w:marRight w:val="0"/>
          <w:marTop w:val="0"/>
          <w:marBottom w:val="86"/>
          <w:divBdr>
            <w:top w:val="none" w:sz="0" w:space="0" w:color="auto"/>
            <w:left w:val="none" w:sz="0" w:space="0" w:color="auto"/>
            <w:bottom w:val="none" w:sz="0" w:space="0" w:color="auto"/>
            <w:right w:val="none" w:sz="0" w:space="0" w:color="auto"/>
          </w:divBdr>
        </w:div>
        <w:div w:id="1320766942">
          <w:marLeft w:val="274"/>
          <w:marRight w:val="0"/>
          <w:marTop w:val="0"/>
          <w:marBottom w:val="86"/>
          <w:divBdr>
            <w:top w:val="none" w:sz="0" w:space="0" w:color="auto"/>
            <w:left w:val="none" w:sz="0" w:space="0" w:color="auto"/>
            <w:bottom w:val="none" w:sz="0" w:space="0" w:color="auto"/>
            <w:right w:val="none" w:sz="0" w:space="0" w:color="auto"/>
          </w:divBdr>
        </w:div>
        <w:div w:id="1322539293">
          <w:marLeft w:val="274"/>
          <w:marRight w:val="0"/>
          <w:marTop w:val="0"/>
          <w:marBottom w:val="86"/>
          <w:divBdr>
            <w:top w:val="none" w:sz="0" w:space="0" w:color="auto"/>
            <w:left w:val="none" w:sz="0" w:space="0" w:color="auto"/>
            <w:bottom w:val="none" w:sz="0" w:space="0" w:color="auto"/>
            <w:right w:val="none" w:sz="0" w:space="0" w:color="auto"/>
          </w:divBdr>
        </w:div>
        <w:div w:id="1350645728">
          <w:marLeft w:val="274"/>
          <w:marRight w:val="0"/>
          <w:marTop w:val="0"/>
          <w:marBottom w:val="86"/>
          <w:divBdr>
            <w:top w:val="none" w:sz="0" w:space="0" w:color="auto"/>
            <w:left w:val="none" w:sz="0" w:space="0" w:color="auto"/>
            <w:bottom w:val="none" w:sz="0" w:space="0" w:color="auto"/>
            <w:right w:val="none" w:sz="0" w:space="0" w:color="auto"/>
          </w:divBdr>
        </w:div>
        <w:div w:id="1640573824">
          <w:marLeft w:val="274"/>
          <w:marRight w:val="0"/>
          <w:marTop w:val="0"/>
          <w:marBottom w:val="86"/>
          <w:divBdr>
            <w:top w:val="none" w:sz="0" w:space="0" w:color="auto"/>
            <w:left w:val="none" w:sz="0" w:space="0" w:color="auto"/>
            <w:bottom w:val="none" w:sz="0" w:space="0" w:color="auto"/>
            <w:right w:val="none" w:sz="0" w:space="0" w:color="auto"/>
          </w:divBdr>
        </w:div>
        <w:div w:id="1822766661">
          <w:marLeft w:val="274"/>
          <w:marRight w:val="0"/>
          <w:marTop w:val="0"/>
          <w:marBottom w:val="86"/>
          <w:divBdr>
            <w:top w:val="none" w:sz="0" w:space="0" w:color="auto"/>
            <w:left w:val="none" w:sz="0" w:space="0" w:color="auto"/>
            <w:bottom w:val="none" w:sz="0" w:space="0" w:color="auto"/>
            <w:right w:val="none" w:sz="0" w:space="0" w:color="auto"/>
          </w:divBdr>
        </w:div>
        <w:div w:id="1834636226">
          <w:marLeft w:val="274"/>
          <w:marRight w:val="0"/>
          <w:marTop w:val="0"/>
          <w:marBottom w:val="86"/>
          <w:divBdr>
            <w:top w:val="none" w:sz="0" w:space="0" w:color="auto"/>
            <w:left w:val="none" w:sz="0" w:space="0" w:color="auto"/>
            <w:bottom w:val="none" w:sz="0" w:space="0" w:color="auto"/>
            <w:right w:val="none" w:sz="0" w:space="0" w:color="auto"/>
          </w:divBdr>
        </w:div>
        <w:div w:id="1865367159">
          <w:marLeft w:val="274"/>
          <w:marRight w:val="0"/>
          <w:marTop w:val="0"/>
          <w:marBottom w:val="86"/>
          <w:divBdr>
            <w:top w:val="none" w:sz="0" w:space="0" w:color="auto"/>
            <w:left w:val="none" w:sz="0" w:space="0" w:color="auto"/>
            <w:bottom w:val="none" w:sz="0" w:space="0" w:color="auto"/>
            <w:right w:val="none" w:sz="0" w:space="0" w:color="auto"/>
          </w:divBdr>
        </w:div>
        <w:div w:id="1911767317">
          <w:marLeft w:val="274"/>
          <w:marRight w:val="0"/>
          <w:marTop w:val="0"/>
          <w:marBottom w:val="86"/>
          <w:divBdr>
            <w:top w:val="none" w:sz="0" w:space="0" w:color="auto"/>
            <w:left w:val="none" w:sz="0" w:space="0" w:color="auto"/>
            <w:bottom w:val="none" w:sz="0" w:space="0" w:color="auto"/>
            <w:right w:val="none" w:sz="0" w:space="0" w:color="auto"/>
          </w:divBdr>
        </w:div>
        <w:div w:id="1964847007">
          <w:marLeft w:val="274"/>
          <w:marRight w:val="0"/>
          <w:marTop w:val="0"/>
          <w:marBottom w:val="86"/>
          <w:divBdr>
            <w:top w:val="none" w:sz="0" w:space="0" w:color="auto"/>
            <w:left w:val="none" w:sz="0" w:space="0" w:color="auto"/>
            <w:bottom w:val="none" w:sz="0" w:space="0" w:color="auto"/>
            <w:right w:val="none" w:sz="0" w:space="0" w:color="auto"/>
          </w:divBdr>
        </w:div>
        <w:div w:id="2101676435">
          <w:marLeft w:val="274"/>
          <w:marRight w:val="0"/>
          <w:marTop w:val="0"/>
          <w:marBottom w:val="86"/>
          <w:divBdr>
            <w:top w:val="none" w:sz="0" w:space="0" w:color="auto"/>
            <w:left w:val="none" w:sz="0" w:space="0" w:color="auto"/>
            <w:bottom w:val="none" w:sz="0" w:space="0" w:color="auto"/>
            <w:right w:val="none" w:sz="0" w:space="0" w:color="auto"/>
          </w:divBdr>
        </w:div>
        <w:div w:id="2111004098">
          <w:marLeft w:val="274"/>
          <w:marRight w:val="0"/>
          <w:marTop w:val="0"/>
          <w:marBottom w:val="86"/>
          <w:divBdr>
            <w:top w:val="none" w:sz="0" w:space="0" w:color="auto"/>
            <w:left w:val="none" w:sz="0" w:space="0" w:color="auto"/>
            <w:bottom w:val="none" w:sz="0" w:space="0" w:color="auto"/>
            <w:right w:val="none" w:sz="0" w:space="0" w:color="auto"/>
          </w:divBdr>
        </w:div>
      </w:divsChild>
    </w:div>
    <w:div w:id="1242443375">
      <w:bodyDiv w:val="1"/>
      <w:marLeft w:val="0"/>
      <w:marRight w:val="0"/>
      <w:marTop w:val="0"/>
      <w:marBottom w:val="0"/>
      <w:divBdr>
        <w:top w:val="none" w:sz="0" w:space="0" w:color="auto"/>
        <w:left w:val="none" w:sz="0" w:space="0" w:color="auto"/>
        <w:bottom w:val="none" w:sz="0" w:space="0" w:color="auto"/>
        <w:right w:val="none" w:sz="0" w:space="0" w:color="auto"/>
      </w:divBdr>
    </w:div>
    <w:div w:id="1249730899">
      <w:bodyDiv w:val="1"/>
      <w:marLeft w:val="0"/>
      <w:marRight w:val="0"/>
      <w:marTop w:val="0"/>
      <w:marBottom w:val="0"/>
      <w:divBdr>
        <w:top w:val="none" w:sz="0" w:space="0" w:color="auto"/>
        <w:left w:val="none" w:sz="0" w:space="0" w:color="auto"/>
        <w:bottom w:val="none" w:sz="0" w:space="0" w:color="auto"/>
        <w:right w:val="none" w:sz="0" w:space="0" w:color="auto"/>
      </w:divBdr>
    </w:div>
    <w:div w:id="1255551739">
      <w:bodyDiv w:val="1"/>
      <w:marLeft w:val="0"/>
      <w:marRight w:val="0"/>
      <w:marTop w:val="0"/>
      <w:marBottom w:val="0"/>
      <w:divBdr>
        <w:top w:val="none" w:sz="0" w:space="0" w:color="auto"/>
        <w:left w:val="none" w:sz="0" w:space="0" w:color="auto"/>
        <w:bottom w:val="none" w:sz="0" w:space="0" w:color="auto"/>
        <w:right w:val="none" w:sz="0" w:space="0" w:color="auto"/>
      </w:divBdr>
      <w:divsChild>
        <w:div w:id="409544452">
          <w:marLeft w:val="0"/>
          <w:marRight w:val="0"/>
          <w:marTop w:val="0"/>
          <w:marBottom w:val="0"/>
          <w:divBdr>
            <w:top w:val="none" w:sz="0" w:space="0" w:color="auto"/>
            <w:left w:val="none" w:sz="0" w:space="0" w:color="auto"/>
            <w:bottom w:val="none" w:sz="0" w:space="0" w:color="auto"/>
            <w:right w:val="none" w:sz="0" w:space="0" w:color="auto"/>
          </w:divBdr>
        </w:div>
      </w:divsChild>
    </w:div>
    <w:div w:id="1258051481">
      <w:bodyDiv w:val="1"/>
      <w:marLeft w:val="0"/>
      <w:marRight w:val="0"/>
      <w:marTop w:val="0"/>
      <w:marBottom w:val="0"/>
      <w:divBdr>
        <w:top w:val="none" w:sz="0" w:space="0" w:color="auto"/>
        <w:left w:val="none" w:sz="0" w:space="0" w:color="auto"/>
        <w:bottom w:val="none" w:sz="0" w:space="0" w:color="auto"/>
        <w:right w:val="none" w:sz="0" w:space="0" w:color="auto"/>
      </w:divBdr>
    </w:div>
    <w:div w:id="1265383154">
      <w:bodyDiv w:val="1"/>
      <w:marLeft w:val="0"/>
      <w:marRight w:val="0"/>
      <w:marTop w:val="0"/>
      <w:marBottom w:val="0"/>
      <w:divBdr>
        <w:top w:val="none" w:sz="0" w:space="0" w:color="auto"/>
        <w:left w:val="none" w:sz="0" w:space="0" w:color="auto"/>
        <w:bottom w:val="none" w:sz="0" w:space="0" w:color="auto"/>
        <w:right w:val="none" w:sz="0" w:space="0" w:color="auto"/>
      </w:divBdr>
    </w:div>
    <w:div w:id="1288969912">
      <w:bodyDiv w:val="1"/>
      <w:marLeft w:val="0"/>
      <w:marRight w:val="0"/>
      <w:marTop w:val="0"/>
      <w:marBottom w:val="0"/>
      <w:divBdr>
        <w:top w:val="none" w:sz="0" w:space="0" w:color="auto"/>
        <w:left w:val="none" w:sz="0" w:space="0" w:color="auto"/>
        <w:bottom w:val="none" w:sz="0" w:space="0" w:color="auto"/>
        <w:right w:val="none" w:sz="0" w:space="0" w:color="auto"/>
      </w:divBdr>
    </w:div>
    <w:div w:id="1294286336">
      <w:bodyDiv w:val="1"/>
      <w:marLeft w:val="0"/>
      <w:marRight w:val="0"/>
      <w:marTop w:val="0"/>
      <w:marBottom w:val="0"/>
      <w:divBdr>
        <w:top w:val="none" w:sz="0" w:space="0" w:color="auto"/>
        <w:left w:val="none" w:sz="0" w:space="0" w:color="auto"/>
        <w:bottom w:val="none" w:sz="0" w:space="0" w:color="auto"/>
        <w:right w:val="none" w:sz="0" w:space="0" w:color="auto"/>
      </w:divBdr>
    </w:div>
    <w:div w:id="1296792196">
      <w:bodyDiv w:val="1"/>
      <w:marLeft w:val="0"/>
      <w:marRight w:val="0"/>
      <w:marTop w:val="0"/>
      <w:marBottom w:val="0"/>
      <w:divBdr>
        <w:top w:val="none" w:sz="0" w:space="0" w:color="auto"/>
        <w:left w:val="none" w:sz="0" w:space="0" w:color="auto"/>
        <w:bottom w:val="none" w:sz="0" w:space="0" w:color="auto"/>
        <w:right w:val="none" w:sz="0" w:space="0" w:color="auto"/>
      </w:divBdr>
    </w:div>
    <w:div w:id="1302688424">
      <w:bodyDiv w:val="1"/>
      <w:marLeft w:val="0"/>
      <w:marRight w:val="0"/>
      <w:marTop w:val="0"/>
      <w:marBottom w:val="0"/>
      <w:divBdr>
        <w:top w:val="none" w:sz="0" w:space="0" w:color="auto"/>
        <w:left w:val="none" w:sz="0" w:space="0" w:color="auto"/>
        <w:bottom w:val="none" w:sz="0" w:space="0" w:color="auto"/>
        <w:right w:val="none" w:sz="0" w:space="0" w:color="auto"/>
      </w:divBdr>
    </w:div>
    <w:div w:id="1306743594">
      <w:bodyDiv w:val="1"/>
      <w:marLeft w:val="0"/>
      <w:marRight w:val="0"/>
      <w:marTop w:val="0"/>
      <w:marBottom w:val="0"/>
      <w:divBdr>
        <w:top w:val="none" w:sz="0" w:space="0" w:color="auto"/>
        <w:left w:val="none" w:sz="0" w:space="0" w:color="auto"/>
        <w:bottom w:val="none" w:sz="0" w:space="0" w:color="auto"/>
        <w:right w:val="none" w:sz="0" w:space="0" w:color="auto"/>
      </w:divBdr>
    </w:div>
    <w:div w:id="1329021860">
      <w:bodyDiv w:val="1"/>
      <w:marLeft w:val="0"/>
      <w:marRight w:val="0"/>
      <w:marTop w:val="0"/>
      <w:marBottom w:val="0"/>
      <w:divBdr>
        <w:top w:val="none" w:sz="0" w:space="0" w:color="auto"/>
        <w:left w:val="none" w:sz="0" w:space="0" w:color="auto"/>
        <w:bottom w:val="none" w:sz="0" w:space="0" w:color="auto"/>
        <w:right w:val="none" w:sz="0" w:space="0" w:color="auto"/>
      </w:divBdr>
    </w:div>
    <w:div w:id="1330987823">
      <w:bodyDiv w:val="1"/>
      <w:marLeft w:val="0"/>
      <w:marRight w:val="0"/>
      <w:marTop w:val="0"/>
      <w:marBottom w:val="0"/>
      <w:divBdr>
        <w:top w:val="none" w:sz="0" w:space="0" w:color="auto"/>
        <w:left w:val="none" w:sz="0" w:space="0" w:color="auto"/>
        <w:bottom w:val="none" w:sz="0" w:space="0" w:color="auto"/>
        <w:right w:val="none" w:sz="0" w:space="0" w:color="auto"/>
      </w:divBdr>
    </w:div>
    <w:div w:id="1340964376">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56612144">
      <w:bodyDiv w:val="1"/>
      <w:marLeft w:val="0"/>
      <w:marRight w:val="0"/>
      <w:marTop w:val="0"/>
      <w:marBottom w:val="0"/>
      <w:divBdr>
        <w:top w:val="none" w:sz="0" w:space="0" w:color="auto"/>
        <w:left w:val="none" w:sz="0" w:space="0" w:color="auto"/>
        <w:bottom w:val="none" w:sz="0" w:space="0" w:color="auto"/>
        <w:right w:val="none" w:sz="0" w:space="0" w:color="auto"/>
      </w:divBdr>
    </w:div>
    <w:div w:id="1360007170">
      <w:bodyDiv w:val="1"/>
      <w:marLeft w:val="0"/>
      <w:marRight w:val="0"/>
      <w:marTop w:val="0"/>
      <w:marBottom w:val="0"/>
      <w:divBdr>
        <w:top w:val="none" w:sz="0" w:space="0" w:color="auto"/>
        <w:left w:val="none" w:sz="0" w:space="0" w:color="auto"/>
        <w:bottom w:val="none" w:sz="0" w:space="0" w:color="auto"/>
        <w:right w:val="none" w:sz="0" w:space="0" w:color="auto"/>
      </w:divBdr>
    </w:div>
    <w:div w:id="1378967419">
      <w:bodyDiv w:val="1"/>
      <w:marLeft w:val="0"/>
      <w:marRight w:val="0"/>
      <w:marTop w:val="0"/>
      <w:marBottom w:val="0"/>
      <w:divBdr>
        <w:top w:val="none" w:sz="0" w:space="0" w:color="auto"/>
        <w:left w:val="none" w:sz="0" w:space="0" w:color="auto"/>
        <w:bottom w:val="none" w:sz="0" w:space="0" w:color="auto"/>
        <w:right w:val="none" w:sz="0" w:space="0" w:color="auto"/>
      </w:divBdr>
      <w:divsChild>
        <w:div w:id="83187801">
          <w:marLeft w:val="274"/>
          <w:marRight w:val="0"/>
          <w:marTop w:val="0"/>
          <w:marBottom w:val="86"/>
          <w:divBdr>
            <w:top w:val="none" w:sz="0" w:space="0" w:color="auto"/>
            <w:left w:val="none" w:sz="0" w:space="0" w:color="auto"/>
            <w:bottom w:val="none" w:sz="0" w:space="0" w:color="auto"/>
            <w:right w:val="none" w:sz="0" w:space="0" w:color="auto"/>
          </w:divBdr>
        </w:div>
        <w:div w:id="301888719">
          <w:marLeft w:val="274"/>
          <w:marRight w:val="0"/>
          <w:marTop w:val="0"/>
          <w:marBottom w:val="86"/>
          <w:divBdr>
            <w:top w:val="none" w:sz="0" w:space="0" w:color="auto"/>
            <w:left w:val="none" w:sz="0" w:space="0" w:color="auto"/>
            <w:bottom w:val="none" w:sz="0" w:space="0" w:color="auto"/>
            <w:right w:val="none" w:sz="0" w:space="0" w:color="auto"/>
          </w:divBdr>
        </w:div>
        <w:div w:id="1108542355">
          <w:marLeft w:val="274"/>
          <w:marRight w:val="0"/>
          <w:marTop w:val="0"/>
          <w:marBottom w:val="86"/>
          <w:divBdr>
            <w:top w:val="none" w:sz="0" w:space="0" w:color="auto"/>
            <w:left w:val="none" w:sz="0" w:space="0" w:color="auto"/>
            <w:bottom w:val="none" w:sz="0" w:space="0" w:color="auto"/>
            <w:right w:val="none" w:sz="0" w:space="0" w:color="auto"/>
          </w:divBdr>
        </w:div>
        <w:div w:id="1152022621">
          <w:marLeft w:val="274"/>
          <w:marRight w:val="0"/>
          <w:marTop w:val="0"/>
          <w:marBottom w:val="86"/>
          <w:divBdr>
            <w:top w:val="none" w:sz="0" w:space="0" w:color="auto"/>
            <w:left w:val="none" w:sz="0" w:space="0" w:color="auto"/>
            <w:bottom w:val="none" w:sz="0" w:space="0" w:color="auto"/>
            <w:right w:val="none" w:sz="0" w:space="0" w:color="auto"/>
          </w:divBdr>
        </w:div>
      </w:divsChild>
    </w:div>
    <w:div w:id="1379550394">
      <w:bodyDiv w:val="1"/>
      <w:marLeft w:val="0"/>
      <w:marRight w:val="0"/>
      <w:marTop w:val="0"/>
      <w:marBottom w:val="0"/>
      <w:divBdr>
        <w:top w:val="none" w:sz="0" w:space="0" w:color="auto"/>
        <w:left w:val="none" w:sz="0" w:space="0" w:color="auto"/>
        <w:bottom w:val="none" w:sz="0" w:space="0" w:color="auto"/>
        <w:right w:val="none" w:sz="0" w:space="0" w:color="auto"/>
      </w:divBdr>
    </w:div>
    <w:div w:id="1390953840">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00787144">
      <w:bodyDiv w:val="1"/>
      <w:marLeft w:val="0"/>
      <w:marRight w:val="0"/>
      <w:marTop w:val="0"/>
      <w:marBottom w:val="0"/>
      <w:divBdr>
        <w:top w:val="none" w:sz="0" w:space="0" w:color="auto"/>
        <w:left w:val="none" w:sz="0" w:space="0" w:color="auto"/>
        <w:bottom w:val="none" w:sz="0" w:space="0" w:color="auto"/>
        <w:right w:val="none" w:sz="0" w:space="0" w:color="auto"/>
      </w:divBdr>
    </w:div>
    <w:div w:id="1406683444">
      <w:bodyDiv w:val="1"/>
      <w:marLeft w:val="0"/>
      <w:marRight w:val="0"/>
      <w:marTop w:val="0"/>
      <w:marBottom w:val="0"/>
      <w:divBdr>
        <w:top w:val="none" w:sz="0" w:space="0" w:color="auto"/>
        <w:left w:val="none" w:sz="0" w:space="0" w:color="auto"/>
        <w:bottom w:val="none" w:sz="0" w:space="0" w:color="auto"/>
        <w:right w:val="none" w:sz="0" w:space="0" w:color="auto"/>
      </w:divBdr>
    </w:div>
    <w:div w:id="1443113709">
      <w:bodyDiv w:val="1"/>
      <w:marLeft w:val="0"/>
      <w:marRight w:val="0"/>
      <w:marTop w:val="0"/>
      <w:marBottom w:val="0"/>
      <w:divBdr>
        <w:top w:val="none" w:sz="0" w:space="0" w:color="auto"/>
        <w:left w:val="none" w:sz="0" w:space="0" w:color="auto"/>
        <w:bottom w:val="none" w:sz="0" w:space="0" w:color="auto"/>
        <w:right w:val="none" w:sz="0" w:space="0" w:color="auto"/>
      </w:divBdr>
    </w:div>
    <w:div w:id="1443526411">
      <w:bodyDiv w:val="1"/>
      <w:marLeft w:val="0"/>
      <w:marRight w:val="0"/>
      <w:marTop w:val="0"/>
      <w:marBottom w:val="0"/>
      <w:divBdr>
        <w:top w:val="none" w:sz="0" w:space="0" w:color="auto"/>
        <w:left w:val="none" w:sz="0" w:space="0" w:color="auto"/>
        <w:bottom w:val="none" w:sz="0" w:space="0" w:color="auto"/>
        <w:right w:val="none" w:sz="0" w:space="0" w:color="auto"/>
      </w:divBdr>
    </w:div>
    <w:div w:id="1455058963">
      <w:bodyDiv w:val="1"/>
      <w:marLeft w:val="0"/>
      <w:marRight w:val="0"/>
      <w:marTop w:val="0"/>
      <w:marBottom w:val="0"/>
      <w:divBdr>
        <w:top w:val="none" w:sz="0" w:space="0" w:color="auto"/>
        <w:left w:val="none" w:sz="0" w:space="0" w:color="auto"/>
        <w:bottom w:val="none" w:sz="0" w:space="0" w:color="auto"/>
        <w:right w:val="none" w:sz="0" w:space="0" w:color="auto"/>
      </w:divBdr>
    </w:div>
    <w:div w:id="1457721671">
      <w:bodyDiv w:val="1"/>
      <w:marLeft w:val="0"/>
      <w:marRight w:val="0"/>
      <w:marTop w:val="0"/>
      <w:marBottom w:val="0"/>
      <w:divBdr>
        <w:top w:val="none" w:sz="0" w:space="0" w:color="auto"/>
        <w:left w:val="none" w:sz="0" w:space="0" w:color="auto"/>
        <w:bottom w:val="none" w:sz="0" w:space="0" w:color="auto"/>
        <w:right w:val="none" w:sz="0" w:space="0" w:color="auto"/>
      </w:divBdr>
    </w:div>
    <w:div w:id="1488010350">
      <w:bodyDiv w:val="1"/>
      <w:marLeft w:val="0"/>
      <w:marRight w:val="0"/>
      <w:marTop w:val="0"/>
      <w:marBottom w:val="0"/>
      <w:divBdr>
        <w:top w:val="none" w:sz="0" w:space="0" w:color="auto"/>
        <w:left w:val="none" w:sz="0" w:space="0" w:color="auto"/>
        <w:bottom w:val="none" w:sz="0" w:space="0" w:color="auto"/>
        <w:right w:val="none" w:sz="0" w:space="0" w:color="auto"/>
      </w:divBdr>
    </w:div>
    <w:div w:id="1511136290">
      <w:bodyDiv w:val="1"/>
      <w:marLeft w:val="0"/>
      <w:marRight w:val="0"/>
      <w:marTop w:val="0"/>
      <w:marBottom w:val="0"/>
      <w:divBdr>
        <w:top w:val="none" w:sz="0" w:space="0" w:color="auto"/>
        <w:left w:val="none" w:sz="0" w:space="0" w:color="auto"/>
        <w:bottom w:val="none" w:sz="0" w:space="0" w:color="auto"/>
        <w:right w:val="none" w:sz="0" w:space="0" w:color="auto"/>
      </w:divBdr>
    </w:div>
    <w:div w:id="1523325859">
      <w:bodyDiv w:val="1"/>
      <w:marLeft w:val="0"/>
      <w:marRight w:val="0"/>
      <w:marTop w:val="0"/>
      <w:marBottom w:val="0"/>
      <w:divBdr>
        <w:top w:val="none" w:sz="0" w:space="0" w:color="auto"/>
        <w:left w:val="none" w:sz="0" w:space="0" w:color="auto"/>
        <w:bottom w:val="none" w:sz="0" w:space="0" w:color="auto"/>
        <w:right w:val="none" w:sz="0" w:space="0" w:color="auto"/>
      </w:divBdr>
    </w:div>
    <w:div w:id="1530676972">
      <w:bodyDiv w:val="1"/>
      <w:marLeft w:val="0"/>
      <w:marRight w:val="0"/>
      <w:marTop w:val="0"/>
      <w:marBottom w:val="0"/>
      <w:divBdr>
        <w:top w:val="none" w:sz="0" w:space="0" w:color="auto"/>
        <w:left w:val="none" w:sz="0" w:space="0" w:color="auto"/>
        <w:bottom w:val="none" w:sz="0" w:space="0" w:color="auto"/>
        <w:right w:val="none" w:sz="0" w:space="0" w:color="auto"/>
      </w:divBdr>
    </w:div>
    <w:div w:id="1550609591">
      <w:bodyDiv w:val="1"/>
      <w:marLeft w:val="0"/>
      <w:marRight w:val="0"/>
      <w:marTop w:val="0"/>
      <w:marBottom w:val="0"/>
      <w:divBdr>
        <w:top w:val="none" w:sz="0" w:space="0" w:color="auto"/>
        <w:left w:val="none" w:sz="0" w:space="0" w:color="auto"/>
        <w:bottom w:val="none" w:sz="0" w:space="0" w:color="auto"/>
        <w:right w:val="none" w:sz="0" w:space="0" w:color="auto"/>
      </w:divBdr>
    </w:div>
    <w:div w:id="1553038740">
      <w:bodyDiv w:val="1"/>
      <w:marLeft w:val="0"/>
      <w:marRight w:val="0"/>
      <w:marTop w:val="0"/>
      <w:marBottom w:val="0"/>
      <w:divBdr>
        <w:top w:val="none" w:sz="0" w:space="0" w:color="auto"/>
        <w:left w:val="none" w:sz="0" w:space="0" w:color="auto"/>
        <w:bottom w:val="none" w:sz="0" w:space="0" w:color="auto"/>
        <w:right w:val="none" w:sz="0" w:space="0" w:color="auto"/>
      </w:divBdr>
    </w:div>
    <w:div w:id="1555966126">
      <w:bodyDiv w:val="1"/>
      <w:marLeft w:val="0"/>
      <w:marRight w:val="0"/>
      <w:marTop w:val="0"/>
      <w:marBottom w:val="0"/>
      <w:divBdr>
        <w:top w:val="none" w:sz="0" w:space="0" w:color="auto"/>
        <w:left w:val="none" w:sz="0" w:space="0" w:color="auto"/>
        <w:bottom w:val="none" w:sz="0" w:space="0" w:color="auto"/>
        <w:right w:val="none" w:sz="0" w:space="0" w:color="auto"/>
      </w:divBdr>
    </w:div>
    <w:div w:id="1562785040">
      <w:bodyDiv w:val="1"/>
      <w:marLeft w:val="0"/>
      <w:marRight w:val="0"/>
      <w:marTop w:val="0"/>
      <w:marBottom w:val="0"/>
      <w:divBdr>
        <w:top w:val="none" w:sz="0" w:space="0" w:color="auto"/>
        <w:left w:val="none" w:sz="0" w:space="0" w:color="auto"/>
        <w:bottom w:val="none" w:sz="0" w:space="0" w:color="auto"/>
        <w:right w:val="none" w:sz="0" w:space="0" w:color="auto"/>
      </w:divBdr>
    </w:div>
    <w:div w:id="1565556047">
      <w:bodyDiv w:val="1"/>
      <w:marLeft w:val="0"/>
      <w:marRight w:val="0"/>
      <w:marTop w:val="0"/>
      <w:marBottom w:val="0"/>
      <w:divBdr>
        <w:top w:val="none" w:sz="0" w:space="0" w:color="auto"/>
        <w:left w:val="none" w:sz="0" w:space="0" w:color="auto"/>
        <w:bottom w:val="none" w:sz="0" w:space="0" w:color="auto"/>
        <w:right w:val="none" w:sz="0" w:space="0" w:color="auto"/>
      </w:divBdr>
    </w:div>
    <w:div w:id="1575503020">
      <w:bodyDiv w:val="1"/>
      <w:marLeft w:val="0"/>
      <w:marRight w:val="0"/>
      <w:marTop w:val="0"/>
      <w:marBottom w:val="0"/>
      <w:divBdr>
        <w:top w:val="none" w:sz="0" w:space="0" w:color="auto"/>
        <w:left w:val="none" w:sz="0" w:space="0" w:color="auto"/>
        <w:bottom w:val="none" w:sz="0" w:space="0" w:color="auto"/>
        <w:right w:val="none" w:sz="0" w:space="0" w:color="auto"/>
      </w:divBdr>
    </w:div>
    <w:div w:id="1590118956">
      <w:bodyDiv w:val="1"/>
      <w:marLeft w:val="0"/>
      <w:marRight w:val="0"/>
      <w:marTop w:val="0"/>
      <w:marBottom w:val="0"/>
      <w:divBdr>
        <w:top w:val="none" w:sz="0" w:space="0" w:color="auto"/>
        <w:left w:val="none" w:sz="0" w:space="0" w:color="auto"/>
        <w:bottom w:val="none" w:sz="0" w:space="0" w:color="auto"/>
        <w:right w:val="none" w:sz="0" w:space="0" w:color="auto"/>
      </w:divBdr>
    </w:div>
    <w:div w:id="1611234108">
      <w:bodyDiv w:val="1"/>
      <w:marLeft w:val="0"/>
      <w:marRight w:val="0"/>
      <w:marTop w:val="0"/>
      <w:marBottom w:val="0"/>
      <w:divBdr>
        <w:top w:val="none" w:sz="0" w:space="0" w:color="auto"/>
        <w:left w:val="none" w:sz="0" w:space="0" w:color="auto"/>
        <w:bottom w:val="none" w:sz="0" w:space="0" w:color="auto"/>
        <w:right w:val="none" w:sz="0" w:space="0" w:color="auto"/>
      </w:divBdr>
    </w:div>
    <w:div w:id="1614552993">
      <w:bodyDiv w:val="1"/>
      <w:marLeft w:val="0"/>
      <w:marRight w:val="0"/>
      <w:marTop w:val="0"/>
      <w:marBottom w:val="0"/>
      <w:divBdr>
        <w:top w:val="none" w:sz="0" w:space="0" w:color="auto"/>
        <w:left w:val="none" w:sz="0" w:space="0" w:color="auto"/>
        <w:bottom w:val="none" w:sz="0" w:space="0" w:color="auto"/>
        <w:right w:val="none" w:sz="0" w:space="0" w:color="auto"/>
      </w:divBdr>
    </w:div>
    <w:div w:id="1618873613">
      <w:bodyDiv w:val="1"/>
      <w:marLeft w:val="0"/>
      <w:marRight w:val="0"/>
      <w:marTop w:val="0"/>
      <w:marBottom w:val="0"/>
      <w:divBdr>
        <w:top w:val="none" w:sz="0" w:space="0" w:color="auto"/>
        <w:left w:val="none" w:sz="0" w:space="0" w:color="auto"/>
        <w:bottom w:val="none" w:sz="0" w:space="0" w:color="auto"/>
        <w:right w:val="none" w:sz="0" w:space="0" w:color="auto"/>
      </w:divBdr>
    </w:div>
    <w:div w:id="1641571177">
      <w:bodyDiv w:val="1"/>
      <w:marLeft w:val="0"/>
      <w:marRight w:val="0"/>
      <w:marTop w:val="0"/>
      <w:marBottom w:val="0"/>
      <w:divBdr>
        <w:top w:val="none" w:sz="0" w:space="0" w:color="auto"/>
        <w:left w:val="none" w:sz="0" w:space="0" w:color="auto"/>
        <w:bottom w:val="none" w:sz="0" w:space="0" w:color="auto"/>
        <w:right w:val="none" w:sz="0" w:space="0" w:color="auto"/>
      </w:divBdr>
    </w:div>
    <w:div w:id="1652102114">
      <w:bodyDiv w:val="1"/>
      <w:marLeft w:val="0"/>
      <w:marRight w:val="0"/>
      <w:marTop w:val="0"/>
      <w:marBottom w:val="0"/>
      <w:divBdr>
        <w:top w:val="none" w:sz="0" w:space="0" w:color="auto"/>
        <w:left w:val="none" w:sz="0" w:space="0" w:color="auto"/>
        <w:bottom w:val="none" w:sz="0" w:space="0" w:color="auto"/>
        <w:right w:val="none" w:sz="0" w:space="0" w:color="auto"/>
      </w:divBdr>
    </w:div>
    <w:div w:id="1656907720">
      <w:bodyDiv w:val="1"/>
      <w:marLeft w:val="0"/>
      <w:marRight w:val="0"/>
      <w:marTop w:val="0"/>
      <w:marBottom w:val="0"/>
      <w:divBdr>
        <w:top w:val="none" w:sz="0" w:space="0" w:color="auto"/>
        <w:left w:val="none" w:sz="0" w:space="0" w:color="auto"/>
        <w:bottom w:val="none" w:sz="0" w:space="0" w:color="auto"/>
        <w:right w:val="none" w:sz="0" w:space="0" w:color="auto"/>
      </w:divBdr>
    </w:div>
    <w:div w:id="1659109568">
      <w:bodyDiv w:val="1"/>
      <w:marLeft w:val="0"/>
      <w:marRight w:val="0"/>
      <w:marTop w:val="0"/>
      <w:marBottom w:val="0"/>
      <w:divBdr>
        <w:top w:val="none" w:sz="0" w:space="0" w:color="auto"/>
        <w:left w:val="none" w:sz="0" w:space="0" w:color="auto"/>
        <w:bottom w:val="none" w:sz="0" w:space="0" w:color="auto"/>
        <w:right w:val="none" w:sz="0" w:space="0" w:color="auto"/>
      </w:divBdr>
    </w:div>
    <w:div w:id="1663462228">
      <w:bodyDiv w:val="1"/>
      <w:marLeft w:val="0"/>
      <w:marRight w:val="0"/>
      <w:marTop w:val="0"/>
      <w:marBottom w:val="0"/>
      <w:divBdr>
        <w:top w:val="none" w:sz="0" w:space="0" w:color="auto"/>
        <w:left w:val="none" w:sz="0" w:space="0" w:color="auto"/>
        <w:bottom w:val="none" w:sz="0" w:space="0" w:color="auto"/>
        <w:right w:val="none" w:sz="0" w:space="0" w:color="auto"/>
      </w:divBdr>
    </w:div>
    <w:div w:id="1676879395">
      <w:bodyDiv w:val="1"/>
      <w:marLeft w:val="0"/>
      <w:marRight w:val="0"/>
      <w:marTop w:val="0"/>
      <w:marBottom w:val="0"/>
      <w:divBdr>
        <w:top w:val="none" w:sz="0" w:space="0" w:color="auto"/>
        <w:left w:val="none" w:sz="0" w:space="0" w:color="auto"/>
        <w:bottom w:val="none" w:sz="0" w:space="0" w:color="auto"/>
        <w:right w:val="none" w:sz="0" w:space="0" w:color="auto"/>
      </w:divBdr>
    </w:div>
    <w:div w:id="1681002503">
      <w:bodyDiv w:val="1"/>
      <w:marLeft w:val="0"/>
      <w:marRight w:val="0"/>
      <w:marTop w:val="0"/>
      <w:marBottom w:val="0"/>
      <w:divBdr>
        <w:top w:val="none" w:sz="0" w:space="0" w:color="auto"/>
        <w:left w:val="none" w:sz="0" w:space="0" w:color="auto"/>
        <w:bottom w:val="none" w:sz="0" w:space="0" w:color="auto"/>
        <w:right w:val="none" w:sz="0" w:space="0" w:color="auto"/>
      </w:divBdr>
    </w:div>
    <w:div w:id="1681156700">
      <w:bodyDiv w:val="1"/>
      <w:marLeft w:val="0"/>
      <w:marRight w:val="0"/>
      <w:marTop w:val="0"/>
      <w:marBottom w:val="0"/>
      <w:divBdr>
        <w:top w:val="none" w:sz="0" w:space="0" w:color="auto"/>
        <w:left w:val="none" w:sz="0" w:space="0" w:color="auto"/>
        <w:bottom w:val="none" w:sz="0" w:space="0" w:color="auto"/>
        <w:right w:val="none" w:sz="0" w:space="0" w:color="auto"/>
      </w:divBdr>
    </w:div>
    <w:div w:id="1698774263">
      <w:bodyDiv w:val="1"/>
      <w:marLeft w:val="0"/>
      <w:marRight w:val="0"/>
      <w:marTop w:val="0"/>
      <w:marBottom w:val="0"/>
      <w:divBdr>
        <w:top w:val="none" w:sz="0" w:space="0" w:color="auto"/>
        <w:left w:val="none" w:sz="0" w:space="0" w:color="auto"/>
        <w:bottom w:val="none" w:sz="0" w:space="0" w:color="auto"/>
        <w:right w:val="none" w:sz="0" w:space="0" w:color="auto"/>
      </w:divBdr>
    </w:div>
    <w:div w:id="1726874240">
      <w:bodyDiv w:val="1"/>
      <w:marLeft w:val="0"/>
      <w:marRight w:val="0"/>
      <w:marTop w:val="0"/>
      <w:marBottom w:val="0"/>
      <w:divBdr>
        <w:top w:val="none" w:sz="0" w:space="0" w:color="auto"/>
        <w:left w:val="none" w:sz="0" w:space="0" w:color="auto"/>
        <w:bottom w:val="none" w:sz="0" w:space="0" w:color="auto"/>
        <w:right w:val="none" w:sz="0" w:space="0" w:color="auto"/>
      </w:divBdr>
    </w:div>
    <w:div w:id="1742293138">
      <w:bodyDiv w:val="1"/>
      <w:marLeft w:val="0"/>
      <w:marRight w:val="0"/>
      <w:marTop w:val="0"/>
      <w:marBottom w:val="0"/>
      <w:divBdr>
        <w:top w:val="none" w:sz="0" w:space="0" w:color="auto"/>
        <w:left w:val="none" w:sz="0" w:space="0" w:color="auto"/>
        <w:bottom w:val="none" w:sz="0" w:space="0" w:color="auto"/>
        <w:right w:val="none" w:sz="0" w:space="0" w:color="auto"/>
      </w:divBdr>
    </w:div>
    <w:div w:id="1743530062">
      <w:bodyDiv w:val="1"/>
      <w:marLeft w:val="0"/>
      <w:marRight w:val="0"/>
      <w:marTop w:val="0"/>
      <w:marBottom w:val="0"/>
      <w:divBdr>
        <w:top w:val="none" w:sz="0" w:space="0" w:color="auto"/>
        <w:left w:val="none" w:sz="0" w:space="0" w:color="auto"/>
        <w:bottom w:val="none" w:sz="0" w:space="0" w:color="auto"/>
        <w:right w:val="none" w:sz="0" w:space="0" w:color="auto"/>
      </w:divBdr>
    </w:div>
    <w:div w:id="1745057290">
      <w:bodyDiv w:val="1"/>
      <w:marLeft w:val="0"/>
      <w:marRight w:val="0"/>
      <w:marTop w:val="0"/>
      <w:marBottom w:val="0"/>
      <w:divBdr>
        <w:top w:val="none" w:sz="0" w:space="0" w:color="auto"/>
        <w:left w:val="none" w:sz="0" w:space="0" w:color="auto"/>
        <w:bottom w:val="none" w:sz="0" w:space="0" w:color="auto"/>
        <w:right w:val="none" w:sz="0" w:space="0" w:color="auto"/>
      </w:divBdr>
    </w:div>
    <w:div w:id="1752698688">
      <w:bodyDiv w:val="1"/>
      <w:marLeft w:val="0"/>
      <w:marRight w:val="0"/>
      <w:marTop w:val="0"/>
      <w:marBottom w:val="0"/>
      <w:divBdr>
        <w:top w:val="none" w:sz="0" w:space="0" w:color="auto"/>
        <w:left w:val="none" w:sz="0" w:space="0" w:color="auto"/>
        <w:bottom w:val="none" w:sz="0" w:space="0" w:color="auto"/>
        <w:right w:val="none" w:sz="0" w:space="0" w:color="auto"/>
      </w:divBdr>
    </w:div>
    <w:div w:id="1768186178">
      <w:bodyDiv w:val="1"/>
      <w:marLeft w:val="0"/>
      <w:marRight w:val="0"/>
      <w:marTop w:val="0"/>
      <w:marBottom w:val="0"/>
      <w:divBdr>
        <w:top w:val="none" w:sz="0" w:space="0" w:color="auto"/>
        <w:left w:val="none" w:sz="0" w:space="0" w:color="auto"/>
        <w:bottom w:val="none" w:sz="0" w:space="0" w:color="auto"/>
        <w:right w:val="none" w:sz="0" w:space="0" w:color="auto"/>
      </w:divBdr>
    </w:div>
    <w:div w:id="1781947317">
      <w:bodyDiv w:val="1"/>
      <w:marLeft w:val="0"/>
      <w:marRight w:val="0"/>
      <w:marTop w:val="0"/>
      <w:marBottom w:val="0"/>
      <w:divBdr>
        <w:top w:val="none" w:sz="0" w:space="0" w:color="auto"/>
        <w:left w:val="none" w:sz="0" w:space="0" w:color="auto"/>
        <w:bottom w:val="none" w:sz="0" w:space="0" w:color="auto"/>
        <w:right w:val="none" w:sz="0" w:space="0" w:color="auto"/>
      </w:divBdr>
    </w:div>
    <w:div w:id="1797530728">
      <w:bodyDiv w:val="1"/>
      <w:marLeft w:val="0"/>
      <w:marRight w:val="0"/>
      <w:marTop w:val="0"/>
      <w:marBottom w:val="0"/>
      <w:divBdr>
        <w:top w:val="none" w:sz="0" w:space="0" w:color="auto"/>
        <w:left w:val="none" w:sz="0" w:space="0" w:color="auto"/>
        <w:bottom w:val="none" w:sz="0" w:space="0" w:color="auto"/>
        <w:right w:val="none" w:sz="0" w:space="0" w:color="auto"/>
      </w:divBdr>
    </w:div>
    <w:div w:id="1797870676">
      <w:bodyDiv w:val="1"/>
      <w:marLeft w:val="0"/>
      <w:marRight w:val="0"/>
      <w:marTop w:val="0"/>
      <w:marBottom w:val="0"/>
      <w:divBdr>
        <w:top w:val="none" w:sz="0" w:space="0" w:color="auto"/>
        <w:left w:val="none" w:sz="0" w:space="0" w:color="auto"/>
        <w:bottom w:val="none" w:sz="0" w:space="0" w:color="auto"/>
        <w:right w:val="none" w:sz="0" w:space="0" w:color="auto"/>
      </w:divBdr>
    </w:div>
    <w:div w:id="1805660506">
      <w:bodyDiv w:val="1"/>
      <w:marLeft w:val="0"/>
      <w:marRight w:val="0"/>
      <w:marTop w:val="0"/>
      <w:marBottom w:val="0"/>
      <w:divBdr>
        <w:top w:val="none" w:sz="0" w:space="0" w:color="auto"/>
        <w:left w:val="none" w:sz="0" w:space="0" w:color="auto"/>
        <w:bottom w:val="none" w:sz="0" w:space="0" w:color="auto"/>
        <w:right w:val="none" w:sz="0" w:space="0" w:color="auto"/>
      </w:divBdr>
    </w:div>
    <w:div w:id="1819299250">
      <w:bodyDiv w:val="1"/>
      <w:marLeft w:val="0"/>
      <w:marRight w:val="0"/>
      <w:marTop w:val="0"/>
      <w:marBottom w:val="0"/>
      <w:divBdr>
        <w:top w:val="none" w:sz="0" w:space="0" w:color="auto"/>
        <w:left w:val="none" w:sz="0" w:space="0" w:color="auto"/>
        <w:bottom w:val="none" w:sz="0" w:space="0" w:color="auto"/>
        <w:right w:val="none" w:sz="0" w:space="0" w:color="auto"/>
      </w:divBdr>
    </w:div>
    <w:div w:id="1834250890">
      <w:bodyDiv w:val="1"/>
      <w:marLeft w:val="0"/>
      <w:marRight w:val="0"/>
      <w:marTop w:val="0"/>
      <w:marBottom w:val="0"/>
      <w:divBdr>
        <w:top w:val="none" w:sz="0" w:space="0" w:color="auto"/>
        <w:left w:val="none" w:sz="0" w:space="0" w:color="auto"/>
        <w:bottom w:val="none" w:sz="0" w:space="0" w:color="auto"/>
        <w:right w:val="none" w:sz="0" w:space="0" w:color="auto"/>
      </w:divBdr>
    </w:div>
    <w:div w:id="1841770047">
      <w:bodyDiv w:val="1"/>
      <w:marLeft w:val="0"/>
      <w:marRight w:val="0"/>
      <w:marTop w:val="0"/>
      <w:marBottom w:val="0"/>
      <w:divBdr>
        <w:top w:val="none" w:sz="0" w:space="0" w:color="auto"/>
        <w:left w:val="none" w:sz="0" w:space="0" w:color="auto"/>
        <w:bottom w:val="none" w:sz="0" w:space="0" w:color="auto"/>
        <w:right w:val="none" w:sz="0" w:space="0" w:color="auto"/>
      </w:divBdr>
    </w:div>
    <w:div w:id="1856188519">
      <w:bodyDiv w:val="1"/>
      <w:marLeft w:val="0"/>
      <w:marRight w:val="0"/>
      <w:marTop w:val="0"/>
      <w:marBottom w:val="0"/>
      <w:divBdr>
        <w:top w:val="none" w:sz="0" w:space="0" w:color="auto"/>
        <w:left w:val="none" w:sz="0" w:space="0" w:color="auto"/>
        <w:bottom w:val="none" w:sz="0" w:space="0" w:color="auto"/>
        <w:right w:val="none" w:sz="0" w:space="0" w:color="auto"/>
      </w:divBdr>
    </w:div>
    <w:div w:id="1864056860">
      <w:bodyDiv w:val="1"/>
      <w:marLeft w:val="0"/>
      <w:marRight w:val="0"/>
      <w:marTop w:val="0"/>
      <w:marBottom w:val="0"/>
      <w:divBdr>
        <w:top w:val="none" w:sz="0" w:space="0" w:color="auto"/>
        <w:left w:val="none" w:sz="0" w:space="0" w:color="auto"/>
        <w:bottom w:val="none" w:sz="0" w:space="0" w:color="auto"/>
        <w:right w:val="none" w:sz="0" w:space="0" w:color="auto"/>
      </w:divBdr>
    </w:div>
    <w:div w:id="1871147228">
      <w:bodyDiv w:val="1"/>
      <w:marLeft w:val="0"/>
      <w:marRight w:val="0"/>
      <w:marTop w:val="0"/>
      <w:marBottom w:val="0"/>
      <w:divBdr>
        <w:top w:val="none" w:sz="0" w:space="0" w:color="auto"/>
        <w:left w:val="none" w:sz="0" w:space="0" w:color="auto"/>
        <w:bottom w:val="none" w:sz="0" w:space="0" w:color="auto"/>
        <w:right w:val="none" w:sz="0" w:space="0" w:color="auto"/>
      </w:divBdr>
    </w:div>
    <w:div w:id="1877154003">
      <w:bodyDiv w:val="1"/>
      <w:marLeft w:val="0"/>
      <w:marRight w:val="0"/>
      <w:marTop w:val="0"/>
      <w:marBottom w:val="0"/>
      <w:divBdr>
        <w:top w:val="none" w:sz="0" w:space="0" w:color="auto"/>
        <w:left w:val="none" w:sz="0" w:space="0" w:color="auto"/>
        <w:bottom w:val="none" w:sz="0" w:space="0" w:color="auto"/>
        <w:right w:val="none" w:sz="0" w:space="0" w:color="auto"/>
      </w:divBdr>
    </w:div>
    <w:div w:id="1894192897">
      <w:bodyDiv w:val="1"/>
      <w:marLeft w:val="0"/>
      <w:marRight w:val="0"/>
      <w:marTop w:val="0"/>
      <w:marBottom w:val="0"/>
      <w:divBdr>
        <w:top w:val="none" w:sz="0" w:space="0" w:color="auto"/>
        <w:left w:val="none" w:sz="0" w:space="0" w:color="auto"/>
        <w:bottom w:val="none" w:sz="0" w:space="0" w:color="auto"/>
        <w:right w:val="none" w:sz="0" w:space="0" w:color="auto"/>
      </w:divBdr>
    </w:div>
    <w:div w:id="1910186754">
      <w:bodyDiv w:val="1"/>
      <w:marLeft w:val="0"/>
      <w:marRight w:val="0"/>
      <w:marTop w:val="0"/>
      <w:marBottom w:val="0"/>
      <w:divBdr>
        <w:top w:val="none" w:sz="0" w:space="0" w:color="auto"/>
        <w:left w:val="none" w:sz="0" w:space="0" w:color="auto"/>
        <w:bottom w:val="none" w:sz="0" w:space="0" w:color="auto"/>
        <w:right w:val="none" w:sz="0" w:space="0" w:color="auto"/>
      </w:divBdr>
    </w:div>
    <w:div w:id="1920402012">
      <w:bodyDiv w:val="1"/>
      <w:marLeft w:val="0"/>
      <w:marRight w:val="0"/>
      <w:marTop w:val="0"/>
      <w:marBottom w:val="0"/>
      <w:divBdr>
        <w:top w:val="none" w:sz="0" w:space="0" w:color="auto"/>
        <w:left w:val="none" w:sz="0" w:space="0" w:color="auto"/>
        <w:bottom w:val="none" w:sz="0" w:space="0" w:color="auto"/>
        <w:right w:val="none" w:sz="0" w:space="0" w:color="auto"/>
      </w:divBdr>
    </w:div>
    <w:div w:id="1925529057">
      <w:bodyDiv w:val="1"/>
      <w:marLeft w:val="0"/>
      <w:marRight w:val="0"/>
      <w:marTop w:val="0"/>
      <w:marBottom w:val="0"/>
      <w:divBdr>
        <w:top w:val="none" w:sz="0" w:space="0" w:color="auto"/>
        <w:left w:val="none" w:sz="0" w:space="0" w:color="auto"/>
        <w:bottom w:val="none" w:sz="0" w:space="0" w:color="auto"/>
        <w:right w:val="none" w:sz="0" w:space="0" w:color="auto"/>
      </w:divBdr>
    </w:div>
    <w:div w:id="1929271992">
      <w:bodyDiv w:val="1"/>
      <w:marLeft w:val="0"/>
      <w:marRight w:val="0"/>
      <w:marTop w:val="0"/>
      <w:marBottom w:val="0"/>
      <w:divBdr>
        <w:top w:val="none" w:sz="0" w:space="0" w:color="auto"/>
        <w:left w:val="none" w:sz="0" w:space="0" w:color="auto"/>
        <w:bottom w:val="none" w:sz="0" w:space="0" w:color="auto"/>
        <w:right w:val="none" w:sz="0" w:space="0" w:color="auto"/>
      </w:divBdr>
    </w:div>
    <w:div w:id="1992950013">
      <w:bodyDiv w:val="1"/>
      <w:marLeft w:val="0"/>
      <w:marRight w:val="0"/>
      <w:marTop w:val="0"/>
      <w:marBottom w:val="0"/>
      <w:divBdr>
        <w:top w:val="none" w:sz="0" w:space="0" w:color="auto"/>
        <w:left w:val="none" w:sz="0" w:space="0" w:color="auto"/>
        <w:bottom w:val="none" w:sz="0" w:space="0" w:color="auto"/>
        <w:right w:val="none" w:sz="0" w:space="0" w:color="auto"/>
      </w:divBdr>
    </w:div>
    <w:div w:id="1992977524">
      <w:bodyDiv w:val="1"/>
      <w:marLeft w:val="0"/>
      <w:marRight w:val="0"/>
      <w:marTop w:val="0"/>
      <w:marBottom w:val="0"/>
      <w:divBdr>
        <w:top w:val="none" w:sz="0" w:space="0" w:color="auto"/>
        <w:left w:val="none" w:sz="0" w:space="0" w:color="auto"/>
        <w:bottom w:val="none" w:sz="0" w:space="0" w:color="auto"/>
        <w:right w:val="none" w:sz="0" w:space="0" w:color="auto"/>
      </w:divBdr>
    </w:div>
    <w:div w:id="1999726234">
      <w:bodyDiv w:val="1"/>
      <w:marLeft w:val="0"/>
      <w:marRight w:val="0"/>
      <w:marTop w:val="0"/>
      <w:marBottom w:val="0"/>
      <w:divBdr>
        <w:top w:val="none" w:sz="0" w:space="0" w:color="auto"/>
        <w:left w:val="none" w:sz="0" w:space="0" w:color="auto"/>
        <w:bottom w:val="none" w:sz="0" w:space="0" w:color="auto"/>
        <w:right w:val="none" w:sz="0" w:space="0" w:color="auto"/>
      </w:divBdr>
    </w:div>
    <w:div w:id="2001076682">
      <w:bodyDiv w:val="1"/>
      <w:marLeft w:val="0"/>
      <w:marRight w:val="0"/>
      <w:marTop w:val="0"/>
      <w:marBottom w:val="0"/>
      <w:divBdr>
        <w:top w:val="none" w:sz="0" w:space="0" w:color="auto"/>
        <w:left w:val="none" w:sz="0" w:space="0" w:color="auto"/>
        <w:bottom w:val="none" w:sz="0" w:space="0" w:color="auto"/>
        <w:right w:val="none" w:sz="0" w:space="0" w:color="auto"/>
      </w:divBdr>
    </w:div>
    <w:div w:id="2008748672">
      <w:bodyDiv w:val="1"/>
      <w:marLeft w:val="0"/>
      <w:marRight w:val="0"/>
      <w:marTop w:val="0"/>
      <w:marBottom w:val="0"/>
      <w:divBdr>
        <w:top w:val="none" w:sz="0" w:space="0" w:color="auto"/>
        <w:left w:val="none" w:sz="0" w:space="0" w:color="auto"/>
        <w:bottom w:val="none" w:sz="0" w:space="0" w:color="auto"/>
        <w:right w:val="none" w:sz="0" w:space="0" w:color="auto"/>
      </w:divBdr>
    </w:div>
    <w:div w:id="2013994239">
      <w:bodyDiv w:val="1"/>
      <w:marLeft w:val="0"/>
      <w:marRight w:val="0"/>
      <w:marTop w:val="0"/>
      <w:marBottom w:val="0"/>
      <w:divBdr>
        <w:top w:val="none" w:sz="0" w:space="0" w:color="auto"/>
        <w:left w:val="none" w:sz="0" w:space="0" w:color="auto"/>
        <w:bottom w:val="none" w:sz="0" w:space="0" w:color="auto"/>
        <w:right w:val="none" w:sz="0" w:space="0" w:color="auto"/>
      </w:divBdr>
    </w:div>
    <w:div w:id="2023703093">
      <w:bodyDiv w:val="1"/>
      <w:marLeft w:val="0"/>
      <w:marRight w:val="0"/>
      <w:marTop w:val="0"/>
      <w:marBottom w:val="0"/>
      <w:divBdr>
        <w:top w:val="none" w:sz="0" w:space="0" w:color="auto"/>
        <w:left w:val="none" w:sz="0" w:space="0" w:color="auto"/>
        <w:bottom w:val="none" w:sz="0" w:space="0" w:color="auto"/>
        <w:right w:val="none" w:sz="0" w:space="0" w:color="auto"/>
      </w:divBdr>
      <w:divsChild>
        <w:div w:id="1311714995">
          <w:marLeft w:val="547"/>
          <w:marRight w:val="0"/>
          <w:marTop w:val="0"/>
          <w:marBottom w:val="0"/>
          <w:divBdr>
            <w:top w:val="none" w:sz="0" w:space="0" w:color="auto"/>
            <w:left w:val="none" w:sz="0" w:space="0" w:color="auto"/>
            <w:bottom w:val="none" w:sz="0" w:space="0" w:color="auto"/>
            <w:right w:val="none" w:sz="0" w:space="0" w:color="auto"/>
          </w:divBdr>
        </w:div>
        <w:div w:id="965887647">
          <w:marLeft w:val="547"/>
          <w:marRight w:val="0"/>
          <w:marTop w:val="0"/>
          <w:marBottom w:val="0"/>
          <w:divBdr>
            <w:top w:val="none" w:sz="0" w:space="0" w:color="auto"/>
            <w:left w:val="none" w:sz="0" w:space="0" w:color="auto"/>
            <w:bottom w:val="none" w:sz="0" w:space="0" w:color="auto"/>
            <w:right w:val="none" w:sz="0" w:space="0" w:color="auto"/>
          </w:divBdr>
        </w:div>
        <w:div w:id="1051077298">
          <w:marLeft w:val="547"/>
          <w:marRight w:val="0"/>
          <w:marTop w:val="0"/>
          <w:marBottom w:val="0"/>
          <w:divBdr>
            <w:top w:val="none" w:sz="0" w:space="0" w:color="auto"/>
            <w:left w:val="none" w:sz="0" w:space="0" w:color="auto"/>
            <w:bottom w:val="none" w:sz="0" w:space="0" w:color="auto"/>
            <w:right w:val="none" w:sz="0" w:space="0" w:color="auto"/>
          </w:divBdr>
        </w:div>
      </w:divsChild>
    </w:div>
    <w:div w:id="2028019622">
      <w:bodyDiv w:val="1"/>
      <w:marLeft w:val="0"/>
      <w:marRight w:val="0"/>
      <w:marTop w:val="0"/>
      <w:marBottom w:val="0"/>
      <w:divBdr>
        <w:top w:val="none" w:sz="0" w:space="0" w:color="auto"/>
        <w:left w:val="none" w:sz="0" w:space="0" w:color="auto"/>
        <w:bottom w:val="none" w:sz="0" w:space="0" w:color="auto"/>
        <w:right w:val="none" w:sz="0" w:space="0" w:color="auto"/>
      </w:divBdr>
    </w:div>
    <w:div w:id="2035037923">
      <w:bodyDiv w:val="1"/>
      <w:marLeft w:val="0"/>
      <w:marRight w:val="0"/>
      <w:marTop w:val="0"/>
      <w:marBottom w:val="0"/>
      <w:divBdr>
        <w:top w:val="none" w:sz="0" w:space="0" w:color="auto"/>
        <w:left w:val="none" w:sz="0" w:space="0" w:color="auto"/>
        <w:bottom w:val="none" w:sz="0" w:space="0" w:color="auto"/>
        <w:right w:val="none" w:sz="0" w:space="0" w:color="auto"/>
      </w:divBdr>
    </w:div>
    <w:div w:id="2036301418">
      <w:bodyDiv w:val="1"/>
      <w:marLeft w:val="0"/>
      <w:marRight w:val="0"/>
      <w:marTop w:val="0"/>
      <w:marBottom w:val="0"/>
      <w:divBdr>
        <w:top w:val="none" w:sz="0" w:space="0" w:color="auto"/>
        <w:left w:val="none" w:sz="0" w:space="0" w:color="auto"/>
        <w:bottom w:val="none" w:sz="0" w:space="0" w:color="auto"/>
        <w:right w:val="none" w:sz="0" w:space="0" w:color="auto"/>
      </w:divBdr>
    </w:div>
    <w:div w:id="2053915849">
      <w:bodyDiv w:val="1"/>
      <w:marLeft w:val="0"/>
      <w:marRight w:val="0"/>
      <w:marTop w:val="0"/>
      <w:marBottom w:val="0"/>
      <w:divBdr>
        <w:top w:val="none" w:sz="0" w:space="0" w:color="auto"/>
        <w:left w:val="none" w:sz="0" w:space="0" w:color="auto"/>
        <w:bottom w:val="none" w:sz="0" w:space="0" w:color="auto"/>
        <w:right w:val="none" w:sz="0" w:space="0" w:color="auto"/>
      </w:divBdr>
      <w:divsChild>
        <w:div w:id="501969231">
          <w:marLeft w:val="547"/>
          <w:marRight w:val="0"/>
          <w:marTop w:val="0"/>
          <w:marBottom w:val="0"/>
          <w:divBdr>
            <w:top w:val="none" w:sz="0" w:space="0" w:color="auto"/>
            <w:left w:val="none" w:sz="0" w:space="0" w:color="auto"/>
            <w:bottom w:val="none" w:sz="0" w:space="0" w:color="auto"/>
            <w:right w:val="none" w:sz="0" w:space="0" w:color="auto"/>
          </w:divBdr>
        </w:div>
        <w:div w:id="1209103596">
          <w:marLeft w:val="547"/>
          <w:marRight w:val="0"/>
          <w:marTop w:val="0"/>
          <w:marBottom w:val="0"/>
          <w:divBdr>
            <w:top w:val="none" w:sz="0" w:space="0" w:color="auto"/>
            <w:left w:val="none" w:sz="0" w:space="0" w:color="auto"/>
            <w:bottom w:val="none" w:sz="0" w:space="0" w:color="auto"/>
            <w:right w:val="none" w:sz="0" w:space="0" w:color="auto"/>
          </w:divBdr>
        </w:div>
        <w:div w:id="1835149188">
          <w:marLeft w:val="547"/>
          <w:marRight w:val="0"/>
          <w:marTop w:val="0"/>
          <w:marBottom w:val="0"/>
          <w:divBdr>
            <w:top w:val="none" w:sz="0" w:space="0" w:color="auto"/>
            <w:left w:val="none" w:sz="0" w:space="0" w:color="auto"/>
            <w:bottom w:val="none" w:sz="0" w:space="0" w:color="auto"/>
            <w:right w:val="none" w:sz="0" w:space="0" w:color="auto"/>
          </w:divBdr>
        </w:div>
      </w:divsChild>
    </w:div>
    <w:div w:id="2057390092">
      <w:bodyDiv w:val="1"/>
      <w:marLeft w:val="0"/>
      <w:marRight w:val="0"/>
      <w:marTop w:val="0"/>
      <w:marBottom w:val="0"/>
      <w:divBdr>
        <w:top w:val="none" w:sz="0" w:space="0" w:color="auto"/>
        <w:left w:val="none" w:sz="0" w:space="0" w:color="auto"/>
        <w:bottom w:val="none" w:sz="0" w:space="0" w:color="auto"/>
        <w:right w:val="none" w:sz="0" w:space="0" w:color="auto"/>
      </w:divBdr>
    </w:div>
    <w:div w:id="2080711565">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711106">
      <w:bodyDiv w:val="1"/>
      <w:marLeft w:val="0"/>
      <w:marRight w:val="0"/>
      <w:marTop w:val="0"/>
      <w:marBottom w:val="0"/>
      <w:divBdr>
        <w:top w:val="none" w:sz="0" w:space="0" w:color="auto"/>
        <w:left w:val="none" w:sz="0" w:space="0" w:color="auto"/>
        <w:bottom w:val="none" w:sz="0" w:space="0" w:color="auto"/>
        <w:right w:val="none" w:sz="0" w:space="0" w:color="auto"/>
      </w:divBdr>
    </w:div>
    <w:div w:id="2102140594">
      <w:bodyDiv w:val="1"/>
      <w:marLeft w:val="0"/>
      <w:marRight w:val="0"/>
      <w:marTop w:val="0"/>
      <w:marBottom w:val="0"/>
      <w:divBdr>
        <w:top w:val="none" w:sz="0" w:space="0" w:color="auto"/>
        <w:left w:val="none" w:sz="0" w:space="0" w:color="auto"/>
        <w:bottom w:val="none" w:sz="0" w:space="0" w:color="auto"/>
        <w:right w:val="none" w:sz="0" w:space="0" w:color="auto"/>
      </w:divBdr>
    </w:div>
    <w:div w:id="2107338229">
      <w:bodyDiv w:val="1"/>
      <w:marLeft w:val="0"/>
      <w:marRight w:val="0"/>
      <w:marTop w:val="0"/>
      <w:marBottom w:val="0"/>
      <w:divBdr>
        <w:top w:val="none" w:sz="0" w:space="0" w:color="auto"/>
        <w:left w:val="none" w:sz="0" w:space="0" w:color="auto"/>
        <w:bottom w:val="none" w:sz="0" w:space="0" w:color="auto"/>
        <w:right w:val="none" w:sz="0" w:space="0" w:color="auto"/>
      </w:divBdr>
    </w:div>
    <w:div w:id="2124493816">
      <w:bodyDiv w:val="1"/>
      <w:marLeft w:val="0"/>
      <w:marRight w:val="0"/>
      <w:marTop w:val="0"/>
      <w:marBottom w:val="0"/>
      <w:divBdr>
        <w:top w:val="none" w:sz="0" w:space="0" w:color="auto"/>
        <w:left w:val="none" w:sz="0" w:space="0" w:color="auto"/>
        <w:bottom w:val="none" w:sz="0" w:space="0" w:color="auto"/>
        <w:right w:val="none" w:sz="0" w:space="0" w:color="auto"/>
      </w:divBdr>
    </w:div>
    <w:div w:id="214245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3E955C-0593-40FF-AEBA-195A885F6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2638</Words>
  <Characters>15451</Characters>
  <Application>Microsoft Office Word</Application>
  <DocSecurity>0</DocSecurity>
  <Lines>188</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2024-05-20T04:05:00Z</dcterms:created>
  <dcterms:modified xsi:type="dcterms:W3CDTF">2024-05-21T06:16:00Z</dcterms:modified>
</cp:coreProperties>
</file>