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9B7E00">
      <w:pPr>
        <w:spacing w:after="0"/>
        <w:ind w:left="-992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DD1184">
          <w:footerReference w:type="default" r:id="rId9"/>
          <w:footerReference w:type="first" r:id="rId10"/>
          <w:pgSz w:w="11906" w:h="16838"/>
          <w:pgMar w:top="0" w:right="992" w:bottom="1276" w:left="992" w:header="0" w:footer="0" w:gutter="0"/>
          <w:cols w:space="708"/>
          <w:titlePg/>
          <w:docGrid w:linePitch="360"/>
        </w:sectPr>
      </w:pPr>
    </w:p>
    <w:p w:rsidR="003606D0" w:rsidRPr="003606D0" w:rsidRDefault="003606D0" w:rsidP="00924F14">
      <w:pPr>
        <w:pStyle w:val="AreaHeading"/>
        <w:spacing w:before="240"/>
        <w:ind w:left="0" w:firstLine="0"/>
        <w:rPr>
          <w:color w:val="3B3838" w:themeColor="background2" w:themeShade="40"/>
          <w:szCs w:val="21"/>
        </w:rPr>
      </w:pPr>
      <w:r w:rsidRPr="003606D0">
        <w:rPr>
          <w:color w:val="3B3838" w:themeColor="background2" w:themeShade="40"/>
          <w:szCs w:val="21"/>
        </w:rPr>
        <w:t xml:space="preserve">COMMUNITY BROADCASTING </w:t>
      </w:r>
      <w:r w:rsidR="007C58C6">
        <w:rPr>
          <w:color w:val="3B3838" w:themeColor="background2" w:themeShade="40"/>
          <w:szCs w:val="21"/>
        </w:rPr>
        <w:t xml:space="preserve">SECTOR </w:t>
      </w:r>
      <w:r w:rsidRPr="003606D0">
        <w:rPr>
          <w:color w:val="3B3838" w:themeColor="background2" w:themeShade="40"/>
          <w:szCs w:val="21"/>
        </w:rPr>
        <w:t>SUSTAINABILITY REVIEW</w:t>
      </w:r>
    </w:p>
    <w:p w:rsidR="00F94014" w:rsidRPr="00CA4EE2" w:rsidRDefault="00F94014" w:rsidP="00F94014">
      <w:pPr>
        <w:pStyle w:val="Heading1"/>
        <w:rPr>
          <w:szCs w:val="44"/>
        </w:rPr>
      </w:pPr>
      <w:bookmarkStart w:id="0" w:name="_GoBack"/>
      <w:r w:rsidRPr="00CA4EE2">
        <w:rPr>
          <w:szCs w:val="44"/>
        </w:rPr>
        <w:t>Summary of stakeholder discussion—</w:t>
      </w:r>
      <w:r w:rsidR="00D24063">
        <w:rPr>
          <w:szCs w:val="44"/>
        </w:rPr>
        <w:t>Other metropolitan locations</w:t>
      </w:r>
    </w:p>
    <w:bookmarkEnd w:id="0"/>
    <w:p w:rsidR="00CD6CA9" w:rsidRPr="00705D5A" w:rsidRDefault="00CD6CA9" w:rsidP="00CD6CA9">
      <w:pPr>
        <w:pStyle w:val="Introduction"/>
        <w:rPr>
          <w:szCs w:val="26"/>
          <w:lang w:val="en-AU"/>
        </w:rPr>
      </w:pPr>
      <w:r w:rsidRPr="00705D5A">
        <w:rPr>
          <w:szCs w:val="26"/>
          <w:lang w:val="en-AU"/>
        </w:rPr>
        <w:t xml:space="preserve">This document provides a high-level, deidentified summary of the discussion at the </w:t>
      </w:r>
      <w:r w:rsidR="00DD1184">
        <w:rPr>
          <w:szCs w:val="26"/>
          <w:lang w:val="en-AU"/>
        </w:rPr>
        <w:t>workshop</w:t>
      </w:r>
      <w:r w:rsidRPr="00705D5A">
        <w:rPr>
          <w:szCs w:val="26"/>
          <w:lang w:val="en-AU"/>
        </w:rPr>
        <w:t xml:space="preserve"> held </w:t>
      </w:r>
      <w:r w:rsidR="00FF26D4">
        <w:rPr>
          <w:szCs w:val="26"/>
          <w:lang w:val="en-AU"/>
        </w:rPr>
        <w:t>virtually</w:t>
      </w:r>
      <w:r w:rsidR="00FE68B5">
        <w:rPr>
          <w:szCs w:val="26"/>
          <w:lang w:val="en-AU"/>
        </w:rPr>
        <w:t xml:space="preserve"> on </w:t>
      </w:r>
      <w:r w:rsidR="00D24063">
        <w:rPr>
          <w:szCs w:val="26"/>
          <w:lang w:val="en-AU"/>
        </w:rPr>
        <w:t>6 August 2024</w:t>
      </w:r>
      <w:r w:rsidRPr="00705D5A">
        <w:rPr>
          <w:szCs w:val="26"/>
          <w:lang w:val="en-AU"/>
        </w:rPr>
        <w:t>, and does not reflect all views given.</w:t>
      </w:r>
    </w:p>
    <w:p w:rsidR="00F94014" w:rsidRPr="00B041CB" w:rsidRDefault="00F94014" w:rsidP="00F94014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September</w:t>
      </w:r>
      <w:r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>
        <w:rPr>
          <w:rFonts w:eastAsia="Calibri" w:cs="Times New Roman"/>
          <w:b/>
          <w:color w:val="081E3E"/>
          <w:kern w:val="12"/>
          <w:szCs w:val="20"/>
        </w:rPr>
        <w:t>4</w:t>
      </w:r>
    </w:p>
    <w:p w:rsidR="00F94014" w:rsidRPr="00B041CB" w:rsidRDefault="00F94014" w:rsidP="00F94014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94014" w:rsidRDefault="00F94014" w:rsidP="00F94014">
      <w:pPr>
        <w:pStyle w:val="Subtitle"/>
        <w:spacing w:before="0" w:after="0"/>
        <w:sectPr w:rsidR="00F94014" w:rsidSect="00DD1184">
          <w:type w:val="continuous"/>
          <w:pgSz w:w="11906" w:h="16838"/>
          <w:pgMar w:top="1276" w:right="992" w:bottom="1276" w:left="992" w:header="567" w:footer="0" w:gutter="0"/>
          <w:cols w:space="708"/>
          <w:titlePg/>
          <w:docGrid w:linePitch="360"/>
        </w:sectPr>
      </w:pPr>
    </w:p>
    <w:p w:rsidR="00D24063" w:rsidRDefault="00FF26D4" w:rsidP="00D24063">
      <w:pPr>
        <w:pStyle w:val="Heading2"/>
      </w:pPr>
      <w:r>
        <w:t xml:space="preserve">Challenges for community broadcasters </w:t>
      </w:r>
    </w:p>
    <w:p w:rsidR="00D24063" w:rsidRDefault="00D24063" w:rsidP="00D24063">
      <w:pPr>
        <w:pStyle w:val="Listparagraphbullets"/>
      </w:pPr>
      <w:r>
        <w:t>Reliant on grant funding</w:t>
      </w:r>
    </w:p>
    <w:p w:rsidR="00D24063" w:rsidRPr="00D24063" w:rsidRDefault="00D24063" w:rsidP="00D24063">
      <w:pPr>
        <w:pStyle w:val="Listparagraphbullets"/>
      </w:pPr>
      <w:r w:rsidRPr="00D24063">
        <w:t>Insufficient government funding; with many stations surviving through goodwill, doing more with less and experiencing extreme fatigue.</w:t>
      </w:r>
    </w:p>
    <w:p w:rsidR="00D24063" w:rsidRPr="00D24063" w:rsidRDefault="00D24063" w:rsidP="00D24063">
      <w:pPr>
        <w:pStyle w:val="Listparagraphbullets"/>
      </w:pPr>
      <w:r w:rsidRPr="00D24063">
        <w:t>Rising expenses such as electricity and competition for sponsors with commercial radio stations.</w:t>
      </w:r>
    </w:p>
    <w:p w:rsidR="00D24063" w:rsidRPr="00D24063" w:rsidRDefault="00D24063" w:rsidP="00D24063">
      <w:pPr>
        <w:pStyle w:val="Listparagraphbullets"/>
      </w:pPr>
      <w:r w:rsidRPr="00D24063">
        <w:t>Large listener bases but inability to capitalise on this due to advertising restrictions and tendency to be overlooked in government funding allocation.</w:t>
      </w:r>
    </w:p>
    <w:p w:rsidR="00D24063" w:rsidRPr="00D24063" w:rsidRDefault="00D24063" w:rsidP="00D24063">
      <w:pPr>
        <w:pStyle w:val="Listparagraphbullets"/>
      </w:pPr>
      <w:r w:rsidRPr="00D24063">
        <w:t>High reliance on volunteers with decreasing availability and increasing pay expectations.</w:t>
      </w:r>
    </w:p>
    <w:p w:rsidR="00D24063" w:rsidRPr="00D24063" w:rsidRDefault="00D24063" w:rsidP="00D24063">
      <w:pPr>
        <w:pStyle w:val="Listparagraphbullets"/>
      </w:pPr>
      <w:r w:rsidRPr="00D24063">
        <w:t>Difficulty finding skilled volunteers (e.g. journalism or fundraising); with limited funds to hire paid staff for governance, staff management and admin.</w:t>
      </w:r>
    </w:p>
    <w:p w:rsidR="00D24063" w:rsidRDefault="00D24063" w:rsidP="00D24063">
      <w:pPr>
        <w:pStyle w:val="Listparagraphbullets"/>
      </w:pPr>
      <w:r w:rsidRPr="00D24063">
        <w:t>Balancing the need for local content with the challenges of producing and funding it</w:t>
      </w:r>
      <w:r>
        <w:t>.</w:t>
      </w:r>
    </w:p>
    <w:p w:rsidR="00D24063" w:rsidRPr="00D24063" w:rsidRDefault="00D24063" w:rsidP="00D24063">
      <w:pPr>
        <w:pStyle w:val="Heading3notshowing"/>
        <w:rPr>
          <w:lang w:eastAsia="zh-TW"/>
        </w:rPr>
      </w:pPr>
      <w:r w:rsidRPr="00D24063">
        <w:rPr>
          <w:lang w:eastAsia="zh-TW"/>
        </w:rPr>
        <w:t>Calls for reform</w:t>
      </w:r>
    </w:p>
    <w:p w:rsidR="00D24063" w:rsidRPr="00D24063" w:rsidRDefault="00D24063" w:rsidP="00D24063">
      <w:pPr>
        <w:pStyle w:val="Listparagraphbullets"/>
      </w:pPr>
      <w:r w:rsidRPr="00D24063">
        <w:t>A significant increase in government funding for community radio.</w:t>
      </w:r>
    </w:p>
    <w:p w:rsidR="00D24063" w:rsidRPr="00D24063" w:rsidRDefault="00D24063" w:rsidP="00D24063">
      <w:pPr>
        <w:pStyle w:val="Listparagraphbullets"/>
      </w:pPr>
      <w:r w:rsidRPr="00D24063">
        <w:t>Review regulations to reduce bureaucracy, increase flexibility, and allow for more freedom to compete in the media landscape (e.g. deregulation of advertising limits, streamlining licensing procedures, and revisiting funding guidelines).</w:t>
      </w:r>
    </w:p>
    <w:p w:rsidR="00D24063" w:rsidRPr="00D24063" w:rsidRDefault="00D24063" w:rsidP="00D24063">
      <w:pPr>
        <w:pStyle w:val="Listparagraphbullets"/>
      </w:pPr>
      <w:r w:rsidRPr="00D24063">
        <w:t>Explore partnerships with universities to provide training and support, and allocating grant funding to hire staff who can manage volunteers and administrative tasks.</w:t>
      </w:r>
    </w:p>
    <w:p w:rsidR="00D24063" w:rsidRDefault="00D24063" w:rsidP="00D24063">
      <w:pPr>
        <w:pStyle w:val="Listparagraphbullets"/>
      </w:pPr>
      <w:r w:rsidRPr="00D24063">
        <w:t>Sharing resources and services between stations to improve efficiency and reduce costs.</w:t>
      </w:r>
    </w:p>
    <w:p w:rsidR="00D24063" w:rsidRDefault="00D24063" w:rsidP="00D24063">
      <w:pPr>
        <w:pStyle w:val="Heading2"/>
      </w:pPr>
      <w:r>
        <w:t>Sponsorship</w:t>
      </w:r>
    </w:p>
    <w:p w:rsidR="00D24063" w:rsidRDefault="00D24063" w:rsidP="00D24063">
      <w:pPr>
        <w:pStyle w:val="Listparagraphbullets"/>
      </w:pPr>
      <w:r>
        <w:t xml:space="preserve">5-minute limit is a significant constraint on revenue generation for some community radio stations. </w:t>
      </w:r>
    </w:p>
    <w:p w:rsidR="00D24063" w:rsidRDefault="00D24063" w:rsidP="00D24063">
      <w:pPr>
        <w:pStyle w:val="Listparagraphbullets"/>
      </w:pPr>
      <w:r>
        <w:t>Some feel disadvantaged when competing against commercial radio stations with longer slots; and lack the skills for effective sponsor management.</w:t>
      </w:r>
    </w:p>
    <w:p w:rsidR="00D24063" w:rsidRDefault="00D24063" w:rsidP="00D24063">
      <w:pPr>
        <w:pStyle w:val="Listparagraphbullets"/>
      </w:pPr>
      <w:r>
        <w:t>Reliance on sponsorship, grants and donations, but difficult to get sponsors; particularly those with specialised programming.</w:t>
      </w:r>
      <w:r>
        <w:tab/>
      </w:r>
    </w:p>
    <w:p w:rsidR="00D24063" w:rsidRDefault="00D24063" w:rsidP="00D24063">
      <w:pPr>
        <w:pStyle w:val="Heading3notshowing"/>
      </w:pPr>
      <w:r>
        <w:lastRenderedPageBreak/>
        <w:t xml:space="preserve">Calls </w:t>
      </w:r>
      <w:r>
        <w:rPr>
          <w:lang w:eastAsia="zh-TW"/>
        </w:rPr>
        <w:t>for</w:t>
      </w:r>
      <w:r>
        <w:t xml:space="preserve"> reform</w:t>
      </w:r>
    </w:p>
    <w:p w:rsidR="00D24063" w:rsidRDefault="00D24063" w:rsidP="00D24063">
      <w:pPr>
        <w:pStyle w:val="Listparagraphbullets"/>
      </w:pPr>
      <w:r>
        <w:t>Increase the 5-minute advertising limit to allow for greater revenue generation and/or more flexibility in sponsorship arrangements, such as longer sponsorship slots within programs.</w:t>
      </w:r>
    </w:p>
    <w:p w:rsidR="00D24063" w:rsidRDefault="00D24063" w:rsidP="00D24063">
      <w:pPr>
        <w:pStyle w:val="Listparagraphbullets"/>
      </w:pPr>
      <w:r>
        <w:t>Provide more support to community radio stations in the form of funding, training, and resources for fundraising and sales.</w:t>
      </w:r>
    </w:p>
    <w:p w:rsidR="00D24063" w:rsidRDefault="00D24063" w:rsidP="00D24063">
      <w:pPr>
        <w:pStyle w:val="Heading2"/>
      </w:pPr>
      <w:r>
        <w:t>Regulatory environment</w:t>
      </w:r>
    </w:p>
    <w:p w:rsidR="00D24063" w:rsidRDefault="00D24063" w:rsidP="00D24063">
      <w:pPr>
        <w:pStyle w:val="Listparagraphbullets"/>
      </w:pPr>
      <w:r>
        <w:t>The regulatory environment for community radio is perceived as complex and burdensome, with potential negative impacts on station operations.</w:t>
      </w:r>
    </w:p>
    <w:p w:rsidR="00D24063" w:rsidRDefault="00D24063" w:rsidP="00D24063">
      <w:pPr>
        <w:pStyle w:val="Listparagraphbullets"/>
      </w:pPr>
      <w:r>
        <w:t>There is an overlap between federal (ACMA) and organisational regulations for community radio.</w:t>
      </w:r>
    </w:p>
    <w:p w:rsidR="00D24063" w:rsidRDefault="00D24063" w:rsidP="00D24063">
      <w:pPr>
        <w:pStyle w:val="Listparagraphbullets"/>
      </w:pPr>
      <w:r>
        <w:t>Community radio stations are concerned about the potential for license revocation due to complaints.</w:t>
      </w:r>
    </w:p>
    <w:p w:rsidR="00D24063" w:rsidRDefault="00D24063" w:rsidP="00D24063">
      <w:pPr>
        <w:pStyle w:val="Listparagraphbullets"/>
      </w:pPr>
      <w:r>
        <w:t>The process of appointing board members can be challenging due to community involvement and scrutiny.</w:t>
      </w:r>
      <w:r>
        <w:tab/>
      </w:r>
    </w:p>
    <w:p w:rsidR="00D24063" w:rsidRDefault="00D24063" w:rsidP="00D24063">
      <w:pPr>
        <w:pStyle w:val="Heading3notshowing"/>
      </w:pPr>
      <w:r>
        <w:t>Calls for reform</w:t>
      </w:r>
    </w:p>
    <w:p w:rsidR="00D24063" w:rsidRDefault="00D24063" w:rsidP="00D24063">
      <w:pPr>
        <w:pStyle w:val="Listparagraphbullets"/>
      </w:pPr>
      <w:r>
        <w:t>There is a need for better coordination and understanding of the regulatory landscape for non-profits between federal and state authorities.</w:t>
      </w:r>
    </w:p>
    <w:p w:rsidR="00D24063" w:rsidRDefault="00D24063" w:rsidP="00D24063">
      <w:pPr>
        <w:pStyle w:val="Listparagraphbullets"/>
      </w:pPr>
      <w:r>
        <w:t>Re-evaluate the criteria for license revocation to ensure it is fair and proportionate.</w:t>
      </w:r>
    </w:p>
    <w:p w:rsidR="00D24063" w:rsidRDefault="00D24063" w:rsidP="00D24063">
      <w:pPr>
        <w:pStyle w:val="Listparagraphbullets"/>
      </w:pPr>
      <w:r>
        <w:t>Simplify the process for appointing board members while maintaining community involvement.</w:t>
      </w:r>
    </w:p>
    <w:p w:rsidR="00D24063" w:rsidRDefault="00D24063" w:rsidP="00D24063">
      <w:pPr>
        <w:pStyle w:val="Heading2"/>
      </w:pPr>
      <w:r>
        <w:t>Government funding</w:t>
      </w:r>
    </w:p>
    <w:p w:rsidR="00D24063" w:rsidRDefault="00D24063" w:rsidP="00D24063">
      <w:pPr>
        <w:pStyle w:val="Listparagraphbullets"/>
      </w:pPr>
      <w:r>
        <w:t>Community broadcasters face challenges in securing sufficient and reliable government funding.</w:t>
      </w:r>
    </w:p>
    <w:p w:rsidR="00D24063" w:rsidRDefault="00D24063" w:rsidP="00D24063">
      <w:pPr>
        <w:pStyle w:val="Listparagraphbullets"/>
      </w:pPr>
      <w:r>
        <w:t>Difficulty navigating government processes and rigid funding guidelines. The application process is often complex and does not align with the needs of community radio stations.</w:t>
      </w:r>
    </w:p>
    <w:p w:rsidR="00D24063" w:rsidRDefault="00D24063" w:rsidP="00D24063">
      <w:pPr>
        <w:pStyle w:val="Listparagraphbullets"/>
      </w:pPr>
      <w:r>
        <w:t>Larger, more established stations may have an advantage in securing funding compared to smaller, regional stations.</w:t>
      </w:r>
    </w:p>
    <w:p w:rsidR="00D24063" w:rsidRDefault="00D24063" w:rsidP="00D24063">
      <w:pPr>
        <w:pStyle w:val="Listparagraphbullets"/>
      </w:pPr>
      <w:r>
        <w:t>The value of community broadcasting is often overlooked in government funding allocations.</w:t>
      </w:r>
      <w:r>
        <w:tab/>
      </w:r>
    </w:p>
    <w:p w:rsidR="00D24063" w:rsidRDefault="00D24063" w:rsidP="00D24063">
      <w:pPr>
        <w:pStyle w:val="Heading3notshowing"/>
      </w:pPr>
      <w:r>
        <w:t>Calls for reform</w:t>
      </w:r>
    </w:p>
    <w:p w:rsidR="00D24063" w:rsidRDefault="00D24063" w:rsidP="00D24063">
      <w:pPr>
        <w:pStyle w:val="Listparagraphbullets"/>
      </w:pPr>
      <w:r>
        <w:t>Streamlined/accessible grant application process.</w:t>
      </w:r>
    </w:p>
    <w:p w:rsidR="00D24063" w:rsidRDefault="00D24063" w:rsidP="00D24063">
      <w:pPr>
        <w:pStyle w:val="Listparagraphbullets"/>
      </w:pPr>
      <w:r>
        <w:t>Shift towards a funding model that rewards stations based on their outcomes and impact, rather than simply on their size or location.</w:t>
      </w:r>
    </w:p>
    <w:p w:rsidR="00D24063" w:rsidRDefault="00D24063" w:rsidP="00D24063">
      <w:pPr>
        <w:pStyle w:val="Listparagraphbullets"/>
      </w:pPr>
      <w:r>
        <w:t>The ability to reallocate funds within grants was seen as essential for adapting to changing circumstances.</w:t>
      </w:r>
    </w:p>
    <w:p w:rsidR="00D24063" w:rsidRPr="00D24063" w:rsidRDefault="00D24063" w:rsidP="00D24063">
      <w:pPr>
        <w:pStyle w:val="Listparagraphbullets"/>
        <w:numPr>
          <w:ilvl w:val="0"/>
          <w:numId w:val="0"/>
        </w:numPr>
        <w:ind w:left="426" w:hanging="426"/>
      </w:pPr>
      <w:r>
        <w:t>•</w:t>
      </w:r>
      <w:r>
        <w:tab/>
        <w:t>Given the increasing importance of local news, provide specific funding to support the development of local news services.</w:t>
      </w:r>
    </w:p>
    <w:sectPr w:rsidR="00D24063" w:rsidRPr="00D24063" w:rsidSect="00DD1184">
      <w:type w:val="continuous"/>
      <w:pgSz w:w="11906" w:h="16838"/>
      <w:pgMar w:top="1276" w:right="992" w:bottom="1276" w:left="992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24F14">
      <w:rPr>
        <w:rFonts w:cs="Segoe UI"/>
        <w:noProof/>
        <w:szCs w:val="18"/>
      </w:rPr>
      <w:t>Summary of stakeholder discussion—Other metropolitan locations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DD1184">
    <w:pPr>
      <w:pStyle w:val="Footer"/>
      <w:tabs>
        <w:tab w:val="clear" w:pos="4513"/>
        <w:tab w:val="clear" w:pos="9026"/>
        <w:tab w:val="right" w:pos="9475"/>
      </w:tabs>
      <w:spacing w:after="40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924F14">
      <w:rPr>
        <w:rFonts w:cs="Segoe UI"/>
        <w:noProof/>
        <w:szCs w:val="18"/>
      </w:rPr>
      <w:t>Summary of stakeholder discussion—Other metropolitan locations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7C58C6">
    <w:pPr>
      <w:pStyle w:val="Footer"/>
      <w:tabs>
        <w:tab w:val="clear" w:pos="4513"/>
        <w:tab w:val="clear" w:pos="9026"/>
      </w:tabs>
      <w:ind w:left="-992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7" name="Picture 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2854663C"/>
    <w:lvl w:ilvl="0" w:tplc="9F4464BA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1B1414CE"/>
    <w:lvl w:ilvl="0" w:tplc="797037E0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12"/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b w:val="0"/>
          <w:color w:val="auto"/>
          <w:sz w:val="20"/>
          <w:szCs w:val="20"/>
        </w:rPr>
      </w:lvl>
    </w:lvlOverride>
  </w:num>
  <w:num w:numId="20">
    <w:abstractNumId w:val="11"/>
  </w:num>
  <w:num w:numId="21">
    <w:abstractNumId w:val="11"/>
  </w:num>
  <w:num w:numId="22">
    <w:abstractNumId w:val="11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65BAB"/>
    <w:rsid w:val="00270779"/>
    <w:rsid w:val="00272982"/>
    <w:rsid w:val="00287C7E"/>
    <w:rsid w:val="0029453A"/>
    <w:rsid w:val="002A5AB5"/>
    <w:rsid w:val="002F1A23"/>
    <w:rsid w:val="00300077"/>
    <w:rsid w:val="00310148"/>
    <w:rsid w:val="00314B25"/>
    <w:rsid w:val="00323710"/>
    <w:rsid w:val="00342348"/>
    <w:rsid w:val="003508A8"/>
    <w:rsid w:val="00355330"/>
    <w:rsid w:val="00356735"/>
    <w:rsid w:val="003606D0"/>
    <w:rsid w:val="00381BDA"/>
    <w:rsid w:val="003B6D01"/>
    <w:rsid w:val="003C575A"/>
    <w:rsid w:val="003D71C5"/>
    <w:rsid w:val="003F3CB7"/>
    <w:rsid w:val="00416734"/>
    <w:rsid w:val="00445017"/>
    <w:rsid w:val="004A3207"/>
    <w:rsid w:val="004B4491"/>
    <w:rsid w:val="005020E0"/>
    <w:rsid w:val="005413E7"/>
    <w:rsid w:val="00543D99"/>
    <w:rsid w:val="00564E30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57C42"/>
    <w:rsid w:val="006835FC"/>
    <w:rsid w:val="00691FA2"/>
    <w:rsid w:val="006D43C7"/>
    <w:rsid w:val="00731351"/>
    <w:rsid w:val="00744CD2"/>
    <w:rsid w:val="00754169"/>
    <w:rsid w:val="00772C27"/>
    <w:rsid w:val="00775A73"/>
    <w:rsid w:val="0077760C"/>
    <w:rsid w:val="00790F25"/>
    <w:rsid w:val="00793843"/>
    <w:rsid w:val="0079788A"/>
    <w:rsid w:val="007B68AB"/>
    <w:rsid w:val="007C58C6"/>
    <w:rsid w:val="007E598F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4F14"/>
    <w:rsid w:val="009276A3"/>
    <w:rsid w:val="009279AE"/>
    <w:rsid w:val="00935A30"/>
    <w:rsid w:val="00953CCD"/>
    <w:rsid w:val="00985DD5"/>
    <w:rsid w:val="009A1C9E"/>
    <w:rsid w:val="009B7E00"/>
    <w:rsid w:val="009C3D4E"/>
    <w:rsid w:val="009D35AF"/>
    <w:rsid w:val="009F6CDD"/>
    <w:rsid w:val="00A24200"/>
    <w:rsid w:val="00A44E4B"/>
    <w:rsid w:val="00A4759C"/>
    <w:rsid w:val="00A5600C"/>
    <w:rsid w:val="00A63390"/>
    <w:rsid w:val="00A82DAF"/>
    <w:rsid w:val="00A82E97"/>
    <w:rsid w:val="00A86AF3"/>
    <w:rsid w:val="00AC34ED"/>
    <w:rsid w:val="00AC6195"/>
    <w:rsid w:val="00AE61A6"/>
    <w:rsid w:val="00B041CB"/>
    <w:rsid w:val="00B12FC1"/>
    <w:rsid w:val="00B3785F"/>
    <w:rsid w:val="00B4390C"/>
    <w:rsid w:val="00B43F55"/>
    <w:rsid w:val="00B5393D"/>
    <w:rsid w:val="00B74715"/>
    <w:rsid w:val="00B76D03"/>
    <w:rsid w:val="00B86B45"/>
    <w:rsid w:val="00BA12D5"/>
    <w:rsid w:val="00BB3D46"/>
    <w:rsid w:val="00BC0598"/>
    <w:rsid w:val="00C02452"/>
    <w:rsid w:val="00C36E40"/>
    <w:rsid w:val="00C40207"/>
    <w:rsid w:val="00C62177"/>
    <w:rsid w:val="00CA4EE2"/>
    <w:rsid w:val="00CA5147"/>
    <w:rsid w:val="00CD0046"/>
    <w:rsid w:val="00CD6CA9"/>
    <w:rsid w:val="00CE2A57"/>
    <w:rsid w:val="00D13C03"/>
    <w:rsid w:val="00D24063"/>
    <w:rsid w:val="00D269A5"/>
    <w:rsid w:val="00D47BFD"/>
    <w:rsid w:val="00D56936"/>
    <w:rsid w:val="00D64922"/>
    <w:rsid w:val="00DC5DC8"/>
    <w:rsid w:val="00DD1184"/>
    <w:rsid w:val="00E7227D"/>
    <w:rsid w:val="00E76BC6"/>
    <w:rsid w:val="00E80E04"/>
    <w:rsid w:val="00EA415A"/>
    <w:rsid w:val="00EE6EE8"/>
    <w:rsid w:val="00EF5B98"/>
    <w:rsid w:val="00F005AF"/>
    <w:rsid w:val="00F354F7"/>
    <w:rsid w:val="00F41576"/>
    <w:rsid w:val="00F61FA1"/>
    <w:rsid w:val="00F814AD"/>
    <w:rsid w:val="00F94014"/>
    <w:rsid w:val="00FA64C7"/>
    <w:rsid w:val="00FC413F"/>
    <w:rsid w:val="00FD3DAB"/>
    <w:rsid w:val="00FE68B5"/>
    <w:rsid w:val="00FE6ADD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B45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779"/>
    <w:pPr>
      <w:keepNext/>
      <w:keepLines/>
      <w:suppressAutoHyphens/>
      <w:spacing w:before="12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B45"/>
    <w:pPr>
      <w:keepNext/>
      <w:keepLines/>
      <w:suppressAutoHyphens/>
      <w:outlineLvl w:val="2"/>
    </w:pPr>
    <w:rPr>
      <w:rFonts w:eastAsia="SimSun" w:cs="Times New Roman"/>
      <w:b/>
      <w:color w:val="595C6E"/>
      <w:kern w:val="1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B45"/>
    <w:pPr>
      <w:keepNext/>
      <w:keepLines/>
      <w:suppressAutoHyphens/>
      <w:outlineLvl w:val="3"/>
    </w:pPr>
    <w:rPr>
      <w:rFonts w:eastAsia="SimSun" w:cs="Times New Roman"/>
      <w:iCs/>
      <w:color w:val="595C6E"/>
      <w:kern w:val="12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3606D0"/>
    <w:pPr>
      <w:keepNext/>
      <w:numPr>
        <w:numId w:val="1"/>
      </w:numPr>
      <w:spacing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0779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B45"/>
    <w:rPr>
      <w:rFonts w:ascii="Calibri" w:eastAsia="SimSun" w:hAnsi="Calibri" w:cs="Times New Roman"/>
      <w:b/>
      <w:color w:val="595C6E"/>
      <w:kern w:val="1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6B45"/>
    <w:rPr>
      <w:rFonts w:ascii="Calibri" w:eastAsia="SimSun" w:hAnsi="Calibri" w:cs="Times New Roman"/>
      <w:iCs/>
      <w:color w:val="595C6E"/>
      <w:kern w:val="12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86B45"/>
    <w:pPr>
      <w:pBdr>
        <w:left w:val="single" w:sz="48" w:space="22" w:color="4BB3B5"/>
      </w:pBdr>
      <w:suppressAutoHyphens/>
      <w:spacing w:before="160"/>
      <w:ind w:left="567" w:right="567"/>
    </w:pPr>
    <w:rPr>
      <w:rFonts w:eastAsia="Calibri" w:cs="Times New Roman"/>
      <w:b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86B45"/>
    <w:rPr>
      <w:rFonts w:ascii="Calibri" w:eastAsia="Calibri" w:hAnsi="Calibri" w:cs="Times New Roman"/>
      <w:b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FF26D4"/>
    <w:pPr>
      <w:numPr>
        <w:numId w:val="22"/>
      </w:numPr>
      <w:ind w:left="426" w:hanging="426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  <w:style w:type="character" w:styleId="Strong">
    <w:name w:val="Strong"/>
    <w:basedOn w:val="DefaultParagraphFont"/>
    <w:uiPriority w:val="22"/>
    <w:qFormat/>
    <w:rsid w:val="003606D0"/>
    <w:rPr>
      <w:b/>
      <w:bCs/>
    </w:rPr>
  </w:style>
  <w:style w:type="table" w:customStyle="1" w:styleId="DefaultTable13">
    <w:name w:val="Default Table 13"/>
    <w:basedOn w:val="TableNormal"/>
    <w:uiPriority w:val="99"/>
    <w:rsid w:val="005020E0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CA9"/>
    <w:pPr>
      <w:keepNext/>
      <w:keepLines/>
      <w:numPr>
        <w:ilvl w:val="0"/>
      </w:numPr>
      <w:suppressAutoHyphens w:val="0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1B01-83EC-44EE-B473-13733392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551</Words>
  <Characters>3547</Characters>
  <Application>Microsoft Office Word</Application>
  <DocSecurity>0</DocSecurity>
  <Lines>60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stakeholder discussion—Brisbane</vt:lpstr>
    </vt:vector>
  </TitlesOfParts>
  <Company>Department of Infrastructure, Transport, Regional Development, Communications and the Arts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stakeholder discussion—Other metropolitan locations</dc:title>
  <dc:subject/>
  <dc:creator>Department of Infrastructure, Transport, Regional Development, Communications and the Arts</dc:creator>
  <cp:keywords/>
  <dc:description>19 April 2023</dc:description>
  <cp:lastModifiedBy>Hall, Theresa</cp:lastModifiedBy>
  <cp:revision>3</cp:revision>
  <dcterms:created xsi:type="dcterms:W3CDTF">2024-09-09T04:59:00Z</dcterms:created>
  <dcterms:modified xsi:type="dcterms:W3CDTF">2024-09-10T08:21:00Z</dcterms:modified>
</cp:coreProperties>
</file>