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9B7E00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A5686C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bookmarkStart w:id="0" w:name="_GoBack"/>
      <w:r w:rsidRPr="00CA4EE2">
        <w:rPr>
          <w:szCs w:val="44"/>
        </w:rPr>
        <w:t>Summary of stakeholder discussion—</w:t>
      </w:r>
      <w:r w:rsidR="00817D09">
        <w:rPr>
          <w:szCs w:val="44"/>
        </w:rPr>
        <w:t>Adelaide and regional South Australia</w:t>
      </w:r>
    </w:p>
    <w:bookmarkEnd w:id="0"/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FF26D4">
        <w:rPr>
          <w:szCs w:val="26"/>
          <w:lang w:val="en-AU"/>
        </w:rPr>
        <w:t>virtually</w:t>
      </w:r>
      <w:r w:rsidR="00FE68B5">
        <w:rPr>
          <w:szCs w:val="26"/>
          <w:lang w:val="en-AU"/>
        </w:rPr>
        <w:t xml:space="preserve"> on </w:t>
      </w:r>
      <w:r w:rsidR="00817D09">
        <w:rPr>
          <w:szCs w:val="26"/>
          <w:lang w:val="en-AU"/>
        </w:rPr>
        <w:t xml:space="preserve">29 July </w:t>
      </w:r>
      <w:r w:rsidR="00D24063">
        <w:rPr>
          <w:szCs w:val="26"/>
          <w:lang w:val="en-AU"/>
        </w:rPr>
        <w:t>2024</w:t>
      </w:r>
      <w:r w:rsidRPr="00705D5A">
        <w:rPr>
          <w:szCs w:val="26"/>
          <w:lang w:val="en-AU"/>
        </w:rPr>
        <w:t>, and does not reflect all views given.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817D09" w:rsidRDefault="00817D09" w:rsidP="00817D09">
      <w:pPr>
        <w:pStyle w:val="Heading2"/>
      </w:pPr>
      <w:r>
        <w:t>Challenges for community broadcasters in Adelaide and regional SA</w:t>
      </w:r>
    </w:p>
    <w:p w:rsidR="00817D09" w:rsidRDefault="00817D09" w:rsidP="007043B3">
      <w:pPr>
        <w:pStyle w:val="Listparagraphbullets"/>
      </w:pPr>
      <w:r>
        <w:t>Stations face financial challenges, including securing grants, managing costs and generating revenue amidst increasing operational costs.</w:t>
      </w:r>
    </w:p>
    <w:p w:rsidR="00817D09" w:rsidRDefault="007043B3" w:rsidP="007043B3">
      <w:pPr>
        <w:pStyle w:val="Listparagraphbullets"/>
      </w:pPr>
      <w:r>
        <w:t>Pressure</w:t>
      </w:r>
      <w:r w:rsidR="00817D09">
        <w:t xml:space="preserve"> to explore alternative revenue generation (e.g. partnerships, merchandise, and digital products).</w:t>
      </w:r>
    </w:p>
    <w:p w:rsidR="00817D09" w:rsidRDefault="00817D09" w:rsidP="007043B3">
      <w:pPr>
        <w:pStyle w:val="Listparagraphbullets"/>
      </w:pPr>
      <w:r>
        <w:t>Need to adapt to the digital age</w:t>
      </w:r>
      <w:r w:rsidR="007043B3">
        <w:t xml:space="preserve"> (e.g. </w:t>
      </w:r>
      <w:r>
        <w:t>streaming, podcasting</w:t>
      </w:r>
      <w:r w:rsidR="007043B3">
        <w:t xml:space="preserve"> </w:t>
      </w:r>
      <w:r>
        <w:t>and social media</w:t>
      </w:r>
      <w:r w:rsidR="007043B3">
        <w:t>)</w:t>
      </w:r>
      <w:r>
        <w:t xml:space="preserve"> while maintaining traditional broadcast services.</w:t>
      </w:r>
    </w:p>
    <w:p w:rsidR="00817D09" w:rsidRDefault="00817D09" w:rsidP="007043B3">
      <w:pPr>
        <w:pStyle w:val="Listparagraphbullets"/>
      </w:pPr>
      <w:r>
        <w:t xml:space="preserve">Reaching and engaging diverse audiences, particularly young people and </w:t>
      </w:r>
      <w:r w:rsidR="007043B3">
        <w:t xml:space="preserve">CALD </w:t>
      </w:r>
      <w:r>
        <w:t>communities.</w:t>
      </w:r>
    </w:p>
    <w:p w:rsidR="007043B3" w:rsidRDefault="00817D09" w:rsidP="007043B3">
      <w:pPr>
        <w:pStyle w:val="Listparagraphbullets"/>
      </w:pPr>
      <w:r>
        <w:t>Outdated infrastructure and technology, limiting the ability to deliver high-quality programming.</w:t>
      </w:r>
      <w:r>
        <w:tab/>
      </w:r>
    </w:p>
    <w:p w:rsidR="00817D09" w:rsidRDefault="00817D09" w:rsidP="007043B3">
      <w:pPr>
        <w:pStyle w:val="Heading3notshowing"/>
      </w:pPr>
      <w:r>
        <w:t>Calls for reform</w:t>
      </w:r>
    </w:p>
    <w:p w:rsidR="00817D09" w:rsidRDefault="00817D09" w:rsidP="007043B3">
      <w:pPr>
        <w:pStyle w:val="Listparagraphbullets"/>
      </w:pPr>
      <w:r>
        <w:t xml:space="preserve">Improve strategies to increase reach and diversity (e.g. audience research, </w:t>
      </w:r>
      <w:r w:rsidR="007043B3">
        <w:t>funding for diverse programs</w:t>
      </w:r>
      <w:r>
        <w:t>).</w:t>
      </w:r>
    </w:p>
    <w:p w:rsidR="00817D09" w:rsidRDefault="00817D09" w:rsidP="007043B3">
      <w:pPr>
        <w:pStyle w:val="Listparagraphbullets"/>
      </w:pPr>
      <w:r>
        <w:t xml:space="preserve">Improve transparency in the grant assessment process to build trust between CBP and stations. </w:t>
      </w:r>
    </w:p>
    <w:p w:rsidR="00817D09" w:rsidRDefault="00817D09" w:rsidP="007043B3">
      <w:pPr>
        <w:pStyle w:val="Listparagraphbullets"/>
      </w:pPr>
      <w:r>
        <w:t>Secure long-term and increased funding for community radio stations to ensure viability.</w:t>
      </w:r>
    </w:p>
    <w:p w:rsidR="00817D09" w:rsidRDefault="00817D09" w:rsidP="007043B3">
      <w:pPr>
        <w:pStyle w:val="Listparagraphbullets"/>
      </w:pPr>
      <w:r>
        <w:t>Streamline the grant application process to reduce administrative burden and increase success rates.</w:t>
      </w:r>
    </w:p>
    <w:p w:rsidR="00817D09" w:rsidRDefault="00817D09" w:rsidP="007043B3">
      <w:pPr>
        <w:pStyle w:val="Listparagraphbullets"/>
      </w:pPr>
      <w:r>
        <w:t>Provide targeted support for volunteer-run stations to enhance their capacity and sustainability.</w:t>
      </w:r>
    </w:p>
    <w:p w:rsidR="00817D09" w:rsidRDefault="00817D09" w:rsidP="007043B3">
      <w:pPr>
        <w:pStyle w:val="Listparagraphbullets"/>
      </w:pPr>
      <w:r>
        <w:t>Government investment in infrastructure upgrades and access to new technologies.</w:t>
      </w:r>
    </w:p>
    <w:p w:rsidR="00817D09" w:rsidRDefault="00817D09" w:rsidP="00817D09">
      <w:pPr>
        <w:pStyle w:val="Heading2"/>
      </w:pPr>
      <w:r>
        <w:t>Sponsorship</w:t>
      </w:r>
    </w:p>
    <w:p w:rsidR="00817D09" w:rsidRDefault="007043B3" w:rsidP="007043B3">
      <w:pPr>
        <w:pStyle w:val="Listparagraphbullets"/>
      </w:pPr>
      <w:r>
        <w:t>C</w:t>
      </w:r>
      <w:r w:rsidR="00817D09">
        <w:t>onfusion around sponsorship vs</w:t>
      </w:r>
      <w:r>
        <w:t>.</w:t>
      </w:r>
      <w:r w:rsidR="00817D09">
        <w:t xml:space="preserve"> advertising, leading to inconsistencies in application and compliance.</w:t>
      </w:r>
    </w:p>
    <w:p w:rsidR="007043B3" w:rsidRDefault="00817D09" w:rsidP="007043B3">
      <w:pPr>
        <w:pStyle w:val="Listparagraphbullets"/>
      </w:pPr>
      <w:r>
        <w:t xml:space="preserve">Restrictions on sponsorship and tagging limit revenue potential. </w:t>
      </w:r>
    </w:p>
    <w:p w:rsidR="007043B3" w:rsidRDefault="00817D09" w:rsidP="007043B3">
      <w:pPr>
        <w:pStyle w:val="Listparagraphbullets"/>
      </w:pPr>
      <w:r>
        <w:t>Stations expressed frustration over limited access to government advertising, despite significant audience numbers, with smaller stations affected disproportionately.</w:t>
      </w:r>
      <w:r>
        <w:tab/>
      </w:r>
    </w:p>
    <w:p w:rsidR="00817D09" w:rsidRDefault="00817D09" w:rsidP="007043B3">
      <w:pPr>
        <w:pStyle w:val="Heading3notshowing"/>
      </w:pPr>
      <w:r>
        <w:t>Calls for reform</w:t>
      </w:r>
    </w:p>
    <w:p w:rsidR="00817D09" w:rsidRDefault="00817D09" w:rsidP="007043B3">
      <w:pPr>
        <w:pStyle w:val="Listparagraphbullets"/>
      </w:pPr>
      <w:r>
        <w:t>Relax the 5-minute per hour sponsorship limit</w:t>
      </w:r>
      <w:r w:rsidR="007043B3">
        <w:t xml:space="preserve"> with a </w:t>
      </w:r>
      <w:r>
        <w:t>more flexible approach (e.g. averaging over a longer period or increasing the limit).</w:t>
      </w:r>
    </w:p>
    <w:p w:rsidR="00817D09" w:rsidRDefault="00817D09" w:rsidP="007043B3">
      <w:pPr>
        <w:pStyle w:val="Listparagraphbullets"/>
      </w:pPr>
      <w:r>
        <w:t>Provide clearer sponsorship guidelines.</w:t>
      </w:r>
    </w:p>
    <w:p w:rsidR="00817D09" w:rsidRDefault="00817D09" w:rsidP="007043B3">
      <w:pPr>
        <w:pStyle w:val="Listparagraphbullets"/>
      </w:pPr>
      <w:r>
        <w:lastRenderedPageBreak/>
        <w:t>Implement a more equitable system for allocating government advertising across commercial and community radio stations, based on audience size.</w:t>
      </w:r>
    </w:p>
    <w:p w:rsidR="00817D09" w:rsidRDefault="00817D09" w:rsidP="00817D09">
      <w:pPr>
        <w:pStyle w:val="Heading2"/>
      </w:pPr>
      <w:r>
        <w:t>Community participation, volunteers and staff</w:t>
      </w:r>
    </w:p>
    <w:p w:rsidR="00817D09" w:rsidRDefault="00817D09" w:rsidP="007043B3">
      <w:pPr>
        <w:pStyle w:val="Listparagraphbullets"/>
      </w:pPr>
      <w:r>
        <w:t>There is limited collaboration between community, commercial, and public broadcasters.</w:t>
      </w:r>
    </w:p>
    <w:p w:rsidR="00817D09" w:rsidRDefault="00817D09" w:rsidP="007043B3">
      <w:pPr>
        <w:pStyle w:val="Listparagraphbullets"/>
      </w:pPr>
      <w:r>
        <w:t>Many stations heavily rely on volunteers, which can lead to inconsistency in operations and difficulties in attracting and retaining talent.</w:t>
      </w:r>
    </w:p>
    <w:p w:rsidR="00817D09" w:rsidRDefault="00817D09" w:rsidP="007043B3">
      <w:pPr>
        <w:pStyle w:val="Listparagraphbullets"/>
      </w:pPr>
      <w:r>
        <w:t>Retaining volunteers, particularly in the face of increasing demands and limited resources, is challenging.</w:t>
      </w:r>
    </w:p>
    <w:p w:rsidR="00817D09" w:rsidRDefault="00817D09" w:rsidP="007043B3">
      <w:pPr>
        <w:pStyle w:val="Listparagraphbullets"/>
      </w:pPr>
      <w:r>
        <w:t>Many volunteers and staff lack essential skills in areas such as grant writing, financial management, and digital media.</w:t>
      </w:r>
    </w:p>
    <w:p w:rsidR="00817D09" w:rsidRDefault="00817D09" w:rsidP="007043B3">
      <w:pPr>
        <w:pStyle w:val="Listparagraphbullets"/>
      </w:pPr>
      <w:r>
        <w:t>Balancing volunteer commitments with personal</w:t>
      </w:r>
      <w:r w:rsidR="007043B3">
        <w:t>/</w:t>
      </w:r>
      <w:r>
        <w:t>professional responsibilities can be difficult. Stations must have support to implement strategies to support in maintaining a healthy work-life balance.</w:t>
      </w:r>
    </w:p>
    <w:p w:rsidR="007043B3" w:rsidRDefault="00817D09" w:rsidP="007043B3">
      <w:pPr>
        <w:pStyle w:val="Listparagraphbullets"/>
      </w:pPr>
      <w:r>
        <w:t>Opportunities for career progression within the community radio sector are often limited.</w:t>
      </w:r>
      <w:r>
        <w:tab/>
      </w:r>
    </w:p>
    <w:p w:rsidR="00817D09" w:rsidRDefault="00817D09" w:rsidP="007043B3">
      <w:pPr>
        <w:pStyle w:val="Heading3notshowing"/>
      </w:pPr>
      <w:r>
        <w:t>Calls for reform</w:t>
      </w:r>
    </w:p>
    <w:p w:rsidR="00817D09" w:rsidRDefault="00817D09" w:rsidP="007043B3">
      <w:pPr>
        <w:pStyle w:val="Listparagraphbullets"/>
      </w:pPr>
      <w:r>
        <w:t xml:space="preserve">Encourage greater collaboration among stations to share best practices and resources. </w:t>
      </w:r>
    </w:p>
    <w:p w:rsidR="00817D09" w:rsidRDefault="00817D09" w:rsidP="007043B3">
      <w:pPr>
        <w:pStyle w:val="Listparagraphbullets"/>
      </w:pPr>
      <w:r>
        <w:t>Create clear pathways for volunteers to transition into paid roles within the sector.</w:t>
      </w:r>
    </w:p>
    <w:p w:rsidR="00817D09" w:rsidRDefault="00817D09" w:rsidP="007043B3">
      <w:pPr>
        <w:pStyle w:val="Listparagraphbullets"/>
      </w:pPr>
      <w:r>
        <w:t>Provide comprehensive training and support for volunteers (e.g. strategic planning and grant writing).</w:t>
      </w:r>
    </w:p>
    <w:p w:rsidR="00817D09" w:rsidRDefault="00817D09" w:rsidP="007043B3">
      <w:pPr>
        <w:pStyle w:val="Listparagraphbullets"/>
      </w:pPr>
      <w:r>
        <w:t>Incentivise volunteer involvement (e.g. offering professional development opportunities or recognition).</w:t>
      </w:r>
    </w:p>
    <w:p w:rsidR="00817D09" w:rsidRDefault="00817D09" w:rsidP="007043B3">
      <w:pPr>
        <w:pStyle w:val="Listparagraphbullets"/>
      </w:pPr>
      <w:r>
        <w:t>Provide resources and support for volunteer-led projects and initiatives.</w:t>
      </w:r>
    </w:p>
    <w:p w:rsidR="00817D09" w:rsidRDefault="00817D09" w:rsidP="00817D09">
      <w:pPr>
        <w:pStyle w:val="Heading2"/>
      </w:pPr>
      <w:r>
        <w:t>Licensing and regulation</w:t>
      </w:r>
    </w:p>
    <w:p w:rsidR="00817D09" w:rsidRDefault="00817D09" w:rsidP="007043B3">
      <w:pPr>
        <w:pStyle w:val="Listparagraphbullets"/>
      </w:pPr>
      <w:r>
        <w:t>The licensing and regulatory processes are complex and time-consuming, diverting from core operations.</w:t>
      </w:r>
    </w:p>
    <w:p w:rsidR="007043B3" w:rsidRDefault="00817D09" w:rsidP="007043B3">
      <w:pPr>
        <w:pStyle w:val="Listparagraphbullets"/>
      </w:pPr>
      <w:r>
        <w:t>The licensing renewal process is burdensome and time-consuming.</w:t>
      </w:r>
      <w:r>
        <w:tab/>
      </w:r>
    </w:p>
    <w:p w:rsidR="00817D09" w:rsidRDefault="00817D09" w:rsidP="007043B3">
      <w:pPr>
        <w:pStyle w:val="Heading3notshowing"/>
      </w:pPr>
      <w:r>
        <w:t>Calls for reform</w:t>
      </w:r>
    </w:p>
    <w:p w:rsidR="00817D09" w:rsidRDefault="00817D09" w:rsidP="007043B3">
      <w:pPr>
        <w:pStyle w:val="Listparagraphbullets"/>
      </w:pPr>
      <w:r>
        <w:t>Review existing regulations to identify and remove unnecessary barriers.</w:t>
      </w:r>
    </w:p>
    <w:p w:rsidR="00817D09" w:rsidRDefault="00817D09" w:rsidP="007043B3">
      <w:pPr>
        <w:pStyle w:val="Listparagraphbullets"/>
      </w:pPr>
      <w:r>
        <w:t>Simplify the licensing renewal process.</w:t>
      </w:r>
    </w:p>
    <w:p w:rsidR="00817D09" w:rsidRDefault="00817D09" w:rsidP="007043B3">
      <w:pPr>
        <w:pStyle w:val="Listparagraphbullets"/>
      </w:pPr>
      <w:r>
        <w:t>Adopt a risk-based approach to licensing, focusing on stations with compliance issues rather than imposing excessive requirements on all stations.</w:t>
      </w:r>
    </w:p>
    <w:p w:rsidR="00817D09" w:rsidRDefault="00817D09" w:rsidP="00817D09">
      <w:pPr>
        <w:pStyle w:val="Heading2"/>
      </w:pPr>
      <w:r>
        <w:t>Grants programs</w:t>
      </w:r>
    </w:p>
    <w:p w:rsidR="00817D09" w:rsidRDefault="00817D09" w:rsidP="007043B3">
      <w:pPr>
        <w:pStyle w:val="Listparagraphbullets"/>
      </w:pPr>
      <w:r>
        <w:t xml:space="preserve">Overall funding for </w:t>
      </w:r>
      <w:r w:rsidR="007043B3">
        <w:t>CBP</w:t>
      </w:r>
      <w:r>
        <w:t xml:space="preserve"> grants is inadequate to meet the sector's needs, resulting in intense competition</w:t>
      </w:r>
      <w:r w:rsidR="007043B3">
        <w:t>.</w:t>
      </w:r>
    </w:p>
    <w:p w:rsidR="00817D09" w:rsidRDefault="00817D09" w:rsidP="007043B3">
      <w:pPr>
        <w:pStyle w:val="Listparagraphbullets"/>
      </w:pPr>
      <w:r>
        <w:t xml:space="preserve">Grant assessment criteria are inconsistent and </w:t>
      </w:r>
      <w:r w:rsidR="007043B3">
        <w:t>do not reflect</w:t>
      </w:r>
      <w:r>
        <w:t xml:space="preserve"> challenges faced by different station types.</w:t>
      </w:r>
    </w:p>
    <w:p w:rsidR="00817D09" w:rsidRDefault="00817D09" w:rsidP="007043B3">
      <w:pPr>
        <w:pStyle w:val="Listparagraphbullets"/>
      </w:pPr>
      <w:r>
        <w:t>Many grants are short-term, making it difficult for stations to plan and implement long-term projects.</w:t>
      </w:r>
    </w:p>
    <w:p w:rsidR="00817D09" w:rsidRDefault="00817D09" w:rsidP="007043B3">
      <w:pPr>
        <w:pStyle w:val="Listparagraphbullets"/>
      </w:pPr>
      <w:r>
        <w:t>The application process is complex, time-consuming and requires significant resources.</w:t>
      </w:r>
    </w:p>
    <w:p w:rsidR="00817D09" w:rsidRDefault="00817D09" w:rsidP="007043B3">
      <w:pPr>
        <w:pStyle w:val="Listparagraphbullets"/>
      </w:pPr>
      <w:r>
        <w:t>Grant guidelines often lack flexibility, limiting the ability of stations to adapt to changing circumstances.</w:t>
      </w:r>
    </w:p>
    <w:p w:rsidR="007043B3" w:rsidRDefault="00817D09" w:rsidP="007043B3">
      <w:pPr>
        <w:pStyle w:val="Listparagraphbullets"/>
      </w:pPr>
      <w:r>
        <w:t>Many grants are project-based, rather than supporting core operations or capacity building.</w:t>
      </w:r>
      <w:r>
        <w:tab/>
      </w:r>
    </w:p>
    <w:p w:rsidR="00817D09" w:rsidRDefault="00817D09" w:rsidP="007043B3">
      <w:pPr>
        <w:pStyle w:val="Heading3notshowing"/>
      </w:pPr>
      <w:r>
        <w:t>Calls for reform</w:t>
      </w:r>
    </w:p>
    <w:p w:rsidR="00817D09" w:rsidRDefault="00817D09" w:rsidP="007043B3">
      <w:pPr>
        <w:pStyle w:val="Listparagraphbullets"/>
      </w:pPr>
      <w:r>
        <w:t>Increase CBP funding.</w:t>
      </w:r>
    </w:p>
    <w:p w:rsidR="00817D09" w:rsidRDefault="00817D09" w:rsidP="007043B3">
      <w:pPr>
        <w:pStyle w:val="Listparagraphbullets"/>
      </w:pPr>
      <w:r>
        <w:t>Offer multi-year grants to support long-term planning and sustainability.</w:t>
      </w:r>
    </w:p>
    <w:p w:rsidR="00817D09" w:rsidRDefault="00817D09" w:rsidP="007043B3">
      <w:pPr>
        <w:pStyle w:val="Listparagraphbullets"/>
      </w:pPr>
      <w:r>
        <w:t>Simplify the grant application process to reduce administrative burden.</w:t>
      </w:r>
    </w:p>
    <w:p w:rsidR="00817D09" w:rsidRDefault="00817D09" w:rsidP="007043B3">
      <w:pPr>
        <w:pStyle w:val="Listparagraphbullets"/>
      </w:pPr>
      <w:r>
        <w:t xml:space="preserve">Develop more transparent and equitable grant assessment criteria that accurately reflect </w:t>
      </w:r>
      <w:r w:rsidR="007043B3">
        <w:t>needs.</w:t>
      </w:r>
    </w:p>
    <w:p w:rsidR="00817D09" w:rsidRDefault="00817D09" w:rsidP="007043B3">
      <w:pPr>
        <w:pStyle w:val="Listparagraphbullets"/>
      </w:pPr>
      <w:r>
        <w:t>Ensure grant assessment criteria accurately reflect the challenges and priorities of different station types.</w:t>
      </w:r>
    </w:p>
    <w:p w:rsidR="00817D09" w:rsidRDefault="00817D09" w:rsidP="007043B3">
      <w:pPr>
        <w:pStyle w:val="Listparagraphbullets"/>
      </w:pPr>
      <w:r>
        <w:t>Provide clear and timely feedback to applicants, explaining the reasons for decisions.</w:t>
      </w:r>
    </w:p>
    <w:p w:rsidR="00817D09" w:rsidRDefault="00817D09" w:rsidP="007043B3">
      <w:pPr>
        <w:pStyle w:val="Listparagraphbullets"/>
      </w:pPr>
      <w:r>
        <w:t>Allow for more flexibility in grant spending to accommodate unforeseen challenges.</w:t>
      </w:r>
    </w:p>
    <w:p w:rsidR="00C305F8" w:rsidRPr="00C305F8" w:rsidRDefault="00817D09" w:rsidP="00F615E6">
      <w:pPr>
        <w:pStyle w:val="Listparagraphbullets"/>
      </w:pPr>
      <w:r>
        <w:t>Provide grants for</w:t>
      </w:r>
      <w:r w:rsidR="007043B3">
        <w:t xml:space="preserve"> </w:t>
      </w:r>
      <w:r>
        <w:t>core operational costs to support the ongoing work of community radio stations</w:t>
      </w:r>
      <w:r w:rsidR="007043B3">
        <w:t xml:space="preserve">, </w:t>
      </w:r>
      <w:r>
        <w:t xml:space="preserve">digital infrastructure and digital innovation </w:t>
      </w:r>
      <w:r w:rsidR="007043B3">
        <w:t xml:space="preserve">and </w:t>
      </w:r>
      <w:r>
        <w:t>capacity building (e.g. training and equipment).</w:t>
      </w:r>
    </w:p>
    <w:sectPr w:rsidR="00C305F8" w:rsidRPr="00C305F8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A5686C">
      <w:rPr>
        <w:rFonts w:cs="Segoe UI"/>
        <w:noProof/>
        <w:szCs w:val="18"/>
      </w:rPr>
      <w:t>Summary of stakeholder discussion—Adelaide and regional South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A5686C">
      <w:rPr>
        <w:rFonts w:cs="Segoe UI"/>
        <w:noProof/>
        <w:szCs w:val="18"/>
      </w:rPr>
      <w:t>Summary of stakeholder discussion—Adelaide and regional South Australia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23B5"/>
    <w:rsid w:val="00113A03"/>
    <w:rsid w:val="00133A45"/>
    <w:rsid w:val="00143894"/>
    <w:rsid w:val="00190A0C"/>
    <w:rsid w:val="001D583B"/>
    <w:rsid w:val="001D6D6B"/>
    <w:rsid w:val="001E4471"/>
    <w:rsid w:val="001E7A4D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4640E"/>
    <w:rsid w:val="006542FA"/>
    <w:rsid w:val="00654F9E"/>
    <w:rsid w:val="00657C42"/>
    <w:rsid w:val="006835FC"/>
    <w:rsid w:val="00691FA2"/>
    <w:rsid w:val="00693060"/>
    <w:rsid w:val="006A631B"/>
    <w:rsid w:val="006C2D25"/>
    <w:rsid w:val="006D43C7"/>
    <w:rsid w:val="007043B3"/>
    <w:rsid w:val="00731351"/>
    <w:rsid w:val="00744CD2"/>
    <w:rsid w:val="00754169"/>
    <w:rsid w:val="00772C27"/>
    <w:rsid w:val="00775A73"/>
    <w:rsid w:val="0077760C"/>
    <w:rsid w:val="00790F25"/>
    <w:rsid w:val="00793843"/>
    <w:rsid w:val="0079788A"/>
    <w:rsid w:val="007B68AB"/>
    <w:rsid w:val="007C58C6"/>
    <w:rsid w:val="007E598F"/>
    <w:rsid w:val="00817D09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A1C9E"/>
    <w:rsid w:val="009B7E00"/>
    <w:rsid w:val="009C3D4E"/>
    <w:rsid w:val="009D35AF"/>
    <w:rsid w:val="009F6CDD"/>
    <w:rsid w:val="00A24200"/>
    <w:rsid w:val="00A44E4B"/>
    <w:rsid w:val="00A4759C"/>
    <w:rsid w:val="00A5600C"/>
    <w:rsid w:val="00A5686C"/>
    <w:rsid w:val="00A63390"/>
    <w:rsid w:val="00A82DAF"/>
    <w:rsid w:val="00A82E97"/>
    <w:rsid w:val="00A86AF3"/>
    <w:rsid w:val="00AC34ED"/>
    <w:rsid w:val="00AC6195"/>
    <w:rsid w:val="00AE61A6"/>
    <w:rsid w:val="00B041CB"/>
    <w:rsid w:val="00B12FC1"/>
    <w:rsid w:val="00B3785F"/>
    <w:rsid w:val="00B41E0B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05797"/>
    <w:rsid w:val="00C305F8"/>
    <w:rsid w:val="00C36E40"/>
    <w:rsid w:val="00C40207"/>
    <w:rsid w:val="00C62177"/>
    <w:rsid w:val="00CA4EE2"/>
    <w:rsid w:val="00CA5147"/>
    <w:rsid w:val="00CD0046"/>
    <w:rsid w:val="00CD6CA9"/>
    <w:rsid w:val="00CE192B"/>
    <w:rsid w:val="00CE2A57"/>
    <w:rsid w:val="00D13C03"/>
    <w:rsid w:val="00D24063"/>
    <w:rsid w:val="00D269A5"/>
    <w:rsid w:val="00D47BFD"/>
    <w:rsid w:val="00D56936"/>
    <w:rsid w:val="00D64922"/>
    <w:rsid w:val="00DC5DC8"/>
    <w:rsid w:val="00DD057E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814AD"/>
    <w:rsid w:val="00F94014"/>
    <w:rsid w:val="00FA64C7"/>
    <w:rsid w:val="00FC413F"/>
    <w:rsid w:val="00FD3DAB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FF26D4"/>
    <w:pPr>
      <w:numPr>
        <w:numId w:val="22"/>
      </w:numPr>
      <w:ind w:left="426" w:hanging="426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42E7-BDD7-4342-A98B-E7FA6C85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719</Words>
  <Characters>4611</Characters>
  <Application>Microsoft Office Word</Application>
  <DocSecurity>0</DocSecurity>
  <Lines>75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</vt:lpstr>
    </vt:vector>
  </TitlesOfParts>
  <Company>Department of Infrastructure, Transport, Regional Development, Communications and the Arts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discussion—Adelaide and regional South Australia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4</cp:revision>
  <dcterms:created xsi:type="dcterms:W3CDTF">2024-09-10T03:26:00Z</dcterms:created>
  <dcterms:modified xsi:type="dcterms:W3CDTF">2024-09-10T07:39:00Z</dcterms:modified>
</cp:coreProperties>
</file>