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26FE6" w14:textId="77777777" w:rsidR="008456D5" w:rsidRDefault="000C3F14" w:rsidP="007E2E0B">
      <w:pPr>
        <w:tabs>
          <w:tab w:val="left" w:pos="5529"/>
        </w:tabs>
        <w:bidi/>
        <w:ind w:left="-426"/>
      </w:pPr>
      <w:bookmarkStart w:id="0" w:name="_GoBack"/>
      <w:bookmarkEnd w:id="0"/>
      <w:r>
        <w:rPr>
          <w:noProof/>
          <w:lang w:val="en-US"/>
        </w:rPr>
        <w:drawing>
          <wp:inline distT="0" distB="0" distL="0" distR="0" wp14:anchorId="42ED467E" wp14:editId="23B62E09">
            <wp:extent cx="3149600" cy="671826"/>
            <wp:effectExtent l="19050" t="0" r="0" b="0"/>
            <wp:docPr id="1" name="Picture 5" descr="Title: وزارة البنية التحتية والنقل والتنمية الإقليمية والاتصالات - Description: وزارة البنية التحتية والنقل والتنمية الإقليمية والاتصال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TRDC_Inline_reversed.png"/>
                    <pic:cNvPicPr/>
                  </pic:nvPicPr>
                  <pic:blipFill>
                    <a:blip r:embed="rId9" cstate="print"/>
                    <a:stretch>
                      <a:fillRect/>
                    </a:stretch>
                  </pic:blipFill>
                  <pic:spPr>
                    <a:xfrm>
                      <a:off x="0" y="0"/>
                      <a:ext cx="3149600" cy="671826"/>
                    </a:xfrm>
                    <a:prstGeom prst="rect">
                      <a:avLst/>
                    </a:prstGeom>
                  </pic:spPr>
                </pic:pic>
              </a:graphicData>
            </a:graphic>
          </wp:inline>
        </w:drawing>
      </w:r>
      <w:r w:rsidR="00255ABF">
        <w:rPr>
          <w:noProof/>
        </w:rPr>
        <w:tab/>
      </w:r>
      <w:r>
        <w:rPr>
          <w:noProof/>
          <w:lang w:val="en-US"/>
        </w:rPr>
        <w:drawing>
          <wp:inline distT="0" distB="0" distL="0" distR="0" wp14:anchorId="1F10D614" wp14:editId="63F189B1">
            <wp:extent cx="1993900" cy="647700"/>
            <wp:effectExtent l="0" t="0" r="6350" b="0"/>
            <wp:docPr id="2" name="Picture 38" descr="حكومة كوينزلا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حكومة كوينزلاند‎."/>
                    <pic:cNvPicPr>
                      <a:picLocks noChangeAspect="1" noChangeArrowheads="1"/>
                    </pic:cNvPicPr>
                  </pic:nvPicPr>
                  <pic:blipFill>
                    <a:blip r:embed="rId10"/>
                    <a:srcRect/>
                    <a:stretch>
                      <a:fillRect/>
                    </a:stretch>
                  </pic:blipFill>
                  <pic:spPr bwMode="auto">
                    <a:xfrm>
                      <a:off x="0" y="0"/>
                      <a:ext cx="1993900" cy="647700"/>
                    </a:xfrm>
                    <a:prstGeom prst="rect">
                      <a:avLst/>
                    </a:prstGeom>
                    <a:noFill/>
                    <a:ln w="9525">
                      <a:noFill/>
                      <a:miter lim="800000"/>
                      <a:headEnd/>
                      <a:tailEnd/>
                    </a:ln>
                  </pic:spPr>
                </pic:pic>
              </a:graphicData>
            </a:graphic>
          </wp:inline>
        </w:drawing>
      </w:r>
      <w:r w:rsidR="00255ABF">
        <w:rPr>
          <w:noProof/>
        </w:rPr>
        <w:tab/>
      </w:r>
    </w:p>
    <w:p w14:paraId="264B77C7" w14:textId="77777777" w:rsidR="007E2E0B" w:rsidRPr="006F3306" w:rsidRDefault="007E2E0B" w:rsidP="007E2E0B">
      <w:pPr>
        <w:pStyle w:val="Title"/>
        <w:tabs>
          <w:tab w:val="right" w:pos="9864"/>
        </w:tabs>
        <w:spacing w:before="0"/>
        <w:ind w:left="-142"/>
        <w:rPr>
          <w:sz w:val="22"/>
        </w:rPr>
      </w:pPr>
    </w:p>
    <w:p w14:paraId="383EC561" w14:textId="77777777" w:rsidR="003C65D9" w:rsidRPr="003C65D9" w:rsidRDefault="003C65D9" w:rsidP="003C65D9">
      <w:pPr>
        <w:pStyle w:val="Title"/>
        <w:tabs>
          <w:tab w:val="right" w:pos="9864"/>
        </w:tabs>
        <w:spacing w:before="0"/>
        <w:rPr>
          <w:sz w:val="24"/>
          <w:szCs w:val="24"/>
        </w:rPr>
      </w:pPr>
    </w:p>
    <w:p w14:paraId="5B26DF49" w14:textId="73A81193" w:rsidR="004D11E3" w:rsidRDefault="00F44786" w:rsidP="003C65D9">
      <w:pPr>
        <w:pStyle w:val="Title"/>
        <w:tabs>
          <w:tab w:val="right" w:pos="9864"/>
        </w:tabs>
        <w:bidi/>
        <w:spacing w:before="0"/>
      </w:pPr>
      <w:r>
        <w:rPr>
          <w:bCs/>
          <w:rtl/>
        </w:rPr>
        <w:t>إصلاح معايير الإعاقة لوسائل النقل العام</w:t>
      </w:r>
      <w:r w:rsidR="00891E74">
        <w:rPr>
          <w:rFonts w:hint="cs"/>
          <w:bCs/>
          <w:rtl/>
        </w:rPr>
        <w:t xml:space="preserve"> </w:t>
      </w:r>
      <w:r w:rsidR="00891E74" w:rsidRPr="00891E74">
        <w:rPr>
          <w:bCs/>
          <w:rtl/>
        </w:rPr>
        <w:t>“(</w:t>
      </w:r>
      <w:r w:rsidR="00891E74" w:rsidRPr="00891E74">
        <w:rPr>
          <w:bCs/>
        </w:rPr>
        <w:t>Disability Standards for Accessible Public Transport</w:t>
      </w:r>
      <w:r w:rsidR="00891E74" w:rsidRPr="00891E74">
        <w:rPr>
          <w:bCs/>
          <w:rtl/>
        </w:rPr>
        <w:t xml:space="preserve">)” </w:t>
      </w:r>
      <w:r>
        <w:rPr>
          <w:bCs/>
          <w:rtl/>
        </w:rPr>
        <w:t>المزودة بتجهيزات خاصة لذوي الإعاقة: ملخص بيان تأثير لائحة التشاور للمرحلة الثانية</w:t>
      </w:r>
      <w:r>
        <w:rPr>
          <w:b w:val="0"/>
        </w:rPr>
        <w:tab/>
      </w:r>
    </w:p>
    <w:p w14:paraId="7D50C8C9" w14:textId="77777777" w:rsidR="004D11E3" w:rsidRDefault="00724F1C" w:rsidP="009C1920">
      <w:pPr>
        <w:pStyle w:val="Heading10"/>
      </w:pPr>
      <w:r>
        <w:rPr>
          <w:rtl/>
        </w:rPr>
        <w:t>مقدمة</w:t>
      </w:r>
    </w:p>
    <w:p w14:paraId="1F33BBFC" w14:textId="77777777" w:rsidR="00034626" w:rsidRPr="007B099C" w:rsidRDefault="00034626" w:rsidP="003C65D9">
      <w:pPr>
        <w:bidi/>
        <w:rPr>
          <w:sz w:val="22"/>
          <w:szCs w:val="22"/>
        </w:rPr>
      </w:pPr>
      <w:r>
        <w:rPr>
          <w:sz w:val="22"/>
          <w:szCs w:val="22"/>
          <w:rtl/>
        </w:rPr>
        <w:t>يُعدُّاستخدام وسائل النقل العام أمرًا بالغ الأهمية للأشخاص ذوي الإعاقة حتى يشاركوا بشكل كامل في المجتمع والاقتصاد. لهذا السبب دخلت الحكومة الأسترالية في شراكة مع حكومة كوينزلاند لإصلاح معايير الإعاقة لوسائل النقل العام</w:t>
      </w:r>
      <w:r w:rsidR="00891E74">
        <w:rPr>
          <w:rFonts w:hint="cs"/>
          <w:sz w:val="22"/>
          <w:szCs w:val="22"/>
          <w:rtl/>
        </w:rPr>
        <w:t xml:space="preserve"> </w:t>
      </w:r>
      <w:r w:rsidR="00891E74">
        <w:rPr>
          <w:color w:val="auto"/>
        </w:rPr>
        <w:t xml:space="preserve">“(Disability Standards for Accessible Public Transport)” </w:t>
      </w:r>
      <w:r>
        <w:rPr>
          <w:sz w:val="22"/>
          <w:szCs w:val="22"/>
          <w:rtl/>
        </w:rPr>
        <w:t xml:space="preserve"> المزودة بتجهيزات خاصة لذوي الإعاقة لعام 2002 (معايير النقل) للتأكد من أنها تتسم بالكفاءة والفعالية، ومناسبة للغرض، وتفي بالاحتياجات الحالية للمجتمع الأسترالي. تبحث المراجعة في طرق تحسين معايير النقل، للتأكد من أنها تلبي أهدافها المتمثلة في إزالة التمييز ضد الأشخاص ذوي الإعاقة، فيما يتعلق بخدمات النقل العام. </w:t>
      </w:r>
    </w:p>
    <w:p w14:paraId="1EBF7ADB" w14:textId="77777777" w:rsidR="00724F1C" w:rsidRPr="007B099C" w:rsidRDefault="009241B9" w:rsidP="007B099C">
      <w:pPr>
        <w:bidi/>
        <w:rPr>
          <w:sz w:val="22"/>
          <w:szCs w:val="22"/>
        </w:rPr>
      </w:pPr>
      <w:r>
        <w:rPr>
          <w:sz w:val="22"/>
          <w:szCs w:val="22"/>
          <w:rtl/>
        </w:rPr>
        <w:t>هناك مرحلتان لعملية الإصلاح. في أوائل عام 2021، عُقدت مشاورات مع الجمهور الأسترالي بشأن 16 مجال لإصلاح معايير النقل. إحتوت الآراء والملاحظات المُقدمة على رؤى مهمة واستُخدمت لإعداد بيان تأثير لائحة القرار</w:t>
      </w:r>
      <w:r>
        <w:rPr>
          <w:sz w:val="22"/>
          <w:szCs w:val="22"/>
        </w:rPr>
        <w:t xml:space="preserve"> (RIS) </w:t>
      </w:r>
      <w:r>
        <w:rPr>
          <w:sz w:val="22"/>
          <w:szCs w:val="22"/>
          <w:rtl/>
        </w:rPr>
        <w:t>للمرحلة الأولى من عملية الإصلاح، والتي نظر فيها وزراء النقل في فبراير/شباط 2022. يمكن العثور على معلومات حول إصلاحات المرحلة الأولى، على الموقع الإلكتروني الخاص بوزارة البنية التحتية والنقل والتنمية الإقليمية والاتصالات</w:t>
      </w:r>
      <w:r w:rsidR="00891E74">
        <w:rPr>
          <w:rFonts w:hint="cs"/>
          <w:sz w:val="22"/>
          <w:szCs w:val="22"/>
          <w:rtl/>
        </w:rPr>
        <w:t xml:space="preserve"> </w:t>
      </w:r>
      <w:r w:rsidR="00891E74">
        <w:t xml:space="preserve">“(Department of Infrastructure, Transport, Regional Development and Communication)” </w:t>
      </w:r>
      <w:r>
        <w:rPr>
          <w:sz w:val="22"/>
          <w:szCs w:val="22"/>
          <w:rtl/>
        </w:rPr>
        <w:t xml:space="preserve"> على</w:t>
      </w:r>
      <w:r w:rsidR="00217D49">
        <w:rPr>
          <w:sz w:val="22"/>
          <w:szCs w:val="22"/>
        </w:rPr>
        <w:t xml:space="preserve"> </w:t>
      </w:r>
      <w:hyperlink r:id="rId11" w:history="1">
        <w:r w:rsidR="00217D49" w:rsidRPr="008919C8">
          <w:rPr>
            <w:rStyle w:val="Hyperlink"/>
            <w:sz w:val="22"/>
            <w:szCs w:val="22"/>
          </w:rPr>
          <w:t>https://www.infrastructure.gov.au/infrastructure-transport-vehicles/transport-accessibility/reform-disability-standards-accessible-public-transport-2002/stage-1-reforms</w:t>
        </w:r>
      </w:hyperlink>
    </w:p>
    <w:p w14:paraId="32D8E1E6" w14:textId="72E6E8CA" w:rsidR="00C16ACC" w:rsidRPr="007B099C" w:rsidRDefault="009241B9" w:rsidP="00891E74">
      <w:pPr>
        <w:bidi/>
        <w:rPr>
          <w:sz w:val="22"/>
          <w:szCs w:val="22"/>
          <w:highlight w:val="yellow"/>
        </w:rPr>
      </w:pPr>
      <w:r>
        <w:rPr>
          <w:sz w:val="22"/>
          <w:szCs w:val="22"/>
          <w:rtl/>
        </w:rPr>
        <w:t>كانت هذه عملية قيّمة، وتسعى الحكومة الأسترالية الآن للحصول على ملاحظاتكم وآرائكم لدعم المرحلة الثانية من عملية الإصلاح. المشاورة الوطنية بشأن المرحلة الثانية من بيان التشاور حول تأثير لائحة القرار</w:t>
      </w:r>
      <w:r>
        <w:rPr>
          <w:sz w:val="22"/>
          <w:szCs w:val="22"/>
        </w:rPr>
        <w:t xml:space="preserve"> (RIS) </w:t>
      </w:r>
      <w:r>
        <w:rPr>
          <w:sz w:val="22"/>
          <w:szCs w:val="22"/>
          <w:rtl/>
        </w:rPr>
        <w:t xml:space="preserve">،مفتوحة </w:t>
      </w:r>
      <w:r w:rsidRPr="00353C2A">
        <w:rPr>
          <w:sz w:val="22"/>
          <w:szCs w:val="22"/>
          <w:rtl/>
        </w:rPr>
        <w:t xml:space="preserve">من </w:t>
      </w:r>
      <w:r w:rsidR="00891E74" w:rsidRPr="00353C2A">
        <w:rPr>
          <w:rFonts w:hint="cs"/>
          <w:sz w:val="22"/>
          <w:szCs w:val="22"/>
          <w:rtl/>
        </w:rPr>
        <w:t xml:space="preserve">مارس حتى أغسطس 2022. </w:t>
      </w:r>
    </w:p>
    <w:p w14:paraId="455F1330" w14:textId="77777777" w:rsidR="00034626" w:rsidRPr="00034626" w:rsidRDefault="00B73619" w:rsidP="009C1920">
      <w:pPr>
        <w:pStyle w:val="Heading10"/>
      </w:pPr>
      <w:r>
        <w:rPr>
          <w:rtl/>
        </w:rPr>
        <w:t>فهم عملية</w:t>
      </w:r>
      <w:r w:rsidR="00073A00">
        <w:rPr>
          <w:rFonts w:hint="cs"/>
          <w:rtl/>
        </w:rPr>
        <w:t xml:space="preserve"> </w:t>
      </w:r>
      <w:r>
        <w:rPr>
          <w:rtl/>
        </w:rPr>
        <w:t>التشاور</w:t>
      </w:r>
    </w:p>
    <w:p w14:paraId="6B700216" w14:textId="77777777" w:rsidR="00002E07" w:rsidRPr="006D2647" w:rsidRDefault="00002E07" w:rsidP="00002E07">
      <w:pPr>
        <w:bidi/>
        <w:rPr>
          <w:rFonts w:cs="Calibri"/>
        </w:rPr>
      </w:pPr>
      <w:r w:rsidRPr="006D2647">
        <w:rPr>
          <w:rFonts w:cs="Calibri"/>
          <w:sz w:val="22"/>
          <w:szCs w:val="22"/>
          <w:rtl/>
        </w:rPr>
        <w:t>الغرض من عملية التشاور هو مساعدتنا على فهم مدى المشكلات، وكيفية تأثيرها على الناس، ومعرفة المزيد عن السياقات التي من المحتمل أن يحدث فيها التمييز، وفهم تأثيرات الإصلاحات المقترحة على جميع أصحاب المصلحة، بما في ذلك ما إذا كان من المرجح أن تحقق خيارات السياسةالمقترحة أهدافها.</w:t>
      </w:r>
    </w:p>
    <w:p w14:paraId="430CE42D" w14:textId="77777777" w:rsidR="009241B9" w:rsidRPr="006D2647" w:rsidRDefault="009241B9" w:rsidP="003C65D9">
      <w:pPr>
        <w:bidi/>
        <w:rPr>
          <w:rFonts w:cs="Calibri"/>
          <w:sz w:val="22"/>
          <w:szCs w:val="22"/>
        </w:rPr>
      </w:pPr>
      <w:r w:rsidRPr="006D2647">
        <w:rPr>
          <w:rFonts w:cs="Calibri"/>
          <w:sz w:val="22"/>
          <w:szCs w:val="22"/>
          <w:rtl/>
        </w:rPr>
        <w:t>تحتوي المرحلة الثانية على 54 مجال إصلاح تتعلق بمختلف القضايا، وتغطي إصلاحات رئيسيةلمعايير النقل، بالإضافة إلى تحديثات طفيفة. تمّ تقسيم مجالات الإصلاح إلى 61 فصلاً في بيان التشاور حول تأثير لائحة القرار</w:t>
      </w:r>
      <w:r w:rsidRPr="006D2647">
        <w:rPr>
          <w:rFonts w:cs="Calibri"/>
          <w:sz w:val="22"/>
          <w:szCs w:val="22"/>
        </w:rPr>
        <w:t xml:space="preserve"> (RIS) </w:t>
      </w:r>
      <w:r w:rsidRPr="006D2647">
        <w:rPr>
          <w:rFonts w:cs="Calibri"/>
          <w:sz w:val="22"/>
          <w:szCs w:val="22"/>
          <w:rtl/>
        </w:rPr>
        <w:t>(بما في ذلك الجزء 1: نهج التنفيذ) لمساعدتك على فهم محتوى الإصلاحات وتقديم ملاحظات تستهدفالقضايا الفردية.</w:t>
      </w:r>
    </w:p>
    <w:p w14:paraId="609A78A0" w14:textId="77777777" w:rsidR="00090C5D" w:rsidRPr="006D2647" w:rsidRDefault="007444E6">
      <w:pPr>
        <w:bidi/>
        <w:rPr>
          <w:rFonts w:cs="Calibri"/>
          <w:sz w:val="22"/>
          <w:szCs w:val="22"/>
        </w:rPr>
      </w:pPr>
      <w:r w:rsidRPr="006D2647">
        <w:rPr>
          <w:rFonts w:cs="Calibri"/>
          <w:sz w:val="22"/>
          <w:szCs w:val="22"/>
          <w:rtl/>
        </w:rPr>
        <w:t>إن 54مجال إصلاح كثيرة للنظر فيها. لمساعدتك على المشاركة في مشاورات المرحلة 2 والاستجابة لبيانالتشاور حول تأثير لائحة القرار</w:t>
      </w:r>
      <w:r w:rsidRPr="006D2647">
        <w:rPr>
          <w:rFonts w:cs="Calibri"/>
          <w:sz w:val="22"/>
          <w:szCs w:val="22"/>
        </w:rPr>
        <w:t xml:space="preserve"> (RIS) </w:t>
      </w:r>
      <w:r w:rsidRPr="006D2647">
        <w:rPr>
          <w:rFonts w:cs="Calibri"/>
          <w:sz w:val="22"/>
          <w:szCs w:val="22"/>
          <w:rtl/>
        </w:rPr>
        <w:t>، تمّإعداد عدد من المستندات والموارد الداعمة، بما في ذلك بيان قصير عن التشاور حول تأثير لائحة القرار</w:t>
      </w:r>
      <w:r w:rsidRPr="006D2647">
        <w:rPr>
          <w:rFonts w:cs="Calibri"/>
          <w:sz w:val="22"/>
          <w:szCs w:val="22"/>
        </w:rPr>
        <w:t xml:space="preserve"> (RIS) </w:t>
      </w:r>
      <w:r w:rsidRPr="006D2647">
        <w:rPr>
          <w:rFonts w:cs="Calibri"/>
          <w:sz w:val="22"/>
          <w:szCs w:val="22"/>
          <w:rtl/>
        </w:rPr>
        <w:t>،وأوراق معلوماتحول نطاقات الإصلاح، وطرُق مختلفة لتقديم الآراء والاقتراحات.</w:t>
      </w:r>
    </w:p>
    <w:p w14:paraId="211269A5" w14:textId="77777777" w:rsidR="00BC4FA9" w:rsidRPr="006D2647" w:rsidRDefault="00090C5D" w:rsidP="00090C5D">
      <w:pPr>
        <w:bidi/>
        <w:rPr>
          <w:rFonts w:cs="Calibri"/>
          <w:sz w:val="22"/>
          <w:szCs w:val="22"/>
        </w:rPr>
      </w:pPr>
      <w:r w:rsidRPr="006D2647">
        <w:rPr>
          <w:rFonts w:cs="Calibri"/>
          <w:sz w:val="22"/>
          <w:szCs w:val="22"/>
          <w:rtl/>
        </w:rPr>
        <w:lastRenderedPageBreak/>
        <w:t xml:space="preserve">هذه الموارد متاحة على الموقع الوزارة الإلكتروني: </w:t>
      </w:r>
      <w:hyperlink r:id="rId12" w:history="1">
        <w:r w:rsidR="00217D49" w:rsidRPr="006D2647">
          <w:rPr>
            <w:rStyle w:val="Hyperlink"/>
            <w:rFonts w:cs="Calibri"/>
            <w:sz w:val="22"/>
            <w:szCs w:val="22"/>
          </w:rPr>
          <w:t>https://www.infrastructure.gov.au/infrastructure-transport-vehicles/transport-accessibility/reform-disability-standards-accessible-public-transport-2002/stage-2-reforms</w:t>
        </w:r>
      </w:hyperlink>
    </w:p>
    <w:p w14:paraId="5A6B9869" w14:textId="77777777" w:rsidR="00BC4FA9" w:rsidRPr="001E6311" w:rsidRDefault="00BC4FA9" w:rsidP="00BC4FA9">
      <w:pPr>
        <w:bidi/>
        <w:rPr>
          <w:sz w:val="22"/>
          <w:szCs w:val="22"/>
        </w:rPr>
      </w:pPr>
      <w:r>
        <w:rPr>
          <w:sz w:val="22"/>
          <w:szCs w:val="22"/>
          <w:rtl/>
        </w:rPr>
        <w:t>يمكنك اختيار قراءة بيان التشاور حول تأثير لائحة القرار</w:t>
      </w:r>
      <w:r>
        <w:rPr>
          <w:sz w:val="22"/>
          <w:szCs w:val="22"/>
        </w:rPr>
        <w:t xml:space="preserve"> (RIS) </w:t>
      </w:r>
      <w:r>
        <w:rPr>
          <w:sz w:val="22"/>
          <w:szCs w:val="22"/>
          <w:rtl/>
        </w:rPr>
        <w:t>كليًا أو جزئيًا، بما يتعلق بمجال عملك أو اهتماماتك أو ظروفك الفردية. يمكنك تقديم ملاحظات حول مجالات إصلاح فردية، أو بيان التشاور حول تأثير لائحة القرار</w:t>
      </w:r>
      <w:r>
        <w:rPr>
          <w:sz w:val="22"/>
          <w:szCs w:val="22"/>
        </w:rPr>
        <w:t xml:space="preserve"> (RIS) </w:t>
      </w:r>
      <w:r>
        <w:rPr>
          <w:sz w:val="22"/>
          <w:szCs w:val="22"/>
          <w:rtl/>
        </w:rPr>
        <w:t>بأكمله، و/أو من خلال مشاركة قصتك أو قصصك عن الآخرين (الذين قد لا يتمكنون من التحدث عن أنفسهم)، بما في ذلك ما يمكن فعله لتحسين خدمات النقل العام وإزالة التمييز ضد ذوي الإعاقة.</w:t>
      </w:r>
    </w:p>
    <w:p w14:paraId="6CC2DA32" w14:textId="77777777" w:rsidR="00B73619" w:rsidRDefault="00B73619" w:rsidP="009C1920">
      <w:pPr>
        <w:pStyle w:val="Heading10"/>
      </w:pPr>
      <w:r>
        <w:rPr>
          <w:rtl/>
        </w:rPr>
        <w:t>ادلِ برأيك</w:t>
      </w:r>
    </w:p>
    <w:p w14:paraId="0A399924" w14:textId="77777777" w:rsidR="00A4082F" w:rsidRPr="006D2647" w:rsidRDefault="00105207" w:rsidP="007B099C">
      <w:pPr>
        <w:bidi/>
        <w:rPr>
          <w:rFonts w:cs="Calibri"/>
          <w:sz w:val="22"/>
          <w:szCs w:val="22"/>
        </w:rPr>
      </w:pPr>
      <w:r w:rsidRPr="006D2647">
        <w:rPr>
          <w:rFonts w:cs="Calibri"/>
          <w:sz w:val="22"/>
          <w:szCs w:val="22"/>
          <w:rtl/>
        </w:rPr>
        <w:t xml:space="preserve">تسعى الحكومة الأسترالية للحصول على آراء واقتراحات حول مجالات إصلاح المرحلة 2، بما في ذلك كيفية تأثير هذه القضايا والخيارات المقترحة عليك (مثل التكاليف والمزايا المرتبطة بالإصلاحات)، وما إذا كانت الخيارات المقترحة ستحسن إمكانية الوصول إلى وسائل النقل العام للأشخاص ذوي الإعاقة. </w:t>
      </w:r>
    </w:p>
    <w:p w14:paraId="5EB4BFFC" w14:textId="77777777" w:rsidR="00D422D0" w:rsidRPr="006D2647" w:rsidRDefault="00D422D0" w:rsidP="007B099C">
      <w:pPr>
        <w:bidi/>
        <w:rPr>
          <w:rFonts w:cs="Calibri"/>
          <w:sz w:val="22"/>
          <w:szCs w:val="22"/>
        </w:rPr>
      </w:pPr>
      <w:r w:rsidRPr="006D2647">
        <w:rPr>
          <w:rFonts w:cs="Calibri"/>
          <w:sz w:val="22"/>
          <w:szCs w:val="22"/>
          <w:rtl/>
        </w:rPr>
        <w:t>توجد أسئلة فيبيان التشاور حول تأثير لائحة القرار</w:t>
      </w:r>
      <w:r w:rsidRPr="006D2647">
        <w:rPr>
          <w:rFonts w:cs="Calibri"/>
          <w:sz w:val="22"/>
          <w:szCs w:val="22"/>
        </w:rPr>
        <w:t xml:space="preserve"> (RIS) </w:t>
      </w:r>
      <w:r w:rsidRPr="006D2647">
        <w:rPr>
          <w:rFonts w:cs="Calibri"/>
          <w:sz w:val="22"/>
          <w:szCs w:val="22"/>
          <w:rtl/>
        </w:rPr>
        <w:t>لكل مجال إصلاح، لمساعدتك في تقديم إجابة.</w:t>
      </w:r>
    </w:p>
    <w:p w14:paraId="57361271" w14:textId="77777777" w:rsidR="00090C5D" w:rsidRPr="007B099C" w:rsidRDefault="00090C5D" w:rsidP="00090C5D">
      <w:pPr>
        <w:bidi/>
        <w:rPr>
          <w:sz w:val="22"/>
          <w:szCs w:val="22"/>
        </w:rPr>
      </w:pPr>
      <w:r>
        <w:rPr>
          <w:sz w:val="22"/>
          <w:szCs w:val="22"/>
          <w:rtl/>
        </w:rPr>
        <w:t>يمكنك الرد على بيان التشاور حول تأثير لائحة القرار</w:t>
      </w:r>
      <w:r>
        <w:rPr>
          <w:sz w:val="22"/>
          <w:szCs w:val="22"/>
        </w:rPr>
        <w:t xml:space="preserve"> (RIS) </w:t>
      </w:r>
      <w:r>
        <w:rPr>
          <w:sz w:val="22"/>
          <w:szCs w:val="22"/>
          <w:rtl/>
        </w:rPr>
        <w:t>ومشاركة تجاربك معنا:</w:t>
      </w:r>
    </w:p>
    <w:p w14:paraId="506E6878" w14:textId="6E50DDCD" w:rsidR="00090C5D" w:rsidRPr="007B099C" w:rsidRDefault="00090C5D" w:rsidP="00090C5D">
      <w:pPr>
        <w:pStyle w:val="ListParagraph"/>
        <w:numPr>
          <w:ilvl w:val="0"/>
          <w:numId w:val="37"/>
        </w:numPr>
        <w:bidi/>
        <w:spacing w:line="240" w:lineRule="auto"/>
        <w:ind w:left="567" w:hanging="567"/>
      </w:pPr>
      <w:r>
        <w:rPr>
          <w:rtl/>
        </w:rPr>
        <w:t xml:space="preserve">كتابيًا، أو بمقطع فيديو، أو تسجيل صوتي عبر البريد الإلكتروني إلى </w:t>
      </w:r>
      <w:hyperlink r:id="rId13" w:history="1">
        <w:r>
          <w:rPr>
            <w:rStyle w:val="Hyperlink"/>
          </w:rPr>
          <w:t>DisabilityTransport@infrastructure.gov.au</w:t>
        </w:r>
      </w:hyperlink>
      <w:r>
        <w:rPr>
          <w:rtl/>
        </w:rPr>
        <w:t xml:space="preserve">  </w:t>
      </w:r>
    </w:p>
    <w:p w14:paraId="36AAA141" w14:textId="77777777" w:rsidR="00090C5D" w:rsidRPr="007B099C" w:rsidRDefault="00090C5D" w:rsidP="00090C5D">
      <w:pPr>
        <w:pStyle w:val="ListParagraph"/>
        <w:numPr>
          <w:ilvl w:val="0"/>
          <w:numId w:val="37"/>
        </w:numPr>
        <w:bidi/>
        <w:spacing w:line="240" w:lineRule="auto"/>
        <w:ind w:left="567" w:hanging="567"/>
      </w:pPr>
      <w:r>
        <w:rPr>
          <w:rtl/>
        </w:rPr>
        <w:t>عن طريق الهاتف (مكالمة مجانية) على الرقم 1800621372</w:t>
      </w:r>
    </w:p>
    <w:p w14:paraId="4AF91666" w14:textId="77777777" w:rsidR="00090C5D" w:rsidRPr="007B099C" w:rsidRDefault="00090C5D" w:rsidP="00090C5D">
      <w:pPr>
        <w:pStyle w:val="ListParagraph"/>
        <w:numPr>
          <w:ilvl w:val="0"/>
          <w:numId w:val="37"/>
        </w:numPr>
        <w:bidi/>
        <w:spacing w:line="240" w:lineRule="auto"/>
        <w:ind w:left="567" w:hanging="567"/>
      </w:pPr>
      <w:r>
        <w:rPr>
          <w:rtl/>
        </w:rPr>
        <w:t xml:space="preserve">من خلال استبيان عبر الإنترنت متاح على: </w:t>
      </w:r>
      <w:hyperlink r:id="rId14" w:history="1">
        <w:r w:rsidR="00217D49" w:rsidRPr="008919C8">
          <w:rPr>
            <w:rStyle w:val="Hyperlink"/>
          </w:rPr>
          <w:t>https://www.infrastructure.gov.au/infrastructure-transport-vehicles/transport-accessibility/reform-disability-standards-accessible-public-transport-2002/stage-2-reforms</w:t>
        </w:r>
      </w:hyperlink>
    </w:p>
    <w:p w14:paraId="50DD3473" w14:textId="77777777" w:rsidR="00090C5D" w:rsidRPr="00F970B3" w:rsidRDefault="00090C5D" w:rsidP="007B099C">
      <w:pPr>
        <w:pStyle w:val="ListParagraph"/>
        <w:numPr>
          <w:ilvl w:val="0"/>
          <w:numId w:val="37"/>
        </w:numPr>
        <w:bidi/>
        <w:spacing w:line="240" w:lineRule="auto"/>
        <w:ind w:left="567" w:hanging="567"/>
      </w:pPr>
      <w:r>
        <w:rPr>
          <w:rtl/>
        </w:rPr>
        <w:t xml:space="preserve">المشاركة في ورش العمل التي تُعقد في الفترة من </w:t>
      </w:r>
      <w:r w:rsidRPr="00217D49">
        <w:rPr>
          <w:rtl/>
        </w:rPr>
        <w:t xml:space="preserve">مايو/أيارحتى يوليو/تموز 2022 </w:t>
      </w:r>
    </w:p>
    <w:p w14:paraId="5132011C" w14:textId="77777777" w:rsidR="00B73619" w:rsidRPr="006D2647" w:rsidRDefault="00B73619" w:rsidP="00B73619">
      <w:pPr>
        <w:bidi/>
        <w:rPr>
          <w:rFonts w:cs="Calibri"/>
          <w:sz w:val="22"/>
          <w:szCs w:val="22"/>
        </w:rPr>
      </w:pPr>
      <w:r w:rsidRPr="006D2647">
        <w:rPr>
          <w:rFonts w:cs="Calibri"/>
          <w:sz w:val="22"/>
          <w:szCs w:val="22"/>
          <w:rtl/>
        </w:rPr>
        <w:t>بالنسبة للأشخاص غير الناطقين بالانجليزية والمحتاجين إلى دعم لقراءة بيان التشاور حول تأثير لائحة القرار</w:t>
      </w:r>
      <w:r w:rsidRPr="006D2647">
        <w:rPr>
          <w:rFonts w:cs="Calibri"/>
          <w:sz w:val="22"/>
          <w:szCs w:val="22"/>
        </w:rPr>
        <w:t xml:space="preserve"> (RIS) </w:t>
      </w:r>
      <w:r w:rsidRPr="006D2647">
        <w:rPr>
          <w:rFonts w:cs="Calibri"/>
          <w:sz w:val="22"/>
          <w:szCs w:val="22"/>
          <w:rtl/>
        </w:rPr>
        <w:t>و الرد عليه، فإن خدمة الترجمة التحريرية والشفهية الوطنية</w:t>
      </w:r>
      <w:r w:rsidRPr="006D2647">
        <w:rPr>
          <w:rFonts w:cs="Calibri"/>
          <w:sz w:val="22"/>
          <w:szCs w:val="22"/>
        </w:rPr>
        <w:t xml:space="preserve"> (TIS National) </w:t>
      </w:r>
      <w:r w:rsidRPr="006D2647">
        <w:rPr>
          <w:rFonts w:cs="Calibri"/>
          <w:sz w:val="22"/>
          <w:szCs w:val="22"/>
          <w:rtl/>
        </w:rPr>
        <w:t>متاحة لتقديم الدعم بأكثر من 120 لغة ولهجة. يمكن الاتصال بـ</w:t>
      </w:r>
      <w:r w:rsidRPr="006D2647">
        <w:rPr>
          <w:rFonts w:cs="Calibri"/>
          <w:sz w:val="22"/>
          <w:szCs w:val="22"/>
        </w:rPr>
        <w:t xml:space="preserve"> TIS National </w:t>
      </w:r>
      <w:r w:rsidRPr="006D2647">
        <w:rPr>
          <w:rFonts w:cs="Calibri"/>
          <w:sz w:val="22"/>
          <w:szCs w:val="22"/>
          <w:rtl/>
        </w:rPr>
        <w:t>على الرقم 131450.</w:t>
      </w:r>
    </w:p>
    <w:p w14:paraId="06616724" w14:textId="77777777" w:rsidR="007B099C" w:rsidRPr="006A2694" w:rsidRDefault="007B099C" w:rsidP="009C1920">
      <w:pPr>
        <w:pStyle w:val="Heading10"/>
      </w:pPr>
      <w:r>
        <w:rPr>
          <w:rtl/>
        </w:rPr>
        <w:t>الخطوات التالية</w:t>
      </w:r>
    </w:p>
    <w:p w14:paraId="61BE8CFE" w14:textId="77777777" w:rsidR="007B099C" w:rsidRPr="006D2647" w:rsidRDefault="007B099C" w:rsidP="007B099C">
      <w:pPr>
        <w:bidi/>
        <w:rPr>
          <w:rFonts w:cs="Calibri"/>
          <w:sz w:val="22"/>
          <w:szCs w:val="22"/>
        </w:rPr>
      </w:pPr>
      <w:r w:rsidRPr="006D2647">
        <w:rPr>
          <w:rFonts w:cs="Calibri"/>
          <w:sz w:val="22"/>
          <w:szCs w:val="22"/>
          <w:rtl/>
        </w:rPr>
        <w:t>ستُفيد الملاحظات التي يتم جمعها أثناء عمليةالتشاور في إعدادبيان تأثير لائحة القرار</w:t>
      </w:r>
      <w:r w:rsidRPr="006D2647">
        <w:rPr>
          <w:rFonts w:cs="Calibri"/>
          <w:sz w:val="22"/>
          <w:szCs w:val="22"/>
        </w:rPr>
        <w:t xml:space="preserve"> (RIS) </w:t>
      </w:r>
      <w:r w:rsidRPr="006D2647">
        <w:rPr>
          <w:rFonts w:cs="Calibri"/>
          <w:sz w:val="22"/>
          <w:szCs w:val="22"/>
          <w:rtl/>
        </w:rPr>
        <w:t xml:space="preserve">للمرحلة الثانية من عملية الإصلاح. سيتم تقديم هذا إلى وزراء النقل لدراسته، وسيشمل قائمة أصحاب المصلحة الذين تمت استشارتهم، وملخصًا لآرائهم، وتحليل للتكاليف والمزايا لكل مجال من مجالات الإصلاح. </w:t>
      </w:r>
    </w:p>
    <w:p w14:paraId="6633DFF6" w14:textId="77777777" w:rsidR="00F0484C" w:rsidRPr="006D2647" w:rsidRDefault="007B099C" w:rsidP="007B099C">
      <w:pPr>
        <w:bidi/>
        <w:rPr>
          <w:rFonts w:cs="Calibri"/>
          <w:sz w:val="22"/>
          <w:szCs w:val="22"/>
        </w:rPr>
      </w:pPr>
      <w:r w:rsidRPr="006D2647">
        <w:rPr>
          <w:rFonts w:cs="Calibri"/>
          <w:sz w:val="22"/>
          <w:szCs w:val="22"/>
          <w:rtl/>
        </w:rPr>
        <w:t>سيتم نشر بيان تأثير لائحة القرار</w:t>
      </w:r>
      <w:r w:rsidRPr="006D2647">
        <w:rPr>
          <w:rFonts w:cs="Calibri"/>
          <w:sz w:val="22"/>
          <w:szCs w:val="22"/>
        </w:rPr>
        <w:t xml:space="preserve"> (RIS) </w:t>
      </w:r>
      <w:r w:rsidRPr="006D2647">
        <w:rPr>
          <w:rFonts w:cs="Calibri"/>
          <w:sz w:val="22"/>
          <w:szCs w:val="22"/>
          <w:rtl/>
        </w:rPr>
        <w:t xml:space="preserve">للجمهور بعد دراسته من قبل وزراء النقل. </w:t>
      </w:r>
    </w:p>
    <w:p w14:paraId="6F23CB96" w14:textId="77777777" w:rsidR="00F0484C" w:rsidRPr="006A2694" w:rsidRDefault="00F0484C" w:rsidP="009C1920">
      <w:pPr>
        <w:pStyle w:val="Heading10"/>
      </w:pPr>
      <w:r>
        <w:rPr>
          <w:rtl/>
        </w:rPr>
        <w:t>المزيد من المعلومات</w:t>
      </w:r>
    </w:p>
    <w:p w14:paraId="4B4636EC" w14:textId="77777777" w:rsidR="000705E9" w:rsidRPr="006D2647" w:rsidRDefault="000705E9" w:rsidP="000705E9">
      <w:pPr>
        <w:bidi/>
        <w:rPr>
          <w:rFonts w:cs="Calibri"/>
          <w:sz w:val="22"/>
          <w:szCs w:val="22"/>
        </w:rPr>
      </w:pPr>
      <w:r w:rsidRPr="006D2647">
        <w:rPr>
          <w:rFonts w:cs="Calibri"/>
          <w:sz w:val="22"/>
          <w:szCs w:val="22"/>
          <w:rtl/>
        </w:rPr>
        <w:t>يتوفر المزيد من المعلومات حول كيفية المشاركة في عملية التشاور العامة على الموقع الإلكتروني</w:t>
      </w:r>
      <w:r w:rsidRPr="006D2647">
        <w:rPr>
          <w:rFonts w:cs="Calibri"/>
          <w:color w:val="auto"/>
          <w:sz w:val="22"/>
          <w:szCs w:val="22"/>
          <w:rtl/>
        </w:rPr>
        <w:t>لوزارة البنية التحتية والنقل والتنمية الإقليمية والاتصالات</w:t>
      </w:r>
      <w:r w:rsidR="00073A00">
        <w:rPr>
          <w:rFonts w:cs="Calibri" w:hint="cs"/>
          <w:color w:val="auto"/>
          <w:sz w:val="22"/>
          <w:szCs w:val="22"/>
          <w:rtl/>
        </w:rPr>
        <w:t xml:space="preserve"> </w:t>
      </w:r>
      <w:r w:rsidR="00073A00">
        <w:t xml:space="preserve">“(Department of Infrastructure, Transport, Regional Development and Communication)” </w:t>
      </w:r>
      <w:r w:rsidR="00073A00">
        <w:rPr>
          <w:rFonts w:hint="cs"/>
          <w:rtl/>
        </w:rPr>
        <w:t xml:space="preserve"> </w:t>
      </w:r>
      <w:r w:rsidRPr="006D2647">
        <w:rPr>
          <w:rFonts w:cs="Calibri"/>
          <w:sz w:val="22"/>
          <w:szCs w:val="22"/>
          <w:rtl/>
        </w:rPr>
        <w:t xml:space="preserve">على: </w:t>
      </w:r>
      <w:hyperlink r:id="rId15" w:history="1">
        <w:r w:rsidR="00217D49" w:rsidRPr="006D2647">
          <w:rPr>
            <w:rStyle w:val="Hyperlink"/>
            <w:rFonts w:cs="Calibri"/>
            <w:sz w:val="22"/>
            <w:szCs w:val="22"/>
          </w:rPr>
          <w:t>https://www.infrastructure.gov.au/infrastructure-transport-vehicles/transport-accessibility/reform-disability-standards-accessible-public-transport-2002</w:t>
        </w:r>
      </w:hyperlink>
    </w:p>
    <w:p w14:paraId="5FB5D845" w14:textId="77777777" w:rsidR="00D43F26" w:rsidRPr="006D2647" w:rsidRDefault="000705E9" w:rsidP="00217D49">
      <w:pPr>
        <w:bidi/>
        <w:rPr>
          <w:rFonts w:cs="Calibri"/>
          <w:color w:val="auto"/>
          <w:sz w:val="22"/>
          <w:szCs w:val="22"/>
        </w:rPr>
      </w:pPr>
      <w:r w:rsidRPr="006D2647">
        <w:rPr>
          <w:rFonts w:cs="Calibri"/>
          <w:color w:val="auto"/>
          <w:sz w:val="22"/>
          <w:szCs w:val="22"/>
          <w:rtl/>
        </w:rPr>
        <w:t xml:space="preserve">يمكنك أيضًا الاتصال بنا هاتفياً على الرقم </w:t>
      </w:r>
      <w:r w:rsidRPr="006D2647">
        <w:rPr>
          <w:rFonts w:cs="Calibri"/>
          <w:color w:val="auto"/>
          <w:sz w:val="22"/>
          <w:szCs w:val="22"/>
        </w:rPr>
        <w:t>1800 621 372</w:t>
      </w:r>
      <w:r w:rsidRPr="006D2647">
        <w:rPr>
          <w:rFonts w:cs="Calibri"/>
          <w:color w:val="auto"/>
          <w:sz w:val="22"/>
          <w:szCs w:val="22"/>
          <w:rtl/>
        </w:rPr>
        <w:t>.</w:t>
      </w:r>
    </w:p>
    <w:p w14:paraId="5E36B56B" w14:textId="77777777" w:rsidR="00090C5D" w:rsidRPr="007B099C" w:rsidRDefault="00D45821" w:rsidP="009C1920">
      <w:pPr>
        <w:pStyle w:val="Heading10"/>
      </w:pPr>
      <w:r>
        <w:rPr>
          <w:rtl/>
        </w:rPr>
        <w:t>مجالات الإصلاح الخاصة بالمرحلة 2</w:t>
      </w:r>
    </w:p>
    <w:p w14:paraId="73DAA85A" w14:textId="77777777" w:rsidR="007B099C" w:rsidRPr="006928C8" w:rsidRDefault="007B099C" w:rsidP="00353C2A">
      <w:pPr>
        <w:pStyle w:val="Heading2"/>
      </w:pPr>
      <w:bookmarkStart w:id="1" w:name="_Poles_and_obstacles"/>
      <w:bookmarkStart w:id="2" w:name="_Lighting"/>
      <w:bookmarkStart w:id="3" w:name="_Boarding_and_alighting"/>
      <w:bookmarkStart w:id="4" w:name="_Hearing_augmentation_on"/>
      <w:bookmarkStart w:id="5" w:name="_Location_during_journey"/>
      <w:bookmarkStart w:id="6" w:name="_Real_time_communication"/>
      <w:bookmarkStart w:id="7" w:name="_Mobile_phone_applications"/>
      <w:bookmarkStart w:id="8" w:name="_Provision_of_information"/>
      <w:bookmarkStart w:id="9" w:name="_Print_size_and"/>
      <w:bookmarkStart w:id="10" w:name="_Hearing_augmentation_in"/>
      <w:bookmarkStart w:id="11" w:name="_Emergency_call_buttons"/>
      <w:bookmarkStart w:id="12" w:name="_Ambulant_toilets"/>
      <w:bookmarkStart w:id="13" w:name="_Left_and_right"/>
      <w:bookmarkStart w:id="14" w:name="_Off-street_car_parking"/>
      <w:bookmarkStart w:id="15" w:name="_On-street_car_parking"/>
      <w:bookmarkStart w:id="16" w:name="_Taxi_ranks"/>
      <w:bookmarkStart w:id="17" w:name="_Grab_rails_in_1"/>
      <w:bookmarkStart w:id="18" w:name="_Doorways_on_conveyances"/>
      <w:bookmarkStart w:id="19" w:name="_Stairs_on_conveyances"/>
      <w:bookmarkStart w:id="20" w:name="_Allocated_spaces_at"/>
      <w:bookmarkStart w:id="21" w:name="_Doors_on_access"/>
      <w:bookmarkStart w:id="22" w:name="_Continuous_Handrails_on"/>
      <w:bookmarkStart w:id="23" w:name="_Continuous_access_on"/>
      <w:bookmarkStart w:id="24" w:name="_Flange_gaps"/>
      <w:bookmarkStart w:id="25" w:name="_Grab_rails_in"/>
      <w:bookmarkStart w:id="26" w:name="_Dwell_times"/>
      <w:bookmarkStart w:id="27" w:name="_Passive_restraints"/>
      <w:bookmarkStart w:id="28" w:name="_Active_restraints"/>
      <w:bookmarkStart w:id="29" w:name="_Escalators_and_travellators"/>
      <w:bookmarkStart w:id="30" w:name="_Lifts"/>
      <w:bookmarkStart w:id="31" w:name="_Appropriate_seats_on"/>
      <w:bookmarkStart w:id="32" w:name="_Allocated_spaces_in"/>
      <w:bookmarkStart w:id="33" w:name="_Procurement_of_Information"/>
      <w:bookmarkStart w:id="34" w:name="_Location_of_fare"/>
      <w:bookmarkStart w:id="35" w:name="_Fare_payment_systems"/>
      <w:bookmarkStart w:id="36" w:name="_Braille_and_raised"/>
      <w:bookmarkStart w:id="37" w:name="_Symbols"/>
      <w:bookmarkStart w:id="38" w:name="_Location_of_signs"/>
      <w:bookmarkStart w:id="39" w:name="_Height_and_illumination"/>
      <w:bookmarkStart w:id="40" w:name="_Specifications_for_removable"/>
      <w:bookmarkStart w:id="41" w:name="_Define_removable_gangways"/>
      <w:bookmarkStart w:id="42" w:name="_Portable_boarding_ramp"/>
      <w:bookmarkStart w:id="43" w:name="_Signals_to_request"/>
      <w:bookmarkStart w:id="44" w:name="_Nominated_assistance_points"/>
      <w:bookmarkStart w:id="45" w:name="_Boarding_points"/>
      <w:bookmarkStart w:id="46" w:name="_Priority_seats_in"/>
      <w:bookmarkStart w:id="47" w:name="_Braille_information"/>
      <w:bookmarkStart w:id="48" w:name="_Identification_of_lead"/>
      <w:bookmarkStart w:id="49" w:name="_Existing_Assets"/>
      <w:bookmarkStart w:id="50" w:name="_Equivalent_Access"/>
      <w:bookmarkStart w:id="51" w:name="_Rideshare"/>
      <w:bookmarkStart w:id="52" w:name="_Dedicated_school_buses"/>
      <w:bookmarkStart w:id="53" w:name="_Communication_of_accessible"/>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tl/>
        </w:rPr>
        <w:t>الإبلاغ والامتثال</w:t>
      </w:r>
    </w:p>
    <w:p w14:paraId="267986C6"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تحديد متطلبات للإبلاغ عن الامتثال لمعايير النقل.</w:t>
      </w:r>
    </w:p>
    <w:p w14:paraId="1F3419FF" w14:textId="77777777" w:rsidR="007B099C"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تحديد متطلبات جديدة لإبلاغ الجمهور بتجهيزات الوصول في</w:t>
      </w:r>
      <w:r w:rsidR="00520B71">
        <w:rPr>
          <w:rFonts w:hint="cs"/>
          <w:color w:val="auto"/>
          <w:kern w:val="0"/>
          <w:sz w:val="22"/>
          <w:szCs w:val="22"/>
          <w:rtl/>
        </w:rPr>
        <w:t xml:space="preserve"> </w:t>
      </w:r>
      <w:r>
        <w:rPr>
          <w:color w:val="auto"/>
          <w:kern w:val="0"/>
          <w:sz w:val="22"/>
          <w:szCs w:val="22"/>
          <w:rtl/>
        </w:rPr>
        <w:t>مرافق النقل العام.</w:t>
      </w:r>
    </w:p>
    <w:p w14:paraId="2CD60ABA" w14:textId="77777777" w:rsidR="00105207" w:rsidRDefault="00105207" w:rsidP="00105207">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lastRenderedPageBreak/>
        <w:t>زيادة الثقة في استخدام حلول وصول مكافئة، مع ضمان أن الوصول المكافئ لا يؤدي إلى تقليل إمكانية الوصول العامة.</w:t>
      </w:r>
    </w:p>
    <w:p w14:paraId="2A66592A" w14:textId="77777777" w:rsidR="00105207" w:rsidRPr="00105207" w:rsidRDefault="00105207" w:rsidP="00105207">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تحديد متطلبات التنفيذ لأي تعديلات تنظيمية على معايير النقلتم الاتفاق عليها كجزء من عملية الإصلاح هذه.</w:t>
      </w:r>
    </w:p>
    <w:p w14:paraId="337760B2" w14:textId="77777777" w:rsidR="007B099C" w:rsidRPr="006928C8" w:rsidRDefault="007B099C" w:rsidP="00353C2A">
      <w:pPr>
        <w:pStyle w:val="Heading2"/>
      </w:pPr>
      <w:r>
        <w:rPr>
          <w:rtl/>
        </w:rPr>
        <w:t>نطاق النقل</w:t>
      </w:r>
    </w:p>
    <w:p w14:paraId="05C56E99"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معالجة عدم اليقين بشأن متطلبات خدمات النقل المُتَقاسم.</w:t>
      </w:r>
    </w:p>
    <w:p w14:paraId="0230A692"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إلغاء استثناءات الحافلات المدرسية المخصصة فيما يتعلق بالوصول للمساعدة على التنقل.</w:t>
      </w:r>
    </w:p>
    <w:p w14:paraId="1F72F15A" w14:textId="77777777" w:rsidR="007B099C" w:rsidRPr="006928C8" w:rsidRDefault="007B099C" w:rsidP="00353C2A">
      <w:pPr>
        <w:pStyle w:val="Heading2"/>
      </w:pPr>
      <w:r>
        <w:rPr>
          <w:rtl/>
        </w:rPr>
        <w:t>نقاط وأجهزة الصعود المزودة بتجهيزات لذوي الإعاقة</w:t>
      </w:r>
    </w:p>
    <w:p w14:paraId="17A1DA06"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التأكد من تحديد محطات الحافلات الرئيسية بشكل متسق.</w:t>
      </w:r>
    </w:p>
    <w:p w14:paraId="3735D7DF"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توضيح المسائل الفنية المتعلقة بنقاط الركوب للعبّارات، والسكك الحديدية الخفيفة، والترام، والحافلات، مثل متطلبات درجة الانحدار والمساقط المتقاطعة.</w:t>
      </w:r>
    </w:p>
    <w:p w14:paraId="27A748A0"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 xml:space="preserve">توفير معلومات عن نقاط مساعدة معينة، حيث يمكن للركاب الحصول على مساعدة مباشرة، ومساعدة للصعود على متن وسيلة النقل حيث لا يستطيع ذوو الإعاقة الصعود بشكل مستقل </w:t>
      </w:r>
    </w:p>
    <w:p w14:paraId="5799E7F5"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توضيح متطلبات اللافتات لطلب المساعدة في الصعود، وتحديث مراجع المعايير الأسترالية.</w:t>
      </w:r>
    </w:p>
    <w:p w14:paraId="466486EF"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التأكد من أن تجهيزات الصعود المحمولة بها حواجز طرفية، لتحسين السلامة والثقة عند المستخدمين.</w:t>
      </w:r>
    </w:p>
    <w:p w14:paraId="19994C01"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 xml:space="preserve">تحديد الممرات الجانبية المتحركة المستخدمة في البيئة البحرية، بشكل منفصل عن منحدر الصعود المستخدم في البيئة الأرضية. </w:t>
      </w:r>
    </w:p>
    <w:p w14:paraId="2905794A"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وضع مواصفات للممرات الجانبية المتحركة، والتي تختلف عن ممرات صعود المشاة.</w:t>
      </w:r>
    </w:p>
    <w:p w14:paraId="520AC4D4" w14:textId="77777777" w:rsidR="007B099C" w:rsidRPr="006928C8" w:rsidRDefault="007B099C" w:rsidP="00353C2A">
      <w:pPr>
        <w:pStyle w:val="Heading2"/>
      </w:pPr>
      <w:r>
        <w:rPr>
          <w:rtl/>
        </w:rPr>
        <w:t xml:space="preserve">اللافتات والرموز،واللافتات المكتوبة بطريقة </w:t>
      </w:r>
      <w:r>
        <w:t>braille</w:t>
      </w:r>
      <w:r>
        <w:rPr>
          <w:rtl/>
        </w:rPr>
        <w:t>، والحروف البارزة</w:t>
      </w:r>
    </w:p>
    <w:p w14:paraId="022DD4A8"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 xml:space="preserve">هناك فرصة لاعتماد مراجع معايير أسترالية أحدث، متعلقة بارتفاع وإضاءة اللافتات. </w:t>
      </w:r>
    </w:p>
    <w:p w14:paraId="3343EA21"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 xml:space="preserve">هناك فرصة لاعتماد مراجع معايير أسترالية أحدث، متعلقة بأماكن اللافتات. </w:t>
      </w:r>
    </w:p>
    <w:p w14:paraId="4F79B733"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 xml:space="preserve">هناك فرصة لاعتماد مراجع معايير أسترالية أحدث، متعلقة بالرموز. </w:t>
      </w:r>
    </w:p>
    <w:p w14:paraId="0B760DC0" w14:textId="1F7D8D4A"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 xml:space="preserve">وضع المعايير والصعوبة المرتبطةبطريقة </w:t>
      </w:r>
      <w:r w:rsidR="00073A00">
        <w:rPr>
          <w:color w:val="auto"/>
          <w:kern w:val="0"/>
          <w:sz w:val="22"/>
          <w:szCs w:val="22"/>
        </w:rPr>
        <w:t>Braille</w:t>
      </w:r>
      <w:r w:rsidR="00073A00">
        <w:rPr>
          <w:rFonts w:hint="cs"/>
          <w:color w:val="auto"/>
          <w:kern w:val="0"/>
          <w:sz w:val="22"/>
          <w:szCs w:val="22"/>
          <w:rtl/>
        </w:rPr>
        <w:t xml:space="preserve"> </w:t>
      </w:r>
      <w:r>
        <w:rPr>
          <w:color w:val="auto"/>
          <w:kern w:val="0"/>
          <w:sz w:val="22"/>
          <w:szCs w:val="22"/>
          <w:rtl/>
        </w:rPr>
        <w:t>والحروف البارزة على اللافتات.</w:t>
      </w:r>
    </w:p>
    <w:p w14:paraId="4AFA39A5"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 xml:space="preserve">تحديد معيار طريقة </w:t>
      </w:r>
      <w:r>
        <w:rPr>
          <w:color w:val="auto"/>
          <w:kern w:val="0"/>
          <w:sz w:val="22"/>
          <w:szCs w:val="22"/>
        </w:rPr>
        <w:t>braille</w:t>
      </w:r>
      <w:r>
        <w:rPr>
          <w:color w:val="auto"/>
          <w:kern w:val="0"/>
          <w:sz w:val="22"/>
          <w:szCs w:val="22"/>
          <w:rtl/>
        </w:rPr>
        <w:t xml:space="preserve"> المتوقع عند توفير معلومات بطريقة </w:t>
      </w:r>
      <w:r>
        <w:rPr>
          <w:color w:val="auto"/>
          <w:kern w:val="0"/>
          <w:sz w:val="22"/>
          <w:szCs w:val="22"/>
        </w:rPr>
        <w:t>braille</w:t>
      </w:r>
      <w:r>
        <w:rPr>
          <w:color w:val="auto"/>
          <w:kern w:val="0"/>
          <w:sz w:val="22"/>
          <w:szCs w:val="22"/>
          <w:rtl/>
        </w:rPr>
        <w:t>.</w:t>
      </w:r>
    </w:p>
    <w:p w14:paraId="7C823FEF" w14:textId="77777777" w:rsidR="007B099C" w:rsidRPr="006928C8" w:rsidRDefault="007B099C" w:rsidP="00353C2A">
      <w:pPr>
        <w:pStyle w:val="Heading2"/>
      </w:pPr>
      <w:r>
        <w:rPr>
          <w:rtl/>
        </w:rPr>
        <w:t>تقنية المعلومات والاتصالات وأنظمة التعرفة</w:t>
      </w:r>
    </w:p>
    <w:p w14:paraId="2BDBC197"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التأكد من تجهيزات إمكانية الوصول إلى أنظمة دفع الأجرة، والتحقق من صحتها، وتحديث معايير النقل لتعكس استخدام التقنية الرقمية.</w:t>
      </w:r>
    </w:p>
    <w:p w14:paraId="289E8ACF"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وضع متطلبات واضحة لمكانأنظمة دفع الأجرة، مثل بوابات الوصول، أو أجهزة التحقق المتواجدة على الأرصفة، أو أجهزة التحقق من السريان، أو أنظمة تسجيل الوصول في المطارات.</w:t>
      </w:r>
    </w:p>
    <w:p w14:paraId="653FEF94"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تحديد الحد الأدنى من متطلبات تجهيزات الوصول، لغرض شراء تقنية المعلومات والاتصالات.</w:t>
      </w:r>
    </w:p>
    <w:p w14:paraId="60D6EC70" w14:textId="77777777" w:rsidR="007B099C" w:rsidRPr="006928C8" w:rsidRDefault="007B099C" w:rsidP="00353C2A">
      <w:pPr>
        <w:pStyle w:val="Heading2"/>
      </w:pPr>
      <w:r>
        <w:rPr>
          <w:rtl/>
        </w:rPr>
        <w:t>مناطق انتظار وأماكن جلوس مناسبة</w:t>
      </w:r>
    </w:p>
    <w:p w14:paraId="30395F34"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توضيح نسبة المساحات المخصصة في مناطق الانتظار، وتحديد منطقة الانتظار.</w:t>
      </w:r>
    </w:p>
    <w:p w14:paraId="2406118E"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تحديد نسبة المقاعد ذات الأولوية في مناطق الانتظار.</w:t>
      </w:r>
    </w:p>
    <w:p w14:paraId="17DC28E3"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 xml:space="preserve">توضيح المتطلبات الحالية لشغل مقاعد ذات تجهيزات خاصة للخدمات المحجوزة، مع تعريف للمقاعد المناسبة التي يتعين شغلها. </w:t>
      </w:r>
    </w:p>
    <w:p w14:paraId="74195E0F" w14:textId="77777777" w:rsidR="007B099C" w:rsidRPr="006928C8" w:rsidRDefault="007B099C" w:rsidP="00353C2A">
      <w:pPr>
        <w:pStyle w:val="Heading2"/>
      </w:pPr>
      <w:r>
        <w:rPr>
          <w:rtl/>
        </w:rPr>
        <w:t xml:space="preserve">المصاعد </w:t>
      </w:r>
    </w:p>
    <w:p w14:paraId="0C3A5E3D"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تحديث مرجع المعايير الأسترالية إلى</w:t>
      </w:r>
      <w:r>
        <w:rPr>
          <w:color w:val="auto"/>
          <w:kern w:val="0"/>
          <w:sz w:val="22"/>
          <w:szCs w:val="22"/>
        </w:rPr>
        <w:t xml:space="preserve"> AS1735.12 (2020) </w:t>
      </w:r>
      <w:r>
        <w:rPr>
          <w:color w:val="auto"/>
          <w:kern w:val="0"/>
          <w:sz w:val="22"/>
          <w:szCs w:val="22"/>
          <w:rtl/>
        </w:rPr>
        <w:t xml:space="preserve">واعتماد المزيد من متطلبات تجهيزات الوصول للمصاعد، مثل معلومات الهبوط وإيجاد الطريق المسموعة، وتحديد الهبوط عن طريق اللمس، والاتصالات في حالات الطوارئ، والمعلومات المسموعة لمستخدمي المعينات السمعية. </w:t>
      </w:r>
    </w:p>
    <w:p w14:paraId="363DF625"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تحديد الحد الأدنى لمتطلبات عرض واضحة للسلالم والمماشي المتحركة.</w:t>
      </w:r>
    </w:p>
    <w:p w14:paraId="0218B4D3" w14:textId="77777777" w:rsidR="007B099C" w:rsidRPr="006928C8" w:rsidRDefault="007B099C" w:rsidP="00353C2A">
      <w:pPr>
        <w:pStyle w:val="Heading2"/>
      </w:pPr>
      <w:r>
        <w:rPr>
          <w:rtl/>
        </w:rPr>
        <w:t xml:space="preserve">السلامة على متن وسائل النقل </w:t>
      </w:r>
    </w:p>
    <w:p w14:paraId="08DDABCB"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 xml:space="preserve">تعريف وتحديد معيار تقني لقيود الأمان المانعة للحوادث، وتحديد متى تصبح إلزامية </w:t>
      </w:r>
    </w:p>
    <w:p w14:paraId="3B143383"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تحديد قيود الأمان الحامية عند وقوع الحوادث، وكيف يجب أن تحتوي المساحات المخصصة على حركة أداة مساعدة على الحركة.</w:t>
      </w:r>
    </w:p>
    <w:p w14:paraId="1108EBDF"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الطلب من وسائل النقل التوقف عند المحطات،</w:t>
      </w:r>
      <w:r w:rsidR="00520B71">
        <w:rPr>
          <w:rFonts w:hint="cs"/>
          <w:color w:val="auto"/>
          <w:kern w:val="0"/>
          <w:sz w:val="22"/>
          <w:szCs w:val="22"/>
          <w:rtl/>
        </w:rPr>
        <w:t xml:space="preserve"> </w:t>
      </w:r>
      <w:r>
        <w:rPr>
          <w:color w:val="auto"/>
          <w:kern w:val="0"/>
          <w:sz w:val="22"/>
          <w:szCs w:val="22"/>
          <w:rtl/>
        </w:rPr>
        <w:t>لضمان جلوس الركاب بأمان.</w:t>
      </w:r>
    </w:p>
    <w:p w14:paraId="1E4D728D" w14:textId="2EA205C2" w:rsidR="007B099C" w:rsidRPr="001E6311" w:rsidRDefault="007B099C" w:rsidP="00520B71">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 xml:space="preserve">توفير متطلبات التصميم وتباين الإنارة للمقابض في المساحات المخصصة. </w:t>
      </w:r>
    </w:p>
    <w:p w14:paraId="1C3048F7" w14:textId="77777777" w:rsidR="007B099C" w:rsidRPr="006928C8" w:rsidRDefault="007B099C" w:rsidP="00353C2A">
      <w:pPr>
        <w:pStyle w:val="Heading2"/>
      </w:pPr>
      <w:r>
        <w:rPr>
          <w:rtl/>
        </w:rPr>
        <w:lastRenderedPageBreak/>
        <w:t xml:space="preserve">مسارات للوصول إلى وسائل النقل والبنية التحتية </w:t>
      </w:r>
    </w:p>
    <w:p w14:paraId="036BF8FC"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التأكد من إمكانية أن ينتقل المشاة بأمان بجانب الحواف البارزة على طول مسارات الوصول، في شبكات القطارات، والسكك الحديدية الخفيفة، والترام.</w:t>
      </w:r>
    </w:p>
    <w:p w14:paraId="603B9970"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تحديد متطلبات قائمة بذاتها لضمان الوصول المستمر إلى مسارات الوصول.</w:t>
      </w:r>
    </w:p>
    <w:p w14:paraId="697A38DF"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توفير مقابض للسلالم والمنحدرات، عبر الجسور والأنفاق.</w:t>
      </w:r>
    </w:p>
    <w:p w14:paraId="10E4C564"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تحديد متطلبات إمكانية الوصول للأبواب الأوتوماتيكية على مسارات الوصول.</w:t>
      </w:r>
    </w:p>
    <w:p w14:paraId="337542E7"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 xml:space="preserve">تعيين المتطلبات لإدراج المساحات المخصصة، في نقاط الراحة على طول مسارات الوصول. </w:t>
      </w:r>
    </w:p>
    <w:p w14:paraId="34946CE3"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معالجة الاشارة إلى المعايير الأسترالية القديمة للسلالم على وسائل النقل.</w:t>
      </w:r>
    </w:p>
    <w:p w14:paraId="3D22198E"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 xml:space="preserve">تحديد تباين الإضاءة ومتطلبات الارتفاع للمداخل في وسائل النقل. </w:t>
      </w:r>
    </w:p>
    <w:p w14:paraId="603B354D"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وضع متطلبات المقابض في وسائل النقل على طول مسارات الوصول.</w:t>
      </w:r>
    </w:p>
    <w:p w14:paraId="5A78A735" w14:textId="77777777" w:rsidR="007B099C" w:rsidRPr="006928C8" w:rsidRDefault="007B099C" w:rsidP="00353C2A">
      <w:pPr>
        <w:pStyle w:val="Heading2"/>
      </w:pPr>
      <w:r>
        <w:rPr>
          <w:rtl/>
        </w:rPr>
        <w:t>دورات المياه، مواقف سيارات الأجرة، مناطق التحميل ومواقف السيارات</w:t>
      </w:r>
    </w:p>
    <w:p w14:paraId="61B38D18"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وضع مواصفات لمواقف سيارات الأجرة، للتأكد من إمكانية الوصول إليها.</w:t>
      </w:r>
    </w:p>
    <w:p w14:paraId="4038C0B0"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تعريف مناطق تحميل الركاب في الشارع، على أنها سيارات أجرة تسمح بصعود كراسٍ متحركة، ونقاط ركوب صغيرة للصعود.</w:t>
      </w:r>
    </w:p>
    <w:p w14:paraId="5C44FA26"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اشتراط أن تتوفر نقاط يسهل الوصول إليها، في أماكن وقوف السيارات البعيدة عن الشارع، ت وكذلك مسارات وصول تقلل من المسافة المؤدية إلى المداخل.</w:t>
      </w:r>
    </w:p>
    <w:p w14:paraId="5D3D7851"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التأكد من توفير مقابض مرحاض اليد اليمنى واليسرى بنسب متساوية.</w:t>
      </w:r>
    </w:p>
    <w:p w14:paraId="1A3DA693"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وضع متطلبات المراحيض المتنقلة سهلة الوصول.</w:t>
      </w:r>
    </w:p>
    <w:p w14:paraId="4A2C2580"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توفير أزرار مكالمات الطوارئ في المراحيض، بحيث تكون سهلة الوصول من الأرضية والحوض.</w:t>
      </w:r>
    </w:p>
    <w:p w14:paraId="1AA78003" w14:textId="77777777" w:rsidR="007B099C" w:rsidRPr="006928C8" w:rsidRDefault="007B099C" w:rsidP="00353C2A">
      <w:pPr>
        <w:pStyle w:val="Heading2"/>
      </w:pPr>
      <w:r>
        <w:rPr>
          <w:rtl/>
        </w:rPr>
        <w:t>المعلومات والتواصل</w:t>
      </w:r>
    </w:p>
    <w:p w14:paraId="26E6A4C5"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 xml:space="preserve">هناك فرصة لاعتماد مراجع معايير أسترالية أكثر حداثة، متعلقة بزيادة الأنظمة السمعية في البنية التحتية والمباني، لتتماشى مع معايير المباني وأنظمة المساعدة السمعية المرجعية. </w:t>
      </w:r>
    </w:p>
    <w:p w14:paraId="794BDD73"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تحديد متطلبات أفضل الممارسات لحجم الطباعة ونسقها.</w:t>
      </w:r>
    </w:p>
    <w:p w14:paraId="6E7B7458"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توضيح شرط تقديم المعلومات في فترة زمنية معقولة.</w:t>
      </w:r>
    </w:p>
    <w:p w14:paraId="112B3FA5"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 xml:space="preserve">وضع الحد الأدنى من متطلبات الوصول لأنظمة الشبكات المحمولة. </w:t>
      </w:r>
    </w:p>
    <w:p w14:paraId="4335512B"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التأكد من أنه يمكن للركاب التواصل في الوقت الفعلي، مع مشغلي النقل العام قبل الصعود إلى وسيلة النقل، وأثناء الرحلة، وبعد النزول.</w:t>
      </w:r>
    </w:p>
    <w:p w14:paraId="6F77A93F"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التأكد من حصول الركاب على المعلومات المتعلقة بموقعهم أثناء الرحلة، من خلال الوسائط المرئية والمسموعة.</w:t>
      </w:r>
    </w:p>
    <w:p w14:paraId="5CA4D2CA" w14:textId="77777777" w:rsidR="007B099C" w:rsidRPr="001E6311" w:rsidRDefault="007B099C"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هناك فرصة لاعتماد مراجع لمعايير أسترالية أحدث، متعلقة بمكبرات الصوت في وسائل النقل.</w:t>
      </w:r>
    </w:p>
    <w:p w14:paraId="3A3787CB" w14:textId="77777777" w:rsidR="007B099C" w:rsidRPr="005F24C1" w:rsidRDefault="007B099C" w:rsidP="007B099C">
      <w:pPr>
        <w:numPr>
          <w:ilvl w:val="0"/>
          <w:numId w:val="29"/>
        </w:numPr>
        <w:suppressAutoHyphens w:val="0"/>
        <w:bidi/>
        <w:spacing w:before="0" w:after="160" w:line="259" w:lineRule="auto"/>
        <w:ind w:left="426"/>
        <w:contextualSpacing/>
        <w:rPr>
          <w:color w:val="auto"/>
          <w:kern w:val="0"/>
          <w:sz w:val="24"/>
          <w:szCs w:val="22"/>
        </w:rPr>
      </w:pPr>
      <w:r>
        <w:rPr>
          <w:color w:val="auto"/>
          <w:kern w:val="0"/>
          <w:sz w:val="22"/>
          <w:szCs w:val="22"/>
          <w:rtl/>
        </w:rPr>
        <w:t>هناك فرصة لاعتماد مراجع لمعايير أسترالية أحدث، وتوضيح المتطلبات الحالية للمساعدة في الصعود والنزول.</w:t>
      </w:r>
    </w:p>
    <w:p w14:paraId="7F614C9C" w14:textId="77777777" w:rsidR="007B099C" w:rsidRPr="006928C8" w:rsidRDefault="007B099C" w:rsidP="00353C2A">
      <w:pPr>
        <w:pStyle w:val="Heading2"/>
      </w:pPr>
      <w:r>
        <w:rPr>
          <w:rtl/>
        </w:rPr>
        <w:t>الإضاءة</w:t>
      </w:r>
    </w:p>
    <w:p w14:paraId="52C50304" w14:textId="77777777" w:rsidR="007B099C" w:rsidRPr="001E6311" w:rsidRDefault="00B57948" w:rsidP="007B099C">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تحديث متطلبات الإضاءة لمراعاة الأبحاث الجديدة، حول درجة حرارة الإضاءة، واتساقها ونوعها</w:t>
      </w:r>
      <w:r w:rsidR="00073A00">
        <w:rPr>
          <w:rFonts w:hint="cs"/>
          <w:color w:val="auto"/>
          <w:kern w:val="0"/>
          <w:sz w:val="22"/>
          <w:szCs w:val="22"/>
          <w:rtl/>
        </w:rPr>
        <w:t xml:space="preserve"> </w:t>
      </w:r>
      <w:r>
        <w:rPr>
          <w:color w:val="auto"/>
          <w:kern w:val="0"/>
          <w:sz w:val="22"/>
          <w:szCs w:val="22"/>
          <w:rtl/>
        </w:rPr>
        <w:t>وموضعها، وتأثيرها على المواد.</w:t>
      </w:r>
    </w:p>
    <w:p w14:paraId="1EE143A8" w14:textId="175E7F2D" w:rsidR="00180B5B" w:rsidRPr="00353C2A" w:rsidRDefault="007B099C" w:rsidP="00353C2A">
      <w:pPr>
        <w:numPr>
          <w:ilvl w:val="0"/>
          <w:numId w:val="29"/>
        </w:numPr>
        <w:suppressAutoHyphens w:val="0"/>
        <w:bidi/>
        <w:spacing w:before="0" w:after="160" w:line="259" w:lineRule="auto"/>
        <w:ind w:left="426" w:hanging="426"/>
        <w:contextualSpacing/>
        <w:rPr>
          <w:color w:val="auto"/>
          <w:kern w:val="0"/>
          <w:sz w:val="22"/>
          <w:szCs w:val="22"/>
        </w:rPr>
      </w:pPr>
      <w:r>
        <w:rPr>
          <w:color w:val="auto"/>
          <w:kern w:val="0"/>
          <w:sz w:val="22"/>
          <w:szCs w:val="22"/>
          <w:rtl/>
        </w:rPr>
        <w:t>مراجع منهجية لحساب تباين النصوع، للأعمدة والعوائق، وتحديد الأسطح التي يجب أن يكون هنا كتباين إضاءة كاف للأشياء المقابلة لها.</w:t>
      </w:r>
    </w:p>
    <w:sectPr w:rsidR="00180B5B" w:rsidRPr="00353C2A" w:rsidSect="006D2647">
      <w:headerReference w:type="even" r:id="rId16"/>
      <w:footerReference w:type="even" r:id="rId17"/>
      <w:footerReference w:type="default" r:id="rId18"/>
      <w:headerReference w:type="first" r:id="rId19"/>
      <w:footerReference w:type="first" r:id="rId20"/>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F6109" w14:textId="77777777" w:rsidR="001019AD" w:rsidRDefault="001019AD" w:rsidP="008456D5">
      <w:pPr>
        <w:spacing w:before="0" w:after="0"/>
      </w:pPr>
      <w:r>
        <w:separator/>
      </w:r>
    </w:p>
  </w:endnote>
  <w:endnote w:type="continuationSeparator" w:id="0">
    <w:p w14:paraId="393D43F0" w14:textId="77777777" w:rsidR="001019AD" w:rsidRDefault="001019A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eiryo">
    <w:charset w:val="80"/>
    <w:family w:val="swiss"/>
    <w:pitch w:val="variable"/>
    <w:sig w:usb0="E00002FF" w:usb1="6AC7FFFF"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7C41F" w14:textId="774F0E28" w:rsidR="00180B5B" w:rsidRDefault="00353C2A" w:rsidP="00180B5B">
    <w:pPr>
      <w:pStyle w:val="Footer"/>
      <w:bidi/>
      <w:spacing w:before="720"/>
      <w:jc w:val="right"/>
    </w:pPr>
    <w:r>
      <w:rPr>
        <w:noProof/>
      </w:rPr>
      <mc:AlternateContent>
        <mc:Choice Requires="wps">
          <w:drawing>
            <wp:anchor distT="0" distB="0" distL="114300" distR="114300" simplePos="0" relativeHeight="251657728" behindDoc="1" locked="1" layoutInCell="1" allowOverlap="1" wp14:anchorId="2271BCE9" wp14:editId="214F10F0">
              <wp:simplePos x="0" y="0"/>
              <wp:positionH relativeFrom="page">
                <wp:align>left</wp:align>
              </wp:positionH>
              <wp:positionV relativeFrom="page">
                <wp:align>bottom</wp:align>
              </wp:positionV>
              <wp:extent cx="1007110" cy="539115"/>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110" cy="539115"/>
                      </a:xfrm>
                      <a:prstGeom prst="rect">
                        <a:avLst/>
                      </a:prstGeom>
                      <a:noFill/>
                      <a:ln w="6350">
                        <a:noFill/>
                      </a:ln>
                    </wps:spPr>
                    <wps:txbx>
                      <w:txbxContent>
                        <w:p w14:paraId="5B277373" w14:textId="77777777" w:rsidR="00180B5B" w:rsidRPr="007A05BE" w:rsidRDefault="00180B5B" w:rsidP="00180B5B">
                          <w:pPr>
                            <w:pStyle w:val="Footer"/>
                            <w:bidi/>
                            <w:rPr>
                              <w:rStyle w:val="PageNumber"/>
                            </w:rPr>
                          </w:pPr>
                          <w:r>
                            <w:rPr>
                              <w:rStyle w:val="PageNumber"/>
                              <w:b w:val="0"/>
                            </w:rPr>
                            <w:fldChar w:fldCharType="begin"/>
                          </w:r>
                          <w:r>
                            <w:rPr>
                              <w:rStyle w:val="PageNumber"/>
                              <w:b w:val="0"/>
                            </w:rPr>
                            <w:instrText xml:space="preserve"> PAGE   \* MERGEFORMAT </w:instrText>
                          </w:r>
                          <w:r>
                            <w:rPr>
                              <w:rStyle w:val="PageNumber"/>
                              <w:b w:val="0"/>
                            </w:rPr>
                            <w:fldChar w:fldCharType="separate"/>
                          </w:r>
                          <w:r>
                            <w:rPr>
                              <w:rStyle w:val="PageNumber"/>
                              <w:bCs/>
                              <w:noProof/>
                              <w:rtl/>
                            </w:rPr>
                            <w:t>2</w:t>
                          </w:r>
                          <w:r>
                            <w:rPr>
                              <w:rStyle w:val="PageNumber"/>
                              <w:b w:val="0"/>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271BCE9" id="_x0000_t202" coordsize="21600,21600" o:spt="202" path="m,l,21600r21600,l21600,xe">
              <v:stroke joinstyle="miter"/>
              <v:path gradientshapeok="t" o:connecttype="rect"/>
            </v:shapetype>
            <v:shape id="Text Box 7" o:spid="_x0000_s1026" type="#_x0000_t202" alt="&quot;&quot;" style="position:absolute;margin-left:0;margin-top:0;width:79.3pt;height:42.45pt;z-index:-2516587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" filled="f" stroked="f" strokeweight=".5pt">
              <v:textbox inset="18mm,0,0,10mm">
                <w:txbxContent>
                  <w:p w14:paraId="5B277373" w14:textId="77777777" w:rsidR="00180B5B" w:rsidRPr="007A05BE" w:rsidRDefault="00180B5B" w:rsidP="00180B5B">
                    <w:pPr>
                      <w:pStyle w:val="Footer"/>
                      <w:bidi/>
                      <w:rPr>
                        <w:rStyle w:val="PageNumber"/>
                      </w:rPr>
                    </w:pPr>
                    <w:r>
                      <w:rPr>
                        <w:rStyle w:val="PageNumber"/>
                        <w:b w:val="0"/>
                      </w:rPr>
                      <w:fldChar w:fldCharType="begin"/>
                    </w:r>
                    <w:r>
                      <w:rPr>
                        <w:rStyle w:val="PageNumber"/>
                        <w:b w:val="0"/>
                      </w:rPr>
                      <w:instrText xml:space="preserve"> PAGE   \* MERGEFORMAT </w:instrText>
                    </w:r>
                    <w:r>
                      <w:rPr>
                        <w:rStyle w:val="PageNumber"/>
                        <w:b w:val="0"/>
                      </w:rPr>
                      <w:fldChar w:fldCharType="separate"/>
                    </w:r>
                    <w:r>
                      <w:rPr>
                        <w:rStyle w:val="PageNumber"/>
                        <w:bCs/>
                        <w:noProof/>
                        <w:rtl/>
                      </w:rPr>
                      <w:t>2</w:t>
                    </w:r>
                    <w:r>
                      <w:rPr>
                        <w:rStyle w:val="PageNumber"/>
                        <w:b w:val="0"/>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1" locked="1" layoutInCell="1" allowOverlap="1" wp14:anchorId="0068FE5B" wp14:editId="63C5A01D">
              <wp:simplePos x="0" y="0"/>
              <wp:positionH relativeFrom="page">
                <wp:align>left</wp:align>
              </wp:positionH>
              <wp:positionV relativeFrom="page">
                <wp:align>bottom</wp:align>
              </wp:positionV>
              <wp:extent cx="4319905" cy="539115"/>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9905" cy="539115"/>
                      </a:xfrm>
                      <a:prstGeom prst="rect">
                        <a:avLst/>
                      </a:prstGeom>
                      <a:noFill/>
                      <a:ln w="6350">
                        <a:noFill/>
                      </a:ln>
                    </wps:spPr>
                    <wps:txbx>
                      <w:txbxContent>
                        <w:p w14:paraId="6C74DB08" w14:textId="77777777" w:rsidR="00180B5B" w:rsidRDefault="00134C23" w:rsidP="00180B5B">
                          <w:pPr>
                            <w:pStyle w:val="Footer"/>
                            <w:bidi/>
                          </w:pPr>
                          <w:r>
                            <w:t xml:space="preserve">     </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68FE5B" id="Text Box 6" o:spid="_x0000_s1027" type="#_x0000_t202" alt="&quot;&quot;" style="position:absolute;margin-left:0;margin-top:0;width:340.15pt;height:42.45pt;z-index:-25165977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" filled="f" stroked="f" strokeweight=".5pt">
              <v:textbox inset="28mm,0,0,10mm">
                <w:txbxContent>
                  <w:p w14:paraId="6C74DB08" w14:textId="77777777" w:rsidR="00180B5B" w:rsidRDefault="00134C23" w:rsidP="00180B5B">
                    <w:pPr>
                      <w:pStyle w:val="Footer"/>
                      <w:bidi/>
                    </w:pPr>
                    <w:r>
                      <w:t xml:space="preserve">     </w:t>
                    </w:r>
                  </w:p>
                </w:txbxContent>
              </v:textbox>
              <w10:wrap anchorx="page" anchory="page"/>
              <w10:anchorlock/>
            </v:shape>
          </w:pict>
        </mc:Fallback>
      </mc:AlternateContent>
    </w:r>
    <w:r w:rsidR="000C3F14">
      <w:rPr>
        <w:noProof/>
        <w:lang w:val="en-US"/>
      </w:rPr>
      <w:drawing>
        <wp:anchor distT="0" distB="0" distL="114300" distR="114300" simplePos="0" relativeHeight="251655680" behindDoc="1" locked="1" layoutInCell="1" allowOverlap="1" wp14:anchorId="56F29604" wp14:editId="02311467">
          <wp:simplePos x="0" y="0"/>
          <wp:positionH relativeFrom="page">
            <wp:align>right</wp:align>
          </wp:positionH>
          <wp:positionV relativeFrom="page">
            <wp:align>bottom</wp:align>
          </wp:positionV>
          <wp:extent cx="10692130" cy="183515"/>
          <wp:effectExtent l="19050" t="0" r="0" b="0"/>
          <wp:wrapNone/>
          <wp:docPr id="3"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10692130" cy="18351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C7DCB" w14:textId="7D9A06CE" w:rsidR="008456D5" w:rsidRPr="00134C23" w:rsidRDefault="00134C23" w:rsidP="00353C2A">
    <w:pPr>
      <w:pStyle w:val="Footer"/>
      <w:bidi/>
      <w:jc w:val="right"/>
      <w:rPr>
        <w:b/>
        <w:bCs/>
        <w:sz w:val="20"/>
      </w:rPr>
    </w:pPr>
    <w:r>
      <w:rPr>
        <w:sz w:val="20"/>
      </w:rPr>
      <w:fldChar w:fldCharType="begin"/>
    </w:r>
    <w:r>
      <w:rPr>
        <w:sz w:val="20"/>
      </w:rPr>
      <w:instrText xml:space="preserve"> PAGE   \* MERGEFORMAT </w:instrText>
    </w:r>
    <w:r>
      <w:rPr>
        <w:sz w:val="20"/>
      </w:rPr>
      <w:fldChar w:fldCharType="separate"/>
    </w:r>
    <w:r w:rsidR="00520B71" w:rsidRPr="00520B71">
      <w:rPr>
        <w:b/>
        <w:bCs/>
        <w:noProof/>
        <w:sz w:val="20"/>
        <w:rtl/>
      </w:rPr>
      <w:t>3</w:t>
    </w:r>
    <w:r>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21902" w14:textId="77777777" w:rsidR="00134C23" w:rsidRPr="008A2208" w:rsidRDefault="00134C23" w:rsidP="00134C23">
    <w:pPr>
      <w:pStyle w:val="Footer"/>
      <w:tabs>
        <w:tab w:val="clear" w:pos="4513"/>
        <w:tab w:val="clear" w:pos="9026"/>
        <w:tab w:val="center" w:pos="3119"/>
        <w:tab w:val="right" w:pos="8789"/>
        <w:tab w:val="left" w:pos="9072"/>
      </w:tabs>
      <w:bidi/>
      <w:ind w:right="508"/>
      <w:jc w:val="right"/>
      <w:rPr>
        <w:sz w:val="20"/>
      </w:rPr>
    </w:pPr>
    <w:r>
      <w:rPr>
        <w:b/>
        <w:bCs/>
        <w:sz w:val="20"/>
        <w:rtl/>
      </w:rPr>
      <w:t xml:space="preserve"> </w:t>
    </w:r>
    <w:r>
      <w:rPr>
        <w:sz w:val="20"/>
        <w:rtl/>
      </w:rPr>
      <w:t>إصلاح معايير الإعاقة لوسائل النقل العام المزودة بتجهيزات خاصة لذوي الإعاقة: المرحلة 2</w:t>
    </w:r>
  </w:p>
  <w:p w14:paraId="2EB01882" w14:textId="74887BC4" w:rsidR="00134C23" w:rsidRPr="00134C23" w:rsidRDefault="00134C23" w:rsidP="00353C2A">
    <w:pPr>
      <w:pStyle w:val="Footer"/>
      <w:tabs>
        <w:tab w:val="clear" w:pos="4513"/>
        <w:tab w:val="center" w:pos="3828"/>
      </w:tabs>
      <w:bidi/>
      <w:ind w:left="1359" w:right="83"/>
      <w:jc w:val="right"/>
      <w:rPr>
        <w:b/>
        <w:bCs/>
        <w:sz w:val="20"/>
      </w:rPr>
    </w:pPr>
    <w:r>
      <w:rPr>
        <w:sz w:val="20"/>
        <w:rtl/>
      </w:rPr>
      <w:t xml:space="preserve">بيان تأثير لائحة التشاور للمرحلة </w:t>
    </w:r>
    <w:r>
      <w:rPr>
        <w:sz w:val="20"/>
      </w:rPr>
      <w:tab/>
    </w:r>
    <w:r>
      <w:rPr>
        <w:sz w:val="20"/>
      </w:rPr>
      <w:fldChar w:fldCharType="begin"/>
    </w:r>
    <w:r>
      <w:rPr>
        <w:sz w:val="20"/>
      </w:rPr>
      <w:instrText xml:space="preserve"> PAGE   \* MERGEFORMAT </w:instrText>
    </w:r>
    <w:r>
      <w:rPr>
        <w:sz w:val="20"/>
      </w:rPr>
      <w:fldChar w:fldCharType="separate"/>
    </w:r>
    <w:r w:rsidR="00073A00" w:rsidRPr="00073A00">
      <w:rPr>
        <w:b/>
        <w:bCs/>
        <w:noProof/>
        <w:sz w:val="20"/>
        <w:rtl/>
      </w:rPr>
      <w:t>1</w:t>
    </w:r>
    <w:r>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D7589" w14:textId="77777777" w:rsidR="001019AD" w:rsidRPr="006D2647" w:rsidRDefault="001019AD" w:rsidP="005912BE">
      <w:pPr>
        <w:spacing w:before="300"/>
        <w:rPr>
          <w:color w:val="4BB3B5"/>
        </w:rPr>
      </w:pPr>
      <w:r>
        <w:t>----------</w:t>
      </w:r>
    </w:p>
  </w:footnote>
  <w:footnote w:type="continuationSeparator" w:id="0">
    <w:p w14:paraId="7BB5CFE8" w14:textId="77777777" w:rsidR="001019AD" w:rsidRDefault="001019AD"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D4DF3" w14:textId="5E00C296" w:rsidR="00180B5B" w:rsidRDefault="001019AD" w:rsidP="00180B5B">
    <w:pPr>
      <w:pStyle w:val="Header"/>
      <w:bidi/>
      <w:spacing w:after="1320"/>
      <w:jc w:val="left"/>
    </w:pPr>
    <w:r>
      <w:fldChar w:fldCharType="begin"/>
    </w:r>
    <w:r>
      <w:instrText xml:space="preserve"> STYLEREF  "Heading 1" \l  \* MERGEFORMAT </w:instrText>
    </w:r>
    <w:r>
      <w:fldChar w:fldCharType="separate"/>
    </w:r>
    <w:r w:rsidR="00C37518">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06D5C" w14:textId="7B3D7EC0" w:rsidR="007415E6" w:rsidRDefault="00353C2A" w:rsidP="00353C2A">
    <w:pPr>
      <w:pStyle w:val="Header"/>
      <w:bidi/>
      <w:ind w:right="80"/>
    </w:pPr>
    <w:r>
      <w:rPr>
        <w:noProof/>
      </w:rPr>
      <mc:AlternateContent>
        <mc:Choice Requires="wps">
          <w:drawing>
            <wp:anchor distT="0" distB="0" distL="114300" distR="114300" simplePos="0" relativeHeight="251659776" behindDoc="0" locked="0" layoutInCell="1" allowOverlap="1" wp14:anchorId="352BAB57" wp14:editId="2F9C5346">
              <wp:simplePos x="0" y="0"/>
              <wp:positionH relativeFrom="page">
                <wp:posOffset>3568299</wp:posOffset>
              </wp:positionH>
              <wp:positionV relativeFrom="paragraph">
                <wp:posOffset>-2439352</wp:posOffset>
              </wp:positionV>
              <wp:extent cx="48260" cy="7982585"/>
              <wp:effectExtent l="3962400" t="0" r="3952240" b="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8260" cy="7982585"/>
                      </a:xfrm>
                      <a:prstGeom prst="rect">
                        <a:avLst/>
                      </a:prstGeom>
                      <a:solidFill>
                        <a:srgbClr val="9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64D3560" id="Rectangle 5" o:spid="_x0000_s1026" alt="&quot;&quot;" style="position:absolute;margin-left:280.95pt;margin-top:-192.05pt;width:3.8pt;height:628.55pt;rotation:-9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" fillcolor="#960000" stroked="f" strokeweight="1pt">
              <w10:wrap anchorx="page"/>
            </v:rect>
          </w:pict>
        </mc:Fallback>
      </mc:AlternateContent>
    </w:r>
    <w:r>
      <w:rPr>
        <w:noProof/>
      </w:rPr>
      <mc:AlternateContent>
        <mc:Choice Requires="wps">
          <w:drawing>
            <wp:anchor distT="0" distB="0" distL="114300" distR="114300" simplePos="0" relativeHeight="251658752" behindDoc="1" locked="0" layoutInCell="1" allowOverlap="1" wp14:anchorId="6758F7CD" wp14:editId="1B337CFF">
              <wp:simplePos x="0" y="0"/>
              <wp:positionH relativeFrom="column">
                <wp:posOffset>2094865</wp:posOffset>
              </wp:positionH>
              <wp:positionV relativeFrom="paragraph">
                <wp:posOffset>-3456940</wp:posOffset>
              </wp:positionV>
              <wp:extent cx="1922780" cy="8077200"/>
              <wp:effectExtent l="3086100" t="0" r="304927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922780" cy="8077200"/>
                      </a:xfrm>
                      <a:prstGeom prst="rect">
                        <a:avLst/>
                      </a:prstGeom>
                      <a:solidFill>
                        <a:srgbClr val="081E3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A3C4E51" id="Rectangle 4" o:spid="_x0000_s1026" alt="&quot;&quot;" style="position:absolute;margin-left:164.95pt;margin-top:-272.2pt;width:151.4pt;height:636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" fillcolor="#081e3e"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0DC45189"/>
    <w:multiLevelType w:val="hybridMultilevel"/>
    <w:tmpl w:val="6AF26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5C679F"/>
    <w:multiLevelType w:val="hybridMultilevel"/>
    <w:tmpl w:val="F0D229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595075"/>
    <w:multiLevelType w:val="hybridMultilevel"/>
    <w:tmpl w:val="9A043B42"/>
    <w:lvl w:ilvl="0" w:tplc="51BC243C">
      <w:numFmt w:val="bullet"/>
      <w:lvlText w:val="•"/>
      <w:lvlJc w:val="left"/>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94776C"/>
    <w:multiLevelType w:val="hybridMultilevel"/>
    <w:tmpl w:val="8A6C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7B17E5"/>
    <w:multiLevelType w:val="hybridMultilevel"/>
    <w:tmpl w:val="C45C73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2309C2"/>
    <w:multiLevelType w:val="hybridMultilevel"/>
    <w:tmpl w:val="326E0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E92756"/>
    <w:multiLevelType w:val="hybridMultilevel"/>
    <w:tmpl w:val="FE56D05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5948BF"/>
    <w:multiLevelType w:val="hybridMultilevel"/>
    <w:tmpl w:val="3A262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AA2DBD"/>
    <w:multiLevelType w:val="hybridMultilevel"/>
    <w:tmpl w:val="F36AB5E8"/>
    <w:lvl w:ilvl="0" w:tplc="51BC243C">
      <w:numFmt w:val="bullet"/>
      <w:lvlText w:val="•"/>
      <w:lvlJc w:val="left"/>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786E57"/>
    <w:multiLevelType w:val="hybridMultilevel"/>
    <w:tmpl w:val="3A94C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A51938"/>
    <w:multiLevelType w:val="multilevel"/>
    <w:tmpl w:val="298C34E4"/>
    <w:numStyleLink w:val="AppendixNumbers"/>
  </w:abstractNum>
  <w:abstractNum w:abstractNumId="24" w15:restartNumberingAfterBreak="0">
    <w:nsid w:val="3CB93C39"/>
    <w:multiLevelType w:val="hybridMultilevel"/>
    <w:tmpl w:val="4F04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42876D64"/>
    <w:multiLevelType w:val="hybridMultilevel"/>
    <w:tmpl w:val="5F4419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555218"/>
    <w:multiLevelType w:val="hybridMultilevel"/>
    <w:tmpl w:val="A192C7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CB78D7"/>
    <w:multiLevelType w:val="hybridMultilevel"/>
    <w:tmpl w:val="643CE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2D4749"/>
    <w:multiLevelType w:val="hybridMultilevel"/>
    <w:tmpl w:val="167A9C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7F13FD"/>
    <w:multiLevelType w:val="hybridMultilevel"/>
    <w:tmpl w:val="E504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651234"/>
    <w:multiLevelType w:val="hybridMultilevel"/>
    <w:tmpl w:val="0E4CB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9D1B27"/>
    <w:multiLevelType w:val="hybridMultilevel"/>
    <w:tmpl w:val="FC0056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174A36"/>
    <w:multiLevelType w:val="hybridMultilevel"/>
    <w:tmpl w:val="64F45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4B00731"/>
    <w:multiLevelType w:val="hybridMultilevel"/>
    <w:tmpl w:val="09207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F01F93"/>
    <w:multiLevelType w:val="hybridMultilevel"/>
    <w:tmpl w:val="FF368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A12406"/>
    <w:multiLevelType w:val="hybridMultilevel"/>
    <w:tmpl w:val="7CC88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DE28AD"/>
    <w:multiLevelType w:val="hybridMultilevel"/>
    <w:tmpl w:val="4D30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4A55B1"/>
    <w:multiLevelType w:val="hybridMultilevel"/>
    <w:tmpl w:val="C2108484"/>
    <w:lvl w:ilvl="0" w:tplc="394C72BA">
      <w:start w:val="1"/>
      <w:numFmt w:val="decimal"/>
      <w:lvlText w:val="%1."/>
      <w:lvlJc w:val="left"/>
      <w:rPr>
        <w:rFonts w:ascii="Calibri" w:eastAsia="Calibri" w:hAnsi="Calibri"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F0A694D"/>
    <w:multiLevelType w:val="hybridMultilevel"/>
    <w:tmpl w:val="E2543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8"/>
  </w:num>
  <w:num w:numId="26">
    <w:abstractNumId w:val="17"/>
  </w:num>
  <w:num w:numId="27">
    <w:abstractNumId w:val="32"/>
  </w:num>
  <w:num w:numId="28">
    <w:abstractNumId w:val="22"/>
  </w:num>
  <w:num w:numId="29">
    <w:abstractNumId w:val="40"/>
  </w:num>
  <w:num w:numId="30">
    <w:abstractNumId w:val="37"/>
  </w:num>
  <w:num w:numId="31">
    <w:abstractNumId w:val="42"/>
  </w:num>
  <w:num w:numId="32">
    <w:abstractNumId w:val="27"/>
  </w:num>
  <w:num w:numId="33">
    <w:abstractNumId w:val="30"/>
  </w:num>
  <w:num w:numId="34">
    <w:abstractNumId w:val="16"/>
  </w:num>
  <w:num w:numId="35">
    <w:abstractNumId w:val="13"/>
  </w:num>
  <w:num w:numId="36">
    <w:abstractNumId w:val="33"/>
  </w:num>
  <w:num w:numId="37">
    <w:abstractNumId w:val="29"/>
  </w:num>
  <w:num w:numId="38">
    <w:abstractNumId w:val="21"/>
  </w:num>
  <w:num w:numId="39">
    <w:abstractNumId w:val="14"/>
  </w:num>
  <w:num w:numId="40">
    <w:abstractNumId w:val="36"/>
  </w:num>
  <w:num w:numId="41">
    <w:abstractNumId w:val="15"/>
  </w:num>
  <w:num w:numId="42">
    <w:abstractNumId w:val="19"/>
  </w:num>
  <w:num w:numId="43">
    <w:abstractNumId w:val="31"/>
  </w:num>
  <w:num w:numId="44">
    <w:abstractNumId w:val="12"/>
  </w:num>
  <w:num w:numId="45">
    <w:abstractNumId w:val="38"/>
  </w:num>
  <w:num w:numId="46">
    <w:abstractNumId w:val="18"/>
  </w:num>
  <w:num w:numId="47">
    <w:abstractNumId w:val="3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86"/>
    <w:rsid w:val="00002E07"/>
    <w:rsid w:val="0001430B"/>
    <w:rsid w:val="00034626"/>
    <w:rsid w:val="000705E9"/>
    <w:rsid w:val="00073A00"/>
    <w:rsid w:val="00076C3C"/>
    <w:rsid w:val="00076D37"/>
    <w:rsid w:val="00090C5D"/>
    <w:rsid w:val="000C3F14"/>
    <w:rsid w:val="000C67A0"/>
    <w:rsid w:val="000E24BA"/>
    <w:rsid w:val="000E5674"/>
    <w:rsid w:val="000F0F8F"/>
    <w:rsid w:val="000F5DB3"/>
    <w:rsid w:val="001019AD"/>
    <w:rsid w:val="00103093"/>
    <w:rsid w:val="00105207"/>
    <w:rsid w:val="001172CB"/>
    <w:rsid w:val="0013106B"/>
    <w:rsid w:val="001349C6"/>
    <w:rsid w:val="00134C23"/>
    <w:rsid w:val="00136A04"/>
    <w:rsid w:val="00136A45"/>
    <w:rsid w:val="00156B25"/>
    <w:rsid w:val="00180B5B"/>
    <w:rsid w:val="001D238A"/>
    <w:rsid w:val="001E357F"/>
    <w:rsid w:val="001E6311"/>
    <w:rsid w:val="001F5BDF"/>
    <w:rsid w:val="002176FB"/>
    <w:rsid w:val="00217D49"/>
    <w:rsid w:val="002254D5"/>
    <w:rsid w:val="0022611D"/>
    <w:rsid w:val="002332B8"/>
    <w:rsid w:val="00255ABF"/>
    <w:rsid w:val="0026422D"/>
    <w:rsid w:val="0026454C"/>
    <w:rsid w:val="00284164"/>
    <w:rsid w:val="0029254F"/>
    <w:rsid w:val="002A430E"/>
    <w:rsid w:val="002A5F7A"/>
    <w:rsid w:val="002B235F"/>
    <w:rsid w:val="002B3569"/>
    <w:rsid w:val="002B7197"/>
    <w:rsid w:val="002C4D4D"/>
    <w:rsid w:val="002D58A7"/>
    <w:rsid w:val="002E1ADA"/>
    <w:rsid w:val="002F036F"/>
    <w:rsid w:val="003504A1"/>
    <w:rsid w:val="00353C2A"/>
    <w:rsid w:val="00354131"/>
    <w:rsid w:val="003720E9"/>
    <w:rsid w:val="003764CD"/>
    <w:rsid w:val="003861B8"/>
    <w:rsid w:val="003C625A"/>
    <w:rsid w:val="003C65D9"/>
    <w:rsid w:val="003C6A4D"/>
    <w:rsid w:val="003E60E7"/>
    <w:rsid w:val="003F775D"/>
    <w:rsid w:val="00416361"/>
    <w:rsid w:val="00420F04"/>
    <w:rsid w:val="004428FC"/>
    <w:rsid w:val="00443C6C"/>
    <w:rsid w:val="00450D0E"/>
    <w:rsid w:val="004556FE"/>
    <w:rsid w:val="00477E77"/>
    <w:rsid w:val="00494C74"/>
    <w:rsid w:val="004A2B70"/>
    <w:rsid w:val="004B33AD"/>
    <w:rsid w:val="004D11E3"/>
    <w:rsid w:val="004F27B0"/>
    <w:rsid w:val="00504F77"/>
    <w:rsid w:val="00514EC2"/>
    <w:rsid w:val="00520B71"/>
    <w:rsid w:val="00521663"/>
    <w:rsid w:val="00527052"/>
    <w:rsid w:val="0053139E"/>
    <w:rsid w:val="00541213"/>
    <w:rsid w:val="00544FB4"/>
    <w:rsid w:val="00546218"/>
    <w:rsid w:val="00574326"/>
    <w:rsid w:val="005912BE"/>
    <w:rsid w:val="0059515C"/>
    <w:rsid w:val="00597AE2"/>
    <w:rsid w:val="005A15F0"/>
    <w:rsid w:val="005C0000"/>
    <w:rsid w:val="005E40DA"/>
    <w:rsid w:val="005E58E5"/>
    <w:rsid w:val="005F794B"/>
    <w:rsid w:val="006527E0"/>
    <w:rsid w:val="006856CE"/>
    <w:rsid w:val="00686A7B"/>
    <w:rsid w:val="0068783F"/>
    <w:rsid w:val="00696FAD"/>
    <w:rsid w:val="006A266A"/>
    <w:rsid w:val="006A2694"/>
    <w:rsid w:val="006B0FAF"/>
    <w:rsid w:val="006C0F3C"/>
    <w:rsid w:val="006C393E"/>
    <w:rsid w:val="006D2647"/>
    <w:rsid w:val="006E1ECA"/>
    <w:rsid w:val="006F3306"/>
    <w:rsid w:val="00705222"/>
    <w:rsid w:val="007153D3"/>
    <w:rsid w:val="00724F1C"/>
    <w:rsid w:val="00735E9A"/>
    <w:rsid w:val="00740A94"/>
    <w:rsid w:val="007415E6"/>
    <w:rsid w:val="00743EF3"/>
    <w:rsid w:val="007444E6"/>
    <w:rsid w:val="00751C37"/>
    <w:rsid w:val="00781444"/>
    <w:rsid w:val="007A05BE"/>
    <w:rsid w:val="007B099C"/>
    <w:rsid w:val="007C1F86"/>
    <w:rsid w:val="007E2E0B"/>
    <w:rsid w:val="007F1A25"/>
    <w:rsid w:val="00804C81"/>
    <w:rsid w:val="008067A1"/>
    <w:rsid w:val="00835665"/>
    <w:rsid w:val="008456D5"/>
    <w:rsid w:val="0084634B"/>
    <w:rsid w:val="00891E74"/>
    <w:rsid w:val="00894514"/>
    <w:rsid w:val="008A1887"/>
    <w:rsid w:val="008B6A81"/>
    <w:rsid w:val="008C1AB1"/>
    <w:rsid w:val="008C2429"/>
    <w:rsid w:val="008D0E0C"/>
    <w:rsid w:val="008E2A0D"/>
    <w:rsid w:val="008F4687"/>
    <w:rsid w:val="00922B5A"/>
    <w:rsid w:val="009241B9"/>
    <w:rsid w:val="00945C5A"/>
    <w:rsid w:val="00960FBA"/>
    <w:rsid w:val="00965B95"/>
    <w:rsid w:val="00977F4C"/>
    <w:rsid w:val="00982D02"/>
    <w:rsid w:val="0098678E"/>
    <w:rsid w:val="0098724C"/>
    <w:rsid w:val="009951DB"/>
    <w:rsid w:val="00995E49"/>
    <w:rsid w:val="009A3CD0"/>
    <w:rsid w:val="009B00F2"/>
    <w:rsid w:val="009B327B"/>
    <w:rsid w:val="009B3A09"/>
    <w:rsid w:val="009C1920"/>
    <w:rsid w:val="009C4055"/>
    <w:rsid w:val="009D4BED"/>
    <w:rsid w:val="00A062EA"/>
    <w:rsid w:val="00A06414"/>
    <w:rsid w:val="00A070A2"/>
    <w:rsid w:val="00A4082F"/>
    <w:rsid w:val="00A81B3E"/>
    <w:rsid w:val="00A8783E"/>
    <w:rsid w:val="00A95970"/>
    <w:rsid w:val="00AC0BEF"/>
    <w:rsid w:val="00AD2FB5"/>
    <w:rsid w:val="00AD4045"/>
    <w:rsid w:val="00AD4B73"/>
    <w:rsid w:val="00AD7703"/>
    <w:rsid w:val="00B00775"/>
    <w:rsid w:val="00B34189"/>
    <w:rsid w:val="00B42AC2"/>
    <w:rsid w:val="00B44698"/>
    <w:rsid w:val="00B57948"/>
    <w:rsid w:val="00B73619"/>
    <w:rsid w:val="00BB3AAC"/>
    <w:rsid w:val="00BC23ED"/>
    <w:rsid w:val="00BC4FA9"/>
    <w:rsid w:val="00BE027A"/>
    <w:rsid w:val="00BE3AD8"/>
    <w:rsid w:val="00BF2EA9"/>
    <w:rsid w:val="00C041CB"/>
    <w:rsid w:val="00C0674B"/>
    <w:rsid w:val="00C13FCC"/>
    <w:rsid w:val="00C14F04"/>
    <w:rsid w:val="00C15228"/>
    <w:rsid w:val="00C16ACC"/>
    <w:rsid w:val="00C34E8F"/>
    <w:rsid w:val="00C37518"/>
    <w:rsid w:val="00C45DC6"/>
    <w:rsid w:val="00C87BAD"/>
    <w:rsid w:val="00CD233E"/>
    <w:rsid w:val="00CE11F4"/>
    <w:rsid w:val="00CF6CFD"/>
    <w:rsid w:val="00D02062"/>
    <w:rsid w:val="00D11D94"/>
    <w:rsid w:val="00D422D0"/>
    <w:rsid w:val="00D43F26"/>
    <w:rsid w:val="00D45821"/>
    <w:rsid w:val="00D477CC"/>
    <w:rsid w:val="00D506D6"/>
    <w:rsid w:val="00D5655E"/>
    <w:rsid w:val="00D831F6"/>
    <w:rsid w:val="00D912B1"/>
    <w:rsid w:val="00D9532C"/>
    <w:rsid w:val="00DC4502"/>
    <w:rsid w:val="00DE1942"/>
    <w:rsid w:val="00DE4362"/>
    <w:rsid w:val="00DE4FE2"/>
    <w:rsid w:val="00E04908"/>
    <w:rsid w:val="00E66E18"/>
    <w:rsid w:val="00E847FA"/>
    <w:rsid w:val="00E94FDD"/>
    <w:rsid w:val="00E95BA5"/>
    <w:rsid w:val="00F0484C"/>
    <w:rsid w:val="00F11869"/>
    <w:rsid w:val="00F1428D"/>
    <w:rsid w:val="00F44786"/>
    <w:rsid w:val="00F45C5F"/>
    <w:rsid w:val="00F517D8"/>
    <w:rsid w:val="00F67CDB"/>
    <w:rsid w:val="00F779E4"/>
    <w:rsid w:val="00F970B3"/>
    <w:rsid w:val="00FB7BBD"/>
    <w:rsid w:val="00FC32B2"/>
    <w:rsid w:val="00FC34AF"/>
    <w:rsid w:val="00FE21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8212"/>
  <w15:docId w15:val="{38EF5E79-E3B5-4C5D-8215-F37FACFF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spacing w:before="160" w:after="80"/>
    </w:pPr>
    <w:rPr>
      <w:color w:val="000000"/>
      <w:kern w:val="12"/>
      <w:lang w:val="en-AU"/>
    </w:rPr>
  </w:style>
  <w:style w:type="paragraph" w:styleId="Heading1">
    <w:name w:val="heading 1"/>
    <w:basedOn w:val="Normal"/>
    <w:next w:val="Normal"/>
    <w:link w:val="Heading1Char"/>
    <w:autoRedefine/>
    <w:uiPriority w:val="9"/>
    <w:rsid w:val="009C1920"/>
    <w:pPr>
      <w:keepNext/>
      <w:keepLines/>
      <w:bidi/>
      <w:spacing w:before="480" w:after="160"/>
      <w:contextualSpacing/>
      <w:outlineLvl w:val="0"/>
    </w:pPr>
    <w:rPr>
      <w:rFonts w:ascii="Arial" w:eastAsia="Meiryo" w:hAnsi="Arial" w:cs="Times New Roman"/>
      <w:color w:val="960000"/>
      <w:sz w:val="44"/>
      <w:szCs w:val="44"/>
    </w:rPr>
  </w:style>
  <w:style w:type="paragraph" w:styleId="Heading2">
    <w:name w:val="heading 2"/>
    <w:basedOn w:val="Normal"/>
    <w:next w:val="Normal"/>
    <w:link w:val="Heading2Char"/>
    <w:autoRedefine/>
    <w:uiPriority w:val="9"/>
    <w:unhideWhenUsed/>
    <w:qFormat/>
    <w:rsid w:val="00353C2A"/>
    <w:pPr>
      <w:keepNext/>
      <w:keepLines/>
      <w:bidi/>
      <w:spacing w:before="0" w:after="160"/>
      <w:outlineLvl w:val="1"/>
    </w:pPr>
    <w:rPr>
      <w:rFonts w:eastAsia="Meiryo"/>
      <w:color w:val="081E3E"/>
      <w:sz w:val="36"/>
      <w:szCs w:val="3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eastAsia="Meiryo"/>
      <w:b/>
      <w:color w:val="9AA3AF"/>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eastAsia="Meiryo"/>
      <w:b/>
      <w:iCs/>
      <w:color w:val="9AA3A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eastAsia="Meiryo"/>
      <w:b/>
      <w:color w:val="081E3E"/>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eastAsia="Meiryo"/>
      <w:i/>
      <w:color w:val="081E3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eastAsia="Meiryo"/>
      <w:b/>
      <w:color w:val="081E3E"/>
      <w:sz w:val="60"/>
      <w:szCs w:val="56"/>
    </w:rPr>
  </w:style>
  <w:style w:type="character" w:customStyle="1" w:styleId="TitleChar">
    <w:name w:val="Title Char"/>
    <w:link w:val="Title"/>
    <w:uiPriority w:val="17"/>
    <w:rsid w:val="00BE3AD8"/>
    <w:rPr>
      <w:rFonts w:ascii="Calibri" w:eastAsia="Meiryo" w:hAnsi="Calibri" w:cs="Arial"/>
      <w:b/>
      <w:color w:val="081E3E"/>
      <w:kern w:val="12"/>
      <w:sz w:val="60"/>
      <w:szCs w:val="56"/>
    </w:rPr>
  </w:style>
  <w:style w:type="paragraph" w:styleId="Subtitle">
    <w:name w:val="Subtitle"/>
    <w:basedOn w:val="Normal"/>
    <w:next w:val="Normal"/>
    <w:link w:val="SubtitleChar"/>
    <w:uiPriority w:val="18"/>
    <w:qFormat/>
    <w:rsid w:val="003861B8"/>
    <w:pPr>
      <w:numPr>
        <w:ilvl w:val="1"/>
      </w:numPr>
      <w:spacing w:before="240" w:after="160"/>
    </w:pPr>
    <w:rPr>
      <w:rFonts w:eastAsia="Meiryo"/>
      <w:color w:val="144C9F"/>
      <w:sz w:val="44"/>
      <w:szCs w:val="22"/>
    </w:rPr>
  </w:style>
  <w:style w:type="character" w:customStyle="1" w:styleId="SubtitleChar">
    <w:name w:val="Subtitle Char"/>
    <w:link w:val="Subtitle"/>
    <w:uiPriority w:val="18"/>
    <w:rsid w:val="003861B8"/>
    <w:rPr>
      <w:rFonts w:ascii="Calibri" w:eastAsia="Meiryo" w:hAnsi="Calibri"/>
      <w:color w:val="144C9F"/>
      <w:kern w:val="12"/>
      <w:sz w:val="44"/>
      <w:szCs w:val="22"/>
    </w:rPr>
  </w:style>
  <w:style w:type="paragraph" w:customStyle="1" w:styleId="CoverDate">
    <w:name w:val="Cover Date"/>
    <w:basedOn w:val="Normal"/>
    <w:uiPriority w:val="19"/>
    <w:qFormat/>
    <w:rsid w:val="00D02062"/>
    <w:rPr>
      <w:b/>
      <w:color w:val="081E3E"/>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link w:val="Footer"/>
    <w:uiPriority w:val="99"/>
    <w:rsid w:val="007A05BE"/>
    <w:rPr>
      <w:kern w:val="12"/>
      <w:sz w:val="16"/>
    </w:rPr>
  </w:style>
  <w:style w:type="character" w:styleId="PageNumber">
    <w:name w:val="page number"/>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spacing w:before="160" w:after="80"/>
      <w:contextualSpacing/>
    </w:pPr>
    <w:rPr>
      <w:color w:val="000000"/>
      <w:kern w:val="12"/>
      <w:lang w:val="en-AU"/>
    </w:rPr>
  </w:style>
  <w:style w:type="paragraph" w:customStyle="1" w:styleId="ImprintHeading">
    <w:name w:val="Imprint Heading"/>
    <w:basedOn w:val="Normal"/>
    <w:uiPriority w:val="12"/>
    <w:rsid w:val="000E5674"/>
    <w:pPr>
      <w:spacing w:before="240" w:after="160"/>
      <w:outlineLvl w:val="1"/>
    </w:pPr>
    <w:rPr>
      <w:b/>
      <w:sz w:val="22"/>
      <w:szCs w:val="22"/>
    </w:rPr>
  </w:style>
  <w:style w:type="character" w:styleId="Hyperlink">
    <w:name w:val="Hyperlink"/>
    <w:uiPriority w:val="99"/>
    <w:unhideWhenUsed/>
    <w:rsid w:val="000E5674"/>
    <w:rPr>
      <w:color w:val="0046FF"/>
      <w:u w:val="single"/>
    </w:rPr>
  </w:style>
  <w:style w:type="table" w:styleId="TableGrid">
    <w:name w:val="Table Grid"/>
    <w:basedOn w:val="TableNormal"/>
    <w:uiPriority w:val="39"/>
    <w:rsid w:val="005F7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link w:val="FootnoteText"/>
    <w:uiPriority w:val="99"/>
    <w:rsid w:val="005912BE"/>
    <w:rPr>
      <w:kern w:val="12"/>
      <w:sz w:val="18"/>
    </w:rPr>
  </w:style>
  <w:style w:type="character" w:styleId="FootnoteReference">
    <w:name w:val="footnote reference"/>
    <w:uiPriority w:val="99"/>
    <w:semiHidden/>
    <w:unhideWhenUsed/>
    <w:rsid w:val="005F794B"/>
    <w:rPr>
      <w:vertAlign w:val="superscript"/>
    </w:rPr>
  </w:style>
  <w:style w:type="character" w:customStyle="1" w:styleId="Heading1Char">
    <w:name w:val="Heading 1 Char"/>
    <w:link w:val="Heading1"/>
    <w:uiPriority w:val="9"/>
    <w:rsid w:val="009C1920"/>
    <w:rPr>
      <w:rFonts w:ascii="Arial" w:eastAsia="Meiryo" w:hAnsi="Arial" w:cs="Times New Roman"/>
      <w:color w:val="960000"/>
      <w:kern w:val="12"/>
      <w:sz w:val="44"/>
      <w:szCs w:val="44"/>
    </w:rPr>
  </w:style>
  <w:style w:type="character" w:customStyle="1" w:styleId="Heading2Char">
    <w:name w:val="Heading 2 Char"/>
    <w:link w:val="Heading2"/>
    <w:uiPriority w:val="9"/>
    <w:rsid w:val="00353C2A"/>
    <w:rPr>
      <w:rFonts w:eastAsia="Meiryo"/>
      <w:color w:val="081E3E"/>
      <w:kern w:val="12"/>
      <w:sz w:val="36"/>
      <w:szCs w:val="36"/>
      <w:lang w:val="en-AU"/>
    </w:rPr>
  </w:style>
  <w:style w:type="paragraph" w:customStyle="1" w:styleId="Introduction">
    <w:name w:val="Introduction"/>
    <w:basedOn w:val="Normal"/>
    <w:uiPriority w:val="2"/>
    <w:qFormat/>
    <w:rsid w:val="00C34E8F"/>
    <w:pPr>
      <w:spacing w:before="240" w:after="240"/>
    </w:pPr>
    <w:rPr>
      <w:color w:val="081E3E"/>
      <w:sz w:val="26"/>
    </w:rPr>
  </w:style>
  <w:style w:type="character" w:customStyle="1" w:styleId="Heading3Char">
    <w:name w:val="Heading 3 Char"/>
    <w:link w:val="Heading3"/>
    <w:uiPriority w:val="9"/>
    <w:rsid w:val="005F794B"/>
    <w:rPr>
      <w:rFonts w:ascii="Calibri" w:eastAsia="Meiryo" w:hAnsi="Calibri" w:cs="Arial"/>
      <w:b/>
      <w:color w:val="9AA3AF"/>
      <w:kern w:val="12"/>
      <w:sz w:val="32"/>
      <w:szCs w:val="24"/>
    </w:rPr>
  </w:style>
  <w:style w:type="character" w:customStyle="1" w:styleId="Heading4Char">
    <w:name w:val="Heading 4 Char"/>
    <w:link w:val="Heading4"/>
    <w:uiPriority w:val="9"/>
    <w:rsid w:val="005F794B"/>
    <w:rPr>
      <w:rFonts w:ascii="Calibri" w:eastAsia="Meiryo" w:hAnsi="Calibri" w:cs="Arial"/>
      <w:b/>
      <w:iCs/>
      <w:color w:val="9AA3AF"/>
      <w:kern w:val="12"/>
      <w:sz w:val="26"/>
    </w:rPr>
  </w:style>
  <w:style w:type="character" w:customStyle="1" w:styleId="Heading5Char">
    <w:name w:val="Heading 5 Char"/>
    <w:link w:val="Heading5"/>
    <w:uiPriority w:val="9"/>
    <w:rsid w:val="005F794B"/>
    <w:rPr>
      <w:rFonts w:ascii="Calibri" w:eastAsia="Meiryo" w:hAnsi="Calibri" w:cs="Arial"/>
      <w:b/>
      <w:color w:val="081E3E"/>
      <w:kern w:val="12"/>
      <w:sz w:val="22"/>
    </w:rPr>
  </w:style>
  <w:style w:type="character" w:customStyle="1" w:styleId="Heading6Char">
    <w:name w:val="Heading 6 Char"/>
    <w:link w:val="Heading6"/>
    <w:uiPriority w:val="9"/>
    <w:semiHidden/>
    <w:rsid w:val="005F794B"/>
    <w:rPr>
      <w:rFonts w:ascii="Calibri" w:eastAsia="Meiryo" w:hAnsi="Calibri" w:cs="Arial"/>
      <w:i/>
      <w:color w:val="081E3E"/>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Sourcenotes">
    <w:name w:val="Source notes"/>
    <w:basedOn w:val="Normal"/>
    <w:uiPriority w:val="15"/>
    <w:qFormat/>
    <w:rsid w:val="001349C6"/>
    <w:pPr>
      <w:spacing w:before="120"/>
    </w:pPr>
    <w:rPr>
      <w:sz w:val="16"/>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left w:val="single" w:sz="4" w:space="14" w:color="4BB3B5"/>
        <w:bottom w:val="single" w:sz="4" w:space="14" w:color="4BB3B5"/>
        <w:right w:val="single" w:sz="4" w:space="14" w:color="4BB3B5"/>
      </w:pBdr>
      <w:ind w:left="284" w:right="284"/>
    </w:p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left w:val="single" w:sz="4" w:space="14" w:color="F2F6E8"/>
        <w:bottom w:val="single" w:sz="4" w:space="14" w:color="F2F6E8"/>
        <w:right w:val="single" w:sz="4" w:space="14" w:color="F2F6E8"/>
      </w:pBdr>
      <w:shd w:val="clear" w:color="auto" w:fill="F2F6E8"/>
      <w:ind w:left="283" w:right="283"/>
    </w:p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pBdr>
      <w:spacing w:after="160"/>
      <w:ind w:left="567" w:right="567"/>
    </w:pPr>
    <w:rPr>
      <w:b/>
      <w:iCs/>
      <w:color w:val="404040"/>
    </w:rPr>
  </w:style>
  <w:style w:type="character" w:customStyle="1" w:styleId="QuoteChar">
    <w:name w:val="Quote Char"/>
    <w:link w:val="Quote"/>
    <w:uiPriority w:val="29"/>
    <w:rsid w:val="00E04908"/>
    <w:rPr>
      <w:b/>
      <w:iCs/>
      <w:color w:val="404040"/>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Table text"/>
    <w:basedOn w:val="Normal"/>
    <w:link w:val="ListParagraphChar"/>
    <w:uiPriority w:val="34"/>
    <w:qFormat/>
    <w:rsid w:val="004D11E3"/>
    <w:pPr>
      <w:suppressAutoHyphens w:val="0"/>
      <w:spacing w:before="0" w:after="160" w:line="259" w:lineRule="auto"/>
      <w:ind w:left="720"/>
      <w:contextualSpacing/>
    </w:pPr>
    <w:rPr>
      <w:color w:val="auto"/>
      <w:kern w:val="0"/>
      <w:sz w:val="22"/>
      <w:szCs w:val="22"/>
    </w:rPr>
  </w:style>
  <w:style w:type="character" w:styleId="FollowedHyperlink">
    <w:name w:val="FollowedHyperlink"/>
    <w:uiPriority w:val="99"/>
    <w:semiHidden/>
    <w:unhideWhenUsed/>
    <w:rsid w:val="00D45821"/>
    <w:rPr>
      <w:color w:val="0046FF"/>
      <w:u w:val="single"/>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6B0FAF"/>
    <w:rPr>
      <w:color w:val="auto"/>
      <w:sz w:val="22"/>
      <w:szCs w:val="22"/>
    </w:rPr>
  </w:style>
  <w:style w:type="character" w:customStyle="1" w:styleId="normaltextrun">
    <w:name w:val="normaltextrun"/>
    <w:basedOn w:val="DefaultParagraphFont"/>
    <w:rsid w:val="00034626"/>
  </w:style>
  <w:style w:type="paragraph" w:customStyle="1" w:styleId="paragraph">
    <w:name w:val="paragraph"/>
    <w:basedOn w:val="Normal"/>
    <w:rsid w:val="00034626"/>
    <w:pPr>
      <w:suppressAutoHyphens w:val="0"/>
      <w:spacing w:before="0" w:after="0"/>
    </w:pPr>
    <w:rPr>
      <w:rFonts w:ascii="Times New Roman" w:eastAsia="Times New Roman" w:hAnsi="Times New Roman" w:cs="Times New Roman"/>
      <w:color w:val="auto"/>
      <w:kern w:val="0"/>
      <w:sz w:val="24"/>
      <w:szCs w:val="24"/>
      <w:lang w:eastAsia="en-AU"/>
    </w:rPr>
  </w:style>
  <w:style w:type="paragraph" w:customStyle="1" w:styleId="Listparagraphbullets">
    <w:name w:val="List paragraph—bullets"/>
    <w:basedOn w:val="ListParagraph"/>
    <w:uiPriority w:val="99"/>
    <w:qFormat/>
    <w:rsid w:val="00D831F6"/>
    <w:pPr>
      <w:numPr>
        <w:numId w:val="46"/>
      </w:numPr>
      <w:spacing w:line="240" w:lineRule="auto"/>
    </w:pPr>
    <w:rPr>
      <w:lang w:eastAsia="zh-TW"/>
    </w:rPr>
  </w:style>
  <w:style w:type="character" w:styleId="CommentReference">
    <w:name w:val="annotation reference"/>
    <w:uiPriority w:val="99"/>
    <w:semiHidden/>
    <w:unhideWhenUsed/>
    <w:rsid w:val="00B73619"/>
    <w:rPr>
      <w:sz w:val="16"/>
      <w:szCs w:val="16"/>
    </w:rPr>
  </w:style>
  <w:style w:type="paragraph" w:styleId="CommentText">
    <w:name w:val="annotation text"/>
    <w:basedOn w:val="Normal"/>
    <w:link w:val="CommentTextChar"/>
    <w:uiPriority w:val="99"/>
    <w:semiHidden/>
    <w:unhideWhenUsed/>
    <w:rsid w:val="00B73619"/>
  </w:style>
  <w:style w:type="character" w:customStyle="1" w:styleId="CommentTextChar">
    <w:name w:val="Comment Text Char"/>
    <w:link w:val="CommentText"/>
    <w:uiPriority w:val="99"/>
    <w:semiHidden/>
    <w:rsid w:val="00B73619"/>
    <w:rPr>
      <w:kern w:val="12"/>
    </w:rPr>
  </w:style>
  <w:style w:type="paragraph" w:styleId="CommentSubject">
    <w:name w:val="annotation subject"/>
    <w:basedOn w:val="CommentText"/>
    <w:next w:val="CommentText"/>
    <w:link w:val="CommentSubjectChar"/>
    <w:uiPriority w:val="99"/>
    <w:semiHidden/>
    <w:unhideWhenUsed/>
    <w:rsid w:val="00B73619"/>
    <w:rPr>
      <w:b/>
      <w:bCs/>
    </w:rPr>
  </w:style>
  <w:style w:type="character" w:customStyle="1" w:styleId="CommentSubjectChar">
    <w:name w:val="Comment Subject Char"/>
    <w:link w:val="CommentSubject"/>
    <w:uiPriority w:val="99"/>
    <w:semiHidden/>
    <w:rsid w:val="00B73619"/>
    <w:rPr>
      <w:b/>
      <w:bCs/>
      <w:kern w:val="12"/>
    </w:rPr>
  </w:style>
  <w:style w:type="paragraph" w:styleId="BalloonText">
    <w:name w:val="Balloon Text"/>
    <w:basedOn w:val="Normal"/>
    <w:link w:val="BalloonTextChar"/>
    <w:uiPriority w:val="99"/>
    <w:semiHidden/>
    <w:unhideWhenUsed/>
    <w:rsid w:val="00B73619"/>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B73619"/>
    <w:rPr>
      <w:rFonts w:ascii="Segoe UI" w:hAnsi="Segoe UI" w:cs="Segoe UI"/>
      <w:kern w:val="12"/>
      <w:sz w:val="18"/>
      <w:szCs w:val="18"/>
    </w:rPr>
  </w:style>
  <w:style w:type="paragraph" w:customStyle="1" w:styleId="Heading10">
    <w:name w:val="Heading1"/>
    <w:basedOn w:val="Heading1"/>
    <w:link w:val="Heading1Char0"/>
    <w:autoRedefine/>
    <w:qFormat/>
    <w:rsid w:val="009C1920"/>
    <w:rPr>
      <w:rFonts w:cs="Arial"/>
    </w:rPr>
  </w:style>
  <w:style w:type="character" w:customStyle="1" w:styleId="UnresolvedMention1">
    <w:name w:val="Unresolved Mention1"/>
    <w:uiPriority w:val="99"/>
    <w:semiHidden/>
    <w:unhideWhenUsed/>
    <w:rsid w:val="00217D49"/>
    <w:rPr>
      <w:color w:val="605E5C"/>
      <w:shd w:val="clear" w:color="auto" w:fill="E1DFDD"/>
    </w:rPr>
  </w:style>
  <w:style w:type="character" w:customStyle="1" w:styleId="Heading1Char0">
    <w:name w:val="Heading1 Char"/>
    <w:link w:val="Heading10"/>
    <w:rsid w:val="009C1920"/>
    <w:rPr>
      <w:rFonts w:ascii="Arial" w:eastAsia="Meiryo" w:hAnsi="Arial" w:cs="Arial"/>
      <w:color w:val="960000"/>
      <w:kern w:val="12"/>
      <w:sz w:val="44"/>
      <w:szCs w:val="44"/>
    </w:rPr>
  </w:style>
  <w:style w:type="paragraph" w:styleId="Revision">
    <w:name w:val="Revision"/>
    <w:hidden/>
    <w:uiPriority w:val="99"/>
    <w:semiHidden/>
    <w:rsid w:val="00136A04"/>
    <w:rPr>
      <w:color w:val="000000"/>
      <w:kern w:val="1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8491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internal.dotars.gov.au\dfs\CBR1\Home3\ThHall\Downloads\&#1576;&#1575;&#1604;&#1576;&#1585;&#1610;&#1583;&#1575;&#1604;&#1573;&#1604;&#1603;&#1578;&#1585;&#1608;&#1606;&#1610;&#1573;&#1604;&#1609;:DisabilityTransport@infrastructure.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nfrastructure.gov.au/infrastructure-transport-vehicles/transport-accessibility/reform-disability-standards-accessible-public-transport-2002/stage-2-re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rastructure.gov.au/infrastructure-transport-vehicles/transport-accessibility/reform-disability-standards-accessible-public-transport-2002/stage-1-reforms" TargetMode="External"/><Relationship Id="rId5" Type="http://schemas.openxmlformats.org/officeDocument/2006/relationships/settings" Target="settings.xml"/><Relationship Id="rId15" Type="http://schemas.openxmlformats.org/officeDocument/2006/relationships/hyperlink" Target="https://www.infrastructure.gov.au/infrastructure-transport-vehicles/transport-accessibility/reform-disability-standards-accessible-public-transport-2002"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nfrastructure.gov.au/infrastructure-transport-vehicles/transport-accessibility/reform-disability-standards-accessible-public-transport-2002/stage-2-reform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790491-00BB-4C8B-98BC-E71EA6FB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Factsheet.dotx</Template>
  <TotalTime>1</TotalTime>
  <Pages>4</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Summary CRIS Arabic</vt:lpstr>
    </vt:vector>
  </TitlesOfParts>
  <Company>Department of Infrastructure &amp; Regional Development</Company>
  <LinksUpToDate>false</LinksUpToDate>
  <CharactersWithSpaces>11340</CharactersWithSpaces>
  <SharedDoc>false</SharedDoc>
  <HLinks>
    <vt:vector size="30" baseType="variant">
      <vt:variant>
        <vt:i4>5111898</vt:i4>
      </vt:variant>
      <vt:variant>
        <vt:i4>12</vt:i4>
      </vt:variant>
      <vt:variant>
        <vt:i4>0</vt:i4>
      </vt:variant>
      <vt:variant>
        <vt:i4>5</vt:i4>
      </vt:variant>
      <vt:variant>
        <vt:lpwstr>https://www.infrastructure.gov.au/infrastructure-transport-vehicles/transport-accessibility/reform-disability-standards-accessible-public-transport-2002</vt:lpwstr>
      </vt:variant>
      <vt:variant>
        <vt:lpwstr/>
      </vt:variant>
      <vt:variant>
        <vt:i4>1966081</vt:i4>
      </vt:variant>
      <vt:variant>
        <vt:i4>9</vt:i4>
      </vt:variant>
      <vt:variant>
        <vt:i4>0</vt:i4>
      </vt:variant>
      <vt:variant>
        <vt:i4>5</vt:i4>
      </vt:variant>
      <vt:variant>
        <vt:lpwstr>https://www.infrastructure.gov.au/infrastructure-transport-vehicles/transport-accessibility/reform-disability-standards-accessible-public-transport-2002/stage-2-reforms</vt:lpwstr>
      </vt:variant>
      <vt:variant>
        <vt:lpwstr/>
      </vt:variant>
      <vt:variant>
        <vt:i4>8126485</vt:i4>
      </vt:variant>
      <vt:variant>
        <vt:i4>6</vt:i4>
      </vt:variant>
      <vt:variant>
        <vt:i4>0</vt:i4>
      </vt:variant>
      <vt:variant>
        <vt:i4>5</vt:i4>
      </vt:variant>
      <vt:variant>
        <vt:lpwstr>بالبريدالإلكترونيإلى:DisabilityTransport@infrastructure.gov.au</vt:lpwstr>
      </vt:variant>
      <vt:variant>
        <vt:lpwstr/>
      </vt:variant>
      <vt:variant>
        <vt:i4>1966081</vt:i4>
      </vt:variant>
      <vt:variant>
        <vt:i4>3</vt:i4>
      </vt:variant>
      <vt:variant>
        <vt:i4>0</vt:i4>
      </vt:variant>
      <vt:variant>
        <vt:i4>5</vt:i4>
      </vt:variant>
      <vt:variant>
        <vt:lpwstr>https://www.infrastructure.gov.au/infrastructure-transport-vehicles/transport-accessibility/reform-disability-standards-accessible-public-transport-2002/stage-2-reforms</vt:lpwstr>
      </vt:variant>
      <vt:variant>
        <vt:lpwstr/>
      </vt:variant>
      <vt:variant>
        <vt:i4>1900545</vt:i4>
      </vt:variant>
      <vt:variant>
        <vt:i4>0</vt:i4>
      </vt:variant>
      <vt:variant>
        <vt:i4>0</vt:i4>
      </vt:variant>
      <vt:variant>
        <vt:i4>5</vt:i4>
      </vt:variant>
      <vt:variant>
        <vt:lpwstr>https://www.infrastructure.gov.au/infrastructure-transport-vehicles/transport-accessibility/reform-disability-standards-accessible-public-transport-2002/stage-1-reforms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CRIS Arabic</dc:title>
  <dc:creator>HALL Theresa</dc:creator>
  <cp:lastModifiedBy>HALL Theresa</cp:lastModifiedBy>
  <cp:revision>2</cp:revision>
  <cp:lastPrinted>2022-02-24T01:07:00Z</cp:lastPrinted>
  <dcterms:created xsi:type="dcterms:W3CDTF">2022-05-02T04:18:00Z</dcterms:created>
  <dcterms:modified xsi:type="dcterms:W3CDTF">2022-05-02T04:18:00Z</dcterms:modified>
</cp:coreProperties>
</file>