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854B" w14:textId="77777777" w:rsidR="002244E5" w:rsidRDefault="002244E5" w:rsidP="000125FF">
      <w:pPr>
        <w:pStyle w:val="Subtitle"/>
        <w:numPr>
          <w:ilvl w:val="0"/>
          <w:numId w:val="0"/>
        </w:numPr>
      </w:pPr>
      <w:r>
        <w:rPr>
          <w:noProof/>
          <w:lang w:eastAsia="en-AU"/>
        </w:rPr>
        <w:drawing>
          <wp:inline distT="0" distB="0" distL="0" distR="0" wp14:anchorId="52D8785D" wp14:editId="558E72A2">
            <wp:extent cx="3647614" cy="669240"/>
            <wp:effectExtent l="0" t="0" r="0" b="0"/>
            <wp:docPr id="5" name="Picture 5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4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D6021" w14:textId="33D68C62" w:rsidR="000125FF" w:rsidRPr="000125FF" w:rsidRDefault="000125FF" w:rsidP="000125FF">
      <w:pPr>
        <w:suppressAutoHyphens/>
        <w:spacing w:before="480" w:line="240" w:lineRule="auto"/>
        <w:ind w:left="1276"/>
        <w:rPr>
          <w:rFonts w:ascii="Calibri" w:eastAsia="Times New Roman" w:hAnsi="Calibri" w:cs="Times New Roman"/>
          <w:color w:val="377B88"/>
          <w:sz w:val="44"/>
        </w:rPr>
      </w:pPr>
      <w:r w:rsidRPr="000125FF">
        <w:rPr>
          <w:rFonts w:ascii="Calibri" w:eastAsia="Times New Roman" w:hAnsi="Calibri" w:cs="Times New Roman"/>
          <w:color w:val="377B88"/>
          <w:sz w:val="44"/>
        </w:rPr>
        <w:t>Independent Review of the Shipping Registration Act 1981</w:t>
      </w:r>
    </w:p>
    <w:p w14:paraId="4AC5D258" w14:textId="7FA36877" w:rsidR="00B609E0" w:rsidRDefault="002244E5" w:rsidP="00B609E0">
      <w:pPr>
        <w:pStyle w:val="CoverDate"/>
        <w:ind w:left="1276"/>
      </w:pPr>
      <w:bookmarkStart w:id="0" w:name="_Toc177129808"/>
      <w:r>
        <w:t>October 20</w:t>
      </w:r>
      <w:r w:rsidR="00B609E0">
        <w:t>24</w:t>
      </w:r>
    </w:p>
    <w:p w14:paraId="07A428DB" w14:textId="77777777" w:rsidR="00B609E0" w:rsidRDefault="00B609E0" w:rsidP="00B609E0">
      <w:pPr>
        <w:pStyle w:val="CoverDate"/>
        <w:ind w:left="1276"/>
        <w:sectPr w:rsidR="00B609E0" w:rsidSect="00B609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0" w:left="1440" w:header="709" w:footer="709" w:gutter="0"/>
          <w:cols w:space="708"/>
          <w:docGrid w:linePitch="360"/>
        </w:sectPr>
      </w:pPr>
    </w:p>
    <w:p w14:paraId="3AEB9604" w14:textId="7AE6E9CC" w:rsidR="00B609E0" w:rsidRDefault="00B609E0" w:rsidP="00B609E0">
      <w:pPr>
        <w:pStyle w:val="CoverDate"/>
        <w:ind w:left="1276"/>
      </w:pPr>
    </w:p>
    <w:p w14:paraId="78CAF67A" w14:textId="4C433E9C" w:rsidR="00C17352" w:rsidRPr="000125FF" w:rsidRDefault="002244E5" w:rsidP="00B609E0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0125FF">
        <w:rPr>
          <w:rFonts w:ascii="Calibri" w:eastAsia="Times New Roman" w:hAnsi="Calibri" w:cs="Times New Roman"/>
          <w:color w:val="44546A" w:themeColor="text2"/>
          <w:sz w:val="44"/>
          <w:szCs w:val="22"/>
        </w:rPr>
        <w:t>Introduction</w:t>
      </w:r>
    </w:p>
    <w:p w14:paraId="54C24202" w14:textId="25DA616B" w:rsidR="005E6E48" w:rsidRDefault="00C17352" w:rsidP="00C17352">
      <w:r w:rsidRPr="00BE0F35">
        <w:t xml:space="preserve">The Government agreed to </w:t>
      </w:r>
      <w:r w:rsidR="002244E5">
        <w:t>r</w:t>
      </w:r>
      <w:r w:rsidRPr="00BE0F35">
        <w:t xml:space="preserve">eview the </w:t>
      </w:r>
      <w:r w:rsidRPr="00BE0F35">
        <w:rPr>
          <w:i/>
        </w:rPr>
        <w:t>Shipping Registration Act 1981</w:t>
      </w:r>
      <w:r w:rsidRPr="00BE0F35">
        <w:t xml:space="preserve"> </w:t>
      </w:r>
      <w:r w:rsidR="002244E5">
        <w:t>(the Act)</w:t>
      </w:r>
      <w:r w:rsidR="000125FF">
        <w:t xml:space="preserve"> </w:t>
      </w:r>
      <w:r w:rsidRPr="00BE0F35">
        <w:t xml:space="preserve">in its response to Recommendations </w:t>
      </w:r>
      <w:r w:rsidR="00745DAD">
        <w:t>4</w:t>
      </w:r>
      <w:r w:rsidR="00745DAD" w:rsidRPr="00BE0F35">
        <w:t xml:space="preserve"> </w:t>
      </w:r>
      <w:r w:rsidRPr="00BE0F35">
        <w:t xml:space="preserve">and </w:t>
      </w:r>
      <w:r w:rsidR="00745DAD">
        <w:t>5</w:t>
      </w:r>
      <w:r w:rsidR="00745DAD" w:rsidRPr="00BE0F35">
        <w:t xml:space="preserve"> </w:t>
      </w:r>
      <w:r w:rsidRPr="00BE0F35">
        <w:t xml:space="preserve">of the </w:t>
      </w:r>
      <w:hyperlink r:id="rId17" w:history="1">
        <w:r w:rsidRPr="002614A9">
          <w:rPr>
            <w:rStyle w:val="Hyperlink"/>
          </w:rPr>
          <w:t xml:space="preserve">Strategic Fleet Taskforce </w:t>
        </w:r>
        <w:r w:rsidR="00745DAD">
          <w:rPr>
            <w:rStyle w:val="Hyperlink"/>
          </w:rPr>
          <w:t xml:space="preserve">Final </w:t>
        </w:r>
        <w:r w:rsidRPr="002614A9">
          <w:rPr>
            <w:rStyle w:val="Hyperlink"/>
          </w:rPr>
          <w:t>Report</w:t>
        </w:r>
      </w:hyperlink>
      <w:r w:rsidRPr="00BE0F35">
        <w:t xml:space="preserve">. </w:t>
      </w:r>
      <w:r w:rsidR="0069149D">
        <w:t xml:space="preserve">On 20 August 2024, the </w:t>
      </w:r>
      <w:r w:rsidR="0069149D" w:rsidRPr="00400FB5">
        <w:t>Australian Government appointed Ms Lynelle Briggs and Prof</w:t>
      </w:r>
      <w:r w:rsidR="0069149D">
        <w:t>essor</w:t>
      </w:r>
      <w:r w:rsidR="0069149D" w:rsidRPr="00400FB5">
        <w:t xml:space="preserve"> Nicholas Gaskell to co-chair the </w:t>
      </w:r>
      <w:r w:rsidR="007A7135">
        <w:t>R</w:t>
      </w:r>
      <w:r w:rsidR="0069149D" w:rsidRPr="00400FB5">
        <w:t>eview of the</w:t>
      </w:r>
      <w:r w:rsidR="0069149D">
        <w:t xml:space="preserve"> </w:t>
      </w:r>
      <w:r w:rsidR="002244E5" w:rsidRPr="000125FF">
        <w:t>Act</w:t>
      </w:r>
      <w:r w:rsidR="00D276F7">
        <w:t>.</w:t>
      </w:r>
    </w:p>
    <w:p w14:paraId="3B6B2031" w14:textId="579BE373" w:rsidR="002244E5" w:rsidRDefault="002244E5" w:rsidP="00C17352">
      <w:r w:rsidRPr="00BE0F35">
        <w:t>The scope of the</w:t>
      </w:r>
      <w:r>
        <w:t xml:space="preserve"> Review</w:t>
      </w:r>
      <w:r w:rsidRPr="00BE0F35">
        <w:t xml:space="preserve"> includes the current registration processes for </w:t>
      </w:r>
      <w:r>
        <w:t>maritime vessels</w:t>
      </w:r>
      <w:r w:rsidRPr="00BE0F35">
        <w:t xml:space="preserve"> and whether exemplary registration processes from other jurisdictions can be applied in an Australian context. The </w:t>
      </w:r>
      <w:r>
        <w:t>Review</w:t>
      </w:r>
      <w:r w:rsidRPr="00BE0F35">
        <w:t xml:space="preserve"> will also address other known areas where the legislation can be improved, particularly around the introduction of electronic registration processes and systems.</w:t>
      </w:r>
      <w:r>
        <w:t xml:space="preserve"> </w:t>
      </w:r>
      <w:r w:rsidRPr="00EE4BCD">
        <w:t>A written report will be provided to the Minister for Infrastructure, Transport, Regional Development</w:t>
      </w:r>
      <w:r>
        <w:t xml:space="preserve"> and Local Government </w:t>
      </w:r>
      <w:r w:rsidRPr="00EE4BCD">
        <w:t xml:space="preserve">at the conclusion of the </w:t>
      </w:r>
      <w:r>
        <w:t>R</w:t>
      </w:r>
      <w:r w:rsidRPr="00EE4BCD">
        <w:t>eview.</w:t>
      </w:r>
    </w:p>
    <w:p w14:paraId="17BECCFF" w14:textId="127198AF" w:rsidR="002244E5" w:rsidRDefault="002244E5" w:rsidP="00C17352">
      <w:r w:rsidRPr="003A0A4C">
        <w:t>The full Terms of Reference</w:t>
      </w:r>
      <w:r>
        <w:t xml:space="preserve"> including the scope</w:t>
      </w:r>
      <w:r w:rsidRPr="003A0A4C">
        <w:t xml:space="preserve"> for the Review </w:t>
      </w:r>
      <w:r>
        <w:t xml:space="preserve">of the </w:t>
      </w:r>
      <w:r w:rsidRPr="000125FF">
        <w:t xml:space="preserve">Shipping Registration Act </w:t>
      </w:r>
      <w:r w:rsidRPr="003A0A4C">
        <w:t xml:space="preserve">are at </w:t>
      </w:r>
      <w:r w:rsidR="00745DAD" w:rsidRPr="00745DAD">
        <w:rPr>
          <w:b/>
        </w:rPr>
        <w:t>https://www.infrastructure.gov.au/sites/default/files/documents/terms-of-reference-sra-review.pdf</w:t>
      </w:r>
    </w:p>
    <w:p w14:paraId="0E60073C" w14:textId="38A78850" w:rsidR="00571575" w:rsidRPr="00BE0F35" w:rsidRDefault="0069149D" w:rsidP="00C17352">
      <w:r>
        <w:t xml:space="preserve">This Review is being undertaken in parallel with the Review of the </w:t>
      </w:r>
      <w:r w:rsidRPr="00400FB5">
        <w:rPr>
          <w:i/>
        </w:rPr>
        <w:t>Coastal Trading (Revitalising Australian Shipping) Act 2012</w:t>
      </w:r>
      <w:r w:rsidR="007A7135">
        <w:rPr>
          <w:i/>
        </w:rPr>
        <w:t xml:space="preserve">, </w:t>
      </w:r>
      <w:r w:rsidR="000125FF">
        <w:t>and by</w:t>
      </w:r>
      <w:r w:rsidR="007A7135">
        <w:t xml:space="preserve"> the same co-chairs</w:t>
      </w:r>
      <w:r w:rsidR="00571575">
        <w:t xml:space="preserve">. </w:t>
      </w:r>
    </w:p>
    <w:p w14:paraId="3573551A" w14:textId="77777777" w:rsidR="002244E5" w:rsidRPr="000125FF" w:rsidRDefault="002244E5" w:rsidP="000125FF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0125FF">
        <w:rPr>
          <w:rFonts w:ascii="Calibri" w:eastAsia="Times New Roman" w:hAnsi="Calibri" w:cs="Times New Roman"/>
          <w:color w:val="44546A" w:themeColor="text2"/>
          <w:sz w:val="44"/>
          <w:szCs w:val="22"/>
        </w:rPr>
        <w:t>Strategic Fleet</w:t>
      </w:r>
    </w:p>
    <w:p w14:paraId="24948C48" w14:textId="7FF73352" w:rsidR="002244E5" w:rsidRDefault="002244E5" w:rsidP="002244E5">
      <w:r w:rsidRPr="00406295">
        <w:t xml:space="preserve">The Australian Government </w:t>
      </w:r>
      <w:r>
        <w:t>committed to establishing</w:t>
      </w:r>
      <w:r w:rsidRPr="00406295">
        <w:t xml:space="preserve"> a strategic fleet of up to 12 Australian-flagged and crewed vessels. </w:t>
      </w:r>
      <w:r>
        <w:t>They will be</w:t>
      </w:r>
      <w:r w:rsidRPr="00406295">
        <w:t xml:space="preserve"> privately owned and operate on a commercial basis, but could be requisitioned by the Government in times of national crisis such as natural disaster or conflict. </w:t>
      </w:r>
      <w:r>
        <w:t xml:space="preserve">The </w:t>
      </w:r>
      <w:r w:rsidR="002614A9">
        <w:t xml:space="preserve">Government </w:t>
      </w:r>
      <w:r>
        <w:t xml:space="preserve">appointed the Strategic Fleet Taskforce to guide the establishment of the fleet. The Taskforce provided their final report and recommendations to </w:t>
      </w:r>
      <w:r w:rsidR="002614A9">
        <w:t xml:space="preserve">Government </w:t>
      </w:r>
      <w:r>
        <w:t xml:space="preserve">in June 2023. </w:t>
      </w:r>
    </w:p>
    <w:p w14:paraId="71D664B8" w14:textId="3C83202C" w:rsidR="002244E5" w:rsidRDefault="002244E5" w:rsidP="002244E5">
      <w:r>
        <w:t>The Reviewers take as their starting point the findings and recommendations of the Strategic Fleet Taskforce Final Report.</w:t>
      </w:r>
    </w:p>
    <w:p w14:paraId="41E0BF0A" w14:textId="77777777" w:rsidR="001D68EE" w:rsidRPr="008C5FAE" w:rsidRDefault="001D68EE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Have your say</w:t>
      </w:r>
    </w:p>
    <w:p w14:paraId="660DA983" w14:textId="7FDA89F8" w:rsidR="001D68EE" w:rsidRDefault="001D68EE" w:rsidP="001D68EE">
      <w:r w:rsidRPr="00BE0F35">
        <w:t xml:space="preserve">The </w:t>
      </w:r>
      <w:r w:rsidR="0069149D">
        <w:t>R</w:t>
      </w:r>
      <w:r w:rsidRPr="00BE0F35">
        <w:t xml:space="preserve">eviewers are seeking submissions from interested stakeholders to inform the Review. Your input is valuable to ensure the recommendations to the Australian Government </w:t>
      </w:r>
      <w:r w:rsidR="0088106A">
        <w:t xml:space="preserve">are </w:t>
      </w:r>
      <w:r w:rsidR="002244E5">
        <w:t>relevant</w:t>
      </w:r>
      <w:r w:rsidR="0088106A">
        <w:t xml:space="preserve"> and </w:t>
      </w:r>
      <w:r w:rsidR="00BE0F35" w:rsidRPr="00BE0F35">
        <w:t>meet stakeholders</w:t>
      </w:r>
      <w:r w:rsidR="005202D3">
        <w:t>’</w:t>
      </w:r>
      <w:r w:rsidR="00BE0F35" w:rsidRPr="00BE0F35">
        <w:t xml:space="preserve"> needs.</w:t>
      </w:r>
    </w:p>
    <w:p w14:paraId="653C14C9" w14:textId="1ABB727C" w:rsidR="002244E5" w:rsidRPr="002244E5" w:rsidRDefault="002244E5" w:rsidP="000125FF">
      <w:pPr>
        <w:rPr>
          <w:b/>
        </w:rPr>
      </w:pPr>
      <w:r>
        <w:t>The Review of the Act and consultation process is distinct from the Review of</w:t>
      </w:r>
      <w:r w:rsidR="002614A9">
        <w:t xml:space="preserve"> the</w:t>
      </w:r>
      <w:r>
        <w:t xml:space="preserve"> </w:t>
      </w:r>
      <w:r w:rsidRPr="00400FB5">
        <w:rPr>
          <w:i/>
        </w:rPr>
        <w:t>Coastal Trading (Revitalising Australian Shipping) Act 2012</w:t>
      </w:r>
      <w:r>
        <w:t>. However, we encourage stakeholders interested in providing a submission/response to this paper to consider the consultation process being undertaken on the Review of the</w:t>
      </w:r>
      <w:r w:rsidR="004753B0" w:rsidRPr="004753B0">
        <w:rPr>
          <w:i/>
        </w:rPr>
        <w:t xml:space="preserve"> </w:t>
      </w:r>
      <w:r w:rsidR="004753B0" w:rsidRPr="00400FB5">
        <w:rPr>
          <w:i/>
        </w:rPr>
        <w:t xml:space="preserve">Coastal Trading (Revitalising Australian </w:t>
      </w:r>
      <w:r w:rsidR="004753B0" w:rsidRPr="00E473A4">
        <w:rPr>
          <w:i/>
        </w:rPr>
        <w:t>Shipping) Act</w:t>
      </w:r>
      <w:r w:rsidR="004753B0" w:rsidRPr="00E473A4">
        <w:t xml:space="preserve"> and the consultation paper</w:t>
      </w:r>
      <w:r w:rsidR="004753B0" w:rsidRPr="00E473A4">
        <w:rPr>
          <w:i/>
        </w:rPr>
        <w:t xml:space="preserve"> </w:t>
      </w:r>
      <w:r w:rsidR="004753B0" w:rsidRPr="00E473A4">
        <w:t xml:space="preserve">which can be found on the </w:t>
      </w:r>
      <w:r w:rsidR="00161CA4" w:rsidRPr="0028117C">
        <w:t>Department of Infrastructure, Transport, Regional Development, Communications and the Arts Have Your Say</w:t>
      </w:r>
      <w:r w:rsidR="004753B0" w:rsidRPr="00E473A4">
        <w:t xml:space="preserve"> Have Your Say website at</w:t>
      </w:r>
      <w:r w:rsidR="00040C67">
        <w:t xml:space="preserve">: </w:t>
      </w:r>
      <w:hyperlink r:id="rId18" w:history="1">
        <w:r w:rsidR="008C7C5D">
          <w:rPr>
            <w:rStyle w:val="Hyperlink"/>
          </w:rPr>
          <w:t>www.infrastructure.gov.au/coastal-trading-review</w:t>
        </w:r>
      </w:hyperlink>
      <w:r w:rsidR="008C7C5D">
        <w:t>.</w:t>
      </w:r>
      <w:bookmarkStart w:id="1" w:name="_GoBack"/>
      <w:bookmarkEnd w:id="1"/>
    </w:p>
    <w:p w14:paraId="1F77FF5A" w14:textId="77777777" w:rsidR="0069149D" w:rsidRPr="008C5FAE" w:rsidRDefault="0069149D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lastRenderedPageBreak/>
        <w:t>Next steps</w:t>
      </w:r>
    </w:p>
    <w:p w14:paraId="598BE6CD" w14:textId="070EA1F4" w:rsidR="00D278B1" w:rsidRDefault="002614A9" w:rsidP="00D278B1">
      <w:r>
        <w:t>F</w:t>
      </w:r>
      <w:r w:rsidR="00D278B1">
        <w:t xml:space="preserve">urther consultation will be conducted throughout the Review. Consultation will involve a number of processes including meeting </w:t>
      </w:r>
      <w:r w:rsidR="004753B0">
        <w:t>with a range of key stakeholders to discuss their interests and concerns</w:t>
      </w:r>
      <w:r w:rsidR="00D278B1">
        <w:t>.</w:t>
      </w:r>
    </w:p>
    <w:p w14:paraId="256935C7" w14:textId="77777777" w:rsidR="00D278B1" w:rsidRDefault="00D278B1" w:rsidP="00D278B1">
      <w:pPr>
        <w:rPr>
          <w:rStyle w:val="normaltextrun"/>
        </w:rPr>
      </w:pPr>
      <w:bookmarkStart w:id="2" w:name="_Toc177129809"/>
      <w:bookmarkEnd w:id="0"/>
      <w:r>
        <w:rPr>
          <w:rStyle w:val="normaltextrun"/>
        </w:rPr>
        <w:br w:type="page"/>
      </w:r>
    </w:p>
    <w:p w14:paraId="5040D095" w14:textId="61CC010C" w:rsidR="00D02213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lastRenderedPageBreak/>
        <w:t>1.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Background</w:t>
      </w:r>
      <w:bookmarkEnd w:id="2"/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 </w:t>
      </w:r>
      <w:r w:rsidR="0088106A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to</w:t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 vessel registration</w:t>
      </w:r>
    </w:p>
    <w:p w14:paraId="618ED44B" w14:textId="29F29E7E" w:rsidR="00D02213" w:rsidRPr="008C5FAE" w:rsidRDefault="008C5FAE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bookmarkStart w:id="3" w:name="_Toc177129810"/>
      <w:r>
        <w:rPr>
          <w:rFonts w:ascii="Calibri" w:eastAsia="Times New Roman" w:hAnsi="Calibri" w:cs="Times New Roman"/>
          <w:color w:val="44546A" w:themeColor="text2"/>
          <w:sz w:val="44"/>
          <w:szCs w:val="22"/>
        </w:rPr>
        <w:t>1.1</w:t>
      </w:r>
      <w:r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Why vessels are registered</w:t>
      </w:r>
      <w:bookmarkEnd w:id="3"/>
    </w:p>
    <w:p w14:paraId="3F733E3A" w14:textId="683550E1" w:rsidR="00D02213" w:rsidRPr="000125FF" w:rsidRDefault="00D02213" w:rsidP="000125FF">
      <w:r w:rsidRPr="00BE0F35">
        <w:t xml:space="preserve">Registration is important to domestic and international shipping as a mechanism to grant nationality to a vessel. It is a requirement under </w:t>
      </w:r>
      <w:r w:rsidR="00F811C5">
        <w:t xml:space="preserve">Article 91 of </w:t>
      </w:r>
      <w:r w:rsidRPr="00BE0F35">
        <w:t xml:space="preserve">the </w:t>
      </w:r>
      <w:hyperlink r:id="rId19" w:history="1">
        <w:r w:rsidRPr="000125FF">
          <w:t>United Nations Convention on the Law of the Sea</w:t>
        </w:r>
      </w:hyperlink>
      <w:r w:rsidRPr="00BE0F35">
        <w:t xml:space="preserve">. </w:t>
      </w:r>
      <w:r w:rsidRPr="000125FF">
        <w:t>Registering a vessel also provides a record of ownership for that vessel. The record of ownership is recognised domestically and internationally. </w:t>
      </w:r>
    </w:p>
    <w:p w14:paraId="4C9E0DDE" w14:textId="77777777" w:rsidR="00AB3188" w:rsidRDefault="00AB3188" w:rsidP="00AB3188">
      <w:r>
        <w:t>The</w:t>
      </w:r>
      <w:r w:rsidR="00C531E0">
        <w:t xml:space="preserve"> Act</w:t>
      </w:r>
      <w:r>
        <w:t xml:space="preserve"> establishes the requirements for the registration of Australian-owned vessels and maintenance of Australian shipping registers. Australian-owned vessels can be granted nationality through registration in the Australian General Shipping Register (AGSR) or the Australian International Shipping Register (AISR). </w:t>
      </w:r>
    </w:p>
    <w:p w14:paraId="5F9DD5B7" w14:textId="1F52F777" w:rsidR="00165320" w:rsidRPr="000125FF" w:rsidRDefault="00165320" w:rsidP="000125FF">
      <w:r w:rsidRPr="000125FF">
        <w:t xml:space="preserve">This </w:t>
      </w:r>
      <w:r w:rsidR="00F10CAC" w:rsidRPr="000125FF">
        <w:t xml:space="preserve">Review </w:t>
      </w:r>
      <w:r w:rsidRPr="000125FF">
        <w:t xml:space="preserve">is not considering registration of naval vessels, which are subject to different requirements and registered </w:t>
      </w:r>
      <w:r w:rsidR="0072270F" w:rsidRPr="000125FF">
        <w:t>i</w:t>
      </w:r>
      <w:r w:rsidRPr="000125FF">
        <w:t>n the Defence Vessel Register</w:t>
      </w:r>
      <w:r w:rsidR="004326EE" w:rsidRPr="000125FF">
        <w:t>.</w:t>
      </w:r>
    </w:p>
    <w:p w14:paraId="7B8495D5" w14:textId="4961D284" w:rsidR="00D02213" w:rsidRPr="008C5FAE" w:rsidRDefault="008C5FAE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>
        <w:rPr>
          <w:rFonts w:ascii="Calibri" w:eastAsia="Times New Roman" w:hAnsi="Calibri" w:cs="Times New Roman"/>
          <w:color w:val="44546A" w:themeColor="text2"/>
          <w:sz w:val="44"/>
          <w:szCs w:val="22"/>
        </w:rPr>
        <w:t>1.2</w:t>
      </w:r>
      <w:r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Why </w:t>
      </w:r>
      <w:r w:rsidR="000125FF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is </w:t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this </w:t>
      </w:r>
      <w:r w:rsidR="000F7FF1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Review</w:t>
      </w:r>
      <w:r w:rsidR="00D02213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 important</w:t>
      </w:r>
      <w:r w:rsidR="00762532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?</w:t>
      </w:r>
    </w:p>
    <w:p w14:paraId="2874FD26" w14:textId="136D0597" w:rsidR="00D02213" w:rsidRPr="00E70D5A" w:rsidRDefault="00D02213" w:rsidP="000125FF">
      <w:r w:rsidRPr="000125FF">
        <w:t xml:space="preserve">The way vessels are registered in Australia today is much the same as it was when the Australian </w:t>
      </w:r>
      <w:r w:rsidRPr="00E70D5A">
        <w:t>ship</w:t>
      </w:r>
      <w:r w:rsidR="00D05DE3" w:rsidRPr="00E70D5A">
        <w:t>ping</w:t>
      </w:r>
      <w:r w:rsidRPr="00E70D5A">
        <w:t xml:space="preserve"> register was introduced in 1982. Since then</w:t>
      </w:r>
      <w:r w:rsidR="00763877" w:rsidRPr="00E70D5A">
        <w:t>,</w:t>
      </w:r>
      <w:r w:rsidRPr="00E70D5A">
        <w:t xml:space="preserve"> shipping has modernised, business practices</w:t>
      </w:r>
      <w:r w:rsidRPr="000125FF">
        <w:t xml:space="preserve"> </w:t>
      </w:r>
      <w:r w:rsidRPr="00E70D5A">
        <w:t>have changed</w:t>
      </w:r>
      <w:r w:rsidR="00763877" w:rsidRPr="00E70D5A">
        <w:t>,</w:t>
      </w:r>
      <w:r w:rsidRPr="00E70D5A">
        <w:t xml:space="preserve"> the world is largely digitised</w:t>
      </w:r>
      <w:r w:rsidR="00763877" w:rsidRPr="00E70D5A">
        <w:t>,</w:t>
      </w:r>
      <w:r w:rsidRPr="00E70D5A">
        <w:t xml:space="preserve"> and the regime for registration has not kept pace.</w:t>
      </w:r>
    </w:p>
    <w:p w14:paraId="138A1942" w14:textId="021DF22A" w:rsidR="00D02213" w:rsidRPr="00E70D5A" w:rsidRDefault="00D02213" w:rsidP="000125FF">
      <w:r w:rsidRPr="00E70D5A">
        <w:t xml:space="preserve">The </w:t>
      </w:r>
      <w:r w:rsidR="000F7FF1" w:rsidRPr="00E70D5A">
        <w:t>Review</w:t>
      </w:r>
      <w:r w:rsidRPr="00E70D5A">
        <w:t xml:space="preserve"> of the </w:t>
      </w:r>
      <w:r w:rsidR="00180406" w:rsidRPr="00E70D5A">
        <w:t xml:space="preserve">Act </w:t>
      </w:r>
      <w:r w:rsidRPr="00E70D5A">
        <w:t xml:space="preserve">is an opportunity to revisit the objectives of registration, </w:t>
      </w:r>
      <w:r w:rsidR="007A7135" w:rsidRPr="00E70D5A">
        <w:t>consider the</w:t>
      </w:r>
      <w:r w:rsidRPr="00E70D5A">
        <w:t xml:space="preserve"> gaps in the current system and look at options to improve how we go about registering vessels in the future.</w:t>
      </w:r>
    </w:p>
    <w:p w14:paraId="42F28988" w14:textId="431C6F6E" w:rsidR="00D02213" w:rsidRPr="00E70D5A" w:rsidRDefault="00966CA5" w:rsidP="000125FF">
      <w:r w:rsidRPr="00E70D5A">
        <w:t>Inadequacies</w:t>
      </w:r>
      <w:r w:rsidR="00D02213" w:rsidRPr="00E70D5A">
        <w:t xml:space="preserve"> in the current regime for vessel registration have been identified </w:t>
      </w:r>
      <w:r w:rsidR="00DD3F4B" w:rsidRPr="00DD3F4B">
        <w:t xml:space="preserve">over time </w:t>
      </w:r>
      <w:r w:rsidR="00D02213" w:rsidRPr="00E70D5A">
        <w:t xml:space="preserve">through previous reviews of the </w:t>
      </w:r>
      <w:r w:rsidR="007A7135" w:rsidRPr="00E70D5A">
        <w:t xml:space="preserve">Act </w:t>
      </w:r>
      <w:r w:rsidR="004D54DC" w:rsidRPr="00E70D5A">
        <w:t>and</w:t>
      </w:r>
      <w:r w:rsidR="00D02213" w:rsidRPr="00E70D5A">
        <w:t xml:space="preserve"> by a range of stakeholders. This </w:t>
      </w:r>
      <w:r w:rsidR="000F7FF1" w:rsidRPr="00E70D5A">
        <w:t>Review</w:t>
      </w:r>
      <w:r w:rsidR="00D02213" w:rsidRPr="00E70D5A">
        <w:t xml:space="preserve"> provides an opportunity to identify areas for improvement or change</w:t>
      </w:r>
      <w:r w:rsidR="00F5385D" w:rsidRPr="00E70D5A">
        <w:t>,</w:t>
      </w:r>
      <w:r w:rsidR="00D02213" w:rsidRPr="00E70D5A">
        <w:t xml:space="preserve"> and make recommendations to ensure that we have a registration system that is fit for purpose and serves us into the future.</w:t>
      </w:r>
    </w:p>
    <w:p w14:paraId="073A4448" w14:textId="594AAA53" w:rsidR="0097414C" w:rsidRPr="00E70D5A" w:rsidRDefault="008C5FAE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E70D5A">
        <w:rPr>
          <w:rFonts w:ascii="Calibri" w:eastAsia="Times New Roman" w:hAnsi="Calibri" w:cs="Times New Roman"/>
          <w:color w:val="44546A" w:themeColor="text2"/>
          <w:sz w:val="44"/>
          <w:szCs w:val="22"/>
        </w:rPr>
        <w:t>1.3</w:t>
      </w:r>
      <w:r w:rsidRPr="00E70D5A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97414C" w:rsidRPr="00E70D5A">
        <w:rPr>
          <w:rFonts w:ascii="Calibri" w:eastAsia="Times New Roman" w:hAnsi="Calibri" w:cs="Times New Roman"/>
          <w:color w:val="44546A" w:themeColor="text2"/>
          <w:sz w:val="44"/>
          <w:szCs w:val="22"/>
        </w:rPr>
        <w:t>Context</w:t>
      </w:r>
    </w:p>
    <w:p w14:paraId="615A3A8C" w14:textId="4CCA4981" w:rsidR="0047711D" w:rsidRPr="00E70D5A" w:rsidRDefault="0047711D" w:rsidP="00846681">
      <w:r w:rsidRPr="00E70D5A">
        <w:t xml:space="preserve">The </w:t>
      </w:r>
      <w:r w:rsidR="002455BE" w:rsidRPr="00E70D5A">
        <w:t>Shipping Registration Act</w:t>
      </w:r>
      <w:r w:rsidRPr="00E70D5A">
        <w:t xml:space="preserve"> sets out the eligibility and requirements for registration of vessels </w:t>
      </w:r>
      <w:r w:rsidR="00F5385D" w:rsidRPr="00E70D5A">
        <w:t>i</w:t>
      </w:r>
      <w:r w:rsidRPr="00E70D5A">
        <w:t xml:space="preserve">n </w:t>
      </w:r>
      <w:r w:rsidR="00F5385D" w:rsidRPr="00E70D5A">
        <w:t xml:space="preserve">the </w:t>
      </w:r>
      <w:r w:rsidR="002455BE" w:rsidRPr="00E70D5A">
        <w:t>AISR</w:t>
      </w:r>
      <w:r w:rsidRPr="00E70D5A">
        <w:t xml:space="preserve"> and</w:t>
      </w:r>
      <w:r w:rsidR="002455BE" w:rsidRPr="00E70D5A">
        <w:t xml:space="preserve"> AGSR</w:t>
      </w:r>
      <w:r w:rsidRPr="00E70D5A">
        <w:t>. These include requirements associated with ownership and management of the vessel</w:t>
      </w:r>
      <w:r w:rsidR="00F5385D" w:rsidRPr="00E70D5A">
        <w:t>,</w:t>
      </w:r>
      <w:r w:rsidRPr="00E70D5A">
        <w:t xml:space="preserve"> </w:t>
      </w:r>
      <w:r w:rsidR="00F5385D" w:rsidRPr="00E70D5A">
        <w:t xml:space="preserve">as well as </w:t>
      </w:r>
      <w:r w:rsidRPr="00E70D5A">
        <w:t>collection of information about the vessel.</w:t>
      </w:r>
    </w:p>
    <w:p w14:paraId="5D84F622" w14:textId="77777777" w:rsidR="0047711D" w:rsidRPr="00E70D5A" w:rsidRDefault="0047711D" w:rsidP="0072270F">
      <w:r w:rsidRPr="00E70D5A">
        <w:t xml:space="preserve">An Australian owned ship </w:t>
      </w:r>
      <w:r w:rsidR="00F5385D" w:rsidRPr="00E70D5A">
        <w:t xml:space="preserve">(vessel) </w:t>
      </w:r>
      <w:r w:rsidRPr="00E70D5A">
        <w:t>is:</w:t>
      </w:r>
    </w:p>
    <w:p w14:paraId="50E3580F" w14:textId="722802B1" w:rsidR="0047711D" w:rsidRPr="00E70D5A" w:rsidRDefault="005202D3" w:rsidP="00846681">
      <w:pPr>
        <w:pStyle w:val="ListParagraph"/>
        <w:numPr>
          <w:ilvl w:val="0"/>
          <w:numId w:val="25"/>
        </w:numPr>
      </w:pPr>
      <w:r w:rsidRPr="00E70D5A">
        <w:t xml:space="preserve">a </w:t>
      </w:r>
      <w:r w:rsidR="0047711D" w:rsidRPr="00E70D5A">
        <w:t>ship owned by an Australian national or nationals</w:t>
      </w:r>
      <w:r w:rsidR="00BE70BD" w:rsidRPr="00E70D5A">
        <w:rPr>
          <w:rStyle w:val="FootnoteReference"/>
        </w:rPr>
        <w:footnoteReference w:id="1"/>
      </w:r>
      <w:r w:rsidR="0047711D" w:rsidRPr="00E70D5A">
        <w:t>;</w:t>
      </w:r>
    </w:p>
    <w:p w14:paraId="3CB60BE5" w14:textId="67E7D584" w:rsidR="0047711D" w:rsidRPr="00BE0F35" w:rsidRDefault="005202D3" w:rsidP="00846681">
      <w:pPr>
        <w:pStyle w:val="ListParagraph"/>
        <w:numPr>
          <w:ilvl w:val="0"/>
          <w:numId w:val="25"/>
        </w:numPr>
      </w:pPr>
      <w:r>
        <w:t>a</w:t>
      </w:r>
      <w:r w:rsidRPr="00BE0F35">
        <w:t xml:space="preserve"> </w:t>
      </w:r>
      <w:r w:rsidR="0047711D" w:rsidRPr="00BE0F35">
        <w:t>ship owned by three or more people as joint owners where the majority of owners are Australian nationals;</w:t>
      </w:r>
    </w:p>
    <w:p w14:paraId="2EF31EDE" w14:textId="43F72230" w:rsidR="0047711D" w:rsidRPr="00BE0F35" w:rsidRDefault="005202D3" w:rsidP="00846681">
      <w:pPr>
        <w:pStyle w:val="ListParagraph"/>
        <w:numPr>
          <w:ilvl w:val="0"/>
          <w:numId w:val="25"/>
        </w:numPr>
      </w:pPr>
      <w:r>
        <w:t>a</w:t>
      </w:r>
      <w:r w:rsidRPr="00BE0F35">
        <w:t xml:space="preserve"> </w:t>
      </w:r>
      <w:r w:rsidR="0047711D" w:rsidRPr="00BE0F35">
        <w:t>ship owned in common where more than half the shares are owned by an Australian national or Australian nationals.</w:t>
      </w:r>
    </w:p>
    <w:p w14:paraId="3FF3F9D9" w14:textId="77777777" w:rsidR="0047711D" w:rsidRPr="00BE0F35" w:rsidRDefault="00CA572A" w:rsidP="00846681">
      <w:r w:rsidRPr="00BE0F35">
        <w:t xml:space="preserve">Vessels </w:t>
      </w:r>
      <w:r w:rsidR="0047711D" w:rsidRPr="00BE0F35">
        <w:t>cannot be registered under trade names, trusts or partnerships.</w:t>
      </w:r>
    </w:p>
    <w:p w14:paraId="0DC4D373" w14:textId="77777777" w:rsidR="0047711D" w:rsidRPr="00BE0F35" w:rsidRDefault="007A7135" w:rsidP="0047711D">
      <w:r>
        <w:lastRenderedPageBreak/>
        <w:t xml:space="preserve">The </w:t>
      </w:r>
      <w:r w:rsidR="0047711D" w:rsidRPr="00BE0F35">
        <w:t xml:space="preserve">Australian Maritime Safety Authority (AMSA) is responsible for overseeing registration of vessels </w:t>
      </w:r>
      <w:r w:rsidR="00F5385D" w:rsidRPr="00BE0F35">
        <w:t>i</w:t>
      </w:r>
      <w:r w:rsidR="0047711D" w:rsidRPr="00BE0F35">
        <w:t xml:space="preserve">n </w:t>
      </w:r>
      <w:r w:rsidR="00F5385D" w:rsidRPr="00BE0F35">
        <w:t xml:space="preserve">the </w:t>
      </w:r>
      <w:r w:rsidR="0047711D" w:rsidRPr="00BE0F35">
        <w:t>AISR and AGSR.</w:t>
      </w:r>
    </w:p>
    <w:p w14:paraId="52F09F8B" w14:textId="77777777" w:rsidR="0097414C" w:rsidRPr="00BE0F35" w:rsidRDefault="0097414C" w:rsidP="00846681">
      <w:r w:rsidRPr="00BE0F35">
        <w:t xml:space="preserve">An Australian owned </w:t>
      </w:r>
      <w:r w:rsidR="00CA6739" w:rsidRPr="00BE0F35">
        <w:t xml:space="preserve">vessel </w:t>
      </w:r>
      <w:r w:rsidRPr="00BE0F35">
        <w:t xml:space="preserve">must, unless exempt under the Act, be registered </w:t>
      </w:r>
      <w:r w:rsidR="00F5385D" w:rsidRPr="00BE0F35">
        <w:t>i</w:t>
      </w:r>
      <w:r w:rsidRPr="00BE0F35">
        <w:t>n the AGSR if it is one of the following:</w:t>
      </w:r>
    </w:p>
    <w:p w14:paraId="74257D3F" w14:textId="77777777" w:rsidR="0097414C" w:rsidRPr="00BE0F35" w:rsidRDefault="00E1691F" w:rsidP="00846681">
      <w:pPr>
        <w:pStyle w:val="ListParagraph"/>
        <w:numPr>
          <w:ilvl w:val="0"/>
          <w:numId w:val="25"/>
        </w:numPr>
      </w:pPr>
      <w:r w:rsidRPr="00BE0F35">
        <w:t xml:space="preserve">a </w:t>
      </w:r>
      <w:r w:rsidR="0097414C" w:rsidRPr="00BE0F35">
        <w:t>commercial vessel, 24 metres or over in length, capable of navigating the high seas; or</w:t>
      </w:r>
    </w:p>
    <w:p w14:paraId="5D42CD5A" w14:textId="77777777" w:rsidR="0097414C" w:rsidRPr="00BE0F35" w:rsidRDefault="00E1691F" w:rsidP="00846681">
      <w:pPr>
        <w:pStyle w:val="ListParagraph"/>
        <w:numPr>
          <w:ilvl w:val="0"/>
          <w:numId w:val="25"/>
        </w:numPr>
      </w:pPr>
      <w:r w:rsidRPr="00BE0F35">
        <w:t xml:space="preserve">any </w:t>
      </w:r>
      <w:r w:rsidR="0097414C" w:rsidRPr="00BE0F35">
        <w:t>vessel travelling overseas.</w:t>
      </w:r>
    </w:p>
    <w:p w14:paraId="66CCCC16" w14:textId="7AE7613A" w:rsidR="0097414C" w:rsidRPr="00BE0F35" w:rsidRDefault="0097414C" w:rsidP="00846681">
      <w:r w:rsidRPr="00BE0F35">
        <w:t xml:space="preserve">The AISR is an optional register for Australian companies that own or operate </w:t>
      </w:r>
      <w:r w:rsidR="005202D3">
        <w:t xml:space="preserve">maritime </w:t>
      </w:r>
      <w:r w:rsidR="00CA6739" w:rsidRPr="00BE0F35">
        <w:t>vessel</w:t>
      </w:r>
      <w:r w:rsidR="005202D3">
        <w:t>s</w:t>
      </w:r>
      <w:r w:rsidRPr="00BE0F35">
        <w:t>. Eligible vessels are international trading ships that are at least 24 metres in tonnage length and</w:t>
      </w:r>
      <w:r w:rsidR="00145A92">
        <w:t>:</w:t>
      </w:r>
    </w:p>
    <w:p w14:paraId="59BE5264" w14:textId="77777777" w:rsidR="0097414C" w:rsidRPr="00BE0F35" w:rsidRDefault="00145A92" w:rsidP="00846681">
      <w:pPr>
        <w:pStyle w:val="ListParagraph"/>
        <w:numPr>
          <w:ilvl w:val="0"/>
          <w:numId w:val="25"/>
        </w:numPr>
      </w:pPr>
      <w:r>
        <w:t xml:space="preserve">are </w:t>
      </w:r>
      <w:r w:rsidR="00CA6739" w:rsidRPr="00BE0F35">
        <w:t xml:space="preserve">wholly </w:t>
      </w:r>
      <w:r w:rsidR="0097414C" w:rsidRPr="00BE0F35">
        <w:t>owned by Australian residents, or by Australian residents and Australian nationals;</w:t>
      </w:r>
    </w:p>
    <w:p w14:paraId="756B9D77" w14:textId="1989ED73" w:rsidR="0097414C" w:rsidRPr="00BE0F35" w:rsidRDefault="00145A92" w:rsidP="00846681">
      <w:pPr>
        <w:pStyle w:val="ListParagraph"/>
        <w:numPr>
          <w:ilvl w:val="0"/>
          <w:numId w:val="25"/>
        </w:numPr>
      </w:pPr>
      <w:r>
        <w:t xml:space="preserve">are </w:t>
      </w:r>
      <w:r w:rsidR="00CA6739" w:rsidRPr="00BE0F35">
        <w:t xml:space="preserve">operated </w:t>
      </w:r>
      <w:r w:rsidR="0097414C" w:rsidRPr="00BE0F35">
        <w:t>solely by Australian residents, Australian nationals, or both</w:t>
      </w:r>
      <w:r>
        <w:t>;</w:t>
      </w:r>
      <w:r w:rsidRPr="00BE0F35">
        <w:t xml:space="preserve"> </w:t>
      </w:r>
      <w:r w:rsidR="0097414C" w:rsidRPr="00BE0F35">
        <w:t>or</w:t>
      </w:r>
    </w:p>
    <w:p w14:paraId="3C84E7F3" w14:textId="77777777" w:rsidR="0097414C" w:rsidRPr="00BE0F35" w:rsidRDefault="00145A92" w:rsidP="00846681">
      <w:pPr>
        <w:pStyle w:val="ListParagraph"/>
        <w:numPr>
          <w:ilvl w:val="0"/>
          <w:numId w:val="25"/>
        </w:numPr>
      </w:pPr>
      <w:r>
        <w:t xml:space="preserve">are </w:t>
      </w:r>
      <w:r w:rsidR="00CA6739" w:rsidRPr="00BE0F35">
        <w:t xml:space="preserve">on </w:t>
      </w:r>
      <w:r w:rsidR="0097414C" w:rsidRPr="00BE0F35">
        <w:t>demise charter to Australian based operators.</w:t>
      </w:r>
    </w:p>
    <w:p w14:paraId="51C329B9" w14:textId="77777777" w:rsidR="0097414C" w:rsidRPr="00BE0F35" w:rsidRDefault="0097414C" w:rsidP="00846681">
      <w:r w:rsidRPr="00BE0F35">
        <w:t xml:space="preserve">Vessels </w:t>
      </w:r>
      <w:r w:rsidR="00CA6739" w:rsidRPr="00BE0F35">
        <w:t xml:space="preserve">in </w:t>
      </w:r>
      <w:r w:rsidRPr="00BE0F35">
        <w:t>the AISR can operate with mixed crews. The AISR permits mixed crewing arrangements with non-Australian nationals, with the exception of at least two senior positions</w:t>
      </w:r>
      <w:r w:rsidR="00846681" w:rsidRPr="00BE0F35">
        <w:t>—</w:t>
      </w:r>
      <w:r w:rsidRPr="00BE0F35">
        <w:t>master and chief engineer</w:t>
      </w:r>
      <w:r w:rsidR="00846681" w:rsidRPr="00BE0F35">
        <w:t>—that</w:t>
      </w:r>
      <w:r w:rsidRPr="00BE0F35">
        <w:t xml:space="preserve"> are to be filled by Australians.</w:t>
      </w:r>
    </w:p>
    <w:p w14:paraId="47246CE2" w14:textId="0772A625" w:rsidR="0047711D" w:rsidRPr="00BE0F35" w:rsidRDefault="0097414C" w:rsidP="00846681">
      <w:r w:rsidRPr="00BE0F35">
        <w:t xml:space="preserve">If a vessel is required to be registered and is not registered </w:t>
      </w:r>
      <w:r w:rsidR="00CA6739" w:rsidRPr="00BE0F35">
        <w:t>i</w:t>
      </w:r>
      <w:r w:rsidRPr="00BE0F35">
        <w:t xml:space="preserve">n the </w:t>
      </w:r>
      <w:r w:rsidR="002455BE">
        <w:t>AISR</w:t>
      </w:r>
      <w:r w:rsidRPr="00BE0F35">
        <w:t xml:space="preserve">, it must be registered </w:t>
      </w:r>
      <w:r w:rsidR="00CA6739" w:rsidRPr="00BE0F35">
        <w:t>i</w:t>
      </w:r>
      <w:r w:rsidRPr="00BE0F35">
        <w:t xml:space="preserve">n the AGSR. </w:t>
      </w:r>
    </w:p>
    <w:p w14:paraId="5B71E94D" w14:textId="1F3DC30A" w:rsidR="00604D15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2.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165320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Object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s</w:t>
      </w:r>
      <w:r w:rsidR="00165320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 xml:space="preserve"> of the Act</w:t>
      </w:r>
    </w:p>
    <w:p w14:paraId="3C100896" w14:textId="6A3813D6" w:rsidR="00BC6AB5" w:rsidRPr="00BE0F35" w:rsidRDefault="00BC6AB5" w:rsidP="00BC6AB5">
      <w:r w:rsidRPr="00BE0F35">
        <w:t xml:space="preserve">Australian legislation often has an </w:t>
      </w:r>
      <w:r w:rsidR="00D278B1">
        <w:t>o</w:t>
      </w:r>
      <w:r w:rsidR="000F7FF1">
        <w:t>bject</w:t>
      </w:r>
      <w:r w:rsidRPr="00BE0F35">
        <w:t>s clause outlining the underlying purposes of the legislation. Objects clauses have been described as a ‘modern day variant on the use of a preamble to indicate the intended purpose of legislation’.</w:t>
      </w:r>
      <w:r w:rsidRPr="00BE0F35">
        <w:rPr>
          <w:rStyle w:val="FootnoteReference"/>
        </w:rPr>
        <w:footnoteReference w:id="2"/>
      </w:r>
      <w:r w:rsidRPr="00BE0F35">
        <w:t xml:space="preserve"> Objects clauses are used to give readers a general understanding of the purpose of legislation, or to set out general aims or principles that help readers to interpret the detailed provisions of legislation.</w:t>
      </w:r>
      <w:r w:rsidRPr="00BE0F35">
        <w:rPr>
          <w:rStyle w:val="FootnoteReference"/>
        </w:rPr>
        <w:footnoteReference w:id="3"/>
      </w:r>
      <w:r w:rsidRPr="00BE0F35">
        <w:t xml:space="preserve"> Often the Objects clause is used to resolve uncertainty and ambiguity in decision making under legislation.</w:t>
      </w:r>
    </w:p>
    <w:p w14:paraId="4E26459F" w14:textId="045DEB63" w:rsidR="00CA572A" w:rsidRPr="00BE0F35" w:rsidRDefault="00CA572A" w:rsidP="00CA572A">
      <w:r w:rsidRPr="00BE0F35">
        <w:t xml:space="preserve">The Shipping Registration Act does not have an </w:t>
      </w:r>
      <w:r w:rsidR="00D278B1">
        <w:t>o</w:t>
      </w:r>
      <w:r w:rsidRPr="00BE0F35">
        <w:t xml:space="preserve">bject </w:t>
      </w:r>
      <w:r w:rsidR="00D278B1">
        <w:t>clause</w:t>
      </w:r>
      <w:r w:rsidR="00762532">
        <w:t xml:space="preserve"> </w:t>
      </w:r>
      <w:r w:rsidR="00BE0F35" w:rsidRPr="00BE0F35">
        <w:t>and t</w:t>
      </w:r>
      <w:r w:rsidRPr="00BE0F35">
        <w:t xml:space="preserve">his makes its overarching purpose unclear.  </w:t>
      </w:r>
    </w:p>
    <w:p w14:paraId="2D49CA84" w14:textId="1B531BED" w:rsidR="00CA572A" w:rsidRPr="00BE0F35" w:rsidRDefault="00CA572A" w:rsidP="00CA572A">
      <w:r w:rsidRPr="00BE0F35">
        <w:t xml:space="preserve">The independent </w:t>
      </w:r>
      <w:r w:rsidR="007A7135">
        <w:t>R</w:t>
      </w:r>
      <w:r w:rsidRPr="00BE0F35">
        <w:t xml:space="preserve">eviewers believe the </w:t>
      </w:r>
      <w:r w:rsidR="007A7135">
        <w:t>Act</w:t>
      </w:r>
      <w:r w:rsidRPr="00BE0F35">
        <w:t xml:space="preserve"> should have an Object</w:t>
      </w:r>
      <w:r w:rsidR="003E59B1">
        <w:t>. The following elements may inform</w:t>
      </w:r>
      <w:r w:rsidR="00B46080">
        <w:t xml:space="preserve"> </w:t>
      </w:r>
      <w:r w:rsidR="007A7135">
        <w:t>the</w:t>
      </w:r>
      <w:r w:rsidR="007A7135" w:rsidRPr="00BE0F35">
        <w:t xml:space="preserve"> </w:t>
      </w:r>
      <w:r w:rsidR="00CA6739" w:rsidRPr="00BE0F35">
        <w:t>development</w:t>
      </w:r>
      <w:r w:rsidR="007A7135">
        <w:t xml:space="preserve"> of the Object</w:t>
      </w:r>
      <w:r w:rsidR="00CA6739" w:rsidRPr="00BE0F35">
        <w:t>:</w:t>
      </w:r>
    </w:p>
    <w:p w14:paraId="02EAF70F" w14:textId="77777777" w:rsidR="00505F5F" w:rsidRPr="00BE0F35" w:rsidRDefault="00505F5F" w:rsidP="00505F5F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BE0F35">
        <w:rPr>
          <w:rFonts w:eastAsia="Times New Roman"/>
        </w:rPr>
        <w:t>To provide owners of Australian vessels with an internationally recognised record of ownership and grant of Australian nationality to their vessels.</w:t>
      </w:r>
    </w:p>
    <w:p w14:paraId="0B14AA68" w14:textId="77777777" w:rsidR="00505F5F" w:rsidRPr="00BE0F35" w:rsidRDefault="00505F5F" w:rsidP="00505F5F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BE0F35">
        <w:rPr>
          <w:rFonts w:eastAsia="Times New Roman"/>
        </w:rPr>
        <w:t>To provide an accurate record of all Australian registered vessels.</w:t>
      </w:r>
    </w:p>
    <w:p w14:paraId="32DA14DA" w14:textId="77777777" w:rsidR="00CA6739" w:rsidRPr="00BE0F35" w:rsidRDefault="00505F5F" w:rsidP="00E1301F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BE0F35">
        <w:rPr>
          <w:rFonts w:eastAsia="Times New Roman"/>
        </w:rPr>
        <w:t xml:space="preserve">To facilitate participation in </w:t>
      </w:r>
      <w:r w:rsidR="0016695D" w:rsidRPr="00BE0F35">
        <w:rPr>
          <w:rFonts w:eastAsia="Times New Roman"/>
        </w:rPr>
        <w:t xml:space="preserve">domestic and </w:t>
      </w:r>
      <w:r w:rsidRPr="00BE0F35">
        <w:rPr>
          <w:rFonts w:eastAsia="Times New Roman"/>
        </w:rPr>
        <w:t>international trade for Australian vessel owners and operators.</w:t>
      </w:r>
    </w:p>
    <w:p w14:paraId="735EBB16" w14:textId="77777777" w:rsidR="00CA6739" w:rsidRPr="00BE0F35" w:rsidRDefault="003C3473" w:rsidP="00CA6739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rFonts w:eastAsia="Times New Roman"/>
        </w:rPr>
      </w:pPr>
      <w:r w:rsidRPr="00BE0F35">
        <w:rPr>
          <w:rFonts w:eastAsia="Times New Roman"/>
        </w:rPr>
        <w:t>To be competitive with other ship registries and encourage growth of the Australian commercial fleet.</w:t>
      </w:r>
    </w:p>
    <w:p w14:paraId="6371A923" w14:textId="0C2F0665" w:rsidR="00067FA9" w:rsidRDefault="00067FA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0315085E" w14:textId="77777777" w:rsidR="003E59B1" w:rsidRPr="00BE0F35" w:rsidRDefault="003E59B1" w:rsidP="00CA6739">
      <w:pPr>
        <w:spacing w:after="0" w:line="240" w:lineRule="auto"/>
        <w:rPr>
          <w:rFonts w:eastAsia="Times New Roman"/>
        </w:rPr>
      </w:pPr>
    </w:p>
    <w:p w14:paraId="251560B1" w14:textId="77777777" w:rsidR="00067FA9" w:rsidRPr="00782466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782466">
        <w:rPr>
          <w:b/>
        </w:rPr>
        <w:t xml:space="preserve">Consultation questions </w:t>
      </w:r>
    </w:p>
    <w:p w14:paraId="1A727E15" w14:textId="1D6E21DA" w:rsidR="00504073" w:rsidRPr="00BE0F35" w:rsidRDefault="003E59B1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F</w:t>
      </w:r>
      <w:r w:rsidR="00504073" w:rsidRPr="00BE0F35">
        <w:t>eedback</w:t>
      </w:r>
      <w:r w:rsidR="008264D7">
        <w:t xml:space="preserve"> is</w:t>
      </w:r>
      <w:r w:rsidR="00504073" w:rsidRPr="00BE0F35">
        <w:t xml:space="preserve"> </w:t>
      </w:r>
      <w:r>
        <w:t xml:space="preserve">invited </w:t>
      </w:r>
      <w:r w:rsidR="00504073" w:rsidRPr="00BE0F35">
        <w:t xml:space="preserve">on whether you </w:t>
      </w:r>
      <w:r w:rsidR="00606FDA" w:rsidRPr="00BE0F35">
        <w:t>agree</w:t>
      </w:r>
      <w:r w:rsidR="00504073" w:rsidRPr="00BE0F35">
        <w:t xml:space="preserve"> the </w:t>
      </w:r>
      <w:r w:rsidR="00762532">
        <w:t xml:space="preserve">elements of an </w:t>
      </w:r>
      <w:r w:rsidR="00504073" w:rsidRPr="00BE0F35">
        <w:t xml:space="preserve">object stated </w:t>
      </w:r>
      <w:r w:rsidR="008264D7">
        <w:t xml:space="preserve">above </w:t>
      </w:r>
      <w:r w:rsidR="00606FDA" w:rsidRPr="00BE0F35">
        <w:t>are aligned with your expectations</w:t>
      </w:r>
      <w:r w:rsidR="0016695D" w:rsidRPr="00BE0F35">
        <w:t>.</w:t>
      </w:r>
      <w:r w:rsidR="00606FDA" w:rsidRPr="00BE0F35">
        <w:t xml:space="preserve"> </w:t>
      </w:r>
    </w:p>
    <w:p w14:paraId="1749DC9A" w14:textId="70DE2DFB" w:rsidR="00A11034" w:rsidRDefault="00606FDA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 xml:space="preserve">If you are not in agreement, state </w:t>
      </w:r>
      <w:r w:rsidR="00BC6AB5" w:rsidRPr="00BE0F35">
        <w:t>what an alternative might be</w:t>
      </w:r>
      <w:r w:rsidRPr="00BE0F35">
        <w:t>.</w:t>
      </w:r>
    </w:p>
    <w:p w14:paraId="07A0D0CC" w14:textId="35FEA22A" w:rsidR="00E1301F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3.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165320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Modernising the vessel registration syste</w:t>
      </w:r>
      <w:r w:rsidR="00F902A1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m</w:t>
      </w:r>
    </w:p>
    <w:p w14:paraId="3F76D536" w14:textId="07E7E0D2" w:rsidR="00064B07" w:rsidRPr="000125FF" w:rsidRDefault="003714E5" w:rsidP="00642805">
      <w:r w:rsidRPr="000125FF">
        <w:t>Australia</w:t>
      </w:r>
      <w:r w:rsidR="00B457A4" w:rsidRPr="000125FF">
        <w:t>’s</w:t>
      </w:r>
      <w:r w:rsidRPr="000125FF">
        <w:t xml:space="preserve"> vessel registration system has not kept pace with advancements in shipping and business practices</w:t>
      </w:r>
      <w:r w:rsidR="00F31E9E" w:rsidRPr="000125FF">
        <w:t>,</w:t>
      </w:r>
      <w:r w:rsidRPr="000125FF">
        <w:t xml:space="preserve"> and the global shift to digitalisation. The </w:t>
      </w:r>
      <w:r w:rsidR="00180406">
        <w:t>Act</w:t>
      </w:r>
      <w:r w:rsidR="00180406" w:rsidRPr="000125FF">
        <w:t xml:space="preserve"> </w:t>
      </w:r>
      <w:r w:rsidRPr="000125FF">
        <w:t xml:space="preserve">is dated in its drafting, unclear on its objectives and overly prescriptive. </w:t>
      </w:r>
      <w:r w:rsidR="00B00925" w:rsidRPr="000125FF">
        <w:t>The result is a registration process that is overly complex and difficult to navigate</w:t>
      </w:r>
      <w:r w:rsidR="00F902A1" w:rsidRPr="000125FF">
        <w:t>.</w:t>
      </w:r>
      <w:r w:rsidR="00CD40D9" w:rsidRPr="000125FF">
        <w:t xml:space="preserve"> </w:t>
      </w:r>
    </w:p>
    <w:p w14:paraId="4CDE4DCF" w14:textId="77777777" w:rsidR="00F902A1" w:rsidRPr="00BE0F35" w:rsidRDefault="00F902A1" w:rsidP="00762532">
      <w:pPr>
        <w:pStyle w:val="TOC5"/>
        <w:numPr>
          <w:ilvl w:val="0"/>
          <w:numId w:val="0"/>
        </w:numPr>
      </w:pPr>
      <w:r w:rsidRPr="00BE0F35">
        <w:t xml:space="preserve">Some </w:t>
      </w:r>
      <w:r w:rsidR="00922794" w:rsidRPr="00BE0F35">
        <w:t xml:space="preserve">of the </w:t>
      </w:r>
      <w:r w:rsidRPr="00BE0F35">
        <w:t>specific problems that have been identified include:</w:t>
      </w:r>
    </w:p>
    <w:p w14:paraId="075BEC33" w14:textId="0D181A9D" w:rsidR="00F902A1" w:rsidRPr="00BE0F35" w:rsidRDefault="00E1691F" w:rsidP="000125FF">
      <w:pPr>
        <w:pStyle w:val="TOC5"/>
        <w:numPr>
          <w:ilvl w:val="1"/>
          <w:numId w:val="32"/>
        </w:numPr>
      </w:pPr>
      <w:r w:rsidRPr="00BE0F35">
        <w:t>t</w:t>
      </w:r>
      <w:r w:rsidR="00F902A1" w:rsidRPr="00BE0F35">
        <w:t xml:space="preserve">he </w:t>
      </w:r>
      <w:r w:rsidR="000125FF">
        <w:t>Act</w:t>
      </w:r>
      <w:r w:rsidR="00180406" w:rsidRPr="00BE0F35">
        <w:t xml:space="preserve"> </w:t>
      </w:r>
      <w:r w:rsidR="00F902A1" w:rsidRPr="00BE0F35">
        <w:t xml:space="preserve">also does not allow for temporary </w:t>
      </w:r>
      <w:r w:rsidR="00BC6AB5" w:rsidRPr="00BE0F35">
        <w:t xml:space="preserve">or provisional </w:t>
      </w:r>
      <w:r w:rsidR="00F902A1" w:rsidRPr="00BE0F35">
        <w:t>registration in a range of circumstances, including vessels under construction and vessels that are not undertaking a voyage to a foreign port</w:t>
      </w:r>
      <w:r w:rsidRPr="00BE0F35">
        <w:t>; and</w:t>
      </w:r>
      <w:r w:rsidR="00F902A1" w:rsidRPr="00BE0F35">
        <w:t xml:space="preserve">  </w:t>
      </w:r>
    </w:p>
    <w:p w14:paraId="6C810683" w14:textId="70C1A8D6" w:rsidR="00F902A1" w:rsidRPr="00BE0F35" w:rsidRDefault="003E59B1" w:rsidP="000125FF">
      <w:pPr>
        <w:pStyle w:val="TOC5"/>
        <w:numPr>
          <w:ilvl w:val="1"/>
          <w:numId w:val="32"/>
        </w:numPr>
      </w:pPr>
      <w:r>
        <w:t xml:space="preserve">the difficulty of </w:t>
      </w:r>
      <w:r w:rsidR="00E1691F" w:rsidRPr="00BE0F35">
        <w:t xml:space="preserve">ensuring </w:t>
      </w:r>
      <w:r w:rsidR="00F902A1" w:rsidRPr="00BE0F35">
        <w:t xml:space="preserve">the information in </w:t>
      </w:r>
      <w:r w:rsidR="00CA6739" w:rsidRPr="00BE0F35">
        <w:t xml:space="preserve">the </w:t>
      </w:r>
      <w:r w:rsidR="00F902A1" w:rsidRPr="00BE0F35">
        <w:t xml:space="preserve">register is accurate </w:t>
      </w:r>
      <w:r>
        <w:t>and up-to-date</w:t>
      </w:r>
      <w:r w:rsidR="00F902A1" w:rsidRPr="00BE0F35">
        <w:t>, with rigid requirements for closure of registrations</w:t>
      </w:r>
      <w:r w:rsidR="00CA6739" w:rsidRPr="00BE0F35">
        <w:t xml:space="preserve">; </w:t>
      </w:r>
      <w:r w:rsidR="00F902A1" w:rsidRPr="00BE0F35">
        <w:t>not having an expiry on registrations</w:t>
      </w:r>
      <w:r w:rsidR="00CA6739" w:rsidRPr="00BE0F35">
        <w:t xml:space="preserve">; </w:t>
      </w:r>
      <w:r w:rsidR="00F902A1" w:rsidRPr="00BE0F35">
        <w:t xml:space="preserve">and a compliance toolbox that has </w:t>
      </w:r>
      <w:r w:rsidR="0097414C" w:rsidRPr="00BE0F35">
        <w:t>limited tools, can be overly burdensome, is inefficient, and has tools that are often ineffective</w:t>
      </w:r>
      <w:r w:rsidR="00F902A1" w:rsidRPr="00BE0F35">
        <w:t>.</w:t>
      </w:r>
    </w:p>
    <w:p w14:paraId="2CE3D351" w14:textId="50771599" w:rsidR="001F7BE0" w:rsidRPr="00BE0F35" w:rsidRDefault="00554BF3" w:rsidP="00642805">
      <w:r w:rsidRPr="00BE0F35">
        <w:t xml:space="preserve">The </w:t>
      </w:r>
      <w:r w:rsidR="00A11034">
        <w:t>R</w:t>
      </w:r>
      <w:r w:rsidRPr="00BE0F35">
        <w:t>eviewers believe that s</w:t>
      </w:r>
      <w:r w:rsidR="003714E5" w:rsidRPr="00BE0F35">
        <w:t>ignificant improvements could be achieved</w:t>
      </w:r>
      <w:r w:rsidR="0009209A" w:rsidRPr="00BE0F35">
        <w:t xml:space="preserve"> through </w:t>
      </w:r>
      <w:r w:rsidR="004D54DC" w:rsidRPr="00BE0F35">
        <w:t xml:space="preserve">changes </w:t>
      </w:r>
      <w:r w:rsidRPr="00BE0F35">
        <w:t>to the</w:t>
      </w:r>
      <w:r w:rsidR="0009209A" w:rsidRPr="00BE0F35">
        <w:t xml:space="preserve"> system of registration</w:t>
      </w:r>
      <w:r w:rsidRPr="00BE0F35">
        <w:t xml:space="preserve">, and are </w:t>
      </w:r>
      <w:r w:rsidR="004D54DC" w:rsidRPr="00BE0F35">
        <w:t>considering</w:t>
      </w:r>
      <w:r w:rsidRPr="00BE0F35">
        <w:t xml:space="preserve"> the following</w:t>
      </w:r>
      <w:r w:rsidR="00E12885" w:rsidRPr="00BE0F35">
        <w:t>:</w:t>
      </w:r>
    </w:p>
    <w:p w14:paraId="3B2E8A7D" w14:textId="77777777" w:rsidR="00E12885" w:rsidRPr="00BE0F35" w:rsidRDefault="00ED3C57" w:rsidP="00642805">
      <w:pPr>
        <w:pStyle w:val="ListParagraph"/>
        <w:numPr>
          <w:ilvl w:val="0"/>
          <w:numId w:val="3"/>
        </w:numPr>
      </w:pPr>
      <w:r w:rsidRPr="00BE0F35">
        <w:t>A</w:t>
      </w:r>
      <w:r w:rsidR="00E12885" w:rsidRPr="00BE0F35">
        <w:t xml:space="preserve"> single vessel register </w:t>
      </w:r>
      <w:r w:rsidR="00606FDA" w:rsidRPr="00BE0F35">
        <w:t xml:space="preserve">that caters to the complexity of the maritime industry by including </w:t>
      </w:r>
      <w:r w:rsidR="00E12885" w:rsidRPr="00BE0F35">
        <w:t xml:space="preserve">different requirements </w:t>
      </w:r>
      <w:r w:rsidR="00606FDA" w:rsidRPr="00BE0F35">
        <w:t>for</w:t>
      </w:r>
      <w:r w:rsidR="00E12885" w:rsidRPr="00BE0F35">
        <w:t xml:space="preserve"> different types of vessels</w:t>
      </w:r>
      <w:r w:rsidRPr="00BE0F35">
        <w:t xml:space="preserve"> or </w:t>
      </w:r>
      <w:r w:rsidR="00606FDA" w:rsidRPr="00BE0F35">
        <w:t>vessel uses</w:t>
      </w:r>
      <w:r w:rsidR="00E1691F" w:rsidRPr="00BE0F35">
        <w:t>,</w:t>
      </w:r>
      <w:r w:rsidR="00E12885" w:rsidRPr="00BE0F35">
        <w:t xml:space="preserve"> for example, recreational, commercial, demise charter and internationally trading vessels</w:t>
      </w:r>
      <w:r w:rsidR="00E1691F" w:rsidRPr="00BE0F35">
        <w:t>;</w:t>
      </w:r>
      <w:r w:rsidR="00606FDA" w:rsidRPr="00BE0F35">
        <w:t xml:space="preserve"> and include marking requirements that suit </w:t>
      </w:r>
      <w:r w:rsidR="00B00925" w:rsidRPr="00BE0F35">
        <w:t>the size and type of vessel being registered</w:t>
      </w:r>
      <w:r w:rsidR="00566E83" w:rsidRPr="00BE0F35">
        <w:t>.</w:t>
      </w:r>
      <w:r w:rsidR="00E12885" w:rsidRPr="00BE0F35">
        <w:t xml:space="preserve"> </w:t>
      </w:r>
    </w:p>
    <w:p w14:paraId="70D76FE0" w14:textId="77777777" w:rsidR="00421ECA" w:rsidRPr="00BE0F35" w:rsidRDefault="003714E5" w:rsidP="00421ECA">
      <w:pPr>
        <w:pStyle w:val="ListParagraph"/>
        <w:numPr>
          <w:ilvl w:val="0"/>
          <w:numId w:val="3"/>
        </w:numPr>
      </w:pPr>
      <w:r w:rsidRPr="00BE0F35">
        <w:t xml:space="preserve">Providing </w:t>
      </w:r>
      <w:r w:rsidR="00064B07" w:rsidRPr="00BE0F35">
        <w:t xml:space="preserve">a mechanism </w:t>
      </w:r>
      <w:r w:rsidRPr="00BE0F35">
        <w:t>for the registration of</w:t>
      </w:r>
      <w:r w:rsidR="00421ECA" w:rsidRPr="00BE0F35">
        <w:t xml:space="preserve"> </w:t>
      </w:r>
      <w:r w:rsidR="006F4207" w:rsidRPr="00BE0F35">
        <w:t xml:space="preserve">vessels </w:t>
      </w:r>
      <w:r w:rsidR="00421ECA" w:rsidRPr="00BE0F35">
        <w:t>under construction.</w:t>
      </w:r>
    </w:p>
    <w:p w14:paraId="13EBCB2E" w14:textId="77777777" w:rsidR="00392FA8" w:rsidRPr="00BE0F35" w:rsidRDefault="00392FA8" w:rsidP="00392FA8">
      <w:pPr>
        <w:pStyle w:val="ListParagraph"/>
        <w:numPr>
          <w:ilvl w:val="0"/>
          <w:numId w:val="3"/>
        </w:numPr>
      </w:pPr>
      <w:r w:rsidRPr="00BE0F35">
        <w:t>Expansion of the circumstances where a temporary registration can be issued to provide more flexibility to account for future changes in the maritime landscape.</w:t>
      </w:r>
    </w:p>
    <w:p w14:paraId="57DE5F47" w14:textId="77777777" w:rsidR="00421ECA" w:rsidRPr="00BE0F35" w:rsidRDefault="007A7862" w:rsidP="00421ECA">
      <w:pPr>
        <w:pStyle w:val="ListParagraph"/>
        <w:numPr>
          <w:ilvl w:val="0"/>
          <w:numId w:val="3"/>
        </w:numPr>
      </w:pPr>
      <w:r w:rsidRPr="00BE0F35">
        <w:t>Flexibility in the registration process allowing it to remain contemporary, for example, the introduction of a digital registration process in the future.</w:t>
      </w:r>
    </w:p>
    <w:p w14:paraId="08FA1025" w14:textId="77777777" w:rsidR="00421ECA" w:rsidRPr="00BE0F35" w:rsidRDefault="00421ECA" w:rsidP="00421ECA">
      <w:pPr>
        <w:pStyle w:val="ListParagraph"/>
        <w:numPr>
          <w:ilvl w:val="0"/>
          <w:numId w:val="3"/>
        </w:numPr>
      </w:pPr>
      <w:r w:rsidRPr="00BE0F35">
        <w:t xml:space="preserve">Simplification of the process for closure of a registration, </w:t>
      </w:r>
      <w:r w:rsidR="00554BF3" w:rsidRPr="00BE0F35">
        <w:t xml:space="preserve">for example, </w:t>
      </w:r>
      <w:r w:rsidRPr="00BE0F35">
        <w:t xml:space="preserve">where an owner no longer wants the vessel </w:t>
      </w:r>
      <w:r w:rsidR="00ED3C57" w:rsidRPr="00BE0F35">
        <w:t>i</w:t>
      </w:r>
      <w:r w:rsidRPr="00BE0F35">
        <w:t xml:space="preserve">n the register or where the vessel is no longer entitled </w:t>
      </w:r>
      <w:r w:rsidR="00642805" w:rsidRPr="00BE0F35">
        <w:t>to be Australian registered.</w:t>
      </w:r>
    </w:p>
    <w:p w14:paraId="7C4A1DC0" w14:textId="77777777" w:rsidR="00872CE0" w:rsidRPr="00BE0F35" w:rsidRDefault="00DD7923" w:rsidP="0009209A">
      <w:pPr>
        <w:pStyle w:val="ListParagraph"/>
        <w:numPr>
          <w:ilvl w:val="0"/>
          <w:numId w:val="3"/>
        </w:numPr>
      </w:pPr>
      <w:r w:rsidRPr="00BE0F35">
        <w:t>That the r</w:t>
      </w:r>
      <w:r w:rsidR="00872CE0" w:rsidRPr="00BE0F35">
        <w:t>equirement</w:t>
      </w:r>
      <w:r w:rsidRPr="00BE0F35">
        <w:t xml:space="preserve"> to provide </w:t>
      </w:r>
      <w:r w:rsidR="00B00925" w:rsidRPr="00BE0F35">
        <w:t xml:space="preserve">supporting documentation such as </w:t>
      </w:r>
      <w:r w:rsidR="00872CE0" w:rsidRPr="00BE0F35">
        <w:t xml:space="preserve">builder’s certificates, alteration certificates and statutory declarations be replaced </w:t>
      </w:r>
      <w:r w:rsidR="00421ECA" w:rsidRPr="00BE0F35">
        <w:t xml:space="preserve">with a </w:t>
      </w:r>
      <w:r w:rsidR="00E1691F" w:rsidRPr="00BE0F35">
        <w:t xml:space="preserve">single </w:t>
      </w:r>
      <w:r w:rsidR="00421ECA" w:rsidRPr="00BE0F35">
        <w:t>declaration.</w:t>
      </w:r>
    </w:p>
    <w:p w14:paraId="42644570" w14:textId="296EA8F0" w:rsidR="00421ECA" w:rsidRPr="00BE0F35" w:rsidRDefault="00DD7923" w:rsidP="0009209A">
      <w:pPr>
        <w:pStyle w:val="ListParagraph"/>
        <w:numPr>
          <w:ilvl w:val="0"/>
          <w:numId w:val="3"/>
        </w:numPr>
      </w:pPr>
      <w:r w:rsidRPr="00BE0F35">
        <w:t>That the d</w:t>
      </w:r>
      <w:r w:rsidR="00421ECA" w:rsidRPr="00BE0F35">
        <w:t xml:space="preserve">ocuments that can be accepted as proof of ownership are expanded beyond the requirement for a Bill of Sale, as </w:t>
      </w:r>
      <w:r w:rsidR="00B00925" w:rsidRPr="00BE0F35">
        <w:t xml:space="preserve">currently </w:t>
      </w:r>
      <w:r w:rsidR="00421ECA" w:rsidRPr="00BE0F35">
        <w:t xml:space="preserve">defined under the </w:t>
      </w:r>
      <w:r w:rsidR="00180406">
        <w:t>Act</w:t>
      </w:r>
      <w:r w:rsidR="00421ECA" w:rsidRPr="00BE0F35">
        <w:t>.</w:t>
      </w:r>
    </w:p>
    <w:p w14:paraId="1BC8A8BD" w14:textId="0EA7A5DA" w:rsidR="002255F4" w:rsidRDefault="00DB4C7B" w:rsidP="0009209A">
      <w:pPr>
        <w:pStyle w:val="ListParagraph"/>
        <w:numPr>
          <w:ilvl w:val="0"/>
          <w:numId w:val="3"/>
        </w:numPr>
      </w:pPr>
      <w:r w:rsidRPr="00BE0F35">
        <w:t>Retaining the requirement for home port</w:t>
      </w:r>
      <w:r w:rsidR="00B00925" w:rsidRPr="00BE0F35">
        <w:t>s</w:t>
      </w:r>
      <w:r w:rsidRPr="00BE0F35">
        <w:t xml:space="preserve"> but </w:t>
      </w:r>
      <w:r w:rsidR="00B00925" w:rsidRPr="00BE0F35">
        <w:t>removing the requirement for Gazettal of a home port</w:t>
      </w:r>
      <w:r w:rsidR="00554BF3" w:rsidRPr="00BE0F35">
        <w:t xml:space="preserve"> and</w:t>
      </w:r>
      <w:r w:rsidR="00B00925" w:rsidRPr="00BE0F35">
        <w:t xml:space="preserve"> instead </w:t>
      </w:r>
      <w:r w:rsidR="00554BF3" w:rsidRPr="00BE0F35">
        <w:t>allowing selection from an existing</w:t>
      </w:r>
      <w:r w:rsidR="00D05DE3">
        <w:t xml:space="preserve"> (but </w:t>
      </w:r>
      <w:r w:rsidR="003E59B1">
        <w:t>wider and more flexible</w:t>
      </w:r>
      <w:r w:rsidR="00D05DE3">
        <w:t>)</w:t>
      </w:r>
      <w:r w:rsidR="003E59B1">
        <w:t xml:space="preserve"> </w:t>
      </w:r>
      <w:r w:rsidRPr="00BE0F35">
        <w:t xml:space="preserve">list of </w:t>
      </w:r>
      <w:r w:rsidR="00D636B6" w:rsidRPr="00BE0F35">
        <w:t>recognised place names</w:t>
      </w:r>
      <w:r w:rsidR="00E1691F" w:rsidRPr="00BE0F35">
        <w:t>.</w:t>
      </w:r>
    </w:p>
    <w:p w14:paraId="60119C9D" w14:textId="5092591D" w:rsidR="008264D7" w:rsidRPr="00BE0F35" w:rsidRDefault="008264D7">
      <w:pPr>
        <w:pStyle w:val="ListParagraph"/>
        <w:numPr>
          <w:ilvl w:val="0"/>
          <w:numId w:val="3"/>
        </w:numPr>
      </w:pPr>
      <w:r w:rsidRPr="00BE0F35">
        <w:t xml:space="preserve">A registration term to help keep the register current, with a simple </w:t>
      </w:r>
      <w:r w:rsidR="00D05DE3">
        <w:t>but</w:t>
      </w:r>
      <w:r w:rsidR="00D05DE3" w:rsidRPr="00BE0F35">
        <w:t xml:space="preserve"> </w:t>
      </w:r>
      <w:r w:rsidRPr="00BE0F35">
        <w:t>low-cost renewal process that provides owners with a prompt to confirm or update their information.</w:t>
      </w:r>
      <w:r>
        <w:t xml:space="preserve">  </w:t>
      </w:r>
    </w:p>
    <w:p w14:paraId="1EB2181E" w14:textId="00EA281A" w:rsidR="00392FA8" w:rsidRPr="00BE0F35" w:rsidRDefault="00392FA8" w:rsidP="00392FA8">
      <w:pPr>
        <w:pStyle w:val="ListParagraph"/>
        <w:numPr>
          <w:ilvl w:val="0"/>
          <w:numId w:val="3"/>
        </w:numPr>
        <w:suppressAutoHyphens/>
        <w:spacing w:before="160" w:after="80" w:line="240" w:lineRule="auto"/>
      </w:pPr>
      <w:r w:rsidRPr="00BE0F35">
        <w:rPr>
          <w:rStyle w:val="normaltextrun"/>
          <w:rFonts w:ascii="Calibri" w:hAnsi="Calibri" w:cs="Calibri"/>
        </w:rPr>
        <w:lastRenderedPageBreak/>
        <w:t xml:space="preserve">Adding a broader suite of compliance tools </w:t>
      </w:r>
      <w:r w:rsidR="003E59B1">
        <w:rPr>
          <w:rStyle w:val="normaltextrun"/>
          <w:rFonts w:ascii="Calibri" w:hAnsi="Calibri" w:cs="Calibri"/>
        </w:rPr>
        <w:t>(</w:t>
      </w:r>
      <w:r w:rsidR="00AC4459">
        <w:rPr>
          <w:rStyle w:val="normaltextrun"/>
          <w:rFonts w:ascii="Calibri" w:hAnsi="Calibri" w:cs="Calibri"/>
        </w:rPr>
        <w:t>such as</w:t>
      </w:r>
      <w:r w:rsidR="003E59B1">
        <w:rPr>
          <w:rStyle w:val="normaltextrun"/>
          <w:rFonts w:ascii="Calibri" w:hAnsi="Calibri" w:cs="Calibri"/>
        </w:rPr>
        <w:t xml:space="preserve">, </w:t>
      </w:r>
      <w:r w:rsidR="00AC4459">
        <w:rPr>
          <w:rStyle w:val="normaltextrun"/>
          <w:rFonts w:ascii="Calibri" w:hAnsi="Calibri" w:cs="Calibri"/>
        </w:rPr>
        <w:t xml:space="preserve">including </w:t>
      </w:r>
      <w:r w:rsidR="003E59B1">
        <w:rPr>
          <w:rStyle w:val="normaltextrun"/>
          <w:rFonts w:ascii="Calibri" w:hAnsi="Calibri" w:cs="Calibri"/>
        </w:rPr>
        <w:t xml:space="preserve">administrative action rather than </w:t>
      </w:r>
      <w:r w:rsidR="00AC4459">
        <w:rPr>
          <w:rStyle w:val="normaltextrun"/>
          <w:rFonts w:ascii="Calibri" w:hAnsi="Calibri" w:cs="Calibri"/>
        </w:rPr>
        <w:t xml:space="preserve">solely </w:t>
      </w:r>
      <w:r w:rsidR="003E59B1">
        <w:rPr>
          <w:rStyle w:val="normaltextrun"/>
          <w:rFonts w:ascii="Calibri" w:hAnsi="Calibri" w:cs="Calibri"/>
        </w:rPr>
        <w:t xml:space="preserve">criminal </w:t>
      </w:r>
      <w:r w:rsidR="008264D7">
        <w:rPr>
          <w:rStyle w:val="normaltextrun"/>
          <w:rFonts w:ascii="Calibri" w:hAnsi="Calibri" w:cs="Calibri"/>
        </w:rPr>
        <w:t>sanctions</w:t>
      </w:r>
      <w:r w:rsidR="003E59B1">
        <w:rPr>
          <w:rStyle w:val="normaltextrun"/>
          <w:rFonts w:ascii="Calibri" w:hAnsi="Calibri" w:cs="Calibri"/>
        </w:rPr>
        <w:t xml:space="preserve">) </w:t>
      </w:r>
      <w:r w:rsidRPr="00BE0F35">
        <w:rPr>
          <w:rStyle w:val="normaltextrun"/>
          <w:rFonts w:ascii="Calibri" w:hAnsi="Calibri" w:cs="Calibri"/>
        </w:rPr>
        <w:t>to more effectively and appropriately ensure vessel registration requirements are met.</w:t>
      </w:r>
    </w:p>
    <w:p w14:paraId="49AFAD4B" w14:textId="77777777" w:rsidR="00067FA9" w:rsidRPr="00782466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782466">
        <w:rPr>
          <w:b/>
        </w:rPr>
        <w:t xml:space="preserve">Consultation questions </w:t>
      </w:r>
    </w:p>
    <w:p w14:paraId="7B841458" w14:textId="3F30AED3" w:rsidR="00D02213" w:rsidRPr="00BE0F35" w:rsidRDefault="00D13737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I</w:t>
      </w:r>
      <w:r w:rsidR="00642805" w:rsidRPr="00BE0F35">
        <w:t xml:space="preserve">ndicate your agreement </w:t>
      </w:r>
      <w:r w:rsidR="00AC4459">
        <w:t xml:space="preserve">or otherwise </w:t>
      </w:r>
      <w:r w:rsidR="00642805" w:rsidRPr="00BE0F35">
        <w:t xml:space="preserve">to the </w:t>
      </w:r>
      <w:r w:rsidR="00ED3C57" w:rsidRPr="00BE0F35">
        <w:t xml:space="preserve">proposed </w:t>
      </w:r>
      <w:r w:rsidR="00642805" w:rsidRPr="00BE0F35">
        <w:t xml:space="preserve">changes listed above. </w:t>
      </w:r>
    </w:p>
    <w:p w14:paraId="150D7A65" w14:textId="77777777" w:rsidR="00D02213" w:rsidRPr="00BE0F35" w:rsidRDefault="00642805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If you are not in agreement, please state the reasons why.</w:t>
      </w:r>
    </w:p>
    <w:p w14:paraId="411D2313" w14:textId="77777777" w:rsidR="00F91CB4" w:rsidRPr="00BE0F35" w:rsidRDefault="00F91CB4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 xml:space="preserve">Provide any suggestions as to alternative ways or enhancements to the proposed changes that will improve the operation of </w:t>
      </w:r>
      <w:r w:rsidR="00BC6AB5" w:rsidRPr="00BE0F35">
        <w:t xml:space="preserve">vessel </w:t>
      </w:r>
      <w:r w:rsidRPr="00BE0F35">
        <w:t>registration.</w:t>
      </w:r>
    </w:p>
    <w:p w14:paraId="15D75417" w14:textId="77777777" w:rsidR="00642805" w:rsidRPr="00BE0F35" w:rsidRDefault="00642805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Do you have any additional comments</w:t>
      </w:r>
      <w:r w:rsidR="00064B07" w:rsidRPr="00BE0F35">
        <w:t xml:space="preserve"> or suggestions for </w:t>
      </w:r>
      <w:r w:rsidR="00603555" w:rsidRPr="00BE0F35">
        <w:t>other improvements to the registration system</w:t>
      </w:r>
      <w:r w:rsidRPr="00BE0F35">
        <w:t>?</w:t>
      </w:r>
    </w:p>
    <w:p w14:paraId="00C1B513" w14:textId="70788D0D" w:rsidR="006F5C1D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4.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6F5C1D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How can we make Australian registration more attractive?</w:t>
      </w:r>
    </w:p>
    <w:p w14:paraId="647231B6" w14:textId="26C8F19C" w:rsidR="00D02213" w:rsidRPr="000125FF" w:rsidRDefault="00D02213" w:rsidP="00D02213">
      <w:pPr>
        <w:rPr>
          <w:color w:val="000000" w:themeColor="text1"/>
        </w:rPr>
      </w:pPr>
      <w:r w:rsidRPr="000125FF">
        <w:t xml:space="preserve">Over the past 20 years, </w:t>
      </w:r>
      <w:r w:rsidRPr="000125FF">
        <w:rPr>
          <w:color w:val="000000" w:themeColor="text1"/>
        </w:rPr>
        <w:t xml:space="preserve">Australia has seen a steady decline in the number of commercial vessels registered </w:t>
      </w:r>
      <w:r w:rsidR="00E50EF5" w:rsidRPr="000125FF">
        <w:rPr>
          <w:color w:val="000000" w:themeColor="text1"/>
        </w:rPr>
        <w:t>i</w:t>
      </w:r>
      <w:r w:rsidRPr="000125FF">
        <w:rPr>
          <w:color w:val="000000" w:themeColor="text1"/>
        </w:rPr>
        <w:t xml:space="preserve">n the Australian </w:t>
      </w:r>
      <w:r w:rsidRPr="000125FF">
        <w:t>s</w:t>
      </w:r>
      <w:r w:rsidRPr="000125FF">
        <w:rPr>
          <w:color w:val="000000" w:themeColor="text1"/>
        </w:rPr>
        <w:t xml:space="preserve">hipping </w:t>
      </w:r>
      <w:r w:rsidRPr="000125FF">
        <w:t>r</w:t>
      </w:r>
      <w:r w:rsidRPr="000125FF">
        <w:rPr>
          <w:color w:val="000000" w:themeColor="text1"/>
        </w:rPr>
        <w:t>egister</w:t>
      </w:r>
      <w:r w:rsidRPr="000125FF">
        <w:t>s</w:t>
      </w:r>
      <w:r w:rsidRPr="000125FF">
        <w:rPr>
          <w:color w:val="000000" w:themeColor="text1"/>
        </w:rPr>
        <w:t xml:space="preserve">. </w:t>
      </w:r>
      <w:r w:rsidR="00554BF3" w:rsidRPr="000125FF">
        <w:rPr>
          <w:color w:val="000000" w:themeColor="text1"/>
        </w:rPr>
        <w:t xml:space="preserve">The </w:t>
      </w:r>
      <w:r w:rsidR="008264D7">
        <w:rPr>
          <w:color w:val="000000" w:themeColor="text1"/>
        </w:rPr>
        <w:t>R</w:t>
      </w:r>
      <w:r w:rsidR="00554BF3" w:rsidRPr="000125FF">
        <w:rPr>
          <w:color w:val="000000" w:themeColor="text1"/>
        </w:rPr>
        <w:t>eviewers</w:t>
      </w:r>
      <w:r w:rsidRPr="000125FF">
        <w:rPr>
          <w:color w:val="000000" w:themeColor="text1"/>
        </w:rPr>
        <w:t xml:space="preserve"> understand that there are issues with the outdated administrative requirements</w:t>
      </w:r>
      <w:r w:rsidR="00554BF3" w:rsidRPr="000125FF">
        <w:rPr>
          <w:color w:val="000000" w:themeColor="text1"/>
        </w:rPr>
        <w:t xml:space="preserve"> but </w:t>
      </w:r>
      <w:r w:rsidRPr="000125FF">
        <w:t xml:space="preserve">would like to have a better understanding of </w:t>
      </w:r>
      <w:r w:rsidR="00554BF3" w:rsidRPr="000125FF">
        <w:t xml:space="preserve">other reasons for </w:t>
      </w:r>
      <w:r w:rsidRPr="000125FF">
        <w:t>why</w:t>
      </w:r>
      <w:r w:rsidRPr="000125FF">
        <w:rPr>
          <w:color w:val="000000" w:themeColor="text1"/>
        </w:rPr>
        <w:t xml:space="preserve"> Australian</w:t>
      </w:r>
      <w:r w:rsidRPr="000125FF">
        <w:t xml:space="preserve"> registration is not attractive to Australian </w:t>
      </w:r>
      <w:r w:rsidRPr="000125FF">
        <w:rPr>
          <w:color w:val="000000" w:themeColor="text1"/>
        </w:rPr>
        <w:t>owners.</w:t>
      </w:r>
    </w:p>
    <w:p w14:paraId="0BE9FEAE" w14:textId="1971865E" w:rsidR="00B457A4" w:rsidRPr="00BE0F35" w:rsidRDefault="00B457A4" w:rsidP="006F5C1D">
      <w:pPr>
        <w:rPr>
          <w:rFonts w:ascii="Calibri" w:hAnsi="Calibri" w:cs="Calibri"/>
          <w:color w:val="404040"/>
        </w:rPr>
      </w:pPr>
      <w:r w:rsidRPr="00BE0F35">
        <w:rPr>
          <w:rStyle w:val="normaltextrun"/>
          <w:rFonts w:ascii="Calibri" w:hAnsi="Calibri" w:cs="Calibri"/>
          <w:color w:val="404040"/>
        </w:rPr>
        <w:t xml:space="preserve">The </w:t>
      </w:r>
      <w:r w:rsidR="008264D7">
        <w:rPr>
          <w:rStyle w:val="normaltextrun"/>
          <w:rFonts w:ascii="Calibri" w:hAnsi="Calibri" w:cs="Calibri"/>
          <w:color w:val="404040"/>
        </w:rPr>
        <w:t>R</w:t>
      </w:r>
      <w:r w:rsidRPr="00BE0F35">
        <w:rPr>
          <w:rStyle w:val="normaltextrun"/>
          <w:rFonts w:ascii="Calibri" w:hAnsi="Calibri" w:cs="Calibri"/>
          <w:color w:val="404040"/>
        </w:rPr>
        <w:t>eviewers</w:t>
      </w:r>
      <w:r w:rsidR="008264D7">
        <w:rPr>
          <w:rStyle w:val="normaltextrun"/>
          <w:rFonts w:ascii="Calibri" w:hAnsi="Calibri" w:cs="Calibri"/>
          <w:color w:val="404040"/>
        </w:rPr>
        <w:t>, tak</w:t>
      </w:r>
      <w:r w:rsidR="00F10CAC">
        <w:rPr>
          <w:rStyle w:val="normaltextrun"/>
          <w:rFonts w:ascii="Calibri" w:hAnsi="Calibri" w:cs="Calibri"/>
          <w:color w:val="404040"/>
        </w:rPr>
        <w:t>ing</w:t>
      </w:r>
      <w:r w:rsidR="001D6F46">
        <w:rPr>
          <w:rStyle w:val="normaltextrun"/>
          <w:rFonts w:ascii="Calibri" w:hAnsi="Calibri" w:cs="Calibri"/>
          <w:color w:val="404040"/>
        </w:rPr>
        <w:t xml:space="preserve"> </w:t>
      </w:r>
      <w:r w:rsidR="00D05DE3">
        <w:rPr>
          <w:rStyle w:val="normaltextrun"/>
          <w:rFonts w:ascii="Calibri" w:hAnsi="Calibri" w:cs="Calibri"/>
          <w:color w:val="404040"/>
        </w:rPr>
        <w:t xml:space="preserve">again </w:t>
      </w:r>
      <w:r w:rsidR="001D6F46">
        <w:rPr>
          <w:rStyle w:val="normaltextrun"/>
          <w:rFonts w:ascii="Calibri" w:hAnsi="Calibri" w:cs="Calibri"/>
          <w:color w:val="404040"/>
        </w:rPr>
        <w:t xml:space="preserve">as the starting point the </w:t>
      </w:r>
      <w:r w:rsidR="008264D7">
        <w:rPr>
          <w:rStyle w:val="normaltextrun"/>
          <w:rFonts w:ascii="Calibri" w:hAnsi="Calibri" w:cs="Calibri"/>
          <w:color w:val="404040"/>
        </w:rPr>
        <w:t xml:space="preserve">recommendations of the Strategic Fleet Review </w:t>
      </w:r>
      <w:r w:rsidR="001D6F46">
        <w:rPr>
          <w:rStyle w:val="normaltextrun"/>
          <w:rFonts w:ascii="Calibri" w:hAnsi="Calibri" w:cs="Calibri"/>
          <w:color w:val="404040"/>
        </w:rPr>
        <w:t xml:space="preserve">Final Report, </w:t>
      </w:r>
      <w:r w:rsidRPr="00BE0F35">
        <w:rPr>
          <w:rStyle w:val="normaltextrun"/>
          <w:rFonts w:ascii="Calibri" w:hAnsi="Calibri" w:cs="Calibri"/>
          <w:color w:val="404040"/>
        </w:rPr>
        <w:t xml:space="preserve">would like to understand why </w:t>
      </w:r>
      <w:r w:rsidR="00D02213" w:rsidRPr="00BE0F35">
        <w:rPr>
          <w:rStyle w:val="normaltextrun"/>
          <w:rFonts w:ascii="Calibri" w:hAnsi="Calibri" w:cs="Calibri"/>
          <w:color w:val="404040"/>
        </w:rPr>
        <w:t xml:space="preserve">there has been a decline in </w:t>
      </w:r>
      <w:r w:rsidR="00CD4C5D" w:rsidRPr="00BE0F35">
        <w:rPr>
          <w:rStyle w:val="normaltextrun"/>
          <w:rFonts w:ascii="Calibri" w:hAnsi="Calibri" w:cs="Calibri"/>
          <w:color w:val="404040"/>
        </w:rPr>
        <w:t xml:space="preserve">the </w:t>
      </w:r>
      <w:r w:rsidR="00D02213" w:rsidRPr="00BE0F35">
        <w:rPr>
          <w:rStyle w:val="normaltextrun"/>
          <w:rFonts w:ascii="Calibri" w:hAnsi="Calibri" w:cs="Calibri"/>
          <w:color w:val="404040"/>
        </w:rPr>
        <w:t xml:space="preserve">number of </w:t>
      </w:r>
      <w:r w:rsidR="00CD4C5D" w:rsidRPr="00BE0F35">
        <w:rPr>
          <w:rStyle w:val="normaltextrun"/>
          <w:rFonts w:ascii="Calibri" w:hAnsi="Calibri" w:cs="Calibri"/>
          <w:color w:val="404040"/>
        </w:rPr>
        <w:t xml:space="preserve">commercial </w:t>
      </w:r>
      <w:r w:rsidR="00D02213" w:rsidRPr="00BE0F35">
        <w:rPr>
          <w:rStyle w:val="normaltextrun"/>
          <w:rFonts w:ascii="Calibri" w:hAnsi="Calibri" w:cs="Calibri"/>
          <w:color w:val="404040"/>
        </w:rPr>
        <w:t xml:space="preserve">vessels registered </w:t>
      </w:r>
      <w:r w:rsidR="00554BF3" w:rsidRPr="00BE0F35">
        <w:rPr>
          <w:rStyle w:val="normaltextrun"/>
          <w:rFonts w:ascii="Calibri" w:hAnsi="Calibri" w:cs="Calibri"/>
          <w:color w:val="404040"/>
        </w:rPr>
        <w:t>i</w:t>
      </w:r>
      <w:r w:rsidR="00D02213" w:rsidRPr="00BE0F35">
        <w:rPr>
          <w:rStyle w:val="normaltextrun"/>
          <w:rFonts w:ascii="Calibri" w:hAnsi="Calibri" w:cs="Calibri"/>
          <w:color w:val="404040"/>
        </w:rPr>
        <w:t>n the AGSR</w:t>
      </w:r>
      <w:r w:rsidR="003E59B1">
        <w:rPr>
          <w:rStyle w:val="normaltextrun"/>
          <w:rFonts w:ascii="Calibri" w:hAnsi="Calibri" w:cs="Calibri"/>
          <w:color w:val="404040"/>
        </w:rPr>
        <w:t xml:space="preserve">. They </w:t>
      </w:r>
      <w:r w:rsidR="00D02213" w:rsidRPr="00BE0F35">
        <w:rPr>
          <w:rStyle w:val="normaltextrun"/>
          <w:rFonts w:ascii="Calibri" w:hAnsi="Calibri" w:cs="Calibri"/>
          <w:color w:val="404040"/>
        </w:rPr>
        <w:t xml:space="preserve">would also like to understand </w:t>
      </w:r>
      <w:r w:rsidRPr="00BE0F35">
        <w:t>what would make Australian flagging more attractive</w:t>
      </w:r>
      <w:r w:rsidR="00CA562C" w:rsidRPr="00BE0F35">
        <w:t xml:space="preserve"> to Australian owners and operators</w:t>
      </w:r>
      <w:r w:rsidR="00E1691F" w:rsidRPr="00BE0F35">
        <w:rPr>
          <w:rFonts w:cstheme="minorHAnsi"/>
        </w:rPr>
        <w:t>―</w:t>
      </w:r>
      <w:r w:rsidRPr="00BE0F35">
        <w:t>this could include other incentives and improvements to current processes and arrangements</w:t>
      </w:r>
      <w:r w:rsidRPr="00BE0F35">
        <w:rPr>
          <w:rStyle w:val="normaltextrun"/>
          <w:rFonts w:ascii="Calibri" w:hAnsi="Calibri" w:cs="Calibri"/>
          <w:color w:val="404040"/>
        </w:rPr>
        <w:t xml:space="preserve">. </w:t>
      </w:r>
    </w:p>
    <w:p w14:paraId="400A0403" w14:textId="77777777" w:rsidR="00067FA9" w:rsidRPr="00782466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782466">
        <w:rPr>
          <w:b/>
        </w:rPr>
        <w:t xml:space="preserve">Consultation questions </w:t>
      </w:r>
    </w:p>
    <w:p w14:paraId="2ADC160E" w14:textId="04BF7577" w:rsidR="00CA562C" w:rsidRPr="00BE0F35" w:rsidRDefault="001D6F46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Indicate if you think</w:t>
      </w:r>
      <w:r w:rsidRPr="00BE0F35">
        <w:t xml:space="preserve"> </w:t>
      </w:r>
      <w:r w:rsidR="00CA562C" w:rsidRPr="00BE0F35">
        <w:t>the current</w:t>
      </w:r>
      <w:r w:rsidR="003E59B1">
        <w:t xml:space="preserve"> registration</w:t>
      </w:r>
      <w:r w:rsidR="00CA562C" w:rsidRPr="00BE0F35">
        <w:t xml:space="preserve"> system </w:t>
      </w:r>
      <w:r w:rsidR="00F10CAC">
        <w:t xml:space="preserve">is </w:t>
      </w:r>
      <w:r w:rsidR="00CA562C" w:rsidRPr="00BE0F35">
        <w:t>acting as a disincentive to registration</w:t>
      </w:r>
      <w:r w:rsidR="001C242D">
        <w:t>.</w:t>
      </w:r>
      <w:r w:rsidR="001C242D" w:rsidRPr="00BE0F35">
        <w:t xml:space="preserve">  </w:t>
      </w:r>
      <w:r w:rsidR="00CA562C" w:rsidRPr="00BE0F35">
        <w:t>If so, in what way?</w:t>
      </w:r>
    </w:p>
    <w:p w14:paraId="5846DD71" w14:textId="77777777" w:rsidR="009F5741" w:rsidRPr="00BE0F35" w:rsidRDefault="009F5741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In what ways are foreign registers more attractive?</w:t>
      </w:r>
    </w:p>
    <w:p w14:paraId="31AA2765" w14:textId="77777777" w:rsidR="006F5C1D" w:rsidRPr="00BE0F35" w:rsidRDefault="006F5C1D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What would make Australian flagging of a vessel more attractive?</w:t>
      </w:r>
    </w:p>
    <w:p w14:paraId="67B62462" w14:textId="56F3238B" w:rsidR="00D02213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bookmarkStart w:id="4" w:name="_Toc177129821"/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5.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2255F4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A</w:t>
      </w:r>
      <w:r w:rsidR="00603555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ustralian International Shipping Register</w:t>
      </w:r>
    </w:p>
    <w:p w14:paraId="519EA382" w14:textId="333C7142" w:rsidR="00603555" w:rsidRPr="000125FF" w:rsidRDefault="00603555" w:rsidP="00603555">
      <w:pPr>
        <w:rPr>
          <w:rStyle w:val="normaltextrun"/>
          <w:rFonts w:ascii="Calibri" w:hAnsi="Calibri" w:cs="Calibri"/>
          <w:color w:val="000000" w:themeColor="text1"/>
        </w:rPr>
      </w:pPr>
      <w:r w:rsidRPr="000125FF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="00E90B25">
        <w:rPr>
          <w:rStyle w:val="normaltextrun"/>
          <w:rFonts w:ascii="Calibri" w:hAnsi="Calibri" w:cs="Calibri"/>
          <w:color w:val="000000" w:themeColor="text1"/>
        </w:rPr>
        <w:t>AISR</w:t>
      </w:r>
      <w:r w:rsidRPr="000125FF">
        <w:rPr>
          <w:rStyle w:val="normaltextrun"/>
          <w:rFonts w:ascii="Calibri" w:hAnsi="Calibri" w:cs="Calibri"/>
          <w:color w:val="000000" w:themeColor="text1"/>
        </w:rPr>
        <w:t xml:space="preserve"> was introduced in 2012. The intent</w:t>
      </w:r>
      <w:r w:rsidR="00CA562C" w:rsidRPr="000125FF">
        <w:rPr>
          <w:rStyle w:val="normaltextrun"/>
          <w:rFonts w:ascii="Calibri" w:hAnsi="Calibri" w:cs="Calibri"/>
          <w:color w:val="000000" w:themeColor="text1"/>
        </w:rPr>
        <w:t>ion</w:t>
      </w:r>
      <w:r w:rsidRPr="000125FF">
        <w:rPr>
          <w:rStyle w:val="normaltextrun"/>
          <w:rFonts w:ascii="Calibri" w:hAnsi="Calibri" w:cs="Calibri"/>
          <w:color w:val="000000" w:themeColor="text1"/>
        </w:rPr>
        <w:t xml:space="preserve"> was </w:t>
      </w:r>
      <w:r w:rsidR="00CA562C" w:rsidRPr="000125FF">
        <w:rPr>
          <w:rStyle w:val="normaltextrun"/>
          <w:rFonts w:ascii="Calibri" w:hAnsi="Calibri" w:cs="Calibri"/>
          <w:color w:val="000000" w:themeColor="text1"/>
        </w:rPr>
        <w:t>that</w:t>
      </w:r>
      <w:r w:rsidR="00E85F92" w:rsidRPr="000125FF">
        <w:rPr>
          <w:rStyle w:val="normaltextrun"/>
          <w:rFonts w:ascii="Calibri" w:hAnsi="Calibri" w:cs="Calibri"/>
          <w:color w:val="000000" w:themeColor="text1"/>
        </w:rPr>
        <w:t xml:space="preserve"> it be</w:t>
      </w:r>
      <w:r w:rsidRPr="000125FF">
        <w:rPr>
          <w:rStyle w:val="normaltextrun"/>
          <w:rFonts w:ascii="Calibri" w:hAnsi="Calibri" w:cs="Calibri"/>
          <w:color w:val="000000" w:themeColor="text1"/>
        </w:rPr>
        <w:t xml:space="preserve"> a competitive alternative to other foreign ship registries and to encourage participation of Australian vessels in international trade. For this reason, it was targeted at Australian owned and/or operated internationally trading vessels. Since it was established, the AISR has remained largely unused and has had only three vessels registered </w:t>
      </w:r>
      <w:r w:rsidR="00E1691F" w:rsidRPr="000125FF">
        <w:rPr>
          <w:rStyle w:val="normaltextrun"/>
          <w:rFonts w:ascii="Calibri" w:hAnsi="Calibri" w:cs="Calibri"/>
          <w:color w:val="000000" w:themeColor="text1"/>
        </w:rPr>
        <w:t xml:space="preserve">in </w:t>
      </w:r>
      <w:r w:rsidRPr="000125FF">
        <w:rPr>
          <w:rStyle w:val="normaltextrun"/>
          <w:rFonts w:ascii="Calibri" w:hAnsi="Calibri" w:cs="Calibri"/>
          <w:color w:val="000000" w:themeColor="text1"/>
        </w:rPr>
        <w:t>it.</w:t>
      </w:r>
      <w:r w:rsidR="00CA562C" w:rsidRPr="000125FF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0125FF">
        <w:rPr>
          <w:rStyle w:val="normaltextrun"/>
          <w:rFonts w:ascii="Calibri" w:hAnsi="Calibri" w:cs="Calibri"/>
          <w:color w:val="000000" w:themeColor="text1"/>
        </w:rPr>
        <w:t>As such</w:t>
      </w:r>
      <w:r w:rsidR="00E1691F" w:rsidRPr="000125FF">
        <w:rPr>
          <w:rStyle w:val="normaltextrun"/>
          <w:rFonts w:ascii="Calibri" w:hAnsi="Calibri" w:cs="Calibri"/>
          <w:color w:val="000000" w:themeColor="text1"/>
        </w:rPr>
        <w:t>,</w:t>
      </w:r>
      <w:r w:rsidRPr="000125FF">
        <w:rPr>
          <w:rStyle w:val="normaltextrun"/>
          <w:rFonts w:ascii="Calibri" w:hAnsi="Calibri" w:cs="Calibri"/>
          <w:color w:val="000000" w:themeColor="text1"/>
        </w:rPr>
        <w:t xml:space="preserve"> it has not met its objectives.</w:t>
      </w:r>
    </w:p>
    <w:p w14:paraId="4DF39F3F" w14:textId="4BB12E5E" w:rsidR="001D6F46" w:rsidRDefault="00CA562C" w:rsidP="00603555">
      <w:r w:rsidRPr="000125FF">
        <w:t xml:space="preserve">The </w:t>
      </w:r>
      <w:r w:rsidR="001D6F46">
        <w:t>R</w:t>
      </w:r>
      <w:r w:rsidRPr="000125FF">
        <w:t xml:space="preserve">eviewers would like to understand </w:t>
      </w:r>
      <w:r w:rsidR="00E85F92" w:rsidRPr="000125FF">
        <w:t xml:space="preserve">why registration </w:t>
      </w:r>
      <w:r w:rsidR="00E50EF5" w:rsidRPr="000125FF">
        <w:t>i</w:t>
      </w:r>
      <w:r w:rsidR="00E85F92" w:rsidRPr="000125FF">
        <w:t>n the AISR has not been viable, noting the tax incentives and mixed crewing arrangements available</w:t>
      </w:r>
      <w:r w:rsidR="00E1691F" w:rsidRPr="000125FF">
        <w:t>,</w:t>
      </w:r>
      <w:r w:rsidR="00E85F92" w:rsidRPr="000125FF">
        <w:t xml:space="preserve"> and </w:t>
      </w:r>
      <w:r w:rsidRPr="000125FF">
        <w:t xml:space="preserve">what the main impediments to the use of this register </w:t>
      </w:r>
      <w:r w:rsidR="00E85F92" w:rsidRPr="000125FF">
        <w:t>have been</w:t>
      </w:r>
      <w:r w:rsidRPr="000125FF">
        <w:t xml:space="preserve">. </w:t>
      </w:r>
    </w:p>
    <w:p w14:paraId="674CA96F" w14:textId="030CE6A3" w:rsidR="0019097E" w:rsidRDefault="0019097E">
      <w:r>
        <w:br w:type="page"/>
      </w:r>
    </w:p>
    <w:p w14:paraId="20F8B07E" w14:textId="77777777" w:rsidR="0019097E" w:rsidRPr="000125FF" w:rsidRDefault="0019097E" w:rsidP="00603555"/>
    <w:p w14:paraId="16C784D2" w14:textId="77777777" w:rsidR="00067FA9" w:rsidRPr="00782466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782466">
        <w:rPr>
          <w:b/>
        </w:rPr>
        <w:t xml:space="preserve">Consultation questions </w:t>
      </w:r>
    </w:p>
    <w:p w14:paraId="748EF73A" w14:textId="2A90F9AF" w:rsidR="00603555" w:rsidRPr="00BE0F35" w:rsidRDefault="001D6F46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Indicate w</w:t>
      </w:r>
      <w:r w:rsidR="00603555" w:rsidRPr="00BE0F35">
        <w:t xml:space="preserve">hat </w:t>
      </w:r>
      <w:r w:rsidR="00E85F92" w:rsidRPr="00BE0F35">
        <w:t xml:space="preserve">have been </w:t>
      </w:r>
      <w:r w:rsidR="00603555" w:rsidRPr="00BE0F35">
        <w:t xml:space="preserve">the </w:t>
      </w:r>
      <w:r w:rsidR="00E85F92" w:rsidRPr="00BE0F35">
        <w:t xml:space="preserve">main </w:t>
      </w:r>
      <w:r w:rsidR="00603555" w:rsidRPr="00BE0F35">
        <w:t>impediments to registering a vessel in the AISR</w:t>
      </w:r>
      <w:r w:rsidR="001C242D">
        <w:t>.</w:t>
      </w:r>
    </w:p>
    <w:p w14:paraId="2BAF73D8" w14:textId="77777777" w:rsidR="00603555" w:rsidRPr="00BE0F35" w:rsidRDefault="00CA562C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What would remove the barriers to registration and improve the attractiveness of an international register for Australian owners and operators</w:t>
      </w:r>
      <w:r w:rsidR="00F91CB4" w:rsidRPr="00BE0F35">
        <w:t xml:space="preserve"> to increase the size of the Australian fleet</w:t>
      </w:r>
      <w:r w:rsidRPr="00BE0F35">
        <w:t>?</w:t>
      </w:r>
    </w:p>
    <w:p w14:paraId="04FBDE0B" w14:textId="1200CD9E" w:rsidR="009F5741" w:rsidRPr="00B45D3F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r w:rsidRPr="00B45D3F">
        <w:rPr>
          <w:rFonts w:ascii="Calibri" w:eastAsia="Times New Roman" w:hAnsi="Calibri" w:cs="Times New Roman"/>
          <w:color w:val="44546A" w:themeColor="text2"/>
          <w:sz w:val="44"/>
          <w:szCs w:val="22"/>
        </w:rPr>
        <w:t>6.</w:t>
      </w:r>
      <w:r w:rsidRPr="00B45D3F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9F5741" w:rsidRPr="00B45D3F">
        <w:rPr>
          <w:rFonts w:ascii="Calibri" w:eastAsia="Times New Roman" w:hAnsi="Calibri" w:cs="Times New Roman"/>
          <w:color w:val="44546A" w:themeColor="text2"/>
          <w:sz w:val="44"/>
          <w:szCs w:val="22"/>
        </w:rPr>
        <w:t>Are the current exemptions to the Act appropriate?</w:t>
      </w:r>
      <w:bookmarkEnd w:id="4"/>
    </w:p>
    <w:p w14:paraId="4D8204CB" w14:textId="68427855" w:rsidR="001C4A31" w:rsidRPr="00E473A4" w:rsidRDefault="001C4A31" w:rsidP="000125FF">
      <w:pPr>
        <w:spacing w:before="120" w:after="240" w:line="264" w:lineRule="auto"/>
      </w:pPr>
      <w:r w:rsidRPr="00E473A4">
        <w:t>Some vessel</w:t>
      </w:r>
      <w:r w:rsidR="002D2428" w:rsidRPr="00E473A4">
        <w:t xml:space="preserve"> types</w:t>
      </w:r>
      <w:r w:rsidR="00AB1602" w:rsidRPr="00E473A4">
        <w:t>, providing they are not undertaking</w:t>
      </w:r>
      <w:r w:rsidRPr="00E473A4">
        <w:t xml:space="preserve"> </w:t>
      </w:r>
      <w:r w:rsidR="00AB1602" w:rsidRPr="00E473A4">
        <w:t xml:space="preserve">an international voyage, </w:t>
      </w:r>
      <w:r w:rsidRPr="00E473A4">
        <w:t>are exempt from registration requirements</w:t>
      </w:r>
      <w:r w:rsidR="00AB1602" w:rsidRPr="00E473A4">
        <w:t xml:space="preserve"> under the Act</w:t>
      </w:r>
      <w:r w:rsidRPr="00E473A4">
        <w:t xml:space="preserve">. The </w:t>
      </w:r>
      <w:r w:rsidR="00A11034" w:rsidRPr="00E473A4">
        <w:t>R</w:t>
      </w:r>
      <w:r w:rsidRPr="00E473A4">
        <w:t>eview</w:t>
      </w:r>
      <w:r w:rsidR="00554BF3" w:rsidRPr="00E473A4">
        <w:t>ers</w:t>
      </w:r>
      <w:r w:rsidRPr="00E473A4">
        <w:t xml:space="preserve"> </w:t>
      </w:r>
      <w:r w:rsidR="00554BF3" w:rsidRPr="00E473A4">
        <w:t>are</w:t>
      </w:r>
      <w:r w:rsidRPr="00E473A4">
        <w:t xml:space="preserve"> considering whether these exemptions, based on type</w:t>
      </w:r>
      <w:r w:rsidR="00ED63D8" w:rsidRPr="00E473A4">
        <w:t xml:space="preserve"> and use</w:t>
      </w:r>
      <w:r w:rsidRPr="00E473A4">
        <w:t xml:space="preserve"> of vessel, are still appropriate. </w:t>
      </w:r>
    </w:p>
    <w:p w14:paraId="0E650F49" w14:textId="7488C135" w:rsidR="00E70D5A" w:rsidRPr="00E473A4" w:rsidRDefault="000E38B0" w:rsidP="00C545BF">
      <w:pPr>
        <w:spacing w:before="120" w:after="240" w:line="264" w:lineRule="auto"/>
      </w:pPr>
      <w:r w:rsidRPr="00E473A4">
        <w:t xml:space="preserve">Under the Act, </w:t>
      </w:r>
      <w:r w:rsidR="001C4A31" w:rsidRPr="00E473A4">
        <w:t>a</w:t>
      </w:r>
      <w:r w:rsidR="009F5741" w:rsidRPr="00E473A4">
        <w:t>ll Australian owned or operated vessels</w:t>
      </w:r>
      <w:r w:rsidR="00DD7923" w:rsidRPr="00E473A4">
        <w:t xml:space="preserve"> </w:t>
      </w:r>
      <w:r w:rsidR="009F5741" w:rsidRPr="00E473A4">
        <w:t>24 metres and over in tonnage length and capable of navigating the high seas must be registered</w:t>
      </w:r>
      <w:r w:rsidR="00DD7923" w:rsidRPr="00E473A4">
        <w:t xml:space="preserve">, </w:t>
      </w:r>
      <w:r w:rsidR="00DD7923" w:rsidRPr="00E473A4">
        <w:rPr>
          <w:u w:val="single"/>
        </w:rPr>
        <w:t>unless</w:t>
      </w:r>
      <w:r w:rsidR="00DD7923" w:rsidRPr="00E473A4">
        <w:t xml:space="preserve"> they are Government, fishing or recreational vessels</w:t>
      </w:r>
      <w:r w:rsidR="001C4A31" w:rsidRPr="00E473A4">
        <w:t>.</w:t>
      </w:r>
      <w:r w:rsidR="006D55CE" w:rsidRPr="00E473A4">
        <w:t xml:space="preserve"> </w:t>
      </w:r>
      <w:r w:rsidR="00D05DE3" w:rsidRPr="00E473A4">
        <w:t xml:space="preserve">However, all </w:t>
      </w:r>
      <w:r w:rsidR="009F5741" w:rsidRPr="00E473A4">
        <w:t>vessel</w:t>
      </w:r>
      <w:r w:rsidR="00DD7923" w:rsidRPr="00E473A4">
        <w:t>s,</w:t>
      </w:r>
      <w:r w:rsidR="00FA1BBA" w:rsidRPr="00E473A4">
        <w:t xml:space="preserve"> </w:t>
      </w:r>
      <w:r w:rsidR="00FA1BBA" w:rsidRPr="00E473A4">
        <w:rPr>
          <w:u w:val="single"/>
        </w:rPr>
        <w:t>including</w:t>
      </w:r>
      <w:r w:rsidR="00FA1BBA" w:rsidRPr="00E473A4">
        <w:t xml:space="preserve"> Government, fishing and recreational vessels</w:t>
      </w:r>
      <w:r w:rsidR="00362C08" w:rsidRPr="00E473A4">
        <w:t xml:space="preserve">, </w:t>
      </w:r>
      <w:r w:rsidR="009F5741" w:rsidRPr="00E473A4">
        <w:t>regardless of size, sailing to or from a foreign port</w:t>
      </w:r>
      <w:r w:rsidR="006F4207" w:rsidRPr="00E473A4">
        <w:t>,</w:t>
      </w:r>
      <w:r w:rsidR="009F5741" w:rsidRPr="00E473A4">
        <w:t xml:space="preserve"> </w:t>
      </w:r>
      <w:r w:rsidR="009F5741" w:rsidRPr="00E473A4">
        <w:rPr>
          <w:u w:val="single"/>
        </w:rPr>
        <w:t>must</w:t>
      </w:r>
      <w:r w:rsidR="009F5741" w:rsidRPr="00E473A4">
        <w:t xml:space="preserve"> be registered</w:t>
      </w:r>
      <w:r w:rsidR="00FA1BBA" w:rsidRPr="00E473A4">
        <w:t xml:space="preserve">. </w:t>
      </w:r>
      <w:r w:rsidR="001C4A31" w:rsidRPr="00E473A4">
        <w:t xml:space="preserve">This requirement exists because these vessels require </w:t>
      </w:r>
      <w:r w:rsidR="002D2428" w:rsidRPr="00E473A4">
        <w:t xml:space="preserve">Australian nationality to travel to </w:t>
      </w:r>
      <w:r w:rsidR="00E85F92" w:rsidRPr="00E473A4">
        <w:t xml:space="preserve">and from </w:t>
      </w:r>
      <w:r w:rsidR="002D2428" w:rsidRPr="00E473A4">
        <w:t>international ports.</w:t>
      </w:r>
      <w:r w:rsidR="00C545BF" w:rsidRPr="00E473A4">
        <w:t xml:space="preserve"> </w:t>
      </w:r>
    </w:p>
    <w:p w14:paraId="089832B4" w14:textId="12C9AFE4" w:rsidR="00BE70BD" w:rsidRPr="00B45D3F" w:rsidRDefault="000E38B0" w:rsidP="00C545BF">
      <w:pPr>
        <w:spacing w:before="120" w:after="240" w:line="264" w:lineRule="auto"/>
        <w:rPr>
          <w:rStyle w:val="normaltextrun"/>
        </w:rPr>
      </w:pPr>
      <w:r w:rsidRPr="00E473A4">
        <w:rPr>
          <w:rStyle w:val="normaltextrun"/>
          <w:rFonts w:ascii="Calibri" w:hAnsi="Calibri" w:cs="Calibri"/>
          <w:color w:val="404040"/>
        </w:rPr>
        <w:t>While the Reviewers note that these vessels may be required to be registered under state or territory legislation, r</w:t>
      </w:r>
      <w:r w:rsidR="00BE70BD" w:rsidRPr="00E473A4">
        <w:rPr>
          <w:rStyle w:val="normaltextrun"/>
          <w:rFonts w:ascii="Calibri" w:hAnsi="Calibri" w:cs="Calibri"/>
          <w:color w:val="404040"/>
        </w:rPr>
        <w:t xml:space="preserve">emoving the current exemptions </w:t>
      </w:r>
      <w:r w:rsidR="00AA1FB0" w:rsidRPr="00E473A4">
        <w:rPr>
          <w:rStyle w:val="normaltextrun"/>
          <w:rFonts w:ascii="Calibri" w:hAnsi="Calibri" w:cs="Calibri"/>
          <w:color w:val="404040"/>
        </w:rPr>
        <w:t xml:space="preserve">under the Act </w:t>
      </w:r>
      <w:r w:rsidR="00BE70BD" w:rsidRPr="00E473A4">
        <w:rPr>
          <w:rStyle w:val="normaltextrun"/>
          <w:rFonts w:ascii="Calibri" w:hAnsi="Calibri" w:cs="Calibri"/>
          <w:color w:val="404040"/>
        </w:rPr>
        <w:t xml:space="preserve">for Government, fishing or recreational vessels </w:t>
      </w:r>
      <w:r w:rsidR="00D44E90" w:rsidRPr="00E473A4">
        <w:rPr>
          <w:rStyle w:val="normaltextrun"/>
          <w:rFonts w:ascii="Calibri" w:hAnsi="Calibri" w:cs="Calibri"/>
          <w:color w:val="404040"/>
        </w:rPr>
        <w:t>c</w:t>
      </w:r>
      <w:r w:rsidR="00BE70BD" w:rsidRPr="00E473A4">
        <w:rPr>
          <w:rStyle w:val="normaltextrun"/>
          <w:rFonts w:ascii="Calibri" w:hAnsi="Calibri" w:cs="Calibri"/>
          <w:color w:val="404040"/>
        </w:rPr>
        <w:t>ould</w:t>
      </w:r>
      <w:r w:rsidR="00E70D5A" w:rsidRPr="00E473A4">
        <w:rPr>
          <w:rStyle w:val="normaltextrun"/>
          <w:rFonts w:ascii="Calibri" w:hAnsi="Calibri" w:cs="Calibri"/>
          <w:color w:val="404040"/>
        </w:rPr>
        <w:t xml:space="preserve"> ensure consistency of requirements for commercial vessels and</w:t>
      </w:r>
      <w:r w:rsidR="00BE70BD" w:rsidRPr="00E473A4">
        <w:rPr>
          <w:rStyle w:val="normaltextrun"/>
          <w:rFonts w:ascii="Calibri" w:hAnsi="Calibri" w:cs="Calibri"/>
          <w:color w:val="404040"/>
        </w:rPr>
        <w:t xml:space="preserve"> allow greater visibility of the Australian fleet</w:t>
      </w:r>
      <w:r w:rsidR="00E70D5A" w:rsidRPr="00E473A4">
        <w:rPr>
          <w:rStyle w:val="normaltextrun"/>
          <w:rFonts w:ascii="Calibri" w:hAnsi="Calibri" w:cs="Calibri"/>
          <w:color w:val="404040"/>
        </w:rPr>
        <w:t>.</w:t>
      </w:r>
    </w:p>
    <w:p w14:paraId="63CBC726" w14:textId="77777777" w:rsidR="00067FA9" w:rsidRPr="00B45D3F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B45D3F">
        <w:rPr>
          <w:b/>
        </w:rPr>
        <w:t>Consultation questions</w:t>
      </w:r>
    </w:p>
    <w:p w14:paraId="1032FF5D" w14:textId="6F3915FB" w:rsidR="001055D8" w:rsidRPr="00B45D3F" w:rsidRDefault="00BE70BD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45D3F" w:rsidDel="00BE70BD">
        <w:t xml:space="preserve"> </w:t>
      </w:r>
      <w:r w:rsidR="00D13737" w:rsidRPr="00B45D3F">
        <w:t xml:space="preserve">Indicate </w:t>
      </w:r>
      <w:r w:rsidR="006138D7" w:rsidRPr="00B45D3F">
        <w:t xml:space="preserve">if you think </w:t>
      </w:r>
      <w:r w:rsidR="003C3C3D">
        <w:t xml:space="preserve">it is appropriate to </w:t>
      </w:r>
      <w:r w:rsidR="006138D7" w:rsidRPr="00B45D3F">
        <w:t>remov</w:t>
      </w:r>
      <w:r w:rsidR="003C3C3D">
        <w:t>e</w:t>
      </w:r>
      <w:r w:rsidR="006138D7" w:rsidRPr="00B45D3F">
        <w:t xml:space="preserve"> of </w:t>
      </w:r>
      <w:r w:rsidR="00F31DF1">
        <w:t xml:space="preserve">any of </w:t>
      </w:r>
      <w:r w:rsidR="006138D7" w:rsidRPr="00B45D3F">
        <w:t>the current exemptions, as noted above</w:t>
      </w:r>
      <w:r w:rsidR="00D13737" w:rsidRPr="00B45D3F">
        <w:t>.</w:t>
      </w:r>
    </w:p>
    <w:p w14:paraId="0F7B4AAF" w14:textId="77777777" w:rsidR="00D13737" w:rsidRPr="00B45D3F" w:rsidRDefault="006138D7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45D3F">
        <w:t>I</w:t>
      </w:r>
      <w:r w:rsidR="00D13737" w:rsidRPr="00B45D3F">
        <w:t>f you are not in agreement, please state the reasons why.</w:t>
      </w:r>
    </w:p>
    <w:p w14:paraId="162F432C" w14:textId="67DF2428" w:rsidR="00E87AE0" w:rsidRPr="008C5FAE" w:rsidRDefault="00D278B1" w:rsidP="008C5FAE">
      <w:pPr>
        <w:pStyle w:val="Heading1"/>
        <w:suppressAutoHyphens/>
        <w:spacing w:before="480" w:after="160" w:line="240" w:lineRule="auto"/>
        <w:contextualSpacing/>
        <w:rPr>
          <w:rFonts w:ascii="Calibri" w:eastAsia="Times New Roman" w:hAnsi="Calibri" w:cs="Times New Roman"/>
          <w:color w:val="44546A" w:themeColor="text2"/>
          <w:sz w:val="44"/>
          <w:szCs w:val="22"/>
        </w:rPr>
      </w:pPr>
      <w:bookmarkStart w:id="5" w:name="_Hlk178057121"/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7.</w:t>
      </w:r>
      <w:r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ab/>
      </w:r>
      <w:r w:rsidR="00966CA5" w:rsidRPr="008C5FAE">
        <w:rPr>
          <w:rFonts w:ascii="Calibri" w:eastAsia="Times New Roman" w:hAnsi="Calibri" w:cs="Times New Roman"/>
          <w:color w:val="44546A" w:themeColor="text2"/>
          <w:sz w:val="44"/>
          <w:szCs w:val="22"/>
        </w:rPr>
        <w:t>Other relevant matters</w:t>
      </w:r>
    </w:p>
    <w:p w14:paraId="2E30A083" w14:textId="658E4163" w:rsidR="00966CA5" w:rsidRPr="000125FF" w:rsidRDefault="00966CA5" w:rsidP="00966CA5">
      <w:r w:rsidRPr="000125FF">
        <w:t xml:space="preserve">The </w:t>
      </w:r>
      <w:r w:rsidR="001D6F46">
        <w:t>R</w:t>
      </w:r>
      <w:r w:rsidR="006D55CE" w:rsidRPr="000125FF">
        <w:t>eviewers</w:t>
      </w:r>
      <w:r w:rsidRPr="000125FF">
        <w:t xml:space="preserve"> invite any additional insights or comments stakeholders would like to provide to inform the </w:t>
      </w:r>
      <w:r w:rsidR="000F7FF1">
        <w:t>Review</w:t>
      </w:r>
      <w:r w:rsidRPr="000125FF">
        <w:t>.</w:t>
      </w:r>
    </w:p>
    <w:bookmarkEnd w:id="5"/>
    <w:p w14:paraId="6D5BF28E" w14:textId="1E57E9C0" w:rsidR="00067FA9" w:rsidRPr="00782466" w:rsidRDefault="00067FA9" w:rsidP="0078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/>
        <w:rPr>
          <w:b/>
        </w:rPr>
      </w:pPr>
      <w:r w:rsidRPr="00782466">
        <w:rPr>
          <w:b/>
        </w:rPr>
        <w:t>Consultation questions</w:t>
      </w:r>
    </w:p>
    <w:p w14:paraId="1A8A9DE7" w14:textId="304BF753" w:rsidR="001D6F46" w:rsidRPr="00966CA5" w:rsidRDefault="00966CA5" w:rsidP="000125FF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 w:rsidRPr="00BE0F35">
        <w:t>Are there additional insights or comments you would like to offer as part of this review process?</w:t>
      </w:r>
    </w:p>
    <w:sectPr w:rsidR="001D6F46" w:rsidRPr="00966CA5" w:rsidSect="00B609E0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D5023" w14:textId="77777777" w:rsidR="00646CCC" w:rsidRDefault="00646CCC" w:rsidP="0047711D">
      <w:pPr>
        <w:spacing w:after="0" w:line="240" w:lineRule="auto"/>
      </w:pPr>
      <w:r>
        <w:separator/>
      </w:r>
    </w:p>
  </w:endnote>
  <w:endnote w:type="continuationSeparator" w:id="0">
    <w:p w14:paraId="783477C2" w14:textId="77777777" w:rsidR="00646CCC" w:rsidRDefault="00646CCC" w:rsidP="004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4334" w14:textId="77777777" w:rsidR="00B609E0" w:rsidRDefault="00B60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6CF5" w14:textId="274A6C5D" w:rsidR="00B609E0" w:rsidRDefault="00B609E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C96EEB" wp14:editId="775FD613">
          <wp:simplePos x="0" y="0"/>
          <wp:positionH relativeFrom="margin">
            <wp:align>center</wp:align>
          </wp:positionH>
          <wp:positionV relativeFrom="paragraph">
            <wp:posOffset>-3997960</wp:posOffset>
          </wp:positionV>
          <wp:extent cx="7531735" cy="4584065"/>
          <wp:effectExtent l="0" t="0" r="0" b="6985"/>
          <wp:wrapThrough wrapText="bothSides">
            <wp:wrapPolygon edited="0">
              <wp:start x="21361" y="5027"/>
              <wp:lineTo x="16390" y="6014"/>
              <wp:lineTo x="16390" y="6642"/>
              <wp:lineTo x="14751" y="10951"/>
              <wp:lineTo x="983" y="12028"/>
              <wp:lineTo x="983" y="12387"/>
              <wp:lineTo x="0" y="12477"/>
              <wp:lineTo x="0" y="13913"/>
              <wp:lineTo x="819" y="15260"/>
              <wp:lineTo x="164" y="21543"/>
              <wp:lineTo x="17483" y="21543"/>
              <wp:lineTo x="17209" y="21005"/>
              <wp:lineTo x="21525" y="20556"/>
              <wp:lineTo x="21525" y="19927"/>
              <wp:lineTo x="16936" y="19568"/>
              <wp:lineTo x="21525" y="16337"/>
              <wp:lineTo x="21525" y="15978"/>
              <wp:lineTo x="18848" y="15260"/>
              <wp:lineTo x="21525" y="14811"/>
              <wp:lineTo x="21525" y="14452"/>
              <wp:lineTo x="20651" y="13824"/>
              <wp:lineTo x="21525" y="12298"/>
              <wp:lineTo x="21525" y="12028"/>
              <wp:lineTo x="18794" y="10951"/>
              <wp:lineTo x="18193" y="9515"/>
              <wp:lineTo x="21525" y="9246"/>
              <wp:lineTo x="21525" y="8887"/>
              <wp:lineTo x="17264" y="6642"/>
              <wp:lineTo x="21525" y="5476"/>
              <wp:lineTo x="21525" y="5027"/>
              <wp:lineTo x="21361" y="5027"/>
            </wp:wrapPolygon>
          </wp:wrapThrough>
          <wp:docPr id="9" name="Picture 9" descr="Department connected web graphic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connected web graphic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458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7556" w14:textId="77777777" w:rsidR="00B609E0" w:rsidRDefault="00B609E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869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C9D14" w14:textId="27BF17A0" w:rsidR="00B609E0" w:rsidRDefault="00201B07" w:rsidP="00201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A624" w14:textId="77777777" w:rsidR="00646CCC" w:rsidRDefault="00646CCC" w:rsidP="0047711D">
      <w:pPr>
        <w:spacing w:after="0" w:line="240" w:lineRule="auto"/>
      </w:pPr>
      <w:r>
        <w:separator/>
      </w:r>
    </w:p>
  </w:footnote>
  <w:footnote w:type="continuationSeparator" w:id="0">
    <w:p w14:paraId="7513107E" w14:textId="77777777" w:rsidR="00646CCC" w:rsidRDefault="00646CCC" w:rsidP="0047711D">
      <w:pPr>
        <w:spacing w:after="0" w:line="240" w:lineRule="auto"/>
      </w:pPr>
      <w:r>
        <w:continuationSeparator/>
      </w:r>
    </w:p>
  </w:footnote>
  <w:footnote w:id="1">
    <w:p w14:paraId="03FC2A7A" w14:textId="4174BA57" w:rsidR="00BE70BD" w:rsidRDefault="00BE70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2466">
        <w:t>The Act includes Australian corporations in the definition of “national”</w:t>
      </w:r>
    </w:p>
  </w:footnote>
  <w:footnote w:id="2">
    <w:p w14:paraId="45DD92C2" w14:textId="77777777" w:rsidR="00BC6AB5" w:rsidRDefault="00BC6AB5" w:rsidP="00BC6AB5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</w:rPr>
        <w:t xml:space="preserve">Australian Law Reform Commission, </w:t>
      </w:r>
      <w:hyperlink r:id="rId1" w:tooltip="Go to For Your Information: Australian Privacy Law and Practice (ALRC Report 108)." w:history="1">
        <w:r>
          <w:rPr>
            <w:rStyle w:val="Hyperlink"/>
            <w:rFonts w:cstheme="minorHAnsi"/>
            <w:i/>
            <w:color w:val="000000"/>
            <w:spacing w:val="2"/>
          </w:rPr>
          <w:t xml:space="preserve">For Your Information: Australian Privacy Law and Practice </w:t>
        </w:r>
        <w:r>
          <w:rPr>
            <w:rStyle w:val="Hyperlink"/>
            <w:rFonts w:cstheme="minorHAnsi"/>
            <w:color w:val="000000"/>
            <w:spacing w:val="2"/>
          </w:rPr>
          <w:t>(ALRC Report 108)</w:t>
        </w:r>
      </w:hyperlink>
    </w:p>
  </w:footnote>
  <w:footnote w:id="3">
    <w:p w14:paraId="6053ED2C" w14:textId="77777777" w:rsidR="00BC6AB5" w:rsidRDefault="00BC6AB5" w:rsidP="00BC6AB5">
      <w:pPr>
        <w:pStyle w:val="FootnoteText"/>
      </w:pPr>
      <w:r>
        <w:rPr>
          <w:rStyle w:val="FootnoteReference"/>
          <w:rFonts w:cstheme="minorHAnsi"/>
        </w:rPr>
        <w:footnoteRef/>
      </w:r>
      <w:r>
        <w:rPr>
          <w:rFonts w:cstheme="minorHAnsi"/>
        </w:rPr>
        <w:t xml:space="preserve"> Office of the Parliamentary Council, </w:t>
      </w:r>
      <w:r>
        <w:rPr>
          <w:rFonts w:cstheme="minorHAnsi"/>
          <w:i/>
        </w:rPr>
        <w:t>OPC’s drafting services: a guide for clients</w:t>
      </w:r>
      <w:r>
        <w:rPr>
          <w:rFonts w:cstheme="minorHAnsi"/>
        </w:rPr>
        <w:t xml:space="preserve">, </w:t>
      </w:r>
      <w:hyperlink r:id="rId2" w:history="1">
        <w:r>
          <w:rPr>
            <w:rStyle w:val="Hyperlink"/>
            <w:rFonts w:cstheme="minorHAnsi"/>
          </w:rPr>
          <w:t>s13ag320.v55.pdf (opc.gov.au)</w:t>
        </w:r>
      </w:hyperlink>
      <w:r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E94F" w14:textId="77777777" w:rsidR="00B609E0" w:rsidRDefault="00B60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5D90C" w14:textId="77777777" w:rsidR="00B609E0" w:rsidRDefault="00B60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8C4C" w14:textId="77777777" w:rsidR="00B609E0" w:rsidRDefault="00B60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F0E"/>
    <w:multiLevelType w:val="hybridMultilevel"/>
    <w:tmpl w:val="D338A83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379E"/>
    <w:multiLevelType w:val="hybridMultilevel"/>
    <w:tmpl w:val="4BDCC0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E31"/>
    <w:multiLevelType w:val="hybridMultilevel"/>
    <w:tmpl w:val="3CE0B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387C"/>
    <w:multiLevelType w:val="hybridMultilevel"/>
    <w:tmpl w:val="401A73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5E6"/>
    <w:multiLevelType w:val="hybridMultilevel"/>
    <w:tmpl w:val="3A02EB90"/>
    <w:lvl w:ilvl="0" w:tplc="7F962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412"/>
    <w:multiLevelType w:val="hybridMultilevel"/>
    <w:tmpl w:val="BA783AF4"/>
    <w:lvl w:ilvl="0" w:tplc="4E740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4CC"/>
    <w:multiLevelType w:val="hybridMultilevel"/>
    <w:tmpl w:val="AF4CA91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807FC3"/>
    <w:multiLevelType w:val="hybridMultilevel"/>
    <w:tmpl w:val="49FEE7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4891"/>
    <w:multiLevelType w:val="hybridMultilevel"/>
    <w:tmpl w:val="B33204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4739"/>
    <w:multiLevelType w:val="hybridMultilevel"/>
    <w:tmpl w:val="2CAC3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A1D23"/>
    <w:multiLevelType w:val="hybridMultilevel"/>
    <w:tmpl w:val="98268C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478E2"/>
    <w:multiLevelType w:val="hybridMultilevel"/>
    <w:tmpl w:val="3A740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741E6"/>
    <w:multiLevelType w:val="hybridMultilevel"/>
    <w:tmpl w:val="83028CD2"/>
    <w:lvl w:ilvl="0" w:tplc="BD1EC0E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26A71"/>
    <w:multiLevelType w:val="multilevel"/>
    <w:tmpl w:val="679A11C6"/>
    <w:styleLink w:val="ListParagraph0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DD855CD"/>
    <w:multiLevelType w:val="hybridMultilevel"/>
    <w:tmpl w:val="38E296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30FD5"/>
    <w:multiLevelType w:val="hybridMultilevel"/>
    <w:tmpl w:val="3398A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084589"/>
    <w:multiLevelType w:val="hybridMultilevel"/>
    <w:tmpl w:val="51E64A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1D4"/>
    <w:multiLevelType w:val="hybridMultilevel"/>
    <w:tmpl w:val="C48CC9F6"/>
    <w:lvl w:ilvl="0" w:tplc="5942BADC">
      <w:start w:val="1"/>
      <w:numFmt w:val="bullet"/>
      <w:pStyle w:val="TOC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376BB"/>
    <w:multiLevelType w:val="hybridMultilevel"/>
    <w:tmpl w:val="D3363D86"/>
    <w:lvl w:ilvl="0" w:tplc="A9942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63530"/>
    <w:multiLevelType w:val="hybridMultilevel"/>
    <w:tmpl w:val="F58815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08B2"/>
    <w:multiLevelType w:val="hybridMultilevel"/>
    <w:tmpl w:val="83B40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C1DBE"/>
    <w:multiLevelType w:val="hybridMultilevel"/>
    <w:tmpl w:val="5E6A6E1E"/>
    <w:lvl w:ilvl="0" w:tplc="5942BA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800BE6"/>
    <w:multiLevelType w:val="hybridMultilevel"/>
    <w:tmpl w:val="423C5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43D9B"/>
    <w:multiLevelType w:val="hybridMultilevel"/>
    <w:tmpl w:val="2B641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E55299"/>
    <w:multiLevelType w:val="hybridMultilevel"/>
    <w:tmpl w:val="138C53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8397E"/>
    <w:multiLevelType w:val="hybridMultilevel"/>
    <w:tmpl w:val="A09E4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D5A44"/>
    <w:multiLevelType w:val="hybridMultilevel"/>
    <w:tmpl w:val="38E2961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A0F16"/>
    <w:multiLevelType w:val="hybridMultilevel"/>
    <w:tmpl w:val="E5186B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C1B6E"/>
    <w:multiLevelType w:val="hybridMultilevel"/>
    <w:tmpl w:val="D5AA8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4572F"/>
    <w:multiLevelType w:val="hybridMultilevel"/>
    <w:tmpl w:val="CDB8A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90CB2"/>
    <w:multiLevelType w:val="hybridMultilevel"/>
    <w:tmpl w:val="B1268692"/>
    <w:lvl w:ilvl="0" w:tplc="3516D9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B532E"/>
    <w:multiLevelType w:val="multilevel"/>
    <w:tmpl w:val="1F5EC118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275"/>
        </w:tabs>
        <w:ind w:left="1275" w:hanging="425"/>
      </w:pPr>
      <w:rPr>
        <w:rFonts w:ascii="Arial Rounded MT" w:hAnsi="Arial Rounded MT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125"/>
        </w:tabs>
        <w:ind w:left="2125" w:hanging="425"/>
      </w:pPr>
      <w:rPr>
        <w:rFonts w:ascii="Arial Rounded MT" w:hAnsi="Arial Rounded MT" w:hint="default"/>
        <w:color w:val="auto"/>
      </w:rPr>
    </w:lvl>
    <w:lvl w:ilvl="5">
      <w:start w:val="1"/>
      <w:numFmt w:val="bullet"/>
      <w:pStyle w:val="ListBullet6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EBA078A"/>
    <w:multiLevelType w:val="hybridMultilevel"/>
    <w:tmpl w:val="0F1883B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3"/>
  </w:num>
  <w:num w:numId="5">
    <w:abstractNumId w:val="7"/>
  </w:num>
  <w:num w:numId="6">
    <w:abstractNumId w:val="27"/>
  </w:num>
  <w:num w:numId="7">
    <w:abstractNumId w:val="14"/>
  </w:num>
  <w:num w:numId="8">
    <w:abstractNumId w:val="0"/>
  </w:num>
  <w:num w:numId="9">
    <w:abstractNumId w:val="5"/>
  </w:num>
  <w:num w:numId="10">
    <w:abstractNumId w:val="8"/>
  </w:num>
  <w:num w:numId="11">
    <w:abstractNumId w:val="33"/>
  </w:num>
  <w:num w:numId="12">
    <w:abstractNumId w:val="30"/>
  </w:num>
  <w:num w:numId="13">
    <w:abstractNumId w:val="9"/>
  </w:num>
  <w:num w:numId="14">
    <w:abstractNumId w:val="6"/>
  </w:num>
  <w:num w:numId="15">
    <w:abstractNumId w:val="24"/>
  </w:num>
  <w:num w:numId="16">
    <w:abstractNumId w:val="20"/>
  </w:num>
  <w:num w:numId="17">
    <w:abstractNumId w:val="19"/>
  </w:num>
  <w:num w:numId="18">
    <w:abstractNumId w:val="15"/>
  </w:num>
  <w:num w:numId="19">
    <w:abstractNumId w:val="4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8"/>
  </w:num>
  <w:num w:numId="23">
    <w:abstractNumId w:val="13"/>
  </w:num>
  <w:num w:numId="24">
    <w:abstractNumId w:val="32"/>
  </w:num>
  <w:num w:numId="25">
    <w:abstractNumId w:val="23"/>
  </w:num>
  <w:num w:numId="26">
    <w:abstractNumId w:val="12"/>
  </w:num>
  <w:num w:numId="27">
    <w:abstractNumId w:val="34"/>
  </w:num>
  <w:num w:numId="28">
    <w:abstractNumId w:val="11"/>
  </w:num>
  <w:num w:numId="29">
    <w:abstractNumId w:val="16"/>
  </w:num>
  <w:num w:numId="30">
    <w:abstractNumId w:val="25"/>
  </w:num>
  <w:num w:numId="31">
    <w:abstractNumId w:val="28"/>
  </w:num>
  <w:num w:numId="32">
    <w:abstractNumId w:val="22"/>
  </w:num>
  <w:num w:numId="33">
    <w:abstractNumId w:val="21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E"/>
    <w:rsid w:val="00004848"/>
    <w:rsid w:val="000125FF"/>
    <w:rsid w:val="00032ED4"/>
    <w:rsid w:val="000366DA"/>
    <w:rsid w:val="00040C67"/>
    <w:rsid w:val="00040E7B"/>
    <w:rsid w:val="00064B07"/>
    <w:rsid w:val="00067FA9"/>
    <w:rsid w:val="00090E3B"/>
    <w:rsid w:val="00091AC1"/>
    <w:rsid w:val="0009209A"/>
    <w:rsid w:val="000D1538"/>
    <w:rsid w:val="000E38B0"/>
    <w:rsid w:val="000F7FF1"/>
    <w:rsid w:val="001055D8"/>
    <w:rsid w:val="00114E5D"/>
    <w:rsid w:val="001165B8"/>
    <w:rsid w:val="001165EB"/>
    <w:rsid w:val="00134589"/>
    <w:rsid w:val="00145A92"/>
    <w:rsid w:val="00155E72"/>
    <w:rsid w:val="00161CA4"/>
    <w:rsid w:val="00165320"/>
    <w:rsid w:val="0016695D"/>
    <w:rsid w:val="00173F88"/>
    <w:rsid w:val="00180406"/>
    <w:rsid w:val="001821F6"/>
    <w:rsid w:val="0019097E"/>
    <w:rsid w:val="001A01B3"/>
    <w:rsid w:val="001C242D"/>
    <w:rsid w:val="001C4A31"/>
    <w:rsid w:val="001D68EE"/>
    <w:rsid w:val="001D6F46"/>
    <w:rsid w:val="001E0448"/>
    <w:rsid w:val="001F7BE0"/>
    <w:rsid w:val="00201B07"/>
    <w:rsid w:val="00203BE7"/>
    <w:rsid w:val="002244E5"/>
    <w:rsid w:val="002255F4"/>
    <w:rsid w:val="00226E18"/>
    <w:rsid w:val="002455BE"/>
    <w:rsid w:val="002614A9"/>
    <w:rsid w:val="00276C8D"/>
    <w:rsid w:val="00290D2A"/>
    <w:rsid w:val="002958E8"/>
    <w:rsid w:val="002D2428"/>
    <w:rsid w:val="0032626B"/>
    <w:rsid w:val="003412AC"/>
    <w:rsid w:val="00362C08"/>
    <w:rsid w:val="003714E5"/>
    <w:rsid w:val="00392FA8"/>
    <w:rsid w:val="003C3473"/>
    <w:rsid w:val="003C3C3D"/>
    <w:rsid w:val="003E59B1"/>
    <w:rsid w:val="00421ECA"/>
    <w:rsid w:val="004312BD"/>
    <w:rsid w:val="004326EE"/>
    <w:rsid w:val="00454BD9"/>
    <w:rsid w:val="0046325D"/>
    <w:rsid w:val="00463B64"/>
    <w:rsid w:val="004753B0"/>
    <w:rsid w:val="0047711D"/>
    <w:rsid w:val="004D54DC"/>
    <w:rsid w:val="00504073"/>
    <w:rsid w:val="00505F5F"/>
    <w:rsid w:val="005202D3"/>
    <w:rsid w:val="00546683"/>
    <w:rsid w:val="00554BF3"/>
    <w:rsid w:val="00566E83"/>
    <w:rsid w:val="00571575"/>
    <w:rsid w:val="005E6E48"/>
    <w:rsid w:val="00603555"/>
    <w:rsid w:val="00604D15"/>
    <w:rsid w:val="00606FDA"/>
    <w:rsid w:val="006138D7"/>
    <w:rsid w:val="006333CE"/>
    <w:rsid w:val="006340A1"/>
    <w:rsid w:val="00642805"/>
    <w:rsid w:val="00646CCC"/>
    <w:rsid w:val="006527F1"/>
    <w:rsid w:val="00681E47"/>
    <w:rsid w:val="0069149D"/>
    <w:rsid w:val="006B50FD"/>
    <w:rsid w:val="006D55CE"/>
    <w:rsid w:val="006F4207"/>
    <w:rsid w:val="006F5C1D"/>
    <w:rsid w:val="0072270F"/>
    <w:rsid w:val="00736735"/>
    <w:rsid w:val="00745DAD"/>
    <w:rsid w:val="00762532"/>
    <w:rsid w:val="00763877"/>
    <w:rsid w:val="00782466"/>
    <w:rsid w:val="007A7135"/>
    <w:rsid w:val="007A7862"/>
    <w:rsid w:val="007E2923"/>
    <w:rsid w:val="008264D7"/>
    <w:rsid w:val="00845C82"/>
    <w:rsid w:val="00846681"/>
    <w:rsid w:val="00872CE0"/>
    <w:rsid w:val="0088106A"/>
    <w:rsid w:val="008C5FAE"/>
    <w:rsid w:val="008C7C5D"/>
    <w:rsid w:val="008D51A3"/>
    <w:rsid w:val="008F773D"/>
    <w:rsid w:val="00916555"/>
    <w:rsid w:val="00922794"/>
    <w:rsid w:val="0095393B"/>
    <w:rsid w:val="00966CA5"/>
    <w:rsid w:val="0097414C"/>
    <w:rsid w:val="009919E0"/>
    <w:rsid w:val="009E79F0"/>
    <w:rsid w:val="009F5741"/>
    <w:rsid w:val="00A11034"/>
    <w:rsid w:val="00AA1FB0"/>
    <w:rsid w:val="00AB1602"/>
    <w:rsid w:val="00AB3188"/>
    <w:rsid w:val="00AC4459"/>
    <w:rsid w:val="00B00925"/>
    <w:rsid w:val="00B03AB8"/>
    <w:rsid w:val="00B251A5"/>
    <w:rsid w:val="00B457A4"/>
    <w:rsid w:val="00B45D3F"/>
    <w:rsid w:val="00B46080"/>
    <w:rsid w:val="00B50DB1"/>
    <w:rsid w:val="00B609E0"/>
    <w:rsid w:val="00B62A7B"/>
    <w:rsid w:val="00B65A7C"/>
    <w:rsid w:val="00BC6AB5"/>
    <w:rsid w:val="00BE0F35"/>
    <w:rsid w:val="00BE70BD"/>
    <w:rsid w:val="00C17352"/>
    <w:rsid w:val="00C4411C"/>
    <w:rsid w:val="00C531E0"/>
    <w:rsid w:val="00C545BF"/>
    <w:rsid w:val="00C6641E"/>
    <w:rsid w:val="00C9696C"/>
    <w:rsid w:val="00CA562C"/>
    <w:rsid w:val="00CA572A"/>
    <w:rsid w:val="00CA6739"/>
    <w:rsid w:val="00CD40D9"/>
    <w:rsid w:val="00CD4C5D"/>
    <w:rsid w:val="00D02213"/>
    <w:rsid w:val="00D05DE3"/>
    <w:rsid w:val="00D13737"/>
    <w:rsid w:val="00D24601"/>
    <w:rsid w:val="00D276F7"/>
    <w:rsid w:val="00D278B1"/>
    <w:rsid w:val="00D355C7"/>
    <w:rsid w:val="00D36795"/>
    <w:rsid w:val="00D44E90"/>
    <w:rsid w:val="00D636B6"/>
    <w:rsid w:val="00DA3D0E"/>
    <w:rsid w:val="00DB4C7B"/>
    <w:rsid w:val="00DB4E13"/>
    <w:rsid w:val="00DD3F4B"/>
    <w:rsid w:val="00DD7923"/>
    <w:rsid w:val="00DE04A7"/>
    <w:rsid w:val="00E12885"/>
    <w:rsid w:val="00E1301F"/>
    <w:rsid w:val="00E1691F"/>
    <w:rsid w:val="00E231B8"/>
    <w:rsid w:val="00E473A4"/>
    <w:rsid w:val="00E50EF5"/>
    <w:rsid w:val="00E70D5A"/>
    <w:rsid w:val="00E740AE"/>
    <w:rsid w:val="00E85F92"/>
    <w:rsid w:val="00E87AE0"/>
    <w:rsid w:val="00E90B25"/>
    <w:rsid w:val="00E91820"/>
    <w:rsid w:val="00E92B83"/>
    <w:rsid w:val="00ED3C57"/>
    <w:rsid w:val="00ED63D8"/>
    <w:rsid w:val="00EF2BB7"/>
    <w:rsid w:val="00F10B8F"/>
    <w:rsid w:val="00F10CAC"/>
    <w:rsid w:val="00F31DF1"/>
    <w:rsid w:val="00F31E9E"/>
    <w:rsid w:val="00F51BE8"/>
    <w:rsid w:val="00F5385D"/>
    <w:rsid w:val="00F811C5"/>
    <w:rsid w:val="00F902A1"/>
    <w:rsid w:val="00F91CB4"/>
    <w:rsid w:val="00F97CD2"/>
    <w:rsid w:val="00FA1BBA"/>
    <w:rsid w:val="00FB0C3D"/>
    <w:rsid w:val="00F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A94F08"/>
  <w15:chartTrackingRefBased/>
  <w15:docId w15:val="{84DB7CB9-7ED2-4994-BFD6-E15C78E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- bullet,List Paragraph - bullet,Lists,List Bullet Cab,CAB - List Bullet,DDM Gen Text,List Paragraph1,Bullet Level 1,NAST Quote,Bullet Point,Bullet points,Bulleted Para,Content descriptions,L,List Paragraph11,Recommendation,Bullet"/>
    <w:basedOn w:val="Normal"/>
    <w:link w:val="ListParagraphChar"/>
    <w:uiPriority w:val="34"/>
    <w:qFormat/>
    <w:rsid w:val="001A01B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20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2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42805"/>
  </w:style>
  <w:style w:type="character" w:styleId="CommentReference">
    <w:name w:val="annotation reference"/>
    <w:basedOn w:val="DefaultParagraphFont"/>
    <w:uiPriority w:val="99"/>
    <w:semiHidden/>
    <w:unhideWhenUsed/>
    <w:rsid w:val="00E12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8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8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- bullet Char,List Paragraph - bullet Char,Lists Char,List Bullet Cab Char,CAB - List Bullet Char,DDM Gen Text Char,List Paragraph1 Char,Bullet Level 1 Char,NAST Quote Char,Bullet Point Char,Bullet points Char,Bulleted Para Char"/>
    <w:link w:val="ListParagraph"/>
    <w:uiPriority w:val="34"/>
    <w:qFormat/>
    <w:locked/>
    <w:rsid w:val="00E12885"/>
  </w:style>
  <w:style w:type="character" w:customStyle="1" w:styleId="Heading2Char">
    <w:name w:val="Heading 2 Char"/>
    <w:basedOn w:val="DefaultParagraphFont"/>
    <w:link w:val="Heading2"/>
    <w:uiPriority w:val="9"/>
    <w:rsid w:val="006F5C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2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213"/>
    <w:rPr>
      <w:color w:val="0563C1" w:themeColor="hyperlink"/>
      <w:u w:val="single"/>
    </w:rPr>
  </w:style>
  <w:style w:type="paragraph" w:customStyle="1" w:styleId="ListLegal1">
    <w:name w:val="List Legal 1"/>
    <w:basedOn w:val="Normal"/>
    <w:uiPriority w:val="3"/>
    <w:qFormat/>
    <w:rsid w:val="00D02213"/>
    <w:pPr>
      <w:numPr>
        <w:numId w:val="11"/>
      </w:numPr>
      <w:suppressAutoHyphens/>
      <w:spacing w:before="80" w:after="80" w:line="240" w:lineRule="auto"/>
    </w:pPr>
    <w:rPr>
      <w:color w:val="000000" w:themeColor="text1"/>
      <w:lang w:val="x-none"/>
    </w:rPr>
  </w:style>
  <w:style w:type="paragraph" w:customStyle="1" w:styleId="ListLegal2">
    <w:name w:val="List Legal 2"/>
    <w:basedOn w:val="ListLegal1"/>
    <w:uiPriority w:val="3"/>
    <w:rsid w:val="00D02213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D02213"/>
    <w:pPr>
      <w:numPr>
        <w:ilvl w:val="2"/>
      </w:numPr>
    </w:pPr>
  </w:style>
  <w:style w:type="numbering" w:customStyle="1" w:styleId="ListLegal">
    <w:name w:val="List Legal"/>
    <w:uiPriority w:val="99"/>
    <w:rsid w:val="00D02213"/>
    <w:pPr>
      <w:numPr>
        <w:numId w:val="11"/>
      </w:numPr>
    </w:pPr>
  </w:style>
  <w:style w:type="paragraph" w:customStyle="1" w:styleId="paragraph">
    <w:name w:val="paragraph"/>
    <w:basedOn w:val="Normal"/>
    <w:rsid w:val="00D0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D02213"/>
  </w:style>
  <w:style w:type="paragraph" w:styleId="Revision">
    <w:name w:val="Revision"/>
    <w:hidden/>
    <w:uiPriority w:val="99"/>
    <w:semiHidden/>
    <w:rsid w:val="00114E5D"/>
    <w:pPr>
      <w:spacing w:after="0" w:line="24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762532"/>
    <w:pPr>
      <w:numPr>
        <w:numId w:val="22"/>
      </w:numPr>
      <w:tabs>
        <w:tab w:val="right" w:leader="dot" w:pos="9016"/>
      </w:tabs>
      <w:suppressAutoHyphens/>
      <w:spacing w:before="160" w:after="100" w:line="240" w:lineRule="auto"/>
    </w:pPr>
    <w:rPr>
      <w:color w:val="000000" w:themeColor="text1"/>
    </w:rPr>
  </w:style>
  <w:style w:type="paragraph" w:customStyle="1" w:styleId="ListParagraph2">
    <w:name w:val="List Paragraph 2"/>
    <w:basedOn w:val="ListParagraph"/>
    <w:uiPriority w:val="19"/>
    <w:rsid w:val="0047711D"/>
    <w:pPr>
      <w:spacing w:before="60" w:after="60" w:line="264" w:lineRule="auto"/>
      <w:ind w:left="851" w:hanging="1"/>
      <w:contextualSpacing w:val="0"/>
    </w:pPr>
    <w:rPr>
      <w:sz w:val="20"/>
    </w:rPr>
  </w:style>
  <w:style w:type="paragraph" w:customStyle="1" w:styleId="ListParagraph3">
    <w:name w:val="List Paragraph 3"/>
    <w:basedOn w:val="ListParagraph"/>
    <w:uiPriority w:val="19"/>
    <w:rsid w:val="0047711D"/>
    <w:pPr>
      <w:tabs>
        <w:tab w:val="num" w:pos="360"/>
      </w:tabs>
      <w:spacing w:before="60" w:after="60" w:line="264" w:lineRule="auto"/>
      <w:ind w:left="425"/>
      <w:contextualSpacing w:val="0"/>
    </w:pPr>
    <w:rPr>
      <w:sz w:val="20"/>
    </w:rPr>
  </w:style>
  <w:style w:type="paragraph" w:customStyle="1" w:styleId="ListParagraph4">
    <w:name w:val="List Paragraph 4"/>
    <w:basedOn w:val="ListParagraph"/>
    <w:uiPriority w:val="19"/>
    <w:rsid w:val="0047711D"/>
    <w:pPr>
      <w:spacing w:before="60" w:after="60" w:line="264" w:lineRule="auto"/>
      <w:ind w:left="1701" w:hanging="1"/>
      <w:contextualSpacing w:val="0"/>
    </w:pPr>
    <w:rPr>
      <w:sz w:val="20"/>
    </w:rPr>
  </w:style>
  <w:style w:type="paragraph" w:customStyle="1" w:styleId="ListParagraph5">
    <w:name w:val="List Paragraph 5"/>
    <w:basedOn w:val="ListParagraph"/>
    <w:uiPriority w:val="19"/>
    <w:rsid w:val="0047711D"/>
    <w:pPr>
      <w:tabs>
        <w:tab w:val="num" w:pos="3600"/>
      </w:tabs>
      <w:spacing w:before="60" w:after="60" w:line="264" w:lineRule="auto"/>
      <w:ind w:left="3600" w:hanging="720"/>
      <w:contextualSpacing w:val="0"/>
    </w:pPr>
    <w:rPr>
      <w:sz w:val="20"/>
    </w:rPr>
  </w:style>
  <w:style w:type="paragraph" w:styleId="BodyText">
    <w:name w:val="Body Text"/>
    <w:basedOn w:val="Normal"/>
    <w:link w:val="BodyTextChar"/>
    <w:qFormat/>
    <w:rsid w:val="0047711D"/>
    <w:pPr>
      <w:spacing w:before="120" w:after="120" w:line="264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47711D"/>
    <w:rPr>
      <w:sz w:val="20"/>
    </w:rPr>
  </w:style>
  <w:style w:type="paragraph" w:styleId="ListBullet0">
    <w:name w:val="List Bullet"/>
    <w:basedOn w:val="BodyText"/>
    <w:uiPriority w:val="2"/>
    <w:qFormat/>
    <w:rsid w:val="0047711D"/>
    <w:pPr>
      <w:numPr>
        <w:numId w:val="24"/>
      </w:numPr>
      <w:tabs>
        <w:tab w:val="clear" w:pos="425"/>
        <w:tab w:val="num" w:pos="720"/>
      </w:tabs>
      <w:spacing w:before="60" w:after="60"/>
      <w:ind w:left="720" w:hanging="720"/>
    </w:pPr>
  </w:style>
  <w:style w:type="numbering" w:customStyle="1" w:styleId="ListBullet">
    <w:name w:val="List_Bullet"/>
    <w:uiPriority w:val="99"/>
    <w:rsid w:val="0047711D"/>
    <w:pPr>
      <w:numPr>
        <w:numId w:val="24"/>
      </w:numPr>
    </w:pPr>
  </w:style>
  <w:style w:type="paragraph" w:customStyle="1" w:styleId="ListBullet6">
    <w:name w:val="List Bullet 6"/>
    <w:basedOn w:val="ListBullet0"/>
    <w:uiPriority w:val="19"/>
    <w:rsid w:val="0047711D"/>
    <w:pPr>
      <w:numPr>
        <w:ilvl w:val="5"/>
      </w:numPr>
      <w:tabs>
        <w:tab w:val="clear" w:pos="2550"/>
        <w:tab w:val="num" w:pos="4320"/>
      </w:tabs>
      <w:ind w:left="4320" w:hanging="720"/>
    </w:pPr>
  </w:style>
  <w:style w:type="paragraph" w:styleId="ListBullet2">
    <w:name w:val="List Bullet 2"/>
    <w:basedOn w:val="ListBullet0"/>
    <w:uiPriority w:val="19"/>
    <w:rsid w:val="0047711D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47711D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7711D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7711D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rsid w:val="0047711D"/>
    <w:pPr>
      <w:spacing w:before="60" w:after="60" w:line="264" w:lineRule="auto"/>
      <w:ind w:left="2552" w:hanging="2"/>
      <w:contextualSpacing w:val="0"/>
    </w:pPr>
    <w:rPr>
      <w:sz w:val="20"/>
    </w:rPr>
  </w:style>
  <w:style w:type="numbering" w:customStyle="1" w:styleId="ListParagraph0">
    <w:name w:val="List Paragraph0"/>
    <w:uiPriority w:val="99"/>
    <w:rsid w:val="0047711D"/>
    <w:pPr>
      <w:numPr>
        <w:numId w:val="23"/>
      </w:numPr>
    </w:pPr>
  </w:style>
  <w:style w:type="paragraph" w:styleId="FootnoteText">
    <w:name w:val="footnote text"/>
    <w:basedOn w:val="Normal"/>
    <w:link w:val="FootnoteTextChar"/>
    <w:uiPriority w:val="99"/>
    <w:rsid w:val="0047711D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711D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47711D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97414C"/>
    <w:rPr>
      <w:color w:val="2B579A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8"/>
    <w:qFormat/>
    <w:rsid w:val="002244E5"/>
    <w:pPr>
      <w:numPr>
        <w:ilvl w:val="1"/>
      </w:numPr>
      <w:suppressAutoHyphens/>
      <w:spacing w:before="480" w:line="240" w:lineRule="auto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2244E5"/>
    <w:rPr>
      <w:rFonts w:asciiTheme="majorHAnsi" w:eastAsiaTheme="minorEastAsia" w:hAnsiTheme="majorHAnsi"/>
      <w:color w:val="377B88"/>
      <w:sz w:val="44"/>
    </w:rPr>
  </w:style>
  <w:style w:type="paragraph" w:customStyle="1" w:styleId="CoverDate">
    <w:name w:val="Cover Date"/>
    <w:basedOn w:val="Normal"/>
    <w:uiPriority w:val="19"/>
    <w:qFormat/>
    <w:rsid w:val="002244E5"/>
    <w:pPr>
      <w:suppressAutoHyphens/>
      <w:spacing w:before="160" w:after="80" w:line="240" w:lineRule="auto"/>
    </w:pPr>
    <w:rPr>
      <w:b/>
      <w:color w:val="000000" w:themeColor="text1"/>
    </w:rPr>
  </w:style>
  <w:style w:type="paragraph" w:customStyle="1" w:styleId="Bullet1">
    <w:name w:val="Bullet 1"/>
    <w:basedOn w:val="Normal"/>
    <w:uiPriority w:val="3"/>
    <w:qFormat/>
    <w:rsid w:val="002244E5"/>
    <w:pPr>
      <w:numPr>
        <w:numId w:val="29"/>
      </w:numPr>
      <w:suppressAutoHyphens/>
      <w:spacing w:before="80" w:after="80" w:line="240" w:lineRule="auto"/>
    </w:pPr>
    <w:rPr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2244E5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2244E5"/>
    <w:pPr>
      <w:numPr>
        <w:ilvl w:val="2"/>
      </w:numPr>
    </w:pPr>
  </w:style>
  <w:style w:type="numbering" w:customStyle="1" w:styleId="Bullets">
    <w:name w:val="Bullets"/>
    <w:uiPriority w:val="99"/>
    <w:rsid w:val="002244E5"/>
    <w:pPr>
      <w:numPr>
        <w:numId w:val="29"/>
      </w:numPr>
    </w:pPr>
  </w:style>
  <w:style w:type="paragraph" w:customStyle="1" w:styleId="Heading1Numbered">
    <w:name w:val="Heading 1 Numbered"/>
    <w:basedOn w:val="Heading1"/>
    <w:uiPriority w:val="10"/>
    <w:rsid w:val="00D278B1"/>
    <w:pPr>
      <w:suppressAutoHyphens/>
      <w:spacing w:before="480" w:after="160" w:line="240" w:lineRule="auto"/>
      <w:ind w:left="567" w:hanging="567"/>
      <w:contextualSpacing/>
    </w:pPr>
    <w:rPr>
      <w:color w:val="44546A" w:themeColor="text2"/>
      <w:sz w:val="44"/>
    </w:rPr>
  </w:style>
  <w:style w:type="paragraph" w:styleId="Header">
    <w:name w:val="header"/>
    <w:basedOn w:val="Normal"/>
    <w:link w:val="HeaderChar"/>
    <w:uiPriority w:val="99"/>
    <w:unhideWhenUsed/>
    <w:rsid w:val="00B6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E0"/>
  </w:style>
  <w:style w:type="paragraph" w:styleId="Footer">
    <w:name w:val="footer"/>
    <w:basedOn w:val="Normal"/>
    <w:link w:val="FooterChar"/>
    <w:uiPriority w:val="99"/>
    <w:unhideWhenUsed/>
    <w:rsid w:val="00B60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E0"/>
  </w:style>
  <w:style w:type="character" w:styleId="UnresolvedMention">
    <w:name w:val="Unresolved Mention"/>
    <w:basedOn w:val="DefaultParagraphFont"/>
    <w:uiPriority w:val="99"/>
    <w:semiHidden/>
    <w:unhideWhenUsed/>
    <w:rsid w:val="00261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infrastructure.gov.au/coastal-trading-revie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infrastructure.gov.au/sites/default/files/documents/strategic-fleet-taskforce-final-report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www.un.org/depts/los/convention_agreements/convention_overview_convention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pc.gov.au/sites/default/files/2023-01/s13ag320.v55.pdf" TargetMode="External"/><Relationship Id="rId1" Type="http://schemas.openxmlformats.org/officeDocument/2006/relationships/hyperlink" Target="https://www.alrc.gov.au/publication/for-your-information-australian-privacy-law-and-practice-alrc-report-1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F7469F833C847A5B3FBA3B52DF2CB" ma:contentTypeVersion="5" ma:contentTypeDescription="Create a new document." ma:contentTypeScope="" ma:versionID="e309a4580dd13722a29835ba9bc00707">
  <xsd:schema xmlns:xsd="http://www.w3.org/2001/XMLSchema" xmlns:xs="http://www.w3.org/2001/XMLSchema" xmlns:p="http://schemas.microsoft.com/office/2006/metadata/properties" xmlns:ns2="dbebc40f-f9ee-46fe-882d-981698ee0453" targetNamespace="http://schemas.microsoft.com/office/2006/metadata/properties" ma:root="true" ma:fieldsID="260548f6974434520d4424a8d6dd8ce7" ns2:_="">
    <xsd:import namespace="dbebc40f-f9ee-46fe-882d-981698ee0453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gd8b8488099b49cc860a2a6e7d8d90fa" minOccurs="0"/>
                <xsd:element ref="ns2:TaxCatchAll" minOccurs="0"/>
                <xsd:element ref="ns2:TaxCatchAllLabel" minOccurs="0"/>
                <xsd:element ref="ns2:la5be840687e41c7a95fc7e04ecab72f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bc40f-f9ee-46fe-882d-981698ee0453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gd8b8488099b49cc860a2a6e7d8d90fa" ma:index="9" ma:taxonomy="true" ma:internalName="gd8b8488099b49cc860a2a6e7d8d90fa" ma:taxonomyFieldName="Security_x0020_Classification" ma:displayName="Security Classification" ma:readOnly="false" ma:default="1;#OFFICIAL|66ee57a8-59d0-46bc-a5fc-78440ee0cf81" ma:fieldId="{0d8b8488-099b-49cc-860a-2a6e7d8d90fa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b70660b-af5f-4d79-83ab-2f8d0584ef06}" ma:internalName="TaxCatchAll" ma:showField="CatchAllData" ma:web="dbebc40f-f9ee-46fe-882d-981698ee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b70660b-af5f-4d79-83ab-2f8d0584ef06}" ma:internalName="TaxCatchAllLabel" ma:readOnly="true" ma:showField="CatchAllDataLabel" ma:web="dbebc40f-f9ee-46fe-882d-981698ee04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5be840687e41c7a95fc7e04ecab72f" ma:index="13" nillable="true" ma:taxonomy="true" ma:internalName="la5be840687e41c7a95fc7e04ecab72f" ma:taxonomyFieldName="Information_x0020_Management_x0020_Marker" ma:displayName="Information Management Marker" ma:default="" ma:fieldId="{5a5be840-687e-41c7-a95f-c7e04ecab72f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5321-6AD8-48D2-810F-CF1910316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bc40f-f9ee-46fe-882d-981698ee0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C1C2E-9C27-4FB6-8B27-920C60F4F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3A655-F133-40F0-B00D-A423D45B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Lucinda</dc:creator>
  <cp:keywords/>
  <dc:description/>
  <cp:lastModifiedBy>ELLIS, Mark</cp:lastModifiedBy>
  <cp:revision>5</cp:revision>
  <cp:lastPrinted>2024-09-23T07:50:00Z</cp:lastPrinted>
  <dcterms:created xsi:type="dcterms:W3CDTF">2024-09-30T23:14:00Z</dcterms:created>
  <dcterms:modified xsi:type="dcterms:W3CDTF">2024-10-02T04:03:00Z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0x010100774F7469F833C847A5B3FBA3B52DF2CB</vt:lpwstr>
  </property>
</Properties>
</file>