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C1F6F" w14:textId="77777777" w:rsidR="00567FAF" w:rsidRDefault="00297528" w:rsidP="00297528">
      <w:pPr>
        <w:ind w:left="-1418"/>
        <w:sectPr w:rsidR="00567FAF" w:rsidSect="0084603E">
          <w:footerReference w:type="default" r:id="rId11"/>
          <w:pgSz w:w="11906" w:h="16838"/>
          <w:pgMar w:top="0" w:right="1440" w:bottom="1440" w:left="1440" w:header="0" w:footer="0" w:gutter="0"/>
          <w:cols w:space="708"/>
          <w:docGrid w:linePitch="360"/>
        </w:sectPr>
      </w:pPr>
      <w:bookmarkStart w:id="0" w:name="_GoBack"/>
      <w:bookmarkEnd w:id="0"/>
      <w:r>
        <w:rPr>
          <w:noProof/>
          <w:lang w:eastAsia="zh-TW" w:bidi="hi-IN"/>
        </w:rPr>
        <w:drawing>
          <wp:inline distT="0" distB="0" distL="0" distR="0" wp14:anchorId="4870B4B4" wp14:editId="26D14A90">
            <wp:extent cx="7537757" cy="1349375"/>
            <wp:effectExtent l="0" t="0" r="6350" b="3175"/>
            <wp:docPr id="1" name="Picture 1" descr="Logo: Australian Government, Department of Communications and the Arts.&#10;http://www.communications.gov.au&#10;http://www.arts.gov.au&#10;&#10;GPO Box 2154, Canberra ACT 2601 Australia.&#10;Telephone 02 6271 1000" title="Logo banner for the Australian Government's Department of Communic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12">
                      <a:extLst>
                        <a:ext uri="{28A0092B-C50C-407E-A947-70E740481C1C}">
                          <a14:useLocalDpi xmlns:a14="http://schemas.microsoft.com/office/drawing/2010/main" val="0"/>
                        </a:ext>
                      </a:extLst>
                    </a:blip>
                    <a:stretch>
                      <a:fillRect/>
                    </a:stretch>
                  </pic:blipFill>
                  <pic:spPr>
                    <a:xfrm>
                      <a:off x="0" y="0"/>
                      <a:ext cx="7565339" cy="1354313"/>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55EC6F6" w14:textId="34D3DEFD" w:rsidR="00A7176A" w:rsidRPr="00726FEA" w:rsidRDefault="00FF2609" w:rsidP="00C61D2E">
      <w:pPr>
        <w:pStyle w:val="Heading1"/>
      </w:pPr>
      <w:r w:rsidRPr="00726FEA">
        <w:t xml:space="preserve">Spectrum </w:t>
      </w:r>
      <w:r w:rsidR="00CA6C65">
        <w:t>P</w:t>
      </w:r>
      <w:r w:rsidR="00CA6C65" w:rsidRPr="00726FEA">
        <w:t>ricing</w:t>
      </w:r>
    </w:p>
    <w:p w14:paraId="2003727B" w14:textId="24660DCE" w:rsidR="00A7176A" w:rsidRPr="005621D9" w:rsidRDefault="00EE0C8A" w:rsidP="00A7176A">
      <w:pPr>
        <w:pStyle w:val="subtitleofdocument"/>
      </w:pPr>
      <w:r>
        <w:t>Consultation paper</w:t>
      </w:r>
    </w:p>
    <w:p w14:paraId="3F4BAB7B" w14:textId="7406EE6A" w:rsidR="00A7176A" w:rsidRPr="005621D9" w:rsidRDefault="00E5243B" w:rsidP="00A7176A">
      <w:pPr>
        <w:pStyle w:val="Normal-monthyearforcoverpage"/>
      </w:pPr>
      <w:r>
        <w:t>May</w:t>
      </w:r>
      <w:r w:rsidR="005E197F">
        <w:t xml:space="preserve"> </w:t>
      </w:r>
      <w:r w:rsidR="00EE0C8A">
        <w:t>2017</w:t>
      </w:r>
    </w:p>
    <w:p w14:paraId="54FE5C82" w14:textId="77777777" w:rsidR="00A7176A" w:rsidRDefault="00A7176A" w:rsidP="00A7176A">
      <w:r>
        <w:br w:type="page"/>
      </w:r>
    </w:p>
    <w:p w14:paraId="3D2FC45D" w14:textId="77777777" w:rsidR="00A7176A" w:rsidRPr="0009516A" w:rsidRDefault="00A7176A" w:rsidP="005537E3">
      <w:pPr>
        <w:pStyle w:val="Heading2"/>
        <w:spacing w:after="120"/>
      </w:pPr>
      <w:bookmarkStart w:id="1" w:name="_Toc480793057"/>
      <w:bookmarkStart w:id="2" w:name="_Toc480793134"/>
      <w:r>
        <w:lastRenderedPageBreak/>
        <w:t>Disclaimer</w:t>
      </w:r>
      <w:bookmarkEnd w:id="1"/>
      <w:bookmarkEnd w:id="2"/>
    </w:p>
    <w:p w14:paraId="6C8CF528" w14:textId="77777777" w:rsidR="00A7176A" w:rsidRPr="0058020C" w:rsidRDefault="00A7176A" w:rsidP="00A7176A">
      <w:r w:rsidRPr="0058020C">
        <w:t xml:space="preserve">The material in this </w:t>
      </w:r>
      <w:r w:rsidR="00EE0C8A" w:rsidRPr="0058020C">
        <w:t>consultation paper</w:t>
      </w:r>
      <w:r w:rsidRPr="0058020C">
        <w:t xml:space="preserve"> 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14:paraId="76A5E368" w14:textId="77777777" w:rsidR="00A7176A" w:rsidRPr="0058020C" w:rsidRDefault="00A7176A" w:rsidP="00A7176A">
      <w:r w:rsidRPr="0058020C">
        <w:t xml:space="preserve">The Commonwealth accepts no responsibility or liability for any damage, loss or expense incurred as a result of the reliance on information contained in this </w:t>
      </w:r>
      <w:r w:rsidR="00EE0C8A" w:rsidRPr="0058020C">
        <w:t>consultation paper</w:t>
      </w:r>
      <w:r w:rsidRPr="0058020C">
        <w:t>.</w:t>
      </w:r>
    </w:p>
    <w:p w14:paraId="551211EE" w14:textId="77777777" w:rsidR="00A7176A" w:rsidRPr="0058020C" w:rsidRDefault="00A7176A" w:rsidP="00A7176A">
      <w:r w:rsidRPr="0058020C">
        <w:t xml:space="preserve">This </w:t>
      </w:r>
      <w:r w:rsidR="00EE0C8A" w:rsidRPr="0058020C">
        <w:t>consultation paper</w:t>
      </w:r>
      <w:r w:rsidRPr="0058020C">
        <w:t xml:space="preserve"> has been prepared for consultation purposes only and does not indicate the Commonwealth’s commitment to a particular course of action. Additionally, any third party views or recommendations included in this </w:t>
      </w:r>
      <w:r w:rsidR="00EE0C8A" w:rsidRPr="0058020C">
        <w:t>consultation paper</w:t>
      </w:r>
      <w:r w:rsidRPr="0058020C">
        <w:t xml:space="preserve"> do not reflect the views of the Commonwealth, or indicate its commitment to a particular course of action.</w:t>
      </w:r>
    </w:p>
    <w:p w14:paraId="3146A8C2" w14:textId="77777777" w:rsidR="00A7176A" w:rsidRPr="0058020C" w:rsidRDefault="00A7176A" w:rsidP="00204466">
      <w:pPr>
        <w:pStyle w:val="Heading2-notshowingincontentsindocument"/>
      </w:pPr>
      <w:bookmarkStart w:id="3" w:name="_Toc480793058"/>
      <w:bookmarkStart w:id="4" w:name="_Toc480793135"/>
      <w:r w:rsidRPr="0058020C">
        <w:t>Copyright</w:t>
      </w:r>
      <w:bookmarkEnd w:id="3"/>
      <w:bookmarkEnd w:id="4"/>
    </w:p>
    <w:p w14:paraId="7EC4F762" w14:textId="77777777" w:rsidR="00A7176A" w:rsidRPr="0058020C" w:rsidRDefault="00A7176A" w:rsidP="00A7176A">
      <w:r w:rsidRPr="0058020C">
        <w:t xml:space="preserve">© Commonwealth of Australia </w:t>
      </w:r>
      <w:r w:rsidR="00EE0C8A" w:rsidRPr="0058020C">
        <w:t>2017</w:t>
      </w:r>
    </w:p>
    <w:p w14:paraId="655373CB" w14:textId="77777777" w:rsidR="00A7176A" w:rsidRPr="0058020C" w:rsidRDefault="00A7176A" w:rsidP="00A7176A">
      <w:r w:rsidRPr="0058020C">
        <w:t>The material in this discussion paper is licensed under a Creative Commons Attribution—3.0 Australia license, with the exception of:</w:t>
      </w:r>
    </w:p>
    <w:p w14:paraId="4D8E2310" w14:textId="77777777" w:rsidR="00A7176A" w:rsidRPr="0058020C" w:rsidRDefault="00A7176A" w:rsidP="00A7176A">
      <w:pPr>
        <w:pStyle w:val="Bulletlevel1"/>
      </w:pPr>
      <w:r w:rsidRPr="0058020C">
        <w:t>the Commonwealth Coat of Arms</w:t>
      </w:r>
    </w:p>
    <w:p w14:paraId="60E4015D" w14:textId="77777777" w:rsidR="00A7176A" w:rsidRPr="0058020C" w:rsidRDefault="00A7176A" w:rsidP="00A7176A">
      <w:pPr>
        <w:pStyle w:val="Bulletlevel1"/>
      </w:pPr>
      <w:r w:rsidRPr="0058020C">
        <w:t>this Department’s logo</w:t>
      </w:r>
    </w:p>
    <w:p w14:paraId="261543D9" w14:textId="77777777" w:rsidR="00A7176A" w:rsidRPr="0058020C" w:rsidRDefault="00A7176A" w:rsidP="00A7176A">
      <w:pPr>
        <w:pStyle w:val="Bulletlevel1"/>
      </w:pPr>
      <w:r w:rsidRPr="0058020C">
        <w:t>any third party material</w:t>
      </w:r>
    </w:p>
    <w:p w14:paraId="18D8A75D" w14:textId="77777777" w:rsidR="00A7176A" w:rsidRPr="0058020C" w:rsidRDefault="00A7176A" w:rsidP="00A7176A">
      <w:pPr>
        <w:pStyle w:val="Bulletlevel1"/>
      </w:pPr>
      <w:r w:rsidRPr="0058020C">
        <w:t>any material protected by a trademark, and</w:t>
      </w:r>
    </w:p>
    <w:p w14:paraId="4A9951DB" w14:textId="77777777" w:rsidR="00A7176A" w:rsidRPr="0058020C" w:rsidRDefault="00A7176A" w:rsidP="00A7176A">
      <w:pPr>
        <w:pStyle w:val="Bulletlevel1"/>
      </w:pPr>
      <w:r w:rsidRPr="0058020C">
        <w:t>any images and/or photographs.</w:t>
      </w:r>
    </w:p>
    <w:p w14:paraId="76E62BCD" w14:textId="77777777" w:rsidR="00A7176A" w:rsidRPr="0058020C" w:rsidRDefault="00A7176A" w:rsidP="00A7176A">
      <w:r w:rsidRPr="0058020C">
        <w:t xml:space="preserve">More information on this CC BY license is set out at the creative commons website: </w:t>
      </w:r>
      <w:hyperlink r:id="rId13" w:history="1">
        <w:r w:rsidRPr="0058020C">
          <w:rPr>
            <w:rStyle w:val="Hyperlink"/>
          </w:rPr>
          <w:t>www.creativecommons.org/licenses/by/3.0/au/</w:t>
        </w:r>
      </w:hyperlink>
      <w:r w:rsidRPr="0058020C">
        <w:t xml:space="preserve">. Enquiries about this license and any use of this discussion paper can be sent to: </w:t>
      </w:r>
      <w:r w:rsidR="00EE0C8A" w:rsidRPr="0058020C">
        <w:t>Spectrum Branch</w:t>
      </w:r>
      <w:r w:rsidRPr="0058020C">
        <w:t>, Department of Communications and the Arts, GPO Box 2154, Canberra, ACT, 2601.</w:t>
      </w:r>
    </w:p>
    <w:p w14:paraId="772B513A" w14:textId="77777777" w:rsidR="00A7176A" w:rsidRPr="0058020C" w:rsidRDefault="00A7176A" w:rsidP="00204466">
      <w:pPr>
        <w:pStyle w:val="Heading3"/>
      </w:pPr>
      <w:r w:rsidRPr="0058020C">
        <w:t>Attribution</w:t>
      </w:r>
    </w:p>
    <w:p w14:paraId="53D824B7" w14:textId="77777777" w:rsidR="00A7176A" w:rsidRPr="0058020C" w:rsidRDefault="00A7176A" w:rsidP="00A7176A">
      <w:r w:rsidRPr="0058020C">
        <w:t xml:space="preserve">Use of all or part of this </w:t>
      </w:r>
      <w:r w:rsidR="00EE0C8A" w:rsidRPr="0058020C">
        <w:t>consultation paper</w:t>
      </w:r>
      <w:r w:rsidRPr="0058020C">
        <w:t xml:space="preserve"> must include the following attribution:</w:t>
      </w:r>
    </w:p>
    <w:p w14:paraId="26056A0E" w14:textId="77777777" w:rsidR="00A7176A" w:rsidRPr="0058020C" w:rsidRDefault="00A7176A" w:rsidP="00A7176A">
      <w:pPr>
        <w:ind w:left="567"/>
      </w:pPr>
      <w:r w:rsidRPr="0058020C">
        <w:t xml:space="preserve">© Commonwealth of Australia </w:t>
      </w:r>
      <w:r w:rsidR="00EE0C8A" w:rsidRPr="0058020C">
        <w:t>2017</w:t>
      </w:r>
    </w:p>
    <w:p w14:paraId="38C2724E" w14:textId="77777777" w:rsidR="00A7176A" w:rsidRPr="0058020C" w:rsidRDefault="00A7176A" w:rsidP="00204466">
      <w:pPr>
        <w:pStyle w:val="Heading3"/>
      </w:pPr>
      <w:bookmarkStart w:id="5" w:name="_Toc356292524"/>
      <w:r w:rsidRPr="0058020C">
        <w:t>Using the Commonwealth Coat of Arms</w:t>
      </w:r>
      <w:bookmarkEnd w:id="5"/>
    </w:p>
    <w:p w14:paraId="16A7DE4C" w14:textId="77777777" w:rsidR="0016724A" w:rsidRDefault="00A7176A" w:rsidP="00A7176A">
      <w:bookmarkStart w:id="6" w:name="_Toc356292525"/>
      <w:r w:rsidRPr="0058020C">
        <w:t xml:space="preserve">The terms of use for the Coat of Arms are available from the It’s an Honour website </w:t>
      </w:r>
      <w:r w:rsidRPr="0058020C">
        <w:br/>
        <w:t xml:space="preserve">(see </w:t>
      </w:r>
      <w:bookmarkEnd w:id="6"/>
      <w:r w:rsidRPr="0058020C">
        <w:fldChar w:fldCharType="begin"/>
      </w:r>
      <w:r w:rsidRPr="0058020C">
        <w:instrText xml:space="preserve"> HYPERLINK "http://www.itsanhonour.gov.au/" </w:instrText>
      </w:r>
      <w:r w:rsidRPr="0058020C">
        <w:fldChar w:fldCharType="separate"/>
      </w:r>
      <w:r w:rsidRPr="0058020C">
        <w:rPr>
          <w:rStyle w:val="Hyperlink"/>
        </w:rPr>
        <w:t>www.itsanhonour.gov.au</w:t>
      </w:r>
      <w:r w:rsidRPr="0058020C">
        <w:fldChar w:fldCharType="end"/>
      </w:r>
      <w:r w:rsidRPr="0058020C">
        <w:t xml:space="preserve"> and click ‘Commonwealth Coat of Arms’).</w:t>
      </w:r>
    </w:p>
    <w:p w14:paraId="4107D9C8" w14:textId="77777777" w:rsidR="0016724A" w:rsidRDefault="0016724A">
      <w:pPr>
        <w:spacing w:after="160" w:line="259" w:lineRule="auto"/>
      </w:pPr>
      <w:r>
        <w:br w:type="page"/>
      </w:r>
    </w:p>
    <w:p w14:paraId="5FE43077" w14:textId="77777777" w:rsidR="00283ADB" w:rsidRDefault="00283ADB" w:rsidP="00283ADB">
      <w:pPr>
        <w:spacing w:before="5000"/>
        <w:jc w:val="center"/>
      </w:pPr>
    </w:p>
    <w:p w14:paraId="3A6F6AB2" w14:textId="77777777" w:rsidR="00A7176A" w:rsidRPr="0009516A" w:rsidRDefault="00A7176A" w:rsidP="00204466">
      <w:pPr>
        <w:pStyle w:val="Heading2"/>
      </w:pPr>
      <w:r w:rsidRPr="0009516A">
        <w:t>Contents</w:t>
      </w:r>
    </w:p>
    <w:p w14:paraId="73E8626A" w14:textId="74786BE7" w:rsidR="00864B60" w:rsidRDefault="00A7176A">
      <w:pPr>
        <w:pStyle w:val="TOC1"/>
        <w:rPr>
          <w:rFonts w:eastAsiaTheme="minorEastAsia"/>
          <w:b w:val="0"/>
          <w:noProof/>
          <w:color w:val="auto"/>
          <w:sz w:val="22"/>
          <w:lang w:eastAsia="en-AU"/>
        </w:rPr>
      </w:pPr>
      <w:r>
        <w:fldChar w:fldCharType="begin"/>
      </w:r>
      <w:r>
        <w:instrText xml:space="preserve"> TOC \h \z \u \t "Heading 2,1,Heading 3,2,Heading 4,3" </w:instrText>
      </w:r>
      <w:r>
        <w:fldChar w:fldCharType="separate"/>
      </w:r>
      <w:hyperlink w:anchor="_Toc480793136" w:history="1">
        <w:r w:rsidR="00864B60" w:rsidRPr="00352D02">
          <w:rPr>
            <w:rStyle w:val="Hyperlink"/>
            <w:noProof/>
          </w:rPr>
          <w:t>Summary of draft proposals</w:t>
        </w:r>
        <w:r w:rsidR="00864B60">
          <w:rPr>
            <w:noProof/>
            <w:webHidden/>
          </w:rPr>
          <w:tab/>
        </w:r>
        <w:r w:rsidR="00864B60">
          <w:rPr>
            <w:noProof/>
            <w:webHidden/>
          </w:rPr>
          <w:fldChar w:fldCharType="begin"/>
        </w:r>
        <w:r w:rsidR="00864B60">
          <w:rPr>
            <w:noProof/>
            <w:webHidden/>
          </w:rPr>
          <w:instrText xml:space="preserve"> PAGEREF _Toc480793136 \h </w:instrText>
        </w:r>
        <w:r w:rsidR="00864B60">
          <w:rPr>
            <w:noProof/>
            <w:webHidden/>
          </w:rPr>
        </w:r>
        <w:r w:rsidR="00864B60">
          <w:rPr>
            <w:noProof/>
            <w:webHidden/>
          </w:rPr>
          <w:fldChar w:fldCharType="separate"/>
        </w:r>
        <w:r w:rsidR="00262AD8">
          <w:rPr>
            <w:noProof/>
            <w:webHidden/>
          </w:rPr>
          <w:t>4</w:t>
        </w:r>
        <w:r w:rsidR="00864B60">
          <w:rPr>
            <w:noProof/>
            <w:webHidden/>
          </w:rPr>
          <w:fldChar w:fldCharType="end"/>
        </w:r>
      </w:hyperlink>
    </w:p>
    <w:p w14:paraId="3514779E" w14:textId="72688CE7" w:rsidR="00864B60" w:rsidRDefault="00262AD8">
      <w:pPr>
        <w:pStyle w:val="TOC1"/>
        <w:rPr>
          <w:rFonts w:eastAsiaTheme="minorEastAsia"/>
          <w:b w:val="0"/>
          <w:noProof/>
          <w:color w:val="auto"/>
          <w:sz w:val="22"/>
          <w:lang w:eastAsia="en-AU"/>
        </w:rPr>
      </w:pPr>
      <w:hyperlink w:anchor="_Toc480793137" w:history="1">
        <w:r w:rsidR="00864B60" w:rsidRPr="00352D02">
          <w:rPr>
            <w:rStyle w:val="Hyperlink"/>
            <w:noProof/>
          </w:rPr>
          <w:t>Introduction</w:t>
        </w:r>
        <w:r w:rsidR="00864B60">
          <w:rPr>
            <w:noProof/>
            <w:webHidden/>
          </w:rPr>
          <w:tab/>
        </w:r>
        <w:r w:rsidR="00864B60">
          <w:rPr>
            <w:noProof/>
            <w:webHidden/>
          </w:rPr>
          <w:fldChar w:fldCharType="begin"/>
        </w:r>
        <w:r w:rsidR="00864B60">
          <w:rPr>
            <w:noProof/>
            <w:webHidden/>
          </w:rPr>
          <w:instrText xml:space="preserve"> PAGEREF _Toc480793137 \h </w:instrText>
        </w:r>
        <w:r w:rsidR="00864B60">
          <w:rPr>
            <w:noProof/>
            <w:webHidden/>
          </w:rPr>
        </w:r>
        <w:r w:rsidR="00864B60">
          <w:rPr>
            <w:noProof/>
            <w:webHidden/>
          </w:rPr>
          <w:fldChar w:fldCharType="separate"/>
        </w:r>
        <w:r>
          <w:rPr>
            <w:noProof/>
            <w:webHidden/>
          </w:rPr>
          <w:t>5</w:t>
        </w:r>
        <w:r w:rsidR="00864B60">
          <w:rPr>
            <w:noProof/>
            <w:webHidden/>
          </w:rPr>
          <w:fldChar w:fldCharType="end"/>
        </w:r>
      </w:hyperlink>
    </w:p>
    <w:p w14:paraId="6D3DACA8" w14:textId="2FF266B7" w:rsidR="00864B60" w:rsidRDefault="00262AD8">
      <w:pPr>
        <w:pStyle w:val="TOC2"/>
        <w:rPr>
          <w:rFonts w:eastAsiaTheme="minorEastAsia"/>
          <w:noProof/>
          <w:lang w:eastAsia="en-AU"/>
        </w:rPr>
      </w:pPr>
      <w:hyperlink w:anchor="_Toc480793138" w:history="1">
        <w:r w:rsidR="00864B60" w:rsidRPr="00352D02">
          <w:rPr>
            <w:rStyle w:val="Hyperlink"/>
            <w:noProof/>
          </w:rPr>
          <w:t>The Spectrum Review</w:t>
        </w:r>
        <w:r w:rsidR="00864B60">
          <w:rPr>
            <w:noProof/>
            <w:webHidden/>
          </w:rPr>
          <w:tab/>
        </w:r>
        <w:r w:rsidR="00864B60">
          <w:rPr>
            <w:noProof/>
            <w:webHidden/>
          </w:rPr>
          <w:fldChar w:fldCharType="begin"/>
        </w:r>
        <w:r w:rsidR="00864B60">
          <w:rPr>
            <w:noProof/>
            <w:webHidden/>
          </w:rPr>
          <w:instrText xml:space="preserve"> PAGEREF _Toc480793138 \h </w:instrText>
        </w:r>
        <w:r w:rsidR="00864B60">
          <w:rPr>
            <w:noProof/>
            <w:webHidden/>
          </w:rPr>
        </w:r>
        <w:r w:rsidR="00864B60">
          <w:rPr>
            <w:noProof/>
            <w:webHidden/>
          </w:rPr>
          <w:fldChar w:fldCharType="separate"/>
        </w:r>
        <w:r>
          <w:rPr>
            <w:noProof/>
            <w:webHidden/>
          </w:rPr>
          <w:t>5</w:t>
        </w:r>
        <w:r w:rsidR="00864B60">
          <w:rPr>
            <w:noProof/>
            <w:webHidden/>
          </w:rPr>
          <w:fldChar w:fldCharType="end"/>
        </w:r>
      </w:hyperlink>
    </w:p>
    <w:p w14:paraId="72159513" w14:textId="015B4A6F" w:rsidR="00864B60" w:rsidRDefault="00262AD8">
      <w:pPr>
        <w:pStyle w:val="TOC2"/>
        <w:rPr>
          <w:rFonts w:eastAsiaTheme="minorEastAsia"/>
          <w:noProof/>
          <w:lang w:eastAsia="en-AU"/>
        </w:rPr>
      </w:pPr>
      <w:hyperlink w:anchor="_Toc480793139" w:history="1">
        <w:r w:rsidR="00864B60" w:rsidRPr="00352D02">
          <w:rPr>
            <w:rStyle w:val="Hyperlink"/>
            <w:noProof/>
          </w:rPr>
          <w:t>Purpose and scope</w:t>
        </w:r>
        <w:r w:rsidR="00864B60">
          <w:rPr>
            <w:noProof/>
            <w:webHidden/>
          </w:rPr>
          <w:tab/>
        </w:r>
        <w:r w:rsidR="00864B60">
          <w:rPr>
            <w:noProof/>
            <w:webHidden/>
          </w:rPr>
          <w:fldChar w:fldCharType="begin"/>
        </w:r>
        <w:r w:rsidR="00864B60">
          <w:rPr>
            <w:noProof/>
            <w:webHidden/>
          </w:rPr>
          <w:instrText xml:space="preserve"> PAGEREF _Toc480793139 \h </w:instrText>
        </w:r>
        <w:r w:rsidR="00864B60">
          <w:rPr>
            <w:noProof/>
            <w:webHidden/>
          </w:rPr>
        </w:r>
        <w:r w:rsidR="00864B60">
          <w:rPr>
            <w:noProof/>
            <w:webHidden/>
          </w:rPr>
          <w:fldChar w:fldCharType="separate"/>
        </w:r>
        <w:r>
          <w:rPr>
            <w:noProof/>
            <w:webHidden/>
          </w:rPr>
          <w:t>5</w:t>
        </w:r>
        <w:r w:rsidR="00864B60">
          <w:rPr>
            <w:noProof/>
            <w:webHidden/>
          </w:rPr>
          <w:fldChar w:fldCharType="end"/>
        </w:r>
      </w:hyperlink>
    </w:p>
    <w:p w14:paraId="4104F768" w14:textId="26433089" w:rsidR="00864B60" w:rsidRDefault="00262AD8">
      <w:pPr>
        <w:pStyle w:val="TOC2"/>
        <w:rPr>
          <w:rFonts w:eastAsiaTheme="minorEastAsia"/>
          <w:noProof/>
          <w:lang w:eastAsia="en-AU"/>
        </w:rPr>
      </w:pPr>
      <w:hyperlink w:anchor="_Toc480793140" w:history="1">
        <w:r w:rsidR="00864B60" w:rsidRPr="00352D02">
          <w:rPr>
            <w:rStyle w:val="Hyperlink"/>
            <w:noProof/>
          </w:rPr>
          <w:t>The role of government in spectrum pricing</w:t>
        </w:r>
        <w:r w:rsidR="00864B60">
          <w:rPr>
            <w:noProof/>
            <w:webHidden/>
          </w:rPr>
          <w:tab/>
        </w:r>
        <w:r w:rsidR="00864B60">
          <w:rPr>
            <w:noProof/>
            <w:webHidden/>
          </w:rPr>
          <w:fldChar w:fldCharType="begin"/>
        </w:r>
        <w:r w:rsidR="00864B60">
          <w:rPr>
            <w:noProof/>
            <w:webHidden/>
          </w:rPr>
          <w:instrText xml:space="preserve"> PAGEREF _Toc480793140 \h </w:instrText>
        </w:r>
        <w:r w:rsidR="00864B60">
          <w:rPr>
            <w:noProof/>
            <w:webHidden/>
          </w:rPr>
        </w:r>
        <w:r w:rsidR="00864B60">
          <w:rPr>
            <w:noProof/>
            <w:webHidden/>
          </w:rPr>
          <w:fldChar w:fldCharType="separate"/>
        </w:r>
        <w:r>
          <w:rPr>
            <w:noProof/>
            <w:webHidden/>
          </w:rPr>
          <w:t>6</w:t>
        </w:r>
        <w:r w:rsidR="00864B60">
          <w:rPr>
            <w:noProof/>
            <w:webHidden/>
          </w:rPr>
          <w:fldChar w:fldCharType="end"/>
        </w:r>
      </w:hyperlink>
    </w:p>
    <w:p w14:paraId="76943435" w14:textId="59FD585F" w:rsidR="00864B60" w:rsidRDefault="00262AD8">
      <w:pPr>
        <w:pStyle w:val="TOC1"/>
        <w:rPr>
          <w:rFonts w:eastAsiaTheme="minorEastAsia"/>
          <w:b w:val="0"/>
          <w:noProof/>
          <w:color w:val="auto"/>
          <w:sz w:val="22"/>
          <w:lang w:eastAsia="en-AU"/>
        </w:rPr>
      </w:pPr>
      <w:hyperlink w:anchor="_Toc480793141" w:history="1">
        <w:r w:rsidR="00864B60" w:rsidRPr="00352D02">
          <w:rPr>
            <w:rStyle w:val="Hyperlink"/>
            <w:noProof/>
          </w:rPr>
          <w:t>Current arrangements</w:t>
        </w:r>
        <w:r w:rsidR="00864B60">
          <w:rPr>
            <w:noProof/>
            <w:webHidden/>
          </w:rPr>
          <w:tab/>
        </w:r>
        <w:r w:rsidR="00864B60">
          <w:rPr>
            <w:noProof/>
            <w:webHidden/>
          </w:rPr>
          <w:fldChar w:fldCharType="begin"/>
        </w:r>
        <w:r w:rsidR="00864B60">
          <w:rPr>
            <w:noProof/>
            <w:webHidden/>
          </w:rPr>
          <w:instrText xml:space="preserve"> PAGEREF _Toc480793141 \h </w:instrText>
        </w:r>
        <w:r w:rsidR="00864B60">
          <w:rPr>
            <w:noProof/>
            <w:webHidden/>
          </w:rPr>
        </w:r>
        <w:r w:rsidR="00864B60">
          <w:rPr>
            <w:noProof/>
            <w:webHidden/>
          </w:rPr>
          <w:fldChar w:fldCharType="separate"/>
        </w:r>
        <w:r>
          <w:rPr>
            <w:noProof/>
            <w:webHidden/>
          </w:rPr>
          <w:t>7</w:t>
        </w:r>
        <w:r w:rsidR="00864B60">
          <w:rPr>
            <w:noProof/>
            <w:webHidden/>
          </w:rPr>
          <w:fldChar w:fldCharType="end"/>
        </w:r>
      </w:hyperlink>
    </w:p>
    <w:p w14:paraId="2EA3D6E2" w14:textId="0F90D3BE" w:rsidR="00864B60" w:rsidRDefault="00262AD8">
      <w:pPr>
        <w:pStyle w:val="TOC2"/>
        <w:rPr>
          <w:rFonts w:eastAsiaTheme="minorEastAsia"/>
          <w:noProof/>
          <w:lang w:eastAsia="en-AU"/>
        </w:rPr>
      </w:pPr>
      <w:hyperlink w:anchor="_Toc480793142" w:history="1">
        <w:r w:rsidR="00864B60" w:rsidRPr="00352D02">
          <w:rPr>
            <w:rStyle w:val="Hyperlink"/>
            <w:noProof/>
          </w:rPr>
          <w:t>Fees, taxes and charges</w:t>
        </w:r>
        <w:r w:rsidR="00864B60">
          <w:rPr>
            <w:noProof/>
            <w:webHidden/>
          </w:rPr>
          <w:tab/>
        </w:r>
        <w:r w:rsidR="00864B60">
          <w:rPr>
            <w:noProof/>
            <w:webHidden/>
          </w:rPr>
          <w:fldChar w:fldCharType="begin"/>
        </w:r>
        <w:r w:rsidR="00864B60">
          <w:rPr>
            <w:noProof/>
            <w:webHidden/>
          </w:rPr>
          <w:instrText xml:space="preserve"> PAGEREF _Toc480793142 \h </w:instrText>
        </w:r>
        <w:r w:rsidR="00864B60">
          <w:rPr>
            <w:noProof/>
            <w:webHidden/>
          </w:rPr>
        </w:r>
        <w:r w:rsidR="00864B60">
          <w:rPr>
            <w:noProof/>
            <w:webHidden/>
          </w:rPr>
          <w:fldChar w:fldCharType="separate"/>
        </w:r>
        <w:r>
          <w:rPr>
            <w:noProof/>
            <w:webHidden/>
          </w:rPr>
          <w:t>7</w:t>
        </w:r>
        <w:r w:rsidR="00864B60">
          <w:rPr>
            <w:noProof/>
            <w:webHidden/>
          </w:rPr>
          <w:fldChar w:fldCharType="end"/>
        </w:r>
      </w:hyperlink>
    </w:p>
    <w:p w14:paraId="5E7758DE" w14:textId="4217DD2A" w:rsidR="00864B60" w:rsidRDefault="00262AD8">
      <w:pPr>
        <w:pStyle w:val="TOC2"/>
        <w:rPr>
          <w:rFonts w:eastAsiaTheme="minorEastAsia"/>
          <w:noProof/>
          <w:lang w:eastAsia="en-AU"/>
        </w:rPr>
      </w:pPr>
      <w:hyperlink w:anchor="_Toc480793143" w:history="1">
        <w:r w:rsidR="00864B60" w:rsidRPr="00352D02">
          <w:rPr>
            <w:rStyle w:val="Hyperlink"/>
            <w:noProof/>
          </w:rPr>
          <w:t>Spectrum licences</w:t>
        </w:r>
        <w:r w:rsidR="00864B60">
          <w:rPr>
            <w:noProof/>
            <w:webHidden/>
          </w:rPr>
          <w:tab/>
        </w:r>
        <w:r w:rsidR="00864B60">
          <w:rPr>
            <w:noProof/>
            <w:webHidden/>
          </w:rPr>
          <w:fldChar w:fldCharType="begin"/>
        </w:r>
        <w:r w:rsidR="00864B60">
          <w:rPr>
            <w:noProof/>
            <w:webHidden/>
          </w:rPr>
          <w:instrText xml:space="preserve"> PAGEREF _Toc480793143 \h </w:instrText>
        </w:r>
        <w:r w:rsidR="00864B60">
          <w:rPr>
            <w:noProof/>
            <w:webHidden/>
          </w:rPr>
        </w:r>
        <w:r w:rsidR="00864B60">
          <w:rPr>
            <w:noProof/>
            <w:webHidden/>
          </w:rPr>
          <w:fldChar w:fldCharType="separate"/>
        </w:r>
        <w:r>
          <w:rPr>
            <w:noProof/>
            <w:webHidden/>
          </w:rPr>
          <w:t>8</w:t>
        </w:r>
        <w:r w:rsidR="00864B60">
          <w:rPr>
            <w:noProof/>
            <w:webHidden/>
          </w:rPr>
          <w:fldChar w:fldCharType="end"/>
        </w:r>
      </w:hyperlink>
    </w:p>
    <w:p w14:paraId="23992267" w14:textId="1D10AB6C" w:rsidR="00864B60" w:rsidRDefault="00262AD8">
      <w:pPr>
        <w:pStyle w:val="TOC2"/>
        <w:rPr>
          <w:rFonts w:eastAsiaTheme="minorEastAsia"/>
          <w:noProof/>
          <w:lang w:eastAsia="en-AU"/>
        </w:rPr>
      </w:pPr>
      <w:hyperlink w:anchor="_Toc480793144" w:history="1">
        <w:r w:rsidR="00864B60" w:rsidRPr="00352D02">
          <w:rPr>
            <w:rStyle w:val="Hyperlink"/>
            <w:noProof/>
          </w:rPr>
          <w:t>Apparatus licences</w:t>
        </w:r>
        <w:r w:rsidR="00864B60">
          <w:rPr>
            <w:noProof/>
            <w:webHidden/>
          </w:rPr>
          <w:tab/>
        </w:r>
        <w:r w:rsidR="00864B60">
          <w:rPr>
            <w:noProof/>
            <w:webHidden/>
          </w:rPr>
          <w:fldChar w:fldCharType="begin"/>
        </w:r>
        <w:r w:rsidR="00864B60">
          <w:rPr>
            <w:noProof/>
            <w:webHidden/>
          </w:rPr>
          <w:instrText xml:space="preserve"> PAGEREF _Toc480793144 \h </w:instrText>
        </w:r>
        <w:r w:rsidR="00864B60">
          <w:rPr>
            <w:noProof/>
            <w:webHidden/>
          </w:rPr>
        </w:r>
        <w:r w:rsidR="00864B60">
          <w:rPr>
            <w:noProof/>
            <w:webHidden/>
          </w:rPr>
          <w:fldChar w:fldCharType="separate"/>
        </w:r>
        <w:r>
          <w:rPr>
            <w:noProof/>
            <w:webHidden/>
          </w:rPr>
          <w:t>8</w:t>
        </w:r>
        <w:r w:rsidR="00864B60">
          <w:rPr>
            <w:noProof/>
            <w:webHidden/>
          </w:rPr>
          <w:fldChar w:fldCharType="end"/>
        </w:r>
      </w:hyperlink>
    </w:p>
    <w:p w14:paraId="44C99685" w14:textId="288C767E" w:rsidR="00864B60" w:rsidRDefault="00262AD8">
      <w:pPr>
        <w:pStyle w:val="TOC2"/>
        <w:rPr>
          <w:rFonts w:eastAsiaTheme="minorEastAsia"/>
          <w:noProof/>
          <w:lang w:eastAsia="en-AU"/>
        </w:rPr>
      </w:pPr>
      <w:hyperlink w:anchor="_Toc480793145" w:history="1">
        <w:r w:rsidR="00864B60" w:rsidRPr="00352D02">
          <w:rPr>
            <w:rStyle w:val="Hyperlink"/>
            <w:noProof/>
          </w:rPr>
          <w:t>Bespoke pricing arrangements</w:t>
        </w:r>
        <w:r w:rsidR="00864B60">
          <w:rPr>
            <w:noProof/>
            <w:webHidden/>
          </w:rPr>
          <w:tab/>
        </w:r>
        <w:r w:rsidR="00864B60">
          <w:rPr>
            <w:noProof/>
            <w:webHidden/>
          </w:rPr>
          <w:fldChar w:fldCharType="begin"/>
        </w:r>
        <w:r w:rsidR="00864B60">
          <w:rPr>
            <w:noProof/>
            <w:webHidden/>
          </w:rPr>
          <w:instrText xml:space="preserve"> PAGEREF _Toc480793145 \h </w:instrText>
        </w:r>
        <w:r w:rsidR="00864B60">
          <w:rPr>
            <w:noProof/>
            <w:webHidden/>
          </w:rPr>
        </w:r>
        <w:r w:rsidR="00864B60">
          <w:rPr>
            <w:noProof/>
            <w:webHidden/>
          </w:rPr>
          <w:fldChar w:fldCharType="separate"/>
        </w:r>
        <w:r>
          <w:rPr>
            <w:noProof/>
            <w:webHidden/>
          </w:rPr>
          <w:t>9</w:t>
        </w:r>
        <w:r w:rsidR="00864B60">
          <w:rPr>
            <w:noProof/>
            <w:webHidden/>
          </w:rPr>
          <w:fldChar w:fldCharType="end"/>
        </w:r>
      </w:hyperlink>
    </w:p>
    <w:p w14:paraId="04A042A3" w14:textId="2FAA7845" w:rsidR="00864B60" w:rsidRDefault="00262AD8">
      <w:pPr>
        <w:pStyle w:val="TOC2"/>
        <w:rPr>
          <w:rFonts w:eastAsiaTheme="minorEastAsia"/>
          <w:noProof/>
          <w:lang w:eastAsia="en-AU"/>
        </w:rPr>
      </w:pPr>
      <w:hyperlink w:anchor="_Toc480793146" w:history="1">
        <w:r w:rsidR="00864B60" w:rsidRPr="00352D02">
          <w:rPr>
            <w:rStyle w:val="Hyperlink"/>
            <w:noProof/>
          </w:rPr>
          <w:t>Concessions and exemptions</w:t>
        </w:r>
        <w:r w:rsidR="00864B60">
          <w:rPr>
            <w:noProof/>
            <w:webHidden/>
          </w:rPr>
          <w:tab/>
        </w:r>
        <w:r w:rsidR="00864B60">
          <w:rPr>
            <w:noProof/>
            <w:webHidden/>
          </w:rPr>
          <w:fldChar w:fldCharType="begin"/>
        </w:r>
        <w:r w:rsidR="00864B60">
          <w:rPr>
            <w:noProof/>
            <w:webHidden/>
          </w:rPr>
          <w:instrText xml:space="preserve"> PAGEREF _Toc480793146 \h </w:instrText>
        </w:r>
        <w:r w:rsidR="00864B60">
          <w:rPr>
            <w:noProof/>
            <w:webHidden/>
          </w:rPr>
        </w:r>
        <w:r w:rsidR="00864B60">
          <w:rPr>
            <w:noProof/>
            <w:webHidden/>
          </w:rPr>
          <w:fldChar w:fldCharType="separate"/>
        </w:r>
        <w:r>
          <w:rPr>
            <w:noProof/>
            <w:webHidden/>
          </w:rPr>
          <w:t>10</w:t>
        </w:r>
        <w:r w:rsidR="00864B60">
          <w:rPr>
            <w:noProof/>
            <w:webHidden/>
          </w:rPr>
          <w:fldChar w:fldCharType="end"/>
        </w:r>
      </w:hyperlink>
    </w:p>
    <w:p w14:paraId="13292449" w14:textId="4F69DC49" w:rsidR="00864B60" w:rsidRDefault="00262AD8">
      <w:pPr>
        <w:pStyle w:val="TOC1"/>
        <w:rPr>
          <w:rFonts w:eastAsiaTheme="minorEastAsia"/>
          <w:b w:val="0"/>
          <w:noProof/>
          <w:color w:val="auto"/>
          <w:sz w:val="22"/>
          <w:lang w:eastAsia="en-AU"/>
        </w:rPr>
      </w:pPr>
      <w:hyperlink w:anchor="_Toc480793147" w:history="1">
        <w:r w:rsidR="00864B60" w:rsidRPr="00352D02">
          <w:rPr>
            <w:rStyle w:val="Hyperlink"/>
            <w:noProof/>
          </w:rPr>
          <w:t>Pricing review principles</w:t>
        </w:r>
        <w:r w:rsidR="00864B60">
          <w:rPr>
            <w:noProof/>
            <w:webHidden/>
          </w:rPr>
          <w:tab/>
        </w:r>
        <w:r w:rsidR="00864B60">
          <w:rPr>
            <w:noProof/>
            <w:webHidden/>
          </w:rPr>
          <w:fldChar w:fldCharType="begin"/>
        </w:r>
        <w:r w:rsidR="00864B60">
          <w:rPr>
            <w:noProof/>
            <w:webHidden/>
          </w:rPr>
          <w:instrText xml:space="preserve"> PAGEREF _Toc480793147 \h </w:instrText>
        </w:r>
        <w:r w:rsidR="00864B60">
          <w:rPr>
            <w:noProof/>
            <w:webHidden/>
          </w:rPr>
        </w:r>
        <w:r w:rsidR="00864B60">
          <w:rPr>
            <w:noProof/>
            <w:webHidden/>
          </w:rPr>
          <w:fldChar w:fldCharType="separate"/>
        </w:r>
        <w:r>
          <w:rPr>
            <w:noProof/>
            <w:webHidden/>
          </w:rPr>
          <w:t>10</w:t>
        </w:r>
        <w:r w:rsidR="00864B60">
          <w:rPr>
            <w:noProof/>
            <w:webHidden/>
          </w:rPr>
          <w:fldChar w:fldCharType="end"/>
        </w:r>
      </w:hyperlink>
    </w:p>
    <w:p w14:paraId="2C61B96C" w14:textId="2B34BB9B" w:rsidR="00864B60" w:rsidRDefault="00262AD8">
      <w:pPr>
        <w:pStyle w:val="TOC2"/>
        <w:rPr>
          <w:rFonts w:eastAsiaTheme="minorEastAsia"/>
          <w:noProof/>
          <w:lang w:eastAsia="en-AU"/>
        </w:rPr>
      </w:pPr>
      <w:hyperlink w:anchor="_Toc480793148" w:history="1">
        <w:r w:rsidR="00864B60" w:rsidRPr="00352D02">
          <w:rPr>
            <w:rStyle w:val="Hyperlink"/>
            <w:noProof/>
          </w:rPr>
          <w:t>Efficiency</w:t>
        </w:r>
        <w:r w:rsidR="00864B60">
          <w:rPr>
            <w:noProof/>
            <w:webHidden/>
          </w:rPr>
          <w:tab/>
        </w:r>
        <w:r w:rsidR="00864B60">
          <w:rPr>
            <w:noProof/>
            <w:webHidden/>
          </w:rPr>
          <w:fldChar w:fldCharType="begin"/>
        </w:r>
        <w:r w:rsidR="00864B60">
          <w:rPr>
            <w:noProof/>
            <w:webHidden/>
          </w:rPr>
          <w:instrText xml:space="preserve"> PAGEREF _Toc480793148 \h </w:instrText>
        </w:r>
        <w:r w:rsidR="00864B60">
          <w:rPr>
            <w:noProof/>
            <w:webHidden/>
          </w:rPr>
        </w:r>
        <w:r w:rsidR="00864B60">
          <w:rPr>
            <w:noProof/>
            <w:webHidden/>
          </w:rPr>
          <w:fldChar w:fldCharType="separate"/>
        </w:r>
        <w:r>
          <w:rPr>
            <w:noProof/>
            <w:webHidden/>
          </w:rPr>
          <w:t>10</w:t>
        </w:r>
        <w:r w:rsidR="00864B60">
          <w:rPr>
            <w:noProof/>
            <w:webHidden/>
          </w:rPr>
          <w:fldChar w:fldCharType="end"/>
        </w:r>
      </w:hyperlink>
    </w:p>
    <w:p w14:paraId="3C1320DA" w14:textId="210DF00B" w:rsidR="00864B60" w:rsidRDefault="00262AD8">
      <w:pPr>
        <w:pStyle w:val="TOC2"/>
        <w:rPr>
          <w:rFonts w:eastAsiaTheme="minorEastAsia"/>
          <w:noProof/>
          <w:lang w:eastAsia="en-AU"/>
        </w:rPr>
      </w:pPr>
      <w:hyperlink w:anchor="_Toc480793149" w:history="1">
        <w:r w:rsidR="00864B60" w:rsidRPr="00352D02">
          <w:rPr>
            <w:rStyle w:val="Hyperlink"/>
            <w:noProof/>
          </w:rPr>
          <w:t>Cost recovery</w:t>
        </w:r>
        <w:r w:rsidR="00864B60">
          <w:rPr>
            <w:noProof/>
            <w:webHidden/>
          </w:rPr>
          <w:tab/>
        </w:r>
        <w:r w:rsidR="00864B60">
          <w:rPr>
            <w:noProof/>
            <w:webHidden/>
          </w:rPr>
          <w:fldChar w:fldCharType="begin"/>
        </w:r>
        <w:r w:rsidR="00864B60">
          <w:rPr>
            <w:noProof/>
            <w:webHidden/>
          </w:rPr>
          <w:instrText xml:space="preserve"> PAGEREF _Toc480793149 \h </w:instrText>
        </w:r>
        <w:r w:rsidR="00864B60">
          <w:rPr>
            <w:noProof/>
            <w:webHidden/>
          </w:rPr>
        </w:r>
        <w:r w:rsidR="00864B60">
          <w:rPr>
            <w:noProof/>
            <w:webHidden/>
          </w:rPr>
          <w:fldChar w:fldCharType="separate"/>
        </w:r>
        <w:r>
          <w:rPr>
            <w:noProof/>
            <w:webHidden/>
          </w:rPr>
          <w:t>11</w:t>
        </w:r>
        <w:r w:rsidR="00864B60">
          <w:rPr>
            <w:noProof/>
            <w:webHidden/>
          </w:rPr>
          <w:fldChar w:fldCharType="end"/>
        </w:r>
      </w:hyperlink>
    </w:p>
    <w:p w14:paraId="44E02303" w14:textId="39D4C742" w:rsidR="00864B60" w:rsidRDefault="00262AD8">
      <w:pPr>
        <w:pStyle w:val="TOC2"/>
        <w:rPr>
          <w:rFonts w:eastAsiaTheme="minorEastAsia"/>
          <w:noProof/>
          <w:lang w:eastAsia="en-AU"/>
        </w:rPr>
      </w:pPr>
      <w:hyperlink w:anchor="_Toc480793150" w:history="1">
        <w:r w:rsidR="00864B60" w:rsidRPr="00352D02">
          <w:rPr>
            <w:rStyle w:val="Hyperlink"/>
            <w:noProof/>
          </w:rPr>
          <w:t>Consistency and simplicity</w:t>
        </w:r>
        <w:r w:rsidR="00864B60">
          <w:rPr>
            <w:noProof/>
            <w:webHidden/>
          </w:rPr>
          <w:tab/>
        </w:r>
        <w:r w:rsidR="00864B60">
          <w:rPr>
            <w:noProof/>
            <w:webHidden/>
          </w:rPr>
          <w:fldChar w:fldCharType="begin"/>
        </w:r>
        <w:r w:rsidR="00864B60">
          <w:rPr>
            <w:noProof/>
            <w:webHidden/>
          </w:rPr>
          <w:instrText xml:space="preserve"> PAGEREF _Toc480793150 \h </w:instrText>
        </w:r>
        <w:r w:rsidR="00864B60">
          <w:rPr>
            <w:noProof/>
            <w:webHidden/>
          </w:rPr>
        </w:r>
        <w:r w:rsidR="00864B60">
          <w:rPr>
            <w:noProof/>
            <w:webHidden/>
          </w:rPr>
          <w:fldChar w:fldCharType="separate"/>
        </w:r>
        <w:r>
          <w:rPr>
            <w:noProof/>
            <w:webHidden/>
          </w:rPr>
          <w:t>11</w:t>
        </w:r>
        <w:r w:rsidR="00864B60">
          <w:rPr>
            <w:noProof/>
            <w:webHidden/>
          </w:rPr>
          <w:fldChar w:fldCharType="end"/>
        </w:r>
      </w:hyperlink>
    </w:p>
    <w:p w14:paraId="65ABFF6E" w14:textId="32ED00CD" w:rsidR="00864B60" w:rsidRDefault="00262AD8">
      <w:pPr>
        <w:pStyle w:val="TOC2"/>
        <w:rPr>
          <w:rFonts w:eastAsiaTheme="minorEastAsia"/>
          <w:noProof/>
          <w:lang w:eastAsia="en-AU"/>
        </w:rPr>
      </w:pPr>
      <w:hyperlink w:anchor="_Toc480793151" w:history="1">
        <w:r w:rsidR="00864B60" w:rsidRPr="00352D02">
          <w:rPr>
            <w:rStyle w:val="Hyperlink"/>
            <w:noProof/>
          </w:rPr>
          <w:t>Transparency</w:t>
        </w:r>
        <w:r w:rsidR="00864B60">
          <w:rPr>
            <w:noProof/>
            <w:webHidden/>
          </w:rPr>
          <w:tab/>
        </w:r>
        <w:r w:rsidR="00864B60">
          <w:rPr>
            <w:noProof/>
            <w:webHidden/>
          </w:rPr>
          <w:fldChar w:fldCharType="begin"/>
        </w:r>
        <w:r w:rsidR="00864B60">
          <w:rPr>
            <w:noProof/>
            <w:webHidden/>
          </w:rPr>
          <w:instrText xml:space="preserve"> PAGEREF _Toc480793151 \h </w:instrText>
        </w:r>
        <w:r w:rsidR="00864B60">
          <w:rPr>
            <w:noProof/>
            <w:webHidden/>
          </w:rPr>
        </w:r>
        <w:r w:rsidR="00864B60">
          <w:rPr>
            <w:noProof/>
            <w:webHidden/>
          </w:rPr>
          <w:fldChar w:fldCharType="separate"/>
        </w:r>
        <w:r>
          <w:rPr>
            <w:noProof/>
            <w:webHidden/>
          </w:rPr>
          <w:t>12</w:t>
        </w:r>
        <w:r w:rsidR="00864B60">
          <w:rPr>
            <w:noProof/>
            <w:webHidden/>
          </w:rPr>
          <w:fldChar w:fldCharType="end"/>
        </w:r>
      </w:hyperlink>
    </w:p>
    <w:p w14:paraId="12731AE5" w14:textId="053717A4" w:rsidR="00864B60" w:rsidRDefault="00262AD8">
      <w:pPr>
        <w:pStyle w:val="TOC1"/>
        <w:rPr>
          <w:rFonts w:eastAsiaTheme="minorEastAsia"/>
          <w:b w:val="0"/>
          <w:noProof/>
          <w:color w:val="auto"/>
          <w:sz w:val="22"/>
          <w:lang w:eastAsia="en-AU"/>
        </w:rPr>
      </w:pPr>
      <w:hyperlink w:anchor="_Toc480793152" w:history="1">
        <w:r w:rsidR="00864B60" w:rsidRPr="00352D02">
          <w:rPr>
            <w:rStyle w:val="Hyperlink"/>
            <w:noProof/>
          </w:rPr>
          <w:t>Proposals</w:t>
        </w:r>
        <w:r w:rsidR="00864B60">
          <w:rPr>
            <w:noProof/>
            <w:webHidden/>
          </w:rPr>
          <w:tab/>
        </w:r>
        <w:r w:rsidR="00864B60">
          <w:rPr>
            <w:noProof/>
            <w:webHidden/>
          </w:rPr>
          <w:fldChar w:fldCharType="begin"/>
        </w:r>
        <w:r w:rsidR="00864B60">
          <w:rPr>
            <w:noProof/>
            <w:webHidden/>
          </w:rPr>
          <w:instrText xml:space="preserve"> PAGEREF _Toc480793152 \h </w:instrText>
        </w:r>
        <w:r w:rsidR="00864B60">
          <w:rPr>
            <w:noProof/>
            <w:webHidden/>
          </w:rPr>
        </w:r>
        <w:r w:rsidR="00864B60">
          <w:rPr>
            <w:noProof/>
            <w:webHidden/>
          </w:rPr>
          <w:fldChar w:fldCharType="separate"/>
        </w:r>
        <w:r>
          <w:rPr>
            <w:noProof/>
            <w:webHidden/>
          </w:rPr>
          <w:t>12</w:t>
        </w:r>
        <w:r w:rsidR="00864B60">
          <w:rPr>
            <w:noProof/>
            <w:webHidden/>
          </w:rPr>
          <w:fldChar w:fldCharType="end"/>
        </w:r>
      </w:hyperlink>
    </w:p>
    <w:p w14:paraId="64DB874D" w14:textId="2D92A3A1" w:rsidR="00864B60" w:rsidRDefault="00262AD8">
      <w:pPr>
        <w:pStyle w:val="TOC2"/>
        <w:rPr>
          <w:rFonts w:eastAsiaTheme="minorEastAsia"/>
          <w:noProof/>
          <w:lang w:eastAsia="en-AU"/>
        </w:rPr>
      </w:pPr>
      <w:hyperlink w:anchor="_Toc480793153" w:history="1">
        <w:r w:rsidR="00864B60" w:rsidRPr="00352D02">
          <w:rPr>
            <w:rStyle w:val="Hyperlink"/>
            <w:noProof/>
          </w:rPr>
          <w:t>Allocation decisions</w:t>
        </w:r>
        <w:r w:rsidR="00864B60">
          <w:rPr>
            <w:noProof/>
            <w:webHidden/>
          </w:rPr>
          <w:tab/>
        </w:r>
        <w:r w:rsidR="00864B60">
          <w:rPr>
            <w:noProof/>
            <w:webHidden/>
          </w:rPr>
          <w:fldChar w:fldCharType="begin"/>
        </w:r>
        <w:r w:rsidR="00864B60">
          <w:rPr>
            <w:noProof/>
            <w:webHidden/>
          </w:rPr>
          <w:instrText xml:space="preserve"> PAGEREF _Toc480793153 \h </w:instrText>
        </w:r>
        <w:r w:rsidR="00864B60">
          <w:rPr>
            <w:noProof/>
            <w:webHidden/>
          </w:rPr>
        </w:r>
        <w:r w:rsidR="00864B60">
          <w:rPr>
            <w:noProof/>
            <w:webHidden/>
          </w:rPr>
          <w:fldChar w:fldCharType="separate"/>
        </w:r>
        <w:r>
          <w:rPr>
            <w:noProof/>
            <w:webHidden/>
          </w:rPr>
          <w:t>12</w:t>
        </w:r>
        <w:r w:rsidR="00864B60">
          <w:rPr>
            <w:noProof/>
            <w:webHidden/>
          </w:rPr>
          <w:fldChar w:fldCharType="end"/>
        </w:r>
      </w:hyperlink>
    </w:p>
    <w:p w14:paraId="54E27315" w14:textId="4944796F" w:rsidR="00864B60" w:rsidRDefault="00262AD8">
      <w:pPr>
        <w:pStyle w:val="TOC3"/>
        <w:rPr>
          <w:rFonts w:eastAsiaTheme="minorEastAsia"/>
          <w:noProof/>
          <w:lang w:eastAsia="en-AU"/>
        </w:rPr>
      </w:pPr>
      <w:hyperlink w:anchor="_Toc480793154" w:history="1">
        <w:r w:rsidR="00864B60" w:rsidRPr="00352D02">
          <w:rPr>
            <w:rStyle w:val="Hyperlink"/>
            <w:noProof/>
          </w:rPr>
          <w:t>Publish guidance on spectrum allocation mechanisms</w:t>
        </w:r>
        <w:r w:rsidR="00864B60">
          <w:rPr>
            <w:noProof/>
            <w:webHidden/>
          </w:rPr>
          <w:tab/>
        </w:r>
        <w:r w:rsidR="00864B60">
          <w:rPr>
            <w:noProof/>
            <w:webHidden/>
          </w:rPr>
          <w:fldChar w:fldCharType="begin"/>
        </w:r>
        <w:r w:rsidR="00864B60">
          <w:rPr>
            <w:noProof/>
            <w:webHidden/>
          </w:rPr>
          <w:instrText xml:space="preserve"> PAGEREF _Toc480793154 \h </w:instrText>
        </w:r>
        <w:r w:rsidR="00864B60">
          <w:rPr>
            <w:noProof/>
            <w:webHidden/>
          </w:rPr>
        </w:r>
        <w:r w:rsidR="00864B60">
          <w:rPr>
            <w:noProof/>
            <w:webHidden/>
          </w:rPr>
          <w:fldChar w:fldCharType="separate"/>
        </w:r>
        <w:r>
          <w:rPr>
            <w:noProof/>
            <w:webHidden/>
          </w:rPr>
          <w:t>12</w:t>
        </w:r>
        <w:r w:rsidR="00864B60">
          <w:rPr>
            <w:noProof/>
            <w:webHidden/>
          </w:rPr>
          <w:fldChar w:fldCharType="end"/>
        </w:r>
      </w:hyperlink>
    </w:p>
    <w:p w14:paraId="0E65CBDE" w14:textId="19D2CF93" w:rsidR="00864B60" w:rsidRDefault="00262AD8">
      <w:pPr>
        <w:pStyle w:val="TOC3"/>
        <w:rPr>
          <w:rFonts w:eastAsiaTheme="minorEastAsia"/>
          <w:noProof/>
          <w:lang w:eastAsia="en-AU"/>
        </w:rPr>
      </w:pPr>
      <w:hyperlink w:anchor="_Toc480793155" w:history="1">
        <w:r w:rsidR="00864B60" w:rsidRPr="00352D02">
          <w:rPr>
            <w:rStyle w:val="Hyperlink"/>
            <w:noProof/>
          </w:rPr>
          <w:t>Bespoke pricing arrangements</w:t>
        </w:r>
        <w:r w:rsidR="00864B60">
          <w:rPr>
            <w:noProof/>
            <w:webHidden/>
          </w:rPr>
          <w:tab/>
        </w:r>
        <w:r w:rsidR="00864B60">
          <w:rPr>
            <w:noProof/>
            <w:webHidden/>
          </w:rPr>
          <w:fldChar w:fldCharType="begin"/>
        </w:r>
        <w:r w:rsidR="00864B60">
          <w:rPr>
            <w:noProof/>
            <w:webHidden/>
          </w:rPr>
          <w:instrText xml:space="preserve"> PAGEREF _Toc480793155 \h </w:instrText>
        </w:r>
        <w:r w:rsidR="00864B60">
          <w:rPr>
            <w:noProof/>
            <w:webHidden/>
          </w:rPr>
        </w:r>
        <w:r w:rsidR="00864B60">
          <w:rPr>
            <w:noProof/>
            <w:webHidden/>
          </w:rPr>
          <w:fldChar w:fldCharType="separate"/>
        </w:r>
        <w:r>
          <w:rPr>
            <w:noProof/>
            <w:webHidden/>
          </w:rPr>
          <w:t>13</w:t>
        </w:r>
        <w:r w:rsidR="00864B60">
          <w:rPr>
            <w:noProof/>
            <w:webHidden/>
          </w:rPr>
          <w:fldChar w:fldCharType="end"/>
        </w:r>
      </w:hyperlink>
    </w:p>
    <w:p w14:paraId="724AB1F4" w14:textId="4771EA48" w:rsidR="00864B60" w:rsidRDefault="00262AD8">
      <w:pPr>
        <w:pStyle w:val="TOC2"/>
        <w:rPr>
          <w:rFonts w:eastAsiaTheme="minorEastAsia"/>
          <w:noProof/>
          <w:lang w:eastAsia="en-AU"/>
        </w:rPr>
      </w:pPr>
      <w:hyperlink w:anchor="_Toc480793156" w:history="1">
        <w:r w:rsidR="00864B60" w:rsidRPr="00352D02">
          <w:rPr>
            <w:rStyle w:val="Hyperlink"/>
            <w:noProof/>
          </w:rPr>
          <w:t>Market-based allocations</w:t>
        </w:r>
        <w:r w:rsidR="00864B60">
          <w:rPr>
            <w:noProof/>
            <w:webHidden/>
          </w:rPr>
          <w:tab/>
        </w:r>
        <w:r w:rsidR="00864B60">
          <w:rPr>
            <w:noProof/>
            <w:webHidden/>
          </w:rPr>
          <w:fldChar w:fldCharType="begin"/>
        </w:r>
        <w:r w:rsidR="00864B60">
          <w:rPr>
            <w:noProof/>
            <w:webHidden/>
          </w:rPr>
          <w:instrText xml:space="preserve"> PAGEREF _Toc480793156 \h </w:instrText>
        </w:r>
        <w:r w:rsidR="00864B60">
          <w:rPr>
            <w:noProof/>
            <w:webHidden/>
          </w:rPr>
        </w:r>
        <w:r w:rsidR="00864B60">
          <w:rPr>
            <w:noProof/>
            <w:webHidden/>
          </w:rPr>
          <w:fldChar w:fldCharType="separate"/>
        </w:r>
        <w:r>
          <w:rPr>
            <w:noProof/>
            <w:webHidden/>
          </w:rPr>
          <w:t>14</w:t>
        </w:r>
        <w:r w:rsidR="00864B60">
          <w:rPr>
            <w:noProof/>
            <w:webHidden/>
          </w:rPr>
          <w:fldChar w:fldCharType="end"/>
        </w:r>
      </w:hyperlink>
    </w:p>
    <w:p w14:paraId="3699C139" w14:textId="62F383AB" w:rsidR="00864B60" w:rsidRDefault="00262AD8">
      <w:pPr>
        <w:pStyle w:val="TOC3"/>
        <w:rPr>
          <w:rFonts w:eastAsiaTheme="minorEastAsia"/>
          <w:noProof/>
          <w:lang w:eastAsia="en-AU"/>
        </w:rPr>
      </w:pPr>
      <w:hyperlink w:anchor="_Toc480793157" w:history="1">
        <w:r w:rsidR="00864B60" w:rsidRPr="00352D02">
          <w:rPr>
            <w:rStyle w:val="Hyperlink"/>
            <w:noProof/>
          </w:rPr>
          <w:t>Transition to market-based allocations</w:t>
        </w:r>
        <w:r w:rsidR="00864B60">
          <w:rPr>
            <w:noProof/>
            <w:webHidden/>
          </w:rPr>
          <w:tab/>
        </w:r>
        <w:r w:rsidR="00864B60">
          <w:rPr>
            <w:noProof/>
            <w:webHidden/>
          </w:rPr>
          <w:fldChar w:fldCharType="begin"/>
        </w:r>
        <w:r w:rsidR="00864B60">
          <w:rPr>
            <w:noProof/>
            <w:webHidden/>
          </w:rPr>
          <w:instrText xml:space="preserve"> PAGEREF _Toc480793157 \h </w:instrText>
        </w:r>
        <w:r w:rsidR="00864B60">
          <w:rPr>
            <w:noProof/>
            <w:webHidden/>
          </w:rPr>
        </w:r>
        <w:r w:rsidR="00864B60">
          <w:rPr>
            <w:noProof/>
            <w:webHidden/>
          </w:rPr>
          <w:fldChar w:fldCharType="separate"/>
        </w:r>
        <w:r>
          <w:rPr>
            <w:noProof/>
            <w:webHidden/>
          </w:rPr>
          <w:t>14</w:t>
        </w:r>
        <w:r w:rsidR="00864B60">
          <w:rPr>
            <w:noProof/>
            <w:webHidden/>
          </w:rPr>
          <w:fldChar w:fldCharType="end"/>
        </w:r>
      </w:hyperlink>
    </w:p>
    <w:p w14:paraId="43966A9E" w14:textId="330F29FD" w:rsidR="00864B60" w:rsidRDefault="00262AD8">
      <w:pPr>
        <w:pStyle w:val="TOC3"/>
        <w:rPr>
          <w:rFonts w:eastAsiaTheme="minorEastAsia"/>
          <w:noProof/>
          <w:lang w:eastAsia="en-AU"/>
        </w:rPr>
      </w:pPr>
      <w:hyperlink w:anchor="_Toc480793158" w:history="1">
        <w:r w:rsidR="00864B60" w:rsidRPr="00352D02">
          <w:rPr>
            <w:rStyle w:val="Hyperlink"/>
            <w:noProof/>
          </w:rPr>
          <w:t>Reserve prices</w:t>
        </w:r>
        <w:r w:rsidR="00864B60">
          <w:rPr>
            <w:noProof/>
            <w:webHidden/>
          </w:rPr>
          <w:tab/>
        </w:r>
        <w:r w:rsidR="00864B60">
          <w:rPr>
            <w:noProof/>
            <w:webHidden/>
          </w:rPr>
          <w:fldChar w:fldCharType="begin"/>
        </w:r>
        <w:r w:rsidR="00864B60">
          <w:rPr>
            <w:noProof/>
            <w:webHidden/>
          </w:rPr>
          <w:instrText xml:space="preserve"> PAGEREF _Toc480793158 \h </w:instrText>
        </w:r>
        <w:r w:rsidR="00864B60">
          <w:rPr>
            <w:noProof/>
            <w:webHidden/>
          </w:rPr>
        </w:r>
        <w:r w:rsidR="00864B60">
          <w:rPr>
            <w:noProof/>
            <w:webHidden/>
          </w:rPr>
          <w:fldChar w:fldCharType="separate"/>
        </w:r>
        <w:r>
          <w:rPr>
            <w:noProof/>
            <w:webHidden/>
          </w:rPr>
          <w:t>15</w:t>
        </w:r>
        <w:r w:rsidR="00864B60">
          <w:rPr>
            <w:noProof/>
            <w:webHidden/>
          </w:rPr>
          <w:fldChar w:fldCharType="end"/>
        </w:r>
      </w:hyperlink>
    </w:p>
    <w:p w14:paraId="7C85111A" w14:textId="67CA93D8" w:rsidR="00864B60" w:rsidRDefault="00262AD8">
      <w:pPr>
        <w:pStyle w:val="TOC3"/>
        <w:rPr>
          <w:rFonts w:eastAsiaTheme="minorEastAsia"/>
          <w:noProof/>
          <w:lang w:eastAsia="en-AU"/>
        </w:rPr>
      </w:pPr>
      <w:hyperlink w:anchor="_Toc480793159" w:history="1">
        <w:r w:rsidR="00864B60" w:rsidRPr="00352D02">
          <w:rPr>
            <w:rStyle w:val="Hyperlink"/>
            <w:noProof/>
          </w:rPr>
          <w:t>Payment terms</w:t>
        </w:r>
        <w:r w:rsidR="00864B60">
          <w:rPr>
            <w:noProof/>
            <w:webHidden/>
          </w:rPr>
          <w:tab/>
        </w:r>
        <w:r w:rsidR="00864B60">
          <w:rPr>
            <w:noProof/>
            <w:webHidden/>
          </w:rPr>
          <w:fldChar w:fldCharType="begin"/>
        </w:r>
        <w:r w:rsidR="00864B60">
          <w:rPr>
            <w:noProof/>
            <w:webHidden/>
          </w:rPr>
          <w:instrText xml:space="preserve"> PAGEREF _Toc480793159 \h </w:instrText>
        </w:r>
        <w:r w:rsidR="00864B60">
          <w:rPr>
            <w:noProof/>
            <w:webHidden/>
          </w:rPr>
        </w:r>
        <w:r w:rsidR="00864B60">
          <w:rPr>
            <w:noProof/>
            <w:webHidden/>
          </w:rPr>
          <w:fldChar w:fldCharType="separate"/>
        </w:r>
        <w:r>
          <w:rPr>
            <w:noProof/>
            <w:webHidden/>
          </w:rPr>
          <w:t>16</w:t>
        </w:r>
        <w:r w:rsidR="00864B60">
          <w:rPr>
            <w:noProof/>
            <w:webHidden/>
          </w:rPr>
          <w:fldChar w:fldCharType="end"/>
        </w:r>
      </w:hyperlink>
    </w:p>
    <w:p w14:paraId="17EE0D41" w14:textId="5187888C" w:rsidR="00864B60" w:rsidRDefault="00262AD8">
      <w:pPr>
        <w:pStyle w:val="TOC2"/>
        <w:rPr>
          <w:rFonts w:eastAsiaTheme="minorEastAsia"/>
          <w:noProof/>
          <w:lang w:eastAsia="en-AU"/>
        </w:rPr>
      </w:pPr>
      <w:hyperlink w:anchor="_Toc480793160" w:history="1">
        <w:r w:rsidR="00864B60" w:rsidRPr="00352D02">
          <w:rPr>
            <w:rStyle w:val="Hyperlink"/>
            <w:noProof/>
          </w:rPr>
          <w:t>Administered allocations</w:t>
        </w:r>
        <w:r w:rsidR="00864B60">
          <w:rPr>
            <w:noProof/>
            <w:webHidden/>
          </w:rPr>
          <w:tab/>
        </w:r>
        <w:r w:rsidR="00864B60">
          <w:rPr>
            <w:noProof/>
            <w:webHidden/>
          </w:rPr>
          <w:fldChar w:fldCharType="begin"/>
        </w:r>
        <w:r w:rsidR="00864B60">
          <w:rPr>
            <w:noProof/>
            <w:webHidden/>
          </w:rPr>
          <w:instrText xml:space="preserve"> PAGEREF _Toc480793160 \h </w:instrText>
        </w:r>
        <w:r w:rsidR="00864B60">
          <w:rPr>
            <w:noProof/>
            <w:webHidden/>
          </w:rPr>
        </w:r>
        <w:r w:rsidR="00864B60">
          <w:rPr>
            <w:noProof/>
            <w:webHidden/>
          </w:rPr>
          <w:fldChar w:fldCharType="separate"/>
        </w:r>
        <w:r>
          <w:rPr>
            <w:noProof/>
            <w:webHidden/>
          </w:rPr>
          <w:t>17</w:t>
        </w:r>
        <w:r w:rsidR="00864B60">
          <w:rPr>
            <w:noProof/>
            <w:webHidden/>
          </w:rPr>
          <w:fldChar w:fldCharType="end"/>
        </w:r>
      </w:hyperlink>
    </w:p>
    <w:p w14:paraId="227F455D" w14:textId="578E48B0" w:rsidR="00864B60" w:rsidRDefault="00262AD8">
      <w:pPr>
        <w:pStyle w:val="TOC3"/>
        <w:rPr>
          <w:rFonts w:eastAsiaTheme="minorEastAsia"/>
          <w:noProof/>
          <w:lang w:eastAsia="en-AU"/>
        </w:rPr>
      </w:pPr>
      <w:hyperlink w:anchor="_Toc480793161" w:history="1">
        <w:r w:rsidR="00864B60" w:rsidRPr="00352D02">
          <w:rPr>
            <w:rStyle w:val="Hyperlink"/>
            <w:noProof/>
          </w:rPr>
          <w:t>Pricing formula</w:t>
        </w:r>
        <w:r w:rsidR="00864B60">
          <w:rPr>
            <w:noProof/>
            <w:webHidden/>
          </w:rPr>
          <w:tab/>
        </w:r>
        <w:r w:rsidR="00864B60">
          <w:rPr>
            <w:noProof/>
            <w:webHidden/>
          </w:rPr>
          <w:fldChar w:fldCharType="begin"/>
        </w:r>
        <w:r w:rsidR="00864B60">
          <w:rPr>
            <w:noProof/>
            <w:webHidden/>
          </w:rPr>
          <w:instrText xml:space="preserve"> PAGEREF _Toc480793161 \h </w:instrText>
        </w:r>
        <w:r w:rsidR="00864B60">
          <w:rPr>
            <w:noProof/>
            <w:webHidden/>
          </w:rPr>
        </w:r>
        <w:r w:rsidR="00864B60">
          <w:rPr>
            <w:noProof/>
            <w:webHidden/>
          </w:rPr>
          <w:fldChar w:fldCharType="separate"/>
        </w:r>
        <w:r>
          <w:rPr>
            <w:noProof/>
            <w:webHidden/>
          </w:rPr>
          <w:t>18</w:t>
        </w:r>
        <w:r w:rsidR="00864B60">
          <w:rPr>
            <w:noProof/>
            <w:webHidden/>
          </w:rPr>
          <w:fldChar w:fldCharType="end"/>
        </w:r>
      </w:hyperlink>
    </w:p>
    <w:p w14:paraId="0794D6F5" w14:textId="08875C03" w:rsidR="00864B60" w:rsidRDefault="00262AD8">
      <w:pPr>
        <w:pStyle w:val="TOC3"/>
        <w:rPr>
          <w:rFonts w:eastAsiaTheme="minorEastAsia"/>
          <w:noProof/>
          <w:lang w:eastAsia="en-AU"/>
        </w:rPr>
      </w:pPr>
      <w:hyperlink w:anchor="_Toc480793162" w:history="1">
        <w:r w:rsidR="00864B60" w:rsidRPr="00352D02">
          <w:rPr>
            <w:rStyle w:val="Hyperlink"/>
            <w:noProof/>
            <w:lang w:val="en-US"/>
          </w:rPr>
          <w:t>Opportunity cost</w:t>
        </w:r>
        <w:r w:rsidR="00864B60">
          <w:rPr>
            <w:noProof/>
            <w:webHidden/>
          </w:rPr>
          <w:tab/>
        </w:r>
        <w:r w:rsidR="00864B60">
          <w:rPr>
            <w:noProof/>
            <w:webHidden/>
          </w:rPr>
          <w:fldChar w:fldCharType="begin"/>
        </w:r>
        <w:r w:rsidR="00864B60">
          <w:rPr>
            <w:noProof/>
            <w:webHidden/>
          </w:rPr>
          <w:instrText xml:space="preserve"> PAGEREF _Toc480793162 \h </w:instrText>
        </w:r>
        <w:r w:rsidR="00864B60">
          <w:rPr>
            <w:noProof/>
            <w:webHidden/>
          </w:rPr>
        </w:r>
        <w:r w:rsidR="00864B60">
          <w:rPr>
            <w:noProof/>
            <w:webHidden/>
          </w:rPr>
          <w:fldChar w:fldCharType="separate"/>
        </w:r>
        <w:r>
          <w:rPr>
            <w:noProof/>
            <w:webHidden/>
          </w:rPr>
          <w:t>19</w:t>
        </w:r>
        <w:r w:rsidR="00864B60">
          <w:rPr>
            <w:noProof/>
            <w:webHidden/>
          </w:rPr>
          <w:fldChar w:fldCharType="end"/>
        </w:r>
      </w:hyperlink>
    </w:p>
    <w:p w14:paraId="74072422" w14:textId="6196A381" w:rsidR="00864B60" w:rsidRDefault="00262AD8">
      <w:pPr>
        <w:pStyle w:val="TOC2"/>
        <w:rPr>
          <w:rFonts w:eastAsiaTheme="minorEastAsia"/>
          <w:noProof/>
          <w:lang w:eastAsia="en-AU"/>
        </w:rPr>
      </w:pPr>
      <w:hyperlink w:anchor="_Toc480793163" w:history="1">
        <w:r w:rsidR="00864B60" w:rsidRPr="00352D02">
          <w:rPr>
            <w:rStyle w:val="Hyperlink"/>
            <w:noProof/>
          </w:rPr>
          <w:t>Legislative and cost-recovery framework</w:t>
        </w:r>
        <w:r w:rsidR="00864B60">
          <w:rPr>
            <w:noProof/>
            <w:webHidden/>
          </w:rPr>
          <w:tab/>
        </w:r>
        <w:r w:rsidR="00864B60">
          <w:rPr>
            <w:noProof/>
            <w:webHidden/>
          </w:rPr>
          <w:fldChar w:fldCharType="begin"/>
        </w:r>
        <w:r w:rsidR="00864B60">
          <w:rPr>
            <w:noProof/>
            <w:webHidden/>
          </w:rPr>
          <w:instrText xml:space="preserve"> PAGEREF _Toc480793163 \h </w:instrText>
        </w:r>
        <w:r w:rsidR="00864B60">
          <w:rPr>
            <w:noProof/>
            <w:webHidden/>
          </w:rPr>
        </w:r>
        <w:r w:rsidR="00864B60">
          <w:rPr>
            <w:noProof/>
            <w:webHidden/>
          </w:rPr>
          <w:fldChar w:fldCharType="separate"/>
        </w:r>
        <w:r>
          <w:rPr>
            <w:noProof/>
            <w:webHidden/>
          </w:rPr>
          <w:t>20</w:t>
        </w:r>
        <w:r w:rsidR="00864B60">
          <w:rPr>
            <w:noProof/>
            <w:webHidden/>
          </w:rPr>
          <w:fldChar w:fldCharType="end"/>
        </w:r>
      </w:hyperlink>
    </w:p>
    <w:p w14:paraId="51020FDB" w14:textId="269B638A" w:rsidR="00864B60" w:rsidRDefault="00262AD8">
      <w:pPr>
        <w:pStyle w:val="TOC3"/>
        <w:rPr>
          <w:rFonts w:eastAsiaTheme="minorEastAsia"/>
          <w:noProof/>
          <w:lang w:eastAsia="en-AU"/>
        </w:rPr>
      </w:pPr>
      <w:hyperlink w:anchor="_Toc480793164" w:history="1">
        <w:r w:rsidR="00864B60" w:rsidRPr="00352D02">
          <w:rPr>
            <w:rStyle w:val="Hyperlink"/>
            <w:noProof/>
          </w:rPr>
          <w:t>Legislative framework</w:t>
        </w:r>
        <w:r w:rsidR="00864B60">
          <w:rPr>
            <w:noProof/>
            <w:webHidden/>
          </w:rPr>
          <w:tab/>
        </w:r>
        <w:r w:rsidR="00864B60">
          <w:rPr>
            <w:noProof/>
            <w:webHidden/>
          </w:rPr>
          <w:fldChar w:fldCharType="begin"/>
        </w:r>
        <w:r w:rsidR="00864B60">
          <w:rPr>
            <w:noProof/>
            <w:webHidden/>
          </w:rPr>
          <w:instrText xml:space="preserve"> PAGEREF _Toc480793164 \h </w:instrText>
        </w:r>
        <w:r w:rsidR="00864B60">
          <w:rPr>
            <w:noProof/>
            <w:webHidden/>
          </w:rPr>
        </w:r>
        <w:r w:rsidR="00864B60">
          <w:rPr>
            <w:noProof/>
            <w:webHidden/>
          </w:rPr>
          <w:fldChar w:fldCharType="separate"/>
        </w:r>
        <w:r>
          <w:rPr>
            <w:noProof/>
            <w:webHidden/>
          </w:rPr>
          <w:t>21</w:t>
        </w:r>
        <w:r w:rsidR="00864B60">
          <w:rPr>
            <w:noProof/>
            <w:webHidden/>
          </w:rPr>
          <w:fldChar w:fldCharType="end"/>
        </w:r>
      </w:hyperlink>
    </w:p>
    <w:p w14:paraId="572726CA" w14:textId="6B0B6420" w:rsidR="00864B60" w:rsidRDefault="00262AD8">
      <w:pPr>
        <w:pStyle w:val="TOC3"/>
        <w:rPr>
          <w:rFonts w:eastAsiaTheme="minorEastAsia"/>
          <w:noProof/>
          <w:lang w:eastAsia="en-AU"/>
        </w:rPr>
      </w:pPr>
      <w:hyperlink w:anchor="_Toc480793165" w:history="1">
        <w:r w:rsidR="00864B60" w:rsidRPr="00352D02">
          <w:rPr>
            <w:rStyle w:val="Hyperlink"/>
            <w:noProof/>
          </w:rPr>
          <w:t>Value-based fee framework</w:t>
        </w:r>
        <w:r w:rsidR="00864B60">
          <w:rPr>
            <w:noProof/>
            <w:webHidden/>
          </w:rPr>
          <w:tab/>
        </w:r>
        <w:r w:rsidR="00864B60">
          <w:rPr>
            <w:noProof/>
            <w:webHidden/>
          </w:rPr>
          <w:fldChar w:fldCharType="begin"/>
        </w:r>
        <w:r w:rsidR="00864B60">
          <w:rPr>
            <w:noProof/>
            <w:webHidden/>
          </w:rPr>
          <w:instrText xml:space="preserve"> PAGEREF _Toc480793165 \h </w:instrText>
        </w:r>
        <w:r w:rsidR="00864B60">
          <w:rPr>
            <w:noProof/>
            <w:webHidden/>
          </w:rPr>
        </w:r>
        <w:r w:rsidR="00864B60">
          <w:rPr>
            <w:noProof/>
            <w:webHidden/>
          </w:rPr>
          <w:fldChar w:fldCharType="separate"/>
        </w:r>
        <w:r>
          <w:rPr>
            <w:noProof/>
            <w:webHidden/>
          </w:rPr>
          <w:t>22</w:t>
        </w:r>
        <w:r w:rsidR="00864B60">
          <w:rPr>
            <w:noProof/>
            <w:webHidden/>
          </w:rPr>
          <w:fldChar w:fldCharType="end"/>
        </w:r>
      </w:hyperlink>
    </w:p>
    <w:p w14:paraId="1407F23F" w14:textId="55316BC0" w:rsidR="00864B60" w:rsidRDefault="00262AD8">
      <w:pPr>
        <w:pStyle w:val="TOC3"/>
        <w:rPr>
          <w:rFonts w:eastAsiaTheme="minorEastAsia"/>
          <w:noProof/>
          <w:lang w:eastAsia="en-AU"/>
        </w:rPr>
      </w:pPr>
      <w:hyperlink w:anchor="_Toc480793166" w:history="1">
        <w:r w:rsidR="00864B60" w:rsidRPr="00352D02">
          <w:rPr>
            <w:rStyle w:val="Hyperlink"/>
            <w:noProof/>
          </w:rPr>
          <w:t>Cost recovery framework</w:t>
        </w:r>
        <w:r w:rsidR="00864B60">
          <w:rPr>
            <w:noProof/>
            <w:webHidden/>
          </w:rPr>
          <w:tab/>
        </w:r>
        <w:r w:rsidR="00864B60">
          <w:rPr>
            <w:noProof/>
            <w:webHidden/>
          </w:rPr>
          <w:fldChar w:fldCharType="begin"/>
        </w:r>
        <w:r w:rsidR="00864B60">
          <w:rPr>
            <w:noProof/>
            <w:webHidden/>
          </w:rPr>
          <w:instrText xml:space="preserve"> PAGEREF _Toc480793166 \h </w:instrText>
        </w:r>
        <w:r w:rsidR="00864B60">
          <w:rPr>
            <w:noProof/>
            <w:webHidden/>
          </w:rPr>
        </w:r>
        <w:r w:rsidR="00864B60">
          <w:rPr>
            <w:noProof/>
            <w:webHidden/>
          </w:rPr>
          <w:fldChar w:fldCharType="separate"/>
        </w:r>
        <w:r>
          <w:rPr>
            <w:noProof/>
            <w:webHidden/>
          </w:rPr>
          <w:t>24</w:t>
        </w:r>
        <w:r w:rsidR="00864B60">
          <w:rPr>
            <w:noProof/>
            <w:webHidden/>
          </w:rPr>
          <w:fldChar w:fldCharType="end"/>
        </w:r>
      </w:hyperlink>
    </w:p>
    <w:p w14:paraId="0FE50CB8" w14:textId="63FF7E70" w:rsidR="00864B60" w:rsidRDefault="00262AD8">
      <w:pPr>
        <w:pStyle w:val="TOC1"/>
        <w:rPr>
          <w:rFonts w:eastAsiaTheme="minorEastAsia"/>
          <w:b w:val="0"/>
          <w:noProof/>
          <w:color w:val="auto"/>
          <w:sz w:val="22"/>
          <w:lang w:eastAsia="en-AU"/>
        </w:rPr>
      </w:pPr>
      <w:hyperlink w:anchor="_Toc480793167" w:history="1">
        <w:r w:rsidR="00864B60" w:rsidRPr="00352D02">
          <w:rPr>
            <w:rStyle w:val="Hyperlink"/>
            <w:noProof/>
          </w:rPr>
          <w:t>Conclusion</w:t>
        </w:r>
        <w:r w:rsidR="00864B60">
          <w:rPr>
            <w:noProof/>
            <w:webHidden/>
          </w:rPr>
          <w:tab/>
        </w:r>
        <w:r w:rsidR="00864B60">
          <w:rPr>
            <w:noProof/>
            <w:webHidden/>
          </w:rPr>
          <w:fldChar w:fldCharType="begin"/>
        </w:r>
        <w:r w:rsidR="00864B60">
          <w:rPr>
            <w:noProof/>
            <w:webHidden/>
          </w:rPr>
          <w:instrText xml:space="preserve"> PAGEREF _Toc480793167 \h </w:instrText>
        </w:r>
        <w:r w:rsidR="00864B60">
          <w:rPr>
            <w:noProof/>
            <w:webHidden/>
          </w:rPr>
        </w:r>
        <w:r w:rsidR="00864B60">
          <w:rPr>
            <w:noProof/>
            <w:webHidden/>
          </w:rPr>
          <w:fldChar w:fldCharType="separate"/>
        </w:r>
        <w:r>
          <w:rPr>
            <w:noProof/>
            <w:webHidden/>
          </w:rPr>
          <w:t>26</w:t>
        </w:r>
        <w:r w:rsidR="00864B60">
          <w:rPr>
            <w:noProof/>
            <w:webHidden/>
          </w:rPr>
          <w:fldChar w:fldCharType="end"/>
        </w:r>
      </w:hyperlink>
    </w:p>
    <w:p w14:paraId="61259A4D" w14:textId="5BA278C9" w:rsidR="00864B60" w:rsidRDefault="00262AD8">
      <w:pPr>
        <w:pStyle w:val="TOC1"/>
        <w:rPr>
          <w:rFonts w:eastAsiaTheme="minorEastAsia"/>
          <w:b w:val="0"/>
          <w:noProof/>
          <w:color w:val="auto"/>
          <w:sz w:val="22"/>
          <w:lang w:eastAsia="en-AU"/>
        </w:rPr>
      </w:pPr>
      <w:hyperlink w:anchor="_Toc480793168" w:history="1">
        <w:r w:rsidR="00864B60" w:rsidRPr="00352D02">
          <w:rPr>
            <w:rStyle w:val="Hyperlink"/>
            <w:noProof/>
          </w:rPr>
          <w:t>Feedback options</w:t>
        </w:r>
        <w:r w:rsidR="00864B60">
          <w:rPr>
            <w:noProof/>
            <w:webHidden/>
          </w:rPr>
          <w:tab/>
        </w:r>
        <w:r w:rsidR="00864B60">
          <w:rPr>
            <w:noProof/>
            <w:webHidden/>
          </w:rPr>
          <w:fldChar w:fldCharType="begin"/>
        </w:r>
        <w:r w:rsidR="00864B60">
          <w:rPr>
            <w:noProof/>
            <w:webHidden/>
          </w:rPr>
          <w:instrText xml:space="preserve"> PAGEREF _Toc480793168 \h </w:instrText>
        </w:r>
        <w:r w:rsidR="00864B60">
          <w:rPr>
            <w:noProof/>
            <w:webHidden/>
          </w:rPr>
        </w:r>
        <w:r w:rsidR="00864B60">
          <w:rPr>
            <w:noProof/>
            <w:webHidden/>
          </w:rPr>
          <w:fldChar w:fldCharType="separate"/>
        </w:r>
        <w:r>
          <w:rPr>
            <w:noProof/>
            <w:webHidden/>
          </w:rPr>
          <w:t>27</w:t>
        </w:r>
        <w:r w:rsidR="00864B60">
          <w:rPr>
            <w:noProof/>
            <w:webHidden/>
          </w:rPr>
          <w:fldChar w:fldCharType="end"/>
        </w:r>
      </w:hyperlink>
    </w:p>
    <w:p w14:paraId="4467C8D9" w14:textId="77777777" w:rsidR="00A7176A" w:rsidRDefault="00A7176A" w:rsidP="0010682D">
      <w:r>
        <w:fldChar w:fldCharType="end"/>
      </w:r>
    </w:p>
    <w:p w14:paraId="5C90F67C" w14:textId="77777777" w:rsidR="00A7176A" w:rsidRDefault="00A7176A" w:rsidP="00A7176A">
      <w:r>
        <w:br w:type="page"/>
      </w:r>
    </w:p>
    <w:p w14:paraId="404CE217" w14:textId="77777777" w:rsidR="00682B85" w:rsidRDefault="00273AD7" w:rsidP="00D73A6B">
      <w:pPr>
        <w:pStyle w:val="Heading2"/>
        <w:spacing w:after="120"/>
      </w:pPr>
      <w:bookmarkStart w:id="7" w:name="_Toc471817795"/>
      <w:bookmarkStart w:id="8" w:name="_Toc471819403"/>
      <w:bookmarkStart w:id="9" w:name="_Toc471986033"/>
      <w:bookmarkStart w:id="10" w:name="_Toc471987629"/>
      <w:bookmarkStart w:id="11" w:name="_Toc471988010"/>
      <w:bookmarkStart w:id="12" w:name="_Toc471992176"/>
      <w:bookmarkStart w:id="13" w:name="_Toc471995351"/>
      <w:bookmarkStart w:id="14" w:name="_Toc471996863"/>
      <w:bookmarkStart w:id="15" w:name="_Toc474255229"/>
      <w:bookmarkStart w:id="16" w:name="_Toc256000099"/>
      <w:bookmarkStart w:id="17" w:name="_Toc256000066"/>
      <w:bookmarkStart w:id="18" w:name="_Toc256000033"/>
      <w:bookmarkStart w:id="19" w:name="_Toc256000000"/>
      <w:bookmarkStart w:id="20" w:name="_Toc480793136"/>
      <w:r>
        <w:lastRenderedPageBreak/>
        <w:t>Summary</w:t>
      </w:r>
      <w:r w:rsidR="00330FA3">
        <w:t xml:space="preserve"> of </w:t>
      </w:r>
      <w:r w:rsidR="00732CC4">
        <w:t xml:space="preserve">draft </w:t>
      </w:r>
      <w:r w:rsidR="00330FA3">
        <w:t>p</w:t>
      </w:r>
      <w:r w:rsidR="00B96043">
        <w:t>roposals</w:t>
      </w:r>
      <w:bookmarkEnd w:id="7"/>
      <w:bookmarkEnd w:id="8"/>
      <w:bookmarkEnd w:id="9"/>
      <w:bookmarkEnd w:id="10"/>
      <w:bookmarkEnd w:id="11"/>
      <w:bookmarkEnd w:id="12"/>
      <w:bookmarkEnd w:id="13"/>
      <w:bookmarkEnd w:id="14"/>
      <w:bookmarkEnd w:id="15"/>
      <w:bookmarkEnd w:id="16"/>
      <w:bookmarkEnd w:id="17"/>
      <w:bookmarkEnd w:id="18"/>
      <w:bookmarkEnd w:id="19"/>
      <w:bookmarkEnd w:id="20"/>
    </w:p>
    <w:p w14:paraId="608A6D89" w14:textId="66264642" w:rsidR="0094342B" w:rsidRPr="000508D4" w:rsidRDefault="000508D4" w:rsidP="000508D4">
      <w:pPr>
        <w:pBdr>
          <w:top w:val="single" w:sz="4" w:space="1" w:color="auto"/>
          <w:left w:val="single" w:sz="4" w:space="1" w:color="auto"/>
          <w:bottom w:val="single" w:sz="4" w:space="1" w:color="auto"/>
          <w:right w:val="single" w:sz="4" w:space="4" w:color="auto"/>
        </w:pBdr>
        <w:spacing w:before="120" w:after="120"/>
        <w:rPr>
          <w:b/>
          <w:color w:val="07478C"/>
        </w:rPr>
      </w:pPr>
      <w:r w:rsidRPr="000508D4">
        <w:rPr>
          <w:b/>
          <w:color w:val="07478C"/>
        </w:rPr>
        <w:t>Allocation decisions</w:t>
      </w:r>
    </w:p>
    <w:p w14:paraId="3999112A" w14:textId="3A671E18" w:rsidR="00456B90" w:rsidRDefault="00A86DE6" w:rsidP="000508D4">
      <w:pPr>
        <w:pStyle w:val="ListParagraph"/>
        <w:numPr>
          <w:ilvl w:val="0"/>
          <w:numId w:val="40"/>
        </w:numPr>
        <w:pBdr>
          <w:top w:val="single" w:sz="4" w:space="1" w:color="auto"/>
          <w:left w:val="single" w:sz="4" w:space="1" w:color="auto"/>
          <w:bottom w:val="single" w:sz="4" w:space="1" w:color="auto"/>
          <w:right w:val="single" w:sz="4" w:space="4" w:color="auto"/>
        </w:pBdr>
        <w:ind w:left="567" w:hanging="567"/>
      </w:pPr>
      <w:r w:rsidRPr="00A86DE6">
        <w:t>The ACMA should publish guidelines on how it approaches its spectrum pricing decisions.</w:t>
      </w:r>
    </w:p>
    <w:p w14:paraId="71CEB175" w14:textId="77777777" w:rsidR="008E2767" w:rsidRDefault="00A86DE6" w:rsidP="000508D4">
      <w:pPr>
        <w:pStyle w:val="ListParagraph"/>
        <w:numPr>
          <w:ilvl w:val="0"/>
          <w:numId w:val="40"/>
        </w:numPr>
        <w:pBdr>
          <w:top w:val="single" w:sz="4" w:space="1" w:color="auto"/>
          <w:left w:val="single" w:sz="4" w:space="1" w:color="auto"/>
          <w:bottom w:val="single" w:sz="4" w:space="1" w:color="auto"/>
          <w:right w:val="single" w:sz="4" w:space="4" w:color="auto"/>
        </w:pBdr>
        <w:ind w:left="567" w:hanging="567"/>
      </w:pPr>
      <w:r w:rsidRPr="00087E3E">
        <w:t xml:space="preserve">To ensure efficient use of spectrum, </w:t>
      </w:r>
      <w:r>
        <w:t>the Government</w:t>
      </w:r>
      <w:r w:rsidRPr="00087E3E">
        <w:t xml:space="preserve"> </w:t>
      </w:r>
      <w:r>
        <w:t xml:space="preserve">and the ACMA </w:t>
      </w:r>
      <w:r w:rsidRPr="00087E3E">
        <w:t xml:space="preserve">should </w:t>
      </w:r>
      <w:r>
        <w:t xml:space="preserve">endeavour to </w:t>
      </w:r>
      <w:r w:rsidRPr="00087E3E">
        <w:t>charge users of similar spectrum at the same rate.</w:t>
      </w:r>
      <w:r w:rsidRPr="00C41FB6">
        <w:t xml:space="preserve"> </w:t>
      </w:r>
    </w:p>
    <w:p w14:paraId="2F24FE73" w14:textId="11D6A042" w:rsidR="00456B90" w:rsidRDefault="00A86DE6" w:rsidP="000508D4">
      <w:pPr>
        <w:pStyle w:val="ListParagraph"/>
        <w:numPr>
          <w:ilvl w:val="0"/>
          <w:numId w:val="40"/>
        </w:numPr>
        <w:pBdr>
          <w:top w:val="single" w:sz="4" w:space="1" w:color="auto"/>
          <w:left w:val="single" w:sz="4" w:space="1" w:color="auto"/>
          <w:bottom w:val="single" w:sz="4" w:space="1" w:color="auto"/>
          <w:right w:val="single" w:sz="4" w:space="4" w:color="auto"/>
        </w:pBdr>
        <w:ind w:left="567" w:hanging="567"/>
      </w:pPr>
      <w:r>
        <w:t xml:space="preserve">Bespoke pricing arrangements will sometimes be necessary. </w:t>
      </w:r>
      <w:r w:rsidRPr="00EF7DD2">
        <w:t xml:space="preserve">Where spectrum </w:t>
      </w:r>
      <w:r>
        <w:t>fees</w:t>
      </w:r>
      <w:r w:rsidRPr="00EF7DD2">
        <w:t xml:space="preserve"> are determined </w:t>
      </w:r>
      <w:r>
        <w:t>other than by auction or by the administered pricing formula</w:t>
      </w:r>
      <w:r w:rsidRPr="00EF7DD2">
        <w:t>, the ACMA</w:t>
      </w:r>
      <w:r>
        <w:t>, or the Government where it directs the ACMA on pricing,</w:t>
      </w:r>
      <w:r w:rsidRPr="00EF7DD2">
        <w:t xml:space="preserve"> should </w:t>
      </w:r>
      <w:r>
        <w:t>publish the reasons for this decision.</w:t>
      </w:r>
    </w:p>
    <w:p w14:paraId="39424DAE" w14:textId="529B2976" w:rsidR="00C0744E" w:rsidRPr="000508D4" w:rsidRDefault="000508D4" w:rsidP="000508D4">
      <w:pPr>
        <w:pBdr>
          <w:top w:val="single" w:sz="4" w:space="1" w:color="auto"/>
          <w:left w:val="single" w:sz="4" w:space="1" w:color="auto"/>
          <w:bottom w:val="single" w:sz="4" w:space="1" w:color="auto"/>
          <w:right w:val="single" w:sz="4" w:space="4" w:color="auto"/>
        </w:pBdr>
        <w:spacing w:before="120" w:after="120"/>
        <w:rPr>
          <w:b/>
          <w:color w:val="07478C"/>
        </w:rPr>
      </w:pPr>
      <w:r w:rsidRPr="000508D4">
        <w:rPr>
          <w:b/>
          <w:color w:val="07478C"/>
        </w:rPr>
        <w:t>Market-based allocations</w:t>
      </w:r>
    </w:p>
    <w:p w14:paraId="7C1E23D8" w14:textId="77777777" w:rsidR="008E2767" w:rsidRDefault="00A86DE6" w:rsidP="000508D4">
      <w:pPr>
        <w:pStyle w:val="ListParagraph"/>
        <w:numPr>
          <w:ilvl w:val="0"/>
          <w:numId w:val="40"/>
        </w:numPr>
        <w:pBdr>
          <w:top w:val="single" w:sz="4" w:space="1" w:color="auto"/>
          <w:left w:val="single" w:sz="4" w:space="1" w:color="auto"/>
          <w:bottom w:val="single" w:sz="4" w:space="1" w:color="auto"/>
          <w:right w:val="single" w:sz="4" w:space="4" w:color="auto"/>
        </w:pBdr>
        <w:ind w:left="567" w:hanging="567"/>
      </w:pPr>
      <w:r w:rsidRPr="00DE56DB">
        <w:t xml:space="preserve">The ACMA should </w:t>
      </w:r>
      <w:r>
        <w:t>further identify</w:t>
      </w:r>
      <w:r w:rsidRPr="00DE56DB">
        <w:t xml:space="preserve"> bands to transition from administratively set fees to </w:t>
      </w:r>
      <w:r>
        <w:t>competitive market-based allocations</w:t>
      </w:r>
      <w:r w:rsidRPr="00313F11">
        <w:t xml:space="preserve"> </w:t>
      </w:r>
      <w:r>
        <w:t>in its annual work program</w:t>
      </w:r>
      <w:r w:rsidRPr="00DE56DB">
        <w:t>.</w:t>
      </w:r>
    </w:p>
    <w:p w14:paraId="08B146D1" w14:textId="77777777" w:rsidR="008E2767" w:rsidRDefault="00A86DE6" w:rsidP="000508D4">
      <w:pPr>
        <w:pStyle w:val="ListParagraph"/>
        <w:numPr>
          <w:ilvl w:val="0"/>
          <w:numId w:val="40"/>
        </w:numPr>
        <w:pBdr>
          <w:top w:val="single" w:sz="4" w:space="1" w:color="auto"/>
          <w:left w:val="single" w:sz="4" w:space="1" w:color="auto"/>
          <w:bottom w:val="single" w:sz="4" w:space="1" w:color="auto"/>
          <w:right w:val="single" w:sz="4" w:space="4" w:color="auto"/>
        </w:pBdr>
        <w:ind w:left="567" w:hanging="567"/>
      </w:pPr>
      <w:r>
        <w:t>In setting reserve prices, the ACMA and the Government should consider the influence of the reserve price on competitive behaviour, and the scope for price discovery through upward movement toward the market value of the spectrum.</w:t>
      </w:r>
    </w:p>
    <w:p w14:paraId="51D42FF9" w14:textId="2B522063" w:rsidR="00456B90" w:rsidRDefault="00A86DE6" w:rsidP="000508D4">
      <w:pPr>
        <w:pStyle w:val="ListParagraph"/>
        <w:numPr>
          <w:ilvl w:val="0"/>
          <w:numId w:val="40"/>
        </w:numPr>
        <w:pBdr>
          <w:top w:val="single" w:sz="4" w:space="1" w:color="auto"/>
          <w:left w:val="single" w:sz="4" w:space="1" w:color="auto"/>
          <w:bottom w:val="single" w:sz="4" w:space="1" w:color="auto"/>
          <w:right w:val="single" w:sz="4" w:space="4" w:color="auto"/>
        </w:pBdr>
        <w:ind w:left="567" w:hanging="567"/>
      </w:pPr>
      <w:r>
        <w:t>For spectrum access charges determined by auction, the ACMA should generally require upfront l</w:t>
      </w:r>
      <w:r w:rsidRPr="00C101D9">
        <w:t>ump-sum payments</w:t>
      </w:r>
      <w:r>
        <w:t xml:space="preserve">. There may be circumstances </w:t>
      </w:r>
      <w:r w:rsidRPr="00925AD4">
        <w:t>where instalment payments are warranted shortly after the beginning of a licence term. In considering use of instalments, the ACMA should assess the risks to the state of default and the potential impact on competition.</w:t>
      </w:r>
    </w:p>
    <w:p w14:paraId="5441320E" w14:textId="001D79BF" w:rsidR="00C0744E" w:rsidRPr="000508D4" w:rsidRDefault="000508D4" w:rsidP="000508D4">
      <w:pPr>
        <w:pBdr>
          <w:top w:val="single" w:sz="4" w:space="1" w:color="auto"/>
          <w:left w:val="single" w:sz="4" w:space="1" w:color="auto"/>
          <w:bottom w:val="single" w:sz="4" w:space="1" w:color="auto"/>
          <w:right w:val="single" w:sz="4" w:space="4" w:color="auto"/>
        </w:pBdr>
        <w:spacing w:before="120" w:after="120"/>
        <w:rPr>
          <w:b/>
          <w:color w:val="07478C"/>
        </w:rPr>
      </w:pPr>
      <w:r w:rsidRPr="000508D4">
        <w:rPr>
          <w:b/>
          <w:color w:val="07478C"/>
        </w:rPr>
        <w:t>Administered allocations</w:t>
      </w:r>
    </w:p>
    <w:p w14:paraId="642A31AE" w14:textId="4950D21B" w:rsidR="00456B90" w:rsidRDefault="00A86DE6" w:rsidP="000508D4">
      <w:pPr>
        <w:pStyle w:val="ListParagraph"/>
        <w:numPr>
          <w:ilvl w:val="0"/>
          <w:numId w:val="40"/>
        </w:numPr>
        <w:pBdr>
          <w:top w:val="single" w:sz="4" w:space="1" w:color="auto"/>
          <w:left w:val="single" w:sz="4" w:space="1" w:color="auto"/>
          <w:bottom w:val="single" w:sz="4" w:space="1" w:color="auto"/>
          <w:right w:val="single" w:sz="4" w:space="4" w:color="auto"/>
        </w:pBdr>
        <w:ind w:left="567" w:hanging="567"/>
      </w:pPr>
      <w:r>
        <w:t>The ACMA should undertake a detailed review of the administrative pricing formula’s parameters, including density areas, the number of pricing bands, and the number of power categories. The ACMA should implement regular updates to the location and band weightings to reflect changes in density, demography and demand.</w:t>
      </w:r>
    </w:p>
    <w:p w14:paraId="41C0BDF2" w14:textId="3AE4A1E9" w:rsidR="00456B90" w:rsidRDefault="00A86DE6" w:rsidP="000508D4">
      <w:pPr>
        <w:pStyle w:val="ListParagraph"/>
        <w:numPr>
          <w:ilvl w:val="0"/>
          <w:numId w:val="40"/>
        </w:numPr>
        <w:pBdr>
          <w:top w:val="single" w:sz="4" w:space="1" w:color="auto"/>
          <w:left w:val="single" w:sz="4" w:space="1" w:color="auto"/>
          <w:bottom w:val="single" w:sz="4" w:space="1" w:color="auto"/>
          <w:right w:val="single" w:sz="4" w:space="4" w:color="auto"/>
        </w:pBdr>
        <w:ind w:left="567" w:hanging="567"/>
      </w:pPr>
      <w:r>
        <w:t xml:space="preserve">The ACMA should apply opportunity cost pricing to a greater number of spectrum bands, especially where it is impractical to competitively allocate spectrum. This work should be identified in the ACMAs annual work program. </w:t>
      </w:r>
      <w:r w:rsidRPr="008D4B89">
        <w:t xml:space="preserve">The ACMA should </w:t>
      </w:r>
      <w:r>
        <w:t xml:space="preserve">consider more time effective approaches to implement these, and </w:t>
      </w:r>
      <w:r w:rsidRPr="008D4B89">
        <w:t>review fees as market conditions change over time.</w:t>
      </w:r>
    </w:p>
    <w:p w14:paraId="1A43CFAC" w14:textId="66D18887" w:rsidR="00C0744E" w:rsidRPr="000508D4" w:rsidRDefault="000508D4" w:rsidP="000508D4">
      <w:pPr>
        <w:pBdr>
          <w:top w:val="single" w:sz="4" w:space="1" w:color="auto"/>
          <w:left w:val="single" w:sz="4" w:space="1" w:color="auto"/>
          <w:bottom w:val="single" w:sz="4" w:space="1" w:color="auto"/>
          <w:right w:val="single" w:sz="4" w:space="4" w:color="auto"/>
        </w:pBdr>
        <w:spacing w:before="120" w:after="120"/>
        <w:rPr>
          <w:b/>
          <w:color w:val="07478C"/>
        </w:rPr>
      </w:pPr>
      <w:r w:rsidRPr="000508D4">
        <w:rPr>
          <w:b/>
          <w:color w:val="07478C"/>
        </w:rPr>
        <w:t>Legislative and cost recovery framework</w:t>
      </w:r>
    </w:p>
    <w:p w14:paraId="3682BC65" w14:textId="45A42308" w:rsidR="005410F4" w:rsidRPr="005410F4" w:rsidRDefault="00A86DE6" w:rsidP="000508D4">
      <w:pPr>
        <w:pStyle w:val="ListParagraph"/>
        <w:numPr>
          <w:ilvl w:val="0"/>
          <w:numId w:val="40"/>
        </w:numPr>
        <w:pBdr>
          <w:top w:val="single" w:sz="4" w:space="1" w:color="auto"/>
          <w:left w:val="single" w:sz="4" w:space="1" w:color="auto"/>
          <w:bottom w:val="single" w:sz="4" w:space="1" w:color="auto"/>
          <w:right w:val="single" w:sz="4" w:space="4" w:color="auto"/>
        </w:pBdr>
        <w:ind w:left="567" w:hanging="567"/>
      </w:pPr>
      <w:r>
        <w:t xml:space="preserve">The Government should consolidate the three existing spectrum tax Acts into one tax Act. The ACMA should continue to have the power to make determinations on the amount of tax under this Act. There should be no changes to the direct charges framework. In addition to the consolidation of the tax Acts, provisions of the separate </w:t>
      </w:r>
      <w:r w:rsidRPr="00BB056B">
        <w:rPr>
          <w:i/>
        </w:rPr>
        <w:t>Radiocommunications Taxes Collection Act 1983</w:t>
      </w:r>
      <w:r>
        <w:t xml:space="preserve"> and the </w:t>
      </w:r>
      <w:r w:rsidRPr="00BB056B">
        <w:rPr>
          <w:i/>
        </w:rPr>
        <w:t>Radiocommunications Taxes Collection Regulations 1985</w:t>
      </w:r>
      <w:r w:rsidRPr="00307352">
        <w:t xml:space="preserve"> </w:t>
      </w:r>
      <w:r>
        <w:t>should be consolidated with the remaining legislation.</w:t>
      </w:r>
    </w:p>
    <w:p w14:paraId="50825066" w14:textId="28D2158D" w:rsidR="005410F4" w:rsidRPr="005410F4" w:rsidRDefault="00A86DE6" w:rsidP="000508D4">
      <w:pPr>
        <w:pStyle w:val="ListParagraph"/>
        <w:numPr>
          <w:ilvl w:val="0"/>
          <w:numId w:val="40"/>
        </w:numPr>
        <w:pBdr>
          <w:top w:val="single" w:sz="4" w:space="1" w:color="auto"/>
          <w:left w:val="single" w:sz="4" w:space="1" w:color="auto"/>
          <w:bottom w:val="single" w:sz="4" w:space="1" w:color="auto"/>
          <w:right w:val="single" w:sz="4" w:space="4" w:color="auto"/>
        </w:pBdr>
        <w:ind w:left="567" w:hanging="567"/>
      </w:pPr>
      <w:r>
        <w:t xml:space="preserve">The apparatus licence taxes and spectrum licence spectrum access charges should be combined into a single spectrum access charge. </w:t>
      </w:r>
      <w:r w:rsidRPr="00EF7DD2">
        <w:t xml:space="preserve">This existing apparatus licence tax formula </w:t>
      </w:r>
      <w:r>
        <w:t>should</w:t>
      </w:r>
      <w:r w:rsidRPr="00EF7DD2">
        <w:t xml:space="preserve"> become the administered incentive pricing formula</w:t>
      </w:r>
      <w:r>
        <w:t xml:space="preserve"> and should dictate the price paid for administered prices under the spectrum access charge. T</w:t>
      </w:r>
      <w:r w:rsidRPr="00EF7DD2">
        <w:t xml:space="preserve">his formula </w:t>
      </w:r>
      <w:r>
        <w:t>would</w:t>
      </w:r>
      <w:r w:rsidRPr="00EF7DD2">
        <w:t xml:space="preserve"> be adjusted to remove </w:t>
      </w:r>
      <w:r>
        <w:t>the</w:t>
      </w:r>
      <w:r w:rsidRPr="00EF7DD2">
        <w:t xml:space="preserve"> minimum tax constraint.</w:t>
      </w:r>
    </w:p>
    <w:p w14:paraId="16776A02" w14:textId="5F3B2E9E" w:rsidR="00B96043" w:rsidRDefault="00A86DE6" w:rsidP="000508D4">
      <w:pPr>
        <w:pStyle w:val="ListParagraph"/>
        <w:numPr>
          <w:ilvl w:val="0"/>
          <w:numId w:val="40"/>
        </w:numPr>
        <w:pBdr>
          <w:top w:val="single" w:sz="4" w:space="1" w:color="auto"/>
          <w:left w:val="single" w:sz="4" w:space="1" w:color="auto"/>
          <w:bottom w:val="single" w:sz="4" w:space="1" w:color="auto"/>
          <w:right w:val="single" w:sz="4" w:space="4" w:color="auto"/>
        </w:pBdr>
        <w:ind w:left="567" w:hanging="567"/>
      </w:pPr>
      <w:r>
        <w:t xml:space="preserve">The spectrum licence tax and the minimum tax constraint of the apparatus licence taxes should be subsumed into one radiocommunications licence tax. The ACMA may choose to set the amount of this tax to cover where the spectrum access charge would not otherwise recover the costs of managing the spectrum. </w:t>
      </w:r>
      <w:r w:rsidRPr="00EF7DD2">
        <w:t>The ACMA should continue to recover direct costs through charges. The ACMA should explore if there are any additional costs that can be recovered through the direct cost mechanisms.</w:t>
      </w:r>
      <w:r w:rsidR="00B96043">
        <w:br w:type="page"/>
      </w:r>
    </w:p>
    <w:p w14:paraId="7E2A8904" w14:textId="77777777" w:rsidR="004C5FB0" w:rsidRDefault="0016724A" w:rsidP="005537E3">
      <w:pPr>
        <w:pStyle w:val="Heading2"/>
        <w:spacing w:after="120"/>
      </w:pPr>
      <w:bookmarkStart w:id="21" w:name="_Toc471817796"/>
      <w:bookmarkStart w:id="22" w:name="_Toc471819404"/>
      <w:bookmarkStart w:id="23" w:name="_Toc471986034"/>
      <w:bookmarkStart w:id="24" w:name="_Toc471987630"/>
      <w:bookmarkStart w:id="25" w:name="_Toc471988011"/>
      <w:bookmarkStart w:id="26" w:name="_Toc471992177"/>
      <w:bookmarkStart w:id="27" w:name="_Toc471995352"/>
      <w:bookmarkStart w:id="28" w:name="_Toc471996864"/>
      <w:bookmarkStart w:id="29" w:name="_Toc474255230"/>
      <w:bookmarkStart w:id="30" w:name="_Toc256000100"/>
      <w:bookmarkStart w:id="31" w:name="_Toc256000067"/>
      <w:bookmarkStart w:id="32" w:name="_Toc256000034"/>
      <w:bookmarkStart w:id="33" w:name="_Toc256000001"/>
      <w:bookmarkStart w:id="34" w:name="_Toc480793137"/>
      <w:r>
        <w:lastRenderedPageBreak/>
        <w:t>Introduction</w:t>
      </w:r>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40D76ACB" w14:textId="77777777" w:rsidR="0016724A" w:rsidRDefault="0016724A" w:rsidP="0016724A">
      <w:pPr>
        <w:pStyle w:val="Heading3"/>
      </w:pPr>
      <w:bookmarkStart w:id="35" w:name="_Toc471817797"/>
      <w:bookmarkStart w:id="36" w:name="_Toc471819405"/>
      <w:bookmarkStart w:id="37" w:name="_Toc471986035"/>
      <w:bookmarkStart w:id="38" w:name="_Toc471987631"/>
      <w:bookmarkStart w:id="39" w:name="_Toc471988012"/>
      <w:bookmarkStart w:id="40" w:name="_Toc471992178"/>
      <w:bookmarkStart w:id="41" w:name="_Toc471995353"/>
      <w:bookmarkStart w:id="42" w:name="_Toc471996865"/>
      <w:bookmarkStart w:id="43" w:name="_Toc474255231"/>
      <w:bookmarkStart w:id="44" w:name="_Toc256000101"/>
      <w:bookmarkStart w:id="45" w:name="_Toc256000068"/>
      <w:bookmarkStart w:id="46" w:name="_Toc256000035"/>
      <w:bookmarkStart w:id="47" w:name="_Toc256000002"/>
      <w:bookmarkStart w:id="48" w:name="_Toc480793138"/>
      <w:r>
        <w:t xml:space="preserve">The </w:t>
      </w:r>
      <w:r w:rsidR="002E0F26">
        <w:t>S</w:t>
      </w:r>
      <w:r>
        <w:t xml:space="preserve">pectrum </w:t>
      </w:r>
      <w:r w:rsidR="002E0F26">
        <w:t>R</w:t>
      </w:r>
      <w:r>
        <w:t>eview</w:t>
      </w:r>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328CFD4" w14:textId="77777777" w:rsidR="00A1595E" w:rsidRPr="00A1595E" w:rsidRDefault="00A1595E" w:rsidP="00A1595E">
      <w:r>
        <w:t xml:space="preserve">The Department of Communications released its Spectrum Review in March 2015. </w:t>
      </w:r>
      <w:r w:rsidRPr="00A1595E">
        <w:t>In August 2015 the Government announced it would implement the recommendations of the review, including agreement to:</w:t>
      </w:r>
    </w:p>
    <w:p w14:paraId="6FB9C8F0" w14:textId="3C7358D9" w:rsidR="00A1595E" w:rsidRPr="00A1595E" w:rsidRDefault="002B72E5" w:rsidP="008F7A8D">
      <w:pPr>
        <w:pStyle w:val="Bulletlevel1"/>
        <w:numPr>
          <w:ilvl w:val="0"/>
          <w:numId w:val="45"/>
        </w:numPr>
      </w:pPr>
      <w:r>
        <w:t>r</w:t>
      </w:r>
      <w:r w:rsidR="00A1595E" w:rsidRPr="00A1595E">
        <w:t>eplace the current legislative arrangements with new legislation that removes prescriptive process and streamlines licensing for a simp</w:t>
      </w:r>
      <w:r>
        <w:t>ler and more flexible framework</w:t>
      </w:r>
    </w:p>
    <w:p w14:paraId="455E7F9F" w14:textId="6B8BF052" w:rsidR="00A1595E" w:rsidRPr="00A1595E" w:rsidRDefault="002B72E5" w:rsidP="008F7A8D">
      <w:pPr>
        <w:pStyle w:val="Bulletlevel1"/>
        <w:numPr>
          <w:ilvl w:val="0"/>
          <w:numId w:val="45"/>
        </w:numPr>
      </w:pPr>
      <w:r>
        <w:t>b</w:t>
      </w:r>
      <w:r w:rsidR="00A1595E" w:rsidRPr="00A1595E">
        <w:t>etter integrate the management of public sector and broadcasting spectrum to improve the consistency</w:t>
      </w:r>
      <w:r>
        <w:t xml:space="preserve"> and integrity of the framework</w:t>
      </w:r>
    </w:p>
    <w:p w14:paraId="5552C7E8" w14:textId="602B9CF6" w:rsidR="00A1595E" w:rsidRPr="00A1595E" w:rsidRDefault="002B72E5" w:rsidP="008F7A8D">
      <w:pPr>
        <w:pStyle w:val="Bulletlevel1"/>
        <w:numPr>
          <w:ilvl w:val="0"/>
          <w:numId w:val="45"/>
        </w:numPr>
      </w:pPr>
      <w:r>
        <w:t>r</w:t>
      </w:r>
      <w:r w:rsidR="00A1595E" w:rsidRPr="00A1595E">
        <w:t>eview spectrum pricing to ensure consistent and transparent arrangements to support the efficient use of spectrum and secondary markets.</w:t>
      </w:r>
    </w:p>
    <w:p w14:paraId="63CC049E" w14:textId="77777777" w:rsidR="00982E7F" w:rsidRDefault="00982E7F" w:rsidP="00C912CB">
      <w:r>
        <w:t xml:space="preserve">This review seeks to implement </w:t>
      </w:r>
      <w:r w:rsidR="008E6326">
        <w:t>recommendation 3</w:t>
      </w:r>
      <w:r>
        <w:t>.</w:t>
      </w:r>
    </w:p>
    <w:p w14:paraId="24DA0C79" w14:textId="77777777" w:rsidR="00864227" w:rsidRDefault="00864227" w:rsidP="00864227">
      <w:pPr>
        <w:pStyle w:val="Heading3"/>
      </w:pPr>
      <w:bookmarkStart w:id="49" w:name="_Toc471817798"/>
      <w:bookmarkStart w:id="50" w:name="_Toc471819406"/>
      <w:bookmarkStart w:id="51" w:name="_Toc471986036"/>
      <w:bookmarkStart w:id="52" w:name="_Toc471987632"/>
      <w:bookmarkStart w:id="53" w:name="_Toc471988013"/>
      <w:bookmarkStart w:id="54" w:name="_Toc471992179"/>
      <w:bookmarkStart w:id="55" w:name="_Toc471995354"/>
      <w:bookmarkStart w:id="56" w:name="_Toc471996866"/>
      <w:bookmarkStart w:id="57" w:name="_Toc474255232"/>
      <w:bookmarkStart w:id="58" w:name="_Toc256000102"/>
      <w:bookmarkStart w:id="59" w:name="_Toc256000069"/>
      <w:bookmarkStart w:id="60" w:name="_Toc256000036"/>
      <w:bookmarkStart w:id="61" w:name="_Toc256000003"/>
      <w:bookmarkStart w:id="62" w:name="_Toc480793139"/>
      <w:r>
        <w:t>Purpose and scope</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5C1D4716" w14:textId="1290474E" w:rsidR="005944CB" w:rsidRPr="00646C0D" w:rsidRDefault="005944CB" w:rsidP="005944CB">
      <w:r w:rsidRPr="00646C0D">
        <w:t>Spectrum is essential to a digitally networked economy and a major contributor to Australia’s economic and social wellbeing. It is critical infrastructure enabling production for industrial, commercial, educational and other social services.</w:t>
      </w:r>
      <w:r>
        <w:t xml:space="preserve"> </w:t>
      </w:r>
      <w:r w:rsidRPr="00646C0D">
        <w:t>The economic value of Australia’s spectrum to the national economy is estimated to be $177 billion over 15 years</w:t>
      </w:r>
      <w:r>
        <w:rPr>
          <w:rStyle w:val="FootnoteReference"/>
        </w:rPr>
        <w:footnoteReference w:id="2"/>
      </w:r>
      <w:r w:rsidRPr="00646C0D">
        <w:t>.</w:t>
      </w:r>
    </w:p>
    <w:p w14:paraId="70A7A8BC" w14:textId="77777777" w:rsidR="008E2767" w:rsidRDefault="005944CB" w:rsidP="005944CB">
      <w:r w:rsidRPr="00646C0D">
        <w:t>Technology has changed substantially since 1992 when the current regulatory framework</w:t>
      </w:r>
      <w:r>
        <w:t xml:space="preserve"> </w:t>
      </w:r>
      <w:r w:rsidRPr="00646C0D">
        <w:t xml:space="preserve">was introduced. The framework has served the nation well and been a source of </w:t>
      </w:r>
      <w:r w:rsidR="00C4320B">
        <w:t>international competitiveness. </w:t>
      </w:r>
      <w:r w:rsidRPr="00646C0D">
        <w:t>However, sector wide changes are challenging the efficiency, productivity and accessibility of the current arrange</w:t>
      </w:r>
      <w:r w:rsidR="00C4320B">
        <w:t xml:space="preserve">ments for spectrum management. </w:t>
      </w:r>
      <w:r w:rsidRPr="00646C0D">
        <w:t>As technology advances, there are increasingly novel ways to use spectrum to communicate and send information. This constant development means there is increasing demand for spectrum arising from an expanding array of uses.</w:t>
      </w:r>
    </w:p>
    <w:p w14:paraId="408DDA6E" w14:textId="13F67308" w:rsidR="005944CB" w:rsidRPr="00646C0D" w:rsidRDefault="005944CB" w:rsidP="005944CB">
      <w:r w:rsidRPr="00646C0D">
        <w:t>The extent to which the benefits of spectrum are realised or improved upon will depend in part on the ability of the spectrum management regulatory arrangements to accommodate rapid technological change and respond to increasing demand.</w:t>
      </w:r>
    </w:p>
    <w:p w14:paraId="1D01755F" w14:textId="04601713" w:rsidR="00282F7E" w:rsidRDefault="0053386A" w:rsidP="00EB438E">
      <w:r>
        <w:t xml:space="preserve">The last major shift in the way spectrum in Australia is priced and allocated occurred in 1992. </w:t>
      </w:r>
      <w:r w:rsidR="00282F7E">
        <w:t xml:space="preserve">Prior to the commencement of the </w:t>
      </w:r>
      <w:r w:rsidR="00282F7E" w:rsidRPr="00BA72F8">
        <w:rPr>
          <w:i/>
        </w:rPr>
        <w:t>Radiocommunications Act</w:t>
      </w:r>
      <w:r w:rsidR="00DC2E3F">
        <w:rPr>
          <w:i/>
        </w:rPr>
        <w:t xml:space="preserve"> 1992</w:t>
      </w:r>
      <w:r w:rsidR="00282F7E">
        <w:t xml:space="preserve">, spectrum was largely allocated through administrative mechanisms. As a finite resource, international regulators </w:t>
      </w:r>
      <w:r>
        <w:t xml:space="preserve">agree </w:t>
      </w:r>
      <w:r w:rsidR="00282F7E">
        <w:t xml:space="preserve">that </w:t>
      </w:r>
      <w:r>
        <w:t>a ‘</w:t>
      </w:r>
      <w:r w:rsidR="00282F7E">
        <w:t>command and control</w:t>
      </w:r>
      <w:r>
        <w:t>’ approach</w:t>
      </w:r>
      <w:r w:rsidR="00282F7E">
        <w:t xml:space="preserve"> limits the efficient </w:t>
      </w:r>
      <w:r w:rsidR="007E35DA">
        <w:t xml:space="preserve">and flexible </w:t>
      </w:r>
      <w:r w:rsidR="00282F7E">
        <w:t>use of spectrum</w:t>
      </w:r>
      <w:r w:rsidR="007E35DA">
        <w:rPr>
          <w:rStyle w:val="FootnoteReference"/>
        </w:rPr>
        <w:footnoteReference w:id="3"/>
      </w:r>
      <w:r w:rsidR="00282F7E">
        <w:t xml:space="preserve">. </w:t>
      </w:r>
      <w:r>
        <w:t>The 1992 Act enabled market-based allocation</w:t>
      </w:r>
      <w:r w:rsidR="00A352DA">
        <w:t xml:space="preserve"> for the first time</w:t>
      </w:r>
      <w:r>
        <w:t xml:space="preserve">. </w:t>
      </w:r>
      <w:r w:rsidRPr="00FA2C46">
        <w:t>Markets are important in ensuring spe</w:t>
      </w:r>
      <w:r>
        <w:t>ctrum is efficiently allocated – that is, producing what society wants, at the least cost, over time as societies and technology change.</w:t>
      </w:r>
    </w:p>
    <w:p w14:paraId="5C0074F5" w14:textId="1F06E43C" w:rsidR="00A352DA" w:rsidRDefault="00A352DA" w:rsidP="00282F7E">
      <w:r>
        <w:t>Spectrum management has been reviewed at two instances since the hallmark reforms</w:t>
      </w:r>
      <w:r w:rsidR="0042047E">
        <w:t>.</w:t>
      </w:r>
      <w:r>
        <w:t xml:space="preserve"> </w:t>
      </w:r>
      <w:r w:rsidR="0042047E">
        <w:t>A</w:t>
      </w:r>
      <w:r>
        <w:t xml:space="preserve"> Productivity Commission Review in 2002 made </w:t>
      </w:r>
      <w:r w:rsidR="0042047E">
        <w:t>a host of recommendations in order to see further use of the market in allocating spectrum</w:t>
      </w:r>
      <w:r>
        <w:t>,</w:t>
      </w:r>
      <w:r w:rsidR="0042047E">
        <w:t xml:space="preserve"> the majority</w:t>
      </w:r>
      <w:r w:rsidR="00B34CDA">
        <w:t xml:space="preserve"> of which were accepted by the G</w:t>
      </w:r>
      <w:r w:rsidR="0042047E">
        <w:t>overnment at the time.</w:t>
      </w:r>
      <w:r>
        <w:t xml:space="preserve"> </w:t>
      </w:r>
      <w:r w:rsidR="0042047E">
        <w:t>T</w:t>
      </w:r>
      <w:r>
        <w:t xml:space="preserve">he ensuing 2004 Australian Communications Authority review addressed </w:t>
      </w:r>
      <w:r w:rsidR="00C6785F">
        <w:t>the implementation of the Productivity Commission’s recommendations.</w:t>
      </w:r>
      <w:r>
        <w:rPr>
          <w:rStyle w:val="FootnoteReference"/>
        </w:rPr>
        <w:footnoteReference w:id="4"/>
      </w:r>
    </w:p>
    <w:p w14:paraId="1893C4BB" w14:textId="7305BAB5" w:rsidR="002C52C9" w:rsidRDefault="00B34CDA" w:rsidP="00A352DA">
      <w:r>
        <w:t>Incorporation of market-</w:t>
      </w:r>
      <w:r w:rsidR="00A352DA">
        <w:t>based mechanisms to spectrum allocation has been steady and is well utilised for band</w:t>
      </w:r>
      <w:r w:rsidR="00213E0E">
        <w:t>s used by mobile communication.</w:t>
      </w:r>
      <w:r w:rsidR="00A352DA">
        <w:t xml:space="preserve"> Administered pricing mechanisms, in contrast, have remained largely unchanged during this period. </w:t>
      </w:r>
      <w:r w:rsidR="00282F7E">
        <w:t>There has been no comprehensive review of spectrum pricing. T</w:t>
      </w:r>
      <w:r w:rsidR="00282F7E" w:rsidRPr="00EF1AAB">
        <w:t>he payment structures and taxation arrangements betw</w:t>
      </w:r>
      <w:r w:rsidR="00282F7E">
        <w:t xml:space="preserve">een the licensing </w:t>
      </w:r>
      <w:r w:rsidR="00365D6D">
        <w:t>systems</w:t>
      </w:r>
      <w:r w:rsidR="00282F7E">
        <w:t xml:space="preserve"> remain different.</w:t>
      </w:r>
      <w:r w:rsidR="002C52C9">
        <w:t xml:space="preserve"> Wh</w:t>
      </w:r>
      <w:r w:rsidR="00EB59A5">
        <w:t>ile</w:t>
      </w:r>
      <w:r w:rsidR="002C52C9">
        <w:t xml:space="preserve"> positive progress has been made</w:t>
      </w:r>
      <w:r w:rsidR="00EB59A5">
        <w:t xml:space="preserve"> further work can be done to implement a pricing ap</w:t>
      </w:r>
      <w:r w:rsidR="00F30F73">
        <w:t>proach in a consistent manner.</w:t>
      </w:r>
    </w:p>
    <w:p w14:paraId="77EEF8B8" w14:textId="1A0CCDE0" w:rsidR="00282F7E" w:rsidRDefault="0053386A" w:rsidP="00282F7E">
      <w:r>
        <w:t>The Spectrum Review recommended reviewing spectrum pricing, as part of a comprehensive suite of reforms, to ensure consistent and transparent arrangements to support the efficient use of spectrum and secondar</w:t>
      </w:r>
      <w:r w:rsidR="00213E0E">
        <w:t xml:space="preserve">y markets. </w:t>
      </w:r>
      <w:r>
        <w:t xml:space="preserve">This review of spectrum pricing is </w:t>
      </w:r>
      <w:r w:rsidR="000B0648">
        <w:t xml:space="preserve">concurrent to </w:t>
      </w:r>
      <w:r>
        <w:t>reforms to the primary legislation governing spectrum management in Australia</w:t>
      </w:r>
      <w:r w:rsidR="000B0648">
        <w:t xml:space="preserve"> (the </w:t>
      </w:r>
      <w:r w:rsidR="000B0648" w:rsidRPr="007269DE">
        <w:t>Radiocommunications Act</w:t>
      </w:r>
      <w:r w:rsidR="000B0648">
        <w:t>)</w:t>
      </w:r>
      <w:r>
        <w:t>.</w:t>
      </w:r>
    </w:p>
    <w:p w14:paraId="2092120C" w14:textId="4A9879A6" w:rsidR="00526AC4" w:rsidRDefault="00526AC4" w:rsidP="00D22817">
      <w:r>
        <w:t xml:space="preserve">In the 2017-18 Budget, the Government announced </w:t>
      </w:r>
      <w:r w:rsidR="00372044">
        <w:t>its intention</w:t>
      </w:r>
      <w:r>
        <w:t xml:space="preserve"> to abolish </w:t>
      </w:r>
      <w:r w:rsidRPr="00526AC4">
        <w:t xml:space="preserve">broadcasting licence fees </w:t>
      </w:r>
      <w:r w:rsidR="005D49FF">
        <w:t xml:space="preserve">and </w:t>
      </w:r>
      <w:r>
        <w:t xml:space="preserve">introduce </w:t>
      </w:r>
      <w:r w:rsidRPr="00526AC4">
        <w:t xml:space="preserve">a price for the use of </w:t>
      </w:r>
      <w:r w:rsidR="003A086A">
        <w:t xml:space="preserve">broadcasting </w:t>
      </w:r>
      <w:r w:rsidRPr="00526AC4">
        <w:t xml:space="preserve">spectrum that better reflects </w:t>
      </w:r>
      <w:r w:rsidR="003A086A">
        <w:t>its</w:t>
      </w:r>
      <w:r w:rsidRPr="00526AC4">
        <w:t xml:space="preserve"> value</w:t>
      </w:r>
      <w:r w:rsidR="00372044">
        <w:t xml:space="preserve">.  </w:t>
      </w:r>
      <w:r w:rsidR="00372044" w:rsidRPr="00372044">
        <w:t>Unlike</w:t>
      </w:r>
      <w:r w:rsidR="00372044">
        <w:t xml:space="preserve"> current </w:t>
      </w:r>
      <w:r w:rsidR="002B1516">
        <w:t>broadcasting licence</w:t>
      </w:r>
      <w:r w:rsidR="00372044">
        <w:t xml:space="preserve"> fees, the </w:t>
      </w:r>
      <w:r w:rsidR="002B1516">
        <w:t xml:space="preserve">price for the use of the </w:t>
      </w:r>
      <w:r w:rsidR="00372044">
        <w:t xml:space="preserve">spectrum would </w:t>
      </w:r>
      <w:r w:rsidR="00372044" w:rsidRPr="00372044">
        <w:t xml:space="preserve">not </w:t>
      </w:r>
      <w:r w:rsidR="00372044">
        <w:t xml:space="preserve">be </w:t>
      </w:r>
      <w:r w:rsidR="00372044" w:rsidRPr="00372044">
        <w:t>based upon revenue</w:t>
      </w:r>
      <w:r w:rsidR="002B1516">
        <w:t>, but the usage of the spectrum</w:t>
      </w:r>
      <w:r w:rsidR="00372044" w:rsidRPr="00372044">
        <w:t xml:space="preserve">.  </w:t>
      </w:r>
      <w:r w:rsidR="00372044">
        <w:t xml:space="preserve">As this is a large change for the broadcast industry, the Government has committed to a five year transitional package to ensure broadcasters are not </w:t>
      </w:r>
      <w:r w:rsidR="003A086A">
        <w:t>disadvantaged due to the new fees during this period</w:t>
      </w:r>
      <w:r w:rsidR="00372044">
        <w:t xml:space="preserve">. The Government has made a commitment to </w:t>
      </w:r>
      <w:r w:rsidR="00372044" w:rsidRPr="00372044">
        <w:t xml:space="preserve">review the broadcast pricing arrangements </w:t>
      </w:r>
      <w:r w:rsidR="003A086A">
        <w:t xml:space="preserve">within five years </w:t>
      </w:r>
      <w:r w:rsidR="00372044" w:rsidRPr="00372044">
        <w:t xml:space="preserve">to assess if the pricing </w:t>
      </w:r>
      <w:r w:rsidR="003A086A">
        <w:t>arrangements</w:t>
      </w:r>
      <w:r w:rsidR="00372044" w:rsidRPr="00372044">
        <w:t xml:space="preserve"> needs adjust</w:t>
      </w:r>
      <w:r w:rsidR="00372044">
        <w:t xml:space="preserve">ment under the new </w:t>
      </w:r>
      <w:r w:rsidR="003A086A">
        <w:t xml:space="preserve">legislative </w:t>
      </w:r>
      <w:r w:rsidR="00372044">
        <w:t>arrangements.  As such, the</w:t>
      </w:r>
      <w:r w:rsidR="00661123">
        <w:t xml:space="preserve"> impact on broadcasting prices of any</w:t>
      </w:r>
      <w:r w:rsidR="00372044">
        <w:t xml:space="preserve"> recommendations in this paper (such as </w:t>
      </w:r>
      <w:r w:rsidR="003A086A">
        <w:t xml:space="preserve">a </w:t>
      </w:r>
      <w:r w:rsidR="00372044">
        <w:t xml:space="preserve">review of density </w:t>
      </w:r>
      <w:r w:rsidR="005D49FF">
        <w:t>areas</w:t>
      </w:r>
      <w:r w:rsidR="00372044">
        <w:t xml:space="preserve">) </w:t>
      </w:r>
      <w:r w:rsidR="0078441B">
        <w:t>will</w:t>
      </w:r>
      <w:r w:rsidR="00372044">
        <w:t xml:space="preserve"> be considered in that separate broadcast pricing review.  </w:t>
      </w:r>
    </w:p>
    <w:p w14:paraId="25C8B34A" w14:textId="710C912A" w:rsidR="00C216C0" w:rsidRDefault="00C216C0" w:rsidP="00282F7E">
      <w:r>
        <w:t>This consultation paper</w:t>
      </w:r>
      <w:r w:rsidR="000B0648">
        <w:t xml:space="preserve"> suggest</w:t>
      </w:r>
      <w:r w:rsidR="00815FDE">
        <w:t>s</w:t>
      </w:r>
      <w:r>
        <w:t xml:space="preserve"> </w:t>
      </w:r>
      <w:r w:rsidR="001D1521">
        <w:t xml:space="preserve">draft </w:t>
      </w:r>
      <w:r>
        <w:t xml:space="preserve">proposals </w:t>
      </w:r>
      <w:r w:rsidR="000B0648">
        <w:t xml:space="preserve">for public consideration. These proposals </w:t>
      </w:r>
      <w:r>
        <w:t xml:space="preserve">are not the final recommendations </w:t>
      </w:r>
      <w:r w:rsidR="00024D4C">
        <w:t>to the G</w:t>
      </w:r>
      <w:r w:rsidR="00136AC0">
        <w:t>overnment</w:t>
      </w:r>
      <w:r>
        <w:t>.</w:t>
      </w:r>
      <w:r w:rsidR="00B26DF8">
        <w:t xml:space="preserve"> Your feedback on the </w:t>
      </w:r>
      <w:r w:rsidR="00732CC4">
        <w:t xml:space="preserve">draft </w:t>
      </w:r>
      <w:r w:rsidR="00B26DF8">
        <w:t>proposals and questions put forward</w:t>
      </w:r>
      <w:r w:rsidR="00024D4C">
        <w:t xml:space="preserve"> in this paper will assist the G</w:t>
      </w:r>
      <w:r w:rsidR="00B26DF8">
        <w:t xml:space="preserve">overnment in its consideration of an appropriate spectrum pricing </w:t>
      </w:r>
      <w:r w:rsidR="00486A1A">
        <w:t>framework</w:t>
      </w:r>
      <w:r w:rsidR="00EB59A5">
        <w:t xml:space="preserve"> under the new legislative </w:t>
      </w:r>
      <w:r w:rsidR="001A6D8C">
        <w:t>framework</w:t>
      </w:r>
      <w:r w:rsidR="00B26DF8">
        <w:t>.</w:t>
      </w:r>
    </w:p>
    <w:p w14:paraId="1F92EEE2" w14:textId="77777777" w:rsidR="00864227" w:rsidRDefault="00CF79F7" w:rsidP="00CF79F7">
      <w:pPr>
        <w:pStyle w:val="Heading3"/>
      </w:pPr>
      <w:bookmarkStart w:id="63" w:name="_Toc474255233"/>
      <w:bookmarkStart w:id="64" w:name="_Toc256000103"/>
      <w:bookmarkStart w:id="65" w:name="_Toc256000070"/>
      <w:bookmarkStart w:id="66" w:name="_Toc256000037"/>
      <w:bookmarkStart w:id="67" w:name="_Toc256000004"/>
      <w:bookmarkStart w:id="68" w:name="_Toc480793140"/>
      <w:r>
        <w:t>The role of government</w:t>
      </w:r>
      <w:bookmarkEnd w:id="63"/>
      <w:bookmarkEnd w:id="64"/>
      <w:bookmarkEnd w:id="65"/>
      <w:bookmarkEnd w:id="66"/>
      <w:bookmarkEnd w:id="67"/>
      <w:r w:rsidR="00321C62">
        <w:t xml:space="preserve"> in spectrum </w:t>
      </w:r>
      <w:r w:rsidR="0086376B">
        <w:t>pricing</w:t>
      </w:r>
      <w:bookmarkEnd w:id="68"/>
    </w:p>
    <w:p w14:paraId="258D639A" w14:textId="77777777" w:rsidR="008E2767" w:rsidRDefault="00BA72F8" w:rsidP="00561A9E">
      <w:r>
        <w:t>While m</w:t>
      </w:r>
      <w:r w:rsidRPr="00FA2C46">
        <w:t xml:space="preserve">arkets are important in ensuring </w:t>
      </w:r>
      <w:r w:rsidR="00431103">
        <w:t xml:space="preserve">the </w:t>
      </w:r>
      <w:r>
        <w:t>efficient allocation</w:t>
      </w:r>
      <w:r w:rsidR="00431103">
        <w:t xml:space="preserve"> of spectrum</w:t>
      </w:r>
      <w:r>
        <w:t xml:space="preserve">, </w:t>
      </w:r>
      <w:r w:rsidRPr="00FA2C46">
        <w:t>spe</w:t>
      </w:r>
      <w:r>
        <w:t xml:space="preserve">ctrum’s </w:t>
      </w:r>
      <w:r w:rsidR="00282F7E">
        <w:t>common</w:t>
      </w:r>
      <w:r w:rsidR="0053386A">
        <w:t>s</w:t>
      </w:r>
      <w:r w:rsidR="00282F7E">
        <w:t xml:space="preserve"> </w:t>
      </w:r>
      <w:r>
        <w:t xml:space="preserve">nature means that there is a continuing role for governments in spectrum management. </w:t>
      </w:r>
      <w:r w:rsidR="00282F7E">
        <w:t>Like private goods, one person’s use of spectrum stops somebody else from using it. But unlike private goods</w:t>
      </w:r>
      <w:r w:rsidR="00431103">
        <w:t xml:space="preserve"> where the user is also discern</w:t>
      </w:r>
      <w:r w:rsidR="00365D6D">
        <w:t>i</w:t>
      </w:r>
      <w:r w:rsidR="00431103">
        <w:t>bly in possession of the good to the exclusion of others</w:t>
      </w:r>
      <w:r w:rsidR="00282F7E">
        <w:t xml:space="preserve">, it’s difficult to exclude people from using whatever spectrum they desire. In the absence of clear property rights </w:t>
      </w:r>
      <w:r w:rsidR="00FF4B7A">
        <w:t>and</w:t>
      </w:r>
      <w:r w:rsidR="0086376B">
        <w:t>/or</w:t>
      </w:r>
      <w:r w:rsidR="00282F7E">
        <w:t xml:space="preserve"> government intervention</w:t>
      </w:r>
      <w:r w:rsidR="002668A5">
        <w:t>,</w:t>
      </w:r>
      <w:r w:rsidR="00282F7E">
        <w:t xml:space="preserve"> there </w:t>
      </w:r>
      <w:r w:rsidR="00490DD9">
        <w:t>may</w:t>
      </w:r>
      <w:r w:rsidR="00C00AF9">
        <w:t xml:space="preserve"> </w:t>
      </w:r>
      <w:r w:rsidR="00490DD9">
        <w:t>be overuse</w:t>
      </w:r>
      <w:r w:rsidR="00C00AF9">
        <w:t>,</w:t>
      </w:r>
      <w:r w:rsidR="00490DD9">
        <w:t xml:space="preserve"> resulting in </w:t>
      </w:r>
      <w:r w:rsidR="00282F7E">
        <w:t>interference</w:t>
      </w:r>
      <w:r w:rsidR="00490DD9">
        <w:t xml:space="preserve"> to other users.</w:t>
      </w:r>
      <w:r w:rsidR="008559B2">
        <w:t xml:space="preserve"> Government</w:t>
      </w:r>
      <w:r w:rsidR="002668A5">
        <w:t xml:space="preserve"> therefore has a role to play </w:t>
      </w:r>
      <w:r w:rsidR="004E259B">
        <w:t xml:space="preserve">in </w:t>
      </w:r>
      <w:r w:rsidR="00FF4B7A">
        <w:t>providing orderly and fair access to spectrum, while enabling market forces to operate as much as practicable.</w:t>
      </w:r>
    </w:p>
    <w:p w14:paraId="3CAED308" w14:textId="6B01224A" w:rsidR="00431103" w:rsidRDefault="00B34CDA" w:rsidP="00561A9E">
      <w:r>
        <w:t>The G</w:t>
      </w:r>
      <w:r w:rsidR="00FF4B7A">
        <w:t>overnment’s use of e</w:t>
      </w:r>
      <w:r w:rsidR="00490DD9">
        <w:t>fficient pricing methods can</w:t>
      </w:r>
      <w:r w:rsidR="00DC602C">
        <w:t xml:space="preserve"> influence the allocation of spectrum between different users of a similar use</w:t>
      </w:r>
      <w:r w:rsidR="002668A5">
        <w:t>. T</w:t>
      </w:r>
      <w:r w:rsidR="00490DD9">
        <w:t xml:space="preserve">he price </w:t>
      </w:r>
      <w:r w:rsidR="00C00AF9">
        <w:t>determin</w:t>
      </w:r>
      <w:r w:rsidR="002668A5">
        <w:t>es</w:t>
      </w:r>
      <w:r w:rsidR="00490DD9">
        <w:t xml:space="preserve"> which user </w:t>
      </w:r>
      <w:r w:rsidR="00DC602C">
        <w:t>will most likely put the spectrum to the highest value use.</w:t>
      </w:r>
      <w:r w:rsidR="00FF4B7A" w:rsidRPr="00FF4B7A">
        <w:t xml:space="preserve"> </w:t>
      </w:r>
      <w:r w:rsidR="00FF4B7A">
        <w:t>Such an approach by government enables the efficient allocation of spectrum while ensuring interference is managed.</w:t>
      </w:r>
    </w:p>
    <w:p w14:paraId="19E2A24A" w14:textId="74EB822B" w:rsidR="00DC602C" w:rsidRDefault="001120E9" w:rsidP="00561A9E">
      <w:r>
        <w:t xml:space="preserve">The </w:t>
      </w:r>
      <w:r w:rsidR="00E9605A">
        <w:t>Government</w:t>
      </w:r>
      <w:r>
        <w:t xml:space="preserve"> also</w:t>
      </w:r>
      <w:r w:rsidR="00E9605A">
        <w:t xml:space="preserve"> manages spectrum to achieve other public policy outcomes</w:t>
      </w:r>
      <w:r>
        <w:t>.</w:t>
      </w:r>
      <w:r w:rsidR="00E9605A">
        <w:t xml:space="preserve"> For example, governments may intervene in spectrum markets to foster competition</w:t>
      </w:r>
      <w:r w:rsidR="00FF4B7A">
        <w:t xml:space="preserve"> in upstream and downstream markets</w:t>
      </w:r>
      <w:r w:rsidR="00E9605A">
        <w:t>, realise innovative spectrum uses, and manage spectrum resources for government use</w:t>
      </w:r>
      <w:r w:rsidR="004738D8">
        <w:t>.</w:t>
      </w:r>
      <w:r w:rsidR="00C15871">
        <w:t xml:space="preserve"> </w:t>
      </w:r>
      <w:r w:rsidR="00490DD9">
        <w:t xml:space="preserve">Effective </w:t>
      </w:r>
      <w:r w:rsidR="00282F7E" w:rsidRPr="00E87CFB">
        <w:t xml:space="preserve">regulation </w:t>
      </w:r>
      <w:r w:rsidR="00490DD9">
        <w:t>can drive</w:t>
      </w:r>
      <w:r w:rsidR="00282F7E" w:rsidRPr="00E87CFB" w:rsidDel="00490DD9">
        <w:t xml:space="preserve"> </w:t>
      </w:r>
      <w:r w:rsidR="00282F7E" w:rsidRPr="00E87CFB">
        <w:t>greater economic growth, increased investment, lower prices, better quality of service</w:t>
      </w:r>
      <w:r w:rsidR="00282F7E">
        <w:t>s</w:t>
      </w:r>
      <w:r w:rsidR="00282F7E" w:rsidRPr="00E87CFB">
        <w:t>, higher penetration, and more rapid technological innovation in the sector.</w:t>
      </w:r>
      <w:bookmarkStart w:id="69" w:name="_Toc466289587"/>
      <w:bookmarkStart w:id="70" w:name="_Toc467240069"/>
      <w:bookmarkStart w:id="71" w:name="_Toc468781655"/>
      <w:r w:rsidR="00CD0C32">
        <w:t xml:space="preserve"> </w:t>
      </w:r>
      <w:r>
        <w:t>Effective s</w:t>
      </w:r>
      <w:r w:rsidR="009E291E">
        <w:t>pectrum</w:t>
      </w:r>
      <w:r>
        <w:t xml:space="preserve"> management</w:t>
      </w:r>
      <w:r w:rsidR="009E291E">
        <w:t xml:space="preserve"> </w:t>
      </w:r>
      <w:r>
        <w:t>considers and</w:t>
      </w:r>
      <w:r w:rsidR="009E291E">
        <w:t xml:space="preserve"> promote</w:t>
      </w:r>
      <w:r>
        <w:t>s</w:t>
      </w:r>
      <w:r w:rsidR="009E291E">
        <w:t xml:space="preserve"> the long-term public interest derived from </w:t>
      </w:r>
      <w:r>
        <w:t>spectrum.</w:t>
      </w:r>
    </w:p>
    <w:p w14:paraId="2678B632" w14:textId="1E51E25A" w:rsidR="00B71A30" w:rsidRDefault="00B71A30" w:rsidP="00B71A30">
      <w:r>
        <w:t>Australia uses a combination of market-based and administrative prices to charge users for access to spectrum (sometimes refe</w:t>
      </w:r>
      <w:r w:rsidR="00CD0C32">
        <w:t xml:space="preserve">rred to as a hybrid approach). </w:t>
      </w:r>
      <w:r>
        <w:t xml:space="preserve">Prior to the commencement of the </w:t>
      </w:r>
      <w:r w:rsidRPr="007269DE">
        <w:t>Radiocommunications Act</w:t>
      </w:r>
      <w:r>
        <w:t>, administrative pricing was the predominant pricing mechani</w:t>
      </w:r>
      <w:r w:rsidR="00CD0C32">
        <w:t xml:space="preserve">sm used for spectrum charging. </w:t>
      </w:r>
      <w:r>
        <w:t xml:space="preserve">A key feature of the </w:t>
      </w:r>
      <w:r w:rsidRPr="007269DE">
        <w:t>Radiocommunications Act</w:t>
      </w:r>
      <w:r w:rsidR="00365D6D">
        <w:rPr>
          <w:i/>
        </w:rPr>
        <w:t xml:space="preserve"> </w:t>
      </w:r>
      <w:r>
        <w:t xml:space="preserve">was to introduce market-based mechanisms, </w:t>
      </w:r>
      <w:r w:rsidR="001120E9">
        <w:t xml:space="preserve">which </w:t>
      </w:r>
      <w:r>
        <w:t>made Australia a world leader at that time.</w:t>
      </w:r>
    </w:p>
    <w:p w14:paraId="7FF25050" w14:textId="77777777" w:rsidR="00B71A30" w:rsidRDefault="00B71A30" w:rsidP="005537E3">
      <w:pPr>
        <w:pStyle w:val="Heading2"/>
        <w:spacing w:after="120"/>
      </w:pPr>
      <w:bookmarkStart w:id="72" w:name="_Toc474255234"/>
      <w:bookmarkStart w:id="73" w:name="_Toc256000104"/>
      <w:bookmarkStart w:id="74" w:name="_Toc256000071"/>
      <w:bookmarkStart w:id="75" w:name="_Toc256000038"/>
      <w:bookmarkStart w:id="76" w:name="_Toc256000005"/>
      <w:bookmarkStart w:id="77" w:name="_Toc480793141"/>
      <w:r>
        <w:t>Current arrangements</w:t>
      </w:r>
      <w:bookmarkEnd w:id="72"/>
      <w:bookmarkEnd w:id="73"/>
      <w:bookmarkEnd w:id="74"/>
      <w:bookmarkEnd w:id="75"/>
      <w:bookmarkEnd w:id="76"/>
      <w:bookmarkEnd w:id="77"/>
    </w:p>
    <w:p w14:paraId="0DFFF717" w14:textId="77777777" w:rsidR="0068671A" w:rsidRDefault="0068671A" w:rsidP="002E0F26">
      <w:pPr>
        <w:pStyle w:val="Heading3"/>
      </w:pPr>
      <w:bookmarkStart w:id="78" w:name="_Toc474255235"/>
      <w:bookmarkStart w:id="79" w:name="_Toc256000105"/>
      <w:bookmarkStart w:id="80" w:name="_Toc256000072"/>
      <w:bookmarkStart w:id="81" w:name="_Toc256000039"/>
      <w:bookmarkStart w:id="82" w:name="_Toc256000006"/>
      <w:bookmarkStart w:id="83" w:name="_Toc480793142"/>
      <w:r>
        <w:t>Fees, taxes and charges</w:t>
      </w:r>
      <w:bookmarkEnd w:id="78"/>
      <w:bookmarkEnd w:id="79"/>
      <w:bookmarkEnd w:id="80"/>
      <w:bookmarkEnd w:id="81"/>
      <w:bookmarkEnd w:id="82"/>
      <w:bookmarkEnd w:id="83"/>
    </w:p>
    <w:p w14:paraId="2FB6E1BB" w14:textId="4DB1775D" w:rsidR="005D3FB5" w:rsidRDefault="005D3FB5" w:rsidP="005D3FB5">
      <w:r>
        <w:t xml:space="preserve">The </w:t>
      </w:r>
      <w:r w:rsidR="00365D6D">
        <w:t xml:space="preserve">word </w:t>
      </w:r>
      <w:r>
        <w:t xml:space="preserve">fees </w:t>
      </w:r>
      <w:r w:rsidR="00365D6D">
        <w:t>is used</w:t>
      </w:r>
      <w:r>
        <w:t xml:space="preserve"> in this paper </w:t>
      </w:r>
      <w:r w:rsidR="00365D6D">
        <w:t>to refer to</w:t>
      </w:r>
      <w:r>
        <w:t xml:space="preserve"> direct cost</w:t>
      </w:r>
      <w:r>
        <w:noBreakHyphen/>
        <w:t xml:space="preserve">recovery charges, indirect cost-recovery taxes, resource charges, and resource taxes. </w:t>
      </w:r>
      <w:r w:rsidRPr="005A7A6B">
        <w:t xml:space="preserve">In </w:t>
      </w:r>
      <w:r w:rsidRPr="001032A3">
        <w:t>legislative terms there is a difference between a charge and a tax. A tax is a compulsory exaction of money for a public purpose, and require</w:t>
      </w:r>
      <w:r>
        <w:t>s</w:t>
      </w:r>
      <w:r w:rsidRPr="001032A3">
        <w:t xml:space="preserve"> separate legislation</w:t>
      </w:r>
      <w:r w:rsidR="00365D6D">
        <w:t xml:space="preserve"> for the imposition of the tax</w:t>
      </w:r>
      <w:r w:rsidRPr="001032A3">
        <w:t xml:space="preserve">. </w:t>
      </w:r>
      <w:r>
        <w:t xml:space="preserve">Taxes are </w:t>
      </w:r>
      <w:r w:rsidR="00365D6D">
        <w:t>often</w:t>
      </w:r>
      <w:r>
        <w:t xml:space="preserve"> levied on some sort of measure such as income or use of a resource. Taxes may either recover the indirect costs of a regulatory activity (such as the spectrum licence tax) or reflect the value of access to spectrum (for example, the apparatus licence tax).</w:t>
      </w:r>
    </w:p>
    <w:p w14:paraId="15FE9B80" w14:textId="599F5DA7" w:rsidR="005D3FB5" w:rsidRDefault="005D3FB5" w:rsidP="005D3FB5">
      <w:r w:rsidRPr="001032A3">
        <w:t xml:space="preserve">A charge is </w:t>
      </w:r>
      <w:r w:rsidR="00FF4B7A">
        <w:t>a payment</w:t>
      </w:r>
      <w:r w:rsidRPr="001032A3">
        <w:t xml:space="preserve"> that does not amount to taxation. </w:t>
      </w:r>
      <w:r>
        <w:t>Examples of c</w:t>
      </w:r>
      <w:r w:rsidRPr="001032A3">
        <w:t xml:space="preserve">harges </w:t>
      </w:r>
      <w:r>
        <w:t xml:space="preserve">under the current regulatory regime include charges relating to </w:t>
      </w:r>
      <w:r w:rsidRPr="001032A3">
        <w:t>direct cost</w:t>
      </w:r>
      <w:r w:rsidR="000F269E">
        <w:t xml:space="preserve"> recovery</w:t>
      </w:r>
      <w:r w:rsidR="00815FDE">
        <w:t xml:space="preserve"> </w:t>
      </w:r>
      <w:r w:rsidRPr="001032A3">
        <w:t>of regulatory activity (</w:t>
      </w:r>
      <w:r>
        <w:t>like</w:t>
      </w:r>
      <w:r w:rsidRPr="001032A3">
        <w:t xml:space="preserve"> those</w:t>
      </w:r>
      <w:r>
        <w:t xml:space="preserve"> currently set</w:t>
      </w:r>
      <w:r w:rsidRPr="001032A3">
        <w:t xml:space="preserve"> under s</w:t>
      </w:r>
      <w:r>
        <w:t xml:space="preserve"> </w:t>
      </w:r>
      <w:r w:rsidR="008F09CD">
        <w:t xml:space="preserve">60 of the </w:t>
      </w:r>
      <w:r w:rsidR="00365D6D">
        <w:rPr>
          <w:i/>
        </w:rPr>
        <w:t>Australian Communications and Media Authority Act 2005</w:t>
      </w:r>
      <w:r w:rsidR="008F09CD">
        <w:t>), or</w:t>
      </w:r>
      <w:r w:rsidRPr="001032A3">
        <w:t xml:space="preserve"> the value of access to spectrum (such as those under s. 294 of the </w:t>
      </w:r>
      <w:r w:rsidRPr="007269DE">
        <w:t>Radiocommunications Act</w:t>
      </w:r>
      <w:r w:rsidR="00365D6D">
        <w:rPr>
          <w:i/>
        </w:rPr>
        <w:t xml:space="preserve"> </w:t>
      </w:r>
      <w:r>
        <w:t>for spectrum licences</w:t>
      </w:r>
      <w:r w:rsidRPr="001032A3">
        <w:t>).</w:t>
      </w:r>
    </w:p>
    <w:p w14:paraId="63A04BCC" w14:textId="6DC9A31D" w:rsidR="00D77267" w:rsidRDefault="00D77267" w:rsidP="00D77267">
      <w:r w:rsidRPr="002A3B5A">
        <w:t>Direct costs reflect the costs incurred</w:t>
      </w:r>
      <w:r w:rsidR="000F269E">
        <w:t xml:space="preserve"> by the ACMA to deliver</w:t>
      </w:r>
      <w:r w:rsidRPr="002A3B5A">
        <w:t xml:space="preserve"> a particular service</w:t>
      </w:r>
      <w:r>
        <w:t>, and are recovered through charges</w:t>
      </w:r>
      <w:r w:rsidRPr="002A3B5A">
        <w:t xml:space="preserve">. A direct cost can be traced to a specific activity or good with a high degree of accuracy and can be attributed to a specific licensee. </w:t>
      </w:r>
      <w:r w:rsidR="000F269E">
        <w:t>For example, t</w:t>
      </w:r>
      <w:r w:rsidRPr="002A3B5A">
        <w:t>he labour cost to issue or renew a licence</w:t>
      </w:r>
      <w:r>
        <w:t xml:space="preserve"> is a direct cost</w:t>
      </w:r>
      <w:r w:rsidRPr="002A3B5A">
        <w:t xml:space="preserve">. The ACMA is authorised to recover </w:t>
      </w:r>
      <w:r>
        <w:t xml:space="preserve">the </w:t>
      </w:r>
      <w:r w:rsidRPr="002A3B5A">
        <w:t xml:space="preserve">expenses </w:t>
      </w:r>
      <w:r>
        <w:t>it incurs in the management of spectrum.</w:t>
      </w:r>
      <w:r w:rsidRPr="002A3B5A">
        <w:rPr>
          <w:rStyle w:val="FootnoteReference"/>
        </w:rPr>
        <w:footnoteReference w:id="5"/>
      </w:r>
    </w:p>
    <w:p w14:paraId="024A00B4" w14:textId="77777777" w:rsidR="008E2767" w:rsidRDefault="00D77267" w:rsidP="00D77267">
      <w:pPr>
        <w:rPr>
          <w:i/>
        </w:rPr>
      </w:pPr>
      <w:r>
        <w:t xml:space="preserve">Indirect costs reflect a licensee’s share of </w:t>
      </w:r>
      <w:r w:rsidRPr="001B7388">
        <w:t>costs</w:t>
      </w:r>
      <w:r>
        <w:t xml:space="preserve"> incurred for benefits that cannot be attributed to an individual licensee, and are generally recovered via taxes. This includes the membership costs associated with international organisations such as the International Telecommunication Union or broader services such as technical band planning. Indirect costs are currently recovered through the spectrum licence tax and apparatus licence taxes</w:t>
      </w:r>
      <w:r w:rsidRPr="00300A07">
        <w:rPr>
          <w:i/>
        </w:rPr>
        <w:t>.</w:t>
      </w:r>
      <w:r w:rsidRPr="009F3525">
        <w:rPr>
          <w:rStyle w:val="FootnoteReference"/>
        </w:rPr>
        <w:footnoteReference w:id="6"/>
      </w:r>
    </w:p>
    <w:p w14:paraId="75C1A804" w14:textId="3C32C205" w:rsidR="005D3FB5" w:rsidRDefault="005D3FB5" w:rsidP="00EF6141">
      <w:pPr>
        <w:pStyle w:val="Tablefigureheading"/>
        <w:spacing w:before="120" w:after="120"/>
      </w:pPr>
      <w:r>
        <w:t>Table 1</w:t>
      </w:r>
      <w:r w:rsidRPr="001A060F">
        <w:t>:</w:t>
      </w:r>
      <w:r>
        <w:t xml:space="preserve"> Current </w:t>
      </w:r>
      <w:r w:rsidR="00D77267">
        <w:t>taxes and charges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1: Current charges and taxes "/>
        <w:tblDescription w:val="Table 2.1 displays the current charges and taxes. The columns of the table separates fees, use and a current example. There rows of the table separate the cost recovery charges, resource charges, cost recovery taxes and resource taxes.  "/>
      </w:tblPr>
      <w:tblGrid>
        <w:gridCol w:w="1464"/>
        <w:gridCol w:w="2639"/>
        <w:gridCol w:w="5230"/>
      </w:tblGrid>
      <w:tr w:rsidR="005D3FB5" w:rsidRPr="00711424" w14:paraId="33B67BBD" w14:textId="77777777" w:rsidTr="007E0CED">
        <w:trPr>
          <w:tblHeader/>
        </w:trPr>
        <w:tc>
          <w:tcPr>
            <w:tcW w:w="784" w:type="pct"/>
          </w:tcPr>
          <w:p w14:paraId="2157A913" w14:textId="77777777" w:rsidR="005D3FB5" w:rsidRPr="00711424" w:rsidRDefault="005D3FB5" w:rsidP="002E0F26">
            <w:pPr>
              <w:spacing w:before="40" w:after="120"/>
              <w:rPr>
                <w:b/>
              </w:rPr>
            </w:pPr>
            <w:r w:rsidRPr="00711424">
              <w:rPr>
                <w:b/>
              </w:rPr>
              <w:t>Fees</w:t>
            </w:r>
          </w:p>
        </w:tc>
        <w:tc>
          <w:tcPr>
            <w:tcW w:w="1414" w:type="pct"/>
          </w:tcPr>
          <w:p w14:paraId="3AFE0F0D" w14:textId="77777777" w:rsidR="005D3FB5" w:rsidRPr="00711424" w:rsidRDefault="005D3FB5" w:rsidP="002E0F26">
            <w:pPr>
              <w:spacing w:before="40" w:after="120"/>
              <w:rPr>
                <w:b/>
              </w:rPr>
            </w:pPr>
            <w:r w:rsidRPr="00711424">
              <w:rPr>
                <w:b/>
              </w:rPr>
              <w:t>Use</w:t>
            </w:r>
          </w:p>
        </w:tc>
        <w:tc>
          <w:tcPr>
            <w:tcW w:w="2802" w:type="pct"/>
          </w:tcPr>
          <w:p w14:paraId="3F9434B3" w14:textId="77777777" w:rsidR="005D3FB5" w:rsidRPr="00711424" w:rsidRDefault="005D3FB5" w:rsidP="002E0F26">
            <w:pPr>
              <w:spacing w:before="40" w:after="120"/>
              <w:rPr>
                <w:b/>
              </w:rPr>
            </w:pPr>
            <w:r w:rsidRPr="00711424">
              <w:rPr>
                <w:b/>
              </w:rPr>
              <w:t>Current example</w:t>
            </w:r>
          </w:p>
        </w:tc>
      </w:tr>
      <w:tr w:rsidR="005D3FB5" w:rsidRPr="00711424" w14:paraId="5A3F87C1" w14:textId="77777777" w:rsidTr="007E0CED">
        <w:tc>
          <w:tcPr>
            <w:tcW w:w="784" w:type="pct"/>
            <w:tcBorders>
              <w:bottom w:val="single" w:sz="4" w:space="0" w:color="191919" w:themeColor="text1" w:themeTint="E6"/>
            </w:tcBorders>
          </w:tcPr>
          <w:p w14:paraId="7AB5CAC9" w14:textId="77777777" w:rsidR="005D3FB5" w:rsidRPr="00711424" w:rsidRDefault="005D3FB5" w:rsidP="002E0F26">
            <w:pPr>
              <w:spacing w:before="40" w:after="40"/>
            </w:pPr>
            <w:r w:rsidRPr="00711424">
              <w:t>Charges</w:t>
            </w:r>
          </w:p>
        </w:tc>
        <w:tc>
          <w:tcPr>
            <w:tcW w:w="1414" w:type="pct"/>
            <w:tcBorders>
              <w:bottom w:val="single" w:sz="4" w:space="0" w:color="191919" w:themeColor="text1" w:themeTint="E6"/>
            </w:tcBorders>
          </w:tcPr>
          <w:p w14:paraId="2B318C03" w14:textId="77777777" w:rsidR="005D3FB5" w:rsidRPr="00711424" w:rsidRDefault="005D3FB5" w:rsidP="002E0F26">
            <w:pPr>
              <w:spacing w:before="40" w:after="40"/>
            </w:pPr>
          </w:p>
        </w:tc>
        <w:tc>
          <w:tcPr>
            <w:tcW w:w="2802" w:type="pct"/>
            <w:tcBorders>
              <w:bottom w:val="single" w:sz="4" w:space="0" w:color="191919" w:themeColor="text1" w:themeTint="E6"/>
            </w:tcBorders>
          </w:tcPr>
          <w:p w14:paraId="26D526D5" w14:textId="77777777" w:rsidR="005D3FB5" w:rsidRPr="00711424" w:rsidRDefault="005D3FB5" w:rsidP="002E0F26">
            <w:pPr>
              <w:spacing w:before="40" w:after="40"/>
            </w:pPr>
          </w:p>
        </w:tc>
      </w:tr>
      <w:tr w:rsidR="005D3FB5" w14:paraId="2F564FF6" w14:textId="77777777" w:rsidTr="007E0CED">
        <w:tc>
          <w:tcPr>
            <w:tcW w:w="784" w:type="pct"/>
            <w:tcBorders>
              <w:top w:val="single" w:sz="4" w:space="0" w:color="191919" w:themeColor="text1" w:themeTint="E6"/>
            </w:tcBorders>
          </w:tcPr>
          <w:p w14:paraId="5247D0CD" w14:textId="77777777" w:rsidR="005D3FB5" w:rsidRDefault="005D3FB5" w:rsidP="002E0F26">
            <w:pPr>
              <w:spacing w:before="40" w:after="40"/>
            </w:pPr>
            <w:r>
              <w:t>Cost recovery</w:t>
            </w:r>
          </w:p>
        </w:tc>
        <w:tc>
          <w:tcPr>
            <w:tcW w:w="1414" w:type="pct"/>
            <w:tcBorders>
              <w:top w:val="single" w:sz="4" w:space="0" w:color="191919" w:themeColor="text1" w:themeTint="E6"/>
            </w:tcBorders>
          </w:tcPr>
          <w:p w14:paraId="28223293" w14:textId="77777777" w:rsidR="005D3FB5" w:rsidRDefault="005D3FB5" w:rsidP="002E0F26">
            <w:pPr>
              <w:spacing w:before="40" w:after="40"/>
            </w:pPr>
            <w:r>
              <w:t>Recovers direct costs</w:t>
            </w:r>
          </w:p>
        </w:tc>
        <w:tc>
          <w:tcPr>
            <w:tcW w:w="2802" w:type="pct"/>
            <w:tcBorders>
              <w:top w:val="single" w:sz="4" w:space="0" w:color="191919" w:themeColor="text1" w:themeTint="E6"/>
            </w:tcBorders>
          </w:tcPr>
          <w:p w14:paraId="42FAECAC" w14:textId="1C9E8E45" w:rsidR="005D3FB5" w:rsidRDefault="005D3FB5" w:rsidP="002E0F26">
            <w:pPr>
              <w:spacing w:before="40" w:after="40"/>
            </w:pPr>
            <w:r>
              <w:t>s 60 ACMA Act cost-recovery charges</w:t>
            </w:r>
          </w:p>
        </w:tc>
      </w:tr>
      <w:tr w:rsidR="005D3FB5" w14:paraId="3B304393" w14:textId="77777777" w:rsidTr="007E0CED">
        <w:tc>
          <w:tcPr>
            <w:tcW w:w="784" w:type="pct"/>
          </w:tcPr>
          <w:p w14:paraId="1D46632A" w14:textId="77777777" w:rsidR="005D3FB5" w:rsidRDefault="005D3FB5" w:rsidP="002E0F26">
            <w:pPr>
              <w:spacing w:before="40" w:after="120"/>
            </w:pPr>
            <w:r>
              <w:t>Resource</w:t>
            </w:r>
          </w:p>
        </w:tc>
        <w:tc>
          <w:tcPr>
            <w:tcW w:w="1414" w:type="pct"/>
          </w:tcPr>
          <w:p w14:paraId="30571115" w14:textId="77777777" w:rsidR="005D3FB5" w:rsidRDefault="005D3FB5" w:rsidP="002E0F26">
            <w:pPr>
              <w:spacing w:before="40" w:after="120"/>
            </w:pPr>
            <w:r>
              <w:t>Access to spectrum</w:t>
            </w:r>
          </w:p>
        </w:tc>
        <w:tc>
          <w:tcPr>
            <w:tcW w:w="2802" w:type="pct"/>
          </w:tcPr>
          <w:p w14:paraId="17372FC5" w14:textId="77777777" w:rsidR="005D3FB5" w:rsidRDefault="005D3FB5" w:rsidP="002E0F26">
            <w:pPr>
              <w:spacing w:before="40" w:after="120"/>
            </w:pPr>
            <w:r>
              <w:t>Spectrum access charge</w:t>
            </w:r>
          </w:p>
        </w:tc>
      </w:tr>
      <w:tr w:rsidR="005D3FB5" w:rsidRPr="00711424" w14:paraId="033BBFFC" w14:textId="77777777" w:rsidTr="007E0CED">
        <w:tc>
          <w:tcPr>
            <w:tcW w:w="784" w:type="pct"/>
            <w:tcBorders>
              <w:bottom w:val="single" w:sz="4" w:space="0" w:color="191919" w:themeColor="text1" w:themeTint="E6"/>
            </w:tcBorders>
          </w:tcPr>
          <w:p w14:paraId="459D4248" w14:textId="77777777" w:rsidR="005D3FB5" w:rsidRPr="00711424" w:rsidRDefault="005D3FB5" w:rsidP="002E0F26">
            <w:pPr>
              <w:spacing w:before="40" w:after="40"/>
            </w:pPr>
            <w:r w:rsidRPr="00711424">
              <w:t>Taxes</w:t>
            </w:r>
          </w:p>
        </w:tc>
        <w:tc>
          <w:tcPr>
            <w:tcW w:w="1414" w:type="pct"/>
            <w:tcBorders>
              <w:bottom w:val="single" w:sz="4" w:space="0" w:color="191919" w:themeColor="text1" w:themeTint="E6"/>
            </w:tcBorders>
          </w:tcPr>
          <w:p w14:paraId="3D04A2DE" w14:textId="77777777" w:rsidR="005D3FB5" w:rsidRPr="00711424" w:rsidRDefault="005D3FB5" w:rsidP="002E0F26">
            <w:pPr>
              <w:spacing w:before="40" w:after="40"/>
            </w:pPr>
          </w:p>
        </w:tc>
        <w:tc>
          <w:tcPr>
            <w:tcW w:w="2802" w:type="pct"/>
            <w:tcBorders>
              <w:bottom w:val="single" w:sz="4" w:space="0" w:color="191919" w:themeColor="text1" w:themeTint="E6"/>
            </w:tcBorders>
          </w:tcPr>
          <w:p w14:paraId="75E8E8E6" w14:textId="77777777" w:rsidR="005D3FB5" w:rsidRPr="00711424" w:rsidRDefault="005D3FB5" w:rsidP="002E0F26">
            <w:pPr>
              <w:spacing w:before="40" w:after="40"/>
            </w:pPr>
          </w:p>
        </w:tc>
      </w:tr>
      <w:tr w:rsidR="005D3FB5" w14:paraId="757088E3" w14:textId="77777777" w:rsidTr="007E0CED">
        <w:tc>
          <w:tcPr>
            <w:tcW w:w="784" w:type="pct"/>
            <w:tcBorders>
              <w:top w:val="single" w:sz="4" w:space="0" w:color="191919" w:themeColor="text1" w:themeTint="E6"/>
            </w:tcBorders>
          </w:tcPr>
          <w:p w14:paraId="2640E6EA" w14:textId="77777777" w:rsidR="005D3FB5" w:rsidRDefault="005D3FB5" w:rsidP="002E0F26">
            <w:pPr>
              <w:spacing w:before="40" w:after="40"/>
            </w:pPr>
            <w:r>
              <w:t>Cost recovery</w:t>
            </w:r>
          </w:p>
        </w:tc>
        <w:tc>
          <w:tcPr>
            <w:tcW w:w="1414" w:type="pct"/>
            <w:tcBorders>
              <w:top w:val="single" w:sz="4" w:space="0" w:color="191919" w:themeColor="text1" w:themeTint="E6"/>
            </w:tcBorders>
          </w:tcPr>
          <w:p w14:paraId="22E7539D" w14:textId="77777777" w:rsidR="005D3FB5" w:rsidRDefault="005D3FB5" w:rsidP="002E0F26">
            <w:pPr>
              <w:spacing w:before="40" w:after="40"/>
            </w:pPr>
            <w:r>
              <w:t>Recovers indirect costs</w:t>
            </w:r>
          </w:p>
        </w:tc>
        <w:tc>
          <w:tcPr>
            <w:tcW w:w="2802" w:type="pct"/>
            <w:tcBorders>
              <w:top w:val="single" w:sz="4" w:space="0" w:color="191919" w:themeColor="text1" w:themeTint="E6"/>
            </w:tcBorders>
          </w:tcPr>
          <w:p w14:paraId="1F7F65C9" w14:textId="77777777" w:rsidR="005D3FB5" w:rsidRDefault="005D3FB5" w:rsidP="002E0F26">
            <w:pPr>
              <w:spacing w:before="40" w:after="40"/>
            </w:pPr>
            <w:r>
              <w:t>Spectrum licence tax</w:t>
            </w:r>
          </w:p>
        </w:tc>
      </w:tr>
      <w:tr w:rsidR="005D3FB5" w14:paraId="1744089B" w14:textId="77777777" w:rsidTr="007E0CED">
        <w:tc>
          <w:tcPr>
            <w:tcW w:w="784" w:type="pct"/>
          </w:tcPr>
          <w:p w14:paraId="7940677E" w14:textId="77777777" w:rsidR="005D3FB5" w:rsidRDefault="005D3FB5" w:rsidP="002E0F26">
            <w:pPr>
              <w:spacing w:before="40" w:after="40"/>
            </w:pPr>
            <w:r>
              <w:t>Resource</w:t>
            </w:r>
          </w:p>
        </w:tc>
        <w:tc>
          <w:tcPr>
            <w:tcW w:w="1414" w:type="pct"/>
          </w:tcPr>
          <w:p w14:paraId="36CF56DE" w14:textId="77777777" w:rsidR="005D3FB5" w:rsidRDefault="005D3FB5" w:rsidP="002E0F26">
            <w:pPr>
              <w:spacing w:before="40" w:after="40"/>
            </w:pPr>
            <w:r>
              <w:t>Access to spectrum</w:t>
            </w:r>
          </w:p>
        </w:tc>
        <w:tc>
          <w:tcPr>
            <w:tcW w:w="2802" w:type="pct"/>
          </w:tcPr>
          <w:p w14:paraId="4B44537F" w14:textId="77777777" w:rsidR="005D3FB5" w:rsidRDefault="005D3FB5" w:rsidP="002E0F26">
            <w:pPr>
              <w:spacing w:before="40" w:after="40"/>
            </w:pPr>
            <w:r>
              <w:t>Apparatus licence tax*</w:t>
            </w:r>
          </w:p>
        </w:tc>
      </w:tr>
    </w:tbl>
    <w:p w14:paraId="3717ECC3" w14:textId="0615D348" w:rsidR="004E6C9E" w:rsidRDefault="004E6C9E" w:rsidP="004E6C9E">
      <w:pPr>
        <w:jc w:val="right"/>
      </w:pPr>
      <w:bookmarkStart w:id="84" w:name="_Toc471817804"/>
      <w:bookmarkStart w:id="85" w:name="_Toc471819412"/>
      <w:bookmarkStart w:id="86" w:name="_Toc471986039"/>
      <w:bookmarkStart w:id="87" w:name="_Toc471987635"/>
      <w:bookmarkStart w:id="88" w:name="_Toc471988016"/>
      <w:bookmarkStart w:id="89" w:name="_Toc471992182"/>
      <w:bookmarkStart w:id="90" w:name="_Toc471995357"/>
      <w:bookmarkStart w:id="91" w:name="_Toc471996869"/>
      <w:r>
        <w:rPr>
          <w:sz w:val="14"/>
        </w:rPr>
        <w:t xml:space="preserve">* </w:t>
      </w:r>
      <w:r w:rsidRPr="0097404E">
        <w:rPr>
          <w:sz w:val="14"/>
        </w:rPr>
        <w:t xml:space="preserve">Also recovers </w:t>
      </w:r>
      <w:r>
        <w:rPr>
          <w:sz w:val="14"/>
        </w:rPr>
        <w:t xml:space="preserve">indirect </w:t>
      </w:r>
      <w:r w:rsidRPr="0097404E">
        <w:rPr>
          <w:sz w:val="14"/>
        </w:rPr>
        <w:t>costs</w:t>
      </w:r>
    </w:p>
    <w:p w14:paraId="7F152777" w14:textId="75894F4A" w:rsidR="002E0F26" w:rsidRDefault="004A3F3A" w:rsidP="002E0F26">
      <w:r>
        <w:t>Consistent with broader G</w:t>
      </w:r>
      <w:r w:rsidR="00AA616A">
        <w:t>overnment policy, the</w:t>
      </w:r>
      <w:r w:rsidR="00AA616A" w:rsidRPr="006C0BCC">
        <w:t xml:space="preserve"> fees </w:t>
      </w:r>
      <w:r w:rsidR="00AA616A">
        <w:t xml:space="preserve">the ACMA collects </w:t>
      </w:r>
      <w:r w:rsidR="005E76AE">
        <w:t xml:space="preserve">are not directly returned to the ACMA, but </w:t>
      </w:r>
      <w:r w:rsidR="00AA616A" w:rsidRPr="006C0BCC">
        <w:t>are returned to the Government’s consolidated revenue.</w:t>
      </w:r>
      <w:r w:rsidR="00AA616A">
        <w:t xml:space="preserve"> </w:t>
      </w:r>
      <w:r w:rsidR="002E0F26">
        <w:t>This paper discusses taxes and charges in more detail in the legislative and cost-recovery framework section.</w:t>
      </w:r>
    </w:p>
    <w:p w14:paraId="699803F4" w14:textId="77777777" w:rsidR="0068671A" w:rsidRDefault="0068671A" w:rsidP="00B56290">
      <w:pPr>
        <w:pStyle w:val="Heading3"/>
      </w:pPr>
      <w:bookmarkStart w:id="92" w:name="_Toc474255236"/>
      <w:bookmarkStart w:id="93" w:name="_Toc256000106"/>
      <w:bookmarkStart w:id="94" w:name="_Toc256000073"/>
      <w:bookmarkStart w:id="95" w:name="_Toc256000040"/>
      <w:bookmarkStart w:id="96" w:name="_Toc256000007"/>
      <w:bookmarkStart w:id="97" w:name="_Toc480793143"/>
      <w:r>
        <w:t>Spectrum licences</w:t>
      </w:r>
      <w:bookmarkEnd w:id="92"/>
      <w:bookmarkEnd w:id="93"/>
      <w:bookmarkEnd w:id="94"/>
      <w:bookmarkEnd w:id="95"/>
      <w:bookmarkEnd w:id="96"/>
      <w:bookmarkEnd w:id="97"/>
    </w:p>
    <w:p w14:paraId="49425D72" w14:textId="77777777" w:rsidR="008E2767" w:rsidRDefault="005D3FB5" w:rsidP="005D3FB5">
      <w:r>
        <w:t>Currently, Australia</w:t>
      </w:r>
      <w:r w:rsidR="0000257E">
        <w:t>n</w:t>
      </w:r>
      <w:r>
        <w:t xml:space="preserve"> </w:t>
      </w:r>
      <w:r w:rsidR="002D7523">
        <w:t xml:space="preserve">licensed </w:t>
      </w:r>
      <w:r>
        <w:t xml:space="preserve">spectrum users must either </w:t>
      </w:r>
      <w:r w:rsidR="002D7523">
        <w:t xml:space="preserve">hold a spectrum </w:t>
      </w:r>
      <w:r w:rsidR="002E0F26">
        <w:t>licence or an apparatus licence.</w:t>
      </w:r>
      <w:bookmarkEnd w:id="84"/>
      <w:bookmarkEnd w:id="85"/>
      <w:bookmarkEnd w:id="86"/>
      <w:bookmarkEnd w:id="87"/>
      <w:bookmarkEnd w:id="88"/>
      <w:bookmarkEnd w:id="89"/>
      <w:bookmarkEnd w:id="90"/>
      <w:bookmarkEnd w:id="91"/>
      <w:r w:rsidR="002E0F26">
        <w:t xml:space="preserve"> S</w:t>
      </w:r>
      <w:r w:rsidR="00C3699A">
        <w:rPr>
          <w:rFonts w:cs="Arial"/>
        </w:rPr>
        <w:t>pectrum licenc</w:t>
      </w:r>
      <w:r w:rsidR="0068671A">
        <w:rPr>
          <w:rFonts w:cs="Arial"/>
        </w:rPr>
        <w:t>es</w:t>
      </w:r>
      <w:r w:rsidR="00C3699A">
        <w:rPr>
          <w:rFonts w:cs="Arial"/>
        </w:rPr>
        <w:t xml:space="preserve"> </w:t>
      </w:r>
      <w:r w:rsidR="0068671A">
        <w:rPr>
          <w:rFonts w:cs="Arial"/>
        </w:rPr>
        <w:t xml:space="preserve">are </w:t>
      </w:r>
      <w:r w:rsidR="00C3699A">
        <w:t xml:space="preserve">generally auctioned, are for a specific </w:t>
      </w:r>
      <w:r w:rsidR="007269DE">
        <w:t xml:space="preserve">part of the spectrum, a specific </w:t>
      </w:r>
      <w:r w:rsidR="00C3699A">
        <w:t>geographi</w:t>
      </w:r>
      <w:r w:rsidR="00B56290">
        <w:t>c area, and are for a fifteen year period</w:t>
      </w:r>
      <w:r w:rsidR="00C3699A">
        <w:t xml:space="preserve">. </w:t>
      </w:r>
      <w:r>
        <w:t>Currently, spectrum licence holders pay three fees:</w:t>
      </w:r>
    </w:p>
    <w:p w14:paraId="334307A1" w14:textId="6C09A66C" w:rsidR="005D3FB5" w:rsidRDefault="005D3FB5" w:rsidP="008F0FAA">
      <w:pPr>
        <w:pStyle w:val="Bulletlevel1"/>
      </w:pPr>
      <w:r>
        <w:t>ACMA charges which a</w:t>
      </w:r>
      <w:r w:rsidR="00117F36">
        <w:t>re direct cost recovery charges</w:t>
      </w:r>
    </w:p>
    <w:p w14:paraId="2D888315" w14:textId="29FD4CA2" w:rsidR="005D3FB5" w:rsidRDefault="005D3FB5" w:rsidP="008F0FAA">
      <w:pPr>
        <w:pStyle w:val="Bulletlevel1"/>
      </w:pPr>
      <w:r>
        <w:t>spectrum licence taxes which are indirect cost recovery charges calculated on an annual basis and adjusted with the value of t</w:t>
      </w:r>
      <w:r w:rsidR="00117F36">
        <w:t>he spectrum a licensee uses</w:t>
      </w:r>
    </w:p>
    <w:p w14:paraId="69197D11" w14:textId="77777777" w:rsidR="005D3FB5" w:rsidRDefault="005D3FB5" w:rsidP="008F0FAA">
      <w:pPr>
        <w:pStyle w:val="Bulletlevel1"/>
      </w:pPr>
      <w:r>
        <w:t xml:space="preserve">spectrum access charges which are </w:t>
      </w:r>
      <w:r w:rsidR="00C11B70">
        <w:t>value-based</w:t>
      </w:r>
      <w:r>
        <w:t xml:space="preserve"> fees generally set by auction or through renewal of existing licences.</w:t>
      </w:r>
    </w:p>
    <w:p w14:paraId="11DFD71C" w14:textId="77777777" w:rsidR="00526D3F" w:rsidRDefault="005D3FB5" w:rsidP="005D3FB5">
      <w:r>
        <w:t>The first two of these fees recover for</w:t>
      </w:r>
      <w:r w:rsidR="00815FDE">
        <w:t xml:space="preserve"> some of</w:t>
      </w:r>
      <w:r>
        <w:t xml:space="preserve"> the ACMA’s costs in managing spectrum. Direct cost charges reflect the ACMA’s activities that benefit a single licensee, such as licence renewals and equipment certification. The spectrum licence taxes recover indirect costs associated with managing the spectrum of multiple users and adjust with the value of the spectrum a licensee uses.</w:t>
      </w:r>
    </w:p>
    <w:p w14:paraId="534C1028" w14:textId="180A2E7E" w:rsidR="005D3FB5" w:rsidRDefault="005D3FB5" w:rsidP="005D3FB5">
      <w:r>
        <w:t xml:space="preserve">Spectrum access charges are generally set by auction, </w:t>
      </w:r>
      <w:r w:rsidR="00526D3F">
        <w:t>which have been used in Australia since 1994. Spectrum access charges can also</w:t>
      </w:r>
      <w:r>
        <w:t xml:space="preserve"> be determined by other means. For example, </w:t>
      </w:r>
      <w:r w:rsidR="00CE5021">
        <w:t xml:space="preserve">in 2012 </w:t>
      </w:r>
      <w:r>
        <w:t xml:space="preserve">the Minister for Communications directed the ACMA to set renewal prices for </w:t>
      </w:r>
      <w:r w:rsidR="00CE5021">
        <w:t xml:space="preserve">several </w:t>
      </w:r>
      <w:r>
        <w:t>spectrum licence holders in</w:t>
      </w:r>
      <w:r w:rsidR="00CE5021">
        <w:t xml:space="preserve"> various bands (such as </w:t>
      </w:r>
      <w:r w:rsidR="00C6785F">
        <w:t>Telstra and Vodafone’s holdings in the 800 MHz band)</w:t>
      </w:r>
      <w:r>
        <w:t>, instead of allowing expiring licences to go to auction.</w:t>
      </w:r>
      <w:r w:rsidR="00CE5021">
        <w:rPr>
          <w:rStyle w:val="FootnoteReference"/>
        </w:rPr>
        <w:footnoteReference w:id="7"/>
      </w:r>
    </w:p>
    <w:p w14:paraId="2814B735" w14:textId="77777777" w:rsidR="0068671A" w:rsidRDefault="0068671A" w:rsidP="002E0F26">
      <w:pPr>
        <w:pStyle w:val="Heading3"/>
      </w:pPr>
      <w:bookmarkStart w:id="98" w:name="_Toc474255237"/>
      <w:bookmarkStart w:id="99" w:name="_Toc256000107"/>
      <w:bookmarkStart w:id="100" w:name="_Toc256000074"/>
      <w:bookmarkStart w:id="101" w:name="_Toc256000041"/>
      <w:bookmarkStart w:id="102" w:name="_Toc256000008"/>
      <w:bookmarkStart w:id="103" w:name="_Toc480793144"/>
      <w:r>
        <w:t>Apparatus licences</w:t>
      </w:r>
      <w:bookmarkEnd w:id="98"/>
      <w:bookmarkEnd w:id="99"/>
      <w:bookmarkEnd w:id="100"/>
      <w:bookmarkEnd w:id="101"/>
      <w:bookmarkEnd w:id="102"/>
      <w:bookmarkEnd w:id="103"/>
    </w:p>
    <w:p w14:paraId="3DC53C94" w14:textId="2CF7FE27" w:rsidR="00B71A30" w:rsidRDefault="00664D01" w:rsidP="00B71A30">
      <w:r w:rsidRPr="00DD119D">
        <w:rPr>
          <w:rFonts w:cs="Arial"/>
        </w:rPr>
        <w:t xml:space="preserve">The ACMA generally uses </w:t>
      </w:r>
      <w:r w:rsidR="002E0F26">
        <w:rPr>
          <w:rFonts w:cs="Arial"/>
        </w:rPr>
        <w:t>apparatus licences</w:t>
      </w:r>
      <w:r>
        <w:rPr>
          <w:rFonts w:cs="Arial"/>
        </w:rPr>
        <w:t xml:space="preserve"> </w:t>
      </w:r>
      <w:r w:rsidRPr="00DD119D">
        <w:rPr>
          <w:rFonts w:cs="Arial"/>
        </w:rPr>
        <w:t xml:space="preserve">in cases where auctions </w:t>
      </w:r>
      <w:r w:rsidRPr="00977146">
        <w:rPr>
          <w:rFonts w:cs="Arial"/>
        </w:rPr>
        <w:t>are impractical</w:t>
      </w:r>
      <w:r w:rsidR="00865589" w:rsidRPr="00977146">
        <w:rPr>
          <w:rFonts w:cs="Arial"/>
        </w:rPr>
        <w:t xml:space="preserve"> </w:t>
      </w:r>
      <w:r w:rsidR="00865589" w:rsidRPr="00977146">
        <w:t>(we explore this issue in more detail in the section on administered pricing arrangements)</w:t>
      </w:r>
      <w:r w:rsidRPr="00977146">
        <w:t xml:space="preserve">. </w:t>
      </w:r>
      <w:r w:rsidR="00FC149E" w:rsidRPr="00977146">
        <w:t>Apparatus licence holders pay apparatus licence taxes. The tax recovers for both indirect costs and the value of the resource</w:t>
      </w:r>
      <w:r w:rsidR="00B56290" w:rsidRPr="00977146">
        <w:t xml:space="preserve">. </w:t>
      </w:r>
      <w:r w:rsidR="00B71A30" w:rsidRPr="00977146">
        <w:t>Most administered licences are allocated on a first come first served based, and their prices are not typically</w:t>
      </w:r>
      <w:r w:rsidR="00B71A30">
        <w:t xml:space="preserve"> affected by competition.</w:t>
      </w:r>
    </w:p>
    <w:p w14:paraId="52B1C8D0" w14:textId="77777777" w:rsidR="00EC4053" w:rsidRDefault="00EC4053" w:rsidP="00EC4053">
      <w:bookmarkStart w:id="104" w:name="_Toc471986041"/>
      <w:bookmarkStart w:id="105" w:name="_Toc471987637"/>
      <w:bookmarkStart w:id="106" w:name="_Toc471988018"/>
      <w:bookmarkStart w:id="107" w:name="_Toc471992184"/>
      <w:bookmarkStart w:id="108" w:name="_Toc471995359"/>
      <w:bookmarkStart w:id="109" w:name="_Toc471996871"/>
      <w:r>
        <w:rPr>
          <w:rFonts w:cs="Arial"/>
        </w:rPr>
        <w:t>The apparatus licence tax formula is the ACMA’s main mechanism to charge administered prices, and most apparatus licences are priced according to this formula. The apparatus licence tax generally relates spectrum prices to factors which may be consistent with demand, congestion or opportunity cost.</w:t>
      </w:r>
      <w:r>
        <w:t xml:space="preserve"> </w:t>
      </w:r>
      <w:r w:rsidDel="00A26F62">
        <w:t>A minimum tax constraint</w:t>
      </w:r>
      <w:r w:rsidR="001F1B75">
        <w:t>, essentially a price floor,</w:t>
      </w:r>
      <w:r w:rsidDel="00A26F62">
        <w:t xml:space="preserve"> ensures all spectrum users </w:t>
      </w:r>
      <w:r>
        <w:t>contribute</w:t>
      </w:r>
      <w:r w:rsidDel="00A26F62">
        <w:t xml:space="preserve"> towards indirect costs. </w:t>
      </w:r>
      <w:r>
        <w:t>Other than adjustments for inflation, the apparatus licence tax formula has been largely unchanged since 2001.</w:t>
      </w:r>
    </w:p>
    <w:p w14:paraId="0971C59B" w14:textId="7CE6D8DC" w:rsidR="001F642B" w:rsidRDefault="001F642B" w:rsidP="00EC4053">
      <w:r>
        <w:t xml:space="preserve">Like spectrum licence holders, apparatus licence holders also pay for the ACMA’s direct costs. These fees are small – an apparatus licence holder pays only around $4 for a licence renewal, while the </w:t>
      </w:r>
      <w:r w:rsidR="00E12CAD">
        <w:t>licence tax imposed</w:t>
      </w:r>
      <w:r>
        <w:t xml:space="preserve"> for a transmitter can be thousands of dollars.</w:t>
      </w:r>
    </w:p>
    <w:p w14:paraId="6CB69051" w14:textId="77777777" w:rsidR="00B71A30" w:rsidRDefault="00B71A30" w:rsidP="002E0F26">
      <w:pPr>
        <w:pStyle w:val="Heading3"/>
      </w:pPr>
      <w:bookmarkStart w:id="110" w:name="_Toc474255238"/>
      <w:bookmarkStart w:id="111" w:name="_Toc256000108"/>
      <w:bookmarkStart w:id="112" w:name="_Toc256000075"/>
      <w:bookmarkStart w:id="113" w:name="_Toc256000042"/>
      <w:bookmarkStart w:id="114" w:name="_Toc256000009"/>
      <w:bookmarkStart w:id="115" w:name="_Toc480793145"/>
      <w:r>
        <w:t xml:space="preserve">Bespoke pricing </w:t>
      </w:r>
      <w:bookmarkEnd w:id="104"/>
      <w:bookmarkEnd w:id="105"/>
      <w:bookmarkEnd w:id="106"/>
      <w:bookmarkEnd w:id="107"/>
      <w:r>
        <w:t>arrangements</w:t>
      </w:r>
      <w:bookmarkEnd w:id="108"/>
      <w:bookmarkEnd w:id="109"/>
      <w:bookmarkEnd w:id="110"/>
      <w:bookmarkEnd w:id="111"/>
      <w:bookmarkEnd w:id="112"/>
      <w:bookmarkEnd w:id="113"/>
      <w:bookmarkEnd w:id="114"/>
      <w:bookmarkEnd w:id="115"/>
    </w:p>
    <w:p w14:paraId="32CB586E" w14:textId="77777777" w:rsidR="00B71A30" w:rsidRDefault="00B71A30" w:rsidP="00B71A30">
      <w:r>
        <w:t xml:space="preserve">The Government may at times wish to price spectrum using mechanisms other than </w:t>
      </w:r>
      <w:r w:rsidR="00B56290">
        <w:t>by auction or by the apparatus licence tax formula</w:t>
      </w:r>
      <w:r>
        <w:t>. This is often achieved by either adding prices to the annual administrative pricing determination</w:t>
      </w:r>
      <w:r>
        <w:rPr>
          <w:rStyle w:val="FootnoteReference"/>
        </w:rPr>
        <w:footnoteReference w:id="8"/>
      </w:r>
      <w:r>
        <w:t>, or by a determination for spectrum access charges.</w:t>
      </w:r>
    </w:p>
    <w:p w14:paraId="3E0C481B" w14:textId="6FED2799" w:rsidR="00B71A30" w:rsidRDefault="00B71A30" w:rsidP="00B71A30">
      <w:r>
        <w:t xml:space="preserve">There are many reasons why the Government may wish to do this. </w:t>
      </w:r>
      <w:r w:rsidR="00732CC4">
        <w:t xml:space="preserve">Specific </w:t>
      </w:r>
      <w:r>
        <w:t xml:space="preserve">pricing may be provided for a subset of users due to restrictions </w:t>
      </w:r>
      <w:r w:rsidR="00E87DEB">
        <w:t>imposed or allowances provided</w:t>
      </w:r>
      <w:r>
        <w:t xml:space="preserve"> by other legislation (</w:t>
      </w:r>
      <w:r w:rsidR="00E12CAD" w:rsidRPr="00E12CAD">
        <w:t>for example, the ACMA is required to issue a transmitter licence under the Radiocommunications Act</w:t>
      </w:r>
      <w:r w:rsidR="00E12CAD" w:rsidRPr="00E12CAD">
        <w:rPr>
          <w:i/>
        </w:rPr>
        <w:t xml:space="preserve"> </w:t>
      </w:r>
      <w:r w:rsidR="00E12CAD" w:rsidRPr="00E12CAD">
        <w:t xml:space="preserve">to certain licensees under the </w:t>
      </w:r>
      <w:r w:rsidR="00E12CAD" w:rsidRPr="00E12CAD">
        <w:rPr>
          <w:i/>
        </w:rPr>
        <w:t>Broadcasting Services Act 1992</w:t>
      </w:r>
      <w:r>
        <w:t>). Some licences, such as marine licences, may not be bound by the geographic limitations of the administered pricing formula. The Government may also wish to create stability through licence renewal, or incentivise the production of a public good.</w:t>
      </w:r>
    </w:p>
    <w:p w14:paraId="78370CF8" w14:textId="77777777" w:rsidR="00B71A30" w:rsidRDefault="008B73C1" w:rsidP="00EF6141">
      <w:pPr>
        <w:pStyle w:val="Tablefigureheading"/>
        <w:spacing w:before="120" w:after="120"/>
      </w:pPr>
      <w:r>
        <w:t>Table 1</w:t>
      </w:r>
      <w:r w:rsidR="00B71A30">
        <w:t>: Examples of users priced with bespoke pricing arrangements</w:t>
      </w:r>
    </w:p>
    <w:p w14:paraId="6B7C403C" w14:textId="4E2081B8" w:rsidR="00032496" w:rsidRPr="00032496" w:rsidRDefault="00032496" w:rsidP="00032496">
      <w:pPr>
        <w:spacing w:after="0"/>
      </w:pPr>
      <w:r>
        <w:rPr>
          <w:b/>
        </w:rPr>
        <w:t>Spectrum licences</w:t>
      </w:r>
      <w:r>
        <w:rPr>
          <w:b/>
        </w:rPr>
        <w:br/>
      </w:r>
      <w:r w:rsidRPr="009A19C5">
        <w:rPr>
          <w:i/>
        </w:rPr>
        <w:t>Spectrum licences are for up to fifteen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1: Current charges and taxes "/>
        <w:tblDescription w:val="Table 2.1 displays the current charges and taxes. The columns of the table separates fees, use and a current example. There rows of the table separate the cost recovery charges, resource charges, cost recovery taxes and resource taxes.  &#10;&#10;Spectrum licences - Spectrum licences are for up to fifteen years.&#10;"/>
      </w:tblPr>
      <w:tblGrid>
        <w:gridCol w:w="2211"/>
        <w:gridCol w:w="1044"/>
        <w:gridCol w:w="663"/>
        <w:gridCol w:w="5415"/>
      </w:tblGrid>
      <w:tr w:rsidR="000B7BE9" w:rsidRPr="00711424" w14:paraId="6927DF9E" w14:textId="77777777" w:rsidTr="00032496">
        <w:trPr>
          <w:cantSplit/>
          <w:tblHeader/>
        </w:trPr>
        <w:tc>
          <w:tcPr>
            <w:tcW w:w="0" w:type="auto"/>
            <w:tcBorders>
              <w:bottom w:val="single" w:sz="4" w:space="0" w:color="auto"/>
            </w:tcBorders>
          </w:tcPr>
          <w:p w14:paraId="72F98C23" w14:textId="77777777" w:rsidR="00874A3A" w:rsidRPr="00711424" w:rsidRDefault="00874A3A" w:rsidP="00CF3A3E">
            <w:pPr>
              <w:spacing w:before="40" w:after="120"/>
              <w:rPr>
                <w:b/>
              </w:rPr>
            </w:pPr>
            <w:r>
              <w:rPr>
                <w:b/>
              </w:rPr>
              <w:t>User</w:t>
            </w:r>
          </w:p>
        </w:tc>
        <w:tc>
          <w:tcPr>
            <w:tcW w:w="0" w:type="auto"/>
            <w:tcBorders>
              <w:bottom w:val="single" w:sz="4" w:space="0" w:color="auto"/>
            </w:tcBorders>
          </w:tcPr>
          <w:p w14:paraId="6A821944" w14:textId="77777777" w:rsidR="00874A3A" w:rsidRDefault="00874A3A" w:rsidP="00CF3A3E">
            <w:pPr>
              <w:spacing w:before="40" w:after="120"/>
              <w:rPr>
                <w:b/>
              </w:rPr>
            </w:pPr>
            <w:r>
              <w:rPr>
                <w:b/>
              </w:rPr>
              <w:t>Band</w:t>
            </w:r>
          </w:p>
        </w:tc>
        <w:tc>
          <w:tcPr>
            <w:tcW w:w="0" w:type="auto"/>
            <w:tcBorders>
              <w:bottom w:val="single" w:sz="4" w:space="0" w:color="auto"/>
            </w:tcBorders>
          </w:tcPr>
          <w:p w14:paraId="1C103DF7" w14:textId="77777777" w:rsidR="00874A3A" w:rsidRDefault="00874A3A" w:rsidP="00CF3A3E">
            <w:pPr>
              <w:spacing w:before="40" w:after="120"/>
              <w:rPr>
                <w:b/>
              </w:rPr>
            </w:pPr>
            <w:r w:rsidRPr="002F1632">
              <w:rPr>
                <w:b/>
              </w:rPr>
              <w:t>Year</w:t>
            </w:r>
          </w:p>
        </w:tc>
        <w:tc>
          <w:tcPr>
            <w:tcW w:w="0" w:type="auto"/>
            <w:tcBorders>
              <w:bottom w:val="single" w:sz="4" w:space="0" w:color="auto"/>
            </w:tcBorders>
          </w:tcPr>
          <w:p w14:paraId="3625F4AA" w14:textId="77777777" w:rsidR="00874A3A" w:rsidRPr="00711424" w:rsidRDefault="00874A3A" w:rsidP="00CF3A3E">
            <w:pPr>
              <w:spacing w:before="40" w:after="120"/>
              <w:rPr>
                <w:b/>
              </w:rPr>
            </w:pPr>
            <w:r>
              <w:rPr>
                <w:b/>
              </w:rPr>
              <w:t>Notes</w:t>
            </w:r>
          </w:p>
        </w:tc>
      </w:tr>
      <w:tr w:rsidR="000B7BE9" w14:paraId="496DC781" w14:textId="77777777" w:rsidTr="00032496">
        <w:trPr>
          <w:cantSplit/>
        </w:trPr>
        <w:tc>
          <w:tcPr>
            <w:tcW w:w="0" w:type="auto"/>
            <w:tcBorders>
              <w:top w:val="single" w:sz="4" w:space="0" w:color="auto"/>
            </w:tcBorders>
          </w:tcPr>
          <w:p w14:paraId="70285457" w14:textId="77777777" w:rsidR="002F1632" w:rsidRDefault="002F1632" w:rsidP="002F1632">
            <w:pPr>
              <w:spacing w:before="40" w:after="120"/>
            </w:pPr>
            <w:r>
              <w:t>Rail authorities</w:t>
            </w:r>
          </w:p>
        </w:tc>
        <w:tc>
          <w:tcPr>
            <w:tcW w:w="0" w:type="auto"/>
            <w:tcBorders>
              <w:top w:val="single" w:sz="4" w:space="0" w:color="auto"/>
            </w:tcBorders>
          </w:tcPr>
          <w:p w14:paraId="56387A40" w14:textId="77777777" w:rsidR="002F1632" w:rsidRDefault="002F1632" w:rsidP="002F1632">
            <w:pPr>
              <w:spacing w:before="40" w:after="120"/>
            </w:pPr>
            <w:r>
              <w:t>1800 MHz</w:t>
            </w:r>
          </w:p>
        </w:tc>
        <w:tc>
          <w:tcPr>
            <w:tcW w:w="0" w:type="auto"/>
            <w:tcBorders>
              <w:top w:val="single" w:sz="4" w:space="0" w:color="auto"/>
            </w:tcBorders>
          </w:tcPr>
          <w:p w14:paraId="4FB6D1C6" w14:textId="77777777" w:rsidR="002F1632" w:rsidRDefault="002F1632" w:rsidP="002F1632">
            <w:pPr>
              <w:spacing w:before="40" w:after="120"/>
            </w:pPr>
            <w:r w:rsidRPr="005D6EA2">
              <w:t>2013</w:t>
            </w:r>
          </w:p>
        </w:tc>
        <w:tc>
          <w:tcPr>
            <w:tcW w:w="0" w:type="auto"/>
            <w:tcBorders>
              <w:top w:val="single" w:sz="4" w:space="0" w:color="auto"/>
            </w:tcBorders>
          </w:tcPr>
          <w:p w14:paraId="339A81AE" w14:textId="23A850ED" w:rsidR="002F1632" w:rsidRDefault="002F1632" w:rsidP="009A19C5">
            <w:pPr>
              <w:spacing w:before="40" w:after="120"/>
            </w:pPr>
            <w:r>
              <w:t xml:space="preserve">State rail authorities were provided discounted spectrum. </w:t>
            </w:r>
          </w:p>
        </w:tc>
      </w:tr>
      <w:tr w:rsidR="000B7BE9" w14:paraId="7CA2AC38" w14:textId="77777777" w:rsidTr="00032496">
        <w:trPr>
          <w:cantSplit/>
        </w:trPr>
        <w:tc>
          <w:tcPr>
            <w:tcW w:w="0" w:type="auto"/>
          </w:tcPr>
          <w:p w14:paraId="138B6ACB" w14:textId="77777777" w:rsidR="00C6785F" w:rsidRDefault="00C6785F" w:rsidP="00C6785F">
            <w:pPr>
              <w:spacing w:before="40" w:after="40"/>
            </w:pPr>
            <w:r>
              <w:t>Vodafone, Telstra</w:t>
            </w:r>
          </w:p>
        </w:tc>
        <w:tc>
          <w:tcPr>
            <w:tcW w:w="0" w:type="auto"/>
          </w:tcPr>
          <w:p w14:paraId="668CB9CC" w14:textId="77777777" w:rsidR="00C6785F" w:rsidRDefault="00C6785F" w:rsidP="009C2800">
            <w:pPr>
              <w:spacing w:before="40" w:after="40"/>
            </w:pPr>
            <w:r>
              <w:t>800 MHz</w:t>
            </w:r>
          </w:p>
        </w:tc>
        <w:tc>
          <w:tcPr>
            <w:tcW w:w="0" w:type="auto"/>
          </w:tcPr>
          <w:p w14:paraId="3FC0AEF6" w14:textId="77777777" w:rsidR="00C6785F" w:rsidRDefault="00A302E3" w:rsidP="009C2800">
            <w:pPr>
              <w:spacing w:before="40" w:after="40"/>
            </w:pPr>
            <w:r>
              <w:t>2012</w:t>
            </w:r>
          </w:p>
        </w:tc>
        <w:tc>
          <w:tcPr>
            <w:tcW w:w="0" w:type="auto"/>
          </w:tcPr>
          <w:p w14:paraId="5E04E3C4" w14:textId="40AF320B" w:rsidR="00C6785F" w:rsidRDefault="00C6785F" w:rsidP="009A19C5">
            <w:pPr>
              <w:spacing w:before="40" w:after="40"/>
            </w:pPr>
            <w:r>
              <w:t>Licences were renewed at a price</w:t>
            </w:r>
            <w:r w:rsidR="003F168D">
              <w:t xml:space="preserve"> of $1.2</w:t>
            </w:r>
            <w:r w:rsidR="00EE5287">
              <w:t>3</w:t>
            </w:r>
            <w:r w:rsidR="003F168D">
              <w:t>/MHz/population</w:t>
            </w:r>
            <w:r w:rsidR="00F87E6B">
              <w:t>.</w:t>
            </w:r>
          </w:p>
        </w:tc>
      </w:tr>
      <w:tr w:rsidR="000B7BE9" w14:paraId="42A7FF2A" w14:textId="77777777" w:rsidTr="00032496">
        <w:trPr>
          <w:cantSplit/>
        </w:trPr>
        <w:tc>
          <w:tcPr>
            <w:tcW w:w="0" w:type="auto"/>
          </w:tcPr>
          <w:p w14:paraId="07B5CE44" w14:textId="39DB1B93" w:rsidR="003B0B85" w:rsidRDefault="003B0B85" w:rsidP="00C64227">
            <w:pPr>
              <w:spacing w:before="40" w:after="40"/>
            </w:pPr>
            <w:r>
              <w:t>Telstra, Optus</w:t>
            </w:r>
          </w:p>
        </w:tc>
        <w:tc>
          <w:tcPr>
            <w:tcW w:w="0" w:type="auto"/>
          </w:tcPr>
          <w:p w14:paraId="64B6CC29" w14:textId="77777777" w:rsidR="003B0B85" w:rsidRDefault="003B0B85" w:rsidP="009C2800">
            <w:pPr>
              <w:spacing w:before="40" w:after="40"/>
            </w:pPr>
            <w:r>
              <w:t>2.3 GHz</w:t>
            </w:r>
          </w:p>
        </w:tc>
        <w:tc>
          <w:tcPr>
            <w:tcW w:w="0" w:type="auto"/>
          </w:tcPr>
          <w:p w14:paraId="53C32958" w14:textId="77777777" w:rsidR="003B0B85" w:rsidRDefault="003B0B85" w:rsidP="009C2800">
            <w:pPr>
              <w:spacing w:before="40" w:after="40"/>
            </w:pPr>
            <w:r w:rsidRPr="005D6EA2">
              <w:t>2012</w:t>
            </w:r>
          </w:p>
        </w:tc>
        <w:tc>
          <w:tcPr>
            <w:tcW w:w="0" w:type="auto"/>
          </w:tcPr>
          <w:p w14:paraId="0115F6C1" w14:textId="4D03F18B" w:rsidR="003B0B85" w:rsidRDefault="003B0B85" w:rsidP="009A19C5">
            <w:pPr>
              <w:spacing w:before="40" w:after="40"/>
            </w:pPr>
            <w:r>
              <w:t>Licences were renewed at a price of $0.03/MHz/population.</w:t>
            </w:r>
          </w:p>
        </w:tc>
      </w:tr>
      <w:tr w:rsidR="000B7BE9" w14:paraId="0DBE09DC" w14:textId="77777777" w:rsidTr="00032496">
        <w:trPr>
          <w:cantSplit/>
        </w:trPr>
        <w:tc>
          <w:tcPr>
            <w:tcW w:w="0" w:type="auto"/>
          </w:tcPr>
          <w:p w14:paraId="41F4B8D0" w14:textId="77777777" w:rsidR="00C6785F" w:rsidRDefault="00A302E3" w:rsidP="003B0B85">
            <w:pPr>
              <w:spacing w:before="40" w:after="40"/>
            </w:pPr>
            <w:r>
              <w:t xml:space="preserve">Telstra, Optus, </w:t>
            </w:r>
            <w:r w:rsidR="003B0B85">
              <w:t>Vodafone</w:t>
            </w:r>
          </w:p>
        </w:tc>
        <w:tc>
          <w:tcPr>
            <w:tcW w:w="0" w:type="auto"/>
          </w:tcPr>
          <w:p w14:paraId="6462DE99" w14:textId="77777777" w:rsidR="00C6785F" w:rsidRDefault="003B0B85" w:rsidP="009C2800">
            <w:pPr>
              <w:spacing w:before="40" w:after="40"/>
            </w:pPr>
            <w:r>
              <w:t>2 GHz</w:t>
            </w:r>
          </w:p>
        </w:tc>
        <w:tc>
          <w:tcPr>
            <w:tcW w:w="0" w:type="auto"/>
          </w:tcPr>
          <w:p w14:paraId="40028805" w14:textId="77777777" w:rsidR="00C6785F" w:rsidRDefault="00C6785F" w:rsidP="009C2800">
            <w:pPr>
              <w:spacing w:before="40" w:after="40"/>
            </w:pPr>
            <w:r w:rsidRPr="005D6EA2">
              <w:t>2012</w:t>
            </w:r>
          </w:p>
        </w:tc>
        <w:tc>
          <w:tcPr>
            <w:tcW w:w="0" w:type="auto"/>
          </w:tcPr>
          <w:p w14:paraId="3C290BFF" w14:textId="672211C2" w:rsidR="00C6785F" w:rsidRDefault="00C6785F" w:rsidP="009A19C5">
            <w:pPr>
              <w:spacing w:before="40" w:after="40"/>
            </w:pPr>
            <w:r>
              <w:t xml:space="preserve">Licences </w:t>
            </w:r>
            <w:r w:rsidR="0070509F">
              <w:t>are being</w:t>
            </w:r>
            <w:r>
              <w:t xml:space="preserve"> renewed at a price </w:t>
            </w:r>
            <w:r w:rsidR="00A302E3">
              <w:t>of $0.</w:t>
            </w:r>
            <w:r w:rsidR="003B0B85">
              <w:t>625</w:t>
            </w:r>
            <w:r w:rsidR="00A302E3">
              <w:t>/MHz/population.</w:t>
            </w:r>
          </w:p>
        </w:tc>
      </w:tr>
    </w:tbl>
    <w:p w14:paraId="2FE0FB17" w14:textId="52257BF2" w:rsidR="00032496" w:rsidRPr="005D6EA2" w:rsidRDefault="00032496" w:rsidP="00032496">
      <w:pPr>
        <w:spacing w:after="0"/>
      </w:pPr>
      <w:r w:rsidRPr="002029E4">
        <w:rPr>
          <w:b/>
        </w:rPr>
        <w:t xml:space="preserve">Apparatus </w:t>
      </w:r>
      <w:r>
        <w:rPr>
          <w:b/>
        </w:rPr>
        <w:t>licences</w:t>
      </w:r>
      <w:r>
        <w:rPr>
          <w:b/>
        </w:rPr>
        <w:br/>
      </w:r>
      <w:r w:rsidRPr="009A19C5">
        <w:rPr>
          <w:i/>
        </w:rPr>
        <w:t>Apparatus licences are generally renewed annually, but are at times paid for up to five years up front.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1: Current charges and taxes "/>
        <w:tblDescription w:val="Table 2.1 displays the current charges and taxes. The columns of the table separates fees, use and a current example. There rows of the table separate the cost recovery charges, resource charges, cost recovery taxes and resource taxes.&#10;&#10;Apparatus licences - Apparatus licences are generally renewed annually, but are at times paid for up to five years up front.&#10;"/>
      </w:tblPr>
      <w:tblGrid>
        <w:gridCol w:w="2196"/>
        <w:gridCol w:w="1354"/>
        <w:gridCol w:w="1003"/>
        <w:gridCol w:w="4780"/>
      </w:tblGrid>
      <w:tr w:rsidR="00032496" w:rsidRPr="00711424" w14:paraId="5E0BB3B4" w14:textId="77777777" w:rsidTr="00032496">
        <w:trPr>
          <w:cantSplit/>
          <w:tblHeader/>
        </w:trPr>
        <w:tc>
          <w:tcPr>
            <w:tcW w:w="0" w:type="auto"/>
            <w:tcBorders>
              <w:bottom w:val="single" w:sz="4" w:space="0" w:color="auto"/>
            </w:tcBorders>
          </w:tcPr>
          <w:p w14:paraId="74ACCFDA" w14:textId="77777777" w:rsidR="00032496" w:rsidRPr="00711424" w:rsidRDefault="00032496" w:rsidP="000A239F">
            <w:pPr>
              <w:spacing w:before="40" w:after="120"/>
              <w:rPr>
                <w:b/>
              </w:rPr>
            </w:pPr>
            <w:r>
              <w:rPr>
                <w:b/>
              </w:rPr>
              <w:t>User</w:t>
            </w:r>
          </w:p>
        </w:tc>
        <w:tc>
          <w:tcPr>
            <w:tcW w:w="0" w:type="auto"/>
            <w:tcBorders>
              <w:bottom w:val="single" w:sz="4" w:space="0" w:color="auto"/>
            </w:tcBorders>
          </w:tcPr>
          <w:p w14:paraId="24AED722" w14:textId="77777777" w:rsidR="00032496" w:rsidRDefault="00032496" w:rsidP="000A239F">
            <w:pPr>
              <w:spacing w:before="40" w:after="120"/>
              <w:rPr>
                <w:b/>
              </w:rPr>
            </w:pPr>
            <w:r>
              <w:rPr>
                <w:b/>
              </w:rPr>
              <w:t>Band</w:t>
            </w:r>
          </w:p>
        </w:tc>
        <w:tc>
          <w:tcPr>
            <w:tcW w:w="0" w:type="auto"/>
            <w:tcBorders>
              <w:bottom w:val="single" w:sz="4" w:space="0" w:color="auto"/>
            </w:tcBorders>
          </w:tcPr>
          <w:p w14:paraId="627FED6B" w14:textId="77777777" w:rsidR="00032496" w:rsidRDefault="00032496" w:rsidP="000A239F">
            <w:pPr>
              <w:spacing w:before="40" w:after="120"/>
              <w:rPr>
                <w:b/>
              </w:rPr>
            </w:pPr>
            <w:r w:rsidRPr="002F1632">
              <w:rPr>
                <w:b/>
              </w:rPr>
              <w:t>Year</w:t>
            </w:r>
          </w:p>
        </w:tc>
        <w:tc>
          <w:tcPr>
            <w:tcW w:w="0" w:type="auto"/>
            <w:tcBorders>
              <w:bottom w:val="single" w:sz="4" w:space="0" w:color="auto"/>
            </w:tcBorders>
          </w:tcPr>
          <w:p w14:paraId="60C4194E" w14:textId="77777777" w:rsidR="00032496" w:rsidRPr="00711424" w:rsidRDefault="00032496" w:rsidP="000A239F">
            <w:pPr>
              <w:spacing w:before="40" w:after="120"/>
              <w:rPr>
                <w:b/>
              </w:rPr>
            </w:pPr>
            <w:r>
              <w:rPr>
                <w:b/>
              </w:rPr>
              <w:t>Notes</w:t>
            </w:r>
          </w:p>
        </w:tc>
      </w:tr>
      <w:tr w:rsidR="000B7BE9" w14:paraId="63A91205" w14:textId="77777777" w:rsidTr="00032496">
        <w:trPr>
          <w:cantSplit/>
        </w:trPr>
        <w:tc>
          <w:tcPr>
            <w:tcW w:w="0" w:type="auto"/>
            <w:tcBorders>
              <w:top w:val="single" w:sz="4" w:space="0" w:color="auto"/>
            </w:tcBorders>
          </w:tcPr>
          <w:p w14:paraId="07CD9759" w14:textId="77777777" w:rsidR="00C64227" w:rsidRDefault="00C64227" w:rsidP="00C64227">
            <w:pPr>
              <w:spacing w:before="40" w:after="40"/>
            </w:pPr>
            <w:r>
              <w:t>nbn</w:t>
            </w:r>
          </w:p>
        </w:tc>
        <w:tc>
          <w:tcPr>
            <w:tcW w:w="0" w:type="auto"/>
            <w:tcBorders>
              <w:top w:val="single" w:sz="4" w:space="0" w:color="auto"/>
            </w:tcBorders>
          </w:tcPr>
          <w:p w14:paraId="7533ED1F" w14:textId="77777777" w:rsidR="00C64227" w:rsidRDefault="00C64227" w:rsidP="00C64227">
            <w:pPr>
              <w:spacing w:before="40" w:after="40"/>
            </w:pPr>
            <w:r>
              <w:t>3.5 GHz</w:t>
            </w:r>
          </w:p>
        </w:tc>
        <w:tc>
          <w:tcPr>
            <w:tcW w:w="0" w:type="auto"/>
            <w:tcBorders>
              <w:top w:val="single" w:sz="4" w:space="0" w:color="auto"/>
            </w:tcBorders>
          </w:tcPr>
          <w:p w14:paraId="641CBC84" w14:textId="77777777" w:rsidR="00C64227" w:rsidRDefault="00C64227" w:rsidP="00C64227">
            <w:pPr>
              <w:spacing w:before="40" w:after="40"/>
            </w:pPr>
            <w:r w:rsidRPr="005D6EA2">
              <w:t>2014</w:t>
            </w:r>
          </w:p>
        </w:tc>
        <w:tc>
          <w:tcPr>
            <w:tcW w:w="0" w:type="auto"/>
            <w:tcBorders>
              <w:top w:val="single" w:sz="4" w:space="0" w:color="auto"/>
            </w:tcBorders>
          </w:tcPr>
          <w:p w14:paraId="3D78F057" w14:textId="3F354214" w:rsidR="00C64227" w:rsidRDefault="00C64227" w:rsidP="009A19C5">
            <w:pPr>
              <w:spacing w:before="40" w:after="40"/>
            </w:pPr>
            <w:r>
              <w:t xml:space="preserve">nbn was allocated spectrum following valuation of that spectrum. </w:t>
            </w:r>
          </w:p>
        </w:tc>
      </w:tr>
      <w:tr w:rsidR="000B7BE9" w14:paraId="07C575CF" w14:textId="77777777" w:rsidTr="00032496">
        <w:trPr>
          <w:cantSplit/>
        </w:trPr>
        <w:tc>
          <w:tcPr>
            <w:tcW w:w="0" w:type="auto"/>
          </w:tcPr>
          <w:p w14:paraId="621D6713" w14:textId="787CB75D" w:rsidR="002F1632" w:rsidRDefault="00EE5287" w:rsidP="002F1632">
            <w:pPr>
              <w:spacing w:before="40" w:after="40"/>
            </w:pPr>
            <w:r>
              <w:t>Commercial t</w:t>
            </w:r>
            <w:r w:rsidR="002F1632">
              <w:t>elevision and radio broadcasters</w:t>
            </w:r>
          </w:p>
        </w:tc>
        <w:tc>
          <w:tcPr>
            <w:tcW w:w="0" w:type="auto"/>
          </w:tcPr>
          <w:p w14:paraId="1D0825B0" w14:textId="77777777" w:rsidR="002F1632" w:rsidRDefault="002F1632" w:rsidP="002F1632">
            <w:pPr>
              <w:spacing w:before="40" w:after="40"/>
            </w:pPr>
            <w:r>
              <w:t>AM, FM, VHF and UHF bands</w:t>
            </w:r>
          </w:p>
        </w:tc>
        <w:tc>
          <w:tcPr>
            <w:tcW w:w="0" w:type="auto"/>
          </w:tcPr>
          <w:p w14:paraId="5C9A85FC" w14:textId="4F4EB449" w:rsidR="002F1632" w:rsidRDefault="000B7BE9" w:rsidP="002F1632">
            <w:pPr>
              <w:spacing w:before="40" w:after="40"/>
            </w:pPr>
            <w:r>
              <w:t>2017</w:t>
            </w:r>
          </w:p>
        </w:tc>
        <w:tc>
          <w:tcPr>
            <w:tcW w:w="0" w:type="auto"/>
          </w:tcPr>
          <w:p w14:paraId="2F130577" w14:textId="1EA399E4" w:rsidR="002F1632" w:rsidRDefault="000B7BE9" w:rsidP="00D5099B">
            <w:pPr>
              <w:spacing w:before="40" w:after="40"/>
            </w:pPr>
            <w:r>
              <w:t>As announced in the 2017-18 Budget broadcast licence fee</w:t>
            </w:r>
            <w:r w:rsidR="00D5099B">
              <w:t>s</w:t>
            </w:r>
            <w:r>
              <w:t xml:space="preserve"> will be abolished and </w:t>
            </w:r>
            <w:r w:rsidR="00BD4873">
              <w:t xml:space="preserve">replaced with </w:t>
            </w:r>
            <w:r>
              <w:t xml:space="preserve">a </w:t>
            </w:r>
            <w:r w:rsidR="00325C52">
              <w:t xml:space="preserve">price for use of </w:t>
            </w:r>
            <w:r w:rsidR="000A3B9D">
              <w:t>broadcasting</w:t>
            </w:r>
            <w:r>
              <w:t xml:space="preserve"> spectrum </w:t>
            </w:r>
            <w:r w:rsidR="00BD4873">
              <w:t>more reflective of its value.</w:t>
            </w:r>
            <w:r>
              <w:t>.</w:t>
            </w:r>
          </w:p>
        </w:tc>
      </w:tr>
      <w:tr w:rsidR="000B7BE9" w14:paraId="69701495" w14:textId="77777777" w:rsidTr="00032496">
        <w:trPr>
          <w:cantSplit/>
        </w:trPr>
        <w:tc>
          <w:tcPr>
            <w:tcW w:w="0" w:type="auto"/>
          </w:tcPr>
          <w:p w14:paraId="3D4535EE" w14:textId="77777777" w:rsidR="002F1632" w:rsidRDefault="002F1632" w:rsidP="002F1632">
            <w:pPr>
              <w:spacing w:before="40" w:after="40"/>
            </w:pPr>
            <w:r>
              <w:t>Airports</w:t>
            </w:r>
          </w:p>
        </w:tc>
        <w:tc>
          <w:tcPr>
            <w:tcW w:w="0" w:type="auto"/>
          </w:tcPr>
          <w:p w14:paraId="2332B9FD" w14:textId="77777777" w:rsidR="002F1632" w:rsidRDefault="002F1632" w:rsidP="002F1632">
            <w:pPr>
              <w:spacing w:before="40" w:after="40"/>
            </w:pPr>
            <w:r>
              <w:t>SHF band</w:t>
            </w:r>
          </w:p>
        </w:tc>
        <w:tc>
          <w:tcPr>
            <w:tcW w:w="0" w:type="auto"/>
          </w:tcPr>
          <w:p w14:paraId="1E45D9D8" w14:textId="01CC4F98" w:rsidR="002F1632" w:rsidRDefault="002F1632" w:rsidP="00032496">
            <w:pPr>
              <w:spacing w:before="40" w:after="40"/>
            </w:pPr>
            <w:r w:rsidRPr="002F1632">
              <w:t>2012</w:t>
            </w:r>
          </w:p>
        </w:tc>
        <w:tc>
          <w:tcPr>
            <w:tcW w:w="0" w:type="auto"/>
          </w:tcPr>
          <w:p w14:paraId="78C2EFA2" w14:textId="36474F1E" w:rsidR="002F1632" w:rsidRDefault="002F1632" w:rsidP="009A19C5">
            <w:pPr>
              <w:spacing w:before="40" w:after="40"/>
            </w:pPr>
            <w:r>
              <w:t xml:space="preserve">Body scanners for aviation security at international airports pay a flat </w:t>
            </w:r>
            <w:r w:rsidR="00EE5287">
              <w:t>tax</w:t>
            </w:r>
            <w:r>
              <w:t xml:space="preserve"> due to the public benefit of heightened security and the low interference potential of the device. </w:t>
            </w:r>
          </w:p>
        </w:tc>
      </w:tr>
      <w:tr w:rsidR="000B7BE9" w14:paraId="78E2F688" w14:textId="77777777" w:rsidTr="00032496">
        <w:trPr>
          <w:cantSplit/>
        </w:trPr>
        <w:tc>
          <w:tcPr>
            <w:tcW w:w="0" w:type="auto"/>
          </w:tcPr>
          <w:p w14:paraId="0BD2865A" w14:textId="77777777" w:rsidR="002F1632" w:rsidRDefault="002F1632" w:rsidP="002F1632">
            <w:pPr>
              <w:spacing w:before="40" w:after="40"/>
            </w:pPr>
            <w:r>
              <w:t>Telstra, Vodafone, Optus</w:t>
            </w:r>
          </w:p>
        </w:tc>
        <w:tc>
          <w:tcPr>
            <w:tcW w:w="0" w:type="auto"/>
          </w:tcPr>
          <w:p w14:paraId="2678E597" w14:textId="77777777" w:rsidR="002F1632" w:rsidRDefault="003C149B" w:rsidP="002F1632">
            <w:pPr>
              <w:spacing w:before="40" w:after="40"/>
            </w:pPr>
            <w:r>
              <w:t>UHF band</w:t>
            </w:r>
          </w:p>
        </w:tc>
        <w:tc>
          <w:tcPr>
            <w:tcW w:w="0" w:type="auto"/>
          </w:tcPr>
          <w:p w14:paraId="070CA2DB" w14:textId="77777777" w:rsidR="002F1632" w:rsidRDefault="002F1632" w:rsidP="002F1632">
            <w:pPr>
              <w:spacing w:before="40" w:after="40"/>
            </w:pPr>
            <w:r w:rsidRPr="005D6EA2">
              <w:t>Around 1992</w:t>
            </w:r>
          </w:p>
        </w:tc>
        <w:tc>
          <w:tcPr>
            <w:tcW w:w="0" w:type="auto"/>
          </w:tcPr>
          <w:p w14:paraId="0AD06C9A" w14:textId="2958820D" w:rsidR="002F1632" w:rsidRDefault="002F1632" w:rsidP="009A19C5">
            <w:pPr>
              <w:spacing w:before="40" w:after="40"/>
            </w:pPr>
            <w:r>
              <w:t xml:space="preserve">Each of these users pay a flat </w:t>
            </w:r>
            <w:r w:rsidR="00EE5287">
              <w:t>tax per MHz</w:t>
            </w:r>
            <w:r>
              <w:t xml:space="preserve"> to access PMTS </w:t>
            </w:r>
            <w:r w:rsidR="009A19C5">
              <w:t>Class B (935-960 MHz) spectrum.</w:t>
            </w:r>
          </w:p>
        </w:tc>
      </w:tr>
      <w:tr w:rsidR="000B7BE9" w14:paraId="1F5ADC3B" w14:textId="77777777" w:rsidTr="00032496">
        <w:trPr>
          <w:cantSplit/>
        </w:trPr>
        <w:tc>
          <w:tcPr>
            <w:tcW w:w="0" w:type="auto"/>
          </w:tcPr>
          <w:p w14:paraId="3618AE27" w14:textId="77777777" w:rsidR="002F1632" w:rsidRDefault="002F1632" w:rsidP="002F1632">
            <w:pPr>
              <w:spacing w:before="40" w:after="40"/>
            </w:pPr>
            <w:r>
              <w:t>Narrowcasters</w:t>
            </w:r>
          </w:p>
        </w:tc>
        <w:tc>
          <w:tcPr>
            <w:tcW w:w="0" w:type="auto"/>
          </w:tcPr>
          <w:p w14:paraId="6BDDD3A0" w14:textId="77777777" w:rsidR="002F1632" w:rsidRDefault="003C149B" w:rsidP="002F1632">
            <w:pPr>
              <w:spacing w:before="40" w:after="40"/>
            </w:pPr>
            <w:r>
              <w:t>Various bands</w:t>
            </w:r>
          </w:p>
        </w:tc>
        <w:tc>
          <w:tcPr>
            <w:tcW w:w="0" w:type="auto"/>
          </w:tcPr>
          <w:p w14:paraId="380C8993" w14:textId="77777777" w:rsidR="002F1632" w:rsidRDefault="002F1632" w:rsidP="002F1632">
            <w:pPr>
              <w:spacing w:before="40" w:after="40"/>
            </w:pPr>
            <w:r w:rsidRPr="005D6EA2">
              <w:t>2007</w:t>
            </w:r>
          </w:p>
        </w:tc>
        <w:tc>
          <w:tcPr>
            <w:tcW w:w="0" w:type="auto"/>
          </w:tcPr>
          <w:p w14:paraId="5406AE55" w14:textId="41207062" w:rsidR="002F1632" w:rsidRDefault="002F1632" w:rsidP="009A19C5">
            <w:pPr>
              <w:spacing w:before="40" w:after="40"/>
            </w:pPr>
            <w:r>
              <w:t xml:space="preserve">Licences are auctioned, but annual licence taxes are charged </w:t>
            </w:r>
            <w:r w:rsidR="009A19C5">
              <w:t>based on the city of their use.</w:t>
            </w:r>
          </w:p>
        </w:tc>
      </w:tr>
    </w:tbl>
    <w:p w14:paraId="7BBF85BE" w14:textId="77777777" w:rsidR="002E0F26" w:rsidRDefault="002E0F26" w:rsidP="002E0F26">
      <w:pPr>
        <w:pStyle w:val="Heading3"/>
      </w:pPr>
      <w:bookmarkStart w:id="116" w:name="_Toc466289589"/>
      <w:bookmarkStart w:id="117" w:name="_Toc474255239"/>
      <w:bookmarkStart w:id="118" w:name="_Toc256000109"/>
      <w:bookmarkStart w:id="119" w:name="_Toc256000076"/>
      <w:bookmarkStart w:id="120" w:name="_Toc256000043"/>
      <w:bookmarkStart w:id="121" w:name="_Toc256000010"/>
      <w:bookmarkStart w:id="122" w:name="_Toc480793146"/>
      <w:bookmarkStart w:id="123" w:name="_Toc471817816"/>
      <w:bookmarkStart w:id="124" w:name="_Toc471819422"/>
      <w:bookmarkStart w:id="125" w:name="_Toc471986049"/>
      <w:bookmarkStart w:id="126" w:name="_Toc471987645"/>
      <w:bookmarkStart w:id="127" w:name="_Toc471988026"/>
      <w:bookmarkStart w:id="128" w:name="_Toc471992192"/>
      <w:bookmarkStart w:id="129" w:name="_Toc471995367"/>
      <w:bookmarkStart w:id="130" w:name="_Toc471996879"/>
      <w:bookmarkEnd w:id="69"/>
      <w:bookmarkEnd w:id="70"/>
      <w:bookmarkEnd w:id="71"/>
      <w:bookmarkEnd w:id="116"/>
      <w:r>
        <w:t>Concessions and exemptions</w:t>
      </w:r>
      <w:bookmarkEnd w:id="117"/>
      <w:bookmarkEnd w:id="118"/>
      <w:bookmarkEnd w:id="119"/>
      <w:bookmarkEnd w:id="120"/>
      <w:bookmarkEnd w:id="121"/>
      <w:bookmarkEnd w:id="122"/>
    </w:p>
    <w:p w14:paraId="7D7AC0B5" w14:textId="4BC0091D" w:rsidR="00E56E81" w:rsidRDefault="00EE5287" w:rsidP="00E56E81">
      <w:r>
        <w:t>S</w:t>
      </w:r>
      <w:r w:rsidR="00E56E81" w:rsidRPr="008379DC">
        <w:t>ome users are exempt from licence fees when s</w:t>
      </w:r>
      <w:r w:rsidR="00E56E81">
        <w:t>eeking allocations of spectrum</w:t>
      </w:r>
      <w:r w:rsidRPr="00EE5287">
        <w:t xml:space="preserve"> </w:t>
      </w:r>
      <w:r>
        <w:t xml:space="preserve">under regulation 5 of the </w:t>
      </w:r>
      <w:r w:rsidRPr="004576B0">
        <w:rPr>
          <w:i/>
        </w:rPr>
        <w:t>Radiocommunications Taxes Collection Regulations 1985</w:t>
      </w:r>
      <w:r>
        <w:rPr>
          <w:i/>
        </w:rPr>
        <w:t xml:space="preserve"> </w:t>
      </w:r>
      <w:r>
        <w:t xml:space="preserve">and section 10 of </w:t>
      </w:r>
      <w:r>
        <w:rPr>
          <w:i/>
        </w:rPr>
        <w:t>Radiocommunications (Charges) Determination 2017</w:t>
      </w:r>
      <w:r w:rsidR="00E56E81">
        <w:t xml:space="preserve">. </w:t>
      </w:r>
      <w:r w:rsidR="00E56E81" w:rsidRPr="008379DC">
        <w:t xml:space="preserve">Exempt users include diplomatic and consular missions, </w:t>
      </w:r>
      <w:r w:rsidR="00E56E81">
        <w:t xml:space="preserve">surf life-savers, </w:t>
      </w:r>
      <w:r w:rsidR="00E56E81" w:rsidRPr="008379DC">
        <w:t xml:space="preserve">remote ambulance services and volunteer fire fighting and search and rescue organisations. </w:t>
      </w:r>
      <w:r w:rsidR="00E56E81">
        <w:t xml:space="preserve">The annual benefit to these organisations is around $7 million. </w:t>
      </w:r>
      <w:r w:rsidR="00E56E81" w:rsidRPr="008379DC">
        <w:t xml:space="preserve">Applications for exempt user status must be made to the ACMA and </w:t>
      </w:r>
      <w:r w:rsidR="00E56E81">
        <w:t>are</w:t>
      </w:r>
      <w:r w:rsidR="00E56E81" w:rsidRPr="008379DC">
        <w:t xml:space="preserve"> assessed </w:t>
      </w:r>
      <w:r w:rsidR="00E56E81">
        <w:t>against</w:t>
      </w:r>
      <w:r w:rsidR="00E56E81" w:rsidRPr="008379DC">
        <w:t xml:space="preserve"> legislated criteria</w:t>
      </w:r>
      <w:r w:rsidR="00E56E81">
        <w:t xml:space="preserve"> in the collection regulations. There</w:t>
      </w:r>
      <w:r w:rsidR="00E56E81" w:rsidRPr="008379DC">
        <w:t xml:space="preserve"> are a number of regulations around how these </w:t>
      </w:r>
      <w:r w:rsidR="00E56E81">
        <w:t xml:space="preserve">licences </w:t>
      </w:r>
      <w:r w:rsidR="00E56E81" w:rsidRPr="008379DC">
        <w:t>are used and when they can be transferred to another user.</w:t>
      </w:r>
    </w:p>
    <w:p w14:paraId="693FD52A" w14:textId="77777777" w:rsidR="00E56E81" w:rsidRDefault="00E56E81" w:rsidP="00E56E81">
      <w:r>
        <w:t>O</w:t>
      </w:r>
      <w:r w:rsidRPr="008379DC">
        <w:t xml:space="preserve">thers </w:t>
      </w:r>
      <w:r>
        <w:t>may</w:t>
      </w:r>
      <w:r w:rsidRPr="008379DC">
        <w:t xml:space="preserve"> receive a concessional rate</w:t>
      </w:r>
      <w:r>
        <w:t xml:space="preserve"> of 28.5 per cent under the ACMA’s annual tax determinations (for example, through the </w:t>
      </w:r>
      <w:r>
        <w:rPr>
          <w:i/>
        </w:rPr>
        <w:t>Radiocommunications (Transmitter Licence Tax) Determination 2015</w:t>
      </w:r>
      <w:r>
        <w:t>)</w:t>
      </w:r>
      <w:r w:rsidRPr="008379DC">
        <w:t>.</w:t>
      </w:r>
      <w:r>
        <w:t xml:space="preserve"> </w:t>
      </w:r>
      <w:r w:rsidRPr="008379DC">
        <w:t>Only the Royal Flying Doctor Service and narrowcasting television services that transmit for community and educational non-profit purposes are eligible to receive this concessional rate</w:t>
      </w:r>
      <w:r>
        <w:t>. The annual benefit to these parties amounts to around $765,000</w:t>
      </w:r>
      <w:r w:rsidR="00874A3A">
        <w:t xml:space="preserve"> in total</w:t>
      </w:r>
      <w:r>
        <w:t>. As with exemptions, applications for a fee concession must be made for each licence to which a concession is sought. The ACMA assesses each licence to confirm that the equipment being licensed is being used for the purposes of that licence.</w:t>
      </w:r>
    </w:p>
    <w:p w14:paraId="4C3772AA" w14:textId="77777777" w:rsidR="008E2767" w:rsidRDefault="00E56E81" w:rsidP="00E56E81">
      <w:r w:rsidDel="00F66608">
        <w:t xml:space="preserve">The current exemptions </w:t>
      </w:r>
      <w:r w:rsidR="00782C4B">
        <w:t>and concessions lists are</w:t>
      </w:r>
      <w:r w:rsidDel="00F66608">
        <w:t xml:space="preserve"> relatively effective with targeted criteria.</w:t>
      </w:r>
      <w:r w:rsidR="002E6ED0">
        <w:rPr>
          <w:rStyle w:val="FootnoteReference"/>
        </w:rPr>
        <w:footnoteReference w:id="9"/>
      </w:r>
      <w:r w:rsidDel="00F66608">
        <w:t xml:space="preserve"> For the most part, exemptions </w:t>
      </w:r>
      <w:r w:rsidR="00782C4B">
        <w:t xml:space="preserve">and concessions </w:t>
      </w:r>
      <w:r w:rsidDel="00F66608">
        <w:t>are provided to organisations al</w:t>
      </w:r>
      <w:r w:rsidR="004A3F3A">
        <w:t>ready exempt from paying other G</w:t>
      </w:r>
      <w:r w:rsidDel="00F66608">
        <w:t xml:space="preserve">overnment taxes and charges, and imposing spectrum </w:t>
      </w:r>
      <w:r w:rsidR="00782C4B">
        <w:t>fees</w:t>
      </w:r>
      <w:r w:rsidDel="00F66608">
        <w:t xml:space="preserve"> would be a departure from this approach.</w:t>
      </w:r>
    </w:p>
    <w:p w14:paraId="7A8594D9" w14:textId="1207B1AA" w:rsidR="00864227" w:rsidRDefault="00B71A30" w:rsidP="005537E3">
      <w:pPr>
        <w:pStyle w:val="Heading2"/>
        <w:spacing w:after="120"/>
      </w:pPr>
      <w:bookmarkStart w:id="131" w:name="_Toc474255240"/>
      <w:bookmarkStart w:id="132" w:name="_Toc256000110"/>
      <w:bookmarkStart w:id="133" w:name="_Toc256000077"/>
      <w:bookmarkStart w:id="134" w:name="_Toc256000044"/>
      <w:bookmarkStart w:id="135" w:name="_Toc256000011"/>
      <w:bookmarkStart w:id="136" w:name="_Toc480793147"/>
      <w:r>
        <w:t>P</w:t>
      </w:r>
      <w:r w:rsidR="008479E8">
        <w:t>ricing review</w:t>
      </w:r>
      <w:r w:rsidR="007A6C8E">
        <w:t xml:space="preserve"> principles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1AC5013" w14:textId="0DB6368C" w:rsidR="007A6C8E" w:rsidRDefault="007A6C8E" w:rsidP="00282F7E">
      <w:r>
        <w:t xml:space="preserve">In August 2015 the Government asked for a review of spectrum pricing to ensure consistent and transparent arrangements to support the efficient use of </w:t>
      </w:r>
      <w:r w:rsidR="00F30F73">
        <w:t>spectrum and secondary markets.</w:t>
      </w:r>
      <w:r>
        <w:t xml:space="preserve"> Clear pricing principles allow government decisions to be transparent, predictable and accountable. The following principles </w:t>
      </w:r>
      <w:r w:rsidR="000F269E">
        <w:t xml:space="preserve">are the foundation to this review and the proposals. </w:t>
      </w:r>
      <w:r>
        <w:t>The principles below build on the existing principles that govern the ACMA’s general spectrum management activities</w:t>
      </w:r>
      <w:r>
        <w:rPr>
          <w:rStyle w:val="FootnoteReference"/>
        </w:rPr>
        <w:footnoteReference w:id="10"/>
      </w:r>
      <w:r>
        <w:t xml:space="preserve"> and provide further context for the ACMA’s pricing framework.</w:t>
      </w:r>
    </w:p>
    <w:p w14:paraId="7A88E3DB" w14:textId="77777777" w:rsidR="006B7F5F" w:rsidRDefault="000336FF" w:rsidP="00281526">
      <w:pPr>
        <w:pStyle w:val="Heading3"/>
      </w:pPr>
      <w:bookmarkStart w:id="137" w:name="_Toc471817818"/>
      <w:bookmarkStart w:id="138" w:name="_Toc471819424"/>
      <w:bookmarkStart w:id="139" w:name="_Toc471986051"/>
      <w:bookmarkStart w:id="140" w:name="_Toc471987647"/>
      <w:bookmarkStart w:id="141" w:name="_Toc471988028"/>
      <w:bookmarkStart w:id="142" w:name="_Toc471992194"/>
      <w:bookmarkStart w:id="143" w:name="_Toc471995369"/>
      <w:bookmarkStart w:id="144" w:name="_Toc471996881"/>
      <w:bookmarkStart w:id="145" w:name="_Toc474255241"/>
      <w:bookmarkStart w:id="146" w:name="_Toc256000111"/>
      <w:bookmarkStart w:id="147" w:name="_Toc256000078"/>
      <w:bookmarkStart w:id="148" w:name="_Toc256000045"/>
      <w:bookmarkStart w:id="149" w:name="_Toc256000012"/>
      <w:bookmarkStart w:id="150" w:name="_Toc480793148"/>
      <w:r w:rsidRPr="005B2D62">
        <w:t>Efficiency</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7F9E0B06" w14:textId="77777777" w:rsidR="008E2767" w:rsidRDefault="00282F7E" w:rsidP="00282F7E">
      <w:r>
        <w:t>The primary economic objective for management of any resource is to maximise the benefits that resource provides to society. This occurs when spectrum is allocated and used efficiently. As a general rule, this objective is more likely achieved if decisions on spectrum’s use is more often made by spectrum users</w:t>
      </w:r>
      <w:r w:rsidR="007A6C8E">
        <w:t xml:space="preserve"> through market mechanisms</w:t>
      </w:r>
      <w:r>
        <w:t xml:space="preserve">, </w:t>
      </w:r>
      <w:r w:rsidR="007A6C8E">
        <w:t xml:space="preserve">rather than </w:t>
      </w:r>
      <w:r w:rsidR="00D369FB">
        <w:t>government.</w:t>
      </w:r>
      <w:r w:rsidR="00B34CDA">
        <w:t xml:space="preserve"> </w:t>
      </w:r>
      <w:r w:rsidR="00D369FB">
        <w:t xml:space="preserve">Spectrum is allocated and used efficiently where an equilibrium between supply and demand is met. </w:t>
      </w:r>
      <w:r w:rsidR="0063273E">
        <w:t xml:space="preserve">An excess of demand over supply of spectrum in an area can give rise to congestion. </w:t>
      </w:r>
      <w:r w:rsidR="0063273E" w:rsidRPr="004C5794">
        <w:t>This decreases the quality of services</w:t>
      </w:r>
      <w:r w:rsidR="0063273E">
        <w:t xml:space="preserve"> provided</w:t>
      </w:r>
      <w:r w:rsidR="0063273E" w:rsidRPr="004C5794">
        <w:t xml:space="preserve">, and means that </w:t>
      </w:r>
      <w:r w:rsidR="0063273E">
        <w:t>new</w:t>
      </w:r>
      <w:r w:rsidR="0063273E" w:rsidRPr="004C5794">
        <w:t xml:space="preserve"> users aren’t </w:t>
      </w:r>
      <w:r w:rsidR="0063273E">
        <w:t xml:space="preserve">able to introduce innovative products and services. In a well-functioning market, prices </w:t>
      </w:r>
      <w:r w:rsidR="0087025B">
        <w:t>will</w:t>
      </w:r>
      <w:r w:rsidR="0063273E">
        <w:t xml:space="preserve"> adjust up</w:t>
      </w:r>
      <w:r w:rsidR="0086376B">
        <w:t>wards</w:t>
      </w:r>
      <w:r w:rsidR="0063273E">
        <w:t xml:space="preserve"> to </w:t>
      </w:r>
      <w:r w:rsidR="0087025B">
        <w:t>reflect</w:t>
      </w:r>
      <w:r w:rsidR="001F1B75">
        <w:t xml:space="preserve"> increases in</w:t>
      </w:r>
      <w:r w:rsidR="0087025B">
        <w:t xml:space="preserve"> demand, rationing spectrum to those who will put it to the highest value use. Similarly, an excess of supply will mean spectrum isn’t being put to use, so prices will adjust down. Prices respond flexibly and ensure that inputs move to their highest value use.</w:t>
      </w:r>
    </w:p>
    <w:p w14:paraId="6A536DAC" w14:textId="0636CE89" w:rsidR="000D4097" w:rsidRDefault="001F1B75" w:rsidP="000D4097">
      <w:r>
        <w:t xml:space="preserve">Access to secondary markets can help reduce inefficiencies of spectrum prices. </w:t>
      </w:r>
      <w:r w:rsidR="00282F7E">
        <w:t xml:space="preserve">Secondary markets, where spectrum is traded directly between users, </w:t>
      </w:r>
      <w:r w:rsidR="0087025B">
        <w:t>is a vital mechanism in allowing</w:t>
      </w:r>
      <w:r w:rsidR="00282F7E">
        <w:t xml:space="preserve"> spectrum to move to its highest value use</w:t>
      </w:r>
      <w:r w:rsidR="00EB1DAC">
        <w:t xml:space="preserve"> </w:t>
      </w:r>
      <w:r w:rsidR="006D5CB9">
        <w:t>over time</w:t>
      </w:r>
      <w:r w:rsidR="00282F7E">
        <w:t xml:space="preserve">. </w:t>
      </w:r>
      <w:r w:rsidR="000D4097">
        <w:t xml:space="preserve">Secondary trading is generally regarded as a tool </w:t>
      </w:r>
      <w:r w:rsidR="000D4097" w:rsidRPr="00C30770">
        <w:rPr>
          <w:i/>
        </w:rPr>
        <w:t>in conjunction</w:t>
      </w:r>
      <w:r w:rsidR="000D4097">
        <w:t xml:space="preserve"> with other tools like pricing and auctions for achieving efficient spectrum allocation</w:t>
      </w:r>
      <w:r>
        <w:t xml:space="preserve"> as the highest value use of spectrum may vary over time</w:t>
      </w:r>
      <w:r w:rsidR="000D4097">
        <w:t>.</w:t>
      </w:r>
      <w:r w:rsidR="000D4097">
        <w:rPr>
          <w:rStyle w:val="FootnoteReference"/>
        </w:rPr>
        <w:footnoteReference w:id="11"/>
      </w:r>
      <w:r w:rsidR="000D4097">
        <w:t xml:space="preserve"> The proposed Radiocommunications Bill </w:t>
      </w:r>
      <w:r>
        <w:t>will facilitate</w:t>
      </w:r>
      <w:r w:rsidR="000D4097">
        <w:t xml:space="preserve"> this by eliminating hard legislative b</w:t>
      </w:r>
      <w:r w:rsidR="001A6D8C">
        <w:t>arriers</w:t>
      </w:r>
      <w:r w:rsidR="000D4097">
        <w:t xml:space="preserve"> between different licence </w:t>
      </w:r>
      <w:r w:rsidR="00365D6D">
        <w:t>systems</w:t>
      </w:r>
      <w:r w:rsidR="00EE5287">
        <w:t xml:space="preserve"> and types</w:t>
      </w:r>
      <w:r w:rsidR="000D4097">
        <w:t>, making all licences freely tradable without approval by the ACMA, and providing greater certainty around end-of-licence arrangements.</w:t>
      </w:r>
    </w:p>
    <w:p w14:paraId="1DA33CC6" w14:textId="77777777" w:rsidR="001F1B75" w:rsidRDefault="001F1B75" w:rsidP="00282F7E">
      <w:r>
        <w:t>Though secondary markets are desirable,</w:t>
      </w:r>
      <w:r w:rsidR="0000257E">
        <w:t xml:space="preserve"> </w:t>
      </w:r>
      <w:r>
        <w:t>such markets take time to develop and may not always be practicable due to technical specifications or the depth and liquidity of the market. Government intervention may be necessary to ensure spectrum is efficiently allocated whether by administered prices or period</w:t>
      </w:r>
      <w:r w:rsidR="0000257E">
        <w:t>ic</w:t>
      </w:r>
      <w:r>
        <w:t xml:space="preserve"> spectrum auctions.</w:t>
      </w:r>
    </w:p>
    <w:p w14:paraId="1A5F30E1" w14:textId="77777777" w:rsidR="00D25D0C" w:rsidRDefault="0000257E" w:rsidP="00282F7E">
      <w:r>
        <w:t>A resource pricing model is consistent with t</w:t>
      </w:r>
      <w:r w:rsidR="007C38EA">
        <w:t>he Australian Government Charging Framework</w:t>
      </w:r>
      <w:r w:rsidR="007C38EA" w:rsidRPr="007C38EA">
        <w:rPr>
          <w:rStyle w:val="FootnoteReference"/>
        </w:rPr>
        <w:footnoteReference w:id="12"/>
      </w:r>
      <w:r w:rsidR="007C38EA" w:rsidRPr="007C38EA">
        <w:t>.</w:t>
      </w:r>
      <w:r w:rsidR="007C38EA">
        <w:t xml:space="preserve"> </w:t>
      </w:r>
      <w:r w:rsidR="00282F7E" w:rsidRPr="00A62CA2">
        <w:t xml:space="preserve">Guided by correct price signals, </w:t>
      </w:r>
      <w:r w:rsidR="00543B5F">
        <w:t>spectrum will tend towards those users who can use it most effectively</w:t>
      </w:r>
      <w:r w:rsidR="00282F7E" w:rsidRPr="00A62CA2">
        <w:t>.</w:t>
      </w:r>
      <w:r w:rsidR="00282F7E">
        <w:t xml:space="preserve"> </w:t>
      </w:r>
      <w:r w:rsidR="0054558B">
        <w:t xml:space="preserve">In the absence of </w:t>
      </w:r>
      <w:r w:rsidR="00282F7E">
        <w:t>price signals, there is a risk that a spectrum user would not use the spectrum efficiently.</w:t>
      </w:r>
    </w:p>
    <w:p w14:paraId="13D8457E" w14:textId="77777777" w:rsidR="008E2767" w:rsidRDefault="00282F7E" w:rsidP="00282F7E">
      <w:r w:rsidRPr="006F1CA4">
        <w:t>Where there is enough spectrum to satisfy the demand of all interested parties</w:t>
      </w:r>
      <w:r w:rsidR="001971E5">
        <w:t xml:space="preserve"> if prices were to be zero</w:t>
      </w:r>
      <w:r w:rsidRPr="006F1CA4">
        <w:t xml:space="preserve">, charges should be limited to recovering the ACMA’s cost of managing the spectrum. </w:t>
      </w:r>
      <w:r w:rsidR="00E11B07" w:rsidRPr="006F1CA4">
        <w:t xml:space="preserve">Otherwise, </w:t>
      </w:r>
      <w:r w:rsidR="00E11B07">
        <w:t xml:space="preserve">charges </w:t>
      </w:r>
      <w:r w:rsidR="00E11B07" w:rsidRPr="006F1CA4">
        <w:t xml:space="preserve">should reflect the market value of the spectrum. </w:t>
      </w:r>
      <w:r w:rsidR="00E11B07">
        <w:t xml:space="preserve">Charging according to the price a market </w:t>
      </w:r>
      <w:r w:rsidR="0086376B">
        <w:t>c</w:t>
      </w:r>
      <w:r w:rsidR="00E11B07">
        <w:t xml:space="preserve">ould have reached </w:t>
      </w:r>
      <w:r w:rsidR="0086376B">
        <w:t xml:space="preserve">enables </w:t>
      </w:r>
      <w:r w:rsidR="00E11B07">
        <w:t>the Government to</w:t>
      </w:r>
      <w:r w:rsidR="00E11B07" w:rsidRPr="006F1CA4">
        <w:t xml:space="preserve"> send important price signals to spectrum users about the value of the resource</w:t>
      </w:r>
      <w:r w:rsidR="006D5CB9">
        <w:t xml:space="preserve"> being used</w:t>
      </w:r>
      <w:r w:rsidR="00F30F73">
        <w:t xml:space="preserve">. </w:t>
      </w:r>
      <w:r w:rsidRPr="006F1CA4">
        <w:t xml:space="preserve">The </w:t>
      </w:r>
      <w:r w:rsidR="00325F31" w:rsidRPr="006F1CA4">
        <w:t>fee</w:t>
      </w:r>
      <w:r w:rsidRPr="006F1CA4">
        <w:t xml:space="preserve"> can be set via mar</w:t>
      </w:r>
      <w:r w:rsidR="000C69E5" w:rsidRPr="006F1CA4">
        <w:t xml:space="preserve">ket mechanisms such as auctions, </w:t>
      </w:r>
      <w:r w:rsidR="004A3F3A">
        <w:t>or via G</w:t>
      </w:r>
      <w:r w:rsidRPr="006F1CA4">
        <w:t>overnment ad</w:t>
      </w:r>
      <w:r w:rsidR="0035422E" w:rsidRPr="006F1CA4">
        <w:t>ministratively setting the fees.</w:t>
      </w:r>
    </w:p>
    <w:p w14:paraId="2A459B8D" w14:textId="6D19DA4A" w:rsidR="00524B75" w:rsidRDefault="00524B75" w:rsidP="00524B75">
      <w:r>
        <w:t xml:space="preserve">Other countries have recognised this with their approach to spectrum management. For example, Industry Canada noted in 2010 that the </w:t>
      </w:r>
      <w:r w:rsidR="00B34CDA">
        <w:t>G</w:t>
      </w:r>
      <w:r w:rsidRPr="00B104D3">
        <w:t>overnment’s objective in conducting auctions is not to raise revenue, rather it is to award licences fairly, efficiently and effectively so as to ensure that the Canadian public derives the maximum possible benefit from the spectrum resource</w:t>
      </w:r>
      <w:r w:rsidRPr="008A7D3D">
        <w:t>.</w:t>
      </w:r>
      <w:r w:rsidR="006D5CB9">
        <w:t xml:space="preserve"> T</w:t>
      </w:r>
      <w:r>
        <w:t>he Government should be cautious when setting prices to ensure that unnecessarily high or low prices do not lead to unintended market outcomes.</w:t>
      </w:r>
    </w:p>
    <w:p w14:paraId="4B6D336F" w14:textId="77777777" w:rsidR="00976936" w:rsidRDefault="00976936" w:rsidP="00281526">
      <w:pPr>
        <w:pStyle w:val="Heading3"/>
      </w:pPr>
      <w:bookmarkStart w:id="151" w:name="_Toc471817822"/>
      <w:bookmarkStart w:id="152" w:name="_Toc471819427"/>
      <w:bookmarkStart w:id="153" w:name="_Toc471986054"/>
      <w:bookmarkStart w:id="154" w:name="_Toc471987650"/>
      <w:bookmarkStart w:id="155" w:name="_Toc471988031"/>
      <w:bookmarkStart w:id="156" w:name="_Toc471992197"/>
      <w:bookmarkStart w:id="157" w:name="_Toc471995372"/>
      <w:bookmarkStart w:id="158" w:name="_Toc471996884"/>
      <w:bookmarkStart w:id="159" w:name="_Toc474255242"/>
      <w:bookmarkStart w:id="160" w:name="_Toc256000112"/>
      <w:bookmarkStart w:id="161" w:name="_Toc256000079"/>
      <w:bookmarkStart w:id="162" w:name="_Toc256000046"/>
      <w:bookmarkStart w:id="163" w:name="_Toc256000013"/>
      <w:bookmarkStart w:id="164" w:name="_Toc480793149"/>
      <w:bookmarkStart w:id="165" w:name="_Toc471819426"/>
      <w:bookmarkStart w:id="166" w:name="_Toc471986053"/>
      <w:bookmarkStart w:id="167" w:name="_Toc471987649"/>
      <w:bookmarkStart w:id="168" w:name="_Toc471988030"/>
      <w:bookmarkStart w:id="169" w:name="_Toc471992196"/>
      <w:bookmarkStart w:id="170" w:name="_Toc471995371"/>
      <w:bookmarkStart w:id="171" w:name="_Toc471996883"/>
      <w:r>
        <w:t>Cost recovery</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375B008B" w14:textId="77777777" w:rsidR="00976936" w:rsidRPr="005B3C86" w:rsidRDefault="00976936" w:rsidP="00976936">
      <w:r>
        <w:t xml:space="preserve">The ACMA incurs costs for spectrum regulatory activities such as planning, interference management and </w:t>
      </w:r>
      <w:r w:rsidRPr="00A16206">
        <w:t>coordination</w:t>
      </w:r>
      <w:r w:rsidR="00381F66">
        <w:t>, and these costs should be recovered from those using spectrum</w:t>
      </w:r>
      <w:r>
        <w:t>.</w:t>
      </w:r>
      <w:r w:rsidDel="00394478">
        <w:t xml:space="preserve"> </w:t>
      </w:r>
      <w:r>
        <w:t>Costs are important to identify as the Government should only provide goods where the benefits exceed their costs. If the price received for the spectrum is less than the cost incurred to manage that spectrum, then the Australian taxpayer is worse off</w:t>
      </w:r>
      <w:r w:rsidR="001F1B75" w:rsidRPr="00B7472A">
        <w:t xml:space="preserve"> </w:t>
      </w:r>
      <w:r w:rsidR="001F1B75">
        <w:t>in the absence of other public policy benefits</w:t>
      </w:r>
      <w:r>
        <w:t xml:space="preserve">. Generally, spectrum’s management costs are low compared to its value, and are not </w:t>
      </w:r>
      <w:r w:rsidR="00381F66">
        <w:t>prohibitive to spectrum access.</w:t>
      </w:r>
    </w:p>
    <w:p w14:paraId="39309875" w14:textId="77777777" w:rsidR="00A15E75" w:rsidRDefault="00A81F87" w:rsidP="00281526">
      <w:pPr>
        <w:pStyle w:val="Heading3"/>
      </w:pPr>
      <w:bookmarkStart w:id="172" w:name="_Toc474255243"/>
      <w:bookmarkStart w:id="173" w:name="_Toc256000113"/>
      <w:bookmarkStart w:id="174" w:name="_Toc256000080"/>
      <w:bookmarkStart w:id="175" w:name="_Toc256000047"/>
      <w:bookmarkStart w:id="176" w:name="_Toc256000014"/>
      <w:bookmarkStart w:id="177" w:name="_Toc480793150"/>
      <w:r>
        <w:t>Consistency and s</w:t>
      </w:r>
      <w:r w:rsidR="00A15E75">
        <w:t>implicity</w:t>
      </w:r>
      <w:bookmarkEnd w:id="165"/>
      <w:bookmarkEnd w:id="166"/>
      <w:bookmarkEnd w:id="167"/>
      <w:bookmarkEnd w:id="168"/>
      <w:bookmarkEnd w:id="169"/>
      <w:bookmarkEnd w:id="170"/>
      <w:bookmarkEnd w:id="171"/>
      <w:bookmarkEnd w:id="172"/>
      <w:bookmarkEnd w:id="173"/>
      <w:bookmarkEnd w:id="174"/>
      <w:bookmarkEnd w:id="175"/>
      <w:bookmarkEnd w:id="176"/>
      <w:bookmarkEnd w:id="177"/>
    </w:p>
    <w:p w14:paraId="185590AE" w14:textId="27A03521" w:rsidR="00A81F87" w:rsidRDefault="00906A7D" w:rsidP="00A81F87">
      <w:bookmarkStart w:id="178" w:name="_Toc468781666"/>
      <w:r>
        <w:t xml:space="preserve">Under current arrangements there are </w:t>
      </w:r>
      <w:r w:rsidR="00A81F87">
        <w:t>separate rules, processes and outcomes</w:t>
      </w:r>
      <w:r w:rsidR="00F142B0">
        <w:t xml:space="preserve"> depende</w:t>
      </w:r>
      <w:r w:rsidR="00210A3E">
        <w:t>nt on the licensing</w:t>
      </w:r>
      <w:r>
        <w:t xml:space="preserve"> </w:t>
      </w:r>
      <w:r w:rsidR="00365D6D">
        <w:t>system</w:t>
      </w:r>
      <w:r>
        <w:t>. T</w:t>
      </w:r>
      <w:r w:rsidR="00A9570F">
        <w:t xml:space="preserve">he move to a single licensing system </w:t>
      </w:r>
      <w:r>
        <w:t>under the proposed Radiocommunications Bill enables greater cons</w:t>
      </w:r>
      <w:r w:rsidR="005A5BF6">
        <w:t>istency between spectrum users.</w:t>
      </w:r>
    </w:p>
    <w:p w14:paraId="259C2453" w14:textId="36573EE8" w:rsidR="00282F7E" w:rsidRDefault="00A81F87" w:rsidP="00A81F87">
      <w:r>
        <w:t>Greater con</w:t>
      </w:r>
      <w:r w:rsidR="00210A3E">
        <w:t>sistency within a single licensing</w:t>
      </w:r>
      <w:r>
        <w:t xml:space="preserve"> system</w:t>
      </w:r>
      <w:r w:rsidR="00282F7E" w:rsidRPr="003D6EEC">
        <w:t xml:space="preserve"> should </w:t>
      </w:r>
      <w:r>
        <w:t>enable greater</w:t>
      </w:r>
      <w:r w:rsidR="00282F7E" w:rsidRPr="003D6EEC">
        <w:t xml:space="preserve"> </w:t>
      </w:r>
      <w:r>
        <w:t xml:space="preserve">simplicity, </w:t>
      </w:r>
      <w:r w:rsidR="00282F7E" w:rsidRPr="003D6EEC">
        <w:t xml:space="preserve">and minimise the burden on the licensee. A simple framework </w:t>
      </w:r>
      <w:r>
        <w:t xml:space="preserve">should enable </w:t>
      </w:r>
      <w:r w:rsidR="00282F7E" w:rsidRPr="003D6EEC">
        <w:t>licensees to understand</w:t>
      </w:r>
      <w:r w:rsidR="00282F7E">
        <w:t xml:space="preserve"> and navigate their regulatory requirements</w:t>
      </w:r>
      <w:r w:rsidR="00282F7E" w:rsidRPr="003D6EEC">
        <w:t>. It should use the least restrictive approach to reduce regulatory burdens, allowing licensees to focus on op</w:t>
      </w:r>
      <w:r w:rsidR="00282F7E">
        <w:t>timising their use of spectrum.</w:t>
      </w:r>
    </w:p>
    <w:p w14:paraId="722A5812" w14:textId="77777777" w:rsidR="00524B75" w:rsidRDefault="00524B75" w:rsidP="00281526">
      <w:pPr>
        <w:pStyle w:val="Heading3"/>
      </w:pPr>
      <w:bookmarkStart w:id="179" w:name="_Toc474255244"/>
      <w:bookmarkStart w:id="180" w:name="_Toc256000114"/>
      <w:bookmarkStart w:id="181" w:name="_Toc256000081"/>
      <w:bookmarkStart w:id="182" w:name="_Toc256000048"/>
      <w:bookmarkStart w:id="183" w:name="_Toc256000015"/>
      <w:bookmarkStart w:id="184" w:name="_Toc480793151"/>
      <w:r>
        <w:t>Transparency</w:t>
      </w:r>
      <w:bookmarkEnd w:id="179"/>
      <w:bookmarkEnd w:id="180"/>
      <w:bookmarkEnd w:id="181"/>
      <w:bookmarkEnd w:id="182"/>
      <w:bookmarkEnd w:id="183"/>
      <w:bookmarkEnd w:id="184"/>
    </w:p>
    <w:p w14:paraId="60D43244" w14:textId="77777777" w:rsidR="008E2767" w:rsidRDefault="00822198" w:rsidP="00282F7E">
      <w:r>
        <w:t>To efficiently use spectrum, l</w:t>
      </w:r>
      <w:r w:rsidRPr="003D6EEC">
        <w:t>icensees and investors need</w:t>
      </w:r>
      <w:r w:rsidR="00906A7D">
        <w:t xml:space="preserve"> clear</w:t>
      </w:r>
      <w:r w:rsidRPr="003D6EEC">
        <w:t xml:space="preserve"> </w:t>
      </w:r>
      <w:r>
        <w:t xml:space="preserve">information on </w:t>
      </w:r>
      <w:r w:rsidRPr="003D6EEC">
        <w:t>how the regulator makes its pricing decisions</w:t>
      </w:r>
      <w:r>
        <w:t>.</w:t>
      </w:r>
      <w:r w:rsidR="00FC0CB6">
        <w:t xml:space="preserve"> This allows businesses to make informed decisions and anticipate government administrative outcomes. The transparency of pricing frameworks also increases the accountability for the ACMA, who regulates spectrum, and the Australian Government, which provides the broad policy direction for spectrum management.</w:t>
      </w:r>
    </w:p>
    <w:p w14:paraId="4F443204" w14:textId="6AEEA8F2" w:rsidR="00A82B1D" w:rsidRPr="00A82B1D" w:rsidRDefault="005B2D62" w:rsidP="005537E3">
      <w:pPr>
        <w:pStyle w:val="Heading2"/>
        <w:spacing w:after="120"/>
      </w:pPr>
      <w:bookmarkStart w:id="185" w:name="_Toc474255245"/>
      <w:bookmarkStart w:id="186" w:name="_Toc256000115"/>
      <w:bookmarkStart w:id="187" w:name="_Toc256000082"/>
      <w:bookmarkStart w:id="188" w:name="_Toc256000049"/>
      <w:bookmarkStart w:id="189" w:name="_Toc256000016"/>
      <w:bookmarkStart w:id="190" w:name="_Toc480793152"/>
      <w:bookmarkStart w:id="191" w:name="_Toc471817824"/>
      <w:bookmarkStart w:id="192" w:name="_Toc471819429"/>
      <w:bookmarkStart w:id="193" w:name="_Toc471986056"/>
      <w:bookmarkStart w:id="194" w:name="_Toc471987652"/>
      <w:bookmarkStart w:id="195" w:name="_Toc471988033"/>
      <w:bookmarkStart w:id="196" w:name="_Toc471992199"/>
      <w:bookmarkStart w:id="197" w:name="_Toc471995374"/>
      <w:bookmarkStart w:id="198" w:name="_Toc471996886"/>
      <w:bookmarkEnd w:id="178"/>
      <w:r>
        <w:t>Proposals</w:t>
      </w:r>
      <w:bookmarkEnd w:id="185"/>
      <w:bookmarkEnd w:id="186"/>
      <w:bookmarkEnd w:id="187"/>
      <w:bookmarkEnd w:id="188"/>
      <w:bookmarkEnd w:id="189"/>
      <w:bookmarkEnd w:id="190"/>
    </w:p>
    <w:p w14:paraId="063FA16B" w14:textId="77777777" w:rsidR="005124E6" w:rsidRDefault="00F007E2" w:rsidP="005124E6">
      <w:pPr>
        <w:pStyle w:val="Heading3"/>
      </w:pPr>
      <w:bookmarkStart w:id="199" w:name="_Toc474255246"/>
      <w:bookmarkStart w:id="200" w:name="_Toc256000116"/>
      <w:bookmarkStart w:id="201" w:name="_Toc256000083"/>
      <w:bookmarkStart w:id="202" w:name="_Toc256000050"/>
      <w:bookmarkStart w:id="203" w:name="_Toc256000017"/>
      <w:bookmarkStart w:id="204" w:name="_Toc480793153"/>
      <w:r>
        <w:t>Allocation d</w:t>
      </w:r>
      <w:r w:rsidR="00E2358B">
        <w:t>ecisions</w:t>
      </w:r>
      <w:bookmarkEnd w:id="199"/>
      <w:bookmarkEnd w:id="200"/>
      <w:bookmarkEnd w:id="201"/>
      <w:bookmarkEnd w:id="202"/>
      <w:bookmarkEnd w:id="203"/>
      <w:bookmarkEnd w:id="204"/>
    </w:p>
    <w:p w14:paraId="37FD2BBF" w14:textId="338BEF03" w:rsidR="009C49BF" w:rsidRPr="00131696" w:rsidRDefault="009C49BF" w:rsidP="00131696">
      <w:r w:rsidRPr="00FA2C46">
        <w:t>Markets are important in ensuring spe</w:t>
      </w:r>
      <w:r>
        <w:t>ctrum is efficiently allocated. Efficiency means that the least amount of resources are used to produce the most amount of goods.</w:t>
      </w:r>
    </w:p>
    <w:p w14:paraId="06842139" w14:textId="451E3A21" w:rsidR="009C49BF" w:rsidRDefault="009C49BF" w:rsidP="00131696">
      <w:pPr>
        <w:pBdr>
          <w:top w:val="single" w:sz="4" w:space="1" w:color="auto"/>
          <w:left w:val="single" w:sz="4" w:space="4" w:color="auto"/>
          <w:bottom w:val="single" w:sz="4" w:space="1" w:color="auto"/>
          <w:right w:val="single" w:sz="4" w:space="4" w:color="auto"/>
        </w:pBdr>
        <w:shd w:val="clear" w:color="auto" w:fill="E4E4E4"/>
      </w:pPr>
      <w:r>
        <w:t>A</w:t>
      </w:r>
      <w:r w:rsidRPr="00FA2C46">
        <w:t xml:space="preserve"> well-functioning market co-ordinates the interactions of buyers and sellers, facilitating the production of goods and services which people want. Market prices convey information about the ability and willingness of consumers to pay for goods and services, and the ability and willingness of firms to produce them. In most cases, this promotes the efficient allocation of society’s resources, and facilitates innovation, technical change and progress in the economy as a whole. Historical evidence shows that even less-than-perfect markets can produce more efficient outcomes than central planning.</w:t>
      </w:r>
      <w:r w:rsidR="00131696">
        <w:t xml:space="preserve"> </w:t>
      </w:r>
    </w:p>
    <w:p w14:paraId="15FB2B3A" w14:textId="77777777" w:rsidR="009C49BF" w:rsidRPr="00FA2C46" w:rsidRDefault="009C49BF" w:rsidP="00131696">
      <w:pPr>
        <w:pBdr>
          <w:top w:val="single" w:sz="4" w:space="1" w:color="auto"/>
          <w:left w:val="single" w:sz="4" w:space="4" w:color="auto"/>
          <w:bottom w:val="single" w:sz="4" w:space="1" w:color="auto"/>
          <w:right w:val="single" w:sz="4" w:space="4" w:color="auto"/>
        </w:pBdr>
        <w:shd w:val="clear" w:color="auto" w:fill="E4E4E4"/>
        <w:jc w:val="right"/>
      </w:pPr>
      <w:r w:rsidRPr="00FA2C46">
        <w:t>Productivity Commission, 2002</w:t>
      </w:r>
    </w:p>
    <w:p w14:paraId="5FB6074A" w14:textId="77777777" w:rsidR="00906A7D" w:rsidRDefault="009C49BF" w:rsidP="009C49BF">
      <w:r>
        <w:t>This means that ideally governments would use m</w:t>
      </w:r>
      <w:r>
        <w:rPr>
          <w:rFonts w:cs="Arial"/>
        </w:rPr>
        <w:t>arket-based allocations to more efficiently allocate spectrum. This is because bidders know the value of the spectrum to them and understand how the allocation will create value for their organisation.</w:t>
      </w:r>
      <w:r w:rsidR="00886250">
        <w:rPr>
          <w:rFonts w:cs="Arial"/>
        </w:rPr>
        <w:t xml:space="preserve"> </w:t>
      </w:r>
      <w:r>
        <w:rPr>
          <w:rFonts w:cs="Arial"/>
        </w:rPr>
        <w:t>I</w:t>
      </w:r>
      <w:r>
        <w:t>n recent years there has been an international trend towards auctions. Their success in allocating spectrum efficiently has led to a general consensus among regulators that auctions are the best way to distribute spectrum resources. In an appropriately designed auction, auctions facilitate competition between bidders. Parties that receive the highest value from the spectrum are likely to be the highest bidder</w:t>
      </w:r>
      <w:r w:rsidRPr="00B541C3">
        <w:t xml:space="preserve">, and </w:t>
      </w:r>
      <w:r>
        <w:t xml:space="preserve">therefore </w:t>
      </w:r>
      <w:r w:rsidRPr="00B541C3">
        <w:t>tend to win the licenses</w:t>
      </w:r>
      <w:r w:rsidR="00906A7D" w:rsidRPr="00B541C3">
        <w:t>.</w:t>
      </w:r>
    </w:p>
    <w:p w14:paraId="65429D10" w14:textId="77777777" w:rsidR="009C49BF" w:rsidRPr="009C49BF" w:rsidRDefault="00906A7D" w:rsidP="009C49BF">
      <w:r>
        <w:t>In the absence of a market</w:t>
      </w:r>
      <w:r w:rsidR="00D543F3">
        <w:t>-based</w:t>
      </w:r>
      <w:r>
        <w:t xml:space="preserve"> approach, a</w:t>
      </w:r>
      <w:r w:rsidR="009C49BF">
        <w:t>n eff</w:t>
      </w:r>
      <w:r w:rsidR="000F014B">
        <w:t>icient allocation by government</w:t>
      </w:r>
      <w:r w:rsidR="009C49BF">
        <w:t xml:space="preserve"> requires the regulator to know the present and future benefits and costs of spectrum use.</w:t>
      </w:r>
    </w:p>
    <w:p w14:paraId="5C3981E4" w14:textId="77777777" w:rsidR="008E2767" w:rsidRDefault="00D543F3" w:rsidP="005537E3">
      <w:pPr>
        <w:pStyle w:val="Heading4"/>
        <w:spacing w:after="120"/>
      </w:pPr>
      <w:bookmarkStart w:id="205" w:name="_Toc474255247"/>
      <w:bookmarkStart w:id="206" w:name="_Toc256000117"/>
      <w:bookmarkStart w:id="207" w:name="_Toc256000084"/>
      <w:bookmarkStart w:id="208" w:name="_Toc256000051"/>
      <w:bookmarkStart w:id="209" w:name="_Toc256000018"/>
      <w:bookmarkStart w:id="210" w:name="_Toc480793154"/>
      <w:r>
        <w:t>Publish g</w:t>
      </w:r>
      <w:r w:rsidR="00E2358B">
        <w:t>uid</w:t>
      </w:r>
      <w:r>
        <w:t xml:space="preserve">ance on </w:t>
      </w:r>
      <w:r w:rsidR="00E2358B">
        <w:t xml:space="preserve">spectrum </w:t>
      </w:r>
      <w:r>
        <w:t>allocation mechanisms</w:t>
      </w:r>
      <w:bookmarkEnd w:id="205"/>
      <w:bookmarkEnd w:id="206"/>
      <w:bookmarkEnd w:id="207"/>
      <w:bookmarkEnd w:id="208"/>
      <w:bookmarkEnd w:id="209"/>
      <w:bookmarkEnd w:id="210"/>
    </w:p>
    <w:p w14:paraId="08CC577A" w14:textId="3B5491C6" w:rsidR="00E2358B" w:rsidRPr="001425E9" w:rsidRDefault="00581470" w:rsidP="00EF6141">
      <w:pPr>
        <w:pStyle w:val="BoxHeading"/>
        <w:spacing w:before="120"/>
        <w:rPr>
          <w:smallCaps w:val="0"/>
        </w:rPr>
      </w:pPr>
      <w:bookmarkStart w:id="211" w:name="_Toc471817811"/>
      <w:bookmarkStart w:id="212" w:name="_Toc471819419"/>
      <w:bookmarkStart w:id="213" w:name="_Toc471986047"/>
      <w:bookmarkStart w:id="214" w:name="_Toc471987643"/>
      <w:bookmarkStart w:id="215" w:name="_Toc471988024"/>
      <w:bookmarkStart w:id="216" w:name="_Toc471992190"/>
      <w:bookmarkStart w:id="217" w:name="_Toc471995365"/>
      <w:bookmarkStart w:id="218" w:name="_Toc471996877"/>
      <w:bookmarkStart w:id="219" w:name="_Toc465347388"/>
      <w:bookmarkStart w:id="220" w:name="_Toc466289584"/>
      <w:bookmarkStart w:id="221" w:name="_Toc471817820"/>
      <w:bookmarkStart w:id="222" w:name="_Toc465347398"/>
      <w:bookmarkStart w:id="223" w:name="_Toc466289598"/>
      <w:bookmarkEnd w:id="211"/>
      <w:bookmarkEnd w:id="212"/>
      <w:bookmarkEnd w:id="213"/>
      <w:bookmarkEnd w:id="214"/>
      <w:bookmarkEnd w:id="215"/>
      <w:bookmarkEnd w:id="216"/>
      <w:bookmarkEnd w:id="217"/>
      <w:bookmarkEnd w:id="218"/>
      <w:bookmarkEnd w:id="219"/>
      <w:bookmarkEnd w:id="220"/>
      <w:r w:rsidRPr="001425E9">
        <w:rPr>
          <w:smallCaps w:val="0"/>
        </w:rPr>
        <w:t xml:space="preserve">Draft </w:t>
      </w:r>
      <w:r w:rsidR="001425E9">
        <w:rPr>
          <w:smallCaps w:val="0"/>
        </w:rPr>
        <w:t>p</w:t>
      </w:r>
      <w:r w:rsidR="00E2358B" w:rsidRPr="001425E9">
        <w:rPr>
          <w:smallCaps w:val="0"/>
        </w:rPr>
        <w:t xml:space="preserve">roposal </w:t>
      </w:r>
      <w:r w:rsidR="00E2358B" w:rsidRPr="001425E9">
        <w:rPr>
          <w:smallCaps w:val="0"/>
        </w:rPr>
        <w:fldChar w:fldCharType="begin"/>
      </w:r>
      <w:r w:rsidR="00E2358B" w:rsidRPr="001425E9">
        <w:rPr>
          <w:smallCaps w:val="0"/>
        </w:rPr>
        <w:instrText xml:space="preserve"> AUTONUMLGL  \e \* Arabic </w:instrText>
      </w:r>
      <w:r w:rsidR="00E2358B" w:rsidRPr="001425E9">
        <w:rPr>
          <w:smallCaps w:val="0"/>
        </w:rPr>
        <w:fldChar w:fldCharType="end"/>
      </w:r>
    </w:p>
    <w:p w14:paraId="22449872" w14:textId="77777777" w:rsidR="00E2358B" w:rsidRDefault="00B410CF" w:rsidP="00E2358B">
      <w:pPr>
        <w:pStyle w:val="BoxContents"/>
      </w:pPr>
      <w:r>
        <w:t>T</w:t>
      </w:r>
      <w:r w:rsidR="00E2358B" w:rsidRPr="00611FF6">
        <w:t>he ACMA should publish guidelines on how it approaches its spectrum pricing decisions</w:t>
      </w:r>
      <w:r w:rsidR="00906A7D">
        <w:t>.</w:t>
      </w:r>
    </w:p>
    <w:p w14:paraId="12DCE74C" w14:textId="77777777" w:rsidR="008E2767" w:rsidRDefault="009B3FAC" w:rsidP="009B3FAC">
      <w:r>
        <w:t xml:space="preserve">Generally, auctions should be used where demand exceeds supply, and the costs of running an auction would not outweigh its benefits. Even when these conditions are met, there are a number of considerations why market mechanisms may not achieve the objectives of the </w:t>
      </w:r>
      <w:r w:rsidRPr="00684428">
        <w:t xml:space="preserve">Radiocommunications </w:t>
      </w:r>
      <w:r>
        <w:t>Bill</w:t>
      </w:r>
      <w:r>
        <w:rPr>
          <w:i/>
        </w:rPr>
        <w:t xml:space="preserve">. </w:t>
      </w:r>
      <w:r>
        <w:t>For example</w:t>
      </w:r>
      <w:r w:rsidR="00D543F3">
        <w:t>, the</w:t>
      </w:r>
      <w:r>
        <w:t>:</w:t>
      </w:r>
    </w:p>
    <w:p w14:paraId="5944A8A4" w14:textId="2538E604" w:rsidR="009B3FAC" w:rsidRPr="009A1894" w:rsidRDefault="009B3FAC" w:rsidP="009B3FAC">
      <w:pPr>
        <w:pStyle w:val="Bulletlevel1"/>
        <w:keepLines/>
        <w:ind w:left="567" w:hanging="567"/>
      </w:pPr>
      <w:r w:rsidRPr="009A1894">
        <w:t>extent of demand for the relevant spectrum: if supply outstrips demand then market-based allocation is redundant</w:t>
      </w:r>
    </w:p>
    <w:p w14:paraId="3A06720C" w14:textId="77777777" w:rsidR="009B3FAC" w:rsidRPr="009A1894" w:rsidRDefault="009B3FAC" w:rsidP="009B3FAC">
      <w:pPr>
        <w:pStyle w:val="Bulletlevel1"/>
        <w:keepLines/>
        <w:ind w:left="567" w:hanging="567"/>
      </w:pPr>
      <w:r w:rsidRPr="009A1894">
        <w:t xml:space="preserve">duration of the licence: </w:t>
      </w:r>
      <w:r>
        <w:t>it is generally simpler and more efficient to administratively allocate shorter term licences</w:t>
      </w:r>
    </w:p>
    <w:p w14:paraId="43D267B3" w14:textId="77777777" w:rsidR="008E2767" w:rsidRDefault="002657E4" w:rsidP="009B3FAC">
      <w:pPr>
        <w:pStyle w:val="Bulletlevel1"/>
        <w:keepLines/>
        <w:ind w:left="567" w:hanging="567"/>
      </w:pPr>
      <w:r>
        <w:t xml:space="preserve">coordination problems: </w:t>
      </w:r>
      <w:r w:rsidR="009B3FAC">
        <w:t>auctions may</w:t>
      </w:r>
      <w:r w:rsidR="009B3FAC" w:rsidRPr="009A1894">
        <w:t xml:space="preserve"> prevent large numbers of small users being able to express their demand for spectrum</w:t>
      </w:r>
    </w:p>
    <w:p w14:paraId="790B1FCD" w14:textId="3FA1F8CB" w:rsidR="009B3FAC" w:rsidRPr="009A1894" w:rsidRDefault="009B3FAC" w:rsidP="009B3FAC">
      <w:pPr>
        <w:pStyle w:val="Bulletlevel1"/>
        <w:keepLines/>
        <w:ind w:left="567" w:hanging="567"/>
      </w:pPr>
      <w:r>
        <w:t>objectives other than efficiency: centrally planning and pricing a spectrum</w:t>
      </w:r>
      <w:r w:rsidR="00906A7D">
        <w:t xml:space="preserve"> band</w:t>
      </w:r>
      <w:r w:rsidR="00B34CDA">
        <w:t xml:space="preserve"> allows the G</w:t>
      </w:r>
      <w:r>
        <w:t>overnment to manage p</w:t>
      </w:r>
      <w:r w:rsidR="005A5BF6">
        <w:t>olicies other than efficiency –</w:t>
      </w:r>
      <w:r>
        <w:t xml:space="preserve"> for example, competition, the realisation of innovative spectrum uses, and the manage</w:t>
      </w:r>
      <w:r w:rsidR="002355C7">
        <w:t>ment of spectrum resources for G</w:t>
      </w:r>
      <w:r>
        <w:t>overnment use</w:t>
      </w:r>
    </w:p>
    <w:p w14:paraId="3AD00591" w14:textId="77777777" w:rsidR="009B3FAC" w:rsidRDefault="009B3FAC" w:rsidP="009B3FAC">
      <w:pPr>
        <w:pStyle w:val="Bulletlevel1"/>
        <w:keepLines/>
        <w:ind w:left="567" w:hanging="567"/>
      </w:pPr>
      <w:r>
        <w:t>auction</w:t>
      </w:r>
      <w:r w:rsidRPr="009A1894">
        <w:t xml:space="preserve"> costs: </w:t>
      </w:r>
      <w:r w:rsidR="002657E4">
        <w:t xml:space="preserve">costs </w:t>
      </w:r>
      <w:r w:rsidRPr="009A1894">
        <w:t xml:space="preserve">may limit the efficacy of market-based </w:t>
      </w:r>
      <w:r>
        <w:t>allocations</w:t>
      </w:r>
    </w:p>
    <w:p w14:paraId="59725C86" w14:textId="77777777" w:rsidR="009B3FAC" w:rsidRPr="009A1894" w:rsidRDefault="009B3FAC" w:rsidP="009B3FAC">
      <w:pPr>
        <w:pStyle w:val="Bulletlevel1"/>
        <w:keepLines/>
        <w:ind w:left="567" w:hanging="567"/>
      </w:pPr>
      <w:r>
        <w:t>the desire for continuity: auctions reduce certainty for incumbent spectrum holders, and may reduce incentives for long-term investment.</w:t>
      </w:r>
    </w:p>
    <w:bookmarkEnd w:id="221"/>
    <w:bookmarkEnd w:id="222"/>
    <w:bookmarkEnd w:id="223"/>
    <w:p w14:paraId="13545A26" w14:textId="77777777" w:rsidR="005124E6" w:rsidRDefault="005124E6" w:rsidP="005124E6">
      <w:r>
        <w:t>Although the ACMA has set out its approach to pricing mechanisms on a case by case basis, there is no general framework that articulates what factors will inform its decision regarding choice of allocation and pricing mechanisms be it auctions, administered pricing, or other bespoke approaches.</w:t>
      </w:r>
    </w:p>
    <w:p w14:paraId="261312A3" w14:textId="77777777" w:rsidR="005124E6" w:rsidRPr="00DF2466" w:rsidRDefault="005124E6" w:rsidP="005124E6">
      <w:r w:rsidRPr="00CF3A3E">
        <w:t xml:space="preserve">To enable </w:t>
      </w:r>
      <w:r w:rsidR="00CF3A3E" w:rsidRPr="00CF3A3E">
        <w:t xml:space="preserve">transparency, </w:t>
      </w:r>
      <w:r w:rsidRPr="00CF3A3E">
        <w:t>certainty,</w:t>
      </w:r>
      <w:r w:rsidR="00CF3A3E" w:rsidRPr="00CF3A3E">
        <w:t xml:space="preserve"> and consistency</w:t>
      </w:r>
      <w:r w:rsidR="00906A7D">
        <w:t xml:space="preserve"> the ACMA should publish</w:t>
      </w:r>
      <w:r w:rsidRPr="00CF3A3E">
        <w:t xml:space="preserve"> clear guidelines</w:t>
      </w:r>
      <w:r w:rsidR="00906A7D">
        <w:t xml:space="preserve"> and</w:t>
      </w:r>
      <w:r w:rsidRPr="00CF3A3E">
        <w:t xml:space="preserve"> pricing policies </w:t>
      </w:r>
      <w:r w:rsidR="00CF3A3E">
        <w:t>(that is, whether an administrative or a market-based allocation is generally ideal)</w:t>
      </w:r>
      <w:r w:rsidR="00906A7D">
        <w:t>.</w:t>
      </w:r>
    </w:p>
    <w:p w14:paraId="44BEBED9" w14:textId="77777777" w:rsidR="005124E6" w:rsidRDefault="005124E6" w:rsidP="005537E3">
      <w:pPr>
        <w:pStyle w:val="Heading4"/>
        <w:spacing w:after="120"/>
      </w:pPr>
      <w:bookmarkStart w:id="224" w:name="_Toc471995386"/>
      <w:bookmarkStart w:id="225" w:name="_Toc471996898"/>
      <w:bookmarkStart w:id="226" w:name="_Toc474255248"/>
      <w:bookmarkStart w:id="227" w:name="_Toc256000118"/>
      <w:bookmarkStart w:id="228" w:name="_Toc256000085"/>
      <w:bookmarkStart w:id="229" w:name="_Toc256000052"/>
      <w:bookmarkStart w:id="230" w:name="_Toc256000019"/>
      <w:bookmarkStart w:id="231" w:name="_Toc480793155"/>
      <w:bookmarkStart w:id="232" w:name="_Toc465347418"/>
      <w:bookmarkStart w:id="233" w:name="_Toc466289616"/>
      <w:r>
        <w:t>Bespoke pricing arrangements</w:t>
      </w:r>
      <w:bookmarkEnd w:id="224"/>
      <w:bookmarkEnd w:id="225"/>
      <w:bookmarkEnd w:id="226"/>
      <w:bookmarkEnd w:id="227"/>
      <w:bookmarkEnd w:id="228"/>
      <w:bookmarkEnd w:id="229"/>
      <w:bookmarkEnd w:id="230"/>
      <w:bookmarkEnd w:id="231"/>
    </w:p>
    <w:p w14:paraId="64AC572F" w14:textId="5FE5D0CF" w:rsidR="005124E6" w:rsidRPr="001425E9" w:rsidRDefault="00581470" w:rsidP="00144CC0">
      <w:pPr>
        <w:pStyle w:val="BoxHeading"/>
        <w:spacing w:before="120"/>
        <w:rPr>
          <w:smallCaps w:val="0"/>
        </w:rPr>
      </w:pPr>
      <w:r w:rsidRPr="001425E9">
        <w:rPr>
          <w:smallCaps w:val="0"/>
        </w:rPr>
        <w:t xml:space="preserve">Draft </w:t>
      </w:r>
      <w:r w:rsidR="001425E9">
        <w:rPr>
          <w:smallCaps w:val="0"/>
        </w:rPr>
        <w:t>p</w:t>
      </w:r>
      <w:r w:rsidR="005124E6" w:rsidRPr="001425E9">
        <w:rPr>
          <w:smallCaps w:val="0"/>
        </w:rPr>
        <w:t xml:space="preserve">roposal </w:t>
      </w:r>
      <w:r w:rsidR="005124E6" w:rsidRPr="001425E9">
        <w:rPr>
          <w:smallCaps w:val="0"/>
        </w:rPr>
        <w:fldChar w:fldCharType="begin"/>
      </w:r>
      <w:r w:rsidR="005124E6" w:rsidRPr="001425E9">
        <w:rPr>
          <w:smallCaps w:val="0"/>
        </w:rPr>
        <w:instrText xml:space="preserve"> AUTONUMLGL  \e \* Arabic </w:instrText>
      </w:r>
      <w:r w:rsidR="005124E6" w:rsidRPr="001425E9">
        <w:rPr>
          <w:smallCaps w:val="0"/>
        </w:rPr>
        <w:fldChar w:fldCharType="end"/>
      </w:r>
    </w:p>
    <w:p w14:paraId="4D239CE3" w14:textId="77777777" w:rsidR="008E2767" w:rsidRDefault="005124E6" w:rsidP="005124E6">
      <w:pPr>
        <w:pStyle w:val="BoxContents"/>
      </w:pPr>
      <w:r w:rsidRPr="00087E3E">
        <w:t xml:space="preserve">To ensure efficient use of spectrum, </w:t>
      </w:r>
      <w:r>
        <w:t xml:space="preserve">the </w:t>
      </w:r>
      <w:r w:rsidR="00B34CDA">
        <w:t>G</w:t>
      </w:r>
      <w:r w:rsidR="001D1888">
        <w:t>overnment</w:t>
      </w:r>
      <w:r w:rsidRPr="00087E3E">
        <w:t xml:space="preserve"> </w:t>
      </w:r>
      <w:r w:rsidR="00815FDE">
        <w:t xml:space="preserve">and the ACMA </w:t>
      </w:r>
      <w:r w:rsidRPr="00087E3E">
        <w:t xml:space="preserve">should </w:t>
      </w:r>
      <w:r>
        <w:t xml:space="preserve">endeavour to </w:t>
      </w:r>
      <w:r w:rsidRPr="00087E3E">
        <w:t>charge users of similar spectrum at the same rate.</w:t>
      </w:r>
    </w:p>
    <w:p w14:paraId="16541F9B" w14:textId="79E123B4" w:rsidR="005124E6" w:rsidRDefault="005124E6" w:rsidP="005124E6">
      <w:r>
        <w:t>T</w:t>
      </w:r>
      <w:r w:rsidRPr="008379DC">
        <w:t xml:space="preserve">here are often </w:t>
      </w:r>
      <w:r>
        <w:t>arguments for users not on the concessions or exemptions lists to receive subsidised or free access to spectrum.</w:t>
      </w:r>
      <w:r w:rsidRPr="008379DC">
        <w:t xml:space="preserve"> </w:t>
      </w:r>
      <w:r>
        <w:t>Th</w:t>
      </w:r>
      <w:r w:rsidR="00D543F3">
        <w:t>is</w:t>
      </w:r>
      <w:r>
        <w:t xml:space="preserve"> often </w:t>
      </w:r>
      <w:r w:rsidR="009238D0">
        <w:t>may arise from</w:t>
      </w:r>
      <w:r>
        <w:t xml:space="preserve"> a desire to </w:t>
      </w:r>
      <w:r w:rsidR="009238D0">
        <w:t>subsidise</w:t>
      </w:r>
      <w:r>
        <w:t xml:space="preserve"> activities that provide a social benefit </w:t>
      </w:r>
      <w:r w:rsidR="009238D0">
        <w:t>or good</w:t>
      </w:r>
      <w:r>
        <w:t>. If nothing is done, the social benefit provided by organisations remain as ‘externalities’, which may mean their overall provision is less than what is economically efficient.</w:t>
      </w:r>
    </w:p>
    <w:p w14:paraId="344D2E76" w14:textId="48011968" w:rsidR="005124E6" w:rsidRDefault="00607AAB" w:rsidP="005124E6">
      <w:r>
        <w:t>However</w:t>
      </w:r>
      <w:r w:rsidR="0057230F">
        <w:t>,</w:t>
      </w:r>
      <w:r>
        <w:t xml:space="preserve"> d</w:t>
      </w:r>
      <w:r w:rsidR="005124E6">
        <w:t xml:space="preserve">iscounted rates </w:t>
      </w:r>
      <w:r w:rsidR="005124E6" w:rsidRPr="008379DC">
        <w:t xml:space="preserve">introduce allocative and pricing distortions into the market. </w:t>
      </w:r>
      <w:r w:rsidR="005124E6">
        <w:t>Charging some users less than other spectrum users means there is a reduced incentive for the discounted users to use spectrum efficiently.</w:t>
      </w:r>
      <w:r w:rsidR="005124E6" w:rsidRPr="00085154">
        <w:t xml:space="preserve"> </w:t>
      </w:r>
      <w:r w:rsidR="005124E6">
        <w:t xml:space="preserve">The </w:t>
      </w:r>
      <w:r w:rsidR="009238D0">
        <w:t>requirement</w:t>
      </w:r>
      <w:r w:rsidR="002355C7">
        <w:t xml:space="preserve"> for G</w:t>
      </w:r>
      <w:r w:rsidR="005124E6">
        <w:t xml:space="preserve">overnment to charge all users the same for spectrum </w:t>
      </w:r>
      <w:r w:rsidR="002355C7">
        <w:t>currently applies to G</w:t>
      </w:r>
      <w:r w:rsidR="009238D0">
        <w:t>overnment users of spectrum</w:t>
      </w:r>
      <w:r w:rsidR="005124E6">
        <w:t xml:space="preserve"> who for the large part pay the same price as </w:t>
      </w:r>
      <w:r w:rsidR="009238D0">
        <w:t>other</w:t>
      </w:r>
      <w:r w:rsidR="005124E6">
        <w:t xml:space="preserve"> users of spectrum. This is despite the significant social benefit </w:t>
      </w:r>
      <w:r w:rsidR="009238D0">
        <w:t xml:space="preserve">that </w:t>
      </w:r>
      <w:r w:rsidR="005124E6">
        <w:t>government provides. This approach is also supported by international regulators like Ofcom in the UK</w:t>
      </w:r>
      <w:r w:rsidR="005124E6">
        <w:rPr>
          <w:rStyle w:val="FootnoteReference"/>
        </w:rPr>
        <w:footnoteReference w:id="13"/>
      </w:r>
      <w:r w:rsidR="005124E6">
        <w:t xml:space="preserve"> and was reiterated in the Productivity Commission’s recent assessment of public safety mobile broadband:</w:t>
      </w:r>
    </w:p>
    <w:p w14:paraId="0FFC44B4" w14:textId="77777777" w:rsidR="005124E6" w:rsidRDefault="005124E6" w:rsidP="00CA0B9E">
      <w:pPr>
        <w:pStyle w:val="BoxPlain"/>
        <w:shd w:val="clear" w:color="auto" w:fill="E4E4E4"/>
      </w:pPr>
      <w:r w:rsidRPr="00CE17EB">
        <w:t>Regardless of how and to whom spectrum is made available, it should be priced at its opportunity cost — the value of the next best use for the spectrum. This would give purchasers a strong incentive to use spectrum in an efficient way, including potentially leasing or selling spectrum access rights to a third party when it is not needed.</w:t>
      </w:r>
    </w:p>
    <w:p w14:paraId="5BE46D14" w14:textId="77777777" w:rsidR="005124E6" w:rsidRDefault="005124E6" w:rsidP="00CA0B9E">
      <w:pPr>
        <w:pStyle w:val="BoxPlain"/>
        <w:shd w:val="clear" w:color="auto" w:fill="E4E4E4"/>
        <w:jc w:val="right"/>
      </w:pPr>
      <w:r>
        <w:t>Productivity Commission, Public safety mobile broadband research report</w:t>
      </w:r>
    </w:p>
    <w:p w14:paraId="2F4BA2F9" w14:textId="77777777" w:rsidR="008E2767" w:rsidRDefault="005124E6" w:rsidP="005124E6">
      <w:r>
        <w:t>Other</w:t>
      </w:r>
      <w:r w:rsidRPr="008379DC">
        <w:t xml:space="preserve"> </w:t>
      </w:r>
      <w:r>
        <w:t>subsidy</w:t>
      </w:r>
      <w:r w:rsidRPr="008379DC">
        <w:t xml:space="preserve"> mechanisms </w:t>
      </w:r>
      <w:r>
        <w:t>like federal and state government grants or existing taxation policy measures may be better placed to provide financial support directly to non-profit community service organisations not already on the concessions or exemptions lists. A grant or other taxation concession means that an organisation can choose to continue purchasing spectrum or reduce use and vacate the spectrum for higher value uses.</w:t>
      </w:r>
      <w:r w:rsidR="00906A7D">
        <w:t xml:space="preserve"> There is no proposal to adjust the current concessions and exemptions list.</w:t>
      </w:r>
    </w:p>
    <w:p w14:paraId="6A1FED5B" w14:textId="0E03C7CD" w:rsidR="000A582A" w:rsidRPr="001425E9" w:rsidRDefault="00581470" w:rsidP="00144CC0">
      <w:pPr>
        <w:pStyle w:val="BoxHeading"/>
        <w:spacing w:before="120"/>
        <w:rPr>
          <w:smallCaps w:val="0"/>
        </w:rPr>
      </w:pPr>
      <w:r w:rsidRPr="001425E9">
        <w:rPr>
          <w:smallCaps w:val="0"/>
        </w:rPr>
        <w:t xml:space="preserve">Draft </w:t>
      </w:r>
      <w:r w:rsidR="001425E9">
        <w:rPr>
          <w:smallCaps w:val="0"/>
        </w:rPr>
        <w:t>p</w:t>
      </w:r>
      <w:r w:rsidR="000A582A" w:rsidRPr="001425E9">
        <w:rPr>
          <w:smallCaps w:val="0"/>
        </w:rPr>
        <w:t xml:space="preserve">roposal </w:t>
      </w:r>
      <w:r w:rsidR="000A582A" w:rsidRPr="001425E9">
        <w:rPr>
          <w:smallCaps w:val="0"/>
        </w:rPr>
        <w:fldChar w:fldCharType="begin"/>
      </w:r>
      <w:r w:rsidR="000A582A" w:rsidRPr="001425E9">
        <w:rPr>
          <w:smallCaps w:val="0"/>
        </w:rPr>
        <w:instrText xml:space="preserve"> AUTONUMLGL  \e \* Arabic </w:instrText>
      </w:r>
      <w:r w:rsidR="000A582A" w:rsidRPr="001425E9">
        <w:rPr>
          <w:smallCaps w:val="0"/>
        </w:rPr>
        <w:fldChar w:fldCharType="end"/>
      </w:r>
    </w:p>
    <w:p w14:paraId="65E1A0FC" w14:textId="5952AABC" w:rsidR="000A582A" w:rsidRDefault="00FD44B1" w:rsidP="000A582A">
      <w:pPr>
        <w:pStyle w:val="BoxContents"/>
      </w:pPr>
      <w:r>
        <w:t xml:space="preserve">Bespoke pricing arrangements will sometimes be necessary. </w:t>
      </w:r>
      <w:r w:rsidR="000A582A" w:rsidRPr="00EF7DD2">
        <w:t xml:space="preserve">Where spectrum </w:t>
      </w:r>
      <w:r w:rsidR="000A582A">
        <w:t>fees</w:t>
      </w:r>
      <w:r w:rsidR="000A582A" w:rsidRPr="00EF7DD2">
        <w:t xml:space="preserve"> are determined </w:t>
      </w:r>
      <w:r w:rsidR="000A582A">
        <w:t>other than by auction or by the administered pricing formula</w:t>
      </w:r>
      <w:r w:rsidR="000A582A" w:rsidRPr="00EF7DD2">
        <w:t>, the ACMA</w:t>
      </w:r>
      <w:r w:rsidR="00B34CDA">
        <w:t>, or the G</w:t>
      </w:r>
      <w:r w:rsidR="001971E5">
        <w:t>overnment where it directs the ACMA on pricing,</w:t>
      </w:r>
      <w:r w:rsidR="000A582A" w:rsidRPr="00EF7DD2">
        <w:t xml:space="preserve"> should </w:t>
      </w:r>
      <w:r w:rsidR="009238D0">
        <w:t>publish the reasons for this decision</w:t>
      </w:r>
      <w:r w:rsidR="001D1521">
        <w:t>.</w:t>
      </w:r>
    </w:p>
    <w:p w14:paraId="464760BF" w14:textId="77777777" w:rsidR="008E2767" w:rsidRDefault="009238D0" w:rsidP="005124E6">
      <w:r>
        <w:t>At times</w:t>
      </w:r>
      <w:r w:rsidR="002355C7">
        <w:t xml:space="preserve"> G</w:t>
      </w:r>
      <w:r w:rsidR="00520BA3">
        <w:t xml:space="preserve">overnment policy or the physical limitations of spectrum may create a need for </w:t>
      </w:r>
      <w:r w:rsidR="005124E6">
        <w:t xml:space="preserve">bespoke pricing arrangements (i.e. mechanisms other than market-based and administered pricing allocations). </w:t>
      </w:r>
      <w:r>
        <w:t xml:space="preserve">Where bespoke pricing arrangements are used, the reasons for this decision should be published. </w:t>
      </w:r>
      <w:r w:rsidR="005124E6">
        <w:t>For the most part, the ACMA provides this information through consultation material, explanatory statements and discussion in pricing schedules. The ACMA</w:t>
      </w:r>
      <w:r w:rsidR="00AE3A3B">
        <w:t>, or the Government where it directs the ACMA on pricing,</w:t>
      </w:r>
      <w:r w:rsidR="005124E6">
        <w:t xml:space="preserve"> should continue to accompany all bespoke pricing arrangements (such as spectrum access charges, admin</w:t>
      </w:r>
      <w:r w:rsidR="00AE3A3B">
        <w:t>istrative taxes, and renewal prices</w:t>
      </w:r>
      <w:r w:rsidR="005124E6">
        <w:t>) with clear justification, and where possible include the assumptions and calculations used to reach the determined pricing.</w:t>
      </w:r>
    </w:p>
    <w:p w14:paraId="74ED4446" w14:textId="5303D301" w:rsidR="005D4BC4" w:rsidRPr="001425E9" w:rsidRDefault="005D4BC4" w:rsidP="00144CC0">
      <w:pPr>
        <w:pStyle w:val="BoxHeading"/>
        <w:spacing w:before="120"/>
        <w:rPr>
          <w:smallCaps w:val="0"/>
        </w:rPr>
      </w:pPr>
      <w:r w:rsidRPr="001425E9">
        <w:rPr>
          <w:smallCaps w:val="0"/>
        </w:rPr>
        <w:t>Questions (</w:t>
      </w:r>
      <w:r w:rsidR="001425E9">
        <w:rPr>
          <w:smallCaps w:val="0"/>
        </w:rPr>
        <w:t>a</w:t>
      </w:r>
      <w:r w:rsidRPr="001425E9">
        <w:rPr>
          <w:smallCaps w:val="0"/>
        </w:rPr>
        <w:t xml:space="preserve">llocation </w:t>
      </w:r>
      <w:r w:rsidR="001425E9">
        <w:rPr>
          <w:smallCaps w:val="0"/>
        </w:rPr>
        <w:t>d</w:t>
      </w:r>
      <w:r w:rsidRPr="001425E9">
        <w:rPr>
          <w:smallCaps w:val="0"/>
        </w:rPr>
        <w:t>ecisions)</w:t>
      </w:r>
    </w:p>
    <w:p w14:paraId="4D61371A" w14:textId="77777777" w:rsidR="00220F3B" w:rsidRPr="00611FF6" w:rsidRDefault="00220F3B" w:rsidP="00220F3B">
      <w:pPr>
        <w:pStyle w:val="BoxContents"/>
      </w:pPr>
      <w:r>
        <w:t>Does industry seek any specific guidance from the ACMA on how it approaches spectrum pricing decisions? Where is clarity required in the decision making process?</w:t>
      </w:r>
    </w:p>
    <w:p w14:paraId="258BBC16" w14:textId="0252C188" w:rsidR="00220F3B" w:rsidRDefault="00B34CDA" w:rsidP="005D4BC4">
      <w:pPr>
        <w:pStyle w:val="BoxContents"/>
      </w:pPr>
      <w:r>
        <w:t>Are there times where the G</w:t>
      </w:r>
      <w:r w:rsidR="005D4BC4">
        <w:t>overnment should not charge users the same amount for the same type and amount of spectrum, through the use of bespoke pricing arrangements?</w:t>
      </w:r>
    </w:p>
    <w:p w14:paraId="7CBB5116" w14:textId="3057C618" w:rsidR="005D4BC4" w:rsidRPr="0050148D" w:rsidRDefault="005D4BC4" w:rsidP="005D4BC4">
      <w:pPr>
        <w:pStyle w:val="BoxContents"/>
      </w:pPr>
      <w:r>
        <w:t xml:space="preserve">What </w:t>
      </w:r>
      <w:r w:rsidR="0084243D">
        <w:t>reasons justify</w:t>
      </w:r>
      <w:r w:rsidR="00B34CDA">
        <w:t xml:space="preserve"> the G</w:t>
      </w:r>
      <w:r>
        <w:t xml:space="preserve">overnment </w:t>
      </w:r>
      <w:r w:rsidR="0084243D">
        <w:t>entering</w:t>
      </w:r>
      <w:r w:rsidR="00593B5C">
        <w:t xml:space="preserve"> </w:t>
      </w:r>
      <w:r>
        <w:t xml:space="preserve">bespoke pricing arrangements? How </w:t>
      </w:r>
      <w:r w:rsidR="0084243D">
        <w:t xml:space="preserve">can these arrangements </w:t>
      </w:r>
      <w:r>
        <w:t xml:space="preserve">ensure efficient allocation of </w:t>
      </w:r>
      <w:r w:rsidR="00593B5C">
        <w:t>spectrum?</w:t>
      </w:r>
    </w:p>
    <w:p w14:paraId="3922A291" w14:textId="77777777" w:rsidR="00282F7E" w:rsidRDefault="00282F7E" w:rsidP="00282F7E">
      <w:pPr>
        <w:pStyle w:val="Heading3"/>
      </w:pPr>
      <w:bookmarkStart w:id="234" w:name="_Toc474255249"/>
      <w:bookmarkStart w:id="235" w:name="_Toc256000119"/>
      <w:bookmarkStart w:id="236" w:name="_Toc256000086"/>
      <w:bookmarkStart w:id="237" w:name="_Toc256000053"/>
      <w:bookmarkStart w:id="238" w:name="_Toc256000020"/>
      <w:bookmarkStart w:id="239" w:name="_Toc480793156"/>
      <w:bookmarkEnd w:id="232"/>
      <w:bookmarkEnd w:id="233"/>
      <w:r>
        <w:t>Market-based allocations</w:t>
      </w:r>
      <w:bookmarkEnd w:id="191"/>
      <w:bookmarkEnd w:id="192"/>
      <w:bookmarkEnd w:id="193"/>
      <w:bookmarkEnd w:id="194"/>
      <w:bookmarkEnd w:id="195"/>
      <w:bookmarkEnd w:id="196"/>
      <w:bookmarkEnd w:id="197"/>
      <w:bookmarkEnd w:id="198"/>
      <w:bookmarkEnd w:id="234"/>
      <w:bookmarkEnd w:id="235"/>
      <w:bookmarkEnd w:id="236"/>
      <w:bookmarkEnd w:id="237"/>
      <w:bookmarkEnd w:id="238"/>
      <w:bookmarkEnd w:id="239"/>
    </w:p>
    <w:p w14:paraId="00C36BF9" w14:textId="77777777" w:rsidR="00FB6584" w:rsidRDefault="00AD1086" w:rsidP="00FB6584">
      <w:r>
        <w:rPr>
          <w:rFonts w:cs="Arial"/>
        </w:rPr>
        <w:t>As discussed before, market-based allocation more efficiently allocates spectrum as bidders know the value of the spectrum to them, are incentivised to make correct decisions, and understand how the allocation will create value for their organisation.</w:t>
      </w:r>
      <w:r w:rsidR="00526D3F">
        <w:rPr>
          <w:rFonts w:cs="Arial"/>
        </w:rPr>
        <w:t xml:space="preserve"> </w:t>
      </w:r>
      <w:r w:rsidR="00FB6584">
        <w:t>Parties that receive the highest value from the spectrum are likely to be the highest bidder</w:t>
      </w:r>
      <w:r w:rsidR="00FB6584" w:rsidRPr="00B541C3">
        <w:t xml:space="preserve">, and </w:t>
      </w:r>
      <w:r w:rsidR="00FB6584">
        <w:t>therefore tend to win licenc</w:t>
      </w:r>
      <w:r w:rsidR="00FB6584" w:rsidRPr="00B541C3">
        <w:t>es</w:t>
      </w:r>
      <w:r w:rsidR="00FB6584">
        <w:t xml:space="preserve"> to use the spectrum</w:t>
      </w:r>
      <w:r w:rsidR="00FB6584" w:rsidRPr="00B541C3">
        <w:t>.</w:t>
      </w:r>
    </w:p>
    <w:p w14:paraId="6411D405" w14:textId="77777777" w:rsidR="00FB6584" w:rsidRDefault="00FB6584" w:rsidP="00FB6584">
      <w:r>
        <w:t xml:space="preserve">There are a number of market-based allocation methods, including tender processes. Over recent decades, there has been an international trend towards allocation by auctions and this has led to a general consensus among regulators that auctions are the best way to distribute spectrum resources. An auction’s transparency allows market participants to witness the allocation process, understand spectrum valuations and reduces the risk of </w:t>
      </w:r>
      <w:r w:rsidR="00A355A5">
        <w:t>the Government</w:t>
      </w:r>
      <w:r>
        <w:t xml:space="preserve"> picking winners.</w:t>
      </w:r>
    </w:p>
    <w:p w14:paraId="1AFFB63C" w14:textId="77777777" w:rsidR="00FB6584" w:rsidRDefault="00FB6584" w:rsidP="00FB6584">
      <w:r>
        <w:t xml:space="preserve">This </w:t>
      </w:r>
      <w:r w:rsidR="00466189">
        <w:t>section</w:t>
      </w:r>
      <w:r>
        <w:t xml:space="preserve"> will primarily focus on auctions in considering market-based allocations.</w:t>
      </w:r>
    </w:p>
    <w:p w14:paraId="5EFEE8BF" w14:textId="77777777" w:rsidR="00932296" w:rsidRDefault="00A25CC3" w:rsidP="005537E3">
      <w:pPr>
        <w:pStyle w:val="Heading4"/>
        <w:spacing w:after="120"/>
      </w:pPr>
      <w:bookmarkStart w:id="240" w:name="_Toc471817825"/>
      <w:bookmarkStart w:id="241" w:name="_Toc471819430"/>
      <w:bookmarkStart w:id="242" w:name="_Toc471986057"/>
      <w:bookmarkStart w:id="243" w:name="_Toc471987653"/>
      <w:bookmarkStart w:id="244" w:name="_Toc471988034"/>
      <w:bookmarkStart w:id="245" w:name="_Toc471992200"/>
      <w:bookmarkStart w:id="246" w:name="_Toc471995375"/>
      <w:bookmarkStart w:id="247" w:name="_Toc471996887"/>
      <w:bookmarkStart w:id="248" w:name="_Toc474255250"/>
      <w:bookmarkStart w:id="249" w:name="_Toc256000120"/>
      <w:bookmarkStart w:id="250" w:name="_Toc256000087"/>
      <w:bookmarkStart w:id="251" w:name="_Toc256000054"/>
      <w:bookmarkStart w:id="252" w:name="_Toc256000021"/>
      <w:bookmarkStart w:id="253" w:name="_Toc480793157"/>
      <w:bookmarkStart w:id="254" w:name="_Toc462145141"/>
      <w:bookmarkStart w:id="255" w:name="_Toc465347403"/>
      <w:bookmarkStart w:id="256" w:name="_Toc466289600"/>
      <w:bookmarkStart w:id="257" w:name="_Toc467240084"/>
      <w:bookmarkStart w:id="258" w:name="_Toc468781668"/>
      <w:bookmarkStart w:id="259" w:name="_Toc462145161"/>
      <w:r>
        <w:t>Transition to market-based allocations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7433D621" w14:textId="2959270B" w:rsidR="00B250E4" w:rsidRPr="00673EDD" w:rsidRDefault="00673EDD" w:rsidP="00144CC0">
      <w:pPr>
        <w:pStyle w:val="BoxHeading"/>
        <w:spacing w:before="120"/>
        <w:rPr>
          <w:smallCaps w:val="0"/>
        </w:rPr>
      </w:pPr>
      <w:r>
        <w:rPr>
          <w:smallCaps w:val="0"/>
        </w:rPr>
        <w:t>Draft p</w:t>
      </w:r>
      <w:r w:rsidR="00B250E4" w:rsidRPr="00673EDD">
        <w:rPr>
          <w:smallCaps w:val="0"/>
        </w:rPr>
        <w:t>roposal</w:t>
      </w:r>
      <w:r w:rsidR="007D17F0" w:rsidRPr="00673EDD">
        <w:rPr>
          <w:smallCaps w:val="0"/>
        </w:rPr>
        <w:t xml:space="preserve"> </w:t>
      </w:r>
      <w:r w:rsidR="009563C0" w:rsidRPr="00673EDD">
        <w:rPr>
          <w:smallCaps w:val="0"/>
        </w:rPr>
        <w:fldChar w:fldCharType="begin"/>
      </w:r>
      <w:r w:rsidR="009563C0" w:rsidRPr="00673EDD">
        <w:rPr>
          <w:smallCaps w:val="0"/>
        </w:rPr>
        <w:instrText xml:space="preserve"> AUTONUMLGL  \e \* Arabic </w:instrText>
      </w:r>
      <w:r w:rsidR="009563C0" w:rsidRPr="00673EDD">
        <w:rPr>
          <w:smallCaps w:val="0"/>
        </w:rPr>
        <w:fldChar w:fldCharType="end"/>
      </w:r>
    </w:p>
    <w:p w14:paraId="20715E78" w14:textId="77777777" w:rsidR="008E2767" w:rsidRDefault="00DE56DB" w:rsidP="00B250E4">
      <w:pPr>
        <w:pStyle w:val="BoxContents"/>
      </w:pPr>
      <w:r w:rsidRPr="00DE56DB">
        <w:t xml:space="preserve">The ACMA should </w:t>
      </w:r>
      <w:r w:rsidR="0002271A">
        <w:t>further identify</w:t>
      </w:r>
      <w:r w:rsidR="00BB2EEB" w:rsidRPr="00DE56DB">
        <w:t xml:space="preserve"> </w:t>
      </w:r>
      <w:r w:rsidRPr="00DE56DB">
        <w:t xml:space="preserve">bands to transition from administratively set fees to </w:t>
      </w:r>
      <w:r w:rsidR="0002271A">
        <w:t>competitive market-based allocations</w:t>
      </w:r>
      <w:r w:rsidR="00313F11" w:rsidRPr="00313F11">
        <w:t xml:space="preserve"> </w:t>
      </w:r>
      <w:r w:rsidR="00313F11">
        <w:t xml:space="preserve">in its annual work </w:t>
      </w:r>
      <w:r w:rsidR="00456B90">
        <w:t>program</w:t>
      </w:r>
      <w:r w:rsidRPr="00DE56DB">
        <w:t>.</w:t>
      </w:r>
    </w:p>
    <w:p w14:paraId="43227CFC" w14:textId="3B575555" w:rsidR="00B661E5" w:rsidRDefault="007E6773" w:rsidP="00C912CB">
      <w:r>
        <w:t>T</w:t>
      </w:r>
      <w:r w:rsidR="00B661E5" w:rsidRPr="00B661E5">
        <w:t xml:space="preserve">he use of auctions to allocate spectrum has fallen over the past decade, as seen in </w:t>
      </w:r>
      <w:r w:rsidR="004E771F">
        <w:t>Figure 1</w:t>
      </w:r>
      <w:r w:rsidR="00B661E5" w:rsidRPr="00B661E5">
        <w:t>. The decline is mainly due to a decision to renew expiring licences (originally auctioned in the 1990s and 2000s) at administratively determined rates. This means that today, only one-third of spectrum revenues are determined directly by the market. All other revenues are administratively determined through legacy pricing approaches or spectrum valuations.</w:t>
      </w:r>
    </w:p>
    <w:p w14:paraId="1D219A2E" w14:textId="77777777" w:rsidR="008B73C1" w:rsidRDefault="008B73C1" w:rsidP="00144CC0">
      <w:pPr>
        <w:pStyle w:val="Tablefigureheading"/>
        <w:spacing w:before="120" w:after="120"/>
      </w:pPr>
      <w:r>
        <w:t>Figure 1: Share of revenues from allocation type</w:t>
      </w:r>
      <w:r w:rsidR="001971E5">
        <w:rPr>
          <w:rStyle w:val="FootnoteReference"/>
        </w:rPr>
        <w:footnoteReference w:id="14"/>
      </w:r>
    </w:p>
    <w:p w14:paraId="2D2486E4" w14:textId="77777777" w:rsidR="00B661E5" w:rsidRDefault="00B661E5" w:rsidP="00C912CB">
      <w:r>
        <w:rPr>
          <w:noProof/>
          <w:lang w:eastAsia="zh-TW" w:bidi="hi-IN"/>
        </w:rPr>
        <w:drawing>
          <wp:inline distT="0" distB="0" distL="0" distR="0" wp14:anchorId="462642BD" wp14:editId="44DB30FD">
            <wp:extent cx="5715000" cy="3495675"/>
            <wp:effectExtent l="0" t="0" r="0" b="9525"/>
            <wp:docPr id="12" name="Picture 12" descr="This chart displays the allocation methods (administered renewals, administered allocations and auction allocations) and share of proportionate revenue over a time period. &#10;&#10;The time period begins at 2005 and extends until 2022 (projected estimates). &#10;&#10;From 2005 until 2011, there were only two allocation methods that contributed to revenue: administered allocations (approximately 65%-70% share) and auction allocations 30%-35% share). &#10;&#10;In 2012, the allocation method proportions remained similar to previous years (administered allocations 64%, auction allocations 34%), however administered renewals contributed a very small proportion of revenue, contributing 1% of the total revenues collected.   &#10;&#10;In 2013 the allocation method of administered renewals contributed to approximately 21% of revenue. The administered allocations contributed to approximately 37% of revenue. The auction allocations contribution declined to approximately 42%. &#10;&#10;In 2014 the allocation method of administered renewals contributed to approximately 20% of revenue. The administered allocations contributed to approximately 30% of revenue. The auction allocations contribution increased to approximately 49% of total revenue. &#10;&#10;In 2015 and 2016 the allocation method of administered renewals contributed to approximately 21% of revenue. The administered allocations contributed to approximately 41% of revenue. The auction allocation contribution declined to approximately 38%. &#10;&#10;In 2016 and 2017 the allocation method of administered renewals contributed to approximately 21% of revenue. The administered allocations contributed to approximately 42% of revenue. The auction allocation contribution declined to approximately 38%. &#10;&#10;From 2018 until the 2022, the share of revenue from allocation types remains stable. The   administered renewals contributed to approximately 33% of revenue. The administered allocations contributed to approximately 39% of revenue. The auction allocation contribution declined to approximately 28%. &#10;" title="Figure 4.2: Share of revenues from allo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2.jpg"/>
                    <pic:cNvPicPr/>
                  </pic:nvPicPr>
                  <pic:blipFill>
                    <a:blip r:embed="rId14">
                      <a:extLst>
                        <a:ext uri="{28A0092B-C50C-407E-A947-70E740481C1C}">
                          <a14:useLocalDpi xmlns:a14="http://schemas.microsoft.com/office/drawing/2010/main" val="0"/>
                        </a:ext>
                      </a:extLst>
                    </a:blip>
                    <a:stretch>
                      <a:fillRect/>
                    </a:stretch>
                  </pic:blipFill>
                  <pic:spPr>
                    <a:xfrm>
                      <a:off x="0" y="0"/>
                      <a:ext cx="5715000" cy="3495675"/>
                    </a:xfrm>
                    <a:prstGeom prst="rect">
                      <a:avLst/>
                    </a:prstGeom>
                  </pic:spPr>
                </pic:pic>
              </a:graphicData>
            </a:graphic>
          </wp:inline>
        </w:drawing>
      </w:r>
    </w:p>
    <w:p w14:paraId="6D57AACC" w14:textId="4C5B3D70" w:rsidR="0011421A" w:rsidRPr="0011421A" w:rsidRDefault="00D226E2" w:rsidP="00C912CB">
      <w:r>
        <w:t>To reverse this trend, t</w:t>
      </w:r>
      <w:r w:rsidR="00932296">
        <w:t xml:space="preserve">here are a </w:t>
      </w:r>
      <w:r w:rsidR="00F061C7">
        <w:t>number</w:t>
      </w:r>
      <w:r w:rsidR="00932296">
        <w:t xml:space="preserve"> of spectrum bands that may warrant a transition from administratively set prices to auctions. For example, a large amount of spectrum is held by mobile ca</w:t>
      </w:r>
      <w:r w:rsidR="0002271A">
        <w:t>rriers in the GSM 900 MHz band</w:t>
      </w:r>
      <w:r w:rsidR="000B69E8">
        <w:t xml:space="preserve"> which may be well placed to transition to market-based allocations</w:t>
      </w:r>
      <w:r w:rsidR="0002271A">
        <w:t xml:space="preserve">. </w:t>
      </w:r>
      <w:r w:rsidR="00932296">
        <w:t xml:space="preserve">Considering such a move would be a complex issue. The ACMA is currently </w:t>
      </w:r>
      <w:r w:rsidR="00A355A5">
        <w:t>consulting on options for</w:t>
      </w:r>
      <w:r w:rsidR="00932296">
        <w:t xml:space="preserve"> the 900 MHz band, and</w:t>
      </w:r>
      <w:r w:rsidR="00F061C7">
        <w:t xml:space="preserve"> other bands may be worthy of similar consideration. The ACMA</w:t>
      </w:r>
      <w:r w:rsidR="00932296">
        <w:t xml:space="preserve"> is well placed to consider the feasibility of </w:t>
      </w:r>
      <w:r w:rsidR="00B123D0">
        <w:t>these</w:t>
      </w:r>
      <w:r w:rsidR="00F061C7">
        <w:t xml:space="preserve"> </w:t>
      </w:r>
      <w:r w:rsidR="00932296">
        <w:t>band</w:t>
      </w:r>
      <w:r w:rsidR="00F061C7">
        <w:t>s</w:t>
      </w:r>
      <w:r w:rsidR="00932296">
        <w:t xml:space="preserve"> for market</w:t>
      </w:r>
      <w:r w:rsidR="00CD68EF">
        <w:t>-</w:t>
      </w:r>
      <w:r w:rsidR="00932296">
        <w:t>based allocation</w:t>
      </w:r>
      <w:r w:rsidR="006B686F">
        <w:t xml:space="preserve">, and should identify these in its annual work </w:t>
      </w:r>
      <w:r w:rsidR="00456B90">
        <w:t>program</w:t>
      </w:r>
      <w:r w:rsidR="00C80E00">
        <w:t xml:space="preserve">. The annual work </w:t>
      </w:r>
      <w:r w:rsidR="00456B90">
        <w:t xml:space="preserve">program </w:t>
      </w:r>
      <w:r w:rsidR="00C80E00">
        <w:t>is legislated under the proposed Radiocommunications Bill</w:t>
      </w:r>
      <w:bookmarkEnd w:id="254"/>
      <w:bookmarkEnd w:id="255"/>
      <w:bookmarkEnd w:id="256"/>
      <w:bookmarkEnd w:id="257"/>
      <w:bookmarkEnd w:id="258"/>
      <w:r w:rsidR="00C80E00">
        <w:t>, and the first of these is expected soon after passage of the Bill.</w:t>
      </w:r>
    </w:p>
    <w:p w14:paraId="5740495F" w14:textId="77777777" w:rsidR="00282F7E" w:rsidRDefault="00BE3970" w:rsidP="005537E3">
      <w:pPr>
        <w:pStyle w:val="Heading4"/>
        <w:spacing w:after="120"/>
      </w:pPr>
      <w:bookmarkStart w:id="260" w:name="_Toc462145163"/>
      <w:bookmarkStart w:id="261" w:name="_Toc471819432"/>
      <w:bookmarkStart w:id="262" w:name="_Toc471986058"/>
      <w:bookmarkStart w:id="263" w:name="_Toc471987654"/>
      <w:bookmarkStart w:id="264" w:name="_Toc471988035"/>
      <w:bookmarkStart w:id="265" w:name="_Toc471992201"/>
      <w:bookmarkStart w:id="266" w:name="_Toc471995376"/>
      <w:bookmarkStart w:id="267" w:name="_Toc471996888"/>
      <w:bookmarkStart w:id="268" w:name="_Toc474255251"/>
      <w:bookmarkStart w:id="269" w:name="_Toc256000121"/>
      <w:bookmarkStart w:id="270" w:name="_Toc256000088"/>
      <w:bookmarkStart w:id="271" w:name="_Toc256000055"/>
      <w:bookmarkStart w:id="272" w:name="_Toc256000022"/>
      <w:bookmarkStart w:id="273" w:name="_Toc480793158"/>
      <w:bookmarkEnd w:id="259"/>
      <w:r>
        <w:t xml:space="preserve">Reserve </w:t>
      </w:r>
      <w:r w:rsidR="00282F7E">
        <w:t>prices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584BA5B1" w14:textId="06A84BF3" w:rsidR="00E91320" w:rsidRPr="00673EDD" w:rsidRDefault="00581470" w:rsidP="00144CC0">
      <w:pPr>
        <w:pStyle w:val="BoxHeading"/>
        <w:spacing w:before="120"/>
        <w:rPr>
          <w:smallCaps w:val="0"/>
        </w:rPr>
      </w:pPr>
      <w:r w:rsidRPr="00673EDD">
        <w:rPr>
          <w:smallCaps w:val="0"/>
        </w:rPr>
        <w:t xml:space="preserve">Draft </w:t>
      </w:r>
      <w:r w:rsidR="00673EDD">
        <w:rPr>
          <w:smallCaps w:val="0"/>
        </w:rPr>
        <w:t>p</w:t>
      </w:r>
      <w:r w:rsidR="0011421A" w:rsidRPr="00673EDD">
        <w:rPr>
          <w:smallCaps w:val="0"/>
        </w:rPr>
        <w:t>roposal</w:t>
      </w:r>
      <w:r w:rsidR="007D17F0" w:rsidRPr="00673EDD">
        <w:rPr>
          <w:smallCaps w:val="0"/>
        </w:rPr>
        <w:t xml:space="preserve"> </w:t>
      </w:r>
      <w:r w:rsidR="009563C0" w:rsidRPr="00673EDD">
        <w:rPr>
          <w:smallCaps w:val="0"/>
        </w:rPr>
        <w:fldChar w:fldCharType="begin"/>
      </w:r>
      <w:r w:rsidR="009563C0" w:rsidRPr="00673EDD">
        <w:rPr>
          <w:smallCaps w:val="0"/>
        </w:rPr>
        <w:instrText xml:space="preserve"> AUTONUMLGL  \e \* Arabic </w:instrText>
      </w:r>
      <w:r w:rsidR="009563C0" w:rsidRPr="00673EDD">
        <w:rPr>
          <w:smallCaps w:val="0"/>
        </w:rPr>
        <w:fldChar w:fldCharType="end"/>
      </w:r>
    </w:p>
    <w:p w14:paraId="53E4FF30" w14:textId="77777777" w:rsidR="008E2767" w:rsidRDefault="001F2EFE" w:rsidP="00E91320">
      <w:pPr>
        <w:pStyle w:val="BoxContents"/>
      </w:pPr>
      <w:r>
        <w:t xml:space="preserve">In setting reserve prices, </w:t>
      </w:r>
      <w:r w:rsidR="00820DEE">
        <w:t xml:space="preserve">the ACMA and the </w:t>
      </w:r>
      <w:r w:rsidR="00B34CDA">
        <w:t>G</w:t>
      </w:r>
      <w:r w:rsidR="00820DEE">
        <w:t xml:space="preserve">overnment should </w:t>
      </w:r>
      <w:r w:rsidR="00A355A5">
        <w:t xml:space="preserve">consider the influence of the reserve price on </w:t>
      </w:r>
      <w:r w:rsidR="00E948B4">
        <w:t>competitive behaviour, and the</w:t>
      </w:r>
      <w:r>
        <w:t xml:space="preserve"> </w:t>
      </w:r>
      <w:r w:rsidR="00A355A5">
        <w:t>scope</w:t>
      </w:r>
      <w:r>
        <w:t xml:space="preserve"> for </w:t>
      </w:r>
      <w:r w:rsidR="00032727">
        <w:t xml:space="preserve">price discovery through </w:t>
      </w:r>
      <w:r>
        <w:t>upward movement toward the market value of the spectrum.</w:t>
      </w:r>
    </w:p>
    <w:p w14:paraId="1D669091" w14:textId="77777777" w:rsidR="008E2767" w:rsidRDefault="00282F7E" w:rsidP="00282F7E">
      <w:r>
        <w:t xml:space="preserve">Spectrum reserve prices reflect the minimum a bidder can offer for a spectrum </w:t>
      </w:r>
      <w:r w:rsidR="007C5ABA">
        <w:t>lot</w:t>
      </w:r>
      <w:r w:rsidR="00655498">
        <w:t>, and set a starting point for an auction</w:t>
      </w:r>
      <w:r>
        <w:t xml:space="preserve">. Unlike a house auction, these reserve prices are generally made public before the auction commences. Bidders are therefore able to factor this price floor into their </w:t>
      </w:r>
      <w:r w:rsidR="00860D18">
        <w:t>bidding strategies</w:t>
      </w:r>
      <w:r>
        <w:t>.</w:t>
      </w:r>
      <w:r w:rsidR="00655498">
        <w:t xml:space="preserve"> Reserve prices</w:t>
      </w:r>
      <w:r>
        <w:t xml:space="preserve"> are not estimates of the value that </w:t>
      </w:r>
      <w:r w:rsidR="00655498">
        <w:t xml:space="preserve">may </w:t>
      </w:r>
      <w:r>
        <w:t>be achieved. Instead, competition will see the participants outbid each other until the price rises to the market value of the spectrum.</w:t>
      </w:r>
      <w:r w:rsidR="00A355A5">
        <w:t xml:space="preserve"> For example, </w:t>
      </w:r>
      <w:r w:rsidR="001B0D76">
        <w:t>for the regional 1800 MHz auction in 2016</w:t>
      </w:r>
      <w:r w:rsidR="00240E2A">
        <w:t>,</w:t>
      </w:r>
      <w:r w:rsidR="00240885">
        <w:t xml:space="preserve"> </w:t>
      </w:r>
      <w:r w:rsidR="00A355A5">
        <w:t xml:space="preserve">reserve prices </w:t>
      </w:r>
      <w:r w:rsidR="001B0D76">
        <w:t xml:space="preserve">of </w:t>
      </w:r>
      <w:r w:rsidR="00910350">
        <w:t>$0.08/MHz/pop</w:t>
      </w:r>
      <w:r w:rsidR="001B0D76">
        <w:t xml:space="preserve"> </w:t>
      </w:r>
      <w:r w:rsidR="00240885">
        <w:t>would have raised</w:t>
      </w:r>
      <w:r w:rsidR="001B0D76">
        <w:t xml:space="preserve"> $62.7</w:t>
      </w:r>
      <w:r w:rsidR="00593B5C">
        <w:t> </w:t>
      </w:r>
      <w:r w:rsidR="001B0D76">
        <w:t>million. The final outcome revealed revenues of $543.5 million, meaning prices easily exceeded the reserve prices set.</w:t>
      </w:r>
    </w:p>
    <w:p w14:paraId="2B56D057" w14:textId="131EBDDD" w:rsidR="00282F7E" w:rsidRDefault="00282F7E" w:rsidP="00282F7E">
      <w:r>
        <w:t xml:space="preserve">At a minimum, a reserve price should reflect what </w:t>
      </w:r>
      <w:r w:rsidR="00394BC0">
        <w:t>the Government</w:t>
      </w:r>
      <w:r>
        <w:t xml:space="preserve"> is willing to </w:t>
      </w:r>
      <w:r w:rsidR="00261878">
        <w:t>forgo</w:t>
      </w:r>
      <w:r>
        <w:t xml:space="preserve"> to hold the spectrum instead of allowing it to be </w:t>
      </w:r>
      <w:r w:rsidR="00032727">
        <w:t>allocated</w:t>
      </w:r>
      <w:r>
        <w:t xml:space="preserve"> to a spectrum user. This is generally quite low</w:t>
      </w:r>
      <w:r w:rsidR="00597395">
        <w:t xml:space="preserve"> as </w:t>
      </w:r>
      <w:r w:rsidR="00394BC0">
        <w:t>the Government</w:t>
      </w:r>
      <w:r>
        <w:t xml:space="preserve"> has little use for unused spectrum.</w:t>
      </w:r>
      <w:r w:rsidR="00655498">
        <w:t xml:space="preserve"> </w:t>
      </w:r>
      <w:r>
        <w:t>Often, reserve prices are set at a higher level to reduce the incentive for anti-competitive behaviour. This is particularly relevant in auctions with a limited number of bidders</w:t>
      </w:r>
      <w:r w:rsidR="0024290C">
        <w:t>, where the lack of competition may limit price rises</w:t>
      </w:r>
      <w:r>
        <w:t>.</w:t>
      </w:r>
    </w:p>
    <w:p w14:paraId="3C837219" w14:textId="77777777" w:rsidR="00282F7E" w:rsidRDefault="00282F7E" w:rsidP="00282F7E">
      <w:r>
        <w:t>Analysis by Plum Consulting</w:t>
      </w:r>
      <w:r>
        <w:rPr>
          <w:rStyle w:val="FootnoteReference"/>
        </w:rPr>
        <w:footnoteReference w:id="15"/>
      </w:r>
      <w:r>
        <w:t xml:space="preserve"> has shown that in many international cases, the gap between reserve prices and auction outcomes has narrowed. </w:t>
      </w:r>
      <w:r w:rsidR="00032727" w:rsidRPr="00032727">
        <w:t>Also, a significant number of auctions in recent years have ended up with unsold spectrum lots, suggesting that in some cases, reserve prices were set too high. Whilst unsold</w:t>
      </w:r>
      <w:r w:rsidR="00032727">
        <w:t xml:space="preserve"> spectrum does not provide the G</w:t>
      </w:r>
      <w:r w:rsidR="00032727" w:rsidRPr="00032727">
        <w:t xml:space="preserve">overnment with an immediate return, it </w:t>
      </w:r>
      <w:r w:rsidR="00032727">
        <w:t xml:space="preserve">may </w:t>
      </w:r>
      <w:r w:rsidR="00032727" w:rsidRPr="00032727">
        <w:t>still ha</w:t>
      </w:r>
      <w:r w:rsidR="0003266F">
        <w:t>ve</w:t>
      </w:r>
      <w:r w:rsidR="00032727" w:rsidRPr="00032727">
        <w:t xml:space="preserve"> value and may encourage competition in downstream markets at a later point in time (</w:t>
      </w:r>
      <w:r w:rsidR="00032727">
        <w:t xml:space="preserve">such as </w:t>
      </w:r>
      <w:r w:rsidR="00032727" w:rsidRPr="00032727">
        <w:t>if an entrant becomes a stronger competitor).</w:t>
      </w:r>
    </w:p>
    <w:p w14:paraId="19BCF06B" w14:textId="77777777" w:rsidR="00282F7E" w:rsidRDefault="00282F7E" w:rsidP="00282F7E">
      <w:pPr>
        <w:rPr>
          <w:lang w:val="en-GB"/>
        </w:rPr>
      </w:pPr>
      <w:r w:rsidRPr="00D54420">
        <w:rPr>
          <w:lang w:val="en-GB"/>
        </w:rPr>
        <w:t>Reserve prices should be set at a level that</w:t>
      </w:r>
      <w:r>
        <w:rPr>
          <w:lang w:val="en-GB"/>
        </w:rPr>
        <w:t xml:space="preserve"> dissuades anti-competitive behaviour, but still</w:t>
      </w:r>
      <w:r w:rsidRPr="00D54420">
        <w:rPr>
          <w:lang w:val="en-GB"/>
        </w:rPr>
        <w:t xml:space="preserve"> allows</w:t>
      </w:r>
      <w:r w:rsidR="00032727">
        <w:rPr>
          <w:lang w:val="en-GB"/>
        </w:rPr>
        <w:t xml:space="preserve"> for price discovery through</w:t>
      </w:r>
      <w:r w:rsidRPr="00D54420">
        <w:rPr>
          <w:lang w:val="en-GB"/>
        </w:rPr>
        <w:t xml:space="preserve"> upwards movement to the market value of the spectrum. </w:t>
      </w:r>
      <w:r w:rsidR="00032727">
        <w:rPr>
          <w:lang w:val="en-GB"/>
        </w:rPr>
        <w:t>Price discovery allows bidders</w:t>
      </w:r>
      <w:r>
        <w:rPr>
          <w:lang w:val="en-GB"/>
        </w:rPr>
        <w:t xml:space="preserve"> to gauge the value of the spectrum by the bids of others, and adapt their bidding strategies accordingly. If values are not allowed to rise from the reserve price, price discovery doesn’t occur.</w:t>
      </w:r>
      <w:r w:rsidR="00E91320">
        <w:rPr>
          <w:lang w:val="en-GB"/>
        </w:rPr>
        <w:t xml:space="preserve"> </w:t>
      </w:r>
      <w:r>
        <w:rPr>
          <w:lang w:val="en-GB"/>
        </w:rPr>
        <w:t>I</w:t>
      </w:r>
      <w:r w:rsidRPr="002A46CE">
        <w:rPr>
          <w:lang w:val="en-GB"/>
        </w:rPr>
        <w:t xml:space="preserve">n a </w:t>
      </w:r>
      <w:r>
        <w:rPr>
          <w:lang w:val="en-GB"/>
        </w:rPr>
        <w:t>scenario</w:t>
      </w:r>
      <w:r w:rsidRPr="002A46CE">
        <w:rPr>
          <w:lang w:val="en-GB"/>
        </w:rPr>
        <w:t xml:space="preserve"> </w:t>
      </w:r>
      <w:r w:rsidR="00032727">
        <w:rPr>
          <w:lang w:val="en-GB"/>
        </w:rPr>
        <w:t>where demand for spectrum exceeds supply</w:t>
      </w:r>
      <w:r w:rsidRPr="002A46CE">
        <w:rPr>
          <w:lang w:val="en-GB"/>
        </w:rPr>
        <w:t xml:space="preserve">, rising traffic demand and a competitive market environment, spectrum users should have sufficient incentives </w:t>
      </w:r>
      <w:r>
        <w:rPr>
          <w:lang w:val="en-GB"/>
        </w:rPr>
        <w:t>to bid prices up</w:t>
      </w:r>
      <w:r w:rsidR="005B68DC">
        <w:rPr>
          <w:lang w:val="en-GB"/>
        </w:rPr>
        <w:t xml:space="preserve"> to their most efficient point.</w:t>
      </w:r>
    </w:p>
    <w:p w14:paraId="54744529" w14:textId="77777777" w:rsidR="008E2767" w:rsidRDefault="00282F7E" w:rsidP="005537E3">
      <w:pPr>
        <w:pStyle w:val="Heading4"/>
        <w:spacing w:after="120"/>
      </w:pPr>
      <w:bookmarkStart w:id="274" w:name="_Toc471819434"/>
      <w:bookmarkStart w:id="275" w:name="_Toc471986060"/>
      <w:bookmarkStart w:id="276" w:name="_Toc471987656"/>
      <w:bookmarkStart w:id="277" w:name="_Toc471988037"/>
      <w:bookmarkStart w:id="278" w:name="_Toc471992203"/>
      <w:bookmarkStart w:id="279" w:name="_Toc471995378"/>
      <w:bookmarkStart w:id="280" w:name="_Toc471996890"/>
      <w:bookmarkStart w:id="281" w:name="_Toc474255252"/>
      <w:bookmarkStart w:id="282" w:name="_Toc256000122"/>
      <w:bookmarkStart w:id="283" w:name="_Toc256000089"/>
      <w:bookmarkStart w:id="284" w:name="_Toc256000056"/>
      <w:bookmarkStart w:id="285" w:name="_Toc256000023"/>
      <w:bookmarkStart w:id="286" w:name="_Toc480793159"/>
      <w:r>
        <w:t>Payment terms</w:t>
      </w:r>
      <w:bookmarkEnd w:id="274"/>
      <w:bookmarkEnd w:id="275"/>
      <w:bookmarkEnd w:id="276"/>
      <w:bookmarkEnd w:id="277"/>
      <w:bookmarkEnd w:id="278"/>
      <w:bookmarkEnd w:id="279"/>
      <w:bookmarkEnd w:id="280"/>
      <w:bookmarkEnd w:id="281"/>
      <w:bookmarkEnd w:id="282"/>
      <w:bookmarkEnd w:id="283"/>
      <w:bookmarkEnd w:id="284"/>
      <w:bookmarkEnd w:id="285"/>
      <w:bookmarkEnd w:id="286"/>
    </w:p>
    <w:p w14:paraId="7A87E92C" w14:textId="012F8AC8" w:rsidR="00184618" w:rsidRPr="00673EDD" w:rsidRDefault="00581470" w:rsidP="00144CC0">
      <w:pPr>
        <w:pStyle w:val="BoxHeading"/>
        <w:spacing w:before="120"/>
        <w:rPr>
          <w:smallCaps w:val="0"/>
        </w:rPr>
      </w:pPr>
      <w:r w:rsidRPr="00673EDD">
        <w:rPr>
          <w:smallCaps w:val="0"/>
        </w:rPr>
        <w:t xml:space="preserve">Draft </w:t>
      </w:r>
      <w:r w:rsidR="00673EDD">
        <w:rPr>
          <w:smallCaps w:val="0"/>
        </w:rPr>
        <w:t>p</w:t>
      </w:r>
      <w:r w:rsidR="009D6D49" w:rsidRPr="00673EDD">
        <w:rPr>
          <w:smallCaps w:val="0"/>
        </w:rPr>
        <w:t>roposal</w:t>
      </w:r>
      <w:r w:rsidR="007D17F0" w:rsidRPr="00673EDD">
        <w:rPr>
          <w:smallCaps w:val="0"/>
        </w:rPr>
        <w:t xml:space="preserve"> </w:t>
      </w:r>
      <w:r w:rsidR="009563C0" w:rsidRPr="00673EDD">
        <w:rPr>
          <w:smallCaps w:val="0"/>
        </w:rPr>
        <w:fldChar w:fldCharType="begin"/>
      </w:r>
      <w:r w:rsidR="009563C0" w:rsidRPr="00673EDD">
        <w:rPr>
          <w:smallCaps w:val="0"/>
        </w:rPr>
        <w:instrText xml:space="preserve"> AUTONUMLGL  \e \* Arabic </w:instrText>
      </w:r>
      <w:r w:rsidR="009563C0" w:rsidRPr="00673EDD">
        <w:rPr>
          <w:smallCaps w:val="0"/>
        </w:rPr>
        <w:fldChar w:fldCharType="end"/>
      </w:r>
    </w:p>
    <w:p w14:paraId="4B094821" w14:textId="77777777" w:rsidR="002C48AA" w:rsidRDefault="00FF57C7" w:rsidP="00C912CB">
      <w:pPr>
        <w:pStyle w:val="BoxContents"/>
      </w:pPr>
      <w:r>
        <w:t xml:space="preserve">For spectrum access charges determined by auction, </w:t>
      </w:r>
      <w:r w:rsidR="001D1521">
        <w:t xml:space="preserve">the ACMA should </w:t>
      </w:r>
      <w:r w:rsidR="00925AD4">
        <w:t>generally</w:t>
      </w:r>
      <w:r w:rsidR="001D1521">
        <w:t xml:space="preserve"> require </w:t>
      </w:r>
      <w:r w:rsidR="0024290C">
        <w:t xml:space="preserve">upfront </w:t>
      </w:r>
      <w:r>
        <w:t>l</w:t>
      </w:r>
      <w:r w:rsidR="0035637D" w:rsidRPr="00C101D9">
        <w:t>ump-sum payments</w:t>
      </w:r>
      <w:r w:rsidR="0024290C">
        <w:t xml:space="preserve">. There may be </w:t>
      </w:r>
      <w:r w:rsidR="00A71574">
        <w:t xml:space="preserve">circumstances </w:t>
      </w:r>
      <w:r w:rsidR="00925AD4" w:rsidRPr="00925AD4">
        <w:t>where instalment</w:t>
      </w:r>
      <w:r w:rsidR="0024290C" w:rsidRPr="00925AD4">
        <w:t xml:space="preserve"> </w:t>
      </w:r>
      <w:r w:rsidR="00A71574" w:rsidRPr="00925AD4">
        <w:t xml:space="preserve">payments are warranted </w:t>
      </w:r>
      <w:r w:rsidR="0035637D" w:rsidRPr="00925AD4">
        <w:t>shortly after the beginning of a licence term</w:t>
      </w:r>
      <w:r w:rsidR="0024290C" w:rsidRPr="00925AD4">
        <w:t>.</w:t>
      </w:r>
      <w:r w:rsidR="00A71574" w:rsidRPr="00925AD4">
        <w:t xml:space="preserve"> In considering use of instalments, the ACMA should assess the risks to the state of </w:t>
      </w:r>
      <w:r w:rsidR="00925AD4" w:rsidRPr="00925AD4">
        <w:t>default and the potential impact on competition.</w:t>
      </w:r>
    </w:p>
    <w:p w14:paraId="6717E447" w14:textId="77777777" w:rsidR="008E2767" w:rsidRDefault="00282F7E" w:rsidP="00282F7E">
      <w:r>
        <w:t>Payment terms for auctions stipulate whether licensees pay all fees prior to the commencement of the licence, or if some fees are deferred over the term of the licence. The current approach recommends fees being paid up front</w:t>
      </w:r>
      <w:r w:rsidR="00893C5E">
        <w:t xml:space="preserve">. </w:t>
      </w:r>
      <w:r w:rsidR="004B0266">
        <w:t>U</w:t>
      </w:r>
      <w:r>
        <w:t>pfront payments are advantageous as they secure revenue</w:t>
      </w:r>
      <w:r w:rsidR="00131A3F">
        <w:t xml:space="preserve"> prior to issue of the licence, thereby protecting against the risk of payment default. </w:t>
      </w:r>
      <w:r>
        <w:t>Upfront payments reduce the complexity and increase the certainty of spectrum auction outcomes. Upfront payments also help to reduce speculative bidding and artificially inflated bids.</w:t>
      </w:r>
    </w:p>
    <w:p w14:paraId="0F6532A4" w14:textId="0B8E246B" w:rsidR="00282F7E" w:rsidRDefault="00A71574" w:rsidP="00282F7E">
      <w:r>
        <w:t xml:space="preserve">While payment terms should </w:t>
      </w:r>
      <w:r w:rsidR="00925AD4">
        <w:t xml:space="preserve">generally </w:t>
      </w:r>
      <w:r>
        <w:t xml:space="preserve">require upfront lump-sum payments, there may be circumstances in which payment by instalment </w:t>
      </w:r>
      <w:r w:rsidR="00925AD4">
        <w:t xml:space="preserve">shortly after the beginning of a licence term </w:t>
      </w:r>
      <w:r>
        <w:t xml:space="preserve">is </w:t>
      </w:r>
      <w:r w:rsidR="00925AD4">
        <w:t>reasonable</w:t>
      </w:r>
      <w:r>
        <w:t>. I</w:t>
      </w:r>
      <w:r w:rsidR="001235F0">
        <w:t>mposing an upfront payment may</w:t>
      </w:r>
      <w:r>
        <w:t>, for example,</w:t>
      </w:r>
      <w:r w:rsidR="001235F0">
        <w:t xml:space="preserve"> limit market entry by smaller entrepreneurial players that would nonetheless deliver higher value services. </w:t>
      </w:r>
      <w:r w:rsidR="00925AD4">
        <w:t>In considering exception-based requests for instalment payments, the ACMA should consider the risk to the Commonwealth in the case of default and the impact of upfront lump-sum payments or bank guarantees on participation in the auction.</w:t>
      </w:r>
    </w:p>
    <w:p w14:paraId="3854800A" w14:textId="61F1177F" w:rsidR="00282F7E" w:rsidRDefault="00511F5B" w:rsidP="00282F7E">
      <w:r>
        <w:t xml:space="preserve">The ACMA should therefore </w:t>
      </w:r>
      <w:r w:rsidR="002862F4">
        <w:t>generally</w:t>
      </w:r>
      <w:r w:rsidR="001F391F">
        <w:t xml:space="preserve"> receive upfront payments before the licence period begins.</w:t>
      </w:r>
      <w:r w:rsidR="00E0614A">
        <w:t xml:space="preserve"> </w:t>
      </w:r>
      <w:r w:rsidR="00A86F52">
        <w:t>However, t</w:t>
      </w:r>
      <w:r w:rsidR="00282F7E">
        <w:t xml:space="preserve">he </w:t>
      </w:r>
      <w:r w:rsidR="002E25E5">
        <w:t>G</w:t>
      </w:r>
      <w:r w:rsidR="00282F7E">
        <w:t xml:space="preserve">overnment recognises that long term licences require a large amount of capital. </w:t>
      </w:r>
      <w:r w:rsidR="008B45C0">
        <w:t>T</w:t>
      </w:r>
      <w:r w:rsidR="002862F4">
        <w:t>here</w:t>
      </w:r>
      <w:r w:rsidR="00D543F3">
        <w:t>fore, there</w:t>
      </w:r>
      <w:r w:rsidR="002862F4">
        <w:t xml:space="preserve"> may be </w:t>
      </w:r>
      <w:r w:rsidR="008B45C0">
        <w:t xml:space="preserve">circumstances where Government or the ACMA approves short term deferrals. </w:t>
      </w:r>
      <w:r w:rsidR="002862F4">
        <w:t xml:space="preserve">In considering these circumstances, the Government or the ACMA should take into account the risks to competition of payment deferrals (including the role the competition limits are playing), the number </w:t>
      </w:r>
      <w:r w:rsidR="0053790F">
        <w:t xml:space="preserve">and type </w:t>
      </w:r>
      <w:r w:rsidR="002862F4">
        <w:t>of bidders at a</w:t>
      </w:r>
      <w:r w:rsidR="00B34CDA">
        <w:t>n auction, and the risk to the G</w:t>
      </w:r>
      <w:r w:rsidR="002862F4">
        <w:t xml:space="preserve">overnment of unpaid licence payments. </w:t>
      </w:r>
      <w:r w:rsidR="008B45C0">
        <w:t xml:space="preserve">In these </w:t>
      </w:r>
      <w:r w:rsidR="001D1521">
        <w:t>circumstances</w:t>
      </w:r>
      <w:r w:rsidR="008B45C0">
        <w:t xml:space="preserve">, </w:t>
      </w:r>
      <w:r w:rsidR="001D1521">
        <w:t>requirements</w:t>
      </w:r>
      <w:r w:rsidR="00282F7E">
        <w:t xml:space="preserve"> such as a bank guarantee over </w:t>
      </w:r>
      <w:r w:rsidR="00FF57C7">
        <w:t xml:space="preserve">a portion of outstanding </w:t>
      </w:r>
      <w:r w:rsidR="00282F7E">
        <w:t>funds are appropriate to reduce risk to government.</w:t>
      </w:r>
    </w:p>
    <w:p w14:paraId="1CC0DDE5" w14:textId="2CCD5063" w:rsidR="00A8249B" w:rsidRPr="00673EDD" w:rsidRDefault="00A8249B" w:rsidP="00144CC0">
      <w:pPr>
        <w:pStyle w:val="BoxHeading"/>
        <w:spacing w:before="120"/>
        <w:rPr>
          <w:smallCaps w:val="0"/>
        </w:rPr>
      </w:pPr>
      <w:r w:rsidRPr="00673EDD">
        <w:rPr>
          <w:smallCaps w:val="0"/>
        </w:rPr>
        <w:t>Questions (</w:t>
      </w:r>
      <w:r w:rsidR="00673EDD">
        <w:rPr>
          <w:smallCaps w:val="0"/>
        </w:rPr>
        <w:t>m</w:t>
      </w:r>
      <w:r w:rsidRPr="00673EDD">
        <w:rPr>
          <w:smallCaps w:val="0"/>
        </w:rPr>
        <w:t xml:space="preserve">arket-based </w:t>
      </w:r>
      <w:r w:rsidR="00673EDD">
        <w:rPr>
          <w:smallCaps w:val="0"/>
        </w:rPr>
        <w:t>a</w:t>
      </w:r>
      <w:r w:rsidRPr="00673EDD">
        <w:rPr>
          <w:smallCaps w:val="0"/>
        </w:rPr>
        <w:t>llocations)</w:t>
      </w:r>
    </w:p>
    <w:p w14:paraId="2E0D6100" w14:textId="77777777" w:rsidR="00065514" w:rsidRDefault="00065514" w:rsidP="00065514">
      <w:pPr>
        <w:pStyle w:val="BoxContents"/>
      </w:pPr>
      <w:r>
        <w:t>Are there specific bands that industry would seek to have transitioned from administratively set fees to competitive market-based allocations? What is an ideal timeframe to achieve this?</w:t>
      </w:r>
    </w:p>
    <w:p w14:paraId="524F096D" w14:textId="77777777" w:rsidR="00065514" w:rsidRPr="004544DD" w:rsidRDefault="00065514" w:rsidP="00065514">
      <w:pPr>
        <w:pStyle w:val="BoxContents"/>
      </w:pPr>
      <w:r>
        <w:t>How can government ensure that reserve prices allow upwards movement while still managing competitive behaviour?</w:t>
      </w:r>
    </w:p>
    <w:p w14:paraId="3D297EED" w14:textId="77777777" w:rsidR="00A8249B" w:rsidRDefault="00A8249B" w:rsidP="00A8249B">
      <w:pPr>
        <w:pStyle w:val="BoxContents"/>
      </w:pPr>
      <w:r>
        <w:t xml:space="preserve">Under what limited scenarios will short-term instalments be an appropriate approach for </w:t>
      </w:r>
      <w:r w:rsidR="00C23EF9">
        <w:t xml:space="preserve">market-based </w:t>
      </w:r>
      <w:r>
        <w:t>licence payments?</w:t>
      </w:r>
    </w:p>
    <w:p w14:paraId="7BF72C40" w14:textId="77777777" w:rsidR="00282F7E" w:rsidRDefault="00CA43BC" w:rsidP="00CA43BC">
      <w:pPr>
        <w:pStyle w:val="Heading3"/>
      </w:pPr>
      <w:bookmarkStart w:id="287" w:name="_Toc471819435"/>
      <w:bookmarkStart w:id="288" w:name="_Toc471986061"/>
      <w:bookmarkStart w:id="289" w:name="_Toc471987657"/>
      <w:bookmarkStart w:id="290" w:name="_Toc471988038"/>
      <w:bookmarkStart w:id="291" w:name="_Toc471992204"/>
      <w:bookmarkStart w:id="292" w:name="_Toc471995379"/>
      <w:bookmarkStart w:id="293" w:name="_Toc471996891"/>
      <w:bookmarkStart w:id="294" w:name="_Toc462145167"/>
      <w:bookmarkStart w:id="295" w:name="_Toc471819436"/>
      <w:bookmarkStart w:id="296" w:name="_Toc471986062"/>
      <w:bookmarkStart w:id="297" w:name="_Toc471987658"/>
      <w:bookmarkStart w:id="298" w:name="_Toc471988039"/>
      <w:bookmarkStart w:id="299" w:name="_Toc471992205"/>
      <w:bookmarkStart w:id="300" w:name="_Toc471995380"/>
      <w:bookmarkStart w:id="301" w:name="_Toc471996892"/>
      <w:bookmarkStart w:id="302" w:name="_Toc474255253"/>
      <w:bookmarkStart w:id="303" w:name="_Toc256000123"/>
      <w:bookmarkStart w:id="304" w:name="_Toc256000090"/>
      <w:bookmarkStart w:id="305" w:name="_Toc256000057"/>
      <w:bookmarkStart w:id="306" w:name="_Toc256000024"/>
      <w:bookmarkStart w:id="307" w:name="_Toc480793160"/>
      <w:bookmarkEnd w:id="287"/>
      <w:bookmarkEnd w:id="288"/>
      <w:bookmarkEnd w:id="289"/>
      <w:bookmarkEnd w:id="290"/>
      <w:bookmarkEnd w:id="291"/>
      <w:bookmarkEnd w:id="292"/>
      <w:bookmarkEnd w:id="293"/>
      <w:bookmarkEnd w:id="294"/>
      <w:r>
        <w:t>Administered allocations</w:t>
      </w:r>
      <w:bookmarkEnd w:id="295"/>
      <w:bookmarkEnd w:id="296"/>
      <w:bookmarkEnd w:id="297"/>
      <w:bookmarkEnd w:id="298"/>
      <w:bookmarkEnd w:id="299"/>
      <w:bookmarkEnd w:id="300"/>
      <w:bookmarkEnd w:id="301"/>
      <w:bookmarkEnd w:id="302"/>
      <w:bookmarkEnd w:id="303"/>
      <w:bookmarkEnd w:id="304"/>
      <w:bookmarkEnd w:id="305"/>
      <w:bookmarkEnd w:id="306"/>
      <w:bookmarkEnd w:id="307"/>
    </w:p>
    <w:p w14:paraId="54699181" w14:textId="5A754DFD" w:rsidR="00A911F4" w:rsidRDefault="00FB6584" w:rsidP="00A911F4">
      <w:r>
        <w:rPr>
          <w:rFonts w:cs="Arial"/>
        </w:rPr>
        <w:t xml:space="preserve">While market-based allocations offer many advantages, they may be impractical in some cases. </w:t>
      </w:r>
      <w:r w:rsidR="00A911F4">
        <w:t>As identified before, auctions should be used where demand exceeds supply, and the costs of running an auction would not outweigh its benefits. Even when these conditions are met, there are a number of reasons w</w:t>
      </w:r>
      <w:r w:rsidR="00B34CDA">
        <w:t>hy markets may not achieve the G</w:t>
      </w:r>
      <w:r w:rsidR="00A911F4">
        <w:t>overnment’s objective of promoting the long-term public interest derive</w:t>
      </w:r>
      <w:r w:rsidR="003A3E63">
        <w:t>d from the use of the spectrum.</w:t>
      </w:r>
      <w:r w:rsidR="00A911F4">
        <w:t xml:space="preserve"> If supply </w:t>
      </w:r>
      <w:r w:rsidR="00A911F4" w:rsidRPr="009A1894">
        <w:t>outstrips demand</w:t>
      </w:r>
      <w:r w:rsidR="00A911F4">
        <w:t>,</w:t>
      </w:r>
      <w:r w:rsidR="00A911F4" w:rsidRPr="009A1894">
        <w:t xml:space="preserve"> then </w:t>
      </w:r>
      <w:r w:rsidR="00A911F4">
        <w:t xml:space="preserve">there is enough spectrum for everybody and </w:t>
      </w:r>
      <w:r w:rsidR="00A911F4" w:rsidRPr="009A1894">
        <w:t>market-based allocation is redundant</w:t>
      </w:r>
      <w:r w:rsidR="00A911F4">
        <w:t>. Market-based mechanisms may not be appropriate for shorter term licences as running an auction every year or two would soon prove a burden. Auctions may</w:t>
      </w:r>
      <w:r w:rsidR="00A911F4" w:rsidRPr="009A1894">
        <w:t xml:space="preserve"> prevent large numbers of small users being able to express their demand for spectrum</w:t>
      </w:r>
      <w:r w:rsidR="00A911F4">
        <w:t xml:space="preserve">, as without collective or central guidance a large number of potential spectrum lots can </w:t>
      </w:r>
      <w:r w:rsidR="00C96EED">
        <w:t xml:space="preserve">become unwieldy and </w:t>
      </w:r>
      <w:r w:rsidR="00A911F4">
        <w:t>cause confusion.</w:t>
      </w:r>
      <w:r w:rsidR="00A911F4" w:rsidRPr="00E9605A">
        <w:t xml:space="preserve"> </w:t>
      </w:r>
      <w:r w:rsidR="00A911F4">
        <w:t>Auctions also reduce certainty for incumbent spectrum holders, and may reduce incentives for long-term investment, as incumbents may not be willing to make significant investments</w:t>
      </w:r>
      <w:r w:rsidR="00AC4A6B">
        <w:t xml:space="preserve"> given the risk they’ll lose their</w:t>
      </w:r>
      <w:r w:rsidR="00A911F4">
        <w:t xml:space="preserve"> spectrum in several years time. In such circumstances, the Government will choose to set prices administratively.</w:t>
      </w:r>
    </w:p>
    <w:p w14:paraId="70FFDE3F" w14:textId="77777777" w:rsidR="009C3AB6" w:rsidRPr="00C912CB" w:rsidRDefault="009C3AB6" w:rsidP="009C3AB6">
      <w:pPr>
        <w:rPr>
          <w:rFonts w:cs="Arial"/>
        </w:rPr>
      </w:pPr>
      <w:r w:rsidRPr="009B2769">
        <w:t>Charges</w:t>
      </w:r>
      <w:r w:rsidRPr="009B2769">
        <w:rPr>
          <w:lang w:val="en-US"/>
        </w:rPr>
        <w:t xml:space="preserve"> set at levels</w:t>
      </w:r>
      <w:r>
        <w:rPr>
          <w:lang w:val="en-US"/>
        </w:rPr>
        <w:t xml:space="preserve"> similar to </w:t>
      </w:r>
      <w:r w:rsidRPr="009B2769">
        <w:rPr>
          <w:lang w:val="en-US"/>
        </w:rPr>
        <w:t xml:space="preserve">the market are </w:t>
      </w:r>
      <w:r w:rsidR="00A911F4">
        <w:rPr>
          <w:lang w:val="en-US"/>
        </w:rPr>
        <w:t xml:space="preserve">therefore </w:t>
      </w:r>
      <w:r w:rsidRPr="009B2769">
        <w:rPr>
          <w:lang w:val="en-US"/>
        </w:rPr>
        <w:t>an effective</w:t>
      </w:r>
      <w:r>
        <w:rPr>
          <w:lang w:val="en-US"/>
        </w:rPr>
        <w:t xml:space="preserve"> alternative</w:t>
      </w:r>
      <w:r w:rsidRPr="009B2769">
        <w:rPr>
          <w:lang w:val="en-US"/>
        </w:rPr>
        <w:t xml:space="preserve"> tool </w:t>
      </w:r>
      <w:r>
        <w:rPr>
          <w:lang w:val="en-US"/>
        </w:rPr>
        <w:t>to ensure efficient allocation.</w:t>
      </w:r>
      <w:r w:rsidRPr="009816D7">
        <w:rPr>
          <w:lang w:val="en-US"/>
        </w:rPr>
        <w:t xml:space="preserve"> </w:t>
      </w:r>
      <w:r>
        <w:rPr>
          <w:lang w:val="en-US"/>
        </w:rPr>
        <w:t xml:space="preserve">Such fees </w:t>
      </w:r>
      <w:r w:rsidRPr="00D73907">
        <w:rPr>
          <w:lang w:val="en-US"/>
        </w:rPr>
        <w:t xml:space="preserve">are designed </w:t>
      </w:r>
      <w:r>
        <w:rPr>
          <w:lang w:val="en-US"/>
        </w:rPr>
        <w:t>so that the</w:t>
      </w:r>
      <w:r w:rsidRPr="00D73907">
        <w:rPr>
          <w:lang w:val="en-US"/>
        </w:rPr>
        <w:t xml:space="preserve"> spectrum ends up with the </w:t>
      </w:r>
      <w:r>
        <w:rPr>
          <w:lang w:val="en-US"/>
        </w:rPr>
        <w:t>highest value user, and that those spectrum holders use their holdings efficiently.</w:t>
      </w:r>
    </w:p>
    <w:p w14:paraId="22FE15AB" w14:textId="77777777" w:rsidR="007E6773" w:rsidRDefault="009C3AB6" w:rsidP="007E6773">
      <w:r>
        <w:t>Despite this, c</w:t>
      </w:r>
      <w:r w:rsidR="007E6773">
        <w:t>haracteristics</w:t>
      </w:r>
      <w:r w:rsidR="007E6773" w:rsidRPr="00DD3785">
        <w:t xml:space="preserve"> of the spectrum market make it difficult for governments to set administrative prices that accurately reflect market prices</w:t>
      </w:r>
      <w:r w:rsidR="007E6773">
        <w:t>. Of note:</w:t>
      </w:r>
    </w:p>
    <w:p w14:paraId="0892017D" w14:textId="77777777" w:rsidR="007E6773" w:rsidRDefault="007E6773" w:rsidP="007E6773">
      <w:pPr>
        <w:pStyle w:val="Bulletlevel1"/>
        <w:keepLines/>
      </w:pPr>
      <w:r>
        <w:t xml:space="preserve">spectrum is rarely traded, </w:t>
      </w:r>
      <w:r w:rsidRPr="00DD3785">
        <w:t>unlike othe</w:t>
      </w:r>
      <w:r>
        <w:t>r assets like land and shares</w:t>
      </w:r>
    </w:p>
    <w:p w14:paraId="644FCD02" w14:textId="77777777" w:rsidR="007E6773" w:rsidRDefault="007E6773" w:rsidP="007E6773">
      <w:pPr>
        <w:pStyle w:val="Bulletlevel1"/>
        <w:keepLines/>
      </w:pPr>
      <w:r>
        <w:t>there are a limited number of technological alternatives to base a pricing model’s cost profiles on</w:t>
      </w:r>
    </w:p>
    <w:p w14:paraId="6478B332" w14:textId="77777777" w:rsidR="007E6773" w:rsidRDefault="007E6773" w:rsidP="007E6773">
      <w:pPr>
        <w:pStyle w:val="Bulletlevel1"/>
        <w:keepLines/>
      </w:pPr>
      <w:r>
        <w:t>to take advantage of the cost of equipment and economies of scale, spectrum use is typically harmonised with other international jurisdictions, limiting the use of different spectrum bands</w:t>
      </w:r>
    </w:p>
    <w:p w14:paraId="057F6D78" w14:textId="77777777" w:rsidR="007E6773" w:rsidRPr="00684428" w:rsidRDefault="007E6773" w:rsidP="007E6773">
      <w:pPr>
        <w:pStyle w:val="Bulletlevel1"/>
        <w:keepLines/>
      </w:pPr>
      <w:r>
        <w:t>t</w:t>
      </w:r>
      <w:r w:rsidRPr="00684428">
        <w:t xml:space="preserve">here is </w:t>
      </w:r>
      <w:r>
        <w:t>no easy way</w:t>
      </w:r>
      <w:r w:rsidRPr="00684428">
        <w:t xml:space="preserve"> to determine whether there is excess supply or excess demand</w:t>
      </w:r>
      <w:r>
        <w:t xml:space="preserve"> in particular spectrum bands</w:t>
      </w:r>
    </w:p>
    <w:p w14:paraId="04974214" w14:textId="77777777" w:rsidR="007E6773" w:rsidRDefault="007E6773" w:rsidP="007E6773">
      <w:pPr>
        <w:pStyle w:val="Bulletlevel1"/>
        <w:keepLines/>
      </w:pPr>
      <w:r>
        <w:t>t</w:t>
      </w:r>
      <w:r w:rsidRPr="00684428">
        <w:t xml:space="preserve">here is a lack of data </w:t>
      </w:r>
      <w:r>
        <w:t>on how prices respond to</w:t>
      </w:r>
      <w:r w:rsidRPr="00684428">
        <w:t xml:space="preserve"> spectrum demand, therefore there is subjectivity about how much to reduce (increase) price</w:t>
      </w:r>
      <w:r>
        <w:t>s in the face of excess supply or demand</w:t>
      </w:r>
    </w:p>
    <w:p w14:paraId="39CEB68F" w14:textId="77777777" w:rsidR="007E6773" w:rsidRPr="00684428" w:rsidRDefault="007E6773" w:rsidP="007E6773">
      <w:pPr>
        <w:pStyle w:val="Bulletlevel1"/>
        <w:keepLines/>
      </w:pPr>
      <w:r>
        <w:t>pricing needs to be updated regularly to reflect changes with market developments such as technological, demographic, and band plan changes.</w:t>
      </w:r>
    </w:p>
    <w:p w14:paraId="4A3E55C1" w14:textId="77777777" w:rsidR="007E6773" w:rsidRDefault="007E6773" w:rsidP="007E6773">
      <w:r>
        <w:t>For these reasons, administrative prices should be seen as a ‘best attempt’ to approximate opportunity cost, given limited information, rather than being an exact efficient price.</w:t>
      </w:r>
    </w:p>
    <w:p w14:paraId="546CA3BB" w14:textId="77777777" w:rsidR="00CA43BC" w:rsidRPr="00103824" w:rsidRDefault="001E52C5" w:rsidP="005537E3">
      <w:pPr>
        <w:pStyle w:val="Heading4"/>
        <w:spacing w:after="120"/>
      </w:pPr>
      <w:bookmarkStart w:id="308" w:name="_Toc471986063"/>
      <w:bookmarkStart w:id="309" w:name="_Toc471987659"/>
      <w:bookmarkStart w:id="310" w:name="_Toc471988040"/>
      <w:bookmarkStart w:id="311" w:name="_Toc471992206"/>
      <w:bookmarkStart w:id="312" w:name="_Toc471995381"/>
      <w:bookmarkStart w:id="313" w:name="_Toc471996893"/>
      <w:bookmarkStart w:id="314" w:name="_Toc474255254"/>
      <w:bookmarkStart w:id="315" w:name="_Toc256000124"/>
      <w:bookmarkStart w:id="316" w:name="_Toc256000091"/>
      <w:bookmarkStart w:id="317" w:name="_Toc256000058"/>
      <w:bookmarkStart w:id="318" w:name="_Toc256000025"/>
      <w:bookmarkStart w:id="319" w:name="_Toc480793161"/>
      <w:r>
        <w:t>Pricing formula</w:t>
      </w:r>
      <w:bookmarkEnd w:id="308"/>
      <w:bookmarkEnd w:id="309"/>
      <w:bookmarkEnd w:id="310"/>
      <w:bookmarkEnd w:id="311"/>
      <w:bookmarkEnd w:id="312"/>
      <w:bookmarkEnd w:id="313"/>
      <w:bookmarkEnd w:id="314"/>
      <w:bookmarkEnd w:id="315"/>
      <w:bookmarkEnd w:id="316"/>
      <w:bookmarkEnd w:id="317"/>
      <w:bookmarkEnd w:id="318"/>
      <w:bookmarkEnd w:id="319"/>
    </w:p>
    <w:p w14:paraId="66D215DF" w14:textId="0B18ABC3" w:rsidR="00802C55" w:rsidRPr="00673EDD" w:rsidRDefault="00581470" w:rsidP="00144CC0">
      <w:pPr>
        <w:pStyle w:val="BoxHeading"/>
        <w:spacing w:before="120"/>
        <w:rPr>
          <w:smallCaps w:val="0"/>
        </w:rPr>
      </w:pPr>
      <w:r w:rsidRPr="00673EDD">
        <w:rPr>
          <w:smallCaps w:val="0"/>
        </w:rPr>
        <w:t xml:space="preserve">Draft </w:t>
      </w:r>
      <w:r w:rsidR="00673EDD">
        <w:rPr>
          <w:smallCaps w:val="0"/>
        </w:rPr>
        <w:t>p</w:t>
      </w:r>
      <w:r w:rsidR="00802C55" w:rsidRPr="00673EDD">
        <w:rPr>
          <w:smallCaps w:val="0"/>
        </w:rPr>
        <w:t>roposal</w:t>
      </w:r>
      <w:r w:rsidR="007D17F0" w:rsidRPr="00673EDD">
        <w:rPr>
          <w:smallCaps w:val="0"/>
        </w:rPr>
        <w:t xml:space="preserve"> </w:t>
      </w:r>
      <w:r w:rsidR="007D17F0" w:rsidRPr="00673EDD">
        <w:rPr>
          <w:smallCaps w:val="0"/>
        </w:rPr>
        <w:fldChar w:fldCharType="begin"/>
      </w:r>
      <w:r w:rsidR="007D17F0" w:rsidRPr="00673EDD">
        <w:rPr>
          <w:smallCaps w:val="0"/>
        </w:rPr>
        <w:instrText xml:space="preserve"> AUTONUMLGL  \e \* Arabic </w:instrText>
      </w:r>
      <w:r w:rsidR="007D17F0" w:rsidRPr="00673EDD">
        <w:rPr>
          <w:smallCaps w:val="0"/>
        </w:rPr>
        <w:fldChar w:fldCharType="end"/>
      </w:r>
    </w:p>
    <w:p w14:paraId="249DFD28" w14:textId="77777777" w:rsidR="00802C55" w:rsidRDefault="00C96EED" w:rsidP="00C912CB">
      <w:pPr>
        <w:pStyle w:val="BoxContents"/>
      </w:pPr>
      <w:r>
        <w:t>The</w:t>
      </w:r>
      <w:r w:rsidR="00EE7EF2">
        <w:t xml:space="preserve"> </w:t>
      </w:r>
      <w:r w:rsidR="00802C55">
        <w:t>ACMA</w:t>
      </w:r>
      <w:r w:rsidR="00615A8E">
        <w:t xml:space="preserve"> </w:t>
      </w:r>
      <w:r w:rsidR="00802C55">
        <w:t>should undertake a detailed review of the administrative pricing formula’s parameters, including density areas, the number of pricing bands, and the number of power categories. The ACMA should implement regular updates to the location and band weightings to reflect changes in density, demography and demand.</w:t>
      </w:r>
    </w:p>
    <w:p w14:paraId="5C05A5A5" w14:textId="77777777" w:rsidR="00CA43BC" w:rsidRDefault="00CA43BC" w:rsidP="00CA43BC">
      <w:r>
        <w:t>The current apparatus licence formula, which was set in 1995, is based on parameters that drive spectrum denial or congestion. This is done by combining the location’s density, the spectrum band, the type of user, the amount of spectrum used, whether the device is low powered, and inflation.</w:t>
      </w:r>
    </w:p>
    <w:p w14:paraId="20E9DEAC" w14:textId="77777777" w:rsidR="008E2767" w:rsidRDefault="00CA43BC" w:rsidP="00CA43BC">
      <w:r>
        <w:t>The formula has not been updated other than for annual indexation and some limited price adjustments. Since then, the media and telecommunications industries have significantly changed</w:t>
      </w:r>
      <w:r w:rsidR="002E25E5">
        <w:t xml:space="preserve">, with increased demand for many </w:t>
      </w:r>
      <w:r>
        <w:t>spectrum bands</w:t>
      </w:r>
      <w:r w:rsidR="002E25E5">
        <w:t xml:space="preserve">. The </w:t>
      </w:r>
      <w:r>
        <w:t>ACMA has not explicitly priced spectrum based on modern valuation techniques other than in limited situations.</w:t>
      </w:r>
    </w:p>
    <w:p w14:paraId="153877EC" w14:textId="1A9D559B" w:rsidR="00CA43BC" w:rsidRDefault="00CA43BC" w:rsidP="00CA43BC">
      <w:r>
        <w:t>Given the rapid growth in spectrum use and demographic change since 2005, it is unlikely that the geographic density parameters used by the apparatus tax formula still reflect the market value of the spectrum. For example, urban sprawl has meant that locations that were once low density in the 1990s are now medium or even high density areas. Currently, the immediate boundaries outside the three high density areas (Sydney, Melbourne and Brisbane) are classified as low density areas. Given there are no medium density areas to separate these high and lo</w:t>
      </w:r>
      <w:r w:rsidR="00FF57C7">
        <w:t>w density areas, there exists a</w:t>
      </w:r>
      <w:r>
        <w:t xml:space="preserve"> sharp reduction in charges immediately outside metropolitan areas. </w:t>
      </w:r>
      <w:r w:rsidR="008B73C1">
        <w:t xml:space="preserve">Figure 2 </w:t>
      </w:r>
      <w:r>
        <w:t>below shows that low density areas border most high density red areas.</w:t>
      </w:r>
    </w:p>
    <w:p w14:paraId="325D4F6F" w14:textId="77777777" w:rsidR="00CA43BC" w:rsidRDefault="00CA43BC" w:rsidP="00144CC0">
      <w:pPr>
        <w:pStyle w:val="Tablefigureheading"/>
        <w:spacing w:before="120" w:after="120"/>
      </w:pPr>
      <w:bookmarkStart w:id="320" w:name="_Ref467619619"/>
      <w:r>
        <w:t xml:space="preserve">Figure </w:t>
      </w:r>
      <w:bookmarkEnd w:id="320"/>
      <w:r w:rsidR="00303979">
        <w:t>2</w:t>
      </w:r>
      <w:r>
        <w:t>: Australian east coast density areas</w:t>
      </w:r>
    </w:p>
    <w:p w14:paraId="47102B46" w14:textId="77777777" w:rsidR="008E2767" w:rsidRDefault="004E6C9E" w:rsidP="004E6C9E">
      <w:pPr>
        <w:spacing w:before="120" w:after="120"/>
      </w:pPr>
      <w:r>
        <w:rPr>
          <w:noProof/>
          <w:lang w:eastAsia="zh-TW" w:bidi="hi-IN"/>
        </w:rPr>
        <w:drawing>
          <wp:inline distT="0" distB="0" distL="0" distR="0" wp14:anchorId="5A48E0EE" wp14:editId="479E77AA">
            <wp:extent cx="5926455" cy="3593465"/>
            <wp:effectExtent l="0" t="0" r="0" b="6985"/>
            <wp:docPr id="15" name="Picture 15" descr="The map identifies Brisbane, Sydney and Melbourne as High density areas, and the Central Coast and Adelaide as medium density." title="Figure 2: Australian east coast dens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593465"/>
                    </a:xfrm>
                    <a:prstGeom prst="rect">
                      <a:avLst/>
                    </a:prstGeom>
                  </pic:spPr>
                </pic:pic>
              </a:graphicData>
            </a:graphic>
          </wp:inline>
        </w:drawing>
      </w:r>
    </w:p>
    <w:p w14:paraId="32770A92" w14:textId="5258FE83" w:rsidR="00CA43BC" w:rsidRDefault="00CA43BC" w:rsidP="008E2767">
      <w:pPr>
        <w:keepLines/>
        <w:spacing w:before="120" w:after="120"/>
      </w:pPr>
      <w:r>
        <w:t>The curre</w:t>
      </w:r>
      <w:r w:rsidR="00FF57C7">
        <w:t xml:space="preserve">nt number of spectrum bands included in the apparatus licence tax formula </w:t>
      </w:r>
      <w:r>
        <w:t>– thirteen – is likely too low to allow the ACMA to implement adjustments at a sub-band level. For example, the 520 to 960 MHz pricing band includes spectrum bands for mobile, for land mobile users, for television, and for radio. The current formula does not allow the ACMA to differentiate between these characteristics of each spectrum band. The low number of pricing bands also results in significant price drops between contiguous bands.</w:t>
      </w:r>
    </w:p>
    <w:p w14:paraId="1BDD6160" w14:textId="77777777" w:rsidR="00CA43BC" w:rsidRDefault="00CA43BC" w:rsidP="00CA43BC">
      <w:r>
        <w:t>The power adjustment factor currently employed by the formula is binary – a 90 per cent discount for devices that use less than 8.3 watts</w:t>
      </w:r>
      <w:r w:rsidR="00FF57C7">
        <w:t xml:space="preserve"> (generally land mobile devices that cover a 2km radius)</w:t>
      </w:r>
      <w:r>
        <w:t xml:space="preserve">, and no discount for all others. </w:t>
      </w:r>
      <w:r w:rsidR="00343B5B">
        <w:t>The low power discount i</w:t>
      </w:r>
      <w:r w:rsidR="00FF57C7">
        <w:t>s not available for all licence types.</w:t>
      </w:r>
    </w:p>
    <w:p w14:paraId="16ED6DA7" w14:textId="77777777" w:rsidR="00CA43BC" w:rsidRDefault="00CA43BC" w:rsidP="00CA43BC">
      <w:r>
        <w:t xml:space="preserve">The </w:t>
      </w:r>
      <w:r w:rsidR="00FF57C7">
        <w:t xml:space="preserve">use of a </w:t>
      </w:r>
      <w:r>
        <w:t>formula provide</w:t>
      </w:r>
      <w:r w:rsidR="00FF57C7">
        <w:t xml:space="preserve">s several benefits, including </w:t>
      </w:r>
      <w:r>
        <w:t>consi</w:t>
      </w:r>
      <w:r w:rsidR="00FF57C7">
        <w:t>stency</w:t>
      </w:r>
      <w:r>
        <w:t xml:space="preserve">, transparent calculations, clear guidelines, and the flexibility to adjust for individual situations. But it would be timely </w:t>
      </w:r>
      <w:r w:rsidR="00615A8E">
        <w:t xml:space="preserve">for the ACMA </w:t>
      </w:r>
      <w:r>
        <w:t xml:space="preserve">to undertake a detailed review of the formula, and how </w:t>
      </w:r>
      <w:r w:rsidR="00FF57C7">
        <w:t xml:space="preserve">consideration of parameters more applicable to a universal </w:t>
      </w:r>
      <w:r>
        <w:t xml:space="preserve">formula </w:t>
      </w:r>
      <w:r w:rsidR="00FF57C7">
        <w:t>can be</w:t>
      </w:r>
      <w:r>
        <w:t xml:space="preserve"> more responsive to the underlying value of the spectrum.</w:t>
      </w:r>
    </w:p>
    <w:p w14:paraId="2D9467FA" w14:textId="77777777" w:rsidR="00CA43BC" w:rsidRDefault="006D3AD9" w:rsidP="005537E3">
      <w:pPr>
        <w:pStyle w:val="Heading4"/>
        <w:spacing w:after="120"/>
        <w:rPr>
          <w:lang w:val="en-US"/>
        </w:rPr>
      </w:pPr>
      <w:bookmarkStart w:id="321" w:name="_Toc471819438"/>
      <w:bookmarkStart w:id="322" w:name="_Toc471986064"/>
      <w:bookmarkStart w:id="323" w:name="_Toc471987660"/>
      <w:bookmarkStart w:id="324" w:name="_Toc471988041"/>
      <w:bookmarkStart w:id="325" w:name="_Toc471992207"/>
      <w:bookmarkStart w:id="326" w:name="_Toc471995382"/>
      <w:bookmarkStart w:id="327" w:name="_Toc471996894"/>
      <w:bookmarkStart w:id="328" w:name="_Toc474255255"/>
      <w:bookmarkStart w:id="329" w:name="_Toc256000125"/>
      <w:bookmarkStart w:id="330" w:name="_Toc256000092"/>
      <w:bookmarkStart w:id="331" w:name="_Toc256000059"/>
      <w:bookmarkStart w:id="332" w:name="_Toc256000026"/>
      <w:bookmarkStart w:id="333" w:name="_Toc480793162"/>
      <w:r>
        <w:rPr>
          <w:lang w:val="en-US"/>
        </w:rPr>
        <w:t>Opportunity cost</w:t>
      </w:r>
      <w:bookmarkEnd w:id="321"/>
      <w:bookmarkEnd w:id="322"/>
      <w:bookmarkEnd w:id="323"/>
      <w:bookmarkEnd w:id="324"/>
      <w:bookmarkEnd w:id="325"/>
      <w:bookmarkEnd w:id="326"/>
      <w:bookmarkEnd w:id="327"/>
      <w:bookmarkEnd w:id="328"/>
      <w:bookmarkEnd w:id="329"/>
      <w:bookmarkEnd w:id="330"/>
      <w:bookmarkEnd w:id="331"/>
      <w:bookmarkEnd w:id="332"/>
      <w:bookmarkEnd w:id="333"/>
    </w:p>
    <w:p w14:paraId="3165A029" w14:textId="4BD80035" w:rsidR="004163AF" w:rsidRPr="00673EDD" w:rsidRDefault="00581470" w:rsidP="00144CC0">
      <w:pPr>
        <w:pStyle w:val="BoxHeading"/>
        <w:spacing w:before="120"/>
        <w:rPr>
          <w:smallCaps w:val="0"/>
        </w:rPr>
      </w:pPr>
      <w:r w:rsidRPr="00673EDD">
        <w:rPr>
          <w:smallCaps w:val="0"/>
        </w:rPr>
        <w:t xml:space="preserve">Draft </w:t>
      </w:r>
      <w:r w:rsidR="00673EDD">
        <w:rPr>
          <w:smallCaps w:val="0"/>
        </w:rPr>
        <w:t>p</w:t>
      </w:r>
      <w:r w:rsidR="007D17F0" w:rsidRPr="00673EDD">
        <w:rPr>
          <w:smallCaps w:val="0"/>
        </w:rPr>
        <w:t xml:space="preserve">roposal </w:t>
      </w:r>
      <w:r w:rsidR="007D17F0" w:rsidRPr="00673EDD">
        <w:rPr>
          <w:smallCaps w:val="0"/>
        </w:rPr>
        <w:fldChar w:fldCharType="begin"/>
      </w:r>
      <w:r w:rsidR="007D17F0" w:rsidRPr="00673EDD">
        <w:rPr>
          <w:smallCaps w:val="0"/>
        </w:rPr>
        <w:instrText xml:space="preserve"> AUTONUMLGL  \e \* Arabic </w:instrText>
      </w:r>
      <w:r w:rsidR="007D17F0" w:rsidRPr="00673EDD">
        <w:rPr>
          <w:smallCaps w:val="0"/>
        </w:rPr>
        <w:fldChar w:fldCharType="end"/>
      </w:r>
    </w:p>
    <w:p w14:paraId="22BE2388" w14:textId="77777777" w:rsidR="0087774F" w:rsidRDefault="004163AF" w:rsidP="00C912CB">
      <w:pPr>
        <w:pStyle w:val="BoxContents"/>
      </w:pPr>
      <w:r>
        <w:t xml:space="preserve">The ACMA should </w:t>
      </w:r>
      <w:r w:rsidR="001F0B74">
        <w:t>apply</w:t>
      </w:r>
      <w:r>
        <w:t xml:space="preserve"> opportunity cost pricing </w:t>
      </w:r>
      <w:r w:rsidR="001F0B74">
        <w:t>to</w:t>
      </w:r>
      <w:r>
        <w:t xml:space="preserve"> a greater number of spectrum bands, especially where it is impractical to </w:t>
      </w:r>
      <w:r w:rsidR="00FF57C7">
        <w:t>competitively allocate</w:t>
      </w:r>
      <w:r>
        <w:t xml:space="preserve"> spectrum. This work should be </w:t>
      </w:r>
      <w:r w:rsidR="001F0B74">
        <w:t>identified</w:t>
      </w:r>
      <w:r>
        <w:t xml:space="preserve"> in the ACMAs </w:t>
      </w:r>
      <w:r w:rsidR="00E07722">
        <w:t xml:space="preserve">annual </w:t>
      </w:r>
      <w:r>
        <w:t xml:space="preserve">work </w:t>
      </w:r>
      <w:r w:rsidR="00E07722">
        <w:t>program</w:t>
      </w:r>
      <w:r>
        <w:t xml:space="preserve">. </w:t>
      </w:r>
      <w:r w:rsidRPr="008D4B89">
        <w:t xml:space="preserve">The ACMA should </w:t>
      </w:r>
      <w:r w:rsidR="008A7F5F">
        <w:t xml:space="preserve">consider more time effective approaches to implement these, and </w:t>
      </w:r>
      <w:r w:rsidRPr="008D4B89">
        <w:t>review fees as market conditions change over time.</w:t>
      </w:r>
    </w:p>
    <w:p w14:paraId="7365DBB0" w14:textId="77777777" w:rsidR="00CA43BC" w:rsidRPr="00924D2B" w:rsidRDefault="00CA43BC" w:rsidP="00CA43BC">
      <w:pPr>
        <w:rPr>
          <w:lang w:val="en-US"/>
        </w:rPr>
      </w:pPr>
      <w:r>
        <w:t xml:space="preserve">Regulators try to replicate market outcomes by setting prices according to the ‘opportunity cost’ of the spectrum. </w:t>
      </w:r>
      <w:r>
        <w:rPr>
          <w:lang w:val="en-US"/>
        </w:rPr>
        <w:t xml:space="preserve">Opportunity cost </w:t>
      </w:r>
      <w:r w:rsidRPr="006B0E1D">
        <w:rPr>
          <w:lang w:val="en-US"/>
        </w:rPr>
        <w:t xml:space="preserve">seeks to overcome some of the shortcomings of </w:t>
      </w:r>
      <w:r>
        <w:rPr>
          <w:lang w:val="en-US"/>
        </w:rPr>
        <w:t xml:space="preserve">other forms of administered pricing (such as basing fees off international benchmarks, or choosing figures based on legacy pricing structures) </w:t>
      </w:r>
      <w:r w:rsidRPr="006B0E1D">
        <w:rPr>
          <w:lang w:val="en-US"/>
        </w:rPr>
        <w:t>by providing more accurate pricing signals to spectrum users.</w:t>
      </w:r>
    </w:p>
    <w:p w14:paraId="6E1BAF2B" w14:textId="77777777" w:rsidR="008E2767" w:rsidRDefault="00CA43BC" w:rsidP="00CA43BC">
      <w:pPr>
        <w:rPr>
          <w:lang w:val="en-US"/>
        </w:rPr>
      </w:pPr>
      <w:r>
        <w:rPr>
          <w:lang w:val="en-US"/>
        </w:rPr>
        <w:t xml:space="preserve">Opportunity cost is a sophisticated form of administered pricing. It reflects that in using spectrum, users deny spectrum for others, and that alternative use has value. Opportunity cost approaches set the price at that foregone value. This generally mimics the price a market would have reached, as it means the company who purchases the spectrum likely values it somewhat more than the opportunity cost (leading to profits), and the person who misses out </w:t>
      </w:r>
      <w:r w:rsidR="00FF57C7">
        <w:rPr>
          <w:lang w:val="en-US"/>
        </w:rPr>
        <w:t>would</w:t>
      </w:r>
      <w:r>
        <w:rPr>
          <w:lang w:val="en-US"/>
        </w:rPr>
        <w:t xml:space="preserve"> prefer to put their dollars to another use. If the use of spectrum isn’t denying anybody else (in the case where supply of spectrum exceeds its demand), then its opportunity cost is zero. However, if it does deny use of the spectrum (where demand exceeds supply), then the opportunity cost increases with the value of the spectrum.</w:t>
      </w:r>
    </w:p>
    <w:p w14:paraId="03EEC254" w14:textId="507D3309" w:rsidR="00CA43BC" w:rsidRDefault="00CA43BC" w:rsidP="00CA0B9E">
      <w:pPr>
        <w:pStyle w:val="BoxPlain"/>
        <w:shd w:val="clear" w:color="auto" w:fill="E4E4E4"/>
        <w:rPr>
          <w:lang w:val="en-US"/>
        </w:rPr>
      </w:pPr>
      <w:r w:rsidRPr="008C51ED">
        <w:t>In general terms, benefits to society will be maximised over time if spectrum is priced to reflect opportunity cost. The opportunity cost is the price that would emerge in a well-functioning market and reflects the value of spectrum to the best alternative use or user that is denied access to it</w:t>
      </w:r>
      <w:r>
        <w:t>.</w:t>
      </w:r>
    </w:p>
    <w:p w14:paraId="79A1C1AA" w14:textId="77777777" w:rsidR="00CA43BC" w:rsidRPr="00A76AC2" w:rsidRDefault="00CA43BC" w:rsidP="00CA0B9E">
      <w:pPr>
        <w:pStyle w:val="BoxPlain"/>
        <w:shd w:val="clear" w:color="auto" w:fill="E4E4E4"/>
        <w:jc w:val="right"/>
        <w:rPr>
          <w:lang w:val="en-US"/>
        </w:rPr>
      </w:pPr>
      <w:r>
        <w:t>Ofcom, 2010</w:t>
      </w:r>
    </w:p>
    <w:p w14:paraId="44BBF4D2" w14:textId="77777777" w:rsidR="008E2767" w:rsidRDefault="00CA43BC" w:rsidP="00CA43BC">
      <w:r>
        <w:rPr>
          <w:lang w:val="en-US"/>
        </w:rPr>
        <w:t>Approaches to opportunity cost methods are flexible. For example, an opportunity cost valuation can assume that only current users are able to benefit from a spectrum band. It can also account for public good value (for example, of public safety use of spectrum) and for government regulation (for example, a broadcaster’s content obligations)</w:t>
      </w:r>
      <w:r>
        <w:t>.</w:t>
      </w:r>
    </w:p>
    <w:p w14:paraId="198522C5" w14:textId="371BE8BA" w:rsidR="00CA43BC" w:rsidRDefault="00CA43BC" w:rsidP="00CA43BC">
      <w:pPr>
        <w:rPr>
          <w:lang w:val="en-US"/>
        </w:rPr>
      </w:pPr>
      <w:r>
        <w:t xml:space="preserve">There are a range of methodologies available to estimate the opportunity cost of a band. The choice of approach </w:t>
      </w:r>
      <w:r>
        <w:rPr>
          <w:lang w:val="en-US"/>
        </w:rPr>
        <w:t xml:space="preserve">is informed by the objectives the regulator is seeking to achieve, the frequency band being considered, and the quality of the information available. </w:t>
      </w:r>
      <w:r>
        <w:t xml:space="preserve">The current practice is to estimate prices using a number of these approaches and then settle on a point within that range. The ACMA sets the final price </w:t>
      </w:r>
      <w:r w:rsidR="006567D3">
        <w:t>based on the specific</w:t>
      </w:r>
      <w:r w:rsidR="003A3E63">
        <w:t xml:space="preserve"> circumstances. </w:t>
      </w:r>
      <w:r>
        <w:t>For example, t</w:t>
      </w:r>
      <w:r>
        <w:rPr>
          <w:lang w:val="en-US"/>
        </w:rPr>
        <w:t xml:space="preserve">he ACMA </w:t>
      </w:r>
      <w:r w:rsidR="006567D3">
        <w:rPr>
          <w:lang w:val="en-US"/>
        </w:rPr>
        <w:t>has</w:t>
      </w:r>
      <w:r>
        <w:rPr>
          <w:lang w:val="en-US"/>
        </w:rPr>
        <w:t xml:space="preserve"> successfully used opportunity cost pricing in the 400 MHz band, where network congestion led to the gradual raising of prices to reduce demand. </w:t>
      </w:r>
      <w:r w:rsidR="00054400">
        <w:rPr>
          <w:lang w:val="en-US"/>
        </w:rPr>
        <w:t xml:space="preserve">The ACMA is also using opportunity cost pricing methods to reduce </w:t>
      </w:r>
      <w:r w:rsidR="007638B7">
        <w:rPr>
          <w:lang w:val="en-US"/>
        </w:rPr>
        <w:t>several taxes</w:t>
      </w:r>
      <w:r w:rsidR="00054400">
        <w:rPr>
          <w:lang w:val="en-US"/>
        </w:rPr>
        <w:t xml:space="preserve"> for spectrum users in the Ka</w:t>
      </w:r>
      <w:r w:rsidR="00FF57C7">
        <w:rPr>
          <w:lang w:val="en-US"/>
        </w:rPr>
        <w:t>-band</w:t>
      </w:r>
      <w:r w:rsidR="00054400">
        <w:rPr>
          <w:lang w:val="en-US"/>
        </w:rPr>
        <w:t xml:space="preserve"> satellite </w:t>
      </w:r>
      <w:r w:rsidR="00FF57C7">
        <w:rPr>
          <w:lang w:val="en-US"/>
        </w:rPr>
        <w:t>spectrum</w:t>
      </w:r>
      <w:r w:rsidR="00054400">
        <w:rPr>
          <w:lang w:val="en-US"/>
        </w:rPr>
        <w:t>.</w:t>
      </w:r>
    </w:p>
    <w:p w14:paraId="2393A926" w14:textId="669D6F0F" w:rsidR="00CA43BC" w:rsidRDefault="00CA43BC" w:rsidP="00CA43BC">
      <w:r>
        <w:t>This recommendation is not novel. The Productivity Commission</w:t>
      </w:r>
      <w:r w:rsidR="002E25E5">
        <w:t xml:space="preserve">’s </w:t>
      </w:r>
      <w:r w:rsidR="002E25E5" w:rsidRPr="00065086">
        <w:rPr>
          <w:i/>
        </w:rPr>
        <w:t>2002 Review of the Radiocommunications Act 1992</w:t>
      </w:r>
      <w:r>
        <w:t xml:space="preserve"> recommended increased use of opportunity cost pricing </w:t>
      </w:r>
      <w:r w:rsidR="00C96EED">
        <w:t xml:space="preserve">for </w:t>
      </w:r>
      <w:r>
        <w:t>spectrum</w:t>
      </w:r>
      <w:r w:rsidR="002E25E5">
        <w:t xml:space="preserve">. Since </w:t>
      </w:r>
      <w:r>
        <w:t xml:space="preserve">then the ACMA’s introduction of opportunity cost has been slow and piecemeal. Of the ACMA’s thirteen spectrum ranges for </w:t>
      </w:r>
      <w:r w:rsidR="00307352">
        <w:t>apparatus licence tax purposes</w:t>
      </w:r>
      <w:r>
        <w:t xml:space="preserve">, </w:t>
      </w:r>
      <w:r w:rsidR="006567D3">
        <w:t xml:space="preserve">opportunity cost pricing has only been applied to </w:t>
      </w:r>
      <w:r w:rsidR="00C852C3">
        <w:t>the 400 MHz band</w:t>
      </w:r>
      <w:r>
        <w:t xml:space="preserve"> </w:t>
      </w:r>
      <w:r w:rsidR="00FF57C7">
        <w:t>and the Ka-band</w:t>
      </w:r>
      <w:r>
        <w:t xml:space="preserve">. The remaining eleven are unchanged, and there are no identified plans to review these. </w:t>
      </w:r>
      <w:r w:rsidR="002E25E5">
        <w:t xml:space="preserve">This </w:t>
      </w:r>
      <w:r w:rsidR="00C96EED">
        <w:t>could</w:t>
      </w:r>
      <w:r w:rsidR="00911686">
        <w:t xml:space="preserve"> be identified in the ACMA’s annual work program</w:t>
      </w:r>
      <w:r w:rsidR="002E25E5">
        <w:t xml:space="preserve"> required to be produced under the </w:t>
      </w:r>
      <w:r w:rsidR="00C13BD1">
        <w:t>proposed Radiocommunications Bill</w:t>
      </w:r>
      <w:r w:rsidR="003A3E63">
        <w:t>.</w:t>
      </w:r>
      <w:r>
        <w:t xml:space="preserve"> This would build consistency for industry and increase transparency of </w:t>
      </w:r>
      <w:r w:rsidR="006567D3">
        <w:t xml:space="preserve">any </w:t>
      </w:r>
      <w:r>
        <w:t>decisions to move to opportunity cost.</w:t>
      </w:r>
    </w:p>
    <w:p w14:paraId="72CCD884" w14:textId="77777777" w:rsidR="00B76040" w:rsidRDefault="00B76040" w:rsidP="00B76040">
      <w:r>
        <w:t>Full opportunity cost assessments, including appropriate analysis, consideration and consultation, take time to implement. The ACMA’s 400 MHz exercise took four years to implement the initial pr</w:t>
      </w:r>
      <w:r w:rsidR="00C96EED">
        <w:t>ice adjustments. While this can be expected for a regulator’s first</w:t>
      </w:r>
      <w:r w:rsidR="00AC4A6B">
        <w:t xml:space="preserve"> model of a</w:t>
      </w:r>
      <w:r w:rsidR="00C96EED">
        <w:t xml:space="preserve"> new pricing approach, t</w:t>
      </w:r>
      <w:r>
        <w:t>he ACMA should consider ways to innovatively and more quickly implement opportunity cost pricing for the remaining bands.</w:t>
      </w:r>
    </w:p>
    <w:p w14:paraId="379B2542" w14:textId="77777777" w:rsidR="00CA43BC" w:rsidRDefault="00CA43BC" w:rsidP="00CA43BC">
      <w:r>
        <w:t xml:space="preserve">Opportunity cost assessments only reflect a point in time. Without adjustment, administered fees could diverge from the true market price of the spectrum. Therefore timely updates are required to readjust fees. Where updates happen more frequently, it is less likely fee changes will be significant, and markets will have a better opportunity to adjust. However, there is a balance between providing accurate estimates that best assist in allocating spectrum to its highest value use, and providing long-term certainty on fees. The ACMA </w:t>
      </w:r>
      <w:r w:rsidR="00B31F2C">
        <w:t xml:space="preserve">annual work program could </w:t>
      </w:r>
      <w:r w:rsidR="001F1B75">
        <w:t xml:space="preserve">also </w:t>
      </w:r>
      <w:r w:rsidR="00B31F2C">
        <w:t>outline</w:t>
      </w:r>
      <w:r>
        <w:t xml:space="preserve"> how review</w:t>
      </w:r>
      <w:r w:rsidR="00B31F2C">
        <w:t xml:space="preserve">s of </w:t>
      </w:r>
      <w:r>
        <w:t xml:space="preserve">fees as market conditions change </w:t>
      </w:r>
      <w:r w:rsidR="00B31F2C">
        <w:t>might occur</w:t>
      </w:r>
      <w:r w:rsidR="0079373C">
        <w:t>.</w:t>
      </w:r>
    </w:p>
    <w:p w14:paraId="55F11EA1" w14:textId="52D3E4A6" w:rsidR="00377CD4" w:rsidRPr="00673EDD" w:rsidRDefault="00377CD4" w:rsidP="00144CC0">
      <w:pPr>
        <w:pStyle w:val="BoxHeading"/>
        <w:spacing w:before="120"/>
        <w:rPr>
          <w:smallCaps w:val="0"/>
        </w:rPr>
      </w:pPr>
      <w:r w:rsidRPr="00673EDD">
        <w:rPr>
          <w:smallCaps w:val="0"/>
        </w:rPr>
        <w:t>Questions (</w:t>
      </w:r>
      <w:r w:rsidR="00673EDD">
        <w:rPr>
          <w:smallCaps w:val="0"/>
        </w:rPr>
        <w:t>a</w:t>
      </w:r>
      <w:r w:rsidR="000A1AF5" w:rsidRPr="00673EDD">
        <w:rPr>
          <w:smallCaps w:val="0"/>
        </w:rPr>
        <w:t xml:space="preserve">dministered </w:t>
      </w:r>
      <w:r w:rsidR="00673EDD">
        <w:rPr>
          <w:smallCaps w:val="0"/>
        </w:rPr>
        <w:t>a</w:t>
      </w:r>
      <w:r w:rsidR="000A1AF5" w:rsidRPr="00673EDD">
        <w:rPr>
          <w:smallCaps w:val="0"/>
        </w:rPr>
        <w:t>llocations</w:t>
      </w:r>
      <w:r w:rsidRPr="00673EDD">
        <w:rPr>
          <w:smallCaps w:val="0"/>
        </w:rPr>
        <w:t>)</w:t>
      </w:r>
    </w:p>
    <w:p w14:paraId="1E30F589" w14:textId="77777777" w:rsidR="000A1AF5" w:rsidRDefault="000A1AF5" w:rsidP="000A1AF5">
      <w:pPr>
        <w:pStyle w:val="BoxContents"/>
      </w:pPr>
      <w:r>
        <w:t>Other than the parameters listed above, are there any additional parameters that should be incorporated into the formula?</w:t>
      </w:r>
    </w:p>
    <w:p w14:paraId="569DAFAF" w14:textId="77777777" w:rsidR="008E2767" w:rsidRDefault="00377CD4" w:rsidP="00377CD4">
      <w:pPr>
        <w:pStyle w:val="BoxContents"/>
      </w:pPr>
      <w:r>
        <w:t>Are there scenarios where opportunity cost pricing is not a valid pricing approach for pricing spectrum?</w:t>
      </w:r>
    </w:p>
    <w:p w14:paraId="0A55C1E3" w14:textId="79AC008A" w:rsidR="00377CD4" w:rsidRDefault="00377CD4" w:rsidP="00377CD4">
      <w:pPr>
        <w:pStyle w:val="BoxContents"/>
      </w:pPr>
      <w:r>
        <w:t>How can the ACMA improve its approach to opportunity cost pricing?</w:t>
      </w:r>
    </w:p>
    <w:p w14:paraId="16FBE6A0" w14:textId="77777777" w:rsidR="0006661F" w:rsidRDefault="0006661F" w:rsidP="0006661F">
      <w:pPr>
        <w:pStyle w:val="Heading3"/>
      </w:pPr>
      <w:bookmarkStart w:id="334" w:name="_Toc471731855"/>
      <w:bookmarkStart w:id="335" w:name="_Toc471819444"/>
      <w:bookmarkStart w:id="336" w:name="_Toc471986070"/>
      <w:bookmarkStart w:id="337" w:name="_Toc471987666"/>
      <w:bookmarkStart w:id="338" w:name="_Toc471988047"/>
      <w:bookmarkStart w:id="339" w:name="_Toc471992213"/>
      <w:bookmarkStart w:id="340" w:name="_Toc471995388"/>
      <w:bookmarkStart w:id="341" w:name="_Toc471996900"/>
      <w:bookmarkStart w:id="342" w:name="_Toc474255256"/>
      <w:bookmarkStart w:id="343" w:name="_Toc256000126"/>
      <w:bookmarkStart w:id="344" w:name="_Toc256000093"/>
      <w:bookmarkStart w:id="345" w:name="_Toc256000060"/>
      <w:bookmarkStart w:id="346" w:name="_Toc256000027"/>
      <w:bookmarkStart w:id="347" w:name="_Toc480793163"/>
      <w:r>
        <w:t>Legislative and cost-recovery framework</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58CB54B3" w14:textId="67A901B6" w:rsidR="003E74A7" w:rsidRDefault="0006661F" w:rsidP="0006661F">
      <w:pPr>
        <w:autoSpaceDE w:val="0"/>
        <w:autoSpaceDN w:val="0"/>
        <w:adjustRightInd w:val="0"/>
      </w:pPr>
      <w:r>
        <w:t>The current system was created</w:t>
      </w:r>
      <w:r w:rsidR="006567D3">
        <w:t xml:space="preserve"> in 1992</w:t>
      </w:r>
      <w:r>
        <w:t xml:space="preserve"> for the existing </w:t>
      </w:r>
      <w:r w:rsidR="00511DEE">
        <w:t xml:space="preserve">apparatus and spectrum licensing </w:t>
      </w:r>
      <w:r>
        <w:t>system</w:t>
      </w:r>
      <w:r w:rsidR="00511DEE">
        <w:t>s</w:t>
      </w:r>
      <w:r>
        <w:t>. The multiple pieces of legislation and different methods to determine charges</w:t>
      </w:r>
      <w:r w:rsidR="00A46644">
        <w:t xml:space="preserve"> </w:t>
      </w:r>
      <w:r w:rsidR="00DA2DBD">
        <w:t>creates an</w:t>
      </w:r>
      <w:r>
        <w:t xml:space="preserve"> inconsistent framework between different </w:t>
      </w:r>
      <w:r w:rsidR="00261878">
        <w:t>licensing systems</w:t>
      </w:r>
      <w:r>
        <w:t xml:space="preserve">. The </w:t>
      </w:r>
      <w:r w:rsidR="007F433B">
        <w:t xml:space="preserve">proposed </w:t>
      </w:r>
      <w:r>
        <w:t xml:space="preserve">single licensing </w:t>
      </w:r>
      <w:r w:rsidR="00261878">
        <w:t>system</w:t>
      </w:r>
      <w:r>
        <w:t xml:space="preserve"> will remove the distinction between apparatus and spectrum licences. </w:t>
      </w:r>
      <w:r w:rsidR="00DA2DBD">
        <w:t>This</w:t>
      </w:r>
      <w:r>
        <w:t xml:space="preserve"> mean many parts of the current framework will become unnecessary or obsolete, presenting an opportunity to restructure.</w:t>
      </w:r>
      <w:r w:rsidR="008451A3">
        <w:t xml:space="preserve"> It was for this reason that </w:t>
      </w:r>
      <w:r w:rsidR="00DA2DBD">
        <w:t xml:space="preserve">the </w:t>
      </w:r>
      <w:r w:rsidR="008451A3">
        <w:t>Spectrum Review recommended consolidating pricing and taxation arrangements.</w:t>
      </w:r>
    </w:p>
    <w:p w14:paraId="42783E4D" w14:textId="77777777" w:rsidR="008E2767" w:rsidRDefault="00867B49" w:rsidP="0006661F">
      <w:pPr>
        <w:autoSpaceDE w:val="0"/>
        <w:autoSpaceDN w:val="0"/>
        <w:adjustRightInd w:val="0"/>
      </w:pPr>
      <w:r>
        <w:t xml:space="preserve">This section identifies how a consolidation of these arrangements </w:t>
      </w:r>
      <w:r w:rsidR="007762BB">
        <w:t>can</w:t>
      </w:r>
      <w:r>
        <w:t xml:space="preserve"> be achieved.</w:t>
      </w:r>
    </w:p>
    <w:p w14:paraId="60719C29" w14:textId="7A69A8A8" w:rsidR="002451A5" w:rsidRDefault="002451A5" w:rsidP="005537E3">
      <w:pPr>
        <w:pStyle w:val="Heading4"/>
        <w:spacing w:after="120"/>
      </w:pPr>
      <w:bookmarkStart w:id="348" w:name="_Toc466289621"/>
      <w:bookmarkStart w:id="349" w:name="_Toc471731858"/>
      <w:bookmarkStart w:id="350" w:name="_Toc471819447"/>
      <w:bookmarkStart w:id="351" w:name="_Toc471986073"/>
      <w:bookmarkStart w:id="352" w:name="_Toc471987669"/>
      <w:bookmarkStart w:id="353" w:name="_Toc471988050"/>
      <w:bookmarkStart w:id="354" w:name="_Toc471992216"/>
      <w:bookmarkStart w:id="355" w:name="_Toc471995391"/>
      <w:bookmarkStart w:id="356" w:name="_Toc471996903"/>
      <w:bookmarkStart w:id="357" w:name="_Toc474255257"/>
      <w:bookmarkStart w:id="358" w:name="_Toc256000127"/>
      <w:bookmarkStart w:id="359" w:name="_Toc256000094"/>
      <w:bookmarkStart w:id="360" w:name="_Toc256000061"/>
      <w:bookmarkStart w:id="361" w:name="_Toc256000028"/>
      <w:bookmarkStart w:id="362" w:name="_Toc480793164"/>
      <w:bookmarkStart w:id="363" w:name="_Toc466289620"/>
      <w:bookmarkStart w:id="364" w:name="_Toc471731857"/>
      <w:bookmarkStart w:id="365" w:name="_Toc471819446"/>
      <w:bookmarkStart w:id="366" w:name="_Toc471986072"/>
      <w:bookmarkStart w:id="367" w:name="_Toc471987668"/>
      <w:bookmarkStart w:id="368" w:name="_Toc471988049"/>
      <w:bookmarkStart w:id="369" w:name="_Toc471992215"/>
      <w:bookmarkStart w:id="370" w:name="_Toc471995390"/>
      <w:bookmarkStart w:id="371" w:name="_Toc471996902"/>
      <w:bookmarkStart w:id="372" w:name="_Toc466289619"/>
      <w:bookmarkStart w:id="373" w:name="_Toc471731856"/>
      <w:bookmarkStart w:id="374" w:name="_Toc471819445"/>
      <w:bookmarkStart w:id="375" w:name="_Toc471986071"/>
      <w:bookmarkStart w:id="376" w:name="_Toc471987667"/>
      <w:bookmarkStart w:id="377" w:name="_Toc471988048"/>
      <w:bookmarkStart w:id="378" w:name="_Toc471992214"/>
      <w:bookmarkStart w:id="379" w:name="_Toc471995389"/>
      <w:bookmarkStart w:id="380" w:name="_Toc471996901"/>
      <w:r>
        <w:t>Legislative framework</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0180A98A" w14:textId="6E781B4A" w:rsidR="002451A5" w:rsidRPr="00673EDD" w:rsidRDefault="00581470" w:rsidP="00144CC0">
      <w:pPr>
        <w:pStyle w:val="BoxHeading"/>
        <w:spacing w:before="120"/>
        <w:rPr>
          <w:smallCaps w:val="0"/>
        </w:rPr>
      </w:pPr>
      <w:r w:rsidRPr="00673EDD">
        <w:rPr>
          <w:smallCaps w:val="0"/>
        </w:rPr>
        <w:t xml:space="preserve">Draft </w:t>
      </w:r>
      <w:r w:rsidR="00673EDD">
        <w:rPr>
          <w:smallCaps w:val="0"/>
        </w:rPr>
        <w:t>p</w:t>
      </w:r>
      <w:r w:rsidR="002451A5" w:rsidRPr="00673EDD">
        <w:rPr>
          <w:smallCaps w:val="0"/>
        </w:rPr>
        <w:t xml:space="preserve">roposal </w:t>
      </w:r>
      <w:r w:rsidR="002451A5" w:rsidRPr="00673EDD">
        <w:rPr>
          <w:smallCaps w:val="0"/>
        </w:rPr>
        <w:fldChar w:fldCharType="begin"/>
      </w:r>
      <w:r w:rsidR="002451A5" w:rsidRPr="00673EDD">
        <w:rPr>
          <w:smallCaps w:val="0"/>
        </w:rPr>
        <w:instrText xml:space="preserve"> AUTONUMLGL  \e \* Arabic </w:instrText>
      </w:r>
      <w:r w:rsidR="002451A5" w:rsidRPr="00673EDD">
        <w:rPr>
          <w:smallCaps w:val="0"/>
        </w:rPr>
        <w:fldChar w:fldCharType="end"/>
      </w:r>
    </w:p>
    <w:p w14:paraId="3FF4C20A" w14:textId="57579EC6" w:rsidR="002451A5" w:rsidRDefault="00E20E5E" w:rsidP="002451A5">
      <w:pPr>
        <w:pStyle w:val="BoxContents"/>
      </w:pPr>
      <w:r>
        <w:t>T</w:t>
      </w:r>
      <w:r w:rsidR="00B34CDA">
        <w:t>he G</w:t>
      </w:r>
      <w:r w:rsidR="00F34E5F">
        <w:t>overnment should c</w:t>
      </w:r>
      <w:r w:rsidR="00BA24F3">
        <w:t>onsolidate the</w:t>
      </w:r>
      <w:r w:rsidR="002451A5">
        <w:t xml:space="preserve"> three </w:t>
      </w:r>
      <w:r w:rsidR="00D543F3">
        <w:t xml:space="preserve">existing spectrum </w:t>
      </w:r>
      <w:r w:rsidR="002451A5">
        <w:t xml:space="preserve">tax </w:t>
      </w:r>
      <w:r w:rsidR="006567D3">
        <w:t>A</w:t>
      </w:r>
      <w:r w:rsidR="002451A5">
        <w:t xml:space="preserve">cts into one tax </w:t>
      </w:r>
      <w:r w:rsidR="00BA24F3">
        <w:t>A</w:t>
      </w:r>
      <w:r w:rsidR="002451A5">
        <w:t xml:space="preserve">ct. </w:t>
      </w:r>
      <w:r w:rsidR="00815FDE">
        <w:t xml:space="preserve">The ACMA should continue to have the power to make </w:t>
      </w:r>
      <w:r w:rsidR="002451A5">
        <w:t>determination</w:t>
      </w:r>
      <w:r w:rsidR="00815FDE">
        <w:t>s</w:t>
      </w:r>
      <w:r w:rsidR="002451A5">
        <w:t xml:space="preserve"> </w:t>
      </w:r>
      <w:r w:rsidR="00815FDE">
        <w:t xml:space="preserve">on </w:t>
      </w:r>
      <w:r w:rsidR="00261878">
        <w:t>the amount of tax</w:t>
      </w:r>
      <w:r w:rsidR="00BA24F3">
        <w:t xml:space="preserve"> under this A</w:t>
      </w:r>
      <w:r w:rsidR="002451A5">
        <w:t xml:space="preserve">ct. There </w:t>
      </w:r>
      <w:r w:rsidR="00F34E5F">
        <w:t>should</w:t>
      </w:r>
      <w:r w:rsidR="002451A5">
        <w:t xml:space="preserve"> be no changes to</w:t>
      </w:r>
      <w:r w:rsidR="00DA2DBD">
        <w:t xml:space="preserve"> the</w:t>
      </w:r>
      <w:r w:rsidR="002451A5">
        <w:t xml:space="preserve"> direct charges framework. </w:t>
      </w:r>
      <w:r w:rsidR="00C96EED">
        <w:t>In addition to the consolidation of the tax Acts, p</w:t>
      </w:r>
      <w:r w:rsidR="002451A5">
        <w:t xml:space="preserve">rovisions of the </w:t>
      </w:r>
      <w:r w:rsidR="00C96EED">
        <w:t>separate</w:t>
      </w:r>
      <w:r w:rsidR="002451A5">
        <w:t xml:space="preserve"> </w:t>
      </w:r>
      <w:r w:rsidR="002451A5" w:rsidRPr="00BB056B">
        <w:rPr>
          <w:i/>
        </w:rPr>
        <w:t>Radiocommunications Taxes Collection Act 1983</w:t>
      </w:r>
      <w:r w:rsidR="002451A5">
        <w:t xml:space="preserve"> and the </w:t>
      </w:r>
      <w:r w:rsidR="002451A5" w:rsidRPr="00BB056B">
        <w:rPr>
          <w:i/>
        </w:rPr>
        <w:t>Radiocommunications Taxes Collection Regulations 1985</w:t>
      </w:r>
      <w:r w:rsidR="002451A5" w:rsidRPr="00307352">
        <w:t xml:space="preserve"> </w:t>
      </w:r>
      <w:r w:rsidR="002451A5">
        <w:t xml:space="preserve">should be </w:t>
      </w:r>
      <w:r w:rsidR="00BB056B">
        <w:t>consolidated with the remaining legislation</w:t>
      </w:r>
      <w:r w:rsidR="002451A5">
        <w:t>.</w:t>
      </w:r>
    </w:p>
    <w:p w14:paraId="2BC4C83C" w14:textId="3C6CF517" w:rsidR="002451A5" w:rsidRPr="00244965" w:rsidRDefault="002451A5" w:rsidP="001553B3">
      <w:r>
        <w:t>The power to charge for spectrum is through a complex hierarchy of legislative arrangements. There are six Acts and many legislative instruments that enable the current pricing framework. Figure</w:t>
      </w:r>
      <w:r w:rsidR="00CC5421">
        <w:t xml:space="preserve"> 3</w:t>
      </w:r>
      <w:r>
        <w:t xml:space="preserve"> shows the legislation behin</w:t>
      </w:r>
      <w:r w:rsidR="001553B3">
        <w:t>d the current pricing framework.</w:t>
      </w:r>
      <w:r>
        <w:t xml:space="preserve"> The legislative instruments are primarily based on whether </w:t>
      </w:r>
      <w:r w:rsidR="00E73389">
        <w:t>the licence is</w:t>
      </w:r>
      <w:r>
        <w:t xml:space="preserve"> an apparatus or spectrum licence, but overlap does occur.</w:t>
      </w:r>
    </w:p>
    <w:p w14:paraId="3742797E" w14:textId="6034B5F8" w:rsidR="002451A5" w:rsidRDefault="00CC5421" w:rsidP="00144CC0">
      <w:pPr>
        <w:pStyle w:val="Tablefigureheading"/>
        <w:spacing w:before="120" w:after="120"/>
      </w:pPr>
      <w:r>
        <w:t>Figure 3</w:t>
      </w:r>
      <w:r w:rsidR="002451A5">
        <w:t>: Current pricing framework</w:t>
      </w:r>
    </w:p>
    <w:p w14:paraId="03B655C3" w14:textId="359EB037" w:rsidR="005B5C66" w:rsidRDefault="005B5C66" w:rsidP="002451A5">
      <w:r>
        <w:rPr>
          <w:noProof/>
          <w:lang w:eastAsia="zh-TW" w:bidi="hi-IN"/>
        </w:rPr>
        <w:drawing>
          <wp:inline distT="0" distB="0" distL="0" distR="0" wp14:anchorId="23DB08A5" wp14:editId="09FBFEEF">
            <wp:extent cx="5926455" cy="3858895"/>
            <wp:effectExtent l="0" t="0" r="0" b="8255"/>
            <wp:docPr id="4" name="Picture 4" descr="This picture shows the pricing framework currently used. Class licence holders do not pay any fees. Apparatus licence holders pay ACMA charges and apparatus licence taxes. Spectrum licence holders ACMA charges, spectrum licence taxes and spectrum access charges. All of these payments are either for direct cost recovery, indirect cost recovery or value based fees. In addition, there are other tax enabling legislation such as the Radiocommunications Taxes collection Act 1983." title="Figure 3: Current pric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3858895"/>
                    </a:xfrm>
                    <a:prstGeom prst="rect">
                      <a:avLst/>
                    </a:prstGeom>
                  </pic:spPr>
                </pic:pic>
              </a:graphicData>
            </a:graphic>
          </wp:inline>
        </w:drawing>
      </w:r>
    </w:p>
    <w:p w14:paraId="4EB06494" w14:textId="736435E1" w:rsidR="002451A5" w:rsidRDefault="002451A5" w:rsidP="002451A5">
      <w:r>
        <w:t>Multiple</w:t>
      </w:r>
      <w:r w:rsidR="00D543F3">
        <w:t xml:space="preserve"> spectrum</w:t>
      </w:r>
      <w:r>
        <w:t xml:space="preserve"> taxation acts and determinations are not necessary under a single </w:t>
      </w:r>
      <w:r w:rsidR="008A1FA5">
        <w:t>licensing system</w:t>
      </w:r>
      <w:r>
        <w:t xml:space="preserve">. The revised cost recovery and </w:t>
      </w:r>
      <w:r w:rsidR="00C11B70">
        <w:t>value-based</w:t>
      </w:r>
      <w:r>
        <w:t xml:space="preserve"> fee framework</w:t>
      </w:r>
      <w:r w:rsidR="009E64BD">
        <w:t xml:space="preserve"> discussed below</w:t>
      </w:r>
      <w:r>
        <w:t xml:space="preserve"> will be governed by a st</w:t>
      </w:r>
      <w:r w:rsidR="001553B3">
        <w:t>reamlined legislative structure.</w:t>
      </w:r>
    </w:p>
    <w:p w14:paraId="600F627F" w14:textId="03D9A2EF" w:rsidR="002451A5" w:rsidRDefault="00CC5421" w:rsidP="00144CC0">
      <w:pPr>
        <w:pStyle w:val="Tablefigureheading"/>
        <w:spacing w:before="120" w:after="120"/>
      </w:pPr>
      <w:r>
        <w:t>Figure 4</w:t>
      </w:r>
      <w:r w:rsidR="002451A5">
        <w:t>: Proposed pricing framework</w:t>
      </w:r>
    </w:p>
    <w:p w14:paraId="28014A64" w14:textId="068159C0" w:rsidR="005B5C66" w:rsidRPr="00694312" w:rsidRDefault="005B5C66" w:rsidP="002451A5">
      <w:r>
        <w:rPr>
          <w:noProof/>
          <w:lang w:eastAsia="zh-TW" w:bidi="hi-IN"/>
        </w:rPr>
        <w:drawing>
          <wp:inline distT="0" distB="0" distL="0" distR="0" wp14:anchorId="2B5CD499" wp14:editId="76575EDC">
            <wp:extent cx="5926455" cy="3196590"/>
            <wp:effectExtent l="0" t="0" r="0" b="3810"/>
            <wp:docPr id="7" name="Picture 7" descr="This figure shows the proposed pricing framework. Spectrum authorisation licence holders woulf pay no fees. Radiocommunications licence holders would pay an ACMA charge which is a direct cost recovery fee, a licence tax which is an indirect cost recovery fee and spectrum access charges which is value-based fee." title="Figure 4: Proposed pric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6455" cy="3196590"/>
                    </a:xfrm>
                    <a:prstGeom prst="rect">
                      <a:avLst/>
                    </a:prstGeom>
                  </pic:spPr>
                </pic:pic>
              </a:graphicData>
            </a:graphic>
          </wp:inline>
        </w:drawing>
      </w:r>
    </w:p>
    <w:p w14:paraId="1977F684" w14:textId="5D3BA931" w:rsidR="002451A5" w:rsidRDefault="002451A5" w:rsidP="002451A5">
      <w:r w:rsidRPr="00321A04">
        <w:t>The proposed structure is similar to the current spectrum licence pricing arrangements.</w:t>
      </w:r>
      <w:r>
        <w:t xml:space="preserve"> The single licensing </w:t>
      </w:r>
      <w:r w:rsidR="00BB1F03">
        <w:t>system</w:t>
      </w:r>
      <w:r>
        <w:t xml:space="preserve"> offers the opportunity to reduce the volume of enabling legislation and simplify pricing. The number of Acts has been halved (from six to three) and the number of instruments required is therefore also reduced. Moving to a uniform pricing structure would increase transparency for licensees and </w:t>
      </w:r>
      <w:r w:rsidR="001553B3">
        <w:t>differentiate between</w:t>
      </w:r>
      <w:r>
        <w:t xml:space="preserve"> cost recovery and </w:t>
      </w:r>
      <w:r w:rsidR="00C11B70">
        <w:t>value-based</w:t>
      </w:r>
      <w:r>
        <w:t xml:space="preserve"> fees.</w:t>
      </w:r>
    </w:p>
    <w:p w14:paraId="5EBCF897" w14:textId="30DE269A" w:rsidR="00C11B70" w:rsidRDefault="00561EFC" w:rsidP="002451A5">
      <w:bookmarkStart w:id="381" w:name="_Toc256000128"/>
      <w:bookmarkStart w:id="382" w:name="_Toc256000095"/>
      <w:bookmarkStart w:id="383" w:name="_Toc256000062"/>
      <w:bookmarkStart w:id="384" w:name="_Toc256000029"/>
      <w:r>
        <w:t>Using this framework, t</w:t>
      </w:r>
      <w:r w:rsidR="00C11B70">
        <w:t xml:space="preserve">he ACMA will set cost-recovery </w:t>
      </w:r>
      <w:r>
        <w:t xml:space="preserve">taxes </w:t>
      </w:r>
      <w:r w:rsidR="00C11B70">
        <w:t>(reflecting the costs of managing that spectrum) and also set value-based charges (reflecting the value of the spectrum). A spectrum user will pay both charges.</w:t>
      </w:r>
    </w:p>
    <w:p w14:paraId="6AB4AC04" w14:textId="77777777" w:rsidR="003F702D" w:rsidRDefault="00C11B70" w:rsidP="005537E3">
      <w:pPr>
        <w:pStyle w:val="Heading4"/>
        <w:spacing w:after="120"/>
      </w:pPr>
      <w:bookmarkStart w:id="385" w:name="_Toc474255258"/>
      <w:bookmarkStart w:id="386" w:name="_Toc480793165"/>
      <w:r>
        <w:t>Value-based</w:t>
      </w:r>
      <w:r w:rsidR="003F702D">
        <w:t xml:space="preserve"> fee framework</w:t>
      </w:r>
      <w:bookmarkEnd w:id="363"/>
      <w:bookmarkEnd w:id="364"/>
      <w:bookmarkEnd w:id="365"/>
      <w:bookmarkEnd w:id="366"/>
      <w:bookmarkEnd w:id="367"/>
      <w:bookmarkEnd w:id="368"/>
      <w:bookmarkEnd w:id="369"/>
      <w:bookmarkEnd w:id="370"/>
      <w:bookmarkEnd w:id="371"/>
      <w:bookmarkEnd w:id="381"/>
      <w:bookmarkEnd w:id="382"/>
      <w:bookmarkEnd w:id="383"/>
      <w:bookmarkEnd w:id="384"/>
      <w:bookmarkEnd w:id="385"/>
      <w:bookmarkEnd w:id="386"/>
    </w:p>
    <w:p w14:paraId="3037F2AA" w14:textId="7C248752" w:rsidR="003F702D" w:rsidRPr="00673EDD" w:rsidRDefault="00581470" w:rsidP="00144CC0">
      <w:pPr>
        <w:pStyle w:val="BoxHeading"/>
        <w:spacing w:before="120"/>
        <w:rPr>
          <w:smallCaps w:val="0"/>
        </w:rPr>
      </w:pPr>
      <w:r w:rsidRPr="00673EDD">
        <w:rPr>
          <w:smallCaps w:val="0"/>
        </w:rPr>
        <w:t xml:space="preserve">Draft </w:t>
      </w:r>
      <w:r w:rsidR="00673EDD">
        <w:rPr>
          <w:smallCaps w:val="0"/>
        </w:rPr>
        <w:t>p</w:t>
      </w:r>
      <w:r w:rsidR="003F702D" w:rsidRPr="00673EDD">
        <w:rPr>
          <w:smallCaps w:val="0"/>
        </w:rPr>
        <w:t xml:space="preserve">roposal </w:t>
      </w:r>
      <w:r w:rsidR="003F702D" w:rsidRPr="00673EDD">
        <w:rPr>
          <w:smallCaps w:val="0"/>
        </w:rPr>
        <w:fldChar w:fldCharType="begin"/>
      </w:r>
      <w:r w:rsidR="003F702D" w:rsidRPr="00673EDD">
        <w:rPr>
          <w:smallCaps w:val="0"/>
        </w:rPr>
        <w:instrText xml:space="preserve"> AUTONUMLGL  \e \* Arabic </w:instrText>
      </w:r>
      <w:r w:rsidR="003F702D" w:rsidRPr="00673EDD">
        <w:rPr>
          <w:smallCaps w:val="0"/>
        </w:rPr>
        <w:fldChar w:fldCharType="end"/>
      </w:r>
    </w:p>
    <w:p w14:paraId="5FBF6AD7" w14:textId="3B18B5DA" w:rsidR="003F702D" w:rsidRPr="00593B5C" w:rsidRDefault="006C6419" w:rsidP="00144CC0">
      <w:pPr>
        <w:pStyle w:val="BoxContents"/>
      </w:pPr>
      <w:r>
        <w:t>T</w:t>
      </w:r>
      <w:r w:rsidR="00582A2D">
        <w:t>he apparatus licence tax</w:t>
      </w:r>
      <w:r w:rsidR="00402215">
        <w:t>es</w:t>
      </w:r>
      <w:r w:rsidR="00582A2D">
        <w:t xml:space="preserve"> and spectrum licence spectrum access charges should be combined into a single spectrum access charge.</w:t>
      </w:r>
      <w:r w:rsidR="00DA5020">
        <w:t xml:space="preserve"> </w:t>
      </w:r>
      <w:r w:rsidR="003F702D" w:rsidRPr="00EF7DD2">
        <w:t xml:space="preserve">This existing apparatus licence tax formula </w:t>
      </w:r>
      <w:r w:rsidR="001D1521">
        <w:t>should</w:t>
      </w:r>
      <w:r w:rsidR="003F702D" w:rsidRPr="00EF7DD2">
        <w:t xml:space="preserve"> become the administered incentive pricing formula</w:t>
      </w:r>
      <w:r w:rsidR="00DA5020">
        <w:t xml:space="preserve"> and should dictate the price paid for administered prices under the spectrum access charge</w:t>
      </w:r>
      <w:r w:rsidR="00C96EED">
        <w:t>.</w:t>
      </w:r>
      <w:r w:rsidR="00C11B70">
        <w:t xml:space="preserve"> T</w:t>
      </w:r>
      <w:r w:rsidR="003F702D" w:rsidRPr="00EF7DD2">
        <w:t xml:space="preserve">his formula </w:t>
      </w:r>
      <w:r w:rsidR="003F702D">
        <w:t>would</w:t>
      </w:r>
      <w:r w:rsidR="003F702D" w:rsidRPr="00EF7DD2">
        <w:t xml:space="preserve"> be adjusted to remove </w:t>
      </w:r>
      <w:r w:rsidR="003F702D">
        <w:t>the</w:t>
      </w:r>
      <w:r w:rsidR="003F702D" w:rsidRPr="00EF7DD2">
        <w:t xml:space="preserve"> minimum tax constraint.</w:t>
      </w:r>
    </w:p>
    <w:p w14:paraId="488FB1C1" w14:textId="77777777" w:rsidR="008E2767" w:rsidRDefault="003F702D" w:rsidP="003F702D">
      <w:r w:rsidRPr="006C0BCC">
        <w:t xml:space="preserve">A </w:t>
      </w:r>
      <w:r w:rsidR="00C11B70">
        <w:t>value-based</w:t>
      </w:r>
      <w:r w:rsidRPr="006C0BCC">
        <w:t xml:space="preserve"> fee reflects that </w:t>
      </w:r>
      <w:r w:rsidR="001553B3">
        <w:t>spectrum has considerable value. S</w:t>
      </w:r>
      <w:r w:rsidRPr="006C0BCC">
        <w:t xml:space="preserve">etting the price at the level the market would have reached </w:t>
      </w:r>
      <w:r w:rsidR="001553B3">
        <w:t>drives</w:t>
      </w:r>
      <w:r w:rsidRPr="006C0BCC">
        <w:t xml:space="preserve"> the efficiency of spectrum allocations. The value of spectrum generally exceeds the cost in managing the spectrum by regulators, and therefore </w:t>
      </w:r>
      <w:r w:rsidR="00695AF6">
        <w:t xml:space="preserve">spectrum’s </w:t>
      </w:r>
      <w:r w:rsidR="00C11B70">
        <w:t>value-based</w:t>
      </w:r>
      <w:r w:rsidRPr="006C0BCC">
        <w:t xml:space="preserve"> fees generally </w:t>
      </w:r>
      <w:r w:rsidR="00695AF6">
        <w:t>cover its management</w:t>
      </w:r>
      <w:r w:rsidR="00D37E61">
        <w:t xml:space="preserve"> costs</w:t>
      </w:r>
      <w:r w:rsidRPr="006C0BCC">
        <w:t>.</w:t>
      </w:r>
    </w:p>
    <w:p w14:paraId="40717346" w14:textId="19FAE0D3" w:rsidR="003F702D" w:rsidRDefault="00402215" w:rsidP="003F702D">
      <w:r>
        <w:t>The merging of two licensing</w:t>
      </w:r>
      <w:r w:rsidR="003F702D">
        <w:t xml:space="preserve"> </w:t>
      </w:r>
      <w:r>
        <w:t>systems</w:t>
      </w:r>
      <w:r w:rsidR="001E7DE3">
        <w:t xml:space="preserve"> </w:t>
      </w:r>
      <w:r w:rsidR="003F702D">
        <w:t>into one creates the need for one res</w:t>
      </w:r>
      <w:r w:rsidR="00582A2D">
        <w:t>ource charge</w:t>
      </w:r>
      <w:r w:rsidR="003F702D">
        <w:t>.</w:t>
      </w:r>
      <w:r w:rsidR="00A65CC8">
        <w:t xml:space="preserve"> </w:t>
      </w:r>
      <w:r w:rsidR="00582A2D">
        <w:t xml:space="preserve">The </w:t>
      </w:r>
      <w:r w:rsidR="00E73389">
        <w:t>approach to determining</w:t>
      </w:r>
      <w:r w:rsidR="00582A2D">
        <w:t xml:space="preserve"> this charge would </w:t>
      </w:r>
      <w:r w:rsidR="00D37E61">
        <w:t>differ depending on its form of allocation (administrative or market-based)</w:t>
      </w:r>
      <w:r w:rsidR="00582A2D">
        <w:t>.</w:t>
      </w:r>
    </w:p>
    <w:p w14:paraId="5B602802" w14:textId="77777777" w:rsidR="003F702D" w:rsidRPr="0001337A" w:rsidRDefault="003F702D" w:rsidP="008E2767">
      <w:pPr>
        <w:pStyle w:val="Heading5"/>
        <w:keepLines/>
        <w:spacing w:before="120" w:after="120"/>
      </w:pPr>
      <w:r w:rsidRPr="0001337A">
        <w:t>Administratively allocated licences</w:t>
      </w:r>
    </w:p>
    <w:p w14:paraId="12EBBDEE" w14:textId="3610290D" w:rsidR="003F702D" w:rsidRDefault="003F702D" w:rsidP="008E2767">
      <w:pPr>
        <w:keepLines/>
      </w:pPr>
      <w:r>
        <w:t xml:space="preserve">Administratively allocated licences will have their new spectrum access charge governed by an annual determination by the ACMA, as it does now for apparatus licences. The current apparatus licence fee formula will continue as the administered incentive pricing formula, and will determine the spectrum access charge paid for the majority of these licences. The annual determination will also identify the spectrum access charge for those administratively allocated licences not set by the formula (such as television outside broadcast and </w:t>
      </w:r>
      <w:r w:rsidR="00D0713B">
        <w:t>PMTS</w:t>
      </w:r>
      <w:r>
        <w:t xml:space="preserve"> Class B licences).</w:t>
      </w:r>
    </w:p>
    <w:p w14:paraId="78E207D5" w14:textId="77777777" w:rsidR="003F702D" w:rsidRDefault="00E00BE7" w:rsidP="003F702D">
      <w:r>
        <w:t xml:space="preserve">A minimum tax constraint, effectively a tax floor of around $40 per licence, is currently imposed on licences. </w:t>
      </w:r>
      <w:r w:rsidR="003F702D">
        <w:t xml:space="preserve">In transitioning to a spectrum access charge, </w:t>
      </w:r>
      <w:r w:rsidR="00395A09">
        <w:t>the minimum tax constraint will no longer be applied</w:t>
      </w:r>
      <w:r w:rsidR="003F702D">
        <w:t>.</w:t>
      </w:r>
      <w:r w:rsidR="006C6419">
        <w:t xml:space="preserve"> </w:t>
      </w:r>
      <w:r w:rsidR="003F702D">
        <w:t xml:space="preserve">This means that spectrum access charges may be </w:t>
      </w:r>
      <w:r w:rsidR="001C4DDA">
        <w:t>zero</w:t>
      </w:r>
      <w:r w:rsidR="003F702D">
        <w:t xml:space="preserve"> for some spectrum bands in certain areas.</w:t>
      </w:r>
      <w:r w:rsidR="00395A09">
        <w:t xml:space="preserve"> The ACMA may instead </w:t>
      </w:r>
      <w:r w:rsidR="008B0224">
        <w:t xml:space="preserve">choose to </w:t>
      </w:r>
      <w:r w:rsidR="00395A09">
        <w:t>recover for costs via the cost recovery framework detailed b</w:t>
      </w:r>
      <w:r w:rsidR="00040F8C">
        <w:t>elow.</w:t>
      </w:r>
    </w:p>
    <w:p w14:paraId="12537550" w14:textId="77777777" w:rsidR="00C96EED" w:rsidRDefault="00C96EED" w:rsidP="003F702D">
      <w:r>
        <w:t>It is not expected that any major adjustments to licence fees will result from this change. The transition to the new framework should be clearly identified by the ACMA in its transition to new licences under the proposed Radiocommunications Bill.</w:t>
      </w:r>
    </w:p>
    <w:p w14:paraId="26C82627" w14:textId="77777777" w:rsidR="003F702D" w:rsidRPr="0001337A" w:rsidRDefault="003F702D" w:rsidP="005537E3">
      <w:pPr>
        <w:pStyle w:val="Heading5"/>
        <w:spacing w:before="120" w:after="120"/>
      </w:pPr>
      <w:r w:rsidRPr="0001337A">
        <w:t>Market-based allocations</w:t>
      </w:r>
    </w:p>
    <w:p w14:paraId="676C6076" w14:textId="77777777" w:rsidR="003F702D" w:rsidRDefault="003F702D" w:rsidP="003F702D">
      <w:r>
        <w:t>There will be no impact on existing spectrum licence holders as spectrum access charges have already been paid. Future licence holders who gain their spectrum at auction will pay an upfront</w:t>
      </w:r>
      <w:r w:rsidR="008B0224">
        <w:rPr>
          <w:rStyle w:val="FootnoteReference"/>
        </w:rPr>
        <w:footnoteReference w:id="16"/>
      </w:r>
      <w:r>
        <w:t xml:space="preserve"> spectrum access charge as determined by the auction. This process is consistent with current </w:t>
      </w:r>
      <w:r w:rsidR="00D37E61">
        <w:t>arrangements.</w:t>
      </w:r>
    </w:p>
    <w:p w14:paraId="43BD74D8" w14:textId="77777777" w:rsidR="003F702D" w:rsidRPr="0001337A" w:rsidRDefault="003F702D" w:rsidP="005537E3">
      <w:pPr>
        <w:pStyle w:val="Heading5"/>
        <w:spacing w:before="120" w:after="120"/>
      </w:pPr>
      <w:r w:rsidRPr="0001337A">
        <w:t>Bespoke pricing arrangements</w:t>
      </w:r>
    </w:p>
    <w:p w14:paraId="56386479" w14:textId="77777777" w:rsidR="003F702D" w:rsidRDefault="00C05D75" w:rsidP="003F702D">
      <w:r>
        <w:t xml:space="preserve">The proposed pricing arrangements </w:t>
      </w:r>
      <w:r w:rsidR="003F702D">
        <w:t>will continue to allow the setting of bespoke fees (such as the spectrum access charges determined for licence renewal) outside the above two mechanisms. This process also remains consiste</w:t>
      </w:r>
      <w:r w:rsidR="00367AF8">
        <w:t xml:space="preserve">nt with the current </w:t>
      </w:r>
      <w:r w:rsidR="00D37E61">
        <w:t>arrangements.</w:t>
      </w:r>
    </w:p>
    <w:p w14:paraId="4C736646" w14:textId="40A4F7D1" w:rsidR="003F702D" w:rsidRPr="00044CF0" w:rsidRDefault="003F702D" w:rsidP="00144CC0">
      <w:pPr>
        <w:pStyle w:val="Tablefigureheading"/>
        <w:spacing w:before="120" w:after="120"/>
      </w:pPr>
      <w:r w:rsidRPr="00044CF0">
        <w:t xml:space="preserve">Figure </w:t>
      </w:r>
      <w:r w:rsidR="00CC5421">
        <w:t>5</w:t>
      </w:r>
      <w:r w:rsidRPr="00044CF0">
        <w:t xml:space="preserve">: Proposed </w:t>
      </w:r>
      <w:r w:rsidR="00C11B70">
        <w:t>value-based</w:t>
      </w:r>
      <w:r>
        <w:t xml:space="preserve"> fee</w:t>
      </w:r>
      <w:r w:rsidRPr="00044CF0">
        <w:t xml:space="preserve"> framework</w:t>
      </w:r>
    </w:p>
    <w:p w14:paraId="1D57276B" w14:textId="3F79D171" w:rsidR="00C11B70" w:rsidRDefault="00032496" w:rsidP="00032496">
      <w:r>
        <w:rPr>
          <w:noProof/>
          <w:lang w:eastAsia="zh-TW" w:bidi="hi-IN"/>
        </w:rPr>
        <w:drawing>
          <wp:inline distT="0" distB="0" distL="0" distR="0" wp14:anchorId="29B44A94" wp14:editId="222F089A">
            <wp:extent cx="5675377" cy="1447800"/>
            <wp:effectExtent l="0" t="0" r="1905" b="0"/>
            <wp:docPr id="2" name="Picture 2" descr="Figure 5: Proposed value-based fee framework &#10;&#10;Under the current system, a spectrum licence holder pays a spectrum acces charge while an apparatus licence holder pays an apparatus licence tax and a value-based fee. Under the proposed system, a radcoms licence pays only a spectrum access charge.&#10;" title="Figure 5: Proposed value-based fee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0197" cy="1449030"/>
                    </a:xfrm>
                    <a:prstGeom prst="rect">
                      <a:avLst/>
                    </a:prstGeom>
                  </pic:spPr>
                </pic:pic>
              </a:graphicData>
            </a:graphic>
          </wp:inline>
        </w:drawing>
      </w:r>
    </w:p>
    <w:p w14:paraId="339001F3" w14:textId="77777777" w:rsidR="0006661F" w:rsidRPr="00B3177F" w:rsidRDefault="0006661F" w:rsidP="005537E3">
      <w:pPr>
        <w:pStyle w:val="Heading4"/>
        <w:spacing w:after="120"/>
      </w:pPr>
      <w:bookmarkStart w:id="387" w:name="_Toc474255259"/>
      <w:bookmarkStart w:id="388" w:name="_Toc256000129"/>
      <w:bookmarkStart w:id="389" w:name="_Toc256000096"/>
      <w:bookmarkStart w:id="390" w:name="_Toc256000063"/>
      <w:bookmarkStart w:id="391" w:name="_Toc256000030"/>
      <w:bookmarkStart w:id="392" w:name="_Toc480793166"/>
      <w:r>
        <w:t>Cost recovery framework</w:t>
      </w:r>
      <w:bookmarkEnd w:id="372"/>
      <w:bookmarkEnd w:id="373"/>
      <w:bookmarkEnd w:id="374"/>
      <w:bookmarkEnd w:id="375"/>
      <w:bookmarkEnd w:id="376"/>
      <w:bookmarkEnd w:id="377"/>
      <w:bookmarkEnd w:id="378"/>
      <w:bookmarkEnd w:id="379"/>
      <w:bookmarkEnd w:id="380"/>
      <w:bookmarkEnd w:id="387"/>
      <w:bookmarkEnd w:id="388"/>
      <w:bookmarkEnd w:id="389"/>
      <w:bookmarkEnd w:id="390"/>
      <w:bookmarkEnd w:id="391"/>
      <w:bookmarkEnd w:id="392"/>
    </w:p>
    <w:p w14:paraId="36A78518" w14:textId="0703005B" w:rsidR="008A2A64" w:rsidRPr="00673EDD" w:rsidRDefault="00581470" w:rsidP="00144CC0">
      <w:pPr>
        <w:pStyle w:val="BoxHeading"/>
        <w:spacing w:before="120"/>
        <w:rPr>
          <w:smallCaps w:val="0"/>
        </w:rPr>
      </w:pPr>
      <w:r w:rsidRPr="00673EDD">
        <w:rPr>
          <w:smallCaps w:val="0"/>
        </w:rPr>
        <w:t xml:space="preserve">Draft </w:t>
      </w:r>
      <w:r w:rsidR="00673EDD">
        <w:rPr>
          <w:smallCaps w:val="0"/>
        </w:rPr>
        <w:t>p</w:t>
      </w:r>
      <w:r w:rsidR="008A2A64" w:rsidRPr="00673EDD">
        <w:rPr>
          <w:smallCaps w:val="0"/>
        </w:rPr>
        <w:t xml:space="preserve">roposal </w:t>
      </w:r>
      <w:r w:rsidR="008A2A64" w:rsidRPr="00673EDD">
        <w:rPr>
          <w:smallCaps w:val="0"/>
        </w:rPr>
        <w:fldChar w:fldCharType="begin"/>
      </w:r>
      <w:r w:rsidR="008A2A64" w:rsidRPr="00673EDD">
        <w:rPr>
          <w:smallCaps w:val="0"/>
        </w:rPr>
        <w:instrText xml:space="preserve"> AUTONUMLGL  \e \* Arabic </w:instrText>
      </w:r>
      <w:r w:rsidR="008A2A64" w:rsidRPr="00673EDD">
        <w:rPr>
          <w:smallCaps w:val="0"/>
        </w:rPr>
        <w:fldChar w:fldCharType="end"/>
      </w:r>
    </w:p>
    <w:p w14:paraId="31E88052" w14:textId="74777653" w:rsidR="00C11B70" w:rsidRPr="00F071A4" w:rsidRDefault="00561035" w:rsidP="008A2A64">
      <w:pPr>
        <w:pStyle w:val="BoxContents"/>
        <w:rPr>
          <w:rStyle w:val="IntenseReference"/>
          <w:b w:val="0"/>
          <w:smallCaps w:val="0"/>
          <w:color w:val="auto"/>
          <w:spacing w:val="0"/>
        </w:rPr>
      </w:pPr>
      <w:r>
        <w:t xml:space="preserve">The spectrum licence tax and the </w:t>
      </w:r>
      <w:r w:rsidR="00181780">
        <w:t>minimum tax constraint</w:t>
      </w:r>
      <w:r>
        <w:t xml:space="preserve"> of the apparatus licence tax</w:t>
      </w:r>
      <w:r w:rsidR="00AD38C1">
        <w:t>es</w:t>
      </w:r>
      <w:r>
        <w:t xml:space="preserve"> </w:t>
      </w:r>
      <w:r w:rsidR="00181780">
        <w:t>should</w:t>
      </w:r>
      <w:r w:rsidR="008451A3">
        <w:t xml:space="preserve"> be </w:t>
      </w:r>
      <w:r>
        <w:t>subsumed into one radiocommunications licence tax.</w:t>
      </w:r>
      <w:r w:rsidR="002F292D">
        <w:t xml:space="preserve"> </w:t>
      </w:r>
      <w:r w:rsidR="00C54949">
        <w:t xml:space="preserve">The ACMA may choose </w:t>
      </w:r>
      <w:r w:rsidR="00672758">
        <w:t xml:space="preserve">to set the amount of this tax to cover where </w:t>
      </w:r>
      <w:r w:rsidR="00C54949">
        <w:t xml:space="preserve">the spectrum access charge would not otherwise recover the </w:t>
      </w:r>
      <w:r w:rsidR="007541D4">
        <w:t>costs of managing the spectrum.</w:t>
      </w:r>
      <w:r w:rsidR="00F82862">
        <w:t xml:space="preserve"> </w:t>
      </w:r>
      <w:r w:rsidR="008A2A64" w:rsidRPr="00EF7DD2">
        <w:t>The ACMA should continue to recover direct costs through charges. The ACMA should explore if there are any additional costs that can be recovered through the direct cost mechanisms.</w:t>
      </w:r>
    </w:p>
    <w:p w14:paraId="2391C34F" w14:textId="77777777" w:rsidR="008E2767" w:rsidRDefault="00FC696B" w:rsidP="007E6B7C">
      <w:bookmarkStart w:id="393" w:name="_Toc466289597"/>
      <w:r w:rsidRPr="00294E1E">
        <w:t xml:space="preserve">The Australian Government’s </w:t>
      </w:r>
      <w:r w:rsidR="00C05D75">
        <w:t>Charging Framework</w:t>
      </w:r>
      <w:r w:rsidRPr="00294E1E">
        <w:t xml:space="preserve"> recommends that</w:t>
      </w:r>
      <w:r w:rsidR="001C10C2">
        <w:t xml:space="preserve"> </w:t>
      </w:r>
      <w:r w:rsidRPr="00294E1E">
        <w:t>both direct and indirect costs should be recovered through fees.</w:t>
      </w:r>
      <w:r w:rsidR="001C10C2" w:rsidRPr="00294E1E">
        <w:rPr>
          <w:rStyle w:val="FootnoteReference"/>
        </w:rPr>
        <w:footnoteReference w:id="17"/>
      </w:r>
    </w:p>
    <w:p w14:paraId="1F4A485E" w14:textId="77777777" w:rsidR="008E2767" w:rsidRDefault="00755448" w:rsidP="00755448">
      <w:pPr>
        <w:rPr>
          <w:rFonts w:cs="Arial"/>
        </w:rPr>
      </w:pPr>
      <w:r w:rsidRPr="00294E1E">
        <w:t>As a general rule, the ACMA should set charges to recover its regulatory costs in full. Spectrum users</w:t>
      </w:r>
      <w:r w:rsidRPr="00294E1E">
        <w:rPr>
          <w:rFonts w:cs="Arial"/>
        </w:rPr>
        <w:t xml:space="preserve"> who receive a direct benefit from the services provided by the ACMA </w:t>
      </w:r>
      <w:r w:rsidR="00C05D75">
        <w:rPr>
          <w:rFonts w:cs="Arial"/>
        </w:rPr>
        <w:t xml:space="preserve">should </w:t>
      </w:r>
      <w:r w:rsidRPr="00294E1E">
        <w:rPr>
          <w:rFonts w:cs="Arial"/>
        </w:rPr>
        <w:t xml:space="preserve">pay for </w:t>
      </w:r>
      <w:r w:rsidR="00D37E61">
        <w:rPr>
          <w:rFonts w:cs="Arial"/>
        </w:rPr>
        <w:t>these services.</w:t>
      </w:r>
      <w:r w:rsidRPr="00294E1E">
        <w:rPr>
          <w:rFonts w:cs="Arial"/>
        </w:rPr>
        <w:t xml:space="preserve"> </w:t>
      </w:r>
      <w:r w:rsidRPr="00294E1E">
        <w:t>Spectrum users</w:t>
      </w:r>
      <w:r w:rsidRPr="00294E1E">
        <w:rPr>
          <w:rFonts w:cs="Arial"/>
        </w:rPr>
        <w:t xml:space="preserve"> who receive an indirect benefit from general regulatory activities should be apportioned a reasonable share </w:t>
      </w:r>
      <w:r w:rsidR="00D37E61">
        <w:rPr>
          <w:rFonts w:cs="Arial"/>
        </w:rPr>
        <w:t xml:space="preserve">of </w:t>
      </w:r>
      <w:r w:rsidRPr="00294E1E">
        <w:rPr>
          <w:rFonts w:cs="Arial"/>
        </w:rPr>
        <w:t xml:space="preserve">costs. There are some cases where </w:t>
      </w:r>
      <w:r w:rsidR="00D37E61">
        <w:rPr>
          <w:rFonts w:cs="Arial"/>
        </w:rPr>
        <w:t xml:space="preserve">although ACMA services have been of value to the user, there is no efficient way to collect any fees from that user. For example, </w:t>
      </w:r>
      <w:r w:rsidRPr="00294E1E">
        <w:rPr>
          <w:rFonts w:cs="Arial"/>
        </w:rPr>
        <w:t>current class licences</w:t>
      </w:r>
      <w:r w:rsidR="009C7D77" w:rsidRPr="00294E1E">
        <w:rPr>
          <w:rFonts w:cs="Arial"/>
        </w:rPr>
        <w:t xml:space="preserve"> (known as spectrum authorisations in the proposed Radiocommunications Bill)</w:t>
      </w:r>
      <w:r w:rsidR="00D37E61">
        <w:rPr>
          <w:rFonts w:cs="Arial"/>
        </w:rPr>
        <w:t xml:space="preserve"> may have incurred a cost to the ACMA but it is not possible to allocate a fee to all the users (such as people who use garage remote controls).</w:t>
      </w:r>
    </w:p>
    <w:bookmarkEnd w:id="393"/>
    <w:p w14:paraId="1D1DE83B" w14:textId="29FE63E0" w:rsidR="009F4B30" w:rsidRDefault="009F4B30" w:rsidP="009F4B30">
      <w:pPr>
        <w:pStyle w:val="Caption"/>
        <w:spacing w:after="240"/>
        <w:rPr>
          <w:i w:val="0"/>
          <w:iCs w:val="0"/>
          <w:color w:val="auto"/>
          <w:sz w:val="22"/>
          <w:szCs w:val="22"/>
        </w:rPr>
      </w:pPr>
      <w:r w:rsidRPr="009C0B5E">
        <w:rPr>
          <w:i w:val="0"/>
          <w:iCs w:val="0"/>
          <w:color w:val="auto"/>
          <w:sz w:val="22"/>
          <w:szCs w:val="22"/>
        </w:rPr>
        <w:t>Current licence holders pay either a spectrum licence tax or an apparatus licence tax depending on</w:t>
      </w:r>
      <w:r>
        <w:rPr>
          <w:i w:val="0"/>
          <w:iCs w:val="0"/>
          <w:color w:val="auto"/>
          <w:sz w:val="22"/>
          <w:szCs w:val="22"/>
        </w:rPr>
        <w:t xml:space="preserve"> the licensing system used</w:t>
      </w:r>
      <w:r w:rsidRPr="009C0B5E">
        <w:rPr>
          <w:i w:val="0"/>
          <w:iCs w:val="0"/>
          <w:color w:val="auto"/>
          <w:sz w:val="22"/>
          <w:szCs w:val="22"/>
        </w:rPr>
        <w:t xml:space="preserve">. Under the new framework it will be difficult to differentiate </w:t>
      </w:r>
      <w:r>
        <w:rPr>
          <w:i w:val="0"/>
          <w:iCs w:val="0"/>
          <w:color w:val="auto"/>
          <w:sz w:val="22"/>
          <w:szCs w:val="22"/>
        </w:rPr>
        <w:t xml:space="preserve">between </w:t>
      </w:r>
      <w:r w:rsidRPr="009C0B5E">
        <w:rPr>
          <w:i w:val="0"/>
          <w:iCs w:val="0"/>
          <w:color w:val="auto"/>
          <w:sz w:val="22"/>
          <w:szCs w:val="22"/>
        </w:rPr>
        <w:t>the</w:t>
      </w:r>
      <w:r>
        <w:rPr>
          <w:i w:val="0"/>
          <w:iCs w:val="0"/>
          <w:color w:val="auto"/>
          <w:sz w:val="22"/>
          <w:szCs w:val="22"/>
        </w:rPr>
        <w:t>se</w:t>
      </w:r>
      <w:r w:rsidRPr="009C0B5E">
        <w:rPr>
          <w:i w:val="0"/>
          <w:iCs w:val="0"/>
          <w:color w:val="auto"/>
          <w:sz w:val="22"/>
          <w:szCs w:val="22"/>
        </w:rPr>
        <w:t xml:space="preserve"> legacy licence </w:t>
      </w:r>
      <w:r>
        <w:rPr>
          <w:i w:val="0"/>
          <w:iCs w:val="0"/>
          <w:color w:val="auto"/>
          <w:sz w:val="22"/>
          <w:szCs w:val="22"/>
        </w:rPr>
        <w:t>systems</w:t>
      </w:r>
      <w:r w:rsidRPr="009C0B5E">
        <w:rPr>
          <w:i w:val="0"/>
          <w:iCs w:val="0"/>
          <w:color w:val="auto"/>
          <w:sz w:val="22"/>
          <w:szCs w:val="22"/>
        </w:rPr>
        <w:t xml:space="preserve">. Not all current spectrum licences are auctioned, and not all apparatus licences have been administratively allocated. The </w:t>
      </w:r>
      <w:r>
        <w:rPr>
          <w:i w:val="0"/>
          <w:iCs w:val="0"/>
          <w:color w:val="auto"/>
          <w:sz w:val="22"/>
          <w:szCs w:val="22"/>
        </w:rPr>
        <w:t xml:space="preserve">maximum </w:t>
      </w:r>
      <w:r w:rsidRPr="009C0B5E">
        <w:rPr>
          <w:i w:val="0"/>
          <w:iCs w:val="0"/>
          <w:color w:val="auto"/>
          <w:sz w:val="22"/>
          <w:szCs w:val="22"/>
        </w:rPr>
        <w:t>licence durations</w:t>
      </w:r>
      <w:r>
        <w:rPr>
          <w:i w:val="0"/>
          <w:iCs w:val="0"/>
          <w:color w:val="auto"/>
          <w:sz w:val="22"/>
          <w:szCs w:val="22"/>
        </w:rPr>
        <w:t xml:space="preserve"> currently</w:t>
      </w:r>
      <w:r w:rsidRPr="009C0B5E">
        <w:rPr>
          <w:i w:val="0"/>
          <w:iCs w:val="0"/>
          <w:color w:val="auto"/>
          <w:sz w:val="22"/>
          <w:szCs w:val="22"/>
        </w:rPr>
        <w:t xml:space="preserve"> differ –</w:t>
      </w:r>
      <w:r>
        <w:rPr>
          <w:i w:val="0"/>
          <w:iCs w:val="0"/>
          <w:color w:val="auto"/>
          <w:sz w:val="22"/>
          <w:szCs w:val="22"/>
        </w:rPr>
        <w:t xml:space="preserve"> one to</w:t>
      </w:r>
      <w:r w:rsidRPr="009C0B5E">
        <w:rPr>
          <w:i w:val="0"/>
          <w:iCs w:val="0"/>
          <w:color w:val="auto"/>
          <w:sz w:val="22"/>
          <w:szCs w:val="22"/>
        </w:rPr>
        <w:t xml:space="preserve"> </w:t>
      </w:r>
      <w:r>
        <w:rPr>
          <w:i w:val="0"/>
          <w:iCs w:val="0"/>
          <w:color w:val="auto"/>
          <w:sz w:val="22"/>
          <w:szCs w:val="22"/>
        </w:rPr>
        <w:t>five</w:t>
      </w:r>
      <w:r w:rsidRPr="009C0B5E">
        <w:rPr>
          <w:i w:val="0"/>
          <w:iCs w:val="0"/>
          <w:color w:val="auto"/>
          <w:sz w:val="22"/>
          <w:szCs w:val="22"/>
        </w:rPr>
        <w:t xml:space="preserve"> year</w:t>
      </w:r>
      <w:r>
        <w:rPr>
          <w:i w:val="0"/>
          <w:iCs w:val="0"/>
          <w:color w:val="auto"/>
          <w:sz w:val="22"/>
          <w:szCs w:val="22"/>
        </w:rPr>
        <w:t>s</w:t>
      </w:r>
      <w:r w:rsidRPr="009C0B5E">
        <w:rPr>
          <w:i w:val="0"/>
          <w:iCs w:val="0"/>
          <w:color w:val="auto"/>
          <w:sz w:val="22"/>
          <w:szCs w:val="22"/>
        </w:rPr>
        <w:t xml:space="preserve"> for apparatus licences and fifteen</w:t>
      </w:r>
      <w:r>
        <w:rPr>
          <w:i w:val="0"/>
          <w:iCs w:val="0"/>
          <w:color w:val="auto"/>
          <w:sz w:val="22"/>
          <w:szCs w:val="22"/>
        </w:rPr>
        <w:t xml:space="preserve"> years</w:t>
      </w:r>
      <w:r w:rsidRPr="009C0B5E">
        <w:rPr>
          <w:i w:val="0"/>
          <w:iCs w:val="0"/>
          <w:color w:val="auto"/>
          <w:sz w:val="22"/>
          <w:szCs w:val="22"/>
        </w:rPr>
        <w:t xml:space="preserve"> for spectrum licences –</w:t>
      </w:r>
      <w:r>
        <w:rPr>
          <w:i w:val="0"/>
          <w:iCs w:val="0"/>
          <w:color w:val="auto"/>
          <w:sz w:val="22"/>
          <w:szCs w:val="22"/>
        </w:rPr>
        <w:t xml:space="preserve"> </w:t>
      </w:r>
      <w:r w:rsidRPr="009C0B5E">
        <w:rPr>
          <w:i w:val="0"/>
          <w:iCs w:val="0"/>
          <w:color w:val="auto"/>
          <w:sz w:val="22"/>
          <w:szCs w:val="22"/>
        </w:rPr>
        <w:t xml:space="preserve">however this difference will no longer be relevant under the single </w:t>
      </w:r>
      <w:r>
        <w:rPr>
          <w:i w:val="0"/>
          <w:iCs w:val="0"/>
          <w:color w:val="auto"/>
          <w:sz w:val="22"/>
          <w:szCs w:val="22"/>
        </w:rPr>
        <w:t>licensing</w:t>
      </w:r>
      <w:r w:rsidRPr="009C0B5E">
        <w:rPr>
          <w:i w:val="0"/>
          <w:iCs w:val="0"/>
          <w:color w:val="auto"/>
          <w:sz w:val="22"/>
          <w:szCs w:val="22"/>
        </w:rPr>
        <w:t xml:space="preserve"> </w:t>
      </w:r>
      <w:r>
        <w:rPr>
          <w:i w:val="0"/>
          <w:iCs w:val="0"/>
          <w:color w:val="auto"/>
          <w:sz w:val="22"/>
          <w:szCs w:val="22"/>
        </w:rPr>
        <w:t xml:space="preserve">system where a licence can be granted for up to twenty years. </w:t>
      </w:r>
      <w:r w:rsidRPr="009C0B5E">
        <w:rPr>
          <w:i w:val="0"/>
          <w:iCs w:val="0"/>
          <w:color w:val="auto"/>
          <w:sz w:val="22"/>
          <w:szCs w:val="22"/>
        </w:rPr>
        <w:t xml:space="preserve">Given there will no longer be a clear division between two </w:t>
      </w:r>
      <w:r>
        <w:rPr>
          <w:i w:val="0"/>
          <w:iCs w:val="0"/>
          <w:color w:val="auto"/>
          <w:sz w:val="22"/>
          <w:szCs w:val="22"/>
        </w:rPr>
        <w:t>licensing systems</w:t>
      </w:r>
      <w:r w:rsidRPr="009C0B5E">
        <w:rPr>
          <w:i w:val="0"/>
          <w:iCs w:val="0"/>
          <w:color w:val="auto"/>
          <w:sz w:val="22"/>
          <w:szCs w:val="22"/>
        </w:rPr>
        <w:t xml:space="preserve">, a consistent approach to cost recovery </w:t>
      </w:r>
      <w:r>
        <w:rPr>
          <w:i w:val="0"/>
          <w:iCs w:val="0"/>
          <w:color w:val="auto"/>
          <w:sz w:val="22"/>
          <w:szCs w:val="22"/>
        </w:rPr>
        <w:t>in setting taxes and charges</w:t>
      </w:r>
      <w:r w:rsidRPr="009C0B5E">
        <w:rPr>
          <w:i w:val="0"/>
          <w:iCs w:val="0"/>
          <w:color w:val="auto"/>
          <w:sz w:val="22"/>
          <w:szCs w:val="22"/>
        </w:rPr>
        <w:t xml:space="preserve"> is required.</w:t>
      </w:r>
    </w:p>
    <w:p w14:paraId="015F6A6A" w14:textId="77777777" w:rsidR="00AD43F1" w:rsidRPr="00AD43F1" w:rsidRDefault="00AD43F1" w:rsidP="00AD43F1">
      <w:pPr>
        <w:pStyle w:val="Caption"/>
        <w:spacing w:after="240"/>
        <w:rPr>
          <w:i w:val="0"/>
          <w:iCs w:val="0"/>
          <w:color w:val="auto"/>
          <w:sz w:val="22"/>
          <w:szCs w:val="22"/>
        </w:rPr>
      </w:pPr>
      <w:r>
        <w:rPr>
          <w:i w:val="0"/>
          <w:iCs w:val="0"/>
          <w:color w:val="auto"/>
          <w:sz w:val="22"/>
          <w:szCs w:val="22"/>
        </w:rPr>
        <w:t>U</w:t>
      </w:r>
      <w:r w:rsidRPr="009C0B5E">
        <w:rPr>
          <w:i w:val="0"/>
          <w:iCs w:val="0"/>
          <w:color w:val="auto"/>
          <w:sz w:val="22"/>
          <w:szCs w:val="22"/>
        </w:rPr>
        <w:t>nlike direct costs, indirect costs can only be recovered through a tax</w:t>
      </w:r>
      <w:r w:rsidR="001F1B75" w:rsidRPr="009C0B5E">
        <w:rPr>
          <w:i w:val="0"/>
          <w:iCs w:val="0"/>
          <w:color w:val="auto"/>
          <w:sz w:val="22"/>
          <w:szCs w:val="22"/>
        </w:rPr>
        <w:t>.</w:t>
      </w:r>
      <w:r w:rsidRPr="009C0B5E">
        <w:rPr>
          <w:i w:val="0"/>
          <w:iCs w:val="0"/>
          <w:color w:val="auto"/>
          <w:sz w:val="22"/>
          <w:szCs w:val="22"/>
        </w:rPr>
        <w:t xml:space="preserve"> </w:t>
      </w:r>
      <w:r>
        <w:rPr>
          <w:i w:val="0"/>
          <w:iCs w:val="0"/>
          <w:color w:val="auto"/>
          <w:sz w:val="22"/>
          <w:szCs w:val="22"/>
        </w:rPr>
        <w:t>It is proposed that a</w:t>
      </w:r>
      <w:r w:rsidRPr="009C0B5E">
        <w:rPr>
          <w:i w:val="0"/>
          <w:iCs w:val="0"/>
          <w:color w:val="auto"/>
          <w:sz w:val="22"/>
          <w:szCs w:val="22"/>
        </w:rPr>
        <w:t xml:space="preserve"> new radiocommunications tax will replace the existing spectrum licence tax and the indirect cost recovery component </w:t>
      </w:r>
      <w:r>
        <w:rPr>
          <w:i w:val="0"/>
          <w:iCs w:val="0"/>
          <w:color w:val="auto"/>
          <w:sz w:val="22"/>
          <w:szCs w:val="22"/>
        </w:rPr>
        <w:t xml:space="preserve">(ie. the minimum tax which is currently around $40) </w:t>
      </w:r>
      <w:r w:rsidRPr="009C0B5E">
        <w:rPr>
          <w:i w:val="0"/>
          <w:iCs w:val="0"/>
          <w:color w:val="auto"/>
          <w:sz w:val="22"/>
          <w:szCs w:val="22"/>
        </w:rPr>
        <w:t>of the apparatus licence tax.</w:t>
      </w:r>
    </w:p>
    <w:p w14:paraId="368179AB" w14:textId="77777777" w:rsidR="00DD191A" w:rsidRDefault="0006661F" w:rsidP="00DD191A">
      <w:pPr>
        <w:pStyle w:val="Tablefigureheading"/>
      </w:pPr>
      <w:r>
        <w:t xml:space="preserve">Figure </w:t>
      </w:r>
      <w:r w:rsidR="00CC5421">
        <w:t>6</w:t>
      </w:r>
      <w:r>
        <w:t xml:space="preserve">: Proposed </w:t>
      </w:r>
      <w:r w:rsidR="009F4B30">
        <w:t xml:space="preserve">indirect </w:t>
      </w:r>
      <w:r>
        <w:t>cost recovery framework</w:t>
      </w:r>
    </w:p>
    <w:p w14:paraId="448205B3" w14:textId="202561DA" w:rsidR="0006661F" w:rsidRDefault="00032496" w:rsidP="00DD191A">
      <w:r>
        <w:rPr>
          <w:noProof/>
          <w:lang w:eastAsia="zh-TW" w:bidi="hi-IN"/>
        </w:rPr>
        <w:drawing>
          <wp:inline distT="0" distB="0" distL="0" distR="0" wp14:anchorId="31A88BB4" wp14:editId="6663631B">
            <wp:extent cx="5926455" cy="1503680"/>
            <wp:effectExtent l="0" t="0" r="0" b="1270"/>
            <wp:docPr id="5" name="Picture 5" descr="Figure 6: Proposed cost recovery framework&#10;&#10;Under the current system, a spectrum licence holder pays a spectrum licence tax while an apparatus licence holder pays an apparatus licence tax and an indirect cost recovery component. Under the proposed system, a radcomms licence holder pays only a radcomms licence tax.&#10;" title="Figure 6: Proposed cost recover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6455" cy="1503680"/>
                    </a:xfrm>
                    <a:prstGeom prst="rect">
                      <a:avLst/>
                    </a:prstGeom>
                  </pic:spPr>
                </pic:pic>
              </a:graphicData>
            </a:graphic>
          </wp:inline>
        </w:drawing>
      </w:r>
    </w:p>
    <w:p w14:paraId="2F97FFD4" w14:textId="77777777" w:rsidR="006151F3" w:rsidRDefault="006151F3" w:rsidP="00032496">
      <w:pPr>
        <w:pStyle w:val="Heading5"/>
        <w:keepLines/>
        <w:spacing w:before="120" w:after="120"/>
      </w:pPr>
      <w:r>
        <w:t>Fee determination</w:t>
      </w:r>
    </w:p>
    <w:p w14:paraId="753E40A7" w14:textId="7ED90F41" w:rsidR="00181780" w:rsidRDefault="0006661F" w:rsidP="00032496">
      <w:pPr>
        <w:keepLines/>
      </w:pPr>
      <w:r>
        <w:t>To determine</w:t>
      </w:r>
      <w:r w:rsidR="00D2224E">
        <w:t xml:space="preserve"> </w:t>
      </w:r>
      <w:r>
        <w:t xml:space="preserve">the level of fees set </w:t>
      </w:r>
      <w:r w:rsidR="00D2224E">
        <w:t>under the radiocommunications licence tax, how these fees would adjust over time, and who it affects</w:t>
      </w:r>
      <w:r>
        <w:t xml:space="preserve">, the ACMA </w:t>
      </w:r>
      <w:r w:rsidR="008451A3">
        <w:t>would ideally</w:t>
      </w:r>
      <w:r>
        <w:t xml:space="preserve"> </w:t>
      </w:r>
      <w:r w:rsidR="002F2BD2">
        <w:t>review</w:t>
      </w:r>
      <w:r>
        <w:t xml:space="preserve"> the costs associated with managing spectrum in Australia. </w:t>
      </w:r>
      <w:r w:rsidR="00692678">
        <w:t>This review may wish to consider using this tax to recover the costs of activities that benefit a group of users, such as licence area replanning</w:t>
      </w:r>
      <w:r w:rsidR="00225168">
        <w:t>, or to recover the costs of one-off activities that benefit all spectrum users, such as the changes required to implement the broader Radiocommunications Bill proposals</w:t>
      </w:r>
      <w:r w:rsidR="00692678">
        <w:t>.</w:t>
      </w:r>
    </w:p>
    <w:p w14:paraId="6B2A52CC" w14:textId="5FA167ED" w:rsidR="00126694" w:rsidRDefault="00126694" w:rsidP="00126694">
      <w:r>
        <w:t>Given the current approach to direct costs is not affected by the move to a single licensing system, there should be no change to the overall framework governing direct cost recovery. These costs will continue to be recovered through their various mechanisms, such as s 60 of the ACMA Act. However, the ACMA should identify in its review of costs if there are any direct costs not currently recovered.</w:t>
      </w:r>
    </w:p>
    <w:p w14:paraId="5F5352B9" w14:textId="00E1BAAE" w:rsidR="005968FD" w:rsidRPr="00673EDD" w:rsidRDefault="005968FD" w:rsidP="00F11684">
      <w:pPr>
        <w:pStyle w:val="BoxHeading"/>
        <w:rPr>
          <w:smallCaps w:val="0"/>
        </w:rPr>
      </w:pPr>
      <w:r w:rsidRPr="00673EDD">
        <w:rPr>
          <w:smallCaps w:val="0"/>
        </w:rPr>
        <w:t xml:space="preserve">Questions </w:t>
      </w:r>
      <w:r w:rsidR="000A1AF5" w:rsidRPr="00673EDD">
        <w:rPr>
          <w:smallCaps w:val="0"/>
        </w:rPr>
        <w:t>(</w:t>
      </w:r>
      <w:r w:rsidR="00673EDD">
        <w:rPr>
          <w:smallCaps w:val="0"/>
        </w:rPr>
        <w:t>l</w:t>
      </w:r>
      <w:r w:rsidR="000A1AF5" w:rsidRPr="00673EDD">
        <w:rPr>
          <w:smallCaps w:val="0"/>
        </w:rPr>
        <w:t xml:space="preserve">egislative and </w:t>
      </w:r>
      <w:r w:rsidR="00673EDD">
        <w:rPr>
          <w:smallCaps w:val="0"/>
        </w:rPr>
        <w:t>c</w:t>
      </w:r>
      <w:r w:rsidR="000A1AF5" w:rsidRPr="00673EDD">
        <w:rPr>
          <w:smallCaps w:val="0"/>
        </w:rPr>
        <w:t xml:space="preserve">ost </w:t>
      </w:r>
      <w:r w:rsidR="00673EDD">
        <w:rPr>
          <w:smallCaps w:val="0"/>
        </w:rPr>
        <w:t>r</w:t>
      </w:r>
      <w:r w:rsidR="000A1AF5" w:rsidRPr="00673EDD">
        <w:rPr>
          <w:smallCaps w:val="0"/>
        </w:rPr>
        <w:t xml:space="preserve">ecovery </w:t>
      </w:r>
      <w:r w:rsidR="00673EDD">
        <w:rPr>
          <w:smallCaps w:val="0"/>
        </w:rPr>
        <w:t>f</w:t>
      </w:r>
      <w:r w:rsidR="000A1AF5" w:rsidRPr="00673EDD">
        <w:rPr>
          <w:smallCaps w:val="0"/>
        </w:rPr>
        <w:t>ramework</w:t>
      </w:r>
      <w:r w:rsidRPr="00673EDD">
        <w:rPr>
          <w:smallCaps w:val="0"/>
        </w:rPr>
        <w:t>)</w:t>
      </w:r>
    </w:p>
    <w:p w14:paraId="1A995974" w14:textId="77777777" w:rsidR="005968FD" w:rsidRDefault="005968FD" w:rsidP="005968FD">
      <w:pPr>
        <w:pStyle w:val="BoxContents"/>
      </w:pPr>
      <w:r>
        <w:t xml:space="preserve">Are there </w:t>
      </w:r>
      <w:r w:rsidR="0079373C">
        <w:t xml:space="preserve">any barriers that would limit a spectrum framework as described above? Does the revised spectrum framework </w:t>
      </w:r>
      <w:r w:rsidR="00400058">
        <w:t>sufficiently simplify the current spectrum pricing framework? Are any components above unnecessary, or are any additional components necessary?</w:t>
      </w:r>
    </w:p>
    <w:p w14:paraId="24EE0006" w14:textId="77777777" w:rsidR="008E2767" w:rsidRDefault="00882C08" w:rsidP="005968FD">
      <w:pPr>
        <w:pStyle w:val="BoxContents"/>
      </w:pPr>
      <w:r>
        <w:t xml:space="preserve">Should both costs and value be priced into the fee for spectrum? </w:t>
      </w:r>
      <w:r w:rsidR="00C255E3">
        <w:t>S</w:t>
      </w:r>
      <w:r w:rsidR="00850FCA">
        <w:t>hould costs be explicitly recovered</w:t>
      </w:r>
      <w:r w:rsidR="00225168">
        <w:t xml:space="preserve"> through a separate tax</w:t>
      </w:r>
      <w:r w:rsidR="00850FCA">
        <w:t xml:space="preserve">? </w:t>
      </w:r>
      <w:r w:rsidR="00C255E3">
        <w:t>What level of transparency of costs and fees would most help users?</w:t>
      </w:r>
    </w:p>
    <w:p w14:paraId="2ECF2E77" w14:textId="515E2CEA" w:rsidR="00144CC0" w:rsidRDefault="00144CC0" w:rsidP="00DD191A">
      <w:pPr>
        <w:rPr>
          <w:rFonts w:asciiTheme="majorHAnsi" w:eastAsiaTheme="majorEastAsia" w:hAnsiTheme="majorHAnsi" w:cstheme="majorBidi"/>
          <w:color w:val="07478C"/>
          <w:sz w:val="36"/>
          <w:szCs w:val="26"/>
        </w:rPr>
      </w:pPr>
      <w:bookmarkStart w:id="394" w:name="_Toc471731859"/>
      <w:bookmarkStart w:id="395" w:name="_Toc471819448"/>
      <w:bookmarkStart w:id="396" w:name="_Toc471986074"/>
      <w:bookmarkStart w:id="397" w:name="_Toc471987670"/>
      <w:bookmarkStart w:id="398" w:name="_Toc471988051"/>
      <w:bookmarkStart w:id="399" w:name="_Toc471992217"/>
      <w:bookmarkStart w:id="400" w:name="_Toc471995392"/>
      <w:bookmarkStart w:id="401" w:name="_Toc471996904"/>
      <w:bookmarkStart w:id="402" w:name="_Toc474255260"/>
      <w:bookmarkStart w:id="403" w:name="_Toc256000130"/>
      <w:bookmarkStart w:id="404" w:name="_Toc256000097"/>
      <w:bookmarkStart w:id="405" w:name="_Toc256000064"/>
      <w:bookmarkStart w:id="406" w:name="_Toc256000031"/>
      <w:r>
        <w:br w:type="page"/>
      </w:r>
    </w:p>
    <w:p w14:paraId="6CB09C8B" w14:textId="62B7589B" w:rsidR="0006661F" w:rsidRDefault="0006661F" w:rsidP="005537E3">
      <w:pPr>
        <w:pStyle w:val="Heading2"/>
        <w:spacing w:after="120"/>
      </w:pPr>
      <w:bookmarkStart w:id="407" w:name="_Toc480793167"/>
      <w:r>
        <w:t>Conclusion</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4E72631A" w14:textId="5DB9A22A" w:rsidR="0006661F" w:rsidRDefault="008639ED" w:rsidP="0006661F">
      <w:r>
        <w:t>The move to a single licens</w:t>
      </w:r>
      <w:r w:rsidR="0006661F">
        <w:t xml:space="preserve">ing </w:t>
      </w:r>
      <w:r w:rsidR="00815298">
        <w:t>system</w:t>
      </w:r>
      <w:r w:rsidR="0006661F">
        <w:t xml:space="preserve"> both necessitates and provides an opportunity to modernise the way we price spectrum in Australia.</w:t>
      </w:r>
    </w:p>
    <w:p w14:paraId="1550B7C9" w14:textId="77777777" w:rsidR="009D396B" w:rsidRDefault="0006661F" w:rsidP="009D396B">
      <w:r>
        <w:t xml:space="preserve">The options being considered in this review relate to increasing the efficiency of spectrum markets, allowing spectrum to move to its highest use, and reducing the complexity of spectrum pricing frameworks. Most of the findings and proposals are not novel. Instead, they build </w:t>
      </w:r>
      <w:r w:rsidR="00973A50">
        <w:t xml:space="preserve">on </w:t>
      </w:r>
      <w:r>
        <w:t>the ACMA’s research, independent reports, and best practice over the past two decades.</w:t>
      </w:r>
      <w:r w:rsidR="00110CD6">
        <w:t xml:space="preserve"> </w:t>
      </w:r>
      <w:r w:rsidR="00EE7EF2">
        <w:t xml:space="preserve">The paper seeks feedback from stakeholders on </w:t>
      </w:r>
      <w:r w:rsidR="00973A50">
        <w:t xml:space="preserve">whether </w:t>
      </w:r>
      <w:r w:rsidR="00EE7EF2">
        <w:t>draft proposals in the paper will provide a</w:t>
      </w:r>
      <w:r w:rsidR="009D396B">
        <w:t xml:space="preserve"> greater level of certainty in</w:t>
      </w:r>
      <w:r w:rsidR="00EE7EF2">
        <w:t xml:space="preserve"> spectrum</w:t>
      </w:r>
      <w:r w:rsidR="009D396B">
        <w:t xml:space="preserve"> pricing decisions</w:t>
      </w:r>
      <w:r w:rsidR="00EE7EF2">
        <w:t>.</w:t>
      </w:r>
    </w:p>
    <w:p w14:paraId="54A75D9B" w14:textId="22301F8C" w:rsidR="0006661F" w:rsidRDefault="0006661F" w:rsidP="0006661F">
      <w:r>
        <w:t>It is anticipated the</w:t>
      </w:r>
      <w:r w:rsidR="00875E68">
        <w:t xml:space="preserve"> proposals in this paper </w:t>
      </w:r>
      <w:r>
        <w:t>are possible with</w:t>
      </w:r>
      <w:r w:rsidR="00875E68">
        <w:t>in</w:t>
      </w:r>
      <w:r>
        <w:t xml:space="preserve"> the proposed changes </w:t>
      </w:r>
      <w:r w:rsidR="00875E68">
        <w:t xml:space="preserve">to </w:t>
      </w:r>
      <w:r>
        <w:t xml:space="preserve">the </w:t>
      </w:r>
      <w:r w:rsidR="00110CD6">
        <w:t>exposure draft of the</w:t>
      </w:r>
      <w:r>
        <w:t xml:space="preserve"> Radiocommunications Bill</w:t>
      </w:r>
      <w:r w:rsidR="00110CD6">
        <w:t>. Given the B</w:t>
      </w:r>
      <w:r>
        <w:t xml:space="preserve">ill’s flexibility and general nature, many changes will be contained in policy and administrative mechanisms. </w:t>
      </w:r>
      <w:r w:rsidR="00726A75">
        <w:t xml:space="preserve">Minimal legislative change </w:t>
      </w:r>
      <w:r>
        <w:t xml:space="preserve">will be required </w:t>
      </w:r>
      <w:r w:rsidR="00832EFE">
        <w:t>above the changes already proposed in the Radiocommunications Bill</w:t>
      </w:r>
      <w:r>
        <w:t xml:space="preserve">. </w:t>
      </w:r>
      <w:r w:rsidR="00832EFE">
        <w:t>A d</w:t>
      </w:r>
      <w:r>
        <w:t xml:space="preserve">raft </w:t>
      </w:r>
      <w:r w:rsidR="00D543F3">
        <w:t xml:space="preserve">spectrum </w:t>
      </w:r>
      <w:r>
        <w:t>tax act</w:t>
      </w:r>
      <w:r w:rsidR="00832EFE">
        <w:t xml:space="preserve"> </w:t>
      </w:r>
      <w:r>
        <w:t>will be provided following consultation on this paper</w:t>
      </w:r>
      <w:r w:rsidR="00875E68">
        <w:t>. This</w:t>
      </w:r>
      <w:r>
        <w:t xml:space="preserve"> will provide the opportunity to ensure</w:t>
      </w:r>
      <w:r w:rsidR="00875E68">
        <w:t xml:space="preserve"> the</w:t>
      </w:r>
      <w:r>
        <w:t xml:space="preserve"> legislation allows the implementation of any final recommendations.</w:t>
      </w:r>
    </w:p>
    <w:p w14:paraId="2A0B9DBE" w14:textId="77777777" w:rsidR="008E5662" w:rsidRDefault="008E5662" w:rsidP="008E5662">
      <w:r>
        <w:t>The Department and the ACMA are currently considering the transitional arrangements for the broader reforms detailed in the exposure draft of the Radiocommunicaitons Bill. This includes many of the transitional arrangements for licensing, and how the current licensing system of apparatus and spectrum licences will need to be transferred to a single licensing system. Many of this review’s pricing proposals, in particular those made on the pricing and licensing framework, will need to be considered as part of this. It is expected that spectrum users will transfer to the new pricing arrangements described in the legislative and cost recovery framework section at the same time they transfer to the new regulatory arrangements.</w:t>
      </w:r>
    </w:p>
    <w:p w14:paraId="1B923491" w14:textId="77777777" w:rsidR="008E5662" w:rsidRDefault="008E5662" w:rsidP="008E5662">
      <w:bookmarkStart w:id="408" w:name="_Toc471731860"/>
      <w:bookmarkStart w:id="409" w:name="_Toc471819449"/>
      <w:bookmarkStart w:id="410" w:name="_Toc471986075"/>
      <w:bookmarkStart w:id="411" w:name="_Toc471987671"/>
      <w:bookmarkStart w:id="412" w:name="_Toc471988052"/>
      <w:bookmarkStart w:id="413" w:name="_Toc471992218"/>
      <w:bookmarkStart w:id="414" w:name="_Toc471995393"/>
      <w:bookmarkStart w:id="415" w:name="_Toc471996905"/>
      <w:bookmarkStart w:id="416" w:name="_Toc474255261"/>
      <w:bookmarkStart w:id="417" w:name="_Toc256000131"/>
      <w:bookmarkStart w:id="418" w:name="_Toc256000098"/>
      <w:bookmarkStart w:id="419" w:name="_Toc256000065"/>
      <w:bookmarkStart w:id="420" w:name="_Toc256000032"/>
      <w:r>
        <w:t>Several proposals also relate to the ACMA’s responsibilities outside of the transition process. This includes processes like updating pricing formulas, increasing the transparency of its pricing decisions, and reviewing auctions. All this work will need be considered both during and following the transition to the new single licensing system.</w:t>
      </w:r>
    </w:p>
    <w:p w14:paraId="28C1D2B9" w14:textId="77777777" w:rsidR="00144CC0" w:rsidRDefault="00144CC0">
      <w:pPr>
        <w:spacing w:after="160" w:line="259" w:lineRule="auto"/>
        <w:rPr>
          <w:rFonts w:asciiTheme="majorHAnsi" w:eastAsiaTheme="majorEastAsia" w:hAnsiTheme="majorHAnsi" w:cstheme="majorBidi"/>
          <w:b/>
          <w:color w:val="07478C"/>
          <w:sz w:val="36"/>
          <w:szCs w:val="26"/>
        </w:rPr>
      </w:pPr>
      <w:r>
        <w:br w:type="page"/>
      </w:r>
    </w:p>
    <w:p w14:paraId="4AC152AD" w14:textId="338FA536" w:rsidR="0006661F" w:rsidRDefault="0006661F" w:rsidP="005537E3">
      <w:pPr>
        <w:pStyle w:val="Heading2"/>
        <w:spacing w:after="120"/>
      </w:pPr>
      <w:bookmarkStart w:id="421" w:name="_Toc480793168"/>
      <w:r>
        <w:t>Feedback options</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0F99B1B4" w14:textId="00CF7A12" w:rsidR="008E2767" w:rsidRDefault="0006661F" w:rsidP="0006661F">
      <w:r>
        <w:t xml:space="preserve">The Government welcomes feedback on the ideas presented in this paper. The easiest way to provide feedback is to visit our website at </w:t>
      </w:r>
      <w:hyperlink r:id="rId20" w:history="1">
        <w:r w:rsidR="00B96BE4" w:rsidRPr="00116018">
          <w:rPr>
            <w:rStyle w:val="Hyperlink"/>
          </w:rPr>
          <w:t>www.communications.gov.au/what-we-do/spectrum/spectrum-reform</w:t>
        </w:r>
      </w:hyperlink>
      <w:r w:rsidR="00DD191A">
        <w:t>.</w:t>
      </w:r>
    </w:p>
    <w:p w14:paraId="258C27E3" w14:textId="77777777" w:rsidR="008E2767" w:rsidRDefault="0006661F" w:rsidP="0006661F">
      <w:r w:rsidRPr="003B3D57">
        <w:t>Alternatively, you can provide written comments to:</w:t>
      </w:r>
    </w:p>
    <w:p w14:paraId="34892AEF" w14:textId="16430E66" w:rsidR="0006661F" w:rsidRDefault="0006661F" w:rsidP="005F7F73">
      <w:pPr>
        <w:pStyle w:val="ListParagraph"/>
        <w:numPr>
          <w:ilvl w:val="0"/>
          <w:numId w:val="33"/>
        </w:numPr>
        <w:ind w:left="567" w:hanging="567"/>
      </w:pPr>
      <w:r w:rsidRPr="003B3D57">
        <w:t>Spectrum Reform</w:t>
      </w:r>
      <w:r w:rsidR="00DE3FD3">
        <w:br/>
      </w:r>
      <w:r w:rsidRPr="003B3D57">
        <w:t>Department of Communications and the Arts</w:t>
      </w:r>
      <w:r w:rsidRPr="003B3D57">
        <w:br/>
        <w:t>GPO Box 2154</w:t>
      </w:r>
      <w:r w:rsidRPr="00395A26">
        <w:br/>
        <w:t>Canberra ACT 2601</w:t>
      </w:r>
    </w:p>
    <w:p w14:paraId="7DC2504E" w14:textId="77777777" w:rsidR="005F7F73" w:rsidRDefault="005F7F73" w:rsidP="005F7F73">
      <w:pPr>
        <w:pStyle w:val="ListParagraph"/>
        <w:ind w:left="567" w:firstLine="0"/>
      </w:pPr>
    </w:p>
    <w:p w14:paraId="0D40D42A" w14:textId="096F0E80" w:rsidR="0006661F" w:rsidRPr="00395A26" w:rsidRDefault="0006661F" w:rsidP="005F7F73">
      <w:pPr>
        <w:pStyle w:val="ListParagraph"/>
        <w:numPr>
          <w:ilvl w:val="0"/>
          <w:numId w:val="33"/>
        </w:numPr>
        <w:ind w:left="567" w:hanging="567"/>
      </w:pPr>
      <w:r>
        <w:t xml:space="preserve">Or by email to </w:t>
      </w:r>
      <w:r w:rsidR="003D7456">
        <w:t>spectrumreform</w:t>
      </w:r>
      <w:r>
        <w:t>@communications.gov.au</w:t>
      </w:r>
    </w:p>
    <w:p w14:paraId="7A59647E" w14:textId="45DEBC9D" w:rsidR="008E2767" w:rsidRDefault="0006661F" w:rsidP="0006661F">
      <w:r>
        <w:t xml:space="preserve">Submissions close on </w:t>
      </w:r>
      <w:r w:rsidR="00892029" w:rsidRPr="005E0CE8">
        <w:t>30 June</w:t>
      </w:r>
      <w:r w:rsidR="008B204B" w:rsidRPr="005E0CE8">
        <w:t xml:space="preserve"> 2017</w:t>
      </w:r>
      <w:r w:rsidR="008B204B">
        <w:t>.</w:t>
      </w:r>
    </w:p>
    <w:p w14:paraId="356C9E1B" w14:textId="0CE2F839" w:rsidR="0006661F" w:rsidRDefault="0006661F" w:rsidP="0006661F">
      <w:r>
        <w:t>Please include:</w:t>
      </w:r>
    </w:p>
    <w:p w14:paraId="22FA389E" w14:textId="77777777" w:rsidR="0006661F" w:rsidRDefault="0006661F" w:rsidP="005F7F73">
      <w:pPr>
        <w:pStyle w:val="ListParagraph"/>
        <w:numPr>
          <w:ilvl w:val="0"/>
          <w:numId w:val="33"/>
        </w:numPr>
        <w:ind w:left="567" w:hanging="567"/>
      </w:pPr>
      <w:r>
        <w:t>contact name</w:t>
      </w:r>
    </w:p>
    <w:p w14:paraId="745AD1D3" w14:textId="77777777" w:rsidR="0006661F" w:rsidRDefault="0006661F" w:rsidP="005F7F73">
      <w:pPr>
        <w:pStyle w:val="ListParagraph"/>
        <w:numPr>
          <w:ilvl w:val="0"/>
          <w:numId w:val="33"/>
        </w:numPr>
        <w:ind w:left="567" w:hanging="567"/>
      </w:pPr>
      <w:r>
        <w:t>organisation name, if applicable</w:t>
      </w:r>
    </w:p>
    <w:p w14:paraId="5B306FFB" w14:textId="77777777" w:rsidR="0006661F" w:rsidRDefault="0006661F" w:rsidP="005F7F73">
      <w:pPr>
        <w:pStyle w:val="ListParagraph"/>
        <w:numPr>
          <w:ilvl w:val="0"/>
          <w:numId w:val="33"/>
        </w:numPr>
        <w:ind w:left="567" w:hanging="567"/>
      </w:pPr>
      <w:r>
        <w:t>contact details, including telephone number, postal and email addresses</w:t>
      </w:r>
    </w:p>
    <w:p w14:paraId="6C44D26A" w14:textId="77777777" w:rsidR="0006661F" w:rsidRPr="00794480" w:rsidRDefault="0006661F" w:rsidP="005F7F73">
      <w:pPr>
        <w:pStyle w:val="ListParagraph"/>
        <w:numPr>
          <w:ilvl w:val="0"/>
          <w:numId w:val="33"/>
        </w:numPr>
        <w:ind w:left="567" w:hanging="567"/>
      </w:pPr>
      <w:r>
        <w:t>confirmation whether or not your submission can be made public – published – or kept confidential.</w:t>
      </w:r>
    </w:p>
    <w:p w14:paraId="27490B5E" w14:textId="77777777" w:rsidR="0006661F" w:rsidRPr="00481A99" w:rsidRDefault="0006661F" w:rsidP="00F77EAD">
      <w:r w:rsidRPr="00481A99">
        <w:t xml:space="preserve">All submissions to be made public need to meet the </w:t>
      </w:r>
      <w:hyperlink r:id="rId21" w:tgtFrame="_blank" w:history="1">
        <w:r w:rsidRPr="00481A99">
          <w:rPr>
            <w:color w:val="0070C0"/>
          </w:rPr>
          <w:t>Digital Service Standard</w:t>
        </w:r>
      </w:hyperlink>
      <w:r w:rsidRPr="00481A99">
        <w:t xml:space="preserve"> for accessibility. Any submission that does not meet this standard may be modified before being made public.</w:t>
      </w:r>
    </w:p>
    <w:p w14:paraId="5933EBF7" w14:textId="77777777" w:rsidR="008E2767" w:rsidRDefault="0006661F" w:rsidP="00F77EAD">
      <w:r w:rsidRPr="00481A99">
        <w:t xml:space="preserve">If your submission is to be made public, please ensure you do not include any personal information that </w:t>
      </w:r>
      <w:r>
        <w:t>you don't want to be published.</w:t>
      </w:r>
    </w:p>
    <w:p w14:paraId="6DB4B42B" w14:textId="5271220B" w:rsidR="0006661F" w:rsidRDefault="0006661F" w:rsidP="00CA43BC">
      <w:pPr>
        <w:rPr>
          <w:lang w:val="en-US"/>
        </w:rPr>
      </w:pPr>
    </w:p>
    <w:sectPr w:rsidR="0006661F" w:rsidSect="00EF66EB">
      <w:headerReference w:type="even" r:id="rId22"/>
      <w:headerReference w:type="default" r:id="rId23"/>
      <w:footerReference w:type="default" r:id="rId24"/>
      <w:headerReference w:type="first" r:id="rId25"/>
      <w:type w:val="continuous"/>
      <w:pgSz w:w="11906" w:h="16838"/>
      <w:pgMar w:top="1702" w:right="1133" w:bottom="1276" w:left="1440" w:header="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53F8C" w14:textId="77777777" w:rsidR="00011F85" w:rsidRDefault="00011F85" w:rsidP="003F0A2D">
      <w:pPr>
        <w:spacing w:after="0"/>
      </w:pPr>
      <w:r>
        <w:separator/>
      </w:r>
    </w:p>
  </w:endnote>
  <w:endnote w:type="continuationSeparator" w:id="0">
    <w:p w14:paraId="680FAAC4" w14:textId="77777777" w:rsidR="00011F85" w:rsidRDefault="00011F85" w:rsidP="003F0A2D">
      <w:pPr>
        <w:spacing w:after="0"/>
      </w:pPr>
      <w:r>
        <w:continuationSeparator/>
      </w:r>
    </w:p>
  </w:endnote>
  <w:endnote w:type="continuationNotice" w:id="1">
    <w:p w14:paraId="5D808EED" w14:textId="77777777" w:rsidR="00011F85" w:rsidRDefault="00011F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15907" w14:textId="77777777" w:rsidR="00011F85" w:rsidRDefault="00011F85" w:rsidP="00297528">
    <w:pPr>
      <w:pStyle w:val="Footer"/>
      <w:ind w:left="-1418"/>
    </w:pPr>
    <w:r>
      <w:rPr>
        <w:noProof/>
        <w:lang w:eastAsia="zh-TW" w:bidi="hi-IN"/>
      </w:rPr>
      <w:drawing>
        <wp:inline distT="0" distB="0" distL="0" distR="0" wp14:anchorId="0A743ADA" wp14:editId="28026FC6">
          <wp:extent cx="7599486" cy="767021"/>
          <wp:effectExtent l="0" t="0" r="1905" b="0"/>
          <wp:docPr id="3" name="Picture 3" descr="Australian Government, Department of Communications and the Arts.&#10;http://www.communications.gov.au&#10;http://www.arts.gov.au&#10;http://www.classification.gov.au&#10;&#10;GPO Box 2154, Canberra ACT 2601 Australia.&#10;Telephone 02 6271 1000" title="Contact the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6550" cy="77984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40460" w14:textId="384BAE0D" w:rsidR="00011F85" w:rsidRPr="0037566A" w:rsidRDefault="00011F85" w:rsidP="00A078EF">
    <w:pPr>
      <w:pStyle w:val="Footer"/>
      <w:tabs>
        <w:tab w:val="clear" w:pos="9026"/>
        <w:tab w:val="right" w:pos="9333"/>
      </w:tabs>
      <w:rPr>
        <w:sz w:val="18"/>
        <w:szCs w:val="18"/>
      </w:rPr>
    </w:pPr>
    <w:r>
      <w:rPr>
        <w:sz w:val="18"/>
        <w:szCs w:val="18"/>
      </w:rPr>
      <w:tab/>
    </w:r>
    <w:hyperlink r:id="rId1" w:history="1">
      <w:r w:rsidRPr="0037566A">
        <w:rPr>
          <w:rStyle w:val="Hyperlink"/>
          <w:sz w:val="18"/>
          <w:szCs w:val="18"/>
        </w:rPr>
        <w:t>www.communications.gov.au</w:t>
      </w:r>
    </w:hyperlink>
  </w:p>
  <w:p w14:paraId="5D58D37B" w14:textId="5CD490C2" w:rsidR="00011F85" w:rsidRPr="0037566A" w:rsidRDefault="00011F85" w:rsidP="00A078EF">
    <w:pPr>
      <w:pStyle w:val="Footer"/>
      <w:tabs>
        <w:tab w:val="clear" w:pos="9026"/>
        <w:tab w:val="right" w:pos="9333"/>
      </w:tabs>
      <w:rPr>
        <w:rStyle w:val="Hyperlink"/>
        <w:sz w:val="18"/>
        <w:szCs w:val="18"/>
      </w:rPr>
    </w:pPr>
    <w:r>
      <w:rPr>
        <w:sz w:val="18"/>
        <w:szCs w:val="18"/>
      </w:rPr>
      <w:t xml:space="preserve">Spectrum Pricing </w:t>
    </w:r>
    <w:r w:rsidRPr="0037566A">
      <w:rPr>
        <w:sz w:val="18"/>
        <w:szCs w:val="18"/>
      </w:rPr>
      <w:tab/>
    </w:r>
    <w:hyperlink r:id="rId2" w:history="1">
      <w:r w:rsidRPr="0037566A">
        <w:rPr>
          <w:rStyle w:val="Hyperlink"/>
          <w:sz w:val="18"/>
          <w:szCs w:val="18"/>
        </w:rPr>
        <w:t>www.arts.gov.au</w:t>
      </w:r>
    </w:hyperlink>
    <w:r w:rsidR="00032496" w:rsidRPr="0037566A">
      <w:rPr>
        <w:sz w:val="18"/>
        <w:szCs w:val="18"/>
      </w:rPr>
      <w:tab/>
    </w:r>
    <w:sdt>
      <w:sdtPr>
        <w:rPr>
          <w:sz w:val="18"/>
          <w:szCs w:val="18"/>
        </w:rPr>
        <w:id w:val="-984167973"/>
        <w:docPartObj>
          <w:docPartGallery w:val="Page Numbers (Top of Page)"/>
          <w:docPartUnique/>
        </w:docPartObj>
      </w:sdtPr>
      <w:sdtContent>
        <w:r w:rsidR="00032496" w:rsidRPr="0037566A">
          <w:rPr>
            <w:sz w:val="18"/>
            <w:szCs w:val="18"/>
          </w:rPr>
          <w:t xml:space="preserve">Page </w:t>
        </w:r>
        <w:r w:rsidR="00032496" w:rsidRPr="0037566A">
          <w:rPr>
            <w:bCs/>
            <w:sz w:val="18"/>
            <w:szCs w:val="18"/>
          </w:rPr>
          <w:fldChar w:fldCharType="begin"/>
        </w:r>
        <w:r w:rsidR="00032496" w:rsidRPr="0037566A">
          <w:rPr>
            <w:bCs/>
            <w:sz w:val="18"/>
            <w:szCs w:val="18"/>
          </w:rPr>
          <w:instrText xml:space="preserve"> PAGE </w:instrText>
        </w:r>
        <w:r w:rsidR="00032496" w:rsidRPr="0037566A">
          <w:rPr>
            <w:bCs/>
            <w:sz w:val="18"/>
            <w:szCs w:val="18"/>
          </w:rPr>
          <w:fldChar w:fldCharType="separate"/>
        </w:r>
        <w:r w:rsidR="00262AD8">
          <w:rPr>
            <w:bCs/>
            <w:noProof/>
            <w:sz w:val="18"/>
            <w:szCs w:val="18"/>
          </w:rPr>
          <w:t>21</w:t>
        </w:r>
        <w:r w:rsidR="00032496" w:rsidRPr="0037566A">
          <w:rPr>
            <w:bCs/>
            <w:sz w:val="18"/>
            <w:szCs w:val="18"/>
          </w:rPr>
          <w:fldChar w:fldCharType="end"/>
        </w:r>
        <w:r w:rsidR="00032496" w:rsidRPr="0037566A">
          <w:rPr>
            <w:sz w:val="18"/>
            <w:szCs w:val="18"/>
          </w:rPr>
          <w:t xml:space="preserve"> of </w:t>
        </w:r>
        <w:r w:rsidR="00032496" w:rsidRPr="0037566A">
          <w:rPr>
            <w:bCs/>
            <w:sz w:val="18"/>
            <w:szCs w:val="18"/>
          </w:rPr>
          <w:fldChar w:fldCharType="begin"/>
        </w:r>
        <w:r w:rsidR="00032496" w:rsidRPr="0037566A">
          <w:rPr>
            <w:bCs/>
            <w:sz w:val="18"/>
            <w:szCs w:val="18"/>
          </w:rPr>
          <w:instrText xml:space="preserve"> NUMPAGES  </w:instrText>
        </w:r>
        <w:r w:rsidR="00032496" w:rsidRPr="0037566A">
          <w:rPr>
            <w:bCs/>
            <w:sz w:val="18"/>
            <w:szCs w:val="18"/>
          </w:rPr>
          <w:fldChar w:fldCharType="separate"/>
        </w:r>
        <w:r w:rsidR="00262AD8">
          <w:rPr>
            <w:bCs/>
            <w:noProof/>
            <w:sz w:val="18"/>
            <w:szCs w:val="18"/>
          </w:rPr>
          <w:t>27</w:t>
        </w:r>
        <w:r w:rsidR="00032496" w:rsidRPr="0037566A">
          <w:rPr>
            <w:bCs/>
            <w:sz w:val="18"/>
            <w:szCs w:val="18"/>
          </w:rPr>
          <w:fldChar w:fldCharType="end"/>
        </w:r>
      </w:sdtContent>
    </w:sdt>
  </w:p>
  <w:p w14:paraId="05DB525F" w14:textId="38B72171" w:rsidR="00011F85" w:rsidRPr="00A078EF" w:rsidRDefault="00011F85" w:rsidP="00A078EF">
    <w:pPr>
      <w:pStyle w:val="Footer"/>
      <w:tabs>
        <w:tab w:val="clear" w:pos="9026"/>
        <w:tab w:val="right" w:pos="9333"/>
      </w:tabs>
      <w:rPr>
        <w:color w:val="095EBB"/>
        <w:sz w:val="18"/>
        <w:szCs w:val="18"/>
        <w:u w:val="single"/>
      </w:rPr>
    </w:pPr>
    <w:r w:rsidRPr="0037566A">
      <w:rPr>
        <w:sz w:val="18"/>
        <w:szCs w:val="18"/>
      </w:rPr>
      <w:tab/>
    </w:r>
    <w:hyperlink r:id="rId3" w:history="1">
      <w:r w:rsidRPr="0037566A">
        <w:rPr>
          <w:rStyle w:val="Hyperlink"/>
          <w:sz w:val="18"/>
          <w:szCs w:val="18"/>
        </w:rPr>
        <w:t>www.classification.gov.au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25EB64" w14:textId="77777777" w:rsidR="00011F85" w:rsidRDefault="00011F85" w:rsidP="003F0A2D">
      <w:pPr>
        <w:spacing w:after="0"/>
      </w:pPr>
      <w:r>
        <w:separator/>
      </w:r>
    </w:p>
  </w:footnote>
  <w:footnote w:type="continuationSeparator" w:id="0">
    <w:p w14:paraId="207E03B9" w14:textId="77777777" w:rsidR="00011F85" w:rsidRDefault="00011F85" w:rsidP="003F0A2D">
      <w:pPr>
        <w:spacing w:after="0"/>
      </w:pPr>
      <w:r>
        <w:continuationSeparator/>
      </w:r>
    </w:p>
  </w:footnote>
  <w:footnote w:type="continuationNotice" w:id="1">
    <w:p w14:paraId="418CBC2B" w14:textId="77777777" w:rsidR="00011F85" w:rsidRDefault="00011F85">
      <w:pPr>
        <w:spacing w:after="0"/>
      </w:pPr>
    </w:p>
  </w:footnote>
  <w:footnote w:id="2">
    <w:p w14:paraId="38C85EF7" w14:textId="77777777" w:rsidR="00011F85" w:rsidRDefault="00011F85" w:rsidP="005944CB">
      <w:pPr>
        <w:pStyle w:val="FootnoteText"/>
      </w:pPr>
      <w:r>
        <w:rPr>
          <w:rStyle w:val="FootnoteReference"/>
        </w:rPr>
        <w:footnoteRef/>
      </w:r>
      <w:r>
        <w:t xml:space="preserve"> Centre for International Economics (2015) </w:t>
      </w:r>
      <w:r w:rsidRPr="003E7570">
        <w:rPr>
          <w:i/>
        </w:rPr>
        <w:t>The economic value of spectrum</w:t>
      </w:r>
      <w:r>
        <w:t>,</w:t>
      </w:r>
      <w:r w:rsidRPr="00266AA1">
        <w:t xml:space="preserve"> Research report prepared for the </w:t>
      </w:r>
      <w:r>
        <w:t>Department</w:t>
      </w:r>
      <w:r w:rsidRPr="00266AA1">
        <w:t xml:space="preserve"> </w:t>
      </w:r>
      <w:r>
        <w:t>of Communications</w:t>
      </w:r>
    </w:p>
  </w:footnote>
  <w:footnote w:id="3">
    <w:p w14:paraId="79EFEEA9" w14:textId="77777777" w:rsidR="00011F85" w:rsidRPr="007E35DA" w:rsidRDefault="00011F85" w:rsidP="007E35DA">
      <w:pPr>
        <w:pStyle w:val="FootnoteText"/>
      </w:pPr>
      <w:r>
        <w:rPr>
          <w:rStyle w:val="FootnoteReference"/>
        </w:rPr>
        <w:footnoteRef/>
      </w:r>
      <w:r>
        <w:t xml:space="preserve"> Sims, M., Youell, T. and Womersley, R., (2015) </w:t>
      </w:r>
      <w:r w:rsidRPr="007E35DA">
        <w:rPr>
          <w:i/>
        </w:rPr>
        <w:t>Understanding Spectrum Liberalisation</w:t>
      </w:r>
      <w:r>
        <w:t>, CRC Press</w:t>
      </w:r>
    </w:p>
  </w:footnote>
  <w:footnote w:id="4">
    <w:p w14:paraId="04A3CDCC" w14:textId="77777777" w:rsidR="00011F85" w:rsidRPr="00A11EF4" w:rsidRDefault="00011F85" w:rsidP="00A352DA">
      <w:pPr>
        <w:pStyle w:val="FootnoteText"/>
      </w:pPr>
      <w:r w:rsidRPr="00A11EF4">
        <w:rPr>
          <w:rStyle w:val="FootnoteReference"/>
        </w:rPr>
        <w:footnoteRef/>
      </w:r>
      <w:r>
        <w:t xml:space="preserve"> Productivity Commission (2002)</w:t>
      </w:r>
      <w:r w:rsidRPr="00A11EF4">
        <w:t xml:space="preserve"> </w:t>
      </w:r>
      <w:r w:rsidRPr="00A11EF4">
        <w:rPr>
          <w:i/>
        </w:rPr>
        <w:t>Radiocommunications</w:t>
      </w:r>
      <w:r>
        <w:t>, Report no. 2</w:t>
      </w:r>
    </w:p>
  </w:footnote>
  <w:footnote w:id="5">
    <w:p w14:paraId="1B1ABD17" w14:textId="77777777" w:rsidR="00011F85" w:rsidRDefault="00011F85" w:rsidP="00D77267">
      <w:pPr>
        <w:pStyle w:val="FootnoteText"/>
      </w:pPr>
      <w:r>
        <w:rPr>
          <w:rStyle w:val="FootnoteReference"/>
        </w:rPr>
        <w:footnoteRef/>
      </w:r>
      <w:r>
        <w:t xml:space="preserve"> </w:t>
      </w:r>
      <w:r w:rsidRPr="00072D8D">
        <w:rPr>
          <w:i/>
          <w:szCs w:val="16"/>
        </w:rPr>
        <w:t>Radiocommunications Act 1992</w:t>
      </w:r>
      <w:r>
        <w:rPr>
          <w:i/>
          <w:szCs w:val="16"/>
        </w:rPr>
        <w:t xml:space="preserve"> </w:t>
      </w:r>
      <w:r>
        <w:rPr>
          <w:szCs w:val="16"/>
        </w:rPr>
        <w:t>(Cth)</w:t>
      </w:r>
      <w:r>
        <w:rPr>
          <w:i/>
        </w:rPr>
        <w:t>,</w:t>
      </w:r>
      <w:r>
        <w:t xml:space="preserve"> </w:t>
      </w:r>
      <w:r w:rsidRPr="005A4BCA">
        <w:rPr>
          <w:i/>
        </w:rPr>
        <w:t>Australian Communications and Media Authority</w:t>
      </w:r>
      <w:r w:rsidRPr="002521B8">
        <w:rPr>
          <w:i/>
        </w:rPr>
        <w:t xml:space="preserve"> Act</w:t>
      </w:r>
      <w:r>
        <w:rPr>
          <w:i/>
        </w:rPr>
        <w:t xml:space="preserve"> 2005 </w:t>
      </w:r>
      <w:r>
        <w:t>(Cth), s 60.</w:t>
      </w:r>
    </w:p>
  </w:footnote>
  <w:footnote w:id="6">
    <w:p w14:paraId="6BD4D4C0" w14:textId="77777777" w:rsidR="00011F85" w:rsidRDefault="00011F85" w:rsidP="00D77267">
      <w:pPr>
        <w:pStyle w:val="FootnoteText"/>
      </w:pPr>
      <w:r>
        <w:rPr>
          <w:rStyle w:val="FootnoteReference"/>
        </w:rPr>
        <w:footnoteRef/>
      </w:r>
      <w:r>
        <w:t xml:space="preserve"> </w:t>
      </w:r>
      <w:r w:rsidRPr="00042D15">
        <w:rPr>
          <w:i/>
          <w:szCs w:val="16"/>
        </w:rPr>
        <w:t>Radiocommunications (Receiver Licence Tax) Act 1983</w:t>
      </w:r>
      <w:r>
        <w:rPr>
          <w:i/>
          <w:szCs w:val="16"/>
        </w:rPr>
        <w:t xml:space="preserve"> </w:t>
      </w:r>
      <w:r>
        <w:rPr>
          <w:szCs w:val="16"/>
        </w:rPr>
        <w:t>(Cth)</w:t>
      </w:r>
      <w:r w:rsidRPr="00042D15">
        <w:rPr>
          <w:i/>
          <w:szCs w:val="16"/>
        </w:rPr>
        <w:t>, Radiocommunications (Transmitter Licence Tax) Act 1983</w:t>
      </w:r>
      <w:r>
        <w:rPr>
          <w:i/>
          <w:szCs w:val="16"/>
        </w:rPr>
        <w:t xml:space="preserve"> </w:t>
      </w:r>
      <w:r>
        <w:rPr>
          <w:szCs w:val="16"/>
        </w:rPr>
        <w:t>(Cth)</w:t>
      </w:r>
      <w:r w:rsidRPr="00042D15">
        <w:rPr>
          <w:szCs w:val="16"/>
        </w:rPr>
        <w:t xml:space="preserve">, </w:t>
      </w:r>
      <w:r w:rsidRPr="00042D15">
        <w:rPr>
          <w:i/>
          <w:szCs w:val="16"/>
        </w:rPr>
        <w:t>Radiocommunications (Spectrum Licence Tax) Act 1997</w:t>
      </w:r>
      <w:r>
        <w:rPr>
          <w:i/>
          <w:szCs w:val="16"/>
        </w:rPr>
        <w:t xml:space="preserve"> </w:t>
      </w:r>
      <w:r>
        <w:rPr>
          <w:szCs w:val="16"/>
        </w:rPr>
        <w:t>(Cth)</w:t>
      </w:r>
      <w:r w:rsidRPr="00042D15">
        <w:rPr>
          <w:i/>
          <w:szCs w:val="16"/>
        </w:rPr>
        <w:t>.</w:t>
      </w:r>
    </w:p>
  </w:footnote>
  <w:footnote w:id="7">
    <w:p w14:paraId="5EF2A8D5" w14:textId="77777777" w:rsidR="00011F85" w:rsidRDefault="00011F85">
      <w:pPr>
        <w:pStyle w:val="FootnoteText"/>
      </w:pPr>
      <w:r>
        <w:rPr>
          <w:rStyle w:val="FootnoteReference"/>
        </w:rPr>
        <w:footnoteRef/>
      </w:r>
      <w:r>
        <w:t xml:space="preserve"> </w:t>
      </w:r>
      <w:r w:rsidRPr="00713558">
        <w:rPr>
          <w:i/>
        </w:rPr>
        <w:t>Radiocommunications (Spectrum Access Charges) Direction 2012</w:t>
      </w:r>
      <w:r>
        <w:t xml:space="preserve">, available at: </w:t>
      </w:r>
      <w:r w:rsidRPr="00CE5021">
        <w:t>https://www.communications.gov.au/sites/g/files/net301/f/Direction-to-the-ACMA-under-subsection-294-2-of-the-Radiocommunications-Act-1992.pdf</w:t>
      </w:r>
    </w:p>
  </w:footnote>
  <w:footnote w:id="8">
    <w:p w14:paraId="2D0A4DA7" w14:textId="77777777" w:rsidR="00011F85" w:rsidRPr="00A11EF4" w:rsidRDefault="00011F85" w:rsidP="00B71A30">
      <w:pPr>
        <w:pStyle w:val="FootnoteText"/>
      </w:pPr>
      <w:r w:rsidRPr="00A11EF4">
        <w:rPr>
          <w:rStyle w:val="FootnoteReference"/>
        </w:rPr>
        <w:footnoteRef/>
      </w:r>
      <w:r w:rsidRPr="00A11EF4">
        <w:t xml:space="preserve"> </w:t>
      </w:r>
      <w:r w:rsidRPr="001425E9">
        <w:rPr>
          <w:i/>
        </w:rPr>
        <w:t>Radiocommunications (Transmitter Licence Tax) Determination 2015</w:t>
      </w:r>
      <w:r w:rsidRPr="00A11EF4">
        <w:t xml:space="preserve"> </w:t>
      </w:r>
    </w:p>
  </w:footnote>
  <w:footnote w:id="9">
    <w:p w14:paraId="7F51BDA1" w14:textId="77777777" w:rsidR="00011F85" w:rsidRDefault="00011F85">
      <w:pPr>
        <w:pStyle w:val="FootnoteText"/>
      </w:pPr>
      <w:r w:rsidRPr="00EB6C59">
        <w:rPr>
          <w:rStyle w:val="FootnoteReference"/>
        </w:rPr>
        <w:footnoteRef/>
      </w:r>
      <w:r w:rsidRPr="00EB6C59">
        <w:t xml:space="preserve"> For example, to meet one type of exemption, you must be staffed principally by volunteers, be exempt from income tax, and be either a rural fire fighting, search and rescue, or coastguard service.</w:t>
      </w:r>
    </w:p>
  </w:footnote>
  <w:footnote w:id="10">
    <w:p w14:paraId="7DE4D201" w14:textId="77777777" w:rsidR="00011F85" w:rsidRDefault="00011F85" w:rsidP="007A6C8E">
      <w:pPr>
        <w:pStyle w:val="FootnoteText"/>
      </w:pPr>
      <w:r>
        <w:rPr>
          <w:rStyle w:val="FootnoteReference"/>
        </w:rPr>
        <w:footnoteRef/>
      </w:r>
      <w:r>
        <w:t xml:space="preserve"> ACMA (2016) </w:t>
      </w:r>
      <w:r w:rsidRPr="008639ED">
        <w:rPr>
          <w:i/>
        </w:rPr>
        <w:t>Principles for spectrum management</w:t>
      </w:r>
      <w:r>
        <w:t xml:space="preserve"> &lt;</w:t>
      </w:r>
      <w:r w:rsidRPr="008639ED">
        <w:t>http://www.acma.gov.au/Industry/Spectrum/Spectrum-planning/About-spectrum-planning/australian-spectrum-management-principles-spectrum-planning-acma</w:t>
      </w:r>
      <w:r>
        <w:t>&gt;</w:t>
      </w:r>
    </w:p>
  </w:footnote>
  <w:footnote w:id="11">
    <w:p w14:paraId="4E596EC4" w14:textId="16EE1894" w:rsidR="00011F85" w:rsidRPr="00863FAB" w:rsidRDefault="00011F85" w:rsidP="000D4097">
      <w:pPr>
        <w:pStyle w:val="FootnoteText"/>
      </w:pPr>
      <w:r>
        <w:rPr>
          <w:rStyle w:val="FootnoteReference"/>
        </w:rPr>
        <w:footnoteRef/>
      </w:r>
      <w:r>
        <w:t xml:space="preserve"> Plum Consulting (2012) </w:t>
      </w:r>
      <w:r>
        <w:rPr>
          <w:i/>
        </w:rPr>
        <w:t>Spectrum trading in Australia</w:t>
      </w:r>
      <w:r>
        <w:t>, report for the Department of Broadband, Communications and the Digital Economy.</w:t>
      </w:r>
    </w:p>
  </w:footnote>
  <w:footnote w:id="12">
    <w:p w14:paraId="57FB3F86" w14:textId="3DAA7778" w:rsidR="00011F85" w:rsidRDefault="00011F85" w:rsidP="007C38EA">
      <w:pPr>
        <w:pStyle w:val="FootnoteText"/>
      </w:pPr>
      <w:r w:rsidRPr="005458B7">
        <w:rPr>
          <w:rStyle w:val="FootnoteReference"/>
        </w:rPr>
        <w:footnoteRef/>
      </w:r>
      <w:r w:rsidRPr="00713558">
        <w:t xml:space="preserve"> </w:t>
      </w:r>
      <w:r>
        <w:t xml:space="preserve">Department of Finance, </w:t>
      </w:r>
      <w:r>
        <w:rPr>
          <w:i/>
        </w:rPr>
        <w:t>Australian Government Charging Framework –</w:t>
      </w:r>
      <w:r w:rsidRPr="002521B8">
        <w:rPr>
          <w:i/>
        </w:rPr>
        <w:t xml:space="preserve"> Resource Management Guide No. 302</w:t>
      </w:r>
      <w:r>
        <w:rPr>
          <w:i/>
        </w:rPr>
        <w:t xml:space="preserve"> </w:t>
      </w:r>
      <w:r>
        <w:t>(July 2016).</w:t>
      </w:r>
    </w:p>
  </w:footnote>
  <w:footnote w:id="13">
    <w:p w14:paraId="5CC0EE37" w14:textId="7AA2B012" w:rsidR="00011F85" w:rsidRPr="00A11EF4" w:rsidRDefault="00011F85" w:rsidP="005124E6">
      <w:pPr>
        <w:pStyle w:val="FootnoteText"/>
      </w:pPr>
      <w:r w:rsidRPr="00A11EF4">
        <w:rPr>
          <w:rStyle w:val="FootnoteReference"/>
        </w:rPr>
        <w:footnoteRef/>
      </w:r>
      <w:r w:rsidRPr="00A11EF4">
        <w:t xml:space="preserve"> Ofcom, </w:t>
      </w:r>
      <w:r w:rsidRPr="00A11EF4">
        <w:rPr>
          <w:i/>
        </w:rPr>
        <w:t>SRSP: The revised Framework for Spectrum Pricing – our policy and practice of setting AIP spectrum fees</w:t>
      </w:r>
      <w:r w:rsidRPr="00A11EF4">
        <w:t xml:space="preserve"> (December 2010) &lt;https://www.ofcom.org.uk/__data/assets/pdf_file/0</w:t>
      </w:r>
      <w:r>
        <w:t>024/42909/srsp-statement.pdf&gt;.</w:t>
      </w:r>
      <w:r w:rsidRPr="00A11EF4">
        <w:t xml:space="preserve"> </w:t>
      </w:r>
    </w:p>
  </w:footnote>
  <w:footnote w:id="14">
    <w:p w14:paraId="707F9B74" w14:textId="77777777" w:rsidR="00011F85" w:rsidRDefault="00011F85">
      <w:pPr>
        <w:pStyle w:val="FootnoteText"/>
      </w:pPr>
      <w:r>
        <w:rPr>
          <w:rStyle w:val="FootnoteReference"/>
        </w:rPr>
        <w:footnoteRef/>
      </w:r>
      <w:r>
        <w:t xml:space="preserve"> Revenue from auction allocations and administered renewals has been amortised over the relevant licence period.</w:t>
      </w:r>
    </w:p>
  </w:footnote>
  <w:footnote w:id="15">
    <w:p w14:paraId="6A7BAB6C" w14:textId="77777777" w:rsidR="00011F85" w:rsidRDefault="00011F85" w:rsidP="00282F7E">
      <w:pPr>
        <w:pStyle w:val="FootnoteText"/>
      </w:pPr>
      <w:r>
        <w:rPr>
          <w:rStyle w:val="FootnoteReference"/>
        </w:rPr>
        <w:footnoteRef/>
      </w:r>
      <w:r>
        <w:t xml:space="preserve"> Plum Consulting, </w:t>
      </w:r>
      <w:r w:rsidRPr="005F5C6A">
        <w:rPr>
          <w:i/>
        </w:rPr>
        <w:t>Reserve prices in spectrum auctions – why size matters</w:t>
      </w:r>
      <w:r>
        <w:t xml:space="preserve"> (21 April 2016) &lt;</w:t>
      </w:r>
      <w:r w:rsidRPr="005F5C6A">
        <w:t>www.</w:t>
      </w:r>
      <w:r w:rsidRPr="00AF69D0">
        <w:rPr>
          <w:szCs w:val="16"/>
        </w:rPr>
        <w:t>plumconsulting.co.uk/plum-insight-reserve-prices-spectrum-auctions-size-matters/</w:t>
      </w:r>
      <w:r>
        <w:rPr>
          <w:szCs w:val="16"/>
        </w:rPr>
        <w:t xml:space="preserve">&gt;. </w:t>
      </w:r>
    </w:p>
  </w:footnote>
  <w:footnote w:id="16">
    <w:p w14:paraId="256C38DC" w14:textId="77777777" w:rsidR="00011F85" w:rsidRDefault="00011F85">
      <w:pPr>
        <w:pStyle w:val="FootnoteText"/>
      </w:pPr>
      <w:r>
        <w:rPr>
          <w:rStyle w:val="FootnoteReference"/>
        </w:rPr>
        <w:footnoteRef/>
      </w:r>
      <w:r>
        <w:t xml:space="preserve"> O</w:t>
      </w:r>
      <w:r w:rsidRPr="008B0224">
        <w:t>r short-term instalments as indicated in the proposa</w:t>
      </w:r>
      <w:r>
        <w:t>ls for market-based allocations.</w:t>
      </w:r>
    </w:p>
  </w:footnote>
  <w:footnote w:id="17">
    <w:p w14:paraId="43CE159B" w14:textId="77777777" w:rsidR="00011F85" w:rsidRDefault="00011F85" w:rsidP="001C10C2">
      <w:pPr>
        <w:pStyle w:val="FootnoteText"/>
      </w:pPr>
      <w:r>
        <w:rPr>
          <w:rStyle w:val="FootnoteReference"/>
        </w:rPr>
        <w:footnoteRef/>
      </w:r>
      <w:r>
        <w:t xml:space="preserve"> Department of Finance, </w:t>
      </w:r>
      <w:r>
        <w:rPr>
          <w:i/>
        </w:rPr>
        <w:t>Australian Government Charging Framework –</w:t>
      </w:r>
      <w:r w:rsidRPr="002521B8">
        <w:rPr>
          <w:i/>
        </w:rPr>
        <w:t xml:space="preserve"> Resource Management Guide No. 302</w:t>
      </w:r>
      <w:r>
        <w:rPr>
          <w:i/>
        </w:rPr>
        <w:t xml:space="preserve"> </w:t>
      </w:r>
      <w:r>
        <w:t>(July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65503" w14:textId="7FB7C6D7" w:rsidR="00011F85" w:rsidRDefault="00011F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0888A" w14:textId="48542ACE" w:rsidR="00011F85" w:rsidRDefault="00011F85" w:rsidP="003F0A2D">
    <w:pPr>
      <w:pStyle w:val="Header"/>
      <w:ind w:left="-1418"/>
    </w:pPr>
    <w:r>
      <w:rPr>
        <w:noProof/>
        <w:lang w:eastAsia="zh-TW" w:bidi="hi-IN"/>
      </w:rPr>
      <w:drawing>
        <wp:inline distT="0" distB="0" distL="0" distR="0" wp14:anchorId="019D7229" wp14:editId="10313D94">
          <wp:extent cx="7634630" cy="406359"/>
          <wp:effectExtent l="0" t="0" r="0" b="0"/>
          <wp:docPr id="9" name="Picture 9"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472BBE5" w14:textId="324E44C9" w:rsidR="00011F85" w:rsidRPr="009A56D0" w:rsidRDefault="00011F85" w:rsidP="00535ADA">
    <w:pPr>
      <w:pStyle w:val="Header"/>
      <w:tabs>
        <w:tab w:val="clear" w:pos="9026"/>
        <w:tab w:val="right" w:pos="9333"/>
      </w:tabs>
      <w:rPr>
        <w:color w:val="07478C"/>
      </w:rPr>
    </w:pPr>
    <w:r w:rsidRPr="009A56D0">
      <w:rPr>
        <w:color w:val="07478C"/>
      </w:rPr>
      <w:t>Department of Communications and the Arts</w:t>
    </w:r>
    <w:r w:rsidRPr="009A56D0">
      <w:rPr>
        <w:color w:val="07478C"/>
      </w:rPr>
      <w:tab/>
    </w:r>
    <w:r w:rsidRPr="009A56D0">
      <w:rPr>
        <w:color w:val="07478C"/>
      </w:rPr>
      <w:tab/>
    </w:r>
    <w:r>
      <w:rPr>
        <w:color w:val="07478C"/>
      </w:rPr>
      <w:t>May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EB688" w14:textId="776BDADA" w:rsidR="00011F85" w:rsidRDefault="00011F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9C6D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CE22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C0C1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A2D4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DA41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0846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226C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A421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F258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88E0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C0016"/>
    <w:multiLevelType w:val="hybridMultilevel"/>
    <w:tmpl w:val="0EF0632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2A7349"/>
    <w:multiLevelType w:val="hybridMultilevel"/>
    <w:tmpl w:val="FAD8C9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C9A2614"/>
    <w:multiLevelType w:val="hybridMultilevel"/>
    <w:tmpl w:val="E7FC6BD0"/>
    <w:lvl w:ilvl="0" w:tplc="0C09000F">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5E47F6"/>
    <w:multiLevelType w:val="hybridMultilevel"/>
    <w:tmpl w:val="DA603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5325D1"/>
    <w:multiLevelType w:val="hybridMultilevel"/>
    <w:tmpl w:val="DC72A8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3C64776"/>
    <w:multiLevelType w:val="hybridMultilevel"/>
    <w:tmpl w:val="90B852F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8258E2"/>
    <w:multiLevelType w:val="hybridMultilevel"/>
    <w:tmpl w:val="1AF8F1CC"/>
    <w:lvl w:ilvl="0" w:tplc="D6D41C8A">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C9D66C6"/>
    <w:multiLevelType w:val="hybridMultilevel"/>
    <w:tmpl w:val="EB3297F8"/>
    <w:lvl w:ilvl="0" w:tplc="0C09000F">
      <w:start w:val="1"/>
      <w:numFmt w:val="decimal"/>
      <w:lvlText w:val="%1."/>
      <w:lvlJc w:val="left"/>
      <w:pPr>
        <w:ind w:left="720" w:hanging="360"/>
      </w:pPr>
      <w:rPr>
        <w:rFonts w:hint="default"/>
        <w:caps w:val="0"/>
        <w:strike w:val="0"/>
        <w:dstrike w:val="0"/>
        <w:vanish w:val="0"/>
        <w:color w:val="005391"/>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EC2F29"/>
    <w:multiLevelType w:val="hybridMultilevel"/>
    <w:tmpl w:val="29EA53FA"/>
    <w:lvl w:ilvl="0" w:tplc="F782D0AE">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EA30CB4"/>
    <w:multiLevelType w:val="hybridMultilevel"/>
    <w:tmpl w:val="2D9C1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2922A8"/>
    <w:multiLevelType w:val="hybridMultilevel"/>
    <w:tmpl w:val="65AAA26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2F2D20"/>
    <w:multiLevelType w:val="hybridMultilevel"/>
    <w:tmpl w:val="7F044E8C"/>
    <w:lvl w:ilvl="0" w:tplc="D8363DCA">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2C2FBB"/>
    <w:multiLevelType w:val="hybridMultilevel"/>
    <w:tmpl w:val="020E20CE"/>
    <w:lvl w:ilvl="0" w:tplc="C9DA562E">
      <w:start w:val="1"/>
      <w:numFmt w:val="decimal"/>
      <w:lvlText w:val="%1."/>
      <w:lvlJc w:val="left"/>
      <w:pPr>
        <w:ind w:left="720" w:hanging="360"/>
      </w:pPr>
      <w:rPr>
        <w:rFonts w:hint="default"/>
        <w:b/>
        <w:color w:val="1F4E79" w:themeColor="accent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AC32960"/>
    <w:multiLevelType w:val="hybridMultilevel"/>
    <w:tmpl w:val="FD846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526CBD"/>
    <w:multiLevelType w:val="hybridMultilevel"/>
    <w:tmpl w:val="5F6875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7B2A1E"/>
    <w:multiLevelType w:val="hybridMultilevel"/>
    <w:tmpl w:val="F7482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45799D"/>
    <w:multiLevelType w:val="hybridMultilevel"/>
    <w:tmpl w:val="FA4CC9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456A468F"/>
    <w:multiLevelType w:val="hybridMultilevel"/>
    <w:tmpl w:val="43B299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9C5D6A"/>
    <w:multiLevelType w:val="hybridMultilevel"/>
    <w:tmpl w:val="A09041D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414F58"/>
    <w:multiLevelType w:val="hybridMultilevel"/>
    <w:tmpl w:val="76227E1C"/>
    <w:lvl w:ilvl="0" w:tplc="0C09000F">
      <w:start w:val="1"/>
      <w:numFmt w:val="decimal"/>
      <w:lvlText w:val="%1."/>
      <w:lvlJc w:val="left"/>
      <w:pPr>
        <w:ind w:left="360" w:hanging="360"/>
      </w:pPr>
      <w:rPr>
        <w:rFonts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AE262E"/>
    <w:multiLevelType w:val="hybridMultilevel"/>
    <w:tmpl w:val="780AB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4EB0C22"/>
    <w:multiLevelType w:val="hybridMultilevel"/>
    <w:tmpl w:val="312A9C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B054F7"/>
    <w:multiLevelType w:val="multilevel"/>
    <w:tmpl w:val="09F8E8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99D366C"/>
    <w:multiLevelType w:val="hybridMultilevel"/>
    <w:tmpl w:val="F57E8B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C380B27"/>
    <w:multiLevelType w:val="hybridMultilevel"/>
    <w:tmpl w:val="F112BE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DF06EE1"/>
    <w:multiLevelType w:val="hybridMultilevel"/>
    <w:tmpl w:val="0A5A6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104663"/>
    <w:multiLevelType w:val="hybridMultilevel"/>
    <w:tmpl w:val="2872E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9F01DB"/>
    <w:multiLevelType w:val="hybridMultilevel"/>
    <w:tmpl w:val="ACB88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24"/>
  </w:num>
  <w:num w:numId="4">
    <w:abstractNumId w:val="3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1"/>
  </w:num>
  <w:num w:numId="16">
    <w:abstractNumId w:val="31"/>
  </w:num>
  <w:num w:numId="17">
    <w:abstractNumId w:val="39"/>
  </w:num>
  <w:num w:numId="18">
    <w:abstractNumId w:val="21"/>
  </w:num>
  <w:num w:numId="19">
    <w:abstractNumId w:val="39"/>
  </w:num>
  <w:num w:numId="20">
    <w:abstractNumId w:val="23"/>
  </w:num>
  <w:num w:numId="21">
    <w:abstractNumId w:val="13"/>
  </w:num>
  <w:num w:numId="22">
    <w:abstractNumId w:val="30"/>
  </w:num>
  <w:num w:numId="23">
    <w:abstractNumId w:val="16"/>
  </w:num>
  <w:num w:numId="24">
    <w:abstractNumId w:val="17"/>
  </w:num>
  <w:num w:numId="25">
    <w:abstractNumId w:val="21"/>
  </w:num>
  <w:num w:numId="26">
    <w:abstractNumId w:val="21"/>
  </w:num>
  <w:num w:numId="27">
    <w:abstractNumId w:val="21"/>
  </w:num>
  <w:num w:numId="28">
    <w:abstractNumId w:val="22"/>
  </w:num>
  <w:num w:numId="29">
    <w:abstractNumId w:val="18"/>
  </w:num>
  <w:num w:numId="30">
    <w:abstractNumId w:val="35"/>
  </w:num>
  <w:num w:numId="31">
    <w:abstractNumId w:val="14"/>
  </w:num>
  <w:num w:numId="32">
    <w:abstractNumId w:val="11"/>
  </w:num>
  <w:num w:numId="33">
    <w:abstractNumId w:val="38"/>
  </w:num>
  <w:num w:numId="34">
    <w:abstractNumId w:val="25"/>
  </w:num>
  <w:num w:numId="35">
    <w:abstractNumId w:val="34"/>
  </w:num>
  <w:num w:numId="36">
    <w:abstractNumId w:val="32"/>
  </w:num>
  <w:num w:numId="37">
    <w:abstractNumId w:val="37"/>
  </w:num>
  <w:num w:numId="38">
    <w:abstractNumId w:val="19"/>
  </w:num>
  <w:num w:numId="39">
    <w:abstractNumId w:val="36"/>
  </w:num>
  <w:num w:numId="40">
    <w:abstractNumId w:val="28"/>
  </w:num>
  <w:num w:numId="41">
    <w:abstractNumId w:val="10"/>
  </w:num>
  <w:num w:numId="42">
    <w:abstractNumId w:val="15"/>
  </w:num>
  <w:num w:numId="43">
    <w:abstractNumId w:val="20"/>
  </w:num>
  <w:num w:numId="44">
    <w:abstractNumId w:val="12"/>
  </w:num>
  <w:num w:numId="45">
    <w:abstractNumId w:val="29"/>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24A"/>
    <w:rsid w:val="000011C5"/>
    <w:rsid w:val="0000257E"/>
    <w:rsid w:val="00002CE7"/>
    <w:rsid w:val="0000774B"/>
    <w:rsid w:val="0001107A"/>
    <w:rsid w:val="0001191A"/>
    <w:rsid w:val="00011F85"/>
    <w:rsid w:val="00017231"/>
    <w:rsid w:val="00021A41"/>
    <w:rsid w:val="0002271A"/>
    <w:rsid w:val="00024184"/>
    <w:rsid w:val="0002419E"/>
    <w:rsid w:val="000249BC"/>
    <w:rsid w:val="00024D4C"/>
    <w:rsid w:val="000269A4"/>
    <w:rsid w:val="000323CF"/>
    <w:rsid w:val="00032496"/>
    <w:rsid w:val="000324CA"/>
    <w:rsid w:val="0003266F"/>
    <w:rsid w:val="00032727"/>
    <w:rsid w:val="00032827"/>
    <w:rsid w:val="000336FF"/>
    <w:rsid w:val="00034BE1"/>
    <w:rsid w:val="00040F8C"/>
    <w:rsid w:val="00042CD3"/>
    <w:rsid w:val="00044E9E"/>
    <w:rsid w:val="0005064E"/>
    <w:rsid w:val="000508D4"/>
    <w:rsid w:val="00050CBE"/>
    <w:rsid w:val="00051D99"/>
    <w:rsid w:val="00052ED8"/>
    <w:rsid w:val="00054400"/>
    <w:rsid w:val="00054C42"/>
    <w:rsid w:val="00056CEE"/>
    <w:rsid w:val="00057CFA"/>
    <w:rsid w:val="00060E5F"/>
    <w:rsid w:val="00065086"/>
    <w:rsid w:val="00065514"/>
    <w:rsid w:val="00065D53"/>
    <w:rsid w:val="0006661F"/>
    <w:rsid w:val="00066AC0"/>
    <w:rsid w:val="00066C2A"/>
    <w:rsid w:val="00066EEB"/>
    <w:rsid w:val="00072103"/>
    <w:rsid w:val="00074A16"/>
    <w:rsid w:val="00075607"/>
    <w:rsid w:val="00075792"/>
    <w:rsid w:val="00075930"/>
    <w:rsid w:val="00075CD3"/>
    <w:rsid w:val="00080CE1"/>
    <w:rsid w:val="00082450"/>
    <w:rsid w:val="00085154"/>
    <w:rsid w:val="0008604B"/>
    <w:rsid w:val="00087758"/>
    <w:rsid w:val="00090316"/>
    <w:rsid w:val="00090D6A"/>
    <w:rsid w:val="000913D8"/>
    <w:rsid w:val="000A10EA"/>
    <w:rsid w:val="000A1AF5"/>
    <w:rsid w:val="000A3B3D"/>
    <w:rsid w:val="000A3B9D"/>
    <w:rsid w:val="000A3D05"/>
    <w:rsid w:val="000A4B52"/>
    <w:rsid w:val="000A582A"/>
    <w:rsid w:val="000B0648"/>
    <w:rsid w:val="000B0BA7"/>
    <w:rsid w:val="000B4980"/>
    <w:rsid w:val="000B69E8"/>
    <w:rsid w:val="000B7BE9"/>
    <w:rsid w:val="000C1E3F"/>
    <w:rsid w:val="000C521E"/>
    <w:rsid w:val="000C69E5"/>
    <w:rsid w:val="000D0E1A"/>
    <w:rsid w:val="000D0E89"/>
    <w:rsid w:val="000D33E4"/>
    <w:rsid w:val="000D4097"/>
    <w:rsid w:val="000D458C"/>
    <w:rsid w:val="000D49FF"/>
    <w:rsid w:val="000D5324"/>
    <w:rsid w:val="000D6B3F"/>
    <w:rsid w:val="000D71D2"/>
    <w:rsid w:val="000D79C0"/>
    <w:rsid w:val="000E03FF"/>
    <w:rsid w:val="000E1914"/>
    <w:rsid w:val="000E1A93"/>
    <w:rsid w:val="000E1AB0"/>
    <w:rsid w:val="000E1F44"/>
    <w:rsid w:val="000E3AF0"/>
    <w:rsid w:val="000E4209"/>
    <w:rsid w:val="000E7F42"/>
    <w:rsid w:val="000F014B"/>
    <w:rsid w:val="000F0AC3"/>
    <w:rsid w:val="000F2520"/>
    <w:rsid w:val="000F269E"/>
    <w:rsid w:val="000F2ED9"/>
    <w:rsid w:val="000F4DF5"/>
    <w:rsid w:val="000F6251"/>
    <w:rsid w:val="00100301"/>
    <w:rsid w:val="00100422"/>
    <w:rsid w:val="00101533"/>
    <w:rsid w:val="001018E4"/>
    <w:rsid w:val="00103296"/>
    <w:rsid w:val="00105D9C"/>
    <w:rsid w:val="001064CD"/>
    <w:rsid w:val="0010682D"/>
    <w:rsid w:val="00107D56"/>
    <w:rsid w:val="00110CD6"/>
    <w:rsid w:val="001120E9"/>
    <w:rsid w:val="00112622"/>
    <w:rsid w:val="0011421A"/>
    <w:rsid w:val="00116AF5"/>
    <w:rsid w:val="00117F36"/>
    <w:rsid w:val="0012073D"/>
    <w:rsid w:val="00120FFF"/>
    <w:rsid w:val="00122A0D"/>
    <w:rsid w:val="00122D69"/>
    <w:rsid w:val="00123232"/>
    <w:rsid w:val="001232C8"/>
    <w:rsid w:val="001235F0"/>
    <w:rsid w:val="00125CD8"/>
    <w:rsid w:val="00126694"/>
    <w:rsid w:val="0012713D"/>
    <w:rsid w:val="0013108C"/>
    <w:rsid w:val="00131696"/>
    <w:rsid w:val="00131A3F"/>
    <w:rsid w:val="0013309C"/>
    <w:rsid w:val="00136AC0"/>
    <w:rsid w:val="001400AB"/>
    <w:rsid w:val="001425E9"/>
    <w:rsid w:val="00142BA7"/>
    <w:rsid w:val="0014305D"/>
    <w:rsid w:val="00144CC0"/>
    <w:rsid w:val="0015220D"/>
    <w:rsid w:val="00155362"/>
    <w:rsid w:val="001553B3"/>
    <w:rsid w:val="00157B8D"/>
    <w:rsid w:val="001605C5"/>
    <w:rsid w:val="00161AA4"/>
    <w:rsid w:val="0016724A"/>
    <w:rsid w:val="00167AD6"/>
    <w:rsid w:val="00171440"/>
    <w:rsid w:val="00171673"/>
    <w:rsid w:val="00173536"/>
    <w:rsid w:val="00175A92"/>
    <w:rsid w:val="00175AF2"/>
    <w:rsid w:val="00177268"/>
    <w:rsid w:val="00177A27"/>
    <w:rsid w:val="00177B6C"/>
    <w:rsid w:val="00181780"/>
    <w:rsid w:val="00184618"/>
    <w:rsid w:val="001848AB"/>
    <w:rsid w:val="001848E8"/>
    <w:rsid w:val="00184DBF"/>
    <w:rsid w:val="00186449"/>
    <w:rsid w:val="00186C8A"/>
    <w:rsid w:val="00187651"/>
    <w:rsid w:val="0019042E"/>
    <w:rsid w:val="00190FE2"/>
    <w:rsid w:val="001913F6"/>
    <w:rsid w:val="00193BFC"/>
    <w:rsid w:val="001946BB"/>
    <w:rsid w:val="001961B7"/>
    <w:rsid w:val="001968A1"/>
    <w:rsid w:val="001971E5"/>
    <w:rsid w:val="001A043D"/>
    <w:rsid w:val="001A060F"/>
    <w:rsid w:val="001A5E7F"/>
    <w:rsid w:val="001A6280"/>
    <w:rsid w:val="001A644D"/>
    <w:rsid w:val="001A681F"/>
    <w:rsid w:val="001A6D8C"/>
    <w:rsid w:val="001A76E9"/>
    <w:rsid w:val="001B020D"/>
    <w:rsid w:val="001B070C"/>
    <w:rsid w:val="001B0D76"/>
    <w:rsid w:val="001B1FD3"/>
    <w:rsid w:val="001B5728"/>
    <w:rsid w:val="001B7B3E"/>
    <w:rsid w:val="001B7C29"/>
    <w:rsid w:val="001C0713"/>
    <w:rsid w:val="001C10C2"/>
    <w:rsid w:val="001C3CFC"/>
    <w:rsid w:val="001C4B97"/>
    <w:rsid w:val="001C4DDA"/>
    <w:rsid w:val="001C609A"/>
    <w:rsid w:val="001C6A9C"/>
    <w:rsid w:val="001C7C9B"/>
    <w:rsid w:val="001D01A9"/>
    <w:rsid w:val="001D1521"/>
    <w:rsid w:val="001D1888"/>
    <w:rsid w:val="001D1EDA"/>
    <w:rsid w:val="001D26E4"/>
    <w:rsid w:val="001D3753"/>
    <w:rsid w:val="001D38E2"/>
    <w:rsid w:val="001D4D3A"/>
    <w:rsid w:val="001D5E41"/>
    <w:rsid w:val="001D784F"/>
    <w:rsid w:val="001E02FB"/>
    <w:rsid w:val="001E0519"/>
    <w:rsid w:val="001E2C05"/>
    <w:rsid w:val="001E2C40"/>
    <w:rsid w:val="001E482D"/>
    <w:rsid w:val="001E52C5"/>
    <w:rsid w:val="001E618D"/>
    <w:rsid w:val="001E7DE3"/>
    <w:rsid w:val="001F0B74"/>
    <w:rsid w:val="001F17FF"/>
    <w:rsid w:val="001F1B75"/>
    <w:rsid w:val="001F2EFE"/>
    <w:rsid w:val="001F391F"/>
    <w:rsid w:val="001F3924"/>
    <w:rsid w:val="001F642B"/>
    <w:rsid w:val="001F7183"/>
    <w:rsid w:val="00200568"/>
    <w:rsid w:val="002029E4"/>
    <w:rsid w:val="00204466"/>
    <w:rsid w:val="00205112"/>
    <w:rsid w:val="002055A5"/>
    <w:rsid w:val="0020718A"/>
    <w:rsid w:val="00207A9A"/>
    <w:rsid w:val="00210A3E"/>
    <w:rsid w:val="00211B6D"/>
    <w:rsid w:val="002139DF"/>
    <w:rsid w:val="00213E0E"/>
    <w:rsid w:val="00220F3B"/>
    <w:rsid w:val="0022320A"/>
    <w:rsid w:val="00223DF6"/>
    <w:rsid w:val="00225168"/>
    <w:rsid w:val="00226BF5"/>
    <w:rsid w:val="002275AB"/>
    <w:rsid w:val="002275B8"/>
    <w:rsid w:val="00230752"/>
    <w:rsid w:val="00230C68"/>
    <w:rsid w:val="002313AB"/>
    <w:rsid w:val="002319D3"/>
    <w:rsid w:val="002355C7"/>
    <w:rsid w:val="00236801"/>
    <w:rsid w:val="0023748E"/>
    <w:rsid w:val="00237634"/>
    <w:rsid w:val="00240885"/>
    <w:rsid w:val="00240E2A"/>
    <w:rsid w:val="0024290C"/>
    <w:rsid w:val="00244488"/>
    <w:rsid w:val="002451A5"/>
    <w:rsid w:val="002462E5"/>
    <w:rsid w:val="00250772"/>
    <w:rsid w:val="00251027"/>
    <w:rsid w:val="0025177B"/>
    <w:rsid w:val="0025279E"/>
    <w:rsid w:val="00252CC0"/>
    <w:rsid w:val="00254E8B"/>
    <w:rsid w:val="0026043E"/>
    <w:rsid w:val="00261483"/>
    <w:rsid w:val="00261878"/>
    <w:rsid w:val="00262AD8"/>
    <w:rsid w:val="00263877"/>
    <w:rsid w:val="00264160"/>
    <w:rsid w:val="00264D01"/>
    <w:rsid w:val="002657E4"/>
    <w:rsid w:val="0026631F"/>
    <w:rsid w:val="002668A5"/>
    <w:rsid w:val="002717B1"/>
    <w:rsid w:val="00272ED7"/>
    <w:rsid w:val="00273AD7"/>
    <w:rsid w:val="0027489C"/>
    <w:rsid w:val="0027536E"/>
    <w:rsid w:val="00280241"/>
    <w:rsid w:val="00280C4D"/>
    <w:rsid w:val="00281526"/>
    <w:rsid w:val="00282F7E"/>
    <w:rsid w:val="00283ADB"/>
    <w:rsid w:val="00283EDC"/>
    <w:rsid w:val="0028408C"/>
    <w:rsid w:val="00285881"/>
    <w:rsid w:val="002862F4"/>
    <w:rsid w:val="002872EF"/>
    <w:rsid w:val="0029156B"/>
    <w:rsid w:val="002925BC"/>
    <w:rsid w:val="00294E1E"/>
    <w:rsid w:val="00297528"/>
    <w:rsid w:val="002A1FED"/>
    <w:rsid w:val="002A206B"/>
    <w:rsid w:val="002A28FC"/>
    <w:rsid w:val="002A5EB4"/>
    <w:rsid w:val="002A6858"/>
    <w:rsid w:val="002A70CD"/>
    <w:rsid w:val="002A7CC7"/>
    <w:rsid w:val="002B0133"/>
    <w:rsid w:val="002B1516"/>
    <w:rsid w:val="002B22AA"/>
    <w:rsid w:val="002B2FAF"/>
    <w:rsid w:val="002B417B"/>
    <w:rsid w:val="002B72E5"/>
    <w:rsid w:val="002C2D96"/>
    <w:rsid w:val="002C2F45"/>
    <w:rsid w:val="002C48AA"/>
    <w:rsid w:val="002C52C9"/>
    <w:rsid w:val="002C696B"/>
    <w:rsid w:val="002D1EDF"/>
    <w:rsid w:val="002D3607"/>
    <w:rsid w:val="002D38A8"/>
    <w:rsid w:val="002D5BE4"/>
    <w:rsid w:val="002D7523"/>
    <w:rsid w:val="002E0F26"/>
    <w:rsid w:val="002E25E5"/>
    <w:rsid w:val="002E3016"/>
    <w:rsid w:val="002E3307"/>
    <w:rsid w:val="002E480E"/>
    <w:rsid w:val="002E5B61"/>
    <w:rsid w:val="002E66C9"/>
    <w:rsid w:val="002E6ED0"/>
    <w:rsid w:val="002F1632"/>
    <w:rsid w:val="002F292D"/>
    <w:rsid w:val="002F2BD2"/>
    <w:rsid w:val="002F66C1"/>
    <w:rsid w:val="00303979"/>
    <w:rsid w:val="00306B95"/>
    <w:rsid w:val="00307352"/>
    <w:rsid w:val="003102A6"/>
    <w:rsid w:val="0031075C"/>
    <w:rsid w:val="00311584"/>
    <w:rsid w:val="00313F11"/>
    <w:rsid w:val="00315A1C"/>
    <w:rsid w:val="0031721A"/>
    <w:rsid w:val="00321284"/>
    <w:rsid w:val="00321C62"/>
    <w:rsid w:val="00321D2E"/>
    <w:rsid w:val="0032285F"/>
    <w:rsid w:val="00325C52"/>
    <w:rsid w:val="00325F31"/>
    <w:rsid w:val="00327032"/>
    <w:rsid w:val="00327BA3"/>
    <w:rsid w:val="00330FA3"/>
    <w:rsid w:val="00331E70"/>
    <w:rsid w:val="0033211F"/>
    <w:rsid w:val="00333A65"/>
    <w:rsid w:val="00336BE2"/>
    <w:rsid w:val="003404F6"/>
    <w:rsid w:val="00340B7E"/>
    <w:rsid w:val="00341EEE"/>
    <w:rsid w:val="0034285F"/>
    <w:rsid w:val="0034382D"/>
    <w:rsid w:val="00343B5B"/>
    <w:rsid w:val="00344633"/>
    <w:rsid w:val="00345508"/>
    <w:rsid w:val="00347A27"/>
    <w:rsid w:val="003509FE"/>
    <w:rsid w:val="00350A1C"/>
    <w:rsid w:val="003516C4"/>
    <w:rsid w:val="00352D74"/>
    <w:rsid w:val="0035422E"/>
    <w:rsid w:val="0035637D"/>
    <w:rsid w:val="00360735"/>
    <w:rsid w:val="00360FFC"/>
    <w:rsid w:val="00361D97"/>
    <w:rsid w:val="00362A3F"/>
    <w:rsid w:val="00365D6D"/>
    <w:rsid w:val="003662EF"/>
    <w:rsid w:val="003665C8"/>
    <w:rsid w:val="00366B16"/>
    <w:rsid w:val="00366CE7"/>
    <w:rsid w:val="00367AF8"/>
    <w:rsid w:val="00367C3F"/>
    <w:rsid w:val="00371BF6"/>
    <w:rsid w:val="00372044"/>
    <w:rsid w:val="003738C5"/>
    <w:rsid w:val="00374C8F"/>
    <w:rsid w:val="0037757C"/>
    <w:rsid w:val="00377CD4"/>
    <w:rsid w:val="00381F66"/>
    <w:rsid w:val="00390261"/>
    <w:rsid w:val="00391A40"/>
    <w:rsid w:val="00394478"/>
    <w:rsid w:val="00394BC0"/>
    <w:rsid w:val="00395550"/>
    <w:rsid w:val="00395A09"/>
    <w:rsid w:val="003A086A"/>
    <w:rsid w:val="003A11F5"/>
    <w:rsid w:val="003A3E63"/>
    <w:rsid w:val="003A510F"/>
    <w:rsid w:val="003B0B85"/>
    <w:rsid w:val="003B1C18"/>
    <w:rsid w:val="003B1DA8"/>
    <w:rsid w:val="003B4716"/>
    <w:rsid w:val="003B7062"/>
    <w:rsid w:val="003B7267"/>
    <w:rsid w:val="003B7726"/>
    <w:rsid w:val="003C149B"/>
    <w:rsid w:val="003C3675"/>
    <w:rsid w:val="003C3E6F"/>
    <w:rsid w:val="003C508D"/>
    <w:rsid w:val="003C65C9"/>
    <w:rsid w:val="003D04D4"/>
    <w:rsid w:val="003D2EC1"/>
    <w:rsid w:val="003D3DB2"/>
    <w:rsid w:val="003D7456"/>
    <w:rsid w:val="003D78DB"/>
    <w:rsid w:val="003E07D7"/>
    <w:rsid w:val="003E0F0F"/>
    <w:rsid w:val="003E72FE"/>
    <w:rsid w:val="003E74A7"/>
    <w:rsid w:val="003E7570"/>
    <w:rsid w:val="003E7F5D"/>
    <w:rsid w:val="003F0A2D"/>
    <w:rsid w:val="003F135F"/>
    <w:rsid w:val="003F168D"/>
    <w:rsid w:val="003F3BA1"/>
    <w:rsid w:val="003F5989"/>
    <w:rsid w:val="003F62B0"/>
    <w:rsid w:val="003F67A9"/>
    <w:rsid w:val="003F6B5B"/>
    <w:rsid w:val="003F702D"/>
    <w:rsid w:val="00400058"/>
    <w:rsid w:val="0040012A"/>
    <w:rsid w:val="00401AD3"/>
    <w:rsid w:val="00402215"/>
    <w:rsid w:val="00402C06"/>
    <w:rsid w:val="0040348A"/>
    <w:rsid w:val="00403E9C"/>
    <w:rsid w:val="00405930"/>
    <w:rsid w:val="0040622C"/>
    <w:rsid w:val="004132E8"/>
    <w:rsid w:val="004144FC"/>
    <w:rsid w:val="00414B6A"/>
    <w:rsid w:val="004163AF"/>
    <w:rsid w:val="00416E82"/>
    <w:rsid w:val="0042047E"/>
    <w:rsid w:val="00421293"/>
    <w:rsid w:val="004226B0"/>
    <w:rsid w:val="00427783"/>
    <w:rsid w:val="00427E06"/>
    <w:rsid w:val="004306F4"/>
    <w:rsid w:val="00431103"/>
    <w:rsid w:val="0043155D"/>
    <w:rsid w:val="00433072"/>
    <w:rsid w:val="00434671"/>
    <w:rsid w:val="0043769A"/>
    <w:rsid w:val="00441DF0"/>
    <w:rsid w:val="00441DFE"/>
    <w:rsid w:val="004421BD"/>
    <w:rsid w:val="00442C59"/>
    <w:rsid w:val="00446618"/>
    <w:rsid w:val="00447CB6"/>
    <w:rsid w:val="004507AC"/>
    <w:rsid w:val="0045266C"/>
    <w:rsid w:val="0045434B"/>
    <w:rsid w:val="00456B90"/>
    <w:rsid w:val="00456CD7"/>
    <w:rsid w:val="00461AAC"/>
    <w:rsid w:val="004659B7"/>
    <w:rsid w:val="00466189"/>
    <w:rsid w:val="00467376"/>
    <w:rsid w:val="004673E4"/>
    <w:rsid w:val="00470223"/>
    <w:rsid w:val="0047258C"/>
    <w:rsid w:val="004738D8"/>
    <w:rsid w:val="00474AC6"/>
    <w:rsid w:val="0048073D"/>
    <w:rsid w:val="0048076B"/>
    <w:rsid w:val="00481F14"/>
    <w:rsid w:val="00484E2E"/>
    <w:rsid w:val="00486A1A"/>
    <w:rsid w:val="0048722E"/>
    <w:rsid w:val="004873ED"/>
    <w:rsid w:val="00487EEC"/>
    <w:rsid w:val="00490481"/>
    <w:rsid w:val="00490DD9"/>
    <w:rsid w:val="00493587"/>
    <w:rsid w:val="004A1A11"/>
    <w:rsid w:val="004A3F3A"/>
    <w:rsid w:val="004A6534"/>
    <w:rsid w:val="004A65AB"/>
    <w:rsid w:val="004A7BB8"/>
    <w:rsid w:val="004B0266"/>
    <w:rsid w:val="004B095C"/>
    <w:rsid w:val="004B3195"/>
    <w:rsid w:val="004B342D"/>
    <w:rsid w:val="004B6673"/>
    <w:rsid w:val="004C1D75"/>
    <w:rsid w:val="004C3F3D"/>
    <w:rsid w:val="004C457C"/>
    <w:rsid w:val="004C52BF"/>
    <w:rsid w:val="004C5FB0"/>
    <w:rsid w:val="004C6837"/>
    <w:rsid w:val="004C719D"/>
    <w:rsid w:val="004C7F02"/>
    <w:rsid w:val="004D1391"/>
    <w:rsid w:val="004D1D41"/>
    <w:rsid w:val="004D1D45"/>
    <w:rsid w:val="004D5DCE"/>
    <w:rsid w:val="004D6C4F"/>
    <w:rsid w:val="004D6EB1"/>
    <w:rsid w:val="004D7032"/>
    <w:rsid w:val="004D725A"/>
    <w:rsid w:val="004E04F1"/>
    <w:rsid w:val="004E259B"/>
    <w:rsid w:val="004E2915"/>
    <w:rsid w:val="004E2BDC"/>
    <w:rsid w:val="004E489A"/>
    <w:rsid w:val="004E5161"/>
    <w:rsid w:val="004E5172"/>
    <w:rsid w:val="004E67DC"/>
    <w:rsid w:val="004E6C9E"/>
    <w:rsid w:val="004E771F"/>
    <w:rsid w:val="004F16E1"/>
    <w:rsid w:val="004F3C4E"/>
    <w:rsid w:val="004F5452"/>
    <w:rsid w:val="004F74E2"/>
    <w:rsid w:val="00500E1D"/>
    <w:rsid w:val="00500F34"/>
    <w:rsid w:val="0050148D"/>
    <w:rsid w:val="00501F2C"/>
    <w:rsid w:val="00505510"/>
    <w:rsid w:val="00506903"/>
    <w:rsid w:val="00507E41"/>
    <w:rsid w:val="005107F0"/>
    <w:rsid w:val="00511123"/>
    <w:rsid w:val="00511DEE"/>
    <w:rsid w:val="00511F5B"/>
    <w:rsid w:val="005124E6"/>
    <w:rsid w:val="00515833"/>
    <w:rsid w:val="00517AD9"/>
    <w:rsid w:val="00517B1C"/>
    <w:rsid w:val="00520BA3"/>
    <w:rsid w:val="00521053"/>
    <w:rsid w:val="00522D73"/>
    <w:rsid w:val="00524B75"/>
    <w:rsid w:val="00526AC4"/>
    <w:rsid w:val="00526D3F"/>
    <w:rsid w:val="00530251"/>
    <w:rsid w:val="0053235D"/>
    <w:rsid w:val="0053386A"/>
    <w:rsid w:val="00534607"/>
    <w:rsid w:val="00535ADA"/>
    <w:rsid w:val="00535C75"/>
    <w:rsid w:val="0053790F"/>
    <w:rsid w:val="00540DCB"/>
    <w:rsid w:val="005410F4"/>
    <w:rsid w:val="00543862"/>
    <w:rsid w:val="00543B5F"/>
    <w:rsid w:val="0054558B"/>
    <w:rsid w:val="005458B7"/>
    <w:rsid w:val="0054690D"/>
    <w:rsid w:val="00546BB7"/>
    <w:rsid w:val="00551FCC"/>
    <w:rsid w:val="00553361"/>
    <w:rsid w:val="005537E3"/>
    <w:rsid w:val="00555349"/>
    <w:rsid w:val="005556A1"/>
    <w:rsid w:val="00555DA0"/>
    <w:rsid w:val="00556638"/>
    <w:rsid w:val="00560594"/>
    <w:rsid w:val="00560A01"/>
    <w:rsid w:val="00560E04"/>
    <w:rsid w:val="00561035"/>
    <w:rsid w:val="00561A9E"/>
    <w:rsid w:val="00561EFC"/>
    <w:rsid w:val="00563C68"/>
    <w:rsid w:val="00567209"/>
    <w:rsid w:val="00567FAF"/>
    <w:rsid w:val="00570B79"/>
    <w:rsid w:val="00570EC8"/>
    <w:rsid w:val="005710D1"/>
    <w:rsid w:val="0057230F"/>
    <w:rsid w:val="0057464A"/>
    <w:rsid w:val="0057469A"/>
    <w:rsid w:val="0058020C"/>
    <w:rsid w:val="00581099"/>
    <w:rsid w:val="00581470"/>
    <w:rsid w:val="00581DF8"/>
    <w:rsid w:val="00582386"/>
    <w:rsid w:val="005829CA"/>
    <w:rsid w:val="00582A2D"/>
    <w:rsid w:val="00583AC7"/>
    <w:rsid w:val="00591207"/>
    <w:rsid w:val="00593B5C"/>
    <w:rsid w:val="005944CB"/>
    <w:rsid w:val="0059477D"/>
    <w:rsid w:val="005968FD"/>
    <w:rsid w:val="00597395"/>
    <w:rsid w:val="005A0452"/>
    <w:rsid w:val="005A121F"/>
    <w:rsid w:val="005A1396"/>
    <w:rsid w:val="005A2A19"/>
    <w:rsid w:val="005A343D"/>
    <w:rsid w:val="005A4683"/>
    <w:rsid w:val="005A5BF6"/>
    <w:rsid w:val="005A627B"/>
    <w:rsid w:val="005B00AC"/>
    <w:rsid w:val="005B015C"/>
    <w:rsid w:val="005B267F"/>
    <w:rsid w:val="005B2D62"/>
    <w:rsid w:val="005B357C"/>
    <w:rsid w:val="005B419A"/>
    <w:rsid w:val="005B5C66"/>
    <w:rsid w:val="005B68DC"/>
    <w:rsid w:val="005C4569"/>
    <w:rsid w:val="005C4A75"/>
    <w:rsid w:val="005C6204"/>
    <w:rsid w:val="005C7BFD"/>
    <w:rsid w:val="005D121D"/>
    <w:rsid w:val="005D3FB5"/>
    <w:rsid w:val="005D49FF"/>
    <w:rsid w:val="005D4BC4"/>
    <w:rsid w:val="005D5ADB"/>
    <w:rsid w:val="005D6371"/>
    <w:rsid w:val="005D639E"/>
    <w:rsid w:val="005D6F39"/>
    <w:rsid w:val="005E06CA"/>
    <w:rsid w:val="005E0CE8"/>
    <w:rsid w:val="005E197F"/>
    <w:rsid w:val="005E76AE"/>
    <w:rsid w:val="005E7F90"/>
    <w:rsid w:val="005F08D5"/>
    <w:rsid w:val="005F0F8F"/>
    <w:rsid w:val="005F1578"/>
    <w:rsid w:val="005F26DF"/>
    <w:rsid w:val="005F4276"/>
    <w:rsid w:val="005F5076"/>
    <w:rsid w:val="005F548D"/>
    <w:rsid w:val="005F6601"/>
    <w:rsid w:val="005F6944"/>
    <w:rsid w:val="005F7F73"/>
    <w:rsid w:val="00601534"/>
    <w:rsid w:val="0060346D"/>
    <w:rsid w:val="00603AD5"/>
    <w:rsid w:val="006053A0"/>
    <w:rsid w:val="00606987"/>
    <w:rsid w:val="00606BE5"/>
    <w:rsid w:val="00606CFC"/>
    <w:rsid w:val="00607AAB"/>
    <w:rsid w:val="00611FF6"/>
    <w:rsid w:val="00612194"/>
    <w:rsid w:val="00613875"/>
    <w:rsid w:val="00613BD4"/>
    <w:rsid w:val="006151F3"/>
    <w:rsid w:val="00615A8E"/>
    <w:rsid w:val="006225F9"/>
    <w:rsid w:val="00623943"/>
    <w:rsid w:val="00624347"/>
    <w:rsid w:val="0062464B"/>
    <w:rsid w:val="0063273E"/>
    <w:rsid w:val="00637806"/>
    <w:rsid w:val="006401A2"/>
    <w:rsid w:val="00641088"/>
    <w:rsid w:val="00642A7A"/>
    <w:rsid w:val="00644DB2"/>
    <w:rsid w:val="006456F6"/>
    <w:rsid w:val="0064771D"/>
    <w:rsid w:val="00651714"/>
    <w:rsid w:val="00654EE9"/>
    <w:rsid w:val="00655498"/>
    <w:rsid w:val="006567D3"/>
    <w:rsid w:val="006574E5"/>
    <w:rsid w:val="0066015F"/>
    <w:rsid w:val="00660D79"/>
    <w:rsid w:val="00661123"/>
    <w:rsid w:val="00662CBC"/>
    <w:rsid w:val="00663A3D"/>
    <w:rsid w:val="00664D01"/>
    <w:rsid w:val="006654B7"/>
    <w:rsid w:val="00667D62"/>
    <w:rsid w:val="00671C29"/>
    <w:rsid w:val="00672758"/>
    <w:rsid w:val="00673311"/>
    <w:rsid w:val="00673EDD"/>
    <w:rsid w:val="0068187B"/>
    <w:rsid w:val="00681C45"/>
    <w:rsid w:val="00682B85"/>
    <w:rsid w:val="006836D5"/>
    <w:rsid w:val="0068671A"/>
    <w:rsid w:val="006925CA"/>
    <w:rsid w:val="00692678"/>
    <w:rsid w:val="00692864"/>
    <w:rsid w:val="0069538A"/>
    <w:rsid w:val="00695AF6"/>
    <w:rsid w:val="00697674"/>
    <w:rsid w:val="006A108F"/>
    <w:rsid w:val="006A19A2"/>
    <w:rsid w:val="006A293D"/>
    <w:rsid w:val="006A2F20"/>
    <w:rsid w:val="006A6D13"/>
    <w:rsid w:val="006A7159"/>
    <w:rsid w:val="006A7EB3"/>
    <w:rsid w:val="006A7ECD"/>
    <w:rsid w:val="006B0188"/>
    <w:rsid w:val="006B4AED"/>
    <w:rsid w:val="006B54E6"/>
    <w:rsid w:val="006B5746"/>
    <w:rsid w:val="006B61E4"/>
    <w:rsid w:val="006B66E4"/>
    <w:rsid w:val="006B686F"/>
    <w:rsid w:val="006B6A11"/>
    <w:rsid w:val="006B7F2D"/>
    <w:rsid w:val="006B7F5F"/>
    <w:rsid w:val="006C0BCC"/>
    <w:rsid w:val="006C1698"/>
    <w:rsid w:val="006C46B7"/>
    <w:rsid w:val="006C4BB8"/>
    <w:rsid w:val="006C6419"/>
    <w:rsid w:val="006D014F"/>
    <w:rsid w:val="006D0A8C"/>
    <w:rsid w:val="006D29FF"/>
    <w:rsid w:val="006D3AD9"/>
    <w:rsid w:val="006D3E27"/>
    <w:rsid w:val="006D46E6"/>
    <w:rsid w:val="006D5CB9"/>
    <w:rsid w:val="006D5FA2"/>
    <w:rsid w:val="006E19C5"/>
    <w:rsid w:val="006E469C"/>
    <w:rsid w:val="006E5425"/>
    <w:rsid w:val="006E6AED"/>
    <w:rsid w:val="006E7543"/>
    <w:rsid w:val="006F0EA6"/>
    <w:rsid w:val="006F1A03"/>
    <w:rsid w:val="006F1CA4"/>
    <w:rsid w:val="006F47B3"/>
    <w:rsid w:val="006F7ECA"/>
    <w:rsid w:val="00704775"/>
    <w:rsid w:val="0070509F"/>
    <w:rsid w:val="0071041E"/>
    <w:rsid w:val="0071073B"/>
    <w:rsid w:val="0071086F"/>
    <w:rsid w:val="00710E7E"/>
    <w:rsid w:val="00713558"/>
    <w:rsid w:val="00716C34"/>
    <w:rsid w:val="00723E1F"/>
    <w:rsid w:val="007263B6"/>
    <w:rsid w:val="0072691A"/>
    <w:rsid w:val="007269DE"/>
    <w:rsid w:val="00726A75"/>
    <w:rsid w:val="00726FEA"/>
    <w:rsid w:val="0072714A"/>
    <w:rsid w:val="00730973"/>
    <w:rsid w:val="0073222B"/>
    <w:rsid w:val="00732CC4"/>
    <w:rsid w:val="007345BF"/>
    <w:rsid w:val="007418B7"/>
    <w:rsid w:val="007454EF"/>
    <w:rsid w:val="00747CCD"/>
    <w:rsid w:val="007519CE"/>
    <w:rsid w:val="00752F23"/>
    <w:rsid w:val="007541D4"/>
    <w:rsid w:val="0075440F"/>
    <w:rsid w:val="00755448"/>
    <w:rsid w:val="00757F74"/>
    <w:rsid w:val="00762D10"/>
    <w:rsid w:val="007638B7"/>
    <w:rsid w:val="007643E1"/>
    <w:rsid w:val="00765CB6"/>
    <w:rsid w:val="00770F6F"/>
    <w:rsid w:val="00775409"/>
    <w:rsid w:val="007762BB"/>
    <w:rsid w:val="00777A91"/>
    <w:rsid w:val="00782C4B"/>
    <w:rsid w:val="00783640"/>
    <w:rsid w:val="0078441B"/>
    <w:rsid w:val="00784B29"/>
    <w:rsid w:val="00784D11"/>
    <w:rsid w:val="0078514B"/>
    <w:rsid w:val="00785B93"/>
    <w:rsid w:val="00786820"/>
    <w:rsid w:val="0078770F"/>
    <w:rsid w:val="007913BE"/>
    <w:rsid w:val="00792D24"/>
    <w:rsid w:val="0079373C"/>
    <w:rsid w:val="00793887"/>
    <w:rsid w:val="00794A26"/>
    <w:rsid w:val="007957DF"/>
    <w:rsid w:val="00795C61"/>
    <w:rsid w:val="00796432"/>
    <w:rsid w:val="00797B5D"/>
    <w:rsid w:val="00797DD9"/>
    <w:rsid w:val="007A1AE4"/>
    <w:rsid w:val="007A3174"/>
    <w:rsid w:val="007A372F"/>
    <w:rsid w:val="007A375A"/>
    <w:rsid w:val="007A6C8E"/>
    <w:rsid w:val="007A6D72"/>
    <w:rsid w:val="007A7C3B"/>
    <w:rsid w:val="007B3103"/>
    <w:rsid w:val="007B5FF0"/>
    <w:rsid w:val="007B650B"/>
    <w:rsid w:val="007C030A"/>
    <w:rsid w:val="007C0935"/>
    <w:rsid w:val="007C1987"/>
    <w:rsid w:val="007C2CDD"/>
    <w:rsid w:val="007C38EA"/>
    <w:rsid w:val="007C3BDA"/>
    <w:rsid w:val="007C4CF6"/>
    <w:rsid w:val="007C520C"/>
    <w:rsid w:val="007C5276"/>
    <w:rsid w:val="007C5453"/>
    <w:rsid w:val="007C5ABA"/>
    <w:rsid w:val="007C5ED2"/>
    <w:rsid w:val="007C6371"/>
    <w:rsid w:val="007C6C28"/>
    <w:rsid w:val="007D17F0"/>
    <w:rsid w:val="007D52BA"/>
    <w:rsid w:val="007D66CD"/>
    <w:rsid w:val="007D79F7"/>
    <w:rsid w:val="007E09F0"/>
    <w:rsid w:val="007E0CED"/>
    <w:rsid w:val="007E0DDD"/>
    <w:rsid w:val="007E1121"/>
    <w:rsid w:val="007E35DA"/>
    <w:rsid w:val="007E55B7"/>
    <w:rsid w:val="007E5A2E"/>
    <w:rsid w:val="007E6773"/>
    <w:rsid w:val="007E6B7C"/>
    <w:rsid w:val="007E74D6"/>
    <w:rsid w:val="007E7FAD"/>
    <w:rsid w:val="007F0DD0"/>
    <w:rsid w:val="007F22DD"/>
    <w:rsid w:val="007F315F"/>
    <w:rsid w:val="007F3CC0"/>
    <w:rsid w:val="007F433B"/>
    <w:rsid w:val="007F4CF0"/>
    <w:rsid w:val="007F6525"/>
    <w:rsid w:val="00801495"/>
    <w:rsid w:val="008022AC"/>
    <w:rsid w:val="00802A7E"/>
    <w:rsid w:val="00802C55"/>
    <w:rsid w:val="00804172"/>
    <w:rsid w:val="00804618"/>
    <w:rsid w:val="00805B58"/>
    <w:rsid w:val="008065F8"/>
    <w:rsid w:val="008071D0"/>
    <w:rsid w:val="00815298"/>
    <w:rsid w:val="00815DD0"/>
    <w:rsid w:val="00815FDE"/>
    <w:rsid w:val="00817717"/>
    <w:rsid w:val="00817F48"/>
    <w:rsid w:val="00820DEE"/>
    <w:rsid w:val="00822198"/>
    <w:rsid w:val="00823F71"/>
    <w:rsid w:val="008240D0"/>
    <w:rsid w:val="00824181"/>
    <w:rsid w:val="00825156"/>
    <w:rsid w:val="008260E2"/>
    <w:rsid w:val="00826105"/>
    <w:rsid w:val="00832492"/>
    <w:rsid w:val="00832EFE"/>
    <w:rsid w:val="00836CD6"/>
    <w:rsid w:val="00836F69"/>
    <w:rsid w:val="00837AF0"/>
    <w:rsid w:val="0084073F"/>
    <w:rsid w:val="00841488"/>
    <w:rsid w:val="0084243D"/>
    <w:rsid w:val="0084418E"/>
    <w:rsid w:val="008451A3"/>
    <w:rsid w:val="0084603E"/>
    <w:rsid w:val="008461DF"/>
    <w:rsid w:val="00846DD4"/>
    <w:rsid w:val="008479E8"/>
    <w:rsid w:val="00850FCA"/>
    <w:rsid w:val="0085102D"/>
    <w:rsid w:val="008510F3"/>
    <w:rsid w:val="0085212F"/>
    <w:rsid w:val="0085294F"/>
    <w:rsid w:val="00852E5C"/>
    <w:rsid w:val="00853419"/>
    <w:rsid w:val="0085401B"/>
    <w:rsid w:val="0085427C"/>
    <w:rsid w:val="00855836"/>
    <w:rsid w:val="008559B2"/>
    <w:rsid w:val="0085606F"/>
    <w:rsid w:val="00860D18"/>
    <w:rsid w:val="0086150D"/>
    <w:rsid w:val="0086376B"/>
    <w:rsid w:val="008639ED"/>
    <w:rsid w:val="00863FAB"/>
    <w:rsid w:val="00864227"/>
    <w:rsid w:val="00864B60"/>
    <w:rsid w:val="00865589"/>
    <w:rsid w:val="00866848"/>
    <w:rsid w:val="00867B49"/>
    <w:rsid w:val="0087025B"/>
    <w:rsid w:val="00870486"/>
    <w:rsid w:val="0087315A"/>
    <w:rsid w:val="00873F60"/>
    <w:rsid w:val="00874927"/>
    <w:rsid w:val="00874A3A"/>
    <w:rsid w:val="00874B0F"/>
    <w:rsid w:val="00875E68"/>
    <w:rsid w:val="00876FAF"/>
    <w:rsid w:val="0087774F"/>
    <w:rsid w:val="00877BF7"/>
    <w:rsid w:val="00882C08"/>
    <w:rsid w:val="00883AB8"/>
    <w:rsid w:val="00883D44"/>
    <w:rsid w:val="00885861"/>
    <w:rsid w:val="00886250"/>
    <w:rsid w:val="00886702"/>
    <w:rsid w:val="00887D9E"/>
    <w:rsid w:val="0089071C"/>
    <w:rsid w:val="00890A42"/>
    <w:rsid w:val="008917E6"/>
    <w:rsid w:val="00892029"/>
    <w:rsid w:val="00892D94"/>
    <w:rsid w:val="00893C5E"/>
    <w:rsid w:val="008948AA"/>
    <w:rsid w:val="00895671"/>
    <w:rsid w:val="00896748"/>
    <w:rsid w:val="008A0CB2"/>
    <w:rsid w:val="008A1FA5"/>
    <w:rsid w:val="008A2509"/>
    <w:rsid w:val="008A2A64"/>
    <w:rsid w:val="008A312B"/>
    <w:rsid w:val="008A38D4"/>
    <w:rsid w:val="008A40EA"/>
    <w:rsid w:val="008A479F"/>
    <w:rsid w:val="008A5896"/>
    <w:rsid w:val="008A6EBC"/>
    <w:rsid w:val="008A7F5F"/>
    <w:rsid w:val="008B00CD"/>
    <w:rsid w:val="008B0224"/>
    <w:rsid w:val="008B0D40"/>
    <w:rsid w:val="008B1235"/>
    <w:rsid w:val="008B204B"/>
    <w:rsid w:val="008B45C0"/>
    <w:rsid w:val="008B4CA3"/>
    <w:rsid w:val="008B73C1"/>
    <w:rsid w:val="008B7756"/>
    <w:rsid w:val="008C037E"/>
    <w:rsid w:val="008C1E95"/>
    <w:rsid w:val="008C3E84"/>
    <w:rsid w:val="008C4CEB"/>
    <w:rsid w:val="008C5C26"/>
    <w:rsid w:val="008C6C53"/>
    <w:rsid w:val="008D2E74"/>
    <w:rsid w:val="008D36D1"/>
    <w:rsid w:val="008D4143"/>
    <w:rsid w:val="008D46B1"/>
    <w:rsid w:val="008D6F6F"/>
    <w:rsid w:val="008D711B"/>
    <w:rsid w:val="008D7BA1"/>
    <w:rsid w:val="008E0054"/>
    <w:rsid w:val="008E0F84"/>
    <w:rsid w:val="008E1E67"/>
    <w:rsid w:val="008E2767"/>
    <w:rsid w:val="008E3B13"/>
    <w:rsid w:val="008E3E2C"/>
    <w:rsid w:val="008E4DD1"/>
    <w:rsid w:val="008E5662"/>
    <w:rsid w:val="008E6326"/>
    <w:rsid w:val="008F09CD"/>
    <w:rsid w:val="008F0FAA"/>
    <w:rsid w:val="008F78F8"/>
    <w:rsid w:val="008F79FC"/>
    <w:rsid w:val="008F7A8D"/>
    <w:rsid w:val="008F7ED0"/>
    <w:rsid w:val="009012BF"/>
    <w:rsid w:val="0090283B"/>
    <w:rsid w:val="0090284A"/>
    <w:rsid w:val="00905953"/>
    <w:rsid w:val="00905B8C"/>
    <w:rsid w:val="00906A7D"/>
    <w:rsid w:val="00906D12"/>
    <w:rsid w:val="00910350"/>
    <w:rsid w:val="00911686"/>
    <w:rsid w:val="00911D7C"/>
    <w:rsid w:val="00913FCC"/>
    <w:rsid w:val="009160E2"/>
    <w:rsid w:val="009176AF"/>
    <w:rsid w:val="00920DAA"/>
    <w:rsid w:val="009238D0"/>
    <w:rsid w:val="00923B2F"/>
    <w:rsid w:val="00925045"/>
    <w:rsid w:val="00925AD4"/>
    <w:rsid w:val="009268A1"/>
    <w:rsid w:val="0092763F"/>
    <w:rsid w:val="009303AA"/>
    <w:rsid w:val="00932296"/>
    <w:rsid w:val="0093318E"/>
    <w:rsid w:val="0093334C"/>
    <w:rsid w:val="00933ABA"/>
    <w:rsid w:val="00934ACA"/>
    <w:rsid w:val="0093599A"/>
    <w:rsid w:val="00935E27"/>
    <w:rsid w:val="009408D0"/>
    <w:rsid w:val="0094123F"/>
    <w:rsid w:val="0094130A"/>
    <w:rsid w:val="009431C2"/>
    <w:rsid w:val="0094342B"/>
    <w:rsid w:val="00952C66"/>
    <w:rsid w:val="00954E42"/>
    <w:rsid w:val="0095541B"/>
    <w:rsid w:val="009554D7"/>
    <w:rsid w:val="009563C0"/>
    <w:rsid w:val="009568D2"/>
    <w:rsid w:val="00960A62"/>
    <w:rsid w:val="00961B8C"/>
    <w:rsid w:val="00964CFB"/>
    <w:rsid w:val="00966135"/>
    <w:rsid w:val="00966A51"/>
    <w:rsid w:val="00971585"/>
    <w:rsid w:val="00973A50"/>
    <w:rsid w:val="00973E1A"/>
    <w:rsid w:val="00976936"/>
    <w:rsid w:val="00976ADB"/>
    <w:rsid w:val="00976F2C"/>
    <w:rsid w:val="00977146"/>
    <w:rsid w:val="0098043D"/>
    <w:rsid w:val="00981065"/>
    <w:rsid w:val="009816D7"/>
    <w:rsid w:val="00982E7F"/>
    <w:rsid w:val="009835CA"/>
    <w:rsid w:val="009850F2"/>
    <w:rsid w:val="009853ED"/>
    <w:rsid w:val="00985EF3"/>
    <w:rsid w:val="00986E50"/>
    <w:rsid w:val="00991E92"/>
    <w:rsid w:val="00995A7E"/>
    <w:rsid w:val="0099686A"/>
    <w:rsid w:val="009A19C5"/>
    <w:rsid w:val="009A2D2D"/>
    <w:rsid w:val="009A2FBD"/>
    <w:rsid w:val="009A3697"/>
    <w:rsid w:val="009A4037"/>
    <w:rsid w:val="009A56D0"/>
    <w:rsid w:val="009A63F6"/>
    <w:rsid w:val="009A7642"/>
    <w:rsid w:val="009B1477"/>
    <w:rsid w:val="009B3606"/>
    <w:rsid w:val="009B3FAC"/>
    <w:rsid w:val="009B4B61"/>
    <w:rsid w:val="009B640F"/>
    <w:rsid w:val="009B6958"/>
    <w:rsid w:val="009C0DD7"/>
    <w:rsid w:val="009C192A"/>
    <w:rsid w:val="009C2800"/>
    <w:rsid w:val="009C3628"/>
    <w:rsid w:val="009C3AB6"/>
    <w:rsid w:val="009C49BF"/>
    <w:rsid w:val="009C4D1A"/>
    <w:rsid w:val="009C55BD"/>
    <w:rsid w:val="009C6B0E"/>
    <w:rsid w:val="009C6E0D"/>
    <w:rsid w:val="009C7D77"/>
    <w:rsid w:val="009D0ED4"/>
    <w:rsid w:val="009D14B6"/>
    <w:rsid w:val="009D2043"/>
    <w:rsid w:val="009D396B"/>
    <w:rsid w:val="009D44CF"/>
    <w:rsid w:val="009D6D49"/>
    <w:rsid w:val="009D73FC"/>
    <w:rsid w:val="009E0ABD"/>
    <w:rsid w:val="009E291E"/>
    <w:rsid w:val="009E351B"/>
    <w:rsid w:val="009E50B5"/>
    <w:rsid w:val="009E64BD"/>
    <w:rsid w:val="009F0DDF"/>
    <w:rsid w:val="009F3D7E"/>
    <w:rsid w:val="009F437A"/>
    <w:rsid w:val="009F4B30"/>
    <w:rsid w:val="009F7AFA"/>
    <w:rsid w:val="00A018B6"/>
    <w:rsid w:val="00A0453B"/>
    <w:rsid w:val="00A0453E"/>
    <w:rsid w:val="00A046FB"/>
    <w:rsid w:val="00A06B08"/>
    <w:rsid w:val="00A07174"/>
    <w:rsid w:val="00A078EF"/>
    <w:rsid w:val="00A1175C"/>
    <w:rsid w:val="00A11B56"/>
    <w:rsid w:val="00A11CEA"/>
    <w:rsid w:val="00A11EF4"/>
    <w:rsid w:val="00A13B84"/>
    <w:rsid w:val="00A151DF"/>
    <w:rsid w:val="00A1595E"/>
    <w:rsid w:val="00A15E75"/>
    <w:rsid w:val="00A20D87"/>
    <w:rsid w:val="00A21599"/>
    <w:rsid w:val="00A23DB0"/>
    <w:rsid w:val="00A254FD"/>
    <w:rsid w:val="00A25CC3"/>
    <w:rsid w:val="00A269FC"/>
    <w:rsid w:val="00A27C4F"/>
    <w:rsid w:val="00A30281"/>
    <w:rsid w:val="00A302E3"/>
    <w:rsid w:val="00A317A1"/>
    <w:rsid w:val="00A352DA"/>
    <w:rsid w:val="00A355A5"/>
    <w:rsid w:val="00A40BBA"/>
    <w:rsid w:val="00A40FD3"/>
    <w:rsid w:val="00A41EEF"/>
    <w:rsid w:val="00A46644"/>
    <w:rsid w:val="00A4697B"/>
    <w:rsid w:val="00A47645"/>
    <w:rsid w:val="00A5206C"/>
    <w:rsid w:val="00A564D7"/>
    <w:rsid w:val="00A579F5"/>
    <w:rsid w:val="00A6097E"/>
    <w:rsid w:val="00A61C8A"/>
    <w:rsid w:val="00A625B3"/>
    <w:rsid w:val="00A6331C"/>
    <w:rsid w:val="00A65CC8"/>
    <w:rsid w:val="00A669A1"/>
    <w:rsid w:val="00A71574"/>
    <w:rsid w:val="00A7176A"/>
    <w:rsid w:val="00A73683"/>
    <w:rsid w:val="00A73684"/>
    <w:rsid w:val="00A73803"/>
    <w:rsid w:val="00A73F4B"/>
    <w:rsid w:val="00A75C6C"/>
    <w:rsid w:val="00A81F87"/>
    <w:rsid w:val="00A8249B"/>
    <w:rsid w:val="00A82B1D"/>
    <w:rsid w:val="00A82EF9"/>
    <w:rsid w:val="00A8426A"/>
    <w:rsid w:val="00A843DB"/>
    <w:rsid w:val="00A84FBC"/>
    <w:rsid w:val="00A85C36"/>
    <w:rsid w:val="00A86057"/>
    <w:rsid w:val="00A86DE6"/>
    <w:rsid w:val="00A86F52"/>
    <w:rsid w:val="00A87698"/>
    <w:rsid w:val="00A90012"/>
    <w:rsid w:val="00A911F4"/>
    <w:rsid w:val="00A93BC1"/>
    <w:rsid w:val="00A9570F"/>
    <w:rsid w:val="00A957B3"/>
    <w:rsid w:val="00AA12A1"/>
    <w:rsid w:val="00AA2D3A"/>
    <w:rsid w:val="00AA5B60"/>
    <w:rsid w:val="00AA616A"/>
    <w:rsid w:val="00AB54C3"/>
    <w:rsid w:val="00AC2A66"/>
    <w:rsid w:val="00AC3547"/>
    <w:rsid w:val="00AC3FE2"/>
    <w:rsid w:val="00AC480A"/>
    <w:rsid w:val="00AC4A6B"/>
    <w:rsid w:val="00AC66EC"/>
    <w:rsid w:val="00AC7B05"/>
    <w:rsid w:val="00AD0653"/>
    <w:rsid w:val="00AD1086"/>
    <w:rsid w:val="00AD2E96"/>
    <w:rsid w:val="00AD38C1"/>
    <w:rsid w:val="00AD43F1"/>
    <w:rsid w:val="00AD562F"/>
    <w:rsid w:val="00AD56FC"/>
    <w:rsid w:val="00AD7DB0"/>
    <w:rsid w:val="00AE0811"/>
    <w:rsid w:val="00AE33D5"/>
    <w:rsid w:val="00AE3A3B"/>
    <w:rsid w:val="00AE4546"/>
    <w:rsid w:val="00AE4FF7"/>
    <w:rsid w:val="00AE53C7"/>
    <w:rsid w:val="00AE71A1"/>
    <w:rsid w:val="00AF09E9"/>
    <w:rsid w:val="00AF1C7B"/>
    <w:rsid w:val="00AF277C"/>
    <w:rsid w:val="00AF45E2"/>
    <w:rsid w:val="00AF4BD8"/>
    <w:rsid w:val="00AF5CF4"/>
    <w:rsid w:val="00AF7CF3"/>
    <w:rsid w:val="00B00631"/>
    <w:rsid w:val="00B012E7"/>
    <w:rsid w:val="00B031E5"/>
    <w:rsid w:val="00B0540B"/>
    <w:rsid w:val="00B063AC"/>
    <w:rsid w:val="00B104D3"/>
    <w:rsid w:val="00B10959"/>
    <w:rsid w:val="00B123D0"/>
    <w:rsid w:val="00B1396B"/>
    <w:rsid w:val="00B13FFF"/>
    <w:rsid w:val="00B161E9"/>
    <w:rsid w:val="00B21943"/>
    <w:rsid w:val="00B24021"/>
    <w:rsid w:val="00B250E4"/>
    <w:rsid w:val="00B2594A"/>
    <w:rsid w:val="00B26DF8"/>
    <w:rsid w:val="00B31F2C"/>
    <w:rsid w:val="00B32194"/>
    <w:rsid w:val="00B32B29"/>
    <w:rsid w:val="00B34CDA"/>
    <w:rsid w:val="00B34E77"/>
    <w:rsid w:val="00B3515A"/>
    <w:rsid w:val="00B36E01"/>
    <w:rsid w:val="00B370BC"/>
    <w:rsid w:val="00B371B8"/>
    <w:rsid w:val="00B410CF"/>
    <w:rsid w:val="00B41908"/>
    <w:rsid w:val="00B4261B"/>
    <w:rsid w:val="00B42ECE"/>
    <w:rsid w:val="00B43DE0"/>
    <w:rsid w:val="00B462DB"/>
    <w:rsid w:val="00B4656C"/>
    <w:rsid w:val="00B4704D"/>
    <w:rsid w:val="00B51A88"/>
    <w:rsid w:val="00B55390"/>
    <w:rsid w:val="00B55848"/>
    <w:rsid w:val="00B56290"/>
    <w:rsid w:val="00B56335"/>
    <w:rsid w:val="00B614F5"/>
    <w:rsid w:val="00B61CEB"/>
    <w:rsid w:val="00B64276"/>
    <w:rsid w:val="00B661E5"/>
    <w:rsid w:val="00B66604"/>
    <w:rsid w:val="00B66FC6"/>
    <w:rsid w:val="00B71A30"/>
    <w:rsid w:val="00B72C06"/>
    <w:rsid w:val="00B73089"/>
    <w:rsid w:val="00B7472A"/>
    <w:rsid w:val="00B748DC"/>
    <w:rsid w:val="00B755B9"/>
    <w:rsid w:val="00B75CAF"/>
    <w:rsid w:val="00B76040"/>
    <w:rsid w:val="00B769D6"/>
    <w:rsid w:val="00B801D3"/>
    <w:rsid w:val="00B805B2"/>
    <w:rsid w:val="00B8238E"/>
    <w:rsid w:val="00B87B16"/>
    <w:rsid w:val="00B91298"/>
    <w:rsid w:val="00B92F93"/>
    <w:rsid w:val="00B933C4"/>
    <w:rsid w:val="00B96043"/>
    <w:rsid w:val="00B96BE4"/>
    <w:rsid w:val="00B96C15"/>
    <w:rsid w:val="00BA24F3"/>
    <w:rsid w:val="00BA2637"/>
    <w:rsid w:val="00BA3549"/>
    <w:rsid w:val="00BA5D51"/>
    <w:rsid w:val="00BA669F"/>
    <w:rsid w:val="00BA6CD3"/>
    <w:rsid w:val="00BA72F8"/>
    <w:rsid w:val="00BB056B"/>
    <w:rsid w:val="00BB105A"/>
    <w:rsid w:val="00BB1498"/>
    <w:rsid w:val="00BB1F03"/>
    <w:rsid w:val="00BB2EEB"/>
    <w:rsid w:val="00BB42C8"/>
    <w:rsid w:val="00BB5452"/>
    <w:rsid w:val="00BB6423"/>
    <w:rsid w:val="00BB6BC1"/>
    <w:rsid w:val="00BB6CD9"/>
    <w:rsid w:val="00BB7D6E"/>
    <w:rsid w:val="00BC007B"/>
    <w:rsid w:val="00BC0D11"/>
    <w:rsid w:val="00BC3107"/>
    <w:rsid w:val="00BD0FD9"/>
    <w:rsid w:val="00BD4873"/>
    <w:rsid w:val="00BD4DEF"/>
    <w:rsid w:val="00BD5FEA"/>
    <w:rsid w:val="00BE246C"/>
    <w:rsid w:val="00BE24D3"/>
    <w:rsid w:val="00BE3970"/>
    <w:rsid w:val="00BE7549"/>
    <w:rsid w:val="00BF2224"/>
    <w:rsid w:val="00BF22A7"/>
    <w:rsid w:val="00BF254A"/>
    <w:rsid w:val="00BF2995"/>
    <w:rsid w:val="00BF4349"/>
    <w:rsid w:val="00BF6052"/>
    <w:rsid w:val="00C00396"/>
    <w:rsid w:val="00C00AF9"/>
    <w:rsid w:val="00C05D75"/>
    <w:rsid w:val="00C0744E"/>
    <w:rsid w:val="00C101D9"/>
    <w:rsid w:val="00C11B70"/>
    <w:rsid w:val="00C124C7"/>
    <w:rsid w:val="00C12601"/>
    <w:rsid w:val="00C13BD1"/>
    <w:rsid w:val="00C14003"/>
    <w:rsid w:val="00C14F7D"/>
    <w:rsid w:val="00C15871"/>
    <w:rsid w:val="00C16778"/>
    <w:rsid w:val="00C1726E"/>
    <w:rsid w:val="00C179A7"/>
    <w:rsid w:val="00C20C2D"/>
    <w:rsid w:val="00C20E29"/>
    <w:rsid w:val="00C21634"/>
    <w:rsid w:val="00C216C0"/>
    <w:rsid w:val="00C22FC3"/>
    <w:rsid w:val="00C23EF9"/>
    <w:rsid w:val="00C24BE1"/>
    <w:rsid w:val="00C255E3"/>
    <w:rsid w:val="00C25FBD"/>
    <w:rsid w:val="00C30770"/>
    <w:rsid w:val="00C31935"/>
    <w:rsid w:val="00C32FA2"/>
    <w:rsid w:val="00C34E90"/>
    <w:rsid w:val="00C363E7"/>
    <w:rsid w:val="00C3699A"/>
    <w:rsid w:val="00C374E6"/>
    <w:rsid w:val="00C421FD"/>
    <w:rsid w:val="00C4320B"/>
    <w:rsid w:val="00C44920"/>
    <w:rsid w:val="00C453B9"/>
    <w:rsid w:val="00C46BBA"/>
    <w:rsid w:val="00C517B3"/>
    <w:rsid w:val="00C52E2B"/>
    <w:rsid w:val="00C54949"/>
    <w:rsid w:val="00C54C73"/>
    <w:rsid w:val="00C60D1D"/>
    <w:rsid w:val="00C61D2E"/>
    <w:rsid w:val="00C61DD3"/>
    <w:rsid w:val="00C64227"/>
    <w:rsid w:val="00C6785F"/>
    <w:rsid w:val="00C67DB6"/>
    <w:rsid w:val="00C70FAB"/>
    <w:rsid w:val="00C73EFD"/>
    <w:rsid w:val="00C75B07"/>
    <w:rsid w:val="00C8015E"/>
    <w:rsid w:val="00C80E00"/>
    <w:rsid w:val="00C822F1"/>
    <w:rsid w:val="00C833B9"/>
    <w:rsid w:val="00C84E34"/>
    <w:rsid w:val="00C852C3"/>
    <w:rsid w:val="00C86D59"/>
    <w:rsid w:val="00C900BA"/>
    <w:rsid w:val="00C912CB"/>
    <w:rsid w:val="00C929BA"/>
    <w:rsid w:val="00C93931"/>
    <w:rsid w:val="00C943FA"/>
    <w:rsid w:val="00C9467E"/>
    <w:rsid w:val="00C958FF"/>
    <w:rsid w:val="00C96EED"/>
    <w:rsid w:val="00C9753B"/>
    <w:rsid w:val="00C97AC9"/>
    <w:rsid w:val="00C97EA1"/>
    <w:rsid w:val="00CA044D"/>
    <w:rsid w:val="00CA0586"/>
    <w:rsid w:val="00CA0B9E"/>
    <w:rsid w:val="00CA43BC"/>
    <w:rsid w:val="00CA64C8"/>
    <w:rsid w:val="00CA67AF"/>
    <w:rsid w:val="00CA6C65"/>
    <w:rsid w:val="00CA6D1F"/>
    <w:rsid w:val="00CA7AE1"/>
    <w:rsid w:val="00CB15E5"/>
    <w:rsid w:val="00CB1D82"/>
    <w:rsid w:val="00CB2D1A"/>
    <w:rsid w:val="00CB38CB"/>
    <w:rsid w:val="00CB4440"/>
    <w:rsid w:val="00CB48DC"/>
    <w:rsid w:val="00CB4902"/>
    <w:rsid w:val="00CB63DF"/>
    <w:rsid w:val="00CB6E5C"/>
    <w:rsid w:val="00CB781E"/>
    <w:rsid w:val="00CC020D"/>
    <w:rsid w:val="00CC1D90"/>
    <w:rsid w:val="00CC5421"/>
    <w:rsid w:val="00CD0C32"/>
    <w:rsid w:val="00CD12D1"/>
    <w:rsid w:val="00CD3579"/>
    <w:rsid w:val="00CD4028"/>
    <w:rsid w:val="00CD496F"/>
    <w:rsid w:val="00CD4E31"/>
    <w:rsid w:val="00CD68EF"/>
    <w:rsid w:val="00CD7B92"/>
    <w:rsid w:val="00CE24E6"/>
    <w:rsid w:val="00CE2538"/>
    <w:rsid w:val="00CE3743"/>
    <w:rsid w:val="00CE3EC1"/>
    <w:rsid w:val="00CE5021"/>
    <w:rsid w:val="00CF2AF6"/>
    <w:rsid w:val="00CF3A3E"/>
    <w:rsid w:val="00CF5116"/>
    <w:rsid w:val="00CF79F7"/>
    <w:rsid w:val="00D02B15"/>
    <w:rsid w:val="00D0329E"/>
    <w:rsid w:val="00D0713B"/>
    <w:rsid w:val="00D074E9"/>
    <w:rsid w:val="00D1020F"/>
    <w:rsid w:val="00D10CB4"/>
    <w:rsid w:val="00D126B4"/>
    <w:rsid w:val="00D12D6B"/>
    <w:rsid w:val="00D1619C"/>
    <w:rsid w:val="00D16A5C"/>
    <w:rsid w:val="00D17D72"/>
    <w:rsid w:val="00D201FE"/>
    <w:rsid w:val="00D2224E"/>
    <w:rsid w:val="00D2238E"/>
    <w:rsid w:val="00D226E2"/>
    <w:rsid w:val="00D22817"/>
    <w:rsid w:val="00D24D05"/>
    <w:rsid w:val="00D24F8B"/>
    <w:rsid w:val="00D25D0C"/>
    <w:rsid w:val="00D262B1"/>
    <w:rsid w:val="00D26F5E"/>
    <w:rsid w:val="00D27D5B"/>
    <w:rsid w:val="00D35272"/>
    <w:rsid w:val="00D369FB"/>
    <w:rsid w:val="00D3713E"/>
    <w:rsid w:val="00D37E61"/>
    <w:rsid w:val="00D435CE"/>
    <w:rsid w:val="00D44159"/>
    <w:rsid w:val="00D46100"/>
    <w:rsid w:val="00D46178"/>
    <w:rsid w:val="00D46AD7"/>
    <w:rsid w:val="00D5099B"/>
    <w:rsid w:val="00D52FCB"/>
    <w:rsid w:val="00D543F3"/>
    <w:rsid w:val="00D55D67"/>
    <w:rsid w:val="00D56B0C"/>
    <w:rsid w:val="00D606BB"/>
    <w:rsid w:val="00D62FCE"/>
    <w:rsid w:val="00D70947"/>
    <w:rsid w:val="00D71048"/>
    <w:rsid w:val="00D72001"/>
    <w:rsid w:val="00D73340"/>
    <w:rsid w:val="00D73A6B"/>
    <w:rsid w:val="00D75B39"/>
    <w:rsid w:val="00D77267"/>
    <w:rsid w:val="00D77ECC"/>
    <w:rsid w:val="00D804D0"/>
    <w:rsid w:val="00D81201"/>
    <w:rsid w:val="00D8170D"/>
    <w:rsid w:val="00D83284"/>
    <w:rsid w:val="00D83A1A"/>
    <w:rsid w:val="00D85023"/>
    <w:rsid w:val="00D8512C"/>
    <w:rsid w:val="00D85C75"/>
    <w:rsid w:val="00D8668C"/>
    <w:rsid w:val="00D87B9F"/>
    <w:rsid w:val="00D92183"/>
    <w:rsid w:val="00D92D62"/>
    <w:rsid w:val="00D9341B"/>
    <w:rsid w:val="00D97F70"/>
    <w:rsid w:val="00DA2DBD"/>
    <w:rsid w:val="00DA3C39"/>
    <w:rsid w:val="00DA5020"/>
    <w:rsid w:val="00DA57CC"/>
    <w:rsid w:val="00DA5EA0"/>
    <w:rsid w:val="00DB095A"/>
    <w:rsid w:val="00DB38C6"/>
    <w:rsid w:val="00DB66B4"/>
    <w:rsid w:val="00DB78D1"/>
    <w:rsid w:val="00DC027D"/>
    <w:rsid w:val="00DC08E8"/>
    <w:rsid w:val="00DC1AEC"/>
    <w:rsid w:val="00DC2E3F"/>
    <w:rsid w:val="00DC2EBE"/>
    <w:rsid w:val="00DC3650"/>
    <w:rsid w:val="00DC44B0"/>
    <w:rsid w:val="00DC5A2E"/>
    <w:rsid w:val="00DC5D3C"/>
    <w:rsid w:val="00DC602C"/>
    <w:rsid w:val="00DC74BC"/>
    <w:rsid w:val="00DC7F52"/>
    <w:rsid w:val="00DC7F7D"/>
    <w:rsid w:val="00DD0B9E"/>
    <w:rsid w:val="00DD0DB9"/>
    <w:rsid w:val="00DD191A"/>
    <w:rsid w:val="00DD1FDD"/>
    <w:rsid w:val="00DD4718"/>
    <w:rsid w:val="00DD6E26"/>
    <w:rsid w:val="00DD74A2"/>
    <w:rsid w:val="00DE3FD3"/>
    <w:rsid w:val="00DE4DE9"/>
    <w:rsid w:val="00DE56DB"/>
    <w:rsid w:val="00DE573C"/>
    <w:rsid w:val="00DE5FA7"/>
    <w:rsid w:val="00DE7526"/>
    <w:rsid w:val="00DF2466"/>
    <w:rsid w:val="00DF42E9"/>
    <w:rsid w:val="00DF6EE0"/>
    <w:rsid w:val="00DF745D"/>
    <w:rsid w:val="00DF77BF"/>
    <w:rsid w:val="00E00BDC"/>
    <w:rsid w:val="00E00BE7"/>
    <w:rsid w:val="00E0614A"/>
    <w:rsid w:val="00E06B34"/>
    <w:rsid w:val="00E07722"/>
    <w:rsid w:val="00E077C8"/>
    <w:rsid w:val="00E11B07"/>
    <w:rsid w:val="00E12CAD"/>
    <w:rsid w:val="00E13449"/>
    <w:rsid w:val="00E14F6B"/>
    <w:rsid w:val="00E20E5E"/>
    <w:rsid w:val="00E2358B"/>
    <w:rsid w:val="00E23CFC"/>
    <w:rsid w:val="00E240F8"/>
    <w:rsid w:val="00E249BC"/>
    <w:rsid w:val="00E26B2C"/>
    <w:rsid w:val="00E26E3D"/>
    <w:rsid w:val="00E32B39"/>
    <w:rsid w:val="00E33452"/>
    <w:rsid w:val="00E34E26"/>
    <w:rsid w:val="00E353BE"/>
    <w:rsid w:val="00E3681E"/>
    <w:rsid w:val="00E416FF"/>
    <w:rsid w:val="00E45668"/>
    <w:rsid w:val="00E478F5"/>
    <w:rsid w:val="00E47C32"/>
    <w:rsid w:val="00E47D64"/>
    <w:rsid w:val="00E5153E"/>
    <w:rsid w:val="00E5243B"/>
    <w:rsid w:val="00E52660"/>
    <w:rsid w:val="00E54062"/>
    <w:rsid w:val="00E5505E"/>
    <w:rsid w:val="00E56962"/>
    <w:rsid w:val="00E56E81"/>
    <w:rsid w:val="00E6011D"/>
    <w:rsid w:val="00E609E9"/>
    <w:rsid w:val="00E61ED6"/>
    <w:rsid w:val="00E626F0"/>
    <w:rsid w:val="00E63455"/>
    <w:rsid w:val="00E63BC1"/>
    <w:rsid w:val="00E63F8C"/>
    <w:rsid w:val="00E665C8"/>
    <w:rsid w:val="00E67F8D"/>
    <w:rsid w:val="00E7073F"/>
    <w:rsid w:val="00E72F74"/>
    <w:rsid w:val="00E73284"/>
    <w:rsid w:val="00E73389"/>
    <w:rsid w:val="00E747A7"/>
    <w:rsid w:val="00E754C6"/>
    <w:rsid w:val="00E813B2"/>
    <w:rsid w:val="00E8194A"/>
    <w:rsid w:val="00E82E51"/>
    <w:rsid w:val="00E8369A"/>
    <w:rsid w:val="00E84E12"/>
    <w:rsid w:val="00E855CB"/>
    <w:rsid w:val="00E85C91"/>
    <w:rsid w:val="00E87DEB"/>
    <w:rsid w:val="00E90AC3"/>
    <w:rsid w:val="00E91320"/>
    <w:rsid w:val="00E936D8"/>
    <w:rsid w:val="00E93BD4"/>
    <w:rsid w:val="00E943FD"/>
    <w:rsid w:val="00E948B4"/>
    <w:rsid w:val="00E959D4"/>
    <w:rsid w:val="00E95ECE"/>
    <w:rsid w:val="00E9605A"/>
    <w:rsid w:val="00EA01FC"/>
    <w:rsid w:val="00EA0961"/>
    <w:rsid w:val="00EA13BD"/>
    <w:rsid w:val="00EA5A93"/>
    <w:rsid w:val="00EA5BD2"/>
    <w:rsid w:val="00EA77A3"/>
    <w:rsid w:val="00EB1DAC"/>
    <w:rsid w:val="00EB268A"/>
    <w:rsid w:val="00EB2DCA"/>
    <w:rsid w:val="00EB438E"/>
    <w:rsid w:val="00EB49BE"/>
    <w:rsid w:val="00EB51FB"/>
    <w:rsid w:val="00EB56F4"/>
    <w:rsid w:val="00EB59A5"/>
    <w:rsid w:val="00EB5E1B"/>
    <w:rsid w:val="00EB67B0"/>
    <w:rsid w:val="00EB6C59"/>
    <w:rsid w:val="00EB6E9C"/>
    <w:rsid w:val="00EB7128"/>
    <w:rsid w:val="00EB7432"/>
    <w:rsid w:val="00EB78AB"/>
    <w:rsid w:val="00EC4053"/>
    <w:rsid w:val="00EC49C2"/>
    <w:rsid w:val="00ED0172"/>
    <w:rsid w:val="00ED1723"/>
    <w:rsid w:val="00ED20E9"/>
    <w:rsid w:val="00ED28C7"/>
    <w:rsid w:val="00ED4C9F"/>
    <w:rsid w:val="00ED6252"/>
    <w:rsid w:val="00ED6BAE"/>
    <w:rsid w:val="00EE0C8A"/>
    <w:rsid w:val="00EE3DCD"/>
    <w:rsid w:val="00EE5287"/>
    <w:rsid w:val="00EE5E3E"/>
    <w:rsid w:val="00EE6B7B"/>
    <w:rsid w:val="00EE7EF2"/>
    <w:rsid w:val="00EF525C"/>
    <w:rsid w:val="00EF5DB2"/>
    <w:rsid w:val="00EF5FE7"/>
    <w:rsid w:val="00EF6141"/>
    <w:rsid w:val="00EF66EB"/>
    <w:rsid w:val="00EF7DD2"/>
    <w:rsid w:val="00F007E2"/>
    <w:rsid w:val="00F009E6"/>
    <w:rsid w:val="00F02CA4"/>
    <w:rsid w:val="00F061C7"/>
    <w:rsid w:val="00F071A4"/>
    <w:rsid w:val="00F11684"/>
    <w:rsid w:val="00F12739"/>
    <w:rsid w:val="00F142B0"/>
    <w:rsid w:val="00F218FD"/>
    <w:rsid w:val="00F226E1"/>
    <w:rsid w:val="00F238FF"/>
    <w:rsid w:val="00F24520"/>
    <w:rsid w:val="00F247E5"/>
    <w:rsid w:val="00F25352"/>
    <w:rsid w:val="00F269F1"/>
    <w:rsid w:val="00F27655"/>
    <w:rsid w:val="00F303FD"/>
    <w:rsid w:val="00F30F73"/>
    <w:rsid w:val="00F3203E"/>
    <w:rsid w:val="00F3235E"/>
    <w:rsid w:val="00F3465C"/>
    <w:rsid w:val="00F34E5F"/>
    <w:rsid w:val="00F36BA7"/>
    <w:rsid w:val="00F41896"/>
    <w:rsid w:val="00F41AA5"/>
    <w:rsid w:val="00F4238B"/>
    <w:rsid w:val="00F46196"/>
    <w:rsid w:val="00F466D9"/>
    <w:rsid w:val="00F46B45"/>
    <w:rsid w:val="00F50D12"/>
    <w:rsid w:val="00F62931"/>
    <w:rsid w:val="00F63370"/>
    <w:rsid w:val="00F65F11"/>
    <w:rsid w:val="00F66608"/>
    <w:rsid w:val="00F678FA"/>
    <w:rsid w:val="00F67F91"/>
    <w:rsid w:val="00F704D3"/>
    <w:rsid w:val="00F729AE"/>
    <w:rsid w:val="00F7345D"/>
    <w:rsid w:val="00F772E6"/>
    <w:rsid w:val="00F77EAD"/>
    <w:rsid w:val="00F80288"/>
    <w:rsid w:val="00F81DFA"/>
    <w:rsid w:val="00F8245F"/>
    <w:rsid w:val="00F82862"/>
    <w:rsid w:val="00F85128"/>
    <w:rsid w:val="00F87E6B"/>
    <w:rsid w:val="00F9187F"/>
    <w:rsid w:val="00F91BBD"/>
    <w:rsid w:val="00F961DC"/>
    <w:rsid w:val="00F977DF"/>
    <w:rsid w:val="00FA0BD8"/>
    <w:rsid w:val="00FA1539"/>
    <w:rsid w:val="00FA414F"/>
    <w:rsid w:val="00FA5783"/>
    <w:rsid w:val="00FA7919"/>
    <w:rsid w:val="00FB13CF"/>
    <w:rsid w:val="00FB1F9B"/>
    <w:rsid w:val="00FB2E6F"/>
    <w:rsid w:val="00FB3953"/>
    <w:rsid w:val="00FB4064"/>
    <w:rsid w:val="00FB4B9A"/>
    <w:rsid w:val="00FB54A8"/>
    <w:rsid w:val="00FB6584"/>
    <w:rsid w:val="00FB7238"/>
    <w:rsid w:val="00FC0CB6"/>
    <w:rsid w:val="00FC149E"/>
    <w:rsid w:val="00FC5A6D"/>
    <w:rsid w:val="00FC696B"/>
    <w:rsid w:val="00FC6FB5"/>
    <w:rsid w:val="00FD00D3"/>
    <w:rsid w:val="00FD073C"/>
    <w:rsid w:val="00FD133E"/>
    <w:rsid w:val="00FD44B1"/>
    <w:rsid w:val="00FD7979"/>
    <w:rsid w:val="00FE5F0D"/>
    <w:rsid w:val="00FE6007"/>
    <w:rsid w:val="00FE764F"/>
    <w:rsid w:val="00FE7FC5"/>
    <w:rsid w:val="00FF0450"/>
    <w:rsid w:val="00FF180D"/>
    <w:rsid w:val="00FF1D56"/>
    <w:rsid w:val="00FF20D2"/>
    <w:rsid w:val="00FF2609"/>
    <w:rsid w:val="00FF4549"/>
    <w:rsid w:val="00FF4B7A"/>
    <w:rsid w:val="00FF57C7"/>
    <w:rsid w:val="00FF685B"/>
    <w:rsid w:val="00FF6C94"/>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6CDF35D"/>
  <w15:chartTrackingRefBased/>
  <w15:docId w15:val="{D2BA10CC-F40E-4B72-BFF4-042B49D94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419"/>
    <w:pPr>
      <w:spacing w:after="240" w:line="240" w:lineRule="auto"/>
    </w:pPr>
  </w:style>
  <w:style w:type="paragraph" w:styleId="Heading1">
    <w:name w:val="heading 1"/>
    <w:basedOn w:val="Normal"/>
    <w:next w:val="Normal"/>
    <w:link w:val="Heading1Char"/>
    <w:uiPriority w:val="9"/>
    <w:qFormat/>
    <w:rsid w:val="004C5FB0"/>
    <w:pPr>
      <w:keepNext/>
      <w:spacing w:before="3000"/>
      <w:outlineLvl w:val="0"/>
    </w:pPr>
    <w:rPr>
      <w:rFonts w:asciiTheme="majorHAnsi" w:eastAsiaTheme="majorEastAsia" w:hAnsiTheme="majorHAnsi" w:cstheme="majorBidi"/>
      <w:b/>
      <w:color w:val="0F293A"/>
      <w:sz w:val="48"/>
      <w:szCs w:val="32"/>
    </w:rPr>
  </w:style>
  <w:style w:type="paragraph" w:styleId="Heading2">
    <w:name w:val="heading 2"/>
    <w:basedOn w:val="Normal"/>
    <w:next w:val="Normal"/>
    <w:link w:val="Heading2Char"/>
    <w:uiPriority w:val="9"/>
    <w:unhideWhenUsed/>
    <w:qFormat/>
    <w:rsid w:val="00815DD0"/>
    <w:pPr>
      <w:keepNext/>
      <w:spacing w:before="120"/>
      <w:outlineLvl w:val="1"/>
    </w:pPr>
    <w:rPr>
      <w:rFonts w:asciiTheme="majorHAnsi" w:eastAsiaTheme="majorEastAsia" w:hAnsiTheme="majorHAnsi" w:cstheme="majorBidi"/>
      <w:b/>
      <w:color w:val="07478C"/>
      <w:sz w:val="36"/>
      <w:szCs w:val="26"/>
    </w:rPr>
  </w:style>
  <w:style w:type="paragraph" w:styleId="Heading3">
    <w:name w:val="heading 3"/>
    <w:basedOn w:val="Normal"/>
    <w:next w:val="Normal"/>
    <w:link w:val="Heading3Char"/>
    <w:uiPriority w:val="9"/>
    <w:unhideWhenUsed/>
    <w:qFormat/>
    <w:rsid w:val="00815DD0"/>
    <w:pPr>
      <w:keepNext/>
      <w:spacing w:before="120" w:after="120"/>
      <w:outlineLvl w:val="2"/>
    </w:pPr>
    <w:rPr>
      <w:rFonts w:asciiTheme="majorHAnsi" w:eastAsiaTheme="majorEastAsia" w:hAnsiTheme="majorHAnsi" w:cstheme="majorBidi"/>
      <w:b/>
      <w:color w:val="07478C"/>
      <w:sz w:val="30"/>
      <w:szCs w:val="24"/>
    </w:rPr>
  </w:style>
  <w:style w:type="paragraph" w:styleId="Heading4">
    <w:name w:val="heading 4"/>
    <w:basedOn w:val="Normal"/>
    <w:next w:val="Normal"/>
    <w:link w:val="Heading4Char"/>
    <w:uiPriority w:val="9"/>
    <w:unhideWhenUsed/>
    <w:qFormat/>
    <w:rsid w:val="0047258C"/>
    <w:pPr>
      <w:keepNext/>
      <w:spacing w:before="120" w:after="60"/>
      <w:outlineLvl w:val="3"/>
    </w:pPr>
    <w:rPr>
      <w:rFonts w:asciiTheme="majorHAnsi" w:eastAsiaTheme="majorEastAsia" w:hAnsiTheme="majorHAnsi" w:cstheme="majorBidi"/>
      <w:b/>
      <w:iCs/>
      <w:color w:val="07478C"/>
      <w:sz w:val="24"/>
    </w:rPr>
  </w:style>
  <w:style w:type="paragraph" w:styleId="Heading5">
    <w:name w:val="heading 5"/>
    <w:basedOn w:val="Normal"/>
    <w:next w:val="Normal"/>
    <w:link w:val="Heading5Char"/>
    <w:uiPriority w:val="9"/>
    <w:unhideWhenUsed/>
    <w:qFormat/>
    <w:rsid w:val="009A56D0"/>
    <w:pPr>
      <w:keepNext/>
      <w:spacing w:after="60"/>
      <w:outlineLvl w:val="4"/>
    </w:pPr>
    <w:rPr>
      <w:rFonts w:asciiTheme="majorHAnsi" w:eastAsiaTheme="majorEastAsia" w:hAnsiTheme="majorHAnsi" w:cstheme="majorBidi"/>
      <w:color w:val="07478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FB0"/>
    <w:rPr>
      <w:rFonts w:asciiTheme="majorHAnsi" w:eastAsiaTheme="majorEastAsia" w:hAnsiTheme="majorHAnsi" w:cstheme="majorBidi"/>
      <w:b/>
      <w:color w:val="0F293A"/>
      <w:sz w:val="48"/>
      <w:szCs w:val="32"/>
    </w:rPr>
  </w:style>
  <w:style w:type="character" w:customStyle="1" w:styleId="Heading2Char">
    <w:name w:val="Heading 2 Char"/>
    <w:basedOn w:val="DefaultParagraphFont"/>
    <w:link w:val="Heading2"/>
    <w:uiPriority w:val="9"/>
    <w:rsid w:val="00815DD0"/>
    <w:rPr>
      <w:rFonts w:asciiTheme="majorHAnsi" w:eastAsiaTheme="majorEastAsia" w:hAnsiTheme="majorHAnsi" w:cstheme="majorBidi"/>
      <w:b/>
      <w:color w:val="07478C"/>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815DD0"/>
    <w:rPr>
      <w:rFonts w:asciiTheme="majorHAnsi" w:eastAsiaTheme="majorEastAsia" w:hAnsiTheme="majorHAnsi" w:cstheme="majorBidi"/>
      <w:b/>
      <w:color w:val="07478C"/>
      <w:sz w:val="30"/>
      <w:szCs w:val="24"/>
    </w:rPr>
  </w:style>
  <w:style w:type="paragraph" w:customStyle="1" w:styleId="Bulletlevel1">
    <w:name w:val="Bullet level 1"/>
    <w:basedOn w:val="Normal"/>
    <w:qFormat/>
    <w:rsid w:val="008D36D1"/>
    <w:pPr>
      <w:numPr>
        <w:numId w:val="1"/>
      </w:numPr>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47258C"/>
    <w:rPr>
      <w:rFonts w:asciiTheme="majorHAnsi" w:eastAsiaTheme="majorEastAsia" w:hAnsiTheme="majorHAnsi" w:cstheme="majorBidi"/>
      <w:b/>
      <w:iCs/>
      <w:color w:val="07478C"/>
      <w:sz w:val="24"/>
    </w:rPr>
  </w:style>
  <w:style w:type="table" w:styleId="TableGrid">
    <w:name w:val="Table Grid"/>
    <w:basedOn w:val="TableNormal"/>
    <w:uiPriority w:val="3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606BE5"/>
    <w:pPr>
      <w:keepNext/>
      <w:spacing w:before="40" w:after="0"/>
    </w:pPr>
    <w:rPr>
      <w:rFonts w:asciiTheme="majorHAnsi" w:hAnsiTheme="majorHAnsi"/>
      <w:b/>
      <w:color w:val="07478C"/>
    </w:rPr>
  </w:style>
  <w:style w:type="paragraph" w:styleId="FootnoteText">
    <w:name w:val="footnote text"/>
    <w:aliases w:val="ACMA Footnote Text,Footnote Text Char1,Footnote Text Char Char,Footnote Text Char1 Char Char,Footnote Text Char Char Char Char,Footnote Text Char1 Char Char Char Char,Footnote Text Char Char Char Char Char Char,ALTS FOOTNOTE,footnote text"/>
    <w:basedOn w:val="Normal"/>
    <w:link w:val="FootnoteTextChar"/>
    <w:uiPriority w:val="99"/>
    <w:unhideWhenUsed/>
    <w:rsid w:val="000249BC"/>
    <w:pPr>
      <w:spacing w:after="0"/>
    </w:pPr>
    <w:rPr>
      <w:sz w:val="20"/>
      <w:szCs w:val="20"/>
    </w:rPr>
  </w:style>
  <w:style w:type="character" w:customStyle="1" w:styleId="FootnoteTextChar">
    <w:name w:val="Footnote Text Char"/>
    <w:aliases w:val="ACMA Footnote Text Char,Footnote Text Char1 Char,Footnote Text Char Char Char,Footnote Text Char1 Char Char Char,Footnote Text Char Char Char Char Char,Footnote Text Char1 Char Char Char Char Char,ALTS FOOTNOTE Char,footnote text Char"/>
    <w:basedOn w:val="DefaultParagraphFont"/>
    <w:link w:val="FootnoteText"/>
    <w:uiPriority w:val="99"/>
    <w:rsid w:val="000249BC"/>
    <w:rPr>
      <w:sz w:val="20"/>
      <w:szCs w:val="20"/>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
    <w:basedOn w:val="DefaultParagraphFont"/>
    <w:uiPriority w:val="99"/>
    <w:unhideWhenUsed/>
    <w:rsid w:val="000249BC"/>
    <w:rPr>
      <w:vertAlign w:val="superscript"/>
    </w:rPr>
  </w:style>
  <w:style w:type="paragraph" w:styleId="ListParagraph">
    <w:name w:val="List Paragraph"/>
    <w:aliases w:val="List Paragraph1,List Paragraph11,bullet point list,L,CV text,Dot pt,F5 List Paragraph,No Spacing1,List Paragraph Char Char Char,Indicator Text,Numbered Para 1,List Paragraph12,Bullet Points,MAIN CONTENT,Bullet point,列出段落,Bullet List,リスト段落"/>
    <w:basedOn w:val="Normal"/>
    <w:link w:val="ListParagraphChar"/>
    <w:uiPriority w:val="34"/>
    <w:qFormat/>
    <w:rsid w:val="0064771D"/>
    <w:pPr>
      <w:ind w:left="1134" w:hanging="567"/>
      <w:contextualSpacing/>
    </w:pPr>
  </w:style>
  <w:style w:type="paragraph" w:styleId="TOC1">
    <w:name w:val="toc 1"/>
    <w:basedOn w:val="Normal"/>
    <w:next w:val="Normal"/>
    <w:autoRedefine/>
    <w:uiPriority w:val="39"/>
    <w:unhideWhenUsed/>
    <w:rsid w:val="00B755B9"/>
    <w:pPr>
      <w:tabs>
        <w:tab w:val="right" w:leader="dot" w:pos="9323"/>
      </w:tabs>
      <w:spacing w:before="120" w:after="0"/>
    </w:pPr>
    <w:rPr>
      <w:b/>
      <w:color w:val="07478C"/>
      <w:sz w:val="24"/>
    </w:rPr>
  </w:style>
  <w:style w:type="paragraph" w:styleId="TOC2">
    <w:name w:val="toc 2"/>
    <w:basedOn w:val="Normal"/>
    <w:next w:val="Normal"/>
    <w:autoRedefine/>
    <w:uiPriority w:val="39"/>
    <w:unhideWhenUsed/>
    <w:rsid w:val="00EB438E"/>
    <w:pPr>
      <w:tabs>
        <w:tab w:val="right" w:leader="dot" w:pos="9323"/>
      </w:tabs>
      <w:spacing w:after="0"/>
      <w:ind w:left="567"/>
    </w:pPr>
  </w:style>
  <w:style w:type="paragraph" w:styleId="TOC3">
    <w:name w:val="toc 3"/>
    <w:basedOn w:val="Normal"/>
    <w:next w:val="Normal"/>
    <w:autoRedefine/>
    <w:uiPriority w:val="39"/>
    <w:unhideWhenUsed/>
    <w:rsid w:val="00612194"/>
    <w:pPr>
      <w:tabs>
        <w:tab w:val="right" w:leader="dot" w:pos="9323"/>
      </w:tabs>
      <w:spacing w:after="0"/>
      <w:ind w:left="1134"/>
    </w:pPr>
  </w:style>
  <w:style w:type="paragraph" w:customStyle="1" w:styleId="Tableheading">
    <w:name w:val="Table heading"/>
    <w:basedOn w:val="Normal"/>
    <w:next w:val="Normal"/>
    <w:rsid w:val="00B370BC"/>
    <w:pPr>
      <w:spacing w:after="0"/>
    </w:pPr>
    <w:rPr>
      <w:rFonts w:eastAsia="Times New Roman" w:cs="Times New Roman"/>
      <w:b/>
      <w:bCs/>
      <w:szCs w:val="20"/>
    </w:rPr>
  </w:style>
  <w:style w:type="paragraph" w:customStyle="1" w:styleId="Tableheadingcentred">
    <w:name w:val="Table heading centred"/>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uiPriority w:val="1"/>
    <w:qFormat/>
    <w:rsid w:val="00B370BC"/>
    <w:pPr>
      <w:spacing w:after="0" w:line="240" w:lineRule="auto"/>
    </w:pPr>
  </w:style>
  <w:style w:type="character" w:customStyle="1" w:styleId="Heading5Char">
    <w:name w:val="Heading 5 Char"/>
    <w:basedOn w:val="DefaultParagraphFont"/>
    <w:link w:val="Heading5"/>
    <w:uiPriority w:val="9"/>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815DD0"/>
    <w:pPr>
      <w:spacing w:before="120"/>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7176A"/>
    <w:rPr>
      <w:color w:val="07478C"/>
      <w:sz w:val="24"/>
      <w:szCs w:val="24"/>
    </w:rPr>
  </w:style>
  <w:style w:type="paragraph" w:customStyle="1" w:styleId="Heading3-notshowingincontentsindocument">
    <w:name w:val="Heading 3 - not showing in contents in document"/>
    <w:basedOn w:val="Normal"/>
    <w:next w:val="Normal"/>
    <w:rsid w:val="0047258C"/>
    <w:pPr>
      <w:spacing w:before="120" w:after="120"/>
      <w:outlineLvl w:val="2"/>
    </w:pPr>
    <w:rPr>
      <w:color w:val="07478C"/>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F3C4E"/>
    <w:pPr>
      <w:numPr>
        <w:numId w:val="16"/>
      </w:numPr>
      <w:spacing w:before="240" w:after="0"/>
      <w:ind w:left="567" w:hanging="567"/>
    </w:pPr>
  </w:style>
  <w:style w:type="paragraph" w:customStyle="1" w:styleId="Checkboxemptybulletpoint">
    <w:name w:val="Check box empty bullet point"/>
    <w:basedOn w:val="Bulletlevel1"/>
    <w:qFormat/>
    <w:rsid w:val="008D36D1"/>
    <w:pPr>
      <w:numPr>
        <w:numId w:val="17"/>
      </w:numPr>
      <w:spacing w:after="0"/>
      <w:ind w:left="567" w:hanging="567"/>
    </w:pPr>
  </w:style>
  <w:style w:type="paragraph" w:customStyle="1" w:styleId="StyleHeading3Before12pt">
    <w:name w:val="Style Heading 3 + Before:  12 pt"/>
    <w:basedOn w:val="Heading3"/>
    <w:rsid w:val="00815DD0"/>
    <w:rPr>
      <w:rFonts w:eastAsia="Times New Roman" w:cs="Times New Roman"/>
      <w:bCs/>
      <w:szCs w:val="20"/>
    </w:rPr>
  </w:style>
  <w:style w:type="paragraph" w:customStyle="1" w:styleId="BoxHeading">
    <w:name w:val="Box Heading"/>
    <w:basedOn w:val="BoxContents"/>
    <w:link w:val="BoxHeadingChar"/>
    <w:qFormat/>
    <w:rsid w:val="0093318E"/>
    <w:rPr>
      <w:b/>
      <w:smallCaps/>
      <w:color w:val="07478C"/>
    </w:rPr>
  </w:style>
  <w:style w:type="paragraph" w:customStyle="1" w:styleId="BoxContents">
    <w:name w:val="Box Contents"/>
    <w:basedOn w:val="Normal"/>
    <w:link w:val="BoxContentsChar"/>
    <w:qFormat/>
    <w:rsid w:val="0093318E"/>
    <w:pPr>
      <w:keepNext/>
      <w:keepLines/>
      <w:pBdr>
        <w:top w:val="single" w:sz="4" w:space="6" w:color="44546A" w:themeColor="text2"/>
        <w:left w:val="single" w:sz="4" w:space="6" w:color="44546A" w:themeColor="text2"/>
        <w:bottom w:val="single" w:sz="4" w:space="6" w:color="44546A" w:themeColor="text2"/>
        <w:right w:val="single" w:sz="4" w:space="6" w:color="44546A" w:themeColor="text2"/>
      </w:pBdr>
      <w:spacing w:after="120"/>
    </w:pPr>
  </w:style>
  <w:style w:type="character" w:customStyle="1" w:styleId="BoxHeadingChar">
    <w:name w:val="Box Heading Char"/>
    <w:basedOn w:val="DefaultParagraphFont"/>
    <w:link w:val="BoxHeading"/>
    <w:rsid w:val="0093318E"/>
    <w:rPr>
      <w:b/>
      <w:smallCaps/>
      <w:color w:val="07478C"/>
    </w:rPr>
  </w:style>
  <w:style w:type="character" w:customStyle="1" w:styleId="BoxContentsChar">
    <w:name w:val="Box Contents Char"/>
    <w:basedOn w:val="DefaultParagraphFont"/>
    <w:link w:val="BoxContents"/>
    <w:rsid w:val="0093318E"/>
  </w:style>
  <w:style w:type="paragraph" w:customStyle="1" w:styleId="QuestionHeading">
    <w:name w:val="Question Heading"/>
    <w:basedOn w:val="BoxHeading"/>
    <w:link w:val="QuestionHeadingChar"/>
    <w:qFormat/>
    <w:rsid w:val="00EF5DB2"/>
    <w:pPr>
      <w:pBdr>
        <w:top w:val="single" w:sz="4" w:space="6" w:color="767171" w:themeColor="background2" w:themeShade="80"/>
        <w:left w:val="single" w:sz="4" w:space="6" w:color="767171" w:themeColor="background2" w:themeShade="80"/>
        <w:bottom w:val="single" w:sz="4" w:space="6" w:color="767171" w:themeColor="background2" w:themeShade="80"/>
        <w:right w:val="single" w:sz="4" w:space="6" w:color="767171" w:themeColor="background2" w:themeShade="80"/>
      </w:pBdr>
    </w:pPr>
    <w:rPr>
      <w:color w:val="767171" w:themeColor="background2" w:themeShade="80"/>
    </w:rPr>
  </w:style>
  <w:style w:type="paragraph" w:customStyle="1" w:styleId="QuestionContents">
    <w:name w:val="Question Contents"/>
    <w:basedOn w:val="BoxContents"/>
    <w:link w:val="QuestionContentsChar"/>
    <w:qFormat/>
    <w:rsid w:val="00EF5DB2"/>
    <w:pPr>
      <w:pBdr>
        <w:top w:val="single" w:sz="4" w:space="6" w:color="767171" w:themeColor="background2" w:themeShade="80"/>
        <w:left w:val="single" w:sz="4" w:space="6" w:color="767171" w:themeColor="background2" w:themeShade="80"/>
        <w:bottom w:val="single" w:sz="4" w:space="6" w:color="767171" w:themeColor="background2" w:themeShade="80"/>
        <w:right w:val="single" w:sz="4" w:space="6" w:color="767171" w:themeColor="background2" w:themeShade="80"/>
      </w:pBdr>
    </w:pPr>
  </w:style>
  <w:style w:type="character" w:customStyle="1" w:styleId="QuestionHeadingChar">
    <w:name w:val="Question Heading Char"/>
    <w:basedOn w:val="BoxHeadingChar"/>
    <w:link w:val="QuestionHeading"/>
    <w:rsid w:val="00EF5DB2"/>
    <w:rPr>
      <w:b/>
      <w:smallCaps/>
      <w:color w:val="767171" w:themeColor="background2" w:themeShade="80"/>
    </w:rPr>
  </w:style>
  <w:style w:type="paragraph" w:styleId="NormalWeb">
    <w:name w:val="Normal (Web)"/>
    <w:basedOn w:val="Normal"/>
    <w:uiPriority w:val="99"/>
    <w:unhideWhenUsed/>
    <w:rsid w:val="0010682D"/>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QuestionContentsChar">
    <w:name w:val="Question Contents Char"/>
    <w:basedOn w:val="BoxContentsChar"/>
    <w:link w:val="QuestionContents"/>
    <w:rsid w:val="00EF5DB2"/>
  </w:style>
  <w:style w:type="character" w:customStyle="1" w:styleId="ListParagraphChar">
    <w:name w:val="List Paragraph Char"/>
    <w:aliases w:val="List Paragraph1 Char,List Paragraph11 Char,bullet point list Char,L Char,CV text Char,Dot pt Char,F5 List Paragraph Char,No Spacing1 Char,List Paragraph Char Char Char Char,Indicator Text Char,Numbered Para 1 Char,Bullet Points Char"/>
    <w:basedOn w:val="DefaultParagraphFont"/>
    <w:link w:val="ListParagraph"/>
    <w:uiPriority w:val="34"/>
    <w:locked/>
    <w:rsid w:val="0010682D"/>
  </w:style>
  <w:style w:type="character" w:styleId="CommentReference">
    <w:name w:val="annotation reference"/>
    <w:basedOn w:val="DefaultParagraphFont"/>
    <w:semiHidden/>
    <w:unhideWhenUsed/>
    <w:rsid w:val="00FF1D56"/>
    <w:rPr>
      <w:sz w:val="16"/>
      <w:szCs w:val="16"/>
    </w:rPr>
  </w:style>
  <w:style w:type="paragraph" w:styleId="CommentText">
    <w:name w:val="annotation text"/>
    <w:basedOn w:val="Normal"/>
    <w:link w:val="CommentTextChar"/>
    <w:unhideWhenUsed/>
    <w:rsid w:val="00FF1D56"/>
    <w:rPr>
      <w:sz w:val="20"/>
      <w:szCs w:val="20"/>
    </w:rPr>
  </w:style>
  <w:style w:type="character" w:customStyle="1" w:styleId="CommentTextChar">
    <w:name w:val="Comment Text Char"/>
    <w:basedOn w:val="DefaultParagraphFont"/>
    <w:link w:val="CommentText"/>
    <w:rsid w:val="00FF1D56"/>
    <w:rPr>
      <w:sz w:val="20"/>
      <w:szCs w:val="20"/>
    </w:rPr>
  </w:style>
  <w:style w:type="paragraph" w:styleId="CommentSubject">
    <w:name w:val="annotation subject"/>
    <w:basedOn w:val="CommentText"/>
    <w:next w:val="CommentText"/>
    <w:link w:val="CommentSubjectChar"/>
    <w:uiPriority w:val="99"/>
    <w:semiHidden/>
    <w:unhideWhenUsed/>
    <w:rsid w:val="00FF1D56"/>
    <w:rPr>
      <w:b/>
      <w:bCs/>
    </w:rPr>
  </w:style>
  <w:style w:type="character" w:customStyle="1" w:styleId="CommentSubjectChar">
    <w:name w:val="Comment Subject Char"/>
    <w:basedOn w:val="CommentTextChar"/>
    <w:link w:val="CommentSubject"/>
    <w:uiPriority w:val="99"/>
    <w:semiHidden/>
    <w:rsid w:val="00FF1D56"/>
    <w:rPr>
      <w:b/>
      <w:bCs/>
      <w:sz w:val="20"/>
      <w:szCs w:val="20"/>
    </w:rPr>
  </w:style>
  <w:style w:type="paragraph" w:styleId="BalloonText">
    <w:name w:val="Balloon Text"/>
    <w:basedOn w:val="Normal"/>
    <w:link w:val="BalloonTextChar"/>
    <w:uiPriority w:val="99"/>
    <w:semiHidden/>
    <w:unhideWhenUsed/>
    <w:rsid w:val="00FF1D5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D56"/>
    <w:rPr>
      <w:rFonts w:ascii="Segoe UI" w:hAnsi="Segoe UI" w:cs="Segoe UI"/>
      <w:sz w:val="18"/>
      <w:szCs w:val="18"/>
    </w:rPr>
  </w:style>
  <w:style w:type="paragraph" w:customStyle="1" w:styleId="Comments">
    <w:name w:val="Comments"/>
    <w:basedOn w:val="Normal"/>
    <w:next w:val="Normal"/>
    <w:link w:val="CommentsChar"/>
    <w:qFormat/>
    <w:rsid w:val="00282F7E"/>
    <w:pPr>
      <w:keepLines/>
      <w:spacing w:after="160" w:line="259" w:lineRule="auto"/>
    </w:pPr>
    <w:rPr>
      <w:rFonts w:ascii="Microsoft New Tai Lue" w:hAnsi="Microsoft New Tai Lue"/>
      <w:i/>
      <w:color w:val="70AD47" w:themeColor="accent6"/>
      <w:spacing w:val="-2"/>
      <w:sz w:val="19"/>
    </w:rPr>
  </w:style>
  <w:style w:type="character" w:customStyle="1" w:styleId="CommentsChar">
    <w:name w:val="Comments Char"/>
    <w:basedOn w:val="DefaultParagraphFont"/>
    <w:link w:val="Comments"/>
    <w:rsid w:val="00282F7E"/>
    <w:rPr>
      <w:rFonts w:ascii="Microsoft New Tai Lue" w:hAnsi="Microsoft New Tai Lue"/>
      <w:i/>
      <w:color w:val="70AD47" w:themeColor="accent6"/>
      <w:spacing w:val="-2"/>
      <w:sz w:val="19"/>
    </w:rPr>
  </w:style>
  <w:style w:type="paragraph" w:customStyle="1" w:styleId="BoxPlain">
    <w:name w:val="Box Plain"/>
    <w:basedOn w:val="BoxContents"/>
    <w:link w:val="BoxPlainChar"/>
    <w:qFormat/>
    <w:rsid w:val="00282F7E"/>
    <w:pPr>
      <w:pBdr>
        <w:top w:val="single" w:sz="4" w:space="6" w:color="BFBFBF" w:themeColor="text1" w:themeTint="40"/>
        <w:left w:val="single" w:sz="4" w:space="6" w:color="BFBFBF" w:themeColor="text1" w:themeTint="40"/>
        <w:bottom w:val="single" w:sz="4" w:space="6" w:color="BFBFBF" w:themeColor="text1" w:themeTint="40"/>
        <w:right w:val="single" w:sz="4" w:space="6" w:color="BFBFBF" w:themeColor="text1" w:themeTint="40"/>
      </w:pBdr>
      <w:shd w:val="clear" w:color="auto" w:fill="E5E5E5" w:themeFill="text1" w:themeFillTint="1A"/>
    </w:pPr>
  </w:style>
  <w:style w:type="character" w:customStyle="1" w:styleId="BoxPlainChar">
    <w:name w:val="Box Plain Char"/>
    <w:basedOn w:val="BoxContentsChar"/>
    <w:link w:val="BoxPlain"/>
    <w:rsid w:val="00282F7E"/>
    <w:rPr>
      <w:shd w:val="clear" w:color="auto" w:fill="E5E5E5" w:themeFill="text1" w:themeFillTint="1A"/>
    </w:rPr>
  </w:style>
  <w:style w:type="paragraph" w:styleId="Caption">
    <w:name w:val="caption"/>
    <w:basedOn w:val="Normal"/>
    <w:next w:val="Normal"/>
    <w:uiPriority w:val="35"/>
    <w:unhideWhenUsed/>
    <w:qFormat/>
    <w:rsid w:val="00CA43BC"/>
    <w:pPr>
      <w:keepLines/>
      <w:spacing w:after="200"/>
    </w:pPr>
    <w:rPr>
      <w:i/>
      <w:iCs/>
      <w:color w:val="44546A" w:themeColor="text2"/>
      <w:sz w:val="18"/>
      <w:szCs w:val="18"/>
    </w:rPr>
  </w:style>
  <w:style w:type="paragraph" w:customStyle="1" w:styleId="Recommendation">
    <w:name w:val="Recommendation"/>
    <w:basedOn w:val="Normal"/>
    <w:link w:val="RecommendationChar"/>
    <w:qFormat/>
    <w:rsid w:val="00802C55"/>
    <w:pPr>
      <w:spacing w:before="120" w:after="120"/>
    </w:pPr>
    <w:rPr>
      <w:rFonts w:ascii="Microsoft New Tai Lue" w:hAnsi="Microsoft New Tai Lue"/>
      <w:smallCaps/>
      <w:color w:val="5B9BD5" w:themeColor="accent1"/>
      <w:spacing w:val="-2"/>
      <w:sz w:val="19"/>
    </w:rPr>
  </w:style>
  <w:style w:type="character" w:customStyle="1" w:styleId="RecommendationChar">
    <w:name w:val="Recommendation Char"/>
    <w:basedOn w:val="DefaultParagraphFont"/>
    <w:link w:val="Recommendation"/>
    <w:rsid w:val="00802C55"/>
    <w:rPr>
      <w:rFonts w:ascii="Microsoft New Tai Lue" w:hAnsi="Microsoft New Tai Lue"/>
      <w:smallCaps/>
      <w:color w:val="5B9BD5" w:themeColor="accent1"/>
      <w:spacing w:val="-2"/>
      <w:sz w:val="19"/>
    </w:rPr>
  </w:style>
  <w:style w:type="paragraph" w:customStyle="1" w:styleId="TableNormal1">
    <w:name w:val="Table Normal1"/>
    <w:basedOn w:val="Normal"/>
    <w:link w:val="NormalTableChar"/>
    <w:qFormat/>
    <w:rsid w:val="004163AF"/>
    <w:pPr>
      <w:spacing w:before="120" w:after="120"/>
    </w:pPr>
    <w:rPr>
      <w:rFonts w:ascii="Microsoft New Tai Lue" w:hAnsi="Microsoft New Tai Lue"/>
      <w:color w:val="000000" w:themeColor="text1"/>
      <w:spacing w:val="-2"/>
      <w:sz w:val="19"/>
    </w:rPr>
  </w:style>
  <w:style w:type="character" w:customStyle="1" w:styleId="NormalTableChar">
    <w:name w:val="Normal Table Char"/>
    <w:basedOn w:val="DefaultParagraphFont"/>
    <w:link w:val="TableNormal1"/>
    <w:rsid w:val="004163AF"/>
    <w:rPr>
      <w:rFonts w:ascii="Microsoft New Tai Lue" w:hAnsi="Microsoft New Tai Lue"/>
      <w:color w:val="000000" w:themeColor="text1"/>
      <w:spacing w:val="-2"/>
      <w:sz w:val="19"/>
    </w:rPr>
  </w:style>
  <w:style w:type="paragraph" w:styleId="Revision">
    <w:name w:val="Revision"/>
    <w:hidden/>
    <w:uiPriority w:val="99"/>
    <w:semiHidden/>
    <w:rsid w:val="00B87B16"/>
    <w:pPr>
      <w:spacing w:after="0" w:line="240" w:lineRule="auto"/>
    </w:pPr>
  </w:style>
  <w:style w:type="character" w:styleId="FollowedHyperlink">
    <w:name w:val="FollowedHyperlink"/>
    <w:basedOn w:val="DefaultParagraphFont"/>
    <w:uiPriority w:val="99"/>
    <w:semiHidden/>
    <w:unhideWhenUsed/>
    <w:rsid w:val="00EB438E"/>
    <w:rPr>
      <w:color w:val="954F72" w:themeColor="followedHyperlink"/>
      <w:u w:val="single"/>
    </w:rPr>
  </w:style>
  <w:style w:type="character" w:customStyle="1" w:styleId="subsectionChar">
    <w:name w:val="subsection Char"/>
    <w:aliases w:val="ss Char"/>
    <w:basedOn w:val="DefaultParagraphFont"/>
    <w:link w:val="subsection"/>
    <w:locked/>
    <w:rsid w:val="00567209"/>
  </w:style>
  <w:style w:type="paragraph" w:customStyle="1" w:styleId="subsection">
    <w:name w:val="subsection"/>
    <w:aliases w:val="ss"/>
    <w:basedOn w:val="Normal"/>
    <w:link w:val="subsectionChar"/>
    <w:rsid w:val="00567209"/>
    <w:pPr>
      <w:spacing w:before="180" w:after="0"/>
      <w:ind w:left="1134" w:hanging="1134"/>
    </w:pPr>
  </w:style>
  <w:style w:type="character" w:customStyle="1" w:styleId="paragraphChar">
    <w:name w:val="paragraph Char"/>
    <w:aliases w:val="a Char"/>
    <w:basedOn w:val="DefaultParagraphFont"/>
    <w:link w:val="paragraph"/>
    <w:locked/>
    <w:rsid w:val="00567209"/>
  </w:style>
  <w:style w:type="paragraph" w:customStyle="1" w:styleId="paragraph">
    <w:name w:val="paragraph"/>
    <w:aliases w:val="a"/>
    <w:basedOn w:val="Normal"/>
    <w:link w:val="paragraphChar"/>
    <w:rsid w:val="00567209"/>
    <w:pPr>
      <w:spacing w:before="40" w:after="0"/>
      <w:ind w:left="1644" w:hanging="164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515352">
      <w:bodyDiv w:val="1"/>
      <w:marLeft w:val="0"/>
      <w:marRight w:val="0"/>
      <w:marTop w:val="0"/>
      <w:marBottom w:val="0"/>
      <w:divBdr>
        <w:top w:val="none" w:sz="0" w:space="0" w:color="auto"/>
        <w:left w:val="none" w:sz="0" w:space="0" w:color="auto"/>
        <w:bottom w:val="none" w:sz="0" w:space="0" w:color="auto"/>
        <w:right w:val="none" w:sz="0" w:space="0" w:color="auto"/>
      </w:divBdr>
      <w:divsChild>
        <w:div w:id="1365715458">
          <w:marLeft w:val="0"/>
          <w:marRight w:val="0"/>
          <w:marTop w:val="0"/>
          <w:marBottom w:val="0"/>
          <w:divBdr>
            <w:top w:val="none" w:sz="0" w:space="0" w:color="auto"/>
            <w:left w:val="none" w:sz="0" w:space="0" w:color="auto"/>
            <w:bottom w:val="none" w:sz="0" w:space="0" w:color="auto"/>
            <w:right w:val="none" w:sz="0" w:space="0" w:color="auto"/>
          </w:divBdr>
        </w:div>
      </w:divsChild>
    </w:div>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96563302">
          <w:marLeft w:val="547"/>
          <w:marRight w:val="0"/>
          <w:marTop w:val="154"/>
          <w:marBottom w:val="0"/>
          <w:divBdr>
            <w:top w:val="none" w:sz="0" w:space="0" w:color="auto"/>
            <w:left w:val="none" w:sz="0" w:space="0" w:color="auto"/>
            <w:bottom w:val="none" w:sz="0" w:space="0" w:color="auto"/>
            <w:right w:val="none" w:sz="0" w:space="0" w:color="auto"/>
          </w:divBdr>
        </w:div>
        <w:div w:id="366873104">
          <w:marLeft w:val="547"/>
          <w:marRight w:val="0"/>
          <w:marTop w:val="154"/>
          <w:marBottom w:val="0"/>
          <w:divBdr>
            <w:top w:val="none" w:sz="0" w:space="0" w:color="auto"/>
            <w:left w:val="none" w:sz="0" w:space="0" w:color="auto"/>
            <w:bottom w:val="none" w:sz="0" w:space="0" w:color="auto"/>
            <w:right w:val="none" w:sz="0" w:space="0" w:color="auto"/>
          </w:divBdr>
        </w:div>
      </w:divsChild>
    </w:div>
    <w:div w:id="596520184">
      <w:bodyDiv w:val="1"/>
      <w:marLeft w:val="0"/>
      <w:marRight w:val="0"/>
      <w:marTop w:val="0"/>
      <w:marBottom w:val="0"/>
      <w:divBdr>
        <w:top w:val="none" w:sz="0" w:space="0" w:color="auto"/>
        <w:left w:val="none" w:sz="0" w:space="0" w:color="auto"/>
        <w:bottom w:val="none" w:sz="0" w:space="0" w:color="auto"/>
        <w:right w:val="none" w:sz="0" w:space="0" w:color="auto"/>
      </w:divBdr>
    </w:div>
    <w:div w:id="884678070">
      <w:bodyDiv w:val="1"/>
      <w:marLeft w:val="0"/>
      <w:marRight w:val="0"/>
      <w:marTop w:val="0"/>
      <w:marBottom w:val="0"/>
      <w:divBdr>
        <w:top w:val="none" w:sz="0" w:space="0" w:color="auto"/>
        <w:left w:val="none" w:sz="0" w:space="0" w:color="auto"/>
        <w:bottom w:val="none" w:sz="0" w:space="0" w:color="auto"/>
        <w:right w:val="none" w:sz="0" w:space="0" w:color="auto"/>
      </w:divBdr>
    </w:div>
    <w:div w:id="972366477">
      <w:bodyDiv w:val="1"/>
      <w:marLeft w:val="0"/>
      <w:marRight w:val="0"/>
      <w:marTop w:val="0"/>
      <w:marBottom w:val="0"/>
      <w:divBdr>
        <w:top w:val="none" w:sz="0" w:space="0" w:color="auto"/>
        <w:left w:val="none" w:sz="0" w:space="0" w:color="auto"/>
        <w:bottom w:val="none" w:sz="0" w:space="0" w:color="auto"/>
        <w:right w:val="none" w:sz="0" w:space="0" w:color="auto"/>
      </w:divBdr>
      <w:divsChild>
        <w:div w:id="42295863">
          <w:marLeft w:val="0"/>
          <w:marRight w:val="0"/>
          <w:marTop w:val="0"/>
          <w:marBottom w:val="0"/>
          <w:divBdr>
            <w:top w:val="none" w:sz="0" w:space="0" w:color="auto"/>
            <w:left w:val="none" w:sz="0" w:space="0" w:color="auto"/>
            <w:bottom w:val="none" w:sz="0" w:space="0" w:color="auto"/>
            <w:right w:val="none" w:sz="0" w:space="0" w:color="auto"/>
          </w:divBdr>
        </w:div>
      </w:divsChild>
    </w:div>
    <w:div w:id="1125469113">
      <w:bodyDiv w:val="1"/>
      <w:marLeft w:val="0"/>
      <w:marRight w:val="0"/>
      <w:marTop w:val="0"/>
      <w:marBottom w:val="0"/>
      <w:divBdr>
        <w:top w:val="none" w:sz="0" w:space="0" w:color="auto"/>
        <w:left w:val="none" w:sz="0" w:space="0" w:color="auto"/>
        <w:bottom w:val="none" w:sz="0" w:space="0" w:color="auto"/>
        <w:right w:val="none" w:sz="0" w:space="0" w:color="auto"/>
      </w:divBdr>
      <w:divsChild>
        <w:div w:id="443697083">
          <w:marLeft w:val="0"/>
          <w:marRight w:val="0"/>
          <w:marTop w:val="0"/>
          <w:marBottom w:val="0"/>
          <w:divBdr>
            <w:top w:val="none" w:sz="0" w:space="0" w:color="auto"/>
            <w:left w:val="none" w:sz="0" w:space="0" w:color="auto"/>
            <w:bottom w:val="none" w:sz="0" w:space="0" w:color="auto"/>
            <w:right w:val="none" w:sz="0" w:space="0" w:color="auto"/>
          </w:divBdr>
        </w:div>
      </w:divsChild>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589998549">
      <w:bodyDiv w:val="1"/>
      <w:marLeft w:val="0"/>
      <w:marRight w:val="0"/>
      <w:marTop w:val="0"/>
      <w:marBottom w:val="0"/>
      <w:divBdr>
        <w:top w:val="none" w:sz="0" w:space="0" w:color="auto"/>
        <w:left w:val="none" w:sz="0" w:space="0" w:color="auto"/>
        <w:bottom w:val="none" w:sz="0" w:space="0" w:color="auto"/>
        <w:right w:val="none" w:sz="0" w:space="0" w:color="auto"/>
      </w:divBdr>
      <w:divsChild>
        <w:div w:id="303508760">
          <w:marLeft w:val="0"/>
          <w:marRight w:val="0"/>
          <w:marTop w:val="0"/>
          <w:marBottom w:val="0"/>
          <w:divBdr>
            <w:top w:val="none" w:sz="0" w:space="0" w:color="auto"/>
            <w:left w:val="none" w:sz="0" w:space="0" w:color="auto"/>
            <w:bottom w:val="none" w:sz="0" w:space="0" w:color="auto"/>
            <w:right w:val="none" w:sz="0" w:space="0" w:color="auto"/>
          </w:divBdr>
        </w:div>
      </w:divsChild>
    </w:div>
    <w:div w:id="1644583397">
      <w:bodyDiv w:val="1"/>
      <w:marLeft w:val="0"/>
      <w:marRight w:val="0"/>
      <w:marTop w:val="0"/>
      <w:marBottom w:val="0"/>
      <w:divBdr>
        <w:top w:val="none" w:sz="0" w:space="0" w:color="auto"/>
        <w:left w:val="none" w:sz="0" w:space="0" w:color="auto"/>
        <w:bottom w:val="none" w:sz="0" w:space="0" w:color="auto"/>
        <w:right w:val="none" w:sz="0" w:space="0" w:color="auto"/>
      </w:divBdr>
    </w:div>
    <w:div w:id="1684241561">
      <w:bodyDiv w:val="1"/>
      <w:marLeft w:val="0"/>
      <w:marRight w:val="0"/>
      <w:marTop w:val="0"/>
      <w:marBottom w:val="0"/>
      <w:divBdr>
        <w:top w:val="none" w:sz="0" w:space="0" w:color="auto"/>
        <w:left w:val="none" w:sz="0" w:space="0" w:color="auto"/>
        <w:bottom w:val="none" w:sz="0" w:space="0" w:color="auto"/>
        <w:right w:val="none" w:sz="0" w:space="0" w:color="auto"/>
      </w:divBdr>
    </w:div>
    <w:div w:id="1730109179">
      <w:bodyDiv w:val="1"/>
      <w:marLeft w:val="0"/>
      <w:marRight w:val="0"/>
      <w:marTop w:val="0"/>
      <w:marBottom w:val="0"/>
      <w:divBdr>
        <w:top w:val="none" w:sz="0" w:space="0" w:color="auto"/>
        <w:left w:val="none" w:sz="0" w:space="0" w:color="auto"/>
        <w:bottom w:val="none" w:sz="0" w:space="0" w:color="auto"/>
        <w:right w:val="none" w:sz="0" w:space="0" w:color="auto"/>
      </w:divBdr>
    </w:div>
    <w:div w:id="1756583420">
      <w:bodyDiv w:val="1"/>
      <w:marLeft w:val="0"/>
      <w:marRight w:val="0"/>
      <w:marTop w:val="0"/>
      <w:marBottom w:val="0"/>
      <w:divBdr>
        <w:top w:val="none" w:sz="0" w:space="0" w:color="auto"/>
        <w:left w:val="none" w:sz="0" w:space="0" w:color="auto"/>
        <w:bottom w:val="none" w:sz="0" w:space="0" w:color="auto"/>
        <w:right w:val="none" w:sz="0" w:space="0" w:color="auto"/>
      </w:divBdr>
    </w:div>
    <w:div w:id="1833444723">
      <w:bodyDiv w:val="1"/>
      <w:marLeft w:val="0"/>
      <w:marRight w:val="0"/>
      <w:marTop w:val="0"/>
      <w:marBottom w:val="0"/>
      <w:divBdr>
        <w:top w:val="none" w:sz="0" w:space="0" w:color="auto"/>
        <w:left w:val="none" w:sz="0" w:space="0" w:color="auto"/>
        <w:bottom w:val="none" w:sz="0" w:space="0" w:color="auto"/>
        <w:right w:val="none" w:sz="0" w:space="0" w:color="auto"/>
      </w:divBdr>
    </w:div>
    <w:div w:id="1961034746">
      <w:bodyDiv w:val="1"/>
      <w:marLeft w:val="0"/>
      <w:marRight w:val="0"/>
      <w:marTop w:val="0"/>
      <w:marBottom w:val="0"/>
      <w:divBdr>
        <w:top w:val="none" w:sz="0" w:space="0" w:color="auto"/>
        <w:left w:val="none" w:sz="0" w:space="0" w:color="auto"/>
        <w:bottom w:val="none" w:sz="0" w:space="0" w:color="auto"/>
        <w:right w:val="none" w:sz="0" w:space="0" w:color="auto"/>
      </w:divBdr>
    </w:div>
    <w:div w:id="199907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reativecommons.org/licenses/by/3.0/au/"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dto.gov.au/standard/design-guides/making-content-accessibl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communications.gov.au/what-we-do/spectrum/spectrum-refor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www.classification.gov.au" TargetMode="External"/><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Dept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Theme" id="{1D8477DA-7296-46F6-B102-A81571A6C293}" vid="{C06AB1BE-6D14-405F-82E2-421798861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rimRootDocument" ma:contentTypeID="0x010100407620DDFF47524F86BCF55EDD394643006C4B131635400E4BB195DA4CE0EBDBAD" ma:contentTypeVersion="5" ma:contentTypeDescription="This content type is the root content type of all trim record types with behaviour as Document" ma:contentTypeScope="" ma:versionID="81bbe63bad558604fc57d81be4b17258">
  <xsd:schema xmlns:xsd="http://www.w3.org/2001/XMLSchema" xmlns:xs="http://www.w3.org/2001/XMLSchema" xmlns:p="http://schemas.microsoft.com/office/2006/metadata/properties" xmlns:ns2="4597da67-68a3-4e9d-8803-ba3e1787ab6c" targetNamespace="http://schemas.microsoft.com/office/2006/metadata/properties" ma:root="true" ma:fieldsID="50beea152e3b2edc01fc48af3ed10d0e" ns2:_="">
    <xsd:import namespace="4597da67-68a3-4e9d-8803-ba3e1787ab6c"/>
    <xsd:element name="properties">
      <xsd:complexType>
        <xsd:sequence>
          <xsd:element name="documentManagement">
            <xsd:complexType>
              <xsd:all>
                <xsd:element ref="ns2:trimRootDocURI" minOccurs="0"/>
                <xsd:element ref="ns2:trimRootDocParentURI" minOccurs="0"/>
                <xsd:element ref="ns2:trimRootDocSecurityLevel" minOccurs="0"/>
                <xsd:element ref="ns2:trimRootDocSecurityCaveats" minOccurs="0"/>
                <xsd:element ref="ns2:trimRootDocACLCanViewDocument" minOccurs="0"/>
                <xsd:element ref="ns2:dd9c7627a75f4720a6ccce58a35e4d75" minOccurs="0"/>
                <xsd:element ref="ns2:TaxCatchAll" minOccurs="0"/>
                <xsd:element ref="ns2:TaxCatchAllLabel" minOccurs="0"/>
                <xsd:element ref="ns2:trimRootDocACLCanViewMetadata" minOccurs="0"/>
                <xsd:element ref="ns2:hab31d4ae2264d5c8e77fd86c07e7635" minOccurs="0"/>
                <xsd:element ref="ns2:trimRootDocACLCanUpdateDocument" minOccurs="0"/>
                <xsd:element ref="ns2:c1aa94c1bcce43cc9138ccb9c7bf6e69" minOccurs="0"/>
                <xsd:element ref="ns2:trimRootDocACLCanUpdateMetadata" minOccurs="0"/>
                <xsd:element ref="ns2:e65fcc6ef396426b9c231bd6b3bc54de" minOccurs="0"/>
                <xsd:element ref="ns2:trimRootDocACLCanContributeDocuments" minOccurs="0"/>
                <xsd:element ref="ns2:l30152c64bc5409cb0d6af5fc7998329" minOccurs="0"/>
                <xsd:element ref="ns2:trimRootDocACLCanModifyAccess" minOccurs="0"/>
                <xsd:element ref="ns2:ie56bdfdc4a44ef997c05b4ed8c67594" minOccurs="0"/>
                <xsd:element ref="ns2:trimRootDocNotes" minOccurs="0"/>
                <xsd:element ref="ns2:me786d0e3c9949dc83d6a9826d3f7afb" minOccurs="0"/>
                <xsd:element ref="ns2:e74c999a0f514bafbaad1ae53c56eac2" minOccurs="0"/>
                <xsd:element ref="ns2:l7f7762656034748af4098221ba10b64" minOccurs="0"/>
                <xsd:element ref="ns2:a26f7cb41fae41ebb6c8e377b7c30d7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da67-68a3-4e9d-8803-ba3e1787ab6c" elementFormDefault="qualified">
    <xsd:import namespace="http://schemas.microsoft.com/office/2006/documentManagement/types"/>
    <xsd:import namespace="http://schemas.microsoft.com/office/infopath/2007/PartnerControls"/>
    <xsd:element name="trimRootDocURI" ma:index="8" nillable="true" ma:displayName="URI" ma:hidden="true" ma:internalName="trimRootDocURI" ma:readOnly="false">
      <xsd:simpleType>
        <xsd:restriction base="dms:Text">
          <xsd:maxLength value="255"/>
        </xsd:restriction>
      </xsd:simpleType>
    </xsd:element>
    <xsd:element name="trimRootDocParentURI" ma:index="9" nillable="true" ma:displayName="Parent URI" ma:internalName="trimRootDocParentURI">
      <xsd:simpleType>
        <xsd:restriction base="dms:Number"/>
      </xsd:simpleType>
    </xsd:element>
    <xsd:element name="trimRootDocSecurityLevel" ma:index="10" nillable="true" ma:displayName="Security Level" ma:default="For Official Use Only" ma:format="Dropdown" ma:internalName="trimRootDocSecurityLevel">
      <xsd:simpleType>
        <xsd:restriction base="dms:Choice">
          <xsd:enumeration value="For Official Use Only"/>
          <xsd:enumeration value="Protected"/>
          <xsd:enumeration value="Confidential"/>
          <xsd:enumeration value="Secret"/>
          <xsd:enumeration value="Top Secret"/>
        </xsd:restriction>
      </xsd:simpleType>
    </xsd:element>
    <xsd:element name="trimRootDocSecurityCaveats" ma:index="11" nillable="true" ma:displayName="Security Caveats" ma:default="Departmental Staff" ma:internalName="trimRootDocSecurityCaveats">
      <xsd:complexType>
        <xsd:complexContent>
          <xsd:extension base="dms:MultiChoice">
            <xsd:sequence>
              <xsd:element name="Value" maxOccurs="unbounded" minOccurs="0" nillable="true">
                <xsd:simpleType>
                  <xsd:restriction base="dms:Choice">
                    <xsd:enumeration value="Commercial"/>
                    <xsd:enumeration value="Departmental Staff"/>
                    <xsd:enumeration value="For-Official-Use-Only"/>
                    <xsd:enumeration value="For-Official-Use-Only: Commercial"/>
                    <xsd:enumeration value="For-Official-Use-Only: Legal"/>
                    <xsd:enumeration value="For-Official-Use-Only: Staff"/>
                    <xsd:enumeration value="Sensitive"/>
                    <xsd:enumeration value="Sensitive: Cabinet"/>
                    <xsd:enumeration value="Sensitive: Legal"/>
                    <xsd:enumeration value="Sensitive: Personal"/>
                    <xsd:enumeration value="Admin"/>
                  </xsd:restriction>
                </xsd:simpleType>
              </xsd:element>
            </xsd:sequence>
          </xsd:extension>
        </xsd:complexContent>
      </xsd:complexType>
    </xsd:element>
    <xsd:element name="trimRootDocACLCanViewDocument" ma:index="12" nillable="true" ma:displayName="Can View Document" ma:format="RadioButtons" ma:internalName="trimRootDocACLCanViewDocument">
      <xsd:simpleType>
        <xsd:restriction base="dms:Choice">
          <xsd:enumeration value="Inherit"/>
          <xsd:enumeration value="Everyone"/>
          <xsd:enumeration value="Custom"/>
        </xsd:restriction>
      </xsd:simpleType>
    </xsd:element>
    <xsd:element name="dd9c7627a75f4720a6ccce58a35e4d75" ma:index="13" nillable="true" ma:taxonomy="true" ma:internalName="dd9c7627a75f4720a6ccce58a35e4d75" ma:taxonomyFieldName="trimRootDocACLCanViewDocument_List" ma:displayName="Can View Document List" ma:fieldId="{dd9c7627-a75f-4720-a6cc-ce58a35e4d7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e1313e33-0c45-43da-8861-564a4ba3a667}" ma:internalName="TaxCatchAll" ma:showField="CatchAllData"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e1313e33-0c45-43da-8861-564a4ba3a667}" ma:internalName="TaxCatchAllLabel" ma:readOnly="true" ma:showField="CatchAllDataLabel"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trimRootDocACLCanViewMetadata" ma:index="17" nillable="true" ma:displayName="Can View Metadata" ma:format="RadioButtons" ma:internalName="trimRootDocACLCanViewMetadata">
      <xsd:simpleType>
        <xsd:restriction base="dms:Choice">
          <xsd:enumeration value="Inherit"/>
          <xsd:enumeration value="Everyone"/>
          <xsd:enumeration value="Custom"/>
        </xsd:restriction>
      </xsd:simpleType>
    </xsd:element>
    <xsd:element name="hab31d4ae2264d5c8e77fd86c07e7635" ma:index="18" nillable="true" ma:taxonomy="true" ma:internalName="hab31d4ae2264d5c8e77fd86c07e7635" ma:taxonomyFieldName="trimRootDocACLCanViewMetadata_List" ma:displayName="Can View Metadata List" ma:fieldId="{1ab31d4a-e226-4d5c-8e77-fd86c07e763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rimRootDocACLCanUpdateDocument" ma:index="20" nillable="true" ma:displayName="Can Update Document" ma:format="RadioButtons" ma:internalName="trimRootDocACLCanUpdateDocument">
      <xsd:simpleType>
        <xsd:restriction base="dms:Choice">
          <xsd:enumeration value="Inherit"/>
          <xsd:enumeration value="Everyone"/>
          <xsd:enumeration value="Custom"/>
        </xsd:restriction>
      </xsd:simpleType>
    </xsd:element>
    <xsd:element name="c1aa94c1bcce43cc9138ccb9c7bf6e69" ma:index="21" nillable="true" ma:taxonomy="true" ma:internalName="c1aa94c1bcce43cc9138ccb9c7bf6e69" ma:taxonomyFieldName="trimRootDocACLCanUpdateDocument_List" ma:displayName="Can Update Document List" ma:fieldId="{c1aa94c1-bcce-43cc-9138-ccb9c7bf6e6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rimRootDocACLCanUpdateMetadata" ma:index="23" nillable="true" ma:displayName="Can Update Metadata" ma:format="RadioButtons" ma:internalName="trimRootDocACLCanUpdateMetadata">
      <xsd:simpleType>
        <xsd:restriction base="dms:Choice">
          <xsd:enumeration value="Inherit"/>
          <xsd:enumeration value="Everyone"/>
          <xsd:enumeration value="Custom"/>
        </xsd:restriction>
      </xsd:simpleType>
    </xsd:element>
    <xsd:element name="e65fcc6ef396426b9c231bd6b3bc54de" ma:index="24" nillable="true" ma:taxonomy="true" ma:internalName="e65fcc6ef396426b9c231bd6b3bc54de" ma:taxonomyFieldName="trimRootDocACLCanUpdateMetadata_List" ma:displayName="Can Update Metadata List" ma:fieldId="{e65fcc6e-f396-426b-9c23-1bd6b3bc54de}"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rimRootDocACLCanContributeDocuments" ma:index="26" nillable="true" ma:displayName="Can Contribute Content" ma:format="RadioButtons" ma:hidden="true" ma:internalName="trimRootDocACLCanContributeDocuments" ma:readOnly="false">
      <xsd:simpleType>
        <xsd:restriction base="dms:Choice">
          <xsd:enumeration value="Inherit"/>
          <xsd:enumeration value="Everyone"/>
          <xsd:enumeration value="Custom"/>
        </xsd:restriction>
      </xsd:simpleType>
    </xsd:element>
    <xsd:element name="l30152c64bc5409cb0d6af5fc7998329" ma:index="27" nillable="true" ma:taxonomy="true" ma:internalName="l30152c64bc5409cb0d6af5fc7998329" ma:taxonomyFieldName="trimRootDocACLCanContributeDocuments_List" ma:displayName="Can Contribute Content List" ma:readOnly="false" ma:default="" ma:fieldId="{530152c6-4bc5-409c-b0d6-af5fc799832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rimRootDocACLCanModifyAccess" ma:index="29" nillable="true" ma:displayName="Can Modify Access" ma:format="RadioButtons" ma:internalName="trimRootDocACLCanModifyAccess">
      <xsd:simpleType>
        <xsd:restriction base="dms:Choice">
          <xsd:enumeration value="Inherit"/>
          <xsd:enumeration value="Everyone"/>
          <xsd:enumeration value="Custom"/>
        </xsd:restriction>
      </xsd:simpleType>
    </xsd:element>
    <xsd:element name="ie56bdfdc4a44ef997c05b4ed8c67594" ma:index="30" nillable="true" ma:taxonomy="true" ma:internalName="ie56bdfdc4a44ef997c05b4ed8c67594" ma:taxonomyFieldName="trimRootDocACLCanModifyAccess_List" ma:displayName="Can Modify Access List" ma:fieldId="{2e56bdfd-c4a4-4ef9-97c0-5b4ed8c67594}"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rimRootDocNotes" ma:index="32" nillable="true" ma:displayName="Notes" ma:internalName="trimRootDocNotes">
      <xsd:simpleType>
        <xsd:restriction base="dms:Note"/>
      </xsd:simpleType>
    </xsd:element>
    <xsd:element name="me786d0e3c9949dc83d6a9826d3f7afb" ma:index="33" nillable="true" ma:taxonomy="true" ma:internalName="me786d0e3c9949dc83d6a9826d3f7afb" ma:taxonomyFieldName="trimRootDocOwnerLocation" ma:displayName="Owner" ma:fieldId="{6e786d0e-3c99-49dc-83d6-a9826d3f7afb}"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e74c999a0f514bafbaad1ae53c56eac2" ma:index="35" nillable="true" ma:taxonomy="true" ma:internalName="e74c999a0f514bafbaad1ae53c56eac2" ma:taxonomyFieldName="trimRootDocOtherContactLocation" ma:displayName="Other Contact" ma:readOnly="false" ma:default="" ma:fieldId="{e74c999a-0f51-4baf-baad-1ae53c56eac2}"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l7f7762656034748af4098221ba10b64" ma:index="37" nillable="true" ma:taxonomy="true" ma:internalName="l7f7762656034748af4098221ba10b64" ma:taxonomyFieldName="trimRootDocAssigneeLocation" ma:displayName="Assignee" ma:readOnly="false" ma:default="" ma:fieldId="{57f77626-5603-4748-af40-98221ba10b64}"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a26f7cb41fae41ebb6c8e377b7c30d71" ma:index="39" nillable="true" ma:taxonomy="true" ma:internalName="a26f7cb41fae41ebb6c8e377b7c30d71" ma:taxonomyFieldName="trimRootDocClassification" ma:displayName="Classification" ma:default="" ma:fieldId="{a26f7cb4-1fae-41eb-b6c8-e377b7c30d71}" ma:sspId="2f9937d8-ded5-4646-b9c0-07a4c210d204" ma:termSetId="f9a750e0-e20a-43c2-89a6-4c381f79f1c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597da67-68a3-4e9d-8803-ba3e1787ab6c"/>
    <e65fcc6ef396426b9c231bd6b3bc54de xmlns="4597da67-68a3-4e9d-8803-ba3e1787ab6c">
      <Terms xmlns="http://schemas.microsoft.com/office/infopath/2007/PartnerControls"/>
    </e65fcc6ef396426b9c231bd6b3bc54de>
    <me786d0e3c9949dc83d6a9826d3f7afb xmlns="4597da67-68a3-4e9d-8803-ba3e1787ab6c">
      <Terms xmlns="http://schemas.microsoft.com/office/infopath/2007/PartnerControls"/>
    </me786d0e3c9949dc83d6a9826d3f7afb>
    <trimRootDocACLCanUpdateDocument xmlns="4597da67-68a3-4e9d-8803-ba3e1787ab6c" xsi:nil="true"/>
    <l30152c64bc5409cb0d6af5fc7998329 xmlns="4597da67-68a3-4e9d-8803-ba3e1787ab6c">
      <Terms xmlns="http://schemas.microsoft.com/office/infopath/2007/PartnerControls"/>
    </l30152c64bc5409cb0d6af5fc7998329>
    <dd9c7627a75f4720a6ccce58a35e4d75 xmlns="4597da67-68a3-4e9d-8803-ba3e1787ab6c">
      <Terms xmlns="http://schemas.microsoft.com/office/infopath/2007/PartnerControls"/>
    </dd9c7627a75f4720a6ccce58a35e4d75>
    <hab31d4ae2264d5c8e77fd86c07e7635 xmlns="4597da67-68a3-4e9d-8803-ba3e1787ab6c">
      <Terms xmlns="http://schemas.microsoft.com/office/infopath/2007/PartnerControls"/>
    </hab31d4ae2264d5c8e77fd86c07e7635>
    <trimRootDocSecurityCaveats xmlns="4597da67-68a3-4e9d-8803-ba3e1787ab6c"/>
    <trimRootDocACLCanModifyAccess xmlns="4597da67-68a3-4e9d-8803-ba3e1787ab6c" xsi:nil="true"/>
    <e74c999a0f514bafbaad1ae53c56eac2 xmlns="4597da67-68a3-4e9d-8803-ba3e1787ab6c">
      <Terms xmlns="http://schemas.microsoft.com/office/infopath/2007/PartnerControls"/>
    </e74c999a0f514bafbaad1ae53c56eac2>
    <l7f7762656034748af4098221ba10b64 xmlns="4597da67-68a3-4e9d-8803-ba3e1787ab6c">
      <Terms xmlns="http://schemas.microsoft.com/office/infopath/2007/PartnerControls"/>
    </l7f7762656034748af4098221ba10b64>
    <a26f7cb41fae41ebb6c8e377b7c30d71 xmlns="4597da67-68a3-4e9d-8803-ba3e1787ab6c">
      <Terms xmlns="http://schemas.microsoft.com/office/infopath/2007/PartnerControls"/>
    </a26f7cb41fae41ebb6c8e377b7c30d71>
    <trimRootDocURI xmlns="4597da67-68a3-4e9d-8803-ba3e1787ab6c" xsi:nil="true"/>
    <trimRootDocNotes xmlns="4597da67-68a3-4e9d-8803-ba3e1787ab6c" xsi:nil="true"/>
    <trimRootDocACLCanContributeDocuments xmlns="4597da67-68a3-4e9d-8803-ba3e1787ab6c" xsi:nil="true"/>
    <ie56bdfdc4a44ef997c05b4ed8c67594 xmlns="4597da67-68a3-4e9d-8803-ba3e1787ab6c">
      <Terms xmlns="http://schemas.microsoft.com/office/infopath/2007/PartnerControls"/>
    </ie56bdfdc4a44ef997c05b4ed8c67594>
    <trimRootDocParentURI xmlns="4597da67-68a3-4e9d-8803-ba3e1787ab6c" xsi:nil="true"/>
    <trimRootDocACLCanUpdateMetadata xmlns="4597da67-68a3-4e9d-8803-ba3e1787ab6c" xsi:nil="true"/>
    <trimRootDocSecurityLevel xmlns="4597da67-68a3-4e9d-8803-ba3e1787ab6c" xsi:nil="true"/>
    <trimRootDocACLCanViewMetadata xmlns="4597da67-68a3-4e9d-8803-ba3e1787ab6c" xsi:nil="true"/>
    <trimRootDocACLCanViewDocument xmlns="4597da67-68a3-4e9d-8803-ba3e1787ab6c" xsi:nil="true"/>
    <c1aa94c1bcce43cc9138ccb9c7bf6e69 xmlns="4597da67-68a3-4e9d-8803-ba3e1787ab6c">
      <Terms xmlns="http://schemas.microsoft.com/office/infopath/2007/PartnerControls"/>
    </c1aa94c1bcce43cc9138ccb9c7bf6e69>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50CCF-9C0D-4CCF-981F-D995E780F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da67-68a3-4e9d-8803-ba3e1787a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AF60C5-5176-49FB-AB7A-95092674D393}">
  <ds:schemaRefs>
    <ds:schemaRef ds:uri="http://schemas.microsoft.com/sharepoint/v3/contenttype/forms"/>
  </ds:schemaRefs>
</ds:datastoreItem>
</file>

<file path=customXml/itemProps3.xml><?xml version="1.0" encoding="utf-8"?>
<ds:datastoreItem xmlns:ds="http://schemas.openxmlformats.org/officeDocument/2006/customXml" ds:itemID="{983B1B18-5CC7-4B34-A370-60767FA8009A}">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4597da67-68a3-4e9d-8803-ba3e1787ab6c"/>
    <ds:schemaRef ds:uri="http://www.w3.org/XML/1998/namespace"/>
    <ds:schemaRef ds:uri="http://purl.org/dc/dcmitype/"/>
  </ds:schemaRefs>
</ds:datastoreItem>
</file>

<file path=customXml/itemProps4.xml><?xml version="1.0" encoding="utf-8"?>
<ds:datastoreItem xmlns:ds="http://schemas.openxmlformats.org/officeDocument/2006/customXml" ds:itemID="{EE533227-EB31-427B-9418-473BD5B99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Pages>
  <Words>10423</Words>
  <Characters>59417</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Spectrum pricing—consultation paper</vt:lpstr>
    </vt:vector>
  </TitlesOfParts>
  <Company>Department of Communications</Company>
  <LinksUpToDate>false</LinksUpToDate>
  <CharactersWithSpaces>69701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Spectrum pricing—consultation paper</dc:title>
  <dc:subject>Additional material for the Exposure Draft of the Radiocommunications Bill 2017</dc:subject>
  <dc:creator>Chan, Chrisa</dc:creator>
  <cp:keywords/>
  <dc:description/>
  <cp:lastModifiedBy>Department of Communications and the Arts</cp:lastModifiedBy>
  <cp:revision>3</cp:revision>
  <cp:lastPrinted>2017-05-16T07:17:00Z</cp:lastPrinted>
  <dcterms:created xsi:type="dcterms:W3CDTF">2017-05-16T07:12:00Z</dcterms:created>
  <dcterms:modified xsi:type="dcterms:W3CDTF">2017-05-16T07:23:00Z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0x010100407620DDFF47524F86BCF55EDD394643006C4B131635400E4BB195DA4CE0EBDBAD</vt:lpwstr>
  </property>
  <property fmtid="{D5CDD505-2E9C-101B-9397-08002B2CF9AE}" pid="3" name="AdditionalSecurityInformation">
    <vt:lpwstr/>
  </property>
  <property fmtid="{D5CDD505-2E9C-101B-9397-08002B2CF9AE}" pid="4" name="ClearanceActualDate">
    <vt:lpwstr>03 March 2017</vt:lpwstr>
  </property>
  <property fmtid="{D5CDD505-2E9C-101B-9397-08002B2CF9AE}" pid="5" name="ClearanceDueDate">
    <vt:lpwstr/>
  </property>
  <property fmtid="{D5CDD505-2E9C-101B-9397-08002B2CF9AE}" pid="6" name="Electorates">
    <vt:lpwstr> </vt:lpwstr>
  </property>
  <property fmtid="{D5CDD505-2E9C-101B-9397-08002B2CF9AE}" pid="7" name="GroupResponsible">
    <vt:lpwstr>Branch Spectrum</vt:lpwstr>
  </property>
  <property fmtid="{D5CDD505-2E9C-101B-9397-08002B2CF9AE}" pid="8" name="HandlingProtocol">
    <vt:lpwstr>Standard</vt:lpwstr>
  </property>
  <property fmtid="{D5CDD505-2E9C-101B-9397-08002B2CF9AE}" pid="9" name="InformationMinister">
    <vt:lpwstr> </vt:lpwstr>
  </property>
  <property fmtid="{D5CDD505-2E9C-101B-9397-08002B2CF9AE}" pid="10" name="InitiatorAddressLine1">
    <vt:lpwstr/>
  </property>
  <property fmtid="{D5CDD505-2E9C-101B-9397-08002B2CF9AE}" pid="11" name="InitiatorAddressLine1And2">
    <vt:lpwstr/>
  </property>
  <property fmtid="{D5CDD505-2E9C-101B-9397-08002B2CF9AE}" pid="12" name="InitiatorAddressLine2">
    <vt:lpwstr/>
  </property>
  <property fmtid="{D5CDD505-2E9C-101B-9397-08002B2CF9AE}" pid="13" name="InitiatorContactName">
    <vt:lpwstr/>
  </property>
  <property fmtid="{D5CDD505-2E9C-101B-9397-08002B2CF9AE}" pid="14" name="InitiatorContactPosition">
    <vt:lpwstr/>
  </property>
  <property fmtid="{D5CDD505-2E9C-101B-9397-08002B2CF9AE}" pid="15" name="InitiatorCountry">
    <vt:lpwstr/>
  </property>
  <property fmtid="{D5CDD505-2E9C-101B-9397-08002B2CF9AE}" pid="16" name="InitiatorEmail">
    <vt:lpwstr/>
  </property>
  <property fmtid="{D5CDD505-2E9C-101B-9397-08002B2CF9AE}" pid="17" name="InitiatorFax">
    <vt:lpwstr/>
  </property>
  <property fmtid="{D5CDD505-2E9C-101B-9397-08002B2CF9AE}" pid="18" name="InitiatorFirstName">
    <vt:lpwstr/>
  </property>
  <property fmtid="{D5CDD505-2E9C-101B-9397-08002B2CF9AE}" pid="19" name="InitiatorFormalTitle">
    <vt:lpwstr/>
  </property>
  <property fmtid="{D5CDD505-2E9C-101B-9397-08002B2CF9AE}" pid="20" name="InitiatorFullName">
    <vt:lpwstr/>
  </property>
  <property fmtid="{D5CDD505-2E9C-101B-9397-08002B2CF9AE}" pid="21" name="InitiatorLastName">
    <vt:lpwstr/>
  </property>
  <property fmtid="{D5CDD505-2E9C-101B-9397-08002B2CF9AE}" pid="22" name="InitiatorMobile">
    <vt:lpwstr/>
  </property>
  <property fmtid="{D5CDD505-2E9C-101B-9397-08002B2CF9AE}" pid="23" name="InitiatorMPElectorate">
    <vt:lpwstr/>
  </property>
  <property fmtid="{D5CDD505-2E9C-101B-9397-08002B2CF9AE}" pid="24" name="InitiatorMPState">
    <vt:lpwstr/>
  </property>
  <property fmtid="{D5CDD505-2E9C-101B-9397-08002B2CF9AE}" pid="25" name="InitiatorName">
    <vt:lpwstr/>
  </property>
  <property fmtid="{D5CDD505-2E9C-101B-9397-08002B2CF9AE}" pid="26" name="InitiatorOnBehalfVia">
    <vt:lpwstr/>
  </property>
  <property fmtid="{D5CDD505-2E9C-101B-9397-08002B2CF9AE}" pid="27" name="InitiatorOrganisation">
    <vt:lpwstr/>
  </property>
  <property fmtid="{D5CDD505-2E9C-101B-9397-08002B2CF9AE}" pid="28" name="InitiatorOrganisationContactInformation">
    <vt:lpwstr/>
  </property>
  <property fmtid="{D5CDD505-2E9C-101B-9397-08002B2CF9AE}" pid="29" name="InitiatorOrganisationType">
    <vt:lpwstr/>
  </property>
  <property fmtid="{D5CDD505-2E9C-101B-9397-08002B2CF9AE}" pid="30" name="InitiatorOrganisationWebsite">
    <vt:lpwstr/>
  </property>
  <property fmtid="{D5CDD505-2E9C-101B-9397-08002B2CF9AE}" pid="31" name="InitiatorParliamentaryTitle">
    <vt:lpwstr/>
  </property>
  <property fmtid="{D5CDD505-2E9C-101B-9397-08002B2CF9AE}" pid="32" name="InitiatorPhone">
    <vt:lpwstr/>
  </property>
  <property fmtid="{D5CDD505-2E9C-101B-9397-08002B2CF9AE}" pid="33" name="InitiatorPostCode">
    <vt:lpwstr/>
  </property>
  <property fmtid="{D5CDD505-2E9C-101B-9397-08002B2CF9AE}" pid="34" name="InitiatorPostNominal">
    <vt:lpwstr/>
  </property>
  <property fmtid="{D5CDD505-2E9C-101B-9397-08002B2CF9AE}" pid="35" name="InitiatorState">
    <vt:lpwstr/>
  </property>
  <property fmtid="{D5CDD505-2E9C-101B-9397-08002B2CF9AE}" pid="36" name="InitiatorSuburbOrCity">
    <vt:lpwstr/>
  </property>
  <property fmtid="{D5CDD505-2E9C-101B-9397-08002B2CF9AE}" pid="37" name="InitiatorSuburbStatePostcode">
    <vt:lpwstr/>
  </property>
  <property fmtid="{D5CDD505-2E9C-101B-9397-08002B2CF9AE}" pid="38" name="InitiatorTitle">
    <vt:lpwstr/>
  </property>
  <property fmtid="{D5CDD505-2E9C-101B-9397-08002B2CF9AE}" pid="39" name="InitiatorTitledFullName">
    <vt:lpwstr/>
  </property>
  <property fmtid="{D5CDD505-2E9C-101B-9397-08002B2CF9AE}" pid="40" name="LastClearingOfficer">
    <vt:lpwstr>Kate Feros</vt:lpwstr>
  </property>
  <property fmtid="{D5CDD505-2E9C-101B-9397-08002B2CF9AE}" pid="41" name="Ministers">
    <vt:lpwstr>Mitch Fifield</vt:lpwstr>
  </property>
  <property fmtid="{D5CDD505-2E9C-101B-9397-08002B2CF9AE}" pid="42" name="PdrId">
    <vt:lpwstr>MS17-002210</vt:lpwstr>
  </property>
  <property fmtid="{D5CDD505-2E9C-101B-9397-08002B2CF9AE}" pid="43" name="Principal">
    <vt:lpwstr>Minister Fifield</vt:lpwstr>
  </property>
  <property fmtid="{D5CDD505-2E9C-101B-9397-08002B2CF9AE}" pid="44" name="ReasonForSensitivity">
    <vt:lpwstr/>
  </property>
  <property fmtid="{D5CDD505-2E9C-101B-9397-08002B2CF9AE}" pid="45" name="RegisteredDate">
    <vt:lpwstr>08 February 2017</vt:lpwstr>
  </property>
  <property fmtid="{D5CDD505-2E9C-101B-9397-08002B2CF9AE}" pid="46" name="RequestedAction">
    <vt:lpwstr>Signature</vt:lpwstr>
  </property>
  <property fmtid="{D5CDD505-2E9C-101B-9397-08002B2CF9AE}" pid="47" name="ResponsibleMinister">
    <vt:lpwstr>Mitch Fifield</vt:lpwstr>
  </property>
  <property fmtid="{D5CDD505-2E9C-101B-9397-08002B2CF9AE}" pid="48" name="SecurityClassification">
    <vt:lpwstr>For Official Use Only (FOUO)  </vt:lpwstr>
  </property>
  <property fmtid="{D5CDD505-2E9C-101B-9397-08002B2CF9AE}" pid="49" name="Subject">
    <vt:lpwstr>Additional material for the Exposure Draft of the Radiocommunications Bill 2017</vt:lpwstr>
  </property>
  <property fmtid="{D5CDD505-2E9C-101B-9397-08002B2CF9AE}" pid="50" name="TaskSeqNo">
    <vt:lpwstr>0</vt:lpwstr>
  </property>
  <property fmtid="{D5CDD505-2E9C-101B-9397-08002B2CF9AE}" pid="51" name="TemplateSubType">
    <vt:lpwstr>Standard</vt:lpwstr>
  </property>
  <property fmtid="{D5CDD505-2E9C-101B-9397-08002B2CF9AE}" pid="52" name="TemplateType">
    <vt:lpwstr>Information Submission</vt:lpwstr>
  </property>
  <property fmtid="{D5CDD505-2E9C-101B-9397-08002B2CF9AE}" pid="53" name="TrustedGroups">
    <vt:lpwstr>Parliamentary Coordinator MS, DLO, Ministerial Staff - Coalition 2013, Business Administrator, Limited Distribution MS</vt:lpwstr>
  </property>
  <property fmtid="{D5CDD505-2E9C-101B-9397-08002B2CF9AE}" pid="54" name="trimRootDocAssigneeLocation">
    <vt:lpwstr/>
  </property>
  <property fmtid="{D5CDD505-2E9C-101B-9397-08002B2CF9AE}" pid="55" name="trimRootDocOtherContactLocation">
    <vt:lpwstr/>
  </property>
  <property fmtid="{D5CDD505-2E9C-101B-9397-08002B2CF9AE}" pid="56" name="trimRootDocACLCanModifyAccess_List">
    <vt:lpwstr/>
  </property>
  <property fmtid="{D5CDD505-2E9C-101B-9397-08002B2CF9AE}" pid="57" name="trimRootDocACLCanUpdateDocument_List">
    <vt:lpwstr/>
  </property>
  <property fmtid="{D5CDD505-2E9C-101B-9397-08002B2CF9AE}" pid="58" name="trimRootDocACLCanViewMetadata_List">
    <vt:lpwstr/>
  </property>
  <property fmtid="{D5CDD505-2E9C-101B-9397-08002B2CF9AE}" pid="59" name="trimRootDocACLCanViewDocument_List">
    <vt:lpwstr/>
  </property>
  <property fmtid="{D5CDD505-2E9C-101B-9397-08002B2CF9AE}" pid="60" name="trimRootDocOwnerLocation">
    <vt:lpwstr/>
  </property>
  <property fmtid="{D5CDD505-2E9C-101B-9397-08002B2CF9AE}" pid="61" name="trimRootDocACLCanContributeDocuments_List">
    <vt:lpwstr/>
  </property>
  <property fmtid="{D5CDD505-2E9C-101B-9397-08002B2CF9AE}" pid="62" name="trimRootDocClassification">
    <vt:lpwstr/>
  </property>
  <property fmtid="{D5CDD505-2E9C-101B-9397-08002B2CF9AE}" pid="63" name="trimRootDocACLCanUpdateMetadata_List">
    <vt:lpwstr/>
  </property>
  <property fmtid="{D5CDD505-2E9C-101B-9397-08002B2CF9AE}" pid="64" name="TrimRevisionNumber">
    <vt:i4>72</vt:i4>
  </property>
</Properties>
</file>