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media/image4.jpg" ContentType="image/png"/>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8D2BF" w14:textId="77777777" w:rsidR="007E26C6" w:rsidRDefault="007E26C6" w:rsidP="00441328"/>
    <w:p w14:paraId="2AE9A4BB" w14:textId="77777777" w:rsidR="007E26C6" w:rsidRDefault="007E26C6" w:rsidP="0007097F">
      <w:pPr>
        <w:pStyle w:val="Heading4"/>
      </w:pPr>
    </w:p>
    <w:p w14:paraId="60616E60" w14:textId="77777777" w:rsidR="00500B39" w:rsidRDefault="00500B39" w:rsidP="00500B39"/>
    <w:p w14:paraId="14D44DEA" w14:textId="77777777" w:rsidR="00500B39" w:rsidRDefault="006D6DF2" w:rsidP="00500B39">
      <w:pPr>
        <w:spacing w:after="0" w:line="240" w:lineRule="auto"/>
      </w:pPr>
      <w:r w:rsidRPr="00D91192">
        <w:rPr>
          <w:noProof/>
          <w:lang w:eastAsia="en-AU"/>
        </w:rPr>
        <mc:AlternateContent>
          <mc:Choice Requires="wps">
            <w:drawing>
              <wp:anchor distT="0" distB="0" distL="114300" distR="114300" simplePos="0" relativeHeight="251661312" behindDoc="0" locked="0" layoutInCell="1" allowOverlap="1" wp14:anchorId="23FCC42B" wp14:editId="32FE6E27">
                <wp:simplePos x="0" y="0"/>
                <wp:positionH relativeFrom="column">
                  <wp:posOffset>-123190</wp:posOffset>
                </wp:positionH>
                <wp:positionV relativeFrom="paragraph">
                  <wp:posOffset>-936625</wp:posOffset>
                </wp:positionV>
                <wp:extent cx="6486525" cy="7048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95235" w14:textId="77777777" w:rsidR="006D6DF2" w:rsidRPr="00B2506A" w:rsidRDefault="00500B39" w:rsidP="006D6DF2">
                            <w:pPr>
                              <w:pStyle w:val="Title"/>
                              <w:rPr>
                                <w:rFonts w:asciiTheme="majorHAnsi" w:hAnsiTheme="majorHAnsi" w:cstheme="majorHAnsi"/>
                              </w:rPr>
                            </w:pPr>
                            <w:r>
                              <w:rPr>
                                <w:rFonts w:asciiTheme="majorHAnsi" w:hAnsiTheme="majorHAnsi" w:cstheme="majorHAnsi"/>
                              </w:rPr>
                              <w:t>Tasmanian Freight Equalisation Scheme Information Paper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FCC42B" id="_x0000_t202" coordsize="21600,21600" o:spt="202" path="m,l,21600r21600,l21600,xe">
                <v:stroke joinstyle="miter"/>
                <v:path gradientshapeok="t" o:connecttype="rect"/>
              </v:shapetype>
              <v:shape id="Text Box 2" o:spid="_x0000_s1026" type="#_x0000_t202" style="position:absolute;margin-left:-9.7pt;margin-top:-73.75pt;width:510.7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iAK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sFhTJJ4Fs0wqsA2D0gyc9T5NDveHpQ275nskV3k&#10;WAHzDp3u7rWx2dDs6GKDCVnyrnPsd+LZAThOJxAbrlqbzcKR+TMN0lWySohHonjlkaAovNtySby4&#10;DOez4l2xXBbhLxs3JFnL65oJG+YorJD8GXEHiU+SOElLy47XFs6mpNVmvewU2lEQduk+13OwnN38&#10;52m4JkAtL0oKIxLcRalXxsncIyWZeek8SLwgTO/SOCApKcrnJd1zwf69JDTmOLWcunLOSb+oLXDf&#10;69po1nMDo6PjfY6TkxPNrARXonbUGsq7aX3RCpv+uRVA95FoJ1ir0UmtZr/eA4pV8VrWTyBdJUFZ&#10;oE+Yd7BopfqB0QizI8f6+5YqhlH3QYD805AQO2zchszmEWzUpWV9aaGiAqgcG4ym5dJMA2o7KL5p&#10;IdL04IS8hSfTcKfmc1aHhwbzwRV1mGV2AF3undd54i5+AwAA//8DAFBLAwQUAAYACAAAACEARRG+&#10;Gt8AAAANAQAADwAAAGRycy9kb3ducmV2LnhtbEyPy07DMBBF90j8gzVI7Fo7JSk0xKkQiC2o5SGx&#10;m8bTJCIeR7HbhL/HWcFuHkd3zhTbyXbiTINvHWtIlgoEceVMy7WG97fnxR0IH5ANdo5Jww952JaX&#10;FwXmxo28o/M+1CKGsM9RQxNCn0vpq4Ys+qXriePu6AaLIbZDLc2AYwy3nVwptZYWW44XGuzpsaHq&#10;e3+yGj5ejl+fqXqtn2zWj25Sku1Gan19NT3cgwg0hT8YZv2oDmV0OrgTGy86DYtkk0Z0LtLbDMSM&#10;KLVKQBzi7GadgSwL+f+L8hcAAP//AwBQSwECLQAUAAYACAAAACEAtoM4kv4AAADhAQAAEwAAAAAA&#10;AAAAAAAAAAAAAAAAW0NvbnRlbnRfVHlwZXNdLnhtbFBLAQItABQABgAIAAAAIQA4/SH/1gAAAJQB&#10;AAALAAAAAAAAAAAAAAAAAC8BAABfcmVscy8ucmVsc1BLAQItABQABgAIAAAAIQC6UiAKtAIAALkF&#10;AAAOAAAAAAAAAAAAAAAAAC4CAABkcnMvZTJvRG9jLnhtbFBLAQItABQABgAIAAAAIQBFEb4a3wAA&#10;AA0BAAAPAAAAAAAAAAAAAAAAAA4FAABkcnMvZG93bnJldi54bWxQSwUGAAAAAAQABADzAAAAGgYA&#10;AAAA&#10;" filled="f" stroked="f">
                <v:textbox>
                  <w:txbxContent>
                    <w:p w14:paraId="12195235" w14:textId="77777777" w:rsidR="006D6DF2" w:rsidRPr="00B2506A" w:rsidRDefault="00500B39" w:rsidP="006D6DF2">
                      <w:pPr>
                        <w:pStyle w:val="Title"/>
                        <w:rPr>
                          <w:rFonts w:asciiTheme="majorHAnsi" w:hAnsiTheme="majorHAnsi" w:cstheme="majorHAnsi"/>
                        </w:rPr>
                      </w:pPr>
                      <w:r>
                        <w:rPr>
                          <w:rFonts w:asciiTheme="majorHAnsi" w:hAnsiTheme="majorHAnsi" w:cstheme="majorHAnsi"/>
                        </w:rPr>
                        <w:t>Tasmanian Freight Equalisation Scheme Information Paper</w:t>
                      </w:r>
                    </w:p>
                  </w:txbxContent>
                </v:textbox>
              </v:shape>
            </w:pict>
          </mc:Fallback>
        </mc:AlternateContent>
      </w:r>
      <w:r w:rsidR="00500B39">
        <w:t>This information paper is made under subclause 8.3.1 of the Ministerial Directions for the Tasmanian Freight Equalisation Scheme (TFES).</w:t>
      </w:r>
    </w:p>
    <w:p w14:paraId="2FBDD935" w14:textId="77777777" w:rsidR="00500B39" w:rsidRDefault="00500B39" w:rsidP="00500B39">
      <w:pPr>
        <w:pStyle w:val="Heading1"/>
        <w:spacing w:after="0"/>
      </w:pPr>
      <w:r>
        <w:t>TFES Southbound Assistance</w:t>
      </w:r>
    </w:p>
    <w:p w14:paraId="21429FDF" w14:textId="7BFE4EAF" w:rsidR="00500B39" w:rsidRPr="003B2055" w:rsidRDefault="00500B39" w:rsidP="00500B39">
      <w:r>
        <w:t xml:space="preserve">The southbound component of the TFES provides financial assistance for eligible claimants for eligible goods shipped </w:t>
      </w:r>
      <w:r w:rsidR="009A3538">
        <w:t xml:space="preserve">from </w:t>
      </w:r>
      <w:r>
        <w:t xml:space="preserve">mainland Australia </w:t>
      </w:r>
      <w:r w:rsidR="009A3538">
        <w:t xml:space="preserve">to </w:t>
      </w:r>
      <w:r>
        <w:t>Tasmania.</w:t>
      </w:r>
    </w:p>
    <w:p w14:paraId="13FBEAC8" w14:textId="77777777" w:rsidR="00500B39" w:rsidRDefault="00500B39" w:rsidP="00500B39">
      <w:pPr>
        <w:pStyle w:val="Heading2"/>
      </w:pPr>
      <w:r>
        <w:t>General Eligibility</w:t>
      </w:r>
    </w:p>
    <w:p w14:paraId="426ABA0C" w14:textId="384ABE4D" w:rsidR="00500B39" w:rsidRDefault="00500B39" w:rsidP="00500B39">
      <w:r>
        <w:t xml:space="preserve">You </w:t>
      </w:r>
      <w:r w:rsidR="00D13AFB">
        <w:t>may be</w:t>
      </w:r>
      <w:r>
        <w:t xml:space="preserve"> eligible for TFES southbound assistance if:</w:t>
      </w:r>
    </w:p>
    <w:p w14:paraId="13702B77" w14:textId="3884103A" w:rsidR="00500B39" w:rsidRDefault="00500B39" w:rsidP="00500B39">
      <w:pPr>
        <w:pStyle w:val="ListParagraph"/>
        <w:numPr>
          <w:ilvl w:val="0"/>
          <w:numId w:val="7"/>
        </w:numPr>
        <w:spacing w:before="120" w:after="200" w:line="312" w:lineRule="auto"/>
      </w:pPr>
      <w:r>
        <w:t>You are</w:t>
      </w:r>
      <w:r w:rsidR="004574FA">
        <w:t xml:space="preserve"> </w:t>
      </w:r>
      <w:r w:rsidR="008A02D6">
        <w:t>predominantly</w:t>
      </w:r>
      <w:r>
        <w:t xml:space="preserve"> engaged in the </w:t>
      </w:r>
      <w:r w:rsidRPr="000C00B9">
        <w:rPr>
          <w:b/>
        </w:rPr>
        <w:t>manufacturing, mining,</w:t>
      </w:r>
      <w:r>
        <w:t xml:space="preserve"> or </w:t>
      </w:r>
      <w:r w:rsidRPr="000C00B9">
        <w:rPr>
          <w:b/>
        </w:rPr>
        <w:t>agriculture, forestry</w:t>
      </w:r>
      <w:r w:rsidR="00DD20BE">
        <w:t xml:space="preserve"> and</w:t>
      </w:r>
      <w:r>
        <w:t xml:space="preserve"> </w:t>
      </w:r>
      <w:r w:rsidRPr="000C00B9">
        <w:rPr>
          <w:b/>
        </w:rPr>
        <w:t>fishing</w:t>
      </w:r>
      <w:r>
        <w:t xml:space="preserve"> industry, and</w:t>
      </w:r>
    </w:p>
    <w:p w14:paraId="5140242F" w14:textId="77777777" w:rsidR="00500B39" w:rsidRDefault="00500B39" w:rsidP="00500B39">
      <w:pPr>
        <w:pStyle w:val="ListParagraph"/>
        <w:numPr>
          <w:ilvl w:val="0"/>
          <w:numId w:val="7"/>
        </w:numPr>
        <w:spacing w:before="120" w:after="200" w:line="312" w:lineRule="auto"/>
      </w:pPr>
      <w:r>
        <w:t>You have incurred and paid the cost of shipping the goods, and</w:t>
      </w:r>
    </w:p>
    <w:p w14:paraId="24B90282" w14:textId="77777777" w:rsidR="00500B39" w:rsidRDefault="00500B39" w:rsidP="00500B39">
      <w:pPr>
        <w:pStyle w:val="ListParagraph"/>
        <w:numPr>
          <w:ilvl w:val="0"/>
          <w:numId w:val="7"/>
        </w:numPr>
        <w:spacing w:before="120" w:after="200" w:line="312" w:lineRule="auto"/>
      </w:pPr>
      <w:r>
        <w:t>You or any other person have not claimed and received TFES assistance for the goods previously, and</w:t>
      </w:r>
    </w:p>
    <w:p w14:paraId="68A1EA20" w14:textId="77777777" w:rsidR="00500B39" w:rsidRDefault="00500B39" w:rsidP="00500B39">
      <w:pPr>
        <w:pStyle w:val="ListParagraph"/>
        <w:numPr>
          <w:ilvl w:val="0"/>
          <w:numId w:val="7"/>
        </w:numPr>
        <w:spacing w:before="120" w:after="200" w:line="312" w:lineRule="auto"/>
      </w:pPr>
      <w:r>
        <w:t>Your shipped goods are ‘eligible southbound goods’, meaning:</w:t>
      </w:r>
    </w:p>
    <w:p w14:paraId="269FB09B" w14:textId="77777777" w:rsidR="00500B39" w:rsidRDefault="00500B39" w:rsidP="00500B39">
      <w:pPr>
        <w:pStyle w:val="ListParagraph"/>
        <w:numPr>
          <w:ilvl w:val="1"/>
          <w:numId w:val="7"/>
        </w:numPr>
        <w:spacing w:before="120" w:after="200" w:line="312" w:lineRule="auto"/>
      </w:pPr>
      <w:r>
        <w:t xml:space="preserve">You are engaged in the </w:t>
      </w:r>
      <w:r w:rsidRPr="003A11A9">
        <w:t>man</w:t>
      </w:r>
      <w:r>
        <w:t xml:space="preserve">ufacturing industry in Tasmania and the goods are </w:t>
      </w:r>
      <w:r w:rsidRPr="003A11A9">
        <w:t>raw materials or eq</w:t>
      </w:r>
      <w:r>
        <w:t xml:space="preserve">uipment for use in your </w:t>
      </w:r>
      <w:r w:rsidRPr="003A11A9">
        <w:t>manufacturing processes; or</w:t>
      </w:r>
    </w:p>
    <w:p w14:paraId="57470220" w14:textId="77777777" w:rsidR="00500B39" w:rsidRDefault="00500B39" w:rsidP="00500B39">
      <w:pPr>
        <w:pStyle w:val="ListParagraph"/>
        <w:numPr>
          <w:ilvl w:val="1"/>
          <w:numId w:val="7"/>
        </w:numPr>
        <w:spacing w:before="120" w:after="200" w:line="312" w:lineRule="auto"/>
      </w:pPr>
      <w:r>
        <w:t>You are</w:t>
      </w:r>
      <w:r w:rsidRPr="003A11A9">
        <w:t xml:space="preserve"> </w:t>
      </w:r>
      <w:r>
        <w:t xml:space="preserve">engaged in the mining industry in Tasmania and the goods are </w:t>
      </w:r>
      <w:r w:rsidRPr="003A11A9">
        <w:t xml:space="preserve">raw materials or equipment for use </w:t>
      </w:r>
      <w:r>
        <w:t>in your</w:t>
      </w:r>
      <w:r w:rsidRPr="003A11A9">
        <w:t xml:space="preserve"> production processes; or</w:t>
      </w:r>
    </w:p>
    <w:p w14:paraId="5A295AF8" w14:textId="77777777" w:rsidR="00500B39" w:rsidRDefault="00500B39" w:rsidP="00500B39">
      <w:pPr>
        <w:pStyle w:val="ListParagraph"/>
        <w:numPr>
          <w:ilvl w:val="1"/>
          <w:numId w:val="7"/>
        </w:numPr>
        <w:spacing w:before="120" w:after="200" w:line="312" w:lineRule="auto"/>
      </w:pPr>
      <w:r>
        <w:t xml:space="preserve">You are engaged in the </w:t>
      </w:r>
      <w:r w:rsidRPr="003A11A9">
        <w:t xml:space="preserve">agriculture, forestry </w:t>
      </w:r>
      <w:r w:rsidR="00DD20BE">
        <w:t>and</w:t>
      </w:r>
      <w:r>
        <w:t xml:space="preserve"> fishing industry in Tasmania and the goods are </w:t>
      </w:r>
      <w:r w:rsidRPr="003A11A9">
        <w:t>material inputs to, or machinery, implements and equipment for use in</w:t>
      </w:r>
      <w:r>
        <w:t xml:space="preserve"> your business activities.</w:t>
      </w:r>
    </w:p>
    <w:p w14:paraId="7F93B1A9" w14:textId="77777777" w:rsidR="00500B39" w:rsidRDefault="00500B39" w:rsidP="00500B39">
      <w:r>
        <w:t>Clause 2.9.3 of the TFES Ministerial Directions lists the following that are not eligible southbound under TFES:</w:t>
      </w:r>
    </w:p>
    <w:p w14:paraId="60138ADE" w14:textId="77777777" w:rsidR="00500B39" w:rsidRDefault="006477AA" w:rsidP="00500B39">
      <w:pPr>
        <w:pStyle w:val="ListParagraph"/>
        <w:numPr>
          <w:ilvl w:val="0"/>
          <w:numId w:val="8"/>
        </w:numPr>
        <w:spacing w:before="120" w:after="200" w:line="312" w:lineRule="auto"/>
      </w:pPr>
      <w:r>
        <w:t>G</w:t>
      </w:r>
      <w:r w:rsidR="00500B39">
        <w:t>oods imported into Australia from overseas which have not undergone a manufacturing process on the mainland before shipment to Tasmania;</w:t>
      </w:r>
    </w:p>
    <w:p w14:paraId="68C344D5" w14:textId="77777777" w:rsidR="00500B39" w:rsidRDefault="006477AA" w:rsidP="00500B39">
      <w:pPr>
        <w:pStyle w:val="ListParagraph"/>
        <w:numPr>
          <w:ilvl w:val="0"/>
          <w:numId w:val="8"/>
        </w:numPr>
        <w:spacing w:before="120" w:after="200" w:line="312" w:lineRule="auto"/>
      </w:pPr>
      <w:r>
        <w:t>F</w:t>
      </w:r>
      <w:r w:rsidR="00500B39">
        <w:t>uels and lubricants;</w:t>
      </w:r>
    </w:p>
    <w:p w14:paraId="26348595" w14:textId="77777777" w:rsidR="00500B39" w:rsidRDefault="006477AA" w:rsidP="00500B39">
      <w:pPr>
        <w:pStyle w:val="ListParagraph"/>
        <w:numPr>
          <w:ilvl w:val="0"/>
          <w:numId w:val="8"/>
        </w:numPr>
        <w:spacing w:before="120" w:after="200" w:line="312" w:lineRule="auto"/>
      </w:pPr>
      <w:r>
        <w:t>G</w:t>
      </w:r>
      <w:r w:rsidR="00500B39">
        <w:t>oods of Tasmanian origin which have not undergone a manufacturing process on the mainland before shipment back to Tasmania;</w:t>
      </w:r>
    </w:p>
    <w:p w14:paraId="47F575AD" w14:textId="77777777" w:rsidR="00500B39" w:rsidRDefault="006477AA" w:rsidP="00500B39">
      <w:pPr>
        <w:pStyle w:val="ListParagraph"/>
        <w:numPr>
          <w:ilvl w:val="0"/>
          <w:numId w:val="8"/>
        </w:numPr>
        <w:spacing w:before="120" w:after="200" w:line="312" w:lineRule="auto"/>
      </w:pPr>
      <w:r>
        <w:t>B</w:t>
      </w:r>
      <w:r w:rsidR="00500B39">
        <w:t>uilding and construction materials and equipment;</w:t>
      </w:r>
    </w:p>
    <w:p w14:paraId="2EB051CE" w14:textId="77777777" w:rsidR="00500B39" w:rsidRDefault="006477AA" w:rsidP="00500B39">
      <w:pPr>
        <w:pStyle w:val="ListParagraph"/>
        <w:numPr>
          <w:ilvl w:val="0"/>
          <w:numId w:val="8"/>
        </w:numPr>
        <w:spacing w:before="120" w:after="200" w:line="312" w:lineRule="auto"/>
      </w:pPr>
      <w:r>
        <w:t>M</w:t>
      </w:r>
      <w:r w:rsidR="00500B39">
        <w:t>otor vehicles for the manufacturing and mining industries, if they are to be registered for use on public roads;</w:t>
      </w:r>
    </w:p>
    <w:p w14:paraId="3D3F0B27" w14:textId="77777777" w:rsidR="00500B39" w:rsidRPr="003A11A9" w:rsidRDefault="006477AA" w:rsidP="00500B39">
      <w:pPr>
        <w:pStyle w:val="ListParagraph"/>
        <w:numPr>
          <w:ilvl w:val="0"/>
          <w:numId w:val="8"/>
        </w:numPr>
        <w:spacing w:before="120" w:after="200" w:line="312" w:lineRule="auto"/>
      </w:pPr>
      <w:r>
        <w:t>G</w:t>
      </w:r>
      <w:r w:rsidR="00500B39">
        <w:t>oods shipped as bulk cargo</w:t>
      </w:r>
    </w:p>
    <w:p w14:paraId="369B9D4D" w14:textId="77777777" w:rsidR="00500B39" w:rsidRDefault="00500B39" w:rsidP="00500B39">
      <w:pPr>
        <w:pStyle w:val="Heading2"/>
        <w:spacing w:after="240"/>
      </w:pPr>
      <w:r>
        <w:lastRenderedPageBreak/>
        <w:t>How to claim TFES southbound assistance</w:t>
      </w:r>
    </w:p>
    <w:p w14:paraId="0AEE6D6A" w14:textId="77777777" w:rsidR="00500B39" w:rsidRDefault="00500B39" w:rsidP="00500B39">
      <w:pPr>
        <w:pStyle w:val="Heading3"/>
      </w:pPr>
      <w:r>
        <w:t>1. Register for TFES southbound assistance</w:t>
      </w:r>
    </w:p>
    <w:p w14:paraId="77E83832" w14:textId="267352F6" w:rsidR="00500B39" w:rsidRDefault="00500B39" w:rsidP="00500B39">
      <w:r>
        <w:t xml:space="preserve">To be eligible to claim TFES assistance for the southbound shipment of eligible goods, you must first complete and submit to Services Australia the </w:t>
      </w:r>
      <w:r w:rsidR="00742D2D">
        <w:t xml:space="preserve">following </w:t>
      </w:r>
      <w:r>
        <w:t xml:space="preserve">form. </w:t>
      </w:r>
    </w:p>
    <w:p w14:paraId="22C0DB50" w14:textId="77777777" w:rsidR="00500B39" w:rsidRDefault="00500B39" w:rsidP="00500B39">
      <w:pPr>
        <w:pStyle w:val="ListParagraph"/>
        <w:numPr>
          <w:ilvl w:val="0"/>
          <w:numId w:val="5"/>
        </w:numPr>
        <w:spacing w:before="120" w:after="200" w:line="312" w:lineRule="auto"/>
      </w:pPr>
      <w:r w:rsidRPr="00200E32">
        <w:rPr>
          <w:i/>
        </w:rPr>
        <w:t>Registration and change of details form</w:t>
      </w:r>
      <w:r>
        <w:t xml:space="preserve"> (</w:t>
      </w:r>
      <w:r w:rsidRPr="00200E32">
        <w:rPr>
          <w:b/>
        </w:rPr>
        <w:t>TAS020</w:t>
      </w:r>
      <w:r>
        <w:t>)</w:t>
      </w:r>
    </w:p>
    <w:p w14:paraId="5BAA5D5C" w14:textId="13CA434A" w:rsidR="00500B39" w:rsidRDefault="004574FA" w:rsidP="00384F8F">
      <w:pPr>
        <w:spacing w:before="0" w:after="0" w:line="240" w:lineRule="auto"/>
        <w:rPr>
          <w:rStyle w:val="Hyperlink"/>
        </w:rPr>
      </w:pPr>
      <w:r>
        <w:t>This f</w:t>
      </w:r>
      <w:r w:rsidR="00742D2D">
        <w:t xml:space="preserve">orm can be found at </w:t>
      </w:r>
      <w:hyperlink r:id="rId8" w:history="1">
        <w:r w:rsidR="00742D2D" w:rsidRPr="00DD5E4A">
          <w:rPr>
            <w:rStyle w:val="Hyperlink"/>
          </w:rPr>
          <w:t>https://www.servicesaustralia.gov.au/organisations/business/forms</w:t>
        </w:r>
      </w:hyperlink>
    </w:p>
    <w:p w14:paraId="3541AAC9" w14:textId="5296A2F2" w:rsidR="004574FA" w:rsidRDefault="004574FA" w:rsidP="002808CC">
      <w:r>
        <w:t>You will be notified of th</w:t>
      </w:r>
      <w:r w:rsidR="00073578">
        <w:t xml:space="preserve">e outcome of your application. </w:t>
      </w:r>
      <w:r>
        <w:t>If approved you will receive details on how to lodge claims using the Services Australia online system.</w:t>
      </w:r>
    </w:p>
    <w:p w14:paraId="64AE5518" w14:textId="77777777" w:rsidR="001E627A" w:rsidRDefault="00500B39" w:rsidP="00500B39">
      <w:pPr>
        <w:pStyle w:val="Heading3"/>
      </w:pPr>
      <w:r>
        <w:t>2. Register new items</w:t>
      </w:r>
      <w:r w:rsidR="001E627A">
        <w:t>:</w:t>
      </w:r>
    </w:p>
    <w:p w14:paraId="31CC6F56" w14:textId="370F4C98" w:rsidR="00500B39" w:rsidRPr="00CC6C76" w:rsidRDefault="001E627A" w:rsidP="00500B39">
      <w:pPr>
        <w:pStyle w:val="Heading3"/>
      </w:pPr>
      <w:r>
        <w:t>F</w:t>
      </w:r>
      <w:r w:rsidR="00500B39">
        <w:t>or TFES southbound manufacturing and mining claims</w:t>
      </w:r>
    </w:p>
    <w:p w14:paraId="0AD7F2B7" w14:textId="7FC380DC" w:rsidR="00500B39" w:rsidRDefault="00500B39" w:rsidP="00500B39">
      <w:r>
        <w:t xml:space="preserve">If you are registered for claims relating to the manufacturing and mining industries, you must </w:t>
      </w:r>
      <w:r w:rsidR="00F16FF3">
        <w:t xml:space="preserve">first </w:t>
      </w:r>
      <w:r>
        <w:t>register the items you intend to make a claim for, so that Services Australia can decide if the goods are eligible. Please complete and return to Services Australia the following forms:</w:t>
      </w:r>
    </w:p>
    <w:p w14:paraId="1986FA00" w14:textId="1EB68CFB" w:rsidR="00500B39" w:rsidRPr="008B2700" w:rsidRDefault="00500B39" w:rsidP="00500B39">
      <w:pPr>
        <w:pStyle w:val="ListParagraph"/>
        <w:numPr>
          <w:ilvl w:val="0"/>
          <w:numId w:val="5"/>
        </w:numPr>
        <w:spacing w:before="120" w:after="200" w:line="312" w:lineRule="auto"/>
        <w:rPr>
          <w:i/>
        </w:rPr>
      </w:pPr>
      <w:r w:rsidRPr="00CC6C76">
        <w:rPr>
          <w:i/>
        </w:rPr>
        <w:t>Manufacturers’ and Miners’ Application for approval of items</w:t>
      </w:r>
      <w:r>
        <w:rPr>
          <w:i/>
        </w:rPr>
        <w:t xml:space="preserve"> form</w:t>
      </w:r>
      <w:r w:rsidRPr="008B2700">
        <w:rPr>
          <w:i/>
        </w:rPr>
        <w:t xml:space="preserve"> (</w:t>
      </w:r>
      <w:r w:rsidRPr="008B2700">
        <w:rPr>
          <w:b/>
        </w:rPr>
        <w:t>TAS025</w:t>
      </w:r>
      <w:r w:rsidRPr="008B2700">
        <w:rPr>
          <w:i/>
        </w:rPr>
        <w:t>)</w:t>
      </w:r>
    </w:p>
    <w:p w14:paraId="6A318938" w14:textId="77777777" w:rsidR="00500B39" w:rsidRPr="008B2700" w:rsidRDefault="00500B39" w:rsidP="00500B39">
      <w:pPr>
        <w:pStyle w:val="ListParagraph"/>
        <w:numPr>
          <w:ilvl w:val="0"/>
          <w:numId w:val="5"/>
        </w:numPr>
        <w:spacing w:before="120" w:after="200" w:line="312" w:lineRule="auto"/>
        <w:rPr>
          <w:i/>
        </w:rPr>
      </w:pPr>
      <w:r w:rsidRPr="00C703E1">
        <w:rPr>
          <w:i/>
        </w:rPr>
        <w:t>Manufacturer’s Certificate</w:t>
      </w:r>
      <w:r>
        <w:rPr>
          <w:i/>
        </w:rPr>
        <w:t xml:space="preserve"> form</w:t>
      </w:r>
      <w:r w:rsidRPr="008B2700">
        <w:rPr>
          <w:i/>
        </w:rPr>
        <w:t xml:space="preserve"> (</w:t>
      </w:r>
      <w:r w:rsidRPr="008B2700">
        <w:rPr>
          <w:b/>
        </w:rPr>
        <w:t>TAS027</w:t>
      </w:r>
      <w:r w:rsidRPr="008B2700">
        <w:rPr>
          <w:i/>
        </w:rPr>
        <w:t>)</w:t>
      </w:r>
      <w:r w:rsidRPr="008B2700">
        <w:t xml:space="preserve"> – which provides Services Australia with evidence that the good being transported is manufactured, or has undergone a manufacturing process, in Australia.</w:t>
      </w:r>
    </w:p>
    <w:p w14:paraId="096A2488" w14:textId="312E94B6" w:rsidR="00500B39" w:rsidRPr="002808CC" w:rsidRDefault="00500B39" w:rsidP="00500B39">
      <w:pPr>
        <w:pStyle w:val="ListParagraph"/>
        <w:numPr>
          <w:ilvl w:val="0"/>
          <w:numId w:val="5"/>
        </w:numPr>
        <w:spacing w:before="120" w:after="200" w:line="312" w:lineRule="auto"/>
        <w:rPr>
          <w:i/>
        </w:rPr>
      </w:pPr>
      <w:r w:rsidRPr="00C703E1">
        <w:rPr>
          <w:i/>
        </w:rPr>
        <w:t>Suppli</w:t>
      </w:r>
      <w:r>
        <w:rPr>
          <w:i/>
        </w:rPr>
        <w:t>er’s Certificate (manufacturing) f</w:t>
      </w:r>
      <w:r w:rsidR="00E459A5">
        <w:rPr>
          <w:i/>
        </w:rPr>
        <w:t>or</w:t>
      </w:r>
      <w:r>
        <w:rPr>
          <w:i/>
        </w:rPr>
        <w:t>m</w:t>
      </w:r>
      <w:r w:rsidRPr="008B2700">
        <w:rPr>
          <w:i/>
        </w:rPr>
        <w:t xml:space="preserve"> (</w:t>
      </w:r>
      <w:r w:rsidRPr="008B2700">
        <w:rPr>
          <w:b/>
        </w:rPr>
        <w:t>TAS028</w:t>
      </w:r>
      <w:r w:rsidRPr="008B2700">
        <w:rPr>
          <w:i/>
        </w:rPr>
        <w:t>)</w:t>
      </w:r>
      <w:r w:rsidRPr="008B2700">
        <w:t xml:space="preserve"> – </w:t>
      </w:r>
      <w:r w:rsidR="004574FA">
        <w:t xml:space="preserve">only required </w:t>
      </w:r>
      <w:r w:rsidRPr="008B2700">
        <w:t>when the good is purchased</w:t>
      </w:r>
      <w:r w:rsidR="00F16FF3">
        <w:t xml:space="preserve"> directly</w:t>
      </w:r>
      <w:r w:rsidRPr="008B2700">
        <w:t xml:space="preserve"> from a Tasmanian supplier or a mainland Australia supplier</w:t>
      </w:r>
      <w:r w:rsidR="00F16FF3">
        <w:t>.</w:t>
      </w:r>
      <w:r w:rsidRPr="008B2700">
        <w:t xml:space="preserve"> </w:t>
      </w:r>
    </w:p>
    <w:p w14:paraId="35F13CBD" w14:textId="79062390" w:rsidR="001E627A" w:rsidRDefault="001E627A" w:rsidP="00FB59B4">
      <w:pPr>
        <w:pStyle w:val="Heading3"/>
      </w:pPr>
      <w:r w:rsidRPr="002808CC">
        <w:t>For</w:t>
      </w:r>
      <w:r>
        <w:t xml:space="preserve"> TFES southbound agriculture, forestry and fishing claims</w:t>
      </w:r>
    </w:p>
    <w:p w14:paraId="7B8F3A47" w14:textId="2F7F4D13" w:rsidR="001E627A" w:rsidRDefault="001E627A" w:rsidP="00FB59B4">
      <w:r>
        <w:t>If you are registered for claim</w:t>
      </w:r>
      <w:r w:rsidR="00D13AFB">
        <w:t>s</w:t>
      </w:r>
      <w:r>
        <w:t xml:space="preserve"> relating to the agricultural, forestry an</w:t>
      </w:r>
      <w:r w:rsidR="00D13AFB">
        <w:t xml:space="preserve">d fishing sectors you can lodge </w:t>
      </w:r>
      <w:r>
        <w:t>your southbound good claims</w:t>
      </w:r>
      <w:r w:rsidR="00F16FF3">
        <w:t xml:space="preserve"> without first registering the items</w:t>
      </w:r>
      <w:r>
        <w:t>. Services Australia will determine if your goods are eligible upon receipt of your claim.  You may be asked to provide further information about the goods being claimed.</w:t>
      </w:r>
    </w:p>
    <w:p w14:paraId="48081A32" w14:textId="77777777" w:rsidR="00500B39" w:rsidRDefault="00500B39" w:rsidP="00500B39">
      <w:pPr>
        <w:pStyle w:val="Heading3"/>
      </w:pPr>
      <w:r>
        <w:t>3. Make a TFES southbound claim</w:t>
      </w:r>
    </w:p>
    <w:p w14:paraId="250B6AE7" w14:textId="77777777" w:rsidR="008A02D6" w:rsidRDefault="00500B39" w:rsidP="00500B39">
      <w:r>
        <w:t>Once you have been registered as an eligible TFES southbound claimant and have registered new items for which you want to claim TFES southbound assistance</w:t>
      </w:r>
      <w:r w:rsidR="001E627A">
        <w:t xml:space="preserve"> (manufacturing and mining industries only)</w:t>
      </w:r>
      <w:r>
        <w:t xml:space="preserve">, you </w:t>
      </w:r>
      <w:r w:rsidR="004574FA">
        <w:t>can lodge a</w:t>
      </w:r>
      <w:r w:rsidR="008A02D6">
        <w:t xml:space="preserve"> southbound claim.</w:t>
      </w:r>
    </w:p>
    <w:p w14:paraId="7430968C" w14:textId="77777777" w:rsidR="00073578" w:rsidRDefault="008A02D6" w:rsidP="008A02D6">
      <w:r>
        <w:t xml:space="preserve">Claims </w:t>
      </w:r>
      <w:r w:rsidR="00F16FF3">
        <w:t>should</w:t>
      </w:r>
      <w:r>
        <w:t xml:space="preserve"> be made </w:t>
      </w:r>
      <w:r w:rsidR="004574FA">
        <w:t>online using the logon ID and password provided when you registered.</w:t>
      </w:r>
      <w:r w:rsidR="001E627A">
        <w:t xml:space="preserve"> </w:t>
      </w:r>
      <w:r w:rsidR="00F16FF3">
        <w:t>Evidence must be uploaded online to support all details of your claim.</w:t>
      </w:r>
    </w:p>
    <w:p w14:paraId="79E1D11E" w14:textId="29CAE2DB" w:rsidR="00500B39" w:rsidRDefault="004574FA" w:rsidP="008A02D6">
      <w:r>
        <w:t xml:space="preserve">If you are unable to lodge an online </w:t>
      </w:r>
      <w:r w:rsidR="003F58CD">
        <w:t>claim,</w:t>
      </w:r>
      <w:r>
        <w:t xml:space="preserve"> you </w:t>
      </w:r>
      <w:r w:rsidR="00500B39">
        <w:t>can complete and submit the following form to Services Australia:</w:t>
      </w:r>
    </w:p>
    <w:p w14:paraId="67206DBF" w14:textId="734AB190" w:rsidR="00500B39" w:rsidRDefault="00500B39" w:rsidP="00500B39">
      <w:pPr>
        <w:pStyle w:val="ListParagraph"/>
        <w:numPr>
          <w:ilvl w:val="0"/>
          <w:numId w:val="6"/>
        </w:numPr>
        <w:spacing w:before="0" w:after="0" w:line="312" w:lineRule="auto"/>
        <w:ind w:left="714" w:hanging="357"/>
        <w:contextualSpacing w:val="0"/>
      </w:pPr>
      <w:r w:rsidRPr="00EC0360">
        <w:rPr>
          <w:i/>
        </w:rPr>
        <w:t>Claim for Assistance – Domestic goods</w:t>
      </w:r>
      <w:r>
        <w:rPr>
          <w:i/>
        </w:rPr>
        <w:t xml:space="preserve"> form</w:t>
      </w:r>
      <w:r>
        <w:t xml:space="preserve"> (</w:t>
      </w:r>
      <w:r w:rsidRPr="00EC0360">
        <w:rPr>
          <w:b/>
        </w:rPr>
        <w:t>TAS002</w:t>
      </w:r>
      <w:r>
        <w:t>)</w:t>
      </w:r>
    </w:p>
    <w:p w14:paraId="138AE471" w14:textId="159BF537" w:rsidR="00F16FF3" w:rsidRDefault="00F16FF3" w:rsidP="002808CC">
      <w:r>
        <w:lastRenderedPageBreak/>
        <w:t>E</w:t>
      </w:r>
      <w:r w:rsidRPr="002808CC">
        <w:t>vidence must be attached to the form to support all details of your claim.</w:t>
      </w:r>
    </w:p>
    <w:p w14:paraId="12DAA6F9" w14:textId="38652051" w:rsidR="001E627A" w:rsidRPr="008B2700" w:rsidRDefault="00500B39" w:rsidP="002808CC">
      <w:r w:rsidRPr="008B2700">
        <w:t>Please note there are different requirements</w:t>
      </w:r>
      <w:r>
        <w:t xml:space="preserve"> </w:t>
      </w:r>
      <w:r w:rsidRPr="008B2700">
        <w:t xml:space="preserve">for the lodgement of </w:t>
      </w:r>
      <w:r w:rsidR="008A02D6">
        <w:t xml:space="preserve">different types of </w:t>
      </w:r>
      <w:r w:rsidRPr="008B2700">
        <w:t>TFES southbound claims</w:t>
      </w:r>
      <w:r w:rsidR="008A02D6">
        <w:t xml:space="preserve">.  </w:t>
      </w:r>
      <w:r w:rsidR="001E627A">
        <w:br/>
      </w:r>
    </w:p>
    <w:p w14:paraId="034F0536" w14:textId="77777777" w:rsidR="00616220" w:rsidRPr="008B2700" w:rsidRDefault="00616220" w:rsidP="00616220">
      <w:pPr>
        <w:spacing w:before="120" w:after="200" w:line="312" w:lineRule="auto"/>
        <w:ind w:left="360"/>
      </w:pPr>
    </w:p>
    <w:tbl>
      <w:tblPr>
        <w:tblStyle w:val="LightShading-Accent1"/>
        <w:tblpPr w:leftFromText="180" w:rightFromText="180" w:vertAnchor="page" w:horzAnchor="margin" w:tblpY="3899"/>
        <w:tblW w:w="10343" w:type="dxa"/>
        <w:tblBorders>
          <w:top w:val="single" w:sz="4" w:space="0" w:color="002D72" w:themeColor="accent1"/>
          <w:left w:val="single" w:sz="4" w:space="0" w:color="002D72" w:themeColor="accent1"/>
          <w:bottom w:val="single" w:sz="4" w:space="0" w:color="002D72" w:themeColor="accent1"/>
          <w:right w:val="single" w:sz="4" w:space="0" w:color="002D72" w:themeColor="accent1"/>
        </w:tblBorders>
        <w:shd w:val="clear" w:color="auto" w:fill="AFCEFF" w:themeFill="text1" w:themeFillTint="33"/>
        <w:tblLook w:val="04A0" w:firstRow="1" w:lastRow="0" w:firstColumn="1" w:lastColumn="0" w:noHBand="0" w:noVBand="1"/>
        <w:tblCaption w:val="Box text"/>
        <w:tblDescription w:val="Box text as described"/>
      </w:tblPr>
      <w:tblGrid>
        <w:gridCol w:w="1271"/>
        <w:gridCol w:w="9072"/>
      </w:tblGrid>
      <w:tr w:rsidR="00500B39" w14:paraId="44BF8AA9" w14:textId="77777777" w:rsidTr="00073578">
        <w:trPr>
          <w:cnfStyle w:val="100000000000" w:firstRow="1" w:lastRow="0" w:firstColumn="0" w:lastColumn="0" w:oddVBand="0" w:evenVBand="0" w:oddHBand="0"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left w:val="none" w:sz="0" w:space="0" w:color="auto"/>
              <w:bottom w:val="none" w:sz="0" w:space="0" w:color="auto"/>
              <w:right w:val="none" w:sz="0" w:space="0" w:color="auto"/>
            </w:tcBorders>
            <w:shd w:val="clear" w:color="auto" w:fill="AFCEFF" w:themeFill="text1" w:themeFillTint="33"/>
          </w:tcPr>
          <w:p w14:paraId="31036704" w14:textId="77777777" w:rsidR="00500B39" w:rsidRDefault="00500B39" w:rsidP="00073578">
            <w:pPr>
              <w:ind w:left="30"/>
            </w:pPr>
            <w:r w:rsidRPr="00FE3945">
              <w:rPr>
                <w:noProof/>
                <w:lang w:eastAsia="en-AU"/>
              </w:rPr>
              <w:drawing>
                <wp:anchor distT="0" distB="0" distL="114300" distR="114300" simplePos="0" relativeHeight="251663360" behindDoc="0" locked="0" layoutInCell="1" allowOverlap="1" wp14:anchorId="65D4A169" wp14:editId="294131C8">
                  <wp:simplePos x="0" y="0"/>
                  <wp:positionH relativeFrom="column">
                    <wp:posOffset>36446</wp:posOffset>
                  </wp:positionH>
                  <wp:positionV relativeFrom="paragraph">
                    <wp:posOffset>68521</wp:posOffset>
                  </wp:positionV>
                  <wp:extent cx="520995" cy="503819"/>
                  <wp:effectExtent l="0" t="0" r="0" b="0"/>
                  <wp:wrapNone/>
                  <wp:docPr id="4" name="Picture 2" descr="Icon" title="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sriskandarajah\AppData\Local\Microsoft\Windows\Temporary Internet Files\Content.IE5\BL5BSXG9\MC900442164[1].png"/>
                          <pic:cNvPicPr>
                            <a:picLocks noChangeAspect="1" noChangeArrowheads="1"/>
                          </pic:cNvPicPr>
                        </pic:nvPicPr>
                        <pic:blipFill>
                          <a:blip r:embed="rId9" cstate="print"/>
                          <a:srcRect/>
                          <a:stretch>
                            <a:fillRect/>
                          </a:stretch>
                        </pic:blipFill>
                        <pic:spPr bwMode="auto">
                          <a:xfrm>
                            <a:off x="0" y="0"/>
                            <a:ext cx="523706" cy="506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9072" w:type="dxa"/>
            <w:tcBorders>
              <w:top w:val="none" w:sz="0" w:space="0" w:color="auto"/>
              <w:left w:val="none" w:sz="0" w:space="0" w:color="auto"/>
              <w:bottom w:val="none" w:sz="0" w:space="0" w:color="auto"/>
              <w:right w:val="none" w:sz="0" w:space="0" w:color="auto"/>
            </w:tcBorders>
            <w:shd w:val="clear" w:color="auto" w:fill="AFCEFF" w:themeFill="text1" w:themeFillTint="33"/>
          </w:tcPr>
          <w:p w14:paraId="6A93BFB8" w14:textId="77777777" w:rsidR="00500B39" w:rsidRPr="00D663B5" w:rsidRDefault="00500B39" w:rsidP="00073578">
            <w:pPr>
              <w:spacing w:before="240"/>
              <w:ind w:right="454"/>
              <w:cnfStyle w:val="100000000000" w:firstRow="1" w:lastRow="0" w:firstColumn="0" w:lastColumn="0" w:oddVBand="0" w:evenVBand="0" w:oddHBand="0" w:evenHBand="0" w:firstRowFirstColumn="0" w:firstRowLastColumn="0" w:lastRowFirstColumn="0" w:lastRowLastColumn="0"/>
            </w:pPr>
            <w:r w:rsidRPr="00D663B5">
              <w:t>Determining eligible goods and engagement in an eligible industry</w:t>
            </w:r>
          </w:p>
          <w:p w14:paraId="412EE9AF" w14:textId="1A958EBB" w:rsidR="00500B39" w:rsidRDefault="00500B39" w:rsidP="00073578">
            <w:pPr>
              <w:ind w:right="454"/>
              <w:cnfStyle w:val="100000000000" w:firstRow="1" w:lastRow="0" w:firstColumn="0" w:lastColumn="0" w:oddVBand="0" w:evenVBand="0" w:oddHBand="0" w:evenHBand="0" w:firstRowFirstColumn="0" w:firstRowLastColumn="0" w:lastRowFirstColumn="0" w:lastRowLastColumn="0"/>
              <w:rPr>
                <w:b w:val="0"/>
              </w:rPr>
            </w:pPr>
            <w:r>
              <w:rPr>
                <w:b w:val="0"/>
              </w:rPr>
              <w:t xml:space="preserve">To be eligible for TFES southbound assistance, you need to be </w:t>
            </w:r>
            <w:r w:rsidR="00EE276B">
              <w:rPr>
                <w:b w:val="0"/>
              </w:rPr>
              <w:t>predomina</w:t>
            </w:r>
            <w:r w:rsidR="00D13AFB">
              <w:rPr>
                <w:b w:val="0"/>
              </w:rPr>
              <w:t>n</w:t>
            </w:r>
            <w:r w:rsidR="00EE276B">
              <w:rPr>
                <w:b w:val="0"/>
              </w:rPr>
              <w:t xml:space="preserve">tly </w:t>
            </w:r>
            <w:r>
              <w:rPr>
                <w:b w:val="0"/>
              </w:rPr>
              <w:t xml:space="preserve">engaged in the </w:t>
            </w:r>
            <w:r w:rsidRPr="00A30D46">
              <w:rPr>
                <w:b w:val="0"/>
              </w:rPr>
              <w:t>manufacturing, min</w:t>
            </w:r>
            <w:r w:rsidR="00DD20BE">
              <w:rPr>
                <w:b w:val="0"/>
              </w:rPr>
              <w:t>ing, or agriculture, forestry and</w:t>
            </w:r>
            <w:r w:rsidRPr="00A30D46">
              <w:rPr>
                <w:b w:val="0"/>
              </w:rPr>
              <w:t xml:space="preserve"> fishing</w:t>
            </w:r>
            <w:r>
              <w:rPr>
                <w:b w:val="0"/>
              </w:rPr>
              <w:t xml:space="preserve"> industry.</w:t>
            </w:r>
          </w:p>
          <w:p w14:paraId="3FC7B15F" w14:textId="520C1429" w:rsidR="00500B39" w:rsidRDefault="00500B39" w:rsidP="00073578">
            <w:pPr>
              <w:cnfStyle w:val="100000000000" w:firstRow="1" w:lastRow="0" w:firstColumn="0" w:lastColumn="0" w:oddVBand="0" w:evenVBand="0" w:oddHBand="0" w:evenHBand="0" w:firstRowFirstColumn="0" w:firstRowLastColumn="0" w:lastRowFirstColumn="0" w:lastRowLastColumn="0"/>
              <w:rPr>
                <w:b w:val="0"/>
              </w:rPr>
            </w:pPr>
            <w:r>
              <w:rPr>
                <w:b w:val="0"/>
              </w:rPr>
              <w:t xml:space="preserve">Furthermore, you also need to provide evidence that the good for which you wish to claim assistance is (depending on your industry) </w:t>
            </w:r>
            <w:r w:rsidR="0082798E">
              <w:rPr>
                <w:b w:val="0"/>
              </w:rPr>
              <w:t xml:space="preserve">a </w:t>
            </w:r>
            <w:r>
              <w:rPr>
                <w:b w:val="0"/>
              </w:rPr>
              <w:t>raw material, material input, equipment, machinery or implement necessary for your key business activities.</w:t>
            </w:r>
          </w:p>
          <w:p w14:paraId="6AEC5856" w14:textId="77777777" w:rsidR="00500B39" w:rsidRDefault="00500B39" w:rsidP="00073578">
            <w:pPr>
              <w:ind w:right="454"/>
              <w:cnfStyle w:val="100000000000" w:firstRow="1" w:lastRow="0" w:firstColumn="0" w:lastColumn="0" w:oddVBand="0" w:evenVBand="0" w:oddHBand="0" w:evenHBand="0" w:firstRowFirstColumn="0" w:firstRowLastColumn="0" w:lastRowFirstColumn="0" w:lastRowLastColumn="0"/>
              <w:rPr>
                <w:b w:val="0"/>
              </w:rPr>
            </w:pPr>
            <w:r>
              <w:rPr>
                <w:b w:val="0"/>
              </w:rPr>
              <w:t>An example of a claimant shipping eligible goods whilst engaged in eligible industry includes:</w:t>
            </w:r>
          </w:p>
          <w:p w14:paraId="0805B862" w14:textId="4653E504" w:rsidR="00500B39" w:rsidRPr="00D663B5" w:rsidRDefault="00500B39" w:rsidP="00073578">
            <w:pPr>
              <w:pStyle w:val="ListParagraph"/>
              <w:numPr>
                <w:ilvl w:val="0"/>
                <w:numId w:val="9"/>
              </w:numPr>
              <w:spacing w:before="120" w:after="0" w:line="312" w:lineRule="auto"/>
              <w:ind w:left="463" w:right="454" w:hanging="283"/>
              <w:cnfStyle w:val="100000000000" w:firstRow="1" w:lastRow="0" w:firstColumn="0" w:lastColumn="0" w:oddVBand="0" w:evenVBand="0" w:oddHBand="0" w:evenHBand="0" w:firstRowFirstColumn="0" w:firstRowLastColumn="0" w:lastRowFirstColumn="0" w:lastRowLastColumn="0"/>
              <w:rPr>
                <w:b w:val="0"/>
              </w:rPr>
            </w:pPr>
            <w:r w:rsidRPr="00D663B5">
              <w:rPr>
                <w:b w:val="0"/>
              </w:rPr>
              <w:t xml:space="preserve">A </w:t>
            </w:r>
            <w:r>
              <w:rPr>
                <w:b w:val="0"/>
              </w:rPr>
              <w:t>manufacturer</w:t>
            </w:r>
            <w:r w:rsidRPr="00D663B5">
              <w:rPr>
                <w:b w:val="0"/>
              </w:rPr>
              <w:t xml:space="preserve"> requir</w:t>
            </w:r>
            <w:r>
              <w:rPr>
                <w:b w:val="0"/>
              </w:rPr>
              <w:t>ing</w:t>
            </w:r>
            <w:r w:rsidRPr="00D663B5">
              <w:rPr>
                <w:b w:val="0"/>
              </w:rPr>
              <w:t xml:space="preserve"> </w:t>
            </w:r>
            <w:r>
              <w:rPr>
                <w:b w:val="0"/>
              </w:rPr>
              <w:t>specialised tooling</w:t>
            </w:r>
            <w:r w:rsidRPr="00D663B5">
              <w:rPr>
                <w:b w:val="0"/>
              </w:rPr>
              <w:t xml:space="preserve"> </w:t>
            </w:r>
            <w:r>
              <w:rPr>
                <w:b w:val="0"/>
              </w:rPr>
              <w:t>shipped from the mainland to conduct their primary business activity of manufacturing automotive parts</w:t>
            </w:r>
            <w:r w:rsidRPr="00D663B5">
              <w:rPr>
                <w:b w:val="0"/>
              </w:rPr>
              <w:t>.</w:t>
            </w:r>
          </w:p>
          <w:p w14:paraId="5E7F32AF" w14:textId="166AEB58" w:rsidR="00500B39" w:rsidRDefault="00500B39" w:rsidP="00073578">
            <w:pPr>
              <w:ind w:right="454"/>
              <w:cnfStyle w:val="100000000000" w:firstRow="1" w:lastRow="0" w:firstColumn="0" w:lastColumn="0" w:oddVBand="0" w:evenVBand="0" w:oddHBand="0" w:evenHBand="0" w:firstRowFirstColumn="0" w:firstRowLastColumn="0" w:lastRowFirstColumn="0" w:lastRowLastColumn="0"/>
              <w:rPr>
                <w:b w:val="0"/>
              </w:rPr>
            </w:pPr>
            <w:r>
              <w:rPr>
                <w:b w:val="0"/>
              </w:rPr>
              <w:t>Services Australia may require further advice or evidence from you on your predomina</w:t>
            </w:r>
            <w:r w:rsidR="00147920">
              <w:rPr>
                <w:b w:val="0"/>
              </w:rPr>
              <w:t>nt</w:t>
            </w:r>
            <w:r>
              <w:rPr>
                <w:b w:val="0"/>
              </w:rPr>
              <w:t xml:space="preserve"> business activity, and may use information from sources additional to </w:t>
            </w:r>
            <w:r w:rsidR="00727DB1">
              <w:rPr>
                <w:b w:val="0"/>
              </w:rPr>
              <w:t>those</w:t>
            </w:r>
            <w:r>
              <w:rPr>
                <w:b w:val="0"/>
              </w:rPr>
              <w:t xml:space="preserve"> you provided to determine your engagement in an eligible industry, and the eligibility of the claimed good.</w:t>
            </w:r>
          </w:p>
          <w:p w14:paraId="50C84E6C" w14:textId="51841E23" w:rsidR="00500B39" w:rsidRDefault="00500B39" w:rsidP="00073578">
            <w:pPr>
              <w:ind w:right="454"/>
              <w:cnfStyle w:val="100000000000" w:firstRow="1" w:lastRow="0" w:firstColumn="0" w:lastColumn="0" w:oddVBand="0" w:evenVBand="0" w:oddHBand="0" w:evenHBand="0" w:firstRowFirstColumn="0" w:firstRowLastColumn="0" w:lastRowFirstColumn="0" w:lastRowLastColumn="0"/>
              <w:rPr>
                <w:b w:val="0"/>
              </w:rPr>
            </w:pPr>
            <w:r>
              <w:rPr>
                <w:b w:val="0"/>
              </w:rPr>
              <w:t xml:space="preserve">The </w:t>
            </w:r>
            <w:hyperlink r:id="rId10" w:history="1">
              <w:r w:rsidRPr="00C13492">
                <w:rPr>
                  <w:rStyle w:val="Hyperlink"/>
                  <w:b w:val="0"/>
                  <w:bCs w:val="0"/>
                </w:rPr>
                <w:t>Australian and New Zealand Standard Industrial Classification (ANZSIC) 2006</w:t>
              </w:r>
            </w:hyperlink>
            <w:r>
              <w:rPr>
                <w:b w:val="0"/>
              </w:rPr>
              <w:t xml:space="preserve"> is a key source of information on the classification of Australian business activities.  For more information on the use and relevance of the ANZSIC to TFES, please refer to the TFES Information Paper – ANZSIC.</w:t>
            </w:r>
          </w:p>
          <w:p w14:paraId="2F755FD3" w14:textId="77777777" w:rsidR="00500B39" w:rsidRDefault="00500B39" w:rsidP="00073578">
            <w:pPr>
              <w:ind w:right="454"/>
              <w:cnfStyle w:val="100000000000" w:firstRow="1" w:lastRow="0" w:firstColumn="0" w:lastColumn="0" w:oddVBand="0" w:evenVBand="0" w:oddHBand="0" w:evenHBand="0" w:firstRowFirstColumn="0" w:firstRowLastColumn="0" w:lastRowFirstColumn="0" w:lastRowLastColumn="0"/>
              <w:rPr>
                <w:b w:val="0"/>
              </w:rPr>
            </w:pPr>
            <w:r>
              <w:rPr>
                <w:b w:val="0"/>
              </w:rPr>
              <w:t>Claims from individuals or business entities that cannot show sufficient engagement in an eligible industry, or can only show engagement in an eligible industry that is not related to their primary business activity may be refused registration.</w:t>
            </w:r>
          </w:p>
          <w:p w14:paraId="44E9EC48" w14:textId="2B5FB980" w:rsidR="00500B39" w:rsidRDefault="00500B39" w:rsidP="00073578">
            <w:pPr>
              <w:ind w:right="454"/>
              <w:cnfStyle w:val="100000000000" w:firstRow="1" w:lastRow="0" w:firstColumn="0" w:lastColumn="0" w:oddVBand="0" w:evenVBand="0" w:oddHBand="0" w:evenHBand="0" w:firstRowFirstColumn="0" w:firstRowLastColumn="0" w:lastRowFirstColumn="0" w:lastRowLastColumn="0"/>
              <w:rPr>
                <w:b w:val="0"/>
              </w:rPr>
            </w:pPr>
            <w:r>
              <w:rPr>
                <w:b w:val="0"/>
              </w:rPr>
              <w:t>Services Australia will similarly assess the extent to which the good you wish to receive transport assistance for is actually used in your business activities, and may refuse claims for goods that show no or weak links to the primary business activities you undertake.</w:t>
            </w:r>
          </w:p>
          <w:p w14:paraId="5D1A5CB2" w14:textId="77777777" w:rsidR="00500B39" w:rsidRDefault="00500B39" w:rsidP="00073578">
            <w:pPr>
              <w:ind w:right="454"/>
              <w:cnfStyle w:val="100000000000" w:firstRow="1" w:lastRow="0" w:firstColumn="0" w:lastColumn="0" w:oddVBand="0" w:evenVBand="0" w:oddHBand="0" w:evenHBand="0" w:firstRowFirstColumn="0" w:firstRowLastColumn="0" w:lastRowFirstColumn="0" w:lastRowLastColumn="0"/>
              <w:rPr>
                <w:b w:val="0"/>
              </w:rPr>
            </w:pPr>
            <w:r>
              <w:rPr>
                <w:b w:val="0"/>
              </w:rPr>
              <w:t>Examples of applications for registration or claims that would be refused assistance under TFES southbound:</w:t>
            </w:r>
          </w:p>
          <w:p w14:paraId="576310FF" w14:textId="125C3301" w:rsidR="00500B39" w:rsidRPr="00FE7B00" w:rsidRDefault="00500B39" w:rsidP="00073578">
            <w:pPr>
              <w:pStyle w:val="ListParagraph"/>
              <w:numPr>
                <w:ilvl w:val="0"/>
                <w:numId w:val="10"/>
              </w:numPr>
              <w:spacing w:before="120" w:after="0" w:line="312" w:lineRule="auto"/>
              <w:ind w:right="454"/>
              <w:cnfStyle w:val="100000000000" w:firstRow="1" w:lastRow="0" w:firstColumn="0" w:lastColumn="0" w:oddVBand="0" w:evenVBand="0" w:oddHBand="0" w:evenHBand="0" w:firstRowFirstColumn="0" w:firstRowLastColumn="0" w:lastRowFirstColumn="0" w:lastRowLastColumn="0"/>
              <w:rPr>
                <w:b w:val="0"/>
              </w:rPr>
            </w:pPr>
            <w:r w:rsidRPr="00FE7B00">
              <w:rPr>
                <w:b w:val="0"/>
              </w:rPr>
              <w:t xml:space="preserve">A </w:t>
            </w:r>
            <w:r>
              <w:rPr>
                <w:b w:val="0"/>
              </w:rPr>
              <w:t xml:space="preserve">fashion </w:t>
            </w:r>
            <w:r w:rsidRPr="00FE7B00">
              <w:rPr>
                <w:b w:val="0"/>
              </w:rPr>
              <w:t xml:space="preserve">retail </w:t>
            </w:r>
            <w:r w:rsidR="00147920">
              <w:rPr>
                <w:b w:val="0"/>
              </w:rPr>
              <w:t xml:space="preserve">business </w:t>
            </w:r>
            <w:r w:rsidRPr="00FE7B00">
              <w:rPr>
                <w:b w:val="0"/>
              </w:rPr>
              <w:t>attempting to claim transport assistance for fertiliser shipped from the mainland for their hobby farm</w:t>
            </w:r>
            <w:r>
              <w:rPr>
                <w:b w:val="0"/>
              </w:rPr>
              <w:t>.</w:t>
            </w:r>
          </w:p>
          <w:p w14:paraId="0E8FFBE7" w14:textId="6744BC0E" w:rsidR="00500B39" w:rsidRPr="00793DB2" w:rsidRDefault="00500B39" w:rsidP="00073578">
            <w:pPr>
              <w:pStyle w:val="ListParagraph"/>
              <w:numPr>
                <w:ilvl w:val="0"/>
                <w:numId w:val="10"/>
              </w:numPr>
              <w:spacing w:before="120" w:after="240" w:line="312" w:lineRule="auto"/>
              <w:ind w:right="454"/>
              <w:cnfStyle w:val="100000000000" w:firstRow="1" w:lastRow="0" w:firstColumn="0" w:lastColumn="0" w:oddVBand="0" w:evenVBand="0" w:oddHBand="0" w:evenHBand="0" w:firstRowFirstColumn="0" w:firstRowLastColumn="0" w:lastRowFirstColumn="0" w:lastRowLastColumn="0"/>
              <w:rPr>
                <w:b w:val="0"/>
              </w:rPr>
            </w:pPr>
            <w:r w:rsidRPr="00FE7B00">
              <w:rPr>
                <w:b w:val="0"/>
              </w:rPr>
              <w:t xml:space="preserve">A manufacturer of </w:t>
            </w:r>
            <w:r>
              <w:rPr>
                <w:b w:val="0"/>
              </w:rPr>
              <w:t>built-to-order kitchens</w:t>
            </w:r>
            <w:r w:rsidRPr="00FE7B00">
              <w:rPr>
                <w:b w:val="0"/>
              </w:rPr>
              <w:t xml:space="preserve"> attempt</w:t>
            </w:r>
            <w:r w:rsidR="00727DB1">
              <w:rPr>
                <w:b w:val="0"/>
              </w:rPr>
              <w:t>ing</w:t>
            </w:r>
            <w:r w:rsidRPr="00FE7B00">
              <w:rPr>
                <w:b w:val="0"/>
              </w:rPr>
              <w:t xml:space="preserve"> to claim transpo</w:t>
            </w:r>
            <w:r>
              <w:rPr>
                <w:b w:val="0"/>
              </w:rPr>
              <w:t>rt assistance for a shipment of sink taps</w:t>
            </w:r>
            <w:r w:rsidR="00727DB1">
              <w:rPr>
                <w:b w:val="0"/>
              </w:rPr>
              <w:t>. The sink taps would not be considered as</w:t>
            </w:r>
            <w:r>
              <w:rPr>
                <w:b w:val="0"/>
              </w:rPr>
              <w:t xml:space="preserve"> </w:t>
            </w:r>
            <w:r w:rsidRPr="00FE7B00">
              <w:rPr>
                <w:b w:val="0"/>
              </w:rPr>
              <w:t xml:space="preserve">raw material or equipment used in the </w:t>
            </w:r>
            <w:r>
              <w:rPr>
                <w:b w:val="0"/>
              </w:rPr>
              <w:t xml:space="preserve">manufacture of kitchens, </w:t>
            </w:r>
            <w:r w:rsidR="00727DB1">
              <w:rPr>
                <w:b w:val="0"/>
              </w:rPr>
              <w:t xml:space="preserve">as they </w:t>
            </w:r>
            <w:r>
              <w:rPr>
                <w:b w:val="0"/>
              </w:rPr>
              <w:t>are associated with the installation of their kitchens.</w:t>
            </w:r>
          </w:p>
        </w:tc>
      </w:tr>
    </w:tbl>
    <w:p w14:paraId="1D4F915B" w14:textId="77777777" w:rsidR="00500B39" w:rsidRDefault="00500B39" w:rsidP="00500B39">
      <w:pPr>
        <w:pStyle w:val="Heading2"/>
      </w:pPr>
      <w:r>
        <w:lastRenderedPageBreak/>
        <w:t>Further Information</w:t>
      </w:r>
    </w:p>
    <w:p w14:paraId="10881CB7" w14:textId="77777777" w:rsidR="00500B39" w:rsidRDefault="00500B39" w:rsidP="00500B39">
      <w:pPr>
        <w:spacing w:after="120"/>
      </w:pPr>
      <w:r>
        <w:t>Please visit the Services Australia website (link below) for more detailed information on the process for submitting a southbound TFES claim.</w:t>
      </w:r>
    </w:p>
    <w:p w14:paraId="50C244FD" w14:textId="5484FDA7" w:rsidR="00500B39" w:rsidRDefault="007F5BFB" w:rsidP="00500B39">
      <w:pPr>
        <w:spacing w:before="0"/>
      </w:pPr>
      <w:hyperlink r:id="rId11" w:history="1">
        <w:r w:rsidR="00500B39" w:rsidRPr="00DD5E4A">
          <w:rPr>
            <w:rStyle w:val="Hyperlink"/>
          </w:rPr>
          <w:t>https://www.servicesaustralia.gov.au/organisations/business/services/centrelink/tasmanian-freight-equalisation-scheme</w:t>
        </w:r>
      </w:hyperlink>
      <w:r w:rsidR="00500B39">
        <w:t xml:space="preserve"> </w:t>
      </w:r>
    </w:p>
    <w:p w14:paraId="3B849B18" w14:textId="77777777" w:rsidR="00500B39" w:rsidRDefault="00500B39" w:rsidP="00500B39">
      <w:pPr>
        <w:pStyle w:val="Heading2"/>
      </w:pPr>
      <w:r>
        <w:t>Contact Us</w:t>
      </w:r>
    </w:p>
    <w:p w14:paraId="693EABC0" w14:textId="39DFF8F1" w:rsidR="00500B39" w:rsidRPr="006679E1" w:rsidRDefault="00500B39" w:rsidP="00500B39">
      <w:pPr>
        <w:rPr>
          <w:b/>
        </w:rPr>
      </w:pPr>
      <w:r w:rsidRPr="006679E1">
        <w:rPr>
          <w:b/>
        </w:rPr>
        <w:t xml:space="preserve">Department of Infrastructure, Transport, </w:t>
      </w:r>
      <w:r w:rsidR="006679E1" w:rsidRPr="006679E1">
        <w:rPr>
          <w:b/>
        </w:rPr>
        <w:t>Regional Development</w:t>
      </w:r>
      <w:r w:rsidR="00384F8F">
        <w:rPr>
          <w:b/>
        </w:rPr>
        <w:t xml:space="preserve">, </w:t>
      </w:r>
      <w:r w:rsidR="006679E1">
        <w:rPr>
          <w:b/>
        </w:rPr>
        <w:t>Communications</w:t>
      </w:r>
      <w:r w:rsidR="00384F8F">
        <w:rPr>
          <w:b/>
        </w:rPr>
        <w:t xml:space="preserve"> and the Arts</w:t>
      </w:r>
    </w:p>
    <w:p w14:paraId="244FE242" w14:textId="38C17A56" w:rsidR="00500B39" w:rsidRDefault="00500B39" w:rsidP="00500B39">
      <w:r>
        <w:t>Enquiries relating to TFES poli</w:t>
      </w:r>
      <w:r w:rsidR="006679E1">
        <w:t>cy</w:t>
      </w:r>
      <w:r>
        <w:t xml:space="preserve"> should be dire</w:t>
      </w:r>
      <w:r w:rsidR="006679E1">
        <w:t>cted to:</w:t>
      </w:r>
    </w:p>
    <w:p w14:paraId="27A7BAF8" w14:textId="5B155A18" w:rsidR="00500B39" w:rsidRDefault="007F5BFB" w:rsidP="006679E1">
      <w:pPr>
        <w:spacing w:before="0" w:after="0" w:line="240" w:lineRule="auto"/>
      </w:pPr>
      <w:r>
        <w:t>Regulation and</w:t>
      </w:r>
      <w:bookmarkStart w:id="0" w:name="_GoBack"/>
      <w:bookmarkEnd w:id="0"/>
      <w:r w:rsidR="00500B39">
        <w:t xml:space="preserve"> Programs Section</w:t>
      </w:r>
    </w:p>
    <w:p w14:paraId="68BC9063" w14:textId="28918180" w:rsidR="00500B39" w:rsidRDefault="00500B39" w:rsidP="006679E1">
      <w:pPr>
        <w:spacing w:before="0" w:after="0" w:line="240" w:lineRule="auto"/>
      </w:pPr>
      <w:r>
        <w:t>Department of Infrastructure, Transport, Regional Development</w:t>
      </w:r>
      <w:r w:rsidR="00384F8F">
        <w:t xml:space="preserve">, </w:t>
      </w:r>
      <w:r w:rsidR="00E45416">
        <w:t>Communications</w:t>
      </w:r>
      <w:r w:rsidR="00384F8F">
        <w:t xml:space="preserve"> and the Arts</w:t>
      </w:r>
    </w:p>
    <w:p w14:paraId="24FC0D11" w14:textId="77777777" w:rsidR="00500B39" w:rsidRDefault="00500B39" w:rsidP="006679E1">
      <w:pPr>
        <w:spacing w:before="0" w:after="0" w:line="240" w:lineRule="auto"/>
      </w:pPr>
      <w:r>
        <w:t>GPO BOX 594</w:t>
      </w:r>
    </w:p>
    <w:p w14:paraId="748E1C9D" w14:textId="77777777" w:rsidR="00500B39" w:rsidRDefault="006679E1" w:rsidP="006679E1">
      <w:pPr>
        <w:spacing w:before="0" w:after="0" w:line="240" w:lineRule="auto"/>
      </w:pPr>
      <w:r>
        <w:t>Canberra ACT 2601</w:t>
      </w:r>
    </w:p>
    <w:p w14:paraId="0AECB244" w14:textId="0D03E0D0" w:rsidR="00500B39" w:rsidRDefault="00500B39" w:rsidP="00500B39">
      <w:r>
        <w:t xml:space="preserve">Email: </w:t>
      </w:r>
      <w:hyperlink r:id="rId12" w:history="1">
        <w:r w:rsidR="006679E1" w:rsidRPr="00DD5E4A">
          <w:rPr>
            <w:rStyle w:val="Hyperlink"/>
          </w:rPr>
          <w:t>TasmanianShipping@infrastructure.gov.au</w:t>
        </w:r>
      </w:hyperlink>
      <w:r w:rsidR="006679E1">
        <w:t xml:space="preserve"> </w:t>
      </w:r>
    </w:p>
    <w:p w14:paraId="357F9EAA" w14:textId="77777777" w:rsidR="006679E1" w:rsidRDefault="006679E1" w:rsidP="00500B39"/>
    <w:p w14:paraId="7BF6AFEE" w14:textId="77777777" w:rsidR="006679E1" w:rsidRPr="006679E1" w:rsidRDefault="00E459A5" w:rsidP="006679E1">
      <w:r>
        <w:rPr>
          <w:b/>
          <w:bCs/>
          <w:lang w:val="en-US"/>
        </w:rPr>
        <w:t>Services Australia</w:t>
      </w:r>
    </w:p>
    <w:p w14:paraId="41C824F0" w14:textId="77777777" w:rsidR="006679E1" w:rsidRPr="006679E1" w:rsidRDefault="006679E1" w:rsidP="006679E1">
      <w:r w:rsidRPr="006679E1">
        <w:rPr>
          <w:lang w:val="en-US"/>
        </w:rPr>
        <w:t>Enquiries relating to program delivery, claims, payments and other operational matters should be directed to:</w:t>
      </w:r>
    </w:p>
    <w:p w14:paraId="363DDF2F" w14:textId="77777777" w:rsidR="006679E1" w:rsidRPr="006679E1" w:rsidRDefault="006679E1" w:rsidP="006679E1">
      <w:pPr>
        <w:spacing w:before="0" w:after="0" w:line="240" w:lineRule="auto"/>
      </w:pPr>
      <w:r w:rsidRPr="006679E1">
        <w:t xml:space="preserve">Tasmanian Transport Programs </w:t>
      </w:r>
    </w:p>
    <w:p w14:paraId="7EA7D94C" w14:textId="77777777" w:rsidR="006679E1" w:rsidRPr="006679E1" w:rsidRDefault="006679E1" w:rsidP="006679E1">
      <w:pPr>
        <w:spacing w:before="0" w:after="0" w:line="240" w:lineRule="auto"/>
      </w:pPr>
      <w:r>
        <w:t>Services Australia</w:t>
      </w:r>
    </w:p>
    <w:p w14:paraId="084846E7" w14:textId="77777777" w:rsidR="006679E1" w:rsidRPr="006679E1" w:rsidRDefault="006679E1" w:rsidP="006679E1">
      <w:pPr>
        <w:spacing w:before="0" w:after="0" w:line="240" w:lineRule="auto"/>
      </w:pPr>
      <w:r w:rsidRPr="006679E1">
        <w:t xml:space="preserve">GPO Box 1269 </w:t>
      </w:r>
    </w:p>
    <w:p w14:paraId="57D4BCFF" w14:textId="77777777" w:rsidR="006679E1" w:rsidRPr="006679E1" w:rsidRDefault="006679E1" w:rsidP="006679E1">
      <w:pPr>
        <w:spacing w:before="0" w:after="0" w:line="240" w:lineRule="auto"/>
      </w:pPr>
      <w:r w:rsidRPr="006679E1">
        <w:t xml:space="preserve">HOBART TAS 7001 </w:t>
      </w:r>
    </w:p>
    <w:p w14:paraId="17635B81" w14:textId="77777777" w:rsidR="006679E1" w:rsidRPr="006679E1" w:rsidRDefault="006679E1" w:rsidP="006679E1">
      <w:pPr>
        <w:spacing w:before="0" w:after="0" w:line="240" w:lineRule="auto"/>
      </w:pPr>
      <w:r w:rsidRPr="006679E1">
        <w:t>Phone: 13 11 58</w:t>
      </w:r>
    </w:p>
    <w:p w14:paraId="59BA27AC" w14:textId="717F19B8" w:rsidR="006679E1" w:rsidRPr="006679E1" w:rsidRDefault="006679E1" w:rsidP="006679E1">
      <w:pPr>
        <w:spacing w:before="0" w:after="0" w:line="240" w:lineRule="auto"/>
      </w:pPr>
      <w:r w:rsidRPr="006679E1">
        <w:t xml:space="preserve">Fax: (03) </w:t>
      </w:r>
      <w:r w:rsidR="00C34A2F">
        <w:t>6208 9976</w:t>
      </w:r>
      <w:r w:rsidRPr="006679E1">
        <w:t xml:space="preserve"> </w:t>
      </w:r>
    </w:p>
    <w:p w14:paraId="5590DA15" w14:textId="68D449AD" w:rsidR="006679E1" w:rsidRPr="006679E1" w:rsidRDefault="006679E1" w:rsidP="006679E1">
      <w:r w:rsidRPr="006679E1">
        <w:t xml:space="preserve">Email: </w:t>
      </w:r>
      <w:hyperlink r:id="rId13" w:history="1">
        <w:r w:rsidR="008C0E1F" w:rsidRPr="007C1BBC">
          <w:rPr>
            <w:rStyle w:val="Hyperlink"/>
          </w:rPr>
          <w:t>tfes.support@servicesaustralia.gov.au</w:t>
        </w:r>
      </w:hyperlink>
      <w:r w:rsidR="008C0E1F">
        <w:t xml:space="preserve"> </w:t>
      </w:r>
      <w:r w:rsidRPr="006679E1">
        <w:t xml:space="preserve"> </w:t>
      </w:r>
    </w:p>
    <w:p w14:paraId="310B4759" w14:textId="77777777" w:rsidR="006679E1" w:rsidRPr="002B20F1" w:rsidRDefault="006679E1" w:rsidP="00500B39"/>
    <w:p w14:paraId="18BCF481" w14:textId="6B8A706E" w:rsidR="00664E54" w:rsidRPr="00263E49" w:rsidRDefault="00263E49" w:rsidP="00BF771A">
      <w:pPr>
        <w:pStyle w:val="Bullet"/>
        <w:numPr>
          <w:ilvl w:val="0"/>
          <w:numId w:val="0"/>
        </w:numPr>
        <w:rPr>
          <w:sz w:val="24"/>
          <w:szCs w:val="24"/>
        </w:rPr>
      </w:pPr>
      <w:r w:rsidRPr="00263E49">
        <w:rPr>
          <w:sz w:val="24"/>
          <w:szCs w:val="24"/>
        </w:rPr>
        <w:t>For further information, please see Clauses 2.8 to 2.11 and Clause 4.14 of the TFES Ministerial Directions</w:t>
      </w:r>
    </w:p>
    <w:sectPr w:rsidR="00664E54" w:rsidRPr="00263E49" w:rsidSect="00616220">
      <w:headerReference w:type="default" r:id="rId14"/>
      <w:footerReference w:type="default" r:id="rId15"/>
      <w:headerReference w:type="first" r:id="rId16"/>
      <w:footerReference w:type="first" r:id="rId17"/>
      <w:type w:val="continuous"/>
      <w:pgSz w:w="11906" w:h="16838" w:code="9"/>
      <w:pgMar w:top="2835" w:right="1049" w:bottom="568" w:left="1049"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D43D2" w14:textId="77777777" w:rsidR="00F427EC" w:rsidRDefault="00F427EC" w:rsidP="003C4540">
      <w:pPr>
        <w:spacing w:after="0" w:line="240" w:lineRule="auto"/>
      </w:pPr>
      <w:r>
        <w:separator/>
      </w:r>
    </w:p>
  </w:endnote>
  <w:endnote w:type="continuationSeparator" w:id="0">
    <w:p w14:paraId="66692DB8" w14:textId="77777777" w:rsidR="00F427EC" w:rsidRDefault="00F427EC" w:rsidP="003C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09E38" w14:textId="0BBDBF7F" w:rsidR="00260630" w:rsidRDefault="007F5BFB" w:rsidP="00260630">
    <w:pPr>
      <w:pStyle w:val="Footer"/>
      <w:tabs>
        <w:tab w:val="clear" w:pos="4513"/>
        <w:tab w:val="clear" w:pos="9026"/>
        <w:tab w:val="left" w:pos="2550"/>
      </w:tabs>
    </w:pPr>
    <w:sdt>
      <w:sdtPr>
        <w:id w:val="258406250"/>
        <w:docPartObj>
          <w:docPartGallery w:val="Page Numbers (Bottom of Page)"/>
          <w:docPartUnique/>
        </w:docPartObj>
      </w:sdtPr>
      <w:sdtEndPr>
        <w:rPr>
          <w:noProof/>
        </w:rPr>
      </w:sdtEndPr>
      <w:sdtContent>
        <w:r w:rsidR="00260630">
          <w:fldChar w:fldCharType="begin"/>
        </w:r>
        <w:r w:rsidR="00260630">
          <w:instrText xml:space="preserve"> PAGE   \* MERGEFORMAT </w:instrText>
        </w:r>
        <w:r w:rsidR="00260630">
          <w:fldChar w:fldCharType="separate"/>
        </w:r>
        <w:r w:rsidR="00B96DD6">
          <w:rPr>
            <w:noProof/>
          </w:rPr>
          <w:t>4</w:t>
        </w:r>
        <w:r w:rsidR="00260630">
          <w:rPr>
            <w:noProof/>
          </w:rPr>
          <w:fldChar w:fldCharType="end"/>
        </w:r>
      </w:sdtContent>
    </w:sdt>
    <w:r w:rsidR="00260630">
      <w:rPr>
        <w:noProof/>
      </w:rPr>
      <w:tab/>
    </w:r>
  </w:p>
  <w:p w14:paraId="0EE2A72F" w14:textId="77777777" w:rsidR="00AD6E3F" w:rsidRDefault="00AD6E3F" w:rsidP="00EF5353">
    <w:pPr>
      <w:pStyle w:val="Footer"/>
      <w:ind w:right="-1562"/>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748049"/>
      <w:docPartObj>
        <w:docPartGallery w:val="Page Numbers (Bottom of Page)"/>
        <w:docPartUnique/>
      </w:docPartObj>
    </w:sdtPr>
    <w:sdtEndPr>
      <w:rPr>
        <w:noProof/>
      </w:rPr>
    </w:sdtEndPr>
    <w:sdtContent>
      <w:p w14:paraId="05ECE8D5" w14:textId="60D0D6C2" w:rsidR="00260630" w:rsidRDefault="00260630">
        <w:pPr>
          <w:pStyle w:val="Footer"/>
        </w:pPr>
        <w:r>
          <w:fldChar w:fldCharType="begin"/>
        </w:r>
        <w:r>
          <w:instrText xml:space="preserve"> PAGE   \* MERGEFORMAT </w:instrText>
        </w:r>
        <w:r>
          <w:fldChar w:fldCharType="separate"/>
        </w:r>
        <w:r w:rsidR="00B96DD6">
          <w:rPr>
            <w:noProof/>
          </w:rPr>
          <w:t>1</w:t>
        </w:r>
        <w:r>
          <w:rPr>
            <w:noProof/>
          </w:rPr>
          <w:fldChar w:fldCharType="end"/>
        </w:r>
      </w:p>
    </w:sdtContent>
  </w:sdt>
  <w:p w14:paraId="6CACECC6" w14:textId="77777777" w:rsidR="00AD6E3F" w:rsidRDefault="00AD6E3F" w:rsidP="00260630">
    <w:pPr>
      <w:pStyle w:val="Footer"/>
      <w:tabs>
        <w:tab w:val="clear" w:pos="4513"/>
        <w:tab w:val="clear" w:pos="9026"/>
        <w:tab w:val="left" w:pos="72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1F717" w14:textId="77777777" w:rsidR="00F427EC" w:rsidRDefault="00F427EC" w:rsidP="003C4540">
      <w:pPr>
        <w:spacing w:after="0" w:line="240" w:lineRule="auto"/>
      </w:pPr>
      <w:r>
        <w:separator/>
      </w:r>
    </w:p>
  </w:footnote>
  <w:footnote w:type="continuationSeparator" w:id="0">
    <w:p w14:paraId="59D72256" w14:textId="77777777" w:rsidR="00F427EC" w:rsidRDefault="00F427EC" w:rsidP="003C4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542A4" w14:textId="77777777" w:rsidR="00AD6E3F" w:rsidRPr="00AD6E3F" w:rsidRDefault="005F13A8" w:rsidP="00AD6E3F">
    <w:pPr>
      <w:pStyle w:val="Header"/>
    </w:pPr>
    <w:r>
      <w:rPr>
        <w:noProof/>
        <w:lang w:eastAsia="en-AU"/>
      </w:rPr>
      <w:drawing>
        <wp:anchor distT="0" distB="0" distL="114300" distR="114300" simplePos="0" relativeHeight="251688960" behindDoc="1" locked="0" layoutInCell="1" allowOverlap="1" wp14:anchorId="18F975C5" wp14:editId="3527C488">
          <wp:simplePos x="666750" y="523875"/>
          <wp:positionH relativeFrom="page">
            <wp:align>left</wp:align>
          </wp:positionH>
          <wp:positionV relativeFrom="page">
            <wp:align>top</wp:align>
          </wp:positionV>
          <wp:extent cx="7549200" cy="1515600"/>
          <wp:effectExtent l="0" t="0" r="0" b="8890"/>
          <wp:wrapNone/>
          <wp:docPr id="13" name="Picture 13" descr="Header image"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_FOOTER.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51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FB466" w14:textId="71DCF0C7" w:rsidR="00AD6E3F" w:rsidRDefault="00AD421D">
    <w:pPr>
      <w:pStyle w:val="Header"/>
    </w:pPr>
    <w:r>
      <w:rPr>
        <w:noProof/>
      </w:rPr>
      <w:drawing>
        <wp:inline distT="0" distB="0" distL="0" distR="0" wp14:anchorId="440DEAE5" wp14:editId="64F91C8B">
          <wp:extent cx="4401567" cy="8096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4892" cy="821273"/>
                  </a:xfrm>
                  <a:prstGeom prst="rect">
                    <a:avLst/>
                  </a:prstGeom>
                  <a:noFill/>
                </pic:spPr>
              </pic:pic>
            </a:graphicData>
          </a:graphic>
        </wp:inline>
      </w:drawing>
    </w:r>
    <w:r>
      <w:rPr>
        <w:noProof/>
        <w:lang w:eastAsia="en-AU"/>
      </w:rPr>
      <w:drawing>
        <wp:anchor distT="0" distB="0" distL="114300" distR="114300" simplePos="0" relativeHeight="251691008" behindDoc="1" locked="1" layoutInCell="1" allowOverlap="1" wp14:anchorId="486882AC" wp14:editId="47B651CC">
          <wp:simplePos x="0" y="0"/>
          <wp:positionH relativeFrom="page">
            <wp:posOffset>18415</wp:posOffset>
          </wp:positionH>
          <wp:positionV relativeFrom="page">
            <wp:posOffset>0</wp:posOffset>
          </wp:positionV>
          <wp:extent cx="7543800" cy="2438400"/>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43800" cy="243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7B34"/>
    <w:multiLevelType w:val="hybridMultilevel"/>
    <w:tmpl w:val="88468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3C0DF9"/>
    <w:multiLevelType w:val="hybridMultilevel"/>
    <w:tmpl w:val="59A4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2A512A"/>
    <w:multiLevelType w:val="hybridMultilevel"/>
    <w:tmpl w:val="E1C4A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A5144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9F3095"/>
    <w:multiLevelType w:val="hybridMultilevel"/>
    <w:tmpl w:val="F60A87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F26635"/>
    <w:multiLevelType w:val="hybridMultilevel"/>
    <w:tmpl w:val="13423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D87865"/>
    <w:multiLevelType w:val="hybridMultilevel"/>
    <w:tmpl w:val="1C94D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1108CD"/>
    <w:multiLevelType w:val="hybridMultilevel"/>
    <w:tmpl w:val="DD42C7BA"/>
    <w:lvl w:ilvl="0" w:tplc="39305420">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66A3813"/>
    <w:multiLevelType w:val="hybridMultilevel"/>
    <w:tmpl w:val="BE36A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8F2365"/>
    <w:multiLevelType w:val="hybridMultilevel"/>
    <w:tmpl w:val="3AB82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1A0EBC"/>
    <w:multiLevelType w:val="hybridMultilevel"/>
    <w:tmpl w:val="F6D6F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7B6C89"/>
    <w:multiLevelType w:val="hybridMultilevel"/>
    <w:tmpl w:val="2C18F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8752CF"/>
    <w:multiLevelType w:val="hybridMultilevel"/>
    <w:tmpl w:val="58869B58"/>
    <w:lvl w:ilvl="0" w:tplc="FFD8A4B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2"/>
  </w:num>
  <w:num w:numId="4">
    <w:abstractNumId w:val="3"/>
  </w:num>
  <w:num w:numId="5">
    <w:abstractNumId w:val="5"/>
  </w:num>
  <w:num w:numId="6">
    <w:abstractNumId w:val="4"/>
  </w:num>
  <w:num w:numId="7">
    <w:abstractNumId w:val="11"/>
  </w:num>
  <w:num w:numId="8">
    <w:abstractNumId w:val="8"/>
  </w:num>
  <w:num w:numId="9">
    <w:abstractNumId w:val="9"/>
  </w:num>
  <w:num w:numId="10">
    <w:abstractNumId w:val="0"/>
  </w:num>
  <w:num w:numId="11">
    <w:abstractNumId w:val="1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20"/>
  <w:characterSpacingControl w:val="doNotCompress"/>
  <w:hdrShapeDefaults>
    <o:shapedefaults v:ext="edit" spidmax="38913"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B39"/>
    <w:rsid w:val="00000347"/>
    <w:rsid w:val="00027916"/>
    <w:rsid w:val="00040EE5"/>
    <w:rsid w:val="000509D9"/>
    <w:rsid w:val="00062565"/>
    <w:rsid w:val="0007097F"/>
    <w:rsid w:val="00073578"/>
    <w:rsid w:val="000741A5"/>
    <w:rsid w:val="00077AD9"/>
    <w:rsid w:val="00097F0B"/>
    <w:rsid w:val="000A5BFC"/>
    <w:rsid w:val="000A6511"/>
    <w:rsid w:val="000C2238"/>
    <w:rsid w:val="000C4BB9"/>
    <w:rsid w:val="000D442C"/>
    <w:rsid w:val="000F7A71"/>
    <w:rsid w:val="0010261D"/>
    <w:rsid w:val="00116590"/>
    <w:rsid w:val="001263EF"/>
    <w:rsid w:val="00142592"/>
    <w:rsid w:val="0014717E"/>
    <w:rsid w:val="00147920"/>
    <w:rsid w:val="00160ABF"/>
    <w:rsid w:val="00170F56"/>
    <w:rsid w:val="0017583F"/>
    <w:rsid w:val="00176A93"/>
    <w:rsid w:val="001B4B39"/>
    <w:rsid w:val="001B73C8"/>
    <w:rsid w:val="001C0577"/>
    <w:rsid w:val="001D070E"/>
    <w:rsid w:val="001D3EE8"/>
    <w:rsid w:val="001E3F05"/>
    <w:rsid w:val="001E627A"/>
    <w:rsid w:val="001F743A"/>
    <w:rsid w:val="002132DA"/>
    <w:rsid w:val="00232D05"/>
    <w:rsid w:val="002550D5"/>
    <w:rsid w:val="00260630"/>
    <w:rsid w:val="00260D1B"/>
    <w:rsid w:val="00263E49"/>
    <w:rsid w:val="002808CC"/>
    <w:rsid w:val="002921B3"/>
    <w:rsid w:val="0029638A"/>
    <w:rsid w:val="002B09E8"/>
    <w:rsid w:val="002B7AC4"/>
    <w:rsid w:val="002D4406"/>
    <w:rsid w:val="002D44FC"/>
    <w:rsid w:val="00303798"/>
    <w:rsid w:val="003211EF"/>
    <w:rsid w:val="0034724B"/>
    <w:rsid w:val="003656CA"/>
    <w:rsid w:val="00367D07"/>
    <w:rsid w:val="00371748"/>
    <w:rsid w:val="00384150"/>
    <w:rsid w:val="00384F8F"/>
    <w:rsid w:val="003A4160"/>
    <w:rsid w:val="003B1733"/>
    <w:rsid w:val="003B2073"/>
    <w:rsid w:val="003B6CDC"/>
    <w:rsid w:val="003C0B1E"/>
    <w:rsid w:val="003C4540"/>
    <w:rsid w:val="003D2F37"/>
    <w:rsid w:val="003D50C7"/>
    <w:rsid w:val="003E7C3D"/>
    <w:rsid w:val="003F0910"/>
    <w:rsid w:val="003F58CD"/>
    <w:rsid w:val="0040033F"/>
    <w:rsid w:val="004030BD"/>
    <w:rsid w:val="00415078"/>
    <w:rsid w:val="0043382B"/>
    <w:rsid w:val="00434037"/>
    <w:rsid w:val="004346CD"/>
    <w:rsid w:val="00441328"/>
    <w:rsid w:val="00442C82"/>
    <w:rsid w:val="004574FA"/>
    <w:rsid w:val="004904C4"/>
    <w:rsid w:val="004974BF"/>
    <w:rsid w:val="004A76E9"/>
    <w:rsid w:val="004B3900"/>
    <w:rsid w:val="004C0DD4"/>
    <w:rsid w:val="004C609B"/>
    <w:rsid w:val="004F0F5E"/>
    <w:rsid w:val="004F4230"/>
    <w:rsid w:val="004F4D80"/>
    <w:rsid w:val="004F7DCC"/>
    <w:rsid w:val="004F7EA7"/>
    <w:rsid w:val="00500B39"/>
    <w:rsid w:val="00515B6B"/>
    <w:rsid w:val="0053448E"/>
    <w:rsid w:val="005364CD"/>
    <w:rsid w:val="0054543D"/>
    <w:rsid w:val="0055088A"/>
    <w:rsid w:val="005929EF"/>
    <w:rsid w:val="005A25BE"/>
    <w:rsid w:val="005A2ED5"/>
    <w:rsid w:val="005A3576"/>
    <w:rsid w:val="005A3C04"/>
    <w:rsid w:val="005B17EC"/>
    <w:rsid w:val="005B1991"/>
    <w:rsid w:val="005B3BE2"/>
    <w:rsid w:val="005B6B59"/>
    <w:rsid w:val="005D6DAB"/>
    <w:rsid w:val="005F13A8"/>
    <w:rsid w:val="00603D91"/>
    <w:rsid w:val="006042FA"/>
    <w:rsid w:val="006069CB"/>
    <w:rsid w:val="00616220"/>
    <w:rsid w:val="00633A2E"/>
    <w:rsid w:val="00635ADF"/>
    <w:rsid w:val="006473EF"/>
    <w:rsid w:val="006477AA"/>
    <w:rsid w:val="006571C8"/>
    <w:rsid w:val="00664E54"/>
    <w:rsid w:val="00665F5D"/>
    <w:rsid w:val="006679E1"/>
    <w:rsid w:val="00676C0B"/>
    <w:rsid w:val="00685B4F"/>
    <w:rsid w:val="006A2636"/>
    <w:rsid w:val="006B2575"/>
    <w:rsid w:val="006C0536"/>
    <w:rsid w:val="006D6DF2"/>
    <w:rsid w:val="006E7909"/>
    <w:rsid w:val="00703B5F"/>
    <w:rsid w:val="00712E9D"/>
    <w:rsid w:val="00715DF9"/>
    <w:rsid w:val="0071721F"/>
    <w:rsid w:val="00727DB1"/>
    <w:rsid w:val="00742D2D"/>
    <w:rsid w:val="0075240F"/>
    <w:rsid w:val="00780EB4"/>
    <w:rsid w:val="007A2265"/>
    <w:rsid w:val="007A4BC0"/>
    <w:rsid w:val="007A750C"/>
    <w:rsid w:val="007B6277"/>
    <w:rsid w:val="007E26C6"/>
    <w:rsid w:val="007F2287"/>
    <w:rsid w:val="007F255E"/>
    <w:rsid w:val="007F5BFB"/>
    <w:rsid w:val="00815531"/>
    <w:rsid w:val="00825E1A"/>
    <w:rsid w:val="0082798E"/>
    <w:rsid w:val="00840964"/>
    <w:rsid w:val="00853BC3"/>
    <w:rsid w:val="00860D96"/>
    <w:rsid w:val="00866E23"/>
    <w:rsid w:val="008701BC"/>
    <w:rsid w:val="00875593"/>
    <w:rsid w:val="008813D9"/>
    <w:rsid w:val="00895AF8"/>
    <w:rsid w:val="00896E15"/>
    <w:rsid w:val="008A02D6"/>
    <w:rsid w:val="008B3270"/>
    <w:rsid w:val="008C0BE1"/>
    <w:rsid w:val="008C0E1F"/>
    <w:rsid w:val="008C3520"/>
    <w:rsid w:val="008C7909"/>
    <w:rsid w:val="008D38D7"/>
    <w:rsid w:val="008F5D8D"/>
    <w:rsid w:val="008F73C8"/>
    <w:rsid w:val="009072FA"/>
    <w:rsid w:val="00914D45"/>
    <w:rsid w:val="00930A2B"/>
    <w:rsid w:val="00942D9F"/>
    <w:rsid w:val="00945366"/>
    <w:rsid w:val="009707D5"/>
    <w:rsid w:val="009A3538"/>
    <w:rsid w:val="009A5661"/>
    <w:rsid w:val="009B07D6"/>
    <w:rsid w:val="00A30127"/>
    <w:rsid w:val="00A34932"/>
    <w:rsid w:val="00A3734F"/>
    <w:rsid w:val="00A45D11"/>
    <w:rsid w:val="00A47179"/>
    <w:rsid w:val="00A54505"/>
    <w:rsid w:val="00A64956"/>
    <w:rsid w:val="00A727B5"/>
    <w:rsid w:val="00A732AF"/>
    <w:rsid w:val="00A742A4"/>
    <w:rsid w:val="00A77F3A"/>
    <w:rsid w:val="00A822E1"/>
    <w:rsid w:val="00A8301E"/>
    <w:rsid w:val="00A831CD"/>
    <w:rsid w:val="00A83B6C"/>
    <w:rsid w:val="00A908D6"/>
    <w:rsid w:val="00A94ECE"/>
    <w:rsid w:val="00AA3280"/>
    <w:rsid w:val="00AA64A9"/>
    <w:rsid w:val="00AB406F"/>
    <w:rsid w:val="00AB42A5"/>
    <w:rsid w:val="00AB4D7D"/>
    <w:rsid w:val="00AC17D0"/>
    <w:rsid w:val="00AC63F6"/>
    <w:rsid w:val="00AC76DC"/>
    <w:rsid w:val="00AD421D"/>
    <w:rsid w:val="00AD6E3F"/>
    <w:rsid w:val="00AE7935"/>
    <w:rsid w:val="00AF2086"/>
    <w:rsid w:val="00AF63C3"/>
    <w:rsid w:val="00B23991"/>
    <w:rsid w:val="00B2506A"/>
    <w:rsid w:val="00B3405B"/>
    <w:rsid w:val="00B356FB"/>
    <w:rsid w:val="00B402B9"/>
    <w:rsid w:val="00B41B88"/>
    <w:rsid w:val="00B53344"/>
    <w:rsid w:val="00B70742"/>
    <w:rsid w:val="00B81BB9"/>
    <w:rsid w:val="00B82387"/>
    <w:rsid w:val="00B96273"/>
    <w:rsid w:val="00B96DD6"/>
    <w:rsid w:val="00BC7EB6"/>
    <w:rsid w:val="00BD3B92"/>
    <w:rsid w:val="00BD48AB"/>
    <w:rsid w:val="00BD6CE0"/>
    <w:rsid w:val="00BF771A"/>
    <w:rsid w:val="00C13492"/>
    <w:rsid w:val="00C17BEE"/>
    <w:rsid w:val="00C313B0"/>
    <w:rsid w:val="00C33DF9"/>
    <w:rsid w:val="00C34A2F"/>
    <w:rsid w:val="00C470FF"/>
    <w:rsid w:val="00C6280B"/>
    <w:rsid w:val="00C62D4C"/>
    <w:rsid w:val="00C72E9F"/>
    <w:rsid w:val="00C90DDF"/>
    <w:rsid w:val="00CA4295"/>
    <w:rsid w:val="00CA4D92"/>
    <w:rsid w:val="00CC1493"/>
    <w:rsid w:val="00CC275A"/>
    <w:rsid w:val="00CD3D74"/>
    <w:rsid w:val="00CE1A39"/>
    <w:rsid w:val="00CF3284"/>
    <w:rsid w:val="00CF378A"/>
    <w:rsid w:val="00D07F19"/>
    <w:rsid w:val="00D13AFB"/>
    <w:rsid w:val="00D766D1"/>
    <w:rsid w:val="00D91192"/>
    <w:rsid w:val="00DB0ECB"/>
    <w:rsid w:val="00DC2970"/>
    <w:rsid w:val="00DC7660"/>
    <w:rsid w:val="00DD1D42"/>
    <w:rsid w:val="00DD20BE"/>
    <w:rsid w:val="00DD3951"/>
    <w:rsid w:val="00DD79A2"/>
    <w:rsid w:val="00DE6D2B"/>
    <w:rsid w:val="00E160CA"/>
    <w:rsid w:val="00E45416"/>
    <w:rsid w:val="00E459A5"/>
    <w:rsid w:val="00E46E36"/>
    <w:rsid w:val="00E63EAE"/>
    <w:rsid w:val="00E77C84"/>
    <w:rsid w:val="00E87A36"/>
    <w:rsid w:val="00E94CB5"/>
    <w:rsid w:val="00EE276B"/>
    <w:rsid w:val="00EF5353"/>
    <w:rsid w:val="00EF6264"/>
    <w:rsid w:val="00F16FF3"/>
    <w:rsid w:val="00F22F63"/>
    <w:rsid w:val="00F25C8D"/>
    <w:rsid w:val="00F427EC"/>
    <w:rsid w:val="00F47424"/>
    <w:rsid w:val="00F723EA"/>
    <w:rsid w:val="00F86541"/>
    <w:rsid w:val="00F94767"/>
    <w:rsid w:val="00F962D2"/>
    <w:rsid w:val="00F97314"/>
    <w:rsid w:val="00FA11A4"/>
    <w:rsid w:val="00FB59B4"/>
    <w:rsid w:val="00FC797E"/>
    <w:rsid w:val="00FD7048"/>
    <w:rsid w:val="00FE3174"/>
    <w:rsid w:val="00FE3690"/>
    <w:rsid w:val="00FE3945"/>
    <w:rsid w:val="00FF044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style="mso-width-relative:margin;mso-height-relative:margin" fillcolor="white">
      <v:fill color="white"/>
    </o:shapedefaults>
    <o:shapelayout v:ext="edit">
      <o:idmap v:ext="edit" data="1"/>
    </o:shapelayout>
  </w:shapeDefaults>
  <w:decimalSymbol w:val="."/>
  <w:listSeparator w:val=","/>
  <w14:docId w14:val="4DB42649"/>
  <w15:docId w15:val="{FC0E2807-79A5-44D0-9BEB-9DFEE0B1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71A"/>
    <w:pPr>
      <w:spacing w:before="100" w:after="100" w:line="288" w:lineRule="auto"/>
    </w:pPr>
    <w:rPr>
      <w:sz w:val="20"/>
    </w:rPr>
  </w:style>
  <w:style w:type="paragraph" w:styleId="Heading1">
    <w:name w:val="heading 1"/>
    <w:basedOn w:val="Normal"/>
    <w:next w:val="Normal"/>
    <w:link w:val="Heading1Char"/>
    <w:uiPriority w:val="9"/>
    <w:qFormat/>
    <w:rsid w:val="007A4BC0"/>
    <w:pPr>
      <w:keepNext/>
      <w:keepLines/>
      <w:spacing w:before="400" w:line="240" w:lineRule="auto"/>
      <w:outlineLvl w:val="0"/>
    </w:pPr>
    <w:rPr>
      <w:rFonts w:asciiTheme="majorHAnsi" w:eastAsiaTheme="majorEastAsia" w:hAnsiTheme="majorHAnsi" w:cstheme="majorBidi"/>
      <w:bCs/>
      <w:color w:val="002D72"/>
      <w:sz w:val="44"/>
      <w:szCs w:val="28"/>
    </w:rPr>
  </w:style>
  <w:style w:type="paragraph" w:styleId="Heading2">
    <w:name w:val="heading 2"/>
    <w:basedOn w:val="Normal"/>
    <w:next w:val="Normal"/>
    <w:link w:val="Heading2Char"/>
    <w:uiPriority w:val="9"/>
    <w:unhideWhenUsed/>
    <w:qFormat/>
    <w:rsid w:val="00712E9D"/>
    <w:pPr>
      <w:keepNext/>
      <w:keepLines/>
      <w:spacing w:before="200" w:line="240" w:lineRule="auto"/>
      <w:outlineLvl w:val="1"/>
    </w:pPr>
    <w:rPr>
      <w:rFonts w:asciiTheme="majorHAnsi" w:eastAsiaTheme="majorEastAsia" w:hAnsiTheme="majorHAnsi" w:cstheme="majorBidi"/>
      <w:bCs/>
      <w:color w:val="002D72"/>
      <w:sz w:val="36"/>
      <w:szCs w:val="26"/>
    </w:rPr>
  </w:style>
  <w:style w:type="paragraph" w:styleId="Heading3">
    <w:name w:val="heading 3"/>
    <w:basedOn w:val="Normal"/>
    <w:next w:val="Normal"/>
    <w:link w:val="Heading3Char"/>
    <w:uiPriority w:val="9"/>
    <w:unhideWhenUsed/>
    <w:qFormat/>
    <w:rsid w:val="00712E9D"/>
    <w:pPr>
      <w:keepNext/>
      <w:keepLines/>
      <w:spacing w:before="200" w:after="0" w:line="240" w:lineRule="auto"/>
      <w:outlineLvl w:val="2"/>
    </w:pPr>
    <w:rPr>
      <w:rFonts w:ascii="Segoe UI Semibold" w:eastAsiaTheme="majorEastAsia" w:hAnsi="Segoe UI Semibold" w:cstheme="majorBidi"/>
      <w:bCs/>
      <w:color w:val="7C878E"/>
      <w:sz w:val="28"/>
    </w:rPr>
  </w:style>
  <w:style w:type="paragraph" w:styleId="Heading4">
    <w:name w:val="heading 4"/>
    <w:aliases w:val="******"/>
    <w:basedOn w:val="Normal"/>
    <w:next w:val="Normal"/>
    <w:link w:val="Heading4Char"/>
    <w:uiPriority w:val="9"/>
    <w:unhideWhenUsed/>
    <w:qFormat/>
    <w:rsid w:val="00D91192"/>
    <w:pPr>
      <w:keepNext/>
      <w:keepLines/>
      <w:spacing w:before="200" w:after="0" w:line="240" w:lineRule="auto"/>
      <w:outlineLvl w:val="3"/>
    </w:pPr>
    <w:rPr>
      <w:rFonts w:ascii="Segoe UI Semibold" w:eastAsiaTheme="majorEastAsia" w:hAnsi="Segoe UI Semibold" w:cstheme="majorBidi"/>
      <w:bCs/>
      <w:iCs/>
      <w:color w:val="7C878E"/>
      <w:sz w:val="22"/>
    </w:rPr>
  </w:style>
  <w:style w:type="paragraph" w:styleId="Heading5">
    <w:name w:val="heading 5"/>
    <w:basedOn w:val="Normal"/>
    <w:next w:val="Normal"/>
    <w:link w:val="Heading5Char"/>
    <w:uiPriority w:val="9"/>
    <w:unhideWhenUsed/>
    <w:rsid w:val="00062565"/>
    <w:pPr>
      <w:keepNext/>
      <w:keepLines/>
      <w:spacing w:beforeAutospacing="1" w:after="0" w:line="240" w:lineRule="auto"/>
      <w:outlineLvl w:val="4"/>
    </w:pPr>
    <w:rPr>
      <w:rFonts w:asciiTheme="majorHAnsi" w:eastAsiaTheme="majorEastAsia" w:hAnsiTheme="majorHAnsi" w:cstheme="majorBidi"/>
      <w:color w:val="002D72" w:themeColor="text1"/>
      <w:sz w:val="22"/>
    </w:rPr>
  </w:style>
  <w:style w:type="paragraph" w:styleId="Heading6">
    <w:name w:val="heading 6"/>
    <w:basedOn w:val="Normal"/>
    <w:next w:val="Normal"/>
    <w:link w:val="Heading6Char"/>
    <w:uiPriority w:val="9"/>
    <w:unhideWhenUsed/>
    <w:rsid w:val="00062565"/>
    <w:pPr>
      <w:keepNext/>
      <w:keepLines/>
      <w:spacing w:before="40" w:after="0"/>
      <w:outlineLvl w:val="5"/>
    </w:pPr>
    <w:rPr>
      <w:rFonts w:asciiTheme="majorHAnsi" w:eastAsiaTheme="majorEastAsia" w:hAnsiTheme="majorHAnsi" w:cstheme="majorBidi"/>
      <w:i/>
      <w:color w:val="002D72" w:themeColor="text1"/>
      <w:sz w:val="22"/>
    </w:rPr>
  </w:style>
  <w:style w:type="paragraph" w:styleId="Heading7">
    <w:name w:val="heading 7"/>
    <w:basedOn w:val="Normal"/>
    <w:next w:val="Normal"/>
    <w:link w:val="Heading7Char"/>
    <w:uiPriority w:val="9"/>
    <w:unhideWhenUsed/>
    <w:rsid w:val="00062565"/>
    <w:pPr>
      <w:keepNext/>
      <w:keepLines/>
      <w:spacing w:before="40" w:after="0"/>
      <w:outlineLvl w:val="6"/>
    </w:pPr>
    <w:rPr>
      <w:rFonts w:asciiTheme="majorHAnsi" w:eastAsiaTheme="majorEastAsia" w:hAnsiTheme="majorHAnsi" w:cstheme="majorBidi"/>
      <w:iCs/>
      <w:color w:val="002D72" w:themeColor="text1"/>
    </w:rPr>
  </w:style>
  <w:style w:type="paragraph" w:styleId="Heading8">
    <w:name w:val="heading 8"/>
    <w:basedOn w:val="Normal"/>
    <w:next w:val="Normal"/>
    <w:link w:val="Heading8Char"/>
    <w:uiPriority w:val="9"/>
    <w:unhideWhenUsed/>
    <w:rsid w:val="00062565"/>
    <w:pPr>
      <w:keepNext/>
      <w:keepLines/>
      <w:spacing w:before="40" w:after="0"/>
      <w:outlineLvl w:val="7"/>
    </w:pPr>
    <w:rPr>
      <w:rFonts w:asciiTheme="majorHAnsi" w:eastAsiaTheme="majorEastAsia" w:hAnsiTheme="majorHAnsi" w:cstheme="majorBidi"/>
      <w:i/>
      <w:color w:val="002D72"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540"/>
  </w:style>
  <w:style w:type="paragraph" w:styleId="Footer">
    <w:name w:val="footer"/>
    <w:basedOn w:val="Normal"/>
    <w:link w:val="FooterChar"/>
    <w:uiPriority w:val="99"/>
    <w:unhideWhenUsed/>
    <w:rsid w:val="003C4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540"/>
  </w:style>
  <w:style w:type="paragraph" w:styleId="BalloonText">
    <w:name w:val="Balloon Text"/>
    <w:basedOn w:val="Normal"/>
    <w:link w:val="BalloonTextChar"/>
    <w:uiPriority w:val="99"/>
    <w:semiHidden/>
    <w:unhideWhenUsed/>
    <w:rsid w:val="003C4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540"/>
    <w:rPr>
      <w:rFonts w:ascii="Tahoma" w:hAnsi="Tahoma" w:cs="Tahoma"/>
      <w:sz w:val="16"/>
      <w:szCs w:val="16"/>
    </w:rPr>
  </w:style>
  <w:style w:type="paragraph" w:customStyle="1" w:styleId="BasicParagraph">
    <w:name w:val="[Basic Paragraph]"/>
    <w:basedOn w:val="Normal"/>
    <w:uiPriority w:val="99"/>
    <w:rsid w:val="007A4BC0"/>
    <w:pPr>
      <w:autoSpaceDE w:val="0"/>
      <w:autoSpaceDN w:val="0"/>
      <w:adjustRightInd w:val="0"/>
      <w:spacing w:after="0"/>
      <w:textAlignment w:val="center"/>
    </w:pPr>
    <w:rPr>
      <w:rFonts w:cs="MinionPro-Regular"/>
      <w:color w:val="000000"/>
      <w:szCs w:val="24"/>
      <w:lang w:val="en-GB"/>
    </w:rPr>
  </w:style>
  <w:style w:type="paragraph" w:styleId="Subtitle">
    <w:name w:val="Subtitle"/>
    <w:aliases w:val="Issue No"/>
    <w:basedOn w:val="Normal"/>
    <w:next w:val="Normal"/>
    <w:link w:val="SubtitleChar"/>
    <w:uiPriority w:val="11"/>
    <w:rsid w:val="00AC63F6"/>
    <w:pPr>
      <w:numPr>
        <w:ilvl w:val="1"/>
      </w:numPr>
      <w:spacing w:after="120" w:line="240" w:lineRule="auto"/>
      <w:jc w:val="right"/>
    </w:pPr>
    <w:rPr>
      <w:rFonts w:eastAsiaTheme="majorEastAsia" w:cstheme="majorBidi"/>
      <w:iCs/>
      <w:color w:val="FFFFFF" w:themeColor="background1"/>
      <w:spacing w:val="20"/>
      <w:szCs w:val="24"/>
    </w:rPr>
  </w:style>
  <w:style w:type="character" w:customStyle="1" w:styleId="SubtitleChar">
    <w:name w:val="Subtitle Char"/>
    <w:aliases w:val="Issue No Char"/>
    <w:basedOn w:val="DefaultParagraphFont"/>
    <w:link w:val="Subtitle"/>
    <w:uiPriority w:val="11"/>
    <w:rsid w:val="00AC63F6"/>
    <w:rPr>
      <w:rFonts w:ascii="Arial" w:eastAsiaTheme="majorEastAsia" w:hAnsi="Arial" w:cstheme="majorBidi"/>
      <w:iCs/>
      <w:color w:val="FFFFFF" w:themeColor="background1"/>
      <w:spacing w:val="20"/>
      <w:sz w:val="20"/>
      <w:szCs w:val="24"/>
    </w:rPr>
  </w:style>
  <w:style w:type="paragraph" w:styleId="NoSpacing">
    <w:name w:val="No Spacing"/>
    <w:uiPriority w:val="1"/>
    <w:qFormat/>
    <w:rsid w:val="001E3F05"/>
    <w:pPr>
      <w:spacing w:after="0" w:line="240" w:lineRule="auto"/>
    </w:pPr>
    <w:rPr>
      <w:sz w:val="20"/>
    </w:rPr>
  </w:style>
  <w:style w:type="character" w:styleId="SubtleEmphasis">
    <w:name w:val="Subtle Emphasis"/>
    <w:basedOn w:val="DefaultParagraphFont"/>
    <w:uiPriority w:val="19"/>
    <w:qFormat/>
    <w:rsid w:val="007A4BC0"/>
    <w:rPr>
      <w:rFonts w:ascii="Segoe UI Semibold" w:hAnsi="Segoe UI Semibold"/>
      <w:b w:val="0"/>
      <w:i w:val="0"/>
      <w:iCs/>
      <w:color w:val="auto"/>
    </w:rPr>
  </w:style>
  <w:style w:type="character" w:styleId="Emphasis">
    <w:name w:val="Emphasis"/>
    <w:basedOn w:val="DefaultParagraphFont"/>
    <w:uiPriority w:val="20"/>
    <w:qFormat/>
    <w:rsid w:val="007A4BC0"/>
    <w:rPr>
      <w:b/>
      <w:i w:val="0"/>
      <w:iCs/>
    </w:rPr>
  </w:style>
  <w:style w:type="paragraph" w:styleId="Quote">
    <w:name w:val="Quote"/>
    <w:aliases w:val="Classification"/>
    <w:basedOn w:val="Normal"/>
    <w:next w:val="Normal"/>
    <w:link w:val="QuoteChar"/>
    <w:uiPriority w:val="29"/>
    <w:rsid w:val="00B3405B"/>
    <w:pPr>
      <w:spacing w:after="0"/>
      <w:jc w:val="center"/>
    </w:pPr>
    <w:rPr>
      <w:rFonts w:ascii="Arial Narrow" w:hAnsi="Arial Narrow"/>
      <w:iCs/>
      <w:color w:val="FFFFFF" w:themeColor="background1"/>
      <w:sz w:val="28"/>
    </w:rPr>
  </w:style>
  <w:style w:type="character" w:customStyle="1" w:styleId="QuoteChar">
    <w:name w:val="Quote Char"/>
    <w:aliases w:val="Classification Char"/>
    <w:basedOn w:val="DefaultParagraphFont"/>
    <w:link w:val="Quote"/>
    <w:uiPriority w:val="29"/>
    <w:rsid w:val="00B3405B"/>
    <w:rPr>
      <w:rFonts w:ascii="Arial Narrow" w:hAnsi="Arial Narrow"/>
      <w:iCs/>
      <w:color w:val="FFFFFF" w:themeColor="background1"/>
      <w:sz w:val="28"/>
    </w:rPr>
  </w:style>
  <w:style w:type="character" w:customStyle="1" w:styleId="Heading1Char">
    <w:name w:val="Heading 1 Char"/>
    <w:basedOn w:val="DefaultParagraphFont"/>
    <w:link w:val="Heading1"/>
    <w:uiPriority w:val="9"/>
    <w:rsid w:val="007A4BC0"/>
    <w:rPr>
      <w:rFonts w:asciiTheme="majorHAnsi" w:eastAsiaTheme="majorEastAsia" w:hAnsiTheme="majorHAnsi" w:cstheme="majorBidi"/>
      <w:bCs/>
      <w:color w:val="002D72"/>
      <w:sz w:val="44"/>
      <w:szCs w:val="28"/>
    </w:rPr>
  </w:style>
  <w:style w:type="character" w:customStyle="1" w:styleId="Heading2Char">
    <w:name w:val="Heading 2 Char"/>
    <w:basedOn w:val="DefaultParagraphFont"/>
    <w:link w:val="Heading2"/>
    <w:uiPriority w:val="9"/>
    <w:rsid w:val="00712E9D"/>
    <w:rPr>
      <w:rFonts w:asciiTheme="majorHAnsi" w:eastAsiaTheme="majorEastAsia" w:hAnsiTheme="majorHAnsi" w:cstheme="majorBidi"/>
      <w:bCs/>
      <w:color w:val="002D72"/>
      <w:sz w:val="36"/>
      <w:szCs w:val="26"/>
    </w:rPr>
  </w:style>
  <w:style w:type="character" w:customStyle="1" w:styleId="Heading3Char">
    <w:name w:val="Heading 3 Char"/>
    <w:basedOn w:val="DefaultParagraphFont"/>
    <w:link w:val="Heading3"/>
    <w:uiPriority w:val="9"/>
    <w:rsid w:val="00712E9D"/>
    <w:rPr>
      <w:rFonts w:ascii="Segoe UI Semibold" w:eastAsiaTheme="majorEastAsia" w:hAnsi="Segoe UI Semibold" w:cstheme="majorBidi"/>
      <w:bCs/>
      <w:color w:val="7C878E"/>
      <w:sz w:val="28"/>
    </w:rPr>
  </w:style>
  <w:style w:type="paragraph" w:styleId="ListParagraph">
    <w:name w:val="List Paragraph"/>
    <w:aliases w:val="Bullets"/>
    <w:basedOn w:val="Normal"/>
    <w:uiPriority w:val="34"/>
    <w:qFormat/>
    <w:rsid w:val="00BF771A"/>
    <w:pPr>
      <w:numPr>
        <w:numId w:val="2"/>
      </w:numPr>
      <w:ind w:left="284" w:hanging="284"/>
      <w:contextualSpacing/>
    </w:pPr>
  </w:style>
  <w:style w:type="character" w:customStyle="1" w:styleId="Heading4Char">
    <w:name w:val="Heading 4 Char"/>
    <w:aliases w:val="****** Char"/>
    <w:basedOn w:val="DefaultParagraphFont"/>
    <w:link w:val="Heading4"/>
    <w:uiPriority w:val="9"/>
    <w:rsid w:val="00D91192"/>
    <w:rPr>
      <w:rFonts w:ascii="Segoe UI Semibold" w:eastAsiaTheme="majorEastAsia" w:hAnsi="Segoe UI Semibold" w:cstheme="majorBidi"/>
      <w:bCs/>
      <w:iCs/>
      <w:color w:val="7C878E"/>
    </w:rPr>
  </w:style>
  <w:style w:type="character" w:customStyle="1" w:styleId="Heading5Char">
    <w:name w:val="Heading 5 Char"/>
    <w:basedOn w:val="DefaultParagraphFont"/>
    <w:link w:val="Heading5"/>
    <w:uiPriority w:val="9"/>
    <w:rsid w:val="00062565"/>
    <w:rPr>
      <w:rFonts w:asciiTheme="majorHAnsi" w:eastAsiaTheme="majorEastAsia" w:hAnsiTheme="majorHAnsi" w:cstheme="majorBidi"/>
      <w:color w:val="002D72" w:themeColor="text1"/>
    </w:rPr>
  </w:style>
  <w:style w:type="paragraph" w:styleId="Title">
    <w:name w:val="Title"/>
    <w:basedOn w:val="Normal"/>
    <w:next w:val="Normal"/>
    <w:link w:val="TitleChar"/>
    <w:uiPriority w:val="10"/>
    <w:qFormat/>
    <w:rsid w:val="000A5BFC"/>
    <w:pPr>
      <w:spacing w:before="0" w:after="120" w:line="440" w:lineRule="exact"/>
      <w:contextualSpacing/>
    </w:pPr>
    <w:rPr>
      <w:rFonts w:eastAsiaTheme="majorEastAsia" w:cstheme="majorBidi"/>
      <w:color w:val="FFFFFF" w:themeColor="background1"/>
      <w:spacing w:val="5"/>
      <w:kern w:val="28"/>
      <w:sz w:val="44"/>
      <w:szCs w:val="52"/>
    </w:rPr>
  </w:style>
  <w:style w:type="character" w:customStyle="1" w:styleId="TitleChar">
    <w:name w:val="Title Char"/>
    <w:basedOn w:val="DefaultParagraphFont"/>
    <w:link w:val="Title"/>
    <w:uiPriority w:val="10"/>
    <w:rsid w:val="000A5BFC"/>
    <w:rPr>
      <w:rFonts w:eastAsiaTheme="majorEastAsia" w:cstheme="majorBidi"/>
      <w:color w:val="FFFFFF" w:themeColor="background1"/>
      <w:spacing w:val="5"/>
      <w:kern w:val="28"/>
      <w:sz w:val="44"/>
      <w:szCs w:val="52"/>
    </w:rPr>
  </w:style>
  <w:style w:type="character" w:styleId="BookTitle">
    <w:name w:val="Book Title"/>
    <w:basedOn w:val="DefaultParagraphFont"/>
    <w:uiPriority w:val="33"/>
    <w:rsid w:val="003C0B1E"/>
    <w:rPr>
      <w:rFonts w:ascii="Arial" w:hAnsi="Arial"/>
      <w:b/>
      <w:bCs/>
      <w:color w:val="FFFFFF" w:themeColor="background1"/>
      <w:spacing w:val="5"/>
      <w:sz w:val="34"/>
    </w:rPr>
  </w:style>
  <w:style w:type="table" w:styleId="TableGrid">
    <w:name w:val="Table Grid"/>
    <w:basedOn w:val="TableNormal"/>
    <w:uiPriority w:val="59"/>
    <w:rsid w:val="006B2575"/>
    <w:pPr>
      <w:spacing w:after="0" w:line="240" w:lineRule="auto"/>
    </w:pPr>
    <w:tblPr>
      <w:tblBorders>
        <w:top w:val="single" w:sz="4" w:space="0" w:color="002D72" w:themeColor="text1"/>
        <w:left w:val="single" w:sz="4" w:space="0" w:color="002D72" w:themeColor="text1"/>
        <w:bottom w:val="single" w:sz="4" w:space="0" w:color="002D72" w:themeColor="text1"/>
        <w:right w:val="single" w:sz="4" w:space="0" w:color="002D72" w:themeColor="text1"/>
        <w:insideH w:val="single" w:sz="4" w:space="0" w:color="002D72" w:themeColor="text1"/>
        <w:insideV w:val="single" w:sz="4" w:space="0" w:color="002D72" w:themeColor="text1"/>
      </w:tblBorders>
    </w:tblPr>
  </w:style>
  <w:style w:type="table" w:customStyle="1" w:styleId="LightShading-Accent11">
    <w:name w:val="Light Shading - Accent 11"/>
    <w:basedOn w:val="TableNormal"/>
    <w:uiPriority w:val="60"/>
    <w:rsid w:val="002D44FC"/>
    <w:pPr>
      <w:spacing w:after="0" w:line="240" w:lineRule="auto"/>
    </w:pPr>
    <w:rPr>
      <w:color w:val="002155" w:themeColor="accent1" w:themeShade="BF"/>
    </w:rPr>
    <w:tblPr>
      <w:tblStyleRowBandSize w:val="1"/>
      <w:tblStyleColBandSize w:val="1"/>
      <w:tblBorders>
        <w:top w:val="single" w:sz="8" w:space="0" w:color="002D72" w:themeColor="accent1"/>
        <w:bottom w:val="single" w:sz="8" w:space="0" w:color="002D72" w:themeColor="accent1"/>
      </w:tblBorders>
    </w:tblPr>
    <w:tblStylePr w:type="firstRow">
      <w:pPr>
        <w:spacing w:before="0" w:after="0" w:line="240" w:lineRule="auto"/>
      </w:pPr>
      <w:rPr>
        <w:b/>
        <w:bCs/>
      </w:rPr>
      <w:tblPr/>
      <w:tcPr>
        <w:tcBorders>
          <w:top w:val="single" w:sz="8" w:space="0" w:color="002D72" w:themeColor="accent1"/>
          <w:left w:val="nil"/>
          <w:bottom w:val="single" w:sz="8" w:space="0" w:color="002D72" w:themeColor="accent1"/>
          <w:right w:val="nil"/>
          <w:insideH w:val="nil"/>
          <w:insideV w:val="nil"/>
        </w:tcBorders>
      </w:tcPr>
    </w:tblStylePr>
    <w:tblStylePr w:type="lastRow">
      <w:pPr>
        <w:spacing w:before="0" w:after="0" w:line="240" w:lineRule="auto"/>
      </w:pPr>
      <w:rPr>
        <w:b/>
        <w:bCs/>
      </w:rPr>
      <w:tblPr/>
      <w:tcPr>
        <w:tcBorders>
          <w:top w:val="single" w:sz="8" w:space="0" w:color="002D72" w:themeColor="accent1"/>
          <w:left w:val="nil"/>
          <w:bottom w:val="single" w:sz="8" w:space="0" w:color="002D7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DC3FF" w:themeFill="accent1" w:themeFillTint="3F"/>
      </w:tcPr>
    </w:tblStylePr>
    <w:tblStylePr w:type="band1Horz">
      <w:tblPr/>
      <w:tcPr>
        <w:tcBorders>
          <w:left w:val="nil"/>
          <w:right w:val="nil"/>
          <w:insideH w:val="nil"/>
          <w:insideV w:val="nil"/>
        </w:tcBorders>
        <w:shd w:val="clear" w:color="auto" w:fill="9DC3FF" w:themeFill="accent1" w:themeFillTint="3F"/>
      </w:tcPr>
    </w:tblStylePr>
  </w:style>
  <w:style w:type="table" w:customStyle="1" w:styleId="LightShading1">
    <w:name w:val="Light Shading1"/>
    <w:basedOn w:val="TableNormal"/>
    <w:uiPriority w:val="60"/>
    <w:rsid w:val="006B2575"/>
    <w:pPr>
      <w:spacing w:after="0" w:line="240" w:lineRule="auto"/>
    </w:pPr>
    <w:rPr>
      <w:color w:val="002155" w:themeColor="text1" w:themeShade="BF"/>
    </w:rPr>
    <w:tblPr>
      <w:tblStyleRowBandSize w:val="1"/>
      <w:tblStyleColBandSize w:val="1"/>
      <w:tblBorders>
        <w:top w:val="single" w:sz="8" w:space="0" w:color="002D72" w:themeColor="text1"/>
        <w:bottom w:val="single" w:sz="8" w:space="0" w:color="002D72" w:themeColor="text1"/>
      </w:tblBorders>
    </w:tblPr>
    <w:tblStylePr w:type="firstRow">
      <w:pPr>
        <w:spacing w:before="0" w:after="0" w:line="240" w:lineRule="auto"/>
      </w:pPr>
      <w:rPr>
        <w:b/>
        <w:bCs/>
      </w:rPr>
      <w:tblPr/>
      <w:tcPr>
        <w:tcBorders>
          <w:top w:val="single" w:sz="8" w:space="0" w:color="002D72" w:themeColor="text1"/>
          <w:left w:val="nil"/>
          <w:bottom w:val="single" w:sz="8" w:space="0" w:color="002D72" w:themeColor="text1"/>
          <w:right w:val="nil"/>
          <w:insideH w:val="nil"/>
          <w:insideV w:val="nil"/>
        </w:tcBorders>
      </w:tcPr>
    </w:tblStylePr>
    <w:tblStylePr w:type="lastRow">
      <w:pPr>
        <w:spacing w:before="0" w:after="0" w:line="240" w:lineRule="auto"/>
      </w:pPr>
      <w:rPr>
        <w:b/>
        <w:bCs/>
      </w:rPr>
      <w:tblPr/>
      <w:tcPr>
        <w:tcBorders>
          <w:top w:val="single" w:sz="8" w:space="0" w:color="002D72" w:themeColor="text1"/>
          <w:left w:val="nil"/>
          <w:bottom w:val="single" w:sz="8" w:space="0" w:color="002D7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DC3FF" w:themeFill="text1" w:themeFillTint="3F"/>
      </w:tcPr>
    </w:tblStylePr>
    <w:tblStylePr w:type="band1Horz">
      <w:tblPr/>
      <w:tcPr>
        <w:tcBorders>
          <w:left w:val="nil"/>
          <w:right w:val="nil"/>
          <w:insideH w:val="nil"/>
          <w:insideV w:val="nil"/>
        </w:tcBorders>
        <w:shd w:val="clear" w:color="auto" w:fill="9DC3FF" w:themeFill="text1" w:themeFillTint="3F"/>
      </w:tcPr>
    </w:tblStylePr>
  </w:style>
  <w:style w:type="table" w:styleId="LightShading-Accent5">
    <w:name w:val="Light Shading Accent 5"/>
    <w:basedOn w:val="TableNormal"/>
    <w:uiPriority w:val="60"/>
    <w:rsid w:val="006B2575"/>
    <w:pPr>
      <w:spacing w:after="0" w:line="240" w:lineRule="auto"/>
    </w:pPr>
    <w:rPr>
      <w:rFonts w:ascii="Arial" w:hAnsi="Arial"/>
      <w:color w:val="0043AD" w:themeColor="text1" w:themeTint="D9"/>
    </w:rPr>
    <w:tblPr>
      <w:tblStyleRowBandSize w:val="1"/>
      <w:tblStyleColBandSize w:val="1"/>
      <w:tblBorders>
        <w:top w:val="single" w:sz="8" w:space="0" w:color="007DC3"/>
        <w:bottom w:val="single" w:sz="8" w:space="0" w:color="007DC3"/>
      </w:tblBorders>
    </w:tblPr>
    <w:tcPr>
      <w:shd w:val="clear" w:color="auto" w:fill="auto"/>
    </w:tcPr>
    <w:tblStylePr w:type="firstRow">
      <w:pPr>
        <w:spacing w:before="0" w:after="0" w:line="240" w:lineRule="auto"/>
      </w:pPr>
      <w:rPr>
        <w:b/>
        <w:bCs/>
      </w:rPr>
      <w:tblPr/>
      <w:tcPr>
        <w:tcBorders>
          <w:top w:val="single" w:sz="8" w:space="0" w:color="FA4616" w:themeColor="accent5"/>
          <w:left w:val="nil"/>
          <w:bottom w:val="single" w:sz="8" w:space="0" w:color="FA4616" w:themeColor="accent5"/>
          <w:right w:val="nil"/>
          <w:insideH w:val="nil"/>
          <w:insideV w:val="nil"/>
        </w:tcBorders>
      </w:tcPr>
    </w:tblStylePr>
    <w:tblStylePr w:type="lastRow">
      <w:pPr>
        <w:spacing w:before="0" w:after="0" w:line="240" w:lineRule="auto"/>
      </w:pPr>
      <w:rPr>
        <w:b/>
        <w:bCs/>
      </w:rPr>
      <w:tblPr/>
      <w:tcPr>
        <w:tcBorders>
          <w:top w:val="single" w:sz="8" w:space="0" w:color="FA4616" w:themeColor="accent5"/>
          <w:left w:val="nil"/>
          <w:bottom w:val="single" w:sz="8" w:space="0" w:color="FA46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0C5" w:themeFill="accent5" w:themeFillTint="3F"/>
      </w:tcPr>
    </w:tblStylePr>
    <w:tblStylePr w:type="band1Horz">
      <w:tblPr/>
      <w:tcPr>
        <w:tcBorders>
          <w:left w:val="nil"/>
          <w:right w:val="nil"/>
          <w:insideH w:val="nil"/>
          <w:insideV w:val="nil"/>
        </w:tcBorders>
        <w:shd w:val="clear" w:color="auto" w:fill="FDD0C5" w:themeFill="accent5" w:themeFillTint="3F"/>
      </w:tcPr>
    </w:tblStylePr>
  </w:style>
  <w:style w:type="paragraph" w:customStyle="1" w:styleId="Tabletext">
    <w:name w:val="Table text"/>
    <w:basedOn w:val="Normal"/>
    <w:qFormat/>
    <w:rsid w:val="00C90DDF"/>
    <w:pPr>
      <w:spacing w:before="80" w:after="40" w:line="240" w:lineRule="auto"/>
    </w:pPr>
    <w:rPr>
      <w:bCs/>
      <w:sz w:val="18"/>
    </w:rPr>
  </w:style>
  <w:style w:type="paragraph" w:customStyle="1" w:styleId="Note">
    <w:name w:val="Note:"/>
    <w:basedOn w:val="Normal"/>
    <w:qFormat/>
    <w:rsid w:val="00942D9F"/>
    <w:pPr>
      <w:spacing w:before="0" w:after="160"/>
    </w:pPr>
    <w:rPr>
      <w:sz w:val="14"/>
    </w:rPr>
  </w:style>
  <w:style w:type="paragraph" w:customStyle="1" w:styleId="NormalRule">
    <w:name w:val="Normal Rule"/>
    <w:basedOn w:val="Normal"/>
    <w:qFormat/>
    <w:rsid w:val="00A727B5"/>
    <w:pPr>
      <w:pBdr>
        <w:bottom w:val="single" w:sz="2" w:space="1" w:color="808080" w:themeColor="background1" w:themeShade="80"/>
      </w:pBdr>
      <w:spacing w:after="240"/>
    </w:pPr>
  </w:style>
  <w:style w:type="paragraph" w:customStyle="1" w:styleId="Bullet">
    <w:name w:val="Bullet"/>
    <w:basedOn w:val="ListParagraph"/>
    <w:rsid w:val="00BF771A"/>
    <w:pPr>
      <w:numPr>
        <w:numId w:val="3"/>
      </w:numPr>
      <w:spacing w:before="60" w:after="60"/>
      <w:ind w:left="284" w:hanging="284"/>
    </w:pPr>
  </w:style>
  <w:style w:type="character" w:customStyle="1" w:styleId="Heading6Char">
    <w:name w:val="Heading 6 Char"/>
    <w:basedOn w:val="DefaultParagraphFont"/>
    <w:link w:val="Heading6"/>
    <w:uiPriority w:val="9"/>
    <w:rsid w:val="00062565"/>
    <w:rPr>
      <w:rFonts w:asciiTheme="majorHAnsi" w:eastAsiaTheme="majorEastAsia" w:hAnsiTheme="majorHAnsi" w:cstheme="majorBidi"/>
      <w:i/>
      <w:color w:val="002D72" w:themeColor="text1"/>
    </w:rPr>
  </w:style>
  <w:style w:type="table" w:styleId="LightShading-Accent3">
    <w:name w:val="Light Shading Accent 3"/>
    <w:basedOn w:val="TableNormal"/>
    <w:uiPriority w:val="60"/>
    <w:rsid w:val="00F47424"/>
    <w:pPr>
      <w:spacing w:after="0" w:line="240" w:lineRule="auto"/>
    </w:pPr>
    <w:rPr>
      <w:color w:val="628D00" w:themeColor="accent3" w:themeShade="BF"/>
    </w:rPr>
    <w:tblPr>
      <w:tblStyleRowBandSize w:val="1"/>
      <w:tblStyleColBandSize w:val="1"/>
      <w:tblBorders>
        <w:top w:val="single" w:sz="8" w:space="0" w:color="84BD00" w:themeColor="accent3"/>
        <w:bottom w:val="single" w:sz="8" w:space="0" w:color="84BD00" w:themeColor="accent3"/>
      </w:tblBorders>
    </w:tblPr>
    <w:tblStylePr w:type="firstRow">
      <w:pPr>
        <w:spacing w:before="0" w:after="0" w:line="240" w:lineRule="auto"/>
      </w:pPr>
      <w:rPr>
        <w:b/>
        <w:bCs/>
      </w:rPr>
      <w:tblPr/>
      <w:tcPr>
        <w:tcBorders>
          <w:top w:val="single" w:sz="8" w:space="0" w:color="84BD00" w:themeColor="accent3"/>
          <w:left w:val="nil"/>
          <w:bottom w:val="single" w:sz="8" w:space="0" w:color="84BD00" w:themeColor="accent3"/>
          <w:right w:val="nil"/>
          <w:insideH w:val="nil"/>
          <w:insideV w:val="nil"/>
        </w:tcBorders>
      </w:tcPr>
    </w:tblStylePr>
    <w:tblStylePr w:type="lastRow">
      <w:pPr>
        <w:spacing w:before="0" w:after="0" w:line="240" w:lineRule="auto"/>
      </w:pPr>
      <w:rPr>
        <w:b/>
        <w:bCs/>
      </w:rPr>
      <w:tblPr/>
      <w:tcPr>
        <w:tcBorders>
          <w:top w:val="single" w:sz="8" w:space="0" w:color="84BD00" w:themeColor="accent3"/>
          <w:left w:val="nil"/>
          <w:bottom w:val="single" w:sz="8" w:space="0" w:color="84BD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FAF" w:themeFill="accent3" w:themeFillTint="3F"/>
      </w:tcPr>
    </w:tblStylePr>
    <w:tblStylePr w:type="band1Horz">
      <w:tblPr/>
      <w:tcPr>
        <w:tcBorders>
          <w:left w:val="nil"/>
          <w:right w:val="nil"/>
          <w:insideH w:val="nil"/>
          <w:insideV w:val="nil"/>
        </w:tcBorders>
        <w:shd w:val="clear" w:color="auto" w:fill="E7FFAF" w:themeFill="accent3" w:themeFillTint="3F"/>
      </w:tcPr>
    </w:tblStylePr>
  </w:style>
  <w:style w:type="table" w:styleId="LightShading-Accent1">
    <w:name w:val="Light Shading Accent 1"/>
    <w:basedOn w:val="TableNormal"/>
    <w:uiPriority w:val="60"/>
    <w:rsid w:val="00AD6E3F"/>
    <w:pPr>
      <w:spacing w:after="0" w:line="240" w:lineRule="auto"/>
    </w:pPr>
    <w:rPr>
      <w:color w:val="002155" w:themeColor="accent1" w:themeShade="BF"/>
    </w:rPr>
    <w:tblPr>
      <w:tblStyleRowBandSize w:val="1"/>
      <w:tblStyleColBandSize w:val="1"/>
      <w:tblBorders>
        <w:top w:val="single" w:sz="8" w:space="0" w:color="002D72" w:themeColor="accent1"/>
        <w:bottom w:val="single" w:sz="8" w:space="0" w:color="002D72" w:themeColor="accent1"/>
      </w:tblBorders>
    </w:tblPr>
    <w:tblStylePr w:type="firstRow">
      <w:pPr>
        <w:spacing w:before="0" w:after="0" w:line="240" w:lineRule="auto"/>
      </w:pPr>
      <w:rPr>
        <w:b/>
        <w:bCs/>
      </w:rPr>
      <w:tblPr/>
      <w:tcPr>
        <w:tcBorders>
          <w:top w:val="single" w:sz="8" w:space="0" w:color="002D72" w:themeColor="accent1"/>
          <w:left w:val="nil"/>
          <w:bottom w:val="single" w:sz="8" w:space="0" w:color="002D72" w:themeColor="accent1"/>
          <w:right w:val="nil"/>
          <w:insideH w:val="nil"/>
          <w:insideV w:val="nil"/>
        </w:tcBorders>
      </w:tcPr>
    </w:tblStylePr>
    <w:tblStylePr w:type="lastRow">
      <w:pPr>
        <w:spacing w:before="0" w:after="0" w:line="240" w:lineRule="auto"/>
      </w:pPr>
      <w:rPr>
        <w:b/>
        <w:bCs/>
      </w:rPr>
      <w:tblPr/>
      <w:tcPr>
        <w:tcBorders>
          <w:top w:val="single" w:sz="8" w:space="0" w:color="002D72" w:themeColor="accent1"/>
          <w:left w:val="nil"/>
          <w:bottom w:val="single" w:sz="8" w:space="0" w:color="002D7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DC3FF" w:themeFill="accent1" w:themeFillTint="3F"/>
      </w:tcPr>
    </w:tblStylePr>
    <w:tblStylePr w:type="band1Horz">
      <w:tblPr/>
      <w:tcPr>
        <w:tcBorders>
          <w:left w:val="nil"/>
          <w:right w:val="nil"/>
          <w:insideH w:val="nil"/>
          <w:insideV w:val="nil"/>
        </w:tcBorders>
        <w:shd w:val="clear" w:color="auto" w:fill="9DC3FF" w:themeFill="accent1" w:themeFillTint="3F"/>
      </w:tcPr>
    </w:tblStylePr>
  </w:style>
  <w:style w:type="paragraph" w:customStyle="1" w:styleId="Listfiguretableheading">
    <w:name w:val="List/figure/table heading"/>
    <w:basedOn w:val="Heading2"/>
    <w:qFormat/>
    <w:rsid w:val="000A5BFC"/>
    <w:rPr>
      <w:sz w:val="24"/>
    </w:rPr>
  </w:style>
  <w:style w:type="paragraph" w:customStyle="1" w:styleId="TableHeading">
    <w:name w:val="Table Heading"/>
    <w:basedOn w:val="Tabletext"/>
    <w:qFormat/>
    <w:rsid w:val="00A727B5"/>
    <w:rPr>
      <w:b/>
      <w:bCs w:val="0"/>
      <w:color w:val="002D72"/>
    </w:rPr>
  </w:style>
  <w:style w:type="character" w:styleId="Hyperlink">
    <w:name w:val="Hyperlink"/>
    <w:basedOn w:val="DefaultParagraphFont"/>
    <w:uiPriority w:val="99"/>
    <w:rsid w:val="008C0BE1"/>
    <w:rPr>
      <w:color w:val="0000FF"/>
      <w:u w:val="single"/>
    </w:rPr>
  </w:style>
  <w:style w:type="paragraph" w:styleId="MessageHeader">
    <w:name w:val="Message Header"/>
    <w:aliases w:val="Boxed text"/>
    <w:basedOn w:val="Normal"/>
    <w:next w:val="Normal"/>
    <w:link w:val="MessageHeaderChar"/>
    <w:uiPriority w:val="99"/>
    <w:unhideWhenUsed/>
    <w:qFormat/>
    <w:rsid w:val="008C0BE1"/>
    <w:pPr>
      <w:pBdr>
        <w:top w:val="single" w:sz="48" w:space="4" w:color="E4E6E8" w:themeColor="text2" w:themeTint="33"/>
        <w:left w:val="single" w:sz="48" w:space="4" w:color="E4E6E8" w:themeColor="text2" w:themeTint="33"/>
        <w:bottom w:val="single" w:sz="48" w:space="5" w:color="E4E6E8" w:themeColor="text2" w:themeTint="33"/>
        <w:right w:val="single" w:sz="48" w:space="4" w:color="E4E6E8" w:themeColor="text2" w:themeTint="33"/>
      </w:pBdr>
      <w:shd w:val="solid" w:color="E4E6E8" w:themeColor="text2" w:themeTint="33" w:fill="auto"/>
      <w:suppressAutoHyphens/>
      <w:autoSpaceDE w:val="0"/>
      <w:autoSpaceDN w:val="0"/>
      <w:adjustRightInd w:val="0"/>
      <w:spacing w:before="240" w:after="240" w:line="240" w:lineRule="auto"/>
      <w:ind w:left="80" w:right="80"/>
      <w:textAlignment w:val="center"/>
    </w:pPr>
    <w:rPr>
      <w:rFonts w:eastAsiaTheme="majorEastAsia" w:cstheme="majorBidi"/>
      <w:color w:val="000000"/>
      <w:szCs w:val="24"/>
      <w:lang w:val="en-US"/>
    </w:rPr>
  </w:style>
  <w:style w:type="character" w:customStyle="1" w:styleId="MessageHeaderChar">
    <w:name w:val="Message Header Char"/>
    <w:aliases w:val="Boxed text Char"/>
    <w:basedOn w:val="DefaultParagraphFont"/>
    <w:link w:val="MessageHeader"/>
    <w:uiPriority w:val="99"/>
    <w:rsid w:val="008C0BE1"/>
    <w:rPr>
      <w:rFonts w:ascii="Arial" w:eastAsiaTheme="majorEastAsia" w:hAnsi="Arial" w:cstheme="majorBidi"/>
      <w:color w:val="000000"/>
      <w:sz w:val="20"/>
      <w:szCs w:val="24"/>
      <w:shd w:val="solid" w:color="E4E6E8" w:themeColor="text2" w:themeTint="33" w:fill="auto"/>
      <w:lang w:val="en-US"/>
    </w:rPr>
  </w:style>
  <w:style w:type="character" w:styleId="FollowedHyperlink">
    <w:name w:val="FollowedHyperlink"/>
    <w:basedOn w:val="DefaultParagraphFont"/>
    <w:uiPriority w:val="99"/>
    <w:semiHidden/>
    <w:unhideWhenUsed/>
    <w:rsid w:val="00AF63C3"/>
    <w:rPr>
      <w:color w:val="7C878E" w:themeColor="followedHyperlink"/>
      <w:u w:val="single"/>
    </w:rPr>
  </w:style>
  <w:style w:type="table" w:styleId="TableGridLight">
    <w:name w:val="Grid Table Light"/>
    <w:basedOn w:val="TableNormal"/>
    <w:uiPriority w:val="40"/>
    <w:rsid w:val="002D44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D44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2D44FC"/>
    <w:pPr>
      <w:spacing w:after="0" w:line="240" w:lineRule="auto"/>
    </w:pPr>
    <w:tblPr>
      <w:tblStyleRowBandSize w:val="1"/>
      <w:tblStyleColBandSize w:val="1"/>
    </w:tblPr>
    <w:tblStylePr w:type="firstRow">
      <w:rPr>
        <w:b/>
        <w:bCs/>
        <w:caps/>
      </w:rPr>
      <w:tblPr/>
      <w:tcPr>
        <w:tcBorders>
          <w:bottom w:val="single" w:sz="4" w:space="0" w:color="3886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886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2D44FC"/>
    <w:pPr>
      <w:spacing w:after="0" w:line="240" w:lineRule="auto"/>
    </w:pPr>
    <w:tblPr>
      <w:tblStyleRowBandSize w:val="1"/>
      <w:tblStyleColBandSize w:val="1"/>
      <w:tblBorders>
        <w:top w:val="single" w:sz="4" w:space="0" w:color="3886FF" w:themeColor="text1" w:themeTint="80"/>
        <w:bottom w:val="single" w:sz="4" w:space="0" w:color="3886FF" w:themeColor="text1" w:themeTint="80"/>
      </w:tblBorders>
    </w:tblPr>
    <w:tblStylePr w:type="firstRow">
      <w:rPr>
        <w:b/>
        <w:bCs/>
      </w:rPr>
      <w:tblPr/>
      <w:tcPr>
        <w:tcBorders>
          <w:bottom w:val="single" w:sz="4" w:space="0" w:color="3886FF" w:themeColor="text1" w:themeTint="80"/>
        </w:tcBorders>
      </w:tcPr>
    </w:tblStylePr>
    <w:tblStylePr w:type="lastRow">
      <w:rPr>
        <w:b/>
        <w:bCs/>
      </w:rPr>
      <w:tblPr/>
      <w:tcPr>
        <w:tcBorders>
          <w:top w:val="single" w:sz="4" w:space="0" w:color="3886FF" w:themeColor="text1" w:themeTint="80"/>
        </w:tcBorders>
      </w:tcPr>
    </w:tblStylePr>
    <w:tblStylePr w:type="firstCol">
      <w:rPr>
        <w:b/>
        <w:bCs/>
      </w:rPr>
    </w:tblStylePr>
    <w:tblStylePr w:type="lastCol">
      <w:rPr>
        <w:b/>
        <w:bCs/>
      </w:rPr>
    </w:tblStylePr>
    <w:tblStylePr w:type="band1Vert">
      <w:tblPr/>
      <w:tcPr>
        <w:tcBorders>
          <w:left w:val="single" w:sz="4" w:space="0" w:color="3886FF" w:themeColor="text1" w:themeTint="80"/>
          <w:right w:val="single" w:sz="4" w:space="0" w:color="3886FF" w:themeColor="text1" w:themeTint="80"/>
        </w:tcBorders>
      </w:tcPr>
    </w:tblStylePr>
    <w:tblStylePr w:type="band2Vert">
      <w:tblPr/>
      <w:tcPr>
        <w:tcBorders>
          <w:left w:val="single" w:sz="4" w:space="0" w:color="3886FF" w:themeColor="text1" w:themeTint="80"/>
          <w:right w:val="single" w:sz="4" w:space="0" w:color="3886FF" w:themeColor="text1" w:themeTint="80"/>
        </w:tcBorders>
      </w:tcPr>
    </w:tblStylePr>
    <w:tblStylePr w:type="band1Horz">
      <w:tblPr/>
      <w:tcPr>
        <w:tcBorders>
          <w:top w:val="single" w:sz="4" w:space="0" w:color="3886FF" w:themeColor="text1" w:themeTint="80"/>
          <w:bottom w:val="single" w:sz="4" w:space="0" w:color="3886FF" w:themeColor="text1" w:themeTint="80"/>
        </w:tcBorders>
      </w:tcPr>
    </w:tblStylePr>
  </w:style>
  <w:style w:type="table" w:styleId="PlainTable4">
    <w:name w:val="Plain Table 4"/>
    <w:basedOn w:val="TableNormal"/>
    <w:uiPriority w:val="44"/>
    <w:rsid w:val="002D44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
    <w:name w:val="List Table 3"/>
    <w:basedOn w:val="TableNormal"/>
    <w:uiPriority w:val="48"/>
    <w:rsid w:val="002D44FC"/>
    <w:pPr>
      <w:spacing w:after="0" w:line="240" w:lineRule="auto"/>
    </w:pPr>
    <w:tblPr>
      <w:tblStyleRowBandSize w:val="1"/>
      <w:tblStyleColBandSize w:val="1"/>
      <w:tblBorders>
        <w:top w:val="single" w:sz="4" w:space="0" w:color="002D72" w:themeColor="text1"/>
        <w:left w:val="single" w:sz="4" w:space="0" w:color="002D72" w:themeColor="text1"/>
        <w:bottom w:val="single" w:sz="4" w:space="0" w:color="002D72" w:themeColor="text1"/>
        <w:right w:val="single" w:sz="4" w:space="0" w:color="002D72" w:themeColor="text1"/>
      </w:tblBorders>
    </w:tblPr>
    <w:tblStylePr w:type="firstRow">
      <w:rPr>
        <w:b/>
        <w:bCs/>
        <w:color w:val="FFFFFF" w:themeColor="background1"/>
      </w:rPr>
      <w:tblPr/>
      <w:tcPr>
        <w:shd w:val="clear" w:color="auto" w:fill="002D72" w:themeFill="text1"/>
      </w:tcPr>
    </w:tblStylePr>
    <w:tblStylePr w:type="lastRow">
      <w:rPr>
        <w:b/>
        <w:bCs/>
      </w:rPr>
      <w:tblPr/>
      <w:tcPr>
        <w:tcBorders>
          <w:top w:val="double" w:sz="4" w:space="0" w:color="002D7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D72" w:themeColor="text1"/>
          <w:right w:val="single" w:sz="4" w:space="0" w:color="002D72" w:themeColor="text1"/>
        </w:tcBorders>
      </w:tcPr>
    </w:tblStylePr>
    <w:tblStylePr w:type="band1Horz">
      <w:tblPr/>
      <w:tcPr>
        <w:tcBorders>
          <w:top w:val="single" w:sz="4" w:space="0" w:color="002D72" w:themeColor="text1"/>
          <w:bottom w:val="single" w:sz="4" w:space="0" w:color="002D7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D72" w:themeColor="text1"/>
          <w:left w:val="nil"/>
        </w:tcBorders>
      </w:tcPr>
    </w:tblStylePr>
    <w:tblStylePr w:type="swCell">
      <w:tblPr/>
      <w:tcPr>
        <w:tcBorders>
          <w:top w:val="double" w:sz="4" w:space="0" w:color="002D72" w:themeColor="text1"/>
          <w:right w:val="nil"/>
        </w:tcBorders>
      </w:tcPr>
    </w:tblStylePr>
  </w:style>
  <w:style w:type="character" w:customStyle="1" w:styleId="Heading7Char">
    <w:name w:val="Heading 7 Char"/>
    <w:basedOn w:val="DefaultParagraphFont"/>
    <w:link w:val="Heading7"/>
    <w:uiPriority w:val="9"/>
    <w:rsid w:val="00062565"/>
    <w:rPr>
      <w:rFonts w:asciiTheme="majorHAnsi" w:eastAsiaTheme="majorEastAsia" w:hAnsiTheme="majorHAnsi" w:cstheme="majorBidi"/>
      <w:iCs/>
      <w:color w:val="002D72" w:themeColor="text1"/>
      <w:sz w:val="20"/>
    </w:rPr>
  </w:style>
  <w:style w:type="character" w:customStyle="1" w:styleId="Heading8Char">
    <w:name w:val="Heading 8 Char"/>
    <w:basedOn w:val="DefaultParagraphFont"/>
    <w:link w:val="Heading8"/>
    <w:uiPriority w:val="9"/>
    <w:rsid w:val="00062565"/>
    <w:rPr>
      <w:rFonts w:asciiTheme="majorHAnsi" w:eastAsiaTheme="majorEastAsia" w:hAnsiTheme="majorHAnsi" w:cstheme="majorBidi"/>
      <w:i/>
      <w:color w:val="002D72" w:themeColor="text1"/>
      <w:sz w:val="21"/>
      <w:szCs w:val="21"/>
    </w:rPr>
  </w:style>
  <w:style w:type="character" w:styleId="CommentReference">
    <w:name w:val="annotation reference"/>
    <w:basedOn w:val="DefaultParagraphFont"/>
    <w:uiPriority w:val="99"/>
    <w:semiHidden/>
    <w:unhideWhenUsed/>
    <w:rsid w:val="00500B39"/>
    <w:rPr>
      <w:sz w:val="16"/>
      <w:szCs w:val="16"/>
    </w:rPr>
  </w:style>
  <w:style w:type="paragraph" w:styleId="CommentText">
    <w:name w:val="annotation text"/>
    <w:basedOn w:val="Normal"/>
    <w:link w:val="CommentTextChar"/>
    <w:uiPriority w:val="99"/>
    <w:semiHidden/>
    <w:unhideWhenUsed/>
    <w:rsid w:val="00500B39"/>
    <w:pPr>
      <w:spacing w:before="120" w:after="200" w:line="240" w:lineRule="auto"/>
    </w:pPr>
    <w:rPr>
      <w:rFonts w:ascii="Arial" w:hAnsi="Arial"/>
      <w:color w:val="0062FC" w:themeColor="text1" w:themeTint="A6"/>
      <w:szCs w:val="20"/>
    </w:rPr>
  </w:style>
  <w:style w:type="character" w:customStyle="1" w:styleId="CommentTextChar">
    <w:name w:val="Comment Text Char"/>
    <w:basedOn w:val="DefaultParagraphFont"/>
    <w:link w:val="CommentText"/>
    <w:uiPriority w:val="99"/>
    <w:semiHidden/>
    <w:rsid w:val="00500B39"/>
    <w:rPr>
      <w:rFonts w:ascii="Arial" w:hAnsi="Arial"/>
      <w:color w:val="0062FC" w:themeColor="text1" w:themeTint="A6"/>
      <w:sz w:val="20"/>
      <w:szCs w:val="20"/>
    </w:rPr>
  </w:style>
  <w:style w:type="paragraph" w:styleId="CommentSubject">
    <w:name w:val="annotation subject"/>
    <w:basedOn w:val="CommentText"/>
    <w:next w:val="CommentText"/>
    <w:link w:val="CommentSubjectChar"/>
    <w:uiPriority w:val="99"/>
    <w:semiHidden/>
    <w:unhideWhenUsed/>
    <w:rsid w:val="00EE276B"/>
    <w:pPr>
      <w:spacing w:before="100" w:after="100"/>
    </w:pPr>
    <w:rPr>
      <w:rFonts w:asciiTheme="minorHAnsi" w:hAnsiTheme="minorHAnsi"/>
      <w:b/>
      <w:bCs/>
      <w:color w:val="auto"/>
    </w:rPr>
  </w:style>
  <w:style w:type="character" w:customStyle="1" w:styleId="CommentSubjectChar">
    <w:name w:val="Comment Subject Char"/>
    <w:basedOn w:val="CommentTextChar"/>
    <w:link w:val="CommentSubject"/>
    <w:uiPriority w:val="99"/>
    <w:semiHidden/>
    <w:rsid w:val="00EE276B"/>
    <w:rPr>
      <w:rFonts w:ascii="Arial" w:hAnsi="Arial"/>
      <w:b/>
      <w:bCs/>
      <w:color w:val="0062FC" w:themeColor="text1" w:themeTint="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32709">
      <w:bodyDiv w:val="1"/>
      <w:marLeft w:val="0"/>
      <w:marRight w:val="0"/>
      <w:marTop w:val="0"/>
      <w:marBottom w:val="0"/>
      <w:divBdr>
        <w:top w:val="none" w:sz="0" w:space="0" w:color="auto"/>
        <w:left w:val="none" w:sz="0" w:space="0" w:color="auto"/>
        <w:bottom w:val="none" w:sz="0" w:space="0" w:color="auto"/>
        <w:right w:val="none" w:sz="0" w:space="0" w:color="auto"/>
      </w:divBdr>
    </w:div>
    <w:div w:id="20460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organisations/business/forms" TargetMode="External"/><Relationship Id="rId13" Type="http://schemas.openxmlformats.org/officeDocument/2006/relationships/hyperlink" Target="mailto:tfes.support@servicesaustralia.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smanianShipping@infrastructure.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organisations/business/services/centrelink/tasmanian-freight-equalisation-sche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bs.gov.au/ausstats/abs@.nsf/mf/129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factsheet%20newsletter.dotx" TargetMode="External"/></Relationships>
</file>

<file path=word/theme/theme1.xml><?xml version="1.0" encoding="utf-8"?>
<a:theme xmlns:a="http://schemas.openxmlformats.org/drawingml/2006/main" name="DoITCRD">
  <a:themeElements>
    <a:clrScheme name="Custom 1">
      <a:dk1>
        <a:srgbClr val="002D72"/>
      </a:dk1>
      <a:lt1>
        <a:sysClr val="window" lastClr="FFFFFF"/>
      </a:lt1>
      <a:dk2>
        <a:srgbClr val="7C878E"/>
      </a:dk2>
      <a:lt2>
        <a:srgbClr val="DEE9F1"/>
      </a:lt2>
      <a:accent1>
        <a:srgbClr val="002D72"/>
      </a:accent1>
      <a:accent2>
        <a:srgbClr val="009CBD"/>
      </a:accent2>
      <a:accent3>
        <a:srgbClr val="84BD00"/>
      </a:accent3>
      <a:accent4>
        <a:srgbClr val="485CC7"/>
      </a:accent4>
      <a:accent5>
        <a:srgbClr val="FA4616"/>
      </a:accent5>
      <a:accent6>
        <a:srgbClr val="FFA300"/>
      </a:accent6>
      <a:hlink>
        <a:srgbClr val="002D72"/>
      </a:hlink>
      <a:folHlink>
        <a:srgbClr val="7C878E"/>
      </a:folHlink>
    </a:clrScheme>
    <a:fontScheme name="DoITCRD 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ITCRD" id="{5A257436-6D80-4E63-B74C-390E67994A5E}" vid="{8063BDD6-2E75-4593-999F-27F6CC842E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C369D-84BE-4B89-9FEB-0ED554E4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factsheet newsletter.dotx</Template>
  <TotalTime>16</TotalTime>
  <Pages>4</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Factsheet</vt:lpstr>
    </vt:vector>
  </TitlesOfParts>
  <Company>Department of Infrastructure and Regional Development</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dc:title>
  <dc:creator>BERNEY Jon</dc:creator>
  <cp:lastModifiedBy>BERNEY Jon</cp:lastModifiedBy>
  <cp:revision>6</cp:revision>
  <cp:lastPrinted>2020-10-27T00:30:00Z</cp:lastPrinted>
  <dcterms:created xsi:type="dcterms:W3CDTF">2020-10-19T22:46:00Z</dcterms:created>
  <dcterms:modified xsi:type="dcterms:W3CDTF">2024-01-18T03:15:00Z</dcterms:modified>
</cp:coreProperties>
</file>