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F5740" w14:textId="77777777" w:rsidR="008456D5" w:rsidRDefault="00996B8C" w:rsidP="00996B8C">
      <w:pPr>
        <w:spacing w:before="0"/>
        <w:ind w:left="-1020"/>
      </w:pPr>
      <w:bookmarkStart w:id="0" w:name="_GoBack"/>
      <w:bookmarkEnd w:id="0"/>
      <w:r>
        <w:rPr>
          <w:noProof/>
          <w:lang w:eastAsia="en-AU"/>
        </w:rPr>
        <w:drawing>
          <wp:inline distT="0" distB="0" distL="0" distR="0" wp14:anchorId="6FCE7671" wp14:editId="5EA2B31A">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p w14:paraId="5FF2ED24" w14:textId="77777777" w:rsidR="005653A9" w:rsidRDefault="002738A2" w:rsidP="005653A9">
      <w:pPr>
        <w:pStyle w:val="AreaHeading"/>
        <w:spacing w:before="240" w:after="120"/>
      </w:pPr>
      <w:r>
        <w:t>Vehicle Safety Operations</w:t>
      </w:r>
    </w:p>
    <w:p w14:paraId="05807571" w14:textId="3EBBD217" w:rsidR="00F55519" w:rsidRPr="006D2DA1" w:rsidRDefault="00CD61D5" w:rsidP="00C9157A">
      <w:pPr>
        <w:pStyle w:val="Title"/>
        <w:spacing w:before="0"/>
      </w:pPr>
      <w:r w:rsidRPr="006D2DA1">
        <w:t>Compliance and Enforcement Strategy 2021 - 2023</w:t>
      </w:r>
    </w:p>
    <w:p w14:paraId="2C263117" w14:textId="77777777" w:rsidR="00DE4FE2" w:rsidRPr="006D2DA1" w:rsidRDefault="002738A2" w:rsidP="006D2DA1">
      <w:pPr>
        <w:pStyle w:val="Subtitle"/>
      </w:pPr>
      <w:r w:rsidRPr="006D2DA1">
        <w:t>Regulating under the Road Vehicle Standards Act 2018</w:t>
      </w:r>
    </w:p>
    <w:p w14:paraId="50360C4E" w14:textId="0B0DA26C" w:rsidR="00DE4FE2" w:rsidRDefault="00115444" w:rsidP="00DE4FE2">
      <w:pPr>
        <w:pStyle w:val="CoverDate"/>
      </w:pPr>
      <w:r>
        <w:t>June 2021</w:t>
      </w:r>
    </w:p>
    <w:p w14:paraId="4482FB14" w14:textId="77777777" w:rsidR="00DE4FE2" w:rsidRPr="00775456" w:rsidRDefault="00DE4FE2" w:rsidP="00D02062">
      <w:pPr>
        <w:pBdr>
          <w:bottom w:val="single" w:sz="4" w:space="1" w:color="C0D48F" w:themeColor="accent5"/>
        </w:pBdr>
        <w:rPr>
          <w:sz w:val="16"/>
          <w:szCs w:val="16"/>
        </w:rPr>
      </w:pPr>
    </w:p>
    <w:p w14:paraId="6FE719EF" w14:textId="77777777" w:rsidR="00E95BA5" w:rsidRPr="00775456" w:rsidRDefault="00E95BA5" w:rsidP="00E95BA5">
      <w:pPr>
        <w:rPr>
          <w:sz w:val="16"/>
          <w:szCs w:val="16"/>
        </w:rPr>
      </w:pPr>
      <w:bookmarkStart w:id="1" w:name="_Toc49855348"/>
    </w:p>
    <w:p w14:paraId="0FDAE6B4" w14:textId="77777777" w:rsidR="00E95BA5" w:rsidRPr="00775456" w:rsidRDefault="00E95BA5" w:rsidP="00D02062">
      <w:pPr>
        <w:pStyle w:val="Heading1"/>
        <w:rPr>
          <w:sz w:val="16"/>
          <w:szCs w:val="16"/>
        </w:rPr>
        <w:sectPr w:rsidR="00E95BA5" w:rsidRPr="00775456" w:rsidSect="00996B8C">
          <w:headerReference w:type="even" r:id="rId9"/>
          <w:headerReference w:type="default" r:id="rId10"/>
          <w:footerReference w:type="even" r:id="rId11"/>
          <w:footerReference w:type="default" r:id="rId12"/>
          <w:headerReference w:type="first" r:id="rId13"/>
          <w:footerReference w:type="first" r:id="rId14"/>
          <w:pgSz w:w="11906" w:h="16838" w:code="9"/>
          <w:pgMar w:top="0" w:right="1021" w:bottom="1021" w:left="1021" w:header="510" w:footer="567" w:gutter="0"/>
          <w:cols w:space="708"/>
          <w:titlePg/>
          <w:docGrid w:linePitch="360"/>
          <w15:footnoteColumns w:val="1"/>
        </w:sectPr>
      </w:pPr>
    </w:p>
    <w:p w14:paraId="5BD14B0D" w14:textId="77777777" w:rsidR="00310F4D" w:rsidRPr="00310F4D" w:rsidRDefault="00310F4D" w:rsidP="00310F4D">
      <w:pPr>
        <w:pStyle w:val="Introduction"/>
        <w:rPr>
          <w:rStyle w:val="Hyperlink"/>
          <w:color w:val="377B88"/>
          <w:u w:val="none"/>
        </w:rPr>
      </w:pPr>
      <w:r w:rsidRPr="00310F4D">
        <w:rPr>
          <w:rStyle w:val="Hyperlink"/>
          <w:color w:val="377B88"/>
          <w:u w:val="none"/>
        </w:rPr>
        <w:t>Contents</w:t>
      </w:r>
    </w:p>
    <w:p w14:paraId="165557D7" w14:textId="4AC61F30" w:rsidR="00EC05AF" w:rsidRDefault="00310F4D">
      <w:pPr>
        <w:pStyle w:val="TOC1"/>
        <w:rPr>
          <w:rFonts w:eastAsiaTheme="minorEastAsia"/>
          <w:noProof/>
          <w:color w:val="auto"/>
          <w:kern w:val="0"/>
          <w:sz w:val="22"/>
          <w:szCs w:val="22"/>
          <w:lang w:eastAsia="en-AU"/>
        </w:rPr>
      </w:pPr>
      <w:r>
        <w:rPr>
          <w:rStyle w:val="Hyperlink"/>
          <w:noProof/>
          <w:color w:val="auto"/>
          <w:u w:val="none"/>
        </w:rPr>
        <w:fldChar w:fldCharType="begin"/>
      </w:r>
      <w:r>
        <w:rPr>
          <w:rStyle w:val="Hyperlink"/>
          <w:noProof/>
          <w:color w:val="auto"/>
          <w:u w:val="none"/>
        </w:rPr>
        <w:instrText xml:space="preserve"> TOC \o "1-2" \h \z \u </w:instrText>
      </w:r>
      <w:r>
        <w:rPr>
          <w:rStyle w:val="Hyperlink"/>
          <w:noProof/>
          <w:color w:val="auto"/>
          <w:u w:val="none"/>
        </w:rPr>
        <w:fldChar w:fldCharType="separate"/>
      </w:r>
      <w:hyperlink w:anchor="_Toc75440290" w:history="1">
        <w:r w:rsidR="00EC05AF" w:rsidRPr="000B2E95">
          <w:rPr>
            <w:rStyle w:val="Hyperlink"/>
            <w:noProof/>
          </w:rPr>
          <w:t>Introduction</w:t>
        </w:r>
        <w:r w:rsidR="00EC05AF">
          <w:rPr>
            <w:noProof/>
            <w:webHidden/>
          </w:rPr>
          <w:tab/>
        </w:r>
        <w:r w:rsidR="00EC05AF">
          <w:rPr>
            <w:noProof/>
            <w:webHidden/>
          </w:rPr>
          <w:fldChar w:fldCharType="begin"/>
        </w:r>
        <w:r w:rsidR="00EC05AF">
          <w:rPr>
            <w:noProof/>
            <w:webHidden/>
          </w:rPr>
          <w:instrText xml:space="preserve"> PAGEREF _Toc75440290 \h </w:instrText>
        </w:r>
        <w:r w:rsidR="00EC05AF">
          <w:rPr>
            <w:noProof/>
            <w:webHidden/>
          </w:rPr>
        </w:r>
        <w:r w:rsidR="00EC05AF">
          <w:rPr>
            <w:noProof/>
            <w:webHidden/>
          </w:rPr>
          <w:fldChar w:fldCharType="separate"/>
        </w:r>
        <w:r w:rsidR="0085330F">
          <w:rPr>
            <w:noProof/>
            <w:webHidden/>
          </w:rPr>
          <w:t>2</w:t>
        </w:r>
        <w:r w:rsidR="00EC05AF">
          <w:rPr>
            <w:noProof/>
            <w:webHidden/>
          </w:rPr>
          <w:fldChar w:fldCharType="end"/>
        </w:r>
      </w:hyperlink>
    </w:p>
    <w:p w14:paraId="63179CC2" w14:textId="7964DFB4" w:rsidR="00EC05AF" w:rsidRDefault="009F18AC">
      <w:pPr>
        <w:pStyle w:val="TOC1"/>
        <w:rPr>
          <w:rFonts w:eastAsiaTheme="minorEastAsia"/>
          <w:noProof/>
          <w:color w:val="auto"/>
          <w:kern w:val="0"/>
          <w:sz w:val="22"/>
          <w:szCs w:val="22"/>
          <w:lang w:eastAsia="en-AU"/>
        </w:rPr>
      </w:pPr>
      <w:hyperlink w:anchor="_Toc75440291" w:history="1">
        <w:r w:rsidR="00EC05AF" w:rsidRPr="000B2E95">
          <w:rPr>
            <w:rStyle w:val="Hyperlink"/>
            <w:noProof/>
          </w:rPr>
          <w:t>Our approach to compliance and enforcement</w:t>
        </w:r>
        <w:r w:rsidR="00EC05AF">
          <w:rPr>
            <w:noProof/>
            <w:webHidden/>
          </w:rPr>
          <w:tab/>
        </w:r>
        <w:r w:rsidR="00EC05AF">
          <w:rPr>
            <w:noProof/>
            <w:webHidden/>
          </w:rPr>
          <w:fldChar w:fldCharType="begin"/>
        </w:r>
        <w:r w:rsidR="00EC05AF">
          <w:rPr>
            <w:noProof/>
            <w:webHidden/>
          </w:rPr>
          <w:instrText xml:space="preserve"> PAGEREF _Toc75440291 \h </w:instrText>
        </w:r>
        <w:r w:rsidR="00EC05AF">
          <w:rPr>
            <w:noProof/>
            <w:webHidden/>
          </w:rPr>
        </w:r>
        <w:r w:rsidR="00EC05AF">
          <w:rPr>
            <w:noProof/>
            <w:webHidden/>
          </w:rPr>
          <w:fldChar w:fldCharType="separate"/>
        </w:r>
        <w:r w:rsidR="0085330F">
          <w:rPr>
            <w:noProof/>
            <w:webHidden/>
          </w:rPr>
          <w:t>2</w:t>
        </w:r>
        <w:r w:rsidR="00EC05AF">
          <w:rPr>
            <w:noProof/>
            <w:webHidden/>
          </w:rPr>
          <w:fldChar w:fldCharType="end"/>
        </w:r>
      </w:hyperlink>
    </w:p>
    <w:p w14:paraId="1BE5AD86" w14:textId="19528561" w:rsidR="00EC05AF" w:rsidRDefault="009F18AC">
      <w:pPr>
        <w:pStyle w:val="TOC2"/>
        <w:rPr>
          <w:rFonts w:eastAsiaTheme="minorEastAsia"/>
          <w:noProof/>
          <w:color w:val="auto"/>
          <w:kern w:val="0"/>
          <w:sz w:val="22"/>
          <w:szCs w:val="22"/>
          <w:lang w:eastAsia="en-AU"/>
        </w:rPr>
      </w:pPr>
      <w:hyperlink w:anchor="_Toc75440292" w:history="1">
        <w:r w:rsidR="00EC05AF" w:rsidRPr="000B2E95">
          <w:rPr>
            <w:rStyle w:val="Hyperlink"/>
            <w:noProof/>
          </w:rPr>
          <w:t>Our principles</w:t>
        </w:r>
        <w:r w:rsidR="00EC05AF">
          <w:rPr>
            <w:noProof/>
            <w:webHidden/>
          </w:rPr>
          <w:tab/>
        </w:r>
        <w:r w:rsidR="00EC05AF">
          <w:rPr>
            <w:noProof/>
            <w:webHidden/>
          </w:rPr>
          <w:fldChar w:fldCharType="begin"/>
        </w:r>
        <w:r w:rsidR="00EC05AF">
          <w:rPr>
            <w:noProof/>
            <w:webHidden/>
          </w:rPr>
          <w:instrText xml:space="preserve"> PAGEREF _Toc75440292 \h </w:instrText>
        </w:r>
        <w:r w:rsidR="00EC05AF">
          <w:rPr>
            <w:noProof/>
            <w:webHidden/>
          </w:rPr>
        </w:r>
        <w:r w:rsidR="00EC05AF">
          <w:rPr>
            <w:noProof/>
            <w:webHidden/>
          </w:rPr>
          <w:fldChar w:fldCharType="separate"/>
        </w:r>
        <w:r w:rsidR="0085330F">
          <w:rPr>
            <w:noProof/>
            <w:webHidden/>
          </w:rPr>
          <w:t>2</w:t>
        </w:r>
        <w:r w:rsidR="00EC05AF">
          <w:rPr>
            <w:noProof/>
            <w:webHidden/>
          </w:rPr>
          <w:fldChar w:fldCharType="end"/>
        </w:r>
      </w:hyperlink>
    </w:p>
    <w:p w14:paraId="553EA87F" w14:textId="71F242A7" w:rsidR="00EC05AF" w:rsidRDefault="009F18AC">
      <w:pPr>
        <w:pStyle w:val="TOC2"/>
        <w:rPr>
          <w:rFonts w:eastAsiaTheme="minorEastAsia"/>
          <w:noProof/>
          <w:color w:val="auto"/>
          <w:kern w:val="0"/>
          <w:sz w:val="22"/>
          <w:szCs w:val="22"/>
          <w:lang w:eastAsia="en-AU"/>
        </w:rPr>
      </w:pPr>
      <w:hyperlink w:anchor="_Toc75440293" w:history="1">
        <w:r w:rsidR="00EC05AF" w:rsidRPr="000B2E95">
          <w:rPr>
            <w:rStyle w:val="Hyperlink"/>
            <w:noProof/>
          </w:rPr>
          <w:t>Our compliance approach and model</w:t>
        </w:r>
        <w:r w:rsidR="00EC05AF">
          <w:rPr>
            <w:noProof/>
            <w:webHidden/>
          </w:rPr>
          <w:tab/>
        </w:r>
        <w:r w:rsidR="00EC05AF">
          <w:rPr>
            <w:noProof/>
            <w:webHidden/>
          </w:rPr>
          <w:fldChar w:fldCharType="begin"/>
        </w:r>
        <w:r w:rsidR="00EC05AF">
          <w:rPr>
            <w:noProof/>
            <w:webHidden/>
          </w:rPr>
          <w:instrText xml:space="preserve"> PAGEREF _Toc75440293 \h </w:instrText>
        </w:r>
        <w:r w:rsidR="00EC05AF">
          <w:rPr>
            <w:noProof/>
            <w:webHidden/>
          </w:rPr>
        </w:r>
        <w:r w:rsidR="00EC05AF">
          <w:rPr>
            <w:noProof/>
            <w:webHidden/>
          </w:rPr>
          <w:fldChar w:fldCharType="separate"/>
        </w:r>
        <w:r w:rsidR="0085330F">
          <w:rPr>
            <w:noProof/>
            <w:webHidden/>
          </w:rPr>
          <w:t>3</w:t>
        </w:r>
        <w:r w:rsidR="00EC05AF">
          <w:rPr>
            <w:noProof/>
            <w:webHidden/>
          </w:rPr>
          <w:fldChar w:fldCharType="end"/>
        </w:r>
      </w:hyperlink>
    </w:p>
    <w:p w14:paraId="5FD30087" w14:textId="15426831" w:rsidR="00EC05AF" w:rsidRDefault="009F18AC">
      <w:pPr>
        <w:pStyle w:val="TOC2"/>
        <w:rPr>
          <w:rFonts w:eastAsiaTheme="minorEastAsia"/>
          <w:noProof/>
          <w:color w:val="auto"/>
          <w:kern w:val="0"/>
          <w:sz w:val="22"/>
          <w:szCs w:val="22"/>
          <w:lang w:eastAsia="en-AU"/>
        </w:rPr>
      </w:pPr>
      <w:hyperlink w:anchor="_Toc75440294" w:history="1">
        <w:r w:rsidR="00EC05AF" w:rsidRPr="000B2E95">
          <w:rPr>
            <w:rStyle w:val="Hyperlink"/>
            <w:noProof/>
          </w:rPr>
          <w:t>Our operating environment</w:t>
        </w:r>
        <w:r w:rsidR="00EC05AF">
          <w:rPr>
            <w:noProof/>
            <w:webHidden/>
          </w:rPr>
          <w:tab/>
        </w:r>
        <w:r w:rsidR="00EC05AF">
          <w:rPr>
            <w:noProof/>
            <w:webHidden/>
          </w:rPr>
          <w:fldChar w:fldCharType="begin"/>
        </w:r>
        <w:r w:rsidR="00EC05AF">
          <w:rPr>
            <w:noProof/>
            <w:webHidden/>
          </w:rPr>
          <w:instrText xml:space="preserve"> PAGEREF _Toc75440294 \h </w:instrText>
        </w:r>
        <w:r w:rsidR="00EC05AF">
          <w:rPr>
            <w:noProof/>
            <w:webHidden/>
          </w:rPr>
        </w:r>
        <w:r w:rsidR="00EC05AF">
          <w:rPr>
            <w:noProof/>
            <w:webHidden/>
          </w:rPr>
          <w:fldChar w:fldCharType="separate"/>
        </w:r>
        <w:r w:rsidR="0085330F">
          <w:rPr>
            <w:noProof/>
            <w:webHidden/>
          </w:rPr>
          <w:t>4</w:t>
        </w:r>
        <w:r w:rsidR="00EC05AF">
          <w:rPr>
            <w:noProof/>
            <w:webHidden/>
          </w:rPr>
          <w:fldChar w:fldCharType="end"/>
        </w:r>
      </w:hyperlink>
    </w:p>
    <w:p w14:paraId="3CC82691" w14:textId="416EC48A" w:rsidR="00EC05AF" w:rsidRDefault="009F18AC">
      <w:pPr>
        <w:pStyle w:val="TOC1"/>
        <w:rPr>
          <w:rFonts w:eastAsiaTheme="minorEastAsia"/>
          <w:noProof/>
          <w:color w:val="auto"/>
          <w:kern w:val="0"/>
          <w:sz w:val="22"/>
          <w:szCs w:val="22"/>
          <w:lang w:eastAsia="en-AU"/>
        </w:rPr>
      </w:pPr>
      <w:hyperlink w:anchor="_Toc75440295" w:history="1">
        <w:r w:rsidR="00EC05AF" w:rsidRPr="000B2E95">
          <w:rPr>
            <w:rStyle w:val="Hyperlink"/>
            <w:noProof/>
          </w:rPr>
          <w:t>Our priorities for 2021-23</w:t>
        </w:r>
        <w:r w:rsidR="00EC05AF">
          <w:rPr>
            <w:noProof/>
            <w:webHidden/>
          </w:rPr>
          <w:tab/>
        </w:r>
        <w:r w:rsidR="00EC05AF">
          <w:rPr>
            <w:noProof/>
            <w:webHidden/>
          </w:rPr>
          <w:fldChar w:fldCharType="begin"/>
        </w:r>
        <w:r w:rsidR="00EC05AF">
          <w:rPr>
            <w:noProof/>
            <w:webHidden/>
          </w:rPr>
          <w:instrText xml:space="preserve"> PAGEREF _Toc75440295 \h </w:instrText>
        </w:r>
        <w:r w:rsidR="00EC05AF">
          <w:rPr>
            <w:noProof/>
            <w:webHidden/>
          </w:rPr>
        </w:r>
        <w:r w:rsidR="00EC05AF">
          <w:rPr>
            <w:noProof/>
            <w:webHidden/>
          </w:rPr>
          <w:fldChar w:fldCharType="separate"/>
        </w:r>
        <w:r w:rsidR="0085330F">
          <w:rPr>
            <w:noProof/>
            <w:webHidden/>
          </w:rPr>
          <w:t>4</w:t>
        </w:r>
        <w:r w:rsidR="00EC05AF">
          <w:rPr>
            <w:noProof/>
            <w:webHidden/>
          </w:rPr>
          <w:fldChar w:fldCharType="end"/>
        </w:r>
      </w:hyperlink>
    </w:p>
    <w:p w14:paraId="657C5540" w14:textId="14E634F0" w:rsidR="00EC05AF" w:rsidRDefault="009F18AC">
      <w:pPr>
        <w:pStyle w:val="TOC2"/>
        <w:rPr>
          <w:rFonts w:eastAsiaTheme="minorEastAsia"/>
          <w:noProof/>
          <w:color w:val="auto"/>
          <w:kern w:val="0"/>
          <w:sz w:val="22"/>
          <w:szCs w:val="22"/>
          <w:lang w:eastAsia="en-AU"/>
        </w:rPr>
      </w:pPr>
      <w:hyperlink w:anchor="_Toc75440296" w:history="1">
        <w:r w:rsidR="00EC05AF" w:rsidRPr="000B2E95">
          <w:rPr>
            <w:rStyle w:val="Hyperlink"/>
            <w:noProof/>
          </w:rPr>
          <w:t>Focus areas for compliance and enforcement</w:t>
        </w:r>
        <w:r w:rsidR="00EC05AF">
          <w:rPr>
            <w:noProof/>
            <w:webHidden/>
          </w:rPr>
          <w:tab/>
        </w:r>
        <w:r w:rsidR="00EC05AF">
          <w:rPr>
            <w:noProof/>
            <w:webHidden/>
          </w:rPr>
          <w:fldChar w:fldCharType="begin"/>
        </w:r>
        <w:r w:rsidR="00EC05AF">
          <w:rPr>
            <w:noProof/>
            <w:webHidden/>
          </w:rPr>
          <w:instrText xml:space="preserve"> PAGEREF _Toc75440296 \h </w:instrText>
        </w:r>
        <w:r w:rsidR="00EC05AF">
          <w:rPr>
            <w:noProof/>
            <w:webHidden/>
          </w:rPr>
        </w:r>
        <w:r w:rsidR="00EC05AF">
          <w:rPr>
            <w:noProof/>
            <w:webHidden/>
          </w:rPr>
          <w:fldChar w:fldCharType="separate"/>
        </w:r>
        <w:r w:rsidR="0085330F">
          <w:rPr>
            <w:noProof/>
            <w:webHidden/>
          </w:rPr>
          <w:t>5</w:t>
        </w:r>
        <w:r w:rsidR="00EC05AF">
          <w:rPr>
            <w:noProof/>
            <w:webHidden/>
          </w:rPr>
          <w:fldChar w:fldCharType="end"/>
        </w:r>
      </w:hyperlink>
    </w:p>
    <w:p w14:paraId="6DDF6A83" w14:textId="4B77B41D" w:rsidR="00EC05AF" w:rsidRDefault="009F18AC">
      <w:pPr>
        <w:pStyle w:val="TOC2"/>
        <w:rPr>
          <w:rFonts w:eastAsiaTheme="minorEastAsia"/>
          <w:noProof/>
          <w:color w:val="auto"/>
          <w:kern w:val="0"/>
          <w:sz w:val="22"/>
          <w:szCs w:val="22"/>
          <w:lang w:eastAsia="en-AU"/>
        </w:rPr>
      </w:pPr>
      <w:hyperlink w:anchor="_Toc75440297" w:history="1">
        <w:r w:rsidR="00EC05AF" w:rsidRPr="000B2E95">
          <w:rPr>
            <w:rStyle w:val="Hyperlink"/>
            <w:noProof/>
            <w:lang w:val="en-US"/>
          </w:rPr>
          <w:t>Other key activities</w:t>
        </w:r>
        <w:r w:rsidR="00EC05AF">
          <w:rPr>
            <w:noProof/>
            <w:webHidden/>
          </w:rPr>
          <w:tab/>
        </w:r>
        <w:r w:rsidR="00EC05AF">
          <w:rPr>
            <w:noProof/>
            <w:webHidden/>
          </w:rPr>
          <w:fldChar w:fldCharType="begin"/>
        </w:r>
        <w:r w:rsidR="00EC05AF">
          <w:rPr>
            <w:noProof/>
            <w:webHidden/>
          </w:rPr>
          <w:instrText xml:space="preserve"> PAGEREF _Toc75440297 \h </w:instrText>
        </w:r>
        <w:r w:rsidR="00EC05AF">
          <w:rPr>
            <w:noProof/>
            <w:webHidden/>
          </w:rPr>
        </w:r>
        <w:r w:rsidR="00EC05AF">
          <w:rPr>
            <w:noProof/>
            <w:webHidden/>
          </w:rPr>
          <w:fldChar w:fldCharType="separate"/>
        </w:r>
        <w:r w:rsidR="0085330F">
          <w:rPr>
            <w:noProof/>
            <w:webHidden/>
          </w:rPr>
          <w:t>6</w:t>
        </w:r>
        <w:r w:rsidR="00EC05AF">
          <w:rPr>
            <w:noProof/>
            <w:webHidden/>
          </w:rPr>
          <w:fldChar w:fldCharType="end"/>
        </w:r>
      </w:hyperlink>
    </w:p>
    <w:p w14:paraId="2F0623DE" w14:textId="74A95207" w:rsidR="00EC05AF" w:rsidRDefault="009F18AC">
      <w:pPr>
        <w:pStyle w:val="TOC2"/>
        <w:rPr>
          <w:rFonts w:eastAsiaTheme="minorEastAsia"/>
          <w:noProof/>
          <w:color w:val="auto"/>
          <w:kern w:val="0"/>
          <w:sz w:val="22"/>
          <w:szCs w:val="22"/>
          <w:lang w:eastAsia="en-AU"/>
        </w:rPr>
      </w:pPr>
      <w:hyperlink w:anchor="_Toc75440298" w:history="1">
        <w:r w:rsidR="00EC05AF" w:rsidRPr="000B2E95">
          <w:rPr>
            <w:rStyle w:val="Hyperlink"/>
            <w:noProof/>
          </w:rPr>
          <w:t>Review and complaint mechanisms</w:t>
        </w:r>
        <w:r w:rsidR="00EC05AF">
          <w:rPr>
            <w:noProof/>
            <w:webHidden/>
          </w:rPr>
          <w:tab/>
        </w:r>
        <w:r w:rsidR="00EC05AF">
          <w:rPr>
            <w:noProof/>
            <w:webHidden/>
          </w:rPr>
          <w:fldChar w:fldCharType="begin"/>
        </w:r>
        <w:r w:rsidR="00EC05AF">
          <w:rPr>
            <w:noProof/>
            <w:webHidden/>
          </w:rPr>
          <w:instrText xml:space="preserve"> PAGEREF _Toc75440298 \h </w:instrText>
        </w:r>
        <w:r w:rsidR="00EC05AF">
          <w:rPr>
            <w:noProof/>
            <w:webHidden/>
          </w:rPr>
        </w:r>
        <w:r w:rsidR="00EC05AF">
          <w:rPr>
            <w:noProof/>
            <w:webHidden/>
          </w:rPr>
          <w:fldChar w:fldCharType="separate"/>
        </w:r>
        <w:r w:rsidR="0085330F">
          <w:rPr>
            <w:noProof/>
            <w:webHidden/>
          </w:rPr>
          <w:t>7</w:t>
        </w:r>
        <w:r w:rsidR="00EC05AF">
          <w:rPr>
            <w:noProof/>
            <w:webHidden/>
          </w:rPr>
          <w:fldChar w:fldCharType="end"/>
        </w:r>
      </w:hyperlink>
    </w:p>
    <w:p w14:paraId="199AD44B" w14:textId="6048F16F" w:rsidR="00EC05AF" w:rsidRDefault="009F18AC">
      <w:pPr>
        <w:pStyle w:val="TOC1"/>
        <w:rPr>
          <w:rFonts w:eastAsiaTheme="minorEastAsia"/>
          <w:noProof/>
          <w:color w:val="auto"/>
          <w:kern w:val="0"/>
          <w:sz w:val="22"/>
          <w:szCs w:val="22"/>
          <w:lang w:eastAsia="en-AU"/>
        </w:rPr>
      </w:pPr>
      <w:hyperlink w:anchor="_Toc75440299" w:history="1">
        <w:r w:rsidR="00EC05AF" w:rsidRPr="000B2E95">
          <w:rPr>
            <w:rStyle w:val="Hyperlink"/>
            <w:noProof/>
          </w:rPr>
          <w:t>More information</w:t>
        </w:r>
        <w:r w:rsidR="00EC05AF">
          <w:rPr>
            <w:noProof/>
            <w:webHidden/>
          </w:rPr>
          <w:tab/>
        </w:r>
        <w:r w:rsidR="00EC05AF">
          <w:rPr>
            <w:noProof/>
            <w:webHidden/>
          </w:rPr>
          <w:fldChar w:fldCharType="begin"/>
        </w:r>
        <w:r w:rsidR="00EC05AF">
          <w:rPr>
            <w:noProof/>
            <w:webHidden/>
          </w:rPr>
          <w:instrText xml:space="preserve"> PAGEREF _Toc75440299 \h </w:instrText>
        </w:r>
        <w:r w:rsidR="00EC05AF">
          <w:rPr>
            <w:noProof/>
            <w:webHidden/>
          </w:rPr>
        </w:r>
        <w:r w:rsidR="00EC05AF">
          <w:rPr>
            <w:noProof/>
            <w:webHidden/>
          </w:rPr>
          <w:fldChar w:fldCharType="separate"/>
        </w:r>
        <w:r w:rsidR="0085330F">
          <w:rPr>
            <w:noProof/>
            <w:webHidden/>
          </w:rPr>
          <w:t>8</w:t>
        </w:r>
        <w:r w:rsidR="00EC05AF">
          <w:rPr>
            <w:noProof/>
            <w:webHidden/>
          </w:rPr>
          <w:fldChar w:fldCharType="end"/>
        </w:r>
      </w:hyperlink>
    </w:p>
    <w:p w14:paraId="63CEF026" w14:textId="000AD123" w:rsidR="00EC05AF" w:rsidRDefault="009F18AC">
      <w:pPr>
        <w:pStyle w:val="TOC2"/>
        <w:rPr>
          <w:rFonts w:eastAsiaTheme="minorEastAsia"/>
          <w:noProof/>
          <w:color w:val="auto"/>
          <w:kern w:val="0"/>
          <w:sz w:val="22"/>
          <w:szCs w:val="22"/>
          <w:lang w:eastAsia="en-AU"/>
        </w:rPr>
      </w:pPr>
      <w:hyperlink w:anchor="_Toc75440300" w:history="1">
        <w:r w:rsidR="00EC05AF" w:rsidRPr="000B2E95">
          <w:rPr>
            <w:rStyle w:val="Hyperlink"/>
            <w:noProof/>
          </w:rPr>
          <w:t>Reporting suspected non-compliance to us</w:t>
        </w:r>
        <w:r w:rsidR="00EC05AF">
          <w:rPr>
            <w:noProof/>
            <w:webHidden/>
          </w:rPr>
          <w:tab/>
        </w:r>
        <w:r w:rsidR="00EC05AF">
          <w:rPr>
            <w:noProof/>
            <w:webHidden/>
          </w:rPr>
          <w:fldChar w:fldCharType="begin"/>
        </w:r>
        <w:r w:rsidR="00EC05AF">
          <w:rPr>
            <w:noProof/>
            <w:webHidden/>
          </w:rPr>
          <w:instrText xml:space="preserve"> PAGEREF _Toc75440300 \h </w:instrText>
        </w:r>
        <w:r w:rsidR="00EC05AF">
          <w:rPr>
            <w:noProof/>
            <w:webHidden/>
          </w:rPr>
        </w:r>
        <w:r w:rsidR="00EC05AF">
          <w:rPr>
            <w:noProof/>
            <w:webHidden/>
          </w:rPr>
          <w:fldChar w:fldCharType="separate"/>
        </w:r>
        <w:r w:rsidR="0085330F">
          <w:rPr>
            <w:noProof/>
            <w:webHidden/>
          </w:rPr>
          <w:t>8</w:t>
        </w:r>
        <w:r w:rsidR="00EC05AF">
          <w:rPr>
            <w:noProof/>
            <w:webHidden/>
          </w:rPr>
          <w:fldChar w:fldCharType="end"/>
        </w:r>
      </w:hyperlink>
    </w:p>
    <w:p w14:paraId="14DFD6C5" w14:textId="2AE73958" w:rsidR="00EC05AF" w:rsidRDefault="009F18AC">
      <w:pPr>
        <w:pStyle w:val="TOC2"/>
        <w:rPr>
          <w:rFonts w:eastAsiaTheme="minorEastAsia"/>
          <w:noProof/>
          <w:color w:val="auto"/>
          <w:kern w:val="0"/>
          <w:sz w:val="22"/>
          <w:szCs w:val="22"/>
          <w:lang w:eastAsia="en-AU"/>
        </w:rPr>
      </w:pPr>
      <w:hyperlink w:anchor="_Toc75440301" w:history="1">
        <w:r w:rsidR="00EC05AF" w:rsidRPr="000B2E95">
          <w:rPr>
            <w:rStyle w:val="Hyperlink"/>
            <w:noProof/>
          </w:rPr>
          <w:t>Glossary</w:t>
        </w:r>
        <w:r w:rsidR="00EC05AF">
          <w:rPr>
            <w:noProof/>
            <w:webHidden/>
          </w:rPr>
          <w:tab/>
        </w:r>
        <w:r w:rsidR="00EC05AF">
          <w:rPr>
            <w:noProof/>
            <w:webHidden/>
          </w:rPr>
          <w:fldChar w:fldCharType="begin"/>
        </w:r>
        <w:r w:rsidR="00EC05AF">
          <w:rPr>
            <w:noProof/>
            <w:webHidden/>
          </w:rPr>
          <w:instrText xml:space="preserve"> PAGEREF _Toc75440301 \h </w:instrText>
        </w:r>
        <w:r w:rsidR="00EC05AF">
          <w:rPr>
            <w:noProof/>
            <w:webHidden/>
          </w:rPr>
        </w:r>
        <w:r w:rsidR="00EC05AF">
          <w:rPr>
            <w:noProof/>
            <w:webHidden/>
          </w:rPr>
          <w:fldChar w:fldCharType="separate"/>
        </w:r>
        <w:r w:rsidR="0085330F">
          <w:rPr>
            <w:noProof/>
            <w:webHidden/>
          </w:rPr>
          <w:t>8</w:t>
        </w:r>
        <w:r w:rsidR="00EC05AF">
          <w:rPr>
            <w:noProof/>
            <w:webHidden/>
          </w:rPr>
          <w:fldChar w:fldCharType="end"/>
        </w:r>
      </w:hyperlink>
    </w:p>
    <w:p w14:paraId="698B7E89" w14:textId="1C9EE21E" w:rsidR="00310F4D" w:rsidRDefault="00310F4D" w:rsidP="00395042">
      <w:pPr>
        <w:rPr>
          <w:rStyle w:val="Hyperlink"/>
          <w:noProof/>
          <w:color w:val="auto"/>
          <w:sz w:val="24"/>
          <w:u w:val="none" w:color="4BB3B5" w:themeColor="accent2"/>
        </w:rPr>
      </w:pPr>
      <w:r>
        <w:rPr>
          <w:rStyle w:val="Hyperlink"/>
          <w:noProof/>
          <w:color w:val="auto"/>
          <w:sz w:val="24"/>
          <w:u w:val="none" w:color="4BB3B5" w:themeColor="accent2"/>
        </w:rPr>
        <w:fldChar w:fldCharType="end"/>
      </w:r>
    </w:p>
    <w:p w14:paraId="27823BFE" w14:textId="4FAB6301" w:rsidR="00310F4D" w:rsidRDefault="00310F4D">
      <w:pPr>
        <w:suppressAutoHyphens w:val="0"/>
        <w:rPr>
          <w:rStyle w:val="Hyperlink"/>
          <w:noProof/>
          <w:color w:val="auto"/>
          <w:sz w:val="24"/>
          <w:u w:val="none" w:color="4BB3B5" w:themeColor="accent2"/>
        </w:rPr>
      </w:pPr>
    </w:p>
    <w:p w14:paraId="4A443A2B" w14:textId="77777777" w:rsidR="00885089" w:rsidRPr="00C9157A" w:rsidRDefault="00885089" w:rsidP="00C9157A">
      <w:pPr>
        <w:pStyle w:val="Heading1"/>
      </w:pPr>
      <w:bookmarkStart w:id="2" w:name="_Toc496792932"/>
      <w:bookmarkStart w:id="3" w:name="_Toc57962898"/>
      <w:bookmarkStart w:id="4" w:name="_Toc67317799"/>
      <w:bookmarkStart w:id="5" w:name="_Toc75440290"/>
      <w:r w:rsidRPr="00C9157A">
        <w:lastRenderedPageBreak/>
        <w:t>Introduction</w:t>
      </w:r>
      <w:bookmarkEnd w:id="2"/>
      <w:bookmarkEnd w:id="3"/>
      <w:bookmarkEnd w:id="4"/>
      <w:bookmarkEnd w:id="5"/>
    </w:p>
    <w:p w14:paraId="3678549F" w14:textId="48D358EB" w:rsidR="00885089" w:rsidRPr="00885089" w:rsidRDefault="00885089" w:rsidP="00C9157A">
      <w:pPr>
        <w:rPr>
          <w:lang w:val="en-US"/>
        </w:rPr>
      </w:pPr>
      <w:bookmarkStart w:id="6" w:name="_Toc67318633"/>
      <w:bookmarkStart w:id="7" w:name="_Toc67319039"/>
      <w:bookmarkStart w:id="8" w:name="_Toc67319097"/>
      <w:bookmarkStart w:id="9" w:name="_Toc67385934"/>
      <w:bookmarkStart w:id="10" w:name="_Toc67907666"/>
      <w:bookmarkStart w:id="11" w:name="_Toc67318371"/>
      <w:r w:rsidRPr="00885089">
        <w:rPr>
          <w:lang w:val="en-US"/>
        </w:rPr>
        <w:t>The</w:t>
      </w:r>
      <w:r w:rsidRPr="00885089">
        <w:t xml:space="preserve"> </w:t>
      </w:r>
      <w:r w:rsidRPr="00885089">
        <w:rPr>
          <w:i/>
          <w:lang w:val="en-US"/>
        </w:rPr>
        <w:t>Road Vehicle Standards Act 2018</w:t>
      </w:r>
      <w:r w:rsidRPr="00885089">
        <w:rPr>
          <w:lang w:val="en-US"/>
        </w:rPr>
        <w:t xml:space="preserve"> (</w:t>
      </w:r>
      <w:r w:rsidR="0056289B">
        <w:rPr>
          <w:lang w:val="en-US"/>
        </w:rPr>
        <w:t xml:space="preserve">the </w:t>
      </w:r>
      <w:r w:rsidRPr="00885089">
        <w:rPr>
          <w:lang w:val="en-US"/>
        </w:rPr>
        <w:t xml:space="preserve">RVSA) replaces the </w:t>
      </w:r>
      <w:r w:rsidRPr="00885089">
        <w:rPr>
          <w:i/>
          <w:lang w:val="en-US"/>
        </w:rPr>
        <w:t>Motor Vehicle Standards Act 1989</w:t>
      </w:r>
      <w:r w:rsidRPr="00885089">
        <w:rPr>
          <w:lang w:val="en-US"/>
        </w:rPr>
        <w:t xml:space="preserve"> </w:t>
      </w:r>
      <w:r w:rsidR="00045E9A">
        <w:rPr>
          <w:lang w:val="en-US"/>
        </w:rPr>
        <w:t>(</w:t>
      </w:r>
      <w:r w:rsidR="0056289B">
        <w:rPr>
          <w:lang w:val="en-US"/>
        </w:rPr>
        <w:t xml:space="preserve">the </w:t>
      </w:r>
      <w:r w:rsidR="00045E9A">
        <w:rPr>
          <w:lang w:val="en-US"/>
        </w:rPr>
        <w:t>MVSA</w:t>
      </w:r>
      <w:r w:rsidR="00C9157A">
        <w:rPr>
          <w:lang w:val="en-US"/>
        </w:rPr>
        <w:t xml:space="preserve">) </w:t>
      </w:r>
      <w:r w:rsidR="00EE5B39">
        <w:rPr>
          <w:lang w:val="en-US"/>
        </w:rPr>
        <w:t xml:space="preserve">and comes into </w:t>
      </w:r>
      <w:r w:rsidR="00FF24DE">
        <w:rPr>
          <w:lang w:val="en-US"/>
        </w:rPr>
        <w:t>full effect</w:t>
      </w:r>
      <w:r w:rsidR="00EE5B39">
        <w:rPr>
          <w:lang w:val="en-US"/>
        </w:rPr>
        <w:t xml:space="preserve"> </w:t>
      </w:r>
      <w:r w:rsidRPr="00885089">
        <w:rPr>
          <w:lang w:val="en-US"/>
        </w:rPr>
        <w:t>on 1</w:t>
      </w:r>
      <w:r w:rsidR="0056289B">
        <w:rPr>
          <w:lang w:val="en-US"/>
        </w:rPr>
        <w:t> </w:t>
      </w:r>
      <w:r w:rsidRPr="00885089">
        <w:rPr>
          <w:lang w:val="en-US"/>
        </w:rPr>
        <w:t>July</w:t>
      </w:r>
      <w:r w:rsidR="0056289B">
        <w:rPr>
          <w:lang w:val="en-US"/>
        </w:rPr>
        <w:t> </w:t>
      </w:r>
      <w:r w:rsidRPr="00885089">
        <w:rPr>
          <w:lang w:val="en-US"/>
        </w:rPr>
        <w:t xml:space="preserve">2021. </w:t>
      </w:r>
      <w:r w:rsidR="00143FD2">
        <w:rPr>
          <w:lang w:val="en-US"/>
        </w:rPr>
        <w:t>The RVSA</w:t>
      </w:r>
      <w:r w:rsidR="008940ED">
        <w:rPr>
          <w:lang w:val="en-US"/>
        </w:rPr>
        <w:t xml:space="preserve"> establishes a new risk led </w:t>
      </w:r>
      <w:r w:rsidRPr="00885089">
        <w:rPr>
          <w:lang w:val="en-US"/>
        </w:rPr>
        <w:t xml:space="preserve">regulatory framework for </w:t>
      </w:r>
      <w:bookmarkEnd w:id="6"/>
      <w:bookmarkEnd w:id="7"/>
      <w:bookmarkEnd w:id="8"/>
      <w:bookmarkEnd w:id="9"/>
      <w:bookmarkEnd w:id="10"/>
      <w:r w:rsidR="009E4220">
        <w:rPr>
          <w:lang w:val="en-US"/>
        </w:rPr>
        <w:t xml:space="preserve">the </w:t>
      </w:r>
      <w:r w:rsidR="00317C51">
        <w:rPr>
          <w:lang w:val="en-US"/>
        </w:rPr>
        <w:t xml:space="preserve">design, manufacture, </w:t>
      </w:r>
      <w:r w:rsidR="008724A5">
        <w:rPr>
          <w:lang w:val="en-US"/>
        </w:rPr>
        <w:t>importation</w:t>
      </w:r>
      <w:r w:rsidR="00317C51">
        <w:rPr>
          <w:lang w:val="en-US"/>
        </w:rPr>
        <w:t xml:space="preserve"> and provision of road vehicles in Australia.</w:t>
      </w:r>
      <w:bookmarkEnd w:id="11"/>
    </w:p>
    <w:p w14:paraId="415318CD" w14:textId="77777777" w:rsidR="008253B3" w:rsidRPr="00885089" w:rsidRDefault="00885089" w:rsidP="006D2DA1">
      <w:pPr>
        <w:rPr>
          <w:lang w:val="en-US"/>
        </w:rPr>
      </w:pPr>
      <w:bookmarkStart w:id="12" w:name="_Toc67318372"/>
      <w:bookmarkStart w:id="13" w:name="_Toc67318634"/>
      <w:bookmarkStart w:id="14" w:name="_Toc67319040"/>
      <w:bookmarkStart w:id="15" w:name="_Toc67319098"/>
      <w:bookmarkStart w:id="16" w:name="_Toc67385935"/>
      <w:bookmarkStart w:id="17" w:name="_Toc67907667"/>
      <w:r w:rsidRPr="00885089">
        <w:rPr>
          <w:lang w:val="en-US"/>
        </w:rPr>
        <w:t xml:space="preserve">This strategy outlines how the Department of Infrastructure, Transport, Regional Development and Communications (the department), will conduct </w:t>
      </w:r>
      <w:r w:rsidR="00EE5B39">
        <w:rPr>
          <w:lang w:val="en-US"/>
        </w:rPr>
        <w:t xml:space="preserve">its </w:t>
      </w:r>
      <w:r w:rsidRPr="00885089">
        <w:rPr>
          <w:lang w:val="en-US"/>
        </w:rPr>
        <w:t>compliance and enforcement activities under the RVSA</w:t>
      </w:r>
      <w:r w:rsidR="00EE5B39">
        <w:rPr>
          <w:lang w:val="en-US"/>
        </w:rPr>
        <w:t>, and</w:t>
      </w:r>
      <w:bookmarkEnd w:id="12"/>
      <w:bookmarkEnd w:id="13"/>
      <w:bookmarkEnd w:id="14"/>
      <w:bookmarkEnd w:id="15"/>
      <w:bookmarkEnd w:id="16"/>
      <w:bookmarkEnd w:id="17"/>
      <w:r w:rsidR="008253B3" w:rsidRPr="00885089">
        <w:rPr>
          <w:lang w:val="en-US"/>
        </w:rPr>
        <w:t xml:space="preserve"> inform</w:t>
      </w:r>
      <w:r w:rsidR="00EE5B39">
        <w:rPr>
          <w:lang w:val="en-US"/>
        </w:rPr>
        <w:t>s</w:t>
      </w:r>
      <w:r w:rsidR="008253B3" w:rsidRPr="00885089">
        <w:rPr>
          <w:lang w:val="en-US"/>
        </w:rPr>
        <w:t xml:space="preserve"> </w:t>
      </w:r>
      <w:r w:rsidR="008253B3">
        <w:rPr>
          <w:lang w:val="en-US"/>
        </w:rPr>
        <w:t>the community, the automotive industry</w:t>
      </w:r>
      <w:r w:rsidR="009E4220">
        <w:rPr>
          <w:lang w:val="en-US"/>
        </w:rPr>
        <w:t>,</w:t>
      </w:r>
      <w:r w:rsidR="00EE5B39">
        <w:rPr>
          <w:lang w:val="en-US"/>
        </w:rPr>
        <w:t xml:space="preserve"> </w:t>
      </w:r>
      <w:r w:rsidR="008253B3">
        <w:rPr>
          <w:lang w:val="en-US"/>
        </w:rPr>
        <w:t>r</w:t>
      </w:r>
      <w:r w:rsidR="008253B3" w:rsidRPr="00885089">
        <w:rPr>
          <w:lang w:val="en-US"/>
        </w:rPr>
        <w:t xml:space="preserve">egulated </w:t>
      </w:r>
      <w:r w:rsidR="008253B3">
        <w:rPr>
          <w:lang w:val="en-US"/>
        </w:rPr>
        <w:t xml:space="preserve">entities </w:t>
      </w:r>
      <w:r w:rsidR="008253B3" w:rsidRPr="00885089">
        <w:rPr>
          <w:lang w:val="en-US"/>
        </w:rPr>
        <w:t xml:space="preserve">and </w:t>
      </w:r>
      <w:r w:rsidR="008253B3">
        <w:rPr>
          <w:lang w:val="en-US"/>
        </w:rPr>
        <w:t xml:space="preserve">other regulatory </w:t>
      </w:r>
      <w:r w:rsidR="00EE5B39">
        <w:rPr>
          <w:lang w:val="en-US"/>
        </w:rPr>
        <w:t>agencies about</w:t>
      </w:r>
      <w:r w:rsidR="008253B3" w:rsidRPr="00885089">
        <w:rPr>
          <w:lang w:val="en-US"/>
        </w:rPr>
        <w:t xml:space="preserve"> our </w:t>
      </w:r>
      <w:r w:rsidR="00EE5B39">
        <w:rPr>
          <w:lang w:val="en-US"/>
        </w:rPr>
        <w:t xml:space="preserve">compliance and enforcement </w:t>
      </w:r>
      <w:r w:rsidR="008253B3">
        <w:rPr>
          <w:lang w:val="en-US"/>
        </w:rPr>
        <w:t>priorities for the next tw</w:t>
      </w:r>
      <w:r w:rsidR="00045E9A">
        <w:rPr>
          <w:lang w:val="en-US"/>
        </w:rPr>
        <w:t>o</w:t>
      </w:r>
      <w:r w:rsidR="008253B3">
        <w:rPr>
          <w:lang w:val="en-US"/>
        </w:rPr>
        <w:t xml:space="preserve"> years.</w:t>
      </w:r>
    </w:p>
    <w:p w14:paraId="2BEB3D6D" w14:textId="2F89BC2D" w:rsidR="00885089" w:rsidRDefault="008724A5" w:rsidP="00C9157A">
      <w:pPr>
        <w:rPr>
          <w:color w:val="000000"/>
          <w:kern w:val="0"/>
        </w:rPr>
      </w:pPr>
      <w:r>
        <w:rPr>
          <w:lang w:val="en-US"/>
        </w:rPr>
        <w:t>Th</w:t>
      </w:r>
      <w:r w:rsidR="00F75717">
        <w:rPr>
          <w:lang w:val="en-US"/>
        </w:rPr>
        <w:t>e</w:t>
      </w:r>
      <w:r>
        <w:rPr>
          <w:lang w:val="en-US"/>
        </w:rPr>
        <w:t xml:space="preserve"> strategy is informed by </w:t>
      </w:r>
      <w:r w:rsidR="00EE5B39">
        <w:rPr>
          <w:lang w:val="en-US"/>
        </w:rPr>
        <w:t xml:space="preserve">‘Our </w:t>
      </w:r>
      <w:r w:rsidR="00B2146F">
        <w:rPr>
          <w:lang w:val="en-US"/>
        </w:rPr>
        <w:t>C</w:t>
      </w:r>
      <w:r>
        <w:rPr>
          <w:lang w:val="en-US"/>
        </w:rPr>
        <w:t xml:space="preserve">ompliance </w:t>
      </w:r>
      <w:r w:rsidR="00B2146F">
        <w:rPr>
          <w:lang w:val="en-US"/>
        </w:rPr>
        <w:t>A</w:t>
      </w:r>
      <w:r>
        <w:rPr>
          <w:lang w:val="en-US"/>
        </w:rPr>
        <w:t xml:space="preserve">pproach and </w:t>
      </w:r>
      <w:r w:rsidR="00B2146F">
        <w:rPr>
          <w:lang w:val="en-US"/>
        </w:rPr>
        <w:t>M</w:t>
      </w:r>
      <w:r>
        <w:rPr>
          <w:lang w:val="en-US"/>
        </w:rPr>
        <w:t>odel</w:t>
      </w:r>
      <w:r w:rsidR="00EE5B39">
        <w:rPr>
          <w:lang w:val="en-US"/>
        </w:rPr>
        <w:t xml:space="preserve">’ document </w:t>
      </w:r>
      <w:r>
        <w:rPr>
          <w:lang w:val="en-US"/>
        </w:rPr>
        <w:t xml:space="preserve">and </w:t>
      </w:r>
      <w:r w:rsidR="00EE5B39">
        <w:rPr>
          <w:lang w:val="en-US"/>
        </w:rPr>
        <w:t xml:space="preserve">the </w:t>
      </w:r>
      <w:r>
        <w:rPr>
          <w:lang w:val="en-US"/>
        </w:rPr>
        <w:t xml:space="preserve">previous </w:t>
      </w:r>
      <w:r w:rsidR="00045E9A">
        <w:rPr>
          <w:lang w:val="en-US"/>
        </w:rPr>
        <w:t>‘</w:t>
      </w:r>
      <w:r>
        <w:rPr>
          <w:lang w:val="en-US"/>
        </w:rPr>
        <w:t>Compliance and Enforcement Strategy 2017</w:t>
      </w:r>
      <w:r w:rsidR="00045E9A">
        <w:rPr>
          <w:lang w:val="en-US"/>
        </w:rPr>
        <w:t xml:space="preserve">’ that </w:t>
      </w:r>
      <w:r w:rsidR="004764F1">
        <w:rPr>
          <w:lang w:val="en-US"/>
        </w:rPr>
        <w:t>supported</w:t>
      </w:r>
      <w:r w:rsidR="00045E9A">
        <w:rPr>
          <w:lang w:val="en-US"/>
        </w:rPr>
        <w:t xml:space="preserve"> the MVSA</w:t>
      </w:r>
      <w:r>
        <w:rPr>
          <w:lang w:val="en-US"/>
        </w:rPr>
        <w:t>.</w:t>
      </w:r>
      <w:r w:rsidR="008253B3">
        <w:rPr>
          <w:lang w:val="en-US"/>
        </w:rPr>
        <w:t xml:space="preserve"> </w:t>
      </w:r>
      <w:r w:rsidR="00EE5B39">
        <w:rPr>
          <w:lang w:val="en-US"/>
        </w:rPr>
        <w:t>Th</w:t>
      </w:r>
      <w:r w:rsidR="00FF24DE">
        <w:rPr>
          <w:lang w:val="en-US"/>
        </w:rPr>
        <w:t>is</w:t>
      </w:r>
      <w:r w:rsidR="00EE5B39">
        <w:rPr>
          <w:lang w:val="en-US"/>
        </w:rPr>
        <w:t xml:space="preserve"> </w:t>
      </w:r>
      <w:r w:rsidR="00C3210A">
        <w:rPr>
          <w:lang w:val="en-US"/>
        </w:rPr>
        <w:t xml:space="preserve">new </w:t>
      </w:r>
      <w:r w:rsidR="00EE5B39">
        <w:rPr>
          <w:lang w:val="en-US"/>
        </w:rPr>
        <w:t xml:space="preserve">strategy </w:t>
      </w:r>
      <w:r w:rsidR="008940ED">
        <w:rPr>
          <w:lang w:val="en-US"/>
        </w:rPr>
        <w:t>will</w:t>
      </w:r>
      <w:r w:rsidR="00885089" w:rsidRPr="00885089">
        <w:rPr>
          <w:color w:val="000000"/>
          <w:kern w:val="0"/>
        </w:rPr>
        <w:t xml:space="preserve"> be reviewed </w:t>
      </w:r>
      <w:r w:rsidR="00EE5B39">
        <w:rPr>
          <w:color w:val="000000"/>
          <w:kern w:val="0"/>
        </w:rPr>
        <w:t xml:space="preserve">as required </w:t>
      </w:r>
      <w:r w:rsidR="00885089" w:rsidRPr="00885089">
        <w:rPr>
          <w:color w:val="000000"/>
          <w:kern w:val="0"/>
        </w:rPr>
        <w:t xml:space="preserve">to ensure </w:t>
      </w:r>
      <w:r w:rsidR="00EE5B39">
        <w:rPr>
          <w:color w:val="000000"/>
          <w:kern w:val="0"/>
        </w:rPr>
        <w:t xml:space="preserve">that </w:t>
      </w:r>
      <w:r w:rsidR="00885089" w:rsidRPr="00885089">
        <w:rPr>
          <w:color w:val="000000"/>
          <w:kern w:val="0"/>
        </w:rPr>
        <w:t>it remains reflective of regulatory frameworks</w:t>
      </w:r>
      <w:r w:rsidR="00EE5B39">
        <w:rPr>
          <w:color w:val="000000"/>
          <w:kern w:val="0"/>
        </w:rPr>
        <w:t>,</w:t>
      </w:r>
      <w:r w:rsidR="00885089" w:rsidRPr="00885089">
        <w:rPr>
          <w:color w:val="000000"/>
          <w:kern w:val="0"/>
        </w:rPr>
        <w:t xml:space="preserve"> is responsive to </w:t>
      </w:r>
      <w:r w:rsidR="00F75717">
        <w:rPr>
          <w:color w:val="000000"/>
          <w:kern w:val="0"/>
        </w:rPr>
        <w:t>new issues and</w:t>
      </w:r>
      <w:r w:rsidR="00885089" w:rsidRPr="00885089">
        <w:rPr>
          <w:color w:val="000000"/>
          <w:kern w:val="0"/>
        </w:rPr>
        <w:t xml:space="preserve"> </w:t>
      </w:r>
      <w:r w:rsidR="00115444">
        <w:rPr>
          <w:color w:val="000000"/>
          <w:kern w:val="0"/>
        </w:rPr>
        <w:t xml:space="preserve">any </w:t>
      </w:r>
      <w:r w:rsidR="00885089" w:rsidRPr="00885089">
        <w:rPr>
          <w:color w:val="000000"/>
          <w:kern w:val="0"/>
        </w:rPr>
        <w:t>changes in the operating environment.</w:t>
      </w:r>
      <w:r w:rsidR="008940ED">
        <w:rPr>
          <w:color w:val="000000"/>
          <w:kern w:val="0"/>
        </w:rPr>
        <w:t xml:space="preserve"> Th</w:t>
      </w:r>
      <w:r w:rsidR="007007BC">
        <w:rPr>
          <w:color w:val="000000"/>
          <w:kern w:val="0"/>
        </w:rPr>
        <w:t>e</w:t>
      </w:r>
      <w:r w:rsidR="008940ED">
        <w:rPr>
          <w:color w:val="000000"/>
          <w:kern w:val="0"/>
        </w:rPr>
        <w:t xml:space="preserve"> strategy will also be considered when preparing the 2023-2026 strategy.</w:t>
      </w:r>
    </w:p>
    <w:p w14:paraId="7AA046FA" w14:textId="77777777" w:rsidR="008108B6" w:rsidRPr="00C9157A" w:rsidRDefault="008108B6" w:rsidP="00F60EEA">
      <w:pPr>
        <w:pStyle w:val="Heading1"/>
      </w:pPr>
      <w:bookmarkStart w:id="18" w:name="_Toc67317806"/>
      <w:bookmarkStart w:id="19" w:name="_Toc75440291"/>
      <w:r w:rsidRPr="00C9157A">
        <w:t xml:space="preserve">Our approach to compliance </w:t>
      </w:r>
      <w:r w:rsidR="009729D8">
        <w:t>and enforcement</w:t>
      </w:r>
      <w:bookmarkEnd w:id="18"/>
      <w:bookmarkEnd w:id="19"/>
    </w:p>
    <w:p w14:paraId="71CFD07D" w14:textId="0B78B199" w:rsidR="008108B6" w:rsidRDefault="008108B6" w:rsidP="008108B6">
      <w:pPr>
        <w:rPr>
          <w:lang w:val="en-US"/>
        </w:rPr>
      </w:pPr>
      <w:r w:rsidRPr="00885089">
        <w:rPr>
          <w:lang w:val="en-US"/>
        </w:rPr>
        <w:t>Consistent with our vision of being an effective regulatory agency, we take a</w:t>
      </w:r>
      <w:r>
        <w:rPr>
          <w:lang w:val="en-US"/>
        </w:rPr>
        <w:t xml:space="preserve"> risk</w:t>
      </w:r>
      <w:r w:rsidR="00C0013B">
        <w:rPr>
          <w:lang w:val="en-US"/>
        </w:rPr>
        <w:t>-</w:t>
      </w:r>
      <w:r>
        <w:rPr>
          <w:lang w:val="en-US"/>
        </w:rPr>
        <w:t xml:space="preserve">based approach to compliance </w:t>
      </w:r>
      <w:r w:rsidR="009729D8">
        <w:rPr>
          <w:lang w:val="en-US"/>
        </w:rPr>
        <w:t xml:space="preserve">and enforcement </w:t>
      </w:r>
      <w:r>
        <w:rPr>
          <w:lang w:val="en-US"/>
        </w:rPr>
        <w:t>management. This ensures that our compliance</w:t>
      </w:r>
      <w:r w:rsidR="00FF24DE">
        <w:rPr>
          <w:lang w:val="en-US"/>
        </w:rPr>
        <w:t xml:space="preserve"> and enforcement</w:t>
      </w:r>
      <w:r>
        <w:rPr>
          <w:lang w:val="en-US"/>
        </w:rPr>
        <w:t xml:space="preserve"> activities are focused on regulated areas and regulated entities that pose the greatest compliance risk without impeding industry’s ability to operate.</w:t>
      </w:r>
      <w:r w:rsidRPr="00885089">
        <w:rPr>
          <w:lang w:val="en-US"/>
        </w:rPr>
        <w:t xml:space="preserve"> </w:t>
      </w:r>
    </w:p>
    <w:p w14:paraId="4C7E4C5C" w14:textId="77777777" w:rsidR="008108B6" w:rsidRDefault="008108B6" w:rsidP="008108B6">
      <w:pPr>
        <w:rPr>
          <w:lang w:val="en-US"/>
        </w:rPr>
      </w:pPr>
      <w:r>
        <w:rPr>
          <w:lang w:val="en-US"/>
        </w:rPr>
        <w:t>Our approach is informed by:</w:t>
      </w:r>
    </w:p>
    <w:p w14:paraId="2444567E" w14:textId="6D48DEEB" w:rsidR="008108B6" w:rsidRPr="00C9157A" w:rsidRDefault="008940ED" w:rsidP="008108B6">
      <w:pPr>
        <w:pStyle w:val="Bullet1"/>
      </w:pPr>
      <w:r>
        <w:rPr>
          <w:lang w:val="en-US"/>
        </w:rPr>
        <w:t xml:space="preserve">the </w:t>
      </w:r>
      <w:r w:rsidR="008108B6">
        <w:t>principles</w:t>
      </w:r>
      <w:r>
        <w:rPr>
          <w:lang w:val="en-US"/>
        </w:rPr>
        <w:t xml:space="preserve"> set out in this document</w:t>
      </w:r>
    </w:p>
    <w:p w14:paraId="6CB6D6EB" w14:textId="34D46DAF" w:rsidR="008108B6" w:rsidRPr="00C9157A" w:rsidRDefault="008108B6" w:rsidP="008108B6">
      <w:pPr>
        <w:pStyle w:val="Bullet1"/>
      </w:pPr>
      <w:r>
        <w:rPr>
          <w:lang w:val="en-US"/>
        </w:rPr>
        <w:t xml:space="preserve">our </w:t>
      </w:r>
      <w:r w:rsidR="00622F11">
        <w:rPr>
          <w:lang w:val="en-US"/>
        </w:rPr>
        <w:t>C</w:t>
      </w:r>
      <w:r>
        <w:rPr>
          <w:lang w:val="en-US"/>
        </w:rPr>
        <w:t xml:space="preserve">ompliance </w:t>
      </w:r>
      <w:r w:rsidR="00622F11">
        <w:rPr>
          <w:lang w:val="en-US"/>
        </w:rPr>
        <w:t>A</w:t>
      </w:r>
      <w:r>
        <w:rPr>
          <w:lang w:val="en-US"/>
        </w:rPr>
        <w:t xml:space="preserve">pproach and </w:t>
      </w:r>
      <w:r w:rsidR="00622F11">
        <w:rPr>
          <w:lang w:val="en-US"/>
        </w:rPr>
        <w:t>M</w:t>
      </w:r>
      <w:r>
        <w:rPr>
          <w:lang w:val="en-US"/>
        </w:rPr>
        <w:t>odel</w:t>
      </w:r>
      <w:r w:rsidR="00FF24DE">
        <w:rPr>
          <w:lang w:val="en-US"/>
        </w:rPr>
        <w:t xml:space="preserve"> document</w:t>
      </w:r>
    </w:p>
    <w:p w14:paraId="3D5FE996" w14:textId="77777777" w:rsidR="008108B6" w:rsidRPr="00043EDA" w:rsidRDefault="008108B6" w:rsidP="008108B6">
      <w:pPr>
        <w:pStyle w:val="Bullet1"/>
      </w:pPr>
      <w:r>
        <w:rPr>
          <w:lang w:val="en-US"/>
        </w:rPr>
        <w:t xml:space="preserve">the </w:t>
      </w:r>
      <w:r w:rsidR="009729D8">
        <w:rPr>
          <w:lang w:val="en-US"/>
        </w:rPr>
        <w:t>operating environment</w:t>
      </w:r>
      <w:r w:rsidR="00FF24DE">
        <w:rPr>
          <w:lang w:val="en-US"/>
        </w:rPr>
        <w:t>, including:</w:t>
      </w:r>
    </w:p>
    <w:p w14:paraId="2390EED8" w14:textId="4D924D4D" w:rsidR="008108B6" w:rsidRPr="00043EDA" w:rsidRDefault="00B2146F" w:rsidP="008108B6">
      <w:pPr>
        <w:pStyle w:val="Bullet2"/>
      </w:pPr>
      <w:r>
        <w:rPr>
          <w:lang w:val="en-US"/>
        </w:rPr>
        <w:t>introduction</w:t>
      </w:r>
      <w:r w:rsidR="008108B6">
        <w:t xml:space="preserve"> of </w:t>
      </w:r>
      <w:r w:rsidR="00FF24DE">
        <w:rPr>
          <w:lang w:val="en-US"/>
        </w:rPr>
        <w:t xml:space="preserve">the </w:t>
      </w:r>
      <w:r w:rsidR="008108B6">
        <w:t xml:space="preserve">new </w:t>
      </w:r>
      <w:r w:rsidR="00FF24DE">
        <w:rPr>
          <w:lang w:val="en-US"/>
        </w:rPr>
        <w:t>RVS</w:t>
      </w:r>
      <w:r w:rsidR="009618F9">
        <w:rPr>
          <w:lang w:val="en-US"/>
        </w:rPr>
        <w:t xml:space="preserve"> legislation</w:t>
      </w:r>
      <w:r w:rsidR="00FF24DE">
        <w:rPr>
          <w:lang w:val="en-US"/>
        </w:rPr>
        <w:t xml:space="preserve"> </w:t>
      </w:r>
    </w:p>
    <w:p w14:paraId="05659424" w14:textId="6797CC5F" w:rsidR="009618F9" w:rsidRPr="00B2146F" w:rsidRDefault="009618F9" w:rsidP="008108B6">
      <w:pPr>
        <w:pStyle w:val="Bullet2"/>
      </w:pPr>
      <w:r>
        <w:rPr>
          <w:lang w:val="en-US"/>
        </w:rPr>
        <w:t>the changing automotive industry in Australia and globally</w:t>
      </w:r>
    </w:p>
    <w:p w14:paraId="0A2795A9" w14:textId="55C86F60" w:rsidR="008108B6" w:rsidRPr="00885089" w:rsidRDefault="006C081B" w:rsidP="008108B6">
      <w:pPr>
        <w:pStyle w:val="Bullet2"/>
      </w:pPr>
      <w:proofErr w:type="gramStart"/>
      <w:r>
        <w:rPr>
          <w:lang w:val="en-US"/>
        </w:rPr>
        <w:t>external</w:t>
      </w:r>
      <w:proofErr w:type="gramEnd"/>
      <w:r w:rsidR="00FF24DE">
        <w:rPr>
          <w:lang w:val="en-US"/>
        </w:rPr>
        <w:t xml:space="preserve"> factors </w:t>
      </w:r>
      <w:r w:rsidR="008108B6">
        <w:rPr>
          <w:lang w:val="en-US"/>
        </w:rPr>
        <w:t xml:space="preserve">such as </w:t>
      </w:r>
      <w:r w:rsidR="008108B6">
        <w:t>COVID-19</w:t>
      </w:r>
      <w:r w:rsidR="00F60EEA">
        <w:rPr>
          <w:lang w:val="en-US"/>
        </w:rPr>
        <w:t>.</w:t>
      </w:r>
    </w:p>
    <w:p w14:paraId="2BA528EC" w14:textId="77777777" w:rsidR="008108B6" w:rsidRDefault="008108B6" w:rsidP="008108B6">
      <w:pPr>
        <w:rPr>
          <w:lang w:val="en-US"/>
        </w:rPr>
      </w:pPr>
      <w:r w:rsidRPr="00885089">
        <w:rPr>
          <w:lang w:val="en-US"/>
        </w:rPr>
        <w:t>Under this approach, we aim to:</w:t>
      </w:r>
    </w:p>
    <w:p w14:paraId="7A1FA5DF" w14:textId="77777777" w:rsidR="008108B6" w:rsidRDefault="00F60EEA" w:rsidP="008108B6">
      <w:pPr>
        <w:pStyle w:val="Bullet1"/>
      </w:pPr>
      <w:r>
        <w:t>be agile and consistent</w:t>
      </w:r>
    </w:p>
    <w:p w14:paraId="2B2B486F" w14:textId="15D1B66A" w:rsidR="008108B6" w:rsidRDefault="008108B6" w:rsidP="008108B6">
      <w:pPr>
        <w:pStyle w:val="Bullet1"/>
      </w:pPr>
      <w:r>
        <w:t>allocate our resources effectively and proportionately to high</w:t>
      </w:r>
      <w:r w:rsidR="00CB4460">
        <w:rPr>
          <w:lang w:val="en-US"/>
        </w:rPr>
        <w:t>-</w:t>
      </w:r>
      <w:r>
        <w:t>risk areas</w:t>
      </w:r>
    </w:p>
    <w:p w14:paraId="36869DDF" w14:textId="294FB1AA" w:rsidR="008108B6" w:rsidRDefault="008108B6" w:rsidP="008108B6">
      <w:pPr>
        <w:pStyle w:val="Bullet1"/>
      </w:pPr>
      <w:r>
        <w:t>deliver proportionate enfo</w:t>
      </w:r>
      <w:r w:rsidR="00FF24DE">
        <w:t xml:space="preserve">rcement responses to </w:t>
      </w:r>
      <w:r>
        <w:t>non-compliance and</w:t>
      </w:r>
    </w:p>
    <w:p w14:paraId="65633BCB" w14:textId="394E7C51" w:rsidR="008108B6" w:rsidRDefault="008108B6" w:rsidP="008108B6">
      <w:pPr>
        <w:pStyle w:val="Bullet1"/>
        <w:rPr>
          <w:lang w:val="en-US"/>
        </w:rPr>
      </w:pPr>
      <w:r>
        <w:t>be adaptive to new or evolving risks</w:t>
      </w:r>
      <w:r w:rsidR="00E9589A">
        <w:rPr>
          <w:lang w:val="en-US"/>
        </w:rPr>
        <w:t>.</w:t>
      </w:r>
    </w:p>
    <w:p w14:paraId="2AF9B509" w14:textId="77777777" w:rsidR="008108B6" w:rsidRPr="00696FFC" w:rsidRDefault="008108B6" w:rsidP="00F60EEA">
      <w:pPr>
        <w:pStyle w:val="Heading2"/>
      </w:pPr>
      <w:bookmarkStart w:id="20" w:name="_Toc75440292"/>
      <w:bookmarkStart w:id="21" w:name="_Toc67317800"/>
      <w:r w:rsidRPr="00696FFC">
        <w:t>Our principles</w:t>
      </w:r>
      <w:bookmarkEnd w:id="20"/>
    </w:p>
    <w:p w14:paraId="48A2EF63" w14:textId="77777777" w:rsidR="008108B6" w:rsidRDefault="008108B6" w:rsidP="008108B6">
      <w:pPr>
        <w:rPr>
          <w:lang w:val="en-US"/>
        </w:rPr>
      </w:pPr>
      <w:r w:rsidRPr="00885089">
        <w:rPr>
          <w:lang w:val="en-US"/>
        </w:rPr>
        <w:t xml:space="preserve">The following principles </w:t>
      </w:r>
      <w:r>
        <w:rPr>
          <w:lang w:val="en-US"/>
        </w:rPr>
        <w:t>inform</w:t>
      </w:r>
      <w:r w:rsidRPr="00885089">
        <w:rPr>
          <w:lang w:val="en-US"/>
        </w:rPr>
        <w:t xml:space="preserve"> all </w:t>
      </w:r>
      <w:r>
        <w:rPr>
          <w:lang w:val="en-US"/>
        </w:rPr>
        <w:t xml:space="preserve">of our </w:t>
      </w:r>
      <w:r w:rsidRPr="00885089">
        <w:rPr>
          <w:lang w:val="en-US"/>
        </w:rPr>
        <w:t>compliance and enforcement activities:</w:t>
      </w:r>
    </w:p>
    <w:p w14:paraId="2DC68FFE" w14:textId="1D236909" w:rsidR="008108B6" w:rsidRPr="0072324A" w:rsidRDefault="008108B6" w:rsidP="008108B6">
      <w:pPr>
        <w:pStyle w:val="Bullet1"/>
      </w:pPr>
      <w:r w:rsidRPr="00696FFC">
        <w:rPr>
          <w:b/>
        </w:rPr>
        <w:t>Voluntary compliance</w:t>
      </w:r>
      <w:r w:rsidR="00623B02">
        <w:rPr>
          <w:lang w:val="en-US"/>
        </w:rPr>
        <w:t xml:space="preserve"> – we</w:t>
      </w:r>
      <w:r w:rsidRPr="0072324A">
        <w:t xml:space="preserve"> will promote and encourage voluntary compliance </w:t>
      </w:r>
      <w:r w:rsidR="00CB4460">
        <w:rPr>
          <w:lang w:val="en-US"/>
        </w:rPr>
        <w:t>from</w:t>
      </w:r>
      <w:r w:rsidR="00CB4460" w:rsidRPr="0072324A">
        <w:t xml:space="preserve"> </w:t>
      </w:r>
      <w:r w:rsidRPr="0072324A">
        <w:t xml:space="preserve">regulated entities through </w:t>
      </w:r>
      <w:r w:rsidR="00300D1B">
        <w:rPr>
          <w:lang w:val="en-US"/>
        </w:rPr>
        <w:t xml:space="preserve">the effective use of </w:t>
      </w:r>
      <w:r w:rsidRPr="0072324A">
        <w:t>communication and education.</w:t>
      </w:r>
    </w:p>
    <w:p w14:paraId="358ED3BF" w14:textId="77777777" w:rsidR="008108B6" w:rsidRPr="0072324A" w:rsidRDefault="008108B6" w:rsidP="008108B6">
      <w:pPr>
        <w:pStyle w:val="Bullet1"/>
      </w:pPr>
      <w:r w:rsidRPr="00696FFC">
        <w:rPr>
          <w:b/>
        </w:rPr>
        <w:t>Risk-base</w:t>
      </w:r>
      <w:r w:rsidRPr="00696FFC">
        <w:rPr>
          <w:b/>
          <w:lang w:val="en-US"/>
        </w:rPr>
        <w:t>d</w:t>
      </w:r>
      <w:r>
        <w:rPr>
          <w:lang w:val="en-US"/>
        </w:rPr>
        <w:t xml:space="preserve"> – our </w:t>
      </w:r>
      <w:r w:rsidRPr="0072324A">
        <w:t>compliance activities will be risk-based to ensure resources are effectively allocated</w:t>
      </w:r>
      <w:r>
        <w:rPr>
          <w:lang w:val="en-US"/>
        </w:rPr>
        <w:t xml:space="preserve">, </w:t>
      </w:r>
      <w:r w:rsidRPr="0072324A">
        <w:t>addressing the most serious and systemic risks.</w:t>
      </w:r>
    </w:p>
    <w:p w14:paraId="435E235F" w14:textId="77777777" w:rsidR="008108B6" w:rsidRPr="0072324A" w:rsidRDefault="008108B6" w:rsidP="008108B6">
      <w:pPr>
        <w:pStyle w:val="Bullet1"/>
      </w:pPr>
      <w:r w:rsidRPr="00696FFC">
        <w:rPr>
          <w:b/>
        </w:rPr>
        <w:t>Intelligence-led and evidence-based</w:t>
      </w:r>
      <w:r>
        <w:rPr>
          <w:lang w:val="en-US"/>
        </w:rPr>
        <w:t xml:space="preserve"> – </w:t>
      </w:r>
      <w:r w:rsidR="00623B02">
        <w:rPr>
          <w:lang w:val="en-US"/>
        </w:rPr>
        <w:t xml:space="preserve">we </w:t>
      </w:r>
      <w:r w:rsidRPr="0072324A">
        <w:t>will utilise intelligence, data and trend analysis to inform our compliance and enforcement activities. This will assist with evidence-based risk assessments when prioritising and planning compliance and enforcement activities.</w:t>
      </w:r>
    </w:p>
    <w:p w14:paraId="0D7FDD50" w14:textId="728130EB" w:rsidR="008108B6" w:rsidRPr="0072324A" w:rsidRDefault="008108B6" w:rsidP="008108B6">
      <w:pPr>
        <w:pStyle w:val="Bullet1"/>
      </w:pPr>
      <w:r w:rsidRPr="00696FFC">
        <w:rPr>
          <w:b/>
        </w:rPr>
        <w:t>Proportionate</w:t>
      </w:r>
      <w:r>
        <w:rPr>
          <w:lang w:val="en-US"/>
        </w:rPr>
        <w:t xml:space="preserve"> – </w:t>
      </w:r>
      <w:r w:rsidR="00F60EEA" w:rsidRPr="0072324A">
        <w:t>our</w:t>
      </w:r>
      <w:r>
        <w:rPr>
          <w:lang w:val="en-US"/>
        </w:rPr>
        <w:t xml:space="preserve"> </w:t>
      </w:r>
      <w:r w:rsidRPr="0072324A">
        <w:t xml:space="preserve">compliance activities and enforcement responses will be proportionate to the compliance risks </w:t>
      </w:r>
      <w:r w:rsidR="00F7484F">
        <w:rPr>
          <w:lang w:val="en-US"/>
        </w:rPr>
        <w:t>we are managing</w:t>
      </w:r>
      <w:r w:rsidRPr="0072324A">
        <w:t>.</w:t>
      </w:r>
    </w:p>
    <w:p w14:paraId="7D5A0BD1" w14:textId="792BBED1" w:rsidR="008108B6" w:rsidRPr="0072324A" w:rsidRDefault="008108B6" w:rsidP="008108B6">
      <w:pPr>
        <w:pStyle w:val="Bullet1"/>
      </w:pPr>
      <w:r w:rsidRPr="00696FFC">
        <w:rPr>
          <w:b/>
        </w:rPr>
        <w:t>Consistent</w:t>
      </w:r>
      <w:r w:rsidR="00F60EEA">
        <w:rPr>
          <w:lang w:val="en-US"/>
        </w:rPr>
        <w:t xml:space="preserve"> – </w:t>
      </w:r>
      <w:r w:rsidR="00F60EEA" w:rsidRPr="0072324A">
        <w:t>our</w:t>
      </w:r>
      <w:r w:rsidRPr="0072324A">
        <w:t xml:space="preserve"> compliance </w:t>
      </w:r>
      <w:r w:rsidR="00567FC7">
        <w:rPr>
          <w:lang w:val="en-US"/>
        </w:rPr>
        <w:t xml:space="preserve">and enforcement </w:t>
      </w:r>
      <w:r w:rsidRPr="0072324A">
        <w:t>activities and administrative decision making will be consistent and in accordance with documented procedures.</w:t>
      </w:r>
    </w:p>
    <w:p w14:paraId="02845541" w14:textId="77777777" w:rsidR="008108B6" w:rsidRPr="0072324A" w:rsidRDefault="008108B6" w:rsidP="008108B6">
      <w:pPr>
        <w:pStyle w:val="Bullet1"/>
      </w:pPr>
      <w:r w:rsidRPr="00696FFC">
        <w:rPr>
          <w:b/>
        </w:rPr>
        <w:lastRenderedPageBreak/>
        <w:t>Outcomes focused</w:t>
      </w:r>
      <w:r w:rsidR="00F60EEA">
        <w:rPr>
          <w:lang w:val="en-US"/>
        </w:rPr>
        <w:t xml:space="preserve"> – </w:t>
      </w:r>
      <w:r w:rsidR="00F60EEA" w:rsidRPr="0072324A">
        <w:t>our</w:t>
      </w:r>
      <w:r w:rsidRPr="0072324A">
        <w:t xml:space="preserve"> compliance and enforcement activities will be outcomes focused, prioritising resources to the greatest risks and with a view to improving overall compliance.</w:t>
      </w:r>
    </w:p>
    <w:p w14:paraId="29C749B3" w14:textId="5C01BC8F" w:rsidR="008108B6" w:rsidRPr="0072324A" w:rsidRDefault="008108B6" w:rsidP="008108B6">
      <w:pPr>
        <w:pStyle w:val="Bullet1"/>
      </w:pPr>
      <w:r w:rsidRPr="00696FFC">
        <w:rPr>
          <w:b/>
        </w:rPr>
        <w:t>Fair and transparent</w:t>
      </w:r>
      <w:r>
        <w:rPr>
          <w:lang w:val="en-US"/>
        </w:rPr>
        <w:t xml:space="preserve"> – </w:t>
      </w:r>
      <w:r w:rsidR="00623B02">
        <w:rPr>
          <w:lang w:val="en-US"/>
        </w:rPr>
        <w:t>we</w:t>
      </w:r>
      <w:r>
        <w:rPr>
          <w:lang w:val="en-US"/>
        </w:rPr>
        <w:t xml:space="preserve"> </w:t>
      </w:r>
      <w:r w:rsidRPr="0072324A">
        <w:t>will be fair, open and transparent in relation to our decision</w:t>
      </w:r>
      <w:r w:rsidR="00567FC7">
        <w:rPr>
          <w:lang w:val="en-US"/>
        </w:rPr>
        <w:t>-making</w:t>
      </w:r>
      <w:r w:rsidRPr="0072324A">
        <w:t xml:space="preserve"> and </w:t>
      </w:r>
      <w:r w:rsidR="00567FC7">
        <w:rPr>
          <w:lang w:val="en-US"/>
        </w:rPr>
        <w:t xml:space="preserve">our </w:t>
      </w:r>
      <w:r w:rsidRPr="0072324A">
        <w:t xml:space="preserve">compliance </w:t>
      </w:r>
      <w:r w:rsidR="00567FC7">
        <w:rPr>
          <w:lang w:val="en-US"/>
        </w:rPr>
        <w:t xml:space="preserve">and enforcement </w:t>
      </w:r>
      <w:r w:rsidRPr="0072324A">
        <w:t>activities</w:t>
      </w:r>
      <w:r w:rsidR="00567FC7">
        <w:rPr>
          <w:lang w:val="en-US"/>
        </w:rPr>
        <w:t>,</w:t>
      </w:r>
      <w:r w:rsidRPr="0072324A">
        <w:t xml:space="preserve"> and </w:t>
      </w:r>
      <w:r w:rsidR="00567FC7">
        <w:rPr>
          <w:lang w:val="en-US"/>
        </w:rPr>
        <w:t xml:space="preserve">we </w:t>
      </w:r>
      <w:r w:rsidRPr="0072324A">
        <w:t>will communicate with regulated entities in a clear and effective manner.</w:t>
      </w:r>
    </w:p>
    <w:p w14:paraId="5D631C83" w14:textId="77777777" w:rsidR="008108B6" w:rsidRPr="0072324A" w:rsidRDefault="008108B6" w:rsidP="008108B6">
      <w:pPr>
        <w:pStyle w:val="Bullet1"/>
      </w:pPr>
      <w:r w:rsidRPr="00696FFC">
        <w:rPr>
          <w:b/>
        </w:rPr>
        <w:t>Responsive agile and efficient</w:t>
      </w:r>
      <w:r>
        <w:rPr>
          <w:lang w:val="en-US"/>
        </w:rPr>
        <w:t xml:space="preserve"> – </w:t>
      </w:r>
      <w:r w:rsidR="00623B02">
        <w:rPr>
          <w:lang w:val="en-US"/>
        </w:rPr>
        <w:t>we</w:t>
      </w:r>
      <w:r w:rsidRPr="0072324A">
        <w:t xml:space="preserve"> will be responsive to new technologies, environmental trends, data and intelligence reporting. Our compliance activities will be streamlined and coordinated to reduce unnecessary imposts on both regulated entities and the department.</w:t>
      </w:r>
    </w:p>
    <w:p w14:paraId="3E49BF2E" w14:textId="77777777" w:rsidR="008108B6" w:rsidRPr="00885089" w:rsidRDefault="008108B6" w:rsidP="008108B6">
      <w:pPr>
        <w:pStyle w:val="Bullet1"/>
      </w:pPr>
      <w:r w:rsidRPr="00696FFC">
        <w:rPr>
          <w:b/>
        </w:rPr>
        <w:t>Professional</w:t>
      </w:r>
      <w:r>
        <w:rPr>
          <w:lang w:val="en-US"/>
        </w:rPr>
        <w:t xml:space="preserve"> – </w:t>
      </w:r>
      <w:r w:rsidR="00623B02">
        <w:rPr>
          <w:lang w:val="en-US"/>
        </w:rPr>
        <w:t>our</w:t>
      </w:r>
      <w:r w:rsidRPr="0072324A">
        <w:t xml:space="preserve"> staff will be qualified, professional and respectful when providing information and interacting with you.</w:t>
      </w:r>
    </w:p>
    <w:p w14:paraId="2E382FA3" w14:textId="77777777" w:rsidR="008108B6" w:rsidRPr="00DD00A9" w:rsidRDefault="008108B6" w:rsidP="00F60EEA">
      <w:pPr>
        <w:pStyle w:val="Heading2"/>
      </w:pPr>
      <w:bookmarkStart w:id="22" w:name="_Toc75440293"/>
      <w:r w:rsidRPr="00DD00A9">
        <w:t>Our compliance</w:t>
      </w:r>
      <w:r w:rsidR="00E9589A" w:rsidRPr="00DD00A9">
        <w:t xml:space="preserve"> </w:t>
      </w:r>
      <w:r w:rsidR="009729D8">
        <w:t xml:space="preserve">approach and </w:t>
      </w:r>
      <w:r w:rsidRPr="00DD00A9">
        <w:t>model</w:t>
      </w:r>
      <w:bookmarkEnd w:id="22"/>
    </w:p>
    <w:p w14:paraId="3C885795" w14:textId="77777777" w:rsidR="008108B6" w:rsidRDefault="008108B6" w:rsidP="008108B6">
      <w:pPr>
        <w:rPr>
          <w:lang w:val="en-US"/>
        </w:rPr>
      </w:pPr>
      <w:r>
        <w:rPr>
          <w:lang w:val="en-US"/>
        </w:rPr>
        <w:t xml:space="preserve">We </w:t>
      </w:r>
      <w:r w:rsidRPr="00B271E6">
        <w:rPr>
          <w:lang w:val="en-US"/>
        </w:rPr>
        <w:t>recognise there are varying degrees of compliant and non-compliant behaviour. Each behaviour requires a different compliance and enforcement approach to identify any non-compliance, encourage a return to compliance or enforce compliance. We use four main categories when considering and responding to non-compliance:</w:t>
      </w:r>
    </w:p>
    <w:p w14:paraId="5594C106" w14:textId="77777777" w:rsidR="008108B6" w:rsidRPr="00B271E6" w:rsidRDefault="008108B6" w:rsidP="008108B6">
      <w:pPr>
        <w:pStyle w:val="Bullet1"/>
      </w:pPr>
      <w:r w:rsidRPr="00B271E6">
        <w:t>voluntary compliance</w:t>
      </w:r>
    </w:p>
    <w:p w14:paraId="46BDF179" w14:textId="77777777" w:rsidR="008108B6" w:rsidRPr="00B271E6" w:rsidRDefault="008108B6" w:rsidP="008108B6">
      <w:pPr>
        <w:pStyle w:val="Bullet1"/>
      </w:pPr>
      <w:r w:rsidRPr="00B271E6">
        <w:t>assisted compliance</w:t>
      </w:r>
    </w:p>
    <w:p w14:paraId="7FE5972E" w14:textId="77777777" w:rsidR="008108B6" w:rsidRPr="00B271E6" w:rsidRDefault="008108B6" w:rsidP="008108B6">
      <w:pPr>
        <w:pStyle w:val="Bullet1"/>
      </w:pPr>
      <w:r w:rsidRPr="00B271E6">
        <w:t>directed compliance</w:t>
      </w:r>
    </w:p>
    <w:p w14:paraId="25E5B2F4" w14:textId="77777777" w:rsidR="008108B6" w:rsidRPr="00B271E6" w:rsidRDefault="008108B6" w:rsidP="008108B6">
      <w:pPr>
        <w:pStyle w:val="Bullet1"/>
      </w:pPr>
      <w:r w:rsidRPr="00B271E6">
        <w:t>enforced compliance</w:t>
      </w:r>
    </w:p>
    <w:p w14:paraId="780EFC33" w14:textId="77C7171F" w:rsidR="006C081B" w:rsidRDefault="008108B6" w:rsidP="006C081B">
      <w:pPr>
        <w:rPr>
          <w:lang w:val="en-US"/>
        </w:rPr>
      </w:pPr>
      <w:r>
        <w:rPr>
          <w:lang w:val="en-US"/>
        </w:rPr>
        <w:t xml:space="preserve">This approach is </w:t>
      </w:r>
      <w:r w:rsidRPr="00B271E6">
        <w:rPr>
          <w:lang w:val="en-US"/>
        </w:rPr>
        <w:t>represented in the shape of a pyramid</w:t>
      </w:r>
      <w:r>
        <w:rPr>
          <w:lang w:val="en-US"/>
        </w:rPr>
        <w:t xml:space="preserve"> (see </w:t>
      </w:r>
      <w:r w:rsidRPr="00B271E6">
        <w:rPr>
          <w:lang w:val="en-US"/>
        </w:rPr>
        <w:t xml:space="preserve">Figure 1 – </w:t>
      </w:r>
      <w:r w:rsidRPr="00C9157A">
        <w:rPr>
          <w:i/>
          <w:lang w:val="en-US"/>
        </w:rPr>
        <w:t>Vehicle</w:t>
      </w:r>
      <w:r w:rsidR="006C081B">
        <w:rPr>
          <w:i/>
          <w:lang w:val="en-US"/>
        </w:rPr>
        <w:t xml:space="preserve"> Safety</w:t>
      </w:r>
      <w:r w:rsidRPr="00C9157A">
        <w:rPr>
          <w:i/>
          <w:lang w:val="en-US"/>
        </w:rPr>
        <w:t xml:space="preserve"> Operations compliance model</w:t>
      </w:r>
      <w:r>
        <w:rPr>
          <w:lang w:val="en-US"/>
        </w:rPr>
        <w:t>)</w:t>
      </w:r>
      <w:r w:rsidR="006C081B">
        <w:rPr>
          <w:lang w:val="en-US"/>
        </w:rPr>
        <w:t>,</w:t>
      </w:r>
      <w:r w:rsidRPr="00B271E6">
        <w:rPr>
          <w:lang w:val="en-US"/>
        </w:rPr>
        <w:t xml:space="preserve"> where the majority of regulated entities are voluntarily compliant and supported by education material to assist them in remaining compliant. Moving to the top part of the pyramid,</w:t>
      </w:r>
      <w:r w:rsidR="009729D8">
        <w:rPr>
          <w:lang w:val="en-US"/>
        </w:rPr>
        <w:t xml:space="preserve"> </w:t>
      </w:r>
      <w:r w:rsidRPr="00B271E6">
        <w:rPr>
          <w:lang w:val="en-US"/>
        </w:rPr>
        <w:t xml:space="preserve">intentional or repeated non-compliance will be addressed through appropriate and escalating compliance and enforcement responses. </w:t>
      </w:r>
    </w:p>
    <w:p w14:paraId="59716C06" w14:textId="2BCEE963" w:rsidR="008108B6" w:rsidRDefault="00E636B6" w:rsidP="00300D1B">
      <w:pPr>
        <w:jc w:val="center"/>
      </w:pPr>
      <w:r>
        <w:rPr>
          <w:noProof/>
          <w:lang w:eastAsia="en-AU"/>
        </w:rPr>
        <w:drawing>
          <wp:inline distT="0" distB="0" distL="0" distR="0" wp14:anchorId="29A2033C" wp14:editId="4762DEC0">
            <wp:extent cx="5442509" cy="441833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57179" cy="4430239"/>
                    </a:xfrm>
                    <a:prstGeom prst="rect">
                      <a:avLst/>
                    </a:prstGeom>
                  </pic:spPr>
                </pic:pic>
              </a:graphicData>
            </a:graphic>
          </wp:inline>
        </w:drawing>
      </w:r>
    </w:p>
    <w:p w14:paraId="6F49F81F" w14:textId="77777777" w:rsidR="008108B6" w:rsidRDefault="008108B6" w:rsidP="008108B6">
      <w:pPr>
        <w:suppressAutoHyphens w:val="0"/>
        <w:autoSpaceDE w:val="0"/>
        <w:autoSpaceDN w:val="0"/>
        <w:adjustRightInd w:val="0"/>
        <w:spacing w:before="0" w:after="113" w:line="280" w:lineRule="atLeast"/>
        <w:ind w:left="720"/>
        <w:contextualSpacing/>
        <w:jc w:val="center"/>
        <w:textAlignment w:val="center"/>
        <w:rPr>
          <w:rFonts w:ascii="Calibri" w:eastAsia="Calibri" w:hAnsi="Calibri" w:cs="Times New Roman"/>
          <w:color w:val="auto"/>
          <w:kern w:val="0"/>
          <w:lang w:val="en-US"/>
        </w:rPr>
      </w:pPr>
      <w:r>
        <w:rPr>
          <w:rFonts w:ascii="Calibri" w:eastAsia="Calibri" w:hAnsi="Calibri" w:cs="Times New Roman"/>
          <w:color w:val="auto"/>
          <w:kern w:val="0"/>
          <w:lang w:val="en-US"/>
        </w:rPr>
        <w:t>Figure 1 – Vehicle Safety Operations compliance model</w:t>
      </w:r>
    </w:p>
    <w:p w14:paraId="03C0A438" w14:textId="77777777" w:rsidR="00E9589A" w:rsidRPr="00F60EEA" w:rsidRDefault="00E9589A" w:rsidP="00F60EEA">
      <w:pPr>
        <w:pStyle w:val="Heading2"/>
      </w:pPr>
      <w:bookmarkStart w:id="23" w:name="_Toc75440294"/>
      <w:r w:rsidRPr="00F60EEA">
        <w:lastRenderedPageBreak/>
        <w:t>Our operating environment</w:t>
      </w:r>
      <w:bookmarkEnd w:id="23"/>
    </w:p>
    <w:p w14:paraId="10689BA3" w14:textId="77777777" w:rsidR="00E9589A" w:rsidRPr="00885089" w:rsidRDefault="00E9589A" w:rsidP="00F60EEA">
      <w:pPr>
        <w:keepNext/>
        <w:rPr>
          <w:lang w:val="en-US"/>
        </w:rPr>
      </w:pPr>
      <w:r w:rsidRPr="00885089">
        <w:rPr>
          <w:lang w:val="en-US"/>
        </w:rPr>
        <w:t xml:space="preserve">In recent years, the global automotive industry has undergone rapid and significant change. </w:t>
      </w:r>
    </w:p>
    <w:p w14:paraId="182784E6" w14:textId="366B90F3" w:rsidR="00E9589A" w:rsidRPr="00885089" w:rsidRDefault="00E9589A" w:rsidP="00E9589A">
      <w:pPr>
        <w:rPr>
          <w:lang w:val="en-US"/>
        </w:rPr>
      </w:pPr>
      <w:r>
        <w:rPr>
          <w:lang w:val="en-US"/>
        </w:rPr>
        <w:t xml:space="preserve">In Australia, local manufacturing of cars </w:t>
      </w:r>
      <w:r w:rsidRPr="00885089">
        <w:rPr>
          <w:lang w:val="en-US"/>
        </w:rPr>
        <w:t>ceased in 2017</w:t>
      </w:r>
      <w:r>
        <w:rPr>
          <w:lang w:val="en-US"/>
        </w:rPr>
        <w:t xml:space="preserve"> and since then all new cars have been imported from overseas. There are still many vehicles manufactured in Australia</w:t>
      </w:r>
      <w:r w:rsidR="00FA6EDF">
        <w:rPr>
          <w:lang w:val="en-US"/>
        </w:rPr>
        <w:t>,</w:t>
      </w:r>
      <w:r>
        <w:rPr>
          <w:lang w:val="en-US"/>
        </w:rPr>
        <w:t xml:space="preserve"> most of which are either light or heavy trailers</w:t>
      </w:r>
      <w:r w:rsidR="00E636B6">
        <w:rPr>
          <w:lang w:val="en-US"/>
        </w:rPr>
        <w:t xml:space="preserve"> (</w:t>
      </w:r>
      <w:r w:rsidR="0043622A">
        <w:rPr>
          <w:lang w:val="en-US"/>
        </w:rPr>
        <w:t>now referred to as low aggregate trai</w:t>
      </w:r>
      <w:r w:rsidR="002F1659">
        <w:rPr>
          <w:lang w:val="en-US"/>
        </w:rPr>
        <w:t>l</w:t>
      </w:r>
      <w:r w:rsidR="0043622A">
        <w:rPr>
          <w:lang w:val="en-US"/>
        </w:rPr>
        <w:t>er mass (ATM) or high ATM trailers</w:t>
      </w:r>
      <w:r w:rsidR="00E636B6">
        <w:rPr>
          <w:lang w:val="en-US"/>
        </w:rPr>
        <w:t>)</w:t>
      </w:r>
      <w:r>
        <w:rPr>
          <w:lang w:val="en-US"/>
        </w:rPr>
        <w:t xml:space="preserve"> although many new trailers are also imported. The</w:t>
      </w:r>
      <w:r w:rsidRPr="00885089">
        <w:rPr>
          <w:lang w:val="en-US"/>
        </w:rPr>
        <w:t xml:space="preserve"> countries who currently supply </w:t>
      </w:r>
      <w:r>
        <w:rPr>
          <w:lang w:val="en-US"/>
        </w:rPr>
        <w:t>the Australian vehicle market are technically</w:t>
      </w:r>
      <w:r w:rsidRPr="00885089">
        <w:rPr>
          <w:lang w:val="en-US"/>
        </w:rPr>
        <w:t xml:space="preserve"> diverse and the number of new vehicle approval applications </w:t>
      </w:r>
      <w:r>
        <w:rPr>
          <w:lang w:val="en-US"/>
        </w:rPr>
        <w:t>overall</w:t>
      </w:r>
      <w:r w:rsidRPr="00885089">
        <w:rPr>
          <w:lang w:val="en-US"/>
        </w:rPr>
        <w:t xml:space="preserve"> is increasing. As a regulator, we are being asked to consider </w:t>
      </w:r>
      <w:r w:rsidR="0072376D">
        <w:rPr>
          <w:lang w:val="en-US"/>
        </w:rPr>
        <w:t xml:space="preserve">applications </w:t>
      </w:r>
      <w:r>
        <w:rPr>
          <w:lang w:val="en-US"/>
        </w:rPr>
        <w:t xml:space="preserve">for all </w:t>
      </w:r>
      <w:r w:rsidRPr="00885089">
        <w:rPr>
          <w:lang w:val="en-US"/>
        </w:rPr>
        <w:t>vehicles</w:t>
      </w:r>
      <w:r>
        <w:rPr>
          <w:lang w:val="en-US"/>
        </w:rPr>
        <w:t xml:space="preserve"> including those</w:t>
      </w:r>
      <w:r w:rsidRPr="00885089">
        <w:rPr>
          <w:lang w:val="en-US"/>
        </w:rPr>
        <w:t xml:space="preserve"> </w:t>
      </w:r>
      <w:r w:rsidR="00FF24DE">
        <w:rPr>
          <w:lang w:val="en-US"/>
        </w:rPr>
        <w:t xml:space="preserve">manufactured through novel processes and those that </w:t>
      </w:r>
      <w:r w:rsidRPr="00885089">
        <w:rPr>
          <w:lang w:val="en-US"/>
        </w:rPr>
        <w:t xml:space="preserve">incorporate new and </w:t>
      </w:r>
      <w:r w:rsidR="00FF24DE">
        <w:rPr>
          <w:lang w:val="en-US"/>
        </w:rPr>
        <w:t>emerging</w:t>
      </w:r>
      <w:r w:rsidRPr="00885089">
        <w:rPr>
          <w:lang w:val="en-US"/>
        </w:rPr>
        <w:t xml:space="preserve"> technologies</w:t>
      </w:r>
      <w:r w:rsidR="008940ED">
        <w:rPr>
          <w:lang w:val="en-US"/>
        </w:rPr>
        <w:t>. We</w:t>
      </w:r>
      <w:r w:rsidR="00DF1A7C">
        <w:rPr>
          <w:lang w:val="en-US"/>
        </w:rPr>
        <w:t xml:space="preserve"> </w:t>
      </w:r>
      <w:r w:rsidR="00FF24DE">
        <w:rPr>
          <w:lang w:val="en-US"/>
        </w:rPr>
        <w:t xml:space="preserve">receive applications for </w:t>
      </w:r>
      <w:r w:rsidRPr="00885089">
        <w:rPr>
          <w:lang w:val="en-US"/>
        </w:rPr>
        <w:t xml:space="preserve">electric vehicles, autonomous </w:t>
      </w:r>
      <w:r>
        <w:rPr>
          <w:lang w:val="en-US"/>
        </w:rPr>
        <w:t>(</w:t>
      </w:r>
      <w:r w:rsidRPr="00885089">
        <w:rPr>
          <w:lang w:val="en-US"/>
        </w:rPr>
        <w:t>driverless</w:t>
      </w:r>
      <w:r>
        <w:rPr>
          <w:lang w:val="en-US"/>
        </w:rPr>
        <w:t>)</w:t>
      </w:r>
      <w:r w:rsidRPr="00885089">
        <w:rPr>
          <w:lang w:val="en-US"/>
        </w:rPr>
        <w:t xml:space="preserve"> vehicles, new manufacturing processes, new materials and a host of other innovations.</w:t>
      </w:r>
    </w:p>
    <w:p w14:paraId="3F222660" w14:textId="2541D88A" w:rsidR="00E9589A" w:rsidRPr="00885089" w:rsidRDefault="00E9589A" w:rsidP="00E9589A">
      <w:pPr>
        <w:rPr>
          <w:lang w:val="en-US"/>
        </w:rPr>
      </w:pPr>
      <w:r w:rsidRPr="00885089">
        <w:rPr>
          <w:lang w:val="en-US"/>
        </w:rPr>
        <w:t xml:space="preserve">Societal </w:t>
      </w:r>
      <w:r w:rsidR="00FF24DE" w:rsidRPr="00885089">
        <w:rPr>
          <w:lang w:val="en-US"/>
        </w:rPr>
        <w:t>behaviour</w:t>
      </w:r>
      <w:r w:rsidRPr="00885089">
        <w:rPr>
          <w:lang w:val="en-US"/>
        </w:rPr>
        <w:t xml:space="preserve"> ha</w:t>
      </w:r>
      <w:r w:rsidR="00FF24DE">
        <w:rPr>
          <w:lang w:val="en-US"/>
        </w:rPr>
        <w:t>s</w:t>
      </w:r>
      <w:r w:rsidRPr="00885089">
        <w:rPr>
          <w:lang w:val="en-US"/>
        </w:rPr>
        <w:t xml:space="preserve"> also changed the nature of the driving experience within Australia. Increasing urbanisation, shifts in demographics, more lifestyle choices and increasing environmental concerns have changed our </w:t>
      </w:r>
      <w:r w:rsidR="0043622A">
        <w:rPr>
          <w:lang w:val="en-US"/>
        </w:rPr>
        <w:t>transportation</w:t>
      </w:r>
      <w:r w:rsidR="0043622A" w:rsidRPr="00885089">
        <w:rPr>
          <w:lang w:val="en-US"/>
        </w:rPr>
        <w:t xml:space="preserve"> </w:t>
      </w:r>
      <w:r w:rsidRPr="00885089">
        <w:rPr>
          <w:lang w:val="en-US"/>
        </w:rPr>
        <w:t xml:space="preserve">habits. Australians have reduced the average distance they drive and are more reliant on public transport. </w:t>
      </w:r>
      <w:r w:rsidR="008940ED">
        <w:rPr>
          <w:lang w:val="en-US"/>
        </w:rPr>
        <w:t>There</w:t>
      </w:r>
      <w:r w:rsidRPr="00885089">
        <w:rPr>
          <w:lang w:val="en-US"/>
        </w:rPr>
        <w:t xml:space="preserve"> has </w:t>
      </w:r>
      <w:r w:rsidR="008940ED">
        <w:rPr>
          <w:lang w:val="en-US"/>
        </w:rPr>
        <w:t xml:space="preserve">also </w:t>
      </w:r>
      <w:r w:rsidRPr="00885089">
        <w:rPr>
          <w:lang w:val="en-US"/>
        </w:rPr>
        <w:t>been an increase in the number of heavy vehicles on Australian roads and an increase in the a</w:t>
      </w:r>
      <w:r w:rsidR="00FF24DE">
        <w:rPr>
          <w:lang w:val="en-US"/>
        </w:rPr>
        <w:t>verage distance travelled by tho</w:t>
      </w:r>
      <w:r w:rsidRPr="00885089">
        <w:rPr>
          <w:lang w:val="en-US"/>
        </w:rPr>
        <w:t>se vehicles.</w:t>
      </w:r>
    </w:p>
    <w:p w14:paraId="1C26FAE8" w14:textId="717FD31E" w:rsidR="00E9589A" w:rsidRDefault="00E9589A" w:rsidP="00E9589A">
      <w:pPr>
        <w:rPr>
          <w:lang w:val="en-US"/>
        </w:rPr>
      </w:pPr>
      <w:r w:rsidRPr="00885089">
        <w:rPr>
          <w:lang w:val="en-US"/>
        </w:rPr>
        <w:t>These factors place additional pressures on the d</w:t>
      </w:r>
      <w:r w:rsidR="00FF24DE">
        <w:rPr>
          <w:lang w:val="en-US"/>
        </w:rPr>
        <w:t>epartment’s role as a regulator</w:t>
      </w:r>
      <w:r w:rsidRPr="00885089">
        <w:rPr>
          <w:lang w:val="en-US"/>
        </w:rPr>
        <w:t>. In response, our regulatory approach to administering vehicle legislation and regulatory compliance must be</w:t>
      </w:r>
      <w:r w:rsidRPr="00885089">
        <w:t xml:space="preserve"> </w:t>
      </w:r>
      <w:r w:rsidRPr="00885089">
        <w:rPr>
          <w:lang w:val="en-US"/>
        </w:rPr>
        <w:t>agile</w:t>
      </w:r>
      <w:r w:rsidR="00FF24DE">
        <w:rPr>
          <w:lang w:val="en-US"/>
        </w:rPr>
        <w:t xml:space="preserve"> </w:t>
      </w:r>
      <w:r w:rsidR="009729D8">
        <w:rPr>
          <w:lang w:val="en-US"/>
        </w:rPr>
        <w:t>and</w:t>
      </w:r>
      <w:r w:rsidR="00FF24DE">
        <w:rPr>
          <w:lang w:val="en-US"/>
        </w:rPr>
        <w:t xml:space="preserve"> focused</w:t>
      </w:r>
      <w:r w:rsidRPr="00885089">
        <w:rPr>
          <w:lang w:val="en-US"/>
        </w:rPr>
        <w:t>.</w:t>
      </w:r>
      <w:r>
        <w:rPr>
          <w:lang w:val="en-US"/>
        </w:rPr>
        <w:t xml:space="preserve"> With this in mind</w:t>
      </w:r>
      <w:r w:rsidRPr="00885089">
        <w:rPr>
          <w:lang w:val="en-US"/>
        </w:rPr>
        <w:t xml:space="preserve">, we </w:t>
      </w:r>
      <w:r>
        <w:rPr>
          <w:lang w:val="en-US"/>
        </w:rPr>
        <w:t xml:space="preserve">monitor the automotive environment </w:t>
      </w:r>
      <w:r w:rsidRPr="00885089">
        <w:rPr>
          <w:lang w:val="en-US"/>
        </w:rPr>
        <w:t>to ensure our efforts are</w:t>
      </w:r>
      <w:r w:rsidR="00A81A13">
        <w:rPr>
          <w:lang w:val="en-US"/>
        </w:rPr>
        <w:t xml:space="preserve"> concentrated</w:t>
      </w:r>
      <w:r w:rsidRPr="00885089">
        <w:rPr>
          <w:lang w:val="en-US"/>
        </w:rPr>
        <w:t xml:space="preserve"> on the right activities to effectively deliver </w:t>
      </w:r>
      <w:r>
        <w:rPr>
          <w:lang w:val="en-US"/>
        </w:rPr>
        <w:t xml:space="preserve">the best </w:t>
      </w:r>
      <w:r w:rsidRPr="00885089">
        <w:rPr>
          <w:lang w:val="en-US"/>
        </w:rPr>
        <w:t>regulatory outcomes</w:t>
      </w:r>
      <w:r>
        <w:rPr>
          <w:lang w:val="en-US"/>
        </w:rPr>
        <w:t>,</w:t>
      </w:r>
      <w:r w:rsidRPr="00885089">
        <w:rPr>
          <w:lang w:val="en-US"/>
        </w:rPr>
        <w:t xml:space="preserve"> and that </w:t>
      </w:r>
      <w:r>
        <w:rPr>
          <w:lang w:val="en-US"/>
        </w:rPr>
        <w:t>best p</w:t>
      </w:r>
      <w:r w:rsidRPr="00885089">
        <w:rPr>
          <w:lang w:val="en-US"/>
        </w:rPr>
        <w:t xml:space="preserve">ractice </w:t>
      </w:r>
      <w:r>
        <w:rPr>
          <w:lang w:val="en-US"/>
        </w:rPr>
        <w:t xml:space="preserve">principles are continuously </w:t>
      </w:r>
      <w:r w:rsidRPr="00885089">
        <w:rPr>
          <w:lang w:val="en-US"/>
        </w:rPr>
        <w:t xml:space="preserve">incorporated into our </w:t>
      </w:r>
      <w:r>
        <w:rPr>
          <w:lang w:val="en-US"/>
        </w:rPr>
        <w:t>everyday</w:t>
      </w:r>
      <w:r w:rsidR="00FF24DE">
        <w:rPr>
          <w:lang w:val="en-US"/>
        </w:rPr>
        <w:t xml:space="preserve"> regulatory</w:t>
      </w:r>
      <w:r>
        <w:rPr>
          <w:lang w:val="en-US"/>
        </w:rPr>
        <w:t xml:space="preserve"> work</w:t>
      </w:r>
      <w:r w:rsidRPr="00885089">
        <w:rPr>
          <w:lang w:val="en-US"/>
        </w:rPr>
        <w:t xml:space="preserve">. </w:t>
      </w:r>
    </w:p>
    <w:p w14:paraId="1E745B71" w14:textId="77777777" w:rsidR="00E9589A" w:rsidRPr="00C9157A" w:rsidRDefault="00E9589A" w:rsidP="00F60EEA">
      <w:pPr>
        <w:pStyle w:val="Heading3"/>
      </w:pPr>
      <w:r w:rsidRPr="00C9157A">
        <w:t>Effect</w:t>
      </w:r>
      <w:r w:rsidR="00A81A13">
        <w:t>s</w:t>
      </w:r>
      <w:r w:rsidRPr="00C9157A">
        <w:t xml:space="preserve"> of COVID-19</w:t>
      </w:r>
    </w:p>
    <w:p w14:paraId="70E4CAA0" w14:textId="7B6552E4" w:rsidR="00E9589A" w:rsidRDefault="00E9589A" w:rsidP="00E9589A">
      <w:pPr>
        <w:rPr>
          <w:lang w:val="en-US"/>
        </w:rPr>
      </w:pPr>
      <w:r>
        <w:rPr>
          <w:lang w:val="en-US"/>
        </w:rPr>
        <w:t xml:space="preserve">COVID-19 has had </w:t>
      </w:r>
      <w:r w:rsidR="00DF1A7C">
        <w:rPr>
          <w:lang w:val="en-US"/>
        </w:rPr>
        <w:t xml:space="preserve">a </w:t>
      </w:r>
      <w:r>
        <w:rPr>
          <w:lang w:val="en-US"/>
        </w:rPr>
        <w:t>significant impact on everyone, includin</w:t>
      </w:r>
      <w:r w:rsidR="00A81A13">
        <w:rPr>
          <w:lang w:val="en-US"/>
        </w:rPr>
        <w:t>g the industry we regulate and departmental</w:t>
      </w:r>
      <w:r>
        <w:rPr>
          <w:lang w:val="en-US"/>
        </w:rPr>
        <w:t xml:space="preserve"> staff. We have all a</w:t>
      </w:r>
      <w:r w:rsidRPr="00487221">
        <w:rPr>
          <w:lang w:val="en-US"/>
        </w:rPr>
        <w:t xml:space="preserve">dapted to new ways of working under COVID-19 </w:t>
      </w:r>
      <w:r w:rsidR="00DF1A7C">
        <w:rPr>
          <w:lang w:val="en-US"/>
        </w:rPr>
        <w:t>restrictions</w:t>
      </w:r>
      <w:r w:rsidRPr="00487221">
        <w:rPr>
          <w:lang w:val="en-US"/>
        </w:rPr>
        <w:t xml:space="preserve">. </w:t>
      </w:r>
      <w:r w:rsidR="007E51D2">
        <w:rPr>
          <w:lang w:val="en-US"/>
        </w:rPr>
        <w:t>While regulated entities will be required to comply with the RVS</w:t>
      </w:r>
      <w:r w:rsidR="0015315C">
        <w:rPr>
          <w:lang w:val="en-US"/>
        </w:rPr>
        <w:t xml:space="preserve"> legislation</w:t>
      </w:r>
      <w:r w:rsidR="007E51D2">
        <w:rPr>
          <w:lang w:val="en-US"/>
        </w:rPr>
        <w:t>,</w:t>
      </w:r>
      <w:r>
        <w:rPr>
          <w:lang w:val="en-US"/>
        </w:rPr>
        <w:t xml:space="preserve"> </w:t>
      </w:r>
      <w:r w:rsidR="0015315C">
        <w:rPr>
          <w:lang w:val="en-US"/>
        </w:rPr>
        <w:t xml:space="preserve">COVID-19 </w:t>
      </w:r>
      <w:r>
        <w:rPr>
          <w:lang w:val="en-US"/>
        </w:rPr>
        <w:t xml:space="preserve">restrictions and changes </w:t>
      </w:r>
      <w:r w:rsidR="00DF1A7C">
        <w:rPr>
          <w:lang w:val="en-US"/>
        </w:rPr>
        <w:t xml:space="preserve">in working approaches </w:t>
      </w:r>
      <w:r>
        <w:rPr>
          <w:lang w:val="en-US"/>
        </w:rPr>
        <w:t xml:space="preserve">will be taken into account when planning and undertaking </w:t>
      </w:r>
      <w:r w:rsidR="00DF1A7C">
        <w:rPr>
          <w:lang w:val="en-US"/>
        </w:rPr>
        <w:t xml:space="preserve">our </w:t>
      </w:r>
      <w:r>
        <w:rPr>
          <w:lang w:val="en-US"/>
        </w:rPr>
        <w:t xml:space="preserve">compliance </w:t>
      </w:r>
      <w:r w:rsidR="00A81A13">
        <w:rPr>
          <w:lang w:val="en-US"/>
        </w:rPr>
        <w:t xml:space="preserve">and </w:t>
      </w:r>
      <w:r w:rsidR="00DF1A7C">
        <w:rPr>
          <w:lang w:val="en-US"/>
        </w:rPr>
        <w:t>enforcement</w:t>
      </w:r>
      <w:r w:rsidR="00A81A13">
        <w:rPr>
          <w:lang w:val="en-US"/>
        </w:rPr>
        <w:t xml:space="preserve"> </w:t>
      </w:r>
      <w:r>
        <w:rPr>
          <w:lang w:val="en-US"/>
        </w:rPr>
        <w:t>activities.</w:t>
      </w:r>
    </w:p>
    <w:p w14:paraId="143E4E65" w14:textId="3E263C91" w:rsidR="006D2C7C" w:rsidRPr="00F60EEA" w:rsidRDefault="006D2C7C" w:rsidP="00F60EEA">
      <w:pPr>
        <w:pStyle w:val="Heading1"/>
      </w:pPr>
      <w:bookmarkStart w:id="24" w:name="_Toc75440295"/>
      <w:r w:rsidRPr="00F60EEA">
        <w:t>Our priorities for 2021-23</w:t>
      </w:r>
      <w:bookmarkEnd w:id="24"/>
    </w:p>
    <w:p w14:paraId="35522C51" w14:textId="77777777" w:rsidR="006D2C7C" w:rsidRDefault="006D2C7C" w:rsidP="006D2DA1">
      <w:r>
        <w:t>With full commencement of the RVSA on 1 July 2021</w:t>
      </w:r>
      <w:r w:rsidR="004E7AF1">
        <w:t>,</w:t>
      </w:r>
      <w:r>
        <w:t xml:space="preserve"> we will be focusing on education and engagement to raise</w:t>
      </w:r>
      <w:r w:rsidRPr="007B58B8">
        <w:t xml:space="preserve"> </w:t>
      </w:r>
      <w:r w:rsidR="004E7AF1">
        <w:t xml:space="preserve">understanding and </w:t>
      </w:r>
      <w:r w:rsidRPr="007B58B8">
        <w:t>awareness</w:t>
      </w:r>
      <w:r w:rsidR="004E7AF1">
        <w:t xml:space="preserve"> of obligations under the new legislation </w:t>
      </w:r>
      <w:r w:rsidRPr="007B58B8">
        <w:t xml:space="preserve">and </w:t>
      </w:r>
      <w:r w:rsidR="004E7AF1">
        <w:t xml:space="preserve">also </w:t>
      </w:r>
      <w:r w:rsidRPr="007B58B8">
        <w:t>encourag</w:t>
      </w:r>
      <w:r w:rsidR="004E7AF1">
        <w:t>ing</w:t>
      </w:r>
      <w:r w:rsidRPr="007B58B8">
        <w:t xml:space="preserve"> voluntary compliance</w:t>
      </w:r>
      <w:r>
        <w:t xml:space="preserve"> </w:t>
      </w:r>
      <w:r w:rsidR="004E7AF1">
        <w:t>by the regulated industry</w:t>
      </w:r>
      <w:r>
        <w:t>.</w:t>
      </w:r>
    </w:p>
    <w:p w14:paraId="2C7AFF09" w14:textId="7158190F" w:rsidR="006D2C7C" w:rsidRPr="007B58B8" w:rsidRDefault="00DF1A7C" w:rsidP="006D2DA1">
      <w:r>
        <w:t>W</w:t>
      </w:r>
      <w:r w:rsidR="006D2C7C" w:rsidRPr="007B58B8">
        <w:t xml:space="preserve">e will provide information </w:t>
      </w:r>
      <w:r w:rsidR="006D2C7C">
        <w:t xml:space="preserve">on </w:t>
      </w:r>
      <w:r w:rsidR="006D2C7C" w:rsidRPr="007B58B8">
        <w:t>our website</w:t>
      </w:r>
      <w:r w:rsidR="00D83D21">
        <w:t xml:space="preserve"> </w:t>
      </w:r>
      <w:r w:rsidR="001052FF">
        <w:t>t</w:t>
      </w:r>
      <w:r w:rsidR="004E7AF1">
        <w:t xml:space="preserve">hat will </w:t>
      </w:r>
      <w:r w:rsidR="001052FF">
        <w:t xml:space="preserve">assist understanding </w:t>
      </w:r>
      <w:r w:rsidR="004764F1">
        <w:t xml:space="preserve">our </w:t>
      </w:r>
      <w:r w:rsidR="001052FF">
        <w:t>compliance and enforcement</w:t>
      </w:r>
      <w:r w:rsidR="004764F1">
        <w:t xml:space="preserve"> </w:t>
      </w:r>
      <w:r>
        <w:t>approach</w:t>
      </w:r>
      <w:r w:rsidR="006D2C7C" w:rsidRPr="007B58B8">
        <w:t xml:space="preserve">. This </w:t>
      </w:r>
      <w:r w:rsidR="00850AEF">
        <w:t xml:space="preserve">information </w:t>
      </w:r>
      <w:r w:rsidR="006D2C7C" w:rsidRPr="007B58B8">
        <w:t>will include:</w:t>
      </w:r>
    </w:p>
    <w:p w14:paraId="0596CD6C" w14:textId="77777777" w:rsidR="006D2C7C" w:rsidRDefault="001052FF" w:rsidP="006D2C7C">
      <w:pPr>
        <w:pStyle w:val="Bullet1"/>
        <w:rPr>
          <w:lang w:val="en-US"/>
        </w:rPr>
      </w:pPr>
      <w:r>
        <w:rPr>
          <w:lang w:val="en-US"/>
        </w:rPr>
        <w:t>the role of our inspectors</w:t>
      </w:r>
    </w:p>
    <w:p w14:paraId="055350D9" w14:textId="77777777" w:rsidR="001052FF" w:rsidRDefault="001052FF" w:rsidP="006D2C7C">
      <w:pPr>
        <w:pStyle w:val="Bullet1"/>
        <w:rPr>
          <w:lang w:val="en-US"/>
        </w:rPr>
      </w:pPr>
      <w:r>
        <w:rPr>
          <w:lang w:val="en-US"/>
        </w:rPr>
        <w:t>how we use monitoring powers and requests for information to monitor compliance</w:t>
      </w:r>
    </w:p>
    <w:p w14:paraId="6851598A" w14:textId="77777777" w:rsidR="001052FF" w:rsidRDefault="001052FF" w:rsidP="006D2C7C">
      <w:pPr>
        <w:pStyle w:val="Bullet1"/>
        <w:rPr>
          <w:lang w:val="en-US"/>
        </w:rPr>
      </w:pPr>
      <w:r>
        <w:rPr>
          <w:lang w:val="en-US"/>
        </w:rPr>
        <w:t xml:space="preserve">how we use investigation powers to investigate non-compliance </w:t>
      </w:r>
      <w:r w:rsidR="004E7AF1">
        <w:rPr>
          <w:lang w:val="en-US"/>
        </w:rPr>
        <w:t>with the</w:t>
      </w:r>
      <w:r>
        <w:rPr>
          <w:lang w:val="en-US"/>
        </w:rPr>
        <w:t xml:space="preserve"> legislation</w:t>
      </w:r>
    </w:p>
    <w:p w14:paraId="13E4F2A1" w14:textId="5BC63747" w:rsidR="001052FF" w:rsidRDefault="001052FF" w:rsidP="006D2C7C">
      <w:pPr>
        <w:pStyle w:val="Bullet1"/>
        <w:rPr>
          <w:lang w:val="en-US"/>
        </w:rPr>
      </w:pPr>
      <w:r>
        <w:rPr>
          <w:lang w:val="en-US"/>
        </w:rPr>
        <w:t xml:space="preserve">what enforcement </w:t>
      </w:r>
      <w:r w:rsidR="00D83D21">
        <w:rPr>
          <w:lang w:val="en-US"/>
        </w:rPr>
        <w:t>responses</w:t>
      </w:r>
      <w:r>
        <w:rPr>
          <w:lang w:val="en-US"/>
        </w:rPr>
        <w:t xml:space="preserve"> are available and how they </w:t>
      </w:r>
      <w:r w:rsidR="0015315C">
        <w:rPr>
          <w:lang w:val="en-US"/>
        </w:rPr>
        <w:t xml:space="preserve">may </w:t>
      </w:r>
      <w:r>
        <w:rPr>
          <w:lang w:val="en-US"/>
        </w:rPr>
        <w:t>be used, including</w:t>
      </w:r>
    </w:p>
    <w:p w14:paraId="513CC8C1" w14:textId="77777777" w:rsidR="001052FF" w:rsidRPr="00C9157A" w:rsidRDefault="001052FF" w:rsidP="00C9157A">
      <w:pPr>
        <w:pStyle w:val="Bullet2"/>
      </w:pPr>
      <w:r>
        <w:rPr>
          <w:lang w:val="en-US"/>
        </w:rPr>
        <w:t>infringement notices</w:t>
      </w:r>
    </w:p>
    <w:p w14:paraId="23EE6BC8" w14:textId="77777777" w:rsidR="001052FF" w:rsidRPr="00C9157A" w:rsidRDefault="001052FF" w:rsidP="00C9157A">
      <w:pPr>
        <w:pStyle w:val="Bullet2"/>
      </w:pPr>
      <w:r>
        <w:rPr>
          <w:lang w:val="en-US"/>
        </w:rPr>
        <w:t>civil penalty orders</w:t>
      </w:r>
    </w:p>
    <w:p w14:paraId="0CA99F11" w14:textId="77777777" w:rsidR="001052FF" w:rsidRPr="00C9157A" w:rsidRDefault="001052FF" w:rsidP="00C9157A">
      <w:pPr>
        <w:pStyle w:val="Bullet2"/>
      </w:pPr>
      <w:r>
        <w:rPr>
          <w:lang w:val="en-US"/>
        </w:rPr>
        <w:t>enforceable undertakings</w:t>
      </w:r>
    </w:p>
    <w:p w14:paraId="6248069F" w14:textId="77777777" w:rsidR="001052FF" w:rsidRPr="00C9157A" w:rsidRDefault="00D83D21" w:rsidP="00C9157A">
      <w:pPr>
        <w:pStyle w:val="Bullet2"/>
      </w:pPr>
      <w:r>
        <w:rPr>
          <w:lang w:val="en-US"/>
        </w:rPr>
        <w:t>injunctions</w:t>
      </w:r>
    </w:p>
    <w:p w14:paraId="0032EB7D" w14:textId="77777777" w:rsidR="00D83D21" w:rsidRPr="00C9157A" w:rsidRDefault="00D83D21" w:rsidP="00C9157A">
      <w:pPr>
        <w:pStyle w:val="Bullet2"/>
      </w:pPr>
      <w:r>
        <w:rPr>
          <w:lang w:val="en-US"/>
        </w:rPr>
        <w:t>prosecution</w:t>
      </w:r>
    </w:p>
    <w:p w14:paraId="3C80D933" w14:textId="77777777" w:rsidR="00D83D21" w:rsidRPr="00C9157A" w:rsidRDefault="00D83D21" w:rsidP="00C9157A">
      <w:pPr>
        <w:pStyle w:val="Bullet2"/>
      </w:pPr>
      <w:r>
        <w:rPr>
          <w:lang w:val="en-US"/>
        </w:rPr>
        <w:t>varying, suspending or revoking approvals</w:t>
      </w:r>
    </w:p>
    <w:p w14:paraId="36195B9C" w14:textId="77777777" w:rsidR="00D83D21" w:rsidRDefault="00D83D21" w:rsidP="00C9157A">
      <w:r>
        <w:t xml:space="preserve">We will </w:t>
      </w:r>
      <w:r w:rsidR="00850AEF">
        <w:t xml:space="preserve">also </w:t>
      </w:r>
      <w:r>
        <w:t>proactively monitor compliance in our identified areas of focus.</w:t>
      </w:r>
      <w:r w:rsidR="006570D7">
        <w:t xml:space="preserve"> This will involve undertaking compliance campaigns </w:t>
      </w:r>
      <w:r w:rsidR="004E7AF1">
        <w:t xml:space="preserve">that will </w:t>
      </w:r>
      <w:r w:rsidR="006570D7">
        <w:t xml:space="preserve">assess levels of </w:t>
      </w:r>
      <w:r w:rsidR="004E7AF1">
        <w:t xml:space="preserve">industry </w:t>
      </w:r>
      <w:r w:rsidR="006570D7">
        <w:t xml:space="preserve">compliance and </w:t>
      </w:r>
      <w:r w:rsidR="004E7AF1">
        <w:t xml:space="preserve">if needed </w:t>
      </w:r>
      <w:r w:rsidR="006570D7">
        <w:t xml:space="preserve">encourage </w:t>
      </w:r>
      <w:r w:rsidR="004E7AF1">
        <w:t xml:space="preserve">regulated entities to </w:t>
      </w:r>
      <w:r w:rsidR="006570D7">
        <w:t xml:space="preserve">return to compliance. </w:t>
      </w:r>
    </w:p>
    <w:p w14:paraId="05DC4EFC" w14:textId="2371961B" w:rsidR="006570D7" w:rsidRDefault="006570D7" w:rsidP="006570D7">
      <w:r>
        <w:lastRenderedPageBreak/>
        <w:t xml:space="preserve">We </w:t>
      </w:r>
      <w:r w:rsidR="00D83D21">
        <w:t>will</w:t>
      </w:r>
      <w:r w:rsidR="005C1A56">
        <w:t xml:space="preserve"> also</w:t>
      </w:r>
      <w:r w:rsidR="00D83D21">
        <w:t xml:space="preserve"> monitor </w:t>
      </w:r>
      <w:r w:rsidR="00850AEF">
        <w:t xml:space="preserve">industry </w:t>
      </w:r>
      <w:r>
        <w:t xml:space="preserve">compliance </w:t>
      </w:r>
      <w:r w:rsidR="00850AEF">
        <w:t>by</w:t>
      </w:r>
      <w:r>
        <w:t xml:space="preserve"> </w:t>
      </w:r>
      <w:r w:rsidR="00850AEF">
        <w:t xml:space="preserve">using </w:t>
      </w:r>
      <w:r>
        <w:t>intelligence</w:t>
      </w:r>
      <w:r w:rsidR="00850AEF">
        <w:t xml:space="preserve"> to help us identify potential areas of concern</w:t>
      </w:r>
      <w:r w:rsidR="00F60EB4">
        <w:t>,</w:t>
      </w:r>
      <w:r>
        <w:t xml:space="preserve"> and repo</w:t>
      </w:r>
      <w:r w:rsidR="004764F1">
        <w:t>r</w:t>
      </w:r>
      <w:r w:rsidR="00850AEF">
        <w:t>ts of non-compliance from</w:t>
      </w:r>
      <w:r>
        <w:t xml:space="preserve"> the public, industry, representative organisations and other regul</w:t>
      </w:r>
      <w:r w:rsidR="004764F1">
        <w:t>at</w:t>
      </w:r>
      <w:r>
        <w:t>ors</w:t>
      </w:r>
      <w:r w:rsidR="00850AEF">
        <w:t>.</w:t>
      </w:r>
      <w:r>
        <w:t xml:space="preserve"> </w:t>
      </w:r>
    </w:p>
    <w:p w14:paraId="6FCECED1" w14:textId="0AC45187" w:rsidR="00850AEF" w:rsidRDefault="006570D7" w:rsidP="00C9157A">
      <w:r>
        <w:t xml:space="preserve">We will continue to review and refine our compliance and enforcement </w:t>
      </w:r>
      <w:r w:rsidR="00850AEF">
        <w:t>approach under the new legislation, including</w:t>
      </w:r>
      <w:r>
        <w:t xml:space="preserve"> </w:t>
      </w:r>
      <w:r w:rsidR="007E51D2">
        <w:t xml:space="preserve">implementing </w:t>
      </w:r>
      <w:r>
        <w:t>our polic</w:t>
      </w:r>
      <w:r w:rsidR="00850AEF">
        <w:t>ies</w:t>
      </w:r>
      <w:r>
        <w:t xml:space="preserve"> and procedures, </w:t>
      </w:r>
      <w:r w:rsidR="00690C8D">
        <w:t xml:space="preserve">and building our workforce through </w:t>
      </w:r>
      <w:r>
        <w:t>recruitment</w:t>
      </w:r>
      <w:r w:rsidR="00850AEF">
        <w:t xml:space="preserve"> and training</w:t>
      </w:r>
      <w:r>
        <w:t xml:space="preserve">. </w:t>
      </w:r>
    </w:p>
    <w:p w14:paraId="6BE12DBF" w14:textId="385EF85C" w:rsidR="00D83D21" w:rsidRPr="00C436D2" w:rsidRDefault="006570D7" w:rsidP="00C9157A">
      <w:r>
        <w:t xml:space="preserve">We will </w:t>
      </w:r>
      <w:r w:rsidR="008539DE">
        <w:t xml:space="preserve">further </w:t>
      </w:r>
      <w:r w:rsidR="00690C8D">
        <w:t>develop our intelligence gathering and analysis capability</w:t>
      </w:r>
      <w:r w:rsidR="00850AEF">
        <w:t>. This</w:t>
      </w:r>
      <w:r w:rsidR="00690C8D">
        <w:t xml:space="preserve"> </w:t>
      </w:r>
      <w:r w:rsidR="00850AEF">
        <w:t>capability will provide key information that will inform our</w:t>
      </w:r>
      <w:r w:rsidR="00690C8D">
        <w:t xml:space="preserve"> future </w:t>
      </w:r>
      <w:r w:rsidR="00850AEF">
        <w:t xml:space="preserve">compliance and enforcement strategies and targeted </w:t>
      </w:r>
      <w:r w:rsidR="008539DE">
        <w:t xml:space="preserve">compliance and enforcement </w:t>
      </w:r>
      <w:r w:rsidR="00850AEF">
        <w:t>activities</w:t>
      </w:r>
      <w:r w:rsidR="00690C8D">
        <w:t xml:space="preserve">. </w:t>
      </w:r>
      <w:r w:rsidR="00016679">
        <w:t>Our first area</w:t>
      </w:r>
      <w:r w:rsidR="008A6C3E">
        <w:t>s</w:t>
      </w:r>
      <w:r w:rsidR="00016679">
        <w:t xml:space="preserve"> of intelligence focus </w:t>
      </w:r>
      <w:r w:rsidR="008A6C3E">
        <w:t>are</w:t>
      </w:r>
      <w:r w:rsidR="00016679">
        <w:t xml:space="preserve"> likely to be model reports, Registered Automotive Workshops</w:t>
      </w:r>
      <w:r w:rsidR="008A6C3E">
        <w:t xml:space="preserve"> (RAWS)</w:t>
      </w:r>
      <w:r w:rsidR="00016679">
        <w:t xml:space="preserve"> and Authorised Vehicle Verifiers</w:t>
      </w:r>
      <w:r w:rsidR="008A6C3E">
        <w:t xml:space="preserve"> (AVV’s)</w:t>
      </w:r>
      <w:r w:rsidR="00016679">
        <w:t>.</w:t>
      </w:r>
    </w:p>
    <w:p w14:paraId="38A4E21C" w14:textId="77777777" w:rsidR="0060402D" w:rsidRPr="006C53B0" w:rsidRDefault="00850AEF" w:rsidP="006C53B0">
      <w:pPr>
        <w:pStyle w:val="Heading2"/>
      </w:pPr>
      <w:bookmarkStart w:id="25" w:name="_Toc75440296"/>
      <w:r w:rsidRPr="006C53B0">
        <w:t>Focus</w:t>
      </w:r>
      <w:r w:rsidR="00DD00A9" w:rsidRPr="006C53B0">
        <w:t xml:space="preserve"> a</w:t>
      </w:r>
      <w:r w:rsidR="0060402D" w:rsidRPr="006C53B0">
        <w:t xml:space="preserve">reas </w:t>
      </w:r>
      <w:r w:rsidR="00DD00A9" w:rsidRPr="006C53B0">
        <w:t>for</w:t>
      </w:r>
      <w:r w:rsidR="0060402D" w:rsidRPr="006C53B0">
        <w:t xml:space="preserve"> </w:t>
      </w:r>
      <w:r w:rsidR="00DD00A9" w:rsidRPr="006C53B0">
        <w:t>compliance and enforcement</w:t>
      </w:r>
      <w:bookmarkEnd w:id="25"/>
    </w:p>
    <w:p w14:paraId="28833167" w14:textId="77777777" w:rsidR="009118D2" w:rsidRDefault="0060402D" w:rsidP="00C9157A">
      <w:pPr>
        <w:rPr>
          <w:lang w:val="en-US"/>
        </w:rPr>
      </w:pPr>
      <w:r>
        <w:rPr>
          <w:lang w:val="en-US"/>
        </w:rPr>
        <w:t xml:space="preserve">We have identified three areas of compliance with the </w:t>
      </w:r>
      <w:r w:rsidR="00B12819">
        <w:rPr>
          <w:lang w:val="en-US"/>
        </w:rPr>
        <w:t>RVSA</w:t>
      </w:r>
      <w:r>
        <w:rPr>
          <w:lang w:val="en-US"/>
        </w:rPr>
        <w:t xml:space="preserve"> that we will focus </w:t>
      </w:r>
      <w:r w:rsidR="00B12819">
        <w:rPr>
          <w:lang w:val="en-US"/>
        </w:rPr>
        <w:t>on</w:t>
      </w:r>
      <w:r>
        <w:rPr>
          <w:lang w:val="en-US"/>
        </w:rPr>
        <w:t xml:space="preserve"> </w:t>
      </w:r>
      <w:r w:rsidR="00B12819">
        <w:rPr>
          <w:lang w:val="en-US"/>
        </w:rPr>
        <w:t xml:space="preserve">over </w:t>
      </w:r>
      <w:r>
        <w:rPr>
          <w:lang w:val="en-US"/>
        </w:rPr>
        <w:t>the next two years</w:t>
      </w:r>
      <w:r w:rsidR="008F23BB">
        <w:rPr>
          <w:lang w:val="en-US"/>
        </w:rPr>
        <w:t>:</w:t>
      </w:r>
    </w:p>
    <w:p w14:paraId="4C0AFF1B" w14:textId="77777777" w:rsidR="009118D2" w:rsidRPr="008539DE" w:rsidRDefault="009118D2" w:rsidP="009118D2">
      <w:pPr>
        <w:pStyle w:val="Bullet1"/>
        <w:rPr>
          <w:b/>
        </w:rPr>
      </w:pPr>
      <w:r w:rsidRPr="008539DE">
        <w:rPr>
          <w:b/>
          <w:lang w:val="en-US"/>
        </w:rPr>
        <w:t>Low ATM trailer road vehicle type approval</w:t>
      </w:r>
      <w:r w:rsidR="006C53B0">
        <w:rPr>
          <w:b/>
          <w:lang w:val="en-US"/>
        </w:rPr>
        <w:t>s</w:t>
      </w:r>
    </w:p>
    <w:p w14:paraId="5CE97B9C" w14:textId="63700C85" w:rsidR="009118D2" w:rsidRPr="008539DE" w:rsidRDefault="00387401" w:rsidP="009118D2">
      <w:pPr>
        <w:pStyle w:val="Bullet1"/>
        <w:rPr>
          <w:b/>
        </w:rPr>
      </w:pPr>
      <w:r>
        <w:rPr>
          <w:b/>
          <w:lang w:val="en-US"/>
        </w:rPr>
        <w:t xml:space="preserve">MVSA approval holders </w:t>
      </w:r>
      <w:r w:rsidR="0043622A">
        <w:rPr>
          <w:b/>
          <w:lang w:val="en-US"/>
        </w:rPr>
        <w:t>who secure</w:t>
      </w:r>
      <w:r w:rsidR="006857F0">
        <w:rPr>
          <w:b/>
          <w:lang w:val="en-US"/>
        </w:rPr>
        <w:t xml:space="preserve"> </w:t>
      </w:r>
      <w:r w:rsidR="00A666B6">
        <w:rPr>
          <w:b/>
          <w:lang w:val="en-US"/>
        </w:rPr>
        <w:t xml:space="preserve">road </w:t>
      </w:r>
      <w:r w:rsidR="0043622A">
        <w:rPr>
          <w:b/>
          <w:lang w:val="en-US"/>
        </w:rPr>
        <w:t>v</w:t>
      </w:r>
      <w:r w:rsidR="00816E52" w:rsidRPr="008539DE">
        <w:rPr>
          <w:b/>
          <w:lang w:val="en-US"/>
        </w:rPr>
        <w:t xml:space="preserve">ehicle </w:t>
      </w:r>
      <w:r w:rsidR="0043622A">
        <w:rPr>
          <w:b/>
          <w:lang w:val="en-US"/>
        </w:rPr>
        <w:t>t</w:t>
      </w:r>
      <w:r w:rsidR="009118D2" w:rsidRPr="008539DE">
        <w:rPr>
          <w:b/>
          <w:lang w:val="en-US"/>
        </w:rPr>
        <w:t xml:space="preserve">ype </w:t>
      </w:r>
      <w:r w:rsidR="0043622A">
        <w:rPr>
          <w:b/>
          <w:lang w:val="en-US"/>
        </w:rPr>
        <w:t>a</w:t>
      </w:r>
      <w:r w:rsidR="009118D2" w:rsidRPr="008539DE">
        <w:rPr>
          <w:b/>
          <w:lang w:val="en-US"/>
        </w:rPr>
        <w:t xml:space="preserve">pproval </w:t>
      </w:r>
      <w:r w:rsidR="0043622A">
        <w:rPr>
          <w:b/>
          <w:lang w:val="en-US"/>
        </w:rPr>
        <w:t xml:space="preserve">using RVSA </w:t>
      </w:r>
      <w:r w:rsidR="00816E52" w:rsidRPr="008539DE">
        <w:rPr>
          <w:b/>
          <w:lang w:val="en-US"/>
        </w:rPr>
        <w:t>opt-in arrangements</w:t>
      </w:r>
    </w:p>
    <w:p w14:paraId="0437F07C" w14:textId="77777777" w:rsidR="009118D2" w:rsidRDefault="00850AEF" w:rsidP="009118D2">
      <w:pPr>
        <w:pStyle w:val="Bullet1"/>
      </w:pPr>
      <w:r w:rsidRPr="008539DE">
        <w:rPr>
          <w:b/>
          <w:lang w:val="en-US"/>
        </w:rPr>
        <w:t>D</w:t>
      </w:r>
      <w:r w:rsidR="009118D2" w:rsidRPr="008539DE">
        <w:rPr>
          <w:b/>
          <w:lang w:val="en-US"/>
        </w:rPr>
        <w:t>eclaration based app</w:t>
      </w:r>
      <w:r w:rsidR="006857F0">
        <w:rPr>
          <w:b/>
          <w:lang w:val="en-US"/>
        </w:rPr>
        <w:t>lications</w:t>
      </w:r>
    </w:p>
    <w:p w14:paraId="71116C3B" w14:textId="69A95567" w:rsidR="0060402D" w:rsidRDefault="00B12819" w:rsidP="00C9157A">
      <w:pPr>
        <w:rPr>
          <w:lang w:val="en-US"/>
        </w:rPr>
      </w:pPr>
      <w:r>
        <w:rPr>
          <w:lang w:val="en-US"/>
        </w:rPr>
        <w:t>For e</w:t>
      </w:r>
      <w:r w:rsidR="0060402D">
        <w:rPr>
          <w:lang w:val="en-US"/>
        </w:rPr>
        <w:t xml:space="preserve">ach </w:t>
      </w:r>
      <w:r>
        <w:rPr>
          <w:lang w:val="en-US"/>
        </w:rPr>
        <w:t xml:space="preserve">area we </w:t>
      </w:r>
      <w:r w:rsidR="0060402D">
        <w:rPr>
          <w:lang w:val="en-US"/>
        </w:rPr>
        <w:t xml:space="preserve">will focus </w:t>
      </w:r>
      <w:r>
        <w:rPr>
          <w:lang w:val="en-US"/>
        </w:rPr>
        <w:t>on</w:t>
      </w:r>
      <w:r w:rsidR="0060402D">
        <w:rPr>
          <w:lang w:val="en-US"/>
        </w:rPr>
        <w:t xml:space="preserve"> mo</w:t>
      </w:r>
      <w:r w:rsidR="00690C8D">
        <w:rPr>
          <w:lang w:val="en-US"/>
        </w:rPr>
        <w:t>n</w:t>
      </w:r>
      <w:r w:rsidR="0060402D">
        <w:rPr>
          <w:lang w:val="en-US"/>
        </w:rPr>
        <w:t xml:space="preserve">itoring levels of compliance and </w:t>
      </w:r>
      <w:r w:rsidR="008539DE">
        <w:rPr>
          <w:lang w:val="en-US"/>
        </w:rPr>
        <w:t xml:space="preserve">as needed, </w:t>
      </w:r>
      <w:r w:rsidR="0060402D">
        <w:rPr>
          <w:lang w:val="en-US"/>
        </w:rPr>
        <w:t>assist regulated entities to understand and comply with their obligations</w:t>
      </w:r>
      <w:r w:rsidR="0043622A">
        <w:rPr>
          <w:lang w:val="en-US"/>
        </w:rPr>
        <w:t xml:space="preserve"> under the RVS</w:t>
      </w:r>
      <w:r w:rsidR="0015315C">
        <w:rPr>
          <w:lang w:val="en-US"/>
        </w:rPr>
        <w:t xml:space="preserve"> legislation</w:t>
      </w:r>
      <w:r w:rsidR="0060402D">
        <w:rPr>
          <w:lang w:val="en-US"/>
        </w:rPr>
        <w:t>.</w:t>
      </w:r>
      <w:r w:rsidR="009118D2">
        <w:rPr>
          <w:lang w:val="en-US"/>
        </w:rPr>
        <w:t xml:space="preserve"> </w:t>
      </w:r>
    </w:p>
    <w:p w14:paraId="44721390" w14:textId="77777777" w:rsidR="009118D2" w:rsidRPr="00C9157A" w:rsidRDefault="009118D2" w:rsidP="00C9157A">
      <w:pPr>
        <w:pStyle w:val="Heading3"/>
      </w:pPr>
      <w:r w:rsidRPr="00C9157A">
        <w:t>Low ATM trailer road vehicle type approvals</w:t>
      </w:r>
    </w:p>
    <w:p w14:paraId="6765462A" w14:textId="77777777" w:rsidR="009118D2" w:rsidRDefault="006570D7" w:rsidP="00C9157A">
      <w:pPr>
        <w:rPr>
          <w:lang w:val="en-US"/>
        </w:rPr>
      </w:pPr>
      <w:r>
        <w:rPr>
          <w:lang w:val="en-US"/>
        </w:rPr>
        <w:t>Under the MVSA</w:t>
      </w:r>
      <w:r w:rsidR="007E51D2">
        <w:rPr>
          <w:lang w:val="en-US"/>
        </w:rPr>
        <w:t>,</w:t>
      </w:r>
      <w:r>
        <w:rPr>
          <w:lang w:val="en-US"/>
        </w:rPr>
        <w:t xml:space="preserve"> trailers with an aggregate trailer mass</w:t>
      </w:r>
      <w:r w:rsidR="008262A9">
        <w:rPr>
          <w:lang w:val="en-US"/>
        </w:rPr>
        <w:t xml:space="preserve"> (ATM)</w:t>
      </w:r>
      <w:r>
        <w:rPr>
          <w:lang w:val="en-US"/>
        </w:rPr>
        <w:t xml:space="preserve"> not exceeding 4500 kg could be supplied to the market under a </w:t>
      </w:r>
      <w:r w:rsidR="008262A9">
        <w:rPr>
          <w:lang w:val="en-US"/>
        </w:rPr>
        <w:t>self-certification arrangement if they complied with the requirements of Vehicle Standards Bulletin 1.</w:t>
      </w:r>
    </w:p>
    <w:p w14:paraId="3341A4B5" w14:textId="2E6AAF33" w:rsidR="008539DE" w:rsidRDefault="008262A9" w:rsidP="00C9157A">
      <w:pPr>
        <w:rPr>
          <w:lang w:val="en-US"/>
        </w:rPr>
      </w:pPr>
      <w:r w:rsidRPr="008262A9">
        <w:rPr>
          <w:lang w:val="en-US"/>
        </w:rPr>
        <w:t>Under RVS</w:t>
      </w:r>
      <w:r w:rsidR="008539DE">
        <w:rPr>
          <w:lang w:val="en-US"/>
        </w:rPr>
        <w:t>A</w:t>
      </w:r>
      <w:r w:rsidRPr="008262A9">
        <w:rPr>
          <w:lang w:val="en-US"/>
        </w:rPr>
        <w:t xml:space="preserve">, trailer manufacturers and importers providing more than </w:t>
      </w:r>
      <w:r w:rsidR="0015315C">
        <w:rPr>
          <w:lang w:val="en-US"/>
        </w:rPr>
        <w:t>four</w:t>
      </w:r>
      <w:r w:rsidRPr="008262A9">
        <w:rPr>
          <w:lang w:val="en-US"/>
        </w:rPr>
        <w:t xml:space="preserve"> low ATM trailers to the Australian market in a 12-month period will </w:t>
      </w:r>
      <w:r w:rsidR="009C2BA6">
        <w:rPr>
          <w:lang w:val="en-US"/>
        </w:rPr>
        <w:t>need</w:t>
      </w:r>
      <w:r w:rsidRPr="008262A9">
        <w:rPr>
          <w:lang w:val="en-US"/>
        </w:rPr>
        <w:t xml:space="preserve"> to get a </w:t>
      </w:r>
      <w:r w:rsidR="00A666B6">
        <w:rPr>
          <w:lang w:val="en-US"/>
        </w:rPr>
        <w:t xml:space="preserve">road </w:t>
      </w:r>
      <w:r w:rsidR="0043622A">
        <w:rPr>
          <w:lang w:val="en-US"/>
        </w:rPr>
        <w:t>v</w:t>
      </w:r>
      <w:r w:rsidRPr="008262A9">
        <w:rPr>
          <w:lang w:val="en-US"/>
        </w:rPr>
        <w:t xml:space="preserve">ehicle </w:t>
      </w:r>
      <w:r w:rsidR="0043622A">
        <w:rPr>
          <w:lang w:val="en-US"/>
        </w:rPr>
        <w:t>t</w:t>
      </w:r>
      <w:r w:rsidRPr="008262A9">
        <w:rPr>
          <w:lang w:val="en-US"/>
        </w:rPr>
        <w:t xml:space="preserve">ype </w:t>
      </w:r>
      <w:r w:rsidR="0043622A">
        <w:rPr>
          <w:lang w:val="en-US"/>
        </w:rPr>
        <w:t>a</w:t>
      </w:r>
      <w:r w:rsidRPr="008262A9">
        <w:rPr>
          <w:lang w:val="en-US"/>
        </w:rPr>
        <w:t>pproval for their trailer type.</w:t>
      </w:r>
      <w:r w:rsidR="00A43389">
        <w:rPr>
          <w:lang w:val="en-US"/>
        </w:rPr>
        <w:t xml:space="preserve"> </w:t>
      </w:r>
      <w:r w:rsidR="00343AF6">
        <w:rPr>
          <w:lang w:val="en-US"/>
        </w:rPr>
        <w:t>Those wanting to provide low ATM trailers to the Australian market under the RVS legislation will</w:t>
      </w:r>
      <w:r w:rsidR="00A43389">
        <w:rPr>
          <w:lang w:val="en-US"/>
        </w:rPr>
        <w:t xml:space="preserve"> need</w:t>
      </w:r>
      <w:r w:rsidR="00343AF6">
        <w:rPr>
          <w:lang w:val="en-US"/>
        </w:rPr>
        <w:t xml:space="preserve"> </w:t>
      </w:r>
      <w:r>
        <w:rPr>
          <w:lang w:val="en-US"/>
        </w:rPr>
        <w:t xml:space="preserve">to hold </w:t>
      </w:r>
      <w:r w:rsidR="00343AF6">
        <w:rPr>
          <w:lang w:val="en-US"/>
        </w:rPr>
        <w:t xml:space="preserve">appropriate </w:t>
      </w:r>
      <w:r>
        <w:rPr>
          <w:lang w:val="en-US"/>
        </w:rPr>
        <w:t xml:space="preserve">approvals, demonstrate compliance with </w:t>
      </w:r>
      <w:r w:rsidR="00B12819">
        <w:rPr>
          <w:lang w:val="en-US"/>
        </w:rPr>
        <w:t xml:space="preserve">the </w:t>
      </w:r>
      <w:r>
        <w:rPr>
          <w:lang w:val="en-US"/>
        </w:rPr>
        <w:t xml:space="preserve">Australian </w:t>
      </w:r>
      <w:r w:rsidR="00B12819">
        <w:rPr>
          <w:lang w:val="en-US"/>
        </w:rPr>
        <w:t>D</w:t>
      </w:r>
      <w:r>
        <w:rPr>
          <w:lang w:val="en-US"/>
        </w:rPr>
        <w:t xml:space="preserve">esign </w:t>
      </w:r>
      <w:r w:rsidR="00B12819">
        <w:rPr>
          <w:lang w:val="en-US"/>
        </w:rPr>
        <w:t>R</w:t>
      </w:r>
      <w:r>
        <w:rPr>
          <w:lang w:val="en-US"/>
        </w:rPr>
        <w:t>ules</w:t>
      </w:r>
      <w:r w:rsidR="00B12819">
        <w:rPr>
          <w:lang w:val="en-US"/>
        </w:rPr>
        <w:t xml:space="preserve"> (ADR</w:t>
      </w:r>
      <w:r w:rsidR="008539DE">
        <w:rPr>
          <w:lang w:val="en-US"/>
        </w:rPr>
        <w:t>s</w:t>
      </w:r>
      <w:r w:rsidR="00B12819">
        <w:rPr>
          <w:lang w:val="en-US"/>
        </w:rPr>
        <w:t>)</w:t>
      </w:r>
      <w:r>
        <w:rPr>
          <w:lang w:val="en-US"/>
        </w:rPr>
        <w:t xml:space="preserve">, comply with </w:t>
      </w:r>
      <w:r w:rsidR="00B12819">
        <w:rPr>
          <w:lang w:val="en-US"/>
        </w:rPr>
        <w:t xml:space="preserve">approval </w:t>
      </w:r>
      <w:r>
        <w:rPr>
          <w:lang w:val="en-US"/>
        </w:rPr>
        <w:t>conditions</w:t>
      </w:r>
      <w:r w:rsidR="00B12819">
        <w:rPr>
          <w:lang w:val="en-US"/>
        </w:rPr>
        <w:t>,</w:t>
      </w:r>
      <w:r>
        <w:rPr>
          <w:lang w:val="en-US"/>
        </w:rPr>
        <w:t xml:space="preserve"> and enter trailers onto the Register of Approved Vehicles </w:t>
      </w:r>
      <w:r w:rsidR="00B12819">
        <w:rPr>
          <w:lang w:val="en-US"/>
        </w:rPr>
        <w:t>(RAV)</w:t>
      </w:r>
      <w:r w:rsidR="008539DE">
        <w:rPr>
          <w:lang w:val="en-US"/>
        </w:rPr>
        <w:t>.</w:t>
      </w:r>
    </w:p>
    <w:p w14:paraId="7858795C" w14:textId="2D7FAD5E" w:rsidR="008262A9" w:rsidRDefault="008539DE" w:rsidP="00C9157A">
      <w:pPr>
        <w:rPr>
          <w:lang w:val="en-US"/>
        </w:rPr>
      </w:pPr>
      <w:r>
        <w:rPr>
          <w:lang w:val="en-US"/>
        </w:rPr>
        <w:t>These requirements</w:t>
      </w:r>
      <w:r w:rsidR="00B12819">
        <w:rPr>
          <w:lang w:val="en-US"/>
        </w:rPr>
        <w:t xml:space="preserve"> </w:t>
      </w:r>
      <w:r w:rsidR="008262A9">
        <w:rPr>
          <w:lang w:val="en-US"/>
        </w:rPr>
        <w:t xml:space="preserve">may be </w:t>
      </w:r>
      <w:r w:rsidR="009C2BA6">
        <w:rPr>
          <w:lang w:val="en-US"/>
        </w:rPr>
        <w:t xml:space="preserve">new </w:t>
      </w:r>
      <w:r>
        <w:rPr>
          <w:lang w:val="en-US"/>
        </w:rPr>
        <w:t>for</w:t>
      </w:r>
      <w:r w:rsidR="008262A9">
        <w:rPr>
          <w:lang w:val="en-US"/>
        </w:rPr>
        <w:t xml:space="preserve"> some trailer manufacturers and importers. </w:t>
      </w:r>
    </w:p>
    <w:p w14:paraId="7534B4CE" w14:textId="77777777" w:rsidR="008262A9" w:rsidRDefault="008262A9" w:rsidP="00C9157A">
      <w:pPr>
        <w:rPr>
          <w:lang w:val="en-US"/>
        </w:rPr>
      </w:pPr>
      <w:r>
        <w:rPr>
          <w:lang w:val="en-US"/>
        </w:rPr>
        <w:t>We will be monitoring compliance with these new requirements by:</w:t>
      </w:r>
    </w:p>
    <w:p w14:paraId="020942BE" w14:textId="77777777" w:rsidR="008262A9" w:rsidRPr="00C9157A" w:rsidRDefault="008262A9" w:rsidP="008262A9">
      <w:pPr>
        <w:pStyle w:val="Bullet1"/>
      </w:pPr>
      <w:r>
        <w:rPr>
          <w:lang w:val="en-US"/>
        </w:rPr>
        <w:t xml:space="preserve">considering reports of low ATM trailer non-compliance </w:t>
      </w:r>
      <w:r w:rsidR="00B12819">
        <w:rPr>
          <w:lang w:val="en-US"/>
        </w:rPr>
        <w:t>received</w:t>
      </w:r>
      <w:r>
        <w:rPr>
          <w:lang w:val="en-US"/>
        </w:rPr>
        <w:t xml:space="preserve"> from the public, industry or other regulators</w:t>
      </w:r>
    </w:p>
    <w:p w14:paraId="385228E6" w14:textId="01F4A905" w:rsidR="004C36E7" w:rsidRPr="00C9157A" w:rsidRDefault="004C36E7" w:rsidP="008262A9">
      <w:pPr>
        <w:pStyle w:val="Bullet1"/>
      </w:pPr>
      <w:r>
        <w:rPr>
          <w:lang w:val="en-US"/>
        </w:rPr>
        <w:t xml:space="preserve">undertaking monitoring activities such as </w:t>
      </w:r>
      <w:r w:rsidR="00B12819">
        <w:rPr>
          <w:lang w:val="en-US"/>
        </w:rPr>
        <w:t>requesting</w:t>
      </w:r>
      <w:r>
        <w:rPr>
          <w:lang w:val="en-US"/>
        </w:rPr>
        <w:t xml:space="preserve"> information</w:t>
      </w:r>
      <w:r w:rsidR="00F106E3">
        <w:rPr>
          <w:lang w:val="en-US"/>
        </w:rPr>
        <w:t xml:space="preserve">, </w:t>
      </w:r>
      <w:r w:rsidR="008539DE">
        <w:rPr>
          <w:lang w:val="en-US"/>
        </w:rPr>
        <w:t xml:space="preserve">desk top </w:t>
      </w:r>
      <w:r>
        <w:rPr>
          <w:lang w:val="en-US"/>
        </w:rPr>
        <w:t>document</w:t>
      </w:r>
      <w:r w:rsidR="008539DE">
        <w:rPr>
          <w:lang w:val="en-US"/>
        </w:rPr>
        <w:t xml:space="preserve"> assessment</w:t>
      </w:r>
      <w:r w:rsidR="00F106E3">
        <w:rPr>
          <w:lang w:val="en-US"/>
        </w:rPr>
        <w:t xml:space="preserve"> </w:t>
      </w:r>
      <w:r>
        <w:rPr>
          <w:lang w:val="en-US"/>
        </w:rPr>
        <w:t xml:space="preserve">or </w:t>
      </w:r>
      <w:r w:rsidR="00B12819">
        <w:rPr>
          <w:lang w:val="en-US"/>
        </w:rPr>
        <w:t>performing</w:t>
      </w:r>
      <w:r>
        <w:rPr>
          <w:lang w:val="en-US"/>
        </w:rPr>
        <w:t xml:space="preserve"> </w:t>
      </w:r>
      <w:r w:rsidR="008539DE">
        <w:rPr>
          <w:lang w:val="en-US"/>
        </w:rPr>
        <w:t>inspections</w:t>
      </w:r>
      <w:r>
        <w:rPr>
          <w:lang w:val="en-US"/>
        </w:rPr>
        <w:t xml:space="preserve"> to confirm </w:t>
      </w:r>
      <w:r w:rsidR="008539DE">
        <w:rPr>
          <w:lang w:val="en-US"/>
        </w:rPr>
        <w:t xml:space="preserve">that </w:t>
      </w:r>
      <w:r>
        <w:rPr>
          <w:lang w:val="en-US"/>
        </w:rPr>
        <w:t>traile</w:t>
      </w:r>
      <w:r w:rsidR="00B12819">
        <w:rPr>
          <w:lang w:val="en-US"/>
        </w:rPr>
        <w:t>r</w:t>
      </w:r>
      <w:r>
        <w:rPr>
          <w:lang w:val="en-US"/>
        </w:rPr>
        <w:t xml:space="preserve"> manufacturers and importers are complying with their </w:t>
      </w:r>
      <w:r w:rsidR="008539DE">
        <w:rPr>
          <w:lang w:val="en-US"/>
        </w:rPr>
        <w:t xml:space="preserve">new </w:t>
      </w:r>
      <w:r>
        <w:rPr>
          <w:lang w:val="en-US"/>
        </w:rPr>
        <w:t>obligations</w:t>
      </w:r>
      <w:r w:rsidR="00F106E3">
        <w:rPr>
          <w:lang w:val="en-US"/>
        </w:rPr>
        <w:t xml:space="preserve"> under the RVS</w:t>
      </w:r>
      <w:r w:rsidR="00343AF6">
        <w:rPr>
          <w:lang w:val="en-US"/>
        </w:rPr>
        <w:t xml:space="preserve"> legislation</w:t>
      </w:r>
    </w:p>
    <w:p w14:paraId="42F7CA09" w14:textId="77777777" w:rsidR="008262A9" w:rsidRDefault="008262A9" w:rsidP="008262A9">
      <w:pPr>
        <w:pStyle w:val="Bullet1"/>
      </w:pPr>
      <w:r>
        <w:rPr>
          <w:lang w:val="en-US"/>
        </w:rPr>
        <w:t xml:space="preserve">providing </w:t>
      </w:r>
      <w:r w:rsidR="00054986">
        <w:rPr>
          <w:lang w:val="en-US"/>
        </w:rPr>
        <w:t xml:space="preserve">trailer manufacturers or importers with </w:t>
      </w:r>
      <w:r>
        <w:rPr>
          <w:lang w:val="en-US"/>
        </w:rPr>
        <w:t xml:space="preserve">education </w:t>
      </w:r>
      <w:r w:rsidR="008539DE">
        <w:rPr>
          <w:lang w:val="en-US"/>
        </w:rPr>
        <w:t>regarding t</w:t>
      </w:r>
      <w:r w:rsidR="00054986">
        <w:rPr>
          <w:lang w:val="en-US"/>
        </w:rPr>
        <w:t>heir obligations</w:t>
      </w:r>
      <w:r w:rsidR="009C2BA6">
        <w:rPr>
          <w:lang w:val="en-US"/>
        </w:rPr>
        <w:t>,</w:t>
      </w:r>
      <w:r w:rsidR="00054986">
        <w:rPr>
          <w:lang w:val="en-US"/>
        </w:rPr>
        <w:t xml:space="preserve"> </w:t>
      </w:r>
      <w:r>
        <w:rPr>
          <w:lang w:val="en-US"/>
        </w:rPr>
        <w:t>and opportunit</w:t>
      </w:r>
      <w:r w:rsidR="008539DE">
        <w:rPr>
          <w:lang w:val="en-US"/>
        </w:rPr>
        <w:t xml:space="preserve">ies </w:t>
      </w:r>
      <w:r>
        <w:rPr>
          <w:lang w:val="en-US"/>
        </w:rPr>
        <w:t xml:space="preserve">to correct </w:t>
      </w:r>
      <w:r w:rsidR="009C2BA6">
        <w:rPr>
          <w:lang w:val="en-US"/>
        </w:rPr>
        <w:t>areas</w:t>
      </w:r>
      <w:r>
        <w:rPr>
          <w:lang w:val="en-US"/>
        </w:rPr>
        <w:t xml:space="preserve"> </w:t>
      </w:r>
      <w:r w:rsidR="009C2BA6">
        <w:rPr>
          <w:lang w:val="en-US"/>
        </w:rPr>
        <w:t>where they</w:t>
      </w:r>
      <w:r>
        <w:rPr>
          <w:lang w:val="en-US"/>
        </w:rPr>
        <w:t xml:space="preserve"> </w:t>
      </w:r>
      <w:r w:rsidR="008539DE">
        <w:rPr>
          <w:lang w:val="en-US"/>
        </w:rPr>
        <w:t>have demonstrated non-compliance</w:t>
      </w:r>
    </w:p>
    <w:p w14:paraId="370E9AE1" w14:textId="038FBB11" w:rsidR="008262A9" w:rsidRDefault="008262A9" w:rsidP="00C9157A">
      <w:pPr>
        <w:rPr>
          <w:lang w:val="en-US"/>
        </w:rPr>
      </w:pPr>
      <w:r>
        <w:rPr>
          <w:lang w:val="en-US"/>
        </w:rPr>
        <w:t xml:space="preserve">More information on Low ATM trailers under the new RVS legislation </w:t>
      </w:r>
      <w:proofErr w:type="gramStart"/>
      <w:r>
        <w:rPr>
          <w:lang w:val="en-US"/>
        </w:rPr>
        <w:t>can be found</w:t>
      </w:r>
      <w:proofErr w:type="gramEnd"/>
      <w:r>
        <w:rPr>
          <w:lang w:val="en-US"/>
        </w:rPr>
        <w:t xml:space="preserve"> on </w:t>
      </w:r>
      <w:r w:rsidR="00816E52">
        <w:rPr>
          <w:lang w:val="en-US"/>
        </w:rPr>
        <w:t xml:space="preserve">our </w:t>
      </w:r>
      <w:r>
        <w:rPr>
          <w:lang w:val="en-US"/>
        </w:rPr>
        <w:t xml:space="preserve">website </w:t>
      </w:r>
      <w:hyperlink r:id="rId16" w:history="1">
        <w:r w:rsidRPr="007760F8">
          <w:rPr>
            <w:rStyle w:val="Hyperlink"/>
            <w:lang w:val="en-US"/>
          </w:rPr>
          <w:t>https://www.infrastructure.gov.au/vehicles/rvs/light_trailers.aspx</w:t>
        </w:r>
      </w:hyperlink>
      <w:r>
        <w:rPr>
          <w:lang w:val="en-US"/>
        </w:rPr>
        <w:t xml:space="preserve">. </w:t>
      </w:r>
    </w:p>
    <w:p w14:paraId="46587AE3" w14:textId="4DCFFFD5" w:rsidR="004C36E7" w:rsidRDefault="00387401" w:rsidP="00C9157A">
      <w:pPr>
        <w:pStyle w:val="Heading3"/>
        <w:rPr>
          <w:lang w:val="en-US"/>
        </w:rPr>
      </w:pPr>
      <w:r>
        <w:rPr>
          <w:lang w:val="en-US"/>
        </w:rPr>
        <w:t>MVSA approval holders</w:t>
      </w:r>
      <w:r w:rsidR="00412109">
        <w:rPr>
          <w:lang w:val="en-US"/>
        </w:rPr>
        <w:t xml:space="preserve"> securing</w:t>
      </w:r>
      <w:r w:rsidR="006857F0">
        <w:rPr>
          <w:lang w:val="en-US"/>
        </w:rPr>
        <w:t xml:space="preserve"> </w:t>
      </w:r>
      <w:r w:rsidR="0085770C">
        <w:rPr>
          <w:lang w:val="en-US"/>
        </w:rPr>
        <w:t xml:space="preserve">road </w:t>
      </w:r>
      <w:r w:rsidR="00412109">
        <w:rPr>
          <w:lang w:val="en-US"/>
        </w:rPr>
        <w:t>v</w:t>
      </w:r>
      <w:r w:rsidR="00816E52">
        <w:rPr>
          <w:lang w:val="en-US"/>
        </w:rPr>
        <w:t xml:space="preserve">ehicle </w:t>
      </w:r>
      <w:r w:rsidR="00412109">
        <w:rPr>
          <w:lang w:val="en-US"/>
        </w:rPr>
        <w:t>t</w:t>
      </w:r>
      <w:r w:rsidR="00816E52">
        <w:rPr>
          <w:lang w:val="en-US"/>
        </w:rPr>
        <w:t xml:space="preserve">ype </w:t>
      </w:r>
      <w:r w:rsidR="00412109">
        <w:rPr>
          <w:lang w:val="en-US"/>
        </w:rPr>
        <w:t>a</w:t>
      </w:r>
      <w:r w:rsidR="00816E52">
        <w:rPr>
          <w:lang w:val="en-US"/>
        </w:rPr>
        <w:t>pproval</w:t>
      </w:r>
      <w:r w:rsidR="00412109">
        <w:rPr>
          <w:lang w:val="en-US"/>
        </w:rPr>
        <w:t>s</w:t>
      </w:r>
      <w:r w:rsidR="00816E52">
        <w:rPr>
          <w:lang w:val="en-US"/>
        </w:rPr>
        <w:t xml:space="preserve"> </w:t>
      </w:r>
      <w:r w:rsidR="00115444">
        <w:rPr>
          <w:lang w:val="en-US"/>
        </w:rPr>
        <w:t>using</w:t>
      </w:r>
      <w:r w:rsidR="00412109">
        <w:rPr>
          <w:lang w:val="en-US"/>
        </w:rPr>
        <w:t xml:space="preserve"> RVSA </w:t>
      </w:r>
      <w:r w:rsidR="00816E52">
        <w:rPr>
          <w:lang w:val="en-US"/>
        </w:rPr>
        <w:t>o</w:t>
      </w:r>
      <w:r w:rsidR="004C36E7">
        <w:rPr>
          <w:lang w:val="en-US"/>
        </w:rPr>
        <w:t>pt-in</w:t>
      </w:r>
      <w:r w:rsidR="00816E52">
        <w:rPr>
          <w:lang w:val="en-US"/>
        </w:rPr>
        <w:t xml:space="preserve"> arrangements</w:t>
      </w:r>
    </w:p>
    <w:p w14:paraId="4B6F2570" w14:textId="3F967315" w:rsidR="004C36E7" w:rsidRDefault="00816E52" w:rsidP="00C9157A">
      <w:pPr>
        <w:rPr>
          <w:lang w:val="en-US"/>
        </w:rPr>
      </w:pPr>
      <w:r w:rsidRPr="00816E52">
        <w:rPr>
          <w:lang w:val="en-US"/>
        </w:rPr>
        <w:t>Eligible holders of some</w:t>
      </w:r>
      <w:r w:rsidR="00115444">
        <w:rPr>
          <w:lang w:val="en-US"/>
        </w:rPr>
        <w:t xml:space="preserve"> </w:t>
      </w:r>
      <w:r w:rsidR="006857F0">
        <w:rPr>
          <w:lang w:val="en-US"/>
        </w:rPr>
        <w:t xml:space="preserve">type </w:t>
      </w:r>
      <w:r w:rsidRPr="00816E52">
        <w:rPr>
          <w:lang w:val="en-US"/>
        </w:rPr>
        <w:t>approvals</w:t>
      </w:r>
      <w:r w:rsidR="007A4BCB">
        <w:rPr>
          <w:lang w:val="en-US"/>
        </w:rPr>
        <w:t xml:space="preserve"> granted</w:t>
      </w:r>
      <w:r w:rsidRPr="00816E52">
        <w:rPr>
          <w:lang w:val="en-US"/>
        </w:rPr>
        <w:t xml:space="preserve"> under the MVSA</w:t>
      </w:r>
      <w:r w:rsidR="002F1149">
        <w:rPr>
          <w:lang w:val="en-US"/>
        </w:rPr>
        <w:t xml:space="preserve"> may apply to</w:t>
      </w:r>
      <w:r w:rsidRPr="00816E52">
        <w:rPr>
          <w:lang w:val="en-US"/>
        </w:rPr>
        <w:t xml:space="preserve"> transition to a </w:t>
      </w:r>
      <w:r w:rsidR="0085770C">
        <w:rPr>
          <w:lang w:val="en-US"/>
        </w:rPr>
        <w:t xml:space="preserve">road </w:t>
      </w:r>
      <w:r w:rsidR="0099778D">
        <w:rPr>
          <w:lang w:val="en-US"/>
        </w:rPr>
        <w:t>vehicle type approval</w:t>
      </w:r>
      <w:r w:rsidR="0099778D" w:rsidRPr="00816E52">
        <w:rPr>
          <w:lang w:val="en-US"/>
        </w:rPr>
        <w:t xml:space="preserve"> </w:t>
      </w:r>
      <w:r>
        <w:rPr>
          <w:lang w:val="en-US"/>
        </w:rPr>
        <w:t>under the new RVS</w:t>
      </w:r>
      <w:r w:rsidR="007A4BCB">
        <w:rPr>
          <w:lang w:val="en-US"/>
        </w:rPr>
        <w:t xml:space="preserve"> legislation</w:t>
      </w:r>
      <w:r>
        <w:rPr>
          <w:lang w:val="en-US"/>
        </w:rPr>
        <w:t xml:space="preserve"> </w:t>
      </w:r>
      <w:r w:rsidR="00115444">
        <w:rPr>
          <w:lang w:val="en-US"/>
        </w:rPr>
        <w:t xml:space="preserve">using </w:t>
      </w:r>
      <w:r w:rsidRPr="00816E52">
        <w:rPr>
          <w:lang w:val="en-US"/>
        </w:rPr>
        <w:t>an opt-in process.</w:t>
      </w:r>
      <w:r>
        <w:rPr>
          <w:lang w:val="en-US"/>
        </w:rPr>
        <w:t xml:space="preserve"> </w:t>
      </w:r>
    </w:p>
    <w:p w14:paraId="01FC24C4" w14:textId="1D752534" w:rsidR="00816E52" w:rsidRDefault="00514CCA" w:rsidP="00C9157A">
      <w:pPr>
        <w:rPr>
          <w:lang w:val="en-US"/>
        </w:rPr>
      </w:pPr>
      <w:r>
        <w:rPr>
          <w:lang w:val="en-US"/>
        </w:rPr>
        <w:t>Road v</w:t>
      </w:r>
      <w:r w:rsidR="0099778D">
        <w:rPr>
          <w:lang w:val="en-US"/>
        </w:rPr>
        <w:t>ehicle type approvals have been introduced u</w:t>
      </w:r>
      <w:r w:rsidR="00816E52">
        <w:rPr>
          <w:lang w:val="en-US"/>
        </w:rPr>
        <w:t>nder the new RVS legislation</w:t>
      </w:r>
      <w:r w:rsidR="0099778D">
        <w:rPr>
          <w:lang w:val="en-US"/>
        </w:rPr>
        <w:t xml:space="preserve"> and apply new obligations for business seeking to </w:t>
      </w:r>
      <w:r w:rsidR="007A4BCB">
        <w:rPr>
          <w:lang w:val="en-US"/>
        </w:rPr>
        <w:t>provide</w:t>
      </w:r>
      <w:r w:rsidR="0099778D">
        <w:rPr>
          <w:lang w:val="en-US"/>
        </w:rPr>
        <w:t xml:space="preserve"> quantities of road vehicles to the Australian market</w:t>
      </w:r>
      <w:r w:rsidR="00816E52">
        <w:rPr>
          <w:lang w:val="en-US"/>
        </w:rPr>
        <w:t>. It is important that anyone who opt</w:t>
      </w:r>
      <w:r w:rsidR="002F1149">
        <w:rPr>
          <w:lang w:val="en-US"/>
        </w:rPr>
        <w:t>s</w:t>
      </w:r>
      <w:r w:rsidR="00816E52">
        <w:rPr>
          <w:lang w:val="en-US"/>
        </w:rPr>
        <w:t xml:space="preserve"> in understands and complies with their new obligations. </w:t>
      </w:r>
      <w:r w:rsidR="002C7AE6">
        <w:rPr>
          <w:lang w:val="en-US"/>
        </w:rPr>
        <w:t>Some companies and individuals who previously held</w:t>
      </w:r>
      <w:r w:rsidR="002F1149">
        <w:rPr>
          <w:lang w:val="en-US"/>
        </w:rPr>
        <w:t xml:space="preserve"> approvals under the</w:t>
      </w:r>
      <w:r w:rsidR="002C7AE6">
        <w:rPr>
          <w:lang w:val="en-US"/>
        </w:rPr>
        <w:t xml:space="preserve"> MVSA may </w:t>
      </w:r>
      <w:r w:rsidR="008539DE">
        <w:rPr>
          <w:lang w:val="en-US"/>
        </w:rPr>
        <w:t>encounter challenges when</w:t>
      </w:r>
      <w:r w:rsidR="002C7AE6">
        <w:rPr>
          <w:lang w:val="en-US"/>
        </w:rPr>
        <w:t xml:space="preserve"> meeting some of the </w:t>
      </w:r>
      <w:r w:rsidR="009C2BA6">
        <w:rPr>
          <w:lang w:val="en-US"/>
        </w:rPr>
        <w:t xml:space="preserve">new </w:t>
      </w:r>
      <w:r w:rsidR="002C7AE6">
        <w:rPr>
          <w:lang w:val="en-US"/>
        </w:rPr>
        <w:t xml:space="preserve">obligations required </w:t>
      </w:r>
      <w:r w:rsidR="002F1149">
        <w:rPr>
          <w:lang w:val="en-US"/>
        </w:rPr>
        <w:t xml:space="preserve">of </w:t>
      </w:r>
      <w:r>
        <w:rPr>
          <w:lang w:val="en-US"/>
        </w:rPr>
        <w:t xml:space="preserve">road </w:t>
      </w:r>
      <w:r w:rsidR="0099778D">
        <w:rPr>
          <w:lang w:val="en-US"/>
        </w:rPr>
        <w:t>vehicle type approval</w:t>
      </w:r>
      <w:r w:rsidR="002C7AE6">
        <w:rPr>
          <w:lang w:val="en-US"/>
        </w:rPr>
        <w:t xml:space="preserve"> holders.</w:t>
      </w:r>
    </w:p>
    <w:p w14:paraId="411B15F8" w14:textId="0DE56E4C" w:rsidR="00816E52" w:rsidRDefault="00816E52" w:rsidP="00FA4CCA">
      <w:pPr>
        <w:keepNext/>
        <w:rPr>
          <w:lang w:val="en-US"/>
        </w:rPr>
      </w:pPr>
      <w:r>
        <w:rPr>
          <w:lang w:val="en-US"/>
        </w:rPr>
        <w:lastRenderedPageBreak/>
        <w:t xml:space="preserve">We will monitor compliance </w:t>
      </w:r>
      <w:r w:rsidR="009C2BA6">
        <w:rPr>
          <w:lang w:val="en-US"/>
        </w:rPr>
        <w:t>of</w:t>
      </w:r>
      <w:r>
        <w:rPr>
          <w:lang w:val="en-US"/>
        </w:rPr>
        <w:t xml:space="preserve"> </w:t>
      </w:r>
      <w:r w:rsidR="00514CCA">
        <w:rPr>
          <w:lang w:val="en-US"/>
        </w:rPr>
        <w:t xml:space="preserve">road </w:t>
      </w:r>
      <w:r w:rsidR="0099778D">
        <w:rPr>
          <w:lang w:val="en-US"/>
        </w:rPr>
        <w:t xml:space="preserve">vehicle type approval </w:t>
      </w:r>
      <w:r w:rsidR="009C2BA6">
        <w:rPr>
          <w:lang w:val="en-US"/>
        </w:rPr>
        <w:t>holders</w:t>
      </w:r>
      <w:r w:rsidR="002C7AE6">
        <w:rPr>
          <w:lang w:val="en-US"/>
        </w:rPr>
        <w:t xml:space="preserve"> who have opt</w:t>
      </w:r>
      <w:r w:rsidR="006857F0">
        <w:rPr>
          <w:lang w:val="en-US"/>
        </w:rPr>
        <w:t xml:space="preserve">ed </w:t>
      </w:r>
      <w:r w:rsidR="002C7AE6">
        <w:rPr>
          <w:lang w:val="en-US"/>
        </w:rPr>
        <w:t xml:space="preserve">in </w:t>
      </w:r>
      <w:r>
        <w:rPr>
          <w:lang w:val="en-US"/>
        </w:rPr>
        <w:t>by</w:t>
      </w:r>
      <w:r w:rsidR="002C7AE6">
        <w:rPr>
          <w:lang w:val="en-US"/>
        </w:rPr>
        <w:t>:</w:t>
      </w:r>
    </w:p>
    <w:p w14:paraId="4726AFBA" w14:textId="7BE948C9" w:rsidR="00816E52" w:rsidRPr="00C436D2" w:rsidRDefault="00816E52" w:rsidP="00FA4CCA">
      <w:pPr>
        <w:pStyle w:val="Bullet1"/>
        <w:keepNext/>
      </w:pPr>
      <w:r>
        <w:rPr>
          <w:lang w:val="en-US"/>
        </w:rPr>
        <w:t xml:space="preserve">seeking information to confirm they </w:t>
      </w:r>
      <w:r w:rsidR="002C7AE6">
        <w:rPr>
          <w:lang w:val="en-US"/>
        </w:rPr>
        <w:t xml:space="preserve">are complying with their obligations </w:t>
      </w:r>
      <w:r w:rsidR="006857F0">
        <w:rPr>
          <w:lang w:val="en-US"/>
        </w:rPr>
        <w:t>as</w:t>
      </w:r>
      <w:r w:rsidR="002C7AE6">
        <w:rPr>
          <w:lang w:val="en-US"/>
        </w:rPr>
        <w:t xml:space="preserve"> </w:t>
      </w:r>
      <w:r w:rsidR="00514CCA">
        <w:rPr>
          <w:lang w:val="en-US"/>
        </w:rPr>
        <w:t xml:space="preserve">road </w:t>
      </w:r>
      <w:r w:rsidR="0099778D">
        <w:rPr>
          <w:lang w:val="en-US"/>
        </w:rPr>
        <w:t xml:space="preserve">vehicle type approval </w:t>
      </w:r>
      <w:r w:rsidR="006857F0">
        <w:rPr>
          <w:lang w:val="en-US"/>
        </w:rPr>
        <w:t>holders</w:t>
      </w:r>
    </w:p>
    <w:p w14:paraId="32303AE1" w14:textId="77777777" w:rsidR="00816E52" w:rsidRPr="00C436D2" w:rsidRDefault="00816E52" w:rsidP="00FA4CCA">
      <w:pPr>
        <w:pStyle w:val="Bullet1"/>
        <w:keepNext/>
      </w:pPr>
      <w:r>
        <w:rPr>
          <w:lang w:val="en-US"/>
        </w:rPr>
        <w:t>providing education and assistance to correct any misunderstandings or errors</w:t>
      </w:r>
    </w:p>
    <w:p w14:paraId="7F4F8813" w14:textId="77777777" w:rsidR="00816E52" w:rsidRDefault="00816E52" w:rsidP="00816E52">
      <w:pPr>
        <w:pStyle w:val="Bullet1"/>
        <w:rPr>
          <w:lang w:val="en-US"/>
        </w:rPr>
      </w:pPr>
      <w:proofErr w:type="gramStart"/>
      <w:r w:rsidRPr="00AB5EDE">
        <w:rPr>
          <w:lang w:val="en-US"/>
        </w:rPr>
        <w:t>where</w:t>
      </w:r>
      <w:proofErr w:type="gramEnd"/>
      <w:r w:rsidRPr="00AB5EDE">
        <w:rPr>
          <w:lang w:val="en-US"/>
        </w:rPr>
        <w:t xml:space="preserve"> we believe</w:t>
      </w:r>
      <w:r w:rsidR="002C7AE6">
        <w:rPr>
          <w:lang w:val="en-US"/>
        </w:rPr>
        <w:t xml:space="preserve"> the opt-in arrangement ha</w:t>
      </w:r>
      <w:r w:rsidR="000961B1">
        <w:rPr>
          <w:lang w:val="en-US"/>
        </w:rPr>
        <w:t>s</w:t>
      </w:r>
      <w:r w:rsidR="002C7AE6">
        <w:rPr>
          <w:lang w:val="en-US"/>
        </w:rPr>
        <w:t xml:space="preserve"> been taken advantage of on </w:t>
      </w:r>
      <w:r w:rsidR="000961B1">
        <w:rPr>
          <w:lang w:val="en-US"/>
        </w:rPr>
        <w:t xml:space="preserve">a </w:t>
      </w:r>
      <w:r w:rsidRPr="00AB5EDE">
        <w:rPr>
          <w:lang w:val="en-US"/>
        </w:rPr>
        <w:t xml:space="preserve">false or misleading </w:t>
      </w:r>
      <w:r w:rsidR="002C7AE6">
        <w:rPr>
          <w:lang w:val="en-US"/>
        </w:rPr>
        <w:t>basis, such as where the individual or</w:t>
      </w:r>
      <w:r w:rsidR="006857F0">
        <w:rPr>
          <w:lang w:val="en-US"/>
        </w:rPr>
        <w:t xml:space="preserve"> company knowingly cannot comply with their </w:t>
      </w:r>
      <w:r w:rsidR="002C7AE6">
        <w:rPr>
          <w:lang w:val="en-US"/>
        </w:rPr>
        <w:t xml:space="preserve">conditions of approval, </w:t>
      </w:r>
      <w:r w:rsidRPr="00AB5EDE">
        <w:rPr>
          <w:lang w:val="en-US"/>
        </w:rPr>
        <w:t xml:space="preserve">we will apply appropriate enforcement responses to deter </w:t>
      </w:r>
      <w:r w:rsidR="006857F0">
        <w:rPr>
          <w:lang w:val="en-US"/>
        </w:rPr>
        <w:t xml:space="preserve">the </w:t>
      </w:r>
      <w:r w:rsidRPr="00AB5EDE">
        <w:rPr>
          <w:lang w:val="en-US"/>
        </w:rPr>
        <w:t>behavior</w:t>
      </w:r>
      <w:r w:rsidR="0099778D">
        <w:rPr>
          <w:lang w:val="en-US"/>
        </w:rPr>
        <w:t>.</w:t>
      </w:r>
    </w:p>
    <w:p w14:paraId="292445E7" w14:textId="49E0F117" w:rsidR="002C7AE6" w:rsidRDefault="006857F0" w:rsidP="00C9157A">
      <w:pPr>
        <w:rPr>
          <w:lang w:val="en-US"/>
        </w:rPr>
      </w:pPr>
      <w:r>
        <w:rPr>
          <w:lang w:val="en-US"/>
        </w:rPr>
        <w:t xml:space="preserve">In particular, we will focus our efforts </w:t>
      </w:r>
      <w:proofErr w:type="gramStart"/>
      <w:r>
        <w:rPr>
          <w:lang w:val="en-US"/>
        </w:rPr>
        <w:t>on</w:t>
      </w:r>
      <w:r w:rsidR="002C7AE6">
        <w:rPr>
          <w:lang w:val="en-US"/>
        </w:rPr>
        <w:t xml:space="preserve"> </w:t>
      </w:r>
      <w:r w:rsidR="00E20B81">
        <w:rPr>
          <w:lang w:val="en-US"/>
        </w:rPr>
        <w:t xml:space="preserve"> providers</w:t>
      </w:r>
      <w:proofErr w:type="gramEnd"/>
      <w:r w:rsidR="002C7AE6">
        <w:rPr>
          <w:lang w:val="en-US"/>
        </w:rPr>
        <w:t xml:space="preserve"> </w:t>
      </w:r>
      <w:r w:rsidR="000961B1">
        <w:rPr>
          <w:lang w:val="en-US"/>
        </w:rPr>
        <w:t xml:space="preserve">that </w:t>
      </w:r>
      <w:r>
        <w:rPr>
          <w:lang w:val="en-US"/>
        </w:rPr>
        <w:t xml:space="preserve">have </w:t>
      </w:r>
      <w:r w:rsidR="000961B1">
        <w:rPr>
          <w:lang w:val="en-US"/>
        </w:rPr>
        <w:t>opt</w:t>
      </w:r>
      <w:r>
        <w:rPr>
          <w:lang w:val="en-US"/>
        </w:rPr>
        <w:t xml:space="preserve">ed </w:t>
      </w:r>
      <w:r w:rsidR="000961B1">
        <w:rPr>
          <w:lang w:val="en-US"/>
        </w:rPr>
        <w:t xml:space="preserve">in </w:t>
      </w:r>
      <w:r>
        <w:rPr>
          <w:lang w:val="en-US"/>
        </w:rPr>
        <w:t>as</w:t>
      </w:r>
      <w:r w:rsidR="000961B1">
        <w:rPr>
          <w:lang w:val="en-US"/>
        </w:rPr>
        <w:t xml:space="preserve"> </w:t>
      </w:r>
      <w:r w:rsidR="00514CCA">
        <w:rPr>
          <w:lang w:val="en-US"/>
        </w:rPr>
        <w:t xml:space="preserve">road </w:t>
      </w:r>
      <w:r w:rsidR="0099778D">
        <w:rPr>
          <w:lang w:val="en-US"/>
        </w:rPr>
        <w:t xml:space="preserve">vehicle type approval </w:t>
      </w:r>
      <w:r>
        <w:rPr>
          <w:lang w:val="en-US"/>
        </w:rPr>
        <w:t xml:space="preserve">holders </w:t>
      </w:r>
      <w:r w:rsidR="002C7AE6">
        <w:rPr>
          <w:lang w:val="en-US"/>
        </w:rPr>
        <w:t>for:</w:t>
      </w:r>
    </w:p>
    <w:p w14:paraId="6F9A7247" w14:textId="558DEED9" w:rsidR="002C7AE6" w:rsidRPr="00C9157A" w:rsidRDefault="0099778D" w:rsidP="002C7AE6">
      <w:pPr>
        <w:pStyle w:val="Bullet1"/>
      </w:pPr>
      <w:r>
        <w:rPr>
          <w:lang w:val="en-US"/>
        </w:rPr>
        <w:t xml:space="preserve">high ATM </w:t>
      </w:r>
      <w:r w:rsidR="002C7AE6">
        <w:rPr>
          <w:lang w:val="en-US"/>
        </w:rPr>
        <w:t>trailers</w:t>
      </w:r>
      <w:r w:rsidR="00F06071">
        <w:rPr>
          <w:lang w:val="en-US"/>
        </w:rPr>
        <w:t xml:space="preserve"> (previously called heavy trailers, those with an ATM greater than 4500 kg)</w:t>
      </w:r>
    </w:p>
    <w:p w14:paraId="131EF2F3" w14:textId="68FE142D" w:rsidR="002C7AE6" w:rsidRPr="00C9157A" w:rsidRDefault="006857F0" w:rsidP="002C7AE6">
      <w:pPr>
        <w:pStyle w:val="Bullet1"/>
      </w:pPr>
      <w:r>
        <w:rPr>
          <w:lang w:val="en-US"/>
        </w:rPr>
        <w:t xml:space="preserve">situations where </w:t>
      </w:r>
      <w:r w:rsidR="00E20B81">
        <w:rPr>
          <w:lang w:val="en-US"/>
        </w:rPr>
        <w:t xml:space="preserve">a </w:t>
      </w:r>
      <w:r w:rsidR="0085770C">
        <w:rPr>
          <w:lang w:val="en-US"/>
        </w:rPr>
        <w:t xml:space="preserve">road </w:t>
      </w:r>
      <w:r w:rsidR="00D42BD1">
        <w:rPr>
          <w:lang w:val="en-US"/>
        </w:rPr>
        <w:t>vehicle type approval</w:t>
      </w:r>
      <w:r w:rsidR="00E20B81">
        <w:rPr>
          <w:lang w:val="en-US"/>
        </w:rPr>
        <w:t xml:space="preserve"> </w:t>
      </w:r>
      <w:r w:rsidR="002C7AE6">
        <w:rPr>
          <w:lang w:val="en-US"/>
        </w:rPr>
        <w:t>holder</w:t>
      </w:r>
      <w:r>
        <w:rPr>
          <w:lang w:val="en-US"/>
        </w:rPr>
        <w:t xml:space="preserve"> may not</w:t>
      </w:r>
      <w:r w:rsidR="002C7AE6">
        <w:rPr>
          <w:lang w:val="en-US"/>
        </w:rPr>
        <w:t xml:space="preserve"> have a strong connection to the design or manufacture of the vehicles</w:t>
      </w:r>
      <w:r>
        <w:rPr>
          <w:lang w:val="en-US"/>
        </w:rPr>
        <w:t xml:space="preserve"> </w:t>
      </w:r>
      <w:r w:rsidR="00E20B81">
        <w:rPr>
          <w:lang w:val="en-US"/>
        </w:rPr>
        <w:t xml:space="preserve"> they are seeking to </w:t>
      </w:r>
      <w:r w:rsidR="00CB4460">
        <w:rPr>
          <w:lang w:val="en-US"/>
        </w:rPr>
        <w:t>provide to the</w:t>
      </w:r>
      <w:r w:rsidR="00E20B81">
        <w:rPr>
          <w:lang w:val="en-US"/>
        </w:rPr>
        <w:t xml:space="preserve"> Australia</w:t>
      </w:r>
      <w:r w:rsidR="00CB4460">
        <w:rPr>
          <w:lang w:val="en-US"/>
        </w:rPr>
        <w:t>n market</w:t>
      </w:r>
      <w:r w:rsidR="002C7AE6">
        <w:rPr>
          <w:lang w:val="en-US"/>
        </w:rPr>
        <w:t>, such as</w:t>
      </w:r>
      <w:r w:rsidR="0085770C">
        <w:rPr>
          <w:lang w:val="en-US"/>
        </w:rPr>
        <w:t xml:space="preserve"> road</w:t>
      </w:r>
      <w:r w:rsidR="00E20B81">
        <w:rPr>
          <w:lang w:val="en-US"/>
        </w:rPr>
        <w:t xml:space="preserve"> </w:t>
      </w:r>
      <w:r w:rsidR="00D42BD1">
        <w:rPr>
          <w:lang w:val="en-US"/>
        </w:rPr>
        <w:t>vehicle type approval</w:t>
      </w:r>
      <w:r w:rsidR="00E20B81">
        <w:rPr>
          <w:lang w:val="en-US"/>
        </w:rPr>
        <w:t xml:space="preserve"> holders importing</w:t>
      </w:r>
      <w:r>
        <w:rPr>
          <w:lang w:val="en-US"/>
        </w:rPr>
        <w:t>:</w:t>
      </w:r>
    </w:p>
    <w:p w14:paraId="255B1026" w14:textId="1A273CFA" w:rsidR="002C7AE6" w:rsidRPr="00C9157A" w:rsidRDefault="000961B1" w:rsidP="00C9157A">
      <w:pPr>
        <w:pStyle w:val="Bullet2"/>
      </w:pPr>
      <w:r>
        <w:rPr>
          <w:lang w:val="en-US"/>
        </w:rPr>
        <w:t>motorcycles</w:t>
      </w:r>
      <w:r w:rsidR="002C7AE6">
        <w:rPr>
          <w:lang w:val="en-US"/>
        </w:rPr>
        <w:t xml:space="preserve"> from multiple different </w:t>
      </w:r>
      <w:r>
        <w:rPr>
          <w:lang w:val="en-US"/>
        </w:rPr>
        <w:t>independent</w:t>
      </w:r>
      <w:r w:rsidR="002C7AE6">
        <w:rPr>
          <w:lang w:val="en-US"/>
        </w:rPr>
        <w:t xml:space="preserve"> </w:t>
      </w:r>
      <w:r w:rsidR="006857F0">
        <w:rPr>
          <w:lang w:val="en-US"/>
        </w:rPr>
        <w:t xml:space="preserve">overseas </w:t>
      </w:r>
      <w:r w:rsidR="002C7AE6">
        <w:rPr>
          <w:lang w:val="en-US"/>
        </w:rPr>
        <w:t>factories</w:t>
      </w:r>
    </w:p>
    <w:p w14:paraId="31873A4D" w14:textId="36009F95" w:rsidR="002C7AE6" w:rsidRDefault="002C7AE6" w:rsidP="00C9157A">
      <w:pPr>
        <w:pStyle w:val="Bullet2"/>
      </w:pPr>
      <w:proofErr w:type="gramStart"/>
      <w:r>
        <w:rPr>
          <w:lang w:val="en-US"/>
        </w:rPr>
        <w:t>left</w:t>
      </w:r>
      <w:proofErr w:type="gramEnd"/>
      <w:r>
        <w:rPr>
          <w:lang w:val="en-US"/>
        </w:rPr>
        <w:t xml:space="preserve"> hand drive vehicles and converting them to right hand drive</w:t>
      </w:r>
      <w:r w:rsidR="0099778D">
        <w:rPr>
          <w:lang w:val="en-US"/>
        </w:rPr>
        <w:t>.</w:t>
      </w:r>
    </w:p>
    <w:p w14:paraId="2BD4742A" w14:textId="3C082357" w:rsidR="00816E52" w:rsidRPr="009118D2" w:rsidRDefault="00816E52" w:rsidP="00C9157A">
      <w:pPr>
        <w:rPr>
          <w:lang w:val="en-US"/>
        </w:rPr>
      </w:pPr>
      <w:r>
        <w:rPr>
          <w:lang w:val="en-US"/>
        </w:rPr>
        <w:t xml:space="preserve">More information on the opt-in arrangements can be found on our website </w:t>
      </w:r>
      <w:hyperlink r:id="rId17" w:history="1">
        <w:r w:rsidRPr="007760F8">
          <w:rPr>
            <w:rStyle w:val="Hyperlink"/>
            <w:lang w:val="en-US"/>
          </w:rPr>
          <w:t>https://www.infrastructure.gov.au/vehicles/rvs/vehicle-type-approvals/opt-in-arrangements.aspx</w:t>
        </w:r>
      </w:hyperlink>
      <w:r>
        <w:rPr>
          <w:lang w:val="en-US"/>
        </w:rPr>
        <w:t xml:space="preserve">. </w:t>
      </w:r>
    </w:p>
    <w:p w14:paraId="10794115" w14:textId="2957FCF2" w:rsidR="0060402D" w:rsidRDefault="006857F0" w:rsidP="00C9157A">
      <w:pPr>
        <w:pStyle w:val="Heading3"/>
        <w:rPr>
          <w:lang w:val="en-US"/>
        </w:rPr>
      </w:pPr>
      <w:r>
        <w:rPr>
          <w:lang w:val="en-US"/>
        </w:rPr>
        <w:t>Declaration based app</w:t>
      </w:r>
      <w:r w:rsidR="004C36E7">
        <w:rPr>
          <w:lang w:val="en-US"/>
        </w:rPr>
        <w:t>lications</w:t>
      </w:r>
    </w:p>
    <w:p w14:paraId="16C28398" w14:textId="43EC697C" w:rsidR="004C36E7" w:rsidRDefault="004C36E7" w:rsidP="00C9157A">
      <w:pPr>
        <w:keepLines/>
        <w:rPr>
          <w:lang w:val="en-US"/>
        </w:rPr>
      </w:pPr>
      <w:r>
        <w:rPr>
          <w:lang w:val="en-US"/>
        </w:rPr>
        <w:t xml:space="preserve">Alongside the new RVS legislation, we have been modernising our regulatory </w:t>
      </w:r>
      <w:r w:rsidR="00B012BB">
        <w:rPr>
          <w:lang w:val="en-US"/>
        </w:rPr>
        <w:t xml:space="preserve">processes and </w:t>
      </w:r>
      <w:r>
        <w:rPr>
          <w:lang w:val="en-US"/>
        </w:rPr>
        <w:t>practices. This includes how we receive and assess applications to reasonably account for risk while minimising the time and cost for the applicant. For low</w:t>
      </w:r>
      <w:r w:rsidR="000961B1">
        <w:rPr>
          <w:lang w:val="en-US"/>
        </w:rPr>
        <w:t>-</w:t>
      </w:r>
      <w:r>
        <w:rPr>
          <w:lang w:val="en-US"/>
        </w:rPr>
        <w:t>risk applications, we are beginning to use declarations</w:t>
      </w:r>
      <w:r w:rsidR="000961B1">
        <w:rPr>
          <w:lang w:val="en-US"/>
        </w:rPr>
        <w:t xml:space="preserve"> from the applicant, </w:t>
      </w:r>
      <w:r>
        <w:rPr>
          <w:lang w:val="en-US"/>
        </w:rPr>
        <w:t xml:space="preserve">rather than </w:t>
      </w:r>
      <w:r w:rsidR="000961B1">
        <w:rPr>
          <w:lang w:val="en-US"/>
        </w:rPr>
        <w:t xml:space="preserve">the </w:t>
      </w:r>
      <w:r>
        <w:rPr>
          <w:lang w:val="en-US"/>
        </w:rPr>
        <w:t>requir</w:t>
      </w:r>
      <w:r w:rsidR="000961B1">
        <w:rPr>
          <w:lang w:val="en-US"/>
        </w:rPr>
        <w:t xml:space="preserve">ement to provide </w:t>
      </w:r>
      <w:r>
        <w:rPr>
          <w:lang w:val="en-US"/>
        </w:rPr>
        <w:t xml:space="preserve">detailed </w:t>
      </w:r>
      <w:r w:rsidR="0099778D">
        <w:rPr>
          <w:lang w:val="en-US"/>
        </w:rPr>
        <w:t xml:space="preserve">compliance information </w:t>
      </w:r>
      <w:r w:rsidR="000961B1">
        <w:rPr>
          <w:lang w:val="en-US"/>
        </w:rPr>
        <w:t xml:space="preserve">to support every new application. </w:t>
      </w:r>
      <w:r>
        <w:rPr>
          <w:lang w:val="en-US"/>
        </w:rPr>
        <w:t xml:space="preserve"> </w:t>
      </w:r>
    </w:p>
    <w:p w14:paraId="3F3F2434" w14:textId="77777777" w:rsidR="004C36E7" w:rsidRDefault="004C36E7" w:rsidP="00C9157A">
      <w:pPr>
        <w:rPr>
          <w:lang w:val="en-US"/>
        </w:rPr>
      </w:pPr>
      <w:r>
        <w:rPr>
          <w:lang w:val="en-US"/>
        </w:rPr>
        <w:t>This approach only works where applications are true and correct, and</w:t>
      </w:r>
      <w:r w:rsidR="00E20CD4">
        <w:rPr>
          <w:lang w:val="en-US"/>
        </w:rPr>
        <w:t xml:space="preserve"> are</w:t>
      </w:r>
      <w:r>
        <w:rPr>
          <w:lang w:val="en-US"/>
        </w:rPr>
        <w:t xml:space="preserve"> supported by appropriate monitoring to detect where declarations have not been made correctly.</w:t>
      </w:r>
      <w:r w:rsidR="00AB5EDE">
        <w:rPr>
          <w:lang w:val="en-US"/>
        </w:rPr>
        <w:t xml:space="preserve"> Incorrectly made applications could occur due to misunderstanding</w:t>
      </w:r>
      <w:r w:rsidR="000961B1">
        <w:rPr>
          <w:lang w:val="en-US"/>
        </w:rPr>
        <w:t xml:space="preserve"> of the requirements</w:t>
      </w:r>
      <w:r w:rsidR="00AB5EDE">
        <w:rPr>
          <w:lang w:val="en-US"/>
        </w:rPr>
        <w:t xml:space="preserve">, opportunistic behavior, or due to an </w:t>
      </w:r>
      <w:r w:rsidR="000961B1">
        <w:rPr>
          <w:lang w:val="en-US"/>
        </w:rPr>
        <w:t>intentional</w:t>
      </w:r>
      <w:r w:rsidR="00AB5EDE">
        <w:rPr>
          <w:lang w:val="en-US"/>
        </w:rPr>
        <w:t xml:space="preserve"> disregard for the law. </w:t>
      </w:r>
    </w:p>
    <w:p w14:paraId="745CAB64" w14:textId="294FE3A9" w:rsidR="00AB5EDE" w:rsidRDefault="00AB5EDE" w:rsidP="00C9157A">
      <w:pPr>
        <w:rPr>
          <w:lang w:val="en-US"/>
        </w:rPr>
      </w:pPr>
      <w:r>
        <w:rPr>
          <w:lang w:val="en-US"/>
        </w:rPr>
        <w:t xml:space="preserve">We will monitor </w:t>
      </w:r>
      <w:r w:rsidR="00B012BB">
        <w:rPr>
          <w:lang w:val="en-US"/>
        </w:rPr>
        <w:t xml:space="preserve">the </w:t>
      </w:r>
      <w:r>
        <w:rPr>
          <w:lang w:val="en-US"/>
        </w:rPr>
        <w:t xml:space="preserve">compliance </w:t>
      </w:r>
      <w:r w:rsidR="00B012BB">
        <w:rPr>
          <w:lang w:val="en-US"/>
        </w:rPr>
        <w:t>of</w:t>
      </w:r>
      <w:r>
        <w:rPr>
          <w:lang w:val="en-US"/>
        </w:rPr>
        <w:t xml:space="preserve"> approvals granted on the basis of declarations by</w:t>
      </w:r>
      <w:r w:rsidR="008F23BB">
        <w:rPr>
          <w:lang w:val="en-US"/>
        </w:rPr>
        <w:t>:</w:t>
      </w:r>
    </w:p>
    <w:p w14:paraId="222806A1" w14:textId="77777777" w:rsidR="00AB5EDE" w:rsidRPr="00C9157A" w:rsidRDefault="00AB5EDE" w:rsidP="00AB5EDE">
      <w:pPr>
        <w:pStyle w:val="Bullet1"/>
      </w:pPr>
      <w:r>
        <w:rPr>
          <w:lang w:val="en-US"/>
        </w:rPr>
        <w:t>seeking information from approval holders to confirm they were eligible for the approval they were granted</w:t>
      </w:r>
    </w:p>
    <w:p w14:paraId="74930628" w14:textId="77777777" w:rsidR="00AB5EDE" w:rsidRPr="00C9157A" w:rsidRDefault="00AB5EDE" w:rsidP="00AB5EDE">
      <w:pPr>
        <w:pStyle w:val="Bullet1"/>
      </w:pPr>
      <w:r>
        <w:rPr>
          <w:lang w:val="en-US"/>
        </w:rPr>
        <w:t>providing education and assistance to correct any misunderstandings or errors</w:t>
      </w:r>
    </w:p>
    <w:p w14:paraId="47602B29" w14:textId="61E8569E" w:rsidR="004C36E7" w:rsidRDefault="00B012BB" w:rsidP="00AB5EDE">
      <w:pPr>
        <w:pStyle w:val="Bullet1"/>
        <w:rPr>
          <w:lang w:val="en-US"/>
        </w:rPr>
      </w:pPr>
      <w:r>
        <w:rPr>
          <w:lang w:val="en-US"/>
        </w:rPr>
        <w:t xml:space="preserve">applying appropriate enforcement responses </w:t>
      </w:r>
      <w:r w:rsidR="00AB5EDE" w:rsidRPr="00AB5EDE">
        <w:rPr>
          <w:lang w:val="en-US"/>
        </w:rPr>
        <w:t xml:space="preserve">where we </w:t>
      </w:r>
      <w:r w:rsidR="00263BAD">
        <w:rPr>
          <w:lang w:val="en-US"/>
        </w:rPr>
        <w:t>consider</w:t>
      </w:r>
      <w:r w:rsidR="00AB5EDE" w:rsidRPr="00AB5EDE">
        <w:rPr>
          <w:lang w:val="en-US"/>
        </w:rPr>
        <w:t xml:space="preserve"> approvals have been granted based on false or misleading information or declarations</w:t>
      </w:r>
      <w:r w:rsidR="000961B1">
        <w:rPr>
          <w:lang w:val="en-US"/>
        </w:rPr>
        <w:t>,</w:t>
      </w:r>
      <w:r>
        <w:rPr>
          <w:lang w:val="en-US"/>
        </w:rPr>
        <w:t xml:space="preserve"> to</w:t>
      </w:r>
      <w:r w:rsidR="00AB5EDE" w:rsidRPr="00AB5EDE">
        <w:rPr>
          <w:lang w:val="en-US"/>
        </w:rPr>
        <w:t xml:space="preserve"> deter similar behavior in the future</w:t>
      </w:r>
    </w:p>
    <w:p w14:paraId="4F649CD5" w14:textId="77777777" w:rsidR="00E9589A" w:rsidRPr="00E9589A" w:rsidRDefault="00E9589A" w:rsidP="00E9589A">
      <w:pPr>
        <w:pStyle w:val="Heading2"/>
        <w:rPr>
          <w:lang w:val="en-US"/>
        </w:rPr>
      </w:pPr>
      <w:bookmarkStart w:id="26" w:name="_Toc75440297"/>
      <w:bookmarkEnd w:id="21"/>
      <w:r w:rsidRPr="00E9589A">
        <w:rPr>
          <w:lang w:val="en-US"/>
        </w:rPr>
        <w:t>Other key activities</w:t>
      </w:r>
      <w:bookmarkEnd w:id="26"/>
    </w:p>
    <w:p w14:paraId="61E18885" w14:textId="787A8FBC" w:rsidR="00885089" w:rsidRPr="00C9157A" w:rsidRDefault="008940ED" w:rsidP="00C9157A">
      <w:pPr>
        <w:pStyle w:val="Heading3"/>
      </w:pPr>
      <w:bookmarkStart w:id="27" w:name="_Toc67317808"/>
      <w:r w:rsidRPr="00C9157A">
        <w:t>T</w:t>
      </w:r>
      <w:r>
        <w:t>argeted</w:t>
      </w:r>
      <w:r w:rsidR="00356D78" w:rsidRPr="00C9157A">
        <w:t xml:space="preserve"> </w:t>
      </w:r>
      <w:r w:rsidR="00885089" w:rsidRPr="00C9157A">
        <w:t>compliance</w:t>
      </w:r>
      <w:bookmarkEnd w:id="27"/>
      <w:r w:rsidR="00356D78" w:rsidRPr="00C9157A">
        <w:t xml:space="preserve"> </w:t>
      </w:r>
      <w:r w:rsidR="00263BAD">
        <w:t>activities</w:t>
      </w:r>
    </w:p>
    <w:p w14:paraId="243F3ACC" w14:textId="0D7816F4" w:rsidR="00885089" w:rsidRPr="00885089" w:rsidRDefault="00885089" w:rsidP="00C9157A">
      <w:pPr>
        <w:rPr>
          <w:lang w:val="en-US"/>
        </w:rPr>
      </w:pPr>
      <w:r w:rsidRPr="00885089">
        <w:rPr>
          <w:lang w:val="en-US"/>
        </w:rPr>
        <w:t xml:space="preserve">We will undertake </w:t>
      </w:r>
      <w:r w:rsidR="005F0C0C">
        <w:rPr>
          <w:lang w:val="en-US"/>
        </w:rPr>
        <w:t xml:space="preserve">a program of </w:t>
      </w:r>
      <w:r w:rsidR="008940ED">
        <w:rPr>
          <w:lang w:val="en-US"/>
        </w:rPr>
        <w:t>targeted</w:t>
      </w:r>
      <w:r w:rsidR="00356D78">
        <w:rPr>
          <w:lang w:val="en-US"/>
        </w:rPr>
        <w:t xml:space="preserve"> </w:t>
      </w:r>
      <w:r w:rsidRPr="00885089">
        <w:rPr>
          <w:lang w:val="en-US"/>
        </w:rPr>
        <w:t xml:space="preserve">compliance activities. </w:t>
      </w:r>
      <w:r w:rsidR="00356D78">
        <w:rPr>
          <w:lang w:val="en-US"/>
        </w:rPr>
        <w:t>Our r</w:t>
      </w:r>
      <w:r w:rsidRPr="00885089">
        <w:rPr>
          <w:lang w:val="en-US"/>
        </w:rPr>
        <w:t xml:space="preserve">esources will be directed to areas </w:t>
      </w:r>
      <w:r w:rsidR="00356D78">
        <w:rPr>
          <w:lang w:val="en-US"/>
        </w:rPr>
        <w:t xml:space="preserve">determined to be </w:t>
      </w:r>
      <w:r w:rsidRPr="00885089">
        <w:rPr>
          <w:lang w:val="en-US"/>
        </w:rPr>
        <w:t xml:space="preserve">highest risk, </w:t>
      </w:r>
      <w:r w:rsidR="00263BAD">
        <w:rPr>
          <w:lang w:val="en-US"/>
        </w:rPr>
        <w:t>with</w:t>
      </w:r>
      <w:r w:rsidR="007C16AB">
        <w:rPr>
          <w:lang w:val="en-US"/>
        </w:rPr>
        <w:t xml:space="preserve"> </w:t>
      </w:r>
      <w:r w:rsidRPr="00885089">
        <w:rPr>
          <w:lang w:val="en-US"/>
        </w:rPr>
        <w:t xml:space="preserve">our compliance interactions with regulated entities </w:t>
      </w:r>
      <w:r w:rsidR="00263BAD">
        <w:rPr>
          <w:lang w:val="en-US"/>
        </w:rPr>
        <w:t>balanced against tho</w:t>
      </w:r>
      <w:r w:rsidRPr="00885089">
        <w:rPr>
          <w:lang w:val="en-US"/>
        </w:rPr>
        <w:t>se risks</w:t>
      </w:r>
      <w:r w:rsidR="00356D78">
        <w:rPr>
          <w:lang w:val="en-US"/>
        </w:rPr>
        <w:t>. W</w:t>
      </w:r>
      <w:r w:rsidRPr="00885089">
        <w:rPr>
          <w:lang w:val="en-US"/>
        </w:rPr>
        <w:t xml:space="preserve">e will </w:t>
      </w:r>
      <w:r w:rsidR="00356D78">
        <w:rPr>
          <w:lang w:val="en-US"/>
        </w:rPr>
        <w:t xml:space="preserve">also </w:t>
      </w:r>
      <w:r w:rsidRPr="00885089">
        <w:rPr>
          <w:lang w:val="en-US"/>
        </w:rPr>
        <w:t xml:space="preserve">respond to </w:t>
      </w:r>
      <w:r w:rsidR="00356D78">
        <w:rPr>
          <w:lang w:val="en-US"/>
        </w:rPr>
        <w:t xml:space="preserve">rapidly </w:t>
      </w:r>
      <w:r w:rsidRPr="00885089">
        <w:rPr>
          <w:lang w:val="en-US"/>
        </w:rPr>
        <w:t xml:space="preserve">changing </w:t>
      </w:r>
      <w:r w:rsidR="00356D78">
        <w:rPr>
          <w:lang w:val="en-US"/>
        </w:rPr>
        <w:t>or</w:t>
      </w:r>
      <w:r w:rsidRPr="00885089">
        <w:rPr>
          <w:lang w:val="en-US"/>
        </w:rPr>
        <w:t xml:space="preserve"> emerging risks.</w:t>
      </w:r>
    </w:p>
    <w:p w14:paraId="28BF6DD7" w14:textId="3AC57036" w:rsidR="00693925" w:rsidRDefault="00693925" w:rsidP="00C9157A">
      <w:pPr>
        <w:keepNext/>
        <w:rPr>
          <w:lang w:val="en-US"/>
        </w:rPr>
      </w:pPr>
      <w:r w:rsidRPr="00885089">
        <w:rPr>
          <w:lang w:val="en-US"/>
        </w:rPr>
        <w:t xml:space="preserve">We will consider a </w:t>
      </w:r>
      <w:r w:rsidR="008573FD">
        <w:rPr>
          <w:lang w:val="en-US"/>
        </w:rPr>
        <w:t>range</w:t>
      </w:r>
      <w:r w:rsidRPr="00885089">
        <w:rPr>
          <w:lang w:val="en-US"/>
        </w:rPr>
        <w:t xml:space="preserve"> of factors when identifying </w:t>
      </w:r>
      <w:r w:rsidR="00263BAD">
        <w:rPr>
          <w:lang w:val="en-US"/>
        </w:rPr>
        <w:t xml:space="preserve">and programming our </w:t>
      </w:r>
      <w:r w:rsidR="008940ED">
        <w:rPr>
          <w:lang w:val="en-US"/>
        </w:rPr>
        <w:t>targeted</w:t>
      </w:r>
      <w:r w:rsidRPr="00885089">
        <w:rPr>
          <w:lang w:val="en-US"/>
        </w:rPr>
        <w:t xml:space="preserve"> compliance activities</w:t>
      </w:r>
      <w:r w:rsidR="00D049DA">
        <w:rPr>
          <w:lang w:val="en-US"/>
        </w:rPr>
        <w:t xml:space="preserve"> including</w:t>
      </w:r>
      <w:r w:rsidRPr="00885089">
        <w:rPr>
          <w:lang w:val="en-US"/>
        </w:rPr>
        <w:t>:</w:t>
      </w:r>
    </w:p>
    <w:p w14:paraId="52E5A0C1" w14:textId="77777777" w:rsidR="00693925" w:rsidRPr="00885089" w:rsidRDefault="00693925" w:rsidP="00C9157A">
      <w:pPr>
        <w:pStyle w:val="Bullet1"/>
      </w:pPr>
      <w:r w:rsidRPr="00885089">
        <w:t xml:space="preserve">outcomes </w:t>
      </w:r>
      <w:r w:rsidR="00263BAD">
        <w:rPr>
          <w:lang w:val="en-US"/>
        </w:rPr>
        <w:t>of</w:t>
      </w:r>
      <w:r w:rsidRPr="00885089">
        <w:t xml:space="preserve"> previous compliance activities</w:t>
      </w:r>
    </w:p>
    <w:p w14:paraId="4E54E92C" w14:textId="77777777" w:rsidR="00693925" w:rsidRPr="00885089" w:rsidRDefault="00263BAD" w:rsidP="00C9157A">
      <w:pPr>
        <w:pStyle w:val="Bullet1"/>
      </w:pPr>
      <w:r>
        <w:rPr>
          <w:lang w:val="en-US"/>
        </w:rPr>
        <w:t xml:space="preserve">compliance </w:t>
      </w:r>
      <w:r w:rsidR="00693925" w:rsidRPr="00885089">
        <w:t xml:space="preserve">trends in </w:t>
      </w:r>
      <w:r>
        <w:rPr>
          <w:lang w:val="en-US"/>
        </w:rPr>
        <w:t xml:space="preserve">received </w:t>
      </w:r>
      <w:r w:rsidR="00693925" w:rsidRPr="00885089">
        <w:t>applications</w:t>
      </w:r>
    </w:p>
    <w:p w14:paraId="2A822DC1" w14:textId="77777777" w:rsidR="00693925" w:rsidRPr="00885089" w:rsidRDefault="00263BAD" w:rsidP="00C9157A">
      <w:pPr>
        <w:pStyle w:val="Bullet1"/>
      </w:pPr>
      <w:r>
        <w:rPr>
          <w:lang w:val="en-US"/>
        </w:rPr>
        <w:t xml:space="preserve">compliance trends in </w:t>
      </w:r>
      <w:r w:rsidR="00693925" w:rsidRPr="00885089">
        <w:t>industry segment</w:t>
      </w:r>
      <w:r>
        <w:rPr>
          <w:lang w:val="en-US"/>
        </w:rPr>
        <w:t>s</w:t>
      </w:r>
    </w:p>
    <w:p w14:paraId="5F2206C0" w14:textId="77777777" w:rsidR="00693925" w:rsidRPr="00885089" w:rsidRDefault="00693925" w:rsidP="00C9157A">
      <w:pPr>
        <w:pStyle w:val="Bullet1"/>
      </w:pPr>
      <w:r w:rsidRPr="00885089">
        <w:t>referrals and information received from other government agencies, industry stakeholders and the general public</w:t>
      </w:r>
    </w:p>
    <w:p w14:paraId="3769D216" w14:textId="77777777" w:rsidR="00693925" w:rsidRPr="00885089" w:rsidRDefault="00263BAD" w:rsidP="00C9157A">
      <w:pPr>
        <w:pStyle w:val="Bullet1"/>
      </w:pPr>
      <w:r>
        <w:rPr>
          <w:lang w:val="en-US"/>
        </w:rPr>
        <w:t xml:space="preserve">industry </w:t>
      </w:r>
      <w:r w:rsidR="00693925" w:rsidRPr="00885089">
        <w:t>responsiveness to issues requiring a rectification and</w:t>
      </w:r>
      <w:r w:rsidR="00693925">
        <w:t>/or</w:t>
      </w:r>
      <w:r w:rsidR="00693925" w:rsidRPr="00885089">
        <w:t xml:space="preserve"> recall response</w:t>
      </w:r>
    </w:p>
    <w:p w14:paraId="71AD63C4" w14:textId="77777777" w:rsidR="00693925" w:rsidRPr="00885089" w:rsidRDefault="00693925" w:rsidP="00C9157A">
      <w:pPr>
        <w:pStyle w:val="Bullet1"/>
      </w:pPr>
      <w:r w:rsidRPr="00885089">
        <w:t>changes in the regulatory environment</w:t>
      </w:r>
    </w:p>
    <w:p w14:paraId="23D944E0" w14:textId="77777777" w:rsidR="00693925" w:rsidRPr="00885089" w:rsidRDefault="00693925" w:rsidP="00C9157A">
      <w:pPr>
        <w:pStyle w:val="Bullet1"/>
      </w:pPr>
      <w:r w:rsidRPr="00885089">
        <w:t>changes in industry practice and the commercial environment</w:t>
      </w:r>
    </w:p>
    <w:p w14:paraId="613403CA" w14:textId="77777777" w:rsidR="00693925" w:rsidRPr="00885089" w:rsidRDefault="00693925" w:rsidP="00C9157A">
      <w:pPr>
        <w:pStyle w:val="Bullet1"/>
      </w:pPr>
      <w:r w:rsidRPr="00885089">
        <w:t>changes in consumer priorities and behaviours</w:t>
      </w:r>
    </w:p>
    <w:p w14:paraId="695CFDA5" w14:textId="3FF9BA57" w:rsidR="008940ED" w:rsidRPr="00885089" w:rsidRDefault="00C1182A" w:rsidP="008940ED">
      <w:pPr>
        <w:pStyle w:val="Bullet1"/>
      </w:pPr>
      <w:r>
        <w:rPr>
          <w:lang w:val="en-US"/>
        </w:rPr>
        <w:t>available resources and operational capacity</w:t>
      </w:r>
    </w:p>
    <w:p w14:paraId="572A4613" w14:textId="046FAE28" w:rsidR="00A02614" w:rsidRPr="00885089" w:rsidRDefault="00A02614" w:rsidP="00C9157A">
      <w:r w:rsidRPr="00885089">
        <w:lastRenderedPageBreak/>
        <w:t xml:space="preserve">Complementing </w:t>
      </w:r>
      <w:r>
        <w:t>a</w:t>
      </w:r>
      <w:r w:rsidRPr="00885089">
        <w:t xml:space="preserve"> program of </w:t>
      </w:r>
      <w:r w:rsidR="00C1182A">
        <w:t>targeted</w:t>
      </w:r>
      <w:r>
        <w:t xml:space="preserve"> </w:t>
      </w:r>
      <w:r w:rsidRPr="00885089">
        <w:t xml:space="preserve">activities are </w:t>
      </w:r>
      <w:r w:rsidR="00C1182A">
        <w:t>responsive</w:t>
      </w:r>
      <w:r w:rsidRPr="00885089">
        <w:t xml:space="preserve"> compliance activities </w:t>
      </w:r>
      <w:r>
        <w:t xml:space="preserve">that </w:t>
      </w:r>
      <w:r w:rsidR="0076260C">
        <w:t xml:space="preserve">will be </w:t>
      </w:r>
      <w:r w:rsidRPr="00885089">
        <w:t xml:space="preserve">undertaken </w:t>
      </w:r>
      <w:r w:rsidR="00CF4200">
        <w:t>in response</w:t>
      </w:r>
      <w:r w:rsidRPr="00885089">
        <w:t xml:space="preserve"> to safety </w:t>
      </w:r>
      <w:r w:rsidR="00CF4200">
        <w:t xml:space="preserve">and / or non-compliance reports, </w:t>
      </w:r>
      <w:r w:rsidRPr="00885089">
        <w:t>or inspections</w:t>
      </w:r>
      <w:r w:rsidR="00CF4200">
        <w:t xml:space="preserve"> conducted as part of an application </w:t>
      </w:r>
      <w:r w:rsidRPr="00885089">
        <w:t>assessment.</w:t>
      </w:r>
    </w:p>
    <w:p w14:paraId="0BCF2577" w14:textId="7D9F1A90" w:rsidR="00A02614" w:rsidRDefault="00A02614" w:rsidP="00C9157A">
      <w:r>
        <w:t xml:space="preserve">Our </w:t>
      </w:r>
      <w:r w:rsidR="00C1182A">
        <w:t>targeted</w:t>
      </w:r>
      <w:r>
        <w:t xml:space="preserve"> activities will be</w:t>
      </w:r>
      <w:r w:rsidRPr="00885089">
        <w:t xml:space="preserve"> reviewed and evaluated </w:t>
      </w:r>
      <w:r>
        <w:t>periodically</w:t>
      </w:r>
      <w:r w:rsidRPr="00885089">
        <w:t xml:space="preserve"> to capture insights and outcomes from </w:t>
      </w:r>
      <w:r>
        <w:t xml:space="preserve">the </w:t>
      </w:r>
      <w:r w:rsidRPr="00885089">
        <w:t xml:space="preserve">activities, </w:t>
      </w:r>
      <w:r>
        <w:t>and any</w:t>
      </w:r>
      <w:r w:rsidRPr="00885089">
        <w:t xml:space="preserve"> changing risks and priorities</w:t>
      </w:r>
      <w:r>
        <w:t>.</w:t>
      </w:r>
    </w:p>
    <w:p w14:paraId="24DD028D" w14:textId="01F93D43" w:rsidR="009F7705" w:rsidRPr="00885089" w:rsidRDefault="009F7705" w:rsidP="009F7705">
      <w:r w:rsidRPr="00885089">
        <w:t xml:space="preserve">We will undertake </w:t>
      </w:r>
      <w:r w:rsidR="00CF4200">
        <w:t xml:space="preserve">desk top </w:t>
      </w:r>
      <w:r w:rsidRPr="00885089">
        <w:t>documentary assessments o</w:t>
      </w:r>
      <w:r>
        <w:t>f</w:t>
      </w:r>
      <w:r w:rsidRPr="00885089">
        <w:t xml:space="preserve"> regulated entities to assess whether or not they are complying with </w:t>
      </w:r>
      <w:r w:rsidR="005641FB">
        <w:t xml:space="preserve">relevant </w:t>
      </w:r>
      <w:r w:rsidR="0099778D">
        <w:t>standards</w:t>
      </w:r>
      <w:r w:rsidR="005641FB">
        <w:t>,</w:t>
      </w:r>
      <w:r w:rsidR="0099778D">
        <w:t xml:space="preserve"> </w:t>
      </w:r>
      <w:r>
        <w:t>conditions</w:t>
      </w:r>
      <w:r w:rsidRPr="00885089">
        <w:t xml:space="preserve"> of approval</w:t>
      </w:r>
      <w:r w:rsidR="00CF4200">
        <w:t xml:space="preserve"> and RVS legislation. </w:t>
      </w:r>
      <w:r w:rsidR="00CF4200" w:rsidRPr="00885089">
        <w:t xml:space="preserve">Documentary assessments </w:t>
      </w:r>
      <w:r w:rsidR="00CF4200">
        <w:t xml:space="preserve">check </w:t>
      </w:r>
      <w:r w:rsidR="00CF4200" w:rsidRPr="00885089">
        <w:t xml:space="preserve">the accuracy and veracity of an approval holder’s records and </w:t>
      </w:r>
      <w:r w:rsidR="00CF4200">
        <w:t>may be used</w:t>
      </w:r>
      <w:r w:rsidR="00CF4200" w:rsidRPr="00885089">
        <w:t xml:space="preserve"> to inform </w:t>
      </w:r>
      <w:r w:rsidR="00CF4200">
        <w:t xml:space="preserve">us </w:t>
      </w:r>
      <w:r w:rsidR="00CF4200" w:rsidRPr="00885089">
        <w:t xml:space="preserve">whether or not </w:t>
      </w:r>
      <w:r w:rsidR="00CF4200">
        <w:t xml:space="preserve">a </w:t>
      </w:r>
      <w:r w:rsidR="00CF4200" w:rsidRPr="00885089">
        <w:t>further</w:t>
      </w:r>
      <w:r w:rsidR="00CF4200">
        <w:t xml:space="preserve"> </w:t>
      </w:r>
      <w:r w:rsidR="00CF4200" w:rsidRPr="00885089">
        <w:t>compliance activity</w:t>
      </w:r>
      <w:r w:rsidR="00CF4200">
        <w:t>, such as a site inspection,</w:t>
      </w:r>
      <w:r w:rsidR="00CF4200" w:rsidRPr="00885089">
        <w:t xml:space="preserve"> is required.</w:t>
      </w:r>
    </w:p>
    <w:p w14:paraId="4DB7972A" w14:textId="77777777" w:rsidR="009F7705" w:rsidRPr="00885089" w:rsidRDefault="00CF4200" w:rsidP="009F7705">
      <w:pPr>
        <w:rPr>
          <w:rFonts w:ascii="Calibri" w:eastAsia="Calibri" w:hAnsi="Calibri" w:cs="Calibri"/>
          <w:color w:val="000000"/>
          <w:kern w:val="0"/>
        </w:rPr>
      </w:pPr>
      <w:r>
        <w:t xml:space="preserve">Site </w:t>
      </w:r>
      <w:r w:rsidR="009F7705" w:rsidRPr="00885089">
        <w:t xml:space="preserve">inspections </w:t>
      </w:r>
      <w:r w:rsidR="009F7705">
        <w:t>may</w:t>
      </w:r>
      <w:r>
        <w:t xml:space="preserve"> </w:t>
      </w:r>
      <w:r w:rsidR="00DB7847">
        <w:t>a</w:t>
      </w:r>
      <w:r w:rsidR="009F7705" w:rsidRPr="00885089">
        <w:t>ssess:</w:t>
      </w:r>
      <w:r w:rsidR="009F7705" w:rsidRPr="00885089">
        <w:rPr>
          <w:rFonts w:ascii="Calibri" w:eastAsia="Calibri" w:hAnsi="Calibri" w:cs="Calibri"/>
          <w:color w:val="000000"/>
          <w:kern w:val="0"/>
        </w:rPr>
        <w:t xml:space="preserve"> </w:t>
      </w:r>
    </w:p>
    <w:p w14:paraId="172F0C17" w14:textId="77777777" w:rsidR="009F7705" w:rsidRPr="00885089" w:rsidRDefault="009F7705" w:rsidP="009F7705">
      <w:pPr>
        <w:pStyle w:val="Bullet1"/>
      </w:pPr>
      <w:r w:rsidRPr="00885089">
        <w:t>compliance traceability through the design, testing, and production phases of vehicle development and supply (e.g. Conformity of Production Inspections, Design/Test Facility Inspections)</w:t>
      </w:r>
    </w:p>
    <w:p w14:paraId="02EF7C11" w14:textId="77777777" w:rsidR="009F7705" w:rsidRPr="00885089" w:rsidRDefault="009F7705" w:rsidP="009F7705">
      <w:pPr>
        <w:pStyle w:val="Bullet1"/>
      </w:pPr>
      <w:r w:rsidRPr="00885089">
        <w:t xml:space="preserve">the effectiveness of quality management systems and procedures </w:t>
      </w:r>
      <w:r w:rsidR="00CF4200">
        <w:rPr>
          <w:lang w:val="en-US"/>
        </w:rPr>
        <w:t xml:space="preserve">that are </w:t>
      </w:r>
      <w:r w:rsidRPr="00885089">
        <w:t>in place to ensure compliance</w:t>
      </w:r>
    </w:p>
    <w:p w14:paraId="38774402" w14:textId="77777777" w:rsidR="009F7705" w:rsidRPr="00885089" w:rsidRDefault="00CF4200" w:rsidP="009F7705">
      <w:pPr>
        <w:pStyle w:val="Bullet1"/>
      </w:pPr>
      <w:r>
        <w:t xml:space="preserve">key </w:t>
      </w:r>
      <w:r w:rsidR="009F7705" w:rsidRPr="00885089">
        <w:t xml:space="preserve">records </w:t>
      </w:r>
      <w:r>
        <w:rPr>
          <w:lang w:val="en-US"/>
        </w:rPr>
        <w:t>that</w:t>
      </w:r>
      <w:r w:rsidR="009F7705" w:rsidRPr="00885089">
        <w:t xml:space="preserve"> are used to document the compliance of vehicles supplied</w:t>
      </w:r>
    </w:p>
    <w:p w14:paraId="5278E488" w14:textId="77777777" w:rsidR="00885089" w:rsidRPr="00C9157A" w:rsidRDefault="00885089" w:rsidP="00C9157A">
      <w:pPr>
        <w:pStyle w:val="Heading3"/>
      </w:pPr>
      <w:bookmarkStart w:id="28" w:name="_Toc67317811"/>
      <w:r w:rsidRPr="00C9157A">
        <w:t>Investigations</w:t>
      </w:r>
      <w:bookmarkEnd w:id="28"/>
    </w:p>
    <w:p w14:paraId="02E42428" w14:textId="5B1EE208" w:rsidR="00885089" w:rsidRPr="00885089" w:rsidRDefault="00885089" w:rsidP="00C9157A">
      <w:pPr>
        <w:rPr>
          <w:lang w:val="en-US"/>
        </w:rPr>
      </w:pPr>
      <w:r w:rsidRPr="00885089">
        <w:rPr>
          <w:lang w:val="en-US"/>
        </w:rPr>
        <w:t xml:space="preserve">While we aim to use education and support to ensure compliance, at times it </w:t>
      </w:r>
      <w:r w:rsidR="008F23BB">
        <w:rPr>
          <w:lang w:val="en-US"/>
        </w:rPr>
        <w:t xml:space="preserve">will be </w:t>
      </w:r>
      <w:r w:rsidRPr="00885089">
        <w:rPr>
          <w:lang w:val="en-US"/>
        </w:rPr>
        <w:t xml:space="preserve">necessary to </w:t>
      </w:r>
      <w:r w:rsidR="007C12B5">
        <w:rPr>
          <w:lang w:val="en-US"/>
        </w:rPr>
        <w:t>investigate</w:t>
      </w:r>
      <w:r w:rsidRPr="00885089">
        <w:rPr>
          <w:lang w:val="en-US"/>
        </w:rPr>
        <w:t xml:space="preserve"> </w:t>
      </w:r>
      <w:r w:rsidR="00DB7847">
        <w:rPr>
          <w:lang w:val="en-US"/>
        </w:rPr>
        <w:t xml:space="preserve">alleged </w:t>
      </w:r>
      <w:r w:rsidRPr="00885089">
        <w:rPr>
          <w:lang w:val="en-US"/>
        </w:rPr>
        <w:t xml:space="preserve">contraventions of the </w:t>
      </w:r>
      <w:r w:rsidR="00693925">
        <w:rPr>
          <w:lang w:val="en-US"/>
        </w:rPr>
        <w:t>RVSA</w:t>
      </w:r>
      <w:r w:rsidRPr="00885089">
        <w:rPr>
          <w:lang w:val="en-US"/>
        </w:rPr>
        <w:t xml:space="preserve">, especially where regulated entities have demonstrated a lack of willingness to voluntarily comply with their obligations. </w:t>
      </w:r>
    </w:p>
    <w:p w14:paraId="054BB17B" w14:textId="4AD22BD7" w:rsidR="00885089" w:rsidRDefault="00961F98" w:rsidP="00C9157A">
      <w:pPr>
        <w:rPr>
          <w:lang w:val="en-US"/>
        </w:rPr>
      </w:pPr>
      <w:r>
        <w:rPr>
          <w:lang w:val="en-US"/>
        </w:rPr>
        <w:t xml:space="preserve">A range of factors will be </w:t>
      </w:r>
      <w:r w:rsidR="007C12B5">
        <w:rPr>
          <w:lang w:val="en-US"/>
        </w:rPr>
        <w:t>considered</w:t>
      </w:r>
      <w:r w:rsidR="00885089" w:rsidRPr="00885089">
        <w:rPr>
          <w:lang w:val="en-US"/>
        </w:rPr>
        <w:t xml:space="preserve"> when determining whether or not a matter will be</w:t>
      </w:r>
      <w:r w:rsidR="00600787">
        <w:rPr>
          <w:lang w:val="en-US"/>
        </w:rPr>
        <w:t xml:space="preserve"> formally </w:t>
      </w:r>
      <w:r w:rsidR="00885089" w:rsidRPr="00885089">
        <w:rPr>
          <w:lang w:val="en-US"/>
        </w:rPr>
        <w:t>investigated, including</w:t>
      </w:r>
      <w:r w:rsidR="00DB7847">
        <w:rPr>
          <w:lang w:val="en-US"/>
        </w:rPr>
        <w:t>, but not limited to</w:t>
      </w:r>
      <w:r w:rsidR="00885089" w:rsidRPr="00885089">
        <w:rPr>
          <w:lang w:val="en-US"/>
        </w:rPr>
        <w:t xml:space="preserve">: </w:t>
      </w:r>
    </w:p>
    <w:p w14:paraId="43E46FD6" w14:textId="77777777" w:rsidR="00DB7847" w:rsidRDefault="00DB7847" w:rsidP="00C9157A">
      <w:pPr>
        <w:pStyle w:val="Bullet1"/>
        <w:rPr>
          <w:rFonts w:ascii="Calibri" w:eastAsia="Calibri" w:hAnsi="Calibri" w:cs="Calibri"/>
          <w:color w:val="auto"/>
          <w:kern w:val="0"/>
        </w:rPr>
      </w:pPr>
      <w:r>
        <w:rPr>
          <w:rFonts w:ascii="Calibri" w:eastAsia="Calibri" w:hAnsi="Calibri" w:cs="Calibri"/>
          <w:color w:val="auto"/>
          <w:kern w:val="0"/>
          <w:lang w:val="en-US"/>
        </w:rPr>
        <w:t>inherent regulatory risk</w:t>
      </w:r>
    </w:p>
    <w:p w14:paraId="2DA33F66" w14:textId="2AC6A183" w:rsidR="00885089" w:rsidRPr="00885089" w:rsidRDefault="005641FB" w:rsidP="00C9157A">
      <w:pPr>
        <w:pStyle w:val="Bullet1"/>
        <w:rPr>
          <w:rFonts w:ascii="Calibri" w:eastAsia="Calibri" w:hAnsi="Calibri" w:cs="Calibri"/>
          <w:color w:val="auto"/>
          <w:kern w:val="0"/>
        </w:rPr>
      </w:pPr>
      <w:r>
        <w:rPr>
          <w:rFonts w:ascii="Calibri" w:eastAsia="Calibri" w:hAnsi="Calibri" w:cs="Calibri"/>
          <w:color w:val="auto"/>
          <w:kern w:val="0"/>
          <w:lang w:val="en-US"/>
        </w:rPr>
        <w:t xml:space="preserve">extent of harm caused by the alleged </w:t>
      </w:r>
      <w:r w:rsidR="00D24157">
        <w:rPr>
          <w:rFonts w:ascii="Calibri" w:eastAsia="Calibri" w:hAnsi="Calibri" w:cs="Calibri"/>
          <w:color w:val="auto"/>
          <w:kern w:val="0"/>
          <w:lang w:val="en-US"/>
        </w:rPr>
        <w:t xml:space="preserve">contravention (such as </w:t>
      </w:r>
      <w:r w:rsidR="00885089" w:rsidRPr="00885089">
        <w:rPr>
          <w:rFonts w:ascii="Calibri" w:eastAsia="Calibri" w:hAnsi="Calibri" w:cs="Calibri"/>
          <w:color w:val="auto"/>
          <w:kern w:val="0"/>
        </w:rPr>
        <w:t>whether or not there has been a death or injury</w:t>
      </w:r>
      <w:r w:rsidR="00D24157">
        <w:rPr>
          <w:rFonts w:ascii="Calibri" w:eastAsia="Calibri" w:hAnsi="Calibri" w:cs="Calibri"/>
          <w:color w:val="auto"/>
          <w:kern w:val="0"/>
          <w:lang w:val="en-US"/>
        </w:rPr>
        <w:t>)</w:t>
      </w:r>
    </w:p>
    <w:p w14:paraId="6AC3EE5D" w14:textId="29A26424" w:rsidR="00885089" w:rsidRPr="00885089" w:rsidRDefault="00885089" w:rsidP="00C9157A">
      <w:pPr>
        <w:pStyle w:val="Bullet1"/>
        <w:rPr>
          <w:rFonts w:ascii="Calibri" w:eastAsia="Calibri" w:hAnsi="Calibri" w:cs="Calibri"/>
          <w:color w:val="auto"/>
          <w:kern w:val="0"/>
        </w:rPr>
      </w:pPr>
      <w:r w:rsidRPr="00885089">
        <w:rPr>
          <w:rFonts w:ascii="Calibri" w:eastAsia="Calibri" w:hAnsi="Calibri" w:cs="Calibri"/>
          <w:color w:val="auto"/>
          <w:kern w:val="0"/>
        </w:rPr>
        <w:t>whether or not there is an identifiable safety issue related to the design</w:t>
      </w:r>
      <w:r w:rsidR="0099778D">
        <w:rPr>
          <w:rFonts w:ascii="Calibri" w:eastAsia="Calibri" w:hAnsi="Calibri" w:cs="Calibri"/>
          <w:color w:val="auto"/>
          <w:kern w:val="0"/>
          <w:lang w:val="en-US"/>
        </w:rPr>
        <w:t>, componentry</w:t>
      </w:r>
      <w:r w:rsidRPr="00885089">
        <w:rPr>
          <w:rFonts w:ascii="Calibri" w:eastAsia="Calibri" w:hAnsi="Calibri" w:cs="Calibri"/>
          <w:color w:val="auto"/>
          <w:kern w:val="0"/>
        </w:rPr>
        <w:t xml:space="preserve"> or manufacture of the vehicle</w:t>
      </w:r>
    </w:p>
    <w:p w14:paraId="799C5C78" w14:textId="762E5DD6" w:rsidR="00885089" w:rsidRPr="00885089" w:rsidRDefault="00885089" w:rsidP="00C9157A">
      <w:pPr>
        <w:pStyle w:val="Bullet1"/>
        <w:rPr>
          <w:rFonts w:ascii="Calibri" w:eastAsia="Calibri" w:hAnsi="Calibri" w:cs="Calibri"/>
          <w:color w:val="auto"/>
          <w:kern w:val="0"/>
        </w:rPr>
      </w:pPr>
      <w:r w:rsidRPr="00885089">
        <w:rPr>
          <w:rFonts w:ascii="Calibri" w:eastAsia="Calibri" w:hAnsi="Calibri" w:cs="Calibri"/>
          <w:color w:val="auto"/>
          <w:kern w:val="0"/>
        </w:rPr>
        <w:t>whether or not there is identifiable non-compliance with a mandatory standard such as the ADRs, conditions of an approval or other relevant legislation</w:t>
      </w:r>
    </w:p>
    <w:p w14:paraId="7E945D01" w14:textId="77777777" w:rsidR="00885089" w:rsidRPr="00885089" w:rsidRDefault="00885089" w:rsidP="00C9157A">
      <w:pPr>
        <w:pStyle w:val="Bullet1"/>
        <w:rPr>
          <w:rFonts w:ascii="Calibri" w:eastAsia="Calibri" w:hAnsi="Calibri" w:cs="Calibri"/>
          <w:color w:val="auto"/>
          <w:kern w:val="0"/>
        </w:rPr>
      </w:pPr>
      <w:r w:rsidRPr="00885089">
        <w:rPr>
          <w:rFonts w:ascii="Calibri" w:eastAsia="Calibri" w:hAnsi="Calibri" w:cs="Calibri"/>
          <w:color w:val="auto"/>
          <w:kern w:val="0"/>
        </w:rPr>
        <w:t>the number of similar reports</w:t>
      </w:r>
    </w:p>
    <w:p w14:paraId="1CC0E17B" w14:textId="77777777" w:rsidR="00885089" w:rsidRPr="00885089" w:rsidRDefault="00885089" w:rsidP="00C9157A">
      <w:pPr>
        <w:pStyle w:val="Bullet1"/>
        <w:rPr>
          <w:rFonts w:ascii="Calibri" w:eastAsia="Calibri" w:hAnsi="Calibri" w:cs="Calibri"/>
          <w:color w:val="auto"/>
          <w:kern w:val="0"/>
        </w:rPr>
      </w:pPr>
      <w:r w:rsidRPr="00885089">
        <w:rPr>
          <w:rFonts w:ascii="Calibri" w:eastAsia="Calibri" w:hAnsi="Calibri" w:cs="Calibri"/>
          <w:color w:val="auto"/>
          <w:kern w:val="0"/>
        </w:rPr>
        <w:t>the age and use of the vehicle</w:t>
      </w:r>
    </w:p>
    <w:p w14:paraId="2E96F7BD" w14:textId="77777777" w:rsidR="00885089" w:rsidRPr="00885089" w:rsidRDefault="00DB7847" w:rsidP="00C9157A">
      <w:pPr>
        <w:pStyle w:val="Bullet1"/>
        <w:rPr>
          <w:rFonts w:ascii="Calibri" w:eastAsia="Calibri" w:hAnsi="Calibri" w:cs="Calibri"/>
          <w:color w:val="auto"/>
          <w:kern w:val="0"/>
        </w:rPr>
      </w:pPr>
      <w:r>
        <w:rPr>
          <w:rFonts w:ascii="Calibri" w:eastAsia="Calibri" w:hAnsi="Calibri" w:cs="Calibri"/>
          <w:color w:val="auto"/>
          <w:kern w:val="0"/>
          <w:lang w:val="en-US"/>
        </w:rPr>
        <w:t xml:space="preserve">any </w:t>
      </w:r>
      <w:r w:rsidR="00885089" w:rsidRPr="00885089">
        <w:rPr>
          <w:rFonts w:ascii="Calibri" w:eastAsia="Calibri" w:hAnsi="Calibri" w:cs="Calibri"/>
          <w:color w:val="auto"/>
          <w:kern w:val="0"/>
        </w:rPr>
        <w:t>voluntary action taken to resolve the issue</w:t>
      </w:r>
    </w:p>
    <w:p w14:paraId="70AACF25" w14:textId="77777777" w:rsidR="00885089" w:rsidRPr="00885089" w:rsidRDefault="00885089" w:rsidP="00C9157A">
      <w:pPr>
        <w:rPr>
          <w:lang w:val="en-US"/>
        </w:rPr>
      </w:pPr>
      <w:r w:rsidRPr="00885089">
        <w:rPr>
          <w:lang w:val="en-US"/>
        </w:rPr>
        <w:t xml:space="preserve">There are also times where we </w:t>
      </w:r>
      <w:r w:rsidR="00600787">
        <w:rPr>
          <w:lang w:val="en-US"/>
        </w:rPr>
        <w:t xml:space="preserve">may </w:t>
      </w:r>
      <w:r w:rsidRPr="00885089">
        <w:rPr>
          <w:lang w:val="en-US"/>
        </w:rPr>
        <w:t>work with other regulatory agencies such as the A</w:t>
      </w:r>
      <w:r w:rsidR="00DB7847">
        <w:rPr>
          <w:lang w:val="en-US"/>
        </w:rPr>
        <w:t>ustralian Competition and Consumer Commission (A</w:t>
      </w:r>
      <w:r w:rsidRPr="00885089">
        <w:rPr>
          <w:lang w:val="en-US"/>
        </w:rPr>
        <w:t>CCC</w:t>
      </w:r>
      <w:r w:rsidR="00DB7847">
        <w:rPr>
          <w:lang w:val="en-US"/>
        </w:rPr>
        <w:t>)</w:t>
      </w:r>
      <w:r w:rsidRPr="00885089">
        <w:rPr>
          <w:lang w:val="en-US"/>
        </w:rPr>
        <w:t>, federal, state and territory police services,</w:t>
      </w:r>
      <w:r w:rsidR="00600787">
        <w:rPr>
          <w:lang w:val="en-US"/>
        </w:rPr>
        <w:t xml:space="preserve"> and</w:t>
      </w:r>
      <w:r w:rsidRPr="00885089">
        <w:rPr>
          <w:lang w:val="en-US"/>
        </w:rPr>
        <w:t xml:space="preserve"> the Australian Border Force on investigations related to safety or other non-compliance with Australian legislation.</w:t>
      </w:r>
    </w:p>
    <w:p w14:paraId="7E155B56" w14:textId="77777777" w:rsidR="00C65AE9" w:rsidRPr="00DD00A9" w:rsidRDefault="00E9589A" w:rsidP="00C65AE9">
      <w:pPr>
        <w:pStyle w:val="Heading2"/>
        <w:rPr>
          <w:sz w:val="44"/>
          <w:szCs w:val="32"/>
        </w:rPr>
      </w:pPr>
      <w:bookmarkStart w:id="29" w:name="_Toc75440298"/>
      <w:bookmarkStart w:id="30" w:name="_Toc57962915"/>
      <w:bookmarkStart w:id="31" w:name="_Toc496792943"/>
      <w:r w:rsidRPr="00DD00A9">
        <w:rPr>
          <w:sz w:val="44"/>
          <w:szCs w:val="32"/>
        </w:rPr>
        <w:t>R</w:t>
      </w:r>
      <w:r w:rsidR="00DD00A9" w:rsidRPr="00DD00A9">
        <w:rPr>
          <w:sz w:val="44"/>
          <w:szCs w:val="32"/>
        </w:rPr>
        <w:t>e</w:t>
      </w:r>
      <w:r w:rsidR="00C65AE9" w:rsidRPr="00DD00A9">
        <w:rPr>
          <w:sz w:val="44"/>
          <w:szCs w:val="32"/>
        </w:rPr>
        <w:t>view and complaint mechanisms</w:t>
      </w:r>
      <w:bookmarkEnd w:id="29"/>
    </w:p>
    <w:p w14:paraId="145DF632" w14:textId="77777777" w:rsidR="00C65AE9" w:rsidRPr="00885089" w:rsidRDefault="00C65AE9" w:rsidP="00C65AE9">
      <w:r w:rsidRPr="00885089">
        <w:t xml:space="preserve">If a regulated entity is not satisfied with our response or action in relation to a compliance matter, in the first instance it can be raised with the relevant </w:t>
      </w:r>
      <w:r>
        <w:t xml:space="preserve">person or </w:t>
      </w:r>
      <w:r w:rsidRPr="00885089">
        <w:t xml:space="preserve">area handling the matter. </w:t>
      </w:r>
    </w:p>
    <w:p w14:paraId="73BA8AB1" w14:textId="5B6252BC" w:rsidR="00C65AE9" w:rsidRPr="00885089" w:rsidRDefault="00C65AE9" w:rsidP="00C65AE9">
      <w:r w:rsidRPr="00885089">
        <w:t>If a regulated entity wishes to make a general complaint, or if the entity is not satisfied with the initial response from the relevant area, a formal complaint can be lodged through our website</w:t>
      </w:r>
      <w:r w:rsidR="007D1D1C">
        <w:t xml:space="preserve"> at </w:t>
      </w:r>
      <w:hyperlink r:id="rId18" w:history="1">
        <w:r w:rsidR="007D1D1C" w:rsidRPr="00A80940">
          <w:rPr>
            <w:rStyle w:val="Hyperlink"/>
          </w:rPr>
          <w:t>https://www.infrastructure.gov.au/utilities/contact.aspx</w:t>
        </w:r>
      </w:hyperlink>
      <w:r w:rsidR="007D1D1C">
        <w:t>.</w:t>
      </w:r>
    </w:p>
    <w:p w14:paraId="5667A0C9" w14:textId="698D6997" w:rsidR="00C65AE9" w:rsidRDefault="00C65AE9" w:rsidP="00C65AE9">
      <w:r w:rsidRPr="00885089">
        <w:t xml:space="preserve">In the case of certain decisions made under the </w:t>
      </w:r>
      <w:r>
        <w:t>RVS</w:t>
      </w:r>
      <w:r w:rsidR="00D24157">
        <w:t xml:space="preserve"> legislation</w:t>
      </w:r>
      <w:r w:rsidRPr="00885089">
        <w:t xml:space="preserve">, the applicant or approval holder can seek review of the decision by the </w:t>
      </w:r>
      <w:r w:rsidRPr="00D24157">
        <w:t>Administrative Appeals Tribunal</w:t>
      </w:r>
      <w:r w:rsidR="00AE51CE">
        <w:rPr>
          <w:i/>
        </w:rPr>
        <w:t xml:space="preserve"> </w:t>
      </w:r>
      <w:r w:rsidR="00AE51CE" w:rsidRPr="00AE51CE">
        <w:t>(AAT)</w:t>
      </w:r>
      <w:r w:rsidRPr="00885089">
        <w:t xml:space="preserve">. </w:t>
      </w:r>
      <w:r w:rsidR="00AE51CE">
        <w:t>Reviewable</w:t>
      </w:r>
      <w:r w:rsidRPr="00885089">
        <w:t xml:space="preserve"> decisions are outlined in section 230 of the RVS Rules and include:</w:t>
      </w:r>
    </w:p>
    <w:p w14:paraId="60901BDB" w14:textId="35FBF971" w:rsidR="00C65AE9" w:rsidRPr="00885089" w:rsidRDefault="00C65AE9" w:rsidP="00C65AE9">
      <w:pPr>
        <w:pStyle w:val="Bullet1"/>
        <w:rPr>
          <w:rFonts w:ascii="Calibri" w:eastAsia="Calibri" w:hAnsi="Calibri" w:cs="Times New Roman"/>
          <w:color w:val="auto"/>
          <w:kern w:val="0"/>
          <w:lang w:val="en-US"/>
        </w:rPr>
      </w:pPr>
      <w:r w:rsidRPr="00885089">
        <w:rPr>
          <w:rFonts w:ascii="Calibri" w:eastAsia="Calibri" w:hAnsi="Calibri" w:cs="Times New Roman"/>
          <w:color w:val="auto"/>
          <w:kern w:val="0"/>
          <w:lang w:val="en-US"/>
        </w:rPr>
        <w:t xml:space="preserve">a decision </w:t>
      </w:r>
      <w:r w:rsidR="00D24157">
        <w:rPr>
          <w:rFonts w:ascii="Calibri" w:eastAsia="Calibri" w:hAnsi="Calibri" w:cs="Times New Roman"/>
          <w:color w:val="auto"/>
          <w:kern w:val="0"/>
          <w:lang w:val="en-US"/>
        </w:rPr>
        <w:t xml:space="preserve">not </w:t>
      </w:r>
      <w:r w:rsidRPr="00885089">
        <w:rPr>
          <w:rFonts w:ascii="Calibri" w:eastAsia="Calibri" w:hAnsi="Calibri" w:cs="Times New Roman"/>
          <w:color w:val="auto"/>
          <w:kern w:val="0"/>
          <w:lang w:val="en-US"/>
        </w:rPr>
        <w:t>to consider certain applications</w:t>
      </w:r>
    </w:p>
    <w:p w14:paraId="13897C6C" w14:textId="77777777" w:rsidR="00C65AE9" w:rsidRPr="00885089" w:rsidRDefault="00C65AE9" w:rsidP="00C65AE9">
      <w:pPr>
        <w:pStyle w:val="Bullet1"/>
        <w:rPr>
          <w:rFonts w:ascii="Calibri" w:eastAsia="Calibri" w:hAnsi="Calibri" w:cs="Times New Roman"/>
          <w:color w:val="auto"/>
          <w:kern w:val="0"/>
          <w:lang w:val="en-US"/>
        </w:rPr>
      </w:pPr>
      <w:r w:rsidRPr="00885089">
        <w:rPr>
          <w:rFonts w:ascii="Calibri" w:eastAsia="Calibri" w:hAnsi="Calibri" w:cs="Times New Roman"/>
          <w:color w:val="auto"/>
          <w:kern w:val="0"/>
          <w:lang w:val="en-US"/>
        </w:rPr>
        <w:t>a decision to refuse to grant certain approvals</w:t>
      </w:r>
    </w:p>
    <w:p w14:paraId="1C77093D" w14:textId="77777777" w:rsidR="00C65AE9" w:rsidRPr="00885089" w:rsidRDefault="00C65AE9" w:rsidP="00C65AE9">
      <w:pPr>
        <w:pStyle w:val="Bullet1"/>
        <w:rPr>
          <w:rFonts w:ascii="Calibri" w:eastAsia="Calibri" w:hAnsi="Calibri" w:cs="Times New Roman"/>
          <w:color w:val="auto"/>
          <w:kern w:val="0"/>
          <w:lang w:val="en-US"/>
        </w:rPr>
      </w:pPr>
      <w:r w:rsidRPr="00885089">
        <w:rPr>
          <w:rFonts w:ascii="Calibri" w:eastAsia="Calibri" w:hAnsi="Calibri" w:cs="Times New Roman"/>
          <w:color w:val="auto"/>
          <w:kern w:val="0"/>
          <w:lang w:val="en-US"/>
        </w:rPr>
        <w:t>a decision to impose conditions on certain approvals</w:t>
      </w:r>
    </w:p>
    <w:p w14:paraId="1DAA2003" w14:textId="77777777" w:rsidR="00885089" w:rsidRPr="000A7566" w:rsidRDefault="0012185A" w:rsidP="000A7566">
      <w:pPr>
        <w:pStyle w:val="Heading1"/>
      </w:pPr>
      <w:bookmarkStart w:id="32" w:name="_Toc75440299"/>
      <w:r>
        <w:lastRenderedPageBreak/>
        <w:t xml:space="preserve">More </w:t>
      </w:r>
      <w:bookmarkStart w:id="33" w:name="_Toc67317819"/>
      <w:bookmarkEnd w:id="30"/>
      <w:bookmarkEnd w:id="31"/>
      <w:r w:rsidR="00885089" w:rsidRPr="000A7566">
        <w:t>inform</w:t>
      </w:r>
      <w:r>
        <w:t>ation</w:t>
      </w:r>
      <w:bookmarkEnd w:id="32"/>
      <w:bookmarkEnd w:id="33"/>
    </w:p>
    <w:p w14:paraId="229AC512" w14:textId="77777777" w:rsidR="00885089" w:rsidRPr="00885089" w:rsidRDefault="00885089" w:rsidP="00C9157A">
      <w:bookmarkStart w:id="34" w:name="_Toc57962916"/>
      <w:r w:rsidRPr="00885089">
        <w:t>To support industry and other regulated entities in their commitment to voluntary compliance we seek to keep our stakeholders informed.</w:t>
      </w:r>
      <w:r w:rsidR="0012185A">
        <w:t xml:space="preserve"> </w:t>
      </w:r>
      <w:r w:rsidRPr="00885089">
        <w:t>We will engage with regulated entities on our approach to compliance and enforcement, including the types of engagement and information that would be useful to them.</w:t>
      </w:r>
    </w:p>
    <w:p w14:paraId="2686FCF0" w14:textId="77777777" w:rsidR="00885089" w:rsidRDefault="00885089" w:rsidP="00C9157A">
      <w:r w:rsidRPr="00885089">
        <w:t>For the life of this strategy we will endeavour to share our areas of compliance focus for the forward compliance planning cycle, and where appropriate, provide summaries of findings from the annual program of compliance activities.</w:t>
      </w:r>
    </w:p>
    <w:p w14:paraId="23A23BE9" w14:textId="35257268" w:rsidR="0012185A" w:rsidRDefault="0012185A" w:rsidP="00C9157A">
      <w:r>
        <w:t>More information on compliance and enforcement, inc</w:t>
      </w:r>
      <w:r w:rsidR="00194D8C">
        <w:t>l</w:t>
      </w:r>
      <w:r>
        <w:t xml:space="preserve">uding our </w:t>
      </w:r>
      <w:r w:rsidR="00AE51CE">
        <w:t xml:space="preserve">compliance </w:t>
      </w:r>
      <w:r>
        <w:t>approach</w:t>
      </w:r>
      <w:r w:rsidR="00AE51CE">
        <w:t xml:space="preserve"> and model</w:t>
      </w:r>
      <w:r>
        <w:t xml:space="preserve"> can be found on the department’s website at </w:t>
      </w:r>
      <w:hyperlink r:id="rId19" w:history="1">
        <w:r w:rsidRPr="0038143F">
          <w:rPr>
            <w:rStyle w:val="Hyperlink"/>
          </w:rPr>
          <w:t>https://www.infrastructure.gov.au/vehicles/compliance_and_enforcement/index.aspx</w:t>
        </w:r>
      </w:hyperlink>
      <w:r>
        <w:t>.</w:t>
      </w:r>
    </w:p>
    <w:p w14:paraId="21E12061" w14:textId="78A2CF94" w:rsidR="0012185A" w:rsidRDefault="0012185A" w:rsidP="008F4E6B">
      <w:r>
        <w:t>For more information on the introduction of the RVS</w:t>
      </w:r>
      <w:r w:rsidR="00D24157">
        <w:t xml:space="preserve"> legislation</w:t>
      </w:r>
      <w:r>
        <w:t xml:space="preserve">, please see the </w:t>
      </w:r>
      <w:r w:rsidR="00194D8C">
        <w:t>‘</w:t>
      </w:r>
      <w:r>
        <w:t>Vehicles</w:t>
      </w:r>
      <w:r w:rsidR="00194D8C">
        <w:t>’</w:t>
      </w:r>
      <w:r>
        <w:t xml:space="preserve"> section of the department’s website </w:t>
      </w:r>
      <w:hyperlink r:id="rId20" w:history="1">
        <w:r w:rsidRPr="00544983">
          <w:rPr>
            <w:rStyle w:val="Hyperlink"/>
          </w:rPr>
          <w:t>https://infrastructure.gov.au/vehicles/</w:t>
        </w:r>
      </w:hyperlink>
      <w:r>
        <w:t xml:space="preserve">. Content related to various aspects of the new regulatory regime and what it means for regulated entities is being added regularly. </w:t>
      </w:r>
    </w:p>
    <w:p w14:paraId="54A3EEB2" w14:textId="77777777" w:rsidR="009118D2" w:rsidRPr="00FA4CCA" w:rsidRDefault="009118D2" w:rsidP="00FA4CCA">
      <w:pPr>
        <w:pStyle w:val="Heading2"/>
      </w:pPr>
      <w:bookmarkStart w:id="35" w:name="_Toc75440300"/>
      <w:r w:rsidRPr="00FA4CCA">
        <w:t xml:space="preserve">Reporting </w:t>
      </w:r>
      <w:r w:rsidR="00DD00A9" w:rsidRPr="00FA4CCA">
        <w:t xml:space="preserve">suspected </w:t>
      </w:r>
      <w:r w:rsidRPr="00FA4CCA">
        <w:t>non-compl</w:t>
      </w:r>
      <w:r w:rsidR="00DD00A9" w:rsidRPr="00FA4CCA">
        <w:t>iance</w:t>
      </w:r>
      <w:r w:rsidRPr="00FA4CCA">
        <w:t xml:space="preserve"> to us</w:t>
      </w:r>
      <w:bookmarkEnd w:id="35"/>
    </w:p>
    <w:p w14:paraId="30090B1E" w14:textId="77777777" w:rsidR="000A7566" w:rsidRDefault="008F4E6B" w:rsidP="00C9157A">
      <w:r>
        <w:t>Information</w:t>
      </w:r>
      <w:r w:rsidR="000A7566">
        <w:t xml:space="preserve"> from the public, industry and other regulators is a valuable tool</w:t>
      </w:r>
      <w:r w:rsidR="00AE51CE">
        <w:t xml:space="preserve"> for compliance and enforcement</w:t>
      </w:r>
      <w:r w:rsidR="00F82FBB">
        <w:t xml:space="preserve">. The reports </w:t>
      </w:r>
      <w:r w:rsidR="000A7566">
        <w:t xml:space="preserve">assist us in identifying areas of </w:t>
      </w:r>
      <w:r w:rsidR="00AE51CE">
        <w:t xml:space="preserve">emerging </w:t>
      </w:r>
      <w:r w:rsidR="000A7566">
        <w:t xml:space="preserve">concern, </w:t>
      </w:r>
      <w:r w:rsidR="00F82FBB">
        <w:t xml:space="preserve">identifying </w:t>
      </w:r>
      <w:r w:rsidR="000A7566">
        <w:t>significant iss</w:t>
      </w:r>
      <w:r w:rsidR="00194D8C">
        <w:t>ue</w:t>
      </w:r>
      <w:r w:rsidR="000A7566">
        <w:t xml:space="preserve">s </w:t>
      </w:r>
      <w:r w:rsidR="00F82FBB">
        <w:t xml:space="preserve">that </w:t>
      </w:r>
      <w:r w:rsidR="00AE51CE">
        <w:t>requir</w:t>
      </w:r>
      <w:r w:rsidR="00F82FBB">
        <w:t>e</w:t>
      </w:r>
      <w:r w:rsidR="000A7566">
        <w:t xml:space="preserve"> immediate attention and to inform future </w:t>
      </w:r>
      <w:r w:rsidR="00AE51CE">
        <w:t xml:space="preserve">compliance and enforcement </w:t>
      </w:r>
      <w:r w:rsidR="000A7566">
        <w:t>strategies</w:t>
      </w:r>
      <w:r w:rsidR="00AE51CE">
        <w:t xml:space="preserve"> and activities</w:t>
      </w:r>
      <w:r w:rsidR="000A7566">
        <w:t xml:space="preserve">. </w:t>
      </w:r>
    </w:p>
    <w:p w14:paraId="65FC3951" w14:textId="19024BC4" w:rsidR="009118D2" w:rsidRDefault="000A7566" w:rsidP="00C9157A">
      <w:r>
        <w:t xml:space="preserve">For more information on making reports about non-compliance with our legislation or vehicle safety concerns, </w:t>
      </w:r>
      <w:r w:rsidR="00F82FBB">
        <w:t xml:space="preserve">please </w:t>
      </w:r>
      <w:r>
        <w:t xml:space="preserve">see the department’s website at </w:t>
      </w:r>
      <w:hyperlink r:id="rId21" w:history="1">
        <w:r w:rsidRPr="0038143F">
          <w:rPr>
            <w:rStyle w:val="Hyperlink"/>
          </w:rPr>
          <w:t>https://www.infrastructure.gov.au/vehicles/reporting/index.aspx</w:t>
        </w:r>
      </w:hyperlink>
      <w:r>
        <w:t xml:space="preserve">.  </w:t>
      </w:r>
    </w:p>
    <w:p w14:paraId="182FB3D7" w14:textId="77777777" w:rsidR="00885089" w:rsidRPr="00C9157A" w:rsidRDefault="00885089" w:rsidP="00C9157A">
      <w:pPr>
        <w:pStyle w:val="Heading2"/>
        <w:rPr>
          <w:sz w:val="44"/>
        </w:rPr>
      </w:pPr>
      <w:bookmarkStart w:id="36" w:name="_Toc67059866"/>
      <w:bookmarkStart w:id="37" w:name="_Toc75440301"/>
      <w:bookmarkEnd w:id="34"/>
      <w:r w:rsidRPr="00C9157A">
        <w:rPr>
          <w:sz w:val="44"/>
        </w:rPr>
        <w:t>Glossary</w:t>
      </w:r>
      <w:bookmarkEnd w:id="36"/>
      <w:bookmarkEnd w:id="37"/>
    </w:p>
    <w:tbl>
      <w:tblPr>
        <w:tblStyle w:val="DefaultTable11"/>
        <w:tblW w:w="5000" w:type="pct"/>
        <w:tblLook w:val="0420" w:firstRow="1" w:lastRow="0" w:firstColumn="0" w:lastColumn="0" w:noHBand="0" w:noVBand="1"/>
        <w:tblCaption w:val="Sample table"/>
        <w:tblDescription w:val="Sample table"/>
      </w:tblPr>
      <w:tblGrid>
        <w:gridCol w:w="2269"/>
        <w:gridCol w:w="7595"/>
      </w:tblGrid>
      <w:tr w:rsidR="000072C1" w:rsidRPr="000072C1" w14:paraId="75AF6B55" w14:textId="77777777" w:rsidTr="005F0C0C">
        <w:trPr>
          <w:cnfStyle w:val="100000000000" w:firstRow="1" w:lastRow="0" w:firstColumn="0" w:lastColumn="0" w:oddVBand="0" w:evenVBand="0" w:oddHBand="0" w:evenHBand="0" w:firstRowFirstColumn="0" w:firstRowLastColumn="0" w:lastRowFirstColumn="0" w:lastRowLastColumn="0"/>
        </w:trPr>
        <w:tc>
          <w:tcPr>
            <w:tcW w:w="1150" w:type="pct"/>
          </w:tcPr>
          <w:p w14:paraId="791309A8" w14:textId="1E82B955" w:rsidR="00885089" w:rsidRPr="009E6EEA" w:rsidRDefault="009E6EEA" w:rsidP="00885089">
            <w:pPr>
              <w:rPr>
                <w:rFonts w:ascii="Calibri" w:eastAsia="Calibri" w:hAnsi="Calibri" w:cs="Times New Roman"/>
                <w:color w:val="FFFFFF" w:themeColor="background1"/>
              </w:rPr>
            </w:pPr>
            <w:r w:rsidRPr="009E6EEA">
              <w:rPr>
                <w:rFonts w:ascii="Calibri" w:eastAsia="Calibri" w:hAnsi="Calibri" w:cs="Times New Roman"/>
                <w:color w:val="FFFFFF" w:themeColor="background1"/>
              </w:rPr>
              <w:t>Term</w:t>
            </w:r>
          </w:p>
        </w:tc>
        <w:tc>
          <w:tcPr>
            <w:tcW w:w="3850" w:type="pct"/>
          </w:tcPr>
          <w:p w14:paraId="6A6667F7" w14:textId="5F093F79" w:rsidR="00885089" w:rsidRPr="000072C1" w:rsidRDefault="009E6EEA" w:rsidP="00885089">
            <w:pPr>
              <w:rPr>
                <w:rFonts w:ascii="Calibri" w:eastAsia="Calibri" w:hAnsi="Calibri" w:cs="Times New Roman"/>
                <w:color w:val="FFFFFF" w:themeColor="background1"/>
              </w:rPr>
            </w:pPr>
            <w:r w:rsidRPr="000072C1">
              <w:rPr>
                <w:rFonts w:ascii="Calibri" w:eastAsia="Calibri" w:hAnsi="Calibri" w:cs="Times New Roman"/>
                <w:color w:val="FFFFFF" w:themeColor="background1"/>
              </w:rPr>
              <w:t>Definition</w:t>
            </w:r>
          </w:p>
        </w:tc>
      </w:tr>
      <w:tr w:rsidR="00885089" w:rsidRPr="00885089" w14:paraId="35F8D447" w14:textId="77777777" w:rsidTr="005F0C0C">
        <w:tc>
          <w:tcPr>
            <w:tcW w:w="1150" w:type="pct"/>
          </w:tcPr>
          <w:p w14:paraId="65B59EB4" w14:textId="77777777" w:rsidR="00885089" w:rsidRPr="00885089" w:rsidRDefault="00C253B9" w:rsidP="00885089">
            <w:pPr>
              <w:rPr>
                <w:rFonts w:ascii="Calibri" w:eastAsia="Calibri" w:hAnsi="Calibri" w:cs="Times New Roman"/>
              </w:rPr>
            </w:pPr>
            <w:r>
              <w:rPr>
                <w:rFonts w:ascii="Calibri" w:eastAsia="Calibri" w:hAnsi="Calibri" w:cs="Times New Roman"/>
              </w:rPr>
              <w:t>ADRs</w:t>
            </w:r>
          </w:p>
        </w:tc>
        <w:tc>
          <w:tcPr>
            <w:tcW w:w="3850" w:type="pct"/>
          </w:tcPr>
          <w:p w14:paraId="03963EEE" w14:textId="77777777" w:rsidR="00885089" w:rsidRPr="00885089" w:rsidRDefault="00C253B9" w:rsidP="00885089">
            <w:pPr>
              <w:rPr>
                <w:rFonts w:ascii="Calibri" w:eastAsia="Calibri" w:hAnsi="Calibri" w:cs="Times New Roman"/>
              </w:rPr>
            </w:pPr>
            <w:r>
              <w:rPr>
                <w:rFonts w:ascii="Calibri" w:eastAsia="Calibri" w:hAnsi="Calibri" w:cs="Times New Roman"/>
              </w:rPr>
              <w:t xml:space="preserve">Australian Design Rules - </w:t>
            </w:r>
            <w:r w:rsidRPr="00C253B9">
              <w:rPr>
                <w:rFonts w:ascii="Calibri" w:eastAsia="Calibri" w:hAnsi="Calibri" w:cs="Times New Roman"/>
              </w:rPr>
              <w:t>national standards for vehicle safety, anti-theft and emissions.</w:t>
            </w:r>
          </w:p>
        </w:tc>
      </w:tr>
      <w:tr w:rsidR="00C253B9" w:rsidRPr="00885089" w14:paraId="439FB4E9" w14:textId="77777777" w:rsidTr="005F0C0C">
        <w:trPr>
          <w:cnfStyle w:val="000000010000" w:firstRow="0" w:lastRow="0" w:firstColumn="0" w:lastColumn="0" w:oddVBand="0" w:evenVBand="0" w:oddHBand="0" w:evenHBand="1" w:firstRowFirstColumn="0" w:firstRowLastColumn="0" w:lastRowFirstColumn="0" w:lastRowLastColumn="0"/>
        </w:trPr>
        <w:tc>
          <w:tcPr>
            <w:tcW w:w="1150" w:type="pct"/>
          </w:tcPr>
          <w:p w14:paraId="25F47AE4" w14:textId="77777777" w:rsidR="00C253B9" w:rsidRPr="00885089" w:rsidRDefault="00C253B9" w:rsidP="00C253B9">
            <w:pPr>
              <w:rPr>
                <w:rFonts w:ascii="Calibri" w:eastAsia="Calibri" w:hAnsi="Calibri" w:cs="Times New Roman"/>
              </w:rPr>
            </w:pPr>
            <w:r w:rsidRPr="00885089">
              <w:rPr>
                <w:rFonts w:ascii="Calibri" w:eastAsia="Calibri" w:hAnsi="Calibri" w:cs="Times New Roman"/>
              </w:rPr>
              <w:t>ATM</w:t>
            </w:r>
          </w:p>
        </w:tc>
        <w:tc>
          <w:tcPr>
            <w:tcW w:w="3850" w:type="pct"/>
          </w:tcPr>
          <w:p w14:paraId="2F1B412A" w14:textId="77777777" w:rsidR="00C253B9" w:rsidRPr="00885089" w:rsidRDefault="00C253B9" w:rsidP="00C253B9">
            <w:pPr>
              <w:rPr>
                <w:rFonts w:ascii="Calibri" w:eastAsia="Calibri" w:hAnsi="Calibri" w:cs="Times New Roman"/>
              </w:rPr>
            </w:pPr>
            <w:r w:rsidRPr="00885089">
              <w:rPr>
                <w:rFonts w:ascii="Calibri" w:eastAsia="Calibri" w:hAnsi="Calibri" w:cs="Times New Roman"/>
              </w:rPr>
              <w:t>Aggregate Trailer Mass - a trailer's total mass when carrying the maximum load recommended by the manufacturer.</w:t>
            </w:r>
          </w:p>
        </w:tc>
      </w:tr>
      <w:tr w:rsidR="00C253B9" w:rsidRPr="00885089" w14:paraId="38DA3181" w14:textId="77777777" w:rsidTr="005F0C0C">
        <w:tc>
          <w:tcPr>
            <w:tcW w:w="1150" w:type="pct"/>
          </w:tcPr>
          <w:p w14:paraId="35E5C32A" w14:textId="77777777" w:rsidR="00C253B9" w:rsidRPr="00885089" w:rsidRDefault="00C253B9" w:rsidP="00C253B9">
            <w:pPr>
              <w:rPr>
                <w:rFonts w:ascii="Calibri" w:eastAsia="Calibri" w:hAnsi="Calibri" w:cs="Times New Roman"/>
              </w:rPr>
            </w:pPr>
            <w:r w:rsidRPr="00885089">
              <w:rPr>
                <w:rFonts w:ascii="Calibri" w:eastAsia="Calibri" w:hAnsi="Calibri" w:cs="Times New Roman"/>
              </w:rPr>
              <w:t>Inspection</w:t>
            </w:r>
          </w:p>
        </w:tc>
        <w:tc>
          <w:tcPr>
            <w:tcW w:w="3850" w:type="pct"/>
          </w:tcPr>
          <w:p w14:paraId="4A7D029E" w14:textId="77777777" w:rsidR="00C253B9" w:rsidRPr="00885089" w:rsidRDefault="00C253B9" w:rsidP="00C253B9">
            <w:pPr>
              <w:spacing w:after="0"/>
              <w:rPr>
                <w:rFonts w:ascii="Calibri" w:eastAsia="Calibri" w:hAnsi="Calibri" w:cs="Times New Roman"/>
              </w:rPr>
            </w:pPr>
            <w:r w:rsidRPr="00885089">
              <w:rPr>
                <w:rFonts w:ascii="Calibri" w:eastAsia="Calibri" w:hAnsi="Calibri" w:cs="Times New Roman"/>
              </w:rPr>
              <w:t>VSO may conduct an inspection to assess whether or not a regulated entity complies with the legislation and any conditions of the approval they hold.</w:t>
            </w:r>
          </w:p>
        </w:tc>
      </w:tr>
      <w:tr w:rsidR="00C253B9" w:rsidRPr="00885089" w14:paraId="62155F35" w14:textId="77777777" w:rsidTr="005F0C0C">
        <w:trPr>
          <w:cnfStyle w:val="000000010000" w:firstRow="0" w:lastRow="0" w:firstColumn="0" w:lastColumn="0" w:oddVBand="0" w:evenVBand="0" w:oddHBand="0" w:evenHBand="1" w:firstRowFirstColumn="0" w:firstRowLastColumn="0" w:lastRowFirstColumn="0" w:lastRowLastColumn="0"/>
        </w:trPr>
        <w:tc>
          <w:tcPr>
            <w:tcW w:w="1150" w:type="pct"/>
          </w:tcPr>
          <w:p w14:paraId="25A9EDFE" w14:textId="77777777" w:rsidR="00C253B9" w:rsidRPr="00885089" w:rsidRDefault="00C253B9" w:rsidP="00C253B9">
            <w:pPr>
              <w:rPr>
                <w:rFonts w:ascii="Calibri" w:eastAsia="Calibri" w:hAnsi="Calibri" w:cs="Times New Roman"/>
              </w:rPr>
            </w:pPr>
            <w:r w:rsidRPr="00885089">
              <w:rPr>
                <w:rFonts w:ascii="Calibri" w:eastAsia="Calibri" w:hAnsi="Calibri" w:cs="Times New Roman"/>
              </w:rPr>
              <w:t>Inspector</w:t>
            </w:r>
          </w:p>
        </w:tc>
        <w:tc>
          <w:tcPr>
            <w:tcW w:w="3850" w:type="pct"/>
          </w:tcPr>
          <w:p w14:paraId="031BF1BC" w14:textId="77777777" w:rsidR="00C253B9" w:rsidRPr="00885089" w:rsidRDefault="00C253B9">
            <w:pPr>
              <w:spacing w:after="0"/>
              <w:rPr>
                <w:rFonts w:ascii="Calibri" w:eastAsia="Calibri" w:hAnsi="Calibri" w:cs="Times New Roman"/>
              </w:rPr>
            </w:pPr>
            <w:r w:rsidRPr="00885089">
              <w:rPr>
                <w:rFonts w:ascii="Calibri" w:eastAsia="Calibri" w:hAnsi="Calibri" w:cs="Times New Roman"/>
              </w:rPr>
              <w:t xml:space="preserve">A person appointed </w:t>
            </w:r>
            <w:r w:rsidR="00F53AC6">
              <w:rPr>
                <w:rFonts w:ascii="Calibri" w:eastAsia="Calibri" w:hAnsi="Calibri" w:cs="Times New Roman"/>
              </w:rPr>
              <w:t>by the Secretary</w:t>
            </w:r>
            <w:r w:rsidRPr="00885089">
              <w:rPr>
                <w:rFonts w:ascii="Calibri" w:eastAsia="Calibri" w:hAnsi="Calibri" w:cs="Times New Roman"/>
              </w:rPr>
              <w:t xml:space="preserve"> </w:t>
            </w:r>
            <w:r w:rsidR="00F53AC6">
              <w:rPr>
                <w:rFonts w:ascii="Calibri" w:eastAsia="Calibri" w:hAnsi="Calibri" w:cs="Times New Roman"/>
              </w:rPr>
              <w:t xml:space="preserve">under section 49 of the RVSA </w:t>
            </w:r>
            <w:r w:rsidRPr="00885089">
              <w:rPr>
                <w:rFonts w:ascii="Calibri" w:eastAsia="Calibri" w:hAnsi="Calibri" w:cs="Times New Roman"/>
              </w:rPr>
              <w:t xml:space="preserve">to exercise </w:t>
            </w:r>
            <w:r w:rsidR="00F53AC6">
              <w:rPr>
                <w:rFonts w:ascii="Calibri" w:eastAsia="Calibri" w:hAnsi="Calibri" w:cs="Times New Roman"/>
              </w:rPr>
              <w:t>the</w:t>
            </w:r>
            <w:r w:rsidRPr="00885089">
              <w:rPr>
                <w:rFonts w:ascii="Calibri" w:eastAsia="Calibri" w:hAnsi="Calibri" w:cs="Times New Roman"/>
              </w:rPr>
              <w:t xml:space="preserve"> functions </w:t>
            </w:r>
            <w:r w:rsidR="00F53AC6">
              <w:rPr>
                <w:rFonts w:ascii="Calibri" w:eastAsia="Calibri" w:hAnsi="Calibri" w:cs="Times New Roman"/>
              </w:rPr>
              <w:t>and powers conferred on them, subject to conditions and restrictions specified in the person’s instrument of appointment.</w:t>
            </w:r>
            <w:r w:rsidR="00F53AC6" w:rsidRPr="00885089" w:rsidDel="00F53AC6">
              <w:rPr>
                <w:rFonts w:ascii="Calibri" w:eastAsia="Calibri" w:hAnsi="Calibri" w:cs="Times New Roman"/>
              </w:rPr>
              <w:t xml:space="preserve"> </w:t>
            </w:r>
          </w:p>
        </w:tc>
      </w:tr>
      <w:tr w:rsidR="00C253B9" w:rsidRPr="00885089" w14:paraId="1B42CF11" w14:textId="77777777" w:rsidTr="005F0C0C">
        <w:tc>
          <w:tcPr>
            <w:tcW w:w="1150" w:type="pct"/>
          </w:tcPr>
          <w:p w14:paraId="68F27102" w14:textId="77777777" w:rsidR="00C253B9" w:rsidRPr="00885089" w:rsidRDefault="00C253B9" w:rsidP="00C253B9">
            <w:pPr>
              <w:rPr>
                <w:rFonts w:ascii="Calibri" w:eastAsia="Calibri" w:hAnsi="Calibri" w:cs="Times New Roman"/>
              </w:rPr>
            </w:pPr>
            <w:r w:rsidRPr="00885089">
              <w:rPr>
                <w:rFonts w:ascii="Calibri" w:eastAsia="Calibri" w:hAnsi="Calibri" w:cs="Times New Roman"/>
              </w:rPr>
              <w:t>MVSA</w:t>
            </w:r>
          </w:p>
        </w:tc>
        <w:tc>
          <w:tcPr>
            <w:tcW w:w="3850" w:type="pct"/>
          </w:tcPr>
          <w:p w14:paraId="37E65B21" w14:textId="43D70FEB" w:rsidR="00C253B9" w:rsidRPr="00885089" w:rsidRDefault="00C253B9" w:rsidP="00E50438">
            <w:pPr>
              <w:spacing w:after="0"/>
              <w:rPr>
                <w:rFonts w:ascii="Calibri" w:eastAsia="Calibri" w:hAnsi="Calibri" w:cs="Times New Roman"/>
              </w:rPr>
            </w:pPr>
            <w:r w:rsidRPr="00AE5CA3">
              <w:rPr>
                <w:rFonts w:ascii="Calibri" w:eastAsia="Calibri" w:hAnsi="Calibri" w:cs="Times New Roman"/>
                <w:i/>
              </w:rPr>
              <w:t>Motor Vehicle Standards Act 1989</w:t>
            </w:r>
            <w:r w:rsidRPr="00885089">
              <w:rPr>
                <w:rFonts w:ascii="Calibri" w:eastAsia="Calibri" w:hAnsi="Calibri" w:cs="Times New Roman"/>
              </w:rPr>
              <w:t xml:space="preserve"> - legislation replaced by the </w:t>
            </w:r>
            <w:r w:rsidRPr="00AE5CA3">
              <w:rPr>
                <w:rFonts w:ascii="Calibri" w:eastAsia="Calibri" w:hAnsi="Calibri" w:cs="Times New Roman"/>
                <w:i/>
              </w:rPr>
              <w:t>Road Vehicle Standards Act</w:t>
            </w:r>
            <w:r w:rsidR="00E50438">
              <w:rPr>
                <w:rFonts w:ascii="Calibri" w:eastAsia="Calibri" w:hAnsi="Calibri" w:cs="Times New Roman"/>
                <w:i/>
              </w:rPr>
              <w:t> </w:t>
            </w:r>
            <w:r w:rsidRPr="00AE5CA3">
              <w:rPr>
                <w:rFonts w:ascii="Calibri" w:eastAsia="Calibri" w:hAnsi="Calibri" w:cs="Times New Roman"/>
                <w:i/>
              </w:rPr>
              <w:t>2018</w:t>
            </w:r>
            <w:r w:rsidRPr="00885089">
              <w:rPr>
                <w:rFonts w:ascii="Calibri" w:eastAsia="Calibri" w:hAnsi="Calibri" w:cs="Times New Roman"/>
              </w:rPr>
              <w:t xml:space="preserve"> from 1 July 2021</w:t>
            </w:r>
          </w:p>
        </w:tc>
      </w:tr>
      <w:tr w:rsidR="00287234" w:rsidRPr="00885089" w14:paraId="605FF1E8" w14:textId="77777777" w:rsidTr="005F0C0C">
        <w:trPr>
          <w:cnfStyle w:val="000000010000" w:firstRow="0" w:lastRow="0" w:firstColumn="0" w:lastColumn="0" w:oddVBand="0" w:evenVBand="0" w:oddHBand="0" w:evenHBand="1" w:firstRowFirstColumn="0" w:firstRowLastColumn="0" w:lastRowFirstColumn="0" w:lastRowLastColumn="0"/>
        </w:trPr>
        <w:tc>
          <w:tcPr>
            <w:tcW w:w="1150" w:type="pct"/>
          </w:tcPr>
          <w:p w14:paraId="6D0E7CFD" w14:textId="77777777" w:rsidR="00287234" w:rsidRPr="00885089" w:rsidRDefault="00287234" w:rsidP="00287234">
            <w:pPr>
              <w:rPr>
                <w:rFonts w:ascii="Calibri" w:eastAsia="Calibri" w:hAnsi="Calibri" w:cs="Times New Roman"/>
              </w:rPr>
            </w:pPr>
            <w:r w:rsidRPr="00885089">
              <w:rPr>
                <w:rFonts w:ascii="Calibri" w:eastAsia="Calibri" w:hAnsi="Calibri" w:cs="Times New Roman"/>
              </w:rPr>
              <w:t>RAV</w:t>
            </w:r>
          </w:p>
        </w:tc>
        <w:tc>
          <w:tcPr>
            <w:tcW w:w="3850" w:type="pct"/>
          </w:tcPr>
          <w:p w14:paraId="5FDDF07E" w14:textId="77777777" w:rsidR="00287234" w:rsidRPr="00885089" w:rsidRDefault="00287234" w:rsidP="00287234">
            <w:pPr>
              <w:rPr>
                <w:rFonts w:ascii="Calibri" w:eastAsia="Calibri" w:hAnsi="Calibri" w:cs="Times New Roman"/>
              </w:rPr>
            </w:pPr>
            <w:r w:rsidRPr="00885089">
              <w:rPr>
                <w:rFonts w:ascii="Calibri" w:eastAsia="Calibri" w:hAnsi="Calibri" w:cs="Times New Roman"/>
              </w:rPr>
              <w:t>Register of Approved Vehicles - an online, publicly searchable, database of vehicles approved for use on Australian roads.</w:t>
            </w:r>
          </w:p>
        </w:tc>
      </w:tr>
      <w:tr w:rsidR="00287234" w:rsidRPr="00885089" w14:paraId="4B90CEB3" w14:textId="77777777" w:rsidTr="005F0C0C">
        <w:tc>
          <w:tcPr>
            <w:tcW w:w="1150" w:type="pct"/>
          </w:tcPr>
          <w:p w14:paraId="5BD02CD8" w14:textId="77777777" w:rsidR="00287234" w:rsidRPr="00885089" w:rsidRDefault="00287234" w:rsidP="00287234">
            <w:pPr>
              <w:rPr>
                <w:rFonts w:ascii="Calibri" w:eastAsia="Calibri" w:hAnsi="Calibri" w:cs="Times New Roman"/>
              </w:rPr>
            </w:pPr>
            <w:r w:rsidRPr="00885089">
              <w:rPr>
                <w:rFonts w:ascii="Calibri" w:eastAsia="Calibri" w:hAnsi="Calibri" w:cs="Times New Roman"/>
              </w:rPr>
              <w:t>Regulated entity</w:t>
            </w:r>
          </w:p>
        </w:tc>
        <w:tc>
          <w:tcPr>
            <w:tcW w:w="3850" w:type="pct"/>
          </w:tcPr>
          <w:p w14:paraId="5C5532F5" w14:textId="77777777" w:rsidR="00287234" w:rsidRPr="00885089" w:rsidRDefault="00287234" w:rsidP="00287234">
            <w:pPr>
              <w:rPr>
                <w:rFonts w:ascii="Calibri" w:eastAsia="Calibri" w:hAnsi="Calibri" w:cs="Times New Roman"/>
              </w:rPr>
            </w:pPr>
            <w:r w:rsidRPr="00885089">
              <w:rPr>
                <w:rFonts w:ascii="Calibri" w:eastAsia="Calibri" w:hAnsi="Calibri" w:cs="Times New Roman"/>
              </w:rPr>
              <w:t xml:space="preserve">An individual or organisation engaged in the provision of motor vehicles or components to the Australian market, as authorised through a Licence/Approval issued by the Department of Infrastructure, Transport, Regional Development and Communications, in accordance with the legislation. </w:t>
            </w:r>
          </w:p>
        </w:tc>
      </w:tr>
      <w:tr w:rsidR="00287234" w:rsidRPr="00885089" w14:paraId="6C00A78D" w14:textId="77777777" w:rsidTr="005F0C0C">
        <w:trPr>
          <w:cnfStyle w:val="000000010000" w:firstRow="0" w:lastRow="0" w:firstColumn="0" w:lastColumn="0" w:oddVBand="0" w:evenVBand="0" w:oddHBand="0" w:evenHBand="1" w:firstRowFirstColumn="0" w:firstRowLastColumn="0" w:lastRowFirstColumn="0" w:lastRowLastColumn="0"/>
        </w:trPr>
        <w:tc>
          <w:tcPr>
            <w:tcW w:w="1150" w:type="pct"/>
          </w:tcPr>
          <w:p w14:paraId="0D567FDF" w14:textId="77777777" w:rsidR="00287234" w:rsidRPr="00885089" w:rsidRDefault="00287234" w:rsidP="00287234">
            <w:pPr>
              <w:rPr>
                <w:rFonts w:ascii="Calibri" w:eastAsia="Calibri" w:hAnsi="Calibri" w:cs="Times New Roman"/>
              </w:rPr>
            </w:pPr>
            <w:r w:rsidRPr="00885089">
              <w:rPr>
                <w:rFonts w:ascii="Calibri" w:eastAsia="Calibri" w:hAnsi="Calibri" w:cs="Times New Roman"/>
              </w:rPr>
              <w:t xml:space="preserve">Risk-based approach </w:t>
            </w:r>
          </w:p>
        </w:tc>
        <w:tc>
          <w:tcPr>
            <w:tcW w:w="3850" w:type="pct"/>
          </w:tcPr>
          <w:p w14:paraId="4A74557E" w14:textId="77777777" w:rsidR="00287234" w:rsidRPr="00885089" w:rsidRDefault="00287234" w:rsidP="00287234">
            <w:pPr>
              <w:rPr>
                <w:rFonts w:ascii="Calibri" w:eastAsia="Calibri" w:hAnsi="Calibri" w:cs="Times New Roman"/>
              </w:rPr>
            </w:pPr>
            <w:r w:rsidRPr="00885089">
              <w:rPr>
                <w:rFonts w:ascii="Calibri" w:eastAsia="Calibri" w:hAnsi="Calibri" w:cs="Times New Roman"/>
              </w:rPr>
              <w:t xml:space="preserve">A risk-based approach means that where the risk of an event is high or the consequence of an event is significant, there is a higher degree of compliance activity. Conversely, where the likelihood of an event is low and/or consequences of an event is minor, a lighter touch </w:t>
            </w:r>
            <w:r w:rsidR="00F82FBB">
              <w:rPr>
                <w:rFonts w:ascii="Calibri" w:eastAsia="Calibri" w:hAnsi="Calibri" w:cs="Times New Roman"/>
              </w:rPr>
              <w:t xml:space="preserve">proportionate compliance </w:t>
            </w:r>
            <w:r w:rsidRPr="00885089">
              <w:rPr>
                <w:rFonts w:ascii="Calibri" w:eastAsia="Calibri" w:hAnsi="Calibri" w:cs="Times New Roman"/>
              </w:rPr>
              <w:t>approach is taken.</w:t>
            </w:r>
          </w:p>
        </w:tc>
      </w:tr>
      <w:tr w:rsidR="00D53413" w:rsidRPr="00885089" w14:paraId="3F77B059" w14:textId="77777777" w:rsidTr="005F0C0C">
        <w:tc>
          <w:tcPr>
            <w:tcW w:w="1150" w:type="pct"/>
          </w:tcPr>
          <w:p w14:paraId="7028B1D3" w14:textId="77777777" w:rsidR="00D53413" w:rsidRPr="00885089" w:rsidRDefault="00D53413" w:rsidP="00287234">
            <w:pPr>
              <w:rPr>
                <w:rFonts w:ascii="Calibri" w:eastAsia="Calibri" w:hAnsi="Calibri" w:cs="Times New Roman"/>
              </w:rPr>
            </w:pPr>
            <w:r>
              <w:rPr>
                <w:rFonts w:ascii="Calibri" w:eastAsia="Calibri" w:hAnsi="Calibri" w:cs="Times New Roman"/>
              </w:rPr>
              <w:t>RVSA</w:t>
            </w:r>
          </w:p>
        </w:tc>
        <w:tc>
          <w:tcPr>
            <w:tcW w:w="3850" w:type="pct"/>
          </w:tcPr>
          <w:p w14:paraId="643AD12E" w14:textId="77777777" w:rsidR="00D53413" w:rsidRPr="006D26DD" w:rsidRDefault="00D53413" w:rsidP="00287234">
            <w:pPr>
              <w:rPr>
                <w:rFonts w:ascii="Calibri" w:eastAsia="Calibri" w:hAnsi="Calibri" w:cs="Times New Roman"/>
                <w:i/>
              </w:rPr>
            </w:pPr>
            <w:r w:rsidRPr="006D26DD">
              <w:rPr>
                <w:rFonts w:ascii="Calibri" w:eastAsia="Calibri" w:hAnsi="Calibri" w:cs="Times New Roman"/>
                <w:i/>
              </w:rPr>
              <w:t>Road Vehicle Standards Act 2018</w:t>
            </w:r>
          </w:p>
        </w:tc>
      </w:tr>
      <w:bookmarkEnd w:id="1"/>
    </w:tbl>
    <w:p w14:paraId="2F65CF4D" w14:textId="77777777" w:rsidR="00530946" w:rsidRDefault="00530946" w:rsidP="00D53413"/>
    <w:sectPr w:rsidR="00530946" w:rsidSect="00775456">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22482" w14:textId="77777777" w:rsidR="009F18AC" w:rsidRDefault="009F18AC" w:rsidP="008456D5">
      <w:pPr>
        <w:spacing w:before="0" w:after="0"/>
      </w:pPr>
      <w:r>
        <w:separator/>
      </w:r>
    </w:p>
  </w:endnote>
  <w:endnote w:type="continuationSeparator" w:id="0">
    <w:p w14:paraId="6C4286FC" w14:textId="77777777" w:rsidR="009F18AC" w:rsidRDefault="009F18A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8A1C" w14:textId="77777777" w:rsidR="006D26DD" w:rsidRDefault="006D26DD" w:rsidP="00180B5B">
    <w:pPr>
      <w:pStyle w:val="Footer"/>
      <w:spacing w:before="720"/>
      <w:jc w:val="right"/>
    </w:pPr>
    <w:r>
      <w:rPr>
        <w:noProof/>
        <w:lang w:eastAsia="en-AU"/>
      </w:rPr>
      <mc:AlternateContent>
        <mc:Choice Requires="wps">
          <w:drawing>
            <wp:anchor distT="0" distB="0" distL="114300" distR="114300" simplePos="0" relativeHeight="251661312" behindDoc="1" locked="1" layoutInCell="1" allowOverlap="1" wp14:anchorId="4931A6A9" wp14:editId="10D387E6">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3846F9C" w14:textId="16F19646" w:rsidR="006D26DD" w:rsidRPr="007A05BE" w:rsidRDefault="006D26DD"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5330F">
                            <w:rPr>
                              <w:rStyle w:val="PageNumber"/>
                              <w:noProof/>
                            </w:rPr>
                            <w:t>8</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1A6A9"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63846F9C" w14:textId="16F19646" w:rsidR="006D26DD" w:rsidRPr="007A05BE" w:rsidRDefault="006D26DD"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5330F">
                      <w:rPr>
                        <w:rStyle w:val="PageNumber"/>
                        <w:noProof/>
                      </w:rPr>
                      <w:t>8</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1E11489D" wp14:editId="181B8282">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149F6C10" w14:textId="7650BC3F" w:rsidR="006D26DD" w:rsidRDefault="006D26DD" w:rsidP="00180B5B">
                          <w:pPr>
                            <w:pStyle w:val="Footer"/>
                          </w:pPr>
                          <w:r>
                            <w:t>Compliance and Enforcement Strategy 2021 - 2023</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1489D"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561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p w14:paraId="149F6C10" w14:textId="7650BC3F" w:rsidR="006D26DD" w:rsidRDefault="006D26DD" w:rsidP="00180B5B">
                    <w:pPr>
                      <w:pStyle w:val="Footer"/>
                    </w:pPr>
                    <w:r>
                      <w:t>Compliance and Enforcement Strategy 2021 - 2023</w:t>
                    </w:r>
                  </w:p>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726A7609" wp14:editId="793F3C0A">
          <wp:simplePos x="0" y="0"/>
          <wp:positionH relativeFrom="page">
            <wp:align>right</wp:align>
          </wp:positionH>
          <wp:positionV relativeFrom="page">
            <wp:align>bottom</wp:align>
          </wp:positionV>
          <wp:extent cx="10692000" cy="183240"/>
          <wp:effectExtent l="0" t="0" r="0" b="7620"/>
          <wp:wrapNone/>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7716" w14:textId="77777777" w:rsidR="006D26DD" w:rsidRDefault="006D26DD" w:rsidP="004D1742">
    <w:pPr>
      <w:pStyle w:val="Footer"/>
      <w:spacing w:before="480"/>
    </w:pPr>
    <w:r>
      <w:rPr>
        <w:noProof/>
        <w:lang w:eastAsia="en-AU"/>
      </w:rPr>
      <mc:AlternateContent>
        <mc:Choice Requires="wps">
          <w:drawing>
            <wp:anchor distT="0" distB="0" distL="114300" distR="114300" simplePos="0" relativeHeight="251655168" behindDoc="1" locked="1" layoutInCell="1" allowOverlap="1" wp14:anchorId="09EF46BE" wp14:editId="3B79AB49">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69359A6" w14:textId="723578CA" w:rsidR="006D26DD" w:rsidRPr="007A05BE" w:rsidRDefault="006D26DD"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C45A0">
                            <w:rPr>
                              <w:rStyle w:val="PageNumber"/>
                              <w:noProof/>
                            </w:rPr>
                            <w:t>8</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F46BE"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269359A6" w14:textId="723578CA" w:rsidR="006D26DD" w:rsidRPr="007A05BE" w:rsidRDefault="006D26DD"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C45A0">
                      <w:rPr>
                        <w:rStyle w:val="PageNumber"/>
                        <w:noProof/>
                      </w:rPr>
                      <w:t>8</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4144" behindDoc="1" locked="1" layoutInCell="1" allowOverlap="1" wp14:anchorId="45ACD534" wp14:editId="127C02E3">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097E3EFD" w14:textId="079AD63B" w:rsidR="006D26DD" w:rsidRDefault="00B368EC" w:rsidP="007A05BE">
                          <w:pPr>
                            <w:pStyle w:val="Footer"/>
                            <w:jc w:val="right"/>
                          </w:pPr>
                          <w:r>
                            <w:t xml:space="preserve">VSS.POL.13.0.2 </w:t>
                          </w:r>
                          <w:r w:rsidR="006D26DD">
                            <w:t>Compliance and Enforcement Strategy 2021 - 2023</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CD534" id="Text Box 3" o:spid="_x0000_s1029" type="#_x0000_t202" alt="Title: background - Description: background" style="position:absolute;margin-left:288.95pt;margin-top:0;width:340.15pt;height:42.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p w14:paraId="097E3EFD" w14:textId="079AD63B" w:rsidR="006D26DD" w:rsidRDefault="00B368EC" w:rsidP="007A05BE">
                    <w:pPr>
                      <w:pStyle w:val="Footer"/>
                      <w:jc w:val="right"/>
                    </w:pPr>
                    <w:r>
                      <w:t xml:space="preserve">VSS.POL.13.0.2 </w:t>
                    </w:r>
                    <w:r w:rsidR="006D26DD">
                      <w:t>Compliance and Enforcement Strategy 2021 - 2023</w:t>
                    </w:r>
                  </w:p>
                </w:txbxContent>
              </v:textbox>
              <w10:wrap anchorx="page" anchory="page"/>
              <w10:anchorlock/>
            </v:shape>
          </w:pict>
        </mc:Fallback>
      </mc:AlternateContent>
    </w:r>
    <w:r>
      <w:rPr>
        <w:noProof/>
        <w:lang w:eastAsia="en-AU"/>
      </w:rPr>
      <w:drawing>
        <wp:anchor distT="0" distB="0" distL="114300" distR="114300" simplePos="0" relativeHeight="251653120" behindDoc="1" locked="1" layoutInCell="1" allowOverlap="1" wp14:anchorId="3A876D85" wp14:editId="788163DA">
          <wp:simplePos x="0" y="0"/>
          <wp:positionH relativeFrom="page">
            <wp:align>right</wp:align>
          </wp:positionH>
          <wp:positionV relativeFrom="page">
            <wp:align>bottom</wp:align>
          </wp:positionV>
          <wp:extent cx="10692000" cy="183240"/>
          <wp:effectExtent l="0" t="0" r="0" b="7620"/>
          <wp:wrapNone/>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8546" w14:textId="77777777" w:rsidR="006D26DD" w:rsidRDefault="006D26DD" w:rsidP="004D1742">
    <w:pPr>
      <w:pStyle w:val="Footer"/>
      <w:spacing w:before="480"/>
    </w:pPr>
    <w:r>
      <w:rPr>
        <w:noProof/>
        <w:lang w:eastAsia="en-AU"/>
      </w:rPr>
      <mc:AlternateContent>
        <mc:Choice Requires="wps">
          <w:drawing>
            <wp:anchor distT="0" distB="0" distL="114300" distR="114300" simplePos="0" relativeHeight="251658240" behindDoc="1" locked="1" layoutInCell="1" allowOverlap="1" wp14:anchorId="3EE3417F" wp14:editId="2F54686C">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BAB47DF" w14:textId="701BBEFF" w:rsidR="006D26DD" w:rsidRPr="007A05BE" w:rsidRDefault="006D26DD"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C45A0">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3417F"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6BAB47DF" w14:textId="701BBEFF" w:rsidR="006D26DD" w:rsidRPr="007A05BE" w:rsidRDefault="006D26DD"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C45A0">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7216" behindDoc="1" locked="1" layoutInCell="1" allowOverlap="1" wp14:anchorId="5436D56B" wp14:editId="56A65012">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5532684B" w14:textId="18F4AE77" w:rsidR="006D26DD" w:rsidRDefault="00D049DA" w:rsidP="00D02062">
                          <w:pPr>
                            <w:pStyle w:val="Footer"/>
                            <w:jc w:val="right"/>
                          </w:pPr>
                          <w:r>
                            <w:t xml:space="preserve">VSS.POL.13.0.2 </w:t>
                          </w:r>
                          <w:r w:rsidR="006D26DD">
                            <w:t>Compliance and Enforcement Strategy 2021 - 2023</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6D56B" id="Text Box 7" o:spid="_x0000_s1031" type="#_x0000_t202" alt="Title: background - Description: background" style="position:absolute;margin-left:288.95pt;margin-top:0;width:340.15pt;height:42.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p w14:paraId="5532684B" w14:textId="18F4AE77" w:rsidR="006D26DD" w:rsidRDefault="00D049DA" w:rsidP="00D02062">
                    <w:pPr>
                      <w:pStyle w:val="Footer"/>
                      <w:jc w:val="right"/>
                    </w:pPr>
                    <w:r>
                      <w:t xml:space="preserve">VSS.POL.13.0.2 </w:t>
                    </w:r>
                    <w:r w:rsidR="006D26DD">
                      <w:t>Compliance and Enforcement Strategy 2021 - 2023</w:t>
                    </w:r>
                  </w:p>
                </w:txbxContent>
              </v:textbox>
              <w10:wrap anchorx="page" anchory="page"/>
              <w10:anchorlock/>
            </v:shape>
          </w:pict>
        </mc:Fallback>
      </mc:AlternateContent>
    </w:r>
    <w:r>
      <w:rPr>
        <w:noProof/>
        <w:lang w:eastAsia="en-AU"/>
      </w:rPr>
      <w:drawing>
        <wp:anchor distT="0" distB="0" distL="114300" distR="114300" simplePos="0" relativeHeight="251656192" behindDoc="1" locked="1" layoutInCell="1" allowOverlap="1" wp14:anchorId="455AB973" wp14:editId="448954BB">
          <wp:simplePos x="0" y="0"/>
          <wp:positionH relativeFrom="page">
            <wp:align>right</wp:align>
          </wp:positionH>
          <wp:positionV relativeFrom="page">
            <wp:align>bottom</wp:align>
          </wp:positionV>
          <wp:extent cx="10692000" cy="183240"/>
          <wp:effectExtent l="0" t="0" r="0" b="7620"/>
          <wp:wrapNone/>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6E962" w14:textId="77777777" w:rsidR="009F18AC" w:rsidRPr="005912BE" w:rsidRDefault="009F18AC" w:rsidP="005912BE">
      <w:pPr>
        <w:spacing w:before="300"/>
        <w:rPr>
          <w:color w:val="4BB3B5" w:themeColor="accent2"/>
        </w:rPr>
      </w:pPr>
      <w:r>
        <w:rPr>
          <w:color w:val="4BB3B5" w:themeColor="accent2"/>
        </w:rPr>
        <w:t>----------</w:t>
      </w:r>
    </w:p>
  </w:footnote>
  <w:footnote w:type="continuationSeparator" w:id="0">
    <w:p w14:paraId="288EFB61" w14:textId="77777777" w:rsidR="009F18AC" w:rsidRDefault="009F18A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5FB4" w14:textId="7921378B" w:rsidR="006D26DD" w:rsidRDefault="006D26DD"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A3CC" w14:textId="13CC33E5" w:rsidR="006D26DD" w:rsidRDefault="00590FDD" w:rsidP="00D53413">
    <w:pPr>
      <w:pStyle w:val="Header"/>
      <w:spacing w:after="460"/>
    </w:pPr>
    <w:fldSimple w:instr=" STYLEREF  &quot;Heading 1&quot; \l  \* MERGEFORMAT ">
      <w:r w:rsidR="000C45A0">
        <w:rPr>
          <w:noProof/>
        </w:rPr>
        <w:t>More information</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DD40" w14:textId="56982E96" w:rsidR="006D26DD" w:rsidRDefault="006D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6448"/>
    <w:multiLevelType w:val="hybridMultilevel"/>
    <w:tmpl w:val="B232A39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F0564E"/>
    <w:multiLevelType w:val="hybridMultilevel"/>
    <w:tmpl w:val="809C6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427246"/>
    <w:multiLevelType w:val="hybridMultilevel"/>
    <w:tmpl w:val="768C5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621AED"/>
    <w:multiLevelType w:val="multilevel"/>
    <w:tmpl w:val="C2EED61A"/>
    <w:numStyleLink w:val="NumberedHeadings"/>
  </w:abstractNum>
  <w:abstractNum w:abstractNumId="15" w15:restartNumberingAfterBreak="0">
    <w:nsid w:val="16520C8F"/>
    <w:multiLevelType w:val="hybridMultilevel"/>
    <w:tmpl w:val="EC9E0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7D7D8D"/>
    <w:multiLevelType w:val="hybridMultilevel"/>
    <w:tmpl w:val="1F1E1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C93183"/>
    <w:multiLevelType w:val="hybridMultilevel"/>
    <w:tmpl w:val="70D04A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A51938"/>
    <w:multiLevelType w:val="multilevel"/>
    <w:tmpl w:val="298C34E4"/>
    <w:numStyleLink w:val="AppendixNumbers"/>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DD64BC4"/>
    <w:multiLevelType w:val="hybridMultilevel"/>
    <w:tmpl w:val="BC9AD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BD68E6"/>
    <w:multiLevelType w:val="hybridMultilevel"/>
    <w:tmpl w:val="22B24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EA344D"/>
    <w:multiLevelType w:val="hybridMultilevel"/>
    <w:tmpl w:val="931E5F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EBF42A0"/>
    <w:multiLevelType w:val="hybridMultilevel"/>
    <w:tmpl w:val="8700A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3"/>
  </w:num>
  <w:num w:numId="26">
    <w:abstractNumId w:val="22"/>
  </w:num>
  <w:num w:numId="27">
    <w:abstractNumId w:val="10"/>
  </w:num>
  <w:num w:numId="28">
    <w:abstractNumId w:val="13"/>
  </w:num>
  <w:num w:numId="29">
    <w:abstractNumId w:val="15"/>
  </w:num>
  <w:num w:numId="30">
    <w:abstractNumId w:val="12"/>
  </w:num>
  <w:num w:numId="31">
    <w:abstractNumId w:val="27"/>
  </w:num>
  <w:num w:numId="32">
    <w:abstractNumId w:val="1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7B"/>
    <w:rsid w:val="00005AC7"/>
    <w:rsid w:val="000072C1"/>
    <w:rsid w:val="00013EEB"/>
    <w:rsid w:val="0001430B"/>
    <w:rsid w:val="00016679"/>
    <w:rsid w:val="00021A50"/>
    <w:rsid w:val="00032893"/>
    <w:rsid w:val="00041579"/>
    <w:rsid w:val="00042AF7"/>
    <w:rsid w:val="00043ED7"/>
    <w:rsid w:val="0004589B"/>
    <w:rsid w:val="00045E9A"/>
    <w:rsid w:val="00051564"/>
    <w:rsid w:val="00054986"/>
    <w:rsid w:val="00067307"/>
    <w:rsid w:val="00082F14"/>
    <w:rsid w:val="000961B1"/>
    <w:rsid w:val="000A0024"/>
    <w:rsid w:val="000A0C52"/>
    <w:rsid w:val="000A7566"/>
    <w:rsid w:val="000C1566"/>
    <w:rsid w:val="000C45A0"/>
    <w:rsid w:val="000C47DA"/>
    <w:rsid w:val="000C4B66"/>
    <w:rsid w:val="000D620B"/>
    <w:rsid w:val="000E24BA"/>
    <w:rsid w:val="000E5674"/>
    <w:rsid w:val="000E7CB9"/>
    <w:rsid w:val="000F4BC8"/>
    <w:rsid w:val="001041E8"/>
    <w:rsid w:val="001052FF"/>
    <w:rsid w:val="0011439A"/>
    <w:rsid w:val="00115444"/>
    <w:rsid w:val="0012185A"/>
    <w:rsid w:val="00123547"/>
    <w:rsid w:val="001349C6"/>
    <w:rsid w:val="00143FD2"/>
    <w:rsid w:val="001474F6"/>
    <w:rsid w:val="0015315C"/>
    <w:rsid w:val="00156EFA"/>
    <w:rsid w:val="00172B74"/>
    <w:rsid w:val="00180B5B"/>
    <w:rsid w:val="001854D2"/>
    <w:rsid w:val="00185E2F"/>
    <w:rsid w:val="00194D8C"/>
    <w:rsid w:val="001B3A7B"/>
    <w:rsid w:val="001C0879"/>
    <w:rsid w:val="001C3E30"/>
    <w:rsid w:val="001D4544"/>
    <w:rsid w:val="001E1EA6"/>
    <w:rsid w:val="001F4C90"/>
    <w:rsid w:val="00206506"/>
    <w:rsid w:val="00207A17"/>
    <w:rsid w:val="002254D5"/>
    <w:rsid w:val="002254E4"/>
    <w:rsid w:val="00225C0D"/>
    <w:rsid w:val="0022611D"/>
    <w:rsid w:val="00236501"/>
    <w:rsid w:val="0025719C"/>
    <w:rsid w:val="00263BAD"/>
    <w:rsid w:val="0026422D"/>
    <w:rsid w:val="002721B5"/>
    <w:rsid w:val="002738A2"/>
    <w:rsid w:val="00284164"/>
    <w:rsid w:val="00287234"/>
    <w:rsid w:val="002964BD"/>
    <w:rsid w:val="002977D5"/>
    <w:rsid w:val="002A3BE8"/>
    <w:rsid w:val="002B219C"/>
    <w:rsid w:val="002B3569"/>
    <w:rsid w:val="002B7197"/>
    <w:rsid w:val="002C584C"/>
    <w:rsid w:val="002C7AE6"/>
    <w:rsid w:val="002E1ADA"/>
    <w:rsid w:val="002F1149"/>
    <w:rsid w:val="002F1659"/>
    <w:rsid w:val="002F38D3"/>
    <w:rsid w:val="00300D1B"/>
    <w:rsid w:val="00310F4D"/>
    <w:rsid w:val="00317C51"/>
    <w:rsid w:val="00343AF6"/>
    <w:rsid w:val="003506FE"/>
    <w:rsid w:val="00356D78"/>
    <w:rsid w:val="00362D57"/>
    <w:rsid w:val="003720E9"/>
    <w:rsid w:val="0037656A"/>
    <w:rsid w:val="003822EE"/>
    <w:rsid w:val="00384B99"/>
    <w:rsid w:val="00387401"/>
    <w:rsid w:val="00390F48"/>
    <w:rsid w:val="00395042"/>
    <w:rsid w:val="00395ECA"/>
    <w:rsid w:val="003A38C0"/>
    <w:rsid w:val="003A66CC"/>
    <w:rsid w:val="003B3F69"/>
    <w:rsid w:val="003B4515"/>
    <w:rsid w:val="003C625A"/>
    <w:rsid w:val="003C6B27"/>
    <w:rsid w:val="003F58F9"/>
    <w:rsid w:val="003F5B98"/>
    <w:rsid w:val="003F775D"/>
    <w:rsid w:val="004116B0"/>
    <w:rsid w:val="00412109"/>
    <w:rsid w:val="00414A23"/>
    <w:rsid w:val="00420026"/>
    <w:rsid w:val="00420F04"/>
    <w:rsid w:val="0043622A"/>
    <w:rsid w:val="004420C6"/>
    <w:rsid w:val="00442EF3"/>
    <w:rsid w:val="00450D0E"/>
    <w:rsid w:val="004577EB"/>
    <w:rsid w:val="004759F0"/>
    <w:rsid w:val="004764F1"/>
    <w:rsid w:val="00476BA7"/>
    <w:rsid w:val="00477E77"/>
    <w:rsid w:val="00487221"/>
    <w:rsid w:val="004A50FA"/>
    <w:rsid w:val="004A6744"/>
    <w:rsid w:val="004A7979"/>
    <w:rsid w:val="004B1EFB"/>
    <w:rsid w:val="004C36E7"/>
    <w:rsid w:val="004C3C2D"/>
    <w:rsid w:val="004C7337"/>
    <w:rsid w:val="004D1742"/>
    <w:rsid w:val="004E2F26"/>
    <w:rsid w:val="004E7AF1"/>
    <w:rsid w:val="004F77AA"/>
    <w:rsid w:val="005067A1"/>
    <w:rsid w:val="00514CCA"/>
    <w:rsid w:val="0052101E"/>
    <w:rsid w:val="00530946"/>
    <w:rsid w:val="00541213"/>
    <w:rsid w:val="00544F19"/>
    <w:rsid w:val="00546218"/>
    <w:rsid w:val="005502AD"/>
    <w:rsid w:val="00551086"/>
    <w:rsid w:val="0056125F"/>
    <w:rsid w:val="0056289B"/>
    <w:rsid w:val="00562CC3"/>
    <w:rsid w:val="005641FB"/>
    <w:rsid w:val="005653A9"/>
    <w:rsid w:val="00567FC7"/>
    <w:rsid w:val="00572054"/>
    <w:rsid w:val="00590FDD"/>
    <w:rsid w:val="005912BE"/>
    <w:rsid w:val="005A418F"/>
    <w:rsid w:val="005B1CA3"/>
    <w:rsid w:val="005B342B"/>
    <w:rsid w:val="005C1A56"/>
    <w:rsid w:val="005E5CA6"/>
    <w:rsid w:val="005F0C0C"/>
    <w:rsid w:val="005F6621"/>
    <w:rsid w:val="005F794B"/>
    <w:rsid w:val="00600787"/>
    <w:rsid w:val="0060402D"/>
    <w:rsid w:val="00604DF8"/>
    <w:rsid w:val="00611CC1"/>
    <w:rsid w:val="006120F4"/>
    <w:rsid w:val="00622F11"/>
    <w:rsid w:val="00623B02"/>
    <w:rsid w:val="00654CB4"/>
    <w:rsid w:val="00654E92"/>
    <w:rsid w:val="00656862"/>
    <w:rsid w:val="006570D7"/>
    <w:rsid w:val="00683B61"/>
    <w:rsid w:val="00684A0C"/>
    <w:rsid w:val="006857F0"/>
    <w:rsid w:val="00686A7B"/>
    <w:rsid w:val="00690A65"/>
    <w:rsid w:val="00690C8D"/>
    <w:rsid w:val="00693925"/>
    <w:rsid w:val="00696FFC"/>
    <w:rsid w:val="006A266A"/>
    <w:rsid w:val="006B4FC0"/>
    <w:rsid w:val="006C081B"/>
    <w:rsid w:val="006C19CE"/>
    <w:rsid w:val="006C53B0"/>
    <w:rsid w:val="006D26DD"/>
    <w:rsid w:val="006D2C7C"/>
    <w:rsid w:val="006D2DA1"/>
    <w:rsid w:val="006E1ECA"/>
    <w:rsid w:val="006E5592"/>
    <w:rsid w:val="007007BC"/>
    <w:rsid w:val="00703D15"/>
    <w:rsid w:val="0071298C"/>
    <w:rsid w:val="00717DB6"/>
    <w:rsid w:val="00721B9B"/>
    <w:rsid w:val="0072324A"/>
    <w:rsid w:val="0072376D"/>
    <w:rsid w:val="0076260C"/>
    <w:rsid w:val="00764E32"/>
    <w:rsid w:val="00765116"/>
    <w:rsid w:val="0077102E"/>
    <w:rsid w:val="00775456"/>
    <w:rsid w:val="00797C2A"/>
    <w:rsid w:val="007A05BE"/>
    <w:rsid w:val="007A05DB"/>
    <w:rsid w:val="007A4BCB"/>
    <w:rsid w:val="007B58B8"/>
    <w:rsid w:val="007C12B5"/>
    <w:rsid w:val="007C16AB"/>
    <w:rsid w:val="007D1D1C"/>
    <w:rsid w:val="007D3B00"/>
    <w:rsid w:val="007E4066"/>
    <w:rsid w:val="007E4270"/>
    <w:rsid w:val="007E51D2"/>
    <w:rsid w:val="007F625A"/>
    <w:rsid w:val="007F7986"/>
    <w:rsid w:val="008067A1"/>
    <w:rsid w:val="008108B6"/>
    <w:rsid w:val="00812047"/>
    <w:rsid w:val="00813CBD"/>
    <w:rsid w:val="00816E52"/>
    <w:rsid w:val="008253B3"/>
    <w:rsid w:val="008262A9"/>
    <w:rsid w:val="008430E6"/>
    <w:rsid w:val="008456D5"/>
    <w:rsid w:val="0084634B"/>
    <w:rsid w:val="00850AEF"/>
    <w:rsid w:val="0085330F"/>
    <w:rsid w:val="008539DE"/>
    <w:rsid w:val="008573FD"/>
    <w:rsid w:val="0085770C"/>
    <w:rsid w:val="008724A5"/>
    <w:rsid w:val="008772F4"/>
    <w:rsid w:val="00885089"/>
    <w:rsid w:val="008940ED"/>
    <w:rsid w:val="008A1887"/>
    <w:rsid w:val="008A5940"/>
    <w:rsid w:val="008A6C3E"/>
    <w:rsid w:val="008B6A81"/>
    <w:rsid w:val="008C53DF"/>
    <w:rsid w:val="008D1669"/>
    <w:rsid w:val="008D6AF9"/>
    <w:rsid w:val="008E2A0D"/>
    <w:rsid w:val="008E79DC"/>
    <w:rsid w:val="008F1279"/>
    <w:rsid w:val="008F23BB"/>
    <w:rsid w:val="008F26E5"/>
    <w:rsid w:val="008F36B3"/>
    <w:rsid w:val="008F4E6B"/>
    <w:rsid w:val="0090385B"/>
    <w:rsid w:val="009118D2"/>
    <w:rsid w:val="00912A2E"/>
    <w:rsid w:val="009130CC"/>
    <w:rsid w:val="00913F7D"/>
    <w:rsid w:val="00921DCB"/>
    <w:rsid w:val="00927BC5"/>
    <w:rsid w:val="00927E22"/>
    <w:rsid w:val="00930CF1"/>
    <w:rsid w:val="00955816"/>
    <w:rsid w:val="009618F9"/>
    <w:rsid w:val="00961F98"/>
    <w:rsid w:val="009729D8"/>
    <w:rsid w:val="00972CDD"/>
    <w:rsid w:val="00975014"/>
    <w:rsid w:val="009909EC"/>
    <w:rsid w:val="00996B8C"/>
    <w:rsid w:val="0099778D"/>
    <w:rsid w:val="009A3ADA"/>
    <w:rsid w:val="009B00F2"/>
    <w:rsid w:val="009B3D01"/>
    <w:rsid w:val="009B4F68"/>
    <w:rsid w:val="009B6C4C"/>
    <w:rsid w:val="009C2BA6"/>
    <w:rsid w:val="009D7280"/>
    <w:rsid w:val="009E03D5"/>
    <w:rsid w:val="009E2556"/>
    <w:rsid w:val="009E4220"/>
    <w:rsid w:val="009E6EEA"/>
    <w:rsid w:val="009F18AC"/>
    <w:rsid w:val="009F3B7B"/>
    <w:rsid w:val="009F41E2"/>
    <w:rsid w:val="009F6833"/>
    <w:rsid w:val="009F7705"/>
    <w:rsid w:val="00A02614"/>
    <w:rsid w:val="00A070A2"/>
    <w:rsid w:val="00A13928"/>
    <w:rsid w:val="00A146EE"/>
    <w:rsid w:val="00A34E3A"/>
    <w:rsid w:val="00A43389"/>
    <w:rsid w:val="00A46E46"/>
    <w:rsid w:val="00A5428E"/>
    <w:rsid w:val="00A55479"/>
    <w:rsid w:val="00A62376"/>
    <w:rsid w:val="00A62B7A"/>
    <w:rsid w:val="00A666B6"/>
    <w:rsid w:val="00A77088"/>
    <w:rsid w:val="00A81A13"/>
    <w:rsid w:val="00A8311D"/>
    <w:rsid w:val="00A95970"/>
    <w:rsid w:val="00A95BB4"/>
    <w:rsid w:val="00AA63A9"/>
    <w:rsid w:val="00AB3422"/>
    <w:rsid w:val="00AB5EDE"/>
    <w:rsid w:val="00AD02AE"/>
    <w:rsid w:val="00AD7703"/>
    <w:rsid w:val="00AE51CE"/>
    <w:rsid w:val="00AE5CA3"/>
    <w:rsid w:val="00B012BB"/>
    <w:rsid w:val="00B0484D"/>
    <w:rsid w:val="00B0636E"/>
    <w:rsid w:val="00B12819"/>
    <w:rsid w:val="00B15B22"/>
    <w:rsid w:val="00B202A6"/>
    <w:rsid w:val="00B2146F"/>
    <w:rsid w:val="00B271E6"/>
    <w:rsid w:val="00B368EC"/>
    <w:rsid w:val="00B42AC2"/>
    <w:rsid w:val="00B56429"/>
    <w:rsid w:val="00B614A5"/>
    <w:rsid w:val="00B77EEE"/>
    <w:rsid w:val="00B93553"/>
    <w:rsid w:val="00B94B94"/>
    <w:rsid w:val="00BB3AAC"/>
    <w:rsid w:val="00BD4D1E"/>
    <w:rsid w:val="00BE3AD8"/>
    <w:rsid w:val="00BF0398"/>
    <w:rsid w:val="00BF5BCD"/>
    <w:rsid w:val="00C0013B"/>
    <w:rsid w:val="00C1182A"/>
    <w:rsid w:val="00C17CFC"/>
    <w:rsid w:val="00C253B9"/>
    <w:rsid w:val="00C3210A"/>
    <w:rsid w:val="00C461E6"/>
    <w:rsid w:val="00C50ECD"/>
    <w:rsid w:val="00C51DFB"/>
    <w:rsid w:val="00C64FC4"/>
    <w:rsid w:val="00C65AE9"/>
    <w:rsid w:val="00C8791B"/>
    <w:rsid w:val="00C9157A"/>
    <w:rsid w:val="00CA2E98"/>
    <w:rsid w:val="00CB4460"/>
    <w:rsid w:val="00CC0002"/>
    <w:rsid w:val="00CC0C67"/>
    <w:rsid w:val="00CC47E7"/>
    <w:rsid w:val="00CD233E"/>
    <w:rsid w:val="00CD61D5"/>
    <w:rsid w:val="00CF4200"/>
    <w:rsid w:val="00CF6CFD"/>
    <w:rsid w:val="00D02062"/>
    <w:rsid w:val="00D049DA"/>
    <w:rsid w:val="00D10EEB"/>
    <w:rsid w:val="00D12FEC"/>
    <w:rsid w:val="00D24157"/>
    <w:rsid w:val="00D25BD6"/>
    <w:rsid w:val="00D37705"/>
    <w:rsid w:val="00D413DA"/>
    <w:rsid w:val="00D42BD1"/>
    <w:rsid w:val="00D43367"/>
    <w:rsid w:val="00D53413"/>
    <w:rsid w:val="00D5655E"/>
    <w:rsid w:val="00D61133"/>
    <w:rsid w:val="00D7514E"/>
    <w:rsid w:val="00D77B6B"/>
    <w:rsid w:val="00D83D21"/>
    <w:rsid w:val="00D93CAA"/>
    <w:rsid w:val="00D94290"/>
    <w:rsid w:val="00DA1AB6"/>
    <w:rsid w:val="00DB7847"/>
    <w:rsid w:val="00DB7FD4"/>
    <w:rsid w:val="00DC5DAF"/>
    <w:rsid w:val="00DD00A9"/>
    <w:rsid w:val="00DD531D"/>
    <w:rsid w:val="00DE4362"/>
    <w:rsid w:val="00DE4FE2"/>
    <w:rsid w:val="00DE50B2"/>
    <w:rsid w:val="00DF1A7C"/>
    <w:rsid w:val="00DF5707"/>
    <w:rsid w:val="00DF7DF9"/>
    <w:rsid w:val="00E006A2"/>
    <w:rsid w:val="00E04908"/>
    <w:rsid w:val="00E05CE4"/>
    <w:rsid w:val="00E149B5"/>
    <w:rsid w:val="00E149BF"/>
    <w:rsid w:val="00E20B81"/>
    <w:rsid w:val="00E20CD4"/>
    <w:rsid w:val="00E2218A"/>
    <w:rsid w:val="00E25614"/>
    <w:rsid w:val="00E366E2"/>
    <w:rsid w:val="00E50438"/>
    <w:rsid w:val="00E636B6"/>
    <w:rsid w:val="00E65DCE"/>
    <w:rsid w:val="00E716C5"/>
    <w:rsid w:val="00E7758C"/>
    <w:rsid w:val="00E82714"/>
    <w:rsid w:val="00E84A8A"/>
    <w:rsid w:val="00E874AF"/>
    <w:rsid w:val="00E94FDD"/>
    <w:rsid w:val="00E9589A"/>
    <w:rsid w:val="00E95B92"/>
    <w:rsid w:val="00E95BA5"/>
    <w:rsid w:val="00EA29B5"/>
    <w:rsid w:val="00EA32F2"/>
    <w:rsid w:val="00EA5887"/>
    <w:rsid w:val="00EA5E36"/>
    <w:rsid w:val="00EA6657"/>
    <w:rsid w:val="00EC05AF"/>
    <w:rsid w:val="00EC4AED"/>
    <w:rsid w:val="00ED048B"/>
    <w:rsid w:val="00ED3F26"/>
    <w:rsid w:val="00EE5B39"/>
    <w:rsid w:val="00EF0B5F"/>
    <w:rsid w:val="00EF6661"/>
    <w:rsid w:val="00F02065"/>
    <w:rsid w:val="00F06071"/>
    <w:rsid w:val="00F106E3"/>
    <w:rsid w:val="00F11869"/>
    <w:rsid w:val="00F12FF0"/>
    <w:rsid w:val="00F13CDA"/>
    <w:rsid w:val="00F1413D"/>
    <w:rsid w:val="00F1428D"/>
    <w:rsid w:val="00F20C8D"/>
    <w:rsid w:val="00F342DC"/>
    <w:rsid w:val="00F34C58"/>
    <w:rsid w:val="00F50F53"/>
    <w:rsid w:val="00F53AC6"/>
    <w:rsid w:val="00F541CF"/>
    <w:rsid w:val="00F55519"/>
    <w:rsid w:val="00F60EB4"/>
    <w:rsid w:val="00F60EEA"/>
    <w:rsid w:val="00F63D35"/>
    <w:rsid w:val="00F67CDB"/>
    <w:rsid w:val="00F7484F"/>
    <w:rsid w:val="00F75717"/>
    <w:rsid w:val="00F82FBB"/>
    <w:rsid w:val="00F85554"/>
    <w:rsid w:val="00F95103"/>
    <w:rsid w:val="00F9653A"/>
    <w:rsid w:val="00FA4CCA"/>
    <w:rsid w:val="00FA6EDF"/>
    <w:rsid w:val="00FC32B2"/>
    <w:rsid w:val="00FC34AF"/>
    <w:rsid w:val="00FD3AF6"/>
    <w:rsid w:val="00FE194B"/>
    <w:rsid w:val="00FE2DEF"/>
    <w:rsid w:val="00FE7F9D"/>
    <w:rsid w:val="00FF2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E9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D7514E"/>
    <w:pPr>
      <w:keepLines/>
      <w:tabs>
        <w:tab w:val="right" w:pos="9854"/>
      </w:tabs>
      <w:ind w:left="567" w:hanging="567"/>
    </w:pPr>
    <w:rPr>
      <w:sz w:val="24"/>
      <w:u w:color="4BB3B5" w:themeColor="accent2"/>
    </w:rPr>
  </w:style>
  <w:style w:type="paragraph" w:styleId="TOC2">
    <w:name w:val="toc 2"/>
    <w:basedOn w:val="Normal"/>
    <w:next w:val="Normal"/>
    <w:autoRedefine/>
    <w:uiPriority w:val="39"/>
    <w:rsid w:val="000A7566"/>
    <w:pPr>
      <w:keepLines/>
      <w:tabs>
        <w:tab w:val="right" w:pos="9854"/>
      </w:tabs>
      <w:spacing w:before="80"/>
      <w:ind w:left="128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BalloonText">
    <w:name w:val="Balloon Text"/>
    <w:basedOn w:val="Normal"/>
    <w:link w:val="BalloonTextChar"/>
    <w:uiPriority w:val="99"/>
    <w:semiHidden/>
    <w:unhideWhenUsed/>
    <w:rsid w:val="0053094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46"/>
    <w:rPr>
      <w:rFonts w:ascii="Segoe UI" w:hAnsi="Segoe UI" w:cs="Segoe UI"/>
      <w:kern w:val="12"/>
      <w:sz w:val="18"/>
      <w:szCs w:val="18"/>
    </w:rPr>
  </w:style>
  <w:style w:type="character" w:styleId="CommentReference">
    <w:name w:val="annotation reference"/>
    <w:basedOn w:val="DefaultParagraphFont"/>
    <w:uiPriority w:val="99"/>
    <w:semiHidden/>
    <w:unhideWhenUsed/>
    <w:rsid w:val="007F7986"/>
    <w:rPr>
      <w:sz w:val="16"/>
      <w:szCs w:val="16"/>
    </w:rPr>
  </w:style>
  <w:style w:type="paragraph" w:styleId="CommentText">
    <w:name w:val="annotation text"/>
    <w:basedOn w:val="Normal"/>
    <w:link w:val="CommentTextChar"/>
    <w:uiPriority w:val="99"/>
    <w:unhideWhenUsed/>
    <w:rsid w:val="007F7986"/>
  </w:style>
  <w:style w:type="character" w:customStyle="1" w:styleId="CommentTextChar">
    <w:name w:val="Comment Text Char"/>
    <w:basedOn w:val="DefaultParagraphFont"/>
    <w:link w:val="CommentText"/>
    <w:uiPriority w:val="99"/>
    <w:rsid w:val="007F7986"/>
    <w:rPr>
      <w:kern w:val="12"/>
    </w:rPr>
  </w:style>
  <w:style w:type="paragraph" w:styleId="CommentSubject">
    <w:name w:val="annotation subject"/>
    <w:basedOn w:val="CommentText"/>
    <w:next w:val="CommentText"/>
    <w:link w:val="CommentSubjectChar"/>
    <w:uiPriority w:val="99"/>
    <w:semiHidden/>
    <w:unhideWhenUsed/>
    <w:rsid w:val="007F7986"/>
    <w:rPr>
      <w:b/>
      <w:bCs/>
    </w:rPr>
  </w:style>
  <w:style w:type="character" w:customStyle="1" w:styleId="CommentSubjectChar">
    <w:name w:val="Comment Subject Char"/>
    <w:basedOn w:val="CommentTextChar"/>
    <w:link w:val="CommentSubject"/>
    <w:uiPriority w:val="99"/>
    <w:semiHidden/>
    <w:rsid w:val="007F7986"/>
    <w:rPr>
      <w:b/>
      <w:bCs/>
      <w:kern w:val="12"/>
    </w:rPr>
  </w:style>
  <w:style w:type="table" w:customStyle="1" w:styleId="GTA1">
    <w:name w:val="GTA1"/>
    <w:basedOn w:val="TableNormal"/>
    <w:next w:val="TableGrid"/>
    <w:rsid w:val="00885089"/>
    <w:pPr>
      <w:spacing w:before="0" w:after="0"/>
    </w:pPr>
    <w:rPr>
      <w:rFonts w:ascii="Times New Roman" w:eastAsia="Times New Roman" w:hAnsi="Times New Roman"/>
      <w:color w:val="auto"/>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1">
    <w:name w:val="Default Table 11"/>
    <w:basedOn w:val="TableNormal"/>
    <w:uiPriority w:val="99"/>
    <w:rsid w:val="00885089"/>
    <w:pPr>
      <w:spacing w:before="80"/>
    </w:pPr>
    <w:rPr>
      <w:color w:val="00000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styleId="ListParagraph">
    <w:name w:val="List Paragraph"/>
    <w:basedOn w:val="Normal"/>
    <w:uiPriority w:val="99"/>
    <w:unhideWhenUsed/>
    <w:qFormat/>
    <w:rsid w:val="0077102E"/>
    <w:pPr>
      <w:ind w:left="720"/>
      <w:contextualSpacing/>
    </w:pPr>
  </w:style>
  <w:style w:type="paragraph" w:styleId="Revision">
    <w:name w:val="Revision"/>
    <w:hidden/>
    <w:uiPriority w:val="99"/>
    <w:semiHidden/>
    <w:rsid w:val="006D2DA1"/>
    <w:pPr>
      <w:spacing w:before="0" w:after="0"/>
    </w:pPr>
    <w:rPr>
      <w:kern w:val="12"/>
    </w:rPr>
  </w:style>
  <w:style w:type="character" w:styleId="FollowedHyperlink">
    <w:name w:val="FollowedHyperlink"/>
    <w:basedOn w:val="DefaultParagraphFont"/>
    <w:uiPriority w:val="99"/>
    <w:semiHidden/>
    <w:unhideWhenUsed/>
    <w:rsid w:val="00343AF6"/>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5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infrastructure.gov.au/utilities/contact.aspx" TargetMode="External"/><Relationship Id="rId3" Type="http://schemas.openxmlformats.org/officeDocument/2006/relationships/styles" Target="styles.xml"/><Relationship Id="rId21" Type="http://schemas.openxmlformats.org/officeDocument/2006/relationships/hyperlink" Target="https://www.infrastructure.gov.au/vehicles/reporting/index.asp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frastructure.gov.au/vehicles/rvs/vehicle-type-approvals/opt-in-arrangements.aspx" TargetMode="External"/><Relationship Id="rId2" Type="http://schemas.openxmlformats.org/officeDocument/2006/relationships/numbering" Target="numbering.xml"/><Relationship Id="rId16" Type="http://schemas.openxmlformats.org/officeDocument/2006/relationships/hyperlink" Target="https://www.infrastructure.gov.au/vehicles/rvs/light_trailers.aspx" TargetMode="External"/><Relationship Id="rId20" Type="http://schemas.openxmlformats.org/officeDocument/2006/relationships/hyperlink" Target="https://infrastructure.gov.au/vehic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nfrastructure.gov.au/vehicles/compliance_and_enforcement/index.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3513</Words>
  <Characters>20028</Characters>
  <Application>Microsoft Office Word</Application>
  <DocSecurity>0</DocSecurity>
  <Lines>166</Lines>
  <Paragraphs>46</Paragraphs>
  <ScaleCrop>false</ScaleCrop>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2021-06-29T07:22:00Z</dcterms:created>
  <dcterms:modified xsi:type="dcterms:W3CDTF">2021-06-29T07:23:00Z</dcterms:modified>
</cp:coreProperties>
</file>