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DA74" w14:textId="65DC3015" w:rsidR="00B1460B" w:rsidRPr="00994E8B" w:rsidRDefault="001B0785" w:rsidP="00B34AEF">
      <w:pPr>
        <w:pStyle w:val="Heading1"/>
      </w:pPr>
      <w:r w:rsidRPr="00994E8B">
        <w:t>Regional Connectivity Program</w:t>
      </w:r>
      <w:r w:rsidR="00B1460B" w:rsidRPr="00994E8B">
        <w:br/>
      </w:r>
      <w:bookmarkStart w:id="0" w:name="_GoBack"/>
      <w:r w:rsidRPr="00994E8B">
        <w:t xml:space="preserve">Round </w:t>
      </w:r>
      <w:r w:rsidR="00887B9E" w:rsidRPr="00994E8B">
        <w:t>3</w:t>
      </w:r>
      <w:r w:rsidR="006248B3" w:rsidRPr="00994E8B">
        <w:t xml:space="preserve"> (</w:t>
      </w:r>
      <w:r w:rsidR="00FF1C51" w:rsidRPr="00994E8B">
        <w:t>with</w:t>
      </w:r>
      <w:r w:rsidR="006248B3" w:rsidRPr="00994E8B">
        <w:t xml:space="preserve"> </w:t>
      </w:r>
      <w:r w:rsidR="004F170F" w:rsidRPr="00994E8B">
        <w:t>Mobile Black Spo</w:t>
      </w:r>
      <w:r w:rsidR="001723E0" w:rsidRPr="00994E8B">
        <w:t>t</w:t>
      </w:r>
      <w:r w:rsidR="002E1C12" w:rsidRPr="00994E8B">
        <w:t xml:space="preserve"> </w:t>
      </w:r>
      <w:r w:rsidR="00FF1C51" w:rsidRPr="00994E8B">
        <w:t>(Round 7)</w:t>
      </w:r>
      <w:bookmarkEnd w:id="0"/>
      <w:r w:rsidR="00FF1C51" w:rsidRPr="00994E8B">
        <w:t xml:space="preserve"> </w:t>
      </w:r>
      <w:r w:rsidR="001723E0" w:rsidRPr="00994E8B">
        <w:t>opportunities</w:t>
      </w:r>
      <w:r w:rsidR="006248B3" w:rsidRPr="00994E8B">
        <w:t xml:space="preserve">) </w:t>
      </w:r>
      <w:r w:rsidRPr="00994E8B">
        <w:t>Grant Opportunity 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1460B" w:rsidRPr="00994E8B" w14:paraId="23F87605"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0A2A5961" w14:textId="77777777" w:rsidR="00B1460B" w:rsidRPr="00994E8B" w:rsidRDefault="00B1460B" w:rsidP="00624853">
            <w:pPr>
              <w:rPr>
                <w:color w:val="264F90"/>
              </w:rPr>
            </w:pPr>
            <w:r w:rsidRPr="00994E8B">
              <w:rPr>
                <w:color w:val="264F90"/>
              </w:rPr>
              <w:t>Opening date:</w:t>
            </w:r>
          </w:p>
        </w:tc>
        <w:tc>
          <w:tcPr>
            <w:tcW w:w="5941" w:type="dxa"/>
          </w:tcPr>
          <w:p w14:paraId="15B38B6C" w14:textId="6DE68525" w:rsidR="00B1460B" w:rsidRPr="00994E8B" w:rsidRDefault="00BD05F5" w:rsidP="00C80A6B">
            <w:pPr>
              <w:cnfStyle w:val="100000000000" w:firstRow="1" w:lastRow="0" w:firstColumn="0" w:lastColumn="0" w:oddVBand="0" w:evenVBand="0" w:oddHBand="0" w:evenHBand="0" w:firstRowFirstColumn="0" w:firstRowLastColumn="0" w:lastRowFirstColumn="0" w:lastRowLastColumn="0"/>
            </w:pPr>
            <w:r>
              <w:t>20</w:t>
            </w:r>
            <w:r w:rsidR="009C4E2E" w:rsidRPr="00994E8B">
              <w:t xml:space="preserve"> March 2023</w:t>
            </w:r>
          </w:p>
        </w:tc>
      </w:tr>
      <w:tr w:rsidR="00B1460B" w:rsidRPr="00994E8B" w14:paraId="25283B1B"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0DD451BF" w14:textId="77777777" w:rsidR="00B1460B" w:rsidRPr="00994E8B" w:rsidRDefault="00B1460B" w:rsidP="00624853">
            <w:pPr>
              <w:rPr>
                <w:color w:val="264F90"/>
              </w:rPr>
            </w:pPr>
            <w:r w:rsidRPr="00994E8B">
              <w:rPr>
                <w:color w:val="264F90"/>
              </w:rPr>
              <w:t>Closing date and time:</w:t>
            </w:r>
          </w:p>
        </w:tc>
        <w:tc>
          <w:tcPr>
            <w:tcW w:w="5941" w:type="dxa"/>
            <w:shd w:val="clear" w:color="auto" w:fill="auto"/>
          </w:tcPr>
          <w:p w14:paraId="2550BB25" w14:textId="42A50872" w:rsidR="00B1460B" w:rsidRPr="00994E8B" w:rsidRDefault="003211FA" w:rsidP="00C80A6B">
            <w:pPr>
              <w:cnfStyle w:val="100000000000" w:firstRow="1" w:lastRow="0" w:firstColumn="0" w:lastColumn="0" w:oddVBand="0" w:evenVBand="0" w:oddHBand="0" w:evenHBand="0" w:firstRowFirstColumn="0" w:firstRowLastColumn="0" w:lastRowFirstColumn="0" w:lastRowLastColumn="0"/>
            </w:pPr>
            <w:r w:rsidRPr="00994E8B">
              <w:t>17</w:t>
            </w:r>
            <w:r w:rsidR="00F65C53" w:rsidRPr="00994E8B">
              <w:t xml:space="preserve">.00 </w:t>
            </w:r>
            <w:r w:rsidR="00524F7C" w:rsidRPr="00994E8B">
              <w:t>AE</w:t>
            </w:r>
            <w:r w:rsidR="008F7BD2">
              <w:t>S</w:t>
            </w:r>
            <w:r w:rsidR="00B1460B" w:rsidRPr="00994E8B">
              <w:t>T</w:t>
            </w:r>
            <w:r w:rsidR="001B0785" w:rsidRPr="00994E8B">
              <w:t xml:space="preserve"> </w:t>
            </w:r>
            <w:r w:rsidR="00B1460B" w:rsidRPr="00994E8B">
              <w:t xml:space="preserve">on </w:t>
            </w:r>
            <w:r w:rsidR="009C4E2E" w:rsidRPr="00994E8B">
              <w:t>31 May</w:t>
            </w:r>
            <w:r w:rsidR="00711762" w:rsidRPr="00994E8B">
              <w:t xml:space="preserve"> 202</w:t>
            </w:r>
            <w:r w:rsidR="00D169D8" w:rsidRPr="00994E8B">
              <w:t>3</w:t>
            </w:r>
            <w:r w:rsidR="00711762" w:rsidRPr="00994E8B">
              <w:t xml:space="preserve"> (</w:t>
            </w:r>
            <w:r w:rsidR="00F97959" w:rsidRPr="00994E8B">
              <w:t>10</w:t>
            </w:r>
            <w:r w:rsidR="00711762" w:rsidRPr="00994E8B">
              <w:t xml:space="preserve"> weeks after opening)</w:t>
            </w:r>
          </w:p>
        </w:tc>
      </w:tr>
      <w:tr w:rsidR="00B1460B" w:rsidRPr="00994E8B" w14:paraId="14FDDCE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13704B49" w14:textId="77777777" w:rsidR="00B1460B" w:rsidRPr="00994E8B" w:rsidRDefault="00B1460B" w:rsidP="00624853">
            <w:pPr>
              <w:rPr>
                <w:color w:val="264F90"/>
              </w:rPr>
            </w:pPr>
            <w:r w:rsidRPr="00994E8B">
              <w:rPr>
                <w:color w:val="264F90"/>
              </w:rPr>
              <w:t>Commonwealth policy entity:</w:t>
            </w:r>
          </w:p>
        </w:tc>
        <w:tc>
          <w:tcPr>
            <w:tcW w:w="5941" w:type="dxa"/>
            <w:shd w:val="clear" w:color="auto" w:fill="auto"/>
          </w:tcPr>
          <w:p w14:paraId="5604E624" w14:textId="77777777" w:rsidR="00B1460B" w:rsidRPr="00994E8B" w:rsidRDefault="00711762" w:rsidP="00624853">
            <w:pPr>
              <w:cnfStyle w:val="100000000000" w:firstRow="1" w:lastRow="0" w:firstColumn="0" w:lastColumn="0" w:oddVBand="0" w:evenVBand="0" w:oddHBand="0" w:evenHBand="0" w:firstRowFirstColumn="0" w:firstRowLastColumn="0" w:lastRowFirstColumn="0" w:lastRowLastColumn="0"/>
            </w:pPr>
            <w:r w:rsidRPr="00994E8B">
              <w:t>Department of Infrastructure, Transport, Regional Development</w:t>
            </w:r>
            <w:r w:rsidR="00BF3327" w:rsidRPr="00994E8B">
              <w:t xml:space="preserve">, </w:t>
            </w:r>
            <w:r w:rsidRPr="00994E8B">
              <w:t>Communications</w:t>
            </w:r>
            <w:r w:rsidR="00BF3327" w:rsidRPr="00994E8B">
              <w:t xml:space="preserve"> and the Arts</w:t>
            </w:r>
          </w:p>
        </w:tc>
      </w:tr>
      <w:tr w:rsidR="0077121A" w:rsidRPr="00994E8B" w14:paraId="7FAE5939"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0F697F" w14:textId="77777777" w:rsidR="0077121A" w:rsidRPr="00994E8B" w:rsidRDefault="0077121A" w:rsidP="0077121A">
            <w:pPr>
              <w:rPr>
                <w:color w:val="264F90"/>
              </w:rPr>
            </w:pPr>
            <w:r w:rsidRPr="00994E8B">
              <w:rPr>
                <w:color w:val="264F90"/>
              </w:rPr>
              <w:t>Enquiries:</w:t>
            </w:r>
          </w:p>
        </w:tc>
        <w:tc>
          <w:tcPr>
            <w:tcW w:w="5941" w:type="dxa"/>
            <w:shd w:val="clear" w:color="auto" w:fill="auto"/>
          </w:tcPr>
          <w:p w14:paraId="6C4F0B18" w14:textId="33B5384D" w:rsidR="00C404E2" w:rsidRPr="00994E8B" w:rsidRDefault="00C404E2" w:rsidP="00C404E2">
            <w:pPr>
              <w:cnfStyle w:val="100000000000" w:firstRow="1" w:lastRow="0" w:firstColumn="0" w:lastColumn="0" w:oddVBand="0" w:evenVBand="0" w:oddHBand="0" w:evenHBand="0" w:firstRowFirstColumn="0" w:firstRowLastColumn="0" w:lastRowFirstColumn="0" w:lastRowLastColumn="0"/>
            </w:pPr>
            <w:r w:rsidRPr="00994E8B">
              <w:t xml:space="preserve">If you have any questions, please email us at </w:t>
            </w:r>
            <w:hyperlink r:id="rId12" w:history="1">
              <w:r w:rsidR="00145221" w:rsidRPr="00994E8B">
                <w:rPr>
                  <w:rStyle w:val="Hyperlink"/>
                </w:rPr>
                <w:t>regionalconnectivity@communications.gov.au</w:t>
              </w:r>
            </w:hyperlink>
            <w:r w:rsidRPr="00994E8B">
              <w:t>.</w:t>
            </w:r>
            <w:r w:rsidR="00145221" w:rsidRPr="00994E8B">
              <w:t xml:space="preserve"> </w:t>
            </w:r>
          </w:p>
          <w:p w14:paraId="2F698F61" w14:textId="4B2D7443" w:rsidR="0077121A" w:rsidRPr="00994E8B" w:rsidRDefault="00C404E2" w:rsidP="00C404E2">
            <w:pPr>
              <w:cnfStyle w:val="100000000000" w:firstRow="1" w:lastRow="0" w:firstColumn="0" w:lastColumn="0" w:oddVBand="0" w:evenVBand="0" w:oddHBand="0" w:evenHBand="0" w:firstRowFirstColumn="0" w:firstRowLastColumn="0" w:lastRowFirstColumn="0" w:lastRowLastColumn="0"/>
            </w:pPr>
            <w:r w:rsidRPr="00994E8B">
              <w:t xml:space="preserve">Questions should be sent no later than two weeks before </w:t>
            </w:r>
            <w:r w:rsidR="00807B0A" w:rsidRPr="00994E8B">
              <w:t xml:space="preserve">the </w:t>
            </w:r>
            <w:r w:rsidRPr="00994E8B">
              <w:t>clos</w:t>
            </w:r>
            <w:r w:rsidR="00807B0A" w:rsidRPr="00994E8B">
              <w:t>ing date</w:t>
            </w:r>
            <w:r w:rsidRPr="00994E8B">
              <w:t>.</w:t>
            </w:r>
          </w:p>
        </w:tc>
      </w:tr>
      <w:tr w:rsidR="0077121A" w:rsidRPr="00994E8B" w14:paraId="74D5B28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EA1C981" w14:textId="77777777" w:rsidR="0077121A" w:rsidRPr="00994E8B" w:rsidRDefault="0077121A" w:rsidP="0077121A">
            <w:pPr>
              <w:rPr>
                <w:color w:val="264F90"/>
              </w:rPr>
            </w:pPr>
            <w:r w:rsidRPr="00994E8B">
              <w:rPr>
                <w:color w:val="264F90"/>
              </w:rPr>
              <w:t>Date guidelines released:</w:t>
            </w:r>
          </w:p>
        </w:tc>
        <w:tc>
          <w:tcPr>
            <w:tcW w:w="5941" w:type="dxa"/>
            <w:shd w:val="clear" w:color="auto" w:fill="auto"/>
          </w:tcPr>
          <w:p w14:paraId="7FBC45FB" w14:textId="59344A9A" w:rsidR="0077121A" w:rsidRPr="00994E8B" w:rsidRDefault="00BD05F5" w:rsidP="00C80A6B">
            <w:pPr>
              <w:cnfStyle w:val="100000000000" w:firstRow="1" w:lastRow="0" w:firstColumn="0" w:lastColumn="0" w:oddVBand="0" w:evenVBand="0" w:oddHBand="0" w:evenHBand="0" w:firstRowFirstColumn="0" w:firstRowLastColumn="0" w:lastRowFirstColumn="0" w:lastRowLastColumn="0"/>
            </w:pPr>
            <w:r>
              <w:t>20</w:t>
            </w:r>
            <w:r w:rsidR="009C4E2E" w:rsidRPr="00994E8B">
              <w:t xml:space="preserve"> March 2023</w:t>
            </w:r>
          </w:p>
        </w:tc>
      </w:tr>
      <w:tr w:rsidR="0077121A" w:rsidRPr="00994E8B" w14:paraId="0024EA58"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52DF6AC" w14:textId="77777777" w:rsidR="0077121A" w:rsidRPr="00994E8B" w:rsidRDefault="0077121A" w:rsidP="0077121A">
            <w:pPr>
              <w:rPr>
                <w:color w:val="264F90"/>
              </w:rPr>
            </w:pPr>
            <w:r w:rsidRPr="00994E8B">
              <w:rPr>
                <w:color w:val="264F90"/>
              </w:rPr>
              <w:t>Type of grant opportunity:</w:t>
            </w:r>
          </w:p>
        </w:tc>
        <w:tc>
          <w:tcPr>
            <w:tcW w:w="5941" w:type="dxa"/>
            <w:shd w:val="clear" w:color="auto" w:fill="auto"/>
          </w:tcPr>
          <w:p w14:paraId="0F5D0F69" w14:textId="77777777" w:rsidR="0077121A" w:rsidRPr="00994E8B" w:rsidRDefault="00AF03B8" w:rsidP="00C404E2">
            <w:pPr>
              <w:cnfStyle w:val="100000000000" w:firstRow="1" w:lastRow="0" w:firstColumn="0" w:lastColumn="0" w:oddVBand="0" w:evenVBand="0" w:oddHBand="0" w:evenHBand="0" w:firstRowFirstColumn="0" w:firstRowLastColumn="0" w:lastRowFirstColumn="0" w:lastRowLastColumn="0"/>
            </w:pPr>
            <w:r w:rsidRPr="00994E8B">
              <w:t xml:space="preserve">Targeted </w:t>
            </w:r>
            <w:r w:rsidR="00C404E2" w:rsidRPr="00994E8B">
              <w:t>competitive</w:t>
            </w:r>
          </w:p>
        </w:tc>
      </w:tr>
    </w:tbl>
    <w:p w14:paraId="233ED21D" w14:textId="77777777" w:rsidR="00C108BC" w:rsidRPr="00994E8B" w:rsidRDefault="00C108BC" w:rsidP="00077C3D"/>
    <w:p w14:paraId="16BED09E" w14:textId="77777777" w:rsidR="003871B6" w:rsidRPr="00994E8B" w:rsidRDefault="003871B6" w:rsidP="00077C3D">
      <w:pPr>
        <w:sectPr w:rsidR="003871B6" w:rsidRPr="00994E8B"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3155EF60" w14:textId="77777777" w:rsidR="00227D98" w:rsidRPr="00994E8B" w:rsidRDefault="00E31F9B" w:rsidP="00B34AEF">
      <w:pPr>
        <w:pStyle w:val="TOCHeading"/>
      </w:pPr>
      <w:bookmarkStart w:id="1" w:name="_Toc164844258"/>
      <w:bookmarkStart w:id="2" w:name="_Toc383003250"/>
      <w:bookmarkStart w:id="3" w:name="_Toc164844257"/>
      <w:r w:rsidRPr="00994E8B">
        <w:lastRenderedPageBreak/>
        <w:t>Contents</w:t>
      </w:r>
      <w:bookmarkEnd w:id="1"/>
      <w:bookmarkEnd w:id="2"/>
    </w:p>
    <w:p w14:paraId="4E7840C1" w14:textId="7EC591A6" w:rsidR="00A83AA2" w:rsidRDefault="004A238A">
      <w:pPr>
        <w:pStyle w:val="TOC2"/>
        <w:rPr>
          <w:rFonts w:asciiTheme="minorHAnsi" w:eastAsiaTheme="minorEastAsia" w:hAnsiTheme="minorHAnsi" w:cstheme="minorBidi"/>
          <w:b w:val="0"/>
          <w:noProof/>
          <w:sz w:val="22"/>
          <w:lang w:val="en-AU" w:eastAsia="en-AU"/>
        </w:rPr>
      </w:pPr>
      <w:r w:rsidRPr="00994E8B">
        <w:rPr>
          <w:sz w:val="18"/>
          <w:szCs w:val="28"/>
        </w:rPr>
        <w:fldChar w:fldCharType="begin"/>
      </w:r>
      <w:r w:rsidRPr="00994E8B">
        <w:rPr>
          <w:szCs w:val="28"/>
        </w:rPr>
        <w:instrText xml:space="preserve"> TOC \o "2-9" </w:instrText>
      </w:r>
      <w:r w:rsidRPr="00994E8B">
        <w:rPr>
          <w:sz w:val="18"/>
          <w:szCs w:val="28"/>
        </w:rPr>
        <w:fldChar w:fldCharType="separate"/>
      </w:r>
      <w:r w:rsidR="00A83AA2">
        <w:rPr>
          <w:noProof/>
        </w:rPr>
        <w:t>1</w:t>
      </w:r>
      <w:r w:rsidR="00A83AA2">
        <w:rPr>
          <w:rFonts w:asciiTheme="minorHAnsi" w:eastAsiaTheme="minorEastAsia" w:hAnsiTheme="minorHAnsi" w:cstheme="minorBidi"/>
          <w:b w:val="0"/>
          <w:noProof/>
          <w:sz w:val="22"/>
          <w:lang w:val="en-AU" w:eastAsia="en-AU"/>
        </w:rPr>
        <w:tab/>
      </w:r>
      <w:r w:rsidR="00A83AA2">
        <w:rPr>
          <w:noProof/>
        </w:rPr>
        <w:t>Round 3 of the Regional Connectivity Program – with Mobile Black Spot (Round 7) opportunities: processes</w:t>
      </w:r>
      <w:r w:rsidR="00A83AA2">
        <w:rPr>
          <w:noProof/>
        </w:rPr>
        <w:tab/>
      </w:r>
      <w:r w:rsidR="00A83AA2">
        <w:rPr>
          <w:noProof/>
        </w:rPr>
        <w:fldChar w:fldCharType="begin"/>
      </w:r>
      <w:r w:rsidR="00A83AA2">
        <w:rPr>
          <w:noProof/>
        </w:rPr>
        <w:instrText xml:space="preserve"> PAGEREF _Toc129956275 \h </w:instrText>
      </w:r>
      <w:r w:rsidR="00A83AA2">
        <w:rPr>
          <w:noProof/>
        </w:rPr>
      </w:r>
      <w:r w:rsidR="00A83AA2">
        <w:rPr>
          <w:noProof/>
        </w:rPr>
        <w:fldChar w:fldCharType="separate"/>
      </w:r>
      <w:r w:rsidR="00A83AA2">
        <w:rPr>
          <w:noProof/>
        </w:rPr>
        <w:t>5</w:t>
      </w:r>
      <w:r w:rsidR="00A83AA2">
        <w:rPr>
          <w:noProof/>
        </w:rPr>
        <w:fldChar w:fldCharType="end"/>
      </w:r>
    </w:p>
    <w:p w14:paraId="7659055A" w14:textId="41129DC6" w:rsidR="00A83AA2" w:rsidRDefault="00A83AA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_Toc129956276 \h </w:instrText>
      </w:r>
      <w:r>
        <w:rPr>
          <w:noProof/>
        </w:rPr>
      </w:r>
      <w:r>
        <w:rPr>
          <w:noProof/>
        </w:rPr>
        <w:fldChar w:fldCharType="separate"/>
      </w:r>
      <w:r>
        <w:rPr>
          <w:noProof/>
        </w:rPr>
        <w:t>6</w:t>
      </w:r>
      <w:r>
        <w:rPr>
          <w:noProof/>
        </w:rPr>
        <w:fldChar w:fldCharType="end"/>
      </w:r>
    </w:p>
    <w:p w14:paraId="502F3459" w14:textId="3A30ACB7" w:rsidR="00A83AA2" w:rsidRDefault="00A83AA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Better Connectivity Plan for Regional and Rural Australia</w:t>
      </w:r>
      <w:r>
        <w:rPr>
          <w:noProof/>
        </w:rPr>
        <w:tab/>
      </w:r>
      <w:r>
        <w:rPr>
          <w:noProof/>
        </w:rPr>
        <w:fldChar w:fldCharType="begin"/>
      </w:r>
      <w:r>
        <w:rPr>
          <w:noProof/>
        </w:rPr>
        <w:instrText xml:space="preserve"> PAGEREF _Toc129956277 \h </w:instrText>
      </w:r>
      <w:r>
        <w:rPr>
          <w:noProof/>
        </w:rPr>
      </w:r>
      <w:r>
        <w:rPr>
          <w:noProof/>
        </w:rPr>
        <w:fldChar w:fldCharType="separate"/>
      </w:r>
      <w:r>
        <w:rPr>
          <w:noProof/>
        </w:rPr>
        <w:t>6</w:t>
      </w:r>
      <w:r>
        <w:rPr>
          <w:noProof/>
        </w:rPr>
        <w:fldChar w:fldCharType="end"/>
      </w:r>
    </w:p>
    <w:p w14:paraId="3DF80E7A" w14:textId="78670791" w:rsidR="00A83AA2" w:rsidRDefault="00A83AA2">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Round 3</w:t>
      </w:r>
      <w:r>
        <w:rPr>
          <w:noProof/>
        </w:rPr>
        <w:tab/>
      </w:r>
      <w:r>
        <w:rPr>
          <w:noProof/>
        </w:rPr>
        <w:fldChar w:fldCharType="begin"/>
      </w:r>
      <w:r>
        <w:rPr>
          <w:noProof/>
        </w:rPr>
        <w:instrText xml:space="preserve"> PAGEREF _Toc129956278 \h </w:instrText>
      </w:r>
      <w:r>
        <w:rPr>
          <w:noProof/>
        </w:rPr>
      </w:r>
      <w:r>
        <w:rPr>
          <w:noProof/>
        </w:rPr>
        <w:fldChar w:fldCharType="separate"/>
      </w:r>
      <w:r>
        <w:rPr>
          <w:noProof/>
        </w:rPr>
        <w:t>7</w:t>
      </w:r>
      <w:r>
        <w:rPr>
          <w:noProof/>
        </w:rPr>
        <w:fldChar w:fldCharType="end"/>
      </w:r>
    </w:p>
    <w:p w14:paraId="7050377B" w14:textId="612EF17A" w:rsidR="00A83AA2" w:rsidRDefault="00A83AA2">
      <w:pPr>
        <w:pStyle w:val="TOC4"/>
        <w:rPr>
          <w:rFonts w:asciiTheme="minorHAnsi" w:eastAsiaTheme="minorEastAsia" w:hAnsiTheme="minorHAnsi" w:cstheme="minorBidi"/>
          <w:sz w:val="22"/>
          <w:szCs w:val="22"/>
          <w:lang w:eastAsia="en-AU"/>
        </w:rPr>
      </w:pPr>
      <w:r>
        <w:t>2.2.1</w:t>
      </w:r>
      <w:r>
        <w:rPr>
          <w:rFonts w:asciiTheme="minorHAnsi" w:eastAsiaTheme="minorEastAsia" w:hAnsiTheme="minorHAnsi" w:cstheme="minorBidi"/>
          <w:sz w:val="22"/>
          <w:szCs w:val="22"/>
          <w:lang w:eastAsia="en-AU"/>
        </w:rPr>
        <w:tab/>
      </w:r>
      <w:r>
        <w:t>Services and deliverables</w:t>
      </w:r>
      <w:r>
        <w:tab/>
      </w:r>
      <w:r>
        <w:fldChar w:fldCharType="begin"/>
      </w:r>
      <w:r>
        <w:instrText xml:space="preserve"> PAGEREF _Toc129956279 \h </w:instrText>
      </w:r>
      <w:r>
        <w:fldChar w:fldCharType="separate"/>
      </w:r>
      <w:r>
        <w:t>9</w:t>
      </w:r>
      <w:r>
        <w:fldChar w:fldCharType="end"/>
      </w:r>
    </w:p>
    <w:p w14:paraId="506D6FBB" w14:textId="2B7F7994" w:rsidR="00A83AA2" w:rsidRDefault="00A83AA2">
      <w:pPr>
        <w:pStyle w:val="TOC4"/>
        <w:rPr>
          <w:rFonts w:asciiTheme="minorHAnsi" w:eastAsiaTheme="minorEastAsia" w:hAnsiTheme="minorHAnsi" w:cstheme="minorBidi"/>
          <w:sz w:val="22"/>
          <w:szCs w:val="22"/>
          <w:lang w:eastAsia="en-AU"/>
        </w:rPr>
      </w:pPr>
      <w:r>
        <w:t>2.2.2</w:t>
      </w:r>
      <w:r>
        <w:rPr>
          <w:rFonts w:asciiTheme="minorHAnsi" w:eastAsiaTheme="minorEastAsia" w:hAnsiTheme="minorHAnsi" w:cstheme="minorBidi"/>
          <w:sz w:val="22"/>
          <w:szCs w:val="22"/>
          <w:lang w:eastAsia="en-AU"/>
        </w:rPr>
        <w:tab/>
      </w:r>
      <w:r>
        <w:t>Local community priority</w:t>
      </w:r>
      <w:r>
        <w:tab/>
      </w:r>
      <w:r>
        <w:fldChar w:fldCharType="begin"/>
      </w:r>
      <w:r>
        <w:instrText xml:space="preserve"> PAGEREF _Toc129956280 \h </w:instrText>
      </w:r>
      <w:r>
        <w:fldChar w:fldCharType="separate"/>
      </w:r>
      <w:r>
        <w:t>10</w:t>
      </w:r>
      <w:r>
        <w:fldChar w:fldCharType="end"/>
      </w:r>
    </w:p>
    <w:p w14:paraId="11643121" w14:textId="40937F04" w:rsidR="00A83AA2" w:rsidRDefault="00A83AA2">
      <w:pPr>
        <w:pStyle w:val="TOC4"/>
        <w:rPr>
          <w:rFonts w:asciiTheme="minorHAnsi" w:eastAsiaTheme="minorEastAsia" w:hAnsiTheme="minorHAnsi" w:cstheme="minorBidi"/>
          <w:sz w:val="22"/>
          <w:szCs w:val="22"/>
          <w:lang w:eastAsia="en-AU"/>
        </w:rPr>
      </w:pPr>
      <w:r>
        <w:t>2.2.3</w:t>
      </w:r>
      <w:r>
        <w:rPr>
          <w:rFonts w:asciiTheme="minorHAnsi" w:eastAsiaTheme="minorEastAsia" w:hAnsiTheme="minorHAnsi" w:cstheme="minorBidi"/>
          <w:sz w:val="22"/>
          <w:szCs w:val="22"/>
          <w:lang w:eastAsia="en-AU"/>
        </w:rPr>
        <w:tab/>
      </w:r>
      <w:r>
        <w:t>Operational period</w:t>
      </w:r>
      <w:r>
        <w:tab/>
      </w:r>
      <w:r>
        <w:fldChar w:fldCharType="begin"/>
      </w:r>
      <w:r>
        <w:instrText xml:space="preserve"> PAGEREF _Toc129956281 \h </w:instrText>
      </w:r>
      <w:r>
        <w:fldChar w:fldCharType="separate"/>
      </w:r>
      <w:r>
        <w:t>10</w:t>
      </w:r>
      <w:r>
        <w:fldChar w:fldCharType="end"/>
      </w:r>
    </w:p>
    <w:p w14:paraId="4BBD6A72" w14:textId="6F390AFB" w:rsidR="00A83AA2" w:rsidRDefault="00A83AA2">
      <w:pPr>
        <w:pStyle w:val="TOC4"/>
        <w:rPr>
          <w:rFonts w:asciiTheme="minorHAnsi" w:eastAsiaTheme="minorEastAsia" w:hAnsiTheme="minorHAnsi" w:cstheme="minorBidi"/>
          <w:sz w:val="22"/>
          <w:szCs w:val="22"/>
          <w:lang w:eastAsia="en-AU"/>
        </w:rPr>
      </w:pPr>
      <w:r>
        <w:t>2.2.4</w:t>
      </w:r>
      <w:r>
        <w:rPr>
          <w:rFonts w:asciiTheme="minorHAnsi" w:eastAsiaTheme="minorEastAsia" w:hAnsiTheme="minorHAnsi" w:cstheme="minorBidi"/>
          <w:sz w:val="22"/>
          <w:szCs w:val="22"/>
          <w:lang w:eastAsia="en-AU"/>
        </w:rPr>
        <w:tab/>
      </w:r>
      <w:r>
        <w:t>Application and selection process</w:t>
      </w:r>
      <w:r>
        <w:tab/>
      </w:r>
      <w:r>
        <w:fldChar w:fldCharType="begin"/>
      </w:r>
      <w:r>
        <w:instrText xml:space="preserve"> PAGEREF _Toc129956282 \h </w:instrText>
      </w:r>
      <w:r>
        <w:fldChar w:fldCharType="separate"/>
      </w:r>
      <w:r>
        <w:t>10</w:t>
      </w:r>
      <w:r>
        <w:fldChar w:fldCharType="end"/>
      </w:r>
    </w:p>
    <w:p w14:paraId="3CA97EBE" w14:textId="7466DA77" w:rsidR="00A83AA2" w:rsidRDefault="00A83AA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project period</w:t>
      </w:r>
      <w:r>
        <w:rPr>
          <w:noProof/>
        </w:rPr>
        <w:tab/>
      </w:r>
      <w:r>
        <w:rPr>
          <w:noProof/>
        </w:rPr>
        <w:fldChar w:fldCharType="begin"/>
      </w:r>
      <w:r>
        <w:rPr>
          <w:noProof/>
        </w:rPr>
        <w:instrText xml:space="preserve"> PAGEREF _Toc129956283 \h </w:instrText>
      </w:r>
      <w:r>
        <w:rPr>
          <w:noProof/>
        </w:rPr>
      </w:r>
      <w:r>
        <w:rPr>
          <w:noProof/>
        </w:rPr>
        <w:fldChar w:fldCharType="separate"/>
      </w:r>
      <w:r>
        <w:rPr>
          <w:noProof/>
        </w:rPr>
        <w:t>11</w:t>
      </w:r>
      <w:r>
        <w:rPr>
          <w:noProof/>
        </w:rPr>
        <w:fldChar w:fldCharType="end"/>
      </w:r>
    </w:p>
    <w:p w14:paraId="4D700502" w14:textId="53946ACD" w:rsidR="00A83AA2" w:rsidRDefault="00A83AA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_Toc129956284 \h </w:instrText>
      </w:r>
      <w:r>
        <w:rPr>
          <w:noProof/>
        </w:rPr>
      </w:r>
      <w:r>
        <w:rPr>
          <w:noProof/>
        </w:rPr>
        <w:fldChar w:fldCharType="separate"/>
      </w:r>
      <w:r>
        <w:rPr>
          <w:noProof/>
        </w:rPr>
        <w:t>11</w:t>
      </w:r>
      <w:r>
        <w:rPr>
          <w:noProof/>
        </w:rPr>
        <w:fldChar w:fldCharType="end"/>
      </w:r>
    </w:p>
    <w:p w14:paraId="5D7CEA3A" w14:textId="02758FD7" w:rsidR="00A83AA2" w:rsidRDefault="00A83AA2">
      <w:pPr>
        <w:pStyle w:val="TOC4"/>
        <w:rPr>
          <w:rFonts w:asciiTheme="minorHAnsi" w:eastAsiaTheme="minorEastAsia" w:hAnsiTheme="minorHAnsi" w:cstheme="minorBidi"/>
          <w:sz w:val="22"/>
          <w:szCs w:val="22"/>
          <w:lang w:eastAsia="en-AU"/>
        </w:rPr>
      </w:pPr>
      <w:r>
        <w:t>3.1.1</w:t>
      </w:r>
      <w:r>
        <w:rPr>
          <w:rFonts w:asciiTheme="minorHAnsi" w:eastAsiaTheme="minorEastAsia" w:hAnsiTheme="minorHAnsi" w:cstheme="minorBidi"/>
          <w:sz w:val="22"/>
          <w:szCs w:val="22"/>
          <w:lang w:eastAsia="en-AU"/>
        </w:rPr>
        <w:tab/>
      </w:r>
      <w:r>
        <w:t>Financial co-contribution</w:t>
      </w:r>
      <w:r>
        <w:tab/>
      </w:r>
      <w:r>
        <w:fldChar w:fldCharType="begin"/>
      </w:r>
      <w:r>
        <w:instrText xml:space="preserve"> PAGEREF _Toc129956285 \h </w:instrText>
      </w:r>
      <w:r>
        <w:fldChar w:fldCharType="separate"/>
      </w:r>
      <w:r>
        <w:t>12</w:t>
      </w:r>
      <w:r>
        <w:fldChar w:fldCharType="end"/>
      </w:r>
    </w:p>
    <w:p w14:paraId="1C329E5F" w14:textId="1EBC3A7A" w:rsidR="00A83AA2" w:rsidRDefault="00A83AA2">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_Toc129956286 \h </w:instrText>
      </w:r>
      <w:r>
        <w:rPr>
          <w:noProof/>
        </w:rPr>
      </w:r>
      <w:r>
        <w:rPr>
          <w:noProof/>
        </w:rPr>
        <w:fldChar w:fldCharType="separate"/>
      </w:r>
      <w:r>
        <w:rPr>
          <w:noProof/>
        </w:rPr>
        <w:t>12</w:t>
      </w:r>
      <w:r>
        <w:rPr>
          <w:noProof/>
        </w:rPr>
        <w:fldChar w:fldCharType="end"/>
      </w:r>
    </w:p>
    <w:p w14:paraId="5CF25A2F" w14:textId="3CCAB94C" w:rsidR="00A83AA2" w:rsidRDefault="00A83AA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_Toc129956287 \h </w:instrText>
      </w:r>
      <w:r>
        <w:rPr>
          <w:noProof/>
        </w:rPr>
      </w:r>
      <w:r>
        <w:rPr>
          <w:noProof/>
        </w:rPr>
        <w:fldChar w:fldCharType="separate"/>
      </w:r>
      <w:r>
        <w:rPr>
          <w:noProof/>
        </w:rPr>
        <w:t>12</w:t>
      </w:r>
      <w:r>
        <w:rPr>
          <w:noProof/>
        </w:rPr>
        <w:fldChar w:fldCharType="end"/>
      </w:r>
    </w:p>
    <w:p w14:paraId="587A9557" w14:textId="504EBB48" w:rsidR="00A83AA2" w:rsidRDefault="00A83AA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_Toc129956288 \h </w:instrText>
      </w:r>
      <w:r>
        <w:rPr>
          <w:noProof/>
        </w:rPr>
      </w:r>
      <w:r>
        <w:rPr>
          <w:noProof/>
        </w:rPr>
        <w:fldChar w:fldCharType="separate"/>
      </w:r>
      <w:r>
        <w:rPr>
          <w:noProof/>
        </w:rPr>
        <w:t>12</w:t>
      </w:r>
      <w:r>
        <w:rPr>
          <w:noProof/>
        </w:rPr>
        <w:fldChar w:fldCharType="end"/>
      </w:r>
    </w:p>
    <w:p w14:paraId="71C00365" w14:textId="4568F690" w:rsidR="00A83AA2" w:rsidRDefault="00A83AA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Multi-MNO and co-build for Mobile Black Spot Solutions and Regional Connectivity Solutions to deliver mobile service from a National MNO</w:t>
      </w:r>
      <w:r>
        <w:rPr>
          <w:noProof/>
        </w:rPr>
        <w:tab/>
      </w:r>
      <w:r>
        <w:rPr>
          <w:noProof/>
        </w:rPr>
        <w:fldChar w:fldCharType="begin"/>
      </w:r>
      <w:r>
        <w:rPr>
          <w:noProof/>
        </w:rPr>
        <w:instrText xml:space="preserve"> PAGEREF _Toc129956289 \h </w:instrText>
      </w:r>
      <w:r>
        <w:rPr>
          <w:noProof/>
        </w:rPr>
      </w:r>
      <w:r>
        <w:rPr>
          <w:noProof/>
        </w:rPr>
        <w:fldChar w:fldCharType="separate"/>
      </w:r>
      <w:r>
        <w:rPr>
          <w:noProof/>
        </w:rPr>
        <w:t>13</w:t>
      </w:r>
      <w:r>
        <w:rPr>
          <w:noProof/>
        </w:rPr>
        <w:fldChar w:fldCharType="end"/>
      </w:r>
    </w:p>
    <w:p w14:paraId="6E4F1CE5" w14:textId="24596BCC" w:rsidR="00A83AA2" w:rsidRDefault="00A83AA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_Toc129956290 \h </w:instrText>
      </w:r>
      <w:r>
        <w:rPr>
          <w:noProof/>
        </w:rPr>
      </w:r>
      <w:r>
        <w:rPr>
          <w:noProof/>
        </w:rPr>
        <w:fldChar w:fldCharType="separate"/>
      </w:r>
      <w:r>
        <w:rPr>
          <w:noProof/>
        </w:rPr>
        <w:t>14</w:t>
      </w:r>
      <w:r>
        <w:rPr>
          <w:noProof/>
        </w:rPr>
        <w:fldChar w:fldCharType="end"/>
      </w:r>
    </w:p>
    <w:p w14:paraId="6C1469E9" w14:textId="10EFD617" w:rsidR="00A83AA2" w:rsidRDefault="00A83AA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_Toc129956291 \h </w:instrText>
      </w:r>
      <w:r>
        <w:rPr>
          <w:noProof/>
        </w:rPr>
      </w:r>
      <w:r>
        <w:rPr>
          <w:noProof/>
        </w:rPr>
        <w:fldChar w:fldCharType="separate"/>
      </w:r>
      <w:r>
        <w:rPr>
          <w:noProof/>
        </w:rPr>
        <w:t>14</w:t>
      </w:r>
      <w:r>
        <w:rPr>
          <w:noProof/>
        </w:rPr>
        <w:fldChar w:fldCharType="end"/>
      </w:r>
    </w:p>
    <w:p w14:paraId="662FFF10" w14:textId="701CAA41" w:rsidR="00A83AA2" w:rsidRDefault="00A83AA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Areas</w:t>
      </w:r>
      <w:r>
        <w:rPr>
          <w:noProof/>
        </w:rPr>
        <w:tab/>
      </w:r>
      <w:r>
        <w:rPr>
          <w:noProof/>
        </w:rPr>
        <w:fldChar w:fldCharType="begin"/>
      </w:r>
      <w:r>
        <w:rPr>
          <w:noProof/>
        </w:rPr>
        <w:instrText xml:space="preserve"> PAGEREF _Toc129956292 \h </w:instrText>
      </w:r>
      <w:r>
        <w:rPr>
          <w:noProof/>
        </w:rPr>
      </w:r>
      <w:r>
        <w:rPr>
          <w:noProof/>
        </w:rPr>
        <w:fldChar w:fldCharType="separate"/>
      </w:r>
      <w:r>
        <w:rPr>
          <w:noProof/>
        </w:rPr>
        <w:t>15</w:t>
      </w:r>
      <w:r>
        <w:rPr>
          <w:noProof/>
        </w:rPr>
        <w:fldChar w:fldCharType="end"/>
      </w:r>
    </w:p>
    <w:p w14:paraId="5A58E68C" w14:textId="48181280" w:rsidR="00A83AA2" w:rsidRDefault="00A83AA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_Toc129956293 \h </w:instrText>
      </w:r>
      <w:r>
        <w:rPr>
          <w:noProof/>
        </w:rPr>
      </w:r>
      <w:r>
        <w:rPr>
          <w:noProof/>
        </w:rPr>
        <w:fldChar w:fldCharType="separate"/>
      </w:r>
      <w:r>
        <w:rPr>
          <w:noProof/>
        </w:rPr>
        <w:t>16</w:t>
      </w:r>
      <w:r>
        <w:rPr>
          <w:noProof/>
        </w:rPr>
        <w:fldChar w:fldCharType="end"/>
      </w:r>
    </w:p>
    <w:p w14:paraId="1F916B9E" w14:textId="3695C570" w:rsidR="00A83AA2" w:rsidRDefault="00A83AA2">
      <w:pPr>
        <w:pStyle w:val="TOC4"/>
        <w:rPr>
          <w:rFonts w:asciiTheme="minorHAnsi" w:eastAsiaTheme="minorEastAsia" w:hAnsiTheme="minorHAnsi" w:cstheme="minorBidi"/>
          <w:sz w:val="22"/>
          <w:szCs w:val="22"/>
          <w:lang w:eastAsia="en-AU"/>
        </w:rPr>
      </w:pPr>
      <w:r>
        <w:t>5.3.1</w:t>
      </w:r>
      <w:r>
        <w:rPr>
          <w:rFonts w:asciiTheme="minorHAnsi" w:eastAsiaTheme="minorEastAsia" w:hAnsiTheme="minorHAnsi" w:cstheme="minorBidi"/>
          <w:sz w:val="22"/>
          <w:szCs w:val="22"/>
          <w:lang w:eastAsia="en-AU"/>
        </w:rPr>
        <w:tab/>
      </w:r>
      <w:r>
        <w:t>Eligible backhaul costs</w:t>
      </w:r>
      <w:r>
        <w:tab/>
      </w:r>
      <w:r>
        <w:fldChar w:fldCharType="begin"/>
      </w:r>
      <w:r>
        <w:instrText xml:space="preserve"> PAGEREF _Toc129956294 \h </w:instrText>
      </w:r>
      <w:r>
        <w:fldChar w:fldCharType="separate"/>
      </w:r>
      <w:r>
        <w:t>16</w:t>
      </w:r>
      <w:r>
        <w:fldChar w:fldCharType="end"/>
      </w:r>
    </w:p>
    <w:p w14:paraId="28DA4F50" w14:textId="55343C10" w:rsidR="00A83AA2" w:rsidRDefault="00A83AA2">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_Toc129956295 \h </w:instrText>
      </w:r>
      <w:r>
        <w:rPr>
          <w:noProof/>
        </w:rPr>
      </w:r>
      <w:r>
        <w:rPr>
          <w:noProof/>
        </w:rPr>
        <w:fldChar w:fldCharType="separate"/>
      </w:r>
      <w:r>
        <w:rPr>
          <w:noProof/>
        </w:rPr>
        <w:t>17</w:t>
      </w:r>
      <w:r>
        <w:rPr>
          <w:noProof/>
        </w:rPr>
        <w:fldChar w:fldCharType="end"/>
      </w:r>
    </w:p>
    <w:p w14:paraId="5A216B68" w14:textId="54F104F7" w:rsidR="00A83AA2" w:rsidRDefault="00A83AA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Assessment criteria</w:t>
      </w:r>
      <w:r>
        <w:rPr>
          <w:noProof/>
        </w:rPr>
        <w:tab/>
      </w:r>
      <w:r>
        <w:rPr>
          <w:noProof/>
        </w:rPr>
        <w:fldChar w:fldCharType="begin"/>
      </w:r>
      <w:r>
        <w:rPr>
          <w:noProof/>
        </w:rPr>
        <w:instrText xml:space="preserve"> PAGEREF _Toc129956296 \h </w:instrText>
      </w:r>
      <w:r>
        <w:rPr>
          <w:noProof/>
        </w:rPr>
      </w:r>
      <w:r>
        <w:rPr>
          <w:noProof/>
        </w:rPr>
        <w:fldChar w:fldCharType="separate"/>
      </w:r>
      <w:r>
        <w:rPr>
          <w:noProof/>
        </w:rPr>
        <w:t>17</w:t>
      </w:r>
      <w:r>
        <w:rPr>
          <w:noProof/>
        </w:rPr>
        <w:fldChar w:fldCharType="end"/>
      </w:r>
    </w:p>
    <w:p w14:paraId="4F22493A" w14:textId="273AD233" w:rsidR="00A83AA2" w:rsidRDefault="00A83AA2">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Assessment Criteria for Regional Connectivity Solutions</w:t>
      </w:r>
      <w:r>
        <w:rPr>
          <w:noProof/>
        </w:rPr>
        <w:tab/>
      </w:r>
      <w:r>
        <w:rPr>
          <w:noProof/>
        </w:rPr>
        <w:fldChar w:fldCharType="begin"/>
      </w:r>
      <w:r>
        <w:rPr>
          <w:noProof/>
        </w:rPr>
        <w:instrText xml:space="preserve"> PAGEREF _Toc129956297 \h </w:instrText>
      </w:r>
      <w:r>
        <w:rPr>
          <w:noProof/>
        </w:rPr>
      </w:r>
      <w:r>
        <w:rPr>
          <w:noProof/>
        </w:rPr>
        <w:fldChar w:fldCharType="separate"/>
      </w:r>
      <w:r>
        <w:rPr>
          <w:noProof/>
        </w:rPr>
        <w:t>17</w:t>
      </w:r>
      <w:r>
        <w:rPr>
          <w:noProof/>
        </w:rPr>
        <w:fldChar w:fldCharType="end"/>
      </w:r>
    </w:p>
    <w:p w14:paraId="716004BE" w14:textId="0757CA36" w:rsidR="00A83AA2" w:rsidRDefault="00A83AA2">
      <w:pPr>
        <w:pStyle w:val="TOC4"/>
        <w:rPr>
          <w:rFonts w:asciiTheme="minorHAnsi" w:eastAsiaTheme="minorEastAsia" w:hAnsiTheme="minorHAnsi" w:cstheme="minorBidi"/>
          <w:sz w:val="22"/>
          <w:szCs w:val="22"/>
          <w:lang w:eastAsia="en-AU"/>
        </w:rPr>
      </w:pPr>
      <w:r>
        <w:t>6.1.1</w:t>
      </w:r>
      <w:r>
        <w:rPr>
          <w:rFonts w:asciiTheme="minorHAnsi" w:eastAsiaTheme="minorEastAsia" w:hAnsiTheme="minorHAnsi" w:cstheme="minorBidi"/>
          <w:sz w:val="22"/>
          <w:szCs w:val="22"/>
          <w:lang w:eastAsia="en-AU"/>
        </w:rPr>
        <w:tab/>
      </w:r>
      <w:r>
        <w:t>Merit Criterion 1 – Economic Benefit</w:t>
      </w:r>
      <w:r>
        <w:tab/>
      </w:r>
      <w:r>
        <w:fldChar w:fldCharType="begin"/>
      </w:r>
      <w:r>
        <w:instrText xml:space="preserve"> PAGEREF _Toc129956298 \h </w:instrText>
      </w:r>
      <w:r>
        <w:fldChar w:fldCharType="separate"/>
      </w:r>
      <w:r>
        <w:t>18</w:t>
      </w:r>
      <w:r>
        <w:fldChar w:fldCharType="end"/>
      </w:r>
    </w:p>
    <w:p w14:paraId="0BA2E297" w14:textId="0F0D6814" w:rsidR="00A83AA2" w:rsidRDefault="00A83AA2">
      <w:pPr>
        <w:pStyle w:val="TOC5"/>
        <w:rPr>
          <w:rFonts w:asciiTheme="minorHAnsi" w:eastAsiaTheme="minorEastAsia" w:hAnsiTheme="minorHAnsi" w:cstheme="minorBidi"/>
          <w:noProof/>
          <w:sz w:val="22"/>
          <w:szCs w:val="22"/>
          <w:lang w:eastAsia="en-AU"/>
        </w:rPr>
      </w:pPr>
      <w:r>
        <w:rPr>
          <w:noProof/>
        </w:rPr>
        <w:t>6.1.1.1</w:t>
      </w:r>
      <w:r>
        <w:rPr>
          <w:rFonts w:asciiTheme="minorHAnsi" w:eastAsiaTheme="minorEastAsia" w:hAnsiTheme="minorHAnsi" w:cstheme="minorBidi"/>
          <w:noProof/>
          <w:sz w:val="22"/>
          <w:szCs w:val="22"/>
          <w:lang w:eastAsia="en-AU"/>
        </w:rPr>
        <w:tab/>
      </w:r>
      <w:r>
        <w:rPr>
          <w:noProof/>
        </w:rPr>
        <w:t>Economic benefits of your project for the region (15 points)</w:t>
      </w:r>
      <w:r>
        <w:rPr>
          <w:noProof/>
        </w:rPr>
        <w:tab/>
      </w:r>
      <w:r>
        <w:rPr>
          <w:noProof/>
        </w:rPr>
        <w:fldChar w:fldCharType="begin"/>
      </w:r>
      <w:r>
        <w:rPr>
          <w:noProof/>
        </w:rPr>
        <w:instrText xml:space="preserve"> PAGEREF _Toc129956299 \h </w:instrText>
      </w:r>
      <w:r>
        <w:rPr>
          <w:noProof/>
        </w:rPr>
      </w:r>
      <w:r>
        <w:rPr>
          <w:noProof/>
        </w:rPr>
        <w:fldChar w:fldCharType="separate"/>
      </w:r>
      <w:r>
        <w:rPr>
          <w:noProof/>
        </w:rPr>
        <w:t>18</w:t>
      </w:r>
      <w:r>
        <w:rPr>
          <w:noProof/>
        </w:rPr>
        <w:fldChar w:fldCharType="end"/>
      </w:r>
    </w:p>
    <w:p w14:paraId="02DB6E2F" w14:textId="793185CE" w:rsidR="00A83AA2" w:rsidRDefault="00A83AA2">
      <w:pPr>
        <w:pStyle w:val="TOC4"/>
        <w:rPr>
          <w:rFonts w:asciiTheme="minorHAnsi" w:eastAsiaTheme="minorEastAsia" w:hAnsiTheme="minorHAnsi" w:cstheme="minorBidi"/>
          <w:sz w:val="22"/>
          <w:szCs w:val="22"/>
          <w:lang w:eastAsia="en-AU"/>
        </w:rPr>
      </w:pPr>
      <w:r>
        <w:t>6.1.2</w:t>
      </w:r>
      <w:r>
        <w:rPr>
          <w:rFonts w:asciiTheme="minorHAnsi" w:eastAsiaTheme="minorEastAsia" w:hAnsiTheme="minorHAnsi" w:cstheme="minorBidi"/>
          <w:sz w:val="22"/>
          <w:szCs w:val="22"/>
          <w:lang w:eastAsia="en-AU"/>
        </w:rPr>
        <w:tab/>
      </w:r>
      <w:r>
        <w:t>Merit Criterion 2 – Social Benefit</w:t>
      </w:r>
      <w:r>
        <w:tab/>
      </w:r>
      <w:r>
        <w:fldChar w:fldCharType="begin"/>
      </w:r>
      <w:r>
        <w:instrText xml:space="preserve"> PAGEREF _Toc129956300 \h </w:instrText>
      </w:r>
      <w:r>
        <w:fldChar w:fldCharType="separate"/>
      </w:r>
      <w:r>
        <w:t>18</w:t>
      </w:r>
      <w:r>
        <w:fldChar w:fldCharType="end"/>
      </w:r>
    </w:p>
    <w:p w14:paraId="371EC4CF" w14:textId="3ED86480" w:rsidR="00A83AA2" w:rsidRDefault="00A83AA2">
      <w:pPr>
        <w:pStyle w:val="TOC5"/>
        <w:rPr>
          <w:rFonts w:asciiTheme="minorHAnsi" w:eastAsiaTheme="minorEastAsia" w:hAnsiTheme="minorHAnsi" w:cstheme="minorBidi"/>
          <w:noProof/>
          <w:sz w:val="22"/>
          <w:szCs w:val="22"/>
          <w:lang w:eastAsia="en-AU"/>
        </w:rPr>
      </w:pPr>
      <w:r>
        <w:rPr>
          <w:noProof/>
        </w:rPr>
        <w:t>6.1.2.1</w:t>
      </w:r>
      <w:r>
        <w:rPr>
          <w:rFonts w:asciiTheme="minorHAnsi" w:eastAsiaTheme="minorEastAsia" w:hAnsiTheme="minorHAnsi" w:cstheme="minorBidi"/>
          <w:noProof/>
          <w:sz w:val="22"/>
          <w:szCs w:val="22"/>
          <w:lang w:eastAsia="en-AU"/>
        </w:rPr>
        <w:tab/>
      </w:r>
      <w:r>
        <w:rPr>
          <w:noProof/>
        </w:rPr>
        <w:t>Social benefits of your project for the region (15 points)</w:t>
      </w:r>
      <w:r>
        <w:rPr>
          <w:noProof/>
        </w:rPr>
        <w:tab/>
      </w:r>
      <w:r>
        <w:rPr>
          <w:noProof/>
        </w:rPr>
        <w:fldChar w:fldCharType="begin"/>
      </w:r>
      <w:r>
        <w:rPr>
          <w:noProof/>
        </w:rPr>
        <w:instrText xml:space="preserve"> PAGEREF _Toc129956301 \h </w:instrText>
      </w:r>
      <w:r>
        <w:rPr>
          <w:noProof/>
        </w:rPr>
      </w:r>
      <w:r>
        <w:rPr>
          <w:noProof/>
        </w:rPr>
        <w:fldChar w:fldCharType="separate"/>
      </w:r>
      <w:r>
        <w:rPr>
          <w:noProof/>
        </w:rPr>
        <w:t>18</w:t>
      </w:r>
      <w:r>
        <w:rPr>
          <w:noProof/>
        </w:rPr>
        <w:fldChar w:fldCharType="end"/>
      </w:r>
    </w:p>
    <w:p w14:paraId="32711AD6" w14:textId="394B895E" w:rsidR="00A83AA2" w:rsidRDefault="00A83AA2">
      <w:pPr>
        <w:pStyle w:val="TOC4"/>
        <w:rPr>
          <w:rFonts w:asciiTheme="minorHAnsi" w:eastAsiaTheme="minorEastAsia" w:hAnsiTheme="minorHAnsi" w:cstheme="minorBidi"/>
          <w:sz w:val="22"/>
          <w:szCs w:val="22"/>
          <w:lang w:eastAsia="en-AU"/>
        </w:rPr>
      </w:pPr>
      <w:r>
        <w:t>6.1.3</w:t>
      </w:r>
      <w:r>
        <w:rPr>
          <w:rFonts w:asciiTheme="minorHAnsi" w:eastAsiaTheme="minorEastAsia" w:hAnsiTheme="minorHAnsi" w:cstheme="minorBidi"/>
          <w:sz w:val="22"/>
          <w:szCs w:val="22"/>
          <w:lang w:eastAsia="en-AU"/>
        </w:rPr>
        <w:tab/>
      </w:r>
      <w:r>
        <w:t>Merit Criterion 3 – Project Delivery</w:t>
      </w:r>
      <w:r>
        <w:tab/>
      </w:r>
      <w:r>
        <w:fldChar w:fldCharType="begin"/>
      </w:r>
      <w:r>
        <w:instrText xml:space="preserve"> PAGEREF _Toc129956302 \h </w:instrText>
      </w:r>
      <w:r>
        <w:fldChar w:fldCharType="separate"/>
      </w:r>
      <w:r>
        <w:t>19</w:t>
      </w:r>
      <w:r>
        <w:fldChar w:fldCharType="end"/>
      </w:r>
    </w:p>
    <w:p w14:paraId="381F41DC" w14:textId="575FCB4C" w:rsidR="00A83AA2" w:rsidRDefault="00A83AA2">
      <w:pPr>
        <w:pStyle w:val="TOC5"/>
        <w:rPr>
          <w:rFonts w:asciiTheme="minorHAnsi" w:eastAsiaTheme="minorEastAsia" w:hAnsiTheme="minorHAnsi" w:cstheme="minorBidi"/>
          <w:noProof/>
          <w:sz w:val="22"/>
          <w:szCs w:val="22"/>
          <w:lang w:eastAsia="en-AU"/>
        </w:rPr>
      </w:pPr>
      <w:r>
        <w:rPr>
          <w:noProof/>
        </w:rPr>
        <w:t>6.1.3.1</w:t>
      </w:r>
      <w:r>
        <w:rPr>
          <w:rFonts w:asciiTheme="minorHAnsi" w:eastAsiaTheme="minorEastAsia" w:hAnsiTheme="minorHAnsi" w:cstheme="minorBidi"/>
          <w:noProof/>
          <w:sz w:val="22"/>
          <w:szCs w:val="22"/>
          <w:lang w:eastAsia="en-AU"/>
        </w:rPr>
        <w:tab/>
      </w:r>
      <w:r>
        <w:rPr>
          <w:noProof/>
        </w:rPr>
        <w:t>Capacity, capability and resources to deliver the project (10 points)</w:t>
      </w:r>
      <w:r>
        <w:rPr>
          <w:noProof/>
        </w:rPr>
        <w:tab/>
      </w:r>
      <w:r>
        <w:rPr>
          <w:noProof/>
        </w:rPr>
        <w:fldChar w:fldCharType="begin"/>
      </w:r>
      <w:r>
        <w:rPr>
          <w:noProof/>
        </w:rPr>
        <w:instrText xml:space="preserve"> PAGEREF _Toc129956303 \h </w:instrText>
      </w:r>
      <w:r>
        <w:rPr>
          <w:noProof/>
        </w:rPr>
      </w:r>
      <w:r>
        <w:rPr>
          <w:noProof/>
        </w:rPr>
        <w:fldChar w:fldCharType="separate"/>
      </w:r>
      <w:r>
        <w:rPr>
          <w:noProof/>
        </w:rPr>
        <w:t>19</w:t>
      </w:r>
      <w:r>
        <w:rPr>
          <w:noProof/>
        </w:rPr>
        <w:fldChar w:fldCharType="end"/>
      </w:r>
    </w:p>
    <w:p w14:paraId="222E5EA7" w14:textId="346C1B07" w:rsidR="00A83AA2" w:rsidRDefault="00A83AA2">
      <w:pPr>
        <w:pStyle w:val="TOC4"/>
        <w:rPr>
          <w:rFonts w:asciiTheme="minorHAnsi" w:eastAsiaTheme="minorEastAsia" w:hAnsiTheme="minorHAnsi" w:cstheme="minorBidi"/>
          <w:sz w:val="22"/>
          <w:szCs w:val="22"/>
          <w:lang w:eastAsia="en-AU"/>
        </w:rPr>
      </w:pPr>
      <w:r>
        <w:t>6.1.4</w:t>
      </w:r>
      <w:r>
        <w:rPr>
          <w:rFonts w:asciiTheme="minorHAnsi" w:eastAsiaTheme="minorEastAsia" w:hAnsiTheme="minorHAnsi" w:cstheme="minorBidi"/>
          <w:sz w:val="22"/>
          <w:szCs w:val="22"/>
          <w:lang w:eastAsia="en-AU"/>
        </w:rPr>
        <w:tab/>
      </w:r>
      <w:r>
        <w:t>Merit Criterion 4 – Financial Co-contributions</w:t>
      </w:r>
      <w:r>
        <w:tab/>
      </w:r>
      <w:r>
        <w:fldChar w:fldCharType="begin"/>
      </w:r>
      <w:r>
        <w:instrText xml:space="preserve"> PAGEREF _Toc129956304 \h </w:instrText>
      </w:r>
      <w:r>
        <w:fldChar w:fldCharType="separate"/>
      </w:r>
      <w:r>
        <w:t>19</w:t>
      </w:r>
      <w:r>
        <w:fldChar w:fldCharType="end"/>
      </w:r>
    </w:p>
    <w:p w14:paraId="67F1FC51" w14:textId="56286812" w:rsidR="00A83AA2" w:rsidRDefault="00A83AA2">
      <w:pPr>
        <w:pStyle w:val="TOC5"/>
        <w:rPr>
          <w:rFonts w:asciiTheme="minorHAnsi" w:eastAsiaTheme="minorEastAsia" w:hAnsiTheme="minorHAnsi" w:cstheme="minorBidi"/>
          <w:noProof/>
          <w:sz w:val="22"/>
          <w:szCs w:val="22"/>
          <w:lang w:eastAsia="en-AU"/>
        </w:rPr>
      </w:pPr>
      <w:r>
        <w:rPr>
          <w:noProof/>
        </w:rPr>
        <w:t>6.1.4.1</w:t>
      </w:r>
      <w:r>
        <w:rPr>
          <w:rFonts w:asciiTheme="minorHAnsi" w:eastAsiaTheme="minorEastAsia" w:hAnsiTheme="minorHAnsi" w:cstheme="minorBidi"/>
          <w:noProof/>
          <w:sz w:val="22"/>
          <w:szCs w:val="22"/>
          <w:lang w:eastAsia="en-AU"/>
        </w:rPr>
        <w:tab/>
      </w:r>
      <w:r>
        <w:rPr>
          <w:noProof/>
        </w:rPr>
        <w:t>Total investment the grant funding will leverage (10 points)</w:t>
      </w:r>
      <w:r>
        <w:rPr>
          <w:noProof/>
        </w:rPr>
        <w:tab/>
      </w:r>
      <w:r>
        <w:rPr>
          <w:noProof/>
        </w:rPr>
        <w:fldChar w:fldCharType="begin"/>
      </w:r>
      <w:r>
        <w:rPr>
          <w:noProof/>
        </w:rPr>
        <w:instrText xml:space="preserve"> PAGEREF _Toc129956305 \h </w:instrText>
      </w:r>
      <w:r>
        <w:rPr>
          <w:noProof/>
        </w:rPr>
      </w:r>
      <w:r>
        <w:rPr>
          <w:noProof/>
        </w:rPr>
        <w:fldChar w:fldCharType="separate"/>
      </w:r>
      <w:r>
        <w:rPr>
          <w:noProof/>
        </w:rPr>
        <w:t>19</w:t>
      </w:r>
      <w:r>
        <w:rPr>
          <w:noProof/>
        </w:rPr>
        <w:fldChar w:fldCharType="end"/>
      </w:r>
    </w:p>
    <w:p w14:paraId="49698C7D" w14:textId="3279C13F" w:rsidR="00A83AA2" w:rsidRDefault="00A83AA2">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Assessment Criteria for Mobile Black Spot Solutions</w:t>
      </w:r>
      <w:r>
        <w:rPr>
          <w:noProof/>
        </w:rPr>
        <w:tab/>
      </w:r>
      <w:r>
        <w:rPr>
          <w:noProof/>
        </w:rPr>
        <w:fldChar w:fldCharType="begin"/>
      </w:r>
      <w:r>
        <w:rPr>
          <w:noProof/>
        </w:rPr>
        <w:instrText xml:space="preserve"> PAGEREF _Toc129956306 \h </w:instrText>
      </w:r>
      <w:r>
        <w:rPr>
          <w:noProof/>
        </w:rPr>
      </w:r>
      <w:r>
        <w:rPr>
          <w:noProof/>
        </w:rPr>
        <w:fldChar w:fldCharType="separate"/>
      </w:r>
      <w:r>
        <w:rPr>
          <w:noProof/>
        </w:rPr>
        <w:t>19</w:t>
      </w:r>
      <w:r>
        <w:rPr>
          <w:noProof/>
        </w:rPr>
        <w:fldChar w:fldCharType="end"/>
      </w:r>
    </w:p>
    <w:p w14:paraId="713F61D0" w14:textId="711656E1" w:rsidR="00A83AA2" w:rsidRDefault="00A83AA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_Toc129956307 \h </w:instrText>
      </w:r>
      <w:r>
        <w:rPr>
          <w:noProof/>
        </w:rPr>
      </w:r>
      <w:r>
        <w:rPr>
          <w:noProof/>
        </w:rPr>
        <w:fldChar w:fldCharType="separate"/>
      </w:r>
      <w:r>
        <w:rPr>
          <w:noProof/>
        </w:rPr>
        <w:t>22</w:t>
      </w:r>
      <w:r>
        <w:rPr>
          <w:noProof/>
        </w:rPr>
        <w:fldChar w:fldCharType="end"/>
      </w:r>
    </w:p>
    <w:p w14:paraId="27985091" w14:textId="766559A3" w:rsidR="00A83AA2" w:rsidRDefault="00A83AA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Applicant registration (Mobile Black Spot Solutions only)</w:t>
      </w:r>
      <w:r>
        <w:rPr>
          <w:noProof/>
        </w:rPr>
        <w:tab/>
      </w:r>
      <w:r>
        <w:rPr>
          <w:noProof/>
        </w:rPr>
        <w:fldChar w:fldCharType="begin"/>
      </w:r>
      <w:r>
        <w:rPr>
          <w:noProof/>
        </w:rPr>
        <w:instrText xml:space="preserve"> PAGEREF _Toc129956308 \h </w:instrText>
      </w:r>
      <w:r>
        <w:rPr>
          <w:noProof/>
        </w:rPr>
      </w:r>
      <w:r>
        <w:rPr>
          <w:noProof/>
        </w:rPr>
        <w:fldChar w:fldCharType="separate"/>
      </w:r>
      <w:r>
        <w:rPr>
          <w:noProof/>
        </w:rPr>
        <w:t>22</w:t>
      </w:r>
      <w:r>
        <w:rPr>
          <w:noProof/>
        </w:rPr>
        <w:fldChar w:fldCharType="end"/>
      </w:r>
    </w:p>
    <w:p w14:paraId="195782A6" w14:textId="17DFF2DB" w:rsidR="00A83AA2" w:rsidRDefault="00A83AA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Pre-application lodgement (Mobile Black Spot Solutions only)</w:t>
      </w:r>
      <w:r>
        <w:rPr>
          <w:noProof/>
        </w:rPr>
        <w:tab/>
      </w:r>
      <w:r>
        <w:rPr>
          <w:noProof/>
        </w:rPr>
        <w:fldChar w:fldCharType="begin"/>
      </w:r>
      <w:r>
        <w:rPr>
          <w:noProof/>
        </w:rPr>
        <w:instrText xml:space="preserve"> PAGEREF _Toc129956309 \h </w:instrText>
      </w:r>
      <w:r>
        <w:rPr>
          <w:noProof/>
        </w:rPr>
      </w:r>
      <w:r>
        <w:rPr>
          <w:noProof/>
        </w:rPr>
        <w:fldChar w:fldCharType="separate"/>
      </w:r>
      <w:r>
        <w:rPr>
          <w:noProof/>
        </w:rPr>
        <w:t>23</w:t>
      </w:r>
      <w:r>
        <w:rPr>
          <w:noProof/>
        </w:rPr>
        <w:fldChar w:fldCharType="end"/>
      </w:r>
    </w:p>
    <w:p w14:paraId="4D3BE814" w14:textId="4C172119" w:rsidR="00A83AA2" w:rsidRDefault="00A83AA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Submit initial proposals for Mobile Black Spot Solutions</w:t>
      </w:r>
      <w:r>
        <w:rPr>
          <w:noProof/>
        </w:rPr>
        <w:tab/>
      </w:r>
      <w:r>
        <w:rPr>
          <w:noProof/>
        </w:rPr>
        <w:fldChar w:fldCharType="begin"/>
      </w:r>
      <w:r>
        <w:rPr>
          <w:noProof/>
        </w:rPr>
        <w:instrText xml:space="preserve"> PAGEREF _Toc129956310 \h </w:instrText>
      </w:r>
      <w:r>
        <w:rPr>
          <w:noProof/>
        </w:rPr>
      </w:r>
      <w:r>
        <w:rPr>
          <w:noProof/>
        </w:rPr>
        <w:fldChar w:fldCharType="separate"/>
      </w:r>
      <w:r>
        <w:rPr>
          <w:noProof/>
        </w:rPr>
        <w:t>23</w:t>
      </w:r>
      <w:r>
        <w:rPr>
          <w:noProof/>
        </w:rPr>
        <w:fldChar w:fldCharType="end"/>
      </w:r>
    </w:p>
    <w:p w14:paraId="0E4335F0" w14:textId="073227E8" w:rsidR="00A83AA2" w:rsidRDefault="00A83AA2">
      <w:pPr>
        <w:pStyle w:val="TOC3"/>
        <w:rPr>
          <w:rFonts w:asciiTheme="minorHAnsi" w:eastAsiaTheme="minorEastAsia" w:hAnsiTheme="minorHAnsi" w:cstheme="minorBidi"/>
          <w:noProof/>
          <w:sz w:val="22"/>
          <w:lang w:val="en-AU" w:eastAsia="en-AU"/>
        </w:rPr>
      </w:pPr>
      <w:r>
        <w:rPr>
          <w:noProof/>
        </w:rPr>
        <w:lastRenderedPageBreak/>
        <w:t>7.4</w:t>
      </w:r>
      <w:r>
        <w:rPr>
          <w:rFonts w:asciiTheme="minorHAnsi" w:eastAsiaTheme="minorEastAsia" w:hAnsiTheme="minorHAnsi" w:cstheme="minorBidi"/>
          <w:noProof/>
          <w:sz w:val="22"/>
          <w:lang w:val="en-AU" w:eastAsia="en-AU"/>
        </w:rPr>
        <w:tab/>
      </w:r>
      <w:r>
        <w:rPr>
          <w:noProof/>
        </w:rPr>
        <w:t>Completing and lodging an application</w:t>
      </w:r>
      <w:r>
        <w:rPr>
          <w:noProof/>
        </w:rPr>
        <w:tab/>
      </w:r>
      <w:r>
        <w:rPr>
          <w:noProof/>
        </w:rPr>
        <w:fldChar w:fldCharType="begin"/>
      </w:r>
      <w:r>
        <w:rPr>
          <w:noProof/>
        </w:rPr>
        <w:instrText xml:space="preserve"> PAGEREF _Toc129956311 \h </w:instrText>
      </w:r>
      <w:r>
        <w:rPr>
          <w:noProof/>
        </w:rPr>
      </w:r>
      <w:r>
        <w:rPr>
          <w:noProof/>
        </w:rPr>
        <w:fldChar w:fldCharType="separate"/>
      </w:r>
      <w:r>
        <w:rPr>
          <w:noProof/>
        </w:rPr>
        <w:t>24</w:t>
      </w:r>
      <w:r>
        <w:rPr>
          <w:noProof/>
        </w:rPr>
        <w:fldChar w:fldCharType="end"/>
      </w:r>
    </w:p>
    <w:p w14:paraId="4378F687" w14:textId="448487D4" w:rsidR="00A83AA2" w:rsidRDefault="00A83AA2">
      <w:pPr>
        <w:pStyle w:val="TOC3"/>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Attachments to application</w:t>
      </w:r>
      <w:r>
        <w:rPr>
          <w:noProof/>
        </w:rPr>
        <w:tab/>
      </w:r>
      <w:r>
        <w:rPr>
          <w:noProof/>
        </w:rPr>
        <w:fldChar w:fldCharType="begin"/>
      </w:r>
      <w:r>
        <w:rPr>
          <w:noProof/>
        </w:rPr>
        <w:instrText xml:space="preserve"> PAGEREF _Toc129956312 \h </w:instrText>
      </w:r>
      <w:r>
        <w:rPr>
          <w:noProof/>
        </w:rPr>
      </w:r>
      <w:r>
        <w:rPr>
          <w:noProof/>
        </w:rPr>
        <w:fldChar w:fldCharType="separate"/>
      </w:r>
      <w:r>
        <w:rPr>
          <w:noProof/>
        </w:rPr>
        <w:t>26</w:t>
      </w:r>
      <w:r>
        <w:rPr>
          <w:noProof/>
        </w:rPr>
        <w:fldChar w:fldCharType="end"/>
      </w:r>
    </w:p>
    <w:p w14:paraId="129677AE" w14:textId="5F5EBCE6" w:rsidR="00A83AA2" w:rsidRDefault="00A83AA2">
      <w:pPr>
        <w:pStyle w:val="TOC3"/>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_Toc129956313 \h </w:instrText>
      </w:r>
      <w:r>
        <w:rPr>
          <w:noProof/>
        </w:rPr>
      </w:r>
      <w:r>
        <w:rPr>
          <w:noProof/>
        </w:rPr>
        <w:fldChar w:fldCharType="separate"/>
      </w:r>
      <w:r>
        <w:rPr>
          <w:noProof/>
        </w:rPr>
        <w:t>27</w:t>
      </w:r>
      <w:r>
        <w:rPr>
          <w:noProof/>
        </w:rPr>
        <w:fldChar w:fldCharType="end"/>
      </w:r>
    </w:p>
    <w:p w14:paraId="317A117F" w14:textId="5CC4E54F" w:rsidR="00A83AA2" w:rsidRDefault="00A83AA2">
      <w:pPr>
        <w:pStyle w:val="TOC3"/>
        <w:rPr>
          <w:rFonts w:asciiTheme="minorHAnsi" w:eastAsiaTheme="minorEastAsia" w:hAnsiTheme="minorHAnsi" w:cstheme="minorBidi"/>
          <w:noProof/>
          <w:sz w:val="22"/>
          <w:lang w:val="en-AU" w:eastAsia="en-AU"/>
        </w:rPr>
      </w:pPr>
      <w:r>
        <w:rPr>
          <w:noProof/>
        </w:rPr>
        <w:t>7.7</w:t>
      </w:r>
      <w:r>
        <w:rPr>
          <w:rFonts w:asciiTheme="minorHAnsi" w:eastAsiaTheme="minorEastAsia" w:hAnsiTheme="minorHAnsi" w:cstheme="minorBidi"/>
          <w:noProof/>
          <w:sz w:val="22"/>
          <w:lang w:val="en-AU" w:eastAsia="en-AU"/>
        </w:rPr>
        <w:tab/>
      </w:r>
      <w:r>
        <w:rPr>
          <w:noProof/>
        </w:rPr>
        <w:t>Closing date for funding applications</w:t>
      </w:r>
      <w:r>
        <w:rPr>
          <w:noProof/>
        </w:rPr>
        <w:tab/>
      </w:r>
      <w:r>
        <w:rPr>
          <w:noProof/>
        </w:rPr>
        <w:fldChar w:fldCharType="begin"/>
      </w:r>
      <w:r>
        <w:rPr>
          <w:noProof/>
        </w:rPr>
        <w:instrText xml:space="preserve"> PAGEREF _Toc129956314 \h </w:instrText>
      </w:r>
      <w:r>
        <w:rPr>
          <w:noProof/>
        </w:rPr>
      </w:r>
      <w:r>
        <w:rPr>
          <w:noProof/>
        </w:rPr>
        <w:fldChar w:fldCharType="separate"/>
      </w:r>
      <w:r>
        <w:rPr>
          <w:noProof/>
        </w:rPr>
        <w:t>27</w:t>
      </w:r>
      <w:r>
        <w:rPr>
          <w:noProof/>
        </w:rPr>
        <w:fldChar w:fldCharType="end"/>
      </w:r>
    </w:p>
    <w:p w14:paraId="32FE1353" w14:textId="5E0BD6CF" w:rsidR="00A83AA2" w:rsidRDefault="00A83AA2">
      <w:pPr>
        <w:pStyle w:val="TOC3"/>
        <w:rPr>
          <w:rFonts w:asciiTheme="minorHAnsi" w:eastAsiaTheme="minorEastAsia" w:hAnsiTheme="minorHAnsi" w:cstheme="minorBidi"/>
          <w:noProof/>
          <w:sz w:val="22"/>
          <w:lang w:val="en-AU" w:eastAsia="en-AU"/>
        </w:rPr>
      </w:pPr>
      <w:r>
        <w:rPr>
          <w:noProof/>
        </w:rPr>
        <w:t>7.8</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_Toc129956315 \h </w:instrText>
      </w:r>
      <w:r>
        <w:rPr>
          <w:noProof/>
        </w:rPr>
      </w:r>
      <w:r>
        <w:rPr>
          <w:noProof/>
        </w:rPr>
        <w:fldChar w:fldCharType="separate"/>
      </w:r>
      <w:r>
        <w:rPr>
          <w:noProof/>
        </w:rPr>
        <w:t>27</w:t>
      </w:r>
      <w:r>
        <w:rPr>
          <w:noProof/>
        </w:rPr>
        <w:fldChar w:fldCharType="end"/>
      </w:r>
    </w:p>
    <w:p w14:paraId="583816FD" w14:textId="7F45F391" w:rsidR="00A83AA2" w:rsidRDefault="00A83AA2">
      <w:pPr>
        <w:pStyle w:val="TOC3"/>
        <w:rPr>
          <w:rFonts w:asciiTheme="minorHAnsi" w:eastAsiaTheme="minorEastAsia" w:hAnsiTheme="minorHAnsi" w:cstheme="minorBidi"/>
          <w:noProof/>
          <w:sz w:val="22"/>
          <w:lang w:val="en-AU" w:eastAsia="en-AU"/>
        </w:rPr>
      </w:pPr>
      <w:r>
        <w:rPr>
          <w:noProof/>
        </w:rPr>
        <w:t>7.9</w:t>
      </w:r>
      <w:r>
        <w:rPr>
          <w:rFonts w:asciiTheme="minorHAnsi" w:eastAsiaTheme="minorEastAsia" w:hAnsiTheme="minorHAnsi" w:cstheme="minorBidi"/>
          <w:noProof/>
          <w:sz w:val="22"/>
          <w:lang w:val="en-AU" w:eastAsia="en-AU"/>
        </w:rPr>
        <w:tab/>
      </w:r>
      <w:r>
        <w:rPr>
          <w:noProof/>
        </w:rPr>
        <w:t>Questions during application process</w:t>
      </w:r>
      <w:r>
        <w:rPr>
          <w:noProof/>
        </w:rPr>
        <w:tab/>
      </w:r>
      <w:r>
        <w:rPr>
          <w:noProof/>
        </w:rPr>
        <w:fldChar w:fldCharType="begin"/>
      </w:r>
      <w:r>
        <w:rPr>
          <w:noProof/>
        </w:rPr>
        <w:instrText xml:space="preserve"> PAGEREF _Toc129956316 \h </w:instrText>
      </w:r>
      <w:r>
        <w:rPr>
          <w:noProof/>
        </w:rPr>
      </w:r>
      <w:r>
        <w:rPr>
          <w:noProof/>
        </w:rPr>
        <w:fldChar w:fldCharType="separate"/>
      </w:r>
      <w:r>
        <w:rPr>
          <w:noProof/>
        </w:rPr>
        <w:t>27</w:t>
      </w:r>
      <w:r>
        <w:rPr>
          <w:noProof/>
        </w:rPr>
        <w:fldChar w:fldCharType="end"/>
      </w:r>
    </w:p>
    <w:p w14:paraId="7AD6DED1" w14:textId="19CC5D74" w:rsidR="00A83AA2" w:rsidRDefault="00A83AA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_Toc129956317 \h </w:instrText>
      </w:r>
      <w:r>
        <w:rPr>
          <w:noProof/>
        </w:rPr>
      </w:r>
      <w:r>
        <w:rPr>
          <w:noProof/>
        </w:rPr>
        <w:fldChar w:fldCharType="separate"/>
      </w:r>
      <w:r>
        <w:rPr>
          <w:noProof/>
        </w:rPr>
        <w:t>28</w:t>
      </w:r>
      <w:r>
        <w:rPr>
          <w:noProof/>
        </w:rPr>
        <w:fldChar w:fldCharType="end"/>
      </w:r>
    </w:p>
    <w:p w14:paraId="202F023F" w14:textId="75BC968C" w:rsidR="00A83AA2" w:rsidRDefault="00A83AA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_Toc129956318 \h </w:instrText>
      </w:r>
      <w:r>
        <w:rPr>
          <w:noProof/>
        </w:rPr>
      </w:r>
      <w:r>
        <w:rPr>
          <w:noProof/>
        </w:rPr>
        <w:fldChar w:fldCharType="separate"/>
      </w:r>
      <w:r>
        <w:rPr>
          <w:noProof/>
        </w:rPr>
        <w:t>28</w:t>
      </w:r>
      <w:r>
        <w:rPr>
          <w:noProof/>
        </w:rPr>
        <w:fldChar w:fldCharType="end"/>
      </w:r>
    </w:p>
    <w:p w14:paraId="4675EA5A" w14:textId="4C215F46" w:rsidR="00A83AA2" w:rsidRDefault="00A83AA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Value for Money and government priorities</w:t>
      </w:r>
      <w:r>
        <w:rPr>
          <w:noProof/>
        </w:rPr>
        <w:tab/>
      </w:r>
      <w:r>
        <w:rPr>
          <w:noProof/>
        </w:rPr>
        <w:fldChar w:fldCharType="begin"/>
      </w:r>
      <w:r>
        <w:rPr>
          <w:noProof/>
        </w:rPr>
        <w:instrText xml:space="preserve"> PAGEREF _Toc129956319 \h </w:instrText>
      </w:r>
      <w:r>
        <w:rPr>
          <w:noProof/>
        </w:rPr>
      </w:r>
      <w:r>
        <w:rPr>
          <w:noProof/>
        </w:rPr>
        <w:fldChar w:fldCharType="separate"/>
      </w:r>
      <w:r>
        <w:rPr>
          <w:noProof/>
        </w:rPr>
        <w:t>28</w:t>
      </w:r>
      <w:r>
        <w:rPr>
          <w:noProof/>
        </w:rPr>
        <w:fldChar w:fldCharType="end"/>
      </w:r>
    </w:p>
    <w:p w14:paraId="34AC52C4" w14:textId="223B31DC" w:rsidR="00A83AA2" w:rsidRDefault="00A83AA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_Toc129956320 \h </w:instrText>
      </w:r>
      <w:r>
        <w:rPr>
          <w:noProof/>
        </w:rPr>
      </w:r>
      <w:r>
        <w:rPr>
          <w:noProof/>
        </w:rPr>
        <w:fldChar w:fldCharType="separate"/>
      </w:r>
      <w:r>
        <w:rPr>
          <w:noProof/>
        </w:rPr>
        <w:t>29</w:t>
      </w:r>
      <w:r>
        <w:rPr>
          <w:noProof/>
        </w:rPr>
        <w:fldChar w:fldCharType="end"/>
      </w:r>
    </w:p>
    <w:p w14:paraId="51EFFB66" w14:textId="484278FD" w:rsidR="00A83AA2" w:rsidRDefault="00A83AA2">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_Toc129956321 \h </w:instrText>
      </w:r>
      <w:r>
        <w:rPr>
          <w:noProof/>
        </w:rPr>
      </w:r>
      <w:r>
        <w:rPr>
          <w:noProof/>
        </w:rPr>
        <w:fldChar w:fldCharType="separate"/>
      </w:r>
      <w:r>
        <w:rPr>
          <w:noProof/>
        </w:rPr>
        <w:t>29</w:t>
      </w:r>
      <w:r>
        <w:rPr>
          <w:noProof/>
        </w:rPr>
        <w:fldChar w:fldCharType="end"/>
      </w:r>
    </w:p>
    <w:p w14:paraId="7E8C5BDB" w14:textId="65DA4FA7" w:rsidR="00A83AA2" w:rsidRDefault="00A83AA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_Toc129956322 \h </w:instrText>
      </w:r>
      <w:r>
        <w:rPr>
          <w:noProof/>
        </w:rPr>
      </w:r>
      <w:r>
        <w:rPr>
          <w:noProof/>
        </w:rPr>
        <w:fldChar w:fldCharType="separate"/>
      </w:r>
      <w:r>
        <w:rPr>
          <w:noProof/>
        </w:rPr>
        <w:t>30</w:t>
      </w:r>
      <w:r>
        <w:rPr>
          <w:noProof/>
        </w:rPr>
        <w:fldChar w:fldCharType="end"/>
      </w:r>
    </w:p>
    <w:p w14:paraId="69ACDEA9" w14:textId="0539E011" w:rsidR="00A83AA2" w:rsidRDefault="00A83AA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_Toc129956323 \h </w:instrText>
      </w:r>
      <w:r>
        <w:rPr>
          <w:noProof/>
        </w:rPr>
      </w:r>
      <w:r>
        <w:rPr>
          <w:noProof/>
        </w:rPr>
        <w:fldChar w:fldCharType="separate"/>
      </w:r>
      <w:r>
        <w:rPr>
          <w:noProof/>
        </w:rPr>
        <w:t>30</w:t>
      </w:r>
      <w:r>
        <w:rPr>
          <w:noProof/>
        </w:rPr>
        <w:fldChar w:fldCharType="end"/>
      </w:r>
    </w:p>
    <w:p w14:paraId="27E6EE36" w14:textId="715629E8" w:rsidR="00A83AA2" w:rsidRDefault="00A83AA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_Toc129956324 \h </w:instrText>
      </w:r>
      <w:r>
        <w:rPr>
          <w:noProof/>
        </w:rPr>
      </w:r>
      <w:r>
        <w:rPr>
          <w:noProof/>
        </w:rPr>
        <w:fldChar w:fldCharType="separate"/>
      </w:r>
      <w:r>
        <w:rPr>
          <w:noProof/>
        </w:rPr>
        <w:t>30</w:t>
      </w:r>
      <w:r>
        <w:rPr>
          <w:noProof/>
        </w:rPr>
        <w:fldChar w:fldCharType="end"/>
      </w:r>
    </w:p>
    <w:p w14:paraId="614D47E9" w14:textId="29B855A8"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_Toc129956325 \h </w:instrText>
      </w:r>
      <w:r>
        <w:rPr>
          <w:noProof/>
        </w:rPr>
      </w:r>
      <w:r>
        <w:rPr>
          <w:noProof/>
        </w:rPr>
        <w:fldChar w:fldCharType="separate"/>
      </w:r>
      <w:r>
        <w:rPr>
          <w:noProof/>
        </w:rPr>
        <w:t>30</w:t>
      </w:r>
      <w:r>
        <w:rPr>
          <w:noProof/>
        </w:rPr>
        <w:fldChar w:fldCharType="end"/>
      </w:r>
    </w:p>
    <w:p w14:paraId="6CCC9B9F" w14:textId="2D482DBD"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_Toc129956326 \h </w:instrText>
      </w:r>
      <w:r>
        <w:rPr>
          <w:noProof/>
        </w:rPr>
      </w:r>
      <w:r>
        <w:rPr>
          <w:noProof/>
        </w:rPr>
        <w:fldChar w:fldCharType="separate"/>
      </w:r>
      <w:r>
        <w:rPr>
          <w:noProof/>
        </w:rPr>
        <w:t>30</w:t>
      </w:r>
      <w:r>
        <w:rPr>
          <w:noProof/>
        </w:rPr>
        <w:fldChar w:fldCharType="end"/>
      </w:r>
    </w:p>
    <w:p w14:paraId="007B04C6" w14:textId="62C80037" w:rsidR="00A83AA2" w:rsidRDefault="00A83AA2">
      <w:pPr>
        <w:pStyle w:val="TOC4"/>
        <w:rPr>
          <w:rFonts w:asciiTheme="minorHAnsi" w:eastAsiaTheme="minorEastAsia" w:hAnsiTheme="minorHAnsi" w:cstheme="minorBidi"/>
          <w:sz w:val="22"/>
          <w:szCs w:val="22"/>
          <w:lang w:eastAsia="en-AU"/>
        </w:rPr>
      </w:pPr>
      <w:r>
        <w:t>10.2.1</w:t>
      </w:r>
      <w:r>
        <w:rPr>
          <w:rFonts w:asciiTheme="minorHAnsi" w:eastAsiaTheme="minorEastAsia" w:hAnsiTheme="minorHAnsi" w:cstheme="minorBidi"/>
          <w:sz w:val="22"/>
          <w:szCs w:val="22"/>
          <w:lang w:eastAsia="en-AU"/>
        </w:rPr>
        <w:tab/>
      </w:r>
      <w:r>
        <w:t>Australian Industry Participation (AIP) Plan</w:t>
      </w:r>
      <w:r>
        <w:tab/>
      </w:r>
      <w:r>
        <w:fldChar w:fldCharType="begin"/>
      </w:r>
      <w:r>
        <w:instrText xml:space="preserve"> PAGEREF _Toc129956327 \h </w:instrText>
      </w:r>
      <w:r>
        <w:fldChar w:fldCharType="separate"/>
      </w:r>
      <w:r>
        <w:t>31</w:t>
      </w:r>
      <w:r>
        <w:fldChar w:fldCharType="end"/>
      </w:r>
    </w:p>
    <w:p w14:paraId="0A72C386" w14:textId="0795BF07" w:rsidR="00A83AA2" w:rsidRDefault="00A83AA2">
      <w:pPr>
        <w:pStyle w:val="TOC4"/>
        <w:rPr>
          <w:rFonts w:asciiTheme="minorHAnsi" w:eastAsiaTheme="minorEastAsia" w:hAnsiTheme="minorHAnsi" w:cstheme="minorBidi"/>
          <w:sz w:val="22"/>
          <w:szCs w:val="22"/>
          <w:lang w:eastAsia="en-AU"/>
        </w:rPr>
      </w:pPr>
      <w:r>
        <w:t>10.2.2</w:t>
      </w:r>
      <w:r>
        <w:rPr>
          <w:rFonts w:asciiTheme="minorHAnsi" w:eastAsiaTheme="minorEastAsia" w:hAnsiTheme="minorHAnsi" w:cstheme="minorBidi"/>
          <w:sz w:val="22"/>
          <w:szCs w:val="22"/>
          <w:lang w:eastAsia="en-AU"/>
        </w:rPr>
        <w:tab/>
      </w:r>
      <w:r>
        <w:t>WHS Accreditation Scheme</w:t>
      </w:r>
      <w:r>
        <w:tab/>
      </w:r>
      <w:r>
        <w:fldChar w:fldCharType="begin"/>
      </w:r>
      <w:r>
        <w:instrText xml:space="preserve"> PAGEREF _Toc129956328 \h </w:instrText>
      </w:r>
      <w:r>
        <w:fldChar w:fldCharType="separate"/>
      </w:r>
      <w:r>
        <w:t>31</w:t>
      </w:r>
      <w:r>
        <w:fldChar w:fldCharType="end"/>
      </w:r>
    </w:p>
    <w:p w14:paraId="6FC3A9DE" w14:textId="356DC4FF"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_Toc129956329 \h </w:instrText>
      </w:r>
      <w:r>
        <w:rPr>
          <w:noProof/>
        </w:rPr>
      </w:r>
      <w:r>
        <w:rPr>
          <w:noProof/>
        </w:rPr>
        <w:fldChar w:fldCharType="separate"/>
      </w:r>
      <w:r>
        <w:rPr>
          <w:noProof/>
        </w:rPr>
        <w:t>31</w:t>
      </w:r>
      <w:r>
        <w:rPr>
          <w:noProof/>
        </w:rPr>
        <w:fldChar w:fldCharType="end"/>
      </w:r>
    </w:p>
    <w:p w14:paraId="4058AC36" w14:textId="61C5D268" w:rsidR="00A83AA2" w:rsidRDefault="00A83AA2">
      <w:pPr>
        <w:pStyle w:val="TOC3"/>
        <w:tabs>
          <w:tab w:val="left" w:pos="1077"/>
        </w:tabs>
        <w:rPr>
          <w:rFonts w:asciiTheme="minorHAnsi" w:eastAsiaTheme="minorEastAsia" w:hAnsiTheme="minorHAnsi" w:cstheme="minorBidi"/>
          <w:noProof/>
          <w:sz w:val="22"/>
          <w:lang w:val="en-AU" w:eastAsia="en-AU"/>
        </w:rPr>
      </w:pPr>
      <w:r>
        <w:rPr>
          <w:noProof/>
          <w:lang w:eastAsia="en-AU"/>
        </w:rPr>
        <w:t>10.4</w:t>
      </w:r>
      <w:r>
        <w:rPr>
          <w:rFonts w:asciiTheme="minorHAnsi" w:eastAsiaTheme="minorEastAsia" w:hAnsiTheme="minorHAnsi" w:cstheme="minorBidi"/>
          <w:noProof/>
          <w:sz w:val="22"/>
          <w:lang w:val="en-AU" w:eastAsia="en-AU"/>
        </w:rPr>
        <w:tab/>
      </w:r>
      <w:r>
        <w:rPr>
          <w:noProof/>
          <w:lang w:eastAsia="en-AU"/>
        </w:rPr>
        <w:t>Maintaining project benefits</w:t>
      </w:r>
      <w:r>
        <w:rPr>
          <w:noProof/>
        </w:rPr>
        <w:tab/>
      </w:r>
      <w:r>
        <w:rPr>
          <w:noProof/>
        </w:rPr>
        <w:fldChar w:fldCharType="begin"/>
      </w:r>
      <w:r>
        <w:rPr>
          <w:noProof/>
        </w:rPr>
        <w:instrText xml:space="preserve"> PAGEREF _Toc129956330 \h </w:instrText>
      </w:r>
      <w:r>
        <w:rPr>
          <w:noProof/>
        </w:rPr>
      </w:r>
      <w:r>
        <w:rPr>
          <w:noProof/>
        </w:rPr>
        <w:fldChar w:fldCharType="separate"/>
      </w:r>
      <w:r>
        <w:rPr>
          <w:noProof/>
        </w:rPr>
        <w:t>31</w:t>
      </w:r>
      <w:r>
        <w:rPr>
          <w:noProof/>
        </w:rPr>
        <w:fldChar w:fldCharType="end"/>
      </w:r>
    </w:p>
    <w:p w14:paraId="24D36DE8" w14:textId="3A1A4F80"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10.5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_Toc129956331 \h </w:instrText>
      </w:r>
      <w:r>
        <w:rPr>
          <w:noProof/>
        </w:rPr>
      </w:r>
      <w:r>
        <w:rPr>
          <w:noProof/>
        </w:rPr>
        <w:fldChar w:fldCharType="separate"/>
      </w:r>
      <w:r>
        <w:rPr>
          <w:noProof/>
        </w:rPr>
        <w:t>32</w:t>
      </w:r>
      <w:r>
        <w:rPr>
          <w:noProof/>
        </w:rPr>
        <w:fldChar w:fldCharType="end"/>
      </w:r>
    </w:p>
    <w:p w14:paraId="5E2C3266" w14:textId="1D7CD278"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10.6</w:t>
      </w:r>
      <w:r>
        <w:rPr>
          <w:rFonts w:asciiTheme="minorHAnsi" w:eastAsiaTheme="minorEastAsia" w:hAnsiTheme="minorHAnsi" w:cstheme="minorBidi"/>
          <w:noProof/>
          <w:sz w:val="22"/>
          <w:lang w:val="en-AU" w:eastAsia="en-AU"/>
        </w:rPr>
        <w:tab/>
      </w:r>
      <w:r>
        <w:rPr>
          <w:noProof/>
        </w:rPr>
        <w:t>Amendment to these Guidelines</w:t>
      </w:r>
      <w:r>
        <w:rPr>
          <w:noProof/>
        </w:rPr>
        <w:tab/>
      </w:r>
      <w:r>
        <w:rPr>
          <w:noProof/>
        </w:rPr>
        <w:fldChar w:fldCharType="begin"/>
      </w:r>
      <w:r>
        <w:rPr>
          <w:noProof/>
        </w:rPr>
        <w:instrText xml:space="preserve"> PAGEREF _Toc129956332 \h </w:instrText>
      </w:r>
      <w:r>
        <w:rPr>
          <w:noProof/>
        </w:rPr>
      </w:r>
      <w:r>
        <w:rPr>
          <w:noProof/>
        </w:rPr>
        <w:fldChar w:fldCharType="separate"/>
      </w:r>
      <w:r>
        <w:rPr>
          <w:noProof/>
        </w:rPr>
        <w:t>32</w:t>
      </w:r>
      <w:r>
        <w:rPr>
          <w:noProof/>
        </w:rPr>
        <w:fldChar w:fldCharType="end"/>
      </w:r>
    </w:p>
    <w:p w14:paraId="60965A14" w14:textId="69D02973" w:rsidR="00A83AA2" w:rsidRDefault="00A83AA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_Toc129956333 \h </w:instrText>
      </w:r>
      <w:r>
        <w:rPr>
          <w:noProof/>
        </w:rPr>
      </w:r>
      <w:r>
        <w:rPr>
          <w:noProof/>
        </w:rPr>
        <w:fldChar w:fldCharType="separate"/>
      </w:r>
      <w:r>
        <w:rPr>
          <w:noProof/>
        </w:rPr>
        <w:t>32</w:t>
      </w:r>
      <w:r>
        <w:rPr>
          <w:noProof/>
        </w:rPr>
        <w:fldChar w:fldCharType="end"/>
      </w:r>
    </w:p>
    <w:p w14:paraId="030AA81B" w14:textId="2432B14B" w:rsidR="00A83AA2" w:rsidRDefault="00A83AA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_Toc129956334 \h </w:instrText>
      </w:r>
      <w:r>
        <w:rPr>
          <w:noProof/>
        </w:rPr>
      </w:r>
      <w:r>
        <w:rPr>
          <w:noProof/>
        </w:rPr>
        <w:fldChar w:fldCharType="separate"/>
      </w:r>
      <w:r>
        <w:rPr>
          <w:noProof/>
        </w:rPr>
        <w:t>32</w:t>
      </w:r>
      <w:r>
        <w:rPr>
          <w:noProof/>
        </w:rPr>
        <w:fldChar w:fldCharType="end"/>
      </w:r>
    </w:p>
    <w:p w14:paraId="4ADFCA6E" w14:textId="4E4C1231"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_Toc129956335 \h </w:instrText>
      </w:r>
      <w:r>
        <w:rPr>
          <w:noProof/>
        </w:rPr>
      </w:r>
      <w:r>
        <w:rPr>
          <w:noProof/>
        </w:rPr>
        <w:fldChar w:fldCharType="separate"/>
      </w:r>
      <w:r>
        <w:rPr>
          <w:noProof/>
        </w:rPr>
        <w:t>32</w:t>
      </w:r>
      <w:r>
        <w:rPr>
          <w:noProof/>
        </w:rPr>
        <w:fldChar w:fldCharType="end"/>
      </w:r>
    </w:p>
    <w:p w14:paraId="0665C7C4" w14:textId="218D19D6"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_Toc129956336 \h </w:instrText>
      </w:r>
      <w:r>
        <w:rPr>
          <w:noProof/>
        </w:rPr>
      </w:r>
      <w:r>
        <w:rPr>
          <w:noProof/>
        </w:rPr>
        <w:fldChar w:fldCharType="separate"/>
      </w:r>
      <w:r>
        <w:rPr>
          <w:noProof/>
        </w:rPr>
        <w:t>33</w:t>
      </w:r>
      <w:r>
        <w:rPr>
          <w:noProof/>
        </w:rPr>
        <w:fldChar w:fldCharType="end"/>
      </w:r>
    </w:p>
    <w:p w14:paraId="09AD609B" w14:textId="17BD0FBE"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Asset completion report</w:t>
      </w:r>
      <w:r>
        <w:rPr>
          <w:noProof/>
        </w:rPr>
        <w:tab/>
      </w:r>
      <w:r>
        <w:rPr>
          <w:noProof/>
        </w:rPr>
        <w:fldChar w:fldCharType="begin"/>
      </w:r>
      <w:r>
        <w:rPr>
          <w:noProof/>
        </w:rPr>
        <w:instrText xml:space="preserve"> PAGEREF _Toc129956337 \h </w:instrText>
      </w:r>
      <w:r>
        <w:rPr>
          <w:noProof/>
        </w:rPr>
      </w:r>
      <w:r>
        <w:rPr>
          <w:noProof/>
        </w:rPr>
        <w:fldChar w:fldCharType="separate"/>
      </w:r>
      <w:r>
        <w:rPr>
          <w:noProof/>
        </w:rPr>
        <w:t>33</w:t>
      </w:r>
      <w:r>
        <w:rPr>
          <w:noProof/>
        </w:rPr>
        <w:fldChar w:fldCharType="end"/>
      </w:r>
    </w:p>
    <w:p w14:paraId="5B5FC8D6" w14:textId="27E38BCB"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_Toc129956338 \h </w:instrText>
      </w:r>
      <w:r>
        <w:rPr>
          <w:noProof/>
        </w:rPr>
      </w:r>
      <w:r>
        <w:rPr>
          <w:noProof/>
        </w:rPr>
        <w:fldChar w:fldCharType="separate"/>
      </w:r>
      <w:r>
        <w:rPr>
          <w:noProof/>
        </w:rPr>
        <w:t>33</w:t>
      </w:r>
      <w:r>
        <w:rPr>
          <w:noProof/>
        </w:rPr>
        <w:fldChar w:fldCharType="end"/>
      </w:r>
    </w:p>
    <w:p w14:paraId="04A8B23B" w14:textId="7F91BCCE"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Financial declaration or audited financial acquittal report</w:t>
      </w:r>
      <w:r>
        <w:rPr>
          <w:noProof/>
        </w:rPr>
        <w:tab/>
      </w:r>
      <w:r>
        <w:rPr>
          <w:noProof/>
        </w:rPr>
        <w:fldChar w:fldCharType="begin"/>
      </w:r>
      <w:r>
        <w:rPr>
          <w:noProof/>
        </w:rPr>
        <w:instrText xml:space="preserve"> PAGEREF _Toc129956339 \h </w:instrText>
      </w:r>
      <w:r>
        <w:rPr>
          <w:noProof/>
        </w:rPr>
      </w:r>
      <w:r>
        <w:rPr>
          <w:noProof/>
        </w:rPr>
        <w:fldChar w:fldCharType="separate"/>
      </w:r>
      <w:r>
        <w:rPr>
          <w:noProof/>
        </w:rPr>
        <w:t>33</w:t>
      </w:r>
      <w:r>
        <w:rPr>
          <w:noProof/>
        </w:rPr>
        <w:fldChar w:fldCharType="end"/>
      </w:r>
    </w:p>
    <w:p w14:paraId="56CA37E8" w14:textId="0D71BECB"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Independent audit report</w:t>
      </w:r>
      <w:r>
        <w:rPr>
          <w:noProof/>
        </w:rPr>
        <w:tab/>
      </w:r>
      <w:r>
        <w:rPr>
          <w:noProof/>
        </w:rPr>
        <w:fldChar w:fldCharType="begin"/>
      </w:r>
      <w:r>
        <w:rPr>
          <w:noProof/>
        </w:rPr>
        <w:instrText xml:space="preserve"> PAGEREF _Toc129956340 \h </w:instrText>
      </w:r>
      <w:r>
        <w:rPr>
          <w:noProof/>
        </w:rPr>
      </w:r>
      <w:r>
        <w:rPr>
          <w:noProof/>
        </w:rPr>
        <w:fldChar w:fldCharType="separate"/>
      </w:r>
      <w:r>
        <w:rPr>
          <w:noProof/>
        </w:rPr>
        <w:t>33</w:t>
      </w:r>
      <w:r>
        <w:rPr>
          <w:noProof/>
        </w:rPr>
        <w:fldChar w:fldCharType="end"/>
      </w:r>
    </w:p>
    <w:p w14:paraId="26CF9B25" w14:textId="14E1F08B"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_Toc129956341 \h </w:instrText>
      </w:r>
      <w:r>
        <w:rPr>
          <w:noProof/>
        </w:rPr>
      </w:r>
      <w:r>
        <w:rPr>
          <w:noProof/>
        </w:rPr>
        <w:fldChar w:fldCharType="separate"/>
      </w:r>
      <w:r>
        <w:rPr>
          <w:noProof/>
        </w:rPr>
        <w:t>34</w:t>
      </w:r>
      <w:r>
        <w:rPr>
          <w:noProof/>
        </w:rPr>
        <w:fldChar w:fldCharType="end"/>
      </w:r>
    </w:p>
    <w:p w14:paraId="057FA872" w14:textId="588F57DD"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_Toc129956342 \h </w:instrText>
      </w:r>
      <w:r>
        <w:rPr>
          <w:noProof/>
        </w:rPr>
      </w:r>
      <w:r>
        <w:rPr>
          <w:noProof/>
        </w:rPr>
        <w:fldChar w:fldCharType="separate"/>
      </w:r>
      <w:r>
        <w:rPr>
          <w:noProof/>
        </w:rPr>
        <w:t>34</w:t>
      </w:r>
      <w:r>
        <w:rPr>
          <w:noProof/>
        </w:rPr>
        <w:fldChar w:fldCharType="end"/>
      </w:r>
    </w:p>
    <w:p w14:paraId="0D6DD444" w14:textId="0DC02560"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12.9</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_Toc129956343 \h </w:instrText>
      </w:r>
      <w:r>
        <w:rPr>
          <w:noProof/>
        </w:rPr>
      </w:r>
      <w:r>
        <w:rPr>
          <w:noProof/>
        </w:rPr>
        <w:fldChar w:fldCharType="separate"/>
      </w:r>
      <w:r>
        <w:rPr>
          <w:noProof/>
        </w:rPr>
        <w:t>34</w:t>
      </w:r>
      <w:r>
        <w:rPr>
          <w:noProof/>
        </w:rPr>
        <w:fldChar w:fldCharType="end"/>
      </w:r>
    </w:p>
    <w:p w14:paraId="4974E6AE" w14:textId="0E973560" w:rsidR="00A83AA2" w:rsidRDefault="00A83AA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_Toc129956344 \h </w:instrText>
      </w:r>
      <w:r>
        <w:rPr>
          <w:noProof/>
        </w:rPr>
      </w:r>
      <w:r>
        <w:rPr>
          <w:noProof/>
        </w:rPr>
        <w:fldChar w:fldCharType="separate"/>
      </w:r>
      <w:r>
        <w:rPr>
          <w:noProof/>
        </w:rPr>
        <w:t>34</w:t>
      </w:r>
      <w:r>
        <w:rPr>
          <w:noProof/>
        </w:rPr>
        <w:fldChar w:fldCharType="end"/>
      </w:r>
    </w:p>
    <w:p w14:paraId="24C280F9" w14:textId="7A9063A2"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_Toc129956345 \h </w:instrText>
      </w:r>
      <w:r>
        <w:rPr>
          <w:noProof/>
        </w:rPr>
      </w:r>
      <w:r>
        <w:rPr>
          <w:noProof/>
        </w:rPr>
        <w:fldChar w:fldCharType="separate"/>
      </w:r>
      <w:r>
        <w:rPr>
          <w:noProof/>
        </w:rPr>
        <w:t>34</w:t>
      </w:r>
      <w:r>
        <w:rPr>
          <w:noProof/>
        </w:rPr>
        <w:fldChar w:fldCharType="end"/>
      </w:r>
    </w:p>
    <w:p w14:paraId="54DA892D" w14:textId="15028207"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_Toc129956346 \h </w:instrText>
      </w:r>
      <w:r>
        <w:rPr>
          <w:noProof/>
        </w:rPr>
      </w:r>
      <w:r>
        <w:rPr>
          <w:noProof/>
        </w:rPr>
        <w:fldChar w:fldCharType="separate"/>
      </w:r>
      <w:r>
        <w:rPr>
          <w:noProof/>
        </w:rPr>
        <w:t>35</w:t>
      </w:r>
      <w:r>
        <w:rPr>
          <w:noProof/>
        </w:rPr>
        <w:fldChar w:fldCharType="end"/>
      </w:r>
    </w:p>
    <w:p w14:paraId="5ECD7071" w14:textId="369A3EE9"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_Toc129956347 \h </w:instrText>
      </w:r>
      <w:r>
        <w:rPr>
          <w:noProof/>
        </w:rPr>
      </w:r>
      <w:r>
        <w:rPr>
          <w:noProof/>
        </w:rPr>
        <w:fldChar w:fldCharType="separate"/>
      </w:r>
      <w:r>
        <w:rPr>
          <w:noProof/>
        </w:rPr>
        <w:t>35</w:t>
      </w:r>
      <w:r>
        <w:rPr>
          <w:noProof/>
        </w:rPr>
        <w:fldChar w:fldCharType="end"/>
      </w:r>
    </w:p>
    <w:p w14:paraId="0A5F8AE0" w14:textId="30C4D6A5"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_Toc129956348 \h </w:instrText>
      </w:r>
      <w:r>
        <w:rPr>
          <w:noProof/>
        </w:rPr>
      </w:r>
      <w:r>
        <w:rPr>
          <w:noProof/>
        </w:rPr>
        <w:fldChar w:fldCharType="separate"/>
      </w:r>
      <w:r>
        <w:rPr>
          <w:noProof/>
        </w:rPr>
        <w:t>36</w:t>
      </w:r>
      <w:r>
        <w:rPr>
          <w:noProof/>
        </w:rPr>
        <w:fldChar w:fldCharType="end"/>
      </w:r>
    </w:p>
    <w:p w14:paraId="0E5F7577" w14:textId="5592F1F5"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Intellectual property rights</w:t>
      </w:r>
      <w:r>
        <w:rPr>
          <w:noProof/>
        </w:rPr>
        <w:tab/>
      </w:r>
      <w:r>
        <w:rPr>
          <w:noProof/>
        </w:rPr>
        <w:fldChar w:fldCharType="begin"/>
      </w:r>
      <w:r>
        <w:rPr>
          <w:noProof/>
        </w:rPr>
        <w:instrText xml:space="preserve"> PAGEREF _Toc129956349 \h </w:instrText>
      </w:r>
      <w:r>
        <w:rPr>
          <w:noProof/>
        </w:rPr>
      </w:r>
      <w:r>
        <w:rPr>
          <w:noProof/>
        </w:rPr>
        <w:fldChar w:fldCharType="separate"/>
      </w:r>
      <w:r>
        <w:rPr>
          <w:noProof/>
        </w:rPr>
        <w:t>36</w:t>
      </w:r>
      <w:r>
        <w:rPr>
          <w:noProof/>
        </w:rPr>
        <w:fldChar w:fldCharType="end"/>
      </w:r>
    </w:p>
    <w:p w14:paraId="7F2A11A5" w14:textId="5F4351BB" w:rsidR="00A83AA2" w:rsidRDefault="00A83AA2">
      <w:pPr>
        <w:pStyle w:val="TOC3"/>
        <w:tabs>
          <w:tab w:val="left" w:pos="1077"/>
        </w:tabs>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_Toc129956350 \h </w:instrText>
      </w:r>
      <w:r>
        <w:rPr>
          <w:noProof/>
        </w:rPr>
      </w:r>
      <w:r>
        <w:rPr>
          <w:noProof/>
        </w:rPr>
        <w:fldChar w:fldCharType="separate"/>
      </w:r>
      <w:r>
        <w:rPr>
          <w:noProof/>
        </w:rPr>
        <w:t>37</w:t>
      </w:r>
      <w:r>
        <w:rPr>
          <w:noProof/>
        </w:rPr>
        <w:fldChar w:fldCharType="end"/>
      </w:r>
    </w:p>
    <w:p w14:paraId="0BF3E8B9" w14:textId="10184DE6" w:rsidR="00A83AA2" w:rsidRDefault="00A83AA2">
      <w:pPr>
        <w:pStyle w:val="TOC2"/>
        <w:rPr>
          <w:rFonts w:asciiTheme="minorHAnsi" w:eastAsiaTheme="minorEastAsia" w:hAnsiTheme="minorHAnsi" w:cstheme="minorBidi"/>
          <w:b w:val="0"/>
          <w:noProof/>
          <w:sz w:val="22"/>
          <w:lang w:val="en-AU" w:eastAsia="en-AU"/>
        </w:rPr>
      </w:pPr>
      <w:r>
        <w:rPr>
          <w:noProof/>
        </w:rPr>
        <w:lastRenderedPageBreak/>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_Toc129956351 \h </w:instrText>
      </w:r>
      <w:r>
        <w:rPr>
          <w:noProof/>
        </w:rPr>
      </w:r>
      <w:r>
        <w:rPr>
          <w:noProof/>
        </w:rPr>
        <w:fldChar w:fldCharType="separate"/>
      </w:r>
      <w:r>
        <w:rPr>
          <w:noProof/>
        </w:rPr>
        <w:t>37</w:t>
      </w:r>
      <w:r>
        <w:rPr>
          <w:noProof/>
        </w:rPr>
        <w:fldChar w:fldCharType="end"/>
      </w:r>
    </w:p>
    <w:p w14:paraId="2733A566" w14:textId="0F53C3D7" w:rsidR="00A83AA2" w:rsidRDefault="00A83AA2">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_Toc129956352 \h </w:instrText>
      </w:r>
      <w:r>
        <w:rPr>
          <w:noProof/>
        </w:rPr>
      </w:r>
      <w:r>
        <w:rPr>
          <w:noProof/>
        </w:rPr>
        <w:fldChar w:fldCharType="separate"/>
      </w:r>
      <w:r>
        <w:rPr>
          <w:noProof/>
        </w:rPr>
        <w:t>37</w:t>
      </w:r>
      <w:r>
        <w:rPr>
          <w:noProof/>
        </w:rPr>
        <w:fldChar w:fldCharType="end"/>
      </w:r>
    </w:p>
    <w:p w14:paraId="3F94CE95" w14:textId="1ED78E3B" w:rsidR="00F0528A" w:rsidRDefault="004A238A" w:rsidP="00F0528A">
      <w:pPr>
        <w:pStyle w:val="Tabletext0"/>
        <w:rPr>
          <w:rFonts w:eastAsia="Calibri"/>
          <w:sz w:val="20"/>
          <w:lang w:val="en-US"/>
        </w:rPr>
      </w:pPr>
      <w:r w:rsidRPr="00994E8B">
        <w:rPr>
          <w:rFonts w:eastAsia="Calibri"/>
          <w:sz w:val="20"/>
          <w:lang w:val="en-US"/>
        </w:rPr>
        <w:fldChar w:fldCharType="end"/>
      </w:r>
    </w:p>
    <w:p w14:paraId="07446343" w14:textId="63E3E27B" w:rsidR="00DA339A" w:rsidRDefault="00E450A4" w:rsidP="00DA339A">
      <w:pPr>
        <w:spacing w:before="0" w:after="0" w:line="240" w:lineRule="auto"/>
      </w:pPr>
      <w:r w:rsidRPr="0055015B">
        <w:rPr>
          <w:b/>
          <w:sz w:val="22"/>
          <w:szCs w:val="22"/>
        </w:rPr>
        <w:t>Attachment A:</w:t>
      </w:r>
      <w:r>
        <w:t xml:space="preserve"> </w:t>
      </w:r>
      <w:r w:rsidRPr="0055015B">
        <w:t>Co-location and co-build for Mobile Black Spot Solutions</w:t>
      </w:r>
    </w:p>
    <w:p w14:paraId="434ACAFE" w14:textId="68A8EA29" w:rsidR="00E450A4" w:rsidRPr="0055015B" w:rsidRDefault="00DA339A" w:rsidP="00DA339A">
      <w:pPr>
        <w:spacing w:before="0" w:after="0" w:line="240" w:lineRule="auto"/>
        <w:ind w:left="1440"/>
      </w:pPr>
      <w:r>
        <w:t xml:space="preserve">  </w:t>
      </w:r>
      <w:r w:rsidR="00E450A4" w:rsidRPr="0055015B">
        <w:t>Backhaul access and pricing for Mobile Black Spot Solutions</w:t>
      </w:r>
    </w:p>
    <w:p w14:paraId="1E4C06C2" w14:textId="3FC51D2D" w:rsidR="00E450A4" w:rsidRPr="0055015B" w:rsidRDefault="00DA339A" w:rsidP="00DA339A">
      <w:pPr>
        <w:spacing w:before="0" w:after="0" w:line="240" w:lineRule="auto"/>
        <w:ind w:left="720" w:firstLine="720"/>
      </w:pPr>
      <w:r>
        <w:t xml:space="preserve">  </w:t>
      </w:r>
      <w:r w:rsidR="00E450A4" w:rsidRPr="0055015B">
        <w:t>Dispute resolution for Mobile Black Spot Solutions</w:t>
      </w:r>
    </w:p>
    <w:p w14:paraId="53BEF439" w14:textId="4EA102F8" w:rsidR="00E450A4" w:rsidRDefault="00E450A4" w:rsidP="00F0528A">
      <w:pPr>
        <w:pStyle w:val="Tabletext0"/>
      </w:pPr>
    </w:p>
    <w:p w14:paraId="7CFF7C79" w14:textId="77777777" w:rsidR="00A27B5B" w:rsidRDefault="00A27B5B" w:rsidP="00F0528A">
      <w:pPr>
        <w:pStyle w:val="Tabletext0"/>
      </w:pPr>
    </w:p>
    <w:p w14:paraId="4AC6041E" w14:textId="77777777" w:rsidR="00F0528A" w:rsidRPr="00994E8B" w:rsidRDefault="00F0528A" w:rsidP="00F0528A">
      <w:pPr>
        <w:pStyle w:val="Heading2notshowing"/>
        <w:rPr>
          <w:rFonts w:ascii="Arial" w:hAnsi="Arial" w:cs="Arial"/>
          <w:sz w:val="28"/>
        </w:rPr>
      </w:pPr>
      <w:r w:rsidRPr="00994E8B">
        <w:rPr>
          <w:rFonts w:ascii="Arial" w:hAnsi="Arial" w:cs="Arial"/>
          <w:sz w:val="28"/>
        </w:rPr>
        <w:t>Tables / images</w:t>
      </w:r>
    </w:p>
    <w:p w14:paraId="792FFFFD" w14:textId="74402B59" w:rsidR="006B7FE7" w:rsidRPr="00994E8B" w:rsidRDefault="006B7FE7">
      <w:pPr>
        <w:pStyle w:val="TOC4"/>
        <w:rPr>
          <w:rFonts w:eastAsia="PMingLiU" w:cs="Arial"/>
          <w:sz w:val="18"/>
        </w:rPr>
      </w:pPr>
      <w:r w:rsidRPr="00994E8B">
        <w:rPr>
          <w:rFonts w:eastAsia="PMingLiU" w:cs="Arial"/>
          <w:sz w:val="18"/>
        </w:rPr>
        <w:t>Table 1: RSRP Coverage Modelling Requirements……………………………………………......</w:t>
      </w:r>
      <w:r w:rsidR="00B548CE" w:rsidRPr="00994E8B">
        <w:rPr>
          <w:rFonts w:eastAsia="PMingLiU" w:cs="Arial"/>
          <w:sz w:val="18"/>
        </w:rPr>
        <w:t xml:space="preserve"> </w:t>
      </w:r>
      <w:r w:rsidRPr="00994E8B">
        <w:rPr>
          <w:rFonts w:eastAsia="PMingLiU" w:cs="Arial"/>
          <w:sz w:val="18"/>
        </w:rPr>
        <w:t>9</w:t>
      </w:r>
    </w:p>
    <w:p w14:paraId="506273F7" w14:textId="423DF3F8" w:rsidR="00B548CE" w:rsidRPr="00994E8B" w:rsidRDefault="00B548CE" w:rsidP="004F00DF">
      <w:pPr>
        <w:pStyle w:val="TOC4"/>
        <w:rPr>
          <w:rFonts w:eastAsia="PMingLiU" w:cs="Arial"/>
          <w:sz w:val="18"/>
        </w:rPr>
      </w:pPr>
      <w:r w:rsidRPr="00994E8B">
        <w:rPr>
          <w:rFonts w:eastAsia="PMingLiU" w:cs="Arial"/>
          <w:sz w:val="18"/>
        </w:rPr>
        <w:t>Table 2: Example assessment of New Handheld Coverage and Overlapping Coverage..........21</w:t>
      </w:r>
    </w:p>
    <w:p w14:paraId="3DBCB661" w14:textId="202235EC" w:rsidR="00DD3C0D" w:rsidRPr="00994E8B" w:rsidRDefault="004F00DF" w:rsidP="004F00DF">
      <w:pPr>
        <w:pStyle w:val="TOC4"/>
        <w:rPr>
          <w:rFonts w:eastAsia="PMingLiU" w:cs="Arial"/>
          <w:sz w:val="18"/>
        </w:rPr>
      </w:pPr>
      <w:r w:rsidRPr="00994E8B">
        <w:rPr>
          <w:rFonts w:eastAsia="PMingLiU" w:cs="Arial"/>
          <w:sz w:val="18"/>
        </w:rPr>
        <w:t>Table</w:t>
      </w:r>
      <w:r w:rsidR="006B7FE7" w:rsidRPr="00994E8B">
        <w:rPr>
          <w:rFonts w:eastAsia="PMingLiU" w:cs="Arial"/>
          <w:sz w:val="18"/>
        </w:rPr>
        <w:t xml:space="preserve"> 3</w:t>
      </w:r>
      <w:r w:rsidRPr="00994E8B">
        <w:rPr>
          <w:rFonts w:eastAsia="PMingLiU" w:cs="Arial"/>
          <w:sz w:val="18"/>
        </w:rPr>
        <w:t>: Expected timing for this Grant Opportunity ……………………………………………...</w:t>
      </w:r>
      <w:r w:rsidR="00B548CE" w:rsidRPr="00994E8B">
        <w:rPr>
          <w:rFonts w:eastAsia="PMingLiU" w:cs="Arial"/>
          <w:sz w:val="18"/>
        </w:rPr>
        <w:t xml:space="preserve"> 22</w:t>
      </w:r>
    </w:p>
    <w:p w14:paraId="7A969EEB" w14:textId="1BD793B1" w:rsidR="009F304F" w:rsidRPr="00994E8B" w:rsidRDefault="009F304F" w:rsidP="009F304F">
      <w:pPr>
        <w:pStyle w:val="TOC4"/>
        <w:rPr>
          <w:rFonts w:eastAsia="PMingLiU" w:cs="Arial"/>
          <w:sz w:val="18"/>
        </w:rPr>
      </w:pPr>
      <w:r w:rsidRPr="00994E8B">
        <w:rPr>
          <w:rFonts w:eastAsia="PMingLiU" w:cs="Arial"/>
          <w:sz w:val="18"/>
        </w:rPr>
        <w:t>Table 4: Minimum specification configurations for co-location of multiple MNOs</w:t>
      </w:r>
      <w:r w:rsidR="00F01363" w:rsidRPr="00994E8B">
        <w:rPr>
          <w:rFonts w:eastAsia="PMingLiU" w:cs="Arial"/>
          <w:sz w:val="18"/>
        </w:rPr>
        <w:t>...</w:t>
      </w:r>
      <w:r w:rsidRPr="00994E8B">
        <w:rPr>
          <w:rFonts w:eastAsia="PMingLiU" w:cs="Arial"/>
          <w:sz w:val="18"/>
        </w:rPr>
        <w:t>………….....42</w:t>
      </w:r>
    </w:p>
    <w:p w14:paraId="508E3511" w14:textId="77777777" w:rsidR="009F304F" w:rsidRPr="00994E8B" w:rsidRDefault="009F304F" w:rsidP="00994E8B">
      <w:pPr>
        <w:rPr>
          <w:rFonts w:eastAsia="PMingLiU"/>
        </w:rPr>
      </w:pPr>
    </w:p>
    <w:p w14:paraId="188021FC" w14:textId="77777777" w:rsidR="006B7FE7" w:rsidRPr="00994E8B" w:rsidRDefault="006B7FE7" w:rsidP="006B7FE7"/>
    <w:p w14:paraId="25D62D7E" w14:textId="0BAD7578" w:rsidR="00F538DA" w:rsidRPr="00994E8B" w:rsidRDefault="00F538DA" w:rsidP="00994E8B">
      <w:pPr>
        <w:sectPr w:rsidR="00F538DA" w:rsidRPr="00994E8B" w:rsidSect="0002331D">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p>
    <w:p w14:paraId="249C1224" w14:textId="3C5C74DA" w:rsidR="00D00456" w:rsidRPr="00994E8B" w:rsidRDefault="00C404E2" w:rsidP="002E4AD3">
      <w:pPr>
        <w:pStyle w:val="Heading2"/>
      </w:pPr>
      <w:bookmarkStart w:id="4" w:name="_[Program_name]:_[Grant"/>
      <w:bookmarkStart w:id="5" w:name="_Toc129956275"/>
      <w:bookmarkStart w:id="6" w:name="_Toc458420391"/>
      <w:bookmarkStart w:id="7" w:name="_Toc462824846"/>
      <w:bookmarkEnd w:id="4"/>
      <w:r w:rsidRPr="00994E8B">
        <w:lastRenderedPageBreak/>
        <w:t>R</w:t>
      </w:r>
      <w:r w:rsidR="00FF1C51" w:rsidRPr="00994E8B">
        <w:t>ound 3 of the R</w:t>
      </w:r>
      <w:r w:rsidRPr="00994E8B">
        <w:t>egional Connectivity Program</w:t>
      </w:r>
      <w:r w:rsidR="00FF1C51" w:rsidRPr="00994E8B">
        <w:t xml:space="preserve"> – with Mobile Black Spot (Round 7) opportunities</w:t>
      </w:r>
      <w:r w:rsidRPr="00994E8B">
        <w:t xml:space="preserve">: </w:t>
      </w:r>
      <w:r w:rsidR="005447D1" w:rsidRPr="00994E8B">
        <w:t>p</w:t>
      </w:r>
      <w:r w:rsidR="00D00456" w:rsidRPr="00994E8B">
        <w:t>rocess</w:t>
      </w:r>
      <w:r w:rsidR="009F2B71" w:rsidRPr="00994E8B">
        <w:t>es</w:t>
      </w:r>
      <w:bookmarkEnd w:id="5"/>
    </w:p>
    <w:bookmarkEnd w:id="6"/>
    <w:bookmarkEnd w:id="7"/>
    <w:p w14:paraId="1270C0FA"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w w:val="92"/>
          <w:sz w:val="24"/>
          <w:szCs w:val="24"/>
        </w:rPr>
      </w:pPr>
      <w:r w:rsidRPr="00994E8B">
        <w:rPr>
          <w:w w:val="92"/>
          <w:sz w:val="24"/>
          <w:szCs w:val="24"/>
        </w:rPr>
        <w:t>The Program is designed to achieve Australian Government objectives</w:t>
      </w:r>
    </w:p>
    <w:p w14:paraId="0AA7FEC1" w14:textId="41FB9554"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w w:val="99"/>
          <w:sz w:val="21"/>
          <w:szCs w:val="21"/>
        </w:rPr>
      </w:pPr>
      <w:r w:rsidRPr="00994E8B">
        <w:rPr>
          <w:w w:val="99"/>
          <w:sz w:val="21"/>
          <w:szCs w:val="21"/>
        </w:rPr>
        <w:t xml:space="preserve">This Grant Opportunity </w:t>
      </w:r>
      <w:r w:rsidR="00954215" w:rsidRPr="00994E8B">
        <w:rPr>
          <w:w w:val="99"/>
          <w:sz w:val="21"/>
          <w:szCs w:val="21"/>
        </w:rPr>
        <w:t>brings together</w:t>
      </w:r>
      <w:r w:rsidRPr="00994E8B">
        <w:rPr>
          <w:w w:val="99"/>
          <w:sz w:val="21"/>
          <w:szCs w:val="21"/>
        </w:rPr>
        <w:t xml:space="preserve"> </w:t>
      </w:r>
      <w:r w:rsidR="00753262" w:rsidRPr="00994E8B">
        <w:rPr>
          <w:w w:val="99"/>
          <w:sz w:val="21"/>
          <w:szCs w:val="21"/>
        </w:rPr>
        <w:t>the Regional Connectivity Program</w:t>
      </w:r>
      <w:r w:rsidRPr="00994E8B">
        <w:rPr>
          <w:w w:val="99"/>
          <w:sz w:val="21"/>
          <w:szCs w:val="21"/>
        </w:rPr>
        <w:t xml:space="preserve">, </w:t>
      </w:r>
      <w:r w:rsidR="00FF6A67" w:rsidRPr="00994E8B">
        <w:rPr>
          <w:w w:val="99"/>
          <w:sz w:val="21"/>
          <w:szCs w:val="21"/>
        </w:rPr>
        <w:t>and the Mobile</w:t>
      </w:r>
      <w:r w:rsidR="004976A6" w:rsidRPr="00994E8B">
        <w:rPr>
          <w:w w:val="99"/>
          <w:sz w:val="21"/>
          <w:szCs w:val="21"/>
        </w:rPr>
        <w:t xml:space="preserve"> </w:t>
      </w:r>
      <w:r w:rsidR="00FF6A67" w:rsidRPr="00994E8B">
        <w:rPr>
          <w:w w:val="99"/>
          <w:sz w:val="21"/>
          <w:szCs w:val="21"/>
        </w:rPr>
        <w:t>Black Spot Program</w:t>
      </w:r>
      <w:r w:rsidR="00954215" w:rsidRPr="00994E8B">
        <w:rPr>
          <w:w w:val="99"/>
          <w:sz w:val="21"/>
          <w:szCs w:val="21"/>
        </w:rPr>
        <w:t xml:space="preserve"> in two streams</w:t>
      </w:r>
      <w:r w:rsidR="00FF6A67" w:rsidRPr="00994E8B">
        <w:rPr>
          <w:w w:val="99"/>
          <w:sz w:val="21"/>
          <w:szCs w:val="21"/>
        </w:rPr>
        <w:t xml:space="preserve">, </w:t>
      </w:r>
      <w:r w:rsidRPr="00994E8B">
        <w:rPr>
          <w:w w:val="99"/>
          <w:sz w:val="21"/>
          <w:szCs w:val="21"/>
        </w:rPr>
        <w:t>which contributes to the Department of Infrastructure, Transport, Regional Development</w:t>
      </w:r>
      <w:r w:rsidR="006F3457" w:rsidRPr="00994E8B">
        <w:rPr>
          <w:w w:val="99"/>
          <w:sz w:val="21"/>
          <w:szCs w:val="21"/>
        </w:rPr>
        <w:t>,</w:t>
      </w:r>
      <w:r w:rsidRPr="00994E8B">
        <w:rPr>
          <w:w w:val="99"/>
          <w:sz w:val="21"/>
          <w:szCs w:val="21"/>
        </w:rPr>
        <w:t xml:space="preserve"> Communications</w:t>
      </w:r>
      <w:r w:rsidR="006F3457" w:rsidRPr="00994E8B">
        <w:rPr>
          <w:w w:val="99"/>
          <w:sz w:val="21"/>
          <w:szCs w:val="21"/>
        </w:rPr>
        <w:t xml:space="preserve"> and the Arts</w:t>
      </w:r>
      <w:r w:rsidRPr="00994E8B">
        <w:rPr>
          <w:w w:val="99"/>
          <w:sz w:val="21"/>
          <w:szCs w:val="21"/>
        </w:rPr>
        <w:t xml:space="preserve">’ (the ‘Department’s’) Outcome: </w:t>
      </w:r>
      <w:r w:rsidRPr="00994E8B">
        <w:rPr>
          <w:i/>
          <w:w w:val="99"/>
          <w:sz w:val="21"/>
          <w:szCs w:val="21"/>
        </w:rPr>
        <w:t>Promote an innovative and competitive communications sector, through policy development, advice and program delivery, so all Australians can realise the full potential of digital technologies and communications services.</w:t>
      </w:r>
      <w:r w:rsidRPr="00994E8B">
        <w:rPr>
          <w:w w:val="99"/>
          <w:sz w:val="21"/>
          <w:szCs w:val="21"/>
        </w:rPr>
        <w:t xml:space="preserve"> The Department works with stakeholders to plan and design the Grant Opportunity according to the </w:t>
      </w:r>
      <w:hyperlink r:id="rId20" w:history="1">
        <w:r w:rsidRPr="00994E8B">
          <w:rPr>
            <w:rStyle w:val="Hyperlink"/>
            <w:w w:val="99"/>
            <w:sz w:val="21"/>
            <w:szCs w:val="21"/>
          </w:rPr>
          <w:t>Commonwealth Grants Rules and Guidelines (CGRGs)</w:t>
        </w:r>
      </w:hyperlink>
      <w:r w:rsidRPr="00994E8B">
        <w:rPr>
          <w:w w:val="99"/>
          <w:sz w:val="21"/>
          <w:szCs w:val="21"/>
        </w:rPr>
        <w:t>.</w:t>
      </w:r>
    </w:p>
    <w:p w14:paraId="69E4F3F9" w14:textId="77777777" w:rsidR="00C404E2" w:rsidRPr="00994E8B" w:rsidRDefault="00C404E2" w:rsidP="00C404E2">
      <w:pPr>
        <w:spacing w:before="20" w:after="0"/>
        <w:jc w:val="center"/>
      </w:pPr>
      <w:r w:rsidRPr="00994E8B">
        <w:rPr>
          <w:rFonts w:ascii="Wingdings" w:hAnsi="Wingdings"/>
        </w:rPr>
        <w:t></w:t>
      </w:r>
    </w:p>
    <w:p w14:paraId="0F708AB3"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The Grant Opportunity opens</w:t>
      </w:r>
    </w:p>
    <w:p w14:paraId="6B85B670" w14:textId="6336A6E1"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 xml:space="preserve">We publish the grant Guidelines on </w:t>
      </w:r>
      <w:hyperlink r:id="rId21" w:history="1">
        <w:proofErr w:type="spellStart"/>
        <w:r w:rsidRPr="00994E8B">
          <w:rPr>
            <w:rStyle w:val="Hyperlink"/>
            <w:sz w:val="21"/>
            <w:szCs w:val="21"/>
          </w:rPr>
          <w:t>GrantConnect</w:t>
        </w:r>
        <w:proofErr w:type="spellEnd"/>
      </w:hyperlink>
      <w:r w:rsidRPr="00994E8B">
        <w:rPr>
          <w:sz w:val="21"/>
          <w:szCs w:val="21"/>
        </w:rPr>
        <w:t>.</w:t>
      </w:r>
    </w:p>
    <w:p w14:paraId="03B4D67C" w14:textId="77777777" w:rsidR="00C404E2" w:rsidRPr="00994E8B" w:rsidRDefault="00C404E2" w:rsidP="00C404E2">
      <w:pPr>
        <w:spacing w:before="20" w:after="0"/>
        <w:jc w:val="center"/>
        <w:rPr>
          <w:rFonts w:ascii="Wingdings" w:hAnsi="Wingdings"/>
        </w:rPr>
      </w:pPr>
      <w:bookmarkStart w:id="8" w:name="_Hlk120528167"/>
      <w:r w:rsidRPr="00994E8B">
        <w:rPr>
          <w:rFonts w:ascii="Wingdings" w:hAnsi="Wingdings"/>
        </w:rPr>
        <w:t></w:t>
      </w:r>
    </w:p>
    <w:bookmarkEnd w:id="8"/>
    <w:p w14:paraId="4B9506D2" w14:textId="213F47DD" w:rsidR="00AB536F" w:rsidRPr="00994E8B" w:rsidRDefault="009A7ED4" w:rsidP="006D0FA5">
      <w:pPr>
        <w:pStyle w:val="Heading3notshowing"/>
        <w:pBdr>
          <w:top w:val="single" w:sz="4" w:space="1" w:color="auto"/>
          <w:left w:val="single" w:sz="4" w:space="1" w:color="auto"/>
          <w:bottom w:val="single" w:sz="4" w:space="1" w:color="auto"/>
          <w:right w:val="single" w:sz="4" w:space="1" w:color="auto"/>
        </w:pBdr>
        <w:spacing w:after="0"/>
        <w:jc w:val="center"/>
        <w:rPr>
          <w:sz w:val="22"/>
          <w:szCs w:val="22"/>
        </w:rPr>
      </w:pPr>
      <w:r w:rsidRPr="00994E8B">
        <w:rPr>
          <w:sz w:val="22"/>
          <w:szCs w:val="22"/>
        </w:rPr>
        <w:t xml:space="preserve">Register with Department </w:t>
      </w:r>
      <w:r w:rsidR="009F5E98" w:rsidRPr="00994E8B">
        <w:rPr>
          <w:sz w:val="22"/>
          <w:szCs w:val="22"/>
        </w:rPr>
        <w:t>and pre-application documentation</w:t>
      </w:r>
    </w:p>
    <w:p w14:paraId="2F3393D6" w14:textId="77777777" w:rsidR="00A4184A" w:rsidRPr="00994E8B" w:rsidRDefault="009A7ED4" w:rsidP="006D0FA5">
      <w:pPr>
        <w:pStyle w:val="Heading3notshowing"/>
        <w:pBdr>
          <w:top w:val="single" w:sz="4" w:space="1" w:color="auto"/>
          <w:left w:val="single" w:sz="4" w:space="1" w:color="auto"/>
          <w:bottom w:val="single" w:sz="4" w:space="1" w:color="auto"/>
          <w:right w:val="single" w:sz="4" w:space="1" w:color="auto"/>
        </w:pBdr>
        <w:spacing w:after="0"/>
        <w:jc w:val="center"/>
      </w:pPr>
      <w:r w:rsidRPr="00994E8B">
        <w:rPr>
          <w:sz w:val="22"/>
          <w:szCs w:val="22"/>
        </w:rPr>
        <w:t>(</w:t>
      </w:r>
      <w:r w:rsidR="007009DE" w:rsidRPr="00994E8B">
        <w:rPr>
          <w:sz w:val="22"/>
          <w:szCs w:val="22"/>
        </w:rPr>
        <w:t>Mobile Black Spot Solution</w:t>
      </w:r>
      <w:r w:rsidRPr="00994E8B">
        <w:rPr>
          <w:sz w:val="22"/>
          <w:szCs w:val="22"/>
        </w:rPr>
        <w:t>s applications only)</w:t>
      </w:r>
    </w:p>
    <w:p w14:paraId="1B9FDA67" w14:textId="6E346BD0" w:rsidR="009F5E98" w:rsidRPr="00994E8B" w:rsidRDefault="004F170F" w:rsidP="009F5E98">
      <w:pPr>
        <w:pBdr>
          <w:top w:val="single" w:sz="4" w:space="1" w:color="auto"/>
          <w:left w:val="single" w:sz="4" w:space="1" w:color="auto"/>
          <w:bottom w:val="single" w:sz="4" w:space="1" w:color="auto"/>
          <w:right w:val="single" w:sz="4" w:space="1" w:color="auto"/>
        </w:pBdr>
        <w:spacing w:after="0"/>
        <w:jc w:val="center"/>
      </w:pPr>
      <w:r w:rsidRPr="00994E8B">
        <w:t xml:space="preserve">Organisations wishing to apply for funding under the Program for </w:t>
      </w:r>
      <w:r w:rsidR="007009DE" w:rsidRPr="00994E8B">
        <w:t>Mobile Black Spot Solution</w:t>
      </w:r>
      <w:r w:rsidRPr="00994E8B">
        <w:t xml:space="preserve">s must contact the </w:t>
      </w:r>
      <w:r w:rsidR="00B5086D" w:rsidRPr="00994E8B">
        <w:t>D</w:t>
      </w:r>
      <w:r w:rsidRPr="00994E8B">
        <w:t xml:space="preserve">epartment to register as potential </w:t>
      </w:r>
      <w:r w:rsidR="00E02D3F" w:rsidRPr="00994E8B">
        <w:t>a</w:t>
      </w:r>
      <w:r w:rsidRPr="00994E8B">
        <w:t xml:space="preserve">pplicants within </w:t>
      </w:r>
      <w:r w:rsidR="009F5E98" w:rsidRPr="00994E8B">
        <w:t xml:space="preserve">four </w:t>
      </w:r>
      <w:r w:rsidRPr="00994E8B">
        <w:t xml:space="preserve">weeks following release of these Guidelines in order to obtain access to the </w:t>
      </w:r>
      <w:r w:rsidR="0027289E" w:rsidRPr="00994E8B">
        <w:t xml:space="preserve">Mobile Black Spot Solutions specific </w:t>
      </w:r>
      <w:r w:rsidRPr="00994E8B">
        <w:t>application documentatio</w:t>
      </w:r>
      <w:r w:rsidR="00A4184A" w:rsidRPr="00994E8B">
        <w:t>n.</w:t>
      </w:r>
      <w:r w:rsidR="009F5E98" w:rsidRPr="00994E8B">
        <w:t xml:space="preserve"> At this time, </w:t>
      </w:r>
      <w:r w:rsidR="00E02D3F" w:rsidRPr="00994E8B">
        <w:t>applicant</w:t>
      </w:r>
      <w:r w:rsidR="009F5E98" w:rsidRPr="00994E8B">
        <w:t>s must submit their coverage maps as outlined in section 7.</w:t>
      </w:r>
      <w:r w:rsidR="00030FB2" w:rsidRPr="00994E8B">
        <w:t>2</w:t>
      </w:r>
      <w:r w:rsidR="009F5E98" w:rsidRPr="00994E8B">
        <w:t>.</w:t>
      </w:r>
    </w:p>
    <w:p w14:paraId="5E8A5425" w14:textId="177AC3F0" w:rsidR="009F5E98" w:rsidRPr="00994E8B" w:rsidRDefault="009F5E98" w:rsidP="009F5E98">
      <w:pPr>
        <w:pBdr>
          <w:top w:val="single" w:sz="4" w:space="1" w:color="auto"/>
          <w:left w:val="single" w:sz="4" w:space="1" w:color="auto"/>
          <w:bottom w:val="single" w:sz="4" w:space="1" w:color="auto"/>
          <w:right w:val="single" w:sz="4" w:space="1" w:color="auto"/>
        </w:pBdr>
        <w:spacing w:after="0"/>
        <w:jc w:val="center"/>
      </w:pPr>
      <w:r w:rsidRPr="00994E8B">
        <w:t xml:space="preserve">The application documentation outlines the requirements on potential </w:t>
      </w:r>
      <w:r w:rsidR="00E02D3F" w:rsidRPr="00994E8B">
        <w:t>applicant</w:t>
      </w:r>
      <w:r w:rsidRPr="00994E8B">
        <w:t xml:space="preserve">s prior to </w:t>
      </w:r>
      <w:proofErr w:type="gramStart"/>
      <w:r w:rsidRPr="00994E8B">
        <w:t>submitting an application</w:t>
      </w:r>
      <w:proofErr w:type="gramEnd"/>
      <w:r w:rsidRPr="00994E8B">
        <w:t xml:space="preserve"> for funding.</w:t>
      </w:r>
    </w:p>
    <w:p w14:paraId="7BCAE827" w14:textId="77777777" w:rsidR="009F5E98" w:rsidRPr="00994E8B" w:rsidRDefault="009F5E98" w:rsidP="009F5E98">
      <w:pPr>
        <w:pBdr>
          <w:top w:val="single" w:sz="4" w:space="1" w:color="auto"/>
          <w:left w:val="single" w:sz="4" w:space="1" w:color="auto"/>
          <w:bottom w:val="single" w:sz="4" w:space="1" w:color="auto"/>
          <w:right w:val="single" w:sz="4" w:space="1" w:color="auto"/>
        </w:pBdr>
        <w:spacing w:after="0"/>
        <w:jc w:val="center"/>
      </w:pPr>
      <w:r w:rsidRPr="00994E8B">
        <w:t>Organisations can register their interest with the department by emailing MBSP@infrastructure.gov.au and providing the following information:</w:t>
      </w:r>
    </w:p>
    <w:p w14:paraId="323922C5" w14:textId="23284CB8" w:rsidR="009F5E98" w:rsidRPr="00994E8B" w:rsidRDefault="009F5E98" w:rsidP="00AD63EB">
      <w:pPr>
        <w:pBdr>
          <w:top w:val="single" w:sz="4" w:space="1" w:color="auto"/>
          <w:left w:val="single" w:sz="4" w:space="1" w:color="auto"/>
          <w:bottom w:val="single" w:sz="4" w:space="1" w:color="auto"/>
          <w:right w:val="single" w:sz="4" w:space="1" w:color="auto"/>
        </w:pBdr>
        <w:spacing w:after="0"/>
      </w:pPr>
      <w:r w:rsidRPr="00994E8B">
        <w:t xml:space="preserve"> </w:t>
      </w:r>
      <w:r w:rsidRPr="00994E8B">
        <w:tab/>
      </w:r>
      <w:r w:rsidRPr="00994E8B">
        <w:tab/>
        <w:t>(a)</w:t>
      </w:r>
      <w:r w:rsidRPr="00994E8B">
        <w:tab/>
        <w:t>Organisation name;</w:t>
      </w:r>
    </w:p>
    <w:p w14:paraId="54F7AA1E" w14:textId="5C13F533" w:rsidR="009F5E98" w:rsidRPr="00994E8B" w:rsidRDefault="009F5E98" w:rsidP="00AD63EB">
      <w:pPr>
        <w:pBdr>
          <w:top w:val="single" w:sz="4" w:space="1" w:color="auto"/>
          <w:left w:val="single" w:sz="4" w:space="1" w:color="auto"/>
          <w:bottom w:val="single" w:sz="4" w:space="1" w:color="auto"/>
          <w:right w:val="single" w:sz="4" w:space="1" w:color="auto"/>
        </w:pBdr>
        <w:spacing w:after="0"/>
      </w:pPr>
      <w:r w:rsidRPr="00994E8B">
        <w:t xml:space="preserve"> </w:t>
      </w:r>
      <w:r w:rsidRPr="00994E8B">
        <w:tab/>
      </w:r>
      <w:r w:rsidRPr="00994E8B">
        <w:tab/>
        <w:t>(b)</w:t>
      </w:r>
      <w:r w:rsidRPr="00994E8B">
        <w:tab/>
        <w:t>Contact name;</w:t>
      </w:r>
    </w:p>
    <w:p w14:paraId="3C4636D6" w14:textId="04B294E0" w:rsidR="009F5E98" w:rsidRPr="00994E8B" w:rsidRDefault="009F5E98" w:rsidP="00AD63EB">
      <w:pPr>
        <w:pBdr>
          <w:top w:val="single" w:sz="4" w:space="1" w:color="auto"/>
          <w:left w:val="single" w:sz="4" w:space="1" w:color="auto"/>
          <w:bottom w:val="single" w:sz="4" w:space="1" w:color="auto"/>
          <w:right w:val="single" w:sz="4" w:space="1" w:color="auto"/>
        </w:pBdr>
        <w:spacing w:after="0"/>
      </w:pPr>
      <w:r w:rsidRPr="00994E8B">
        <w:t xml:space="preserve"> </w:t>
      </w:r>
      <w:r w:rsidRPr="00994E8B">
        <w:tab/>
      </w:r>
      <w:r w:rsidRPr="00994E8B">
        <w:tab/>
        <w:t>(c)</w:t>
      </w:r>
      <w:r w:rsidRPr="00994E8B">
        <w:tab/>
        <w:t>Contact phone number; and</w:t>
      </w:r>
    </w:p>
    <w:p w14:paraId="68BB41A5" w14:textId="520605B4" w:rsidR="006D0FA5" w:rsidRPr="00994E8B" w:rsidRDefault="009F5E98" w:rsidP="00AD63EB">
      <w:pPr>
        <w:pBdr>
          <w:top w:val="single" w:sz="4" w:space="1" w:color="auto"/>
          <w:left w:val="single" w:sz="4" w:space="1" w:color="auto"/>
          <w:bottom w:val="single" w:sz="4" w:space="1" w:color="auto"/>
          <w:right w:val="single" w:sz="4" w:space="1" w:color="auto"/>
        </w:pBdr>
        <w:spacing w:after="0"/>
      </w:pPr>
      <w:r w:rsidRPr="00994E8B">
        <w:t xml:space="preserve"> </w:t>
      </w:r>
      <w:r w:rsidRPr="00994E8B">
        <w:tab/>
      </w:r>
      <w:r w:rsidRPr="00994E8B">
        <w:tab/>
        <w:t>(d)</w:t>
      </w:r>
      <w:r w:rsidRPr="00994E8B">
        <w:tab/>
        <w:t>Contact email address.</w:t>
      </w:r>
    </w:p>
    <w:p w14:paraId="72D24D07" w14:textId="77777777" w:rsidR="0089797C" w:rsidRPr="00994E8B" w:rsidRDefault="004F170F" w:rsidP="00A4184A">
      <w:pPr>
        <w:spacing w:after="0"/>
        <w:jc w:val="center"/>
        <w:rPr>
          <w:rFonts w:ascii="Wingdings" w:hAnsi="Wingdings"/>
        </w:rPr>
      </w:pPr>
      <w:r w:rsidRPr="00994E8B">
        <w:rPr>
          <w:rFonts w:ascii="Wingdings" w:hAnsi="Wingdings"/>
        </w:rPr>
        <w:t></w:t>
      </w:r>
    </w:p>
    <w:p w14:paraId="08E1E993" w14:textId="77777777" w:rsidR="00A4184A" w:rsidRPr="00994E8B" w:rsidDel="005E66AD" w:rsidRDefault="00A4184A" w:rsidP="006D0FA5">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bookmarkStart w:id="9" w:name="_Hlk120784911"/>
      <w:r w:rsidRPr="00994E8B" w:rsidDel="005E66AD">
        <w:rPr>
          <w:sz w:val="22"/>
          <w:szCs w:val="22"/>
        </w:rPr>
        <w:t xml:space="preserve">Submit initial proposal period for </w:t>
      </w:r>
      <w:r w:rsidR="007009DE" w:rsidRPr="00994E8B" w:rsidDel="005E66AD">
        <w:rPr>
          <w:sz w:val="22"/>
          <w:szCs w:val="22"/>
        </w:rPr>
        <w:t>Mobile Black Spot Solution</w:t>
      </w:r>
      <w:r w:rsidRPr="00994E8B" w:rsidDel="005E66AD">
        <w:rPr>
          <w:sz w:val="22"/>
          <w:szCs w:val="22"/>
        </w:rPr>
        <w:t xml:space="preserve">s </w:t>
      </w:r>
    </w:p>
    <w:bookmarkEnd w:id="9"/>
    <w:p w14:paraId="5DCA72C2" w14:textId="77777777" w:rsidR="00A4184A" w:rsidRPr="00994E8B" w:rsidDel="005E66AD" w:rsidRDefault="00A4184A" w:rsidP="006D0FA5">
      <w:pPr>
        <w:pStyle w:val="Heading3notshowing"/>
        <w:pBdr>
          <w:top w:val="single" w:sz="4" w:space="1" w:color="auto"/>
          <w:left w:val="single" w:sz="4" w:space="4" w:color="auto"/>
          <w:bottom w:val="single" w:sz="4" w:space="1" w:color="auto"/>
          <w:right w:val="single" w:sz="4" w:space="4" w:color="auto"/>
        </w:pBdr>
        <w:spacing w:after="0"/>
        <w:jc w:val="center"/>
      </w:pPr>
      <w:r w:rsidRPr="00994E8B" w:rsidDel="005E66AD">
        <w:rPr>
          <w:sz w:val="22"/>
          <w:szCs w:val="22"/>
        </w:rPr>
        <w:t>(</w:t>
      </w:r>
      <w:r w:rsidR="007009DE" w:rsidRPr="00994E8B" w:rsidDel="005E66AD">
        <w:rPr>
          <w:sz w:val="22"/>
          <w:szCs w:val="22"/>
        </w:rPr>
        <w:t>Mobile Black Spot Solution</w:t>
      </w:r>
      <w:r w:rsidRPr="00994E8B" w:rsidDel="005E66AD">
        <w:rPr>
          <w:sz w:val="22"/>
          <w:szCs w:val="22"/>
        </w:rPr>
        <w:t>s applications only)</w:t>
      </w:r>
    </w:p>
    <w:p w14:paraId="3AA16BD2" w14:textId="5BBB7DFE" w:rsidR="00A4184A" w:rsidRPr="00994E8B" w:rsidDel="005E66AD" w:rsidRDefault="00E02D3F" w:rsidP="006D0FA5">
      <w:pPr>
        <w:pBdr>
          <w:top w:val="single" w:sz="4" w:space="1" w:color="auto"/>
          <w:left w:val="single" w:sz="4" w:space="4" w:color="auto"/>
          <w:bottom w:val="single" w:sz="4" w:space="1" w:color="auto"/>
          <w:right w:val="single" w:sz="4" w:space="4" w:color="auto"/>
        </w:pBdr>
        <w:spacing w:after="0"/>
        <w:jc w:val="center"/>
      </w:pPr>
      <w:r w:rsidRPr="00994E8B">
        <w:t>Applicant</w:t>
      </w:r>
      <w:r w:rsidR="00A4184A" w:rsidRPr="00994E8B" w:rsidDel="005E66AD">
        <w:t xml:space="preserve">s have </w:t>
      </w:r>
      <w:r w:rsidR="00C10145" w:rsidRPr="00994E8B" w:rsidDel="005E66AD">
        <w:t xml:space="preserve">six </w:t>
      </w:r>
      <w:r w:rsidR="00A4184A" w:rsidRPr="00994E8B" w:rsidDel="005E66AD">
        <w:t>weeks from the release of the Guidelines to develop and submit initial proposals for locations where they are interested in partnering with another M</w:t>
      </w:r>
      <w:r w:rsidR="00170C86" w:rsidRPr="00994E8B" w:rsidDel="005E66AD">
        <w:t>obile Network Operator (</w:t>
      </w:r>
      <w:r w:rsidR="00170C86" w:rsidRPr="00994E8B" w:rsidDel="005E66AD">
        <w:rPr>
          <w:b/>
        </w:rPr>
        <w:t>M</w:t>
      </w:r>
      <w:r w:rsidR="00A4184A" w:rsidRPr="00994E8B" w:rsidDel="005E66AD">
        <w:rPr>
          <w:b/>
        </w:rPr>
        <w:t>NO</w:t>
      </w:r>
      <w:r w:rsidR="00170C86" w:rsidRPr="00994E8B" w:rsidDel="005E66AD">
        <w:rPr>
          <w:b/>
        </w:rPr>
        <w:t>)</w:t>
      </w:r>
      <w:r w:rsidR="00A4184A" w:rsidRPr="00994E8B" w:rsidDel="005E66AD">
        <w:t xml:space="preserve"> on a site.   </w:t>
      </w:r>
    </w:p>
    <w:p w14:paraId="5DB22DFB" w14:textId="77777777" w:rsidR="006D0FA5" w:rsidRPr="00994E8B" w:rsidRDefault="0089797C" w:rsidP="006D0FA5">
      <w:pPr>
        <w:pStyle w:val="Heading3notshowing"/>
        <w:spacing w:after="0"/>
        <w:jc w:val="center"/>
        <w:rPr>
          <w:rFonts w:ascii="Wingdings" w:hAnsi="Wingdings"/>
        </w:rPr>
      </w:pPr>
      <w:r w:rsidRPr="00994E8B">
        <w:rPr>
          <w:rFonts w:ascii="Wingdings" w:hAnsi="Wingdings"/>
        </w:rPr>
        <w:t></w:t>
      </w:r>
    </w:p>
    <w:p w14:paraId="179AD618"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You complete and submit a grant application</w:t>
      </w:r>
    </w:p>
    <w:p w14:paraId="2A141D61" w14:textId="16F87BF3"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 xml:space="preserve">You complete the application form and address all of the </w:t>
      </w:r>
      <w:r w:rsidR="0098549B" w:rsidRPr="00994E8B">
        <w:rPr>
          <w:sz w:val="21"/>
          <w:szCs w:val="21"/>
        </w:rPr>
        <w:t>Eligibility Criteria</w:t>
      </w:r>
      <w:r w:rsidRPr="00994E8B">
        <w:rPr>
          <w:sz w:val="21"/>
          <w:szCs w:val="21"/>
        </w:rPr>
        <w:t xml:space="preserve"> and </w:t>
      </w:r>
      <w:r w:rsidR="00550BC6" w:rsidRPr="00994E8B">
        <w:rPr>
          <w:sz w:val="21"/>
          <w:szCs w:val="21"/>
        </w:rPr>
        <w:t xml:space="preserve">Assessment </w:t>
      </w:r>
      <w:r w:rsidRPr="00994E8B">
        <w:rPr>
          <w:sz w:val="21"/>
          <w:szCs w:val="21"/>
        </w:rPr>
        <w:t>Criteria to be considered for a grant.</w:t>
      </w:r>
    </w:p>
    <w:p w14:paraId="60B7D0BA" w14:textId="77777777" w:rsidR="00C404E2" w:rsidRPr="00994E8B" w:rsidRDefault="00C404E2" w:rsidP="00C404E2">
      <w:pPr>
        <w:spacing w:before="20" w:after="0"/>
        <w:jc w:val="center"/>
      </w:pPr>
      <w:r w:rsidRPr="00994E8B">
        <w:rPr>
          <w:rFonts w:ascii="Wingdings" w:hAnsi="Wingdings"/>
        </w:rPr>
        <w:t></w:t>
      </w:r>
    </w:p>
    <w:p w14:paraId="06CF5C25"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We assess all grant applications</w:t>
      </w:r>
    </w:p>
    <w:p w14:paraId="5C0EB27C" w14:textId="55B7EA20"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 xml:space="preserve">We assess the applications against Eligibility Criteria and notify you if you are not eligible. We assess your eligible application against the </w:t>
      </w:r>
      <w:r w:rsidR="00550BC6" w:rsidRPr="00994E8B">
        <w:rPr>
          <w:sz w:val="21"/>
          <w:szCs w:val="21"/>
        </w:rPr>
        <w:t xml:space="preserve">Assessment </w:t>
      </w:r>
      <w:r w:rsidRPr="00994E8B">
        <w:rPr>
          <w:sz w:val="21"/>
          <w:szCs w:val="21"/>
        </w:rPr>
        <w:t>Criteria, including an overall consideration of Value for Money, and compare it to other applications.</w:t>
      </w:r>
    </w:p>
    <w:p w14:paraId="3AE21DFB" w14:textId="77777777" w:rsidR="00C404E2" w:rsidRPr="00994E8B" w:rsidRDefault="00C404E2" w:rsidP="00C404E2">
      <w:pPr>
        <w:spacing w:before="20" w:after="0"/>
        <w:jc w:val="center"/>
      </w:pPr>
      <w:r w:rsidRPr="00994E8B">
        <w:rPr>
          <w:rFonts w:ascii="Wingdings" w:hAnsi="Wingdings"/>
        </w:rPr>
        <w:t></w:t>
      </w:r>
    </w:p>
    <w:p w14:paraId="0FA50559"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lastRenderedPageBreak/>
        <w:t>We make grant recommendations</w:t>
      </w:r>
    </w:p>
    <w:p w14:paraId="48CACEAB" w14:textId="77777777"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We provide advice to the Decision Maker on the merits of each application.</w:t>
      </w:r>
    </w:p>
    <w:p w14:paraId="27675DD3" w14:textId="77777777" w:rsidR="00C404E2" w:rsidRPr="00994E8B" w:rsidRDefault="00C404E2" w:rsidP="00C404E2">
      <w:pPr>
        <w:spacing w:before="20" w:after="0"/>
        <w:jc w:val="center"/>
      </w:pPr>
      <w:r w:rsidRPr="00994E8B">
        <w:rPr>
          <w:rFonts w:ascii="Wingdings" w:hAnsi="Wingdings"/>
        </w:rPr>
        <w:t></w:t>
      </w:r>
    </w:p>
    <w:p w14:paraId="43872A1D"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Grant decisions are made</w:t>
      </w:r>
    </w:p>
    <w:p w14:paraId="336778CC" w14:textId="77777777"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The Decision Maker decides which applications are successful.</w:t>
      </w:r>
    </w:p>
    <w:p w14:paraId="2391F0EB" w14:textId="77777777" w:rsidR="00C404E2" w:rsidRPr="00994E8B" w:rsidRDefault="00C404E2" w:rsidP="00C404E2">
      <w:pPr>
        <w:spacing w:before="20" w:after="0"/>
        <w:jc w:val="center"/>
      </w:pPr>
      <w:r w:rsidRPr="00994E8B">
        <w:rPr>
          <w:rFonts w:ascii="Wingdings" w:hAnsi="Wingdings"/>
        </w:rPr>
        <w:t></w:t>
      </w:r>
    </w:p>
    <w:p w14:paraId="30D433CD"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We notify you of the outcome</w:t>
      </w:r>
    </w:p>
    <w:p w14:paraId="57D3FD70" w14:textId="31581AFF"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 xml:space="preserve">We advise you of the outcome of your application. We may not notify unsuccessful </w:t>
      </w:r>
      <w:r w:rsidR="00E02D3F" w:rsidRPr="00994E8B">
        <w:rPr>
          <w:sz w:val="21"/>
          <w:szCs w:val="21"/>
        </w:rPr>
        <w:t>a</w:t>
      </w:r>
      <w:r w:rsidRPr="00994E8B">
        <w:rPr>
          <w:sz w:val="21"/>
          <w:szCs w:val="21"/>
        </w:rPr>
        <w:t>pplicants until Grant Agreements have been executed with successful applicants.</w:t>
      </w:r>
    </w:p>
    <w:p w14:paraId="7AAE93D7" w14:textId="77777777" w:rsidR="00C404E2" w:rsidRPr="00994E8B" w:rsidRDefault="00C404E2" w:rsidP="00C404E2">
      <w:pPr>
        <w:spacing w:before="20" w:after="0"/>
        <w:jc w:val="center"/>
      </w:pPr>
      <w:r w:rsidRPr="00994E8B">
        <w:rPr>
          <w:rFonts w:ascii="Wingdings" w:hAnsi="Wingdings"/>
        </w:rPr>
        <w:t></w:t>
      </w:r>
    </w:p>
    <w:p w14:paraId="166A9D5D" w14:textId="77777777" w:rsidR="00C404E2" w:rsidRPr="00994E8B" w:rsidRDefault="00C404E2" w:rsidP="00524F7C">
      <w:pPr>
        <w:pStyle w:val="Heading3notshowing"/>
        <w:pBdr>
          <w:top w:val="single" w:sz="4" w:space="1" w:color="auto"/>
          <w:left w:val="single" w:sz="4" w:space="4" w:color="auto"/>
          <w:bottom w:val="single" w:sz="4" w:space="3" w:color="auto"/>
          <w:right w:val="single" w:sz="4" w:space="4" w:color="auto"/>
        </w:pBdr>
        <w:spacing w:after="0"/>
        <w:jc w:val="center"/>
        <w:rPr>
          <w:sz w:val="22"/>
          <w:szCs w:val="22"/>
        </w:rPr>
      </w:pPr>
      <w:r w:rsidRPr="00994E8B">
        <w:rPr>
          <w:sz w:val="22"/>
          <w:szCs w:val="22"/>
        </w:rPr>
        <w:t>We enter into a Grant Agreement</w:t>
      </w:r>
    </w:p>
    <w:p w14:paraId="1323AED0" w14:textId="77777777" w:rsidR="00C404E2" w:rsidRPr="00994E8B" w:rsidRDefault="00C404E2" w:rsidP="00524F7C">
      <w:pPr>
        <w:pBdr>
          <w:top w:val="single" w:sz="4" w:space="1" w:color="auto"/>
          <w:left w:val="single" w:sz="4" w:space="4" w:color="auto"/>
          <w:bottom w:val="single" w:sz="4" w:space="3" w:color="auto"/>
          <w:right w:val="single" w:sz="4" w:space="4" w:color="auto"/>
        </w:pBdr>
        <w:spacing w:after="0"/>
        <w:jc w:val="center"/>
        <w:rPr>
          <w:sz w:val="21"/>
          <w:szCs w:val="21"/>
        </w:rPr>
      </w:pPr>
      <w:r w:rsidRPr="00994E8B">
        <w:rPr>
          <w:sz w:val="21"/>
          <w:szCs w:val="21"/>
        </w:rPr>
        <w:t>We will enter into a Grant Agreement with you if you are successful.</w:t>
      </w:r>
      <w:r w:rsidR="00A6008B" w:rsidRPr="00994E8B">
        <w:rPr>
          <w:sz w:val="21"/>
          <w:szCs w:val="21"/>
        </w:rPr>
        <w:t xml:space="preserve"> The terms and conditions of the Grant Agreement will depend on the risk profile of your Grant Activity. </w:t>
      </w:r>
    </w:p>
    <w:p w14:paraId="5AF6139D" w14:textId="77777777" w:rsidR="00C404E2" w:rsidRPr="00994E8B" w:rsidRDefault="00C404E2" w:rsidP="00C404E2">
      <w:pPr>
        <w:spacing w:before="20" w:after="0"/>
        <w:jc w:val="center"/>
      </w:pPr>
      <w:r w:rsidRPr="00994E8B">
        <w:rPr>
          <w:rFonts w:ascii="Wingdings" w:hAnsi="Wingdings"/>
        </w:rPr>
        <w:t></w:t>
      </w:r>
    </w:p>
    <w:p w14:paraId="2D5B54C3" w14:textId="77777777"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Delivery of grant</w:t>
      </w:r>
    </w:p>
    <w:p w14:paraId="23CF97CE" w14:textId="77777777"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You undertake the Grant Activity as set out in your Grant Agreement. We manage the grant by working with you, monitoring your progress and making payments.</w:t>
      </w:r>
    </w:p>
    <w:p w14:paraId="6DFF80F1" w14:textId="77777777" w:rsidR="00C404E2" w:rsidRPr="00994E8B" w:rsidRDefault="00C404E2" w:rsidP="00C404E2">
      <w:pPr>
        <w:spacing w:before="20" w:after="0"/>
        <w:jc w:val="center"/>
      </w:pPr>
      <w:r w:rsidRPr="00994E8B">
        <w:rPr>
          <w:rFonts w:ascii="Wingdings" w:hAnsi="Wingdings"/>
        </w:rPr>
        <w:t></w:t>
      </w:r>
    </w:p>
    <w:p w14:paraId="7E0285D9" w14:textId="0B9DA718" w:rsidR="00C404E2" w:rsidRPr="00994E8B"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994E8B">
        <w:rPr>
          <w:sz w:val="22"/>
          <w:szCs w:val="22"/>
        </w:rPr>
        <w:t>Evaluation of the Program</w:t>
      </w:r>
    </w:p>
    <w:p w14:paraId="41D5D00A" w14:textId="3A1FF28D" w:rsidR="00C404E2" w:rsidRPr="00994E8B"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994E8B">
        <w:rPr>
          <w:sz w:val="21"/>
          <w:szCs w:val="21"/>
        </w:rPr>
        <w:t>We evaluate your specific Grant Activity and the Program as a whole. We base this both on the information you provide to us and that which we collect from various sources.</w:t>
      </w:r>
    </w:p>
    <w:p w14:paraId="429AF35D" w14:textId="77777777" w:rsidR="00907078" w:rsidRPr="00994E8B" w:rsidRDefault="005C7B4A" w:rsidP="002E4AD3">
      <w:pPr>
        <w:pStyle w:val="Heading2"/>
      </w:pPr>
      <w:bookmarkStart w:id="10" w:name="_About_the_Program"/>
      <w:bookmarkStart w:id="11" w:name="_Toc129956276"/>
      <w:bookmarkEnd w:id="10"/>
      <w:r w:rsidRPr="00994E8B">
        <w:t xml:space="preserve">About the </w:t>
      </w:r>
      <w:r w:rsidR="00C404E2" w:rsidRPr="00994E8B">
        <w:t>Program</w:t>
      </w:r>
      <w:bookmarkEnd w:id="11"/>
    </w:p>
    <w:p w14:paraId="4D77078F" w14:textId="5500064F" w:rsidR="00C404E2" w:rsidRPr="00994E8B" w:rsidRDefault="00C404E2" w:rsidP="00C404E2">
      <w:r w:rsidRPr="00994E8B">
        <w:t>These Grant Opportunity Guidelines (‘Guidelines’) contain information about</w:t>
      </w:r>
      <w:r w:rsidR="00A73B92" w:rsidRPr="00994E8B">
        <w:t xml:space="preserve"> Round </w:t>
      </w:r>
      <w:r w:rsidR="00A33D58" w:rsidRPr="00994E8B">
        <w:t>3</w:t>
      </w:r>
      <w:r w:rsidR="00A73B92" w:rsidRPr="00994E8B">
        <w:t xml:space="preserve"> of</w:t>
      </w:r>
      <w:r w:rsidRPr="00994E8B">
        <w:t xml:space="preserve"> the Regional Connectivity </w:t>
      </w:r>
      <w:r w:rsidR="00D45EA0" w:rsidRPr="00994E8B">
        <w:t>Program</w:t>
      </w:r>
      <w:r w:rsidR="00B31179" w:rsidRPr="00994E8B">
        <w:t xml:space="preserve"> -</w:t>
      </w:r>
      <w:r w:rsidR="00D45EA0" w:rsidRPr="00994E8B">
        <w:t xml:space="preserve"> </w:t>
      </w:r>
      <w:r w:rsidR="00B31179" w:rsidRPr="00994E8B">
        <w:t>with</w:t>
      </w:r>
      <w:r w:rsidR="006248B3" w:rsidRPr="00994E8B">
        <w:t xml:space="preserve"> </w:t>
      </w:r>
      <w:r w:rsidR="004F170F" w:rsidRPr="00994E8B">
        <w:t xml:space="preserve">Mobile Black Spot </w:t>
      </w:r>
      <w:r w:rsidR="00B31179" w:rsidRPr="00994E8B">
        <w:t xml:space="preserve">(Round 7) </w:t>
      </w:r>
      <w:r w:rsidR="001723E0" w:rsidRPr="00994E8B">
        <w:t>opportunities</w:t>
      </w:r>
      <w:r w:rsidR="006248B3" w:rsidRPr="00994E8B">
        <w:t xml:space="preserve"> </w:t>
      </w:r>
      <w:r w:rsidRPr="00994E8B">
        <w:t>(</w:t>
      </w:r>
      <w:r w:rsidR="00713BBC" w:rsidRPr="00994E8B">
        <w:t>‘</w:t>
      </w:r>
      <w:r w:rsidR="00B31179" w:rsidRPr="00994E8B">
        <w:t xml:space="preserve">the </w:t>
      </w:r>
      <w:r w:rsidR="00713BBC" w:rsidRPr="00994E8B">
        <w:t>Program’)</w:t>
      </w:r>
      <w:r w:rsidRPr="00994E8B">
        <w:t xml:space="preserve"> and the Program’s Grant Opportunity and set out:</w:t>
      </w:r>
    </w:p>
    <w:p w14:paraId="6A69CB71" w14:textId="5C7F890D" w:rsidR="00C404E2" w:rsidRPr="00994E8B" w:rsidRDefault="00C404E2" w:rsidP="00FD63C0">
      <w:pPr>
        <w:pStyle w:val="ListParagraph"/>
        <w:numPr>
          <w:ilvl w:val="0"/>
          <w:numId w:val="15"/>
        </w:numPr>
      </w:pPr>
      <w:r w:rsidRPr="00994E8B">
        <w:t>the purpose of the Program/Grant Opportunity</w:t>
      </w:r>
      <w:r w:rsidR="000571CD" w:rsidRPr="00994E8B">
        <w:t>;</w:t>
      </w:r>
    </w:p>
    <w:p w14:paraId="77AEADBA" w14:textId="7CFEF2EA" w:rsidR="00C404E2" w:rsidRPr="00994E8B" w:rsidRDefault="00C404E2" w:rsidP="00FD63C0">
      <w:pPr>
        <w:pStyle w:val="ListParagraph"/>
        <w:numPr>
          <w:ilvl w:val="0"/>
          <w:numId w:val="15"/>
        </w:numPr>
      </w:pPr>
      <w:r w:rsidRPr="00994E8B">
        <w:t xml:space="preserve">the Eligibility Criteria and </w:t>
      </w:r>
      <w:r w:rsidR="000A6331" w:rsidRPr="00994E8B">
        <w:t xml:space="preserve">Assessment </w:t>
      </w:r>
      <w:r w:rsidRPr="00994E8B">
        <w:t>Criteria</w:t>
      </w:r>
      <w:r w:rsidR="000571CD" w:rsidRPr="00994E8B">
        <w:t>;</w:t>
      </w:r>
    </w:p>
    <w:p w14:paraId="034BA632" w14:textId="2282026F" w:rsidR="00C404E2" w:rsidRPr="00994E8B" w:rsidRDefault="00C404E2" w:rsidP="00FD63C0">
      <w:pPr>
        <w:pStyle w:val="ListParagraph"/>
        <w:numPr>
          <w:ilvl w:val="0"/>
          <w:numId w:val="15"/>
        </w:numPr>
      </w:pPr>
      <w:r w:rsidRPr="00994E8B">
        <w:t>how grant applications are considered and selected</w:t>
      </w:r>
      <w:r w:rsidR="000571CD" w:rsidRPr="00994E8B">
        <w:t>;</w:t>
      </w:r>
    </w:p>
    <w:p w14:paraId="083375C1" w14:textId="70A418F0" w:rsidR="00C404E2" w:rsidRPr="00994E8B" w:rsidRDefault="00C404E2" w:rsidP="00FD63C0">
      <w:pPr>
        <w:pStyle w:val="ListParagraph"/>
        <w:numPr>
          <w:ilvl w:val="0"/>
          <w:numId w:val="15"/>
        </w:numPr>
      </w:pPr>
      <w:r w:rsidRPr="00994E8B">
        <w:t>how Grantees are notified and receive grant payments</w:t>
      </w:r>
      <w:r w:rsidR="000571CD" w:rsidRPr="00994E8B">
        <w:t>;</w:t>
      </w:r>
    </w:p>
    <w:p w14:paraId="39391953" w14:textId="5BBA02A0" w:rsidR="00C404E2" w:rsidRPr="00994E8B" w:rsidRDefault="00C404E2" w:rsidP="00FD63C0">
      <w:pPr>
        <w:pStyle w:val="ListParagraph"/>
        <w:numPr>
          <w:ilvl w:val="0"/>
          <w:numId w:val="15"/>
        </w:numPr>
      </w:pPr>
      <w:r w:rsidRPr="00994E8B">
        <w:t>how Grantees will be monitored and evaluated; and</w:t>
      </w:r>
    </w:p>
    <w:p w14:paraId="5E8D5610" w14:textId="77777777" w:rsidR="00C404E2" w:rsidRPr="00994E8B" w:rsidRDefault="00C404E2" w:rsidP="00FD63C0">
      <w:pPr>
        <w:pStyle w:val="ListParagraph"/>
        <w:numPr>
          <w:ilvl w:val="0"/>
          <w:numId w:val="15"/>
        </w:numPr>
      </w:pPr>
      <w:r w:rsidRPr="00994E8B">
        <w:t>responsibilities and expectations in relation to the Grant Opportunity.</w:t>
      </w:r>
    </w:p>
    <w:p w14:paraId="6F2B9B52" w14:textId="77777777" w:rsidR="00C404E2" w:rsidRPr="00994E8B" w:rsidRDefault="00C404E2" w:rsidP="00C404E2">
      <w:pPr>
        <w:rPr>
          <w:b/>
        </w:rPr>
      </w:pPr>
      <w:r w:rsidRPr="00994E8B">
        <w:rPr>
          <w:b/>
        </w:rPr>
        <w:t>You must read these Guidelines before filling out an application.</w:t>
      </w:r>
    </w:p>
    <w:p w14:paraId="76F28E20" w14:textId="08574618" w:rsidR="005C5941" w:rsidRPr="00994E8B" w:rsidRDefault="00C404E2" w:rsidP="00476AC9">
      <w:r w:rsidRPr="00994E8B">
        <w:t xml:space="preserve">We have defined key terms used in these Guidelines in the </w:t>
      </w:r>
      <w:hyperlink w:anchor="_Glossary" w:history="1">
        <w:r w:rsidRPr="00994E8B">
          <w:rPr>
            <w:rStyle w:val="Hyperlink"/>
          </w:rPr>
          <w:t xml:space="preserve">Glossary at section </w:t>
        </w:r>
      </w:hyperlink>
      <w:r w:rsidR="002F2E1B">
        <w:rPr>
          <w:rStyle w:val="Hyperlink"/>
        </w:rPr>
        <w:t>15</w:t>
      </w:r>
      <w:r w:rsidRPr="00994E8B">
        <w:t>.</w:t>
      </w:r>
    </w:p>
    <w:p w14:paraId="52434CD9" w14:textId="77777777" w:rsidR="002875B9" w:rsidRPr="00994E8B" w:rsidRDefault="002875B9" w:rsidP="0014541A">
      <w:pPr>
        <w:pStyle w:val="Heading3"/>
      </w:pPr>
      <w:bookmarkStart w:id="12" w:name="_Toc129956277"/>
      <w:bookmarkStart w:id="13" w:name="_Ref485199086"/>
      <w:bookmarkStart w:id="14" w:name="_Ref485200398"/>
      <w:r w:rsidRPr="00994E8B">
        <w:t>Better Connectivity Plan for R</w:t>
      </w:r>
      <w:r w:rsidR="002A6519" w:rsidRPr="00994E8B">
        <w:t>egional</w:t>
      </w:r>
      <w:r w:rsidRPr="00994E8B">
        <w:t xml:space="preserve"> and R</w:t>
      </w:r>
      <w:r w:rsidR="002A6519" w:rsidRPr="00994E8B">
        <w:t>ural</w:t>
      </w:r>
      <w:r w:rsidRPr="00994E8B">
        <w:t xml:space="preserve"> Australia</w:t>
      </w:r>
      <w:bookmarkEnd w:id="12"/>
      <w:r w:rsidRPr="00994E8B">
        <w:t xml:space="preserve"> </w:t>
      </w:r>
    </w:p>
    <w:p w14:paraId="7AE7F7F8" w14:textId="45D5F3D9" w:rsidR="002875B9" w:rsidRPr="00994E8B" w:rsidRDefault="001262D0" w:rsidP="0014541A">
      <w:r w:rsidRPr="00994E8B">
        <w:t xml:space="preserve">The Australian Government is committed to increasing connectivity, bridging the digital divide, improving mobile coverage and protecting communities against natural disaster. </w:t>
      </w:r>
      <w:r w:rsidR="00742850" w:rsidRPr="00994E8B">
        <w:rPr>
          <w:rFonts w:cs="Arial"/>
        </w:rPr>
        <w:t xml:space="preserve">This opportunity is part of the </w:t>
      </w:r>
      <w:r w:rsidR="00742850" w:rsidRPr="00994E8B">
        <w:rPr>
          <w:rFonts w:cs="Arial"/>
          <w:i/>
        </w:rPr>
        <w:t xml:space="preserve">Better Connectivity Plan for Regional and Rural Australia </w:t>
      </w:r>
      <w:r w:rsidR="00742850" w:rsidRPr="00994E8B">
        <w:rPr>
          <w:rFonts w:cs="Arial"/>
        </w:rPr>
        <w:t xml:space="preserve">(Better Connectivity Plan) which is providing more than $1.1 billion to rural and regional </w:t>
      </w:r>
      <w:r w:rsidR="00742850" w:rsidRPr="00994E8B">
        <w:t>communities. Through the October 2022 Budget, the Government provided $656 million for the Better Connectivity Plan to improve mobile and broadband connectivity and resilience in rural and regional Australia, including:</w:t>
      </w:r>
      <w:r w:rsidR="00376561" w:rsidRPr="00994E8B" w:rsidDel="00D67DC5">
        <w:t xml:space="preserve"> </w:t>
      </w:r>
    </w:p>
    <w:p w14:paraId="3020EED0" w14:textId="77777777" w:rsidR="001262D0" w:rsidRPr="00994E8B" w:rsidRDefault="001262D0" w:rsidP="0014541A">
      <w:pPr>
        <w:pStyle w:val="BoswellMediaHeader"/>
        <w:numPr>
          <w:ilvl w:val="0"/>
          <w:numId w:val="47"/>
        </w:numPr>
        <w:tabs>
          <w:tab w:val="left" w:pos="405"/>
        </w:tabs>
        <w:jc w:val="left"/>
        <w:rPr>
          <w:rFonts w:cs="Arial"/>
          <w:noProof w:val="0"/>
          <w:sz w:val="20"/>
          <w:szCs w:val="22"/>
        </w:rPr>
      </w:pPr>
      <w:r w:rsidRPr="00994E8B">
        <w:rPr>
          <w:rFonts w:cs="Arial"/>
          <w:noProof w:val="0"/>
          <w:sz w:val="20"/>
          <w:szCs w:val="22"/>
        </w:rPr>
        <w:t>$</w:t>
      </w:r>
      <w:r w:rsidR="009C36CE" w:rsidRPr="00994E8B">
        <w:rPr>
          <w:rFonts w:cs="Arial"/>
          <w:noProof w:val="0"/>
          <w:sz w:val="20"/>
          <w:szCs w:val="22"/>
        </w:rPr>
        <w:t>4</w:t>
      </w:r>
      <w:r w:rsidRPr="00994E8B">
        <w:rPr>
          <w:rFonts w:cs="Arial"/>
          <w:noProof w:val="0"/>
          <w:sz w:val="20"/>
          <w:szCs w:val="22"/>
        </w:rPr>
        <w:t>00 million</w:t>
      </w:r>
      <w:r w:rsidR="009C36CE" w:rsidRPr="00994E8B">
        <w:rPr>
          <w:rFonts w:cs="Arial"/>
          <w:noProof w:val="0"/>
          <w:sz w:val="20"/>
          <w:szCs w:val="22"/>
        </w:rPr>
        <w:t xml:space="preserve"> to expand regional mobile coverage and improve the resilience of communication systems</w:t>
      </w:r>
      <w:r w:rsidRPr="00994E8B">
        <w:rPr>
          <w:rFonts w:cs="Arial"/>
          <w:noProof w:val="0"/>
          <w:sz w:val="20"/>
          <w:szCs w:val="22"/>
        </w:rPr>
        <w:t>;</w:t>
      </w:r>
    </w:p>
    <w:p w14:paraId="7A767601" w14:textId="77777777" w:rsidR="00F017B9" w:rsidRPr="00994E8B" w:rsidRDefault="00F017B9" w:rsidP="0014541A">
      <w:pPr>
        <w:pStyle w:val="BoswellMediaHeader"/>
        <w:numPr>
          <w:ilvl w:val="0"/>
          <w:numId w:val="47"/>
        </w:numPr>
        <w:tabs>
          <w:tab w:val="left" w:pos="405"/>
        </w:tabs>
        <w:jc w:val="left"/>
        <w:rPr>
          <w:rFonts w:cs="Arial"/>
          <w:noProof w:val="0"/>
          <w:sz w:val="20"/>
          <w:szCs w:val="22"/>
        </w:rPr>
      </w:pPr>
      <w:r w:rsidRPr="00994E8B">
        <w:rPr>
          <w:rFonts w:cs="Arial"/>
          <w:noProof w:val="0"/>
          <w:sz w:val="20"/>
          <w:szCs w:val="22"/>
        </w:rPr>
        <w:lastRenderedPageBreak/>
        <w:t xml:space="preserve">$200 million for two further rounds of the </w:t>
      </w:r>
      <w:r w:rsidRPr="00994E8B">
        <w:rPr>
          <w:rFonts w:cs="Arial"/>
          <w:i/>
          <w:noProof w:val="0"/>
          <w:sz w:val="20"/>
          <w:szCs w:val="22"/>
        </w:rPr>
        <w:t>Regional Connectivity Program</w:t>
      </w:r>
      <w:r w:rsidRPr="00994E8B">
        <w:rPr>
          <w:rFonts w:cs="Arial"/>
          <w:noProof w:val="0"/>
          <w:sz w:val="20"/>
          <w:szCs w:val="22"/>
        </w:rPr>
        <w:t xml:space="preserve"> to improve connectivity in regional, rural and </w:t>
      </w:r>
      <w:r w:rsidR="00400A9D" w:rsidRPr="00994E8B">
        <w:rPr>
          <w:rFonts w:cs="Arial"/>
          <w:noProof w:val="0"/>
          <w:sz w:val="20"/>
          <w:szCs w:val="22"/>
        </w:rPr>
        <w:t>First Nations</w:t>
      </w:r>
      <w:r w:rsidRPr="00994E8B">
        <w:rPr>
          <w:rFonts w:cs="Arial"/>
          <w:noProof w:val="0"/>
          <w:sz w:val="20"/>
          <w:szCs w:val="22"/>
        </w:rPr>
        <w:t xml:space="preserve"> communities;</w:t>
      </w:r>
    </w:p>
    <w:p w14:paraId="2D99F967" w14:textId="77777777" w:rsidR="001262D0" w:rsidRPr="00994E8B" w:rsidRDefault="001262D0" w:rsidP="0014541A">
      <w:pPr>
        <w:pStyle w:val="BoswellMediaHeader"/>
        <w:numPr>
          <w:ilvl w:val="0"/>
          <w:numId w:val="48"/>
        </w:numPr>
        <w:tabs>
          <w:tab w:val="left" w:pos="405"/>
        </w:tabs>
        <w:jc w:val="left"/>
        <w:rPr>
          <w:rFonts w:cs="Arial"/>
          <w:sz w:val="20"/>
          <w:szCs w:val="22"/>
        </w:rPr>
      </w:pPr>
      <w:r w:rsidRPr="00994E8B">
        <w:rPr>
          <w:rFonts w:cs="Arial"/>
          <w:noProof w:val="0"/>
          <w:sz w:val="20"/>
          <w:szCs w:val="22"/>
        </w:rPr>
        <w:t xml:space="preserve">$30 million over three years to </w:t>
      </w:r>
      <w:r w:rsidR="00F017B9" w:rsidRPr="00994E8B">
        <w:rPr>
          <w:rFonts w:cs="Arial"/>
          <w:noProof w:val="0"/>
          <w:sz w:val="20"/>
          <w:szCs w:val="22"/>
        </w:rPr>
        <w:t>accelerate Australia’s agricultural sector</w:t>
      </w:r>
      <w:r w:rsidRPr="00994E8B">
        <w:rPr>
          <w:rFonts w:cs="Arial"/>
          <w:noProof w:val="0"/>
          <w:sz w:val="20"/>
          <w:szCs w:val="22"/>
        </w:rPr>
        <w:t xml:space="preserve"> through the </w:t>
      </w:r>
      <w:proofErr w:type="gramStart"/>
      <w:r w:rsidRPr="00994E8B">
        <w:rPr>
          <w:rFonts w:cs="Arial"/>
          <w:i/>
          <w:noProof w:val="0"/>
          <w:sz w:val="20"/>
          <w:szCs w:val="22"/>
        </w:rPr>
        <w:t>On</w:t>
      </w:r>
      <w:r w:rsidR="005A7734" w:rsidRPr="00994E8B">
        <w:rPr>
          <w:rFonts w:cs="Arial"/>
          <w:i/>
          <w:noProof w:val="0"/>
          <w:sz w:val="20"/>
          <w:szCs w:val="22"/>
        </w:rPr>
        <w:t xml:space="preserve"> </w:t>
      </w:r>
      <w:r w:rsidRPr="00994E8B">
        <w:rPr>
          <w:rFonts w:cs="Arial"/>
          <w:i/>
          <w:noProof w:val="0"/>
          <w:sz w:val="20"/>
          <w:szCs w:val="22"/>
        </w:rPr>
        <w:t>Farm</w:t>
      </w:r>
      <w:proofErr w:type="gramEnd"/>
      <w:r w:rsidRPr="00994E8B">
        <w:rPr>
          <w:rFonts w:cs="Arial"/>
          <w:i/>
          <w:noProof w:val="0"/>
          <w:sz w:val="20"/>
          <w:szCs w:val="22"/>
        </w:rPr>
        <w:t xml:space="preserve"> Connectivity Program; </w:t>
      </w:r>
    </w:p>
    <w:p w14:paraId="0701B3C5" w14:textId="0D2DFF8B" w:rsidR="001262D0" w:rsidRPr="00994E8B" w:rsidRDefault="001262D0" w:rsidP="0014541A">
      <w:pPr>
        <w:pStyle w:val="BoswellMediaHeader"/>
        <w:numPr>
          <w:ilvl w:val="0"/>
          <w:numId w:val="48"/>
        </w:numPr>
        <w:tabs>
          <w:tab w:val="left" w:pos="405"/>
        </w:tabs>
        <w:jc w:val="left"/>
        <w:rPr>
          <w:rFonts w:cs="Arial"/>
          <w:noProof w:val="0"/>
          <w:sz w:val="20"/>
          <w:szCs w:val="22"/>
        </w:rPr>
      </w:pPr>
      <w:r w:rsidRPr="00994E8B">
        <w:rPr>
          <w:rFonts w:cs="Arial"/>
          <w:noProof w:val="0"/>
          <w:sz w:val="20"/>
          <w:szCs w:val="22"/>
        </w:rPr>
        <w:t xml:space="preserve">$20 million </w:t>
      </w:r>
      <w:r w:rsidR="00E227B6" w:rsidRPr="00994E8B">
        <w:rPr>
          <w:rFonts w:cs="Arial"/>
          <w:noProof w:val="0"/>
          <w:sz w:val="20"/>
          <w:szCs w:val="22"/>
        </w:rPr>
        <w:t xml:space="preserve">for </w:t>
      </w:r>
      <w:r w:rsidRPr="00994E8B">
        <w:rPr>
          <w:rFonts w:cs="Arial"/>
          <w:noProof w:val="0"/>
          <w:sz w:val="20"/>
          <w:szCs w:val="22"/>
        </w:rPr>
        <w:t xml:space="preserve">an independent audit of mobile coverage to establish an evidence baseline to guide future priorities; </w:t>
      </w:r>
      <w:r w:rsidR="00FF38A2" w:rsidRPr="00994E8B">
        <w:rPr>
          <w:rFonts w:cs="Arial"/>
          <w:noProof w:val="0"/>
          <w:sz w:val="20"/>
          <w:szCs w:val="22"/>
        </w:rPr>
        <w:t>and</w:t>
      </w:r>
    </w:p>
    <w:p w14:paraId="675A4DC0" w14:textId="3BF8AF1D" w:rsidR="001262D0" w:rsidRPr="00994E8B" w:rsidRDefault="001262D0" w:rsidP="0014541A">
      <w:pPr>
        <w:pStyle w:val="BoswellMediaHeader"/>
        <w:numPr>
          <w:ilvl w:val="0"/>
          <w:numId w:val="48"/>
        </w:numPr>
        <w:tabs>
          <w:tab w:val="left" w:pos="405"/>
        </w:tabs>
        <w:jc w:val="left"/>
        <w:rPr>
          <w:rFonts w:cs="Arial"/>
          <w:noProof w:val="0"/>
          <w:sz w:val="20"/>
          <w:szCs w:val="22"/>
        </w:rPr>
      </w:pPr>
      <w:r w:rsidRPr="00994E8B">
        <w:rPr>
          <w:rFonts w:cs="Arial"/>
          <w:noProof w:val="0"/>
          <w:sz w:val="20"/>
          <w:szCs w:val="22"/>
        </w:rPr>
        <w:t>a further $6 million over three years to extend the Regional Tech Hub to support better consumer awareness and better information regarding digital services</w:t>
      </w:r>
      <w:r w:rsidR="009C36CE" w:rsidRPr="00994E8B">
        <w:rPr>
          <w:rFonts w:cs="Arial"/>
          <w:noProof w:val="0"/>
          <w:sz w:val="20"/>
          <w:szCs w:val="22"/>
        </w:rPr>
        <w:t xml:space="preserve">: </w:t>
      </w:r>
    </w:p>
    <w:p w14:paraId="5945DC93" w14:textId="682BC7D8" w:rsidR="00FF38A2" w:rsidRPr="00994E8B" w:rsidRDefault="00FF38A2" w:rsidP="0014541A">
      <w:pPr>
        <w:pStyle w:val="BoswellMediaHeader"/>
        <w:tabs>
          <w:tab w:val="left" w:pos="405"/>
        </w:tabs>
        <w:jc w:val="left"/>
        <w:rPr>
          <w:rFonts w:cs="Arial"/>
          <w:noProof w:val="0"/>
          <w:sz w:val="20"/>
          <w:szCs w:val="22"/>
        </w:rPr>
      </w:pPr>
    </w:p>
    <w:p w14:paraId="0E65C001" w14:textId="7E160F56" w:rsidR="001262D0" w:rsidRPr="00994E8B" w:rsidRDefault="009755A9" w:rsidP="0014541A">
      <w:pPr>
        <w:pStyle w:val="BoswellMediaHeader"/>
        <w:tabs>
          <w:tab w:val="left" w:pos="405"/>
        </w:tabs>
        <w:jc w:val="left"/>
        <w:rPr>
          <w:rFonts w:cs="Arial"/>
          <w:noProof w:val="0"/>
          <w:sz w:val="20"/>
          <w:szCs w:val="22"/>
        </w:rPr>
      </w:pPr>
      <w:r w:rsidRPr="00994E8B">
        <w:rPr>
          <w:rFonts w:cs="Arial"/>
          <w:noProof w:val="0"/>
          <w:sz w:val="20"/>
          <w:szCs w:val="22"/>
        </w:rPr>
        <w:t>T</w:t>
      </w:r>
      <w:r w:rsidR="00FF38A2" w:rsidRPr="00994E8B">
        <w:rPr>
          <w:rFonts w:cs="Arial"/>
          <w:noProof w:val="0"/>
          <w:sz w:val="20"/>
          <w:szCs w:val="22"/>
        </w:rPr>
        <w:t>h</w:t>
      </w:r>
      <w:r w:rsidRPr="00994E8B">
        <w:rPr>
          <w:rFonts w:cs="Arial"/>
          <w:noProof w:val="0"/>
          <w:sz w:val="20"/>
          <w:szCs w:val="22"/>
        </w:rPr>
        <w:t xml:space="preserve">is $1.1 billion also includes the $480 million already delivered by the </w:t>
      </w:r>
      <w:r w:rsidR="00FF38A2" w:rsidRPr="00994E8B">
        <w:rPr>
          <w:rFonts w:cs="Arial"/>
          <w:noProof w:val="0"/>
          <w:sz w:val="20"/>
          <w:szCs w:val="22"/>
        </w:rPr>
        <w:t xml:space="preserve">Government </w:t>
      </w:r>
      <w:r w:rsidR="001262D0" w:rsidRPr="00994E8B">
        <w:rPr>
          <w:rFonts w:cs="Arial"/>
          <w:noProof w:val="0"/>
          <w:sz w:val="20"/>
          <w:szCs w:val="22"/>
        </w:rPr>
        <w:t xml:space="preserve">to </w:t>
      </w:r>
      <w:r w:rsidR="00087644" w:rsidRPr="00994E8B">
        <w:rPr>
          <w:rFonts w:cs="Arial"/>
          <w:noProof w:val="0"/>
          <w:sz w:val="20"/>
          <w:szCs w:val="22"/>
        </w:rPr>
        <w:t xml:space="preserve">support NBN Co to </w:t>
      </w:r>
      <w:r w:rsidR="001262D0" w:rsidRPr="00994E8B">
        <w:rPr>
          <w:rFonts w:cs="Arial"/>
          <w:noProof w:val="0"/>
          <w:sz w:val="20"/>
          <w:szCs w:val="22"/>
        </w:rPr>
        <w:t xml:space="preserve">upgrade </w:t>
      </w:r>
      <w:r w:rsidRPr="00994E8B">
        <w:rPr>
          <w:rFonts w:cs="Arial"/>
          <w:noProof w:val="0"/>
          <w:sz w:val="20"/>
          <w:szCs w:val="22"/>
        </w:rPr>
        <w:t>the</w:t>
      </w:r>
      <w:r w:rsidR="001262D0" w:rsidRPr="00994E8B">
        <w:rPr>
          <w:rFonts w:cs="Arial"/>
          <w:noProof w:val="0"/>
          <w:sz w:val="20"/>
          <w:szCs w:val="22"/>
        </w:rPr>
        <w:t xml:space="preserve"> NBN Fixed Wireless network, with associated benefits to NBN satellite services</w:t>
      </w:r>
      <w:r w:rsidR="00F017B9" w:rsidRPr="00994E8B">
        <w:rPr>
          <w:rFonts w:cs="Arial"/>
          <w:noProof w:val="0"/>
          <w:sz w:val="20"/>
          <w:szCs w:val="22"/>
        </w:rPr>
        <w:t>.</w:t>
      </w:r>
    </w:p>
    <w:p w14:paraId="7083A680" w14:textId="77777777" w:rsidR="00583F74" w:rsidRPr="00994E8B" w:rsidRDefault="00583F74" w:rsidP="0014541A">
      <w:pPr>
        <w:pStyle w:val="BoswellMediaHeader"/>
        <w:tabs>
          <w:tab w:val="left" w:pos="405"/>
        </w:tabs>
        <w:jc w:val="left"/>
        <w:rPr>
          <w:rFonts w:cs="Arial"/>
          <w:noProof w:val="0"/>
          <w:sz w:val="20"/>
          <w:szCs w:val="22"/>
        </w:rPr>
      </w:pPr>
    </w:p>
    <w:p w14:paraId="059768ED" w14:textId="4A3028FF" w:rsidR="00BD2E6A" w:rsidRPr="00994E8B" w:rsidRDefault="00BD2E6A" w:rsidP="0014541A">
      <w:r w:rsidRPr="00994E8B">
        <w:t xml:space="preserve">The Government’s new funding commitment for the </w:t>
      </w:r>
      <w:r w:rsidRPr="00994E8B">
        <w:rPr>
          <w:rFonts w:cs="Arial"/>
          <w:szCs w:val="22"/>
        </w:rPr>
        <w:t xml:space="preserve">Program </w:t>
      </w:r>
      <w:r w:rsidRPr="00994E8B">
        <w:t xml:space="preserve">builds on previous investment of $230 million (GST exclusive) in Rounds 1 and 2 of the Program, which is generating a total investment of around $413 million (GST exclusive) in 223 telecommunications projects in regional, rural and remote Australia. Further information on previous </w:t>
      </w:r>
      <w:r w:rsidR="00E227B6" w:rsidRPr="00994E8B">
        <w:t xml:space="preserve">Program </w:t>
      </w:r>
      <w:r w:rsidRPr="00994E8B">
        <w:t xml:space="preserve">rounds is available on the Department’s website at </w:t>
      </w:r>
      <w:hyperlink r:id="rId22" w:history="1">
        <w:r w:rsidR="00F36AE6" w:rsidRPr="00994E8B">
          <w:rPr>
            <w:rStyle w:val="Hyperlink"/>
          </w:rPr>
          <w:t>www.infrastructure.gov.au/rcp</w:t>
        </w:r>
      </w:hyperlink>
      <w:r w:rsidRPr="00994E8B">
        <w:t>.</w:t>
      </w:r>
    </w:p>
    <w:p w14:paraId="1CA0F948" w14:textId="669ADA63" w:rsidR="00583F74" w:rsidRPr="00994E8B" w:rsidRDefault="00F80494" w:rsidP="0014541A">
      <w:pPr>
        <w:rPr>
          <w:rFonts w:cs="Arial"/>
          <w:szCs w:val="22"/>
        </w:rPr>
      </w:pPr>
      <w:r w:rsidRPr="00994E8B">
        <w:rPr>
          <w:rFonts w:cs="Arial"/>
          <w:szCs w:val="22"/>
        </w:rPr>
        <w:t>Indicative funding of a</w:t>
      </w:r>
      <w:r w:rsidR="00583F74" w:rsidRPr="00994E8B">
        <w:rPr>
          <w:rFonts w:cs="Arial"/>
          <w:szCs w:val="22"/>
        </w:rPr>
        <w:t xml:space="preserve">round $30 million of the Government’s $200 million commitment towards further rounds of the </w:t>
      </w:r>
      <w:r w:rsidR="00F36AE6" w:rsidRPr="00994E8B">
        <w:t>Regional Connectivity Program</w:t>
      </w:r>
      <w:r w:rsidR="00BD2E6A" w:rsidRPr="00994E8B">
        <w:t xml:space="preserve"> </w:t>
      </w:r>
      <w:r w:rsidR="00583F74" w:rsidRPr="00994E8B">
        <w:rPr>
          <w:rFonts w:cs="Arial"/>
          <w:szCs w:val="22"/>
        </w:rPr>
        <w:t xml:space="preserve">will be set aside to improve telecommunications access in </w:t>
      </w:r>
      <w:r w:rsidR="001D2072" w:rsidRPr="00994E8B">
        <w:rPr>
          <w:rFonts w:cs="Arial"/>
          <w:szCs w:val="22"/>
        </w:rPr>
        <w:t>First Nations</w:t>
      </w:r>
      <w:r w:rsidR="00583F74" w:rsidRPr="00994E8B">
        <w:rPr>
          <w:rFonts w:cs="Arial"/>
          <w:szCs w:val="22"/>
        </w:rPr>
        <w:t xml:space="preserve"> communities. This funding will </w:t>
      </w:r>
      <w:r w:rsidR="00BD2E6A" w:rsidRPr="00994E8B">
        <w:rPr>
          <w:rFonts w:cs="Arial"/>
          <w:szCs w:val="22"/>
        </w:rPr>
        <w:t>assist</w:t>
      </w:r>
      <w:r w:rsidR="00583F74" w:rsidRPr="00994E8B">
        <w:rPr>
          <w:rFonts w:cs="Arial"/>
          <w:szCs w:val="22"/>
        </w:rPr>
        <w:t xml:space="preserve"> progress towards Target 17 of the National Agreement on Closing the Gap, </w:t>
      </w:r>
      <w:bookmarkStart w:id="15" w:name="_Hlk118809685"/>
      <w:r w:rsidR="00583F74" w:rsidRPr="00994E8B">
        <w:rPr>
          <w:rFonts w:cs="Arial"/>
          <w:szCs w:val="22"/>
        </w:rPr>
        <w:t xml:space="preserve">which aims </w:t>
      </w:r>
      <w:r w:rsidR="00BD2E6A" w:rsidRPr="00994E8B">
        <w:rPr>
          <w:rFonts w:cs="Arial"/>
          <w:szCs w:val="22"/>
        </w:rPr>
        <w:t>to ensure</w:t>
      </w:r>
      <w:r w:rsidR="00583F74" w:rsidRPr="00994E8B">
        <w:rPr>
          <w:rFonts w:cs="Arial"/>
          <w:szCs w:val="22"/>
        </w:rPr>
        <w:t xml:space="preserve"> </w:t>
      </w:r>
      <w:r w:rsidR="00400A9D" w:rsidRPr="00994E8B">
        <w:rPr>
          <w:rFonts w:cs="Arial"/>
          <w:szCs w:val="22"/>
        </w:rPr>
        <w:t>First Nations</w:t>
      </w:r>
      <w:r w:rsidR="00583F74" w:rsidRPr="00994E8B">
        <w:rPr>
          <w:rFonts w:cs="Arial"/>
          <w:szCs w:val="22"/>
        </w:rPr>
        <w:t xml:space="preserve"> people have equal levels of digital inclusion by 2026.</w:t>
      </w:r>
      <w:bookmarkEnd w:id="15"/>
    </w:p>
    <w:p w14:paraId="668806EF" w14:textId="194E57E4" w:rsidR="00D82DF2" w:rsidRPr="00994E8B" w:rsidRDefault="00861674" w:rsidP="0014541A">
      <w:pPr>
        <w:rPr>
          <w:rFonts w:cs="Arial"/>
          <w:szCs w:val="22"/>
        </w:rPr>
      </w:pPr>
      <w:r w:rsidRPr="00994E8B">
        <w:rPr>
          <w:rFonts w:cs="Arial"/>
          <w:szCs w:val="22"/>
        </w:rPr>
        <w:t>The Better Connectivity Plan will deliver funding for expanded regional mobile coverage through additional rounds of the Mobile Black Spot Program.</w:t>
      </w:r>
      <w:r w:rsidR="00D82DF2" w:rsidRPr="00994E8B">
        <w:rPr>
          <w:rFonts w:cs="Arial"/>
          <w:szCs w:val="22"/>
        </w:rPr>
        <w:t xml:space="preserve"> This includes the $50 million for </w:t>
      </w:r>
      <w:r w:rsidR="00F36AE6" w:rsidRPr="00994E8B">
        <w:rPr>
          <w:rFonts w:cs="Arial"/>
          <w:szCs w:val="22"/>
        </w:rPr>
        <w:t xml:space="preserve">the </w:t>
      </w:r>
      <w:r w:rsidR="00D82DF2" w:rsidRPr="00994E8B">
        <w:rPr>
          <w:rFonts w:cs="Arial"/>
          <w:szCs w:val="22"/>
        </w:rPr>
        <w:t xml:space="preserve">Mobile Black Spot </w:t>
      </w:r>
      <w:r w:rsidR="00F36AE6" w:rsidRPr="00994E8B">
        <w:rPr>
          <w:rFonts w:cs="Arial"/>
          <w:szCs w:val="22"/>
        </w:rPr>
        <w:t>(Round 7) opportunities</w:t>
      </w:r>
      <w:r w:rsidR="00D82DF2" w:rsidRPr="00994E8B">
        <w:rPr>
          <w:rFonts w:cs="Arial"/>
          <w:szCs w:val="22"/>
        </w:rPr>
        <w:t xml:space="preserve"> available through </w:t>
      </w:r>
      <w:r w:rsidR="005A61C2" w:rsidRPr="00994E8B">
        <w:rPr>
          <w:rFonts w:cs="Arial"/>
          <w:szCs w:val="22"/>
        </w:rPr>
        <w:t xml:space="preserve">this </w:t>
      </w:r>
      <w:r w:rsidR="00F36AE6" w:rsidRPr="00994E8B">
        <w:rPr>
          <w:rFonts w:cs="Arial"/>
          <w:szCs w:val="22"/>
        </w:rPr>
        <w:t>current Program</w:t>
      </w:r>
      <w:r w:rsidR="005A61C2" w:rsidRPr="00994E8B">
        <w:rPr>
          <w:rFonts w:cs="Arial"/>
          <w:szCs w:val="22"/>
        </w:rPr>
        <w:t xml:space="preserve"> Round.</w:t>
      </w:r>
      <w:r w:rsidRPr="00994E8B">
        <w:rPr>
          <w:rFonts w:cs="Arial"/>
          <w:szCs w:val="22"/>
        </w:rPr>
        <w:t xml:space="preserve"> </w:t>
      </w:r>
    </w:p>
    <w:p w14:paraId="0B7EFF7B" w14:textId="6D8E75EE" w:rsidR="00861674" w:rsidRPr="00994E8B" w:rsidRDefault="00861674" w:rsidP="0014541A">
      <w:pPr>
        <w:rPr>
          <w:rFonts w:cs="Arial"/>
          <w:szCs w:val="22"/>
        </w:rPr>
      </w:pPr>
      <w:r w:rsidRPr="00994E8B">
        <w:rPr>
          <w:rFonts w:cs="Arial"/>
          <w:szCs w:val="22"/>
        </w:rPr>
        <w:t>T</w:t>
      </w:r>
      <w:r w:rsidR="00D82DF2" w:rsidRPr="00994E8B">
        <w:rPr>
          <w:rFonts w:cs="Arial"/>
          <w:szCs w:val="22"/>
        </w:rPr>
        <w:t>he</w:t>
      </w:r>
      <w:r w:rsidRPr="00994E8B">
        <w:rPr>
          <w:rFonts w:cs="Arial"/>
          <w:szCs w:val="22"/>
        </w:rPr>
        <w:t xml:space="preserve"> </w:t>
      </w:r>
      <w:r w:rsidR="00D82DF2" w:rsidRPr="00994E8B">
        <w:rPr>
          <w:rFonts w:cs="Arial"/>
          <w:szCs w:val="22"/>
        </w:rPr>
        <w:t xml:space="preserve">Better Connectivity Plan mobile coverage </w:t>
      </w:r>
      <w:r w:rsidRPr="00994E8B">
        <w:rPr>
          <w:rFonts w:cs="Arial"/>
          <w:szCs w:val="22"/>
        </w:rPr>
        <w:t>commitment will build on the outcomes delivered under the first six rounds of th</w:t>
      </w:r>
      <w:r w:rsidR="00D82DF2" w:rsidRPr="00994E8B">
        <w:rPr>
          <w:rFonts w:cs="Arial"/>
          <w:szCs w:val="22"/>
        </w:rPr>
        <w:t>e</w:t>
      </w:r>
      <w:r w:rsidRPr="00994E8B">
        <w:rPr>
          <w:rFonts w:cs="Arial"/>
          <w:szCs w:val="22"/>
        </w:rPr>
        <w:t xml:space="preserve"> Mobile Black Spot Program, including funding for over 1,200</w:t>
      </w:r>
      <w:r w:rsidR="00D82DF2" w:rsidRPr="00994E8B">
        <w:rPr>
          <w:rFonts w:cs="Arial"/>
          <w:szCs w:val="22"/>
        </w:rPr>
        <w:t xml:space="preserve"> new</w:t>
      </w:r>
      <w:r w:rsidRPr="00994E8B">
        <w:rPr>
          <w:rFonts w:cs="Arial"/>
          <w:szCs w:val="22"/>
        </w:rPr>
        <w:t xml:space="preserve"> mobile base stations</w:t>
      </w:r>
      <w:r w:rsidR="00D82DF2" w:rsidRPr="00994E8B">
        <w:rPr>
          <w:rFonts w:cs="Arial"/>
          <w:szCs w:val="22"/>
        </w:rPr>
        <w:t xml:space="preserve"> across regional and remote Australia</w:t>
      </w:r>
      <w:r w:rsidRPr="00994E8B">
        <w:rPr>
          <w:rFonts w:cs="Arial"/>
          <w:szCs w:val="22"/>
        </w:rPr>
        <w:t xml:space="preserve">. </w:t>
      </w:r>
      <w:r w:rsidR="00D82DF2" w:rsidRPr="00994E8B">
        <w:t>Further information on previous</w:t>
      </w:r>
      <w:r w:rsidR="00A802F3" w:rsidRPr="00994E8B">
        <w:t xml:space="preserve"> rounds of the</w:t>
      </w:r>
      <w:r w:rsidR="00D82DF2" w:rsidRPr="00994E8B">
        <w:t xml:space="preserve"> Mobile Black Spot</w:t>
      </w:r>
      <w:r w:rsidR="00BB4F3B" w:rsidRPr="00994E8B">
        <w:t xml:space="preserve"> </w:t>
      </w:r>
      <w:r w:rsidR="00F36AE6" w:rsidRPr="00994E8B">
        <w:t xml:space="preserve">Program </w:t>
      </w:r>
      <w:r w:rsidR="00D82DF2" w:rsidRPr="00994E8B">
        <w:t xml:space="preserve">is available on the Department’s website at </w:t>
      </w:r>
      <w:hyperlink r:id="rId23" w:history="1">
        <w:r w:rsidR="00087644" w:rsidRPr="00994E8B">
          <w:rPr>
            <w:rStyle w:val="Hyperlink"/>
          </w:rPr>
          <w:t>www.infrastructure.gov.au/mbsp</w:t>
        </w:r>
      </w:hyperlink>
      <w:r w:rsidR="00D82DF2" w:rsidRPr="00994E8B">
        <w:t>.</w:t>
      </w:r>
    </w:p>
    <w:p w14:paraId="221BC071" w14:textId="77777777" w:rsidR="00284561" w:rsidRPr="00994E8B" w:rsidRDefault="00EB5DA7" w:rsidP="0014541A">
      <w:pPr>
        <w:pStyle w:val="Heading3"/>
      </w:pPr>
      <w:bookmarkStart w:id="16" w:name="_Toc118808882"/>
      <w:bookmarkStart w:id="17" w:name="_Toc118808959"/>
      <w:bookmarkStart w:id="18" w:name="_Toc118818932"/>
      <w:bookmarkStart w:id="19" w:name="_Toc118819278"/>
      <w:bookmarkStart w:id="20" w:name="_Toc119058736"/>
      <w:bookmarkStart w:id="21" w:name="_About_Round_3"/>
      <w:bookmarkStart w:id="22" w:name="_Ref120543453"/>
      <w:bookmarkStart w:id="23" w:name="_Toc129956278"/>
      <w:bookmarkEnd w:id="16"/>
      <w:bookmarkEnd w:id="17"/>
      <w:bookmarkEnd w:id="18"/>
      <w:bookmarkEnd w:id="19"/>
      <w:bookmarkEnd w:id="20"/>
      <w:bookmarkEnd w:id="21"/>
      <w:r w:rsidRPr="00994E8B">
        <w:t xml:space="preserve">About </w:t>
      </w:r>
      <w:bookmarkEnd w:id="13"/>
      <w:bookmarkEnd w:id="14"/>
      <w:r w:rsidR="00C404E2" w:rsidRPr="00994E8B">
        <w:t xml:space="preserve">Round </w:t>
      </w:r>
      <w:bookmarkEnd w:id="3"/>
      <w:r w:rsidR="00AA385C" w:rsidRPr="00994E8B">
        <w:t>3</w:t>
      </w:r>
      <w:bookmarkStart w:id="24" w:name="_Toc494290488"/>
      <w:bookmarkStart w:id="25" w:name="_Toc88054272"/>
      <w:bookmarkStart w:id="26" w:name="_Toc88054618"/>
      <w:bookmarkStart w:id="27" w:name="_Toc88054714"/>
      <w:bookmarkEnd w:id="22"/>
      <w:bookmarkEnd w:id="24"/>
      <w:bookmarkEnd w:id="25"/>
      <w:bookmarkEnd w:id="26"/>
      <w:bookmarkEnd w:id="27"/>
      <w:bookmarkEnd w:id="23"/>
    </w:p>
    <w:p w14:paraId="1DB26FB7" w14:textId="0D4F1CD5" w:rsidR="001723E0" w:rsidRPr="00994E8B" w:rsidRDefault="00F36AE6" w:rsidP="0014541A">
      <w:r w:rsidRPr="00994E8B">
        <w:t xml:space="preserve">This </w:t>
      </w:r>
      <w:r w:rsidR="00C22B41" w:rsidRPr="00994E8B">
        <w:t>Round of t</w:t>
      </w:r>
      <w:r w:rsidR="001723E0" w:rsidRPr="00994E8B">
        <w:t xml:space="preserve">he Program </w:t>
      </w:r>
      <w:r w:rsidR="009908E4" w:rsidRPr="00994E8B">
        <w:t>comprises</w:t>
      </w:r>
      <w:r w:rsidR="001723E0" w:rsidRPr="00994E8B">
        <w:t xml:space="preserve"> t</w:t>
      </w:r>
      <w:r w:rsidR="002F7FF2" w:rsidRPr="00994E8B">
        <w:t>w</w:t>
      </w:r>
      <w:r w:rsidR="001723E0" w:rsidRPr="00994E8B">
        <w:t>o funding streams:</w:t>
      </w:r>
    </w:p>
    <w:p w14:paraId="61748FF4" w14:textId="75AE17A0" w:rsidR="001723E0" w:rsidRPr="00994E8B" w:rsidRDefault="001723E0" w:rsidP="0014541A">
      <w:pPr>
        <w:pStyle w:val="ListParagraph"/>
        <w:numPr>
          <w:ilvl w:val="0"/>
          <w:numId w:val="16"/>
        </w:numPr>
      </w:pPr>
      <w:r w:rsidRPr="00994E8B">
        <w:t>A $100 million</w:t>
      </w:r>
      <w:r w:rsidR="00FB6C80" w:rsidRPr="00994E8B">
        <w:t xml:space="preserve"> (GST exclusive)</w:t>
      </w:r>
      <w:r w:rsidRPr="00994E8B">
        <w:t xml:space="preserve"> </w:t>
      </w:r>
      <w:r w:rsidR="00B23F5F" w:rsidRPr="00994E8B">
        <w:rPr>
          <w:b/>
        </w:rPr>
        <w:t>Regional Connectivity</w:t>
      </w:r>
      <w:r w:rsidR="00231D68" w:rsidRPr="00994E8B">
        <w:t xml:space="preserve"> </w:t>
      </w:r>
      <w:r w:rsidR="00334681" w:rsidRPr="00994E8B">
        <w:t xml:space="preserve">(Round 3) </w:t>
      </w:r>
      <w:r w:rsidRPr="00994E8B">
        <w:t xml:space="preserve">stream for </w:t>
      </w:r>
      <w:r w:rsidR="00B23F5F" w:rsidRPr="00994E8B">
        <w:t xml:space="preserve">place-based </w:t>
      </w:r>
      <w:r w:rsidR="00334681" w:rsidRPr="00994E8B">
        <w:t>Regional Connectivity S</w:t>
      </w:r>
      <w:r w:rsidR="00B23F5F" w:rsidRPr="00994E8B">
        <w:t>olutions</w:t>
      </w:r>
      <w:r w:rsidR="00231D68" w:rsidRPr="00994E8B">
        <w:t xml:space="preserve"> that deliver new or upgraded broadband services </w:t>
      </w:r>
      <w:r w:rsidR="003F4A6B" w:rsidRPr="00994E8B">
        <w:t>and</w:t>
      </w:r>
      <w:r w:rsidR="00E76A4E" w:rsidRPr="00994E8B">
        <w:t>/</w:t>
      </w:r>
      <w:r w:rsidR="00231D68" w:rsidRPr="00994E8B">
        <w:t>or upgraded mobile services.</w:t>
      </w:r>
      <w:r w:rsidR="00B23F5F" w:rsidRPr="00994E8B">
        <w:t xml:space="preserve"> </w:t>
      </w:r>
      <w:r w:rsidRPr="00994E8B">
        <w:t>It will enable bespoke telecommunications projects to be specifically tailored to the particular economic and/or social requirements of a region; and</w:t>
      </w:r>
    </w:p>
    <w:p w14:paraId="4FC360A0" w14:textId="32CD5148" w:rsidR="001723E0" w:rsidRPr="00994E8B" w:rsidRDefault="001723E0" w:rsidP="0014541A">
      <w:pPr>
        <w:pStyle w:val="ListParagraph"/>
        <w:numPr>
          <w:ilvl w:val="0"/>
          <w:numId w:val="16"/>
        </w:numPr>
      </w:pPr>
      <w:r w:rsidRPr="00994E8B">
        <w:t xml:space="preserve">A $50 million </w:t>
      </w:r>
      <w:r w:rsidR="00FB6C80" w:rsidRPr="00994E8B">
        <w:t>(GST exclusive)</w:t>
      </w:r>
      <w:r w:rsidRPr="00994E8B">
        <w:t xml:space="preserve"> </w:t>
      </w:r>
      <w:r w:rsidR="00334681" w:rsidRPr="00994E8B">
        <w:t xml:space="preserve">Mobile Black Spot (Round 7) </w:t>
      </w:r>
      <w:r w:rsidRPr="00994E8B">
        <w:t>stream</w:t>
      </w:r>
      <w:r w:rsidR="00C22B41" w:rsidRPr="00994E8B">
        <w:t xml:space="preserve"> </w:t>
      </w:r>
      <w:r w:rsidR="00231D68" w:rsidRPr="00994E8B">
        <w:t>(</w:t>
      </w:r>
      <w:r w:rsidR="00C22B41" w:rsidRPr="00994E8B">
        <w:t xml:space="preserve">allocated from the </w:t>
      </w:r>
      <w:r w:rsidR="00532EA0" w:rsidRPr="00994E8B">
        <w:rPr>
          <w:rFonts w:cs="Arial"/>
          <w:szCs w:val="22"/>
        </w:rPr>
        <w:t>expanding regional mobile coverage</w:t>
      </w:r>
      <w:r w:rsidR="002B63AC" w:rsidRPr="00994E8B">
        <w:rPr>
          <w:rFonts w:cs="Arial"/>
          <w:szCs w:val="22"/>
        </w:rPr>
        <w:t xml:space="preserve"> component of the Better Connectivity Plan</w:t>
      </w:r>
      <w:r w:rsidR="00231D68" w:rsidRPr="00994E8B">
        <w:rPr>
          <w:rFonts w:cs="Arial"/>
          <w:szCs w:val="22"/>
        </w:rPr>
        <w:t>)</w:t>
      </w:r>
      <w:r w:rsidRPr="00994E8B">
        <w:t xml:space="preserve"> for </w:t>
      </w:r>
      <w:r w:rsidR="007009DE" w:rsidRPr="00994E8B">
        <w:rPr>
          <w:b/>
        </w:rPr>
        <w:t>Mobile Black Spot Solution</w:t>
      </w:r>
      <w:r w:rsidRPr="00994E8B">
        <w:rPr>
          <w:b/>
        </w:rPr>
        <w:t>s</w:t>
      </w:r>
      <w:r w:rsidRPr="00994E8B">
        <w:t xml:space="preserve"> that deliver </w:t>
      </w:r>
      <w:r w:rsidR="00FF00E9" w:rsidRPr="00994E8B">
        <w:rPr>
          <w:b/>
        </w:rPr>
        <w:t>N</w:t>
      </w:r>
      <w:r w:rsidRPr="00994E8B">
        <w:rPr>
          <w:b/>
        </w:rPr>
        <w:t xml:space="preserve">ew </w:t>
      </w:r>
      <w:r w:rsidR="00FF00E9" w:rsidRPr="00994E8B">
        <w:rPr>
          <w:b/>
        </w:rPr>
        <w:t>H</w:t>
      </w:r>
      <w:r w:rsidRPr="00994E8B">
        <w:rPr>
          <w:b/>
        </w:rPr>
        <w:t xml:space="preserve">andheld </w:t>
      </w:r>
      <w:r w:rsidR="00FF00E9" w:rsidRPr="00994E8B">
        <w:rPr>
          <w:b/>
        </w:rPr>
        <w:t>C</w:t>
      </w:r>
      <w:r w:rsidRPr="00994E8B">
        <w:rPr>
          <w:b/>
        </w:rPr>
        <w:t>overage</w:t>
      </w:r>
      <w:r w:rsidRPr="00994E8B">
        <w:t xml:space="preserve"> to regional, rural and remote Australia.</w:t>
      </w:r>
      <w:r w:rsidR="00F252BF" w:rsidRPr="00994E8B">
        <w:t xml:space="preserve">  </w:t>
      </w:r>
    </w:p>
    <w:p w14:paraId="155EC3ED" w14:textId="5BE0199A" w:rsidR="00F252BF" w:rsidRPr="00994E8B" w:rsidRDefault="00F252BF" w:rsidP="0014541A">
      <w:r w:rsidRPr="00994E8B">
        <w:t xml:space="preserve">For </w:t>
      </w:r>
      <w:r w:rsidR="007009DE" w:rsidRPr="00994E8B">
        <w:t>Mobile Black Spot Solution</w:t>
      </w:r>
      <w:r w:rsidRPr="00994E8B">
        <w:t xml:space="preserve">s, </w:t>
      </w:r>
      <w:r w:rsidR="00E93238" w:rsidRPr="00994E8B">
        <w:t>a</w:t>
      </w:r>
      <w:r w:rsidRPr="00994E8B">
        <w:t xml:space="preserve">pplicants and </w:t>
      </w:r>
      <w:r w:rsidRPr="00994E8B">
        <w:rPr>
          <w:b/>
        </w:rPr>
        <w:t>M</w:t>
      </w:r>
      <w:r w:rsidR="00532EA0" w:rsidRPr="00994E8B">
        <w:rPr>
          <w:b/>
        </w:rPr>
        <w:t>obile Network Operators (M</w:t>
      </w:r>
      <w:r w:rsidRPr="00994E8B">
        <w:rPr>
          <w:b/>
        </w:rPr>
        <w:t>NOs</w:t>
      </w:r>
      <w:r w:rsidR="00532EA0" w:rsidRPr="00994E8B">
        <w:rPr>
          <w:b/>
        </w:rPr>
        <w:t>)</w:t>
      </w:r>
      <w:r w:rsidRPr="00994E8B">
        <w:t xml:space="preserve">/other interested parties are encouraged to work together during the </w:t>
      </w:r>
      <w:r w:rsidR="00C10145" w:rsidRPr="00994E8B">
        <w:t xml:space="preserve">application </w:t>
      </w:r>
      <w:r w:rsidRPr="00994E8B">
        <w:t xml:space="preserve">development period to develop </w:t>
      </w:r>
      <w:r w:rsidR="004F7E8B" w:rsidRPr="00994E8B">
        <w:rPr>
          <w:b/>
        </w:rPr>
        <w:t>M</w:t>
      </w:r>
      <w:r w:rsidRPr="00994E8B">
        <w:rPr>
          <w:b/>
        </w:rPr>
        <w:t>ulti-MNO solutions</w:t>
      </w:r>
      <w:r w:rsidR="00F36EE4" w:rsidRPr="00994E8B">
        <w:rPr>
          <w:b/>
        </w:rPr>
        <w:t xml:space="preserve">, </w:t>
      </w:r>
      <w:r w:rsidR="00F36EE4" w:rsidRPr="00994E8B">
        <w:t xml:space="preserve">including </w:t>
      </w:r>
      <w:r w:rsidR="00FC7D11" w:rsidRPr="00994E8B">
        <w:t>Proposed S</w:t>
      </w:r>
      <w:r w:rsidR="00F36EE4" w:rsidRPr="00994E8B">
        <w:t>olutions that use active sharing technologies</w:t>
      </w:r>
      <w:r w:rsidR="00FD1D79" w:rsidRPr="00994E8B">
        <w:t xml:space="preserve"> and/or mobile roaming</w:t>
      </w:r>
      <w:r w:rsidRPr="00994E8B">
        <w:t>.</w:t>
      </w:r>
    </w:p>
    <w:p w14:paraId="6F8F20DA" w14:textId="3F43052F" w:rsidR="00701B17" w:rsidRPr="00994E8B" w:rsidRDefault="00701B17" w:rsidP="0014541A">
      <w:r w:rsidRPr="00994E8B">
        <w:t xml:space="preserve">Both streams will include dedicated funding for </w:t>
      </w:r>
      <w:r w:rsidR="00C51363" w:rsidRPr="00994E8B">
        <w:t>Proposed S</w:t>
      </w:r>
      <w:r w:rsidRPr="00994E8B">
        <w:t>olutions that improve telecommunications infrastructure in First Nations communities (see Section 3.1).</w:t>
      </w:r>
    </w:p>
    <w:p w14:paraId="60EC4F84" w14:textId="44445E31" w:rsidR="002C0F53" w:rsidRPr="00994E8B" w:rsidRDefault="00B23F5F" w:rsidP="0014541A">
      <w:pPr>
        <w:pStyle w:val="ListParagraph"/>
        <w:numPr>
          <w:ilvl w:val="0"/>
          <w:numId w:val="79"/>
        </w:numPr>
        <w:ind w:left="360"/>
      </w:pPr>
      <w:r w:rsidRPr="00994E8B">
        <w:lastRenderedPageBreak/>
        <w:t xml:space="preserve">Applicants </w:t>
      </w:r>
      <w:r w:rsidR="00231D68" w:rsidRPr="00994E8B">
        <w:t xml:space="preserve">seeking funding for </w:t>
      </w:r>
      <w:r w:rsidRPr="00994E8B">
        <w:t>infrastructure targeting new o</w:t>
      </w:r>
      <w:r w:rsidR="00231D68" w:rsidRPr="00994E8B">
        <w:t>r</w:t>
      </w:r>
      <w:r w:rsidRPr="00994E8B">
        <w:t xml:space="preserve"> </w:t>
      </w:r>
      <w:r w:rsidR="00231D68" w:rsidRPr="00994E8B">
        <w:t>upgraded</w:t>
      </w:r>
      <w:r w:rsidRPr="00994E8B">
        <w:t xml:space="preserve"> broadband services and/or </w:t>
      </w:r>
      <w:r w:rsidR="00231D68" w:rsidRPr="00994E8B">
        <w:t>upgraded</w:t>
      </w:r>
      <w:r w:rsidRPr="00994E8B">
        <w:t xml:space="preserve"> mobile services</w:t>
      </w:r>
      <w:r w:rsidR="00231D68" w:rsidRPr="00994E8B">
        <w:t xml:space="preserve"> </w:t>
      </w:r>
      <w:r w:rsidR="00D67DC5" w:rsidRPr="00994E8B">
        <w:t>must</w:t>
      </w:r>
      <w:r w:rsidR="00231D68" w:rsidRPr="00994E8B">
        <w:t xml:space="preserve"> apply under the </w:t>
      </w:r>
      <w:r w:rsidR="00231D68" w:rsidRPr="00994E8B">
        <w:rPr>
          <w:b/>
        </w:rPr>
        <w:t>Regional Connectivity</w:t>
      </w:r>
      <w:r w:rsidR="00231D68" w:rsidRPr="00994E8B">
        <w:t xml:space="preserve"> </w:t>
      </w:r>
      <w:r w:rsidR="00EF6D30" w:rsidRPr="00994E8B">
        <w:rPr>
          <w:b/>
        </w:rPr>
        <w:t>(Round 3)</w:t>
      </w:r>
      <w:r w:rsidR="00231D68" w:rsidRPr="00994E8B">
        <w:t xml:space="preserve"> funding stream. </w:t>
      </w:r>
    </w:p>
    <w:p w14:paraId="64B372C3" w14:textId="1ED78218" w:rsidR="00231D68" w:rsidRPr="00994E8B" w:rsidRDefault="00231D68" w:rsidP="0014541A">
      <w:pPr>
        <w:pStyle w:val="ListParagraph"/>
        <w:numPr>
          <w:ilvl w:val="0"/>
          <w:numId w:val="79"/>
        </w:numPr>
        <w:ind w:left="360"/>
      </w:pPr>
      <w:r w:rsidRPr="00994E8B">
        <w:t xml:space="preserve">Applicants seeking funding for infrastructure targeting new mobile coverage </w:t>
      </w:r>
      <w:r w:rsidR="00D67DC5" w:rsidRPr="00994E8B">
        <w:t>must</w:t>
      </w:r>
      <w:r w:rsidRPr="00994E8B">
        <w:t xml:space="preserve"> apply under the </w:t>
      </w:r>
      <w:r w:rsidR="007009DE" w:rsidRPr="00994E8B">
        <w:rPr>
          <w:b/>
        </w:rPr>
        <w:t xml:space="preserve">Mobile Black Spot </w:t>
      </w:r>
      <w:r w:rsidR="00EF6D30" w:rsidRPr="00994E8B">
        <w:rPr>
          <w:b/>
        </w:rPr>
        <w:t>(Round 7)</w:t>
      </w:r>
      <w:r w:rsidRPr="00994E8B">
        <w:t xml:space="preserve"> funding stream.</w:t>
      </w:r>
    </w:p>
    <w:p w14:paraId="53468DB0" w14:textId="451A995C" w:rsidR="00D00B64" w:rsidRPr="00994E8B" w:rsidRDefault="00231D68" w:rsidP="0014541A">
      <w:r w:rsidRPr="00994E8B">
        <w:t>Further information about</w:t>
      </w:r>
      <w:r w:rsidR="00D00B64" w:rsidRPr="00994E8B">
        <w:t xml:space="preserve"> the types of </w:t>
      </w:r>
      <w:bookmarkStart w:id="28" w:name="_Hlk128577077"/>
      <w:r w:rsidR="00FC7D11" w:rsidRPr="00994E8B">
        <w:t xml:space="preserve">Proposed Solutions </w:t>
      </w:r>
      <w:bookmarkEnd w:id="28"/>
      <w:r w:rsidR="00D00B64" w:rsidRPr="00994E8B">
        <w:t xml:space="preserve">that can be funded under each stream is provided at section </w:t>
      </w:r>
      <w:r w:rsidR="00D00B64" w:rsidRPr="00994E8B">
        <w:fldChar w:fldCharType="begin"/>
      </w:r>
      <w:r w:rsidR="00D00B64" w:rsidRPr="00994E8B">
        <w:instrText xml:space="preserve"> REF _Ref120616560 \r \h </w:instrText>
      </w:r>
      <w:r w:rsidR="00994E8B">
        <w:instrText xml:space="preserve"> \* MERGEFORMAT </w:instrText>
      </w:r>
      <w:r w:rsidR="00D00B64" w:rsidRPr="00994E8B">
        <w:fldChar w:fldCharType="separate"/>
      </w:r>
      <w:r w:rsidR="00075357" w:rsidRPr="00994E8B">
        <w:t>5.1</w:t>
      </w:r>
      <w:r w:rsidR="00D00B64" w:rsidRPr="00994E8B">
        <w:fldChar w:fldCharType="end"/>
      </w:r>
      <w:r w:rsidR="00D00B64" w:rsidRPr="00994E8B">
        <w:t>.</w:t>
      </w:r>
    </w:p>
    <w:p w14:paraId="54B67386" w14:textId="77777777" w:rsidR="00D00B64" w:rsidRPr="00994E8B" w:rsidRDefault="00D00B64" w:rsidP="0014541A">
      <w:pPr>
        <w:rPr>
          <w:rFonts w:cs="Arial"/>
        </w:rPr>
      </w:pPr>
      <w:r w:rsidRPr="00994E8B">
        <w:rPr>
          <w:rFonts w:cs="Arial"/>
        </w:rPr>
        <w:t xml:space="preserve">Your application may include a combination of </w:t>
      </w:r>
      <w:r w:rsidR="009B1F78" w:rsidRPr="00994E8B">
        <w:rPr>
          <w:rFonts w:cs="Arial"/>
          <w:b/>
        </w:rPr>
        <w:t xml:space="preserve">Regional </w:t>
      </w:r>
      <w:r w:rsidR="009F6847" w:rsidRPr="00994E8B">
        <w:rPr>
          <w:rFonts w:cs="Arial"/>
          <w:b/>
        </w:rPr>
        <w:t>Connectivity</w:t>
      </w:r>
      <w:r w:rsidRPr="00994E8B">
        <w:rPr>
          <w:rFonts w:cs="Arial"/>
          <w:b/>
        </w:rPr>
        <w:t xml:space="preserve"> Solutions</w:t>
      </w:r>
      <w:r w:rsidRPr="00994E8B">
        <w:rPr>
          <w:rFonts w:cs="Arial"/>
        </w:rPr>
        <w:t xml:space="preserve"> and </w:t>
      </w:r>
      <w:r w:rsidR="007009DE" w:rsidRPr="00994E8B">
        <w:rPr>
          <w:rFonts w:cs="Arial"/>
          <w:b/>
        </w:rPr>
        <w:t>Mobile Black Spot Solution</w:t>
      </w:r>
      <w:r w:rsidRPr="00994E8B">
        <w:rPr>
          <w:rFonts w:cs="Arial"/>
        </w:rPr>
        <w:t xml:space="preserve">s or propose only </w:t>
      </w:r>
      <w:r w:rsidR="009B1F78" w:rsidRPr="00994E8B">
        <w:rPr>
          <w:rFonts w:cs="Arial"/>
          <w:b/>
        </w:rPr>
        <w:t xml:space="preserve">Regional </w:t>
      </w:r>
      <w:r w:rsidR="009F6847" w:rsidRPr="00994E8B">
        <w:rPr>
          <w:rFonts w:cs="Arial"/>
          <w:b/>
        </w:rPr>
        <w:t>Connectivity</w:t>
      </w:r>
      <w:r w:rsidRPr="00994E8B">
        <w:rPr>
          <w:rFonts w:cs="Arial"/>
          <w:b/>
        </w:rPr>
        <w:t xml:space="preserve"> Solutions</w:t>
      </w:r>
      <w:r w:rsidRPr="00994E8B">
        <w:rPr>
          <w:rFonts w:cs="Arial"/>
        </w:rPr>
        <w:t xml:space="preserve"> or only </w:t>
      </w:r>
      <w:r w:rsidR="007009DE" w:rsidRPr="00994E8B">
        <w:rPr>
          <w:rFonts w:cs="Arial"/>
          <w:b/>
        </w:rPr>
        <w:t>Mobile Black Spot Solution</w:t>
      </w:r>
      <w:r w:rsidRPr="00994E8B">
        <w:rPr>
          <w:rFonts w:cs="Arial"/>
          <w:b/>
        </w:rPr>
        <w:t>s</w:t>
      </w:r>
      <w:r w:rsidRPr="00994E8B">
        <w:rPr>
          <w:rFonts w:cs="Arial"/>
        </w:rPr>
        <w:t xml:space="preserve">. </w:t>
      </w:r>
    </w:p>
    <w:p w14:paraId="767ACCAB" w14:textId="77777777" w:rsidR="003A435C" w:rsidRPr="00994E8B" w:rsidRDefault="00C404E2" w:rsidP="0014541A">
      <w:r w:rsidRPr="00994E8B">
        <w:t>The objective</w:t>
      </w:r>
      <w:r w:rsidR="003A435C" w:rsidRPr="00994E8B">
        <w:t>s</w:t>
      </w:r>
      <w:r w:rsidRPr="00994E8B">
        <w:t xml:space="preserve"> of </w:t>
      </w:r>
      <w:r w:rsidR="00205D7B" w:rsidRPr="00994E8B">
        <w:t xml:space="preserve">Round </w:t>
      </w:r>
      <w:r w:rsidR="00A33D58" w:rsidRPr="00994E8B">
        <w:t>3</w:t>
      </w:r>
      <w:r w:rsidR="00205D7B" w:rsidRPr="00994E8B">
        <w:t xml:space="preserve"> of </w:t>
      </w:r>
      <w:r w:rsidRPr="00994E8B">
        <w:t xml:space="preserve">the Program </w:t>
      </w:r>
      <w:r w:rsidR="003A435C" w:rsidRPr="00994E8B">
        <w:t>are</w:t>
      </w:r>
      <w:r w:rsidRPr="00994E8B">
        <w:t xml:space="preserve"> to</w:t>
      </w:r>
      <w:r w:rsidR="003A435C" w:rsidRPr="00994E8B">
        <w:t>:</w:t>
      </w:r>
      <w:r w:rsidRPr="00994E8B">
        <w:t xml:space="preserve"> </w:t>
      </w:r>
    </w:p>
    <w:p w14:paraId="600AB906" w14:textId="2366A623" w:rsidR="003A435C" w:rsidRPr="00994E8B" w:rsidRDefault="00C404E2" w:rsidP="0014541A">
      <w:pPr>
        <w:pStyle w:val="ListParagraph"/>
        <w:numPr>
          <w:ilvl w:val="0"/>
          <w:numId w:val="16"/>
        </w:numPr>
      </w:pPr>
      <w:r w:rsidRPr="00994E8B">
        <w:t>use a place-based approach to target telecommunications infrastructure investment that will respond to local priorities and maximise economic opportunities and social benefits for regional</w:t>
      </w:r>
      <w:r w:rsidR="00F6707C" w:rsidRPr="00994E8B">
        <w:t xml:space="preserve">, rural and </w:t>
      </w:r>
      <w:r w:rsidR="00400A9D" w:rsidRPr="00994E8B">
        <w:t>First Nations</w:t>
      </w:r>
      <w:r w:rsidRPr="00994E8B">
        <w:t xml:space="preserve"> communities</w:t>
      </w:r>
      <w:r w:rsidR="000571CD" w:rsidRPr="00994E8B">
        <w:t>;</w:t>
      </w:r>
    </w:p>
    <w:p w14:paraId="16691398" w14:textId="340040A4" w:rsidR="00C404E2" w:rsidRPr="00994E8B" w:rsidRDefault="003A435C" w:rsidP="0014541A">
      <w:pPr>
        <w:pStyle w:val="ListParagraph"/>
        <w:numPr>
          <w:ilvl w:val="0"/>
          <w:numId w:val="16"/>
        </w:numPr>
      </w:pPr>
      <w:r w:rsidRPr="00994E8B">
        <w:t>expand mobile coverage in regional</w:t>
      </w:r>
      <w:r w:rsidR="001723E0" w:rsidRPr="00994E8B">
        <w:t>,</w:t>
      </w:r>
      <w:r w:rsidRPr="00994E8B">
        <w:t xml:space="preserve"> rural</w:t>
      </w:r>
      <w:r w:rsidR="00453ED2" w:rsidRPr="00994E8B">
        <w:t>,</w:t>
      </w:r>
      <w:r w:rsidRPr="00994E8B">
        <w:t xml:space="preserve"> </w:t>
      </w:r>
      <w:r w:rsidR="001723E0" w:rsidRPr="00994E8B">
        <w:t xml:space="preserve">and </w:t>
      </w:r>
      <w:r w:rsidR="00453ED2" w:rsidRPr="00994E8B">
        <w:t>First Nations communities</w:t>
      </w:r>
      <w:r w:rsidR="00A2194F" w:rsidRPr="00994E8B">
        <w:t>; and</w:t>
      </w:r>
      <w:bookmarkStart w:id="29" w:name="_Toc88054273"/>
      <w:bookmarkStart w:id="30" w:name="_Toc88054619"/>
      <w:bookmarkStart w:id="31" w:name="_Toc88054715"/>
      <w:bookmarkEnd w:id="29"/>
      <w:bookmarkEnd w:id="30"/>
      <w:bookmarkEnd w:id="31"/>
    </w:p>
    <w:p w14:paraId="7ACE3CFC" w14:textId="007947DC" w:rsidR="001F3B27" w:rsidRPr="00994E8B" w:rsidRDefault="00AE4A09" w:rsidP="0014541A">
      <w:pPr>
        <w:pStyle w:val="ListParagraph"/>
        <w:numPr>
          <w:ilvl w:val="0"/>
          <w:numId w:val="16"/>
        </w:numPr>
      </w:pPr>
      <w:r w:rsidRPr="00994E8B">
        <w:t xml:space="preserve">assist </w:t>
      </w:r>
      <w:r w:rsidR="001F3B27" w:rsidRPr="00994E8B">
        <w:t xml:space="preserve">progress towards Target 17 of the Closing the Gap initiative. </w:t>
      </w:r>
    </w:p>
    <w:p w14:paraId="58215DB9" w14:textId="48A09BB1" w:rsidR="00C404E2" w:rsidRPr="00994E8B" w:rsidRDefault="00C404E2" w:rsidP="0014541A">
      <w:r w:rsidRPr="00994E8B">
        <w:t xml:space="preserve">The intended outcomes of </w:t>
      </w:r>
      <w:r w:rsidR="00946196" w:rsidRPr="00994E8B">
        <w:t xml:space="preserve">this </w:t>
      </w:r>
      <w:r w:rsidR="00205D7B" w:rsidRPr="00994E8B">
        <w:t xml:space="preserve">Round of </w:t>
      </w:r>
      <w:r w:rsidRPr="00994E8B">
        <w:t>the Program are to:</w:t>
      </w:r>
      <w:bookmarkStart w:id="32" w:name="_Toc88054274"/>
      <w:bookmarkStart w:id="33" w:name="_Toc88054620"/>
      <w:bookmarkStart w:id="34" w:name="_Toc88054716"/>
      <w:bookmarkEnd w:id="32"/>
      <w:bookmarkEnd w:id="33"/>
      <w:bookmarkEnd w:id="34"/>
    </w:p>
    <w:p w14:paraId="13156231" w14:textId="5481A5C6" w:rsidR="006248B3" w:rsidRPr="00994E8B" w:rsidRDefault="00C404E2" w:rsidP="0014541A">
      <w:pPr>
        <w:pStyle w:val="ListParagraph"/>
        <w:numPr>
          <w:ilvl w:val="0"/>
          <w:numId w:val="21"/>
        </w:numPr>
      </w:pPr>
      <w:r w:rsidRPr="00994E8B">
        <w:t xml:space="preserve">Provide </w:t>
      </w:r>
      <w:r w:rsidRPr="00994E8B">
        <w:rPr>
          <w:b/>
        </w:rPr>
        <w:t xml:space="preserve">place-based </w:t>
      </w:r>
      <w:r w:rsidR="00FB6C80" w:rsidRPr="00994E8B">
        <w:rPr>
          <w:b/>
        </w:rPr>
        <w:t>Regional Connectivity S</w:t>
      </w:r>
      <w:r w:rsidRPr="00994E8B">
        <w:rPr>
          <w:b/>
        </w:rPr>
        <w:t>olutions</w:t>
      </w:r>
      <w:r w:rsidRPr="00994E8B">
        <w:t xml:space="preserve"> to regional digital connectivity issues through a range of </w:t>
      </w:r>
      <w:r w:rsidR="00C22B41" w:rsidRPr="00994E8B">
        <w:t xml:space="preserve">new or improved </w:t>
      </w:r>
      <w:r w:rsidRPr="00994E8B">
        <w:t>broadband services</w:t>
      </w:r>
      <w:r w:rsidR="00C22B41" w:rsidRPr="00994E8B">
        <w:t xml:space="preserve"> and/or improved mobile service</w:t>
      </w:r>
      <w:r w:rsidR="00B23F5F" w:rsidRPr="00994E8B">
        <w:t>s</w:t>
      </w:r>
      <w:r w:rsidRPr="00994E8B">
        <w:t xml:space="preserve">; </w:t>
      </w:r>
    </w:p>
    <w:p w14:paraId="3664BF6D" w14:textId="77777777" w:rsidR="00C404E2" w:rsidRPr="00994E8B" w:rsidRDefault="006248B3" w:rsidP="0014541A">
      <w:pPr>
        <w:pStyle w:val="ListParagraph"/>
        <w:numPr>
          <w:ilvl w:val="0"/>
          <w:numId w:val="16"/>
        </w:numPr>
      </w:pPr>
      <w:r w:rsidRPr="00994E8B">
        <w:t xml:space="preserve">Provide </w:t>
      </w:r>
      <w:r w:rsidR="007009DE" w:rsidRPr="00994E8B">
        <w:rPr>
          <w:b/>
        </w:rPr>
        <w:t>Mobile Black Spot Solution</w:t>
      </w:r>
      <w:r w:rsidRPr="00994E8B">
        <w:rPr>
          <w:b/>
        </w:rPr>
        <w:t>s</w:t>
      </w:r>
      <w:r w:rsidRPr="00994E8B">
        <w:t xml:space="preserve"> to expand mobile coverage </w:t>
      </w:r>
      <w:r w:rsidR="00C10145" w:rsidRPr="00994E8B">
        <w:t xml:space="preserve">and competition </w:t>
      </w:r>
      <w:r w:rsidRPr="00994E8B">
        <w:t xml:space="preserve">across regional and rural Australia; </w:t>
      </w:r>
      <w:r w:rsidR="00C404E2" w:rsidRPr="00994E8B">
        <w:t>and</w:t>
      </w:r>
      <w:bookmarkStart w:id="35" w:name="_Toc88054275"/>
      <w:bookmarkStart w:id="36" w:name="_Toc88054621"/>
      <w:bookmarkStart w:id="37" w:name="_Toc88054717"/>
      <w:bookmarkEnd w:id="35"/>
      <w:bookmarkEnd w:id="36"/>
      <w:bookmarkEnd w:id="37"/>
    </w:p>
    <w:p w14:paraId="52109954" w14:textId="756EEFCE" w:rsidR="00B444E3" w:rsidRPr="00994E8B" w:rsidRDefault="00C404E2" w:rsidP="0014541A">
      <w:pPr>
        <w:pStyle w:val="ListParagraph"/>
        <w:numPr>
          <w:ilvl w:val="0"/>
          <w:numId w:val="16"/>
        </w:numPr>
      </w:pPr>
      <w:r w:rsidRPr="00994E8B">
        <w:t>Complement the National Broadband Network,</w:t>
      </w:r>
      <w:r w:rsidR="00087644" w:rsidRPr="00994E8B">
        <w:t xml:space="preserve"> including</w:t>
      </w:r>
      <w:r w:rsidR="00BD2E6A" w:rsidRPr="00994E8B">
        <w:t xml:space="preserve"> the NBN </w:t>
      </w:r>
      <w:r w:rsidR="001F677C" w:rsidRPr="00994E8B">
        <w:t>F</w:t>
      </w:r>
      <w:r w:rsidR="00BD2E6A" w:rsidRPr="00994E8B">
        <w:t xml:space="preserve">ixed </w:t>
      </w:r>
      <w:r w:rsidR="001F677C" w:rsidRPr="00994E8B">
        <w:t>W</w:t>
      </w:r>
      <w:r w:rsidR="00BD2E6A" w:rsidRPr="00994E8B">
        <w:t>ireless upgrade</w:t>
      </w:r>
      <w:r w:rsidR="00087644" w:rsidRPr="00994E8B">
        <w:t xml:space="preserve"> (see below)</w:t>
      </w:r>
      <w:r w:rsidR="00BD2E6A" w:rsidRPr="00994E8B">
        <w:t>,</w:t>
      </w:r>
      <w:r w:rsidRPr="00994E8B">
        <w:t xml:space="preserve"> and the telecommunications industry’s commercial investment plans</w:t>
      </w:r>
      <w:r w:rsidR="00226E0D" w:rsidRPr="00994E8B">
        <w:t>.</w:t>
      </w:r>
      <w:bookmarkStart w:id="38" w:name="_Toc88054276"/>
      <w:bookmarkStart w:id="39" w:name="_Toc88054622"/>
      <w:bookmarkStart w:id="40" w:name="_Toc88054718"/>
      <w:bookmarkEnd w:id="38"/>
      <w:bookmarkEnd w:id="39"/>
      <w:bookmarkEnd w:id="40"/>
    </w:p>
    <w:p w14:paraId="61D71876" w14:textId="2A95BDE6" w:rsidR="00FF00E9" w:rsidRPr="00994E8B" w:rsidRDefault="00583F74" w:rsidP="0014541A">
      <w:r w:rsidRPr="00994E8B">
        <w:t>The Program Round</w:t>
      </w:r>
      <w:r w:rsidR="00F75F66" w:rsidRPr="00994E8B">
        <w:t>’s</w:t>
      </w:r>
      <w:r w:rsidRPr="00994E8B">
        <w:t xml:space="preserve"> Grant Opportunity will support</w:t>
      </w:r>
      <w:r w:rsidR="002E6C4E" w:rsidRPr="00994E8B">
        <w:t xml:space="preserve"> Funded</w:t>
      </w:r>
      <w:r w:rsidRPr="00994E8B">
        <w:t xml:space="preserve"> </w:t>
      </w:r>
      <w:r w:rsidR="002E6C4E" w:rsidRPr="00994E8B">
        <w:t>P</w:t>
      </w:r>
      <w:r w:rsidRPr="00994E8B">
        <w:t>rojects that deliver new telecommunications infrastructure or the upgrade of existing telecommunications infrastructure to provide</w:t>
      </w:r>
      <w:r w:rsidR="00FF00E9" w:rsidRPr="00994E8B">
        <w:t>:</w:t>
      </w:r>
    </w:p>
    <w:p w14:paraId="13D244C1" w14:textId="0044882E" w:rsidR="00FF00E9" w:rsidRPr="00994E8B" w:rsidRDefault="00583F74" w:rsidP="0014541A">
      <w:pPr>
        <w:pStyle w:val="ListParagraph"/>
        <w:numPr>
          <w:ilvl w:val="0"/>
          <w:numId w:val="16"/>
        </w:numPr>
      </w:pPr>
      <w:r w:rsidRPr="00994E8B">
        <w:t xml:space="preserve">economic and social benefits in regional, rural and </w:t>
      </w:r>
      <w:r w:rsidR="00400A9D" w:rsidRPr="00994E8B">
        <w:t>First Nations</w:t>
      </w:r>
      <w:r w:rsidRPr="00994E8B">
        <w:t xml:space="preserve"> areas</w:t>
      </w:r>
      <w:r w:rsidR="00FF00E9" w:rsidRPr="00994E8B">
        <w:t>; and/or</w:t>
      </w:r>
    </w:p>
    <w:p w14:paraId="04A46A72" w14:textId="77777777" w:rsidR="00583F74" w:rsidRPr="00994E8B" w:rsidRDefault="00403E45" w:rsidP="0014541A">
      <w:pPr>
        <w:pStyle w:val="ListParagraph"/>
        <w:numPr>
          <w:ilvl w:val="0"/>
          <w:numId w:val="16"/>
        </w:numPr>
      </w:pPr>
      <w:r w:rsidRPr="00994E8B">
        <w:rPr>
          <w:b/>
        </w:rPr>
        <w:t>N</w:t>
      </w:r>
      <w:r w:rsidR="00FF00E9" w:rsidRPr="00994E8B">
        <w:rPr>
          <w:b/>
        </w:rPr>
        <w:t>ew Handheld Coverage</w:t>
      </w:r>
      <w:r w:rsidR="00FF00E9" w:rsidRPr="00994E8B">
        <w:t xml:space="preserve"> to regional, rural and </w:t>
      </w:r>
      <w:r w:rsidR="00453ED2" w:rsidRPr="00994E8B">
        <w:t>First Nations areas</w:t>
      </w:r>
      <w:r w:rsidR="00583F74" w:rsidRPr="00994E8B">
        <w:t>.</w:t>
      </w:r>
    </w:p>
    <w:p w14:paraId="32945216" w14:textId="77777777" w:rsidR="00583F74" w:rsidRPr="00994E8B" w:rsidRDefault="00FF00E9" w:rsidP="0014541A">
      <w:r w:rsidRPr="00994E8B">
        <w:t xml:space="preserve">For </w:t>
      </w:r>
      <w:r w:rsidR="00453ED2" w:rsidRPr="00994E8B">
        <w:rPr>
          <w:b/>
        </w:rPr>
        <w:t xml:space="preserve">Regional </w:t>
      </w:r>
      <w:r w:rsidR="007D5244" w:rsidRPr="00994E8B">
        <w:rPr>
          <w:b/>
        </w:rPr>
        <w:t>Connectivity Solutions</w:t>
      </w:r>
      <w:r w:rsidRPr="00994E8B">
        <w:t>, t</w:t>
      </w:r>
      <w:r w:rsidR="00583F74" w:rsidRPr="00994E8B">
        <w:t>he Round 3 Grant Opportunity will focus on areas:</w:t>
      </w:r>
    </w:p>
    <w:p w14:paraId="7F1DD215" w14:textId="324D59EC" w:rsidR="00583F74" w:rsidRPr="00994E8B" w:rsidRDefault="00583F74" w:rsidP="0014541A">
      <w:pPr>
        <w:pStyle w:val="ListParagraph"/>
        <w:numPr>
          <w:ilvl w:val="0"/>
          <w:numId w:val="17"/>
        </w:numPr>
      </w:pPr>
      <w:r w:rsidRPr="00994E8B">
        <w:t>of high economic and/or social value</w:t>
      </w:r>
      <w:r w:rsidR="000571CD" w:rsidRPr="00994E8B">
        <w:t>;</w:t>
      </w:r>
    </w:p>
    <w:p w14:paraId="36116365" w14:textId="77777777" w:rsidR="00583F74" w:rsidRPr="00994E8B" w:rsidRDefault="00583F74" w:rsidP="0014541A">
      <w:pPr>
        <w:pStyle w:val="ListParagraph"/>
        <w:numPr>
          <w:ilvl w:val="0"/>
          <w:numId w:val="17"/>
        </w:numPr>
      </w:pPr>
      <w:r w:rsidRPr="00994E8B">
        <w:t xml:space="preserve">outside the NBN </w:t>
      </w:r>
      <w:r w:rsidR="00AE0D12" w:rsidRPr="00994E8B">
        <w:t>f</w:t>
      </w:r>
      <w:r w:rsidRPr="00994E8B">
        <w:t>ixed-line</w:t>
      </w:r>
      <w:r w:rsidR="00087644" w:rsidRPr="00994E8B">
        <w:t xml:space="preserve"> footprint</w:t>
      </w:r>
      <w:r w:rsidRPr="00994E8B">
        <w:t>; and</w:t>
      </w:r>
    </w:p>
    <w:p w14:paraId="541EE598" w14:textId="77777777" w:rsidR="00583F74" w:rsidRPr="00994E8B" w:rsidRDefault="00583F74" w:rsidP="0014541A">
      <w:pPr>
        <w:pStyle w:val="ListParagraph"/>
        <w:numPr>
          <w:ilvl w:val="0"/>
          <w:numId w:val="17"/>
        </w:numPr>
      </w:pPr>
      <w:r w:rsidRPr="00994E8B">
        <w:t>where better connectivity and increased data have a clear benefit to a local region.</w:t>
      </w:r>
    </w:p>
    <w:p w14:paraId="405AD222" w14:textId="1D0DA4BD" w:rsidR="009C645F" w:rsidRPr="00994E8B" w:rsidRDefault="00583F74" w:rsidP="0014541A">
      <w:r w:rsidRPr="00994E8B">
        <w:t>The Australian Government has recently provided $480 million (GST excl</w:t>
      </w:r>
      <w:r w:rsidR="00BD2E6A" w:rsidRPr="00994E8B">
        <w:t>usive</w:t>
      </w:r>
      <w:r w:rsidRPr="00994E8B">
        <w:t>) to</w:t>
      </w:r>
      <w:r w:rsidR="00087644" w:rsidRPr="00994E8B">
        <w:t>wards</w:t>
      </w:r>
      <w:r w:rsidRPr="00994E8B">
        <w:t xml:space="preserve"> </w:t>
      </w:r>
      <w:r w:rsidR="00BD2E6A" w:rsidRPr="00994E8B">
        <w:t>upgrad</w:t>
      </w:r>
      <w:r w:rsidR="00087644" w:rsidRPr="00994E8B">
        <w:t>ing</w:t>
      </w:r>
      <w:r w:rsidR="00BD2E6A" w:rsidRPr="00994E8B">
        <w:t xml:space="preserve"> the </w:t>
      </w:r>
      <w:r w:rsidRPr="00994E8B">
        <w:t xml:space="preserve">NBN </w:t>
      </w:r>
      <w:r w:rsidR="00BD2E6A" w:rsidRPr="00994E8B">
        <w:t>F</w:t>
      </w:r>
      <w:r w:rsidRPr="00994E8B">
        <w:t xml:space="preserve">ixed </w:t>
      </w:r>
      <w:r w:rsidR="00BD2E6A" w:rsidRPr="00994E8B">
        <w:t>W</w:t>
      </w:r>
      <w:r w:rsidRPr="00994E8B">
        <w:t xml:space="preserve">ireless </w:t>
      </w:r>
      <w:r w:rsidR="00BD2E6A" w:rsidRPr="00994E8B">
        <w:t>network</w:t>
      </w:r>
      <w:r w:rsidRPr="00994E8B">
        <w:t xml:space="preserve">. Consumers in the </w:t>
      </w:r>
      <w:r w:rsidR="00BD2E6A" w:rsidRPr="00994E8B">
        <w:t xml:space="preserve">NBN </w:t>
      </w:r>
      <w:r w:rsidR="000A56E7" w:rsidRPr="00994E8B">
        <w:t>F</w:t>
      </w:r>
      <w:r w:rsidRPr="00994E8B">
        <w:t xml:space="preserve">ixed </w:t>
      </w:r>
      <w:r w:rsidR="000A56E7" w:rsidRPr="00994E8B">
        <w:t>W</w:t>
      </w:r>
      <w:r w:rsidRPr="00994E8B">
        <w:t xml:space="preserve">ireless footprint will benefit from access to increased download speeds of up to 100 Megabits per second (Mbps). Fixed wireless coverage will also be expanded to cover a further 120,000 currently satellite-only premises. </w:t>
      </w:r>
    </w:p>
    <w:p w14:paraId="773C3AFD" w14:textId="0A90A40F" w:rsidR="00B52C0F" w:rsidRPr="00994E8B" w:rsidRDefault="006B3242" w:rsidP="0014541A">
      <w:r w:rsidRPr="00994E8B">
        <w:t xml:space="preserve">A </w:t>
      </w:r>
      <w:r w:rsidR="0093783D" w:rsidRPr="00994E8B">
        <w:t xml:space="preserve">Proposed Solution to deliver </w:t>
      </w:r>
      <w:r w:rsidR="009C4E2E" w:rsidRPr="00994E8B">
        <w:t>fi</w:t>
      </w:r>
      <w:r w:rsidR="00ED29A1" w:rsidRPr="00994E8B">
        <w:t>xed</w:t>
      </w:r>
      <w:r w:rsidR="000144C3" w:rsidRPr="00994E8B">
        <w:t xml:space="preserve"> </w:t>
      </w:r>
      <w:r w:rsidR="009C4E2E" w:rsidRPr="00994E8B">
        <w:t>w</w:t>
      </w:r>
      <w:r w:rsidR="00ED29A1" w:rsidRPr="00994E8B">
        <w:t>ireless</w:t>
      </w:r>
      <w:r w:rsidR="00AB645E" w:rsidRPr="00994E8B">
        <w:t xml:space="preserve"> </w:t>
      </w:r>
      <w:r w:rsidR="00555D3F" w:rsidRPr="00994E8B">
        <w:t>b</w:t>
      </w:r>
      <w:r w:rsidR="00AB645E" w:rsidRPr="00994E8B">
        <w:t>roadband</w:t>
      </w:r>
      <w:r w:rsidR="00ED29A1" w:rsidRPr="00994E8B">
        <w:t xml:space="preserve"> in the NBN </w:t>
      </w:r>
      <w:r w:rsidR="004151F4" w:rsidRPr="00994E8B">
        <w:t>F</w:t>
      </w:r>
      <w:r w:rsidR="00ED29A1" w:rsidRPr="00994E8B">
        <w:t xml:space="preserve">ixed </w:t>
      </w:r>
      <w:r w:rsidR="004151F4" w:rsidRPr="00994E8B">
        <w:t>W</w:t>
      </w:r>
      <w:r w:rsidR="00ED29A1" w:rsidRPr="00994E8B">
        <w:t xml:space="preserve">ireless </w:t>
      </w:r>
      <w:r w:rsidR="0093783D" w:rsidRPr="00994E8B">
        <w:t xml:space="preserve">coverage </w:t>
      </w:r>
      <w:r w:rsidR="00ED29A1" w:rsidRPr="00994E8B">
        <w:t xml:space="preserve">areas will </w:t>
      </w:r>
      <w:r w:rsidRPr="00994E8B">
        <w:t xml:space="preserve">only </w:t>
      </w:r>
      <w:r w:rsidR="00ED29A1" w:rsidRPr="00994E8B">
        <w:t>be eligible</w:t>
      </w:r>
      <w:r w:rsidR="0093783D" w:rsidRPr="00994E8B">
        <w:t xml:space="preserve"> under the Program</w:t>
      </w:r>
      <w:r w:rsidR="0000640E" w:rsidRPr="00994E8B">
        <w:t xml:space="preserve"> </w:t>
      </w:r>
      <w:r w:rsidRPr="00994E8B">
        <w:t xml:space="preserve">if the </w:t>
      </w:r>
      <w:r w:rsidR="00E93238" w:rsidRPr="00994E8B">
        <w:t>a</w:t>
      </w:r>
      <w:r w:rsidR="005C246B" w:rsidRPr="00994E8B">
        <w:t>pplicant</w:t>
      </w:r>
      <w:r w:rsidRPr="00994E8B">
        <w:t xml:space="preserve"> can demonstrate a clear need for improvement</w:t>
      </w:r>
      <w:r w:rsidR="00692B34" w:rsidRPr="00994E8B">
        <w:t xml:space="preserve"> in the targeted location</w:t>
      </w:r>
      <w:r w:rsidRPr="00994E8B">
        <w:t xml:space="preserve"> and </w:t>
      </w:r>
      <w:r w:rsidR="00692B34" w:rsidRPr="00994E8B">
        <w:t xml:space="preserve">that </w:t>
      </w:r>
      <w:r w:rsidRPr="00994E8B">
        <w:t xml:space="preserve">the </w:t>
      </w:r>
      <w:r w:rsidR="004B285E" w:rsidRPr="00994E8B">
        <w:t>Proposed Solution</w:t>
      </w:r>
      <w:r w:rsidRPr="00994E8B">
        <w:t xml:space="preserve"> would deliver a demonstrable and substantive improvement in service quality, coverage, reliability and/or speed compared to the NBN Fixed Wireless upgrade</w:t>
      </w:r>
      <w:r w:rsidR="0093783D" w:rsidRPr="00994E8B">
        <w:t xml:space="preserve"> (see Section 5.2 below)</w:t>
      </w:r>
      <w:r w:rsidR="00ED29A1" w:rsidRPr="00994E8B">
        <w:t>.</w:t>
      </w:r>
    </w:p>
    <w:p w14:paraId="5CAFF78A" w14:textId="190F8F44" w:rsidR="00583F74" w:rsidRPr="00994E8B" w:rsidRDefault="00583F74" w:rsidP="0014541A">
      <w:r w:rsidRPr="00994E8B">
        <w:lastRenderedPageBreak/>
        <w:t xml:space="preserve">The opening and closing dates and any other relevant information will be published on the </w:t>
      </w:r>
      <w:hyperlink r:id="rId24" w:history="1">
        <w:r w:rsidRPr="00994E8B">
          <w:rPr>
            <w:rStyle w:val="Hyperlink"/>
          </w:rPr>
          <w:t>Regional Connectivity Program</w:t>
        </w:r>
      </w:hyperlink>
      <w:r w:rsidRPr="00994E8B">
        <w:rPr>
          <w:rStyle w:val="FootnoteReference"/>
        </w:rPr>
        <w:footnoteReference w:id="2"/>
      </w:r>
      <w:r w:rsidRPr="00994E8B">
        <w:t xml:space="preserve"> webpage and </w:t>
      </w:r>
      <w:hyperlink r:id="rId25" w:history="1">
        <w:proofErr w:type="spellStart"/>
        <w:r w:rsidRPr="00994E8B">
          <w:rPr>
            <w:rStyle w:val="Hyperlink"/>
          </w:rPr>
          <w:t>GrantConnect</w:t>
        </w:r>
        <w:proofErr w:type="spellEnd"/>
      </w:hyperlink>
      <w:r w:rsidRPr="00994E8B">
        <w:rPr>
          <w:rStyle w:val="FootnoteReference"/>
        </w:rPr>
        <w:footnoteReference w:id="3"/>
      </w:r>
      <w:r w:rsidRPr="00994E8B">
        <w:t xml:space="preserve">.  </w:t>
      </w:r>
      <w:r w:rsidR="00087644" w:rsidRPr="00994E8B">
        <w:t xml:space="preserve">If </w:t>
      </w:r>
      <w:r w:rsidRPr="00994E8B">
        <w:t xml:space="preserve">there is any discrepancy between these two publications, </w:t>
      </w:r>
      <w:proofErr w:type="spellStart"/>
      <w:r w:rsidRPr="00994E8B">
        <w:t>GrantConnect</w:t>
      </w:r>
      <w:proofErr w:type="spellEnd"/>
      <w:r w:rsidRPr="00994E8B">
        <w:t xml:space="preserve"> is the authoritative source for grants information.</w:t>
      </w:r>
    </w:p>
    <w:p w14:paraId="56D61C58" w14:textId="04F7EF4F" w:rsidR="00456780" w:rsidRPr="00994E8B" w:rsidRDefault="00583F74" w:rsidP="0014541A">
      <w:r w:rsidRPr="00994E8B">
        <w:t xml:space="preserve">The Grant Opportunity will be administered according to the </w:t>
      </w:r>
      <w:hyperlink r:id="rId26" w:history="1">
        <w:r w:rsidRPr="00994E8B">
          <w:rPr>
            <w:rStyle w:val="Hyperlink"/>
          </w:rPr>
          <w:t>Commonwealth Grants Rules and Guidelines</w:t>
        </w:r>
      </w:hyperlink>
      <w:r w:rsidRPr="00994E8B">
        <w:t xml:space="preserve"> (CGRGs)</w:t>
      </w:r>
      <w:r w:rsidRPr="00994E8B">
        <w:rPr>
          <w:rStyle w:val="FootnoteReference"/>
        </w:rPr>
        <w:footnoteReference w:id="4"/>
      </w:r>
      <w:r w:rsidRPr="00994E8B">
        <w:t>.</w:t>
      </w:r>
      <w:bookmarkStart w:id="41" w:name="_Toc88054278"/>
      <w:bookmarkStart w:id="42" w:name="_Toc88054624"/>
      <w:bookmarkStart w:id="43" w:name="_Toc88054720"/>
      <w:bookmarkStart w:id="44" w:name="_The_Connecting_Northern"/>
      <w:bookmarkStart w:id="45" w:name="_The_Regional_Connectivity"/>
      <w:bookmarkEnd w:id="41"/>
      <w:bookmarkEnd w:id="42"/>
      <w:bookmarkEnd w:id="43"/>
      <w:bookmarkEnd w:id="44"/>
      <w:bookmarkEnd w:id="45"/>
    </w:p>
    <w:p w14:paraId="780C5D5B" w14:textId="77777777" w:rsidR="001F436C" w:rsidRPr="00994E8B" w:rsidRDefault="001F436C" w:rsidP="0014541A">
      <w:pPr>
        <w:pStyle w:val="Heading4"/>
      </w:pPr>
      <w:bookmarkStart w:id="46" w:name="_Toc118808884"/>
      <w:bookmarkStart w:id="47" w:name="_Toc118808961"/>
      <w:bookmarkStart w:id="48" w:name="_Toc118818934"/>
      <w:bookmarkStart w:id="49" w:name="_Toc118819280"/>
      <w:bookmarkStart w:id="50" w:name="_Toc119058738"/>
      <w:bookmarkStart w:id="51" w:name="_Toc118808885"/>
      <w:bookmarkStart w:id="52" w:name="_Toc118808962"/>
      <w:bookmarkStart w:id="53" w:name="_Toc118818935"/>
      <w:bookmarkStart w:id="54" w:name="_Toc118819281"/>
      <w:bookmarkStart w:id="55" w:name="_Toc119058739"/>
      <w:bookmarkStart w:id="56" w:name="_Toc81824703"/>
      <w:bookmarkStart w:id="57" w:name="_Ref120547629"/>
      <w:bookmarkStart w:id="58" w:name="_Toc129956279"/>
      <w:bookmarkEnd w:id="46"/>
      <w:bookmarkEnd w:id="47"/>
      <w:bookmarkEnd w:id="48"/>
      <w:bookmarkEnd w:id="49"/>
      <w:bookmarkEnd w:id="50"/>
      <w:bookmarkEnd w:id="51"/>
      <w:bookmarkEnd w:id="52"/>
      <w:bookmarkEnd w:id="53"/>
      <w:bookmarkEnd w:id="54"/>
      <w:bookmarkEnd w:id="55"/>
      <w:r w:rsidRPr="00994E8B">
        <w:t>Services and deliverables</w:t>
      </w:r>
      <w:bookmarkEnd w:id="56"/>
      <w:bookmarkEnd w:id="57"/>
      <w:bookmarkEnd w:id="58"/>
    </w:p>
    <w:p w14:paraId="0D666B11" w14:textId="69F290D0" w:rsidR="003A435C" w:rsidRPr="00994E8B" w:rsidRDefault="001F436C" w:rsidP="0014541A">
      <w:r w:rsidRPr="00994E8B">
        <w:t xml:space="preserve">The services to be delivered, as a result of the </w:t>
      </w:r>
      <w:r w:rsidR="004B285E" w:rsidRPr="00994E8B">
        <w:t>Proposed Solution</w:t>
      </w:r>
      <w:r w:rsidRPr="00994E8B">
        <w:t xml:space="preserve">, must be a demonstrable improvement over the existing telecommunications solutions in the relevant area. </w:t>
      </w:r>
    </w:p>
    <w:p w14:paraId="69494D30" w14:textId="3AFF0F86" w:rsidR="004A13DB" w:rsidRPr="00994E8B" w:rsidRDefault="001F436C" w:rsidP="0014541A">
      <w:r w:rsidRPr="00994E8B">
        <w:t xml:space="preserve">For broadband access technologies, a like-for-like technology where there is an existing </w:t>
      </w:r>
      <w:r w:rsidR="00E7141A" w:rsidRPr="00994E8B">
        <w:t>broadband</w:t>
      </w:r>
      <w:r w:rsidRPr="00994E8B">
        <w:t xml:space="preserve"> service would only meet this requirement </w:t>
      </w:r>
      <w:bookmarkStart w:id="59" w:name="_Hlk127799787"/>
      <w:r w:rsidRPr="00994E8B">
        <w:t xml:space="preserve">if the </w:t>
      </w:r>
      <w:r w:rsidR="00E93238" w:rsidRPr="00994E8B">
        <w:t>a</w:t>
      </w:r>
      <w:r w:rsidR="005C246B" w:rsidRPr="00994E8B">
        <w:t>pplicant</w:t>
      </w:r>
      <w:r w:rsidRPr="00994E8B">
        <w:t xml:space="preserve"> can demonstrate a clear need for improvement and the </w:t>
      </w:r>
      <w:r w:rsidR="004B285E" w:rsidRPr="00994E8B">
        <w:t xml:space="preserve">Proposed Solution </w:t>
      </w:r>
      <w:r w:rsidRPr="00994E8B">
        <w:t>would deliver a demonstrable and substantive improvement in</w:t>
      </w:r>
      <w:r w:rsidR="004A13DB" w:rsidRPr="00994E8B">
        <w:t>:</w:t>
      </w:r>
    </w:p>
    <w:bookmarkEnd w:id="59"/>
    <w:p w14:paraId="129A1BAD" w14:textId="36AF00CA" w:rsidR="004A13DB" w:rsidRPr="00994E8B" w:rsidRDefault="004A13DB" w:rsidP="0014541A">
      <w:pPr>
        <w:pStyle w:val="ListLegal3"/>
        <w:numPr>
          <w:ilvl w:val="0"/>
          <w:numId w:val="17"/>
        </w:numPr>
        <w:rPr>
          <w:rFonts w:cs="Arial"/>
        </w:rPr>
      </w:pPr>
      <w:r w:rsidRPr="00994E8B">
        <w:rPr>
          <w:rFonts w:ascii="Arial" w:hAnsi="Arial" w:cs="Arial"/>
        </w:rPr>
        <w:t xml:space="preserve">Service Quality: </w:t>
      </w:r>
      <w:proofErr w:type="spellStart"/>
      <w:r w:rsidRPr="00994E8B">
        <w:rPr>
          <w:rFonts w:ascii="Arial" w:hAnsi="Arial" w:cs="Arial"/>
        </w:rPr>
        <w:t>eg.</w:t>
      </w:r>
      <w:proofErr w:type="spellEnd"/>
      <w:r w:rsidRPr="00994E8B">
        <w:rPr>
          <w:rFonts w:ascii="Arial" w:hAnsi="Arial" w:cs="Arial"/>
        </w:rPr>
        <w:t xml:space="preserve"> </w:t>
      </w:r>
      <w:r w:rsidR="0022474D" w:rsidRPr="00994E8B">
        <w:rPr>
          <w:rFonts w:ascii="Arial" w:hAnsi="Arial" w:cs="Arial"/>
        </w:rPr>
        <w:t>latency</w:t>
      </w:r>
      <w:r w:rsidRPr="00994E8B">
        <w:rPr>
          <w:rFonts w:ascii="Arial" w:hAnsi="Arial" w:cs="Arial"/>
        </w:rPr>
        <w:t>, packet loss, contention ratio</w:t>
      </w:r>
    </w:p>
    <w:p w14:paraId="3D248581" w14:textId="4C2CBB33" w:rsidR="004A13DB" w:rsidRPr="00994E8B" w:rsidRDefault="004A13DB" w:rsidP="0014541A">
      <w:pPr>
        <w:pStyle w:val="ListLegal3"/>
        <w:numPr>
          <w:ilvl w:val="0"/>
          <w:numId w:val="17"/>
        </w:numPr>
        <w:rPr>
          <w:rFonts w:cs="Arial"/>
        </w:rPr>
      </w:pPr>
      <w:r w:rsidRPr="00994E8B">
        <w:rPr>
          <w:rFonts w:ascii="Arial" w:hAnsi="Arial" w:cs="Arial"/>
        </w:rPr>
        <w:t xml:space="preserve">Coverage: </w:t>
      </w:r>
      <w:proofErr w:type="spellStart"/>
      <w:r w:rsidRPr="00994E8B">
        <w:rPr>
          <w:rFonts w:ascii="Arial" w:hAnsi="Arial" w:cs="Arial"/>
        </w:rPr>
        <w:t>eg.</w:t>
      </w:r>
      <w:proofErr w:type="spellEnd"/>
      <w:r w:rsidRPr="00994E8B">
        <w:rPr>
          <w:rFonts w:ascii="Arial" w:hAnsi="Arial" w:cs="Arial"/>
        </w:rPr>
        <w:t xml:space="preserve"> </w:t>
      </w:r>
      <w:r w:rsidR="00A2194F" w:rsidRPr="00994E8B">
        <w:rPr>
          <w:rFonts w:ascii="Arial" w:hAnsi="Arial" w:cs="Arial"/>
          <w:lang w:val="en-US"/>
        </w:rPr>
        <w:t>a</w:t>
      </w:r>
      <w:r w:rsidRPr="00994E8B">
        <w:rPr>
          <w:rFonts w:ascii="Arial" w:hAnsi="Arial" w:cs="Arial"/>
        </w:rPr>
        <w:t>rea, people, percentage of residential and/or business properties that will be covered by the Proposed Service</w:t>
      </w:r>
    </w:p>
    <w:p w14:paraId="3D226E8B" w14:textId="72BE0DFC" w:rsidR="004A13DB" w:rsidRPr="00994E8B" w:rsidRDefault="004A13DB" w:rsidP="0014541A">
      <w:pPr>
        <w:pStyle w:val="ListLegal3"/>
        <w:numPr>
          <w:ilvl w:val="0"/>
          <w:numId w:val="17"/>
        </w:numPr>
        <w:rPr>
          <w:rFonts w:cs="Arial"/>
        </w:rPr>
      </w:pPr>
      <w:r w:rsidRPr="00994E8B">
        <w:rPr>
          <w:rFonts w:ascii="Arial" w:hAnsi="Arial" w:cs="Arial"/>
        </w:rPr>
        <w:t xml:space="preserve">Reliability: </w:t>
      </w:r>
      <w:proofErr w:type="spellStart"/>
      <w:r w:rsidRPr="00994E8B">
        <w:rPr>
          <w:rFonts w:ascii="Arial" w:hAnsi="Arial" w:cs="Arial"/>
        </w:rPr>
        <w:t>eg.</w:t>
      </w:r>
      <w:proofErr w:type="spellEnd"/>
      <w:r w:rsidRPr="00994E8B">
        <w:rPr>
          <w:rFonts w:ascii="Arial" w:hAnsi="Arial" w:cs="Arial"/>
        </w:rPr>
        <w:t xml:space="preserve"> </w:t>
      </w:r>
      <w:r w:rsidR="0022474D" w:rsidRPr="00994E8B">
        <w:rPr>
          <w:rFonts w:ascii="Arial" w:hAnsi="Arial" w:cs="Arial"/>
        </w:rPr>
        <w:t>service</w:t>
      </w:r>
      <w:r w:rsidRPr="00994E8B">
        <w:rPr>
          <w:rFonts w:ascii="Arial" w:hAnsi="Arial" w:cs="Arial"/>
        </w:rPr>
        <w:t xml:space="preserve"> availability, service restoration times, backup and redundancy</w:t>
      </w:r>
      <w:r w:rsidR="00A2194F" w:rsidRPr="00994E8B">
        <w:rPr>
          <w:rFonts w:ascii="Arial" w:hAnsi="Arial" w:cs="Arial"/>
          <w:lang w:val="en-US"/>
        </w:rPr>
        <w:t>; and/or</w:t>
      </w:r>
    </w:p>
    <w:p w14:paraId="6CF7ABAD" w14:textId="002B7D21" w:rsidR="004A13DB" w:rsidRPr="00994E8B" w:rsidRDefault="004A13DB" w:rsidP="0014541A">
      <w:pPr>
        <w:pStyle w:val="ListLegal3"/>
        <w:numPr>
          <w:ilvl w:val="0"/>
          <w:numId w:val="17"/>
        </w:numPr>
        <w:rPr>
          <w:rFonts w:cs="Arial"/>
        </w:rPr>
      </w:pPr>
      <w:r w:rsidRPr="00994E8B">
        <w:rPr>
          <w:rFonts w:ascii="Arial" w:hAnsi="Arial" w:cs="Arial"/>
        </w:rPr>
        <w:t xml:space="preserve">Speed: </w:t>
      </w:r>
      <w:proofErr w:type="spellStart"/>
      <w:r w:rsidRPr="00994E8B">
        <w:rPr>
          <w:rFonts w:ascii="Arial" w:hAnsi="Arial" w:cs="Arial"/>
        </w:rPr>
        <w:t>eg.</w:t>
      </w:r>
      <w:proofErr w:type="spellEnd"/>
      <w:r w:rsidRPr="00994E8B">
        <w:rPr>
          <w:rFonts w:ascii="Arial" w:hAnsi="Arial" w:cs="Arial"/>
        </w:rPr>
        <w:t xml:space="preserve"> </w:t>
      </w:r>
      <w:r w:rsidR="0022474D" w:rsidRPr="00994E8B">
        <w:rPr>
          <w:rFonts w:ascii="Arial" w:hAnsi="Arial" w:cs="Arial"/>
        </w:rPr>
        <w:t>latency</w:t>
      </w:r>
      <w:r w:rsidRPr="00994E8B">
        <w:rPr>
          <w:rFonts w:ascii="Arial" w:hAnsi="Arial" w:cs="Arial"/>
        </w:rPr>
        <w:t>, upload and download speeds</w:t>
      </w:r>
      <w:r w:rsidR="00A2194F" w:rsidRPr="00994E8B">
        <w:rPr>
          <w:rFonts w:ascii="Arial" w:hAnsi="Arial" w:cs="Arial"/>
          <w:lang w:val="en-US"/>
        </w:rPr>
        <w:t>.</w:t>
      </w:r>
    </w:p>
    <w:p w14:paraId="29C6461A" w14:textId="333A4AC0" w:rsidR="006840F1" w:rsidRPr="00994E8B" w:rsidRDefault="001F436C" w:rsidP="0014541A">
      <w:r w:rsidRPr="00994E8B">
        <w:t xml:space="preserve">These service improvements may include, but are not limited to, upgrades to address seasonal congestion, backhaul capacity upgrades to improve quality of service or additional mobile </w:t>
      </w:r>
      <w:r w:rsidR="00B230DF" w:rsidRPr="00994E8B">
        <w:t>base stations</w:t>
      </w:r>
      <w:r w:rsidRPr="00994E8B">
        <w:t xml:space="preserve"> in areas where there is existing but patchy coverage.</w:t>
      </w:r>
    </w:p>
    <w:p w14:paraId="367C178E" w14:textId="77777777" w:rsidR="003A435C" w:rsidRPr="00994E8B" w:rsidRDefault="003A435C" w:rsidP="0014541A">
      <w:r w:rsidRPr="00994E8B">
        <w:t>For service</w:t>
      </w:r>
      <w:r w:rsidR="00FF00E9" w:rsidRPr="00994E8B">
        <w:t>s</w:t>
      </w:r>
      <w:r w:rsidRPr="00994E8B">
        <w:t xml:space="preserve"> delivering </w:t>
      </w:r>
      <w:r w:rsidR="00FF00E9" w:rsidRPr="00994E8B">
        <w:rPr>
          <w:b/>
        </w:rPr>
        <w:t xml:space="preserve">New Handheld </w:t>
      </w:r>
      <w:r w:rsidRPr="00994E8B">
        <w:rPr>
          <w:b/>
        </w:rPr>
        <w:t>Coverage</w:t>
      </w:r>
      <w:r w:rsidRPr="00994E8B">
        <w:t xml:space="preserve">, </w:t>
      </w:r>
      <w:bookmarkStart w:id="60" w:name="_Ref109305451"/>
      <w:r w:rsidRPr="00994E8B">
        <w:t xml:space="preserve">the </w:t>
      </w:r>
      <w:r w:rsidR="00FF00E9" w:rsidRPr="00994E8B">
        <w:t>service</w:t>
      </w:r>
      <w:r w:rsidRPr="00994E8B">
        <w:t xml:space="preserve"> will enable consumers to perform a range of functions using mobile devices, such as making and receiving phone calls, sending emails and text messages, browsing the internet, accessing online services, downloading files, using mobile apps, and accessing emergency communications services. To meet this expectation all </w:t>
      </w:r>
      <w:r w:rsidR="00403E45" w:rsidRPr="00994E8B">
        <w:t xml:space="preserve">proposed </w:t>
      </w:r>
      <w:r w:rsidR="007009DE" w:rsidRPr="00994E8B">
        <w:rPr>
          <w:b/>
        </w:rPr>
        <w:t>Mobile Black Spot Solution</w:t>
      </w:r>
      <w:r w:rsidRPr="00994E8B">
        <w:rPr>
          <w:b/>
        </w:rPr>
        <w:t>s</w:t>
      </w:r>
      <w:r w:rsidRPr="00994E8B">
        <w:t xml:space="preserve"> must:</w:t>
      </w:r>
      <w:bookmarkEnd w:id="60"/>
    </w:p>
    <w:p w14:paraId="51A080B2" w14:textId="6DC1FBF6" w:rsidR="003A435C" w:rsidRPr="00994E8B" w:rsidRDefault="003A435C" w:rsidP="0014541A">
      <w:pPr>
        <w:pStyle w:val="ListLegal3"/>
        <w:numPr>
          <w:ilvl w:val="0"/>
          <w:numId w:val="17"/>
        </w:numPr>
        <w:rPr>
          <w:rFonts w:ascii="Arial" w:hAnsi="Arial" w:cs="Arial"/>
        </w:rPr>
      </w:pPr>
      <w:bookmarkStart w:id="61" w:name="_Hlk112247960"/>
      <w:r w:rsidRPr="00994E8B">
        <w:rPr>
          <w:rFonts w:ascii="Arial" w:hAnsi="Arial" w:cs="Arial"/>
        </w:rPr>
        <w:t>deliver at least 4G</w:t>
      </w:r>
      <w:r w:rsidR="00B230DF" w:rsidRPr="00994E8B">
        <w:rPr>
          <w:rFonts w:ascii="Arial" w:hAnsi="Arial" w:cs="Arial"/>
          <w:lang w:val="en-US"/>
        </w:rPr>
        <w:t>, and preferably also 5G,</w:t>
      </w:r>
      <w:r w:rsidRPr="00994E8B">
        <w:rPr>
          <w:rFonts w:ascii="Arial" w:hAnsi="Arial" w:cs="Arial"/>
        </w:rPr>
        <w:t xml:space="preserve"> </w:t>
      </w:r>
      <w:r w:rsidRPr="00994E8B">
        <w:rPr>
          <w:rFonts w:ascii="Arial" w:eastAsia="Times New Roman" w:hAnsi="Arial" w:cs="Arial"/>
          <w:color w:val="auto"/>
          <w:kern w:val="0"/>
          <w:lang w:val="en-AU"/>
        </w:rPr>
        <w:t>broadband</w:t>
      </w:r>
      <w:r w:rsidRPr="00994E8B">
        <w:rPr>
          <w:rFonts w:ascii="Arial" w:hAnsi="Arial" w:cs="Arial"/>
        </w:rPr>
        <w:t xml:space="preserve"> data services and a voice service; and</w:t>
      </w:r>
    </w:p>
    <w:bookmarkEnd w:id="61"/>
    <w:p w14:paraId="15760BE7" w14:textId="77777777" w:rsidR="003A435C" w:rsidRPr="00994E8B" w:rsidRDefault="003A435C" w:rsidP="0014541A">
      <w:pPr>
        <w:pStyle w:val="ListLegal3"/>
        <w:numPr>
          <w:ilvl w:val="0"/>
          <w:numId w:val="17"/>
        </w:numPr>
        <w:rPr>
          <w:rFonts w:ascii="Arial" w:hAnsi="Arial" w:cs="Arial"/>
        </w:rPr>
      </w:pPr>
      <w:r w:rsidRPr="00994E8B">
        <w:rPr>
          <w:rFonts w:ascii="Arial" w:hAnsi="Arial" w:cs="Arial"/>
        </w:rPr>
        <w:t>provide coverage modelling based on a New Handheld Coverage level with a Reference Signal Received Power (RSRP) at a 90 per cent confidence level for the cell area</w:t>
      </w:r>
      <w:r w:rsidR="002E1C12" w:rsidRPr="00994E8B">
        <w:rPr>
          <w:rFonts w:ascii="Arial" w:hAnsi="Arial" w:cs="Arial"/>
          <w:lang w:val="en-US"/>
        </w:rPr>
        <w:t>, as per the following table</w:t>
      </w:r>
      <w:r w:rsidRPr="00994E8B">
        <w:rPr>
          <w:rFonts w:ascii="Arial" w:hAnsi="Arial" w:cs="Arial"/>
        </w:rPr>
        <w:t>.</w:t>
      </w:r>
    </w:p>
    <w:p w14:paraId="6CB34B39" w14:textId="77777777" w:rsidR="002E1C12" w:rsidRPr="00994E8B" w:rsidRDefault="002E1C12" w:rsidP="0014541A">
      <w:pPr>
        <w:pStyle w:val="ListBullet"/>
        <w:numPr>
          <w:ilvl w:val="0"/>
          <w:numId w:val="0"/>
        </w:numPr>
        <w:ind w:left="360"/>
        <w:rPr>
          <w:rFonts w:eastAsiaTheme="minorHAnsi" w:cstheme="minorBidi"/>
          <w:bCs/>
          <w:iCs w:val="0"/>
          <w:color w:val="264F90"/>
          <w:szCs w:val="18"/>
        </w:rPr>
      </w:pPr>
      <w:r w:rsidRPr="00994E8B">
        <w:rPr>
          <w:rFonts w:eastAsiaTheme="minorHAnsi" w:cstheme="minorBidi"/>
          <w:bCs/>
          <w:iCs w:val="0"/>
          <w:color w:val="264F90"/>
          <w:szCs w:val="18"/>
        </w:rPr>
        <w:t>Table 1: RSRP Coverage Modelling Requirements</w:t>
      </w:r>
    </w:p>
    <w:tbl>
      <w:tblPr>
        <w:tblStyle w:val="TableGrid"/>
        <w:tblW w:w="0" w:type="auto"/>
        <w:tblInd w:w="1080" w:type="dxa"/>
        <w:tblLook w:val="04A0" w:firstRow="1" w:lastRow="0" w:firstColumn="1" w:lastColumn="0" w:noHBand="0" w:noVBand="1"/>
        <w:tblCaption w:val="Table 1: RSRP Coverage Modelling Requirements"/>
        <w:tblDescription w:val="Table has three columns, with headings coverage category, channel bandwidth and thresholds (dBm). Thresholds are measured in dBm, or decibel milliwatts. The table contents are as follows.&#10;For a coverage category of handheld and a channel bandwidth of 5, the threshold is greater than -100 dBm. &#10;For a coverage category of handheld and a channel bandwidth of 10, the threshold is greater than -103 dBm.&#10;For a coverage category of handheld and a channel bandwidth of 15, the threshold is greater than -105 dBm.&#10;For a coverage category of handheld and a channel bandwidth of 20, the threshold is greater than -106 dBm.&#10;For a coverage category of external antenna and a channel bandwidth of 5, the threshold is greater than -117 dBm.&#10;For a coverage category of external antenna and a channel bandwidth of 10, the threshold is greater than -120 dBm.&#10;For a coverage category of external antenna and a channel bandwidth of 15, the threshold is greater than -122 dBm.&#10;For a coverage category of external antenna and a channel bandwidth of 20, the threshold is greater than -123 dBm."/>
      </w:tblPr>
      <w:tblGrid>
        <w:gridCol w:w="2556"/>
        <w:gridCol w:w="2574"/>
        <w:gridCol w:w="2568"/>
      </w:tblGrid>
      <w:tr w:rsidR="002E1C12" w:rsidRPr="00994E8B" w14:paraId="601DF195" w14:textId="77777777" w:rsidTr="00CA7D12">
        <w:trPr>
          <w:tblHeader/>
        </w:trPr>
        <w:tc>
          <w:tcPr>
            <w:tcW w:w="2556" w:type="dxa"/>
          </w:tcPr>
          <w:p w14:paraId="3559AD4A" w14:textId="77777777" w:rsidR="002E1C12" w:rsidRPr="00994E8B" w:rsidRDefault="002E1C12" w:rsidP="0014541A">
            <w:pPr>
              <w:pStyle w:val="ListBullet"/>
              <w:numPr>
                <w:ilvl w:val="0"/>
                <w:numId w:val="0"/>
              </w:numPr>
              <w:rPr>
                <w:b/>
              </w:rPr>
            </w:pPr>
            <w:r w:rsidRPr="00994E8B">
              <w:rPr>
                <w:b/>
              </w:rPr>
              <w:t>Coverage category</w:t>
            </w:r>
          </w:p>
        </w:tc>
        <w:tc>
          <w:tcPr>
            <w:tcW w:w="2574" w:type="dxa"/>
          </w:tcPr>
          <w:p w14:paraId="4C59B2CB" w14:textId="77777777" w:rsidR="002E1C12" w:rsidRPr="00994E8B" w:rsidRDefault="002E1C12" w:rsidP="0014541A">
            <w:pPr>
              <w:pStyle w:val="ListBullet"/>
              <w:numPr>
                <w:ilvl w:val="0"/>
                <w:numId w:val="0"/>
              </w:numPr>
              <w:rPr>
                <w:b/>
              </w:rPr>
            </w:pPr>
            <w:r w:rsidRPr="00994E8B">
              <w:rPr>
                <w:b/>
              </w:rPr>
              <w:t>Channel bandwidth</w:t>
            </w:r>
          </w:p>
        </w:tc>
        <w:tc>
          <w:tcPr>
            <w:tcW w:w="2568" w:type="dxa"/>
          </w:tcPr>
          <w:p w14:paraId="282CF774" w14:textId="77777777" w:rsidR="002E1C12" w:rsidRPr="00994E8B" w:rsidRDefault="002E1C12" w:rsidP="0014541A">
            <w:pPr>
              <w:pStyle w:val="ListBullet"/>
              <w:numPr>
                <w:ilvl w:val="0"/>
                <w:numId w:val="0"/>
              </w:numPr>
              <w:rPr>
                <w:b/>
              </w:rPr>
            </w:pPr>
            <w:r w:rsidRPr="00994E8B">
              <w:rPr>
                <w:b/>
              </w:rPr>
              <w:t>Threshold (dBm)</w:t>
            </w:r>
          </w:p>
        </w:tc>
      </w:tr>
      <w:tr w:rsidR="002E1C12" w:rsidRPr="00994E8B" w14:paraId="2ED03BEC" w14:textId="77777777" w:rsidTr="00CA7D12">
        <w:tc>
          <w:tcPr>
            <w:tcW w:w="2556" w:type="dxa"/>
          </w:tcPr>
          <w:p w14:paraId="77C9D62A" w14:textId="77777777" w:rsidR="002E1C12" w:rsidRPr="00994E8B" w:rsidRDefault="002E1C12" w:rsidP="0014541A">
            <w:pPr>
              <w:pStyle w:val="ListBullet"/>
              <w:numPr>
                <w:ilvl w:val="0"/>
                <w:numId w:val="0"/>
              </w:numPr>
            </w:pPr>
            <w:r w:rsidRPr="00994E8B">
              <w:t>Handheld</w:t>
            </w:r>
          </w:p>
        </w:tc>
        <w:tc>
          <w:tcPr>
            <w:tcW w:w="2574" w:type="dxa"/>
          </w:tcPr>
          <w:p w14:paraId="1529FED3" w14:textId="77777777" w:rsidR="002E1C12" w:rsidRPr="00994E8B" w:rsidRDefault="002E1C12" w:rsidP="0014541A">
            <w:pPr>
              <w:pStyle w:val="ListBullet"/>
              <w:numPr>
                <w:ilvl w:val="0"/>
                <w:numId w:val="0"/>
              </w:numPr>
              <w:jc w:val="center"/>
            </w:pPr>
            <w:r w:rsidRPr="00994E8B">
              <w:t>5</w:t>
            </w:r>
          </w:p>
        </w:tc>
        <w:tc>
          <w:tcPr>
            <w:tcW w:w="2568" w:type="dxa"/>
          </w:tcPr>
          <w:p w14:paraId="072197FB" w14:textId="77777777" w:rsidR="002E1C12" w:rsidRPr="00994E8B" w:rsidRDefault="002E1C12" w:rsidP="0014541A">
            <w:pPr>
              <w:pStyle w:val="ListBullet"/>
              <w:numPr>
                <w:ilvl w:val="0"/>
                <w:numId w:val="0"/>
              </w:numPr>
              <w:jc w:val="center"/>
            </w:pPr>
            <w:r w:rsidRPr="00994E8B">
              <w:t>&gt;-100</w:t>
            </w:r>
          </w:p>
        </w:tc>
      </w:tr>
      <w:tr w:rsidR="002E1C12" w:rsidRPr="00994E8B" w14:paraId="59CF81BE" w14:textId="77777777" w:rsidTr="00CA7D12">
        <w:tc>
          <w:tcPr>
            <w:tcW w:w="2556" w:type="dxa"/>
          </w:tcPr>
          <w:p w14:paraId="05978802" w14:textId="77777777" w:rsidR="002E1C12" w:rsidRPr="00994E8B" w:rsidRDefault="002E1C12" w:rsidP="0014541A">
            <w:pPr>
              <w:pStyle w:val="ListBullet"/>
              <w:numPr>
                <w:ilvl w:val="0"/>
                <w:numId w:val="0"/>
              </w:numPr>
            </w:pPr>
            <w:r w:rsidRPr="00994E8B">
              <w:t>Handheld</w:t>
            </w:r>
          </w:p>
        </w:tc>
        <w:tc>
          <w:tcPr>
            <w:tcW w:w="2574" w:type="dxa"/>
          </w:tcPr>
          <w:p w14:paraId="21495BD7" w14:textId="77777777" w:rsidR="002E1C12" w:rsidRPr="00994E8B" w:rsidRDefault="002E1C12" w:rsidP="0014541A">
            <w:pPr>
              <w:pStyle w:val="ListBullet"/>
              <w:numPr>
                <w:ilvl w:val="0"/>
                <w:numId w:val="0"/>
              </w:numPr>
              <w:jc w:val="center"/>
            </w:pPr>
            <w:r w:rsidRPr="00994E8B">
              <w:t>10</w:t>
            </w:r>
          </w:p>
        </w:tc>
        <w:tc>
          <w:tcPr>
            <w:tcW w:w="2568" w:type="dxa"/>
          </w:tcPr>
          <w:p w14:paraId="165519E7" w14:textId="77777777" w:rsidR="002E1C12" w:rsidRPr="00994E8B" w:rsidRDefault="002E1C12" w:rsidP="0014541A">
            <w:pPr>
              <w:pStyle w:val="ListBullet"/>
              <w:numPr>
                <w:ilvl w:val="0"/>
                <w:numId w:val="0"/>
              </w:numPr>
              <w:jc w:val="center"/>
            </w:pPr>
            <w:r w:rsidRPr="00994E8B">
              <w:t>&gt;-103</w:t>
            </w:r>
          </w:p>
        </w:tc>
      </w:tr>
      <w:tr w:rsidR="002E1C12" w:rsidRPr="00994E8B" w14:paraId="4F4C9BD6" w14:textId="77777777" w:rsidTr="00CA7D12">
        <w:tc>
          <w:tcPr>
            <w:tcW w:w="2556" w:type="dxa"/>
          </w:tcPr>
          <w:p w14:paraId="08B1332A" w14:textId="77777777" w:rsidR="002E1C12" w:rsidRPr="00994E8B" w:rsidRDefault="002E1C12" w:rsidP="0014541A">
            <w:pPr>
              <w:pStyle w:val="ListBullet"/>
              <w:numPr>
                <w:ilvl w:val="0"/>
                <w:numId w:val="0"/>
              </w:numPr>
            </w:pPr>
            <w:r w:rsidRPr="00994E8B">
              <w:t>Handheld</w:t>
            </w:r>
          </w:p>
        </w:tc>
        <w:tc>
          <w:tcPr>
            <w:tcW w:w="2574" w:type="dxa"/>
          </w:tcPr>
          <w:p w14:paraId="11047D45" w14:textId="77777777" w:rsidR="002E1C12" w:rsidRPr="00994E8B" w:rsidRDefault="002E1C12" w:rsidP="0014541A">
            <w:pPr>
              <w:pStyle w:val="ListBullet"/>
              <w:numPr>
                <w:ilvl w:val="0"/>
                <w:numId w:val="0"/>
              </w:numPr>
              <w:jc w:val="center"/>
            </w:pPr>
            <w:r w:rsidRPr="00994E8B">
              <w:t>15</w:t>
            </w:r>
          </w:p>
        </w:tc>
        <w:tc>
          <w:tcPr>
            <w:tcW w:w="2568" w:type="dxa"/>
          </w:tcPr>
          <w:p w14:paraId="74467D94" w14:textId="77777777" w:rsidR="002E1C12" w:rsidRPr="00994E8B" w:rsidRDefault="002E1C12" w:rsidP="0014541A">
            <w:pPr>
              <w:pStyle w:val="ListBullet"/>
              <w:numPr>
                <w:ilvl w:val="0"/>
                <w:numId w:val="0"/>
              </w:numPr>
              <w:jc w:val="center"/>
            </w:pPr>
            <w:r w:rsidRPr="00994E8B">
              <w:t>&gt;-105</w:t>
            </w:r>
          </w:p>
        </w:tc>
      </w:tr>
      <w:tr w:rsidR="002E1C12" w:rsidRPr="00994E8B" w14:paraId="78700626" w14:textId="77777777" w:rsidTr="00CA7D12">
        <w:tc>
          <w:tcPr>
            <w:tcW w:w="2556" w:type="dxa"/>
          </w:tcPr>
          <w:p w14:paraId="4903515C" w14:textId="77777777" w:rsidR="002E1C12" w:rsidRPr="00994E8B" w:rsidRDefault="002E1C12" w:rsidP="0014541A">
            <w:pPr>
              <w:pStyle w:val="ListBullet"/>
              <w:numPr>
                <w:ilvl w:val="0"/>
                <w:numId w:val="0"/>
              </w:numPr>
            </w:pPr>
            <w:r w:rsidRPr="00994E8B">
              <w:t>Handheld</w:t>
            </w:r>
          </w:p>
        </w:tc>
        <w:tc>
          <w:tcPr>
            <w:tcW w:w="2574" w:type="dxa"/>
          </w:tcPr>
          <w:p w14:paraId="1F55107D" w14:textId="77777777" w:rsidR="002E1C12" w:rsidRPr="00994E8B" w:rsidRDefault="002E1C12" w:rsidP="0014541A">
            <w:pPr>
              <w:pStyle w:val="ListBullet"/>
              <w:numPr>
                <w:ilvl w:val="0"/>
                <w:numId w:val="0"/>
              </w:numPr>
              <w:jc w:val="center"/>
            </w:pPr>
            <w:r w:rsidRPr="00994E8B">
              <w:t>20</w:t>
            </w:r>
          </w:p>
        </w:tc>
        <w:tc>
          <w:tcPr>
            <w:tcW w:w="2568" w:type="dxa"/>
          </w:tcPr>
          <w:p w14:paraId="1D664BA0" w14:textId="77777777" w:rsidR="002E1C12" w:rsidRPr="00994E8B" w:rsidRDefault="002E1C12" w:rsidP="0014541A">
            <w:pPr>
              <w:pStyle w:val="ListBullet"/>
              <w:numPr>
                <w:ilvl w:val="0"/>
                <w:numId w:val="0"/>
              </w:numPr>
              <w:jc w:val="center"/>
            </w:pPr>
            <w:r w:rsidRPr="00994E8B">
              <w:t>&gt;-106</w:t>
            </w:r>
          </w:p>
        </w:tc>
      </w:tr>
    </w:tbl>
    <w:p w14:paraId="7CA8D583" w14:textId="77777777" w:rsidR="006840F1" w:rsidRPr="00994E8B" w:rsidRDefault="006840F1" w:rsidP="0014541A">
      <w:pPr>
        <w:pStyle w:val="Heading4"/>
      </w:pPr>
      <w:bookmarkStart w:id="62" w:name="_Toc88054283"/>
      <w:bookmarkStart w:id="63" w:name="_Toc88054629"/>
      <w:bookmarkStart w:id="64" w:name="_Toc88054725"/>
      <w:bookmarkStart w:id="65" w:name="_Toc88061579"/>
      <w:bookmarkStart w:id="66" w:name="_Toc88054284"/>
      <w:bookmarkStart w:id="67" w:name="_Toc88054630"/>
      <w:bookmarkStart w:id="68" w:name="_Toc88054726"/>
      <w:bookmarkStart w:id="69" w:name="_Toc88061580"/>
      <w:bookmarkStart w:id="70" w:name="_Toc88054285"/>
      <w:bookmarkStart w:id="71" w:name="_Toc88054631"/>
      <w:bookmarkStart w:id="72" w:name="_Toc88054727"/>
      <w:bookmarkStart w:id="73" w:name="_Toc88061581"/>
      <w:bookmarkStart w:id="74" w:name="_Toc88054286"/>
      <w:bookmarkStart w:id="75" w:name="_Toc88054632"/>
      <w:bookmarkStart w:id="76" w:name="_Toc88054728"/>
      <w:bookmarkStart w:id="77" w:name="_Toc88061582"/>
      <w:bookmarkStart w:id="78" w:name="_Toc12995628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94E8B">
        <w:lastRenderedPageBreak/>
        <w:t>Local community priority</w:t>
      </w:r>
      <w:bookmarkEnd w:id="78"/>
    </w:p>
    <w:p w14:paraId="74141093" w14:textId="5C76E8AC" w:rsidR="002E1C12" w:rsidRPr="00994E8B" w:rsidRDefault="006840F1" w:rsidP="0014541A">
      <w:r w:rsidRPr="00994E8B">
        <w:t xml:space="preserve">During the application period, </w:t>
      </w:r>
      <w:r w:rsidRPr="00994E8B">
        <w:rPr>
          <w:b/>
        </w:rPr>
        <w:t>applicants are strongly encouraged to consult with state, territory and local governments and local communities regarding the Proposed Solutions</w:t>
      </w:r>
      <w:r w:rsidRPr="00994E8B">
        <w:t xml:space="preserve">. </w:t>
      </w:r>
      <w:r w:rsidR="00AC7D72" w:rsidRPr="00994E8B">
        <w:t xml:space="preserve">(especially in relation to projects for First Nations communities). </w:t>
      </w:r>
      <w:r w:rsidRPr="00994E8B">
        <w:t xml:space="preserve">These consultations should involve the identification of priority areas to be covered by the Proposed Solution. Priority areas may include specific roads, health or education facilities, </w:t>
      </w:r>
      <w:r w:rsidR="00AC7D72" w:rsidRPr="00994E8B">
        <w:t xml:space="preserve">communities with significant First Nations populations, </w:t>
      </w:r>
      <w:r w:rsidRPr="00994E8B">
        <w:t xml:space="preserve">industrial areas, community sites, high-value production areas, or areas with a demonstrable need for improved public safety (for </w:t>
      </w:r>
      <w:r w:rsidR="00713BBC" w:rsidRPr="00994E8B">
        <w:t>example,</w:t>
      </w:r>
      <w:r w:rsidRPr="00994E8B">
        <w:t xml:space="preserve"> where people are unable to call 000 because of limited coverage or lack of infrastructure).</w:t>
      </w:r>
    </w:p>
    <w:p w14:paraId="40CCDFB2" w14:textId="394029B6" w:rsidR="002E1C12" w:rsidRPr="00994E8B" w:rsidRDefault="006840F1" w:rsidP="0014541A">
      <w:r w:rsidRPr="00994E8B">
        <w:t xml:space="preserve">To give effect to the place-based objective of the Program, </w:t>
      </w:r>
      <w:r w:rsidR="00E02D3F" w:rsidRPr="00994E8B">
        <w:rPr>
          <w:b/>
        </w:rPr>
        <w:t>applicant</w:t>
      </w:r>
      <w:r w:rsidR="00834BCB" w:rsidRPr="00994E8B">
        <w:rPr>
          <w:b/>
        </w:rPr>
        <w:t>s</w:t>
      </w:r>
      <w:r w:rsidR="004B259B" w:rsidRPr="00994E8B">
        <w:rPr>
          <w:b/>
        </w:rPr>
        <w:t xml:space="preserve"> </w:t>
      </w:r>
      <w:r w:rsidR="009F2478" w:rsidRPr="00994E8B">
        <w:rPr>
          <w:b/>
        </w:rPr>
        <w:t>should</w:t>
      </w:r>
      <w:r w:rsidRPr="00994E8B">
        <w:rPr>
          <w:b/>
        </w:rPr>
        <w:t xml:space="preserve"> provide evidence that their Proposed </w:t>
      </w:r>
      <w:r w:rsidR="00701B17" w:rsidRPr="00994E8B">
        <w:rPr>
          <w:b/>
        </w:rPr>
        <w:t xml:space="preserve">Regional </w:t>
      </w:r>
      <w:r w:rsidR="009F6847" w:rsidRPr="00994E8B">
        <w:rPr>
          <w:b/>
        </w:rPr>
        <w:t>Connectivity</w:t>
      </w:r>
      <w:r w:rsidR="00FF00E9" w:rsidRPr="00994E8B">
        <w:rPr>
          <w:b/>
        </w:rPr>
        <w:t xml:space="preserve"> </w:t>
      </w:r>
      <w:r w:rsidRPr="00994E8B">
        <w:rPr>
          <w:b/>
        </w:rPr>
        <w:t>Solution is a priority for the local community</w:t>
      </w:r>
      <w:r w:rsidR="00597FD2" w:rsidRPr="00994E8B">
        <w:rPr>
          <w:b/>
        </w:rPr>
        <w:t xml:space="preserve"> </w:t>
      </w:r>
      <w:r w:rsidR="00597FD2" w:rsidRPr="00994E8B">
        <w:rPr>
          <w:i/>
        </w:rPr>
        <w:t xml:space="preserve">(This is not required for </w:t>
      </w:r>
      <w:r w:rsidR="00597FD2" w:rsidRPr="00994E8B">
        <w:rPr>
          <w:b/>
          <w:i/>
        </w:rPr>
        <w:t xml:space="preserve">Proposed </w:t>
      </w:r>
      <w:r w:rsidR="007009DE" w:rsidRPr="00994E8B">
        <w:rPr>
          <w:b/>
          <w:i/>
        </w:rPr>
        <w:t>Mobile Black Spot Solution</w:t>
      </w:r>
      <w:r w:rsidR="00597FD2" w:rsidRPr="00994E8B">
        <w:rPr>
          <w:b/>
          <w:i/>
        </w:rPr>
        <w:t xml:space="preserve">s, </w:t>
      </w:r>
      <w:r w:rsidR="00597FD2" w:rsidRPr="00994E8B">
        <w:rPr>
          <w:i/>
        </w:rPr>
        <w:t>although any information provided will be consider</w:t>
      </w:r>
      <w:r w:rsidR="000F6C57" w:rsidRPr="00994E8B">
        <w:rPr>
          <w:i/>
        </w:rPr>
        <w:t>ed</w:t>
      </w:r>
      <w:r w:rsidR="00597FD2" w:rsidRPr="00994E8B">
        <w:rPr>
          <w:i/>
        </w:rPr>
        <w:t xml:space="preserve"> in the value for money </w:t>
      </w:r>
      <w:r w:rsidR="00FD63C0" w:rsidRPr="00994E8B">
        <w:rPr>
          <w:i/>
        </w:rPr>
        <w:t>stage</w:t>
      </w:r>
      <w:r w:rsidR="00597FD2" w:rsidRPr="00994E8B">
        <w:rPr>
          <w:i/>
        </w:rPr>
        <w:t>)</w:t>
      </w:r>
      <w:r w:rsidRPr="00994E8B">
        <w:t xml:space="preserve">. </w:t>
      </w:r>
    </w:p>
    <w:p w14:paraId="0EAE9917" w14:textId="6D8D106B" w:rsidR="00597FD2" w:rsidRPr="00994E8B" w:rsidRDefault="006840F1" w:rsidP="0014541A">
      <w:r w:rsidRPr="00994E8B">
        <w:t xml:space="preserve">A local priority </w:t>
      </w:r>
      <w:r w:rsidR="004B285E" w:rsidRPr="00994E8B">
        <w:t xml:space="preserve">project </w:t>
      </w:r>
      <w:r w:rsidRPr="00994E8B">
        <w:t>could be identified through a regional digital plan or similar strategy by local government or letters of support accompanying the grant application. This could be demonstrated by evidence of support from groups such as: state and territory governments; local government</w:t>
      </w:r>
      <w:r w:rsidR="00B93ED5" w:rsidRPr="00994E8B">
        <w:t>;</w:t>
      </w:r>
      <w:r w:rsidRPr="00994E8B">
        <w:t xml:space="preserve"> Regional Development Australia </w:t>
      </w:r>
      <w:r w:rsidR="00713BBC" w:rsidRPr="00994E8B">
        <w:t>committees</w:t>
      </w:r>
      <w:r w:rsidRPr="00994E8B">
        <w:t xml:space="preserve">; industry, business, and community groups; not-for-profits (registered with the Australian Charities and Not-for-profits Commission) and </w:t>
      </w:r>
      <w:r w:rsidR="001D2072" w:rsidRPr="00994E8B">
        <w:t>First Nations</w:t>
      </w:r>
      <w:r w:rsidRPr="00994E8B">
        <w:t xml:space="preserve"> community organisations.</w:t>
      </w:r>
      <w:r w:rsidR="00597FD2" w:rsidRPr="00994E8B">
        <w:t xml:space="preserve"> </w:t>
      </w:r>
    </w:p>
    <w:p w14:paraId="5B33D0A2" w14:textId="57BBC8E3" w:rsidR="006840F1" w:rsidRPr="00994E8B" w:rsidRDefault="006840F1" w:rsidP="0014541A">
      <w:r w:rsidRPr="00994E8B">
        <w:t xml:space="preserve">State, territory and local governments may own infrastructure in areas that could potentially be used for </w:t>
      </w:r>
      <w:r w:rsidR="004B285E" w:rsidRPr="00994E8B">
        <w:t>Proposed Solution</w:t>
      </w:r>
      <w:r w:rsidRPr="00994E8B">
        <w:t>s. These governments may have specific requirements in relation to the use of their infrastructure that will need to be identified in the applications put forward by applicants for relevant Proposed Solutions.</w:t>
      </w:r>
    </w:p>
    <w:p w14:paraId="6DD7C96A" w14:textId="77777777" w:rsidR="006840F1" w:rsidRPr="00994E8B" w:rsidRDefault="006840F1" w:rsidP="0014541A">
      <w:pPr>
        <w:pStyle w:val="Heading4"/>
      </w:pPr>
      <w:bookmarkStart w:id="79" w:name="_Operational_period"/>
      <w:bookmarkStart w:id="80" w:name="_Ref121405429"/>
      <w:bookmarkStart w:id="81" w:name="_Toc129956281"/>
      <w:bookmarkEnd w:id="79"/>
      <w:r w:rsidRPr="00994E8B">
        <w:t>Operational period</w:t>
      </w:r>
      <w:bookmarkEnd w:id="80"/>
      <w:bookmarkEnd w:id="81"/>
    </w:p>
    <w:p w14:paraId="0A56DD4C" w14:textId="77777777" w:rsidR="006840F1" w:rsidRPr="00994E8B" w:rsidRDefault="006840F1" w:rsidP="0014541A">
      <w:r w:rsidRPr="00994E8B">
        <w:t>All Funded</w:t>
      </w:r>
      <w:r w:rsidR="00C04380" w:rsidRPr="00994E8B">
        <w:t xml:space="preserve"> </w:t>
      </w:r>
      <w:r w:rsidR="00C04380" w:rsidRPr="00994E8B">
        <w:rPr>
          <w:b/>
        </w:rPr>
        <w:t>Regional Connectivity</w:t>
      </w:r>
      <w:r w:rsidRPr="00994E8B">
        <w:rPr>
          <w:b/>
        </w:rPr>
        <w:t xml:space="preserve"> </w:t>
      </w:r>
      <w:r w:rsidR="00C10145" w:rsidRPr="00994E8B">
        <w:rPr>
          <w:b/>
        </w:rPr>
        <w:t>Solutions</w:t>
      </w:r>
      <w:r w:rsidR="000F3DAE" w:rsidRPr="00994E8B">
        <w:rPr>
          <w:b/>
        </w:rPr>
        <w:t xml:space="preserve"> </w:t>
      </w:r>
      <w:r w:rsidRPr="00994E8B">
        <w:t xml:space="preserve">should provide retail services for a minimum period of seven (7) years after </w:t>
      </w:r>
      <w:r w:rsidR="00435983" w:rsidRPr="00994E8B">
        <w:t>all</w:t>
      </w:r>
      <w:r w:rsidRPr="00994E8B">
        <w:t xml:space="preserve"> Asset</w:t>
      </w:r>
      <w:r w:rsidR="00435983" w:rsidRPr="00994E8B">
        <w:t>(s)</w:t>
      </w:r>
      <w:r w:rsidRPr="00994E8B">
        <w:t xml:space="preserve"> </w:t>
      </w:r>
      <w:r w:rsidR="00C25A1B" w:rsidRPr="00994E8B">
        <w:t>has (</w:t>
      </w:r>
      <w:r w:rsidR="00435983" w:rsidRPr="00994E8B">
        <w:t>have)</w:t>
      </w:r>
      <w:r w:rsidRPr="00994E8B">
        <w:t xml:space="preserve"> become operational.</w:t>
      </w:r>
    </w:p>
    <w:p w14:paraId="417474C4" w14:textId="77777777" w:rsidR="00C04380" w:rsidRPr="00994E8B" w:rsidRDefault="00C04380" w:rsidP="0014541A">
      <w:r w:rsidRPr="00994E8B">
        <w:t xml:space="preserve">All </w:t>
      </w:r>
      <w:r w:rsidRPr="00994E8B">
        <w:rPr>
          <w:b/>
        </w:rPr>
        <w:t xml:space="preserve">Mobile </w:t>
      </w:r>
      <w:r w:rsidR="000F3DAE" w:rsidRPr="00994E8B">
        <w:rPr>
          <w:b/>
        </w:rPr>
        <w:t>Black Spot Solutions</w:t>
      </w:r>
      <w:r w:rsidRPr="00994E8B">
        <w:t xml:space="preserve"> should provide retail services for a minimum period of </w:t>
      </w:r>
      <w:r w:rsidR="000F3DAE" w:rsidRPr="00994E8B">
        <w:t xml:space="preserve">ten </w:t>
      </w:r>
      <w:r w:rsidRPr="00994E8B">
        <w:t>(10) years after all Asset(s) has (have) become operational.</w:t>
      </w:r>
    </w:p>
    <w:p w14:paraId="2BB059F9" w14:textId="77777777" w:rsidR="006840F1" w:rsidRPr="00994E8B" w:rsidRDefault="006840F1" w:rsidP="0014541A">
      <w:pPr>
        <w:pStyle w:val="Heading4"/>
      </w:pPr>
      <w:bookmarkStart w:id="82" w:name="_Application_and_selection"/>
      <w:bookmarkStart w:id="83" w:name="_Toc81824707"/>
      <w:bookmarkStart w:id="84" w:name="_Toc129956282"/>
      <w:bookmarkEnd w:id="82"/>
      <w:r w:rsidRPr="00994E8B">
        <w:t>Application and selection process</w:t>
      </w:r>
      <w:bookmarkEnd w:id="83"/>
      <w:bookmarkEnd w:id="84"/>
    </w:p>
    <w:p w14:paraId="277865F9" w14:textId="6E719227" w:rsidR="006840F1" w:rsidRPr="00994E8B" w:rsidRDefault="006840F1" w:rsidP="006840F1">
      <w:r w:rsidRPr="00994E8B">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14:paraId="50ECC3FE" w14:textId="6DF3B8A8" w:rsidR="006840F1" w:rsidRPr="00994E8B" w:rsidRDefault="006840F1" w:rsidP="006840F1">
      <w:bookmarkStart w:id="85" w:name="_Hlk129907455"/>
      <w:r w:rsidRPr="00994E8B">
        <w:t xml:space="preserve">Grant recipients will be selected </w:t>
      </w:r>
      <w:bookmarkEnd w:id="85"/>
      <w:r w:rsidRPr="00994E8B">
        <w:t xml:space="preserve">through a competitive, merit-based Selection Process against Eligibility Criteria and </w:t>
      </w:r>
      <w:r w:rsidR="00232862" w:rsidRPr="00994E8B">
        <w:t xml:space="preserve">Assessment </w:t>
      </w:r>
      <w:r w:rsidRPr="00994E8B">
        <w:t>Criteria as set out in these Guidelines</w:t>
      </w:r>
      <w:r w:rsidR="000827A8" w:rsidRPr="00994E8B">
        <w:t xml:space="preserve"> and a final value for money consideration</w:t>
      </w:r>
      <w:r w:rsidRPr="00994E8B">
        <w:t xml:space="preserve">. In applying for grants, applicants will outline their specific </w:t>
      </w:r>
      <w:r w:rsidR="009B0C7E" w:rsidRPr="00994E8B">
        <w:t>Proposed Solution</w:t>
      </w:r>
      <w:r w:rsidRPr="00994E8B">
        <w:t>, and demonstrate support from the local community. The most overt form of support will be financial co-contributions (such as contributions from state</w:t>
      </w:r>
      <w:r w:rsidR="00585BF6" w:rsidRPr="00994E8B">
        <w:t>, territory or</w:t>
      </w:r>
      <w:r w:rsidRPr="00994E8B">
        <w:t xml:space="preserve"> local governments</w:t>
      </w:r>
      <w:r w:rsidR="00B93ED5" w:rsidRPr="00994E8B">
        <w:t xml:space="preserve"> or other third parties</w:t>
      </w:r>
      <w:r w:rsidRPr="00994E8B">
        <w:t>).</w:t>
      </w:r>
      <w:r w:rsidR="00850449" w:rsidRPr="00994E8B">
        <w:t xml:space="preserve"> </w:t>
      </w:r>
      <w:r w:rsidR="00850449" w:rsidRPr="00994E8B">
        <w:rPr>
          <w:b/>
        </w:rPr>
        <w:t xml:space="preserve">The obligation is on the applicant to demonstrate that </w:t>
      </w:r>
      <w:r w:rsidR="00413A5A" w:rsidRPr="00994E8B">
        <w:rPr>
          <w:b/>
        </w:rPr>
        <w:t>it</w:t>
      </w:r>
      <w:r w:rsidR="00850449" w:rsidRPr="00994E8B">
        <w:rPr>
          <w:b/>
        </w:rPr>
        <w:t xml:space="preserve"> meet</w:t>
      </w:r>
      <w:r w:rsidR="00413A5A" w:rsidRPr="00994E8B">
        <w:rPr>
          <w:b/>
        </w:rPr>
        <w:t>s</w:t>
      </w:r>
      <w:r w:rsidR="00850449" w:rsidRPr="00994E8B">
        <w:rPr>
          <w:b/>
        </w:rPr>
        <w:t xml:space="preserve"> the eligibility criteria and </w:t>
      </w:r>
      <w:r w:rsidR="00413A5A" w:rsidRPr="00994E8B">
        <w:rPr>
          <w:b/>
        </w:rPr>
        <w:t xml:space="preserve">also demonstrate its </w:t>
      </w:r>
      <w:r w:rsidR="00850449" w:rsidRPr="00994E8B">
        <w:rPr>
          <w:b/>
        </w:rPr>
        <w:t xml:space="preserve">claims against the </w:t>
      </w:r>
      <w:r w:rsidR="00232862" w:rsidRPr="00994E8B">
        <w:rPr>
          <w:b/>
        </w:rPr>
        <w:t xml:space="preserve">assessment </w:t>
      </w:r>
      <w:r w:rsidR="00850449" w:rsidRPr="00994E8B">
        <w:rPr>
          <w:b/>
        </w:rPr>
        <w:t>criteria</w:t>
      </w:r>
      <w:r w:rsidR="00850449" w:rsidRPr="00994E8B">
        <w:t xml:space="preserve">. </w:t>
      </w:r>
    </w:p>
    <w:p w14:paraId="2DAA820C" w14:textId="6EAC0CE9" w:rsidR="00ED5127" w:rsidRPr="00994E8B" w:rsidRDefault="00D35509" w:rsidP="00873A89">
      <w:r w:rsidRPr="00994E8B">
        <w:t>An a</w:t>
      </w:r>
      <w:r w:rsidR="00873A89" w:rsidRPr="00994E8B">
        <w:t xml:space="preserve">pplicant seeking dedicated </w:t>
      </w:r>
      <w:r w:rsidR="001D2072" w:rsidRPr="00994E8B">
        <w:t>First Nations</w:t>
      </w:r>
      <w:r w:rsidR="00873A89" w:rsidRPr="00994E8B">
        <w:t xml:space="preserve"> funding will need to demonstrate that its </w:t>
      </w:r>
      <w:r w:rsidR="00FC7D11" w:rsidRPr="00994E8B">
        <w:t>P</w:t>
      </w:r>
      <w:r w:rsidR="00873A89" w:rsidRPr="00994E8B">
        <w:t xml:space="preserve">roposed </w:t>
      </w:r>
      <w:r w:rsidR="00FC7D11" w:rsidRPr="00994E8B">
        <w:t>S</w:t>
      </w:r>
      <w:r w:rsidR="00873A89" w:rsidRPr="00994E8B">
        <w:t xml:space="preserve">olution will benefit a </w:t>
      </w:r>
      <w:r w:rsidR="001D2072" w:rsidRPr="00994E8B">
        <w:t>First Nations</w:t>
      </w:r>
      <w:r w:rsidR="00873A89" w:rsidRPr="00994E8B">
        <w:t xml:space="preserve"> community. For the purposes of the Program, </w:t>
      </w:r>
      <w:r w:rsidR="00E02D3F" w:rsidRPr="00994E8B">
        <w:t>applicant</w:t>
      </w:r>
      <w:r w:rsidR="00000576" w:rsidRPr="00994E8B">
        <w:t>s</w:t>
      </w:r>
      <w:r w:rsidR="0022474D" w:rsidRPr="00994E8B">
        <w:t xml:space="preserve"> may use </w:t>
      </w:r>
      <w:r w:rsidR="00133C4C" w:rsidRPr="00994E8B">
        <w:t xml:space="preserve">the following definition </w:t>
      </w:r>
      <w:r w:rsidR="0022474D" w:rsidRPr="00994E8B">
        <w:t xml:space="preserve">of </w:t>
      </w:r>
      <w:r w:rsidR="00873A89" w:rsidRPr="00994E8B">
        <w:t xml:space="preserve">a </w:t>
      </w:r>
      <w:r w:rsidR="00400A9D" w:rsidRPr="00994E8B">
        <w:t>First Nations</w:t>
      </w:r>
      <w:r w:rsidR="00873A89" w:rsidRPr="00994E8B">
        <w:t xml:space="preserve"> community</w:t>
      </w:r>
      <w:r w:rsidR="0022474D" w:rsidRPr="00994E8B">
        <w:t xml:space="preserve"> as a guide for areas that the Government </w:t>
      </w:r>
      <w:r w:rsidR="0022474D" w:rsidRPr="00994E8B">
        <w:lastRenderedPageBreak/>
        <w:t>is looking to target with dedicated First Nations funding:</w:t>
      </w:r>
      <w:r w:rsidR="00873A89" w:rsidRPr="00994E8B">
        <w:t xml:space="preserve"> </w:t>
      </w:r>
      <w:r w:rsidR="00873A89" w:rsidRPr="00994E8B">
        <w:rPr>
          <w:i/>
        </w:rPr>
        <w:t xml:space="preserve">a geographic location, bounded by physical or legal boundaries, which is inhabited or intended to be inhabited predominantly (i.e. greater than 50% of usual residents) by </w:t>
      </w:r>
      <w:r w:rsidR="00400A9D" w:rsidRPr="00994E8B">
        <w:rPr>
          <w:i/>
        </w:rPr>
        <w:t>First Nations</w:t>
      </w:r>
      <w:r w:rsidR="00873A89" w:rsidRPr="00994E8B">
        <w:rPr>
          <w:i/>
        </w:rPr>
        <w:t xml:space="preserve"> peoples, with housing or infrastructure (power, water, sewerage) that is managed on a community basis. </w:t>
      </w:r>
      <w:r w:rsidR="00400A9D" w:rsidRPr="00994E8B">
        <w:rPr>
          <w:i/>
        </w:rPr>
        <w:t>First Nations</w:t>
      </w:r>
      <w:r w:rsidR="00873A89" w:rsidRPr="00994E8B">
        <w:rPr>
          <w:i/>
        </w:rPr>
        <w:t xml:space="preserve"> communities have populations of (but not limited to) 50 or more </w:t>
      </w:r>
      <w:r w:rsidR="00400A9D" w:rsidRPr="00994E8B">
        <w:rPr>
          <w:i/>
        </w:rPr>
        <w:t>First Nations</w:t>
      </w:r>
      <w:r w:rsidR="00873A89" w:rsidRPr="00994E8B">
        <w:rPr>
          <w:i/>
        </w:rPr>
        <w:t xml:space="preserve"> people</w:t>
      </w:r>
      <w:r w:rsidR="00873A89" w:rsidRPr="00994E8B">
        <w:rPr>
          <w:rStyle w:val="FootnoteReference"/>
        </w:rPr>
        <w:footnoteReference w:id="5"/>
      </w:r>
      <w:r w:rsidR="00873A89" w:rsidRPr="00994E8B">
        <w:t xml:space="preserve">. </w:t>
      </w:r>
      <w:r w:rsidR="00C701E5" w:rsidRPr="00994E8B">
        <w:t xml:space="preserve"> </w:t>
      </w:r>
    </w:p>
    <w:p w14:paraId="2627CC81" w14:textId="59782B46" w:rsidR="00873A89" w:rsidRPr="00994E8B" w:rsidRDefault="00873A89" w:rsidP="00873A89">
      <w:r w:rsidRPr="00994E8B">
        <w:t xml:space="preserve">Applicants are encouraged to consult with the local </w:t>
      </w:r>
      <w:r w:rsidR="001D2072" w:rsidRPr="00994E8B">
        <w:t>First Nations</w:t>
      </w:r>
      <w:r w:rsidRPr="00994E8B">
        <w:t xml:space="preserve"> community and provide evidence of support for the </w:t>
      </w:r>
      <w:r w:rsidR="004B285E" w:rsidRPr="00994E8B">
        <w:t xml:space="preserve">Proposed Solution </w:t>
      </w:r>
      <w:r w:rsidRPr="00994E8B">
        <w:t xml:space="preserve">from that community (for example, through letters of support from </w:t>
      </w:r>
      <w:r w:rsidR="001D2072" w:rsidRPr="00994E8B">
        <w:t>First Nations</w:t>
      </w:r>
      <w:r w:rsidRPr="00994E8B">
        <w:t xml:space="preserve"> community leaders). </w:t>
      </w:r>
      <w:r w:rsidR="005318A3" w:rsidRPr="00994E8B">
        <w:t xml:space="preserve">Applicants should </w:t>
      </w:r>
      <w:r w:rsidR="001C767A" w:rsidRPr="00994E8B">
        <w:t xml:space="preserve">also </w:t>
      </w:r>
      <w:r w:rsidR="005318A3" w:rsidRPr="00994E8B">
        <w:t xml:space="preserve">demonstrate how their </w:t>
      </w:r>
      <w:r w:rsidR="00FC7D11" w:rsidRPr="00994E8B">
        <w:t>P</w:t>
      </w:r>
      <w:r w:rsidR="005318A3" w:rsidRPr="00994E8B">
        <w:t xml:space="preserve">roposed </w:t>
      </w:r>
      <w:r w:rsidR="00FC7D11" w:rsidRPr="00994E8B">
        <w:t>S</w:t>
      </w:r>
      <w:r w:rsidR="005318A3" w:rsidRPr="00994E8B">
        <w:t>olution will help the Government meet Target 17 of the Closing</w:t>
      </w:r>
      <w:r w:rsidR="000F4757" w:rsidRPr="00994E8B">
        <w:t xml:space="preserve"> the Gap initiative</w:t>
      </w:r>
      <w:r w:rsidR="001C767A" w:rsidRPr="00994E8B">
        <w:t xml:space="preserve"> (outlined at section 2.1 above). </w:t>
      </w:r>
    </w:p>
    <w:p w14:paraId="440F7506" w14:textId="7220F42B" w:rsidR="00873A89" w:rsidRPr="00994E8B" w:rsidRDefault="00873A89" w:rsidP="00873A89">
      <w:r w:rsidRPr="00994E8B">
        <w:t xml:space="preserve">For communities </w:t>
      </w:r>
      <w:r w:rsidR="00ED5127" w:rsidRPr="00994E8B">
        <w:t>not eligible for dedicated First Nations funding</w:t>
      </w:r>
      <w:r w:rsidRPr="00994E8B">
        <w:t xml:space="preserve">, </w:t>
      </w:r>
      <w:r w:rsidR="00E02D3F" w:rsidRPr="00994E8B">
        <w:t>applicant</w:t>
      </w:r>
      <w:r w:rsidR="00000576" w:rsidRPr="00994E8B">
        <w:t>s</w:t>
      </w:r>
      <w:r w:rsidR="00585BF6" w:rsidRPr="00994E8B">
        <w:t xml:space="preserve"> </w:t>
      </w:r>
      <w:r w:rsidRPr="00994E8B">
        <w:t>can still apply for</w:t>
      </w:r>
      <w:r w:rsidR="00585BF6" w:rsidRPr="00994E8B">
        <w:t xml:space="preserve"> the general</w:t>
      </w:r>
      <w:r w:rsidRPr="00994E8B">
        <w:t xml:space="preserve"> funding through the Program.</w:t>
      </w:r>
    </w:p>
    <w:p w14:paraId="200947FD" w14:textId="75440A5B" w:rsidR="000E08D0" w:rsidRPr="00994E8B" w:rsidRDefault="000E08D0" w:rsidP="002E4AD3">
      <w:pPr>
        <w:pStyle w:val="Heading2"/>
      </w:pPr>
      <w:bookmarkStart w:id="86" w:name="_Toc129956283"/>
      <w:r w:rsidRPr="00994E8B">
        <w:t>Grant</w:t>
      </w:r>
      <w:r w:rsidR="00B62A3A" w:rsidRPr="00994E8B">
        <w:t xml:space="preserve"> amount</w:t>
      </w:r>
      <w:r w:rsidR="00492E57" w:rsidRPr="00994E8B">
        <w:t xml:space="preserve"> </w:t>
      </w:r>
      <w:r w:rsidR="00D450B6" w:rsidRPr="00994E8B">
        <w:t xml:space="preserve">and </w:t>
      </w:r>
      <w:r w:rsidR="00B706E1" w:rsidRPr="00994E8B">
        <w:t>project</w:t>
      </w:r>
      <w:r w:rsidR="00D450B6" w:rsidRPr="00994E8B">
        <w:t xml:space="preserve"> period</w:t>
      </w:r>
      <w:bookmarkEnd w:id="86"/>
    </w:p>
    <w:p w14:paraId="1F1B8277" w14:textId="5E6E92B7" w:rsidR="001E60B8" w:rsidRPr="00994E8B" w:rsidRDefault="001E60B8" w:rsidP="002E4AD3">
      <w:pPr>
        <w:pStyle w:val="Heading3"/>
      </w:pPr>
      <w:bookmarkStart w:id="87" w:name="_Grants_available"/>
      <w:bookmarkStart w:id="88" w:name="_Toc129956284"/>
      <w:bookmarkEnd w:id="87"/>
      <w:r w:rsidRPr="00994E8B">
        <w:t>Grants available</w:t>
      </w:r>
      <w:bookmarkEnd w:id="88"/>
    </w:p>
    <w:p w14:paraId="7D68C2A1" w14:textId="75E5FF22" w:rsidR="00597FD2" w:rsidRPr="00994E8B" w:rsidRDefault="00BC7B8E" w:rsidP="006840F1">
      <w:r w:rsidRPr="00994E8B">
        <w:t xml:space="preserve">This </w:t>
      </w:r>
      <w:r w:rsidR="00A36FA3" w:rsidRPr="00994E8B">
        <w:t>Round of the Program has up to $</w:t>
      </w:r>
      <w:r w:rsidR="00484884" w:rsidRPr="00994E8B">
        <w:t>1</w:t>
      </w:r>
      <w:r w:rsidR="00597FD2" w:rsidRPr="00994E8B">
        <w:t>5</w:t>
      </w:r>
      <w:r w:rsidR="00484884" w:rsidRPr="00994E8B">
        <w:t>0</w:t>
      </w:r>
      <w:r w:rsidR="00A36FA3" w:rsidRPr="00994E8B">
        <w:t xml:space="preserve"> million (GST </w:t>
      </w:r>
      <w:r w:rsidR="00484884" w:rsidRPr="00994E8B">
        <w:t>ex</w:t>
      </w:r>
      <w:r w:rsidR="00A36FA3" w:rsidRPr="00994E8B">
        <w:t>clusive) of funding available, including</w:t>
      </w:r>
      <w:r w:rsidR="00597FD2" w:rsidRPr="00994E8B">
        <w:t>:</w:t>
      </w:r>
    </w:p>
    <w:p w14:paraId="36FF8B8E" w14:textId="1379A2C1" w:rsidR="00597FD2" w:rsidRPr="00994E8B" w:rsidRDefault="00597FD2" w:rsidP="00705485">
      <w:pPr>
        <w:pStyle w:val="ListParagraph"/>
        <w:numPr>
          <w:ilvl w:val="0"/>
          <w:numId w:val="18"/>
        </w:numPr>
      </w:pPr>
      <w:r w:rsidRPr="00994E8B">
        <w:t xml:space="preserve">$100 million for </w:t>
      </w:r>
      <w:r w:rsidR="00701B17" w:rsidRPr="00994E8B">
        <w:rPr>
          <w:b/>
        </w:rPr>
        <w:t>Regional</w:t>
      </w:r>
      <w:r w:rsidR="00701B17" w:rsidRPr="00994E8B">
        <w:t xml:space="preserve"> </w:t>
      </w:r>
      <w:r w:rsidR="009F6847" w:rsidRPr="00994E8B">
        <w:rPr>
          <w:b/>
        </w:rPr>
        <w:t>Connectivity</w:t>
      </w:r>
      <w:r w:rsidRPr="00994E8B">
        <w:rPr>
          <w:b/>
        </w:rPr>
        <w:t xml:space="preserve"> </w:t>
      </w:r>
      <w:r w:rsidR="00BC7B8E" w:rsidRPr="00994E8B">
        <w:rPr>
          <w:b/>
        </w:rPr>
        <w:t xml:space="preserve">(Round 3) </w:t>
      </w:r>
      <w:r w:rsidRPr="00994E8B">
        <w:rPr>
          <w:b/>
        </w:rPr>
        <w:t xml:space="preserve">Solutions, </w:t>
      </w:r>
      <w:r w:rsidR="00701B17" w:rsidRPr="00994E8B">
        <w:t>including</w:t>
      </w:r>
      <w:r w:rsidR="00701B17" w:rsidRPr="00994E8B">
        <w:rPr>
          <w:b/>
        </w:rPr>
        <w:t xml:space="preserve"> </w:t>
      </w:r>
      <w:r w:rsidR="0088492D" w:rsidRPr="00994E8B">
        <w:t>indicative</w:t>
      </w:r>
      <w:r w:rsidR="00A36FA3" w:rsidRPr="00994E8B">
        <w:t xml:space="preserve"> funding of $</w:t>
      </w:r>
      <w:r w:rsidR="00AB5B1D" w:rsidRPr="00994E8B">
        <w:t>15</w:t>
      </w:r>
      <w:r w:rsidR="00A36FA3" w:rsidRPr="00994E8B">
        <w:t xml:space="preserve"> million (GST </w:t>
      </w:r>
      <w:r w:rsidR="00AB5B1D" w:rsidRPr="00994E8B">
        <w:t>ex</w:t>
      </w:r>
      <w:r w:rsidR="00A36FA3" w:rsidRPr="00994E8B">
        <w:t xml:space="preserve">clusive) </w:t>
      </w:r>
      <w:r w:rsidRPr="00994E8B">
        <w:t xml:space="preserve">for solutions that </w:t>
      </w:r>
      <w:r w:rsidR="00A36FA3" w:rsidRPr="00994E8B">
        <w:t xml:space="preserve">improve telecommunications infrastructure in </w:t>
      </w:r>
      <w:r w:rsidR="00400A9D" w:rsidRPr="00994E8B">
        <w:t>First Nations</w:t>
      </w:r>
      <w:r w:rsidR="00A36FA3" w:rsidRPr="00994E8B">
        <w:t xml:space="preserve"> communities</w:t>
      </w:r>
      <w:r w:rsidRPr="00994E8B">
        <w:t>; and</w:t>
      </w:r>
    </w:p>
    <w:p w14:paraId="0499A42D" w14:textId="0A2C01AB" w:rsidR="006840F1" w:rsidRPr="00994E8B" w:rsidRDefault="00597FD2" w:rsidP="00705485">
      <w:pPr>
        <w:pStyle w:val="ListParagraph"/>
        <w:numPr>
          <w:ilvl w:val="0"/>
          <w:numId w:val="18"/>
        </w:numPr>
      </w:pPr>
      <w:r w:rsidRPr="00994E8B">
        <w:t xml:space="preserve">$50 million for </w:t>
      </w:r>
      <w:r w:rsidR="007009DE" w:rsidRPr="00994E8B">
        <w:rPr>
          <w:b/>
        </w:rPr>
        <w:t xml:space="preserve">Mobile Black Spot </w:t>
      </w:r>
      <w:r w:rsidR="00BC7B8E" w:rsidRPr="00994E8B">
        <w:rPr>
          <w:b/>
        </w:rPr>
        <w:t xml:space="preserve">(Round 7) </w:t>
      </w:r>
      <w:r w:rsidR="007009DE" w:rsidRPr="00994E8B">
        <w:rPr>
          <w:b/>
        </w:rPr>
        <w:t>Solution</w:t>
      </w:r>
      <w:r w:rsidRPr="00994E8B">
        <w:rPr>
          <w:b/>
        </w:rPr>
        <w:t>s</w:t>
      </w:r>
      <w:r w:rsidR="00701B17" w:rsidRPr="00994E8B">
        <w:t>, including</w:t>
      </w:r>
      <w:r w:rsidR="00701B17" w:rsidRPr="00994E8B">
        <w:rPr>
          <w:b/>
        </w:rPr>
        <w:t xml:space="preserve"> </w:t>
      </w:r>
      <w:r w:rsidR="00701B17" w:rsidRPr="00994E8B">
        <w:t>indicative funding of $</w:t>
      </w:r>
      <w:r w:rsidR="00A4184A" w:rsidRPr="00994E8B">
        <w:t>7.5</w:t>
      </w:r>
      <w:r w:rsidR="00701B17" w:rsidRPr="00994E8B">
        <w:t xml:space="preserve"> million (GST exclusive) for solutions that provide new mobile coverage in </w:t>
      </w:r>
      <w:r w:rsidR="001D2072" w:rsidRPr="00994E8B">
        <w:t>First Nations</w:t>
      </w:r>
      <w:r w:rsidR="00701B17" w:rsidRPr="00994E8B">
        <w:t xml:space="preserve"> communities</w:t>
      </w:r>
      <w:r w:rsidR="00FF1328" w:rsidRPr="00994E8B">
        <w:t>.</w:t>
      </w:r>
    </w:p>
    <w:p w14:paraId="153C00CE" w14:textId="3C659311" w:rsidR="00701B17" w:rsidRPr="00994E8B" w:rsidRDefault="00701B17" w:rsidP="006840F1">
      <w:r w:rsidRPr="00994E8B">
        <w:t xml:space="preserve">The Commonwealth reserves the right to extend the funding available for eligible </w:t>
      </w:r>
      <w:r w:rsidR="004B285E" w:rsidRPr="00994E8B">
        <w:t xml:space="preserve">Proposed Solutions </w:t>
      </w:r>
      <w:r w:rsidRPr="00994E8B">
        <w:t>to fund further meritorious projects.</w:t>
      </w:r>
    </w:p>
    <w:p w14:paraId="39F7A9FD" w14:textId="287A47B3" w:rsidR="006840F1" w:rsidRPr="00994E8B" w:rsidRDefault="00C46428" w:rsidP="006840F1">
      <w:r w:rsidRPr="00994E8B">
        <w:t xml:space="preserve">The </w:t>
      </w:r>
      <w:r w:rsidR="001B55D0" w:rsidRPr="00994E8B">
        <w:t xml:space="preserve">Project Period </w:t>
      </w:r>
      <w:r w:rsidR="00002295" w:rsidRPr="00994E8B">
        <w:t xml:space="preserve">for Funded Projects </w:t>
      </w:r>
      <w:r w:rsidRPr="00994E8B">
        <w:t xml:space="preserve">will run from </w:t>
      </w:r>
      <w:r w:rsidR="00276E47" w:rsidRPr="00994E8B">
        <w:t>July</w:t>
      </w:r>
      <w:r w:rsidR="00F926D5" w:rsidRPr="00994E8B">
        <w:t xml:space="preserve"> </w:t>
      </w:r>
      <w:r w:rsidR="006840F1" w:rsidRPr="00994E8B">
        <w:t>202</w:t>
      </w:r>
      <w:r w:rsidR="00F926D5" w:rsidRPr="00994E8B">
        <w:t>3</w:t>
      </w:r>
      <w:r w:rsidR="006840F1" w:rsidRPr="00994E8B">
        <w:t xml:space="preserve"> to 30 June 202</w:t>
      </w:r>
      <w:r w:rsidR="00010D38" w:rsidRPr="00994E8B">
        <w:t>6</w:t>
      </w:r>
      <w:r w:rsidR="00AF3AB1" w:rsidRPr="00994E8B">
        <w:t>.</w:t>
      </w:r>
      <w:r w:rsidR="006840F1" w:rsidRPr="00994E8B">
        <w:t xml:space="preserve"> Grantees will </w:t>
      </w:r>
      <w:r w:rsidR="00002295" w:rsidRPr="00994E8B">
        <w:t xml:space="preserve">also </w:t>
      </w:r>
      <w:r w:rsidR="006840F1" w:rsidRPr="00994E8B">
        <w:t>be required to provide retail services from the Funded Project for the Operational P</w:t>
      </w:r>
      <w:r w:rsidR="00D07F93" w:rsidRPr="00994E8B">
        <w:t xml:space="preserve">eriod as identified in </w:t>
      </w:r>
      <w:r w:rsidR="006C2458" w:rsidRPr="00994E8B">
        <w:t xml:space="preserve">section </w:t>
      </w:r>
      <w:r w:rsidR="006C2458" w:rsidRPr="00994E8B">
        <w:fldChar w:fldCharType="begin"/>
      </w:r>
      <w:r w:rsidR="006C2458" w:rsidRPr="00994E8B">
        <w:instrText xml:space="preserve"> REF _Ref121405429 \r \h </w:instrText>
      </w:r>
      <w:r w:rsidR="00994E8B">
        <w:instrText xml:space="preserve"> \* MERGEFORMAT </w:instrText>
      </w:r>
      <w:r w:rsidR="006C2458" w:rsidRPr="00994E8B">
        <w:fldChar w:fldCharType="separate"/>
      </w:r>
      <w:r w:rsidR="00075357" w:rsidRPr="00994E8B">
        <w:t>2.2.3</w:t>
      </w:r>
      <w:r w:rsidR="006C2458" w:rsidRPr="00994E8B">
        <w:fldChar w:fldCharType="end"/>
      </w:r>
      <w:r w:rsidR="006C2458" w:rsidRPr="00994E8B">
        <w:t xml:space="preserve"> </w:t>
      </w:r>
      <w:r w:rsidR="006840F1" w:rsidRPr="00994E8B">
        <w:t>of these Guidelines.</w:t>
      </w:r>
    </w:p>
    <w:p w14:paraId="6D412FDD" w14:textId="77777777" w:rsidR="006E3F96" w:rsidRPr="00994E8B" w:rsidRDefault="006E3F96" w:rsidP="006840F1">
      <w:r w:rsidRPr="00994E8B">
        <w:t>In terms of the grant amount:</w:t>
      </w:r>
    </w:p>
    <w:p w14:paraId="78D63322" w14:textId="77777777" w:rsidR="006840F1" w:rsidRPr="00994E8B" w:rsidRDefault="006840F1" w:rsidP="00705485">
      <w:pPr>
        <w:pStyle w:val="ListParagraph"/>
        <w:numPr>
          <w:ilvl w:val="0"/>
          <w:numId w:val="18"/>
        </w:numPr>
      </w:pPr>
      <w:r w:rsidRPr="00994E8B">
        <w:t>There is no minimum grant amount</w:t>
      </w:r>
    </w:p>
    <w:p w14:paraId="4C749750" w14:textId="77777777" w:rsidR="006840F1" w:rsidRPr="00994E8B" w:rsidRDefault="006840F1" w:rsidP="00705485">
      <w:pPr>
        <w:pStyle w:val="ListParagraph"/>
        <w:numPr>
          <w:ilvl w:val="0"/>
          <w:numId w:val="18"/>
        </w:numPr>
      </w:pPr>
      <w:r w:rsidRPr="00994E8B">
        <w:t xml:space="preserve">There is no maximum grant amount, but total </w:t>
      </w:r>
      <w:r w:rsidR="00C46428" w:rsidRPr="00994E8B">
        <w:t xml:space="preserve">Round </w:t>
      </w:r>
      <w:r w:rsidR="00D4542D" w:rsidRPr="00994E8B">
        <w:t>3</w:t>
      </w:r>
      <w:r w:rsidRPr="00994E8B">
        <w:t xml:space="preserve"> grants cannot exceed the amount of available funds.</w:t>
      </w:r>
    </w:p>
    <w:p w14:paraId="2FDDAA8F" w14:textId="37165D6F" w:rsidR="006840F1" w:rsidRPr="00994E8B" w:rsidRDefault="00241313" w:rsidP="006840F1">
      <w:r w:rsidRPr="00994E8B">
        <w:t>A</w:t>
      </w:r>
      <w:r w:rsidR="006840F1" w:rsidRPr="00994E8B">
        <w:t xml:space="preserve">ll eligible </w:t>
      </w:r>
      <w:r w:rsidR="00472711" w:rsidRPr="00994E8B">
        <w:t xml:space="preserve">Regional Connectivity Solutions </w:t>
      </w:r>
      <w:r w:rsidR="006840F1" w:rsidRPr="00994E8B">
        <w:t xml:space="preserve">applications </w:t>
      </w:r>
      <w:r w:rsidR="009908E4" w:rsidRPr="00994E8B">
        <w:t xml:space="preserve">under the </w:t>
      </w:r>
      <w:r w:rsidR="009908E4" w:rsidRPr="00994E8B">
        <w:rPr>
          <w:b/>
        </w:rPr>
        <w:t xml:space="preserve">Regional Connectivity </w:t>
      </w:r>
      <w:r w:rsidR="00472711" w:rsidRPr="00994E8B">
        <w:rPr>
          <w:b/>
        </w:rPr>
        <w:t>(Round 3)</w:t>
      </w:r>
      <w:r w:rsidR="009908E4" w:rsidRPr="00994E8B">
        <w:t xml:space="preserve"> stream </w:t>
      </w:r>
      <w:r w:rsidRPr="00994E8B">
        <w:t xml:space="preserve">will be grouped </w:t>
      </w:r>
      <w:r w:rsidR="006840F1" w:rsidRPr="00994E8B">
        <w:t>into three categories</w:t>
      </w:r>
      <w:r w:rsidR="00002295" w:rsidRPr="00994E8B">
        <w:t xml:space="preserve"> </w:t>
      </w:r>
      <w:r w:rsidR="00435983" w:rsidRPr="00994E8B">
        <w:t xml:space="preserve">for both the overall </w:t>
      </w:r>
      <w:r w:rsidR="00520E7D" w:rsidRPr="00994E8B">
        <w:t xml:space="preserve">Program </w:t>
      </w:r>
      <w:r w:rsidR="00435983" w:rsidRPr="00994E8B">
        <w:t xml:space="preserve">merit list and the </w:t>
      </w:r>
      <w:r w:rsidR="001D2072" w:rsidRPr="00994E8B">
        <w:t>First Nations</w:t>
      </w:r>
      <w:r w:rsidR="00D705DD" w:rsidRPr="00994E8B">
        <w:t xml:space="preserve"> </w:t>
      </w:r>
      <w:r w:rsidR="00A21855" w:rsidRPr="00994E8B">
        <w:t xml:space="preserve">communities </w:t>
      </w:r>
      <w:r w:rsidR="00435983" w:rsidRPr="00994E8B">
        <w:t xml:space="preserve">merit list, </w:t>
      </w:r>
      <w:r w:rsidR="006840F1" w:rsidRPr="00994E8B">
        <w:t>according to the amount of Program funding requested</w:t>
      </w:r>
      <w:r w:rsidR="00FC7325" w:rsidRPr="00994E8B">
        <w:t>,</w:t>
      </w:r>
      <w:r w:rsidR="006840F1" w:rsidRPr="00994E8B">
        <w:t xml:space="preserve"> to ensure that smaller </w:t>
      </w:r>
      <w:r w:rsidR="004B285E" w:rsidRPr="00994E8B">
        <w:t>Proposed Solutions a</w:t>
      </w:r>
      <w:r w:rsidR="006840F1" w:rsidRPr="00994E8B">
        <w:t xml:space="preserve">re given due consideration during the assessment process. There is no minimum or maximum number of </w:t>
      </w:r>
      <w:r w:rsidR="004B285E" w:rsidRPr="00994E8B">
        <w:t xml:space="preserve">Proposed Solutions </w:t>
      </w:r>
      <w:r w:rsidR="006840F1" w:rsidRPr="00994E8B">
        <w:t>that the Government is seeking to fund in any category.</w:t>
      </w:r>
      <w:r w:rsidR="008D1B09" w:rsidRPr="00994E8B">
        <w:t xml:space="preserve"> The categories are:</w:t>
      </w:r>
    </w:p>
    <w:p w14:paraId="65E50943" w14:textId="5722FC1C" w:rsidR="006840F1" w:rsidRPr="00994E8B" w:rsidRDefault="006840F1" w:rsidP="00705485">
      <w:pPr>
        <w:pStyle w:val="ListParagraph"/>
        <w:numPr>
          <w:ilvl w:val="0"/>
          <w:numId w:val="19"/>
        </w:numPr>
      </w:pPr>
      <w:r w:rsidRPr="00994E8B">
        <w:t xml:space="preserve">Category 1: </w:t>
      </w:r>
      <w:r w:rsidR="006C2458" w:rsidRPr="00994E8B">
        <w:t xml:space="preserve">Regional </w:t>
      </w:r>
      <w:r w:rsidR="00DF3FFB" w:rsidRPr="00994E8B">
        <w:t>Connectivity</w:t>
      </w:r>
      <w:r w:rsidR="006C2458" w:rsidRPr="00994E8B">
        <w:t xml:space="preserve"> Solutions </w:t>
      </w:r>
      <w:r w:rsidRPr="00994E8B">
        <w:t>seeking Program funding of less than $300,000 (GST exclusive)</w:t>
      </w:r>
    </w:p>
    <w:p w14:paraId="1EA13CF6" w14:textId="742EB202" w:rsidR="006840F1" w:rsidRPr="00994E8B" w:rsidRDefault="006840F1" w:rsidP="00705485">
      <w:pPr>
        <w:pStyle w:val="ListParagraph"/>
        <w:numPr>
          <w:ilvl w:val="0"/>
          <w:numId w:val="19"/>
        </w:numPr>
      </w:pPr>
      <w:r w:rsidRPr="00994E8B">
        <w:t xml:space="preserve">Category 2: </w:t>
      </w:r>
      <w:r w:rsidR="006C2458" w:rsidRPr="00994E8B">
        <w:t xml:space="preserve">Regional </w:t>
      </w:r>
      <w:r w:rsidR="00DF3FFB" w:rsidRPr="00994E8B">
        <w:t>Connectivity</w:t>
      </w:r>
      <w:r w:rsidR="006C2458" w:rsidRPr="00994E8B">
        <w:t xml:space="preserve"> Solutions </w:t>
      </w:r>
      <w:r w:rsidRPr="00994E8B">
        <w:t>seeking Program funding of $300,000 to $2 million (GST exclusive)</w:t>
      </w:r>
    </w:p>
    <w:p w14:paraId="2AAC793E" w14:textId="3E6FEFE3" w:rsidR="006840F1" w:rsidRPr="00994E8B" w:rsidRDefault="006840F1" w:rsidP="00213470">
      <w:pPr>
        <w:pStyle w:val="ListParagraph"/>
        <w:numPr>
          <w:ilvl w:val="0"/>
          <w:numId w:val="19"/>
        </w:numPr>
      </w:pPr>
      <w:r w:rsidRPr="00994E8B">
        <w:lastRenderedPageBreak/>
        <w:t xml:space="preserve">Category 3: </w:t>
      </w:r>
      <w:r w:rsidR="006C2458" w:rsidRPr="00994E8B">
        <w:t xml:space="preserve">Regional </w:t>
      </w:r>
      <w:r w:rsidR="00DF3FFB" w:rsidRPr="00994E8B">
        <w:t>Connectivity</w:t>
      </w:r>
      <w:r w:rsidR="006C2458" w:rsidRPr="00994E8B">
        <w:t xml:space="preserve"> Solutions</w:t>
      </w:r>
      <w:r w:rsidR="006C2458" w:rsidRPr="00994E8B" w:rsidDel="006C2458">
        <w:t xml:space="preserve"> </w:t>
      </w:r>
      <w:r w:rsidRPr="00994E8B">
        <w:t>seeking Program funding of greater than $2 million (GST exclusive).</w:t>
      </w:r>
    </w:p>
    <w:p w14:paraId="35B40B21" w14:textId="1FD78DB5" w:rsidR="00213470" w:rsidRPr="00994E8B" w:rsidRDefault="00213470" w:rsidP="00213470">
      <w:r w:rsidRPr="00994E8B">
        <w:t xml:space="preserve">All eligible </w:t>
      </w:r>
      <w:r w:rsidR="007009DE" w:rsidRPr="00994E8B">
        <w:rPr>
          <w:b/>
        </w:rPr>
        <w:t>Mobile Black Spot Solution</w:t>
      </w:r>
      <w:r w:rsidRPr="00994E8B">
        <w:rPr>
          <w:b/>
        </w:rPr>
        <w:t>s</w:t>
      </w:r>
      <w:r w:rsidRPr="00994E8B">
        <w:t xml:space="preserve"> </w:t>
      </w:r>
      <w:r w:rsidR="00DC35BA" w:rsidRPr="00994E8B">
        <w:t xml:space="preserve">under the Mobile Black </w:t>
      </w:r>
      <w:r w:rsidR="00017FCC" w:rsidRPr="00994E8B">
        <w:t>S</w:t>
      </w:r>
      <w:r w:rsidR="00DC35BA" w:rsidRPr="00994E8B">
        <w:t xml:space="preserve">pot (Round 7) stream </w:t>
      </w:r>
      <w:r w:rsidRPr="00994E8B">
        <w:t xml:space="preserve">will be grouped into a </w:t>
      </w:r>
      <w:r w:rsidR="007009DE" w:rsidRPr="00994E8B">
        <w:rPr>
          <w:b/>
        </w:rPr>
        <w:t>Mobile Black Spot Solution</w:t>
      </w:r>
      <w:r w:rsidRPr="00994E8B">
        <w:rPr>
          <w:b/>
        </w:rPr>
        <w:t>s</w:t>
      </w:r>
      <w:r w:rsidRPr="00994E8B">
        <w:t xml:space="preserve"> merit list</w:t>
      </w:r>
      <w:r w:rsidR="00EC0355" w:rsidRPr="00994E8B">
        <w:t xml:space="preserve"> and a First Nations communities merit list</w:t>
      </w:r>
      <w:r w:rsidRPr="00994E8B">
        <w:t>.</w:t>
      </w:r>
    </w:p>
    <w:p w14:paraId="571BAF07" w14:textId="77777777" w:rsidR="0010782E" w:rsidRPr="00994E8B" w:rsidDel="001F2729" w:rsidRDefault="0010782E" w:rsidP="002E4AD3">
      <w:pPr>
        <w:pStyle w:val="Heading4"/>
      </w:pPr>
      <w:bookmarkStart w:id="89" w:name="_Toc129956285"/>
      <w:r w:rsidRPr="00994E8B" w:rsidDel="001F2729">
        <w:t>Financial co-contribution</w:t>
      </w:r>
      <w:bookmarkEnd w:id="89"/>
    </w:p>
    <w:p w14:paraId="5C1688AA" w14:textId="3EB14560" w:rsidR="0010782E" w:rsidRPr="00994E8B" w:rsidDel="001F2729" w:rsidRDefault="0010782E" w:rsidP="0010782E">
      <w:r w:rsidRPr="00994E8B" w:rsidDel="001F2729">
        <w:t xml:space="preserve">To increase the reach of the Program, </w:t>
      </w:r>
      <w:r w:rsidR="00E02D3F" w:rsidRPr="00994E8B">
        <w:rPr>
          <w:b/>
        </w:rPr>
        <w:t>applicant</w:t>
      </w:r>
      <w:r w:rsidR="007855E7" w:rsidRPr="00994E8B">
        <w:rPr>
          <w:b/>
        </w:rPr>
        <w:t>s</w:t>
      </w:r>
      <w:r w:rsidRPr="00994E8B" w:rsidDel="001F2729">
        <w:rPr>
          <w:b/>
        </w:rPr>
        <w:t xml:space="preserve"> are encouraged to seek financial co</w:t>
      </w:r>
      <w:r w:rsidR="006C2458" w:rsidRPr="00994E8B">
        <w:rPr>
          <w:b/>
        </w:rPr>
        <w:noBreakHyphen/>
      </w:r>
      <w:r w:rsidRPr="00994E8B" w:rsidDel="001F2729">
        <w:rPr>
          <w:b/>
        </w:rPr>
        <w:t xml:space="preserve">contributions </w:t>
      </w:r>
      <w:r w:rsidR="00AB5B1D" w:rsidRPr="00994E8B" w:rsidDel="001F2729">
        <w:rPr>
          <w:b/>
        </w:rPr>
        <w:t>(cash)</w:t>
      </w:r>
      <w:r w:rsidR="00AB5B1D" w:rsidRPr="00994E8B" w:rsidDel="001F2729">
        <w:t xml:space="preserve"> </w:t>
      </w:r>
      <w:r w:rsidR="00AB5B1D" w:rsidRPr="00994E8B" w:rsidDel="001F2729">
        <w:rPr>
          <w:b/>
        </w:rPr>
        <w:t>to</w:t>
      </w:r>
      <w:r w:rsidR="00BD6612" w:rsidRPr="00994E8B">
        <w:rPr>
          <w:b/>
        </w:rPr>
        <w:t>wards</w:t>
      </w:r>
      <w:r w:rsidR="00087644" w:rsidRPr="00994E8B">
        <w:rPr>
          <w:b/>
        </w:rPr>
        <w:t xml:space="preserve"> </w:t>
      </w:r>
      <w:r w:rsidR="00AB5B1D" w:rsidRPr="00994E8B" w:rsidDel="001F2729">
        <w:rPr>
          <w:b/>
        </w:rPr>
        <w:t xml:space="preserve">each </w:t>
      </w:r>
      <w:r w:rsidR="00577826" w:rsidRPr="00994E8B">
        <w:rPr>
          <w:b/>
        </w:rPr>
        <w:t>Proposed Solution</w:t>
      </w:r>
      <w:r w:rsidR="00AB5B1D" w:rsidRPr="00994E8B" w:rsidDel="001F2729">
        <w:rPr>
          <w:b/>
        </w:rPr>
        <w:t xml:space="preserve"> </w:t>
      </w:r>
      <w:r w:rsidRPr="00994E8B" w:rsidDel="001F2729">
        <w:rPr>
          <w:b/>
        </w:rPr>
        <w:t>from state, territory or local governments, local communities and/or other third parties</w:t>
      </w:r>
      <w:r w:rsidRPr="00994E8B" w:rsidDel="001F2729">
        <w:t>.</w:t>
      </w:r>
    </w:p>
    <w:p w14:paraId="6785DBE4" w14:textId="77777777" w:rsidR="0010782E" w:rsidRPr="00994E8B" w:rsidDel="001F2729" w:rsidRDefault="0010782E" w:rsidP="0010782E">
      <w:r w:rsidRPr="00994E8B" w:rsidDel="001F2729">
        <w:t>Applicants are solely responsible for forming relationships and negotiating contributions with any relevant third parties, and for testing and/or verifying any advice received from these third parties.</w:t>
      </w:r>
    </w:p>
    <w:p w14:paraId="15519684" w14:textId="77777777" w:rsidR="0010782E" w:rsidRPr="00994E8B" w:rsidDel="001F2729" w:rsidRDefault="0010782E" w:rsidP="0010782E">
      <w:r w:rsidRPr="00994E8B" w:rsidDel="001F2729">
        <w:t>For Funded Projects that include a co-contribution from a state or territory government, the Department expects that Grantees will enter into a Grant Agreement with the Commonwealth and a separate agreement with the respective state or territory government.</w:t>
      </w:r>
    </w:p>
    <w:p w14:paraId="760813E0" w14:textId="77777777" w:rsidR="0010782E" w:rsidRPr="00994E8B" w:rsidRDefault="0010782E" w:rsidP="0010782E">
      <w:r w:rsidRPr="00994E8B">
        <w:t>For Funded Projects that include co-contributions from other parties, the Grantee will bear any costs, and cover the other parties’ funding if the other parties’ funding is not secured following execution of the Grant Agreement between the Grantee and the Commonwealth.</w:t>
      </w:r>
    </w:p>
    <w:p w14:paraId="2EEF74FB" w14:textId="700B460F" w:rsidR="001F2729" w:rsidRPr="00994E8B" w:rsidRDefault="0010782E" w:rsidP="001F2729">
      <w:r w:rsidRPr="00994E8B">
        <w:t xml:space="preserve">For Proposed Solutions that include co-contributions from third parties, a copy of the terms of the third parties’ commitment to the </w:t>
      </w:r>
      <w:r w:rsidR="009A4944" w:rsidRPr="00994E8B">
        <w:t>A</w:t>
      </w:r>
      <w:r w:rsidRPr="00994E8B">
        <w:t>pplicant is to be attached to the application for funding.</w:t>
      </w:r>
    </w:p>
    <w:p w14:paraId="33679DB9" w14:textId="77777777" w:rsidR="005D5D1D" w:rsidRPr="00994E8B" w:rsidRDefault="006840F1" w:rsidP="002E4AD3">
      <w:pPr>
        <w:pStyle w:val="Heading3"/>
      </w:pPr>
      <w:bookmarkStart w:id="90" w:name="_Project_period"/>
      <w:bookmarkEnd w:id="90"/>
      <w:r w:rsidRPr="00994E8B">
        <w:t xml:space="preserve"> </w:t>
      </w:r>
      <w:bookmarkStart w:id="91" w:name="_Toc129956286"/>
      <w:r w:rsidR="00475B03" w:rsidRPr="00994E8B">
        <w:t>Project</w:t>
      </w:r>
      <w:r w:rsidR="005D5D1D" w:rsidRPr="00994E8B">
        <w:t xml:space="preserve"> </w:t>
      </w:r>
      <w:r w:rsidR="009F1E2B" w:rsidRPr="00994E8B">
        <w:t>period</w:t>
      </w:r>
      <w:bookmarkEnd w:id="91"/>
    </w:p>
    <w:p w14:paraId="291A8233" w14:textId="7B8BAC60" w:rsidR="00C04380" w:rsidRPr="00994E8B" w:rsidRDefault="003C3BCD" w:rsidP="005D5D1D">
      <w:r w:rsidRPr="00994E8B">
        <w:t>Grantees</w:t>
      </w:r>
      <w:r w:rsidR="00475B03" w:rsidRPr="00994E8B">
        <w:t xml:space="preserve"> must complete all of your Funded Projects by 30 June 202</w:t>
      </w:r>
      <w:r w:rsidR="00010D38" w:rsidRPr="00994E8B">
        <w:t>6.</w:t>
      </w:r>
      <w:r w:rsidR="00475B03" w:rsidRPr="00994E8B">
        <w:t xml:space="preserve"> Grantees will be required to maintain the services for an Operational Period of</w:t>
      </w:r>
      <w:r w:rsidR="00C04380" w:rsidRPr="00994E8B">
        <w:t>:</w:t>
      </w:r>
    </w:p>
    <w:p w14:paraId="790196A5" w14:textId="75A5E7AB" w:rsidR="00C04380" w:rsidRPr="00994E8B" w:rsidRDefault="00475B03" w:rsidP="006E6A5F">
      <w:pPr>
        <w:pStyle w:val="ListParagraph"/>
        <w:numPr>
          <w:ilvl w:val="0"/>
          <w:numId w:val="78"/>
        </w:numPr>
      </w:pPr>
      <w:r w:rsidRPr="00994E8B">
        <w:t xml:space="preserve">seven (7) years </w:t>
      </w:r>
      <w:r w:rsidR="00C04380" w:rsidRPr="00994E8B">
        <w:t xml:space="preserve">for </w:t>
      </w:r>
      <w:r w:rsidR="00C04380" w:rsidRPr="00994E8B">
        <w:rPr>
          <w:b/>
        </w:rPr>
        <w:t xml:space="preserve">Regional Connectivity </w:t>
      </w:r>
      <w:r w:rsidR="002E66F8" w:rsidRPr="00994E8B">
        <w:rPr>
          <w:b/>
        </w:rPr>
        <w:t>Solutions</w:t>
      </w:r>
      <w:r w:rsidR="00C04380" w:rsidRPr="00994E8B">
        <w:t>; and</w:t>
      </w:r>
    </w:p>
    <w:p w14:paraId="4CFD3A04" w14:textId="017DA9F6" w:rsidR="00C04380" w:rsidRPr="00994E8B" w:rsidRDefault="00C04380" w:rsidP="006E6A5F">
      <w:pPr>
        <w:pStyle w:val="ListParagraph"/>
        <w:numPr>
          <w:ilvl w:val="0"/>
          <w:numId w:val="78"/>
        </w:numPr>
      </w:pPr>
      <w:r w:rsidRPr="00994E8B">
        <w:t xml:space="preserve">ten (10) years for </w:t>
      </w:r>
      <w:r w:rsidRPr="00994E8B">
        <w:rPr>
          <w:b/>
        </w:rPr>
        <w:t xml:space="preserve">Mobile </w:t>
      </w:r>
      <w:r w:rsidR="002E66F8" w:rsidRPr="00994E8B">
        <w:rPr>
          <w:b/>
        </w:rPr>
        <w:t>Black Spot Solutions</w:t>
      </w:r>
      <w:r w:rsidR="002E66F8" w:rsidRPr="00994E8B">
        <w:t>.</w:t>
      </w:r>
    </w:p>
    <w:p w14:paraId="29A791E2" w14:textId="4CEDFBC3" w:rsidR="005D5D1D" w:rsidRPr="00994E8B" w:rsidRDefault="00475B03" w:rsidP="002B63AC">
      <w:pPr>
        <w:ind w:left="50"/>
      </w:pPr>
      <w:r w:rsidRPr="00994E8B">
        <w:t>If you consider that additional time is required to complete your</w:t>
      </w:r>
      <w:r w:rsidR="004B285E" w:rsidRPr="00994E8B">
        <w:t xml:space="preserve"> Funded</w:t>
      </w:r>
      <w:r w:rsidRPr="00994E8B">
        <w:t xml:space="preserve"> </w:t>
      </w:r>
      <w:r w:rsidR="004B285E" w:rsidRPr="00994E8B">
        <w:t>P</w:t>
      </w:r>
      <w:r w:rsidRPr="00994E8B">
        <w:t>roject, please advise the Department in your application</w:t>
      </w:r>
      <w:r w:rsidR="00087644" w:rsidRPr="00994E8B">
        <w:t xml:space="preserve"> including providing justification for the additional time</w:t>
      </w:r>
      <w:r w:rsidRPr="00994E8B">
        <w:t>.</w:t>
      </w:r>
    </w:p>
    <w:p w14:paraId="1C944A32" w14:textId="77777777" w:rsidR="00285F58" w:rsidRPr="00994E8B" w:rsidRDefault="000E2D44" w:rsidP="002E4AD3">
      <w:pPr>
        <w:pStyle w:val="Heading2"/>
      </w:pPr>
      <w:bookmarkStart w:id="92" w:name="_Eligibility_criteria"/>
      <w:bookmarkStart w:id="93" w:name="_Toc129956287"/>
      <w:bookmarkEnd w:id="92"/>
      <w:r w:rsidRPr="00994E8B">
        <w:t>E</w:t>
      </w:r>
      <w:r w:rsidR="00285F58" w:rsidRPr="00994E8B">
        <w:t>ligibility criteria</w:t>
      </w:r>
      <w:bookmarkEnd w:id="93"/>
    </w:p>
    <w:p w14:paraId="7FEF1163" w14:textId="77777777" w:rsidR="00475B03" w:rsidRPr="00994E8B" w:rsidRDefault="009D33F3" w:rsidP="00475B03">
      <w:pPr>
        <w:rPr>
          <w:rStyle w:val="highlightedtextChar"/>
          <w:rFonts w:ascii="Arial" w:hAnsi="Arial" w:cs="Times New Roman"/>
          <w:b w:val="0"/>
          <w:color w:val="auto"/>
          <w:sz w:val="20"/>
          <w:szCs w:val="20"/>
        </w:rPr>
      </w:pPr>
      <w:bookmarkStart w:id="94" w:name="_Ref437348317"/>
      <w:bookmarkStart w:id="95" w:name="_Ref437348323"/>
      <w:bookmarkStart w:id="96" w:name="_Ref437349175"/>
      <w:r w:rsidRPr="00994E8B">
        <w:t xml:space="preserve">We </w:t>
      </w:r>
      <w:r w:rsidR="00475B03" w:rsidRPr="00994E8B">
        <w:t>cannot consider your application if you do not satisfy all the Eligibility Criteria.</w:t>
      </w:r>
      <w:r w:rsidR="00475B03" w:rsidRPr="00994E8B">
        <w:rPr>
          <w:rStyle w:val="highlightedtextChar"/>
          <w:rFonts w:ascii="Arial" w:hAnsi="Arial" w:cs="Times New Roman"/>
          <w:b w:val="0"/>
          <w:color w:val="auto"/>
          <w:sz w:val="20"/>
          <w:szCs w:val="20"/>
        </w:rPr>
        <w:t xml:space="preserve"> </w:t>
      </w:r>
    </w:p>
    <w:p w14:paraId="117B1022" w14:textId="5ED70380" w:rsidR="00A35F51" w:rsidRPr="00994E8B" w:rsidRDefault="001A6862" w:rsidP="0014541A">
      <w:pPr>
        <w:pStyle w:val="Heading3"/>
      </w:pPr>
      <w:bookmarkStart w:id="97" w:name="_Who_is_eligible"/>
      <w:bookmarkStart w:id="98" w:name="_Ref485202969"/>
      <w:bookmarkStart w:id="99" w:name="_Toc129956288"/>
      <w:bookmarkEnd w:id="97"/>
      <w:r w:rsidRPr="00994E8B">
        <w:t xml:space="preserve">Who </w:t>
      </w:r>
      <w:r w:rsidR="009F7B46" w:rsidRPr="00994E8B">
        <w:t>is eligible</w:t>
      </w:r>
      <w:r w:rsidR="00A60CA0" w:rsidRPr="00994E8B">
        <w:t xml:space="preserve"> to apply for a grant</w:t>
      </w:r>
      <w:r w:rsidR="009F7B46" w:rsidRPr="00994E8B">
        <w:t>?</w:t>
      </w:r>
      <w:bookmarkEnd w:id="94"/>
      <w:bookmarkEnd w:id="95"/>
      <w:bookmarkEnd w:id="96"/>
      <w:bookmarkEnd w:id="98"/>
      <w:bookmarkEnd w:id="99"/>
    </w:p>
    <w:p w14:paraId="3926A3EC" w14:textId="172A8E91" w:rsidR="00475B03" w:rsidRPr="00994E8B" w:rsidRDefault="00A232DB" w:rsidP="0014541A">
      <w:r w:rsidRPr="00994E8B">
        <w:rPr>
          <w:rStyle w:val="highlightedtextChar"/>
          <w:rFonts w:ascii="Arial" w:hAnsi="Arial" w:cs="Arial"/>
          <w:b w:val="0"/>
          <w:color w:val="auto"/>
          <w:sz w:val="20"/>
          <w:szCs w:val="20"/>
        </w:rPr>
        <w:t xml:space="preserve">For applicants applying for </w:t>
      </w:r>
      <w:r w:rsidRPr="00994E8B">
        <w:rPr>
          <w:rStyle w:val="highlightedtextChar"/>
          <w:rFonts w:ascii="Arial" w:hAnsi="Arial" w:cs="Arial"/>
          <w:color w:val="auto"/>
          <w:sz w:val="20"/>
          <w:szCs w:val="20"/>
        </w:rPr>
        <w:t xml:space="preserve">Regional Connectivity Solutions, </w:t>
      </w:r>
      <w:r w:rsidR="00475B03" w:rsidRPr="00994E8B">
        <w:t>you must:</w:t>
      </w:r>
    </w:p>
    <w:p w14:paraId="1A6B57B9" w14:textId="77777777" w:rsidR="00475B03" w:rsidRPr="00994E8B" w:rsidRDefault="00475B03" w:rsidP="0014541A">
      <w:pPr>
        <w:pStyle w:val="ListParagraph"/>
        <w:numPr>
          <w:ilvl w:val="0"/>
          <w:numId w:val="20"/>
        </w:numPr>
      </w:pPr>
      <w:r w:rsidRPr="00994E8B">
        <w:t>have an Australian Business Number (ABN)</w:t>
      </w:r>
    </w:p>
    <w:p w14:paraId="23111685" w14:textId="77777777" w:rsidR="00475B03" w:rsidRPr="00994E8B" w:rsidRDefault="00713BBC" w:rsidP="0014541A">
      <w:r w:rsidRPr="00994E8B">
        <w:t>And</w:t>
      </w:r>
      <w:r w:rsidR="00475B03" w:rsidRPr="00994E8B">
        <w:t xml:space="preserve"> must be one of the following entity types, a:</w:t>
      </w:r>
    </w:p>
    <w:p w14:paraId="6199BCA3" w14:textId="77777777" w:rsidR="00475B03" w:rsidRPr="00994E8B" w:rsidRDefault="00475B03" w:rsidP="0014541A">
      <w:pPr>
        <w:pStyle w:val="ListParagraph"/>
        <w:numPr>
          <w:ilvl w:val="0"/>
          <w:numId w:val="21"/>
        </w:numPr>
      </w:pPr>
      <w:r w:rsidRPr="00994E8B">
        <w:t xml:space="preserve">licensed telecommunications carrier under the </w:t>
      </w:r>
      <w:r w:rsidRPr="00994E8B">
        <w:rPr>
          <w:i/>
        </w:rPr>
        <w:t>Telecommunications Act 1997</w:t>
      </w:r>
      <w:r w:rsidRPr="00994E8B">
        <w:t>; or</w:t>
      </w:r>
    </w:p>
    <w:p w14:paraId="61E6AEA0" w14:textId="77777777" w:rsidR="00475B03" w:rsidRPr="00994E8B" w:rsidRDefault="00475B03" w:rsidP="0014541A">
      <w:pPr>
        <w:pStyle w:val="ListParagraph"/>
        <w:numPr>
          <w:ilvl w:val="0"/>
          <w:numId w:val="21"/>
        </w:numPr>
      </w:pPr>
      <w:r w:rsidRPr="00994E8B">
        <w:t xml:space="preserve">owner or intended owner of the Proposed Solution infrastructure who holds or intends to hold a Nominated Carrier Declaration (NCD) under the </w:t>
      </w:r>
      <w:r w:rsidRPr="00994E8B">
        <w:rPr>
          <w:i/>
        </w:rPr>
        <w:t>Telecommunications Act 1997</w:t>
      </w:r>
      <w:r w:rsidRPr="00994E8B">
        <w:t xml:space="preserve"> in relation to the infrastructure to be built or improved/upgraded; or</w:t>
      </w:r>
    </w:p>
    <w:p w14:paraId="69C6222A" w14:textId="77777777" w:rsidR="00475B03" w:rsidRPr="00994E8B" w:rsidRDefault="00713BBC" w:rsidP="0014541A">
      <w:r w:rsidRPr="00994E8B">
        <w:t>For</w:t>
      </w:r>
      <w:r w:rsidR="00475B03" w:rsidRPr="00994E8B">
        <w:t xml:space="preserve"> a joint (consortia) application:</w:t>
      </w:r>
    </w:p>
    <w:p w14:paraId="711990A1" w14:textId="7470BE0D" w:rsidR="00475B03" w:rsidRPr="00994E8B" w:rsidRDefault="00713BBC" w:rsidP="0014541A">
      <w:pPr>
        <w:pStyle w:val="ListParagraph"/>
        <w:numPr>
          <w:ilvl w:val="0"/>
          <w:numId w:val="22"/>
        </w:numPr>
      </w:pPr>
      <w:r w:rsidRPr="00994E8B">
        <w:lastRenderedPageBreak/>
        <w:t>At</w:t>
      </w:r>
      <w:r w:rsidR="003E671B" w:rsidRPr="00994E8B">
        <w:t xml:space="preserve"> least one organisation</w:t>
      </w:r>
      <w:r w:rsidR="003E671B" w:rsidRPr="00994E8B">
        <w:rPr>
          <w:rStyle w:val="FootnoteReference"/>
        </w:rPr>
        <w:footnoteReference w:id="6"/>
      </w:r>
      <w:r w:rsidR="00475B03" w:rsidRPr="00994E8B">
        <w:t xml:space="preserve"> must be a licensed telecommunications carrier or infrastructure owner who holds/intends to hold a</w:t>
      </w:r>
      <w:r w:rsidR="004448AA" w:rsidRPr="00994E8B">
        <w:t>n</w:t>
      </w:r>
      <w:r w:rsidR="00475B03" w:rsidRPr="00994E8B">
        <w:t xml:space="preserve"> NCD in relation to the infrastructure to be built or improved/upgraded. The licensed carrier or infrastructure owner (in the case a</w:t>
      </w:r>
      <w:r w:rsidR="004448AA" w:rsidRPr="00994E8B">
        <w:t>n</w:t>
      </w:r>
      <w:r w:rsidR="00475B03" w:rsidRPr="00994E8B">
        <w:t xml:space="preserve"> NCD applies) must be the entity that enters into a Grant Agreement with the Commonwealth. However, such an application may be led by any of the following entity types:</w:t>
      </w:r>
    </w:p>
    <w:p w14:paraId="12B296EC" w14:textId="5A66D77E" w:rsidR="00475B03" w:rsidRPr="00994E8B" w:rsidRDefault="00475B03" w:rsidP="0014541A">
      <w:pPr>
        <w:pStyle w:val="ListParagraph"/>
        <w:numPr>
          <w:ilvl w:val="0"/>
          <w:numId w:val="23"/>
        </w:numPr>
      </w:pPr>
      <w:r w:rsidRPr="00994E8B">
        <w:t>Licensed carriers or infrastructure owner</w:t>
      </w:r>
      <w:r w:rsidR="005932FA" w:rsidRPr="00994E8B">
        <w:t>s</w:t>
      </w:r>
      <w:r w:rsidRPr="00994E8B">
        <w:t xml:space="preserve"> (in the case a</w:t>
      </w:r>
      <w:r w:rsidR="004448AA" w:rsidRPr="00994E8B">
        <w:t>n</w:t>
      </w:r>
      <w:r w:rsidRPr="00994E8B">
        <w:t xml:space="preserve"> NCD applies)</w:t>
      </w:r>
      <w:r w:rsidR="000A2E65" w:rsidRPr="00994E8B">
        <w:t>;</w:t>
      </w:r>
    </w:p>
    <w:p w14:paraId="68548E9C" w14:textId="2C6184B5" w:rsidR="00475B03" w:rsidRPr="00994E8B" w:rsidRDefault="00475B03" w:rsidP="0014541A">
      <w:pPr>
        <w:pStyle w:val="ListParagraph"/>
        <w:numPr>
          <w:ilvl w:val="0"/>
          <w:numId w:val="23"/>
        </w:numPr>
      </w:pPr>
      <w:r w:rsidRPr="00994E8B">
        <w:t>State and territory governments</w:t>
      </w:r>
      <w:r w:rsidR="000A2E65" w:rsidRPr="00994E8B">
        <w:t>;</w:t>
      </w:r>
    </w:p>
    <w:p w14:paraId="0EEFDD54" w14:textId="3665E1B4" w:rsidR="00475B03" w:rsidRPr="00994E8B" w:rsidRDefault="00475B03" w:rsidP="0014541A">
      <w:pPr>
        <w:pStyle w:val="ListParagraph"/>
        <w:numPr>
          <w:ilvl w:val="0"/>
          <w:numId w:val="23"/>
        </w:numPr>
      </w:pPr>
      <w:r w:rsidRPr="00994E8B">
        <w:t>Local government</w:t>
      </w:r>
      <w:r w:rsidR="005932FA" w:rsidRPr="00994E8B">
        <w:t>s</w:t>
      </w:r>
      <w:r w:rsidRPr="00994E8B">
        <w:t>, local governing bodies, and regional development bodies</w:t>
      </w:r>
      <w:r w:rsidR="000A2E65" w:rsidRPr="00994E8B">
        <w:t>;</w:t>
      </w:r>
    </w:p>
    <w:p w14:paraId="230A8D26" w14:textId="39701FBB" w:rsidR="00475B03" w:rsidRPr="00994E8B" w:rsidRDefault="00475B03" w:rsidP="0014541A">
      <w:pPr>
        <w:pStyle w:val="ListParagraph"/>
        <w:numPr>
          <w:ilvl w:val="0"/>
          <w:numId w:val="23"/>
        </w:numPr>
      </w:pPr>
      <w:r w:rsidRPr="00994E8B">
        <w:t>Industry, business, and community groups</w:t>
      </w:r>
      <w:r w:rsidR="000A2E65" w:rsidRPr="00994E8B">
        <w:t>;</w:t>
      </w:r>
    </w:p>
    <w:p w14:paraId="66D5B608" w14:textId="77777777" w:rsidR="00475B03" w:rsidRPr="00994E8B" w:rsidRDefault="00475B03" w:rsidP="0014541A">
      <w:pPr>
        <w:pStyle w:val="ListParagraph"/>
        <w:numPr>
          <w:ilvl w:val="0"/>
          <w:numId w:val="23"/>
        </w:numPr>
      </w:pPr>
      <w:r w:rsidRPr="00994E8B">
        <w:t>Not-for-profits; or</w:t>
      </w:r>
    </w:p>
    <w:p w14:paraId="2FB538D5" w14:textId="77777777" w:rsidR="00475B03" w:rsidRPr="00994E8B" w:rsidRDefault="001D2072" w:rsidP="0014541A">
      <w:pPr>
        <w:pStyle w:val="ListParagraph"/>
        <w:numPr>
          <w:ilvl w:val="0"/>
          <w:numId w:val="23"/>
        </w:numPr>
        <w:rPr>
          <w:rFonts w:eastAsiaTheme="minorHAnsi" w:cs="Arial"/>
        </w:rPr>
      </w:pPr>
      <w:r w:rsidRPr="00994E8B">
        <w:t>First Nations</w:t>
      </w:r>
      <w:r w:rsidR="00475B03" w:rsidRPr="00994E8B">
        <w:t xml:space="preserve"> </w:t>
      </w:r>
      <w:r w:rsidR="005F258B" w:rsidRPr="00994E8B">
        <w:t>community-controlled</w:t>
      </w:r>
      <w:r w:rsidR="00475B03" w:rsidRPr="00994E8B">
        <w:t xml:space="preserve"> organisations.</w:t>
      </w:r>
    </w:p>
    <w:p w14:paraId="56521ABF" w14:textId="16853DC6" w:rsidR="00597FD2" w:rsidRPr="00994E8B" w:rsidRDefault="00597FD2" w:rsidP="0014541A">
      <w:pPr>
        <w:rPr>
          <w:rStyle w:val="highlightedtextChar"/>
          <w:rFonts w:ascii="Arial" w:hAnsi="Arial" w:cs="Arial"/>
          <w:b w:val="0"/>
          <w:color w:val="auto"/>
          <w:sz w:val="20"/>
          <w:szCs w:val="20"/>
        </w:rPr>
      </w:pPr>
      <w:r w:rsidRPr="00994E8B">
        <w:rPr>
          <w:rStyle w:val="highlightedtextChar"/>
          <w:rFonts w:ascii="Arial" w:hAnsi="Arial" w:cs="Arial"/>
          <w:b w:val="0"/>
          <w:color w:val="auto"/>
          <w:sz w:val="20"/>
          <w:szCs w:val="20"/>
        </w:rPr>
        <w:t xml:space="preserve">For </w:t>
      </w:r>
      <w:r w:rsidR="00350542" w:rsidRPr="00994E8B">
        <w:rPr>
          <w:rStyle w:val="highlightedtextChar"/>
          <w:rFonts w:ascii="Arial" w:hAnsi="Arial" w:cs="Arial"/>
          <w:b w:val="0"/>
          <w:color w:val="auto"/>
          <w:sz w:val="20"/>
          <w:szCs w:val="20"/>
        </w:rPr>
        <w:t xml:space="preserve">applicants applying for </w:t>
      </w:r>
      <w:r w:rsidR="007009DE" w:rsidRPr="00994E8B">
        <w:rPr>
          <w:rStyle w:val="highlightedtextChar"/>
          <w:rFonts w:ascii="Arial" w:hAnsi="Arial" w:cs="Arial"/>
          <w:color w:val="auto"/>
          <w:sz w:val="20"/>
          <w:szCs w:val="20"/>
        </w:rPr>
        <w:t>Mobile Black Spot Solution</w:t>
      </w:r>
      <w:r w:rsidR="00350542" w:rsidRPr="00994E8B">
        <w:rPr>
          <w:rStyle w:val="highlightedtextChar"/>
          <w:rFonts w:ascii="Arial" w:hAnsi="Arial" w:cs="Arial"/>
          <w:color w:val="auto"/>
          <w:sz w:val="20"/>
          <w:szCs w:val="20"/>
        </w:rPr>
        <w:t>s</w:t>
      </w:r>
      <w:r w:rsidR="00A232DB" w:rsidRPr="00994E8B">
        <w:rPr>
          <w:rStyle w:val="highlightedtextChar"/>
          <w:rFonts w:ascii="Arial" w:hAnsi="Arial" w:cs="Arial"/>
          <w:b w:val="0"/>
          <w:color w:val="auto"/>
          <w:sz w:val="20"/>
          <w:szCs w:val="20"/>
        </w:rPr>
        <w:t>, you must</w:t>
      </w:r>
      <w:r w:rsidR="00350542" w:rsidRPr="00994E8B">
        <w:rPr>
          <w:rStyle w:val="highlightedtextChar"/>
          <w:rFonts w:ascii="Arial" w:hAnsi="Arial" w:cs="Arial"/>
          <w:b w:val="0"/>
          <w:color w:val="auto"/>
          <w:sz w:val="20"/>
          <w:szCs w:val="20"/>
        </w:rPr>
        <w:t>:</w:t>
      </w:r>
    </w:p>
    <w:p w14:paraId="26D8E349" w14:textId="49E8AE80" w:rsidR="00A232DB" w:rsidRPr="00994E8B" w:rsidRDefault="00A232DB" w:rsidP="0014541A">
      <w:pPr>
        <w:pStyle w:val="ListParagraph"/>
        <w:numPr>
          <w:ilvl w:val="0"/>
          <w:numId w:val="22"/>
        </w:numPr>
      </w:pPr>
      <w:r w:rsidRPr="00994E8B">
        <w:t>have an Australian Business Number (ABN)</w:t>
      </w:r>
      <w:r w:rsidR="000A2E65" w:rsidRPr="00994E8B">
        <w:t>;</w:t>
      </w:r>
      <w:r w:rsidR="00252920" w:rsidRPr="00994E8B">
        <w:t xml:space="preserve"> and</w:t>
      </w:r>
    </w:p>
    <w:p w14:paraId="69942F73" w14:textId="77777777" w:rsidR="00393A2D" w:rsidRPr="00994E8B" w:rsidRDefault="00393A2D" w:rsidP="0014541A">
      <w:pPr>
        <w:pStyle w:val="ListParagraph"/>
        <w:numPr>
          <w:ilvl w:val="0"/>
          <w:numId w:val="22"/>
        </w:numPr>
      </w:pPr>
      <w:r w:rsidRPr="00994E8B">
        <w:t>be one of the following entity types:</w:t>
      </w:r>
    </w:p>
    <w:p w14:paraId="74ED3700" w14:textId="77777777" w:rsidR="00393A2D" w:rsidRPr="00994E8B" w:rsidRDefault="00393A2D" w:rsidP="0014541A">
      <w:pPr>
        <w:pStyle w:val="ListParagraph"/>
        <w:numPr>
          <w:ilvl w:val="0"/>
          <w:numId w:val="23"/>
        </w:numPr>
      </w:pPr>
      <w:r w:rsidRPr="00994E8B">
        <w:t xml:space="preserve">a </w:t>
      </w:r>
      <w:r w:rsidR="0089797C" w:rsidRPr="00994E8B">
        <w:t xml:space="preserve">national </w:t>
      </w:r>
      <w:r w:rsidRPr="00994E8B">
        <w:rPr>
          <w:b/>
        </w:rPr>
        <w:t>Mobile Network Operator (MNO)</w:t>
      </w:r>
      <w:r w:rsidRPr="00994E8B">
        <w:t>; or</w:t>
      </w:r>
    </w:p>
    <w:p w14:paraId="4B63EE3D" w14:textId="77777777" w:rsidR="00393A2D" w:rsidRPr="00994E8B" w:rsidRDefault="00393A2D" w:rsidP="0014541A">
      <w:pPr>
        <w:pStyle w:val="ListParagraph"/>
        <w:numPr>
          <w:ilvl w:val="0"/>
          <w:numId w:val="23"/>
        </w:numPr>
      </w:pPr>
      <w:r w:rsidRPr="00994E8B">
        <w:t xml:space="preserve">a </w:t>
      </w:r>
      <w:r w:rsidRPr="00994E8B">
        <w:rPr>
          <w:b/>
        </w:rPr>
        <w:t>Mobile Network Infrastructure Provider (MNIP)</w:t>
      </w:r>
      <w:r w:rsidRPr="00994E8B">
        <w:t>.</w:t>
      </w:r>
    </w:p>
    <w:p w14:paraId="42065D5C" w14:textId="77777777" w:rsidR="00393A2D" w:rsidRPr="00994E8B" w:rsidRDefault="00393A2D" w:rsidP="0014541A">
      <w:pPr>
        <w:pStyle w:val="ListParagraph"/>
        <w:numPr>
          <w:ilvl w:val="0"/>
          <w:numId w:val="21"/>
        </w:numPr>
      </w:pPr>
      <w:r w:rsidRPr="00994E8B">
        <w:t xml:space="preserve">For the purposes of the Program, </w:t>
      </w:r>
      <w:r w:rsidRPr="00994E8B">
        <w:rPr>
          <w:b/>
        </w:rPr>
        <w:t xml:space="preserve">MNO </w:t>
      </w:r>
      <w:r w:rsidRPr="00994E8B">
        <w:t>means a company that:</w:t>
      </w:r>
    </w:p>
    <w:p w14:paraId="09386452" w14:textId="77777777" w:rsidR="00393A2D" w:rsidRPr="00994E8B" w:rsidRDefault="00393A2D" w:rsidP="0014541A">
      <w:pPr>
        <w:pStyle w:val="ListParagraph"/>
        <w:numPr>
          <w:ilvl w:val="0"/>
          <w:numId w:val="23"/>
        </w:numPr>
      </w:pPr>
      <w:r w:rsidRPr="00994E8B">
        <w:t xml:space="preserve">Supplies a public mobile telecommunications service within the meaning of the </w:t>
      </w:r>
      <w:r w:rsidRPr="00994E8B">
        <w:rPr>
          <w:i/>
        </w:rPr>
        <w:t xml:space="preserve">Telecommunications Act 1997 </w:t>
      </w:r>
      <w:r w:rsidRPr="00994E8B">
        <w:t>(</w:t>
      </w:r>
      <w:proofErr w:type="spellStart"/>
      <w:r w:rsidRPr="00994E8B">
        <w:t>Cth</w:t>
      </w:r>
      <w:proofErr w:type="spellEnd"/>
      <w:r w:rsidRPr="00994E8B">
        <w:t>); and</w:t>
      </w:r>
    </w:p>
    <w:p w14:paraId="536D65B8" w14:textId="77777777" w:rsidR="00393A2D" w:rsidRPr="00994E8B" w:rsidRDefault="00393A2D" w:rsidP="0014541A">
      <w:pPr>
        <w:pStyle w:val="ListParagraph"/>
        <w:numPr>
          <w:ilvl w:val="0"/>
          <w:numId w:val="23"/>
        </w:numPr>
      </w:pPr>
      <w:r w:rsidRPr="00994E8B">
        <w:t xml:space="preserve">Holds an apparatus or a spectrum licence (or both) for the supply of public mobile telecommunications services under the </w:t>
      </w:r>
      <w:r w:rsidRPr="00994E8B">
        <w:rPr>
          <w:i/>
        </w:rPr>
        <w:t xml:space="preserve">Radiocommunications Act 1992 </w:t>
      </w:r>
      <w:r w:rsidRPr="00994E8B">
        <w:t>(</w:t>
      </w:r>
      <w:proofErr w:type="spellStart"/>
      <w:r w:rsidRPr="00994E8B">
        <w:t>Cth</w:t>
      </w:r>
      <w:proofErr w:type="spellEnd"/>
      <w:r w:rsidRPr="00994E8B">
        <w:t>).</w:t>
      </w:r>
    </w:p>
    <w:p w14:paraId="26E42C12" w14:textId="0630550E" w:rsidR="00393A2D" w:rsidRPr="00994E8B" w:rsidRDefault="00393A2D" w:rsidP="0014541A">
      <w:pPr>
        <w:pStyle w:val="ListParagraph"/>
        <w:numPr>
          <w:ilvl w:val="0"/>
          <w:numId w:val="21"/>
        </w:numPr>
      </w:pPr>
      <w:r w:rsidRPr="00994E8B">
        <w:t xml:space="preserve">For the purposes of the Program, </w:t>
      </w:r>
      <w:r w:rsidRPr="00994E8B">
        <w:rPr>
          <w:b/>
        </w:rPr>
        <w:t>MNIP</w:t>
      </w:r>
      <w:r w:rsidRPr="00994E8B">
        <w:t xml:space="preserve"> means a company, other than an </w:t>
      </w:r>
      <w:r w:rsidRPr="00994E8B">
        <w:rPr>
          <w:b/>
        </w:rPr>
        <w:t>MNO</w:t>
      </w:r>
      <w:r w:rsidRPr="00994E8B">
        <w:t>, that provides communications infrastructure in Australia or overseas, including the installation and operation of infrastructure to be used by one or more</w:t>
      </w:r>
      <w:r w:rsidR="001A7799" w:rsidRPr="00994E8B">
        <w:t xml:space="preserve"> </w:t>
      </w:r>
      <w:r w:rsidR="004F7E8B" w:rsidRPr="00994E8B">
        <w:rPr>
          <w:b/>
        </w:rPr>
        <w:t>N</w:t>
      </w:r>
      <w:r w:rsidR="001A7799" w:rsidRPr="00994E8B">
        <w:rPr>
          <w:b/>
        </w:rPr>
        <w:t>ational</w:t>
      </w:r>
      <w:r w:rsidRPr="00994E8B">
        <w:rPr>
          <w:b/>
        </w:rPr>
        <w:t xml:space="preserve"> MNO</w:t>
      </w:r>
      <w:r w:rsidRPr="00994E8B">
        <w:t>s to provide public mobile telecommunications services.</w:t>
      </w:r>
    </w:p>
    <w:p w14:paraId="1A7B7B6B" w14:textId="518F8DFF" w:rsidR="00350542" w:rsidRPr="00994E8B" w:rsidRDefault="00393A2D" w:rsidP="0014541A">
      <w:pPr>
        <w:pStyle w:val="ListParagraph"/>
        <w:numPr>
          <w:ilvl w:val="0"/>
          <w:numId w:val="21"/>
        </w:numPr>
      </w:pPr>
      <w:r w:rsidRPr="00994E8B">
        <w:rPr>
          <w:b/>
        </w:rPr>
        <w:t>MNIP</w:t>
      </w:r>
      <w:r w:rsidRPr="00994E8B">
        <w:t xml:space="preserve"> applications must be accompanied by written evidence of intent from at least one </w:t>
      </w:r>
      <w:r w:rsidR="004F7E8B" w:rsidRPr="00994E8B">
        <w:rPr>
          <w:b/>
        </w:rPr>
        <w:t>N</w:t>
      </w:r>
      <w:r w:rsidR="001A7799" w:rsidRPr="00994E8B">
        <w:rPr>
          <w:b/>
        </w:rPr>
        <w:t>ational</w:t>
      </w:r>
      <w:r w:rsidR="001A7799" w:rsidRPr="00994E8B">
        <w:t xml:space="preserve"> </w:t>
      </w:r>
      <w:r w:rsidRPr="00994E8B">
        <w:rPr>
          <w:b/>
        </w:rPr>
        <w:t>MNO</w:t>
      </w:r>
      <w:r w:rsidR="0089797C" w:rsidRPr="00994E8B">
        <w:t>,</w:t>
      </w:r>
      <w:r w:rsidRPr="00994E8B">
        <w:t xml:space="preserve"> </w:t>
      </w:r>
      <w:r w:rsidR="0089797C" w:rsidRPr="00994E8B">
        <w:t xml:space="preserve">that offers national mobile coverage, </w:t>
      </w:r>
      <w:r w:rsidRPr="00994E8B">
        <w:t xml:space="preserve">to enter into a commercially binding commitment to use the infrastructure to deliver mobile services as described at section </w:t>
      </w:r>
      <w:r w:rsidRPr="00994E8B">
        <w:rPr>
          <w:lang w:val="en-US"/>
        </w:rPr>
        <w:t>2.2.</w:t>
      </w:r>
      <w:r w:rsidR="001C2044" w:rsidRPr="00994E8B">
        <w:rPr>
          <w:lang w:val="en-US"/>
        </w:rPr>
        <w:t>3</w:t>
      </w:r>
      <w:r w:rsidRPr="00994E8B">
        <w:rPr>
          <w:lang w:val="en-US"/>
        </w:rPr>
        <w:t xml:space="preserve"> </w:t>
      </w:r>
      <w:r w:rsidRPr="00994E8B">
        <w:t xml:space="preserve">for the Operational Period of the Proposed Solution. Funding may be awarded to eligible </w:t>
      </w:r>
      <w:r w:rsidRPr="00994E8B">
        <w:rPr>
          <w:b/>
        </w:rPr>
        <w:t>MNIPs</w:t>
      </w:r>
      <w:r w:rsidRPr="00994E8B">
        <w:t xml:space="preserve"> on the condition that the </w:t>
      </w:r>
      <w:r w:rsidRPr="00994E8B">
        <w:rPr>
          <w:b/>
        </w:rPr>
        <w:t>MNIP</w:t>
      </w:r>
      <w:r w:rsidRPr="00994E8B">
        <w:t xml:space="preserve"> and relevant</w:t>
      </w:r>
      <w:r w:rsidR="001A7799" w:rsidRPr="00994E8B">
        <w:t xml:space="preserve"> </w:t>
      </w:r>
      <w:r w:rsidR="004F7E8B" w:rsidRPr="00994E8B">
        <w:rPr>
          <w:b/>
        </w:rPr>
        <w:t>N</w:t>
      </w:r>
      <w:r w:rsidR="001A7799" w:rsidRPr="00994E8B">
        <w:rPr>
          <w:b/>
        </w:rPr>
        <w:t>ational</w:t>
      </w:r>
      <w:r w:rsidRPr="00994E8B">
        <w:t xml:space="preserve"> </w:t>
      </w:r>
      <w:r w:rsidRPr="00994E8B">
        <w:rPr>
          <w:b/>
        </w:rPr>
        <w:t>MNO</w:t>
      </w:r>
      <w:r w:rsidR="00D27E5D" w:rsidRPr="00994E8B">
        <w:t>/</w:t>
      </w:r>
      <w:r w:rsidRPr="00994E8B">
        <w:t>s enter into a binding commercial commitment prior to the finalisation of the Grant Agreement.</w:t>
      </w:r>
    </w:p>
    <w:p w14:paraId="0E3A7949" w14:textId="2716AE99" w:rsidR="00300939" w:rsidRPr="00994E8B" w:rsidRDefault="00F259FD" w:rsidP="0014541A">
      <w:pPr>
        <w:pStyle w:val="Heading3"/>
      </w:pPr>
      <w:bookmarkStart w:id="100" w:name="_Ref120550145"/>
      <w:bookmarkStart w:id="101" w:name="_Toc129956289"/>
      <w:bookmarkStart w:id="102" w:name="_Hlk121850892"/>
      <w:r w:rsidRPr="00994E8B">
        <w:t>Multi-MNO</w:t>
      </w:r>
      <w:r w:rsidR="00300939" w:rsidRPr="00994E8B">
        <w:t xml:space="preserve"> and co-build for </w:t>
      </w:r>
      <w:r w:rsidR="007009DE" w:rsidRPr="00994E8B">
        <w:t>Mobile Black Spot Solution</w:t>
      </w:r>
      <w:r w:rsidR="00300939" w:rsidRPr="00994E8B">
        <w:t>s</w:t>
      </w:r>
      <w:bookmarkEnd w:id="100"/>
      <w:r w:rsidR="00252F16" w:rsidRPr="00994E8B">
        <w:t xml:space="preserve"> and Regional Connectivity Solutions to deliver mobile service from a National MNO</w:t>
      </w:r>
      <w:bookmarkEnd w:id="101"/>
    </w:p>
    <w:p w14:paraId="744BAEF2" w14:textId="0B4759BD" w:rsidR="00300939" w:rsidRPr="00994E8B" w:rsidRDefault="00300939" w:rsidP="00010D38">
      <w:r w:rsidRPr="00994E8B">
        <w:t xml:space="preserve">For </w:t>
      </w:r>
      <w:r w:rsidR="007009DE" w:rsidRPr="00994E8B">
        <w:rPr>
          <w:b/>
        </w:rPr>
        <w:t>Mobile Black Spot Solution</w:t>
      </w:r>
      <w:r w:rsidR="009854B5" w:rsidRPr="00994E8B">
        <w:rPr>
          <w:b/>
        </w:rPr>
        <w:t>s</w:t>
      </w:r>
      <w:r w:rsidR="009854B5" w:rsidRPr="00994E8B">
        <w:t>, a</w:t>
      </w:r>
      <w:r w:rsidRPr="00994E8B">
        <w:t xml:space="preserve">pplicants and </w:t>
      </w:r>
      <w:r w:rsidRPr="00994E8B">
        <w:rPr>
          <w:b/>
        </w:rPr>
        <w:t>MNOs</w:t>
      </w:r>
      <w:r w:rsidRPr="00994E8B">
        <w:t xml:space="preserve">/other interested parties are encouraged to work together during the </w:t>
      </w:r>
      <w:r w:rsidR="00BD6612" w:rsidRPr="00994E8B">
        <w:t>application</w:t>
      </w:r>
      <w:r w:rsidRPr="00994E8B">
        <w:t xml:space="preserve"> period to develop </w:t>
      </w:r>
      <w:r w:rsidR="004F7E8B" w:rsidRPr="00994E8B">
        <w:rPr>
          <w:b/>
        </w:rPr>
        <w:t>M</w:t>
      </w:r>
      <w:r w:rsidRPr="00994E8B">
        <w:rPr>
          <w:b/>
        </w:rPr>
        <w:t>ulti-MNO solutions</w:t>
      </w:r>
      <w:r w:rsidR="00E132E1" w:rsidRPr="00994E8B">
        <w:t>, including active sharing solutions</w:t>
      </w:r>
      <w:r w:rsidRPr="00994E8B">
        <w:t>. Applicants are solely responsible for forming relationships and discussions with any relevant third parties.</w:t>
      </w:r>
    </w:p>
    <w:p w14:paraId="0330C05B" w14:textId="58BBA091" w:rsidR="00252F16" w:rsidRPr="00994E8B" w:rsidRDefault="00252F16" w:rsidP="00010D38">
      <w:r w:rsidRPr="00994E8B">
        <w:t xml:space="preserve">If a </w:t>
      </w:r>
      <w:r w:rsidRPr="00994E8B">
        <w:rPr>
          <w:b/>
        </w:rPr>
        <w:t>Regional Connectivity Solution</w:t>
      </w:r>
      <w:r w:rsidRPr="00994E8B">
        <w:t xml:space="preserve"> deliver</w:t>
      </w:r>
      <w:r w:rsidR="00BF025A" w:rsidRPr="00994E8B">
        <w:t xml:space="preserve">s </w:t>
      </w:r>
      <w:r w:rsidRPr="00994E8B">
        <w:t>new mobile coverage outcomes (</w:t>
      </w:r>
      <w:r w:rsidR="00171475" w:rsidRPr="00994E8B">
        <w:t>e.g. a new mobile base station that delivers new mobile coverage to an area rather than an upgrade to an existing base station) to an area (</w:t>
      </w:r>
      <w:r w:rsidRPr="00994E8B">
        <w:t xml:space="preserve">i.e. it is not </w:t>
      </w:r>
      <w:r w:rsidR="00BF025A" w:rsidRPr="00994E8B">
        <w:t xml:space="preserve">solely </w:t>
      </w:r>
      <w:r w:rsidRPr="00994E8B">
        <w:t xml:space="preserve">a </w:t>
      </w:r>
      <w:r w:rsidR="00171475" w:rsidRPr="00994E8B">
        <w:t xml:space="preserve">mobile broadband or </w:t>
      </w:r>
      <w:r w:rsidRPr="00994E8B">
        <w:t xml:space="preserve">capacity upgrade to </w:t>
      </w:r>
      <w:r w:rsidR="00BF025A" w:rsidRPr="00994E8B">
        <w:t xml:space="preserve">the </w:t>
      </w:r>
      <w:r w:rsidR="00BF025A" w:rsidRPr="00994E8B">
        <w:rPr>
          <w:b/>
        </w:rPr>
        <w:t>MNO</w:t>
      </w:r>
      <w:r w:rsidR="00BF025A" w:rsidRPr="00994E8B">
        <w:t xml:space="preserve"> </w:t>
      </w:r>
      <w:r w:rsidRPr="00994E8B">
        <w:t>existing coverage</w:t>
      </w:r>
      <w:r w:rsidR="00BF025A" w:rsidRPr="00994E8B">
        <w:t xml:space="preserve"> in the area</w:t>
      </w:r>
      <w:r w:rsidRPr="00994E8B">
        <w:t xml:space="preserve">), </w:t>
      </w:r>
      <w:r w:rsidR="00BF025A" w:rsidRPr="00994E8B">
        <w:t xml:space="preserve">and the applicant is a </w:t>
      </w:r>
      <w:r w:rsidR="00BF025A" w:rsidRPr="00994E8B">
        <w:rPr>
          <w:b/>
        </w:rPr>
        <w:t>National MNO</w:t>
      </w:r>
      <w:r w:rsidR="00BF025A" w:rsidRPr="00994E8B">
        <w:t xml:space="preserve">, </w:t>
      </w:r>
      <w:r w:rsidRPr="00994E8B">
        <w:t xml:space="preserve">then the </w:t>
      </w:r>
      <w:r w:rsidR="00BF025A" w:rsidRPr="00994E8B">
        <w:t xml:space="preserve">solution </w:t>
      </w:r>
      <w:r w:rsidRPr="00994E8B">
        <w:t xml:space="preserve">is required to meet the </w:t>
      </w:r>
      <w:r w:rsidR="004F7E8B" w:rsidRPr="00994E8B">
        <w:rPr>
          <w:b/>
        </w:rPr>
        <w:t>M</w:t>
      </w:r>
      <w:r w:rsidR="00BF025A" w:rsidRPr="00994E8B">
        <w:rPr>
          <w:b/>
        </w:rPr>
        <w:t>ulti</w:t>
      </w:r>
      <w:r w:rsidR="00BF025A" w:rsidRPr="00994E8B">
        <w:rPr>
          <w:b/>
        </w:rPr>
        <w:noBreakHyphen/>
      </w:r>
      <w:r w:rsidRPr="00994E8B">
        <w:rPr>
          <w:b/>
        </w:rPr>
        <w:t>MNO</w:t>
      </w:r>
      <w:r w:rsidR="00BF025A" w:rsidRPr="00994E8B">
        <w:t xml:space="preserve"> and co-locations requirements set out in this section.</w:t>
      </w:r>
    </w:p>
    <w:p w14:paraId="16837A6B" w14:textId="761D595E" w:rsidR="006F2C57" w:rsidRPr="00994E8B" w:rsidRDefault="007C4B8D" w:rsidP="00010D38">
      <w:r w:rsidRPr="00994E8B">
        <w:lastRenderedPageBreak/>
        <w:t>If y</w:t>
      </w:r>
      <w:r w:rsidR="006F2C57" w:rsidRPr="00994E8B">
        <w:t xml:space="preserve">ou put forward a </w:t>
      </w:r>
      <w:r w:rsidR="00E66D91" w:rsidRPr="00994E8B">
        <w:t>p</w:t>
      </w:r>
      <w:r w:rsidR="006F2C57" w:rsidRPr="00994E8B">
        <w:t xml:space="preserve">roposal </w:t>
      </w:r>
      <w:r w:rsidR="00B93A06" w:rsidRPr="00994E8B">
        <w:t xml:space="preserve">for a </w:t>
      </w:r>
      <w:r w:rsidR="007009DE" w:rsidRPr="00994E8B">
        <w:rPr>
          <w:b/>
        </w:rPr>
        <w:t>Mobile Black Spot Solution</w:t>
      </w:r>
      <w:r w:rsidR="006F2C57" w:rsidRPr="00994E8B">
        <w:t xml:space="preserve"> </w:t>
      </w:r>
      <w:r w:rsidR="00F259FD" w:rsidRPr="00994E8B">
        <w:t xml:space="preserve">that offers services from more than one </w:t>
      </w:r>
      <w:r w:rsidR="00F259FD" w:rsidRPr="00994E8B">
        <w:rPr>
          <w:b/>
        </w:rPr>
        <w:t>MNO</w:t>
      </w:r>
      <w:r w:rsidR="006F2C57" w:rsidRPr="00994E8B">
        <w:t xml:space="preserve">, you may include </w:t>
      </w:r>
      <w:r w:rsidR="00F259FD" w:rsidRPr="00994E8B">
        <w:t xml:space="preserve">in the </w:t>
      </w:r>
      <w:r w:rsidR="00E66D91" w:rsidRPr="00994E8B">
        <w:t>p</w:t>
      </w:r>
      <w:r w:rsidR="00F259FD" w:rsidRPr="00994E8B">
        <w:t xml:space="preserve">roposal </w:t>
      </w:r>
      <w:r w:rsidR="006F2C57" w:rsidRPr="00994E8B">
        <w:t xml:space="preserve">the eligible </w:t>
      </w:r>
      <w:r w:rsidRPr="00994E8B">
        <w:t xml:space="preserve">expenditure, </w:t>
      </w:r>
      <w:r w:rsidR="00B84831" w:rsidRPr="00994E8B">
        <w:t xml:space="preserve">found at </w:t>
      </w:r>
      <w:r w:rsidRPr="00994E8B">
        <w:t xml:space="preserve">section </w:t>
      </w:r>
      <w:r w:rsidRPr="00994E8B">
        <w:fldChar w:fldCharType="begin"/>
      </w:r>
      <w:r w:rsidRPr="00994E8B">
        <w:instrText xml:space="preserve"> REF _Ref120708221 \r \h </w:instrText>
      </w:r>
      <w:r w:rsidR="00994E8B">
        <w:instrText xml:space="preserve"> \* MERGEFORMAT </w:instrText>
      </w:r>
      <w:r w:rsidRPr="00994E8B">
        <w:fldChar w:fldCharType="separate"/>
      </w:r>
      <w:r w:rsidR="00075357" w:rsidRPr="00994E8B">
        <w:t>5.3</w:t>
      </w:r>
      <w:r w:rsidRPr="00994E8B">
        <w:fldChar w:fldCharType="end"/>
      </w:r>
      <w:r w:rsidRPr="00994E8B">
        <w:t>,</w:t>
      </w:r>
      <w:r w:rsidR="006F2C57" w:rsidRPr="00994E8B">
        <w:t xml:space="preserve"> for </w:t>
      </w:r>
      <w:r w:rsidR="00F259FD" w:rsidRPr="00994E8B">
        <w:t xml:space="preserve">all of the </w:t>
      </w:r>
      <w:r w:rsidR="00F259FD" w:rsidRPr="00994E8B">
        <w:rPr>
          <w:b/>
        </w:rPr>
        <w:t>MNOs</w:t>
      </w:r>
      <w:r w:rsidR="00F259FD" w:rsidRPr="00994E8B">
        <w:t xml:space="preserve"> </w:t>
      </w:r>
      <w:r w:rsidR="005932FA" w:rsidRPr="00994E8B">
        <w:t>that</w:t>
      </w:r>
      <w:r w:rsidR="00FD1D79" w:rsidRPr="00994E8B">
        <w:t xml:space="preserve"> will </w:t>
      </w:r>
      <w:r w:rsidR="00F259FD" w:rsidRPr="00994E8B">
        <w:t xml:space="preserve">offer services from the </w:t>
      </w:r>
      <w:r w:rsidR="00FC7D11" w:rsidRPr="00994E8B">
        <w:t>Proposed S</w:t>
      </w:r>
      <w:r w:rsidR="00F259FD" w:rsidRPr="00994E8B">
        <w:t>olution</w:t>
      </w:r>
      <w:r w:rsidR="006F2C57" w:rsidRPr="00994E8B">
        <w:t xml:space="preserve">. However, the </w:t>
      </w:r>
      <w:r w:rsidR="00B84831" w:rsidRPr="00994E8B">
        <w:t>D</w:t>
      </w:r>
      <w:r w:rsidR="006F2C57" w:rsidRPr="00994E8B">
        <w:t>epartment will only en</w:t>
      </w:r>
      <w:r w:rsidRPr="00994E8B">
        <w:t xml:space="preserve">ter into an agreement with you as the lead applicant if the Proposed Solution is successful. All payments including any components for the </w:t>
      </w:r>
      <w:r w:rsidR="00F259FD" w:rsidRPr="00994E8B">
        <w:t>other participating</w:t>
      </w:r>
      <w:r w:rsidRPr="00994E8B">
        <w:t xml:space="preserve"> part</w:t>
      </w:r>
      <w:r w:rsidR="00F259FD" w:rsidRPr="00994E8B">
        <w:t>ies</w:t>
      </w:r>
      <w:r w:rsidRPr="00994E8B">
        <w:t xml:space="preserve"> will be made to the lead applicant only.</w:t>
      </w:r>
    </w:p>
    <w:p w14:paraId="4CFC2221" w14:textId="77777777" w:rsidR="00397BAE" w:rsidRPr="00994E8B" w:rsidRDefault="00300939" w:rsidP="00010D38">
      <w:r w:rsidRPr="00994E8B">
        <w:t xml:space="preserve">In addition to any arrangements negotiated with an </w:t>
      </w:r>
      <w:r w:rsidRPr="00994E8B">
        <w:rPr>
          <w:b/>
        </w:rPr>
        <w:t>MNO</w:t>
      </w:r>
      <w:r w:rsidRPr="00994E8B">
        <w:t xml:space="preserve"> confirmed at the time of the application to provide services through the Proposed </w:t>
      </w:r>
      <w:r w:rsidR="007009DE" w:rsidRPr="00994E8B">
        <w:rPr>
          <w:b/>
        </w:rPr>
        <w:t>Mobile Black Spot Solution</w:t>
      </w:r>
      <w:r w:rsidRPr="00994E8B">
        <w:t xml:space="preserve">, each Proposed </w:t>
      </w:r>
      <w:r w:rsidR="007009DE" w:rsidRPr="00994E8B">
        <w:rPr>
          <w:b/>
        </w:rPr>
        <w:t>Mobile Black Spot Solution</w:t>
      </w:r>
      <w:r w:rsidRPr="00994E8B">
        <w:rPr>
          <w:b/>
        </w:rPr>
        <w:t xml:space="preserve"> </w:t>
      </w:r>
      <w:r w:rsidRPr="00994E8B">
        <w:t>must</w:t>
      </w:r>
      <w:r w:rsidR="0052359C" w:rsidRPr="00994E8B">
        <w:t xml:space="preserve"> offer</w:t>
      </w:r>
      <w:r w:rsidR="00397BAE" w:rsidRPr="00994E8B">
        <w:t>:</w:t>
      </w:r>
    </w:p>
    <w:p w14:paraId="7FB61BDC" w14:textId="77777777" w:rsidR="00397BAE" w:rsidRPr="00994E8B" w:rsidRDefault="0015200E" w:rsidP="00397BAE">
      <w:pPr>
        <w:pStyle w:val="ListParagraph"/>
        <w:numPr>
          <w:ilvl w:val="0"/>
          <w:numId w:val="82"/>
        </w:numPr>
      </w:pPr>
      <w:r w:rsidRPr="00994E8B">
        <w:t xml:space="preserve">to </w:t>
      </w:r>
      <w:r w:rsidRPr="00994E8B">
        <w:rPr>
          <w:b/>
        </w:rPr>
        <w:t>MNOs</w:t>
      </w:r>
      <w:r w:rsidRPr="00994E8B">
        <w:t xml:space="preserve">, </w:t>
      </w:r>
      <w:r w:rsidR="00397BAE" w:rsidRPr="00994E8B">
        <w:t xml:space="preserve">the option of offering services from the Proposed Solution using active sharing on commercial terms, if the Proposed Solution is an active sharing solution; and </w:t>
      </w:r>
    </w:p>
    <w:p w14:paraId="0857B8E4" w14:textId="02619A7A" w:rsidR="00300939" w:rsidRPr="00994E8B" w:rsidRDefault="00300939" w:rsidP="004A759F">
      <w:pPr>
        <w:pStyle w:val="ListParagraph"/>
        <w:numPr>
          <w:ilvl w:val="0"/>
          <w:numId w:val="82"/>
        </w:numPr>
      </w:pPr>
      <w:r w:rsidRPr="00994E8B">
        <w:t>co</w:t>
      </w:r>
      <w:r w:rsidRPr="00994E8B">
        <w:noBreakHyphen/>
        <w:t xml:space="preserve">location to </w:t>
      </w:r>
      <w:r w:rsidRPr="00994E8B">
        <w:rPr>
          <w:b/>
        </w:rPr>
        <w:t>MNOs</w:t>
      </w:r>
      <w:r w:rsidRPr="00994E8B">
        <w:t xml:space="preserve">, or the applicant must provide evidence that the Proposed Solution is unable to support an additional </w:t>
      </w:r>
      <w:r w:rsidRPr="00994E8B">
        <w:rPr>
          <w:b/>
        </w:rPr>
        <w:t>MNO</w:t>
      </w:r>
      <w:r w:rsidRPr="00994E8B">
        <w:t xml:space="preserve"> for technical or other reasons (for example because the </w:t>
      </w:r>
      <w:r w:rsidR="00E93238" w:rsidRPr="00994E8B">
        <w:t>applicant</w:t>
      </w:r>
      <w:r w:rsidRPr="00994E8B">
        <w:t xml:space="preserve"> does not own or control the site).</w:t>
      </w:r>
    </w:p>
    <w:p w14:paraId="285CC0F2" w14:textId="77777777" w:rsidR="007C4B8D" w:rsidRPr="00994E8B" w:rsidRDefault="007C4B8D" w:rsidP="00010D38">
      <w:r w:rsidRPr="00994E8B">
        <w:rPr>
          <w:b/>
        </w:rPr>
        <w:t>MNOs</w:t>
      </w:r>
      <w:r w:rsidRPr="00994E8B">
        <w:t xml:space="preserve"> who are not included in the Proposed </w:t>
      </w:r>
      <w:r w:rsidR="007009DE" w:rsidRPr="00994E8B">
        <w:rPr>
          <w:b/>
        </w:rPr>
        <w:t>Mobile Black Spot Solution</w:t>
      </w:r>
      <w:r w:rsidRPr="00994E8B">
        <w:t xml:space="preserve"> </w:t>
      </w:r>
      <w:r w:rsidR="00E5358D" w:rsidRPr="00994E8B">
        <w:t>as</w:t>
      </w:r>
      <w:r w:rsidRPr="00994E8B">
        <w:t xml:space="preserve"> submitted </w:t>
      </w:r>
      <w:r w:rsidR="00E5358D" w:rsidRPr="00994E8B">
        <w:t xml:space="preserve">in your </w:t>
      </w:r>
      <w:r w:rsidRPr="00994E8B">
        <w:t>application will be responsible for meeting their own expenses for</w:t>
      </w:r>
      <w:r w:rsidR="00397BAE" w:rsidRPr="00994E8B">
        <w:t xml:space="preserve"> active sharing and / or </w:t>
      </w:r>
      <w:r w:rsidRPr="00994E8B">
        <w:t>co</w:t>
      </w:r>
      <w:r w:rsidR="00397BAE" w:rsidRPr="00994E8B">
        <w:noBreakHyphen/>
      </w:r>
      <w:r w:rsidRPr="00994E8B">
        <w:t>locating</w:t>
      </w:r>
      <w:r w:rsidR="00397BAE" w:rsidRPr="00994E8B">
        <w:t xml:space="preserve"> at the site</w:t>
      </w:r>
      <w:r w:rsidRPr="00994E8B">
        <w:t>.</w:t>
      </w:r>
    </w:p>
    <w:p w14:paraId="0962CDA6" w14:textId="77777777" w:rsidR="00317203" w:rsidRPr="00994E8B" w:rsidRDefault="007C4B8D" w:rsidP="00317203">
      <w:r w:rsidRPr="00994E8B">
        <w:t xml:space="preserve">The </w:t>
      </w:r>
      <w:r w:rsidR="00317203" w:rsidRPr="00994E8B">
        <w:t xml:space="preserve">detailed </w:t>
      </w:r>
      <w:r w:rsidRPr="00994E8B">
        <w:t xml:space="preserve">requirements for the </w:t>
      </w:r>
      <w:r w:rsidRPr="00994E8B">
        <w:rPr>
          <w:b/>
        </w:rPr>
        <w:t>MNO</w:t>
      </w:r>
      <w:r w:rsidRPr="00994E8B">
        <w:t xml:space="preserve"> to offer </w:t>
      </w:r>
      <w:r w:rsidR="00317203" w:rsidRPr="00994E8B">
        <w:t xml:space="preserve">the option of </w:t>
      </w:r>
      <w:r w:rsidRPr="00994E8B">
        <w:t xml:space="preserve">co-location to other </w:t>
      </w:r>
      <w:r w:rsidRPr="00994E8B">
        <w:rPr>
          <w:b/>
        </w:rPr>
        <w:t>MNOs</w:t>
      </w:r>
      <w:r w:rsidRPr="00994E8B">
        <w:t xml:space="preserve"> not participating in the lead proposal a</w:t>
      </w:r>
      <w:r w:rsidR="00A174C2" w:rsidRPr="00994E8B">
        <w:t>re</w:t>
      </w:r>
      <w:r w:rsidRPr="00994E8B">
        <w:t xml:space="preserve"> set out in </w:t>
      </w:r>
      <w:r w:rsidRPr="00994E8B">
        <w:rPr>
          <w:b/>
        </w:rPr>
        <w:t>Attachment A</w:t>
      </w:r>
      <w:r w:rsidRPr="00994E8B">
        <w:t xml:space="preserve">. </w:t>
      </w:r>
      <w:r w:rsidR="00317203" w:rsidRPr="00994E8B">
        <w:t xml:space="preserve">Other </w:t>
      </w:r>
      <w:r w:rsidR="00317203" w:rsidRPr="00994E8B">
        <w:rPr>
          <w:b/>
        </w:rPr>
        <w:t>MNOs</w:t>
      </w:r>
      <w:r w:rsidR="00317203" w:rsidRPr="00994E8B">
        <w:t xml:space="preserve"> will be provided with an opportunity to express interest in co-location before the detailed design phase. The </w:t>
      </w:r>
      <w:r w:rsidR="00317203" w:rsidRPr="00994E8B">
        <w:rPr>
          <w:b/>
        </w:rPr>
        <w:t>MNO</w:t>
      </w:r>
      <w:r w:rsidR="00317203" w:rsidRPr="00994E8B">
        <w:t xml:space="preserve"> </w:t>
      </w:r>
      <w:r w:rsidR="00453B5D" w:rsidRPr="00994E8B">
        <w:t xml:space="preserve">will </w:t>
      </w:r>
      <w:r w:rsidR="00317203" w:rsidRPr="00994E8B">
        <w:t>not be required to design or build the site to allow for co-location if no such expressions of interest are received.</w:t>
      </w:r>
    </w:p>
    <w:p w14:paraId="2E780297" w14:textId="2F8D174D" w:rsidR="00A35F51" w:rsidRPr="00994E8B" w:rsidRDefault="00907078" w:rsidP="002E4AD3">
      <w:pPr>
        <w:pStyle w:val="Heading2"/>
      </w:pPr>
      <w:bookmarkStart w:id="103" w:name="_Toc494290495"/>
      <w:bookmarkStart w:id="104" w:name="_Toc129956290"/>
      <w:bookmarkEnd w:id="102"/>
      <w:bookmarkEnd w:id="103"/>
      <w:r w:rsidRPr="00994E8B">
        <w:t>What the grant money can be used for</w:t>
      </w:r>
      <w:bookmarkEnd w:id="104"/>
    </w:p>
    <w:p w14:paraId="4D0837EA" w14:textId="495897E5" w:rsidR="00387218" w:rsidRPr="00994E8B" w:rsidRDefault="007101E7" w:rsidP="0014541A">
      <w:pPr>
        <w:pStyle w:val="Heading3"/>
      </w:pPr>
      <w:bookmarkStart w:id="105" w:name="_Ref120616560"/>
      <w:bookmarkStart w:id="106" w:name="_Toc129956291"/>
      <w:r w:rsidRPr="00994E8B">
        <w:t>Eligible</w:t>
      </w:r>
      <w:r w:rsidR="00805843" w:rsidRPr="00994E8B">
        <w:t xml:space="preserve"> </w:t>
      </w:r>
      <w:r w:rsidR="0043194E" w:rsidRPr="00994E8B">
        <w:t>g</w:t>
      </w:r>
      <w:r w:rsidR="00805843" w:rsidRPr="00994E8B">
        <w:t xml:space="preserve">rant </w:t>
      </w:r>
      <w:r w:rsidR="0043194E" w:rsidRPr="00994E8B">
        <w:t>a</w:t>
      </w:r>
      <w:r w:rsidR="00805843" w:rsidRPr="00994E8B">
        <w:t>ctivities</w:t>
      </w:r>
      <w:bookmarkEnd w:id="105"/>
      <w:bookmarkEnd w:id="106"/>
    </w:p>
    <w:p w14:paraId="4F55FCC6" w14:textId="1EDF2563" w:rsidR="002E33E9" w:rsidRPr="00994E8B" w:rsidRDefault="00955DAE" w:rsidP="0014541A">
      <w:pPr>
        <w:rPr>
          <w:rFonts w:cs="Arial"/>
        </w:rPr>
      </w:pPr>
      <w:bookmarkStart w:id="107" w:name="_Hlk129907777"/>
      <w:bookmarkStart w:id="108" w:name="_Ref468355814"/>
      <w:bookmarkStart w:id="109" w:name="_Toc383003258"/>
      <w:bookmarkStart w:id="110" w:name="_Toc164844265"/>
      <w:r w:rsidRPr="00994E8B">
        <w:rPr>
          <w:rFonts w:cs="Arial"/>
        </w:rPr>
        <w:t xml:space="preserve">This </w:t>
      </w:r>
      <w:r w:rsidR="00D00B64" w:rsidRPr="00994E8B">
        <w:rPr>
          <w:rFonts w:cs="Arial"/>
        </w:rPr>
        <w:t xml:space="preserve">Round of the </w:t>
      </w:r>
      <w:bookmarkEnd w:id="107"/>
      <w:r w:rsidR="00D00B64" w:rsidRPr="00994E8B">
        <w:rPr>
          <w:rFonts w:cs="Arial"/>
        </w:rPr>
        <w:t>Program comprises two funding streams</w:t>
      </w:r>
      <w:r w:rsidR="00913520" w:rsidRPr="00994E8B">
        <w:rPr>
          <w:rFonts w:cs="Arial"/>
        </w:rPr>
        <w:t xml:space="preserve">: </w:t>
      </w:r>
    </w:p>
    <w:p w14:paraId="30CF1FEE" w14:textId="3157C26E" w:rsidR="002E33E9" w:rsidRPr="00994E8B" w:rsidRDefault="00913520" w:rsidP="0014541A">
      <w:pPr>
        <w:pStyle w:val="ListParagraph"/>
        <w:numPr>
          <w:ilvl w:val="0"/>
          <w:numId w:val="21"/>
        </w:numPr>
        <w:rPr>
          <w:rFonts w:cs="Arial"/>
        </w:rPr>
      </w:pPr>
      <w:r w:rsidRPr="00994E8B">
        <w:rPr>
          <w:rFonts w:cs="Arial"/>
        </w:rPr>
        <w:t xml:space="preserve">the </w:t>
      </w:r>
      <w:r w:rsidRPr="00994E8B">
        <w:rPr>
          <w:b/>
        </w:rPr>
        <w:t>Regional</w:t>
      </w:r>
      <w:r w:rsidRPr="00994E8B">
        <w:rPr>
          <w:rFonts w:cs="Arial"/>
          <w:b/>
        </w:rPr>
        <w:t xml:space="preserve"> Connectivity </w:t>
      </w:r>
      <w:r w:rsidR="00B74C91" w:rsidRPr="00994E8B">
        <w:rPr>
          <w:rFonts w:cs="Arial"/>
          <w:b/>
        </w:rPr>
        <w:t>(Round</w:t>
      </w:r>
      <w:r w:rsidR="007D7707">
        <w:rPr>
          <w:rFonts w:cs="Arial"/>
          <w:b/>
        </w:rPr>
        <w:t xml:space="preserve"> </w:t>
      </w:r>
      <w:r w:rsidR="00B74C91" w:rsidRPr="00994E8B">
        <w:rPr>
          <w:rFonts w:cs="Arial"/>
          <w:b/>
        </w:rPr>
        <w:t>3)</w:t>
      </w:r>
      <w:r w:rsidRPr="00994E8B">
        <w:rPr>
          <w:rFonts w:cs="Arial"/>
        </w:rPr>
        <w:t xml:space="preserve"> </w:t>
      </w:r>
      <w:r w:rsidR="007009DE" w:rsidRPr="00994E8B">
        <w:rPr>
          <w:rFonts w:cs="Arial"/>
        </w:rPr>
        <w:t xml:space="preserve">funding </w:t>
      </w:r>
      <w:r w:rsidRPr="00994E8B">
        <w:rPr>
          <w:rFonts w:cs="Arial"/>
        </w:rPr>
        <w:t>stream</w:t>
      </w:r>
      <w:r w:rsidR="00077AD6" w:rsidRPr="00994E8B">
        <w:rPr>
          <w:rFonts w:cs="Arial"/>
        </w:rPr>
        <w:t>;</w:t>
      </w:r>
      <w:r w:rsidRPr="00994E8B">
        <w:rPr>
          <w:rFonts w:cs="Arial"/>
        </w:rPr>
        <w:t xml:space="preserve"> and </w:t>
      </w:r>
    </w:p>
    <w:p w14:paraId="1508CBCC" w14:textId="32DADB63" w:rsidR="009908E4" w:rsidRPr="00994E8B" w:rsidRDefault="00913520" w:rsidP="0014541A">
      <w:pPr>
        <w:pStyle w:val="ListParagraph"/>
        <w:numPr>
          <w:ilvl w:val="0"/>
          <w:numId w:val="21"/>
        </w:numPr>
        <w:rPr>
          <w:rFonts w:cs="Arial"/>
        </w:rPr>
      </w:pPr>
      <w:r w:rsidRPr="00994E8B">
        <w:rPr>
          <w:rFonts w:cs="Arial"/>
        </w:rPr>
        <w:t xml:space="preserve">the </w:t>
      </w:r>
      <w:r w:rsidR="007009DE" w:rsidRPr="00994E8B">
        <w:rPr>
          <w:rFonts w:cs="Arial"/>
          <w:b/>
        </w:rPr>
        <w:t xml:space="preserve">Mobile Black Spot </w:t>
      </w:r>
      <w:r w:rsidR="00B74C91" w:rsidRPr="00994E8B">
        <w:rPr>
          <w:rFonts w:cs="Arial"/>
          <w:b/>
        </w:rPr>
        <w:t>(Round 7)</w:t>
      </w:r>
      <w:r w:rsidR="00D27E5D" w:rsidRPr="00994E8B">
        <w:rPr>
          <w:rFonts w:cs="Arial"/>
        </w:rPr>
        <w:t xml:space="preserve"> </w:t>
      </w:r>
      <w:r w:rsidR="007009DE" w:rsidRPr="00994E8B">
        <w:rPr>
          <w:rFonts w:cs="Arial"/>
        </w:rPr>
        <w:t xml:space="preserve">funding </w:t>
      </w:r>
      <w:r w:rsidRPr="00994E8B">
        <w:rPr>
          <w:rFonts w:cs="Arial"/>
        </w:rPr>
        <w:t>stream</w:t>
      </w:r>
      <w:r w:rsidR="00D00B64" w:rsidRPr="00994E8B">
        <w:rPr>
          <w:rFonts w:cs="Arial"/>
        </w:rPr>
        <w:t>.</w:t>
      </w:r>
      <w:r w:rsidRPr="00994E8B">
        <w:rPr>
          <w:rFonts w:cs="Arial"/>
        </w:rPr>
        <w:t xml:space="preserve"> </w:t>
      </w:r>
    </w:p>
    <w:p w14:paraId="0D7F1EE3" w14:textId="111F2F26" w:rsidR="00913520" w:rsidRPr="00994E8B" w:rsidRDefault="00FC7D11" w:rsidP="0014541A">
      <w:pPr>
        <w:rPr>
          <w:rFonts w:cs="Arial"/>
        </w:rPr>
      </w:pPr>
      <w:r w:rsidRPr="00994E8B">
        <w:rPr>
          <w:rFonts w:cs="Arial"/>
        </w:rPr>
        <w:t xml:space="preserve">Proposed </w:t>
      </w:r>
      <w:r w:rsidR="00B74C91" w:rsidRPr="00994E8B">
        <w:rPr>
          <w:rFonts w:cs="Arial"/>
        </w:rPr>
        <w:t xml:space="preserve">Regional Connectivity </w:t>
      </w:r>
      <w:r w:rsidR="00913520" w:rsidRPr="00994E8B">
        <w:rPr>
          <w:rFonts w:cs="Arial"/>
        </w:rPr>
        <w:t xml:space="preserve">Solutions under the </w:t>
      </w:r>
      <w:r w:rsidR="00913520" w:rsidRPr="00994E8B">
        <w:rPr>
          <w:rFonts w:cs="Arial"/>
          <w:b/>
        </w:rPr>
        <w:t xml:space="preserve">Regional Connectivity </w:t>
      </w:r>
      <w:r w:rsidR="00B74C91" w:rsidRPr="00994E8B">
        <w:rPr>
          <w:rFonts w:cs="Arial"/>
          <w:b/>
        </w:rPr>
        <w:t>(Round 3)</w:t>
      </w:r>
      <w:r w:rsidR="00913520" w:rsidRPr="00994E8B">
        <w:rPr>
          <w:rFonts w:cs="Arial"/>
        </w:rPr>
        <w:t xml:space="preserve"> stream are limited to broadband connectivity solutions </w:t>
      </w:r>
      <w:r w:rsidR="00913520" w:rsidRPr="00994E8B">
        <w:rPr>
          <w:rFonts w:cs="Arial"/>
          <w:b/>
        </w:rPr>
        <w:t>and</w:t>
      </w:r>
      <w:r w:rsidR="00787334" w:rsidRPr="00994E8B">
        <w:rPr>
          <w:rFonts w:cs="Arial"/>
          <w:b/>
        </w:rPr>
        <w:t>/or</w:t>
      </w:r>
      <w:r w:rsidR="00913520" w:rsidRPr="00994E8B">
        <w:rPr>
          <w:rFonts w:cs="Arial"/>
        </w:rPr>
        <w:t xml:space="preserve"> mobile capacity improvement solutions in Eligible Areas.</w:t>
      </w:r>
    </w:p>
    <w:p w14:paraId="60D0B2C5" w14:textId="4F56EB3F" w:rsidR="00913520" w:rsidRPr="00994E8B" w:rsidRDefault="00FC7D11" w:rsidP="0014541A">
      <w:pPr>
        <w:rPr>
          <w:rFonts w:cs="Arial"/>
        </w:rPr>
      </w:pPr>
      <w:r w:rsidRPr="00994E8B">
        <w:rPr>
          <w:rFonts w:cs="Arial"/>
        </w:rPr>
        <w:t xml:space="preserve">Proposed </w:t>
      </w:r>
      <w:r w:rsidR="00B74C91" w:rsidRPr="00994E8B">
        <w:rPr>
          <w:rFonts w:cs="Arial"/>
        </w:rPr>
        <w:t xml:space="preserve">Mobile Black Spot </w:t>
      </w:r>
      <w:r w:rsidR="00913520" w:rsidRPr="00994E8B">
        <w:rPr>
          <w:rFonts w:cs="Arial"/>
        </w:rPr>
        <w:t xml:space="preserve">Solutions under the </w:t>
      </w:r>
      <w:r w:rsidR="007009DE" w:rsidRPr="00994E8B">
        <w:rPr>
          <w:rFonts w:cs="Arial"/>
          <w:b/>
        </w:rPr>
        <w:t xml:space="preserve">Mobile Black Spot </w:t>
      </w:r>
      <w:r w:rsidR="00B74C91" w:rsidRPr="00994E8B">
        <w:rPr>
          <w:rFonts w:cs="Arial"/>
          <w:b/>
        </w:rPr>
        <w:t>(Round 7)</w:t>
      </w:r>
      <w:r w:rsidR="00D27E5D" w:rsidRPr="00994E8B">
        <w:rPr>
          <w:rFonts w:cs="Arial"/>
        </w:rPr>
        <w:t xml:space="preserve"> </w:t>
      </w:r>
      <w:r w:rsidR="00913520" w:rsidRPr="00994E8B">
        <w:rPr>
          <w:rFonts w:cs="Arial"/>
        </w:rPr>
        <w:t xml:space="preserve">stream are limited to mobile infrastructure in Eligible Areas that extends the coverage of one or more </w:t>
      </w:r>
      <w:r w:rsidR="00E733FF" w:rsidRPr="00994E8B">
        <w:rPr>
          <w:rFonts w:cs="Arial"/>
          <w:b/>
        </w:rPr>
        <w:t>N</w:t>
      </w:r>
      <w:r w:rsidR="00913520" w:rsidRPr="00994E8B">
        <w:rPr>
          <w:rFonts w:cs="Arial"/>
          <w:b/>
        </w:rPr>
        <w:t>ational</w:t>
      </w:r>
      <w:r w:rsidR="00913520" w:rsidRPr="00994E8B">
        <w:rPr>
          <w:rFonts w:cs="Arial"/>
        </w:rPr>
        <w:t xml:space="preserve"> </w:t>
      </w:r>
      <w:r w:rsidR="00913520" w:rsidRPr="00994E8B">
        <w:rPr>
          <w:rFonts w:cs="Arial"/>
          <w:b/>
        </w:rPr>
        <w:t>MNO’s</w:t>
      </w:r>
      <w:r w:rsidR="00913520" w:rsidRPr="00994E8B">
        <w:rPr>
          <w:rFonts w:cs="Arial"/>
        </w:rPr>
        <w:t xml:space="preserve"> mobile network to an area without </w:t>
      </w:r>
      <w:r w:rsidR="00913520" w:rsidRPr="00994E8B">
        <w:rPr>
          <w:rFonts w:cs="Arial"/>
          <w:b/>
        </w:rPr>
        <w:t>Existing Handheld Coverage</w:t>
      </w:r>
      <w:r w:rsidR="00913520" w:rsidRPr="00994E8B">
        <w:rPr>
          <w:rFonts w:cs="Arial"/>
        </w:rPr>
        <w:t>.</w:t>
      </w:r>
    </w:p>
    <w:p w14:paraId="41671445" w14:textId="77777777" w:rsidR="00475B03" w:rsidRPr="00994E8B" w:rsidRDefault="003848A4" w:rsidP="0014541A">
      <w:pPr>
        <w:rPr>
          <w:rFonts w:cs="Arial"/>
        </w:rPr>
      </w:pPr>
      <w:r w:rsidRPr="00994E8B">
        <w:rPr>
          <w:rFonts w:cs="Arial"/>
        </w:rPr>
        <w:t xml:space="preserve">To be eligible </w:t>
      </w:r>
      <w:r w:rsidR="00475B03" w:rsidRPr="00994E8B">
        <w:rPr>
          <w:rFonts w:cs="Arial"/>
        </w:rPr>
        <w:t>your Proposed Solution must:</w:t>
      </w:r>
    </w:p>
    <w:p w14:paraId="2A8179B4" w14:textId="77777777" w:rsidR="00913520" w:rsidRPr="00994E8B" w:rsidRDefault="00913520" w:rsidP="0014541A">
      <w:pPr>
        <w:pStyle w:val="ListParagraph"/>
        <w:numPr>
          <w:ilvl w:val="0"/>
          <w:numId w:val="29"/>
        </w:numPr>
        <w:rPr>
          <w:rFonts w:cs="Arial"/>
        </w:rPr>
      </w:pPr>
      <w:r w:rsidRPr="00994E8B">
        <w:rPr>
          <w:rFonts w:cs="Arial"/>
        </w:rPr>
        <w:t>provide access to mobile or broadband services in Eligible Areas as set out in Section 5.2; and</w:t>
      </w:r>
    </w:p>
    <w:p w14:paraId="4426B1AD" w14:textId="77777777" w:rsidR="00D27E5D" w:rsidRPr="00994E8B" w:rsidRDefault="00475B03" w:rsidP="0014541A">
      <w:pPr>
        <w:pStyle w:val="ListParagraph"/>
        <w:numPr>
          <w:ilvl w:val="0"/>
          <w:numId w:val="29"/>
        </w:numPr>
        <w:rPr>
          <w:rFonts w:cs="Arial"/>
        </w:rPr>
      </w:pPr>
      <w:r w:rsidRPr="00994E8B">
        <w:rPr>
          <w:rFonts w:cs="Arial"/>
        </w:rPr>
        <w:t>not have started construction or be part of the participating telecommunications provider’s forward bu</w:t>
      </w:r>
      <w:r w:rsidR="00A01665" w:rsidRPr="00994E8B">
        <w:rPr>
          <w:rFonts w:cs="Arial"/>
        </w:rPr>
        <w:t xml:space="preserve">ild network or upgrade plans </w:t>
      </w:r>
      <w:r w:rsidR="00A01665" w:rsidRPr="00994E8B">
        <w:rPr>
          <w:rFonts w:cstheme="minorHAnsi"/>
        </w:rPr>
        <w:t>from the period commencing from the date the Grant Opportunity opens until 30 June 202</w:t>
      </w:r>
      <w:r w:rsidR="003642FA" w:rsidRPr="00994E8B">
        <w:rPr>
          <w:rFonts w:cstheme="minorHAnsi"/>
        </w:rPr>
        <w:t>7</w:t>
      </w:r>
      <w:r w:rsidR="002B3260" w:rsidRPr="00994E8B">
        <w:rPr>
          <w:rFonts w:cstheme="minorHAnsi"/>
        </w:rPr>
        <w:t>;</w:t>
      </w:r>
      <w:r w:rsidR="00A250F2" w:rsidRPr="00994E8B">
        <w:rPr>
          <w:rFonts w:cstheme="minorHAnsi"/>
        </w:rPr>
        <w:t xml:space="preserve"> </w:t>
      </w:r>
    </w:p>
    <w:p w14:paraId="1B7B1809" w14:textId="10FEB70B" w:rsidR="00475B03" w:rsidRPr="00994E8B" w:rsidRDefault="00475B03" w:rsidP="0014541A">
      <w:pPr>
        <w:pStyle w:val="ListParagraph"/>
        <w:numPr>
          <w:ilvl w:val="0"/>
          <w:numId w:val="29"/>
        </w:numPr>
        <w:rPr>
          <w:rFonts w:cs="Arial"/>
        </w:rPr>
      </w:pPr>
      <w:r w:rsidRPr="00994E8B">
        <w:rPr>
          <w:rFonts w:cs="Arial"/>
        </w:rPr>
        <w:t xml:space="preserve">for </w:t>
      </w:r>
      <w:r w:rsidR="00EF1E1F" w:rsidRPr="00994E8B">
        <w:rPr>
          <w:rFonts w:cs="Arial"/>
        </w:rPr>
        <w:t>all macro cell mobile solutions (under both</w:t>
      </w:r>
      <w:r w:rsidR="00EF1E1F" w:rsidRPr="00994E8B">
        <w:rPr>
          <w:rFonts w:cs="Arial"/>
          <w:b/>
        </w:rPr>
        <w:t xml:space="preserve"> streams</w:t>
      </w:r>
      <w:r w:rsidR="00EF1E1F" w:rsidRPr="00994E8B">
        <w:rPr>
          <w:rFonts w:cs="Arial"/>
        </w:rPr>
        <w:t>)</w:t>
      </w:r>
      <w:r w:rsidRPr="00994E8B">
        <w:rPr>
          <w:rFonts w:cs="Arial"/>
        </w:rPr>
        <w:t>, include a back-up power supply which provides back up power for a minimum of 12 hours</w:t>
      </w:r>
      <w:r w:rsidR="006F3D2A" w:rsidRPr="00994E8B">
        <w:rPr>
          <w:rFonts w:cs="Arial"/>
        </w:rPr>
        <w:t xml:space="preserve"> and, where technically feasible, </w:t>
      </w:r>
      <w:r w:rsidR="004279EF" w:rsidRPr="00994E8B">
        <w:rPr>
          <w:rFonts w:cs="Arial"/>
        </w:rPr>
        <w:t xml:space="preserve">for other </w:t>
      </w:r>
      <w:r w:rsidR="0022474D" w:rsidRPr="00994E8B">
        <w:rPr>
          <w:rFonts w:cs="Arial"/>
        </w:rPr>
        <w:t>Proposed</w:t>
      </w:r>
      <w:r w:rsidR="004279EF" w:rsidRPr="00994E8B">
        <w:rPr>
          <w:rFonts w:cs="Arial"/>
        </w:rPr>
        <w:t xml:space="preserve"> </w:t>
      </w:r>
      <w:r w:rsidR="00FC7D11" w:rsidRPr="00994E8B">
        <w:rPr>
          <w:rFonts w:cs="Arial"/>
        </w:rPr>
        <w:t>S</w:t>
      </w:r>
      <w:r w:rsidR="004279EF" w:rsidRPr="00994E8B">
        <w:rPr>
          <w:rFonts w:cs="Arial"/>
        </w:rPr>
        <w:t>olutions,</w:t>
      </w:r>
      <w:r w:rsidRPr="00994E8B">
        <w:rPr>
          <w:rFonts w:cs="Arial"/>
        </w:rPr>
        <w:t xml:space="preserve"> in the event of the loss of external power to the site</w:t>
      </w:r>
      <w:r w:rsidR="002B3260" w:rsidRPr="00994E8B">
        <w:rPr>
          <w:rFonts w:cs="Arial"/>
        </w:rPr>
        <w:t>; and</w:t>
      </w:r>
    </w:p>
    <w:p w14:paraId="5C55D11B" w14:textId="7E537B3F" w:rsidR="00393A2D" w:rsidRPr="00994E8B" w:rsidRDefault="00CE43D4" w:rsidP="0014541A">
      <w:pPr>
        <w:pStyle w:val="ListParagraph"/>
        <w:numPr>
          <w:ilvl w:val="0"/>
          <w:numId w:val="29"/>
        </w:numPr>
      </w:pPr>
      <w:r w:rsidRPr="00994E8B">
        <w:rPr>
          <w:rFonts w:cs="Arial"/>
        </w:rPr>
        <w:t xml:space="preserve">show </w:t>
      </w:r>
      <w:r w:rsidRPr="00994E8B">
        <w:t xml:space="preserve">evidence of a commitment from at least one retail service provider to use the infrastructure to deliver telecommunications services for </w:t>
      </w:r>
      <w:r w:rsidR="00D27E5D" w:rsidRPr="00994E8B">
        <w:t xml:space="preserve">the relevant </w:t>
      </w:r>
      <w:r w:rsidR="001C2044" w:rsidRPr="00994E8B">
        <w:t>O</w:t>
      </w:r>
      <w:r w:rsidR="00D27E5D" w:rsidRPr="00994E8B">
        <w:t xml:space="preserve">perational </w:t>
      </w:r>
      <w:r w:rsidR="001C2044" w:rsidRPr="00994E8B">
        <w:t>P</w:t>
      </w:r>
      <w:r w:rsidR="00D27E5D" w:rsidRPr="00994E8B">
        <w:t xml:space="preserve">eriod at </w:t>
      </w:r>
      <w:r w:rsidR="00BD6612" w:rsidRPr="00994E8B">
        <w:t xml:space="preserve">section </w:t>
      </w:r>
      <w:r w:rsidR="00D27E5D" w:rsidRPr="00994E8B">
        <w:t>2.2.3</w:t>
      </w:r>
      <w:r w:rsidR="00C25A1B" w:rsidRPr="00994E8B">
        <w:t>.</w:t>
      </w:r>
    </w:p>
    <w:p w14:paraId="6343EFB8" w14:textId="77777777" w:rsidR="00393A2D" w:rsidRPr="00994E8B" w:rsidRDefault="00393A2D" w:rsidP="0014541A">
      <w:r w:rsidRPr="00994E8B">
        <w:lastRenderedPageBreak/>
        <w:t xml:space="preserve">In </w:t>
      </w:r>
      <w:r w:rsidR="00E2664E" w:rsidRPr="00994E8B">
        <w:t>addition,</w:t>
      </w:r>
      <w:r w:rsidR="00913520" w:rsidRPr="00994E8B">
        <w:t xml:space="preserve"> your</w:t>
      </w:r>
      <w:r w:rsidR="00E2664E" w:rsidRPr="00994E8B">
        <w:t xml:space="preserve"> </w:t>
      </w:r>
      <w:r w:rsidR="00F015C5" w:rsidRPr="00994E8B">
        <w:t xml:space="preserve">Proposed </w:t>
      </w:r>
      <w:r w:rsidR="00913520" w:rsidRPr="00994E8B">
        <w:rPr>
          <w:b/>
        </w:rPr>
        <w:t xml:space="preserve">Regional </w:t>
      </w:r>
      <w:r w:rsidR="009F6847" w:rsidRPr="00994E8B">
        <w:rPr>
          <w:b/>
        </w:rPr>
        <w:t>Connectivity</w:t>
      </w:r>
      <w:r w:rsidR="00E2664E" w:rsidRPr="00994E8B">
        <w:rPr>
          <w:b/>
        </w:rPr>
        <w:t xml:space="preserve"> Solutions</w:t>
      </w:r>
      <w:r w:rsidR="00E2664E" w:rsidRPr="00994E8B">
        <w:t xml:space="preserve"> must:</w:t>
      </w:r>
    </w:p>
    <w:p w14:paraId="405049CC" w14:textId="77777777" w:rsidR="00E2664E" w:rsidRPr="00994E8B" w:rsidRDefault="00E2664E" w:rsidP="0014541A">
      <w:pPr>
        <w:pStyle w:val="ListParagraph"/>
        <w:numPr>
          <w:ilvl w:val="0"/>
          <w:numId w:val="29"/>
        </w:numPr>
        <w:rPr>
          <w:rFonts w:cs="Arial"/>
        </w:rPr>
      </w:pPr>
      <w:r w:rsidRPr="00994E8B">
        <w:rPr>
          <w:rFonts w:cs="Arial"/>
        </w:rPr>
        <w:t xml:space="preserve">provide </w:t>
      </w:r>
      <w:r w:rsidR="007447D0" w:rsidRPr="00994E8B">
        <w:rPr>
          <w:rFonts w:cs="Arial"/>
        </w:rPr>
        <w:t xml:space="preserve">place-based </w:t>
      </w:r>
      <w:r w:rsidRPr="00994E8B">
        <w:rPr>
          <w:rFonts w:cs="Arial"/>
        </w:rPr>
        <w:t>telecommunications solutions to regional digital connectivity issues</w:t>
      </w:r>
      <w:r w:rsidR="007447D0" w:rsidRPr="00994E8B">
        <w:rPr>
          <w:rFonts w:cs="Arial"/>
        </w:rPr>
        <w:t>;</w:t>
      </w:r>
    </w:p>
    <w:p w14:paraId="632BFCC9" w14:textId="77777777" w:rsidR="00E2664E" w:rsidRPr="00994E8B" w:rsidRDefault="00E2664E" w:rsidP="0014541A">
      <w:pPr>
        <w:pStyle w:val="ListParagraph"/>
        <w:numPr>
          <w:ilvl w:val="0"/>
          <w:numId w:val="29"/>
        </w:numPr>
        <w:rPr>
          <w:rFonts w:cs="Arial"/>
        </w:rPr>
      </w:pPr>
      <w:r w:rsidRPr="00994E8B">
        <w:rPr>
          <w:rFonts w:cs="Arial"/>
        </w:rPr>
        <w:t>deliver new infrastructure or the upgrade or improvement of existing infrastructure; and</w:t>
      </w:r>
    </w:p>
    <w:p w14:paraId="298D9784" w14:textId="63AC1FF0" w:rsidR="00E2664E" w:rsidRPr="00994E8B" w:rsidRDefault="00E2664E" w:rsidP="0014541A">
      <w:pPr>
        <w:pStyle w:val="ListParagraph"/>
        <w:numPr>
          <w:ilvl w:val="0"/>
          <w:numId w:val="29"/>
        </w:numPr>
        <w:rPr>
          <w:rFonts w:cs="Arial"/>
        </w:rPr>
      </w:pPr>
      <w:r w:rsidRPr="00994E8B">
        <w:rPr>
          <w:rFonts w:cs="Arial"/>
        </w:rPr>
        <w:t xml:space="preserve">not overbuild a like-for-like service unless you can demonstrate a clear need for improvement and the </w:t>
      </w:r>
      <w:r w:rsidR="004B285E" w:rsidRPr="00994E8B">
        <w:rPr>
          <w:rFonts w:cs="Arial"/>
        </w:rPr>
        <w:t>Proposed Solution</w:t>
      </w:r>
      <w:r w:rsidRPr="00994E8B">
        <w:rPr>
          <w:rFonts w:cs="Arial"/>
        </w:rPr>
        <w:t xml:space="preserve"> would deliver a demonstrable and substantive improvement in service quality, coverage, reliability or speed.</w:t>
      </w:r>
    </w:p>
    <w:p w14:paraId="37FA7D64" w14:textId="77777777" w:rsidR="00E2664E" w:rsidRPr="00994E8B" w:rsidRDefault="00F015C5" w:rsidP="0014541A">
      <w:r w:rsidRPr="00994E8B">
        <w:t xml:space="preserve">Proposed </w:t>
      </w:r>
      <w:r w:rsidR="007009DE" w:rsidRPr="00994E8B">
        <w:rPr>
          <w:b/>
        </w:rPr>
        <w:t>Mobile Black Spot Solution</w:t>
      </w:r>
      <w:r w:rsidR="00E2664E" w:rsidRPr="00994E8B">
        <w:rPr>
          <w:b/>
        </w:rPr>
        <w:t>s</w:t>
      </w:r>
      <w:r w:rsidR="00E2664E" w:rsidRPr="00994E8B">
        <w:t xml:space="preserve"> must:</w:t>
      </w:r>
    </w:p>
    <w:p w14:paraId="1FA94863" w14:textId="77777777" w:rsidR="00591571" w:rsidRPr="00994E8B" w:rsidRDefault="00E2664E" w:rsidP="0014541A">
      <w:pPr>
        <w:pStyle w:val="ListParagraph"/>
        <w:numPr>
          <w:ilvl w:val="0"/>
          <w:numId w:val="29"/>
        </w:numPr>
      </w:pPr>
      <w:r w:rsidRPr="00994E8B">
        <w:t>provide New Mobile Coverage to</w:t>
      </w:r>
      <w:r w:rsidR="004E4A32" w:rsidRPr="00994E8B">
        <w:t xml:space="preserve"> a</w:t>
      </w:r>
      <w:r w:rsidRPr="00994E8B">
        <w:t xml:space="preserve"> location in regional, rural or remote Australia.</w:t>
      </w:r>
    </w:p>
    <w:p w14:paraId="3C4AB663" w14:textId="77777777" w:rsidR="002E1C12" w:rsidRPr="00994E8B" w:rsidRDefault="002E1C12" w:rsidP="0014541A">
      <w:pPr>
        <w:pStyle w:val="ListParagraph"/>
        <w:spacing w:after="0" w:line="240" w:lineRule="auto"/>
        <w:ind w:left="357"/>
      </w:pPr>
    </w:p>
    <w:p w14:paraId="1943C531" w14:textId="5D52245C" w:rsidR="00591571" w:rsidRPr="00994E8B" w:rsidRDefault="007447D0" w:rsidP="0014541A">
      <w:r w:rsidRPr="00994E8B">
        <w:t>Y</w:t>
      </w:r>
      <w:r w:rsidR="00F015C5" w:rsidRPr="00994E8B">
        <w:t xml:space="preserve">our Proposed </w:t>
      </w:r>
      <w:r w:rsidR="007009DE" w:rsidRPr="00994E8B">
        <w:rPr>
          <w:b/>
        </w:rPr>
        <w:t>Mobile Black Spot Solution</w:t>
      </w:r>
      <w:r w:rsidRPr="00994E8B">
        <w:rPr>
          <w:b/>
        </w:rPr>
        <w:t>(</w:t>
      </w:r>
      <w:r w:rsidR="00591571" w:rsidRPr="00994E8B">
        <w:rPr>
          <w:b/>
        </w:rPr>
        <w:t>s</w:t>
      </w:r>
      <w:r w:rsidRPr="00994E8B">
        <w:rPr>
          <w:b/>
        </w:rPr>
        <w:t>)</w:t>
      </w:r>
      <w:r w:rsidR="00591571" w:rsidRPr="00994E8B">
        <w:t xml:space="preserve"> must not be dependent on a </w:t>
      </w:r>
      <w:r w:rsidR="00913520" w:rsidRPr="00994E8B">
        <w:rPr>
          <w:b/>
        </w:rPr>
        <w:t xml:space="preserve">Regional </w:t>
      </w:r>
      <w:r w:rsidR="009F6847" w:rsidRPr="00994E8B">
        <w:rPr>
          <w:b/>
        </w:rPr>
        <w:t>Connectivity</w:t>
      </w:r>
      <w:r w:rsidR="00591571" w:rsidRPr="00994E8B">
        <w:rPr>
          <w:b/>
        </w:rPr>
        <w:t xml:space="preserve"> Solution</w:t>
      </w:r>
      <w:r w:rsidR="00591571" w:rsidRPr="00994E8B">
        <w:t xml:space="preserve"> in </w:t>
      </w:r>
      <w:r w:rsidR="00F015C5" w:rsidRPr="00994E8B">
        <w:t>your application</w:t>
      </w:r>
      <w:r w:rsidR="00591571" w:rsidRPr="00994E8B">
        <w:t>. Similar</w:t>
      </w:r>
      <w:r w:rsidR="00C65BC6" w:rsidRPr="00994E8B">
        <w:t>ly</w:t>
      </w:r>
      <w:r w:rsidR="00F015C5" w:rsidRPr="00994E8B">
        <w:t>,</w:t>
      </w:r>
      <w:r w:rsidR="00591571" w:rsidRPr="00994E8B">
        <w:t xml:space="preserve"> </w:t>
      </w:r>
      <w:r w:rsidR="00F015C5" w:rsidRPr="00994E8B">
        <w:t xml:space="preserve">your </w:t>
      </w:r>
      <w:r w:rsidR="00913520" w:rsidRPr="00994E8B">
        <w:rPr>
          <w:b/>
        </w:rPr>
        <w:t xml:space="preserve">Regional </w:t>
      </w:r>
      <w:r w:rsidR="009F6847" w:rsidRPr="00994E8B">
        <w:rPr>
          <w:b/>
        </w:rPr>
        <w:t>Connectivity</w:t>
      </w:r>
      <w:r w:rsidR="00591571" w:rsidRPr="00994E8B">
        <w:rPr>
          <w:b/>
        </w:rPr>
        <w:t xml:space="preserve"> Solution</w:t>
      </w:r>
      <w:r w:rsidRPr="00994E8B">
        <w:rPr>
          <w:b/>
        </w:rPr>
        <w:t>(</w:t>
      </w:r>
      <w:r w:rsidR="00591571" w:rsidRPr="00994E8B">
        <w:rPr>
          <w:b/>
        </w:rPr>
        <w:t>s</w:t>
      </w:r>
      <w:r w:rsidRPr="00994E8B">
        <w:rPr>
          <w:b/>
        </w:rPr>
        <w:t>)</w:t>
      </w:r>
      <w:r w:rsidR="00591571" w:rsidRPr="00994E8B">
        <w:t xml:space="preserve"> must not be dependent</w:t>
      </w:r>
      <w:r w:rsidR="004E4A32" w:rsidRPr="00994E8B">
        <w:t xml:space="preserve"> on</w:t>
      </w:r>
      <w:r w:rsidR="00591571" w:rsidRPr="00994E8B">
        <w:t xml:space="preserve"> a </w:t>
      </w:r>
      <w:r w:rsidR="007009DE" w:rsidRPr="00994E8B">
        <w:rPr>
          <w:b/>
        </w:rPr>
        <w:t>Mobile Black Spot Solution</w:t>
      </w:r>
      <w:r w:rsidR="00591571" w:rsidRPr="00994E8B">
        <w:t xml:space="preserve"> </w:t>
      </w:r>
      <w:r w:rsidR="00F015C5" w:rsidRPr="00994E8B">
        <w:t>in your</w:t>
      </w:r>
      <w:r w:rsidR="00591571" w:rsidRPr="00994E8B">
        <w:t xml:space="preserve"> </w:t>
      </w:r>
      <w:r w:rsidR="00F015C5" w:rsidRPr="00994E8B">
        <w:t>application</w:t>
      </w:r>
      <w:r w:rsidR="00591571" w:rsidRPr="00994E8B">
        <w:t>.</w:t>
      </w:r>
    </w:p>
    <w:p w14:paraId="57F09861" w14:textId="3349C606" w:rsidR="00E832A7" w:rsidRPr="00994E8B" w:rsidRDefault="00E832A7" w:rsidP="0014541A">
      <w:pPr>
        <w:pStyle w:val="Heading3"/>
      </w:pPr>
      <w:bookmarkStart w:id="111" w:name="_Toc506537727"/>
      <w:bookmarkStart w:id="112" w:name="_Toc506537728"/>
      <w:bookmarkStart w:id="113" w:name="_Toc506537729"/>
      <w:bookmarkStart w:id="114" w:name="_Toc506537730"/>
      <w:bookmarkStart w:id="115" w:name="_Toc506537731"/>
      <w:bookmarkStart w:id="116" w:name="_Toc506537732"/>
      <w:bookmarkStart w:id="117" w:name="_Toc506537733"/>
      <w:bookmarkStart w:id="118" w:name="_Toc506537734"/>
      <w:bookmarkStart w:id="119" w:name="_Toc506537735"/>
      <w:bookmarkStart w:id="120" w:name="_Toc506537736"/>
      <w:bookmarkStart w:id="121" w:name="_Toc506537737"/>
      <w:bookmarkStart w:id="122" w:name="_Toc506537738"/>
      <w:bookmarkStart w:id="123" w:name="_Toc506537739"/>
      <w:bookmarkStart w:id="124" w:name="_Toc506537740"/>
      <w:bookmarkStart w:id="125" w:name="_Toc506537741"/>
      <w:bookmarkStart w:id="126" w:name="_Toc506537742"/>
      <w:bookmarkStart w:id="127" w:name="_Eligible_locations"/>
      <w:bookmarkStart w:id="128" w:name="_Toc129956292"/>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994E8B">
        <w:t xml:space="preserve">Eligible </w:t>
      </w:r>
      <w:r w:rsidR="006E17CA" w:rsidRPr="00994E8B">
        <w:t>Areas</w:t>
      </w:r>
      <w:bookmarkEnd w:id="128"/>
    </w:p>
    <w:p w14:paraId="4412A831" w14:textId="6D2E63F0" w:rsidR="00475B03" w:rsidRPr="00994E8B" w:rsidRDefault="00475B03" w:rsidP="0014541A">
      <w:r w:rsidRPr="00994E8B">
        <w:t xml:space="preserve">Your application can include </w:t>
      </w:r>
      <w:r w:rsidR="004B285E" w:rsidRPr="00994E8B">
        <w:t xml:space="preserve">Proposed Solutions </w:t>
      </w:r>
      <w:r w:rsidRPr="00994E8B">
        <w:t xml:space="preserve">at different locations, as long as they are all in Eligible Areas. Each Proposed Solution will be individually assessed according to the </w:t>
      </w:r>
      <w:r w:rsidR="00232862" w:rsidRPr="00994E8B">
        <w:t xml:space="preserve">Assessment </w:t>
      </w:r>
      <w:r w:rsidRPr="00994E8B">
        <w:t>Criteria. Part or all of the Asset may be located in an Ineligible Area provided it supports services in Eligible Areas. Eligible Areas are all parts of Australia that do not fall within one or more of these Ineligible Areas.</w:t>
      </w:r>
    </w:p>
    <w:p w14:paraId="1ACB294F" w14:textId="77777777" w:rsidR="00475B03" w:rsidRPr="00994E8B" w:rsidRDefault="00475B03" w:rsidP="0014541A">
      <w:r w:rsidRPr="00994E8B">
        <w:t>Ineligible Areas are:</w:t>
      </w:r>
    </w:p>
    <w:p w14:paraId="7EFC7671" w14:textId="27BCDFDB" w:rsidR="00E2664E" w:rsidRPr="00994E8B" w:rsidRDefault="00475B03" w:rsidP="0014541A">
      <w:pPr>
        <w:pStyle w:val="ListParagraph"/>
        <w:numPr>
          <w:ilvl w:val="0"/>
          <w:numId w:val="30"/>
        </w:numPr>
      </w:pPr>
      <w:r w:rsidRPr="00994E8B">
        <w:t>Urban Centres and Localities geographical units classified by the Australian Bureau of Statistics as ‘Major Urban’, i.e. with a population of 100,000 or more</w:t>
      </w:r>
      <w:r w:rsidR="003E671B" w:rsidRPr="00994E8B">
        <w:rPr>
          <w:rStyle w:val="FootnoteReference"/>
        </w:rPr>
        <w:footnoteReference w:id="7"/>
      </w:r>
      <w:r w:rsidRPr="00994E8B">
        <w:t>. The Department will provide map overlays showing Ineligible Areas on request</w:t>
      </w:r>
      <w:r w:rsidR="00E2664E" w:rsidRPr="00994E8B">
        <w:t>.</w:t>
      </w:r>
    </w:p>
    <w:p w14:paraId="045D2FAE" w14:textId="15E37279" w:rsidR="00475B03" w:rsidRPr="00994E8B" w:rsidRDefault="000328C6" w:rsidP="0014541A">
      <w:r w:rsidRPr="00994E8B">
        <w:t xml:space="preserve">In addition, for </w:t>
      </w:r>
      <w:r w:rsidR="00381EB8" w:rsidRPr="00994E8B">
        <w:rPr>
          <w:b/>
        </w:rPr>
        <w:t xml:space="preserve">Regional </w:t>
      </w:r>
      <w:r w:rsidR="009F6847" w:rsidRPr="00994E8B">
        <w:rPr>
          <w:b/>
        </w:rPr>
        <w:t>Connectivity</w:t>
      </w:r>
      <w:r w:rsidRPr="00994E8B">
        <w:rPr>
          <w:b/>
        </w:rPr>
        <w:t xml:space="preserve"> </w:t>
      </w:r>
      <w:r w:rsidR="00E2664E" w:rsidRPr="00994E8B">
        <w:rPr>
          <w:b/>
        </w:rPr>
        <w:t>Solutions</w:t>
      </w:r>
      <w:r w:rsidR="00E2664E" w:rsidRPr="00994E8B">
        <w:t>, Ineligible Areas also include:</w:t>
      </w:r>
      <w:r w:rsidR="00475B03" w:rsidRPr="00994E8B">
        <w:t xml:space="preserve"> </w:t>
      </w:r>
    </w:p>
    <w:p w14:paraId="05FAD306" w14:textId="4B2350CA" w:rsidR="003642FA" w:rsidRPr="00994E8B" w:rsidRDefault="00475B03" w:rsidP="0014541A">
      <w:pPr>
        <w:pStyle w:val="ListParagraph"/>
        <w:numPr>
          <w:ilvl w:val="0"/>
          <w:numId w:val="30"/>
        </w:numPr>
      </w:pPr>
      <w:r w:rsidRPr="00994E8B">
        <w:t>Areas that NBN Co predominantly services or proposes to service with a Fixed-</w:t>
      </w:r>
      <w:r w:rsidR="002E1845" w:rsidRPr="00994E8B">
        <w:t>L</w:t>
      </w:r>
      <w:r w:rsidRPr="00994E8B">
        <w:t xml:space="preserve">ine service. Information on NBN Co’s rollout is available at </w:t>
      </w:r>
      <w:hyperlink r:id="rId27" w:history="1">
        <w:r w:rsidR="00EA59F4" w:rsidRPr="00994E8B">
          <w:rPr>
            <w:rStyle w:val="Hyperlink"/>
          </w:rPr>
          <w:t>www.nbnco.com.au/residential/learn/rollout-map</w:t>
        </w:r>
      </w:hyperlink>
      <w:r w:rsidRPr="00994E8B">
        <w:t>.</w:t>
      </w:r>
      <w:r w:rsidR="00EA59F4" w:rsidRPr="00994E8B">
        <w:t xml:space="preserve"> </w:t>
      </w:r>
    </w:p>
    <w:p w14:paraId="027E3220" w14:textId="77777777" w:rsidR="000328C6" w:rsidRPr="00994E8B" w:rsidRDefault="000328C6" w:rsidP="0014541A">
      <w:pPr>
        <w:pStyle w:val="ListParagraph"/>
        <w:ind w:left="360"/>
      </w:pPr>
    </w:p>
    <w:p w14:paraId="26C32980" w14:textId="246EC7B0" w:rsidR="006B3242" w:rsidRPr="00994E8B" w:rsidRDefault="003642FA" w:rsidP="0014541A">
      <w:pPr>
        <w:pStyle w:val="ListParagraph"/>
        <w:ind w:left="0"/>
        <w:contextualSpacing w:val="0"/>
      </w:pPr>
      <w:r w:rsidRPr="00994E8B">
        <w:t>For areas that NBN Co predominantly services</w:t>
      </w:r>
      <w:r w:rsidR="00E7141A" w:rsidRPr="00994E8B">
        <w:t xml:space="preserve"> or proposes to service</w:t>
      </w:r>
      <w:r w:rsidRPr="00994E8B">
        <w:t xml:space="preserve"> with </w:t>
      </w:r>
      <w:r w:rsidR="00D65A1B" w:rsidRPr="00994E8B">
        <w:t>F</w:t>
      </w:r>
      <w:r w:rsidRPr="00994E8B">
        <w:t xml:space="preserve">ixed </w:t>
      </w:r>
      <w:r w:rsidR="00D65A1B" w:rsidRPr="00994E8B">
        <w:t>W</w:t>
      </w:r>
      <w:r w:rsidRPr="00994E8B">
        <w:t xml:space="preserve">ireless </w:t>
      </w:r>
      <w:r w:rsidR="00A20EA7" w:rsidRPr="00994E8B">
        <w:t>technologies,</w:t>
      </w:r>
      <w:r w:rsidR="00540F16" w:rsidRPr="00994E8B">
        <w:t xml:space="preserve"> </w:t>
      </w:r>
      <w:r w:rsidR="004B285E" w:rsidRPr="00994E8B">
        <w:t>Proposed Solutions</w:t>
      </w:r>
      <w:r w:rsidR="00A20EA7" w:rsidRPr="00994E8B">
        <w:t xml:space="preserve"> that </w:t>
      </w:r>
      <w:r w:rsidR="004B285E" w:rsidRPr="00994E8B">
        <w:t xml:space="preserve">deliver </w:t>
      </w:r>
      <w:r w:rsidR="00450314" w:rsidRPr="00994E8B">
        <w:t>m</w:t>
      </w:r>
      <w:r w:rsidR="00A20EA7" w:rsidRPr="00994E8B">
        <w:t xml:space="preserve">obile </w:t>
      </w:r>
      <w:r w:rsidR="00450314" w:rsidRPr="00994E8B">
        <w:t>v</w:t>
      </w:r>
      <w:r w:rsidR="00A20EA7" w:rsidRPr="00994E8B">
        <w:t xml:space="preserve">oice and </w:t>
      </w:r>
      <w:r w:rsidR="00450314" w:rsidRPr="00994E8B">
        <w:t>d</w:t>
      </w:r>
      <w:r w:rsidR="00A20EA7" w:rsidRPr="00994E8B">
        <w:t xml:space="preserve">ata, </w:t>
      </w:r>
      <w:r w:rsidR="00D65A1B" w:rsidRPr="00994E8B">
        <w:t>F</w:t>
      </w:r>
      <w:r w:rsidR="00A20EA7" w:rsidRPr="00994E8B">
        <w:t>ixed-</w:t>
      </w:r>
      <w:r w:rsidR="00D65A1B" w:rsidRPr="00994E8B">
        <w:t>L</w:t>
      </w:r>
      <w:r w:rsidR="00A20EA7" w:rsidRPr="00994E8B">
        <w:t xml:space="preserve">ine </w:t>
      </w:r>
      <w:r w:rsidR="00450314" w:rsidRPr="00994E8B">
        <w:t>b</w:t>
      </w:r>
      <w:r w:rsidR="00A20EA7" w:rsidRPr="00994E8B">
        <w:t xml:space="preserve">roadband or </w:t>
      </w:r>
      <w:r w:rsidR="00577826" w:rsidRPr="00994E8B">
        <w:t xml:space="preserve">backhaul </w:t>
      </w:r>
      <w:r w:rsidR="00A55ED9" w:rsidRPr="00994E8B">
        <w:t>upgrade</w:t>
      </w:r>
      <w:r w:rsidR="00A20EA7" w:rsidRPr="00994E8B">
        <w:t xml:space="preserve"> solutions will be eligible for funding. </w:t>
      </w:r>
      <w:r w:rsidR="009D47E1" w:rsidRPr="00994E8B">
        <w:t>Fixed</w:t>
      </w:r>
      <w:r w:rsidR="003C45F0" w:rsidRPr="00994E8B">
        <w:t xml:space="preserve"> </w:t>
      </w:r>
      <w:r w:rsidR="002F44AD" w:rsidRPr="00994E8B">
        <w:t>W</w:t>
      </w:r>
      <w:r w:rsidR="009D47E1" w:rsidRPr="00994E8B">
        <w:t xml:space="preserve">ireless broadband </w:t>
      </w:r>
      <w:r w:rsidR="00263097" w:rsidRPr="00994E8B">
        <w:t>Proposed Solutions</w:t>
      </w:r>
      <w:r w:rsidR="009D47E1" w:rsidRPr="00994E8B">
        <w:t xml:space="preserve"> will only be eligible within the NBN Fixed Wireless footprint </w:t>
      </w:r>
      <w:r w:rsidR="006B3242" w:rsidRPr="00994E8B">
        <w:t xml:space="preserve">if the </w:t>
      </w:r>
      <w:r w:rsidR="0051167A" w:rsidRPr="00994E8B">
        <w:t>applicant</w:t>
      </w:r>
      <w:r w:rsidR="006B3242" w:rsidRPr="00994E8B">
        <w:t xml:space="preserve"> can demonstrate a clear need for improvement </w:t>
      </w:r>
      <w:r w:rsidR="00692B34" w:rsidRPr="00994E8B">
        <w:t xml:space="preserve">in the targeted location </w:t>
      </w:r>
      <w:r w:rsidR="006B3242" w:rsidRPr="00994E8B">
        <w:t xml:space="preserve">and the </w:t>
      </w:r>
      <w:r w:rsidR="00263097" w:rsidRPr="00994E8B">
        <w:t xml:space="preserve">Proposed Solution </w:t>
      </w:r>
      <w:r w:rsidR="006B3242" w:rsidRPr="00994E8B">
        <w:t>would deliver a demonstrable and substantive improvement in service quality, coverage, reliability and/or speed compared to the NBN Fixed Wireless upgrade</w:t>
      </w:r>
      <w:r w:rsidR="009D47E1" w:rsidRPr="00994E8B">
        <w:t xml:space="preserve">. </w:t>
      </w:r>
    </w:p>
    <w:p w14:paraId="3E5597CB" w14:textId="06FDF1CF" w:rsidR="00E7141A" w:rsidRPr="00994E8B" w:rsidRDefault="009D47E1" w:rsidP="0014541A">
      <w:pPr>
        <w:pStyle w:val="ListParagraph"/>
        <w:ind w:left="0"/>
      </w:pPr>
      <w:r w:rsidRPr="00994E8B">
        <w:t>The</w:t>
      </w:r>
      <w:r w:rsidR="00A20EA7" w:rsidRPr="00994E8B">
        <w:t xml:space="preserve"> </w:t>
      </w:r>
      <w:r w:rsidR="005A5A02" w:rsidRPr="00994E8B">
        <w:t xml:space="preserve">existing </w:t>
      </w:r>
      <w:r w:rsidR="00A20EA7" w:rsidRPr="00994E8B">
        <w:t>indicative</w:t>
      </w:r>
      <w:r w:rsidR="00540F16" w:rsidRPr="00994E8B">
        <w:t xml:space="preserve"> </w:t>
      </w:r>
      <w:r w:rsidR="005A5A02" w:rsidRPr="00994E8B">
        <w:t xml:space="preserve">NBN </w:t>
      </w:r>
      <w:r w:rsidR="00A20EA7" w:rsidRPr="00994E8B">
        <w:t xml:space="preserve">Fixed Wireless footprint is available on the </w:t>
      </w:r>
      <w:r w:rsidR="00B87810" w:rsidRPr="00994E8B">
        <w:t>National Map at</w:t>
      </w:r>
      <w:r w:rsidR="00A900C9">
        <w:t xml:space="preserve"> </w:t>
      </w:r>
      <w:r w:rsidR="00A36814" w:rsidRPr="00994E8B">
        <w:t>nationalmap.gov.au</w:t>
      </w:r>
      <w:r w:rsidR="00B52C0F" w:rsidRPr="00994E8B">
        <w:t xml:space="preserve">. </w:t>
      </w:r>
      <w:r w:rsidR="00FE31EF" w:rsidRPr="00994E8B">
        <w:t>While i</w:t>
      </w:r>
      <w:r w:rsidR="00540F16" w:rsidRPr="00994E8B">
        <w:t xml:space="preserve">t is expected that the expansion </w:t>
      </w:r>
      <w:r w:rsidR="00753511" w:rsidRPr="00994E8B">
        <w:t xml:space="preserve">of coverage </w:t>
      </w:r>
      <w:r w:rsidR="005A5A02" w:rsidRPr="00994E8B">
        <w:t xml:space="preserve">following </w:t>
      </w:r>
      <w:r w:rsidR="002E1845" w:rsidRPr="00994E8B">
        <w:t xml:space="preserve">NBN </w:t>
      </w:r>
      <w:r w:rsidRPr="00994E8B">
        <w:t>Co’s Fixed</w:t>
      </w:r>
      <w:r w:rsidR="005A5A02" w:rsidRPr="00994E8B">
        <w:t xml:space="preserve"> </w:t>
      </w:r>
      <w:r w:rsidR="002E1845" w:rsidRPr="00994E8B">
        <w:t>W</w:t>
      </w:r>
      <w:r w:rsidR="005A5A02" w:rsidRPr="00994E8B">
        <w:t xml:space="preserve">ireless upgrade </w:t>
      </w:r>
      <w:r w:rsidR="00540F16" w:rsidRPr="00994E8B">
        <w:t xml:space="preserve">will </w:t>
      </w:r>
      <w:r w:rsidR="00FE31EF" w:rsidRPr="00994E8B">
        <w:t xml:space="preserve">be substantial, applicants should assume this will </w:t>
      </w:r>
      <w:r w:rsidR="00E7141A" w:rsidRPr="00994E8B">
        <w:t xml:space="preserve">extend the </w:t>
      </w:r>
      <w:r w:rsidR="008348A4" w:rsidRPr="00994E8B">
        <w:t xml:space="preserve">existing </w:t>
      </w:r>
      <w:r w:rsidR="00E7141A" w:rsidRPr="00994E8B">
        <w:t xml:space="preserve">coverage area by </w:t>
      </w:r>
      <w:r w:rsidR="00540F16" w:rsidRPr="00994E8B">
        <w:t xml:space="preserve">up to </w:t>
      </w:r>
      <w:r w:rsidR="00E7141A" w:rsidRPr="00994E8B">
        <w:t>15km</w:t>
      </w:r>
      <w:r w:rsidR="00540F16" w:rsidRPr="00994E8B">
        <w:t xml:space="preserve">. </w:t>
      </w:r>
      <w:r w:rsidR="00E7141A" w:rsidRPr="00994E8B">
        <w:t xml:space="preserve">Applicants should note that updated coverage maps of the expanded NBN upgrade footprint may not be available during the Round 3 application or assessment period. </w:t>
      </w:r>
      <w:r w:rsidR="004D4DA8" w:rsidRPr="00994E8B">
        <w:t>T</w:t>
      </w:r>
      <w:r w:rsidR="00E7141A" w:rsidRPr="00994E8B">
        <w:t xml:space="preserve">he Commonwealth reserves the right to delay the assessment </w:t>
      </w:r>
      <w:r w:rsidR="00453B5D" w:rsidRPr="00994E8B">
        <w:t xml:space="preserve">and/or funding </w:t>
      </w:r>
      <w:r w:rsidR="00E7141A" w:rsidRPr="00994E8B">
        <w:lastRenderedPageBreak/>
        <w:t xml:space="preserve">of </w:t>
      </w:r>
      <w:r w:rsidR="00C94810" w:rsidRPr="00994E8B">
        <w:t>a</w:t>
      </w:r>
      <w:r w:rsidR="00E7141A" w:rsidRPr="00994E8B">
        <w:t xml:space="preserve"> </w:t>
      </w:r>
      <w:r w:rsidR="00E66D91" w:rsidRPr="00994E8B">
        <w:t xml:space="preserve">Proposed Solution </w:t>
      </w:r>
      <w:r w:rsidR="00E7141A" w:rsidRPr="00994E8B">
        <w:t xml:space="preserve">until it is known whether the </w:t>
      </w:r>
      <w:r w:rsidR="004D4DA8" w:rsidRPr="00994E8B">
        <w:t>P</w:t>
      </w:r>
      <w:r w:rsidR="00E7141A" w:rsidRPr="00994E8B">
        <w:t>roposed</w:t>
      </w:r>
      <w:r w:rsidR="004D4DA8" w:rsidRPr="00994E8B">
        <w:t xml:space="preserve"> Solution</w:t>
      </w:r>
      <w:r w:rsidR="00E7141A" w:rsidRPr="00994E8B">
        <w:t xml:space="preserve"> area will be within the upgraded NBN Fixed Wireless footprint</w:t>
      </w:r>
      <w:r w:rsidR="008E5EFE" w:rsidRPr="00994E8B">
        <w:t xml:space="preserve"> or </w:t>
      </w:r>
      <w:r w:rsidR="00E17B4D" w:rsidRPr="00994E8B">
        <w:t>within an area where NBN announces FTTP upgrades</w:t>
      </w:r>
      <w:r w:rsidR="00E7141A" w:rsidRPr="00994E8B">
        <w:t>.</w:t>
      </w:r>
    </w:p>
    <w:p w14:paraId="74AD19FE" w14:textId="77777777" w:rsidR="00EC04E1" w:rsidRPr="00994E8B" w:rsidRDefault="00EC04E1" w:rsidP="0014541A">
      <w:pPr>
        <w:pStyle w:val="Heading3"/>
      </w:pPr>
      <w:bookmarkStart w:id="129" w:name="_Ref120547577"/>
      <w:bookmarkStart w:id="130" w:name="_Ref120708221"/>
      <w:bookmarkStart w:id="131" w:name="_Toc129956293"/>
      <w:r w:rsidRPr="00994E8B">
        <w:t>Eligible expenditure</w:t>
      </w:r>
      <w:bookmarkEnd w:id="129"/>
      <w:bookmarkEnd w:id="130"/>
      <w:bookmarkEnd w:id="131"/>
      <w:r w:rsidR="00AD6183" w:rsidRPr="00994E8B">
        <w:t xml:space="preserve"> </w:t>
      </w:r>
    </w:p>
    <w:p w14:paraId="2FCB0E8D" w14:textId="6F820062" w:rsidR="00475B03" w:rsidRPr="00994E8B" w:rsidRDefault="00475B03" w:rsidP="0014541A">
      <w:bookmarkStart w:id="132" w:name="_Hlk121851352"/>
      <w:r w:rsidRPr="00994E8B">
        <w:t>You can only spend the grant on eligible expenditure you have incurred on a</w:t>
      </w:r>
      <w:r w:rsidR="00263097" w:rsidRPr="00994E8B">
        <w:t xml:space="preserve"> Funded</w:t>
      </w:r>
      <w:r w:rsidR="002E1845" w:rsidRPr="00994E8B">
        <w:t xml:space="preserve"> </w:t>
      </w:r>
      <w:r w:rsidR="00263097" w:rsidRPr="00994E8B">
        <w:t>P</w:t>
      </w:r>
      <w:r w:rsidRPr="00994E8B">
        <w:t>roject as defined in your Grant Agreement.</w:t>
      </w:r>
    </w:p>
    <w:p w14:paraId="1BF9F2A5" w14:textId="77777777" w:rsidR="00475B03" w:rsidRPr="00994E8B" w:rsidRDefault="00475B03" w:rsidP="0014541A">
      <w:r w:rsidRPr="00994E8B">
        <w:t>Grant funding will be available for the capital costs of building or installing Funded Projects. This may include site acquisition and planning approval costs. Grantees will be responsible for any actual capital costs which exceed estimated costs.</w:t>
      </w:r>
    </w:p>
    <w:p w14:paraId="70EB743D" w14:textId="0DBB1466" w:rsidR="00046551" w:rsidRPr="00994E8B" w:rsidRDefault="00046551" w:rsidP="0014541A">
      <w:pPr>
        <w:rPr>
          <w:iCs/>
        </w:rPr>
      </w:pPr>
      <w:r w:rsidRPr="00994E8B">
        <w:t xml:space="preserve">For </w:t>
      </w:r>
      <w:r w:rsidRPr="00994E8B">
        <w:rPr>
          <w:b/>
        </w:rPr>
        <w:t>Mobile Black Spot Solutions</w:t>
      </w:r>
      <w:r w:rsidRPr="00994E8B">
        <w:rPr>
          <w:rFonts w:cs="Arial"/>
        </w:rPr>
        <w:t xml:space="preserve"> in a Remote or a Very Remote area (based on the ABS remoteness structure)</w:t>
      </w:r>
      <w:r w:rsidRPr="00994E8B">
        <w:rPr>
          <w:rStyle w:val="FootnoteReference"/>
          <w:rFonts w:cs="Arial"/>
        </w:rPr>
        <w:footnoteReference w:id="8"/>
      </w:r>
      <w:r w:rsidRPr="00994E8B">
        <w:rPr>
          <w:rFonts w:cs="Arial"/>
        </w:rPr>
        <w:t>,</w:t>
      </w:r>
      <w:r w:rsidRPr="00994E8B">
        <w:rPr>
          <w:rFonts w:cs="Arial"/>
          <w:sz w:val="24"/>
          <w:szCs w:val="24"/>
          <w:lang w:eastAsia="en-AU"/>
        </w:rPr>
        <w:t xml:space="preserve"> </w:t>
      </w:r>
      <w:bookmarkStart w:id="133" w:name="_Hlk129711388"/>
      <w:r w:rsidRPr="00994E8B">
        <w:rPr>
          <w:rFonts w:cs="Arial"/>
        </w:rPr>
        <w:t xml:space="preserve">or </w:t>
      </w:r>
      <w:r w:rsidR="00425D95" w:rsidRPr="00994E8B">
        <w:rPr>
          <w:rFonts w:cs="Arial"/>
        </w:rPr>
        <w:t xml:space="preserve">a Mobile Black Spot Solution </w:t>
      </w:r>
      <w:r w:rsidR="0062434D" w:rsidRPr="00994E8B">
        <w:rPr>
          <w:rFonts w:cs="Arial"/>
        </w:rPr>
        <w:t>seeking</w:t>
      </w:r>
      <w:r w:rsidRPr="00994E8B">
        <w:rPr>
          <w:rFonts w:cs="Arial"/>
        </w:rPr>
        <w:t xml:space="preserve"> First Nations </w:t>
      </w:r>
      <w:r w:rsidR="0062434D" w:rsidRPr="00994E8B">
        <w:rPr>
          <w:rFonts w:cs="Arial"/>
        </w:rPr>
        <w:t>funding</w:t>
      </w:r>
      <w:bookmarkEnd w:id="133"/>
      <w:r w:rsidRPr="00994E8B">
        <w:rPr>
          <w:rFonts w:cs="Arial"/>
        </w:rPr>
        <w:t xml:space="preserve">, </w:t>
      </w:r>
      <w:r w:rsidR="00425D95" w:rsidRPr="00994E8B">
        <w:rPr>
          <w:rFonts w:cs="Arial"/>
        </w:rPr>
        <w:t>applicants</w:t>
      </w:r>
      <w:r w:rsidRPr="00994E8B">
        <w:rPr>
          <w:rFonts w:cs="Arial"/>
        </w:rPr>
        <w:t xml:space="preserve"> may seek </w:t>
      </w:r>
      <w:r w:rsidRPr="00994E8B">
        <w:rPr>
          <w:rFonts w:cs="Arial"/>
          <w:lang w:eastAsia="en-AU"/>
        </w:rPr>
        <w:t xml:space="preserve">funding up to 75% </w:t>
      </w:r>
      <w:r w:rsidRPr="00994E8B">
        <w:rPr>
          <w:iCs/>
        </w:rPr>
        <w:t xml:space="preserve">of the combined estimated Asset Capital Costs of building or installing Funded </w:t>
      </w:r>
      <w:r w:rsidRPr="00994E8B">
        <w:rPr>
          <w:b/>
        </w:rPr>
        <w:t>Mobile Black Spot Solutions</w:t>
      </w:r>
      <w:r w:rsidRPr="00994E8B">
        <w:rPr>
          <w:iCs/>
        </w:rPr>
        <w:t xml:space="preserve">, and the capitalised net present value (using a discount rate equivalent to the 10-year Treasury Bond Rate applied at the date of the application) of Operational Costs over the minimum Operational Period of a Funded </w:t>
      </w:r>
      <w:r w:rsidR="007420E5" w:rsidRPr="00994E8B">
        <w:rPr>
          <w:iCs/>
        </w:rPr>
        <w:t>Project</w:t>
      </w:r>
      <w:r w:rsidRPr="00994E8B">
        <w:rPr>
          <w:iCs/>
        </w:rPr>
        <w:t xml:space="preserve">. </w:t>
      </w:r>
    </w:p>
    <w:p w14:paraId="2DD6981D" w14:textId="63939A5B" w:rsidR="00046551" w:rsidRPr="00994E8B" w:rsidRDefault="00BA2CFA" w:rsidP="0014541A">
      <w:pPr>
        <w:rPr>
          <w:iCs/>
        </w:rPr>
      </w:pPr>
      <w:r w:rsidRPr="00994E8B">
        <w:t>For</w:t>
      </w:r>
      <w:r w:rsidR="003F1956" w:rsidRPr="00994E8B">
        <w:t xml:space="preserve"> </w:t>
      </w:r>
      <w:r w:rsidR="007009DE" w:rsidRPr="00994E8B">
        <w:rPr>
          <w:b/>
        </w:rPr>
        <w:t>Mobile Black Spot Solution</w:t>
      </w:r>
      <w:r w:rsidR="003F1956" w:rsidRPr="00994E8B">
        <w:rPr>
          <w:b/>
        </w:rPr>
        <w:t>s</w:t>
      </w:r>
      <w:r w:rsidR="00046551" w:rsidRPr="00994E8B">
        <w:t xml:space="preserve"> in other locations</w:t>
      </w:r>
      <w:r w:rsidRPr="00994E8B">
        <w:t>,</w:t>
      </w:r>
      <w:r w:rsidR="003F1956" w:rsidRPr="00994E8B">
        <w:t xml:space="preserve"> </w:t>
      </w:r>
      <w:r w:rsidRPr="00994E8B">
        <w:t xml:space="preserve">you may seek funding </w:t>
      </w:r>
      <w:r w:rsidRPr="00994E8B">
        <w:rPr>
          <w:iCs/>
        </w:rPr>
        <w:t xml:space="preserve">for up to 50% of the combined estimated Asset Capital Costs of building or installing Funded </w:t>
      </w:r>
      <w:r w:rsidR="007009DE" w:rsidRPr="00994E8B">
        <w:rPr>
          <w:b/>
        </w:rPr>
        <w:t>Mobile Black Spot Solution</w:t>
      </w:r>
      <w:r w:rsidRPr="00994E8B">
        <w:rPr>
          <w:b/>
        </w:rPr>
        <w:t>s</w:t>
      </w:r>
      <w:r w:rsidRPr="00994E8B">
        <w:rPr>
          <w:iCs/>
        </w:rPr>
        <w:t xml:space="preserve">, and the capitalised net present value (using a discount rate equivalent to the 10-year Treasury Bond Rate applied at the date of the application) of Operational Costs over the minimum Operational Period of a Funded </w:t>
      </w:r>
      <w:r w:rsidR="00C94810" w:rsidRPr="00994E8B">
        <w:rPr>
          <w:iCs/>
        </w:rPr>
        <w:t>Project</w:t>
      </w:r>
      <w:r w:rsidRPr="00994E8B">
        <w:rPr>
          <w:iCs/>
        </w:rPr>
        <w:t>.</w:t>
      </w:r>
    </w:p>
    <w:p w14:paraId="1308D2D5" w14:textId="75134271" w:rsidR="006D5123" w:rsidRPr="00994E8B" w:rsidRDefault="00F36EE4" w:rsidP="0014541A">
      <w:pPr>
        <w:pBdr>
          <w:top w:val="single" w:sz="4" w:space="1" w:color="auto"/>
          <w:left w:val="single" w:sz="4" w:space="4" w:color="auto"/>
          <w:bottom w:val="single" w:sz="4" w:space="1" w:color="auto"/>
          <w:right w:val="single" w:sz="4" w:space="4" w:color="auto"/>
        </w:pBdr>
        <w:rPr>
          <w:iCs/>
        </w:rPr>
      </w:pPr>
      <w:r w:rsidRPr="00994E8B">
        <w:rPr>
          <w:iCs/>
        </w:rPr>
        <w:t>Note</w:t>
      </w:r>
      <w:r w:rsidR="006C3560" w:rsidRPr="00994E8B">
        <w:rPr>
          <w:iCs/>
        </w:rPr>
        <w:t>:</w:t>
      </w:r>
      <w:r w:rsidRPr="00994E8B">
        <w:rPr>
          <w:iCs/>
        </w:rPr>
        <w:t xml:space="preserve"> </w:t>
      </w:r>
      <w:r w:rsidR="00397BAE" w:rsidRPr="00994E8B">
        <w:rPr>
          <w:iCs/>
        </w:rPr>
        <w:t xml:space="preserve">The installation </w:t>
      </w:r>
      <w:r w:rsidRPr="00994E8B">
        <w:rPr>
          <w:iCs/>
        </w:rPr>
        <w:t>expendi</w:t>
      </w:r>
      <w:r w:rsidR="007265EB" w:rsidRPr="00994E8B">
        <w:rPr>
          <w:iCs/>
        </w:rPr>
        <w:t>t</w:t>
      </w:r>
      <w:r w:rsidRPr="00994E8B">
        <w:rPr>
          <w:iCs/>
        </w:rPr>
        <w:t>ure</w:t>
      </w:r>
      <w:r w:rsidR="00397BAE" w:rsidRPr="00994E8B">
        <w:rPr>
          <w:iCs/>
        </w:rPr>
        <w:t xml:space="preserve"> </w:t>
      </w:r>
      <w:r w:rsidR="00AB23E1" w:rsidRPr="00994E8B">
        <w:rPr>
          <w:iCs/>
        </w:rPr>
        <w:t xml:space="preserve">can </w:t>
      </w:r>
      <w:r w:rsidR="00BD4146" w:rsidRPr="00994E8B">
        <w:rPr>
          <w:iCs/>
        </w:rPr>
        <w:t xml:space="preserve">also </w:t>
      </w:r>
      <w:r w:rsidR="00397BAE" w:rsidRPr="00994E8B">
        <w:rPr>
          <w:iCs/>
        </w:rPr>
        <w:t xml:space="preserve">include the reasonable </w:t>
      </w:r>
      <w:r w:rsidR="00BD4146" w:rsidRPr="00994E8B">
        <w:rPr>
          <w:iCs/>
        </w:rPr>
        <w:t xml:space="preserve">incremental </w:t>
      </w:r>
      <w:r w:rsidRPr="00994E8B">
        <w:rPr>
          <w:iCs/>
        </w:rPr>
        <w:t xml:space="preserve">one-off costs associated with </w:t>
      </w:r>
      <w:r w:rsidR="00941F56" w:rsidRPr="00994E8B">
        <w:rPr>
          <w:iCs/>
        </w:rPr>
        <w:t>configur</w:t>
      </w:r>
      <w:r w:rsidR="007265EB" w:rsidRPr="00994E8B">
        <w:rPr>
          <w:iCs/>
        </w:rPr>
        <w:t>ing</w:t>
      </w:r>
      <w:r w:rsidR="00F251E0" w:rsidRPr="00994E8B">
        <w:rPr>
          <w:iCs/>
        </w:rPr>
        <w:t xml:space="preserve"> particip</w:t>
      </w:r>
      <w:r w:rsidR="007265EB" w:rsidRPr="00994E8B">
        <w:rPr>
          <w:iCs/>
        </w:rPr>
        <w:t>a</w:t>
      </w:r>
      <w:r w:rsidR="00F251E0" w:rsidRPr="00994E8B">
        <w:rPr>
          <w:iCs/>
        </w:rPr>
        <w:t>ting</w:t>
      </w:r>
      <w:r w:rsidR="00941F56" w:rsidRPr="00994E8B">
        <w:rPr>
          <w:iCs/>
        </w:rPr>
        <w:t xml:space="preserve"> </w:t>
      </w:r>
      <w:r w:rsidR="00F251E0" w:rsidRPr="00994E8B">
        <w:rPr>
          <w:iCs/>
        </w:rPr>
        <w:t>MNOs</w:t>
      </w:r>
      <w:r w:rsidR="007265EB" w:rsidRPr="00994E8B">
        <w:rPr>
          <w:iCs/>
        </w:rPr>
        <w:t>’ networks</w:t>
      </w:r>
      <w:r w:rsidR="00F251E0" w:rsidRPr="00994E8B">
        <w:rPr>
          <w:iCs/>
        </w:rPr>
        <w:t xml:space="preserve"> </w:t>
      </w:r>
      <w:r w:rsidRPr="00994E8B">
        <w:rPr>
          <w:iCs/>
        </w:rPr>
        <w:t xml:space="preserve">to connect to a Mobile Black Spot Solution </w:t>
      </w:r>
      <w:r w:rsidR="00317203" w:rsidRPr="00994E8B">
        <w:rPr>
          <w:iCs/>
        </w:rPr>
        <w:t xml:space="preserve">if the </w:t>
      </w:r>
      <w:r w:rsidR="00FC7D11" w:rsidRPr="00994E8B">
        <w:rPr>
          <w:iCs/>
        </w:rPr>
        <w:t>P</w:t>
      </w:r>
      <w:r w:rsidR="00317203" w:rsidRPr="00994E8B">
        <w:rPr>
          <w:iCs/>
        </w:rPr>
        <w:t>roposed</w:t>
      </w:r>
      <w:r w:rsidRPr="00994E8B">
        <w:rPr>
          <w:iCs/>
        </w:rPr>
        <w:t xml:space="preserve"> </w:t>
      </w:r>
      <w:r w:rsidR="00FC7D11" w:rsidRPr="00994E8B">
        <w:rPr>
          <w:iCs/>
        </w:rPr>
        <w:t>S</w:t>
      </w:r>
      <w:r w:rsidR="00FD1D79" w:rsidRPr="00994E8B">
        <w:rPr>
          <w:iCs/>
        </w:rPr>
        <w:t xml:space="preserve">olution utilises </w:t>
      </w:r>
      <w:r w:rsidRPr="00994E8B">
        <w:rPr>
          <w:iCs/>
        </w:rPr>
        <w:t>active sharing</w:t>
      </w:r>
      <w:r w:rsidR="00FD1D79" w:rsidRPr="00994E8B">
        <w:rPr>
          <w:iCs/>
        </w:rPr>
        <w:t xml:space="preserve"> and/or mobile roaming</w:t>
      </w:r>
      <w:r w:rsidR="00EF03D6" w:rsidRPr="00994E8B">
        <w:rPr>
          <w:iCs/>
        </w:rPr>
        <w:t>,</w:t>
      </w:r>
      <w:r w:rsidR="00485F75" w:rsidRPr="00994E8B">
        <w:rPr>
          <w:iCs/>
        </w:rPr>
        <w:t xml:space="preserve"> provided that such costs have not already been subsidised by another funding program of the Commonwealth or States</w:t>
      </w:r>
      <w:r w:rsidR="004977BA" w:rsidRPr="00994E8B">
        <w:rPr>
          <w:iCs/>
        </w:rPr>
        <w:t>/</w:t>
      </w:r>
      <w:r w:rsidR="00485F75" w:rsidRPr="00994E8B">
        <w:rPr>
          <w:iCs/>
        </w:rPr>
        <w:t>Territories</w:t>
      </w:r>
      <w:r w:rsidRPr="00994E8B">
        <w:rPr>
          <w:iCs/>
        </w:rPr>
        <w:t>.</w:t>
      </w:r>
      <w:r w:rsidR="00F251E0" w:rsidRPr="00994E8B">
        <w:rPr>
          <w:iCs/>
        </w:rPr>
        <w:t xml:space="preserve"> </w:t>
      </w:r>
    </w:p>
    <w:p w14:paraId="548CDE97" w14:textId="77777777" w:rsidR="00397BAE" w:rsidRPr="00994E8B" w:rsidRDefault="00475B03" w:rsidP="0014541A">
      <w:r w:rsidRPr="00994E8B">
        <w:t xml:space="preserve">Not all expenditure on your Funded Projects may be eligible for grant funding. The </w:t>
      </w:r>
      <w:r w:rsidR="0073299E" w:rsidRPr="00994E8B">
        <w:t>p</w:t>
      </w:r>
      <w:r w:rsidRPr="00994E8B">
        <w:t xml:space="preserve">rogram </w:t>
      </w:r>
      <w:r w:rsidR="0073299E" w:rsidRPr="00994E8B">
        <w:t>d</w:t>
      </w:r>
      <w:r w:rsidRPr="00994E8B">
        <w:t>elegate makes the final decision on what is eligible expenditure and may give additional guidance on eligible expenditure if required.</w:t>
      </w:r>
    </w:p>
    <w:p w14:paraId="3B441CF3" w14:textId="77777777" w:rsidR="00475B03" w:rsidRPr="00994E8B" w:rsidRDefault="00475B03" w:rsidP="0014541A">
      <w:r w:rsidRPr="00994E8B">
        <w:t>You must incur the expenditure on your Funded Project between the start date and completion date for your Grant Agreement for the expenditure to be eligible.</w:t>
      </w:r>
    </w:p>
    <w:p w14:paraId="3F1764CD" w14:textId="77777777" w:rsidR="009639AA" w:rsidRPr="00994E8B" w:rsidRDefault="00613DDA" w:rsidP="0014541A">
      <w:pPr>
        <w:pStyle w:val="Heading4"/>
      </w:pPr>
      <w:bookmarkStart w:id="134" w:name="_Toc129956294"/>
      <w:bookmarkEnd w:id="132"/>
      <w:r w:rsidRPr="00994E8B">
        <w:t>E</w:t>
      </w:r>
      <w:r w:rsidR="009639AA" w:rsidRPr="00994E8B">
        <w:t>ligible backhaul costs</w:t>
      </w:r>
      <w:bookmarkEnd w:id="134"/>
    </w:p>
    <w:p w14:paraId="7F82F418" w14:textId="7EE8D611" w:rsidR="009639AA" w:rsidRPr="00994E8B" w:rsidRDefault="00BD6612" w:rsidP="0014541A">
      <w:r w:rsidRPr="00994E8B">
        <w:t xml:space="preserve">For both </w:t>
      </w:r>
      <w:r w:rsidRPr="00994E8B">
        <w:rPr>
          <w:b/>
        </w:rPr>
        <w:t>Mobile Black Spot Solutions</w:t>
      </w:r>
      <w:r w:rsidRPr="00994E8B">
        <w:t xml:space="preserve"> and </w:t>
      </w:r>
      <w:r w:rsidRPr="00994E8B">
        <w:rPr>
          <w:b/>
        </w:rPr>
        <w:t>Regional Connectivity Solutions</w:t>
      </w:r>
      <w:r w:rsidRPr="00994E8B">
        <w:t>, f</w:t>
      </w:r>
      <w:r w:rsidR="009639AA" w:rsidRPr="00994E8B">
        <w:t xml:space="preserve">unding may be sought for the capitalised cost of Backhaul over the Operational Period of Funded </w:t>
      </w:r>
      <w:r w:rsidR="007420E5" w:rsidRPr="00994E8B">
        <w:t>Solutions</w:t>
      </w:r>
      <w:r w:rsidR="009639AA" w:rsidRPr="00994E8B">
        <w:t xml:space="preserve">, regardless of Backhaul technology. For remote locations </w:t>
      </w:r>
      <w:proofErr w:type="gramStart"/>
      <w:r w:rsidR="009639AA" w:rsidRPr="00994E8B">
        <w:t>where</w:t>
      </w:r>
      <w:proofErr w:type="gramEnd"/>
      <w:r w:rsidR="009639AA" w:rsidRPr="00994E8B">
        <w:t xml:space="preserve"> existing fibre or microwave Backhaul (or a combination of both) is not available or readily accessible, satellite Backhaul technology may be utilised to deliver the </w:t>
      </w:r>
      <w:r w:rsidR="0005156F" w:rsidRPr="00994E8B">
        <w:t>F</w:t>
      </w:r>
      <w:r w:rsidR="009639AA" w:rsidRPr="00994E8B">
        <w:t xml:space="preserve">unded Project. If satellite Backhaul technology is </w:t>
      </w:r>
      <w:r w:rsidR="000D73EB" w:rsidRPr="00994E8B">
        <w:t>put forward for a P</w:t>
      </w:r>
      <w:r w:rsidR="009639AA" w:rsidRPr="00994E8B">
        <w:t xml:space="preserve">roposed Solution, the applicant should clearly define the level of service or connectivity to be provided. </w:t>
      </w:r>
    </w:p>
    <w:p w14:paraId="5DDB44F0" w14:textId="3580A7B9" w:rsidR="009639AA" w:rsidRPr="00994E8B" w:rsidRDefault="009639AA" w:rsidP="0014541A">
      <w:r w:rsidRPr="00994E8B">
        <w:t xml:space="preserve">In addition to upfront </w:t>
      </w:r>
      <w:r w:rsidR="00B96490" w:rsidRPr="00994E8B">
        <w:t>c</w:t>
      </w:r>
      <w:r w:rsidRPr="00994E8B">
        <w:t xml:space="preserve">apital </w:t>
      </w:r>
      <w:r w:rsidR="00B96490" w:rsidRPr="00994E8B">
        <w:t>c</w:t>
      </w:r>
      <w:r w:rsidRPr="00994E8B">
        <w:t xml:space="preserve">osts related to the installation and deployment of Backhaul (such as </w:t>
      </w:r>
      <w:r w:rsidR="00B96490" w:rsidRPr="00994E8B">
        <w:t>s</w:t>
      </w:r>
      <w:r w:rsidRPr="00994E8B">
        <w:t xml:space="preserve">pecial </w:t>
      </w:r>
      <w:r w:rsidR="00B96490" w:rsidRPr="00994E8B">
        <w:t>l</w:t>
      </w:r>
      <w:r w:rsidRPr="00994E8B">
        <w:t xml:space="preserve">inkage </w:t>
      </w:r>
      <w:r w:rsidR="00B96490" w:rsidRPr="00994E8B">
        <w:t>c</w:t>
      </w:r>
      <w:r w:rsidRPr="00994E8B">
        <w:t xml:space="preserve">harges), the capitalised net present value (using a discount rate equivalent to the 10-year Treasury Bond Rate applied at the date of the application) of </w:t>
      </w:r>
      <w:r w:rsidR="00C7205F" w:rsidRPr="00994E8B">
        <w:t>o</w:t>
      </w:r>
      <w:r w:rsidRPr="00994E8B">
        <w:t xml:space="preserve">perational </w:t>
      </w:r>
      <w:r w:rsidR="00C7205F" w:rsidRPr="00994E8B">
        <w:t>c</w:t>
      </w:r>
      <w:r w:rsidRPr="00994E8B">
        <w:t xml:space="preserve">osts relating to leased optical fibre, microwave, or satellite Backhaul over the minimum Operational Period of a </w:t>
      </w:r>
      <w:r w:rsidR="00FC7D11" w:rsidRPr="00994E8B">
        <w:lastRenderedPageBreak/>
        <w:t>Proposed S</w:t>
      </w:r>
      <w:r w:rsidRPr="00994E8B">
        <w:t xml:space="preserve">olution may be included in the estimated </w:t>
      </w:r>
      <w:r w:rsidR="00C7205F" w:rsidRPr="00994E8B">
        <w:t>a</w:t>
      </w:r>
      <w:r w:rsidRPr="00994E8B">
        <w:t xml:space="preserve">sset </w:t>
      </w:r>
      <w:r w:rsidR="00C7205F" w:rsidRPr="00994E8B">
        <w:t>c</w:t>
      </w:r>
      <w:r w:rsidRPr="00994E8B">
        <w:t xml:space="preserve">apital </w:t>
      </w:r>
      <w:r w:rsidR="00C7205F" w:rsidRPr="00994E8B">
        <w:t>c</w:t>
      </w:r>
      <w:r w:rsidRPr="00994E8B">
        <w:t>ost of building the</w:t>
      </w:r>
      <w:r w:rsidR="00FC7D11" w:rsidRPr="00994E8B">
        <w:t xml:space="preserve"> Proposed </w:t>
      </w:r>
      <w:r w:rsidR="00744E5C" w:rsidRPr="00994E8B">
        <w:t>S</w:t>
      </w:r>
      <w:r w:rsidRPr="00994E8B">
        <w:t xml:space="preserve">olution. These capitalised </w:t>
      </w:r>
      <w:r w:rsidR="00C7205F" w:rsidRPr="00994E8B">
        <w:t>o</w:t>
      </w:r>
      <w:r w:rsidRPr="00994E8B">
        <w:t xml:space="preserve">perational </w:t>
      </w:r>
      <w:r w:rsidR="00C7205F" w:rsidRPr="00994E8B">
        <w:t>c</w:t>
      </w:r>
      <w:r w:rsidRPr="00994E8B">
        <w:t>osts for Backhaul must be clearly identified separately in the application.</w:t>
      </w:r>
    </w:p>
    <w:p w14:paraId="3FF08DB8" w14:textId="77777777" w:rsidR="00E95540" w:rsidRPr="00994E8B" w:rsidRDefault="00907078" w:rsidP="0014541A">
      <w:pPr>
        <w:pStyle w:val="Heading3"/>
      </w:pPr>
      <w:bookmarkStart w:id="135" w:name="_Toc506537745"/>
      <w:bookmarkStart w:id="136" w:name="_Toc506537746"/>
      <w:bookmarkStart w:id="137" w:name="_Toc506537747"/>
      <w:bookmarkStart w:id="138" w:name="_Toc506537748"/>
      <w:bookmarkStart w:id="139" w:name="_Toc506537749"/>
      <w:bookmarkStart w:id="140" w:name="_Toc506537751"/>
      <w:bookmarkStart w:id="141" w:name="_Toc506537752"/>
      <w:bookmarkStart w:id="142" w:name="_Toc506537753"/>
      <w:bookmarkStart w:id="143" w:name="_Toc506537754"/>
      <w:bookmarkStart w:id="144" w:name="_Toc506537755"/>
      <w:bookmarkStart w:id="145" w:name="_Toc506537756"/>
      <w:bookmarkStart w:id="146" w:name="_Toc506537757"/>
      <w:bookmarkStart w:id="147" w:name="_What_the_grant"/>
      <w:bookmarkStart w:id="148" w:name="_Toc129956295"/>
      <w:bookmarkEnd w:id="108"/>
      <w:bookmarkEnd w:id="135"/>
      <w:bookmarkEnd w:id="136"/>
      <w:bookmarkEnd w:id="137"/>
      <w:bookmarkEnd w:id="138"/>
      <w:bookmarkEnd w:id="139"/>
      <w:bookmarkEnd w:id="140"/>
      <w:bookmarkEnd w:id="141"/>
      <w:bookmarkEnd w:id="142"/>
      <w:bookmarkEnd w:id="143"/>
      <w:bookmarkEnd w:id="144"/>
      <w:bookmarkEnd w:id="145"/>
      <w:bookmarkEnd w:id="146"/>
      <w:bookmarkEnd w:id="147"/>
      <w:r w:rsidRPr="00994E8B">
        <w:t>What the grant money cannot be used for</w:t>
      </w:r>
      <w:bookmarkEnd w:id="148"/>
    </w:p>
    <w:p w14:paraId="0A79A037" w14:textId="23AF3F8C" w:rsidR="00475B03" w:rsidRPr="00994E8B" w:rsidRDefault="00475B03" w:rsidP="00475B03">
      <w:pPr>
        <w:rPr>
          <w:rFonts w:cstheme="minorHAnsi"/>
        </w:rPr>
      </w:pPr>
      <w:bookmarkStart w:id="149" w:name="_Ref468355804"/>
      <w:r w:rsidRPr="00994E8B">
        <w:rPr>
          <w:rFonts w:cstheme="minorHAnsi"/>
        </w:rPr>
        <w:t xml:space="preserve">To ensure that </w:t>
      </w:r>
      <w:r w:rsidR="00E02D3F" w:rsidRPr="00994E8B">
        <w:rPr>
          <w:rFonts w:cstheme="minorHAnsi"/>
        </w:rPr>
        <w:t>applicant</w:t>
      </w:r>
      <w:r w:rsidR="0069727A" w:rsidRPr="00994E8B">
        <w:rPr>
          <w:rFonts w:cstheme="minorHAnsi"/>
        </w:rPr>
        <w:t>s</w:t>
      </w:r>
      <w:r w:rsidRPr="00994E8B">
        <w:rPr>
          <w:rFonts w:cstheme="minorHAnsi"/>
        </w:rPr>
        <w:t xml:space="preserve"> do not seek Program funding for Proposed Solutions in areas where they have already planned to invest commercially, all applicants must certify that none of the Proposed Solutions for which Grant Opportunity funds are being sought were at any time part of their forward build network expansion or upgrade plans </w:t>
      </w:r>
      <w:r w:rsidR="002E2EDC" w:rsidRPr="00994E8B">
        <w:rPr>
          <w:rFonts w:cstheme="minorHAnsi"/>
        </w:rPr>
        <w:t>from</w:t>
      </w:r>
      <w:r w:rsidRPr="00994E8B">
        <w:rPr>
          <w:rFonts w:cstheme="minorHAnsi"/>
        </w:rPr>
        <w:t xml:space="preserve"> the </w:t>
      </w:r>
      <w:r w:rsidR="002E2EDC" w:rsidRPr="00994E8B">
        <w:rPr>
          <w:rFonts w:cstheme="minorHAnsi"/>
        </w:rPr>
        <w:t xml:space="preserve">period commencing from the </w:t>
      </w:r>
      <w:r w:rsidRPr="00994E8B">
        <w:rPr>
          <w:rFonts w:cstheme="minorHAnsi"/>
        </w:rPr>
        <w:t>date the Grant Opportunity opens</w:t>
      </w:r>
      <w:r w:rsidR="002E2EDC" w:rsidRPr="00994E8B">
        <w:rPr>
          <w:rFonts w:cstheme="minorHAnsi"/>
        </w:rPr>
        <w:t xml:space="preserve"> until 30 June 202</w:t>
      </w:r>
      <w:r w:rsidR="00A55ED9" w:rsidRPr="00994E8B">
        <w:rPr>
          <w:rFonts w:cstheme="minorHAnsi"/>
        </w:rPr>
        <w:t>7</w:t>
      </w:r>
      <w:r w:rsidRPr="00994E8B">
        <w:rPr>
          <w:rFonts w:cstheme="minorHAnsi"/>
        </w:rPr>
        <w:t>.</w:t>
      </w:r>
    </w:p>
    <w:p w14:paraId="770425AF" w14:textId="77777777" w:rsidR="001069F8" w:rsidRPr="00994E8B" w:rsidRDefault="004803C8" w:rsidP="00475B03">
      <w:pPr>
        <w:rPr>
          <w:rFonts w:cstheme="minorHAnsi"/>
        </w:rPr>
      </w:pPr>
      <w:r w:rsidRPr="00994E8B">
        <w:rPr>
          <w:rFonts w:cstheme="minorHAnsi"/>
        </w:rPr>
        <w:t>In addition, f</w:t>
      </w:r>
      <w:r w:rsidR="001069F8" w:rsidRPr="00994E8B">
        <w:rPr>
          <w:rFonts w:cstheme="minorHAnsi"/>
        </w:rPr>
        <w:t xml:space="preserve">or </w:t>
      </w:r>
      <w:r w:rsidR="007447D0" w:rsidRPr="00994E8B">
        <w:rPr>
          <w:rFonts w:cstheme="minorHAnsi"/>
          <w:b/>
        </w:rPr>
        <w:t xml:space="preserve">Regional </w:t>
      </w:r>
      <w:r w:rsidR="009F6847" w:rsidRPr="00994E8B">
        <w:rPr>
          <w:rFonts w:cstheme="minorHAnsi"/>
          <w:b/>
        </w:rPr>
        <w:t>Connectivity</w:t>
      </w:r>
      <w:r w:rsidR="001069F8" w:rsidRPr="00994E8B">
        <w:rPr>
          <w:rFonts w:cstheme="minorHAnsi"/>
          <w:b/>
        </w:rPr>
        <w:t xml:space="preserve"> Solutions</w:t>
      </w:r>
      <w:r w:rsidR="001069F8" w:rsidRPr="00994E8B">
        <w:rPr>
          <w:rFonts w:cstheme="minorHAnsi"/>
        </w:rPr>
        <w:t>:</w:t>
      </w:r>
    </w:p>
    <w:p w14:paraId="7526A441" w14:textId="1525A173" w:rsidR="00475B03" w:rsidRPr="00994E8B" w:rsidRDefault="00475B03" w:rsidP="007447D0">
      <w:pPr>
        <w:pStyle w:val="ListParagraph"/>
        <w:numPr>
          <w:ilvl w:val="0"/>
          <w:numId w:val="30"/>
        </w:numPr>
        <w:rPr>
          <w:rFonts w:cstheme="minorHAnsi"/>
        </w:rPr>
      </w:pPr>
      <w:r w:rsidRPr="00994E8B">
        <w:rPr>
          <w:rFonts w:cstheme="minorHAnsi"/>
        </w:rPr>
        <w:t xml:space="preserve">Operating </w:t>
      </w:r>
      <w:r w:rsidRPr="00994E8B">
        <w:t>and</w:t>
      </w:r>
      <w:r w:rsidRPr="00994E8B">
        <w:rPr>
          <w:rFonts w:cstheme="minorHAnsi"/>
        </w:rPr>
        <w:t xml:space="preserve"> maintenance expenditure for Funded </w:t>
      </w:r>
      <w:r w:rsidR="007420E5" w:rsidRPr="00994E8B">
        <w:rPr>
          <w:rFonts w:cstheme="minorHAnsi"/>
        </w:rPr>
        <w:t>Solutions</w:t>
      </w:r>
      <w:r w:rsidRPr="00994E8B">
        <w:rPr>
          <w:rFonts w:cstheme="minorHAnsi"/>
        </w:rPr>
        <w:t xml:space="preserve"> is ineligible for grant funding.</w:t>
      </w:r>
    </w:p>
    <w:p w14:paraId="66785137" w14:textId="55A424E9" w:rsidR="00475B03" w:rsidRPr="00994E8B" w:rsidRDefault="00475B03" w:rsidP="00475B03">
      <w:pPr>
        <w:rPr>
          <w:rFonts w:cstheme="minorHAnsi"/>
        </w:rPr>
      </w:pPr>
      <w:r w:rsidRPr="00994E8B">
        <w:rPr>
          <w:rFonts w:cstheme="minorHAnsi"/>
        </w:rPr>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30D091B5" w14:textId="77777777" w:rsidR="00475B03" w:rsidRPr="00994E8B" w:rsidRDefault="00475B03" w:rsidP="00475B03">
      <w:r w:rsidRPr="00994E8B">
        <w:rPr>
          <w:rFonts w:cstheme="minorHAnsi"/>
        </w:rPr>
        <w:t>The Department may audit a Grantee’s compliance with requirements.</w:t>
      </w:r>
    </w:p>
    <w:p w14:paraId="4C72A7B7" w14:textId="66ED15E3" w:rsidR="0039610D" w:rsidRPr="00994E8B" w:rsidRDefault="009E0A0D" w:rsidP="002E4AD3">
      <w:pPr>
        <w:pStyle w:val="Heading2"/>
      </w:pPr>
      <w:bookmarkStart w:id="150" w:name="_Toc494290504"/>
      <w:bookmarkStart w:id="151" w:name="_Toc494290505"/>
      <w:bookmarkStart w:id="152" w:name="_Toc494290506"/>
      <w:bookmarkStart w:id="153" w:name="_Toc494290507"/>
      <w:bookmarkStart w:id="154" w:name="_Toc494290508"/>
      <w:bookmarkStart w:id="155" w:name="_Toc494290509"/>
      <w:bookmarkStart w:id="156" w:name="_Toc494290510"/>
      <w:bookmarkStart w:id="157" w:name="_Toc494290511"/>
      <w:bookmarkStart w:id="158" w:name="_Merit_criteria"/>
      <w:bookmarkStart w:id="159" w:name="_Ref485221187"/>
      <w:bookmarkStart w:id="160" w:name="_Toc129956296"/>
      <w:bookmarkEnd w:id="149"/>
      <w:bookmarkEnd w:id="150"/>
      <w:bookmarkEnd w:id="151"/>
      <w:bookmarkEnd w:id="152"/>
      <w:bookmarkEnd w:id="153"/>
      <w:bookmarkEnd w:id="154"/>
      <w:bookmarkEnd w:id="155"/>
      <w:bookmarkEnd w:id="156"/>
      <w:bookmarkEnd w:id="157"/>
      <w:bookmarkEnd w:id="158"/>
      <w:r w:rsidRPr="00994E8B">
        <w:t xml:space="preserve">Assessment </w:t>
      </w:r>
      <w:r w:rsidR="00B94249" w:rsidRPr="00994E8B">
        <w:t>criteria</w:t>
      </w:r>
      <w:bookmarkEnd w:id="159"/>
      <w:bookmarkEnd w:id="160"/>
    </w:p>
    <w:p w14:paraId="659904F3" w14:textId="77777777" w:rsidR="003228DF" w:rsidRPr="00994E8B" w:rsidRDefault="003228DF" w:rsidP="0014541A">
      <w:pPr>
        <w:pStyle w:val="Heading3"/>
      </w:pPr>
      <w:bookmarkStart w:id="161" w:name="_Toc129956297"/>
      <w:r w:rsidRPr="00994E8B">
        <w:t xml:space="preserve">Assessment Criteria for </w:t>
      </w:r>
      <w:r w:rsidR="007447D0" w:rsidRPr="00994E8B">
        <w:t xml:space="preserve">Regional </w:t>
      </w:r>
      <w:r w:rsidR="009F6847" w:rsidRPr="00994E8B">
        <w:t>Connectivity</w:t>
      </w:r>
      <w:r w:rsidRPr="00994E8B">
        <w:t xml:space="preserve"> Solutions</w:t>
      </w:r>
      <w:bookmarkEnd w:id="161"/>
    </w:p>
    <w:p w14:paraId="3A5FC694" w14:textId="462D5EC6" w:rsidR="00475B03" w:rsidRPr="00994E8B" w:rsidRDefault="00475B03" w:rsidP="0014541A">
      <w:r w:rsidRPr="00994E8B">
        <w:t xml:space="preserve">Applications </w:t>
      </w:r>
      <w:r w:rsidR="00CE0F29" w:rsidRPr="00994E8B">
        <w:rPr>
          <w:rFonts w:cstheme="minorHAnsi"/>
        </w:rPr>
        <w:t xml:space="preserve">for </w:t>
      </w:r>
      <w:r w:rsidR="00CE0F29" w:rsidRPr="00994E8B">
        <w:rPr>
          <w:rFonts w:cstheme="minorHAnsi"/>
          <w:b/>
        </w:rPr>
        <w:t>Regional Connectivity Solutions</w:t>
      </w:r>
      <w:r w:rsidR="00CE0F29" w:rsidRPr="00994E8B">
        <w:t xml:space="preserve"> </w:t>
      </w:r>
      <w:r w:rsidRPr="00994E8B">
        <w:t xml:space="preserve">will need to address </w:t>
      </w:r>
      <w:r w:rsidR="00407043" w:rsidRPr="00994E8B">
        <w:t xml:space="preserve">each of </w:t>
      </w:r>
      <w:r w:rsidR="00A55ED9" w:rsidRPr="00994E8B">
        <w:t>the following criteria</w:t>
      </w:r>
      <w:r w:rsidRPr="00994E8B">
        <w:t>:</w:t>
      </w:r>
    </w:p>
    <w:p w14:paraId="0751EF9D" w14:textId="4318676F" w:rsidR="00475B03" w:rsidRPr="00994E8B" w:rsidRDefault="00475B03" w:rsidP="0014541A">
      <w:r w:rsidRPr="00994E8B">
        <w:t>1.</w:t>
      </w:r>
      <w:r w:rsidRPr="00994E8B">
        <w:tab/>
        <w:t>Merit Criterion one (economic benefits)</w:t>
      </w:r>
      <w:r w:rsidR="00407043" w:rsidRPr="00994E8B">
        <w:t xml:space="preserve"> (15 points)</w:t>
      </w:r>
    </w:p>
    <w:p w14:paraId="6D621753" w14:textId="4B80B699" w:rsidR="00475B03" w:rsidRPr="00994E8B" w:rsidRDefault="00475B03" w:rsidP="0014541A">
      <w:r w:rsidRPr="00994E8B">
        <w:t>2.</w:t>
      </w:r>
      <w:r w:rsidRPr="00994E8B">
        <w:tab/>
        <w:t>Merit Criterion two (social benefits)</w:t>
      </w:r>
      <w:r w:rsidR="00407043" w:rsidRPr="00994E8B">
        <w:t xml:space="preserve"> (15 points)</w:t>
      </w:r>
    </w:p>
    <w:p w14:paraId="6725BB51" w14:textId="7434DA81" w:rsidR="00475B03" w:rsidRPr="00994E8B" w:rsidRDefault="00475B03" w:rsidP="0014541A">
      <w:pPr>
        <w:ind w:left="720" w:hanging="720"/>
      </w:pPr>
      <w:r w:rsidRPr="00994E8B">
        <w:t>3.</w:t>
      </w:r>
      <w:r w:rsidRPr="00994E8B">
        <w:tab/>
        <w:t xml:space="preserve">Merit Criterion three (capacity, capability and resources to deliver the </w:t>
      </w:r>
      <w:r w:rsidR="00263097" w:rsidRPr="00994E8B">
        <w:t>Proposed Solution</w:t>
      </w:r>
      <w:r w:rsidRPr="00994E8B">
        <w:t>)</w:t>
      </w:r>
      <w:r w:rsidR="00407043" w:rsidRPr="00994E8B">
        <w:t xml:space="preserve"> (10 points)</w:t>
      </w:r>
    </w:p>
    <w:p w14:paraId="2D900F7C" w14:textId="0C0A7B13" w:rsidR="00475B03" w:rsidRPr="00994E8B" w:rsidRDefault="00475B03" w:rsidP="0014541A">
      <w:r w:rsidRPr="00994E8B">
        <w:t>4.</w:t>
      </w:r>
      <w:r w:rsidRPr="00994E8B">
        <w:tab/>
        <w:t>Merit Criterion four (</w:t>
      </w:r>
      <w:r w:rsidR="005D4A46" w:rsidRPr="00994E8B">
        <w:t xml:space="preserve">financial </w:t>
      </w:r>
      <w:r w:rsidRPr="00994E8B">
        <w:t>co-contribution)</w:t>
      </w:r>
      <w:r w:rsidR="00407043" w:rsidRPr="00994E8B">
        <w:t xml:space="preserve"> (10 points)</w:t>
      </w:r>
      <w:r w:rsidRPr="00994E8B">
        <w:t>.</w:t>
      </w:r>
    </w:p>
    <w:p w14:paraId="0AAEC198" w14:textId="1D84FC45" w:rsidR="00475B03" w:rsidRPr="00994E8B" w:rsidRDefault="002A32BC" w:rsidP="0014541A">
      <w:r w:rsidRPr="00994E8B">
        <w:t xml:space="preserve">The obligation is on the applicant to demonstrate how </w:t>
      </w:r>
      <w:r w:rsidR="006D20AD" w:rsidRPr="00994E8B">
        <w:t>the P</w:t>
      </w:r>
      <w:r w:rsidRPr="00994E8B">
        <w:t xml:space="preserve">roposed </w:t>
      </w:r>
      <w:r w:rsidR="006D20AD" w:rsidRPr="00994E8B">
        <w:t>Solution</w:t>
      </w:r>
      <w:r w:rsidRPr="00994E8B">
        <w:t xml:space="preserve"> meets each </w:t>
      </w:r>
      <w:r w:rsidR="00035B70" w:rsidRPr="00994E8B">
        <w:t>M</w:t>
      </w:r>
      <w:r w:rsidRPr="00994E8B">
        <w:t xml:space="preserve">erit </w:t>
      </w:r>
      <w:r w:rsidR="00035B70" w:rsidRPr="00994E8B">
        <w:t>C</w:t>
      </w:r>
      <w:r w:rsidRPr="00994E8B">
        <w:t>riteri</w:t>
      </w:r>
      <w:r w:rsidR="00035B70" w:rsidRPr="00994E8B">
        <w:t>on</w:t>
      </w:r>
      <w:r w:rsidRPr="00994E8B">
        <w:t xml:space="preserve">. Applicants should provide a response to each </w:t>
      </w:r>
      <w:r w:rsidR="00F0577E" w:rsidRPr="00994E8B">
        <w:t>M</w:t>
      </w:r>
      <w:r w:rsidRPr="00994E8B">
        <w:t xml:space="preserve">erit </w:t>
      </w:r>
      <w:r w:rsidR="00F0577E" w:rsidRPr="00994E8B">
        <w:t>C</w:t>
      </w:r>
      <w:r w:rsidRPr="00994E8B">
        <w:t>riteri</w:t>
      </w:r>
      <w:r w:rsidR="00F0577E" w:rsidRPr="00994E8B">
        <w:t>on</w:t>
      </w:r>
      <w:r w:rsidRPr="00994E8B">
        <w:t xml:space="preserve">, as well as evidence of support to </w:t>
      </w:r>
      <w:r w:rsidR="00753511" w:rsidRPr="00994E8B">
        <w:t>rei</w:t>
      </w:r>
      <w:r w:rsidR="00EF0C9C" w:rsidRPr="00994E8B">
        <w:t>n</w:t>
      </w:r>
      <w:r w:rsidR="00753511" w:rsidRPr="00994E8B">
        <w:t>force</w:t>
      </w:r>
      <w:r w:rsidRPr="00994E8B">
        <w:t xml:space="preserve"> the claims made in </w:t>
      </w:r>
      <w:r w:rsidR="00B82667" w:rsidRPr="00994E8B">
        <w:t>its</w:t>
      </w:r>
      <w:r w:rsidRPr="00994E8B">
        <w:t xml:space="preserve"> responses. </w:t>
      </w:r>
      <w:r w:rsidR="00475B03" w:rsidRPr="00994E8B">
        <w:t>We will assess eligible applications against each Merit Criterion using the weighting indicated to develop an overall score. Each application will also undergo an overall Value for Money assessment</w:t>
      </w:r>
      <w:r w:rsidR="008C5C8A" w:rsidRPr="00994E8B">
        <w:t xml:space="preserve"> to determine whether the Proposed S</w:t>
      </w:r>
      <w:r w:rsidR="00C7205F" w:rsidRPr="00994E8B">
        <w:t>olution represents Value for Money to the Commonwealth</w:t>
      </w:r>
      <w:r w:rsidR="00475B03" w:rsidRPr="00994E8B">
        <w:t>.</w:t>
      </w:r>
    </w:p>
    <w:p w14:paraId="6D45AAE0" w14:textId="4D416CF0" w:rsidR="00EC3415" w:rsidRPr="00994E8B" w:rsidRDefault="00475B03" w:rsidP="0014541A">
      <w:r w:rsidRPr="00994E8B">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w:t>
      </w:r>
      <w:r w:rsidR="009433EA" w:rsidRPr="00994E8B">
        <w:t xml:space="preserve">section </w:t>
      </w:r>
      <w:r w:rsidR="009433EA" w:rsidRPr="00994E8B">
        <w:fldChar w:fldCharType="begin"/>
      </w:r>
      <w:r w:rsidR="009433EA" w:rsidRPr="00994E8B">
        <w:instrText xml:space="preserve"> REF _Ref121406157 \r \h </w:instrText>
      </w:r>
      <w:r w:rsidR="00994E8B">
        <w:instrText xml:space="preserve"> \* MERGEFORMAT </w:instrText>
      </w:r>
      <w:r w:rsidR="009433EA" w:rsidRPr="00994E8B">
        <w:fldChar w:fldCharType="separate"/>
      </w:r>
      <w:r w:rsidR="00075357" w:rsidRPr="00994E8B">
        <w:t>6.1.1</w:t>
      </w:r>
      <w:r w:rsidR="009433EA" w:rsidRPr="00994E8B">
        <w:fldChar w:fldCharType="end"/>
      </w:r>
      <w:r w:rsidRPr="00994E8B">
        <w:t xml:space="preserve"> </w:t>
      </w:r>
      <w:r w:rsidR="00C7205F" w:rsidRPr="00994E8B">
        <w:t>and secti</w:t>
      </w:r>
      <w:r w:rsidR="009433EA" w:rsidRPr="00994E8B">
        <w:t xml:space="preserve">on </w:t>
      </w:r>
      <w:r w:rsidR="009433EA" w:rsidRPr="00994E8B">
        <w:fldChar w:fldCharType="begin"/>
      </w:r>
      <w:r w:rsidR="009433EA" w:rsidRPr="00994E8B">
        <w:instrText xml:space="preserve"> REF _Ref121406186 \r \h </w:instrText>
      </w:r>
      <w:r w:rsidR="00994E8B">
        <w:instrText xml:space="preserve"> \* MERGEFORMAT </w:instrText>
      </w:r>
      <w:r w:rsidR="009433EA" w:rsidRPr="00994E8B">
        <w:fldChar w:fldCharType="separate"/>
      </w:r>
      <w:r w:rsidR="00075357" w:rsidRPr="00994E8B">
        <w:t>6.1.2</w:t>
      </w:r>
      <w:r w:rsidR="009433EA" w:rsidRPr="00994E8B">
        <w:fldChar w:fldCharType="end"/>
      </w:r>
      <w:r w:rsidR="00C7205F" w:rsidRPr="00994E8B">
        <w:t xml:space="preserve"> </w:t>
      </w:r>
      <w:r w:rsidR="002A32BC" w:rsidRPr="00994E8B">
        <w:t xml:space="preserve">for </w:t>
      </w:r>
      <w:r w:rsidRPr="00994E8B">
        <w:t>more information)</w:t>
      </w:r>
      <w:r w:rsidR="006D20AD" w:rsidRPr="00994E8B">
        <w:t xml:space="preserve"> in response</w:t>
      </w:r>
      <w:r w:rsidR="00D26388" w:rsidRPr="00994E8B">
        <w:t xml:space="preserve"> to the </w:t>
      </w:r>
      <w:r w:rsidR="00F0577E" w:rsidRPr="00994E8B">
        <w:t>M</w:t>
      </w:r>
      <w:r w:rsidR="00EC3415" w:rsidRPr="00994E8B">
        <w:t xml:space="preserve">erit </w:t>
      </w:r>
      <w:r w:rsidR="00F0577E" w:rsidRPr="00994E8B">
        <w:t>C</w:t>
      </w:r>
      <w:r w:rsidR="00D26388" w:rsidRPr="00994E8B">
        <w:t>riteria</w:t>
      </w:r>
      <w:r w:rsidR="00EC3415" w:rsidRPr="00994E8B">
        <w:t>.</w:t>
      </w:r>
      <w:r w:rsidR="006D20AD" w:rsidRPr="00994E8B">
        <w:t xml:space="preserve"> In addition, you should provide evidence that your </w:t>
      </w:r>
      <w:r w:rsidR="00263097" w:rsidRPr="00994E8B">
        <w:t xml:space="preserve">Proposed Solution </w:t>
      </w:r>
      <w:r w:rsidR="006D20AD" w:rsidRPr="00994E8B">
        <w:t xml:space="preserve">provides a demonstrable improvement in connectivity levels over existing telecommunications services in the </w:t>
      </w:r>
      <w:r w:rsidR="00263097" w:rsidRPr="00994E8B">
        <w:t>Proposed Solution</w:t>
      </w:r>
      <w:r w:rsidR="006D20AD" w:rsidRPr="00994E8B">
        <w:t xml:space="preserve"> area</w:t>
      </w:r>
      <w:r w:rsidR="004A13DB" w:rsidRPr="00994E8B">
        <w:t xml:space="preserve"> (as outlined at section 2.2.1)</w:t>
      </w:r>
      <w:r w:rsidR="006D20AD" w:rsidRPr="00994E8B">
        <w:t xml:space="preserve">. The extent of this improvement will impact the assessment of the </w:t>
      </w:r>
      <w:r w:rsidR="00263097" w:rsidRPr="00994E8B">
        <w:t xml:space="preserve">Proposed Solution’s </w:t>
      </w:r>
      <w:r w:rsidR="006D20AD" w:rsidRPr="00994E8B">
        <w:t>ability to deliver the economic and/or social benefits.</w:t>
      </w:r>
    </w:p>
    <w:p w14:paraId="24B9383B" w14:textId="412E1AD2" w:rsidR="00D020AF" w:rsidRPr="00994E8B" w:rsidRDefault="00475B03" w:rsidP="0014541A">
      <w:r w:rsidRPr="00994E8B">
        <w:t xml:space="preserve">We encourage you to seek the support of the local government and/or state or territory </w:t>
      </w:r>
      <w:r w:rsidR="002E1845" w:rsidRPr="00994E8B">
        <w:t>g</w:t>
      </w:r>
      <w:r w:rsidRPr="00994E8B">
        <w:t xml:space="preserve">overnment in preparing your application. For example, they may be able to assist you in identifying the </w:t>
      </w:r>
      <w:r w:rsidRPr="00994E8B">
        <w:lastRenderedPageBreak/>
        <w:t xml:space="preserve">expected outcomes of the </w:t>
      </w:r>
      <w:r w:rsidR="00263097" w:rsidRPr="00994E8B">
        <w:t>Proposed Solution</w:t>
      </w:r>
      <w:r w:rsidRPr="00994E8B">
        <w:t xml:space="preserve">, particularly the economic and social benefits that would be available to the local community, if the </w:t>
      </w:r>
      <w:r w:rsidR="00263097" w:rsidRPr="00994E8B">
        <w:t>Proposed Solution</w:t>
      </w:r>
      <w:r w:rsidRPr="00994E8B">
        <w:t xml:space="preserve"> is funded.</w:t>
      </w:r>
    </w:p>
    <w:p w14:paraId="70AEF5CA" w14:textId="77777777" w:rsidR="003816D7" w:rsidRPr="00994E8B" w:rsidRDefault="00D020AF" w:rsidP="0014541A">
      <w:pPr>
        <w:pStyle w:val="Heading4"/>
      </w:pPr>
      <w:bookmarkStart w:id="162" w:name="_Merit_Criterion_1"/>
      <w:bookmarkStart w:id="163" w:name="_Toc129956298"/>
      <w:bookmarkEnd w:id="162"/>
      <w:r w:rsidRPr="00994E8B">
        <w:t xml:space="preserve">Merit </w:t>
      </w:r>
      <w:r w:rsidR="00494050" w:rsidRPr="00994E8B">
        <w:t>Criterion 1</w:t>
      </w:r>
      <w:r w:rsidRPr="00994E8B">
        <w:t xml:space="preserve"> – Economic Benefit</w:t>
      </w:r>
      <w:bookmarkEnd w:id="163"/>
    </w:p>
    <w:p w14:paraId="031835BB" w14:textId="77777777" w:rsidR="00D020AF" w:rsidRPr="00994E8B" w:rsidRDefault="00D020AF" w:rsidP="0014541A">
      <w:pPr>
        <w:pStyle w:val="Heading5"/>
      </w:pPr>
      <w:bookmarkStart w:id="164" w:name="_Toc41664005"/>
      <w:bookmarkStart w:id="165" w:name="_Toc41664156"/>
      <w:bookmarkStart w:id="166" w:name="_Toc81824720"/>
      <w:bookmarkStart w:id="167" w:name="_Ref121406157"/>
      <w:bookmarkStart w:id="168" w:name="_Toc129956299"/>
      <w:r w:rsidRPr="00994E8B">
        <w:t>Economic benefits of your project for the region (15 points)</w:t>
      </w:r>
      <w:bookmarkEnd w:id="164"/>
      <w:bookmarkEnd w:id="165"/>
      <w:bookmarkEnd w:id="166"/>
      <w:bookmarkEnd w:id="167"/>
      <w:bookmarkEnd w:id="168"/>
    </w:p>
    <w:p w14:paraId="52D1F769" w14:textId="20C7D2AB" w:rsidR="00D020AF" w:rsidRPr="00994E8B" w:rsidRDefault="00D020AF" w:rsidP="0014541A">
      <w:r w:rsidRPr="00994E8B">
        <w:rPr>
          <w:b/>
        </w:rPr>
        <w:t>Economic benefits</w:t>
      </w:r>
      <w:r w:rsidRPr="00994E8B">
        <w:t xml:space="preserve"> for a region may cover increases in employment opportunities or economic activity, improvements in productivity, wider access to markets or fairer and more equitable economic outcomes.</w:t>
      </w:r>
      <w:r w:rsidR="00FA0FAB" w:rsidRPr="00994E8B">
        <w:t xml:space="preserve"> In addressing this criterion, applicants should articulate the level of improvement in telecommunications that will be delivered by the Proposed Solution and demonstrate how this will lead to economic benefits for the targeted region or community.</w:t>
      </w:r>
    </w:p>
    <w:p w14:paraId="5C0D64FE" w14:textId="2CE99E93" w:rsidR="00D020AF" w:rsidRPr="00994E8B" w:rsidRDefault="00D020AF" w:rsidP="0014541A">
      <w:r w:rsidRPr="00994E8B">
        <w:t xml:space="preserve">Examples of how your </w:t>
      </w:r>
      <w:r w:rsidR="00263097" w:rsidRPr="00994E8B">
        <w:t>Proposed Solution</w:t>
      </w:r>
      <w:r w:rsidRPr="00994E8B">
        <w:t xml:space="preserve"> could demonstrate these economic benefits include:</w:t>
      </w:r>
    </w:p>
    <w:p w14:paraId="08E839B2" w14:textId="19752693" w:rsidR="00D020AF" w:rsidRPr="00994E8B" w:rsidRDefault="00D020AF" w:rsidP="0014541A">
      <w:pPr>
        <w:pStyle w:val="ListParagraph"/>
        <w:numPr>
          <w:ilvl w:val="0"/>
          <w:numId w:val="26"/>
        </w:numPr>
      </w:pPr>
      <w:r w:rsidRPr="00994E8B">
        <w:t>increasing the number or value of jobs</w:t>
      </w:r>
      <w:r w:rsidR="00850BDD" w:rsidRPr="00994E8B">
        <w:t xml:space="preserve">, </w:t>
      </w:r>
      <w:r w:rsidRPr="00994E8B">
        <w:t xml:space="preserve">creating new businesses or efficiencies in the production of goods and services in the region beyond the construction phase (this includes direct and indirect opportunities created through the </w:t>
      </w:r>
      <w:r w:rsidR="00263097" w:rsidRPr="00994E8B">
        <w:t>Proposed Solution</w:t>
      </w:r>
      <w:r w:rsidRPr="00994E8B">
        <w:t>)</w:t>
      </w:r>
      <w:r w:rsidR="00D74C2E" w:rsidRPr="00994E8B">
        <w:t>;</w:t>
      </w:r>
    </w:p>
    <w:p w14:paraId="4FFA17D6" w14:textId="2F31D961" w:rsidR="00D020AF" w:rsidRPr="00994E8B" w:rsidRDefault="00D020AF" w:rsidP="0014541A">
      <w:pPr>
        <w:pStyle w:val="ListParagraph"/>
        <w:numPr>
          <w:ilvl w:val="0"/>
          <w:numId w:val="26"/>
        </w:numPr>
      </w:pPr>
      <w:r w:rsidRPr="00994E8B">
        <w:t>providing opportunities for growth in existing sectors, e.g. tourism, agriculture, manufacturing</w:t>
      </w:r>
      <w:r w:rsidR="00D74C2E" w:rsidRPr="00994E8B">
        <w:t>;</w:t>
      </w:r>
    </w:p>
    <w:p w14:paraId="48715318" w14:textId="266D2AE4" w:rsidR="001B117E" w:rsidRPr="00994E8B" w:rsidRDefault="001B117E" w:rsidP="0014541A">
      <w:pPr>
        <w:pStyle w:val="ListParagraph"/>
        <w:numPr>
          <w:ilvl w:val="0"/>
          <w:numId w:val="26"/>
        </w:numPr>
      </w:pPr>
      <w:r w:rsidRPr="00994E8B">
        <w:t>facilitating greater competition in telecommunication retail services</w:t>
      </w:r>
      <w:r w:rsidR="00D74C2E" w:rsidRPr="00994E8B">
        <w:t>;</w:t>
      </w:r>
    </w:p>
    <w:p w14:paraId="3E8D9E34" w14:textId="77777777" w:rsidR="00D020AF" w:rsidRPr="00994E8B" w:rsidRDefault="00D020AF" w:rsidP="0014541A">
      <w:pPr>
        <w:pStyle w:val="ListParagraph"/>
        <w:numPr>
          <w:ilvl w:val="0"/>
          <w:numId w:val="26"/>
        </w:numPr>
      </w:pPr>
      <w:r w:rsidRPr="00994E8B">
        <w:t>whether the Proposed Solution provides an innovative approach to improve productivity, efficiency or addresses an identified problem; and/or</w:t>
      </w:r>
    </w:p>
    <w:p w14:paraId="59FB0C9A" w14:textId="77777777" w:rsidR="00D020AF" w:rsidRPr="00994E8B" w:rsidRDefault="00D020AF" w:rsidP="0014541A">
      <w:pPr>
        <w:pStyle w:val="ListParagraph"/>
        <w:numPr>
          <w:ilvl w:val="0"/>
          <w:numId w:val="26"/>
        </w:numPr>
      </w:pPr>
      <w:r w:rsidRPr="00994E8B">
        <w:t>evidence of the community/local intent to employ the Proposed Solution, which may include evidence or support from:</w:t>
      </w:r>
    </w:p>
    <w:p w14:paraId="0F1F5660" w14:textId="45133FB3" w:rsidR="00D020AF" w:rsidRPr="00994E8B" w:rsidRDefault="00D020AF" w:rsidP="0014541A">
      <w:pPr>
        <w:pStyle w:val="ListParagraph"/>
        <w:numPr>
          <w:ilvl w:val="0"/>
          <w:numId w:val="27"/>
        </w:numPr>
      </w:pPr>
      <w:r w:rsidRPr="00994E8B">
        <w:t>State and territory governments</w:t>
      </w:r>
      <w:r w:rsidR="00D74C2E" w:rsidRPr="00994E8B">
        <w:t>;</w:t>
      </w:r>
    </w:p>
    <w:p w14:paraId="40415FF7" w14:textId="0E7F8BD3" w:rsidR="00D020AF" w:rsidRPr="00994E8B" w:rsidRDefault="00D020AF" w:rsidP="0014541A">
      <w:pPr>
        <w:pStyle w:val="ListParagraph"/>
        <w:numPr>
          <w:ilvl w:val="0"/>
          <w:numId w:val="27"/>
        </w:numPr>
      </w:pPr>
      <w:r w:rsidRPr="00994E8B">
        <w:t>Local government and regional development authorities</w:t>
      </w:r>
      <w:r w:rsidR="00D74C2E" w:rsidRPr="00994E8B">
        <w:t>;</w:t>
      </w:r>
    </w:p>
    <w:p w14:paraId="270B5E53" w14:textId="4E23D04E" w:rsidR="00D020AF" w:rsidRPr="00994E8B" w:rsidRDefault="00D020AF" w:rsidP="0014541A">
      <w:pPr>
        <w:pStyle w:val="ListParagraph"/>
        <w:numPr>
          <w:ilvl w:val="0"/>
          <w:numId w:val="27"/>
        </w:numPr>
      </w:pPr>
      <w:r w:rsidRPr="00994E8B">
        <w:t>Industry, business, and community groups</w:t>
      </w:r>
      <w:r w:rsidR="00D74C2E" w:rsidRPr="00994E8B">
        <w:t>;</w:t>
      </w:r>
    </w:p>
    <w:p w14:paraId="7A2E5696" w14:textId="77777777" w:rsidR="00D020AF" w:rsidRPr="00994E8B" w:rsidRDefault="00D020AF" w:rsidP="0014541A">
      <w:pPr>
        <w:pStyle w:val="ListParagraph"/>
        <w:numPr>
          <w:ilvl w:val="0"/>
          <w:numId w:val="27"/>
        </w:numPr>
      </w:pPr>
      <w:r w:rsidRPr="00994E8B">
        <w:t>Not-for-profits; or</w:t>
      </w:r>
    </w:p>
    <w:p w14:paraId="5EBCC0C9" w14:textId="77777777" w:rsidR="007254DD" w:rsidRPr="00994E8B" w:rsidRDefault="001D2072" w:rsidP="0014541A">
      <w:pPr>
        <w:pStyle w:val="ListParagraph"/>
        <w:numPr>
          <w:ilvl w:val="0"/>
          <w:numId w:val="27"/>
        </w:numPr>
      </w:pPr>
      <w:r w:rsidRPr="00994E8B">
        <w:t>First Nations</w:t>
      </w:r>
      <w:r w:rsidR="00D020AF" w:rsidRPr="00994E8B">
        <w:t xml:space="preserve"> </w:t>
      </w:r>
      <w:r w:rsidR="005F258B" w:rsidRPr="00994E8B">
        <w:t>community-controlled</w:t>
      </w:r>
      <w:r w:rsidR="00D020AF" w:rsidRPr="00994E8B">
        <w:t xml:space="preserve"> organisations.</w:t>
      </w:r>
    </w:p>
    <w:p w14:paraId="0A3CC872" w14:textId="3E559F95" w:rsidR="003816D7" w:rsidRPr="00994E8B" w:rsidRDefault="00D020AF" w:rsidP="0014541A">
      <w:pPr>
        <w:pStyle w:val="Heading4"/>
      </w:pPr>
      <w:bookmarkStart w:id="169" w:name="_Merit_Criteria_2"/>
      <w:bookmarkStart w:id="170" w:name="_Toc129956300"/>
      <w:bookmarkEnd w:id="169"/>
      <w:r w:rsidRPr="00994E8B">
        <w:t>Merit Criteri</w:t>
      </w:r>
      <w:r w:rsidR="00340092" w:rsidRPr="00994E8B">
        <w:t>on</w:t>
      </w:r>
      <w:r w:rsidRPr="00994E8B">
        <w:t xml:space="preserve"> 2 – Social Benefit</w:t>
      </w:r>
      <w:bookmarkEnd w:id="170"/>
    </w:p>
    <w:p w14:paraId="58E286B1" w14:textId="77777777" w:rsidR="00D020AF" w:rsidRPr="00994E8B" w:rsidRDefault="00D020AF" w:rsidP="0014541A">
      <w:pPr>
        <w:pStyle w:val="Heading5"/>
      </w:pPr>
      <w:bookmarkStart w:id="171" w:name="_Ref121406186"/>
      <w:bookmarkStart w:id="172" w:name="_Toc129956301"/>
      <w:r w:rsidRPr="00994E8B">
        <w:t>Social benefits of your project for the region (15 points)</w:t>
      </w:r>
      <w:bookmarkEnd w:id="171"/>
      <w:bookmarkEnd w:id="172"/>
    </w:p>
    <w:p w14:paraId="055626DF" w14:textId="0B227CCF" w:rsidR="00D020AF" w:rsidRPr="00994E8B" w:rsidRDefault="00D020AF" w:rsidP="0014541A">
      <w:r w:rsidRPr="00994E8B">
        <w:rPr>
          <w:b/>
        </w:rPr>
        <w:t>Social benefits</w:t>
      </w:r>
      <w:r w:rsidRPr="00994E8B">
        <w:t xml:space="preserve"> for a region may cover improving access to health and education services, improving public safety and improving regional amenity, community connections and inclusion.</w:t>
      </w:r>
      <w:r w:rsidR="00FA0FAB" w:rsidRPr="00994E8B">
        <w:t xml:space="preserve"> In addressing this criterion, applicants should articulate the level of improvement in telecommunications that will be delivered by the Proposed Solution and demonstrate how this will lead to social benefits for the targeted region or community.</w:t>
      </w:r>
    </w:p>
    <w:p w14:paraId="551DE212" w14:textId="75D7EA39" w:rsidR="00D020AF" w:rsidRPr="00994E8B" w:rsidRDefault="00D020AF" w:rsidP="0014541A">
      <w:r w:rsidRPr="00994E8B">
        <w:t>Examples of how your</w:t>
      </w:r>
      <w:r w:rsidR="00263097" w:rsidRPr="00994E8B">
        <w:t xml:space="preserve"> Proposed Solution</w:t>
      </w:r>
      <w:r w:rsidRPr="00994E8B">
        <w:t xml:space="preserve"> could demonstrate these social benefits include:</w:t>
      </w:r>
    </w:p>
    <w:p w14:paraId="7676BB0E" w14:textId="4FF7F525" w:rsidR="00D020AF" w:rsidRPr="00994E8B" w:rsidRDefault="00D020AF" w:rsidP="0014541A">
      <w:pPr>
        <w:pStyle w:val="ListParagraph"/>
        <w:numPr>
          <w:ilvl w:val="0"/>
          <w:numId w:val="28"/>
        </w:numPr>
      </w:pPr>
      <w:r w:rsidRPr="00994E8B">
        <w:t>facilitating provision of more efficient and effective health or education services, including improved access to health or education resources in the home</w:t>
      </w:r>
      <w:r w:rsidR="00A22298" w:rsidRPr="00994E8B">
        <w:t>;</w:t>
      </w:r>
    </w:p>
    <w:p w14:paraId="43F30537" w14:textId="76847DE1" w:rsidR="00D020AF" w:rsidRPr="00994E8B" w:rsidRDefault="00D020AF" w:rsidP="0014541A">
      <w:pPr>
        <w:pStyle w:val="ListParagraph"/>
        <w:numPr>
          <w:ilvl w:val="0"/>
          <w:numId w:val="28"/>
        </w:numPr>
      </w:pPr>
      <w:r w:rsidRPr="00994E8B">
        <w:t xml:space="preserve">improving public safety </w:t>
      </w:r>
      <w:r w:rsidR="00103538" w:rsidRPr="00994E8B">
        <w:t xml:space="preserve">and network resilience </w:t>
      </w:r>
      <w:r w:rsidRPr="00994E8B">
        <w:t>in a defined area. This may include the ability to call 000 from more locations, providing alternative technologies with which to do so, or improving the effectiveness, resilience or safety of Public Safety Premises</w:t>
      </w:r>
      <w:r w:rsidR="00A22298" w:rsidRPr="00994E8B">
        <w:t>;</w:t>
      </w:r>
    </w:p>
    <w:p w14:paraId="5D1BF601" w14:textId="77777777" w:rsidR="00D020AF" w:rsidRPr="00994E8B" w:rsidRDefault="00D020AF" w:rsidP="0014541A">
      <w:pPr>
        <w:pStyle w:val="ListParagraph"/>
        <w:numPr>
          <w:ilvl w:val="0"/>
          <w:numId w:val="28"/>
        </w:numPr>
      </w:pPr>
      <w:r w:rsidRPr="00994E8B">
        <w:t xml:space="preserve">improving </w:t>
      </w:r>
      <w:r w:rsidR="00FA0FAB" w:rsidRPr="00994E8B">
        <w:t xml:space="preserve">retail competition, </w:t>
      </w:r>
      <w:r w:rsidRPr="00994E8B">
        <w:t>regional amenity, community connections and inclusion. This may include improving affordability, providing services that help to attract and retain a workforce or enhancing cultural heritage; and/or</w:t>
      </w:r>
    </w:p>
    <w:p w14:paraId="4A59E072" w14:textId="47C860DD" w:rsidR="00BA0FD6" w:rsidRPr="00994E8B" w:rsidRDefault="00D020AF" w:rsidP="0014541A">
      <w:pPr>
        <w:pStyle w:val="ListParagraph"/>
        <w:numPr>
          <w:ilvl w:val="0"/>
          <w:numId w:val="28"/>
        </w:numPr>
      </w:pPr>
      <w:r w:rsidRPr="00994E8B">
        <w:t>addressing disadvantage within the community</w:t>
      </w:r>
      <w:r w:rsidR="00FE31EF" w:rsidRPr="00994E8B">
        <w:t xml:space="preserve"> including First Nations</w:t>
      </w:r>
      <w:r w:rsidR="00F0577E" w:rsidRPr="00994E8B">
        <w:t xml:space="preserve"> communities</w:t>
      </w:r>
      <w:r w:rsidRPr="00994E8B">
        <w:t>. This may include addressing low digital inclusion, providing affordable services to places with entrenched disadvantage</w:t>
      </w:r>
      <w:r w:rsidR="00BA0FD6" w:rsidRPr="00994E8B">
        <w:t xml:space="preserve"> (including benefits such as community free </w:t>
      </w:r>
      <w:proofErr w:type="spellStart"/>
      <w:r w:rsidR="00BA0FD6" w:rsidRPr="00994E8B">
        <w:t>wifi</w:t>
      </w:r>
      <w:proofErr w:type="spellEnd"/>
      <w:r w:rsidR="00BA0FD6" w:rsidRPr="00994E8B">
        <w:t xml:space="preserve"> or discounted pricing models)</w:t>
      </w:r>
      <w:r w:rsidRPr="00994E8B">
        <w:t>, or providing people who are excluded with improved opportunities to access support services.</w:t>
      </w:r>
      <w:r w:rsidR="001E51BA" w:rsidRPr="00994E8B">
        <w:t xml:space="preserve"> </w:t>
      </w:r>
    </w:p>
    <w:p w14:paraId="14B97B34" w14:textId="6DB98B0D" w:rsidR="007254DD" w:rsidRPr="00994E8B" w:rsidRDefault="00BA0FD6" w:rsidP="0014541A">
      <w:r w:rsidRPr="00994E8B">
        <w:lastRenderedPageBreak/>
        <w:t>A</w:t>
      </w:r>
      <w:r w:rsidR="00E02D3F" w:rsidRPr="00994E8B">
        <w:t>pplicant</w:t>
      </w:r>
      <w:r w:rsidRPr="00994E8B">
        <w:t>s</w:t>
      </w:r>
      <w:r w:rsidR="001E51BA" w:rsidRPr="00994E8B">
        <w:t xml:space="preserve"> applying for First Nations funding </w:t>
      </w:r>
      <w:r w:rsidR="0079638A" w:rsidRPr="00994E8B">
        <w:t>sh</w:t>
      </w:r>
      <w:r w:rsidR="001E51BA" w:rsidRPr="00994E8B">
        <w:t xml:space="preserve">ould highlight how the </w:t>
      </w:r>
      <w:r w:rsidR="00263097" w:rsidRPr="00994E8B">
        <w:t>Proposed Solution</w:t>
      </w:r>
      <w:r w:rsidR="001E51BA" w:rsidRPr="00994E8B">
        <w:t xml:space="preserve"> will address Target 17 of the Closing the Gap initiative (as outlined in section 2.</w:t>
      </w:r>
      <w:r w:rsidR="003C45F0" w:rsidRPr="00994E8B">
        <w:t>1</w:t>
      </w:r>
      <w:r w:rsidR="001E51BA" w:rsidRPr="00994E8B">
        <w:t xml:space="preserve"> above), or any other targets under the</w:t>
      </w:r>
      <w:r w:rsidR="003C45F0" w:rsidRPr="00994E8B">
        <w:t xml:space="preserve"> Closing the Gap</w:t>
      </w:r>
      <w:r w:rsidR="001E51BA" w:rsidRPr="00994E8B">
        <w:t xml:space="preserve"> initiative. </w:t>
      </w:r>
    </w:p>
    <w:p w14:paraId="2AB83084" w14:textId="77777777" w:rsidR="003816D7" w:rsidRPr="00994E8B" w:rsidRDefault="004205B6" w:rsidP="0014541A">
      <w:pPr>
        <w:pStyle w:val="Heading4"/>
      </w:pPr>
      <w:bookmarkStart w:id="173" w:name="_Toc129956302"/>
      <w:r w:rsidRPr="00994E8B">
        <w:t>Merit Criterion 3 – Project Delivery</w:t>
      </w:r>
      <w:bookmarkEnd w:id="173"/>
    </w:p>
    <w:p w14:paraId="7729FB63" w14:textId="77777777" w:rsidR="004205B6" w:rsidRPr="00994E8B" w:rsidRDefault="00FA0FAB" w:rsidP="0014541A">
      <w:pPr>
        <w:pStyle w:val="Heading5"/>
      </w:pPr>
      <w:bookmarkStart w:id="174" w:name="_Toc129956303"/>
      <w:r w:rsidRPr="00994E8B">
        <w:t>C</w:t>
      </w:r>
      <w:r w:rsidR="004205B6" w:rsidRPr="00994E8B">
        <w:t>apacity, capability and resources to deliver the project (10 points)</w:t>
      </w:r>
      <w:bookmarkEnd w:id="174"/>
    </w:p>
    <w:p w14:paraId="209DF117" w14:textId="77417767" w:rsidR="004205B6" w:rsidRPr="00994E8B" w:rsidRDefault="004205B6" w:rsidP="0014541A">
      <w:r w:rsidRPr="00994E8B">
        <w:t>You should demonstrate</w:t>
      </w:r>
      <w:r w:rsidR="008B03EB" w:rsidRPr="00994E8B">
        <w:t xml:space="preserve"> your capacity to deliver the Proposed Solution with</w:t>
      </w:r>
      <w:r w:rsidR="00FE1275" w:rsidRPr="00994E8B">
        <w:t>in</w:t>
      </w:r>
      <w:r w:rsidR="008B03EB" w:rsidRPr="00994E8B">
        <w:t xml:space="preserve"> the specified cost and timeframe, including</w:t>
      </w:r>
      <w:r w:rsidRPr="00994E8B">
        <w:t xml:space="preserve"> through identifying:</w:t>
      </w:r>
    </w:p>
    <w:p w14:paraId="312FC0D3" w14:textId="77777777" w:rsidR="000D4A97" w:rsidRPr="00994E8B" w:rsidRDefault="008B03EB" w:rsidP="0014541A">
      <w:pPr>
        <w:pStyle w:val="ListParagraph"/>
        <w:numPr>
          <w:ilvl w:val="0"/>
          <w:numId w:val="85"/>
        </w:numPr>
      </w:pPr>
      <w:r w:rsidRPr="00994E8B">
        <w:t xml:space="preserve">Your track record </w:t>
      </w:r>
      <w:r w:rsidR="000D4A97" w:rsidRPr="00994E8B">
        <w:t xml:space="preserve">and your capacity </w:t>
      </w:r>
      <w:r w:rsidRPr="00994E8B">
        <w:t xml:space="preserve">to deliver </w:t>
      </w:r>
      <w:r w:rsidR="000D4A97" w:rsidRPr="00994E8B">
        <w:t xml:space="preserve">the Proposed Solution, including </w:t>
      </w:r>
    </w:p>
    <w:p w14:paraId="3BB0BFBA" w14:textId="5242270D" w:rsidR="00FE1275" w:rsidRPr="00994E8B" w:rsidRDefault="000D4A97" w:rsidP="0014541A">
      <w:pPr>
        <w:pStyle w:val="ListParagraph"/>
        <w:numPr>
          <w:ilvl w:val="1"/>
          <w:numId w:val="85"/>
        </w:numPr>
      </w:pPr>
      <w:r w:rsidRPr="00994E8B">
        <w:t>examples of delivering similar projects and solutions</w:t>
      </w:r>
      <w:r w:rsidR="000D5111" w:rsidRPr="00994E8B">
        <w:t>;</w:t>
      </w:r>
    </w:p>
    <w:p w14:paraId="1FDFFB87" w14:textId="4EE10B44" w:rsidR="008B03EB" w:rsidRPr="00994E8B" w:rsidRDefault="00F13AFF" w:rsidP="0014541A">
      <w:pPr>
        <w:pStyle w:val="ListParagraph"/>
        <w:numPr>
          <w:ilvl w:val="1"/>
          <w:numId w:val="85"/>
        </w:numPr>
      </w:pPr>
      <w:r w:rsidRPr="00994E8B">
        <w:t xml:space="preserve">your </w:t>
      </w:r>
      <w:r w:rsidR="00FE1275" w:rsidRPr="00994E8B">
        <w:t xml:space="preserve">resources and </w:t>
      </w:r>
      <w:r w:rsidRPr="00994E8B">
        <w:t>access to personnel and/or partners with the right skills and experience</w:t>
      </w:r>
      <w:r w:rsidR="000D5111" w:rsidRPr="00994E8B">
        <w:t>;</w:t>
      </w:r>
    </w:p>
    <w:p w14:paraId="189A3CE2" w14:textId="258E9D6F" w:rsidR="000D4A97" w:rsidRPr="00994E8B" w:rsidRDefault="000D4A97" w:rsidP="0014541A">
      <w:pPr>
        <w:pStyle w:val="ListParagraph"/>
        <w:numPr>
          <w:ilvl w:val="1"/>
          <w:numId w:val="85"/>
        </w:numPr>
      </w:pPr>
      <w:r w:rsidRPr="00994E8B">
        <w:t xml:space="preserve">your ability to deliver in the context of your organisation’s broader program of work (including any pipeline of works through Commonwealth and state or </w:t>
      </w:r>
      <w:r w:rsidR="00F13AFF" w:rsidRPr="00994E8B">
        <w:t>territory government</w:t>
      </w:r>
      <w:r w:rsidRPr="00994E8B">
        <w:t xml:space="preserve"> programs such as MBSP and previous Program rounds)</w:t>
      </w:r>
      <w:r w:rsidR="00F13AFF" w:rsidRPr="00994E8B">
        <w:t>; and</w:t>
      </w:r>
    </w:p>
    <w:p w14:paraId="5B03F312" w14:textId="75782993" w:rsidR="00F13AFF" w:rsidRPr="00994E8B" w:rsidRDefault="00F13AFF" w:rsidP="0014541A">
      <w:pPr>
        <w:pStyle w:val="ListParagraph"/>
        <w:numPr>
          <w:ilvl w:val="1"/>
          <w:numId w:val="85"/>
        </w:numPr>
      </w:pPr>
      <w:r w:rsidRPr="00994E8B">
        <w:t>your access, or future access to, any necessary infrastructure, power or backhaul.</w:t>
      </w:r>
    </w:p>
    <w:p w14:paraId="4D269954" w14:textId="77777777" w:rsidR="000D4A97" w:rsidRPr="00994E8B" w:rsidRDefault="000D4A97" w:rsidP="0014541A">
      <w:pPr>
        <w:pStyle w:val="ListParagraph"/>
        <w:numPr>
          <w:ilvl w:val="0"/>
          <w:numId w:val="85"/>
        </w:numPr>
      </w:pPr>
      <w:r w:rsidRPr="00994E8B">
        <w:t xml:space="preserve">The maturity of the Proposed Solution, including outlining </w:t>
      </w:r>
    </w:p>
    <w:p w14:paraId="1379C5DD" w14:textId="04230162" w:rsidR="00F13AFF" w:rsidRPr="00994E8B" w:rsidRDefault="000D4A97" w:rsidP="0014541A">
      <w:pPr>
        <w:pStyle w:val="ListParagraph"/>
        <w:numPr>
          <w:ilvl w:val="1"/>
          <w:numId w:val="85"/>
        </w:numPr>
      </w:pPr>
      <w:r w:rsidRPr="00994E8B">
        <w:t>the key technical components of the solution, a</w:t>
      </w:r>
      <w:r w:rsidR="00353EBA" w:rsidRPr="00994E8B">
        <w:t>nd a</w:t>
      </w:r>
      <w:r w:rsidRPr="00994E8B">
        <w:t xml:space="preserve"> comprehensive project cost budget and breakdown</w:t>
      </w:r>
      <w:r w:rsidR="000D5111" w:rsidRPr="00994E8B">
        <w:t>;</w:t>
      </w:r>
    </w:p>
    <w:p w14:paraId="3FAA2A7E" w14:textId="2A03062F" w:rsidR="000D4A97" w:rsidRPr="00994E8B" w:rsidRDefault="000D4A97" w:rsidP="0014541A">
      <w:pPr>
        <w:pStyle w:val="ListParagraph"/>
        <w:numPr>
          <w:ilvl w:val="1"/>
          <w:numId w:val="85"/>
        </w:numPr>
      </w:pPr>
      <w:r w:rsidRPr="00994E8B">
        <w:t>a robust project delivery plan and schedule</w:t>
      </w:r>
      <w:r w:rsidR="000D5111" w:rsidRPr="00994E8B">
        <w:t>;</w:t>
      </w:r>
    </w:p>
    <w:p w14:paraId="283B55F0" w14:textId="770D4D1C" w:rsidR="00FE1275" w:rsidRPr="00994E8B" w:rsidRDefault="00FE1275" w:rsidP="0014541A">
      <w:pPr>
        <w:pStyle w:val="ListParagraph"/>
        <w:numPr>
          <w:ilvl w:val="1"/>
          <w:numId w:val="85"/>
        </w:numPr>
      </w:pPr>
      <w:r w:rsidRPr="00994E8B">
        <w:t>approvals that will be required and any steps taken to progress these; and</w:t>
      </w:r>
    </w:p>
    <w:p w14:paraId="54542DB2" w14:textId="3E0AF9D4" w:rsidR="00FE1275" w:rsidRPr="00994E8B" w:rsidRDefault="00FE1275" w:rsidP="0014541A">
      <w:pPr>
        <w:pStyle w:val="ListParagraph"/>
        <w:numPr>
          <w:ilvl w:val="1"/>
          <w:numId w:val="85"/>
        </w:numPr>
      </w:pPr>
      <w:r w:rsidRPr="00994E8B">
        <w:t>evidence of contingency planning that mitigates the risk of delays in getting the necessary approvals to commence work, particularly for greenfield and remote projects</w:t>
      </w:r>
      <w:r w:rsidR="002D2404" w:rsidRPr="00994E8B">
        <w:t>.</w:t>
      </w:r>
    </w:p>
    <w:p w14:paraId="1BFC8E91" w14:textId="4AB8A9E6" w:rsidR="008615EE" w:rsidRPr="00994E8B" w:rsidRDefault="008615EE" w:rsidP="0014541A">
      <w:r w:rsidRPr="00994E8B">
        <w:t xml:space="preserve">In addition, you should outline how you will maintain the infrastructure and </w:t>
      </w:r>
      <w:r w:rsidR="002D2404" w:rsidRPr="00994E8B">
        <w:t xml:space="preserve">the </w:t>
      </w:r>
      <w:r w:rsidRPr="00994E8B">
        <w:t>benefits</w:t>
      </w:r>
      <w:r w:rsidR="002D2404" w:rsidRPr="00994E8B">
        <w:t xml:space="preserve"> provided by</w:t>
      </w:r>
      <w:r w:rsidRPr="00994E8B">
        <w:t xml:space="preserve"> the Proposed Solution during the Operational Period, including manag</w:t>
      </w:r>
      <w:r w:rsidR="00353EBA" w:rsidRPr="00994E8B">
        <w:t>ing</w:t>
      </w:r>
      <w:r w:rsidRPr="00994E8B">
        <w:t xml:space="preserve"> expected increased data demands over the course of the Operational Period.</w:t>
      </w:r>
    </w:p>
    <w:p w14:paraId="28B43910" w14:textId="77777777" w:rsidR="004205B6" w:rsidRPr="00994E8B" w:rsidRDefault="00670A3F" w:rsidP="0014541A">
      <w:pPr>
        <w:pStyle w:val="Heading4"/>
      </w:pPr>
      <w:bookmarkStart w:id="175" w:name="_Toc129875623"/>
      <w:bookmarkStart w:id="176" w:name="_Toc129940630"/>
      <w:bookmarkStart w:id="177" w:name="_Toc129940790"/>
      <w:bookmarkStart w:id="178" w:name="_Toc129941307"/>
      <w:bookmarkStart w:id="179" w:name="_Toc129941466"/>
      <w:bookmarkStart w:id="180" w:name="_Toc129941808"/>
      <w:bookmarkStart w:id="181" w:name="_Toc129941933"/>
      <w:bookmarkStart w:id="182" w:name="_Toc129942058"/>
      <w:bookmarkStart w:id="183" w:name="_Toc129943495"/>
      <w:bookmarkStart w:id="184" w:name="_Toc129875624"/>
      <w:bookmarkStart w:id="185" w:name="_Toc129940631"/>
      <w:bookmarkStart w:id="186" w:name="_Toc129940791"/>
      <w:bookmarkStart w:id="187" w:name="_Toc129941308"/>
      <w:bookmarkStart w:id="188" w:name="_Toc129941467"/>
      <w:bookmarkStart w:id="189" w:name="_Toc129941809"/>
      <w:bookmarkStart w:id="190" w:name="_Toc129941934"/>
      <w:bookmarkStart w:id="191" w:name="_Toc129942059"/>
      <w:bookmarkStart w:id="192" w:name="_Toc129943496"/>
      <w:bookmarkStart w:id="193" w:name="_Toc129875625"/>
      <w:bookmarkStart w:id="194" w:name="_Toc129940632"/>
      <w:bookmarkStart w:id="195" w:name="_Toc129940792"/>
      <w:bookmarkStart w:id="196" w:name="_Toc129941309"/>
      <w:bookmarkStart w:id="197" w:name="_Toc129941468"/>
      <w:bookmarkStart w:id="198" w:name="_Toc129941810"/>
      <w:bookmarkStart w:id="199" w:name="_Toc129941935"/>
      <w:bookmarkStart w:id="200" w:name="_Toc129942060"/>
      <w:bookmarkStart w:id="201" w:name="_Toc129943497"/>
      <w:bookmarkStart w:id="202" w:name="_Toc129875626"/>
      <w:bookmarkStart w:id="203" w:name="_Toc129940633"/>
      <w:bookmarkStart w:id="204" w:name="_Toc129940793"/>
      <w:bookmarkStart w:id="205" w:name="_Toc129941310"/>
      <w:bookmarkStart w:id="206" w:name="_Toc129941469"/>
      <w:bookmarkStart w:id="207" w:name="_Toc129941811"/>
      <w:bookmarkStart w:id="208" w:name="_Toc129941936"/>
      <w:bookmarkStart w:id="209" w:name="_Toc129942061"/>
      <w:bookmarkStart w:id="210" w:name="_Toc129943498"/>
      <w:bookmarkStart w:id="211" w:name="_Toc129875627"/>
      <w:bookmarkStart w:id="212" w:name="_Toc129940634"/>
      <w:bookmarkStart w:id="213" w:name="_Toc129940794"/>
      <w:bookmarkStart w:id="214" w:name="_Toc129941311"/>
      <w:bookmarkStart w:id="215" w:name="_Toc129941470"/>
      <w:bookmarkStart w:id="216" w:name="_Toc129941812"/>
      <w:bookmarkStart w:id="217" w:name="_Toc129941937"/>
      <w:bookmarkStart w:id="218" w:name="_Toc129942062"/>
      <w:bookmarkStart w:id="219" w:name="_Toc129943499"/>
      <w:bookmarkStart w:id="220" w:name="_Toc129875628"/>
      <w:bookmarkStart w:id="221" w:name="_Toc129940635"/>
      <w:bookmarkStart w:id="222" w:name="_Toc129940795"/>
      <w:bookmarkStart w:id="223" w:name="_Toc129941312"/>
      <w:bookmarkStart w:id="224" w:name="_Toc129941471"/>
      <w:bookmarkStart w:id="225" w:name="_Toc129941813"/>
      <w:bookmarkStart w:id="226" w:name="_Toc129941938"/>
      <w:bookmarkStart w:id="227" w:name="_Toc129942063"/>
      <w:bookmarkStart w:id="228" w:name="_Toc129943500"/>
      <w:bookmarkStart w:id="229" w:name="_Toc129875629"/>
      <w:bookmarkStart w:id="230" w:name="_Toc129940636"/>
      <w:bookmarkStart w:id="231" w:name="_Toc129940796"/>
      <w:bookmarkStart w:id="232" w:name="_Toc129941313"/>
      <w:bookmarkStart w:id="233" w:name="_Toc129941472"/>
      <w:bookmarkStart w:id="234" w:name="_Toc129941814"/>
      <w:bookmarkStart w:id="235" w:name="_Toc129941939"/>
      <w:bookmarkStart w:id="236" w:name="_Toc129942064"/>
      <w:bookmarkStart w:id="237" w:name="_Toc129943501"/>
      <w:bookmarkStart w:id="238" w:name="_Toc129875630"/>
      <w:bookmarkStart w:id="239" w:name="_Toc129940637"/>
      <w:bookmarkStart w:id="240" w:name="_Toc129940797"/>
      <w:bookmarkStart w:id="241" w:name="_Toc129941314"/>
      <w:bookmarkStart w:id="242" w:name="_Toc129941473"/>
      <w:bookmarkStart w:id="243" w:name="_Toc129941815"/>
      <w:bookmarkStart w:id="244" w:name="_Toc129941940"/>
      <w:bookmarkStart w:id="245" w:name="_Toc129942065"/>
      <w:bookmarkStart w:id="246" w:name="_Toc129943502"/>
      <w:bookmarkStart w:id="247" w:name="_Toc129875631"/>
      <w:bookmarkStart w:id="248" w:name="_Toc129940638"/>
      <w:bookmarkStart w:id="249" w:name="_Toc129940798"/>
      <w:bookmarkStart w:id="250" w:name="_Toc129941315"/>
      <w:bookmarkStart w:id="251" w:name="_Toc129941474"/>
      <w:bookmarkStart w:id="252" w:name="_Toc129941816"/>
      <w:bookmarkStart w:id="253" w:name="_Toc129941941"/>
      <w:bookmarkStart w:id="254" w:name="_Toc129942066"/>
      <w:bookmarkStart w:id="255" w:name="_Toc129943503"/>
      <w:bookmarkStart w:id="256" w:name="_Toc129875632"/>
      <w:bookmarkStart w:id="257" w:name="_Toc129940639"/>
      <w:bookmarkStart w:id="258" w:name="_Toc129940799"/>
      <w:bookmarkStart w:id="259" w:name="_Toc129941316"/>
      <w:bookmarkStart w:id="260" w:name="_Toc129941475"/>
      <w:bookmarkStart w:id="261" w:name="_Toc129941817"/>
      <w:bookmarkStart w:id="262" w:name="_Toc129941942"/>
      <w:bookmarkStart w:id="263" w:name="_Toc129942067"/>
      <w:bookmarkStart w:id="264" w:name="_Toc129943504"/>
      <w:bookmarkStart w:id="265" w:name="_Toc129875633"/>
      <w:bookmarkStart w:id="266" w:name="_Toc129940640"/>
      <w:bookmarkStart w:id="267" w:name="_Toc129940800"/>
      <w:bookmarkStart w:id="268" w:name="_Toc129941317"/>
      <w:bookmarkStart w:id="269" w:name="_Toc129941476"/>
      <w:bookmarkStart w:id="270" w:name="_Toc129941818"/>
      <w:bookmarkStart w:id="271" w:name="_Toc129941943"/>
      <w:bookmarkStart w:id="272" w:name="_Toc129942068"/>
      <w:bookmarkStart w:id="273" w:name="_Toc129943505"/>
      <w:bookmarkStart w:id="274" w:name="_Toc129875634"/>
      <w:bookmarkStart w:id="275" w:name="_Toc129940641"/>
      <w:bookmarkStart w:id="276" w:name="_Toc129940801"/>
      <w:bookmarkStart w:id="277" w:name="_Toc129941318"/>
      <w:bookmarkStart w:id="278" w:name="_Toc129941477"/>
      <w:bookmarkStart w:id="279" w:name="_Toc129941819"/>
      <w:bookmarkStart w:id="280" w:name="_Toc129941944"/>
      <w:bookmarkStart w:id="281" w:name="_Toc129942069"/>
      <w:bookmarkStart w:id="282" w:name="_Toc129943506"/>
      <w:bookmarkStart w:id="283" w:name="_Toc129875635"/>
      <w:bookmarkStart w:id="284" w:name="_Toc129940642"/>
      <w:bookmarkStart w:id="285" w:name="_Toc129940802"/>
      <w:bookmarkStart w:id="286" w:name="_Toc129941319"/>
      <w:bookmarkStart w:id="287" w:name="_Toc129941478"/>
      <w:bookmarkStart w:id="288" w:name="_Toc129941820"/>
      <w:bookmarkStart w:id="289" w:name="_Toc129941945"/>
      <w:bookmarkStart w:id="290" w:name="_Toc129942070"/>
      <w:bookmarkStart w:id="291" w:name="_Toc129943507"/>
      <w:bookmarkStart w:id="292" w:name="_Toc129875636"/>
      <w:bookmarkStart w:id="293" w:name="_Toc129940643"/>
      <w:bookmarkStart w:id="294" w:name="_Toc129940803"/>
      <w:bookmarkStart w:id="295" w:name="_Toc129941320"/>
      <w:bookmarkStart w:id="296" w:name="_Toc129941479"/>
      <w:bookmarkStart w:id="297" w:name="_Toc129941821"/>
      <w:bookmarkStart w:id="298" w:name="_Toc129941946"/>
      <w:bookmarkStart w:id="299" w:name="_Toc129942071"/>
      <w:bookmarkStart w:id="300" w:name="_Toc129943508"/>
      <w:bookmarkStart w:id="301" w:name="_Merit_Criterion_4"/>
      <w:bookmarkStart w:id="302" w:name="_Toc12995630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994E8B">
        <w:t>Merit Criterion 4 – Financial Co-contributions</w:t>
      </w:r>
      <w:bookmarkEnd w:id="302"/>
    </w:p>
    <w:p w14:paraId="24FDD94E" w14:textId="77777777" w:rsidR="00670A3F" w:rsidRPr="00994E8B" w:rsidRDefault="00670A3F" w:rsidP="0014541A">
      <w:pPr>
        <w:pStyle w:val="Heading5"/>
      </w:pPr>
      <w:bookmarkStart w:id="303" w:name="_Toc129956305"/>
      <w:r w:rsidRPr="00994E8B">
        <w:t>Total investment the grant funding will leverage (10 points)</w:t>
      </w:r>
      <w:bookmarkEnd w:id="303"/>
    </w:p>
    <w:p w14:paraId="3157EA96" w14:textId="63479921" w:rsidR="008615EE" w:rsidRPr="00994E8B" w:rsidRDefault="00670A3F" w:rsidP="00C65BC6">
      <w:r w:rsidRPr="00994E8B">
        <w:t>You should demonstrate this through identifying the total inve</w:t>
      </w:r>
      <w:r w:rsidR="00EF12A1" w:rsidRPr="00994E8B">
        <w:t>stment the grant will leverage.</w:t>
      </w:r>
      <w:r w:rsidR="00C7205F" w:rsidRPr="00994E8B">
        <w:t xml:space="preserve"> </w:t>
      </w:r>
      <w:r w:rsidR="00E40532" w:rsidRPr="00994E8B">
        <w:t>A</w:t>
      </w:r>
      <w:r w:rsidR="00002295" w:rsidRPr="00994E8B">
        <w:t xml:space="preserve"> high</w:t>
      </w:r>
      <w:r w:rsidR="00990673" w:rsidRPr="00994E8B">
        <w:t>er</w:t>
      </w:r>
      <w:r w:rsidR="00C7205F" w:rsidRPr="00994E8B">
        <w:t xml:space="preserve"> level of contribution</w:t>
      </w:r>
      <w:r w:rsidR="000D73EB" w:rsidRPr="00994E8B">
        <w:t xml:space="preserve"> from </w:t>
      </w:r>
      <w:r w:rsidR="00EA3763" w:rsidRPr="00994E8B">
        <w:t xml:space="preserve">non-Commonwealth </w:t>
      </w:r>
      <w:r w:rsidR="000D73EB" w:rsidRPr="00994E8B">
        <w:t xml:space="preserve">sources, comparative to the </w:t>
      </w:r>
      <w:r w:rsidR="00C7205F" w:rsidRPr="00994E8B">
        <w:t>cost</w:t>
      </w:r>
      <w:r w:rsidR="000D73EB" w:rsidRPr="00994E8B">
        <w:t xml:space="preserve"> of the Proposed Solution</w:t>
      </w:r>
      <w:r w:rsidR="00002295" w:rsidRPr="00994E8B">
        <w:t>, will help drive a higher s</w:t>
      </w:r>
      <w:r w:rsidR="00990673" w:rsidRPr="00994E8B">
        <w:t xml:space="preserve">core in the assessment process for this criterion. </w:t>
      </w:r>
    </w:p>
    <w:p w14:paraId="39864B8B" w14:textId="1ECF29D8" w:rsidR="007C2BA1" w:rsidRPr="00994E8B" w:rsidRDefault="008615EE" w:rsidP="00C65BC6">
      <w:r w:rsidRPr="00994E8B">
        <w:t>While financial c</w:t>
      </w:r>
      <w:r w:rsidR="00EA3763" w:rsidRPr="00994E8B">
        <w:t xml:space="preserve">ontributions from </w:t>
      </w:r>
      <w:r w:rsidRPr="00994E8B">
        <w:t xml:space="preserve">other </w:t>
      </w:r>
      <w:r w:rsidR="00EA3763" w:rsidRPr="00994E8B">
        <w:t xml:space="preserve">Commonwealth sources </w:t>
      </w:r>
      <w:r w:rsidRPr="00994E8B">
        <w:t>will be considered as part of the Value for Money assessment, those contributions</w:t>
      </w:r>
      <w:r w:rsidR="00EA3763" w:rsidRPr="00994E8B">
        <w:t xml:space="preserve"> will not count towards </w:t>
      </w:r>
      <w:r w:rsidR="002E536E" w:rsidRPr="00994E8B">
        <w:t>the</w:t>
      </w:r>
      <w:r w:rsidR="00EA3763" w:rsidRPr="00994E8B">
        <w:t xml:space="preserve"> score</w:t>
      </w:r>
      <w:r w:rsidR="002E536E" w:rsidRPr="00994E8B">
        <w:t xml:space="preserve"> for this </w:t>
      </w:r>
      <w:r w:rsidR="00E40532" w:rsidRPr="00994E8B">
        <w:t>M</w:t>
      </w:r>
      <w:r w:rsidR="002E536E" w:rsidRPr="00994E8B">
        <w:t xml:space="preserve">erit </w:t>
      </w:r>
      <w:r w:rsidR="00E40532" w:rsidRPr="00994E8B">
        <w:t>C</w:t>
      </w:r>
      <w:r w:rsidR="002E536E" w:rsidRPr="00994E8B">
        <w:t>riteri</w:t>
      </w:r>
      <w:r w:rsidR="00E40532" w:rsidRPr="00994E8B">
        <w:t>on</w:t>
      </w:r>
      <w:r w:rsidR="00A068E2" w:rsidRPr="00994E8B">
        <w:t xml:space="preserve">. </w:t>
      </w:r>
    </w:p>
    <w:p w14:paraId="700CF4E6" w14:textId="77777777" w:rsidR="003228DF" w:rsidRPr="00994E8B" w:rsidRDefault="003228DF" w:rsidP="0014541A">
      <w:pPr>
        <w:pStyle w:val="Heading3"/>
      </w:pPr>
      <w:bookmarkStart w:id="304" w:name="_Toc113442183"/>
      <w:bookmarkStart w:id="305" w:name="_Toc113357220"/>
      <w:bookmarkStart w:id="306" w:name="_Toc118455719"/>
      <w:bookmarkStart w:id="307" w:name="_Toc129956306"/>
      <w:r w:rsidRPr="00994E8B">
        <w:t xml:space="preserve">Assessment Criteria for </w:t>
      </w:r>
      <w:r w:rsidR="007009DE" w:rsidRPr="00994E8B">
        <w:t>Mobile Black Spot Solution</w:t>
      </w:r>
      <w:r w:rsidRPr="00994E8B">
        <w:t>s</w:t>
      </w:r>
      <w:bookmarkEnd w:id="304"/>
      <w:bookmarkEnd w:id="305"/>
      <w:bookmarkEnd w:id="306"/>
      <w:bookmarkEnd w:id="307"/>
    </w:p>
    <w:p w14:paraId="3C1C20DA" w14:textId="5E180259" w:rsidR="00F940E4" w:rsidRPr="00994E8B" w:rsidRDefault="00F940E4" w:rsidP="00F940E4">
      <w:pPr>
        <w:rPr>
          <w:rFonts w:eastAsia="Calibri" w:cs="Arial"/>
        </w:rPr>
      </w:pPr>
      <w:bookmarkStart w:id="308" w:name="_Hlk121851767"/>
      <w:r w:rsidRPr="00994E8B">
        <w:rPr>
          <w:rFonts w:eastAsia="Calibri" w:cs="Arial"/>
        </w:rPr>
        <w:t>All</w:t>
      </w:r>
      <w:r w:rsidR="00BA2CFA" w:rsidRPr="00994E8B">
        <w:rPr>
          <w:rFonts w:eastAsia="Calibri" w:cs="Arial"/>
        </w:rPr>
        <w:t xml:space="preserve"> </w:t>
      </w:r>
      <w:r w:rsidR="007009DE" w:rsidRPr="00994E8B">
        <w:rPr>
          <w:rFonts w:eastAsia="Calibri" w:cs="Arial"/>
          <w:b/>
        </w:rPr>
        <w:t>Mobile Black Spot Solution</w:t>
      </w:r>
      <w:r w:rsidRPr="00994E8B">
        <w:rPr>
          <w:rFonts w:eastAsia="Calibri" w:cs="Arial"/>
          <w:b/>
        </w:rPr>
        <w:t>s</w:t>
      </w:r>
      <w:r w:rsidRPr="00994E8B">
        <w:rPr>
          <w:rFonts w:eastAsia="Calibri" w:cs="Arial"/>
        </w:rPr>
        <w:t xml:space="preserve"> that offer coverage outcomes from three </w:t>
      </w:r>
      <w:r w:rsidRPr="00994E8B">
        <w:rPr>
          <w:rFonts w:eastAsia="Calibri" w:cs="Arial"/>
          <w:b/>
        </w:rPr>
        <w:t>MNOs</w:t>
      </w:r>
      <w:r w:rsidRPr="00994E8B">
        <w:rPr>
          <w:rFonts w:eastAsia="Calibri" w:cs="Arial"/>
        </w:rPr>
        <w:t xml:space="preserve"> will be ranked higher on the draft merit list than </w:t>
      </w:r>
      <w:r w:rsidR="00744E5C" w:rsidRPr="00994E8B">
        <w:rPr>
          <w:rFonts w:eastAsia="Calibri" w:cs="Arial"/>
        </w:rPr>
        <w:t>Proposed S</w:t>
      </w:r>
      <w:r w:rsidRPr="00994E8B">
        <w:rPr>
          <w:rFonts w:eastAsia="Calibri" w:cs="Arial"/>
        </w:rPr>
        <w:t xml:space="preserve">olutions that only offer service from two </w:t>
      </w:r>
      <w:r w:rsidRPr="00994E8B">
        <w:rPr>
          <w:rFonts w:eastAsia="Calibri" w:cs="Arial"/>
          <w:b/>
        </w:rPr>
        <w:t>MNOs</w:t>
      </w:r>
      <w:r w:rsidR="00182B70" w:rsidRPr="00994E8B">
        <w:rPr>
          <w:rFonts w:eastAsia="Calibri" w:cs="Arial"/>
        </w:rPr>
        <w:t>, all other things being equal</w:t>
      </w:r>
      <w:r w:rsidRPr="00994E8B">
        <w:rPr>
          <w:rFonts w:eastAsia="Calibri" w:cs="Arial"/>
        </w:rPr>
        <w:t>. All</w:t>
      </w:r>
      <w:r w:rsidR="00744E5C" w:rsidRPr="00994E8B">
        <w:rPr>
          <w:rFonts w:eastAsia="Calibri" w:cs="Arial"/>
        </w:rPr>
        <w:t xml:space="preserve"> Proposed S</w:t>
      </w:r>
      <w:r w:rsidRPr="00994E8B">
        <w:rPr>
          <w:rFonts w:eastAsia="Calibri" w:cs="Arial"/>
        </w:rPr>
        <w:t xml:space="preserve">olutions that offer services from two </w:t>
      </w:r>
      <w:r w:rsidRPr="00994E8B">
        <w:rPr>
          <w:rFonts w:eastAsia="Calibri" w:cs="Arial"/>
          <w:b/>
        </w:rPr>
        <w:t>MNOs</w:t>
      </w:r>
      <w:r w:rsidRPr="00994E8B">
        <w:rPr>
          <w:rFonts w:eastAsia="Calibri" w:cs="Arial"/>
        </w:rPr>
        <w:t xml:space="preserve"> will be ranked higher on the draft merit list than </w:t>
      </w:r>
      <w:r w:rsidR="00744E5C" w:rsidRPr="00994E8B">
        <w:rPr>
          <w:rFonts w:eastAsia="Calibri" w:cs="Arial"/>
        </w:rPr>
        <w:t>Proposed S</w:t>
      </w:r>
      <w:r w:rsidRPr="00994E8B">
        <w:rPr>
          <w:rFonts w:eastAsia="Calibri" w:cs="Arial"/>
        </w:rPr>
        <w:t xml:space="preserve">olutions with a single </w:t>
      </w:r>
      <w:r w:rsidRPr="00994E8B">
        <w:rPr>
          <w:rFonts w:eastAsia="Calibri" w:cs="Arial"/>
          <w:b/>
        </w:rPr>
        <w:t>MNO</w:t>
      </w:r>
      <w:r w:rsidR="00E40532" w:rsidRPr="00994E8B">
        <w:rPr>
          <w:rFonts w:eastAsia="Calibri" w:cs="Arial"/>
          <w:b/>
        </w:rPr>
        <w:t>, all other things being equal</w:t>
      </w:r>
      <w:r w:rsidRPr="00994E8B">
        <w:rPr>
          <w:rFonts w:eastAsia="Calibri" w:cs="Arial"/>
        </w:rPr>
        <w:t>.</w:t>
      </w:r>
    </w:p>
    <w:bookmarkEnd w:id="308"/>
    <w:p w14:paraId="1E252A6E" w14:textId="169DFFD6" w:rsidR="00C04380" w:rsidRPr="00994E8B" w:rsidRDefault="00744E5C" w:rsidP="00F87B9D">
      <w:pPr>
        <w:rPr>
          <w:rFonts w:eastAsia="Calibri" w:cs="Arial"/>
        </w:rPr>
      </w:pPr>
      <w:r w:rsidRPr="00994E8B">
        <w:rPr>
          <w:rFonts w:eastAsia="Calibri" w:cs="Arial"/>
        </w:rPr>
        <w:lastRenderedPageBreak/>
        <w:t xml:space="preserve">Proposed </w:t>
      </w:r>
      <w:r w:rsidR="00BA2CFA" w:rsidRPr="00994E8B">
        <w:rPr>
          <w:rFonts w:eastAsia="Calibri" w:cs="Arial"/>
        </w:rPr>
        <w:t xml:space="preserve">Solutions within these </w:t>
      </w:r>
      <w:r w:rsidR="00BA2CFA" w:rsidRPr="00994E8B">
        <w:rPr>
          <w:rFonts w:eastAsia="Calibri" w:cs="Arial"/>
          <w:b/>
        </w:rPr>
        <w:t>MNO</w:t>
      </w:r>
      <w:r w:rsidR="00BA2CFA" w:rsidRPr="00994E8B">
        <w:rPr>
          <w:rFonts w:eastAsia="Calibri" w:cs="Arial"/>
        </w:rPr>
        <w:t xml:space="preserve"> groupings (i.e. three </w:t>
      </w:r>
      <w:r w:rsidR="00BA2CFA" w:rsidRPr="00994E8B">
        <w:rPr>
          <w:rFonts w:eastAsia="Calibri" w:cs="Arial"/>
          <w:b/>
        </w:rPr>
        <w:t>MNO</w:t>
      </w:r>
      <w:r w:rsidR="000D5111" w:rsidRPr="00994E8B">
        <w:rPr>
          <w:rFonts w:eastAsia="Calibri" w:cs="Arial"/>
          <w:b/>
        </w:rPr>
        <w:t>s</w:t>
      </w:r>
      <w:r w:rsidR="00BA2CFA" w:rsidRPr="00994E8B">
        <w:rPr>
          <w:rFonts w:eastAsia="Calibri" w:cs="Arial"/>
        </w:rPr>
        <w:t xml:space="preserve">, two </w:t>
      </w:r>
      <w:r w:rsidR="00BA2CFA" w:rsidRPr="00994E8B">
        <w:rPr>
          <w:rFonts w:eastAsia="Calibri" w:cs="Arial"/>
          <w:b/>
        </w:rPr>
        <w:t>MNO</w:t>
      </w:r>
      <w:r w:rsidR="000D5111" w:rsidRPr="00994E8B">
        <w:rPr>
          <w:rFonts w:eastAsia="Calibri" w:cs="Arial"/>
          <w:b/>
        </w:rPr>
        <w:t>s</w:t>
      </w:r>
      <w:r w:rsidR="00BA2CFA" w:rsidRPr="00994E8B">
        <w:rPr>
          <w:rFonts w:eastAsia="Calibri" w:cs="Arial"/>
        </w:rPr>
        <w:t xml:space="preserve"> and single </w:t>
      </w:r>
      <w:r w:rsidR="00BA2CFA" w:rsidRPr="00994E8B">
        <w:rPr>
          <w:rFonts w:eastAsia="Calibri" w:cs="Arial"/>
          <w:b/>
        </w:rPr>
        <w:t>MNO</w:t>
      </w:r>
      <w:r w:rsidR="00BA2CFA" w:rsidRPr="00994E8B">
        <w:rPr>
          <w:rFonts w:eastAsia="Calibri" w:cs="Arial"/>
        </w:rPr>
        <w:t xml:space="preserve">) will be ranked using </w:t>
      </w:r>
      <w:r w:rsidR="003228DF" w:rsidRPr="00994E8B">
        <w:rPr>
          <w:rFonts w:eastAsia="Calibri" w:cs="Arial"/>
        </w:rPr>
        <w:t xml:space="preserve">the </w:t>
      </w:r>
      <w:r w:rsidR="003228DF" w:rsidRPr="00994E8B">
        <w:rPr>
          <w:rFonts w:eastAsia="Calibri" w:cs="Arial"/>
          <w:b/>
        </w:rPr>
        <w:t>New Coverage Assessment Formula</w:t>
      </w:r>
      <w:r w:rsidR="003228DF" w:rsidRPr="00994E8B">
        <w:rPr>
          <w:rFonts w:eastAsia="Calibri" w:cs="Arial"/>
        </w:rPr>
        <w:t xml:space="preserve"> to derive the cost to the Commonwealth per weighted square kilometre of </w:t>
      </w:r>
      <w:r w:rsidR="003228DF" w:rsidRPr="00994E8B">
        <w:rPr>
          <w:rFonts w:eastAsia="Calibri" w:cs="Arial"/>
          <w:b/>
        </w:rPr>
        <w:t>New Handheld Coverage</w:t>
      </w:r>
      <w:r w:rsidR="003228DF" w:rsidRPr="00994E8B">
        <w:rPr>
          <w:rFonts w:eastAsia="Calibri" w:cs="Arial"/>
        </w:rPr>
        <w:t xml:space="preserve">, and coverage that is new for the </w:t>
      </w:r>
      <w:r w:rsidR="00E93238" w:rsidRPr="00994E8B">
        <w:rPr>
          <w:rFonts w:eastAsia="Calibri" w:cs="Arial"/>
        </w:rPr>
        <w:t>a</w:t>
      </w:r>
      <w:r w:rsidR="003228DF" w:rsidRPr="00994E8B">
        <w:rPr>
          <w:rFonts w:eastAsia="Calibri" w:cs="Arial"/>
        </w:rPr>
        <w:t>pplicant (or, if the applicant is a</w:t>
      </w:r>
      <w:r w:rsidR="00E40532" w:rsidRPr="00994E8B">
        <w:rPr>
          <w:rFonts w:eastAsia="Calibri" w:cs="Arial"/>
        </w:rPr>
        <w:t>n</w:t>
      </w:r>
      <w:r w:rsidR="003228DF" w:rsidRPr="00994E8B">
        <w:rPr>
          <w:rFonts w:eastAsia="Calibri" w:cs="Arial"/>
        </w:rPr>
        <w:t xml:space="preserve"> </w:t>
      </w:r>
      <w:r w:rsidR="003228DF" w:rsidRPr="00994E8B">
        <w:rPr>
          <w:rFonts w:eastAsia="Calibri" w:cs="Arial"/>
          <w:b/>
        </w:rPr>
        <w:t>MNIP</w:t>
      </w:r>
      <w:r w:rsidR="003228DF" w:rsidRPr="00994E8B">
        <w:rPr>
          <w:rFonts w:eastAsia="Calibri" w:cs="Arial"/>
        </w:rPr>
        <w:t xml:space="preserve">, the relevant </w:t>
      </w:r>
      <w:r w:rsidR="003228DF" w:rsidRPr="00994E8B">
        <w:rPr>
          <w:rFonts w:eastAsia="Calibri" w:cs="Arial"/>
          <w:b/>
        </w:rPr>
        <w:t>MNO(s)</w:t>
      </w:r>
      <w:r w:rsidR="003228DF" w:rsidRPr="00994E8B">
        <w:rPr>
          <w:rFonts w:eastAsia="Calibri" w:cs="Arial"/>
        </w:rPr>
        <w:t xml:space="preserve">) but overlaps with another </w:t>
      </w:r>
      <w:r w:rsidR="003228DF" w:rsidRPr="00994E8B">
        <w:rPr>
          <w:rFonts w:eastAsia="Calibri" w:cs="Arial"/>
          <w:b/>
        </w:rPr>
        <w:t>MNO</w:t>
      </w:r>
      <w:r w:rsidR="003228DF" w:rsidRPr="00994E8B">
        <w:rPr>
          <w:rFonts w:eastAsia="Calibri" w:cs="Arial"/>
        </w:rPr>
        <w:t xml:space="preserve">’s network. </w:t>
      </w:r>
    </w:p>
    <w:p w14:paraId="12D992A2" w14:textId="5A1EFD34" w:rsidR="003228DF" w:rsidRPr="00994E8B" w:rsidRDefault="00744E5C" w:rsidP="00F940E4">
      <w:pPr>
        <w:rPr>
          <w:rFonts w:cs="Arial"/>
        </w:rPr>
      </w:pPr>
      <w:r w:rsidRPr="00994E8B">
        <w:rPr>
          <w:rFonts w:eastAsia="Calibri" w:cs="Arial"/>
        </w:rPr>
        <w:t xml:space="preserve">Proposed </w:t>
      </w:r>
      <w:r w:rsidR="003228DF" w:rsidRPr="00994E8B">
        <w:rPr>
          <w:rFonts w:eastAsia="Calibri" w:cs="Arial"/>
        </w:rPr>
        <w:t xml:space="preserve">Solutions with a lower cost per square kilometre will rank higher than </w:t>
      </w:r>
      <w:r w:rsidRPr="00994E8B">
        <w:rPr>
          <w:rFonts w:eastAsia="Calibri" w:cs="Arial"/>
        </w:rPr>
        <w:t>Proposed S</w:t>
      </w:r>
      <w:r w:rsidR="003228DF" w:rsidRPr="00994E8B">
        <w:rPr>
          <w:rFonts w:eastAsia="Calibri" w:cs="Arial"/>
        </w:rPr>
        <w:t>olutions with a high cost per square kilometre.</w:t>
      </w:r>
      <w:r w:rsidR="00C04380" w:rsidRPr="00994E8B">
        <w:rPr>
          <w:rFonts w:eastAsia="Calibri" w:cs="Arial"/>
        </w:rPr>
        <w:t xml:space="preserve"> </w:t>
      </w:r>
    </w:p>
    <w:p w14:paraId="3FDB0E11" w14:textId="77777777" w:rsidR="003228DF" w:rsidRPr="00994E8B" w:rsidRDefault="003228DF" w:rsidP="00F940E4">
      <w:pPr>
        <w:rPr>
          <w:rFonts w:cs="Arial"/>
        </w:rPr>
      </w:pPr>
      <w:bookmarkStart w:id="309" w:name="_Ref110594734"/>
      <w:r w:rsidRPr="00994E8B">
        <w:rPr>
          <w:rFonts w:cs="Arial"/>
        </w:rPr>
        <w:t xml:space="preserve">The </w:t>
      </w:r>
      <w:r w:rsidRPr="00994E8B">
        <w:rPr>
          <w:rFonts w:cs="Arial"/>
          <w:b/>
        </w:rPr>
        <w:t xml:space="preserve">New </w:t>
      </w:r>
      <w:r w:rsidRPr="00994E8B">
        <w:rPr>
          <w:b/>
        </w:rPr>
        <w:t>Coverage</w:t>
      </w:r>
      <w:r w:rsidRPr="00994E8B">
        <w:rPr>
          <w:rFonts w:cs="Arial"/>
          <w:b/>
        </w:rPr>
        <w:t xml:space="preserve"> Assessment Formula</w:t>
      </w:r>
      <w:r w:rsidRPr="00994E8B">
        <w:rPr>
          <w:rFonts w:cs="Arial"/>
        </w:rPr>
        <w:t xml:space="preserve"> is:</w:t>
      </w:r>
      <w:bookmarkEnd w:id="309"/>
    </w:p>
    <w:p w14:paraId="51B78B60" w14:textId="77777777" w:rsidR="003228DF" w:rsidRPr="00994E8B" w:rsidRDefault="003228DF" w:rsidP="003228DF">
      <w:pPr>
        <w:spacing w:before="240" w:after="0"/>
        <w:jc w:val="center"/>
        <w:rPr>
          <w:rFonts w:eastAsia="Calibri" w:cs="Arial"/>
        </w:rPr>
      </w:pPr>
      <w:r w:rsidRPr="00994E8B">
        <w:rPr>
          <w:rFonts w:eastAsia="Calibri" w:cs="Arial"/>
        </w:rPr>
        <w:t>Cost to the Commonwealth ($)</w:t>
      </w:r>
    </w:p>
    <w:p w14:paraId="096ABC9E" w14:textId="77777777" w:rsidR="003228DF" w:rsidRPr="00994E8B" w:rsidRDefault="003228DF" w:rsidP="003228DF">
      <w:pPr>
        <w:jc w:val="center"/>
        <w:rPr>
          <w:rFonts w:eastAsia="Calibri" w:cs="Arial"/>
        </w:rPr>
      </w:pPr>
      <w:r w:rsidRPr="00994E8B">
        <w:rPr>
          <w:rFonts w:eastAsia="Calibri" w:cs="Arial"/>
          <w:noProof/>
          <w:lang w:eastAsia="en-AU"/>
        </w:rPr>
        <mc:AlternateContent>
          <mc:Choice Requires="wps">
            <w:drawing>
              <wp:inline distT="0" distB="0" distL="0" distR="0" wp14:anchorId="2AD80013" wp14:editId="3B87AFD2">
                <wp:extent cx="2400300" cy="0"/>
                <wp:effectExtent l="0" t="0" r="0" b="0"/>
                <wp:docPr id="2" name="Straight Connector 2" descr="Horizontal line / divider."/>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BB3E6BA" id="Straight Connector 2"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" strokecolor="windowText" strokeweight=".5pt">
                <v:stroke joinstyle="miter"/>
                <w10:anchorlock/>
              </v:line>
            </w:pict>
          </mc:Fallback>
        </mc:AlternateContent>
      </w:r>
    </w:p>
    <w:p w14:paraId="5ED2AB99" w14:textId="77777777" w:rsidR="003228DF" w:rsidRPr="00994E8B" w:rsidRDefault="003228DF" w:rsidP="003228DF">
      <w:pPr>
        <w:spacing w:after="240"/>
        <w:jc w:val="center"/>
        <w:rPr>
          <w:rFonts w:eastAsia="Calibri" w:cs="Arial"/>
        </w:rPr>
      </w:pPr>
      <w:r w:rsidRPr="00994E8B">
        <w:rPr>
          <w:rFonts w:eastAsia="Calibri" w:cs="Arial"/>
        </w:rPr>
        <w:t>New Handheld Coverage (km</w:t>
      </w:r>
      <w:r w:rsidRPr="00994E8B">
        <w:rPr>
          <w:rFonts w:eastAsia="Calibri" w:cs="Arial"/>
          <w:vertAlign w:val="superscript"/>
        </w:rPr>
        <w:t>2</w:t>
      </w:r>
      <w:r w:rsidRPr="00994E8B">
        <w:rPr>
          <w:rFonts w:eastAsia="Calibri" w:cs="Arial"/>
        </w:rPr>
        <w:t>) + (Overlapping Coverage (km</w:t>
      </w:r>
      <w:r w:rsidRPr="00994E8B">
        <w:rPr>
          <w:rFonts w:eastAsia="Calibri" w:cs="Arial"/>
          <w:vertAlign w:val="superscript"/>
        </w:rPr>
        <w:t>2</w:t>
      </w:r>
      <w:r w:rsidRPr="00994E8B">
        <w:rPr>
          <w:rFonts w:eastAsia="Calibri" w:cs="Arial"/>
        </w:rPr>
        <w:t>) / 2)</w:t>
      </w:r>
    </w:p>
    <w:p w14:paraId="530E013F" w14:textId="32E1C037" w:rsidR="003F1956" w:rsidRPr="00994E8B" w:rsidRDefault="007009DE" w:rsidP="00BA2CFA">
      <w:pPr>
        <w:rPr>
          <w:rFonts w:cs="Arial"/>
        </w:rPr>
      </w:pPr>
      <w:r w:rsidRPr="00994E8B">
        <w:rPr>
          <w:rFonts w:cs="Arial"/>
          <w:b/>
        </w:rPr>
        <w:t>Mobile Black Spot Solution</w:t>
      </w:r>
      <w:r w:rsidR="003F1956" w:rsidRPr="00994E8B">
        <w:rPr>
          <w:rFonts w:cs="Arial"/>
          <w:b/>
        </w:rPr>
        <w:t>s</w:t>
      </w:r>
      <w:r w:rsidR="003F1956" w:rsidRPr="00994E8B">
        <w:rPr>
          <w:rFonts w:cs="Arial"/>
        </w:rPr>
        <w:t xml:space="preserve"> located in Remote and Very Remote areas</w:t>
      </w:r>
      <w:r w:rsidR="009433EA" w:rsidRPr="00994E8B">
        <w:rPr>
          <w:rStyle w:val="FootnoteReference"/>
        </w:rPr>
        <w:footnoteReference w:id="9"/>
      </w:r>
      <w:r w:rsidR="0062434D" w:rsidRPr="00994E8B">
        <w:rPr>
          <w:rFonts w:cs="Arial"/>
        </w:rPr>
        <w:t xml:space="preserve">, or seeking First Nations funding, </w:t>
      </w:r>
      <w:r w:rsidR="003F1956" w:rsidRPr="00994E8B">
        <w:rPr>
          <w:rFonts w:cs="Arial"/>
        </w:rPr>
        <w:t xml:space="preserve">will also be assessed against the </w:t>
      </w:r>
      <w:r w:rsidR="003F1956" w:rsidRPr="00994E8B">
        <w:rPr>
          <w:rFonts w:cs="Arial"/>
          <w:b/>
        </w:rPr>
        <w:t>New Coverage Assessment Formula</w:t>
      </w:r>
      <w:r w:rsidR="003F1956" w:rsidRPr="00994E8B">
        <w:rPr>
          <w:rFonts w:cs="Arial"/>
        </w:rPr>
        <w:t>, however</w:t>
      </w:r>
      <w:r w:rsidR="00923B89" w:rsidRPr="00994E8B">
        <w:rPr>
          <w:rFonts w:cs="Arial"/>
        </w:rPr>
        <w:t>,</w:t>
      </w:r>
      <w:r w:rsidR="003F1956" w:rsidRPr="00994E8B">
        <w:rPr>
          <w:rFonts w:cs="Arial"/>
        </w:rPr>
        <w:t xml:space="preserve"> only </w:t>
      </w:r>
      <w:r w:rsidR="00046551" w:rsidRPr="00994E8B">
        <w:rPr>
          <w:rFonts w:cs="Arial"/>
        </w:rPr>
        <w:t>50</w:t>
      </w:r>
      <w:r w:rsidR="003F1956" w:rsidRPr="00994E8B">
        <w:rPr>
          <w:rFonts w:cs="Arial"/>
        </w:rPr>
        <w:t xml:space="preserve"> per cent of the cost to the Commonwealth will be used in the calculation for these solutions, as </w:t>
      </w:r>
      <w:r w:rsidR="00923B89" w:rsidRPr="00994E8B">
        <w:rPr>
          <w:rFonts w:cs="Arial"/>
        </w:rPr>
        <w:t>it</w:t>
      </w:r>
      <w:r w:rsidR="003F1956" w:rsidRPr="00994E8B">
        <w:rPr>
          <w:rFonts w:cs="Arial"/>
        </w:rPr>
        <w:t xml:space="preserve"> is recognised that there is a higher cost to delivering mobile services in these areas. </w:t>
      </w:r>
    </w:p>
    <w:p w14:paraId="0BE84888" w14:textId="71DA9DF9" w:rsidR="003F1956" w:rsidRPr="00994E8B" w:rsidRDefault="003F1956" w:rsidP="00BA2CFA">
      <w:pPr>
        <w:rPr>
          <w:rFonts w:cs="Arial"/>
        </w:rPr>
      </w:pPr>
      <w:r w:rsidRPr="00994E8B">
        <w:rPr>
          <w:rFonts w:cs="Arial"/>
        </w:rPr>
        <w:t xml:space="preserve">The </w:t>
      </w:r>
      <w:r w:rsidRPr="00994E8B">
        <w:rPr>
          <w:rFonts w:cs="Arial"/>
          <w:b/>
        </w:rPr>
        <w:t>New Coverage Assessment Formula</w:t>
      </w:r>
      <w:r w:rsidRPr="00994E8B">
        <w:rPr>
          <w:rFonts w:cs="Arial"/>
        </w:rPr>
        <w:t xml:space="preserve"> for Remote and Very Remote </w:t>
      </w:r>
      <w:r w:rsidR="00B9503C" w:rsidRPr="00994E8B">
        <w:rPr>
          <w:rFonts w:cs="Arial"/>
        </w:rPr>
        <w:t>P</w:t>
      </w:r>
      <w:r w:rsidRPr="00994E8B">
        <w:rPr>
          <w:rFonts w:cs="Arial"/>
        </w:rPr>
        <w:t xml:space="preserve">roposed </w:t>
      </w:r>
      <w:r w:rsidR="00B9503C" w:rsidRPr="00994E8B">
        <w:rPr>
          <w:rFonts w:cs="Arial"/>
        </w:rPr>
        <w:t>S</w:t>
      </w:r>
      <w:r w:rsidRPr="00994E8B">
        <w:rPr>
          <w:rFonts w:cs="Arial"/>
        </w:rPr>
        <w:t>olutions is:</w:t>
      </w:r>
    </w:p>
    <w:p w14:paraId="6933444C" w14:textId="6AEB60DA" w:rsidR="003F1956" w:rsidRPr="00994E8B" w:rsidRDefault="003F1956" w:rsidP="003F1956">
      <w:pPr>
        <w:spacing w:before="240" w:after="0"/>
        <w:jc w:val="center"/>
        <w:rPr>
          <w:rFonts w:eastAsia="Calibri" w:cs="Arial"/>
        </w:rPr>
      </w:pPr>
      <w:r w:rsidRPr="00994E8B">
        <w:rPr>
          <w:rFonts w:eastAsia="Calibri" w:cs="Arial"/>
        </w:rPr>
        <w:t>Cost to the Commonwealth ($) x 0.5</w:t>
      </w:r>
      <w:r w:rsidR="00046551" w:rsidRPr="00994E8B">
        <w:rPr>
          <w:rFonts w:eastAsia="Calibri" w:cs="Arial"/>
        </w:rPr>
        <w:t>0</w:t>
      </w:r>
    </w:p>
    <w:p w14:paraId="6ED00EF8" w14:textId="77777777" w:rsidR="003F1956" w:rsidRPr="00994E8B" w:rsidRDefault="003F1956" w:rsidP="003F1956">
      <w:pPr>
        <w:jc w:val="center"/>
        <w:rPr>
          <w:rFonts w:eastAsia="Calibri" w:cs="Arial"/>
        </w:rPr>
      </w:pPr>
      <w:r w:rsidRPr="00994E8B">
        <w:rPr>
          <w:rFonts w:eastAsia="Calibri" w:cs="Arial"/>
          <w:noProof/>
          <w:lang w:eastAsia="en-AU"/>
        </w:rPr>
        <mc:AlternateContent>
          <mc:Choice Requires="wps">
            <w:drawing>
              <wp:inline distT="0" distB="0" distL="0" distR="0" wp14:anchorId="5F70D9BD" wp14:editId="075E0852">
                <wp:extent cx="2400300" cy="0"/>
                <wp:effectExtent l="0" t="0" r="0" b="0"/>
                <wp:docPr id="1" name="Straight Connector 1" descr="Horizontal line / divider."/>
                <wp:cNvGraphicFramePr/>
                <a:graphic xmlns:a="http://schemas.openxmlformats.org/drawingml/2006/main">
                  <a:graphicData uri="http://schemas.microsoft.com/office/word/2010/wordprocessingShape">
                    <wps:wsp>
                      <wps:cNvCnPr/>
                      <wps:spPr>
                        <a:xfrm flipV="1">
                          <a:off x="0" y="0"/>
                          <a:ext cx="2400300"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223317C" id="Straight Connector 1" o:spid="_x0000_s1026" alt="Horizontal line / divider." style="flip:y;visibility:visible;mso-wrap-style:square;mso-left-percent:-10001;mso-top-percent:-10001;mso-position-horizontal:absolute;mso-position-horizontal-relative:char;mso-position-vertical:absolute;mso-position-vertical-relative:line;mso-left-percent:-10001;mso-top-percent:-10001" from="0,0" to="1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" strokecolor="windowText" strokeweight=".5pt">
                <v:stroke joinstyle="miter"/>
                <w10:anchorlock/>
              </v:line>
            </w:pict>
          </mc:Fallback>
        </mc:AlternateContent>
      </w:r>
    </w:p>
    <w:p w14:paraId="3EDB277F" w14:textId="77777777" w:rsidR="003F1956" w:rsidRPr="00994E8B" w:rsidRDefault="003F1956" w:rsidP="00FF1328">
      <w:pPr>
        <w:spacing w:after="240"/>
        <w:jc w:val="center"/>
        <w:rPr>
          <w:rFonts w:eastAsia="Calibri" w:cs="Arial"/>
        </w:rPr>
      </w:pPr>
      <w:r w:rsidRPr="00994E8B">
        <w:rPr>
          <w:rFonts w:eastAsia="Calibri" w:cs="Arial"/>
        </w:rPr>
        <w:t>New Handheld Coverage (km</w:t>
      </w:r>
      <w:r w:rsidRPr="00994E8B">
        <w:rPr>
          <w:rFonts w:eastAsia="Calibri" w:cs="Arial"/>
          <w:vertAlign w:val="superscript"/>
        </w:rPr>
        <w:t>2</w:t>
      </w:r>
      <w:r w:rsidRPr="00994E8B">
        <w:rPr>
          <w:rFonts w:eastAsia="Calibri" w:cs="Arial"/>
        </w:rPr>
        <w:t>) + (Overlapping Coverage (km</w:t>
      </w:r>
      <w:r w:rsidRPr="00994E8B">
        <w:rPr>
          <w:rFonts w:eastAsia="Calibri" w:cs="Arial"/>
          <w:vertAlign w:val="superscript"/>
        </w:rPr>
        <w:t>2</w:t>
      </w:r>
      <w:r w:rsidRPr="00994E8B">
        <w:rPr>
          <w:rFonts w:eastAsia="Calibri" w:cs="Arial"/>
        </w:rPr>
        <w:t>) / 2)</w:t>
      </w:r>
    </w:p>
    <w:p w14:paraId="78870016" w14:textId="77777777" w:rsidR="003228DF" w:rsidRPr="00994E8B" w:rsidRDefault="003228DF" w:rsidP="003228DF">
      <w:pPr>
        <w:spacing w:after="0"/>
        <w:jc w:val="center"/>
        <w:rPr>
          <w:rFonts w:cs="Arial"/>
        </w:rPr>
      </w:pPr>
    </w:p>
    <w:p w14:paraId="6E1B3ABC" w14:textId="77777777" w:rsidR="003228DF" w:rsidRPr="00994E8B" w:rsidRDefault="003228DF" w:rsidP="00BA2CFA">
      <w:pPr>
        <w:rPr>
          <w:rFonts w:eastAsia="Calibri" w:cs="Arial"/>
        </w:rPr>
      </w:pPr>
      <w:r w:rsidRPr="00994E8B">
        <w:rPr>
          <w:rFonts w:cs="Arial"/>
        </w:rPr>
        <w:t>The New Coverage Assessment Formula is based on the following components:</w:t>
      </w:r>
    </w:p>
    <w:p w14:paraId="25A92A1F" w14:textId="200F6048" w:rsidR="003228DF" w:rsidRPr="00994E8B" w:rsidRDefault="003228DF" w:rsidP="00C65BC6">
      <w:pPr>
        <w:pStyle w:val="ListLegal3"/>
        <w:numPr>
          <w:ilvl w:val="0"/>
          <w:numId w:val="65"/>
        </w:numPr>
        <w:rPr>
          <w:rFonts w:ascii="Arial" w:eastAsia="Calibri" w:hAnsi="Arial" w:cs="Arial"/>
        </w:rPr>
      </w:pPr>
      <w:r w:rsidRPr="00994E8B">
        <w:rPr>
          <w:rFonts w:ascii="Arial" w:eastAsia="Calibri" w:hAnsi="Arial" w:cs="Arial"/>
          <w:b/>
        </w:rPr>
        <w:t>Cost to the Commonwealth ($)</w:t>
      </w:r>
      <w:r w:rsidRPr="00994E8B">
        <w:rPr>
          <w:rFonts w:ascii="Arial" w:eastAsia="Calibri" w:hAnsi="Arial" w:cs="Arial"/>
        </w:rPr>
        <w:t xml:space="preserve"> refers to the Commonwealth portion of the </w:t>
      </w:r>
      <w:r w:rsidRPr="00994E8B">
        <w:rPr>
          <w:rFonts w:ascii="Arial" w:eastAsia="Times New Roman" w:hAnsi="Arial" w:cs="Arial"/>
          <w:color w:val="auto"/>
          <w:kern w:val="0"/>
          <w:lang w:val="en-AU"/>
        </w:rPr>
        <w:t>estimated</w:t>
      </w:r>
      <w:r w:rsidRPr="00994E8B">
        <w:rPr>
          <w:rFonts w:ascii="Arial" w:eastAsia="Calibri" w:hAnsi="Arial" w:cs="Arial"/>
        </w:rPr>
        <w:t xml:space="preserve"> Total Cost for the Proposed Solution (see section</w:t>
      </w:r>
      <w:r w:rsidR="00705485" w:rsidRPr="00994E8B">
        <w:rPr>
          <w:rFonts w:ascii="Arial" w:eastAsia="Calibri" w:hAnsi="Arial" w:cs="Arial"/>
          <w:lang w:val="en-US"/>
        </w:rPr>
        <w:t xml:space="preserve"> </w:t>
      </w:r>
      <w:r w:rsidR="00705485" w:rsidRPr="00994E8B">
        <w:rPr>
          <w:rFonts w:ascii="Arial" w:eastAsia="Calibri" w:hAnsi="Arial" w:cs="Arial"/>
          <w:lang w:val="en-US"/>
        </w:rPr>
        <w:fldChar w:fldCharType="begin"/>
      </w:r>
      <w:r w:rsidR="00705485" w:rsidRPr="00994E8B">
        <w:rPr>
          <w:rFonts w:ascii="Arial" w:eastAsia="Calibri" w:hAnsi="Arial" w:cs="Arial"/>
          <w:lang w:val="en-US"/>
        </w:rPr>
        <w:instrText xml:space="preserve"> REF _Ref120547577 \r \h </w:instrText>
      </w:r>
      <w:r w:rsidR="00994E8B">
        <w:rPr>
          <w:rFonts w:ascii="Arial" w:eastAsia="Calibri" w:hAnsi="Arial" w:cs="Arial"/>
          <w:lang w:val="en-US"/>
        </w:rPr>
        <w:instrText xml:space="preserve"> \* MERGEFORMAT </w:instrText>
      </w:r>
      <w:r w:rsidR="00705485" w:rsidRPr="00994E8B">
        <w:rPr>
          <w:rFonts w:ascii="Arial" w:eastAsia="Calibri" w:hAnsi="Arial" w:cs="Arial"/>
          <w:lang w:val="en-US"/>
        </w:rPr>
      </w:r>
      <w:r w:rsidR="00705485" w:rsidRPr="00994E8B">
        <w:rPr>
          <w:rFonts w:ascii="Arial" w:eastAsia="Calibri" w:hAnsi="Arial" w:cs="Arial"/>
          <w:lang w:val="en-US"/>
        </w:rPr>
        <w:fldChar w:fldCharType="separate"/>
      </w:r>
      <w:r w:rsidR="00075357" w:rsidRPr="00994E8B">
        <w:rPr>
          <w:rFonts w:ascii="Arial" w:eastAsia="Calibri" w:hAnsi="Arial" w:cs="Arial"/>
          <w:lang w:val="en-US"/>
        </w:rPr>
        <w:t>5.3</w:t>
      </w:r>
      <w:r w:rsidR="00705485" w:rsidRPr="00994E8B">
        <w:rPr>
          <w:rFonts w:ascii="Arial" w:eastAsia="Calibri" w:hAnsi="Arial" w:cs="Arial"/>
          <w:lang w:val="en-US"/>
        </w:rPr>
        <w:fldChar w:fldCharType="end"/>
      </w:r>
      <w:r w:rsidRPr="00994E8B">
        <w:rPr>
          <w:rFonts w:ascii="Arial" w:eastAsia="Calibri" w:hAnsi="Arial" w:cs="Arial"/>
        </w:rPr>
        <w:t>), including capitalised Operational Costs.</w:t>
      </w:r>
    </w:p>
    <w:p w14:paraId="65C1A96C" w14:textId="77777777" w:rsidR="003228DF" w:rsidRPr="00994E8B" w:rsidRDefault="003228DF" w:rsidP="00C65BC6">
      <w:pPr>
        <w:pStyle w:val="ListLegal3"/>
        <w:numPr>
          <w:ilvl w:val="0"/>
          <w:numId w:val="65"/>
        </w:numPr>
        <w:rPr>
          <w:rFonts w:ascii="Arial" w:eastAsia="Calibri" w:hAnsi="Arial" w:cs="Arial"/>
        </w:rPr>
      </w:pPr>
      <w:bookmarkStart w:id="310" w:name="_Hlk121851929"/>
      <w:r w:rsidRPr="00994E8B">
        <w:rPr>
          <w:rFonts w:ascii="Arial" w:eastAsia="Calibri" w:hAnsi="Arial" w:cs="Arial"/>
          <w:b/>
        </w:rPr>
        <w:t>New Handheld Coverage (km</w:t>
      </w:r>
      <w:r w:rsidRPr="00994E8B">
        <w:rPr>
          <w:rFonts w:ascii="Arial" w:eastAsia="Calibri" w:hAnsi="Arial" w:cs="Arial"/>
          <w:b/>
          <w:vertAlign w:val="superscript"/>
        </w:rPr>
        <w:t>2</w:t>
      </w:r>
      <w:r w:rsidRPr="00994E8B">
        <w:rPr>
          <w:rFonts w:ascii="Arial" w:eastAsia="Calibri" w:hAnsi="Arial" w:cs="Arial"/>
          <w:b/>
        </w:rPr>
        <w:t>)</w:t>
      </w:r>
      <w:r w:rsidRPr="00994E8B">
        <w:rPr>
          <w:rFonts w:ascii="Arial" w:eastAsia="Calibri" w:hAnsi="Arial" w:cs="Arial"/>
        </w:rPr>
        <w:t xml:space="preserve"> </w:t>
      </w:r>
      <w:bookmarkStart w:id="311" w:name="_Hlk110594841"/>
      <w:r w:rsidRPr="00994E8B">
        <w:rPr>
          <w:rFonts w:ascii="Arial" w:eastAsia="Calibri" w:hAnsi="Arial" w:cs="Arial"/>
        </w:rPr>
        <w:t xml:space="preserve">refers to the size (in square kilometres) of the mobile coverage footprint area which will receive handheld mobile coverage where there is no </w:t>
      </w:r>
      <w:r w:rsidRPr="00994E8B">
        <w:rPr>
          <w:rFonts w:ascii="Arial" w:eastAsia="Calibri" w:hAnsi="Arial" w:cs="Arial"/>
          <w:b/>
        </w:rPr>
        <w:t>Existing Handheld Coverage</w:t>
      </w:r>
      <w:r w:rsidRPr="00994E8B">
        <w:rPr>
          <w:rFonts w:ascii="Arial" w:eastAsia="Calibri" w:hAnsi="Arial" w:cs="Arial"/>
        </w:rPr>
        <w:t>.</w:t>
      </w:r>
    </w:p>
    <w:bookmarkEnd w:id="311"/>
    <w:p w14:paraId="518D7CFC" w14:textId="77777777" w:rsidR="003228DF" w:rsidRPr="00994E8B" w:rsidRDefault="003228DF" w:rsidP="003228DF">
      <w:pPr>
        <w:pStyle w:val="ListBullet"/>
        <w:keepLines/>
        <w:spacing w:before="0" w:after="160"/>
        <w:ind w:left="1985" w:hanging="567"/>
        <w:contextualSpacing/>
        <w:rPr>
          <w:rFonts w:eastAsia="Calibri"/>
        </w:rPr>
      </w:pPr>
      <w:r w:rsidRPr="00994E8B">
        <w:t xml:space="preserve">Where a Proposed Solution provides </w:t>
      </w:r>
      <w:r w:rsidRPr="00994E8B">
        <w:rPr>
          <w:b/>
        </w:rPr>
        <w:t>New Handheld Coverage</w:t>
      </w:r>
      <w:r w:rsidRPr="00994E8B">
        <w:t xml:space="preserve"> from more than one participating </w:t>
      </w:r>
      <w:r w:rsidRPr="00994E8B">
        <w:rPr>
          <w:b/>
        </w:rPr>
        <w:t>MNO</w:t>
      </w:r>
      <w:r w:rsidRPr="00994E8B">
        <w:t xml:space="preserve">, each participating </w:t>
      </w:r>
      <w:r w:rsidRPr="00994E8B">
        <w:rPr>
          <w:b/>
        </w:rPr>
        <w:t>MNO</w:t>
      </w:r>
      <w:r w:rsidRPr="00994E8B">
        <w:t xml:space="preserve">’s </w:t>
      </w:r>
      <w:r w:rsidRPr="00994E8B">
        <w:rPr>
          <w:b/>
        </w:rPr>
        <w:t>New Handheld Coverage</w:t>
      </w:r>
      <w:r w:rsidRPr="00994E8B">
        <w:t xml:space="preserve"> will be counted cumulatively, regardless of whether the </w:t>
      </w:r>
      <w:r w:rsidRPr="00994E8B">
        <w:rPr>
          <w:b/>
        </w:rPr>
        <w:t>New Handheld Coverage</w:t>
      </w:r>
      <w:r w:rsidRPr="00994E8B">
        <w:t xml:space="preserve"> areas overlap.</w:t>
      </w:r>
    </w:p>
    <w:p w14:paraId="3C00A6D7" w14:textId="48046121" w:rsidR="003228DF" w:rsidRPr="00994E8B" w:rsidRDefault="003228DF" w:rsidP="003228DF">
      <w:pPr>
        <w:pStyle w:val="ListBullet"/>
        <w:spacing w:before="0" w:after="160"/>
        <w:ind w:left="1985" w:hanging="567"/>
        <w:rPr>
          <w:rFonts w:eastAsia="Calibri"/>
        </w:rPr>
      </w:pPr>
      <w:r w:rsidRPr="00994E8B">
        <w:t xml:space="preserve">This is in recognition of the benefits of </w:t>
      </w:r>
      <w:r w:rsidR="00731307" w:rsidRPr="00994E8B">
        <w:rPr>
          <w:b/>
        </w:rPr>
        <w:t>M</w:t>
      </w:r>
      <w:r w:rsidRPr="00994E8B">
        <w:rPr>
          <w:b/>
        </w:rPr>
        <w:t>ulti-MNO</w:t>
      </w:r>
      <w:r w:rsidRPr="00994E8B">
        <w:t xml:space="preserve"> solutions, and to ensure that these </w:t>
      </w:r>
      <w:r w:rsidR="00B9503C" w:rsidRPr="00994E8B">
        <w:t>Proposed S</w:t>
      </w:r>
      <w:r w:rsidRPr="00994E8B">
        <w:t>olutions are not disadvantaged in the assessment process due to the higher costs that may be incurred for these</w:t>
      </w:r>
      <w:r w:rsidR="00B9503C" w:rsidRPr="00994E8B">
        <w:t xml:space="preserve"> Proposed</w:t>
      </w:r>
      <w:r w:rsidRPr="00994E8B">
        <w:t xml:space="preserve"> </w:t>
      </w:r>
      <w:r w:rsidR="00B9503C" w:rsidRPr="00994E8B">
        <w:t>S</w:t>
      </w:r>
      <w:r w:rsidRPr="00994E8B">
        <w:t>olutions.</w:t>
      </w:r>
    </w:p>
    <w:p w14:paraId="000D510A" w14:textId="29E361E1" w:rsidR="003228DF" w:rsidRPr="00994E8B" w:rsidRDefault="003228DF" w:rsidP="00C65BC6">
      <w:pPr>
        <w:pStyle w:val="ListLegal3"/>
        <w:numPr>
          <w:ilvl w:val="0"/>
          <w:numId w:val="65"/>
        </w:numPr>
        <w:rPr>
          <w:rFonts w:ascii="Arial" w:eastAsia="Calibri" w:hAnsi="Arial" w:cs="Arial"/>
        </w:rPr>
      </w:pPr>
      <w:r w:rsidRPr="00994E8B">
        <w:rPr>
          <w:rFonts w:ascii="Arial" w:eastAsia="Calibri" w:hAnsi="Arial" w:cs="Arial"/>
          <w:b/>
        </w:rPr>
        <w:t>Overlapping Coverage (km</w:t>
      </w:r>
      <w:r w:rsidRPr="00994E8B">
        <w:rPr>
          <w:rFonts w:ascii="Arial" w:eastAsia="Calibri" w:hAnsi="Arial" w:cs="Arial"/>
          <w:b/>
          <w:vertAlign w:val="superscript"/>
        </w:rPr>
        <w:t>2</w:t>
      </w:r>
      <w:r w:rsidRPr="00994E8B">
        <w:rPr>
          <w:rFonts w:ascii="Arial" w:eastAsia="Calibri" w:hAnsi="Arial" w:cs="Arial"/>
          <w:b/>
        </w:rPr>
        <w:t>) / 2)</w:t>
      </w:r>
      <w:r w:rsidRPr="00994E8B">
        <w:rPr>
          <w:rFonts w:ascii="Arial" w:eastAsia="Calibri" w:hAnsi="Arial" w:cs="Arial"/>
        </w:rPr>
        <w:t xml:space="preserve"> refers to the size (in square kilometres) of the mobile coverage footprint area which will receive handheld coverage that is new for the </w:t>
      </w:r>
      <w:r w:rsidR="00E93238" w:rsidRPr="00994E8B">
        <w:rPr>
          <w:rFonts w:ascii="Arial" w:eastAsia="Calibri" w:hAnsi="Arial" w:cs="Arial"/>
        </w:rPr>
        <w:t>applicant</w:t>
      </w:r>
      <w:r w:rsidRPr="00994E8B">
        <w:rPr>
          <w:rFonts w:ascii="Arial" w:eastAsia="Calibri" w:hAnsi="Arial" w:cs="Arial"/>
        </w:rPr>
        <w:t xml:space="preserve"> (or, if the </w:t>
      </w:r>
      <w:r w:rsidR="00E93238" w:rsidRPr="00994E8B">
        <w:rPr>
          <w:rFonts w:ascii="Arial" w:eastAsia="Calibri" w:hAnsi="Arial" w:cs="Arial"/>
        </w:rPr>
        <w:t>applicant</w:t>
      </w:r>
      <w:r w:rsidRPr="00994E8B">
        <w:rPr>
          <w:rFonts w:ascii="Arial" w:eastAsia="Calibri" w:hAnsi="Arial" w:cs="Arial"/>
        </w:rPr>
        <w:t xml:space="preserve"> is a </w:t>
      </w:r>
      <w:r w:rsidRPr="00994E8B">
        <w:rPr>
          <w:rFonts w:ascii="Arial" w:eastAsia="Calibri" w:hAnsi="Arial" w:cs="Arial"/>
          <w:b/>
        </w:rPr>
        <w:t>MNIP</w:t>
      </w:r>
      <w:r w:rsidRPr="00994E8B">
        <w:rPr>
          <w:rFonts w:ascii="Arial" w:eastAsia="Calibri" w:hAnsi="Arial" w:cs="Arial"/>
        </w:rPr>
        <w:t xml:space="preserve">, the relevant </w:t>
      </w:r>
      <w:r w:rsidRPr="00994E8B">
        <w:rPr>
          <w:rFonts w:ascii="Arial" w:eastAsia="Calibri" w:hAnsi="Arial" w:cs="Arial"/>
          <w:b/>
        </w:rPr>
        <w:t>MNO(s)</w:t>
      </w:r>
      <w:r w:rsidRPr="00994E8B">
        <w:rPr>
          <w:rFonts w:ascii="Arial" w:eastAsia="Calibri" w:hAnsi="Arial" w:cs="Arial"/>
        </w:rPr>
        <w:t xml:space="preserve">) but overlaps with </w:t>
      </w:r>
      <w:r w:rsidRPr="00994E8B">
        <w:rPr>
          <w:rFonts w:ascii="Arial" w:eastAsia="Calibri" w:hAnsi="Arial" w:cs="Arial"/>
          <w:b/>
        </w:rPr>
        <w:t>Existing Handheld Coverage</w:t>
      </w:r>
      <w:r w:rsidRPr="00994E8B">
        <w:rPr>
          <w:rFonts w:ascii="Arial" w:eastAsia="Calibri" w:hAnsi="Arial" w:cs="Arial"/>
        </w:rPr>
        <w:t xml:space="preserve"> from another </w:t>
      </w:r>
      <w:r w:rsidRPr="00994E8B">
        <w:rPr>
          <w:rFonts w:ascii="Arial" w:eastAsia="Calibri" w:hAnsi="Arial" w:cs="Arial"/>
          <w:b/>
        </w:rPr>
        <w:t>MNO</w:t>
      </w:r>
      <w:r w:rsidRPr="00994E8B">
        <w:rPr>
          <w:rFonts w:ascii="Arial" w:eastAsia="Calibri" w:hAnsi="Arial" w:cs="Arial"/>
        </w:rPr>
        <w:t>, divided by a weighting factor of 2.</w:t>
      </w:r>
    </w:p>
    <w:p w14:paraId="19EA9253" w14:textId="77777777" w:rsidR="003228DF" w:rsidRPr="00994E8B" w:rsidRDefault="003228DF" w:rsidP="003228DF">
      <w:pPr>
        <w:pStyle w:val="ListBullet"/>
        <w:spacing w:before="0" w:after="160"/>
        <w:ind w:left="1985" w:hanging="567"/>
        <w:contextualSpacing/>
        <w:rPr>
          <w:rFonts w:eastAsia="Calibri" w:cs="Arial"/>
        </w:rPr>
      </w:pPr>
      <w:bookmarkStart w:id="312" w:name="_Hlk110506429"/>
      <w:r w:rsidRPr="00994E8B">
        <w:rPr>
          <w:rFonts w:eastAsia="Calibri" w:cs="Arial"/>
        </w:rPr>
        <w:lastRenderedPageBreak/>
        <w:t xml:space="preserve">For each </w:t>
      </w:r>
      <w:r w:rsidRPr="00994E8B">
        <w:rPr>
          <w:rFonts w:cs="Arial"/>
        </w:rPr>
        <w:t>Proposed</w:t>
      </w:r>
      <w:r w:rsidRPr="00994E8B">
        <w:rPr>
          <w:rFonts w:eastAsia="Calibri" w:cs="Arial"/>
        </w:rPr>
        <w:t xml:space="preserve"> Solution with confirmed involvement of a single </w:t>
      </w:r>
      <w:r w:rsidRPr="00994E8B">
        <w:rPr>
          <w:rFonts w:eastAsia="Calibri" w:cs="Arial"/>
          <w:b/>
        </w:rPr>
        <w:t>MNO</w:t>
      </w:r>
      <w:r w:rsidRPr="00994E8B">
        <w:rPr>
          <w:rFonts w:eastAsia="Calibri" w:cs="Arial"/>
        </w:rPr>
        <w:t xml:space="preserve">, overlapping coverage with the </w:t>
      </w:r>
      <w:r w:rsidRPr="00994E8B">
        <w:rPr>
          <w:rFonts w:eastAsia="Calibri" w:cs="Arial"/>
          <w:b/>
        </w:rPr>
        <w:t>MNO</w:t>
      </w:r>
      <w:r w:rsidRPr="00994E8B">
        <w:rPr>
          <w:rFonts w:eastAsia="Calibri" w:cs="Arial"/>
        </w:rPr>
        <w:t>’s own existing network is not eligible for assessment.</w:t>
      </w:r>
    </w:p>
    <w:bookmarkEnd w:id="312"/>
    <w:p w14:paraId="56FC3BA4" w14:textId="77777777" w:rsidR="003228DF" w:rsidRPr="00994E8B" w:rsidRDefault="003228DF" w:rsidP="003228DF">
      <w:pPr>
        <w:pStyle w:val="ListBullet"/>
        <w:spacing w:before="0" w:after="160"/>
        <w:ind w:left="1985" w:hanging="567"/>
        <w:contextualSpacing/>
        <w:rPr>
          <w:rFonts w:eastAsia="Calibri" w:cs="Arial"/>
        </w:rPr>
      </w:pPr>
      <w:r w:rsidRPr="00994E8B">
        <w:rPr>
          <w:rFonts w:eastAsia="Calibri" w:cs="Arial"/>
        </w:rPr>
        <w:t xml:space="preserve">For each </w:t>
      </w:r>
      <w:r w:rsidRPr="00994E8B">
        <w:rPr>
          <w:rFonts w:cs="Arial"/>
        </w:rPr>
        <w:t xml:space="preserve">Proposed </w:t>
      </w:r>
      <w:r w:rsidRPr="00994E8B">
        <w:rPr>
          <w:rFonts w:eastAsia="Calibri" w:cs="Arial"/>
        </w:rPr>
        <w:t xml:space="preserve">Solution with confirmed involvement (e.g. </w:t>
      </w:r>
      <w:r w:rsidR="007B0D76" w:rsidRPr="00994E8B">
        <w:rPr>
          <w:rFonts w:eastAsia="Calibri" w:cs="Arial"/>
        </w:rPr>
        <w:t>active sharing</w:t>
      </w:r>
      <w:r w:rsidRPr="00994E8B">
        <w:rPr>
          <w:rFonts w:eastAsia="Calibri" w:cs="Arial"/>
        </w:rPr>
        <w:t xml:space="preserve">) of two or more </w:t>
      </w:r>
      <w:r w:rsidRPr="00994E8B">
        <w:rPr>
          <w:rFonts w:eastAsia="Calibri" w:cs="Arial"/>
          <w:b/>
        </w:rPr>
        <w:t>MNOs</w:t>
      </w:r>
      <w:r w:rsidRPr="00994E8B">
        <w:rPr>
          <w:rFonts w:eastAsia="Calibri" w:cs="Arial"/>
        </w:rPr>
        <w:t xml:space="preserve">, overlapping coverage that is new for at least one participating </w:t>
      </w:r>
      <w:r w:rsidRPr="00994E8B">
        <w:rPr>
          <w:rFonts w:eastAsia="Calibri" w:cs="Arial"/>
          <w:b/>
        </w:rPr>
        <w:t>MNO</w:t>
      </w:r>
      <w:r w:rsidRPr="00994E8B">
        <w:rPr>
          <w:rFonts w:eastAsia="Calibri" w:cs="Arial"/>
        </w:rPr>
        <w:t xml:space="preserve"> is eligible for assessment, but counted only once. Coverage located in an area within the existing network of all participating </w:t>
      </w:r>
      <w:r w:rsidRPr="00994E8B">
        <w:rPr>
          <w:rFonts w:eastAsia="Calibri" w:cs="Arial"/>
          <w:b/>
        </w:rPr>
        <w:t>MNOs</w:t>
      </w:r>
      <w:r w:rsidRPr="00994E8B">
        <w:rPr>
          <w:rFonts w:eastAsia="Calibri" w:cs="Arial"/>
        </w:rPr>
        <w:t xml:space="preserve"> will not be eligible for assessment.</w:t>
      </w:r>
    </w:p>
    <w:bookmarkEnd w:id="310"/>
    <w:p w14:paraId="2588E0A2" w14:textId="08ED7FA7" w:rsidR="003228DF" w:rsidRPr="00994E8B" w:rsidRDefault="003228DF" w:rsidP="002B63AC">
      <w:pPr>
        <w:rPr>
          <w:rFonts w:cs="Arial"/>
        </w:rPr>
      </w:pPr>
      <w:r w:rsidRPr="00994E8B">
        <w:rPr>
          <w:rFonts w:eastAsia="Calibri" w:cs="Arial"/>
          <w:b/>
        </w:rPr>
        <w:t>New Handheld Coverage</w:t>
      </w:r>
      <w:r w:rsidRPr="00994E8B">
        <w:rPr>
          <w:rFonts w:eastAsia="Calibri" w:cs="Arial"/>
        </w:rPr>
        <w:t xml:space="preserve"> and Overlapping Coverage will be measured by comparing the 4G handheld coverage provided by the </w:t>
      </w:r>
      <w:r w:rsidR="00B9503C" w:rsidRPr="00994E8B">
        <w:rPr>
          <w:rFonts w:eastAsia="Calibri" w:cs="Arial"/>
        </w:rPr>
        <w:t>Proposed S</w:t>
      </w:r>
      <w:r w:rsidRPr="00994E8B">
        <w:rPr>
          <w:rFonts w:eastAsia="Calibri" w:cs="Arial"/>
        </w:rPr>
        <w:t>olution against existing 4G handheld coverage (including as-yet unbuilt base stations funded under other Commonwealth and/or state government programs), as per</w:t>
      </w:r>
      <w:r w:rsidRPr="00994E8B">
        <w:rPr>
          <w:rFonts w:cs="Arial"/>
        </w:rPr>
        <w:t xml:space="preserve"> the </w:t>
      </w:r>
      <w:r w:rsidRPr="00994E8B">
        <w:rPr>
          <w:rFonts w:cs="Arial"/>
          <w:b/>
        </w:rPr>
        <w:t>MNOs</w:t>
      </w:r>
      <w:r w:rsidRPr="00994E8B">
        <w:rPr>
          <w:rFonts w:cs="Arial"/>
        </w:rPr>
        <w:t>’ submitted coverage maps at the handhold coverage levels set out in section</w:t>
      </w:r>
      <w:r w:rsidR="00F87B9D" w:rsidRPr="00994E8B">
        <w:rPr>
          <w:rFonts w:cs="Arial"/>
        </w:rPr>
        <w:t> </w:t>
      </w:r>
      <w:r w:rsidR="00705485" w:rsidRPr="00994E8B">
        <w:rPr>
          <w:rFonts w:cs="Arial"/>
        </w:rPr>
        <w:fldChar w:fldCharType="begin"/>
      </w:r>
      <w:r w:rsidR="00705485" w:rsidRPr="00994E8B">
        <w:rPr>
          <w:rFonts w:cs="Arial"/>
        </w:rPr>
        <w:instrText xml:space="preserve"> REF _Ref120547629 \r \h </w:instrText>
      </w:r>
      <w:r w:rsidR="00994E8B">
        <w:rPr>
          <w:rFonts w:cs="Arial"/>
        </w:rPr>
        <w:instrText xml:space="preserve"> \* MERGEFORMAT </w:instrText>
      </w:r>
      <w:r w:rsidR="00705485" w:rsidRPr="00994E8B">
        <w:rPr>
          <w:rFonts w:cs="Arial"/>
        </w:rPr>
      </w:r>
      <w:r w:rsidR="00705485" w:rsidRPr="00994E8B">
        <w:rPr>
          <w:rFonts w:cs="Arial"/>
        </w:rPr>
        <w:fldChar w:fldCharType="separate"/>
      </w:r>
      <w:r w:rsidR="00075357" w:rsidRPr="00994E8B">
        <w:rPr>
          <w:rFonts w:cs="Arial"/>
        </w:rPr>
        <w:t>2.2.1</w:t>
      </w:r>
      <w:r w:rsidR="00705485" w:rsidRPr="00994E8B">
        <w:rPr>
          <w:rFonts w:cs="Arial"/>
        </w:rPr>
        <w:fldChar w:fldCharType="end"/>
      </w:r>
      <w:r w:rsidR="00705485" w:rsidRPr="00994E8B">
        <w:rPr>
          <w:rFonts w:cs="Arial"/>
        </w:rPr>
        <w:t>.</w:t>
      </w:r>
    </w:p>
    <w:p w14:paraId="0F1E7741" w14:textId="77777777" w:rsidR="005E557E" w:rsidRPr="00994E8B" w:rsidRDefault="005E557E" w:rsidP="004A759F">
      <w:pPr>
        <w:pStyle w:val="ListBullet"/>
        <w:keepNext/>
        <w:keepLines/>
        <w:numPr>
          <w:ilvl w:val="0"/>
          <w:numId w:val="0"/>
        </w:numPr>
        <w:ind w:left="360"/>
      </w:pPr>
      <w:bookmarkStart w:id="313" w:name="_Hlk110511993"/>
      <w:r w:rsidRPr="00994E8B">
        <w:rPr>
          <w:rFonts w:eastAsiaTheme="minorHAnsi" w:cstheme="minorBidi"/>
          <w:bCs/>
          <w:iCs w:val="0"/>
          <w:color w:val="264F90"/>
          <w:szCs w:val="18"/>
        </w:rPr>
        <w:t xml:space="preserve">Table </w:t>
      </w:r>
      <w:r w:rsidR="007009DE" w:rsidRPr="00994E8B">
        <w:rPr>
          <w:rFonts w:eastAsiaTheme="minorHAnsi" w:cstheme="minorBidi"/>
          <w:bCs/>
          <w:iCs w:val="0"/>
          <w:color w:val="264F90"/>
          <w:szCs w:val="18"/>
        </w:rPr>
        <w:t>2</w:t>
      </w:r>
      <w:r w:rsidRPr="00994E8B">
        <w:rPr>
          <w:rFonts w:eastAsiaTheme="minorHAnsi" w:cstheme="minorBidi"/>
          <w:bCs/>
          <w:iCs w:val="0"/>
          <w:color w:val="264F90"/>
          <w:szCs w:val="18"/>
        </w:rPr>
        <w:t>: Example assessment of New Handheld Coverage and Overlapping Coverage</w:t>
      </w:r>
    </w:p>
    <w:tbl>
      <w:tblPr>
        <w:tblStyle w:val="TableGrid"/>
        <w:tblW w:w="0" w:type="auto"/>
        <w:tblInd w:w="1080" w:type="dxa"/>
        <w:tblLook w:val="04A0" w:firstRow="1" w:lastRow="0" w:firstColumn="1" w:lastColumn="0" w:noHBand="0" w:noVBand="1"/>
        <w:tblCaption w:val="Assessment of New Handheld Coverage and overlapping coverage."/>
        <w:tblDescription w:val="A Mobile Coverage Solution has confirmed participation of two MNOs.&#10; A. The solution provides 20km2 of New Handheld Coverage from MNO 1, that doesn’t overlap with an existing network.&#10; B. The solution provides 20km2 of New Handheld Coverage from MNO 2, that doesn’t overlap with an existing network. &#10; C. The solution provides 30km2 of coverage that overlaps with Existing Handheld Coverage, but is new for at least one of the participating MNOs.&#10; D. The solution provides 10km2 of coverage that overlaps with Existing Handheld Coverage in the networks of both participating MNOs (not eligible for assessment).&#10;&#10;The assessed coverage for this solution is A+B+(C/2)&#10;Equalling: 20km2 + 20km2 + (30km2 / 2) = 55km2&#10;"/>
      </w:tblPr>
      <w:tblGrid>
        <w:gridCol w:w="7420"/>
      </w:tblGrid>
      <w:tr w:rsidR="005E557E" w:rsidRPr="00994E8B" w14:paraId="6A99DC19" w14:textId="77777777" w:rsidTr="004911E7">
        <w:trPr>
          <w:tblHeader/>
        </w:trPr>
        <w:tc>
          <w:tcPr>
            <w:tcW w:w="7420" w:type="dxa"/>
          </w:tcPr>
          <w:bookmarkEnd w:id="313"/>
          <w:p w14:paraId="1ED1A845" w14:textId="77777777" w:rsidR="005E557E" w:rsidRPr="00994E8B" w:rsidRDefault="005E557E" w:rsidP="004A759F">
            <w:pPr>
              <w:pStyle w:val="ListBullet"/>
              <w:keepNext/>
              <w:keepLines/>
              <w:numPr>
                <w:ilvl w:val="0"/>
                <w:numId w:val="0"/>
              </w:numPr>
            </w:pPr>
            <w:r w:rsidRPr="00994E8B">
              <w:t>A Proposed Solution has confirmed participation of two MNOs.</w:t>
            </w:r>
          </w:p>
          <w:p w14:paraId="6C31269F" w14:textId="393A510D" w:rsidR="005E557E" w:rsidRPr="00994E8B" w:rsidRDefault="005E557E" w:rsidP="004A759F">
            <w:pPr>
              <w:pStyle w:val="ListBullet"/>
              <w:keepNext/>
              <w:keepLines/>
              <w:ind w:left="369" w:hanging="284"/>
            </w:pPr>
            <w:r w:rsidRPr="00994E8B">
              <w:t xml:space="preserve">A. The </w:t>
            </w:r>
            <w:r w:rsidR="00B9503C" w:rsidRPr="00994E8B">
              <w:t>Proposed S</w:t>
            </w:r>
            <w:r w:rsidRPr="00994E8B">
              <w:t>olution provides 30km</w:t>
            </w:r>
            <w:r w:rsidRPr="00994E8B">
              <w:rPr>
                <w:rFonts w:eastAsia="Calibri" w:cs="Arial"/>
                <w:b/>
                <w:vertAlign w:val="superscript"/>
              </w:rPr>
              <w:t>2</w:t>
            </w:r>
            <w:r w:rsidRPr="00994E8B">
              <w:t xml:space="preserve"> of New Handheld Coverage from MNO 1, that doesn’t overlap with an existing network.</w:t>
            </w:r>
          </w:p>
          <w:p w14:paraId="34A38D82" w14:textId="0D4442DB" w:rsidR="005E557E" w:rsidRPr="00994E8B" w:rsidRDefault="005E557E" w:rsidP="004A759F">
            <w:pPr>
              <w:pStyle w:val="ListBullet"/>
              <w:keepNext/>
              <w:keepLines/>
              <w:ind w:left="369" w:hanging="284"/>
            </w:pPr>
            <w:r w:rsidRPr="00994E8B">
              <w:t xml:space="preserve">B. The </w:t>
            </w:r>
            <w:r w:rsidR="00B9503C" w:rsidRPr="00994E8B">
              <w:t>Proposed S</w:t>
            </w:r>
            <w:r w:rsidRPr="00994E8B">
              <w:t>olution provides 30km</w:t>
            </w:r>
            <w:r w:rsidRPr="00994E8B">
              <w:rPr>
                <w:rFonts w:eastAsia="Calibri" w:cs="Arial"/>
                <w:b/>
                <w:vertAlign w:val="superscript"/>
              </w:rPr>
              <w:t>2</w:t>
            </w:r>
            <w:r w:rsidRPr="00994E8B">
              <w:t xml:space="preserve"> of New Handheld Coverage from MNO 2, that doesn’t overlap with an existing network. </w:t>
            </w:r>
          </w:p>
          <w:p w14:paraId="017895DD" w14:textId="0EC58AF4" w:rsidR="005E557E" w:rsidRPr="00994E8B" w:rsidRDefault="005E557E" w:rsidP="004A759F">
            <w:pPr>
              <w:pStyle w:val="ListBullet"/>
              <w:keepNext/>
              <w:keepLines/>
              <w:ind w:left="369" w:hanging="284"/>
            </w:pPr>
            <w:r w:rsidRPr="00994E8B">
              <w:t xml:space="preserve">C. The </w:t>
            </w:r>
            <w:r w:rsidR="00B9503C" w:rsidRPr="00994E8B">
              <w:t>Proposed S</w:t>
            </w:r>
            <w:r w:rsidRPr="00994E8B">
              <w:t>olution provides 20km</w:t>
            </w:r>
            <w:r w:rsidRPr="00994E8B">
              <w:rPr>
                <w:rFonts w:eastAsia="Calibri" w:cs="Arial"/>
                <w:b/>
                <w:vertAlign w:val="superscript"/>
              </w:rPr>
              <w:t>2</w:t>
            </w:r>
            <w:r w:rsidRPr="00994E8B">
              <w:t xml:space="preserve"> of coverage that overlaps with Existing Handheld Coverage, but is new for at least one of the participating MNOs.</w:t>
            </w:r>
          </w:p>
          <w:p w14:paraId="0A19E667" w14:textId="4B705961" w:rsidR="005E557E" w:rsidRPr="00994E8B" w:rsidRDefault="005E557E" w:rsidP="004A759F">
            <w:pPr>
              <w:pStyle w:val="ListBullet"/>
              <w:keepNext/>
              <w:keepLines/>
              <w:ind w:left="369" w:hanging="284"/>
            </w:pPr>
            <w:r w:rsidRPr="00994E8B">
              <w:t xml:space="preserve">D. The </w:t>
            </w:r>
            <w:r w:rsidR="00B9503C" w:rsidRPr="00994E8B">
              <w:t>Proposed S</w:t>
            </w:r>
            <w:r w:rsidRPr="00994E8B">
              <w:t>olution provides 10km</w:t>
            </w:r>
            <w:r w:rsidRPr="00994E8B">
              <w:rPr>
                <w:rFonts w:eastAsia="Calibri" w:cs="Arial"/>
                <w:b/>
                <w:vertAlign w:val="superscript"/>
              </w:rPr>
              <w:t>2</w:t>
            </w:r>
            <w:r w:rsidRPr="00994E8B">
              <w:t xml:space="preserve"> of coverage that overlaps with Existing Handheld Coverage in the networks of both participating MNOs (not eligible for assessment).</w:t>
            </w:r>
          </w:p>
          <w:p w14:paraId="1EA8A9DB" w14:textId="3021B48F" w:rsidR="005E557E" w:rsidRPr="00994E8B" w:rsidRDefault="005E557E" w:rsidP="004A759F">
            <w:pPr>
              <w:pStyle w:val="ListBullet"/>
              <w:keepNext/>
              <w:keepLines/>
              <w:numPr>
                <w:ilvl w:val="0"/>
                <w:numId w:val="0"/>
              </w:numPr>
              <w:ind w:left="445" w:hanging="360"/>
            </w:pPr>
            <w:r w:rsidRPr="00994E8B">
              <w:t>The assessed coverage for this</w:t>
            </w:r>
            <w:r w:rsidR="00B9503C" w:rsidRPr="00994E8B">
              <w:t xml:space="preserve"> Proposed S</w:t>
            </w:r>
            <w:r w:rsidRPr="00994E8B">
              <w:t>olution is A+B+(C/2)</w:t>
            </w:r>
          </w:p>
          <w:p w14:paraId="4788EA85" w14:textId="77777777" w:rsidR="005E557E" w:rsidRPr="00994E8B" w:rsidRDefault="005E557E" w:rsidP="004A759F">
            <w:pPr>
              <w:pStyle w:val="ListBullet"/>
              <w:keepNext/>
              <w:keepLines/>
              <w:numPr>
                <w:ilvl w:val="0"/>
                <w:numId w:val="0"/>
              </w:numPr>
              <w:ind w:left="445" w:hanging="360"/>
              <w:rPr>
                <w:rFonts w:eastAsia="Calibri" w:cs="Arial"/>
                <w:b/>
                <w:vertAlign w:val="superscript"/>
              </w:rPr>
            </w:pPr>
            <w:r w:rsidRPr="00994E8B">
              <w:t>Equalling: 30km</w:t>
            </w:r>
            <w:r w:rsidRPr="00994E8B">
              <w:rPr>
                <w:rFonts w:eastAsia="Calibri" w:cs="Arial"/>
                <w:b/>
                <w:vertAlign w:val="superscript"/>
              </w:rPr>
              <w:t xml:space="preserve">2 </w:t>
            </w:r>
            <w:r w:rsidRPr="00994E8B">
              <w:t>+ 30km</w:t>
            </w:r>
            <w:r w:rsidRPr="00994E8B">
              <w:rPr>
                <w:rFonts w:eastAsia="Calibri" w:cs="Arial"/>
                <w:b/>
                <w:vertAlign w:val="superscript"/>
              </w:rPr>
              <w:t>2</w:t>
            </w:r>
            <w:r w:rsidRPr="00994E8B">
              <w:t xml:space="preserve"> + (20km</w:t>
            </w:r>
            <w:r w:rsidRPr="00994E8B">
              <w:rPr>
                <w:rFonts w:eastAsia="Calibri" w:cs="Arial"/>
                <w:b/>
                <w:vertAlign w:val="superscript"/>
              </w:rPr>
              <w:t>2</w:t>
            </w:r>
            <w:r w:rsidRPr="00994E8B">
              <w:t xml:space="preserve"> / 2) = 70km</w:t>
            </w:r>
            <w:r w:rsidRPr="00994E8B">
              <w:rPr>
                <w:rFonts w:eastAsia="Calibri" w:cs="Arial"/>
                <w:b/>
                <w:vertAlign w:val="superscript"/>
              </w:rPr>
              <w:t>2</w:t>
            </w:r>
          </w:p>
        </w:tc>
      </w:tr>
    </w:tbl>
    <w:p w14:paraId="2B9DA345" w14:textId="77777777" w:rsidR="005E557E" w:rsidRPr="00994E8B" w:rsidRDefault="005E557E" w:rsidP="005E557E">
      <w:pPr>
        <w:pStyle w:val="ListBullet"/>
        <w:numPr>
          <w:ilvl w:val="0"/>
          <w:numId w:val="0"/>
        </w:numPr>
        <w:rPr>
          <w:rFonts w:eastAsia="Calibri"/>
        </w:rPr>
      </w:pPr>
    </w:p>
    <w:p w14:paraId="598D4F07" w14:textId="77777777" w:rsidR="005E557E" w:rsidRPr="00994E8B" w:rsidRDefault="005E557E" w:rsidP="005E557E">
      <w:pPr>
        <w:pStyle w:val="ListBullet"/>
        <w:numPr>
          <w:ilvl w:val="0"/>
          <w:numId w:val="0"/>
        </w:numPr>
        <w:rPr>
          <w:rFonts w:eastAsia="Calibri"/>
        </w:rPr>
      </w:pPr>
      <w:r w:rsidRPr="00994E8B">
        <w:rPr>
          <w:rFonts w:eastAsia="Calibri"/>
        </w:rPr>
        <w:t>A graphical representation of this example is below:</w:t>
      </w:r>
    </w:p>
    <w:p w14:paraId="1D1DABE4" w14:textId="77777777" w:rsidR="005E557E" w:rsidRPr="00994E8B" w:rsidRDefault="005E557E" w:rsidP="005E557E">
      <w:pPr>
        <w:pStyle w:val="ListBullet"/>
        <w:numPr>
          <w:ilvl w:val="0"/>
          <w:numId w:val="0"/>
        </w:numPr>
        <w:ind w:left="720" w:hanging="720"/>
        <w:jc w:val="center"/>
        <w:rPr>
          <w:rFonts w:eastAsia="Calibri"/>
        </w:rPr>
      </w:pPr>
      <w:r w:rsidRPr="00994E8B">
        <w:rPr>
          <w:rFonts w:eastAsia="Calibri"/>
          <w:noProof/>
          <w:lang w:eastAsia="en-AU"/>
        </w:rPr>
        <w:drawing>
          <wp:inline distT="0" distB="0" distL="0" distR="0" wp14:anchorId="79594785" wp14:editId="7119B804">
            <wp:extent cx="5015620" cy="2723193"/>
            <wp:effectExtent l="0" t="0" r="0" b="1270"/>
            <wp:docPr id="3" name="Picture 3" descr="Example: A Mobile Coverage Solution has confirmed participation of two MNOs.&#10;&#10;The solution provides 20km squared of New Handheld Coverage from MNO 1, that doesn’t overlap with an existing network.&#10;&#10;The solution provides 20km squared of New Handheld Coverage from MNO 2, that doesn’t overlap with an existing network. &#10;&#10;C. The solution provides 30km squared of coverage that overlaps with Existing Handheld Coverage, but is new for at least one of the participating MNOs.&#10;&#10;D. The solution provides 10km squared of coverage that overlaps with Existing Handheld Coverage in the networks of both participating MNOs (not eligible for assessment).&#10;&#10;The assessed coverage for this solution is A+B+(C divided by 2)&#10;Equalling: 20km squared + 20km squared + (30km squared divided by 2) = 55km squared.&#10;" title="Image of example of how coverage is ass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ssment image.png"/>
                    <pic:cNvPicPr/>
                  </pic:nvPicPr>
                  <pic:blipFill>
                    <a:blip r:embed="rId28">
                      <a:extLst>
                        <a:ext uri="{28A0092B-C50C-407E-A947-70E740481C1C}">
                          <a14:useLocalDpi xmlns:a14="http://schemas.microsoft.com/office/drawing/2010/main" val="0"/>
                        </a:ext>
                      </a:extLst>
                    </a:blip>
                    <a:stretch>
                      <a:fillRect/>
                    </a:stretch>
                  </pic:blipFill>
                  <pic:spPr>
                    <a:xfrm>
                      <a:off x="0" y="0"/>
                      <a:ext cx="5031054" cy="2731573"/>
                    </a:xfrm>
                    <a:prstGeom prst="rect">
                      <a:avLst/>
                    </a:prstGeom>
                  </pic:spPr>
                </pic:pic>
              </a:graphicData>
            </a:graphic>
          </wp:inline>
        </w:drawing>
      </w:r>
    </w:p>
    <w:p w14:paraId="16581655" w14:textId="77777777" w:rsidR="00C347D8" w:rsidRPr="00994E8B" w:rsidRDefault="00C347D8" w:rsidP="002E4AD3">
      <w:pPr>
        <w:pStyle w:val="Heading2"/>
      </w:pPr>
      <w:bookmarkStart w:id="314" w:name="_Value_for_Money"/>
      <w:bookmarkStart w:id="315" w:name="_Toc88054322"/>
      <w:bookmarkStart w:id="316" w:name="_Toc88054668"/>
      <w:bookmarkStart w:id="317" w:name="_Toc88054764"/>
      <w:bookmarkStart w:id="318" w:name="_Toc88061618"/>
      <w:bookmarkStart w:id="319" w:name="_Toc129956307"/>
      <w:bookmarkStart w:id="320" w:name="_Toc164844283"/>
      <w:bookmarkStart w:id="321" w:name="_Toc383003272"/>
      <w:bookmarkEnd w:id="109"/>
      <w:bookmarkEnd w:id="110"/>
      <w:bookmarkEnd w:id="314"/>
      <w:bookmarkEnd w:id="315"/>
      <w:bookmarkEnd w:id="316"/>
      <w:bookmarkEnd w:id="317"/>
      <w:bookmarkEnd w:id="318"/>
      <w:r w:rsidRPr="00994E8B">
        <w:lastRenderedPageBreak/>
        <w:t xml:space="preserve">How to </w:t>
      </w:r>
      <w:r w:rsidR="00C7753F" w:rsidRPr="00994E8B">
        <w:t>a</w:t>
      </w:r>
      <w:r w:rsidRPr="00994E8B">
        <w:t>pply</w:t>
      </w:r>
      <w:bookmarkEnd w:id="319"/>
    </w:p>
    <w:p w14:paraId="4C5D7FD0" w14:textId="77777777" w:rsidR="00EF12A1" w:rsidRPr="00994E8B" w:rsidRDefault="00C347D8" w:rsidP="00EF12A1">
      <w:r w:rsidRPr="00994E8B">
        <w:t xml:space="preserve">Before </w:t>
      </w:r>
      <w:r w:rsidR="00EF12A1" w:rsidRPr="00994E8B">
        <w:t>applying, you must read and understand these Guidelines.</w:t>
      </w:r>
    </w:p>
    <w:p w14:paraId="39FD2C99" w14:textId="013367B8" w:rsidR="00EF12A1" w:rsidRPr="00994E8B" w:rsidRDefault="00EF12A1" w:rsidP="00EF12A1">
      <w:r w:rsidRPr="00994E8B">
        <w:t xml:space="preserve">All application documents may be found </w:t>
      </w:r>
      <w:r w:rsidR="00A8650E" w:rsidRPr="00994E8B">
        <w:t>on</w:t>
      </w:r>
      <w:r w:rsidRPr="00994E8B">
        <w:t xml:space="preserve"> </w:t>
      </w:r>
      <w:hyperlink r:id="rId29" w:history="1">
        <w:proofErr w:type="spellStart"/>
        <w:r w:rsidRPr="00994E8B">
          <w:rPr>
            <w:rStyle w:val="Hyperlink"/>
          </w:rPr>
          <w:t>Grant</w:t>
        </w:r>
        <w:r w:rsidR="00CF462B" w:rsidRPr="00994E8B">
          <w:rPr>
            <w:rStyle w:val="Hyperlink"/>
          </w:rPr>
          <w:t>Connect</w:t>
        </w:r>
        <w:proofErr w:type="spellEnd"/>
      </w:hyperlink>
      <w:r w:rsidR="00CF462B" w:rsidRPr="00994E8B">
        <w:t>. Any alterations and addenda</w:t>
      </w:r>
      <w:r w:rsidR="00CF462B" w:rsidRPr="00994E8B">
        <w:rPr>
          <w:rStyle w:val="FootnoteReference"/>
        </w:rPr>
        <w:footnoteReference w:id="10"/>
      </w:r>
      <w:r w:rsidR="00CF462B" w:rsidRPr="00994E8B">
        <w:t xml:space="preserve"> </w:t>
      </w:r>
      <w:r w:rsidRPr="00994E8B">
        <w:t xml:space="preserve">will be published on </w:t>
      </w:r>
      <w:proofErr w:type="spellStart"/>
      <w:r w:rsidRPr="00994E8B">
        <w:t>GrantConnect</w:t>
      </w:r>
      <w:proofErr w:type="spellEnd"/>
      <w:r w:rsidRPr="00994E8B">
        <w:t xml:space="preserve"> and by registering on th</w:t>
      </w:r>
      <w:r w:rsidR="003B4E1F" w:rsidRPr="00994E8B">
        <w:t xml:space="preserve">e </w:t>
      </w:r>
      <w:proofErr w:type="spellStart"/>
      <w:r w:rsidR="003B4E1F" w:rsidRPr="00994E8B">
        <w:t>GrantConnect</w:t>
      </w:r>
      <w:proofErr w:type="spellEnd"/>
      <w:r w:rsidR="003B4E1F" w:rsidRPr="00994E8B">
        <w:t xml:space="preserve"> </w:t>
      </w:r>
      <w:r w:rsidRPr="00994E8B">
        <w:t xml:space="preserve">website, you will be automatically notified on any changes. </w:t>
      </w:r>
      <w:proofErr w:type="spellStart"/>
      <w:r w:rsidRPr="00994E8B">
        <w:t>GrantConnect</w:t>
      </w:r>
      <w:proofErr w:type="spellEnd"/>
      <w:r w:rsidRPr="00994E8B">
        <w:t xml:space="preserve"> is the authoritative source for grants information.</w:t>
      </w:r>
    </w:p>
    <w:p w14:paraId="0BAD7AA0" w14:textId="7C09823B" w:rsidR="00EF12A1" w:rsidRPr="00994E8B" w:rsidRDefault="00EF12A1" w:rsidP="00EF12A1">
      <w:r w:rsidRPr="00994E8B">
        <w:t xml:space="preserve">If you need further guidance around the application process or if you are unable to </w:t>
      </w:r>
      <w:proofErr w:type="gramStart"/>
      <w:r w:rsidRPr="00994E8B">
        <w:t>submit an application</w:t>
      </w:r>
      <w:proofErr w:type="gramEnd"/>
      <w:r w:rsidRPr="00994E8B">
        <w:t xml:space="preserve"> online, contact us at </w:t>
      </w:r>
      <w:hyperlink r:id="rId30" w:history="1">
        <w:r w:rsidR="00CF462B" w:rsidRPr="00994E8B">
          <w:rPr>
            <w:rStyle w:val="Hyperlink"/>
          </w:rPr>
          <w:t>regionalconnectivity@communications.gov.au</w:t>
        </w:r>
      </w:hyperlink>
      <w:r w:rsidRPr="00994E8B">
        <w:t>.</w:t>
      </w:r>
      <w:r w:rsidR="00CF462B" w:rsidRPr="00994E8B">
        <w:t xml:space="preserve"> </w:t>
      </w:r>
    </w:p>
    <w:p w14:paraId="194608F8" w14:textId="77777777" w:rsidR="00EF12A1" w:rsidRPr="00994E8B" w:rsidRDefault="00EF12A1" w:rsidP="00EF12A1">
      <w:r w:rsidRPr="00994E8B">
        <w:t>To apply you must:</w:t>
      </w:r>
    </w:p>
    <w:p w14:paraId="2ED2D874" w14:textId="4E5DA1B6" w:rsidR="00EF12A1" w:rsidRPr="00994E8B" w:rsidRDefault="00EF12A1" w:rsidP="00E2664E">
      <w:pPr>
        <w:pStyle w:val="ListParagraph"/>
        <w:numPr>
          <w:ilvl w:val="0"/>
          <w:numId w:val="31"/>
        </w:numPr>
      </w:pPr>
      <w:r w:rsidRPr="00994E8B">
        <w:t>complete the Grant Opportunity application form</w:t>
      </w:r>
      <w:r w:rsidR="000D5111" w:rsidRPr="00994E8B">
        <w:t>;</w:t>
      </w:r>
    </w:p>
    <w:p w14:paraId="69C6A31E" w14:textId="79119DED" w:rsidR="00EF12A1" w:rsidRPr="00994E8B" w:rsidRDefault="00EF12A1" w:rsidP="00E2664E">
      <w:pPr>
        <w:pStyle w:val="ListParagraph"/>
        <w:numPr>
          <w:ilvl w:val="0"/>
          <w:numId w:val="31"/>
        </w:numPr>
      </w:pPr>
      <w:r w:rsidRPr="00994E8B">
        <w:t>provide all information requested</w:t>
      </w:r>
      <w:r w:rsidR="000D5111" w:rsidRPr="00994E8B">
        <w:t>;</w:t>
      </w:r>
    </w:p>
    <w:p w14:paraId="046CB2F5" w14:textId="2C1EBA76" w:rsidR="00EF12A1" w:rsidRPr="00994E8B" w:rsidRDefault="00E16932" w:rsidP="00E2664E">
      <w:pPr>
        <w:pStyle w:val="ListParagraph"/>
        <w:numPr>
          <w:ilvl w:val="0"/>
          <w:numId w:val="31"/>
        </w:numPr>
      </w:pPr>
      <w:r w:rsidRPr="00994E8B">
        <w:t xml:space="preserve">demonstrate that you meet </w:t>
      </w:r>
      <w:r w:rsidR="00EF12A1" w:rsidRPr="00994E8B">
        <w:t>all Eligibility Criteria</w:t>
      </w:r>
      <w:r w:rsidR="000D5111" w:rsidRPr="00994E8B">
        <w:t>;</w:t>
      </w:r>
    </w:p>
    <w:p w14:paraId="591A1A8C" w14:textId="31E418AF" w:rsidR="00EF12A1" w:rsidRPr="00994E8B" w:rsidRDefault="00EF12A1" w:rsidP="00E2664E">
      <w:pPr>
        <w:pStyle w:val="ListParagraph"/>
        <w:numPr>
          <w:ilvl w:val="0"/>
          <w:numId w:val="31"/>
        </w:numPr>
      </w:pPr>
      <w:r w:rsidRPr="00994E8B">
        <w:t xml:space="preserve">provide responses to the </w:t>
      </w:r>
      <w:r w:rsidR="00232862" w:rsidRPr="00994E8B">
        <w:t xml:space="preserve">Assessment </w:t>
      </w:r>
      <w:r w:rsidRPr="00994E8B">
        <w:t>Criteria</w:t>
      </w:r>
      <w:r w:rsidR="000D5111" w:rsidRPr="00994E8B">
        <w:t>;</w:t>
      </w:r>
    </w:p>
    <w:p w14:paraId="597959E1" w14:textId="77777777" w:rsidR="00EF12A1" w:rsidRPr="00994E8B" w:rsidRDefault="00EF12A1" w:rsidP="00E2664E">
      <w:pPr>
        <w:pStyle w:val="ListParagraph"/>
        <w:numPr>
          <w:ilvl w:val="0"/>
          <w:numId w:val="31"/>
        </w:numPr>
      </w:pPr>
      <w:r w:rsidRPr="00994E8B">
        <w:t>include all necessary attachments; and</w:t>
      </w:r>
    </w:p>
    <w:p w14:paraId="1F79F198" w14:textId="7AF6A6E3" w:rsidR="00AD3F12" w:rsidRPr="00994E8B" w:rsidRDefault="00EF12A1" w:rsidP="00E2664E">
      <w:pPr>
        <w:pStyle w:val="ListParagraph"/>
        <w:numPr>
          <w:ilvl w:val="0"/>
          <w:numId w:val="31"/>
        </w:numPr>
      </w:pPr>
      <w:r w:rsidRPr="00994E8B">
        <w:t>submit your application/s before the due date</w:t>
      </w:r>
      <w:r w:rsidR="000D5111" w:rsidRPr="00994E8B">
        <w:t>.</w:t>
      </w:r>
    </w:p>
    <w:p w14:paraId="24361A6E" w14:textId="1693D26C" w:rsidR="00AD3F12" w:rsidRPr="00994E8B" w:rsidRDefault="00AD3F12" w:rsidP="00AD3F12">
      <w:pPr>
        <w:pStyle w:val="Caption"/>
        <w:keepNext/>
      </w:pPr>
      <w:r w:rsidRPr="00994E8B">
        <w:rPr>
          <w:bCs/>
        </w:rPr>
        <w:t xml:space="preserve">Table </w:t>
      </w:r>
      <w:r w:rsidR="00B548CE" w:rsidRPr="00994E8B">
        <w:rPr>
          <w:bCs/>
        </w:rPr>
        <w:t>3</w:t>
      </w:r>
      <w:r w:rsidRPr="00994E8B">
        <w:rPr>
          <w:bCs/>
        </w:rPr>
        <w:t>: Expected timing for this grant opportunity</w:t>
      </w:r>
      <w:r w:rsidRPr="00994E8B">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AD3F12" w:rsidRPr="00994E8B" w14:paraId="297AC4C5" w14:textId="77777777" w:rsidTr="00A31B1D">
        <w:trPr>
          <w:cantSplit/>
          <w:tblHeader/>
        </w:trPr>
        <w:tc>
          <w:tcPr>
            <w:tcW w:w="4815" w:type="dxa"/>
            <w:shd w:val="clear" w:color="auto" w:fill="264F90"/>
          </w:tcPr>
          <w:p w14:paraId="4AA0A901" w14:textId="77777777" w:rsidR="00AD3F12" w:rsidRPr="00994E8B" w:rsidRDefault="00AD3F12" w:rsidP="00A31B1D">
            <w:pPr>
              <w:pStyle w:val="TableHeadingNumbered"/>
            </w:pPr>
            <w:r w:rsidRPr="00994E8B">
              <w:t>Activity</w:t>
            </w:r>
          </w:p>
        </w:tc>
        <w:tc>
          <w:tcPr>
            <w:tcW w:w="3974" w:type="dxa"/>
            <w:shd w:val="clear" w:color="auto" w:fill="264F90"/>
          </w:tcPr>
          <w:p w14:paraId="10806A4D" w14:textId="77777777" w:rsidR="00AD3F12" w:rsidRPr="00994E8B" w:rsidRDefault="00AD3F12" w:rsidP="00A31B1D">
            <w:pPr>
              <w:pStyle w:val="TableHeadingNumbered"/>
            </w:pPr>
            <w:r w:rsidRPr="00994E8B">
              <w:t>Timeframe</w:t>
            </w:r>
          </w:p>
        </w:tc>
      </w:tr>
      <w:tr w:rsidR="00AD3F12" w:rsidRPr="00994E8B" w14:paraId="25180F3F" w14:textId="77777777" w:rsidTr="00A31B1D">
        <w:trPr>
          <w:cantSplit/>
        </w:trPr>
        <w:tc>
          <w:tcPr>
            <w:tcW w:w="4815" w:type="dxa"/>
          </w:tcPr>
          <w:p w14:paraId="65DB8744" w14:textId="77777777" w:rsidR="00AD3F12" w:rsidRPr="00994E8B" w:rsidRDefault="00AD3F12" w:rsidP="00A31B1D">
            <w:pPr>
              <w:pStyle w:val="TableText"/>
            </w:pPr>
            <w:r w:rsidRPr="00994E8B">
              <w:t>Guidelines released and applications open</w:t>
            </w:r>
          </w:p>
        </w:tc>
        <w:tc>
          <w:tcPr>
            <w:tcW w:w="3974" w:type="dxa"/>
          </w:tcPr>
          <w:p w14:paraId="31E12368" w14:textId="3C1F1DF0" w:rsidR="00AD3F12" w:rsidRPr="00994E8B" w:rsidRDefault="00BD05F5" w:rsidP="007418A0">
            <w:pPr>
              <w:pStyle w:val="TableText"/>
            </w:pPr>
            <w:r>
              <w:t>20</w:t>
            </w:r>
            <w:r w:rsidR="007D2C8C" w:rsidRPr="00994E8B">
              <w:t xml:space="preserve"> </w:t>
            </w:r>
            <w:r w:rsidR="003000C1" w:rsidRPr="00994E8B">
              <w:t>March</w:t>
            </w:r>
            <w:r w:rsidR="00AD3F12" w:rsidRPr="00994E8B">
              <w:t xml:space="preserve"> </w:t>
            </w:r>
            <w:r w:rsidR="0081750E" w:rsidRPr="00994E8B">
              <w:t>2023</w:t>
            </w:r>
          </w:p>
        </w:tc>
      </w:tr>
      <w:tr w:rsidR="004803C8" w:rsidRPr="00994E8B" w14:paraId="31DD7572" w14:textId="77777777" w:rsidTr="00A31B1D">
        <w:trPr>
          <w:cantSplit/>
        </w:trPr>
        <w:tc>
          <w:tcPr>
            <w:tcW w:w="4815" w:type="dxa"/>
          </w:tcPr>
          <w:p w14:paraId="270D9BC9" w14:textId="132EAF56" w:rsidR="004803C8" w:rsidRPr="00994E8B" w:rsidRDefault="004803C8" w:rsidP="004803C8">
            <w:pPr>
              <w:pStyle w:val="TableText"/>
            </w:pPr>
            <w:r w:rsidRPr="00994E8B">
              <w:t>Applicant registration and pre-application documentation</w:t>
            </w:r>
            <w:r w:rsidR="00FF1328" w:rsidRPr="00994E8B">
              <w:t xml:space="preserve"> for applicants applying for </w:t>
            </w:r>
            <w:r w:rsidR="007009DE" w:rsidRPr="00994E8B">
              <w:rPr>
                <w:b/>
              </w:rPr>
              <w:t>Mobile Black Spot Solution</w:t>
            </w:r>
            <w:r w:rsidR="00FF1328" w:rsidRPr="00994E8B">
              <w:rPr>
                <w:b/>
              </w:rPr>
              <w:t>s</w:t>
            </w:r>
          </w:p>
        </w:tc>
        <w:tc>
          <w:tcPr>
            <w:tcW w:w="3974" w:type="dxa"/>
          </w:tcPr>
          <w:p w14:paraId="501E34D3" w14:textId="0820B909" w:rsidR="004803C8" w:rsidRPr="00994E8B" w:rsidRDefault="004803C8" w:rsidP="004803C8">
            <w:pPr>
              <w:pStyle w:val="TableText"/>
            </w:pPr>
            <w:r w:rsidRPr="00994E8B">
              <w:t xml:space="preserve">Registration and pre-application documentation due by </w:t>
            </w:r>
            <w:r w:rsidR="003000C1" w:rsidRPr="00994E8B">
              <w:t>1 May 2023</w:t>
            </w:r>
            <w:r w:rsidRPr="00994E8B">
              <w:t xml:space="preserve"> (</w:t>
            </w:r>
            <w:r w:rsidR="00A52C51" w:rsidRPr="00994E8B">
              <w:t>6</w:t>
            </w:r>
            <w:r w:rsidRPr="00994E8B">
              <w:t xml:space="preserve"> weeks after opening)</w:t>
            </w:r>
          </w:p>
        </w:tc>
      </w:tr>
      <w:tr w:rsidR="00A52C51" w:rsidRPr="00994E8B" w14:paraId="2DE0CD95" w14:textId="77777777" w:rsidTr="00A31B1D">
        <w:trPr>
          <w:cantSplit/>
        </w:trPr>
        <w:tc>
          <w:tcPr>
            <w:tcW w:w="4815" w:type="dxa"/>
          </w:tcPr>
          <w:p w14:paraId="17EF5462" w14:textId="77777777" w:rsidR="00A52C51" w:rsidRPr="00994E8B" w:rsidRDefault="00A52C51" w:rsidP="004803C8">
            <w:pPr>
              <w:pStyle w:val="TableText"/>
            </w:pPr>
            <w:r w:rsidRPr="00994E8B">
              <w:t xml:space="preserve">Submit initial proposal period for </w:t>
            </w:r>
            <w:r w:rsidR="007009DE" w:rsidRPr="00994E8B">
              <w:rPr>
                <w:b/>
              </w:rPr>
              <w:t>Mobile Black Spot Solution</w:t>
            </w:r>
            <w:r w:rsidRPr="00994E8B">
              <w:rPr>
                <w:b/>
              </w:rPr>
              <w:t>s</w:t>
            </w:r>
          </w:p>
        </w:tc>
        <w:tc>
          <w:tcPr>
            <w:tcW w:w="3974" w:type="dxa"/>
          </w:tcPr>
          <w:p w14:paraId="5384EF65" w14:textId="3AE004F2" w:rsidR="00A52C51" w:rsidRPr="00994E8B" w:rsidRDefault="00A52C51" w:rsidP="004803C8">
            <w:pPr>
              <w:pStyle w:val="TableText"/>
            </w:pPr>
            <w:r w:rsidRPr="00994E8B">
              <w:t xml:space="preserve">Registration and pre-application documentation due by </w:t>
            </w:r>
            <w:r w:rsidR="003000C1" w:rsidRPr="00994E8B">
              <w:t>1 May 2023</w:t>
            </w:r>
            <w:r w:rsidRPr="00994E8B">
              <w:t xml:space="preserve"> (6 weeks after opening)</w:t>
            </w:r>
          </w:p>
        </w:tc>
      </w:tr>
      <w:tr w:rsidR="00AD3F12" w:rsidRPr="00994E8B" w14:paraId="750B63FB" w14:textId="77777777" w:rsidTr="00A31B1D">
        <w:trPr>
          <w:cantSplit/>
        </w:trPr>
        <w:tc>
          <w:tcPr>
            <w:tcW w:w="4815" w:type="dxa"/>
          </w:tcPr>
          <w:p w14:paraId="243BA971" w14:textId="77777777" w:rsidR="00AD3F12" w:rsidRPr="00994E8B" w:rsidRDefault="00AD3F12" w:rsidP="00A31B1D">
            <w:pPr>
              <w:pStyle w:val="TableText"/>
            </w:pPr>
            <w:r w:rsidRPr="00994E8B">
              <w:t>Applications close</w:t>
            </w:r>
          </w:p>
        </w:tc>
        <w:tc>
          <w:tcPr>
            <w:tcW w:w="3974" w:type="dxa"/>
          </w:tcPr>
          <w:p w14:paraId="1FE02580" w14:textId="09DA3F8E" w:rsidR="00AD3F12" w:rsidRPr="00994E8B" w:rsidRDefault="00D97031" w:rsidP="00C80A6B">
            <w:pPr>
              <w:pStyle w:val="TableText"/>
            </w:pPr>
            <w:r w:rsidRPr="00994E8B">
              <w:t>5</w:t>
            </w:r>
            <w:r w:rsidR="0031175D" w:rsidRPr="00994E8B">
              <w:t>pm AE</w:t>
            </w:r>
            <w:r w:rsidR="008F7BD2">
              <w:t>S</w:t>
            </w:r>
            <w:r w:rsidR="00AD3F12" w:rsidRPr="00994E8B">
              <w:t xml:space="preserve">T </w:t>
            </w:r>
            <w:r w:rsidR="007D2C8C" w:rsidRPr="00994E8B">
              <w:t>31</w:t>
            </w:r>
            <w:r w:rsidR="0081750E" w:rsidRPr="00994E8B">
              <w:t xml:space="preserve"> </w:t>
            </w:r>
            <w:r w:rsidR="003000C1" w:rsidRPr="00994E8B">
              <w:t>May</w:t>
            </w:r>
            <w:r w:rsidR="0081750E" w:rsidRPr="00994E8B">
              <w:t xml:space="preserve"> 2023</w:t>
            </w:r>
          </w:p>
        </w:tc>
      </w:tr>
      <w:tr w:rsidR="00AD3F12" w:rsidRPr="00994E8B" w14:paraId="00F52863" w14:textId="77777777" w:rsidTr="00157292">
        <w:trPr>
          <w:cantSplit/>
        </w:trPr>
        <w:tc>
          <w:tcPr>
            <w:tcW w:w="4815" w:type="dxa"/>
          </w:tcPr>
          <w:p w14:paraId="51079522" w14:textId="2C5FA719" w:rsidR="00AD3F12" w:rsidRPr="00994E8B" w:rsidRDefault="00AD3F12" w:rsidP="00A31B1D">
            <w:pPr>
              <w:pStyle w:val="TableText"/>
            </w:pPr>
            <w:r w:rsidRPr="00994E8B">
              <w:t xml:space="preserve">Announcement on </w:t>
            </w:r>
            <w:r w:rsidR="00325A01" w:rsidRPr="00994E8B">
              <w:t>Successful</w:t>
            </w:r>
            <w:r w:rsidRPr="00994E8B">
              <w:t xml:space="preserve"> Applications</w:t>
            </w:r>
          </w:p>
        </w:tc>
        <w:tc>
          <w:tcPr>
            <w:tcW w:w="3974" w:type="dxa"/>
            <w:shd w:val="clear" w:color="auto" w:fill="FFFFFF" w:themeFill="background1"/>
          </w:tcPr>
          <w:p w14:paraId="2AF12A6C" w14:textId="4B1E7048" w:rsidR="00AD3F12" w:rsidRPr="00994E8B" w:rsidRDefault="00BA6EB1" w:rsidP="00C80A6B">
            <w:pPr>
              <w:pStyle w:val="TableText"/>
            </w:pPr>
            <w:r w:rsidRPr="00157292">
              <w:t>To be advised</w:t>
            </w:r>
          </w:p>
        </w:tc>
      </w:tr>
      <w:tr w:rsidR="00AD3F12" w:rsidRPr="00994E8B" w14:paraId="4B42888E" w14:textId="77777777" w:rsidTr="00A31B1D">
        <w:trPr>
          <w:cantSplit/>
        </w:trPr>
        <w:tc>
          <w:tcPr>
            <w:tcW w:w="4815" w:type="dxa"/>
          </w:tcPr>
          <w:p w14:paraId="581B0573" w14:textId="77777777" w:rsidR="00AD3F12" w:rsidRPr="00994E8B" w:rsidRDefault="00AD3F12" w:rsidP="00A31B1D">
            <w:pPr>
              <w:pStyle w:val="TableText"/>
            </w:pPr>
            <w:r w:rsidRPr="00994E8B">
              <w:t>Commencement date of Grant Activity</w:t>
            </w:r>
          </w:p>
        </w:tc>
        <w:tc>
          <w:tcPr>
            <w:tcW w:w="3974" w:type="dxa"/>
          </w:tcPr>
          <w:p w14:paraId="1FAD026B" w14:textId="7A5C23FC" w:rsidR="00AD3F12" w:rsidRPr="00994E8B" w:rsidRDefault="003000C1" w:rsidP="00C80A6B">
            <w:pPr>
              <w:pStyle w:val="TableText"/>
            </w:pPr>
            <w:r w:rsidRPr="00994E8B">
              <w:t>On Execution of Grant Agreement</w:t>
            </w:r>
          </w:p>
        </w:tc>
      </w:tr>
      <w:tr w:rsidR="00AD3F12" w:rsidRPr="00994E8B" w14:paraId="13BA349D" w14:textId="77777777" w:rsidTr="00A31B1D">
        <w:trPr>
          <w:cantSplit/>
        </w:trPr>
        <w:tc>
          <w:tcPr>
            <w:tcW w:w="4815" w:type="dxa"/>
          </w:tcPr>
          <w:p w14:paraId="527D8694" w14:textId="77777777" w:rsidR="00AD3F12" w:rsidRPr="00994E8B" w:rsidRDefault="00AD3F12" w:rsidP="00A31B1D">
            <w:pPr>
              <w:pStyle w:val="TableText"/>
            </w:pPr>
            <w:r w:rsidRPr="00994E8B">
              <w:t>End date of Grant Activity</w:t>
            </w:r>
          </w:p>
        </w:tc>
        <w:tc>
          <w:tcPr>
            <w:tcW w:w="3974" w:type="dxa"/>
          </w:tcPr>
          <w:p w14:paraId="34A0B12F" w14:textId="77777777" w:rsidR="00AD3F12" w:rsidRPr="00994E8B" w:rsidRDefault="0081750E" w:rsidP="001155E4">
            <w:pPr>
              <w:pStyle w:val="TableText"/>
            </w:pPr>
            <w:r w:rsidRPr="00994E8B">
              <w:t>30 June, 202</w:t>
            </w:r>
            <w:r w:rsidR="00010D38" w:rsidRPr="00994E8B">
              <w:t>6</w:t>
            </w:r>
          </w:p>
        </w:tc>
      </w:tr>
      <w:tr w:rsidR="00AD3F12" w:rsidRPr="00994E8B" w14:paraId="364A7E06" w14:textId="77777777" w:rsidTr="00A31B1D">
        <w:trPr>
          <w:cantSplit/>
        </w:trPr>
        <w:tc>
          <w:tcPr>
            <w:tcW w:w="4815" w:type="dxa"/>
          </w:tcPr>
          <w:p w14:paraId="69812B06" w14:textId="77777777" w:rsidR="00AD3F12" w:rsidRPr="00994E8B" w:rsidRDefault="00AD3F12" w:rsidP="00A31B1D">
            <w:pPr>
              <w:pStyle w:val="TableText"/>
            </w:pPr>
            <w:r w:rsidRPr="00994E8B">
              <w:t>End date of Asset Operational Period</w:t>
            </w:r>
          </w:p>
        </w:tc>
        <w:tc>
          <w:tcPr>
            <w:tcW w:w="3974" w:type="dxa"/>
          </w:tcPr>
          <w:p w14:paraId="42684C78" w14:textId="67F6A8B3" w:rsidR="00AD3F12" w:rsidRPr="00994E8B" w:rsidRDefault="00D10AD4" w:rsidP="004A759F">
            <w:pPr>
              <w:pStyle w:val="TableText"/>
            </w:pPr>
            <w:r w:rsidRPr="00994E8B">
              <w:t>As defined at section 2.2.3</w:t>
            </w:r>
            <w:r w:rsidR="001C2044" w:rsidRPr="00994E8B">
              <w:t xml:space="preserve"> of these Guidelines</w:t>
            </w:r>
          </w:p>
        </w:tc>
      </w:tr>
    </w:tbl>
    <w:p w14:paraId="62D16B44" w14:textId="77777777" w:rsidR="007C52C1" w:rsidRPr="00994E8B" w:rsidRDefault="007C52C1" w:rsidP="0014541A">
      <w:pPr>
        <w:pStyle w:val="Heading3"/>
      </w:pPr>
      <w:bookmarkStart w:id="322" w:name="_Ref110594605"/>
      <w:bookmarkStart w:id="323" w:name="_Toc113442188"/>
      <w:bookmarkStart w:id="324" w:name="_Toc113357225"/>
      <w:bookmarkStart w:id="325" w:name="_Toc118455727"/>
      <w:bookmarkStart w:id="326" w:name="_Toc129956308"/>
      <w:r w:rsidRPr="00994E8B">
        <w:t>Applicant registration</w:t>
      </w:r>
      <w:bookmarkEnd w:id="322"/>
      <w:bookmarkEnd w:id="323"/>
      <w:bookmarkEnd w:id="324"/>
      <w:bookmarkEnd w:id="325"/>
      <w:r w:rsidRPr="00994E8B">
        <w:t xml:space="preserve"> (</w:t>
      </w:r>
      <w:r w:rsidR="007009DE" w:rsidRPr="00994E8B">
        <w:t>Mobile Black Spot Solution</w:t>
      </w:r>
      <w:r w:rsidRPr="00994E8B">
        <w:t>s only)</w:t>
      </w:r>
      <w:bookmarkEnd w:id="326"/>
    </w:p>
    <w:p w14:paraId="170D0DA9" w14:textId="01092B5F" w:rsidR="007C52C1" w:rsidRPr="00994E8B" w:rsidRDefault="007C52C1" w:rsidP="007C52C1">
      <w:bookmarkStart w:id="327" w:name="_Ref109305581"/>
      <w:r w:rsidRPr="00994E8B">
        <w:t xml:space="preserve">Potential applicants who intend to propose </w:t>
      </w:r>
      <w:r w:rsidR="007009DE" w:rsidRPr="00994E8B">
        <w:rPr>
          <w:b/>
        </w:rPr>
        <w:t>Mobile Black Spot Solution</w:t>
      </w:r>
      <w:r w:rsidRPr="00994E8B">
        <w:rPr>
          <w:b/>
        </w:rPr>
        <w:t>s</w:t>
      </w:r>
      <w:r w:rsidRPr="00994E8B">
        <w:t xml:space="preserve"> must register their interest with the </w:t>
      </w:r>
      <w:r w:rsidR="00B5086D" w:rsidRPr="00994E8B">
        <w:t>D</w:t>
      </w:r>
      <w:r w:rsidRPr="00994E8B">
        <w:t>epartment and sign and provide a Non</w:t>
      </w:r>
      <w:r w:rsidRPr="00994E8B">
        <w:noBreakHyphen/>
        <w:t xml:space="preserve">Disclosure Agreement prior to being granted access to the </w:t>
      </w:r>
      <w:r w:rsidR="00622786" w:rsidRPr="00994E8B">
        <w:t xml:space="preserve">confidential </w:t>
      </w:r>
      <w:r w:rsidRPr="00994E8B">
        <w:t>Program documentation.</w:t>
      </w:r>
      <w:bookmarkEnd w:id="327"/>
    </w:p>
    <w:p w14:paraId="6AD1CCD5" w14:textId="77777777" w:rsidR="007C52C1" w:rsidRPr="00994E8B" w:rsidRDefault="007C52C1" w:rsidP="002E4AD3">
      <w:pPr>
        <w:pStyle w:val="Heading3"/>
      </w:pPr>
      <w:bookmarkStart w:id="328" w:name="_Ref109305688"/>
      <w:bookmarkStart w:id="329" w:name="_Toc113442189"/>
      <w:bookmarkStart w:id="330" w:name="_Toc113357226"/>
      <w:bookmarkStart w:id="331" w:name="_Toc118455728"/>
      <w:bookmarkStart w:id="332" w:name="_Toc129956309"/>
      <w:r w:rsidRPr="00994E8B">
        <w:lastRenderedPageBreak/>
        <w:t>Pre-application lodgement</w:t>
      </w:r>
      <w:bookmarkEnd w:id="328"/>
      <w:bookmarkEnd w:id="329"/>
      <w:bookmarkEnd w:id="330"/>
      <w:bookmarkEnd w:id="331"/>
      <w:r w:rsidRPr="00994E8B">
        <w:t xml:space="preserve"> (</w:t>
      </w:r>
      <w:r w:rsidR="007009DE" w:rsidRPr="00994E8B">
        <w:t>Mobile Black Spot Solution</w:t>
      </w:r>
      <w:r w:rsidRPr="00994E8B">
        <w:t>s only)</w:t>
      </w:r>
      <w:bookmarkEnd w:id="332"/>
    </w:p>
    <w:p w14:paraId="0DABE950" w14:textId="1C283FF1" w:rsidR="007C52C1" w:rsidRPr="00994E8B" w:rsidRDefault="007C52C1" w:rsidP="007C52C1">
      <w:bookmarkStart w:id="333" w:name="_Ref109304806"/>
      <w:r w:rsidRPr="00994E8B">
        <w:t xml:space="preserve">Upon registering as a potential applicant, </w:t>
      </w:r>
      <w:r w:rsidRPr="00994E8B">
        <w:rPr>
          <w:b/>
        </w:rPr>
        <w:t>MNOs</w:t>
      </w:r>
      <w:r w:rsidRPr="00994E8B">
        <w:t xml:space="preserve"> who intend to submit applications for funding, or are partnering with potential applicants, for a </w:t>
      </w:r>
      <w:r w:rsidR="007009DE" w:rsidRPr="00994E8B">
        <w:rPr>
          <w:b/>
        </w:rPr>
        <w:t>Mobile Black Spot Solution</w:t>
      </w:r>
      <w:r w:rsidRPr="00994E8B">
        <w:t xml:space="preserve"> must first submit their existing handheld 4G coverage information, incorporating the coverage from base stations funded under the Mobile Black Spot Program, the Peri-Urban Mobile Program and the Regional Connectivity Program and any base station funded under a State or Territory program, regardless of the stage of construction.</w:t>
      </w:r>
      <w:bookmarkEnd w:id="333"/>
    </w:p>
    <w:p w14:paraId="17226520" w14:textId="7CB2CCD7" w:rsidR="007C52C1" w:rsidRPr="00994E8B" w:rsidRDefault="007C52C1" w:rsidP="007C52C1">
      <w:r w:rsidRPr="00994E8B">
        <w:rPr>
          <w:b/>
        </w:rPr>
        <w:t xml:space="preserve">Existing </w:t>
      </w:r>
      <w:r w:rsidR="00934B55" w:rsidRPr="00994E8B">
        <w:rPr>
          <w:b/>
        </w:rPr>
        <w:t>H</w:t>
      </w:r>
      <w:r w:rsidRPr="00994E8B">
        <w:rPr>
          <w:b/>
        </w:rPr>
        <w:t xml:space="preserve">andheld </w:t>
      </w:r>
      <w:r w:rsidR="00934B55" w:rsidRPr="00994E8B">
        <w:rPr>
          <w:b/>
        </w:rPr>
        <w:t>C</w:t>
      </w:r>
      <w:r w:rsidRPr="00994E8B">
        <w:rPr>
          <w:b/>
        </w:rPr>
        <w:t>overage</w:t>
      </w:r>
      <w:r w:rsidRPr="00994E8B">
        <w:t xml:space="preserve"> information required above must be submitted to the </w:t>
      </w:r>
      <w:r w:rsidR="00B5086D" w:rsidRPr="00994E8B">
        <w:t>D</w:t>
      </w:r>
      <w:r w:rsidRPr="00994E8B">
        <w:t xml:space="preserve">epartment by no later than 5pm (Canberra time), </w:t>
      </w:r>
      <w:r w:rsidR="00D74E9D" w:rsidRPr="00994E8B">
        <w:t>1 May 2023</w:t>
      </w:r>
      <w:r w:rsidRPr="00994E8B">
        <w:t xml:space="preserve">. The </w:t>
      </w:r>
      <w:r w:rsidR="00B5086D" w:rsidRPr="00994E8B">
        <w:t>D</w:t>
      </w:r>
      <w:r w:rsidRPr="00994E8B">
        <w:t xml:space="preserve">epartment may, at its absolute discretion, accept mobile coverage information submitted by </w:t>
      </w:r>
      <w:r w:rsidRPr="00994E8B">
        <w:rPr>
          <w:b/>
        </w:rPr>
        <w:t>MNOs</w:t>
      </w:r>
      <w:r w:rsidRPr="00994E8B">
        <w:t xml:space="preserve"> after this date.</w:t>
      </w:r>
    </w:p>
    <w:p w14:paraId="1D8E45E8" w14:textId="77777777" w:rsidR="007C52C1" w:rsidRPr="00994E8B" w:rsidRDefault="007C52C1" w:rsidP="007C52C1">
      <w:r w:rsidRPr="00994E8B">
        <w:t xml:space="preserve">The </w:t>
      </w:r>
      <w:r w:rsidR="00934B55" w:rsidRPr="00994E8B">
        <w:rPr>
          <w:b/>
        </w:rPr>
        <w:t>E</w:t>
      </w:r>
      <w:r w:rsidRPr="00994E8B">
        <w:rPr>
          <w:b/>
        </w:rPr>
        <w:t xml:space="preserve">xisting </w:t>
      </w:r>
      <w:r w:rsidR="00934B55" w:rsidRPr="00994E8B">
        <w:rPr>
          <w:b/>
        </w:rPr>
        <w:t>H</w:t>
      </w:r>
      <w:r w:rsidRPr="00994E8B">
        <w:rPr>
          <w:b/>
        </w:rPr>
        <w:t xml:space="preserve">andheld </w:t>
      </w:r>
      <w:r w:rsidR="00934B55" w:rsidRPr="00994E8B">
        <w:rPr>
          <w:b/>
        </w:rPr>
        <w:t>C</w:t>
      </w:r>
      <w:r w:rsidRPr="00994E8B">
        <w:rPr>
          <w:b/>
        </w:rPr>
        <w:t>overage</w:t>
      </w:r>
      <w:r w:rsidRPr="00994E8B">
        <w:t xml:space="preserve"> information required in accordance with this section must be supplied as two separate layers as follows:</w:t>
      </w:r>
    </w:p>
    <w:p w14:paraId="761CA17B" w14:textId="77777777" w:rsidR="007C52C1" w:rsidRPr="00994E8B" w:rsidRDefault="007C52C1" w:rsidP="007C52C1">
      <w:pPr>
        <w:pStyle w:val="ListLegal3"/>
        <w:numPr>
          <w:ilvl w:val="0"/>
          <w:numId w:val="31"/>
        </w:numPr>
        <w:rPr>
          <w:rFonts w:ascii="Arial" w:eastAsia="Times New Roman" w:hAnsi="Arial" w:cs="Times New Roman"/>
          <w:color w:val="auto"/>
          <w:kern w:val="0"/>
          <w:lang w:val="en-AU"/>
        </w:rPr>
      </w:pPr>
      <w:r w:rsidRPr="00994E8B">
        <w:rPr>
          <w:rFonts w:ascii="Arial" w:eastAsia="Times New Roman" w:hAnsi="Arial" w:cs="Times New Roman"/>
          <w:color w:val="auto"/>
          <w:kern w:val="0"/>
          <w:lang w:val="en-AU"/>
        </w:rPr>
        <w:t>Handheld Coverage Maps: being a layer modelled to the Handheld Coverage levels as set out in section 2.2.1; and</w:t>
      </w:r>
    </w:p>
    <w:p w14:paraId="436BE179" w14:textId="77777777" w:rsidR="007C52C1" w:rsidRPr="00994E8B" w:rsidRDefault="007C52C1" w:rsidP="007C52C1">
      <w:pPr>
        <w:pStyle w:val="ListLegal3"/>
        <w:numPr>
          <w:ilvl w:val="0"/>
          <w:numId w:val="31"/>
        </w:numPr>
        <w:rPr>
          <w:rFonts w:ascii="Arial" w:eastAsia="Times New Roman" w:hAnsi="Arial" w:cs="Times New Roman"/>
          <w:color w:val="auto"/>
          <w:kern w:val="0"/>
          <w:lang w:val="en-AU"/>
        </w:rPr>
      </w:pPr>
      <w:r w:rsidRPr="00994E8B">
        <w:rPr>
          <w:rFonts w:ascii="Arial" w:eastAsia="Times New Roman" w:hAnsi="Arial" w:cs="Times New Roman"/>
          <w:color w:val="auto"/>
          <w:kern w:val="0"/>
          <w:lang w:val="en-AU"/>
        </w:rPr>
        <w:t xml:space="preserve">Existing Public Coverage Maps: being a </w:t>
      </w:r>
      <w:proofErr w:type="spellStart"/>
      <w:r w:rsidRPr="00994E8B">
        <w:rPr>
          <w:rFonts w:ascii="Arial" w:eastAsia="Times New Roman" w:hAnsi="Arial" w:cs="Times New Roman"/>
          <w:color w:val="auto"/>
          <w:kern w:val="0"/>
          <w:lang w:val="en-AU"/>
        </w:rPr>
        <w:t>layer</w:t>
      </w:r>
      <w:proofErr w:type="spellEnd"/>
      <w:r w:rsidRPr="00994E8B">
        <w:rPr>
          <w:rFonts w:ascii="Arial" w:eastAsia="Times New Roman" w:hAnsi="Arial" w:cs="Times New Roman"/>
          <w:color w:val="auto"/>
          <w:kern w:val="0"/>
          <w:lang w:val="en-AU"/>
        </w:rPr>
        <w:t xml:space="preserve"> representing the predictive handheld coverage modelling standards which underpin the publicly available coverage maps on the </w:t>
      </w:r>
      <w:r w:rsidRPr="00994E8B">
        <w:rPr>
          <w:rFonts w:ascii="Arial" w:eastAsia="Times New Roman" w:hAnsi="Arial" w:cs="Times New Roman"/>
          <w:b/>
          <w:color w:val="auto"/>
          <w:kern w:val="0"/>
          <w:lang w:val="en-AU"/>
        </w:rPr>
        <w:t>MNO’s</w:t>
      </w:r>
      <w:r w:rsidRPr="00994E8B">
        <w:rPr>
          <w:rFonts w:ascii="Arial" w:eastAsia="Times New Roman" w:hAnsi="Arial" w:cs="Times New Roman"/>
          <w:color w:val="auto"/>
          <w:kern w:val="0"/>
          <w:lang w:val="en-AU"/>
        </w:rPr>
        <w:t xml:space="preserve"> website.</w:t>
      </w:r>
    </w:p>
    <w:p w14:paraId="1CB5A71E" w14:textId="77777777" w:rsidR="007C52C1" w:rsidRPr="00994E8B" w:rsidRDefault="007C52C1" w:rsidP="007C52C1">
      <w:r w:rsidRPr="00994E8B">
        <w:t xml:space="preserve">For avoidance of doubt, the </w:t>
      </w:r>
      <w:r w:rsidRPr="00994E8B">
        <w:rPr>
          <w:b/>
        </w:rPr>
        <w:t>Existing Public Coverage Maps</w:t>
      </w:r>
      <w:r w:rsidRPr="00994E8B">
        <w:t xml:space="preserve"> are requested for information purposes only. Assessment will only consider </w:t>
      </w:r>
      <w:r w:rsidRPr="00994E8B">
        <w:rPr>
          <w:b/>
        </w:rPr>
        <w:t>the New Handheld Coverage</w:t>
      </w:r>
      <w:r w:rsidRPr="00994E8B">
        <w:t xml:space="preserve"> Maps (i.e. a “like-for-like” comparison).</w:t>
      </w:r>
    </w:p>
    <w:p w14:paraId="7FD8DA4C" w14:textId="54FE9157" w:rsidR="007C52C1" w:rsidRPr="00994E8B" w:rsidRDefault="007C52C1" w:rsidP="0059397C">
      <w:r w:rsidRPr="00994E8B">
        <w:t>Pre-application information can be submitted by any of the methods outlined at section </w:t>
      </w:r>
      <w:r w:rsidR="008753C6" w:rsidRPr="00994E8B">
        <w:fldChar w:fldCharType="begin"/>
      </w:r>
      <w:r w:rsidR="008753C6" w:rsidRPr="00994E8B">
        <w:instrText xml:space="preserve"> REF _Ref120784947 \r \h </w:instrText>
      </w:r>
      <w:r w:rsidR="00994E8B" w:rsidRPr="00994E8B">
        <w:instrText xml:space="preserve"> \* MERGEFORMAT </w:instrText>
      </w:r>
      <w:r w:rsidR="008753C6" w:rsidRPr="00994E8B">
        <w:fldChar w:fldCharType="separate"/>
      </w:r>
      <w:r w:rsidR="00075357" w:rsidRPr="00994E8B">
        <w:t>7.4</w:t>
      </w:r>
      <w:r w:rsidR="008753C6" w:rsidRPr="00994E8B">
        <w:fldChar w:fldCharType="end"/>
      </w:r>
      <w:r w:rsidRPr="00994E8B">
        <w:t>.</w:t>
      </w:r>
    </w:p>
    <w:p w14:paraId="3D3BA2DA" w14:textId="77777777" w:rsidR="008753C6" w:rsidRPr="00994E8B" w:rsidRDefault="008753C6" w:rsidP="002E4AD3">
      <w:pPr>
        <w:pStyle w:val="Heading3"/>
      </w:pPr>
      <w:bookmarkStart w:id="334" w:name="_Toc129956310"/>
      <w:r w:rsidRPr="00994E8B">
        <w:t>Submit initial proposal</w:t>
      </w:r>
      <w:r w:rsidR="00654B98" w:rsidRPr="00994E8B">
        <w:t>s</w:t>
      </w:r>
      <w:r w:rsidRPr="00994E8B">
        <w:t xml:space="preserve"> for </w:t>
      </w:r>
      <w:r w:rsidR="007009DE" w:rsidRPr="00994E8B">
        <w:t>Mobile Black Spot Solution</w:t>
      </w:r>
      <w:r w:rsidRPr="00994E8B">
        <w:t>s</w:t>
      </w:r>
      <w:bookmarkEnd w:id="334"/>
    </w:p>
    <w:p w14:paraId="33E347CF" w14:textId="726950EF" w:rsidR="00A52C51" w:rsidRPr="00994E8B" w:rsidRDefault="000E47A9" w:rsidP="000E47A9">
      <w:r w:rsidRPr="00994E8B">
        <w:t>A</w:t>
      </w:r>
      <w:r w:rsidR="00F86D70" w:rsidRPr="00994E8B">
        <w:t xml:space="preserve">pplicants </w:t>
      </w:r>
      <w:r w:rsidRPr="00994E8B">
        <w:t xml:space="preserve">applying for </w:t>
      </w:r>
      <w:r w:rsidR="007009DE" w:rsidRPr="00994E8B">
        <w:rPr>
          <w:b/>
        </w:rPr>
        <w:t>Mobile Black Spot Solution</w:t>
      </w:r>
      <w:r w:rsidRPr="00994E8B">
        <w:rPr>
          <w:b/>
        </w:rPr>
        <w:t>s</w:t>
      </w:r>
      <w:r w:rsidRPr="00994E8B">
        <w:t xml:space="preserve"> should</w:t>
      </w:r>
      <w:r w:rsidR="00F86D70" w:rsidRPr="00994E8B">
        <w:t xml:space="preserve"> lodge </w:t>
      </w:r>
      <w:r w:rsidRPr="00994E8B">
        <w:t xml:space="preserve">any </w:t>
      </w:r>
      <w:r w:rsidR="00F86D70" w:rsidRPr="00994E8B">
        <w:t xml:space="preserve">initial proposal locations where they are </w:t>
      </w:r>
      <w:r w:rsidRPr="00994E8B">
        <w:t xml:space="preserve">interested in partnering with another </w:t>
      </w:r>
      <w:r w:rsidRPr="00994E8B">
        <w:rPr>
          <w:b/>
        </w:rPr>
        <w:t>MNO</w:t>
      </w:r>
      <w:r w:rsidRPr="00994E8B">
        <w:t xml:space="preserve"> on a site </w:t>
      </w:r>
      <w:r w:rsidR="00F86D70" w:rsidRPr="00994E8B">
        <w:t xml:space="preserve">under the Program to the Department by no later than 5pm (Canberra time), </w:t>
      </w:r>
      <w:r w:rsidR="00D74E9D" w:rsidRPr="00994E8B">
        <w:t>1 May</w:t>
      </w:r>
      <w:r w:rsidR="00F86D70" w:rsidRPr="00994E8B">
        <w:t xml:space="preserve"> 202</w:t>
      </w:r>
      <w:r w:rsidR="00984B96" w:rsidRPr="00994E8B">
        <w:t>3</w:t>
      </w:r>
      <w:r w:rsidR="00F86D70" w:rsidRPr="00994E8B">
        <w:t>.</w:t>
      </w:r>
    </w:p>
    <w:p w14:paraId="31469609" w14:textId="4F29BC1E" w:rsidR="00F86D70" w:rsidRPr="00994E8B" w:rsidRDefault="00F86D70" w:rsidP="00B25C3E">
      <w:r w:rsidRPr="00994E8B">
        <w:t xml:space="preserve">The registered applicants </w:t>
      </w:r>
      <w:r w:rsidR="000E47A9" w:rsidRPr="00994E8B">
        <w:t>should</w:t>
      </w:r>
      <w:r w:rsidRPr="00994E8B">
        <w:t xml:space="preserve"> provide this information using the “Initial Proposals” template provided in the Application Pack.</w:t>
      </w:r>
    </w:p>
    <w:p w14:paraId="7BF695D5" w14:textId="0F22B440" w:rsidR="00F86D70" w:rsidRPr="00994E8B" w:rsidRDefault="00F86D70" w:rsidP="000E47A9">
      <w:r w:rsidRPr="00994E8B">
        <w:t>The Department will collate the lists of initial proposal locations and provide a consolidated list to all registered applicants. The consolidated list will include the following information for each initial proposal:</w:t>
      </w:r>
    </w:p>
    <w:p w14:paraId="3DDEFFEB" w14:textId="77777777" w:rsidR="00F86D70" w:rsidRPr="00994E8B" w:rsidRDefault="00F86D70" w:rsidP="000E47A9">
      <w:pPr>
        <w:pStyle w:val="ListParagraph"/>
        <w:numPr>
          <w:ilvl w:val="0"/>
          <w:numId w:val="32"/>
        </w:numPr>
      </w:pPr>
      <w:proofErr w:type="gramStart"/>
      <w:r w:rsidRPr="00994E8B">
        <w:t>an</w:t>
      </w:r>
      <w:proofErr w:type="gramEnd"/>
      <w:r w:rsidRPr="00994E8B">
        <w:t xml:space="preserve"> unique identifier;</w:t>
      </w:r>
    </w:p>
    <w:p w14:paraId="2F0CB7CF" w14:textId="77777777" w:rsidR="00F86D70" w:rsidRPr="00994E8B" w:rsidRDefault="00F86D70" w:rsidP="000E47A9">
      <w:pPr>
        <w:pStyle w:val="ListParagraph"/>
        <w:numPr>
          <w:ilvl w:val="0"/>
          <w:numId w:val="32"/>
        </w:numPr>
      </w:pPr>
      <w:r w:rsidRPr="00994E8B">
        <w:t xml:space="preserve">the location; </w:t>
      </w:r>
    </w:p>
    <w:p w14:paraId="15F44716" w14:textId="77777777" w:rsidR="00F86D70" w:rsidRPr="00994E8B" w:rsidRDefault="00F86D70" w:rsidP="000E47A9">
      <w:pPr>
        <w:pStyle w:val="ListParagraph"/>
        <w:numPr>
          <w:ilvl w:val="0"/>
          <w:numId w:val="32"/>
        </w:numPr>
      </w:pPr>
      <w:r w:rsidRPr="00994E8B">
        <w:t>type of base stations being considered (small cell / macro); and</w:t>
      </w:r>
    </w:p>
    <w:p w14:paraId="5757C406" w14:textId="4D52D257" w:rsidR="00F86D70" w:rsidRPr="00994E8B" w:rsidRDefault="00F86D70" w:rsidP="000E47A9">
      <w:pPr>
        <w:pStyle w:val="ListParagraph"/>
        <w:numPr>
          <w:ilvl w:val="0"/>
          <w:numId w:val="32"/>
        </w:numPr>
      </w:pPr>
      <w:r w:rsidRPr="00994E8B">
        <w:t xml:space="preserve">the </w:t>
      </w:r>
      <w:r w:rsidR="00BB395A" w:rsidRPr="00994E8B">
        <w:t>a</w:t>
      </w:r>
      <w:r w:rsidR="005C246B" w:rsidRPr="00994E8B">
        <w:t xml:space="preserve">pplicant’s </w:t>
      </w:r>
      <w:r w:rsidRPr="00994E8B">
        <w:t>contact details.</w:t>
      </w:r>
    </w:p>
    <w:p w14:paraId="5D07FA63" w14:textId="04071A4B" w:rsidR="00A52C51" w:rsidRPr="00994E8B" w:rsidRDefault="00A52C51" w:rsidP="000E47A9">
      <w:r w:rsidRPr="00994E8B">
        <w:t xml:space="preserve">The </w:t>
      </w:r>
      <w:r w:rsidR="00B5086D" w:rsidRPr="00994E8B">
        <w:t>D</w:t>
      </w:r>
      <w:r w:rsidRPr="00994E8B">
        <w:t xml:space="preserve">epartment will also </w:t>
      </w:r>
      <w:r w:rsidR="00243AAE" w:rsidRPr="00994E8B">
        <w:t>distribute a</w:t>
      </w:r>
      <w:r w:rsidRPr="00994E8B">
        <w:t xml:space="preserve"> </w:t>
      </w:r>
      <w:r w:rsidR="00243AAE" w:rsidRPr="00994E8B">
        <w:t xml:space="preserve">contact </w:t>
      </w:r>
      <w:r w:rsidRPr="00994E8B">
        <w:t xml:space="preserve">list of </w:t>
      </w:r>
      <w:r w:rsidR="00243AAE" w:rsidRPr="00994E8B">
        <w:t>all pre-</w:t>
      </w:r>
      <w:r w:rsidRPr="00994E8B">
        <w:t xml:space="preserve">registered </w:t>
      </w:r>
      <w:r w:rsidR="00E93238" w:rsidRPr="00994E8B">
        <w:t>applicants</w:t>
      </w:r>
      <w:r w:rsidRPr="00994E8B">
        <w:t xml:space="preserve"> to </w:t>
      </w:r>
      <w:r w:rsidR="00934B55" w:rsidRPr="00994E8B">
        <w:t>facilitate</w:t>
      </w:r>
      <w:r w:rsidRPr="00994E8B">
        <w:t xml:space="preserve"> discussions regardless of whether a </w:t>
      </w:r>
      <w:r w:rsidR="00243AAE" w:rsidRPr="00994E8B">
        <w:t>pre-registered applicant has identified potential partnering locations.</w:t>
      </w:r>
    </w:p>
    <w:p w14:paraId="161D8A80" w14:textId="77777777" w:rsidR="00F86D70" w:rsidRPr="00994E8B" w:rsidRDefault="00F86D70" w:rsidP="000E47A9">
      <w:r w:rsidRPr="00994E8B">
        <w:t>Applicants and other interested parties have until closing of the application period to discuss and plan co-development and co-funding opportunities at these sites prior to finalising applications.</w:t>
      </w:r>
    </w:p>
    <w:p w14:paraId="0656FE83" w14:textId="1F8862F3" w:rsidR="00F86D70" w:rsidRPr="00994E8B" w:rsidRDefault="00F86D70" w:rsidP="000E47A9">
      <w:r w:rsidRPr="00994E8B">
        <w:t xml:space="preserve">The list of locations will be treated as Confidential Information by the registered applicants. </w:t>
      </w:r>
    </w:p>
    <w:p w14:paraId="526E88EF" w14:textId="1A46E6D0" w:rsidR="00F86D70" w:rsidRPr="00994E8B" w:rsidRDefault="00F86D70" w:rsidP="000E47A9">
      <w:r w:rsidRPr="00994E8B">
        <w:t>Initial proposal information can be submitted by any of the methods outlined at section </w:t>
      </w:r>
      <w:r w:rsidR="000E47A9" w:rsidRPr="00994E8B">
        <w:fldChar w:fldCharType="begin"/>
      </w:r>
      <w:r w:rsidR="000E47A9" w:rsidRPr="00994E8B">
        <w:instrText xml:space="preserve"> REF _Ref120784947 \r \h </w:instrText>
      </w:r>
      <w:r w:rsidR="00994E8B">
        <w:instrText xml:space="preserve"> \* MERGEFORMAT </w:instrText>
      </w:r>
      <w:r w:rsidR="000E47A9" w:rsidRPr="00994E8B">
        <w:fldChar w:fldCharType="separate"/>
      </w:r>
      <w:r w:rsidR="00075357" w:rsidRPr="00994E8B">
        <w:t>7.4</w:t>
      </w:r>
      <w:r w:rsidR="000E47A9" w:rsidRPr="00994E8B">
        <w:fldChar w:fldCharType="end"/>
      </w:r>
      <w:r w:rsidRPr="00994E8B">
        <w:t>.</w:t>
      </w:r>
    </w:p>
    <w:p w14:paraId="75880C24" w14:textId="77777777" w:rsidR="00DB695B" w:rsidRPr="00994E8B" w:rsidRDefault="00A31B1D" w:rsidP="002E4AD3">
      <w:pPr>
        <w:pStyle w:val="Heading3"/>
      </w:pPr>
      <w:bookmarkStart w:id="335" w:name="_Ref120784947"/>
      <w:bookmarkStart w:id="336" w:name="_Toc129956311"/>
      <w:r w:rsidRPr="00994E8B">
        <w:lastRenderedPageBreak/>
        <w:t>Completing and lodging an application</w:t>
      </w:r>
      <w:bookmarkEnd w:id="335"/>
      <w:bookmarkEnd w:id="336"/>
    </w:p>
    <w:p w14:paraId="7F46C0AD" w14:textId="77777777" w:rsidR="00A31B1D" w:rsidRPr="00994E8B" w:rsidRDefault="00A31B1D" w:rsidP="00A31B1D">
      <w:r w:rsidRPr="00994E8B">
        <w:t>Your application must provide:</w:t>
      </w:r>
    </w:p>
    <w:p w14:paraId="3B90DF0D" w14:textId="419D4731" w:rsidR="000649AC" w:rsidRPr="00994E8B" w:rsidRDefault="000649AC" w:rsidP="000649AC">
      <w:pPr>
        <w:pStyle w:val="ListParagraph"/>
        <w:numPr>
          <w:ilvl w:val="0"/>
          <w:numId w:val="32"/>
        </w:numPr>
      </w:pPr>
      <w:r w:rsidRPr="00994E8B">
        <w:t xml:space="preserve">An outline of the key technical components of the Proposed Solution, including any required supporting infrastructure and services, (including appropriate diagrams) and detail how the overall ‘system’ will deliver the proposed services to the stated quality.  </w:t>
      </w:r>
    </w:p>
    <w:p w14:paraId="585AB9F0" w14:textId="7D5C34A2" w:rsidR="00A31B1D" w:rsidRPr="00994E8B" w:rsidRDefault="00A31B1D" w:rsidP="00E2664E">
      <w:pPr>
        <w:pStyle w:val="ListParagraph"/>
        <w:numPr>
          <w:ilvl w:val="0"/>
          <w:numId w:val="32"/>
        </w:numPr>
      </w:pPr>
      <w:r w:rsidRPr="00994E8B">
        <w:t xml:space="preserve">The location of the </w:t>
      </w:r>
      <w:r w:rsidR="00263097" w:rsidRPr="00994E8B">
        <w:t xml:space="preserve">Proposed Solution </w:t>
      </w:r>
      <w:r w:rsidRPr="00994E8B">
        <w:t>and all Assets.</w:t>
      </w:r>
    </w:p>
    <w:p w14:paraId="2B9C073A" w14:textId="77777777" w:rsidR="004A52AA" w:rsidRPr="00994E8B" w:rsidRDefault="0081750E" w:rsidP="00E2664E">
      <w:pPr>
        <w:pStyle w:val="ListParagraph"/>
        <w:numPr>
          <w:ilvl w:val="0"/>
          <w:numId w:val="32"/>
        </w:numPr>
      </w:pPr>
      <w:r w:rsidRPr="00994E8B">
        <w:t>M</w:t>
      </w:r>
      <w:r w:rsidR="004A52AA" w:rsidRPr="00994E8B">
        <w:t>apping data, where applicable, outlining the predictive coverage for the Proposed Solution.</w:t>
      </w:r>
    </w:p>
    <w:p w14:paraId="1BCE0A26" w14:textId="77777777" w:rsidR="00A31B1D" w:rsidRPr="00994E8B" w:rsidRDefault="00A31B1D" w:rsidP="00E2664E">
      <w:pPr>
        <w:pStyle w:val="ListParagraph"/>
        <w:numPr>
          <w:ilvl w:val="0"/>
          <w:numId w:val="32"/>
        </w:numPr>
      </w:pPr>
      <w:r w:rsidRPr="00994E8B">
        <w:t>The total estimated capital cost of construction (GST inclusive).</w:t>
      </w:r>
    </w:p>
    <w:p w14:paraId="4A68119F" w14:textId="4E48C47E" w:rsidR="00A31B1D" w:rsidRPr="00994E8B" w:rsidRDefault="00A31B1D" w:rsidP="00E2664E">
      <w:pPr>
        <w:pStyle w:val="ListParagraph"/>
        <w:numPr>
          <w:ilvl w:val="0"/>
          <w:numId w:val="32"/>
        </w:numPr>
      </w:pPr>
      <w:r w:rsidRPr="00994E8B">
        <w:t>The amount of co-contribution (GST inclusive) being provided by the applicant.</w:t>
      </w:r>
    </w:p>
    <w:p w14:paraId="1578D4FC" w14:textId="77777777" w:rsidR="00A31B1D" w:rsidRPr="00994E8B" w:rsidRDefault="00A31B1D" w:rsidP="00E2664E">
      <w:pPr>
        <w:pStyle w:val="ListParagraph"/>
        <w:numPr>
          <w:ilvl w:val="0"/>
          <w:numId w:val="32"/>
        </w:numPr>
      </w:pPr>
      <w:r w:rsidRPr="00994E8B">
        <w:t>The amount of Commonwealth co-contribution sought under the Proposed Solution (GST Inclusive).</w:t>
      </w:r>
    </w:p>
    <w:p w14:paraId="578F8151" w14:textId="555C33AB" w:rsidR="00A31B1D" w:rsidRPr="00994E8B" w:rsidRDefault="00A31B1D" w:rsidP="00E2664E">
      <w:pPr>
        <w:pStyle w:val="ListParagraph"/>
        <w:numPr>
          <w:ilvl w:val="0"/>
          <w:numId w:val="32"/>
        </w:numPr>
      </w:pPr>
      <w:r w:rsidRPr="00994E8B">
        <w:t>The amount of any co-contributions (GST Inclusive) to be received from</w:t>
      </w:r>
      <w:r w:rsidR="004A52AA" w:rsidRPr="00994E8B">
        <w:t xml:space="preserve"> all</w:t>
      </w:r>
      <w:r w:rsidRPr="00994E8B">
        <w:t xml:space="preserve"> third parties, including but not limited to state, territory or local governments, local communities, or any combination of these, and any specific requirements or conditions tied to the co-contributions.</w:t>
      </w:r>
    </w:p>
    <w:p w14:paraId="3760DBFD" w14:textId="77777777" w:rsidR="00A31B1D" w:rsidRPr="00994E8B" w:rsidRDefault="00A31B1D" w:rsidP="00E2664E">
      <w:pPr>
        <w:pStyle w:val="ListParagraph"/>
        <w:numPr>
          <w:ilvl w:val="0"/>
          <w:numId w:val="32"/>
        </w:numPr>
      </w:pPr>
      <w:r w:rsidRPr="00994E8B">
        <w:t>Evidence of any co-contributions to be received from</w:t>
      </w:r>
      <w:r w:rsidR="004A52AA" w:rsidRPr="00994E8B">
        <w:t xml:space="preserve"> all</w:t>
      </w:r>
      <w:r w:rsidRPr="00994E8B">
        <w:t xml:space="preserve"> third parties. For example, a letter of support from a suitably senior official from the relevant third party, which outlines the amount of co-contributions to be received and any conditions attached to the co-contributions. The </w:t>
      </w:r>
      <w:r w:rsidR="00934B55" w:rsidRPr="00994E8B">
        <w:t>d</w:t>
      </w:r>
      <w:r w:rsidRPr="00994E8B">
        <w:t>epartment may ask for additional evidence of co-contributions if it considers the evidence you provide is unsatisfactory.</w:t>
      </w:r>
    </w:p>
    <w:p w14:paraId="19E45167" w14:textId="56150208" w:rsidR="00A31B1D" w:rsidRPr="00994E8B" w:rsidRDefault="00A31B1D" w:rsidP="00E2664E">
      <w:pPr>
        <w:pStyle w:val="ListParagraph"/>
        <w:numPr>
          <w:ilvl w:val="0"/>
          <w:numId w:val="32"/>
        </w:numPr>
      </w:pPr>
      <w:r w:rsidRPr="00994E8B">
        <w:t xml:space="preserve">Evidence of the extent to which the </w:t>
      </w:r>
      <w:r w:rsidR="00263097" w:rsidRPr="00994E8B">
        <w:t>Proposed Solution</w:t>
      </w:r>
      <w:r w:rsidRPr="00994E8B">
        <w:t xml:space="preserve"> meets the </w:t>
      </w:r>
      <w:r w:rsidR="00232862" w:rsidRPr="00994E8B">
        <w:t xml:space="preserve">Assessment </w:t>
      </w:r>
      <w:r w:rsidRPr="00994E8B">
        <w:t>Criteria.</w:t>
      </w:r>
    </w:p>
    <w:p w14:paraId="382D14C7" w14:textId="3688B68B" w:rsidR="000649AC" w:rsidRPr="00994E8B" w:rsidRDefault="000649AC" w:rsidP="000649AC">
      <w:pPr>
        <w:pStyle w:val="ListParagraph"/>
        <w:numPr>
          <w:ilvl w:val="0"/>
          <w:numId w:val="32"/>
        </w:numPr>
      </w:pPr>
      <w:r w:rsidRPr="00994E8B">
        <w:t xml:space="preserve">Evidence that your Proposed Solution provides a demonstrable improvement in service quality, coverage, reliability and/or speed over existing telecommunications services in the </w:t>
      </w:r>
      <w:r w:rsidR="00263097" w:rsidRPr="00994E8B">
        <w:t xml:space="preserve">Proposed Solution </w:t>
      </w:r>
      <w:r w:rsidRPr="00994E8B">
        <w:t>area.</w:t>
      </w:r>
    </w:p>
    <w:p w14:paraId="6567EC34" w14:textId="58A6E2CC" w:rsidR="00A31B1D" w:rsidRPr="00994E8B" w:rsidRDefault="00A31B1D" w:rsidP="00E2664E">
      <w:pPr>
        <w:pStyle w:val="ListParagraph"/>
        <w:numPr>
          <w:ilvl w:val="0"/>
          <w:numId w:val="32"/>
        </w:numPr>
      </w:pPr>
      <w:r w:rsidRPr="00994E8B">
        <w:t>Whether the Proposed Solution is dependent on the construction of one or more of the applicants' other Proposed Solutions, including explaining the specific dependencies.</w:t>
      </w:r>
    </w:p>
    <w:p w14:paraId="777DD397" w14:textId="77777777" w:rsidR="00A31B1D" w:rsidRPr="00994E8B" w:rsidRDefault="00A31B1D" w:rsidP="00A31B1D">
      <w:r w:rsidRPr="00994E8B">
        <w:t>You must agree that the predictive coverage mapping data can be used by the Department to prepare promotional material for the Program or for policy development and advice as needed.</w:t>
      </w:r>
    </w:p>
    <w:p w14:paraId="7A542016" w14:textId="2B591E37" w:rsidR="00011331" w:rsidRPr="00994E8B" w:rsidRDefault="00CE43D4" w:rsidP="00011331">
      <w:r w:rsidRPr="00994E8B">
        <w:t>A</w:t>
      </w:r>
      <w:r w:rsidR="00A31B1D" w:rsidRPr="00994E8B">
        <w:t xml:space="preserve">pplicants must indicate their ability to comply with the </w:t>
      </w:r>
      <w:r w:rsidR="009E438A" w:rsidRPr="00994E8B">
        <w:t xml:space="preserve">applicable </w:t>
      </w:r>
      <w:r w:rsidR="00A31B1D" w:rsidRPr="00994E8B">
        <w:t>sample Grant Agreement</w:t>
      </w:r>
      <w:r w:rsidR="00011331" w:rsidRPr="00994E8B">
        <w:t>(s) for the relevant stream(s)</w:t>
      </w:r>
      <w:r w:rsidR="00A31B1D" w:rsidRPr="00994E8B">
        <w:t xml:space="preserve"> (</w:t>
      </w:r>
      <w:r w:rsidR="00D74E9D" w:rsidRPr="00994E8B">
        <w:t xml:space="preserve">to be made </w:t>
      </w:r>
      <w:r w:rsidR="00A31B1D" w:rsidRPr="00994E8B">
        <w:t xml:space="preserve">available on </w:t>
      </w:r>
      <w:proofErr w:type="spellStart"/>
      <w:r w:rsidR="00A31B1D" w:rsidRPr="00994E8B">
        <w:t>GrantConnect</w:t>
      </w:r>
      <w:proofErr w:type="spellEnd"/>
      <w:r w:rsidR="00D74E9D" w:rsidRPr="00994E8B">
        <w:t xml:space="preserve"> shortly after Program opening</w:t>
      </w:r>
      <w:r w:rsidR="00A31B1D" w:rsidRPr="00994E8B">
        <w:t xml:space="preserve">) at the time of submitting their applications. </w:t>
      </w:r>
      <w:r w:rsidR="00011331" w:rsidRPr="00994E8B">
        <w:t>There will be separate sample Grant Agreements for Regional Connectivity Solutions and Mobile Black Spot Solutions. Where the terms of the relevant sample Grant Agreement(s) are not accepted in full, applicants are required to submit a revision-marked version of the relevant sample Grant Agreement(s) reflecting their proposed drafting, their position, and their reasons for requesting the change.</w:t>
      </w:r>
    </w:p>
    <w:p w14:paraId="312B35B4" w14:textId="7803D5F1" w:rsidR="00A31B1D" w:rsidRPr="00994E8B" w:rsidRDefault="00011331" w:rsidP="00011331">
      <w:r w:rsidRPr="00994E8B">
        <w:t xml:space="preserve">Applicants who have previously agreed a funding agreement with the Commonwealth under </w:t>
      </w:r>
      <w:r w:rsidR="00D74E9D" w:rsidRPr="00994E8B">
        <w:t>Round 2</w:t>
      </w:r>
      <w:r w:rsidRPr="00994E8B">
        <w:t xml:space="preserve"> of the Regional Connectivity Program (for Regional Connectivity Solutions) or the Mobile Black Spot Program (for Mobile Black Spot Solutions) and wish to use that Previous Funding Agreement as the basis for this round’s Grant Agreement (for the applicable stream) must request to do so at the time of submitting their application. However, applicants must still indicate their ability to comply with the relevant sample Grant Agreement(s) as mentioned above. The Commonwealth may, at its sole discretion, agree to use the Previous Funding Agreement as a basis for this round’s Grant Agreement (for the relevant stream). The Commonwealth will indicate any updates to be made to the Previous Funding Agreement for the purposes of this round. The updates will be drawn from the applicable sample Grant Agreement for the relevant stream.</w:t>
      </w:r>
    </w:p>
    <w:p w14:paraId="61B7F8F4" w14:textId="24EEB3B6" w:rsidR="00A31B1D" w:rsidRPr="00994E8B" w:rsidRDefault="00CF462B" w:rsidP="004279EF">
      <w:pPr>
        <w:rPr>
          <w:rFonts w:cstheme="minorHAnsi"/>
        </w:rPr>
      </w:pPr>
      <w:r w:rsidRPr="00994E8B">
        <w:t xml:space="preserve">As outlined in </w:t>
      </w:r>
      <w:hyperlink w:anchor="_Toc506537745" w:history="1">
        <w:r w:rsidRPr="00994E8B">
          <w:rPr>
            <w:rStyle w:val="Hyperlink"/>
          </w:rPr>
          <w:t>section 5</w:t>
        </w:r>
        <w:r w:rsidR="00A31B1D" w:rsidRPr="00994E8B">
          <w:rPr>
            <w:rStyle w:val="Hyperlink"/>
          </w:rPr>
          <w:t>.4</w:t>
        </w:r>
      </w:hyperlink>
      <w:r w:rsidR="00A31B1D" w:rsidRPr="00994E8B">
        <w:t xml:space="preserve"> of these Gui</w:t>
      </w:r>
      <w:r w:rsidR="004279EF" w:rsidRPr="00994E8B">
        <w:t xml:space="preserve">delines, </w:t>
      </w:r>
      <w:r w:rsidR="00A31B1D" w:rsidRPr="00994E8B">
        <w:t>applicants must warrant that none of the Proposed Solutions for which Grant Opp</w:t>
      </w:r>
      <w:r w:rsidR="004279EF" w:rsidRPr="00994E8B">
        <w:t xml:space="preserve">ortunity funds are being sought </w:t>
      </w:r>
      <w:r w:rsidR="00A31B1D" w:rsidRPr="00994E8B">
        <w:t xml:space="preserve">were at any time part of their forward </w:t>
      </w:r>
      <w:r w:rsidR="00A31B1D" w:rsidRPr="00994E8B">
        <w:lastRenderedPageBreak/>
        <w:t xml:space="preserve">build network </w:t>
      </w:r>
      <w:r w:rsidR="004279EF" w:rsidRPr="00994E8B">
        <w:rPr>
          <w:rFonts w:cstheme="minorHAnsi"/>
        </w:rPr>
        <w:t>expansion or upgrade plans from the period commencing from the date the Grant Opportunity opens until 30 June 202</w:t>
      </w:r>
      <w:r w:rsidR="00712F23" w:rsidRPr="00994E8B">
        <w:rPr>
          <w:rFonts w:cstheme="minorHAnsi"/>
        </w:rPr>
        <w:t>7</w:t>
      </w:r>
      <w:r w:rsidR="004279EF" w:rsidRPr="00994E8B">
        <w:rPr>
          <w:rFonts w:cstheme="minorHAnsi"/>
        </w:rPr>
        <w:t>.</w:t>
      </w:r>
    </w:p>
    <w:p w14:paraId="69D69C2E" w14:textId="74711113" w:rsidR="00A31B1D" w:rsidRPr="00994E8B" w:rsidRDefault="00A31B1D" w:rsidP="00A31B1D">
      <w:r w:rsidRPr="00994E8B">
        <w:t xml:space="preserve">You are responsible for ensuring that your application is complete and accurate. Giving false or misleading information is a serious offence under the </w:t>
      </w:r>
      <w:hyperlink r:id="rId31" w:history="1">
        <w:r w:rsidRPr="00994E8B">
          <w:rPr>
            <w:rStyle w:val="Hyperlink"/>
            <w:i/>
          </w:rPr>
          <w:t xml:space="preserve">Criminal Code </w:t>
        </w:r>
        <w:r w:rsidR="00F760F3" w:rsidRPr="00994E8B">
          <w:rPr>
            <w:rStyle w:val="Hyperlink"/>
            <w:i/>
          </w:rPr>
          <w:t xml:space="preserve">Act </w:t>
        </w:r>
        <w:r w:rsidRPr="00994E8B">
          <w:rPr>
            <w:rStyle w:val="Hyperlink"/>
            <w:i/>
          </w:rPr>
          <w:t>1995 (</w:t>
        </w:r>
        <w:proofErr w:type="spellStart"/>
        <w:r w:rsidRPr="00994E8B">
          <w:rPr>
            <w:rStyle w:val="Hyperlink"/>
            <w:i/>
          </w:rPr>
          <w:t>Cth</w:t>
        </w:r>
        <w:proofErr w:type="spellEnd"/>
        <w:r w:rsidRPr="00994E8B">
          <w:rPr>
            <w:rStyle w:val="Hyperlink"/>
            <w:i/>
          </w:rPr>
          <w:t>)</w:t>
        </w:r>
      </w:hyperlink>
      <w:r w:rsidRPr="00994E8B">
        <w:t>. We will investigate any false or misleading information and may exclude your application from further consideration.</w:t>
      </w:r>
    </w:p>
    <w:p w14:paraId="69326DFF" w14:textId="6E736E0D" w:rsidR="00A31B1D" w:rsidRPr="00994E8B" w:rsidRDefault="00A31B1D" w:rsidP="00A31B1D">
      <w:r w:rsidRPr="00994E8B">
        <w:t xml:space="preserve">If you find an error in your application after submitting it, you should contact us immediately at </w:t>
      </w:r>
      <w:hyperlink r:id="rId32" w:history="1">
        <w:r w:rsidR="00CF462B" w:rsidRPr="00994E8B">
          <w:rPr>
            <w:rStyle w:val="Hyperlink"/>
          </w:rPr>
          <w:t>regionalconnectivity@communications.gov.au</w:t>
        </w:r>
      </w:hyperlink>
      <w:r w:rsidR="00933F4E" w:rsidRPr="00994E8B">
        <w:rPr>
          <w:rStyle w:val="Hyperlink"/>
        </w:rPr>
        <w:t xml:space="preserve"> </w:t>
      </w:r>
      <w:r w:rsidR="00933F4E" w:rsidRPr="007D7707">
        <w:t xml:space="preserve">for </w:t>
      </w:r>
      <w:r w:rsidR="004108EC" w:rsidRPr="007D7707">
        <w:t xml:space="preserve">Regional Connectivity Solutions and </w:t>
      </w:r>
      <w:hyperlink r:id="rId33" w:history="1">
        <w:r w:rsidR="007D7707" w:rsidRPr="0023329C">
          <w:rPr>
            <w:rStyle w:val="Hyperlink"/>
          </w:rPr>
          <w:t>MBSP@infrastructure.gov.au</w:t>
        </w:r>
      </w:hyperlink>
      <w:r w:rsidR="004108EC" w:rsidRPr="007D7707">
        <w:t xml:space="preserve"> for Mobile Black Spot Solutions</w:t>
      </w:r>
      <w:r w:rsidR="00CF462B" w:rsidRPr="00994E8B">
        <w:t xml:space="preserve">. </w:t>
      </w:r>
      <w:r w:rsidRPr="00994E8B">
        <w:t>We may, at our sole discretion, accept additional information from you or a request to correct the error. However, we are under no obligation to accept any additional information or a</w:t>
      </w:r>
      <w:r w:rsidR="00F760F3" w:rsidRPr="00994E8B">
        <w:t>gree to a</w:t>
      </w:r>
      <w:r w:rsidRPr="00994E8B">
        <w:t xml:space="preserve"> request from you to correct your application after the closing time.</w:t>
      </w:r>
    </w:p>
    <w:p w14:paraId="4EB2AEF2" w14:textId="77777777" w:rsidR="00A31B1D" w:rsidRPr="00994E8B" w:rsidRDefault="00A31B1D" w:rsidP="00A31B1D">
      <w:r w:rsidRPr="00994E8B">
        <w:t>If we identify an error in your application, you may be contacted to correct or explain the error. However, we can refuse to accept any additional information from you that would change your application after the closing time.</w:t>
      </w:r>
    </w:p>
    <w:p w14:paraId="37EE558D" w14:textId="77777777" w:rsidR="00A31B1D" w:rsidRPr="00994E8B" w:rsidRDefault="00A31B1D" w:rsidP="00A31B1D">
      <w:r w:rsidRPr="00994E8B">
        <w:t>You should keep a copy of your application and any supporting documents.</w:t>
      </w:r>
    </w:p>
    <w:p w14:paraId="4D54E1AE" w14:textId="46337430" w:rsidR="00A31B1D" w:rsidRPr="00994E8B" w:rsidRDefault="00A31B1D" w:rsidP="00A31B1D">
      <w:r w:rsidRPr="00994E8B">
        <w:t xml:space="preserve">All applications lodged will be acknowledged by the Department by email. Applicants lodging an application who do not receive acknowledgement of their application should contact the Department. Applications </w:t>
      </w:r>
      <w:r w:rsidR="00F760F3" w:rsidRPr="00994E8B">
        <w:t xml:space="preserve">that </w:t>
      </w:r>
      <w:r w:rsidRPr="00994E8B">
        <w:t xml:space="preserve">are not acknowledged by the Department as being received may not be considered. If you need further guidance about the application process or if you are unable to submit an application online contact us at </w:t>
      </w:r>
      <w:hyperlink r:id="rId34" w:history="1">
        <w:r w:rsidR="00CF462B" w:rsidRPr="00994E8B">
          <w:rPr>
            <w:rStyle w:val="Hyperlink"/>
          </w:rPr>
          <w:t>regionalconnectivity@communications.gov.au</w:t>
        </w:r>
      </w:hyperlink>
      <w:r w:rsidR="00FD6859" w:rsidRPr="00994E8B">
        <w:t xml:space="preserve"> for </w:t>
      </w:r>
      <w:r w:rsidR="00FD6859" w:rsidRPr="00994E8B">
        <w:rPr>
          <w:b/>
        </w:rPr>
        <w:t>Regional Connectivity Solutions</w:t>
      </w:r>
      <w:r w:rsidR="00FD6859" w:rsidRPr="00994E8B">
        <w:t xml:space="preserve"> and </w:t>
      </w:r>
      <w:hyperlink r:id="rId35" w:history="1">
        <w:r w:rsidR="00FD6859" w:rsidRPr="00994E8B">
          <w:rPr>
            <w:rStyle w:val="Hyperlink"/>
          </w:rPr>
          <w:t>MBSP@infrastructure.gov.au</w:t>
        </w:r>
      </w:hyperlink>
      <w:r w:rsidR="00FD6859" w:rsidRPr="00994E8B">
        <w:t xml:space="preserve"> for </w:t>
      </w:r>
      <w:r w:rsidR="00FD6859" w:rsidRPr="00994E8B">
        <w:rPr>
          <w:b/>
        </w:rPr>
        <w:t>Mobile Black Spot Solutions</w:t>
      </w:r>
      <w:r w:rsidRPr="00994E8B">
        <w:t>.</w:t>
      </w:r>
      <w:r w:rsidR="00CF462B" w:rsidRPr="00994E8B">
        <w:t xml:space="preserve"> </w:t>
      </w:r>
    </w:p>
    <w:p w14:paraId="4C62B9C9" w14:textId="1D6667CF" w:rsidR="00A31B1D" w:rsidRPr="00994E8B" w:rsidRDefault="00A31B1D" w:rsidP="00A31B1D">
      <w:r w:rsidRPr="00994E8B">
        <w:t xml:space="preserve">Applications can be lodged by email at </w:t>
      </w:r>
      <w:hyperlink r:id="rId36" w:history="1">
        <w:r w:rsidR="00CF462B" w:rsidRPr="00994E8B">
          <w:rPr>
            <w:rStyle w:val="Hyperlink"/>
          </w:rPr>
          <w:t>regionalconnectivity@communications.gov.au</w:t>
        </w:r>
      </w:hyperlink>
      <w:r w:rsidR="00FD6859" w:rsidRPr="00994E8B">
        <w:rPr>
          <w:rStyle w:val="Hyperlink"/>
        </w:rPr>
        <w:t xml:space="preserve"> </w:t>
      </w:r>
      <w:r w:rsidR="00FD6859" w:rsidRPr="00994E8B">
        <w:t xml:space="preserve">for </w:t>
      </w:r>
      <w:r w:rsidR="00FD6859" w:rsidRPr="00994E8B">
        <w:rPr>
          <w:b/>
        </w:rPr>
        <w:t>Regional Connectivity Solutions</w:t>
      </w:r>
      <w:r w:rsidR="00FD6859" w:rsidRPr="00994E8B">
        <w:t xml:space="preserve"> and </w:t>
      </w:r>
      <w:hyperlink r:id="rId37" w:history="1">
        <w:r w:rsidR="00FD6859" w:rsidRPr="00994E8B">
          <w:rPr>
            <w:rStyle w:val="Hyperlink"/>
          </w:rPr>
          <w:t>MBSP@infrastructure.gov.au</w:t>
        </w:r>
      </w:hyperlink>
      <w:r w:rsidR="00FD6859" w:rsidRPr="00994E8B">
        <w:t xml:space="preserve"> for </w:t>
      </w:r>
      <w:r w:rsidR="00FD6859" w:rsidRPr="00994E8B">
        <w:rPr>
          <w:b/>
        </w:rPr>
        <w:t>Mobile Black Spot Solutions</w:t>
      </w:r>
      <w:r w:rsidR="00CF462B" w:rsidRPr="00994E8B">
        <w:t xml:space="preserve">. </w:t>
      </w:r>
      <w:r w:rsidRPr="00994E8B">
        <w:t xml:space="preserve">Application files lodged by email must not exceed a combined size of 10 megabytes per email. Applications may also be lodged using </w:t>
      </w:r>
      <w:proofErr w:type="spellStart"/>
      <w:r w:rsidRPr="00994E8B">
        <w:t>GovTEAMS</w:t>
      </w:r>
      <w:proofErr w:type="spellEnd"/>
      <w:r w:rsidRPr="00994E8B">
        <w:t xml:space="preserve">, the Australian Government’s secure online document sharing and project management system. Potential applicants can be provided with information about lodging applications using </w:t>
      </w:r>
      <w:proofErr w:type="spellStart"/>
      <w:r w:rsidRPr="00994E8B">
        <w:t>GovTEAMS</w:t>
      </w:r>
      <w:proofErr w:type="spellEnd"/>
      <w:r w:rsidRPr="00994E8B">
        <w:t xml:space="preserve"> upon request to the Department. Potential applicants may also request to use alternative online secure document sharing systems by agreement with the Department</w:t>
      </w:r>
      <w:r w:rsidR="00712F23" w:rsidRPr="00994E8B">
        <w:t>.</w:t>
      </w:r>
    </w:p>
    <w:p w14:paraId="027E2B3D" w14:textId="3EFD362C" w:rsidR="00A31B1D" w:rsidRPr="00994E8B" w:rsidRDefault="00A31B1D" w:rsidP="00A31B1D">
      <w:r w:rsidRPr="00994E8B">
        <w:t xml:space="preserve">You should advise the Department if you intend to lodge your application using </w:t>
      </w:r>
      <w:proofErr w:type="spellStart"/>
      <w:r w:rsidRPr="00994E8B">
        <w:t>GovT</w:t>
      </w:r>
      <w:r w:rsidR="00F760F3" w:rsidRPr="00994E8B">
        <w:t>EAMS</w:t>
      </w:r>
      <w:proofErr w:type="spellEnd"/>
      <w:r w:rsidRPr="00994E8B">
        <w:t xml:space="preserve">, or if you need to use an alternative electronic lodgement platform. You should do this </w:t>
      </w:r>
      <w:r w:rsidRPr="00994E8B">
        <w:rPr>
          <w:b/>
        </w:rPr>
        <w:t>at least two weeks before the closing date</w:t>
      </w:r>
      <w:r w:rsidRPr="00994E8B">
        <w:t xml:space="preserve"> via email to </w:t>
      </w:r>
      <w:hyperlink r:id="rId38" w:history="1">
        <w:r w:rsidR="00CF462B" w:rsidRPr="00994E8B">
          <w:rPr>
            <w:rStyle w:val="Hyperlink"/>
          </w:rPr>
          <w:t>regionalconnectivity@communications.gov.au</w:t>
        </w:r>
      </w:hyperlink>
      <w:r w:rsidR="00FD6859" w:rsidRPr="00994E8B">
        <w:t xml:space="preserve"> for </w:t>
      </w:r>
      <w:r w:rsidR="00FD6859" w:rsidRPr="00994E8B">
        <w:rPr>
          <w:b/>
        </w:rPr>
        <w:t>Regional Connectivity Solutions</w:t>
      </w:r>
      <w:r w:rsidR="00FD6859" w:rsidRPr="00994E8B">
        <w:t xml:space="preserve"> and </w:t>
      </w:r>
      <w:hyperlink r:id="rId39" w:history="1">
        <w:r w:rsidR="00FD6859" w:rsidRPr="00994E8B">
          <w:rPr>
            <w:rStyle w:val="Hyperlink"/>
          </w:rPr>
          <w:t>MBSP@infrastructure.gov.au</w:t>
        </w:r>
      </w:hyperlink>
      <w:r w:rsidR="00FD6859" w:rsidRPr="00994E8B">
        <w:t xml:space="preserve"> for </w:t>
      </w:r>
      <w:r w:rsidR="00FD6859" w:rsidRPr="00994E8B">
        <w:rPr>
          <w:b/>
        </w:rPr>
        <w:t>Mobile Black Spot Solutions</w:t>
      </w:r>
      <w:r w:rsidR="00CF462B" w:rsidRPr="00994E8B">
        <w:t xml:space="preserve">. </w:t>
      </w:r>
      <w:r w:rsidRPr="00994E8B">
        <w:t>If you wish to change the electronic lodgement platform after notifying the Department, you should advise the Department of the change and the r</w:t>
      </w:r>
      <w:r w:rsidR="00CF462B" w:rsidRPr="00994E8B">
        <w:t xml:space="preserve">easons why. The Department may, </w:t>
      </w:r>
      <w:r w:rsidRPr="00994E8B">
        <w:t>at its discretion, accept changes to the lodgement method.</w:t>
      </w:r>
    </w:p>
    <w:p w14:paraId="3D4D871F" w14:textId="77777777" w:rsidR="00A31B1D" w:rsidRPr="00994E8B" w:rsidRDefault="00A31B1D" w:rsidP="00A31B1D">
      <w:r w:rsidRPr="00994E8B">
        <w:t xml:space="preserve">All electronic files, regardless of transmission method, should be provided in an appropriate Microsoft compatible format (Microsoft Office 2007 or later or PDF files preferred): Geo-spatial information such as maps should be provided in either </w:t>
      </w:r>
      <w:proofErr w:type="spellStart"/>
      <w:r w:rsidRPr="00994E8B">
        <w:t>Mapinfo</w:t>
      </w:r>
      <w:proofErr w:type="spellEnd"/>
      <w:r w:rsidRPr="00994E8B">
        <w:t xml:space="preserve"> TAB or MID/MIF; ESRI Shape; GML; or KML format.</w:t>
      </w:r>
    </w:p>
    <w:p w14:paraId="62458070" w14:textId="77777777" w:rsidR="00A31B1D" w:rsidRPr="00994E8B" w:rsidRDefault="00A31B1D" w:rsidP="00A31B1D">
      <w:r w:rsidRPr="00994E8B">
        <w:t>The Department may also accept applications via hard copy and/or physical electronic media, in addition to electronic applications.</w:t>
      </w:r>
    </w:p>
    <w:p w14:paraId="1F5D20CE" w14:textId="77777777" w:rsidR="00A31B1D" w:rsidRPr="00994E8B" w:rsidRDefault="00A31B1D" w:rsidP="00A31B1D">
      <w:r w:rsidRPr="00994E8B">
        <w:lastRenderedPageBreak/>
        <w:t>Where physical electronic media is to be provided, such as a USB stick, the media must be PC-formatted. Applicants should include an index of all electronic documents on the physical electronic media.</w:t>
      </w:r>
    </w:p>
    <w:p w14:paraId="52C049B0" w14:textId="77777777" w:rsidR="00A31B1D" w:rsidRPr="00994E8B" w:rsidRDefault="00A31B1D" w:rsidP="00A31B1D">
      <w:r w:rsidRPr="00994E8B">
        <w:t>Applications provided in hard copy and physical electronic media formats should be delivered via registered post or by hand prior to the closing date.</w:t>
      </w:r>
    </w:p>
    <w:p w14:paraId="35D7D063" w14:textId="77777777" w:rsidR="00A31B1D" w:rsidRPr="00994E8B" w:rsidRDefault="00A31B1D" w:rsidP="00A31B1D">
      <w:r w:rsidRPr="00994E8B">
        <w:t>Applications via post are to be addressed and delivered to:</w:t>
      </w:r>
    </w:p>
    <w:p w14:paraId="33622B93" w14:textId="77777777" w:rsidR="00A31B1D" w:rsidRPr="00994E8B" w:rsidRDefault="00A31B1D" w:rsidP="00092772">
      <w:pPr>
        <w:spacing w:after="0"/>
        <w:ind w:left="720"/>
      </w:pPr>
      <w:r w:rsidRPr="00994E8B">
        <w:t xml:space="preserve">Director, Regional Connectivity Program </w:t>
      </w:r>
    </w:p>
    <w:p w14:paraId="582E766D" w14:textId="77777777" w:rsidR="00A31B1D" w:rsidRPr="00994E8B" w:rsidRDefault="00A31B1D" w:rsidP="00092772">
      <w:pPr>
        <w:spacing w:after="0"/>
        <w:ind w:left="720"/>
      </w:pPr>
      <w:r w:rsidRPr="00994E8B">
        <w:t>Department of Infrastructure, Transport, Regional Development</w:t>
      </w:r>
      <w:r w:rsidR="00923329" w:rsidRPr="00994E8B">
        <w:t>,</w:t>
      </w:r>
      <w:r w:rsidR="0069620E" w:rsidRPr="00994E8B">
        <w:t xml:space="preserve"> </w:t>
      </w:r>
      <w:r w:rsidRPr="00994E8B">
        <w:t>Communications</w:t>
      </w:r>
      <w:r w:rsidR="00923329" w:rsidRPr="00994E8B">
        <w:t xml:space="preserve"> and the Arts</w:t>
      </w:r>
    </w:p>
    <w:p w14:paraId="09820D24" w14:textId="77777777" w:rsidR="00A31B1D" w:rsidRPr="00994E8B" w:rsidRDefault="00A31B1D" w:rsidP="00092772">
      <w:pPr>
        <w:spacing w:after="0"/>
        <w:ind w:left="720"/>
      </w:pPr>
      <w:r w:rsidRPr="00994E8B">
        <w:t xml:space="preserve">GPO Box 594 </w:t>
      </w:r>
    </w:p>
    <w:p w14:paraId="5D3ED3E0" w14:textId="77777777" w:rsidR="00A31B1D" w:rsidRPr="00994E8B" w:rsidRDefault="00A31B1D" w:rsidP="00092772">
      <w:pPr>
        <w:spacing w:after="0"/>
        <w:ind w:left="720"/>
      </w:pPr>
      <w:r w:rsidRPr="00994E8B">
        <w:t>CANBERRA ACT 2601</w:t>
      </w:r>
    </w:p>
    <w:p w14:paraId="4E532240" w14:textId="77777777" w:rsidR="00A31B1D" w:rsidRPr="00994E8B" w:rsidRDefault="00A31B1D" w:rsidP="00A31B1D">
      <w:r w:rsidRPr="00994E8B">
        <w:t>Applications via hand delivery are to be addressed and delivered</w:t>
      </w:r>
      <w:r w:rsidR="00945727" w:rsidRPr="00994E8B">
        <w:t xml:space="preserve"> by the closing date</w:t>
      </w:r>
      <w:r w:rsidRPr="00994E8B">
        <w:t xml:space="preserve"> to:</w:t>
      </w:r>
    </w:p>
    <w:p w14:paraId="6655BDF9" w14:textId="77777777" w:rsidR="00A31B1D" w:rsidRPr="00994E8B" w:rsidRDefault="00A31B1D" w:rsidP="00092772">
      <w:pPr>
        <w:spacing w:after="0"/>
        <w:ind w:left="720"/>
      </w:pPr>
      <w:r w:rsidRPr="00994E8B">
        <w:t xml:space="preserve">Director, Regional Connectivity Program </w:t>
      </w:r>
    </w:p>
    <w:p w14:paraId="0265F9AA" w14:textId="77777777" w:rsidR="00A31B1D" w:rsidRPr="00994E8B" w:rsidRDefault="00A31B1D" w:rsidP="00092772">
      <w:pPr>
        <w:spacing w:after="0"/>
        <w:ind w:left="720"/>
      </w:pPr>
      <w:r w:rsidRPr="00994E8B">
        <w:t>Department of Infrastructure, Transport, Regional Development</w:t>
      </w:r>
      <w:r w:rsidR="00923329" w:rsidRPr="00994E8B">
        <w:t xml:space="preserve">, </w:t>
      </w:r>
      <w:r w:rsidRPr="00994E8B">
        <w:t>Communications</w:t>
      </w:r>
      <w:r w:rsidR="00923329" w:rsidRPr="00994E8B">
        <w:t xml:space="preserve"> and the Arts</w:t>
      </w:r>
    </w:p>
    <w:p w14:paraId="1D279A12" w14:textId="77777777" w:rsidR="00A31B1D" w:rsidRPr="00994E8B" w:rsidRDefault="00A31B1D" w:rsidP="00092772">
      <w:pPr>
        <w:spacing w:after="0"/>
        <w:ind w:left="720"/>
      </w:pPr>
      <w:r w:rsidRPr="00994E8B">
        <w:t>2 Phillip Law Street</w:t>
      </w:r>
    </w:p>
    <w:p w14:paraId="134E5792" w14:textId="77777777" w:rsidR="00DB695B" w:rsidRPr="00994E8B" w:rsidRDefault="00A31B1D" w:rsidP="00092772">
      <w:pPr>
        <w:spacing w:after="0"/>
        <w:ind w:left="720"/>
      </w:pPr>
      <w:r w:rsidRPr="00994E8B">
        <w:t>CANBERRA ACT 2601</w:t>
      </w:r>
    </w:p>
    <w:p w14:paraId="3F823AE7" w14:textId="77777777" w:rsidR="00E50C87" w:rsidRPr="00994E8B" w:rsidRDefault="00CF462B" w:rsidP="002E4AD3">
      <w:pPr>
        <w:pStyle w:val="Heading3"/>
      </w:pPr>
      <w:bookmarkStart w:id="337" w:name="_Toc129956312"/>
      <w:r w:rsidRPr="00994E8B">
        <w:t>Attachments to application</w:t>
      </w:r>
      <w:bookmarkEnd w:id="337"/>
    </w:p>
    <w:p w14:paraId="021A98F9" w14:textId="1313FC92" w:rsidR="00CF462B" w:rsidRPr="00994E8B" w:rsidRDefault="008C0839" w:rsidP="00CF462B">
      <w:r w:rsidRPr="00994E8B">
        <w:t xml:space="preserve">The following </w:t>
      </w:r>
      <w:r w:rsidR="00BD0B0A" w:rsidRPr="00994E8B">
        <w:t xml:space="preserve">details must also be provided as attachments to </w:t>
      </w:r>
      <w:r w:rsidR="00CF462B" w:rsidRPr="00994E8B">
        <w:t>your application:</w:t>
      </w:r>
    </w:p>
    <w:p w14:paraId="516B2EE5" w14:textId="590072A4" w:rsidR="00CF462B" w:rsidRPr="00994E8B" w:rsidRDefault="00CF462B" w:rsidP="00E2664E">
      <w:pPr>
        <w:pStyle w:val="ListParagraph"/>
        <w:numPr>
          <w:ilvl w:val="0"/>
          <w:numId w:val="33"/>
        </w:numPr>
      </w:pPr>
      <w:r w:rsidRPr="00994E8B">
        <w:t xml:space="preserve">a </w:t>
      </w:r>
      <w:r w:rsidR="00D62AFA" w:rsidRPr="00994E8B">
        <w:t>comprehensive budget</w:t>
      </w:r>
      <w:r w:rsidRPr="00994E8B">
        <w:t xml:space="preserve"> for the </w:t>
      </w:r>
      <w:r w:rsidR="00A73B92" w:rsidRPr="00994E8B">
        <w:t>P</w:t>
      </w:r>
      <w:r w:rsidRPr="00994E8B">
        <w:t xml:space="preserve">roposed </w:t>
      </w:r>
      <w:r w:rsidR="00A73B92" w:rsidRPr="00994E8B">
        <w:t>S</w:t>
      </w:r>
      <w:r w:rsidRPr="00994E8B">
        <w:t>olution</w:t>
      </w:r>
      <w:r w:rsidR="00D62AFA" w:rsidRPr="00994E8B">
        <w:t xml:space="preserve"> including itemised costs</w:t>
      </w:r>
      <w:r w:rsidR="00351DDA" w:rsidRPr="00994E8B">
        <w:t xml:space="preserve"> </w:t>
      </w:r>
      <w:r w:rsidR="00D62AFA" w:rsidRPr="00994E8B">
        <w:t xml:space="preserve">of all the key items </w:t>
      </w:r>
      <w:r w:rsidR="009317DD" w:rsidRPr="00994E8B">
        <w:t>such as</w:t>
      </w:r>
      <w:r w:rsidR="00D62AFA" w:rsidRPr="00994E8B">
        <w:t xml:space="preserve"> material, equipment and software licenses (linked to a Bill of Material), costs of key labour, contractor activities and tasks, and other overhead costs such as project management, administration, transport, travel &amp; accommodation</w:t>
      </w:r>
    </w:p>
    <w:p w14:paraId="17F2E801" w14:textId="77777777" w:rsidR="00CF462B" w:rsidRPr="00994E8B" w:rsidRDefault="00CF462B" w:rsidP="00E2664E">
      <w:pPr>
        <w:pStyle w:val="ListParagraph"/>
        <w:numPr>
          <w:ilvl w:val="0"/>
          <w:numId w:val="33"/>
        </w:numPr>
      </w:pPr>
      <w:r w:rsidRPr="00994E8B">
        <w:t>evidence of a Funding Strategy, e.g. financial statements, loan agreements, cash flow documents</w:t>
      </w:r>
    </w:p>
    <w:p w14:paraId="5CBB2C8D" w14:textId="013ADE9E" w:rsidR="00CF462B" w:rsidRPr="00994E8B" w:rsidRDefault="00CF462B" w:rsidP="00E2664E">
      <w:pPr>
        <w:pStyle w:val="ListParagraph"/>
        <w:numPr>
          <w:ilvl w:val="0"/>
          <w:numId w:val="33"/>
        </w:numPr>
      </w:pPr>
      <w:r w:rsidRPr="00994E8B">
        <w:t xml:space="preserve">accountant declaration that you are able to fund your share of the cost of the </w:t>
      </w:r>
      <w:r w:rsidR="00263097" w:rsidRPr="00994E8B">
        <w:t>Proposed Solution</w:t>
      </w:r>
      <w:r w:rsidRPr="00994E8B">
        <w:t xml:space="preserve"> (sample template provided on </w:t>
      </w:r>
      <w:proofErr w:type="spellStart"/>
      <w:r w:rsidRPr="00994E8B">
        <w:t>GrantConnect</w:t>
      </w:r>
      <w:proofErr w:type="spellEnd"/>
      <w:r w:rsidRPr="00994E8B">
        <w:t>)</w:t>
      </w:r>
    </w:p>
    <w:p w14:paraId="13A91449" w14:textId="5930F168" w:rsidR="00CF462B" w:rsidRPr="00994E8B" w:rsidRDefault="00CF462B" w:rsidP="00E2664E">
      <w:pPr>
        <w:pStyle w:val="ListParagraph"/>
        <w:numPr>
          <w:ilvl w:val="0"/>
          <w:numId w:val="33"/>
        </w:numPr>
      </w:pPr>
      <w:r w:rsidRPr="00994E8B">
        <w:t xml:space="preserve">evidence of commitment to financial co-contributions as detailed in </w:t>
      </w:r>
      <w:hyperlink w:anchor="_Merit_Criterion_4" w:history="1">
        <w:r w:rsidR="00E3452A" w:rsidRPr="00994E8B">
          <w:rPr>
            <w:rStyle w:val="Hyperlink"/>
          </w:rPr>
          <w:t>section 6.</w:t>
        </w:r>
        <w:r w:rsidR="00B5086D" w:rsidRPr="00994E8B">
          <w:rPr>
            <w:rStyle w:val="Hyperlink"/>
          </w:rPr>
          <w:t>1.</w:t>
        </w:r>
        <w:r w:rsidR="00E3452A" w:rsidRPr="00994E8B">
          <w:rPr>
            <w:rStyle w:val="Hyperlink"/>
          </w:rPr>
          <w:t>4</w:t>
        </w:r>
      </w:hyperlink>
      <w:r w:rsidR="00E3452A" w:rsidRPr="00994E8B">
        <w:t xml:space="preserve"> </w:t>
      </w:r>
      <w:r w:rsidRPr="00994E8B">
        <w:t>of these Guidelines</w:t>
      </w:r>
    </w:p>
    <w:p w14:paraId="587C000C" w14:textId="77777777" w:rsidR="00CF462B" w:rsidRPr="00994E8B" w:rsidRDefault="00CF462B" w:rsidP="00E2664E">
      <w:pPr>
        <w:pStyle w:val="ListParagraph"/>
        <w:numPr>
          <w:ilvl w:val="0"/>
          <w:numId w:val="33"/>
        </w:numPr>
      </w:pPr>
      <w:r w:rsidRPr="00994E8B">
        <w:t>certification of the application by a duly authorised representative of your organisation, for example a senior executive, director, or company secretary</w:t>
      </w:r>
    </w:p>
    <w:p w14:paraId="281AA9CC" w14:textId="77777777" w:rsidR="00CF462B" w:rsidRPr="00994E8B" w:rsidRDefault="00CF462B" w:rsidP="00E2664E">
      <w:pPr>
        <w:pStyle w:val="ListParagraph"/>
        <w:numPr>
          <w:ilvl w:val="0"/>
          <w:numId w:val="33"/>
        </w:numPr>
      </w:pPr>
      <w:r w:rsidRPr="00994E8B">
        <w:t>evidence to demonstrate your ability to successfully construct and operate the Asset for the Operational Period</w:t>
      </w:r>
    </w:p>
    <w:p w14:paraId="21F0BDFE" w14:textId="77777777" w:rsidR="00CF462B" w:rsidRPr="00994E8B" w:rsidRDefault="00CF462B" w:rsidP="00E2664E">
      <w:pPr>
        <w:pStyle w:val="ListParagraph"/>
        <w:numPr>
          <w:ilvl w:val="0"/>
          <w:numId w:val="33"/>
        </w:numPr>
      </w:pPr>
      <w:r w:rsidRPr="00994E8B">
        <w:t>evidence of ability to deliver a retail service on the Asset for the Operational Period</w:t>
      </w:r>
    </w:p>
    <w:p w14:paraId="2BB58CAC" w14:textId="0A8370E5" w:rsidR="00CF462B" w:rsidRPr="00994E8B" w:rsidRDefault="00CF462B" w:rsidP="00E2664E">
      <w:pPr>
        <w:pStyle w:val="ListParagraph"/>
        <w:numPr>
          <w:ilvl w:val="0"/>
          <w:numId w:val="33"/>
        </w:numPr>
      </w:pPr>
      <w:r w:rsidRPr="00994E8B">
        <w:t xml:space="preserve">evidence of a commitment from at least one retail service provider to use the infrastructure to deliver telecommunications services for at least </w:t>
      </w:r>
      <w:r w:rsidR="00B5086D" w:rsidRPr="00994E8B">
        <w:t xml:space="preserve">the </w:t>
      </w:r>
      <w:r w:rsidR="001C2044" w:rsidRPr="00994E8B">
        <w:t>O</w:t>
      </w:r>
      <w:r w:rsidR="00B5086D" w:rsidRPr="00994E8B">
        <w:t xml:space="preserve">perational </w:t>
      </w:r>
      <w:r w:rsidR="001C2044" w:rsidRPr="00994E8B">
        <w:t>P</w:t>
      </w:r>
      <w:r w:rsidR="00B5086D" w:rsidRPr="00994E8B">
        <w:t>eriod</w:t>
      </w:r>
    </w:p>
    <w:p w14:paraId="6EE25C54" w14:textId="77777777" w:rsidR="00CF462B" w:rsidRPr="00994E8B" w:rsidRDefault="00F252BF" w:rsidP="00E2664E">
      <w:pPr>
        <w:pStyle w:val="ListParagraph"/>
        <w:numPr>
          <w:ilvl w:val="0"/>
          <w:numId w:val="33"/>
        </w:numPr>
      </w:pPr>
      <w:r w:rsidRPr="00994E8B">
        <w:t xml:space="preserve">for </w:t>
      </w:r>
      <w:r w:rsidRPr="00994E8B">
        <w:rPr>
          <w:b/>
        </w:rPr>
        <w:t>Regional Connectivity Solutions</w:t>
      </w:r>
      <w:r w:rsidRPr="00994E8B">
        <w:t xml:space="preserve">, </w:t>
      </w:r>
      <w:r w:rsidR="00CF462B" w:rsidRPr="00994E8B">
        <w:t>evidence of the local need for the Proposed Solution, which may include evidence or support from:</w:t>
      </w:r>
    </w:p>
    <w:p w14:paraId="7CFCE50B" w14:textId="5734A62A" w:rsidR="00CF462B" w:rsidRPr="00994E8B" w:rsidRDefault="00CF462B" w:rsidP="00E2664E">
      <w:pPr>
        <w:pStyle w:val="ListParagraph"/>
        <w:numPr>
          <w:ilvl w:val="0"/>
          <w:numId w:val="34"/>
        </w:numPr>
      </w:pPr>
      <w:r w:rsidRPr="00994E8B">
        <w:t>State and territory governments</w:t>
      </w:r>
      <w:r w:rsidR="00057672" w:rsidRPr="00994E8B">
        <w:t>;</w:t>
      </w:r>
    </w:p>
    <w:p w14:paraId="0CEBD1CF" w14:textId="19D77BF1" w:rsidR="00CF462B" w:rsidRPr="00994E8B" w:rsidRDefault="00CF462B" w:rsidP="00E2664E">
      <w:pPr>
        <w:pStyle w:val="ListParagraph"/>
        <w:numPr>
          <w:ilvl w:val="0"/>
          <w:numId w:val="34"/>
        </w:numPr>
      </w:pPr>
      <w:r w:rsidRPr="00994E8B">
        <w:t>Local government and regional development authorities</w:t>
      </w:r>
      <w:r w:rsidR="00057672" w:rsidRPr="00994E8B">
        <w:t>;</w:t>
      </w:r>
    </w:p>
    <w:p w14:paraId="4DDC9A96" w14:textId="7ABA887D" w:rsidR="00CF462B" w:rsidRPr="00994E8B" w:rsidRDefault="00CF462B" w:rsidP="00E2664E">
      <w:pPr>
        <w:pStyle w:val="ListParagraph"/>
        <w:numPr>
          <w:ilvl w:val="0"/>
          <w:numId w:val="34"/>
        </w:numPr>
      </w:pPr>
      <w:r w:rsidRPr="00994E8B">
        <w:t>Industry, business, and community groups</w:t>
      </w:r>
      <w:r w:rsidR="00057672" w:rsidRPr="00994E8B">
        <w:t>;</w:t>
      </w:r>
    </w:p>
    <w:p w14:paraId="232342A9" w14:textId="16BF2CC9" w:rsidR="00CF462B" w:rsidRPr="00994E8B" w:rsidRDefault="00CF462B" w:rsidP="00E2664E">
      <w:pPr>
        <w:pStyle w:val="ListParagraph"/>
        <w:numPr>
          <w:ilvl w:val="0"/>
          <w:numId w:val="34"/>
        </w:numPr>
      </w:pPr>
      <w:r w:rsidRPr="00994E8B">
        <w:t>Not-for-profits</w:t>
      </w:r>
      <w:r w:rsidR="00057672" w:rsidRPr="00994E8B">
        <w:t>;</w:t>
      </w:r>
      <w:r w:rsidR="00F760F3" w:rsidRPr="00994E8B">
        <w:t xml:space="preserve"> or</w:t>
      </w:r>
    </w:p>
    <w:p w14:paraId="1AC122E4" w14:textId="6F8EB8B6" w:rsidR="00CF462B" w:rsidRPr="00994E8B" w:rsidRDefault="001D2072" w:rsidP="00E2664E">
      <w:pPr>
        <w:pStyle w:val="ListParagraph"/>
        <w:numPr>
          <w:ilvl w:val="0"/>
          <w:numId w:val="34"/>
        </w:numPr>
      </w:pPr>
      <w:r w:rsidRPr="00994E8B">
        <w:t>First Nations</w:t>
      </w:r>
      <w:r w:rsidR="00CF462B" w:rsidRPr="00994E8B">
        <w:t xml:space="preserve"> </w:t>
      </w:r>
      <w:proofErr w:type="gramStart"/>
      <w:r w:rsidR="005C246B" w:rsidRPr="00994E8B">
        <w:t>community controlled</w:t>
      </w:r>
      <w:proofErr w:type="gramEnd"/>
      <w:r w:rsidR="00CF462B" w:rsidRPr="00994E8B">
        <w:t xml:space="preserve"> organisations</w:t>
      </w:r>
    </w:p>
    <w:p w14:paraId="7E6441F7" w14:textId="51510ECF" w:rsidR="00CF462B" w:rsidRPr="00994E8B" w:rsidRDefault="00CF462B" w:rsidP="00E2664E">
      <w:pPr>
        <w:pStyle w:val="ListParagraph"/>
        <w:numPr>
          <w:ilvl w:val="0"/>
          <w:numId w:val="35"/>
        </w:numPr>
      </w:pPr>
      <w:r w:rsidRPr="00994E8B">
        <w:t xml:space="preserve">other evidence, as necessary to support your claims against the </w:t>
      </w:r>
      <w:r w:rsidR="00232862" w:rsidRPr="00994E8B">
        <w:t xml:space="preserve">Assessment </w:t>
      </w:r>
      <w:r w:rsidRPr="00994E8B">
        <w:t>Criteria.</w:t>
      </w:r>
    </w:p>
    <w:p w14:paraId="6743A953" w14:textId="77777777" w:rsidR="00CF462B" w:rsidRPr="00994E8B" w:rsidRDefault="00CF462B" w:rsidP="00E2664E">
      <w:pPr>
        <w:pStyle w:val="ListParagraph"/>
        <w:numPr>
          <w:ilvl w:val="0"/>
          <w:numId w:val="35"/>
        </w:numPr>
      </w:pPr>
      <w:r w:rsidRPr="00994E8B">
        <w:t>Predictive coverage mapping data for each Proposed Solution.</w:t>
      </w:r>
    </w:p>
    <w:p w14:paraId="29C3B417" w14:textId="202645E4" w:rsidR="00E50C87" w:rsidRPr="00994E8B" w:rsidRDefault="00BD0B0A" w:rsidP="00E50C87">
      <w:r w:rsidRPr="00994E8B">
        <w:lastRenderedPageBreak/>
        <w:t>S</w:t>
      </w:r>
      <w:r w:rsidR="00CF462B" w:rsidRPr="00994E8B">
        <w:t xml:space="preserve">upporting documentation to the application form </w:t>
      </w:r>
      <w:r w:rsidRPr="00994E8B">
        <w:t xml:space="preserve">can be attached </w:t>
      </w:r>
      <w:r w:rsidR="00CF462B" w:rsidRPr="00994E8B">
        <w:t>in line with the instruc</w:t>
      </w:r>
      <w:r w:rsidR="000227E0" w:rsidRPr="00994E8B">
        <w:t>tions provided within the form.</w:t>
      </w:r>
    </w:p>
    <w:p w14:paraId="53E08F26" w14:textId="77777777" w:rsidR="00C347D8" w:rsidRPr="00994E8B" w:rsidRDefault="00A13EF0" w:rsidP="002E4AD3">
      <w:pPr>
        <w:pStyle w:val="Heading3"/>
      </w:pPr>
      <w:bookmarkStart w:id="338" w:name="_Joint_(consortia)_applications"/>
      <w:bookmarkStart w:id="339" w:name="_Toc129956313"/>
      <w:bookmarkEnd w:id="338"/>
      <w:r w:rsidRPr="00994E8B">
        <w:t>Joint (consortia) applications</w:t>
      </w:r>
      <w:bookmarkEnd w:id="339"/>
    </w:p>
    <w:p w14:paraId="68E098DE" w14:textId="77777777" w:rsidR="00A13EF0" w:rsidRPr="00994E8B" w:rsidRDefault="00A13EF0" w:rsidP="00A13EF0">
      <w:r w:rsidRPr="00994E8B">
        <w:t>We recognise that some organisations may want to join together as a group to deliver a Proposed Solution.</w:t>
      </w:r>
    </w:p>
    <w:p w14:paraId="0B55645A" w14:textId="1AC5254A" w:rsidR="00A13EF0" w:rsidRPr="00994E8B" w:rsidRDefault="00A13EF0" w:rsidP="00A13EF0">
      <w:r w:rsidRPr="00994E8B">
        <w:t xml:space="preserve">In these circumstances, you must appoint a ‘lead organisation’. Only the lead organisation can submit the application form, but the lead organisation will not necessarily be the entity entering into any agreement with the </w:t>
      </w:r>
      <w:r w:rsidR="00E3452A" w:rsidRPr="00994E8B">
        <w:t xml:space="preserve">Commonwealth (refer to </w:t>
      </w:r>
      <w:hyperlink w:anchor="_Who_is_eligible" w:history="1">
        <w:r w:rsidR="00E3452A" w:rsidRPr="00994E8B">
          <w:rPr>
            <w:rStyle w:val="Hyperlink"/>
          </w:rPr>
          <w:t>section 4</w:t>
        </w:r>
        <w:r w:rsidRPr="00994E8B">
          <w:rPr>
            <w:rStyle w:val="Hyperlink"/>
          </w:rPr>
          <w:t>.1</w:t>
        </w:r>
      </w:hyperlink>
      <w:r w:rsidRPr="00994E8B">
        <w:t xml:space="preserve"> of these Guidelines). The application must identify all other members of the group</w:t>
      </w:r>
      <w:r w:rsidR="00AB3776" w:rsidRPr="00994E8B">
        <w:t xml:space="preserve"> (partner organisations) and</w:t>
      </w:r>
      <w:r w:rsidRPr="00994E8B">
        <w:t xml:space="preserve"> their role in the </w:t>
      </w:r>
      <w:r w:rsidR="00263097" w:rsidRPr="00994E8B">
        <w:t>Proposed Solution</w:t>
      </w:r>
      <w:r w:rsidRPr="00994E8B">
        <w:t xml:space="preserve"> and include a letter of support from each of the partners</w:t>
      </w:r>
      <w:r w:rsidR="00AB3776" w:rsidRPr="00994E8B">
        <w:t xml:space="preserve"> organisations</w:t>
      </w:r>
      <w:r w:rsidRPr="00994E8B">
        <w:t>.</w:t>
      </w:r>
    </w:p>
    <w:p w14:paraId="65F79328" w14:textId="77777777" w:rsidR="00A13EF0" w:rsidRPr="00994E8B" w:rsidRDefault="00A13EF0" w:rsidP="00A13EF0">
      <w:r w:rsidRPr="00994E8B">
        <w:t>Each letter of support should include:</w:t>
      </w:r>
    </w:p>
    <w:p w14:paraId="65D543CA" w14:textId="07977B52" w:rsidR="00A13EF0" w:rsidRPr="00994E8B" w:rsidRDefault="00A13EF0" w:rsidP="00E2664E">
      <w:pPr>
        <w:pStyle w:val="ListParagraph"/>
        <w:numPr>
          <w:ilvl w:val="0"/>
          <w:numId w:val="36"/>
        </w:numPr>
      </w:pPr>
      <w:r w:rsidRPr="00994E8B">
        <w:t>details of the partner organisation</w:t>
      </w:r>
      <w:r w:rsidR="0025491C" w:rsidRPr="00994E8B">
        <w:t>;</w:t>
      </w:r>
    </w:p>
    <w:p w14:paraId="4196898E" w14:textId="18343E5C" w:rsidR="00A13EF0" w:rsidRPr="00994E8B" w:rsidRDefault="00A13EF0" w:rsidP="00E2664E">
      <w:pPr>
        <w:pStyle w:val="ListParagraph"/>
        <w:numPr>
          <w:ilvl w:val="0"/>
          <w:numId w:val="36"/>
        </w:numPr>
      </w:pPr>
      <w:r w:rsidRPr="00994E8B">
        <w:t>an overview of how the partner organisation will work with the lead organisation, including financial co-contribut</w:t>
      </w:r>
      <w:r w:rsidR="00AB3776" w:rsidRPr="00994E8B">
        <w:t>or</w:t>
      </w:r>
      <w:r w:rsidRPr="00994E8B">
        <w:t xml:space="preserve"> and any other partner organisations in the group to successfully complete the Proposed Solution</w:t>
      </w:r>
      <w:r w:rsidR="0025491C" w:rsidRPr="00994E8B">
        <w:t>;</w:t>
      </w:r>
    </w:p>
    <w:p w14:paraId="4727D903" w14:textId="36FF1AD4" w:rsidR="00A13EF0" w:rsidRPr="00994E8B" w:rsidRDefault="00A13EF0" w:rsidP="00E2664E">
      <w:pPr>
        <w:pStyle w:val="ListParagraph"/>
        <w:numPr>
          <w:ilvl w:val="0"/>
          <w:numId w:val="36"/>
        </w:numPr>
      </w:pPr>
      <w:r w:rsidRPr="00994E8B">
        <w:t>an outline of the relevant experience and/or expertise the partner organisation will bring to the group</w:t>
      </w:r>
      <w:r w:rsidR="0025491C" w:rsidRPr="00994E8B">
        <w:t>;</w:t>
      </w:r>
    </w:p>
    <w:p w14:paraId="5EBD2C6B" w14:textId="77777777" w:rsidR="00A13EF0" w:rsidRPr="00994E8B" w:rsidRDefault="00A13EF0" w:rsidP="00E2664E">
      <w:pPr>
        <w:pStyle w:val="ListParagraph"/>
        <w:numPr>
          <w:ilvl w:val="0"/>
          <w:numId w:val="36"/>
        </w:numPr>
      </w:pPr>
      <w:r w:rsidRPr="00994E8B">
        <w:t>the roles/responsibilities of the partner organisation and the resources they will contribute (if any); and</w:t>
      </w:r>
    </w:p>
    <w:p w14:paraId="1A5DE708" w14:textId="77777777" w:rsidR="00A13EF0" w:rsidRPr="00994E8B" w:rsidRDefault="00A13EF0" w:rsidP="00E2664E">
      <w:pPr>
        <w:pStyle w:val="ListParagraph"/>
        <w:numPr>
          <w:ilvl w:val="0"/>
          <w:numId w:val="36"/>
        </w:numPr>
      </w:pPr>
      <w:r w:rsidRPr="00994E8B">
        <w:t>details of a nominated management level contact officer.</w:t>
      </w:r>
    </w:p>
    <w:p w14:paraId="1F74CF70" w14:textId="77777777" w:rsidR="00AB177E" w:rsidRPr="00994E8B" w:rsidRDefault="00A13EF0" w:rsidP="00E46AB8">
      <w:r w:rsidRPr="00994E8B">
        <w:t>You must have a formal arrangement in place with all partner organisations prior to execution of the Grant Agreement.</w:t>
      </w:r>
    </w:p>
    <w:p w14:paraId="5F46B1A2" w14:textId="77777777" w:rsidR="008778C3" w:rsidRPr="00994E8B" w:rsidRDefault="00E46AB8" w:rsidP="002E4AD3">
      <w:pPr>
        <w:pStyle w:val="Heading3"/>
      </w:pPr>
      <w:bookmarkStart w:id="340" w:name="_Closing_date_for"/>
      <w:bookmarkStart w:id="341" w:name="_Toc129956314"/>
      <w:bookmarkEnd w:id="340"/>
      <w:r w:rsidRPr="00994E8B">
        <w:t>Closing date for funding applications</w:t>
      </w:r>
      <w:bookmarkEnd w:id="341"/>
    </w:p>
    <w:p w14:paraId="36198BAA" w14:textId="274904EC" w:rsidR="008778C3" w:rsidRPr="00994E8B" w:rsidRDefault="00E46AB8" w:rsidP="008778C3">
      <w:r w:rsidRPr="00994E8B">
        <w:t xml:space="preserve">The closing date for </w:t>
      </w:r>
      <w:proofErr w:type="gramStart"/>
      <w:r w:rsidRPr="00994E8B">
        <w:t>submitting an application</w:t>
      </w:r>
      <w:proofErr w:type="gramEnd"/>
      <w:r w:rsidRPr="00994E8B">
        <w:t xml:space="preserve"> for funding under this Grant Opportunity is 5pm (Canberra Time)</w:t>
      </w:r>
      <w:r w:rsidR="00202F60" w:rsidRPr="00994E8B">
        <w:t xml:space="preserve"> on </w:t>
      </w:r>
      <w:r w:rsidR="00F35434" w:rsidRPr="00994E8B">
        <w:t>31 May 2023</w:t>
      </w:r>
      <w:r w:rsidRPr="00994E8B">
        <w:t>.</w:t>
      </w:r>
    </w:p>
    <w:p w14:paraId="0D0FBD3F" w14:textId="77777777" w:rsidR="00E46AB8" w:rsidRPr="00994E8B" w:rsidRDefault="00E46AB8" w:rsidP="002E4AD3">
      <w:pPr>
        <w:pStyle w:val="Heading3"/>
      </w:pPr>
      <w:bookmarkStart w:id="342" w:name="_Toc129956315"/>
      <w:r w:rsidRPr="00994E8B">
        <w:t>Timing of Grant Opportunity processes</w:t>
      </w:r>
      <w:bookmarkEnd w:id="342"/>
    </w:p>
    <w:p w14:paraId="2FDBCE1D" w14:textId="77777777" w:rsidR="00E46AB8" w:rsidRPr="00994E8B" w:rsidRDefault="00E46AB8" w:rsidP="00E46AB8">
      <w:r w:rsidRPr="00994E8B">
        <w:t xml:space="preserve">You must </w:t>
      </w:r>
      <w:proofErr w:type="gramStart"/>
      <w:r w:rsidRPr="00994E8B">
        <w:t>submit an application</w:t>
      </w:r>
      <w:proofErr w:type="gramEnd"/>
      <w:r w:rsidRPr="00994E8B">
        <w:t xml:space="preserve"> between the published opening and closing dates. The Department reserves the right to, in exceptional circumstances, accept a late application to the assessment process at its discretion. Without limiting the Department’s discretion, exceptional circumstances may include natural disasters or unforeseen technical issues with application forms or lodgement</w:t>
      </w:r>
      <w:r w:rsidRPr="00994E8B">
        <w:rPr>
          <w:b/>
          <w:bCs/>
          <w:iCs/>
        </w:rPr>
        <w:t xml:space="preserve"> </w:t>
      </w:r>
      <w:r w:rsidRPr="00994E8B">
        <w:t>systems. Any decision by the Department on whether or not to accept a late application to the assessment process shall be final.</w:t>
      </w:r>
    </w:p>
    <w:p w14:paraId="1E7EF92B" w14:textId="77777777" w:rsidR="00E46AB8" w:rsidRPr="00994E8B" w:rsidRDefault="00E46AB8" w:rsidP="00E46AB8">
      <w:pPr>
        <w:rPr>
          <w:b/>
          <w:bCs/>
          <w:iCs/>
        </w:rPr>
      </w:pPr>
      <w:r w:rsidRPr="00994E8B">
        <w:t>If you believe there are circumstances which will affect the timely submission of your application, you must contact us before the application closing date to negotiate an alternative submission due date.</w:t>
      </w:r>
    </w:p>
    <w:p w14:paraId="082996CE" w14:textId="77777777" w:rsidR="00E46AB8" w:rsidRPr="00994E8B" w:rsidRDefault="00E46AB8" w:rsidP="002E4AD3">
      <w:pPr>
        <w:pStyle w:val="Heading3"/>
      </w:pPr>
      <w:bookmarkStart w:id="343" w:name="_Toc129956316"/>
      <w:r w:rsidRPr="00994E8B">
        <w:t>Questions during application process</w:t>
      </w:r>
      <w:bookmarkEnd w:id="343"/>
    </w:p>
    <w:p w14:paraId="3E8B0872" w14:textId="09CDCE8B" w:rsidR="00E46AB8" w:rsidRPr="00994E8B" w:rsidRDefault="00E46AB8" w:rsidP="00E46AB8">
      <w:r w:rsidRPr="00994E8B">
        <w:t xml:space="preserve">All requests for clarification or determination of the meaning of provisions in these Guidelines should be referred to the Department by email at </w:t>
      </w:r>
      <w:hyperlink r:id="rId40" w:history="1">
        <w:r w:rsidRPr="00994E8B">
          <w:rPr>
            <w:rStyle w:val="Hyperlink"/>
          </w:rPr>
          <w:t>regionalconnectivity@communications.gov.au</w:t>
        </w:r>
      </w:hyperlink>
      <w:r w:rsidR="00C653B5" w:rsidRPr="00994E8B">
        <w:t xml:space="preserve"> for </w:t>
      </w:r>
      <w:r w:rsidR="00C653B5" w:rsidRPr="00994E8B">
        <w:rPr>
          <w:b/>
        </w:rPr>
        <w:t>Regional Connectivity Solutions</w:t>
      </w:r>
      <w:r w:rsidR="00C653B5" w:rsidRPr="00994E8B">
        <w:t xml:space="preserve"> and </w:t>
      </w:r>
      <w:hyperlink r:id="rId41" w:history="1">
        <w:r w:rsidR="00C653B5" w:rsidRPr="00994E8B">
          <w:rPr>
            <w:rStyle w:val="Hyperlink"/>
          </w:rPr>
          <w:t>MBSP@infrastructure.gov.au</w:t>
        </w:r>
      </w:hyperlink>
      <w:r w:rsidR="00C653B5" w:rsidRPr="00994E8B">
        <w:t xml:space="preserve"> for </w:t>
      </w:r>
      <w:r w:rsidR="00C653B5" w:rsidRPr="00994E8B">
        <w:rPr>
          <w:b/>
        </w:rPr>
        <w:t>Mobile Black Spot Solutions</w:t>
      </w:r>
      <w:r w:rsidRPr="00994E8B">
        <w:rPr>
          <w:b/>
          <w:bCs/>
          <w:iCs/>
        </w:rPr>
        <w:t xml:space="preserve">. </w:t>
      </w:r>
      <w:r w:rsidRPr="00994E8B">
        <w:t>The Department’s written decision on the matter is final.</w:t>
      </w:r>
    </w:p>
    <w:p w14:paraId="76CFCC4F" w14:textId="77777777" w:rsidR="00E46AB8" w:rsidRPr="00994E8B" w:rsidRDefault="00E46AB8" w:rsidP="00E46AB8">
      <w:r w:rsidRPr="00994E8B">
        <w:t xml:space="preserve">We will acknowledge and address emailed questions as soon as practicable. Answers to questions will be posted on </w:t>
      </w:r>
      <w:proofErr w:type="spellStart"/>
      <w:r w:rsidRPr="00994E8B">
        <w:t>GrantConnect</w:t>
      </w:r>
      <w:proofErr w:type="spellEnd"/>
      <w:r w:rsidRPr="00994E8B">
        <w:t xml:space="preserve"> as Frequently Asked Questions.</w:t>
      </w:r>
    </w:p>
    <w:p w14:paraId="1CDDFD2B" w14:textId="5E52CC82" w:rsidR="006E0B42" w:rsidRPr="00994E8B" w:rsidRDefault="006E0B42" w:rsidP="002E4AD3">
      <w:pPr>
        <w:pStyle w:val="Heading2"/>
      </w:pPr>
      <w:bookmarkStart w:id="344" w:name="_Toc129956317"/>
      <w:r w:rsidRPr="00994E8B">
        <w:lastRenderedPageBreak/>
        <w:t xml:space="preserve">The grant </w:t>
      </w:r>
      <w:r w:rsidR="00157339" w:rsidRPr="00994E8B">
        <w:t>S</w:t>
      </w:r>
      <w:r w:rsidRPr="00994E8B">
        <w:t xml:space="preserve">election </w:t>
      </w:r>
      <w:r w:rsidR="00157339" w:rsidRPr="00994E8B">
        <w:t>P</w:t>
      </w:r>
      <w:r w:rsidRPr="00994E8B">
        <w:t>rocess</w:t>
      </w:r>
      <w:bookmarkEnd w:id="344"/>
    </w:p>
    <w:p w14:paraId="0B4627E0" w14:textId="77777777" w:rsidR="003E63B6" w:rsidRPr="00994E8B" w:rsidRDefault="003E63B6" w:rsidP="0014541A">
      <w:pPr>
        <w:pStyle w:val="Heading3"/>
      </w:pPr>
      <w:bookmarkStart w:id="345" w:name="_Assessment_of_grant"/>
      <w:bookmarkStart w:id="346" w:name="_Toc129956318"/>
      <w:bookmarkEnd w:id="345"/>
      <w:r w:rsidRPr="00994E8B">
        <w:t>Assessment of grant applications</w:t>
      </w:r>
      <w:bookmarkEnd w:id="346"/>
    </w:p>
    <w:p w14:paraId="1D747A45" w14:textId="77777777" w:rsidR="00E46AB8" w:rsidRPr="00994E8B" w:rsidRDefault="006E0B42" w:rsidP="0014541A">
      <w:pPr>
        <w:rPr>
          <w:rFonts w:cstheme="minorHAnsi"/>
        </w:rPr>
      </w:pPr>
      <w:r w:rsidRPr="00994E8B">
        <w:rPr>
          <w:rFonts w:cstheme="minorHAnsi"/>
        </w:rPr>
        <w:t xml:space="preserve">We </w:t>
      </w:r>
      <w:r w:rsidR="00E46AB8" w:rsidRPr="00994E8B">
        <w:rPr>
          <w:rFonts w:cstheme="minorHAnsi"/>
        </w:rPr>
        <w:t>will consider eligible applications through a targeted competitive grant process.</w:t>
      </w:r>
    </w:p>
    <w:p w14:paraId="18835DE5" w14:textId="77777777" w:rsidR="00E46AB8" w:rsidRPr="00994E8B" w:rsidRDefault="00E46AB8" w:rsidP="0014541A">
      <w:pPr>
        <w:rPr>
          <w:rFonts w:cstheme="minorHAnsi"/>
        </w:rPr>
      </w:pPr>
      <w:r w:rsidRPr="00994E8B">
        <w:rPr>
          <w:rFonts w:cstheme="minorHAnsi"/>
        </w:rPr>
        <w:t>The assessment process for the program will be as follows:</w:t>
      </w:r>
    </w:p>
    <w:p w14:paraId="02B5CFD8" w14:textId="77777777" w:rsidR="00E46AB8" w:rsidRPr="00994E8B" w:rsidRDefault="00E46AB8" w:rsidP="0014541A">
      <w:pPr>
        <w:pStyle w:val="ListParagraph"/>
        <w:numPr>
          <w:ilvl w:val="0"/>
          <w:numId w:val="37"/>
        </w:numPr>
        <w:rPr>
          <w:rFonts w:cstheme="minorHAnsi"/>
        </w:rPr>
      </w:pPr>
      <w:r w:rsidRPr="00994E8B">
        <w:rPr>
          <w:rFonts w:cstheme="minorHAnsi"/>
        </w:rPr>
        <w:t>initial assessment against Eligibility Criteria</w:t>
      </w:r>
    </w:p>
    <w:p w14:paraId="13F3470C" w14:textId="297C6F92" w:rsidR="00E46AB8" w:rsidRPr="00994E8B" w:rsidRDefault="00E46AB8" w:rsidP="0014541A">
      <w:pPr>
        <w:pStyle w:val="ListParagraph"/>
        <w:numPr>
          <w:ilvl w:val="0"/>
          <w:numId w:val="37"/>
        </w:numPr>
        <w:rPr>
          <w:rFonts w:cstheme="minorHAnsi"/>
        </w:rPr>
      </w:pPr>
      <w:r w:rsidRPr="00994E8B">
        <w:rPr>
          <w:rFonts w:cstheme="minorHAnsi"/>
        </w:rPr>
        <w:t xml:space="preserve">detailed assessment against </w:t>
      </w:r>
      <w:r w:rsidR="00232862" w:rsidRPr="00994E8B">
        <w:rPr>
          <w:rFonts w:cstheme="minorHAnsi"/>
        </w:rPr>
        <w:t xml:space="preserve">Assessment </w:t>
      </w:r>
      <w:r w:rsidRPr="00994E8B">
        <w:rPr>
          <w:rFonts w:cstheme="minorHAnsi"/>
        </w:rPr>
        <w:t>Criteria</w:t>
      </w:r>
    </w:p>
    <w:p w14:paraId="76F945F7" w14:textId="25D0ED70" w:rsidR="00E46AB8" w:rsidRPr="00994E8B" w:rsidRDefault="00E46AB8" w:rsidP="0014541A">
      <w:pPr>
        <w:pStyle w:val="ListParagraph"/>
        <w:numPr>
          <w:ilvl w:val="0"/>
          <w:numId w:val="37"/>
        </w:numPr>
        <w:rPr>
          <w:rFonts w:cstheme="minorHAnsi"/>
        </w:rPr>
      </w:pPr>
      <w:r w:rsidRPr="00994E8B">
        <w:rPr>
          <w:rFonts w:cstheme="minorHAnsi"/>
        </w:rPr>
        <w:t xml:space="preserve">Value for Money assessment and consideration of whether the </w:t>
      </w:r>
      <w:r w:rsidR="00263097" w:rsidRPr="00994E8B">
        <w:t>Proposed Solution</w:t>
      </w:r>
      <w:r w:rsidRPr="00994E8B">
        <w:rPr>
          <w:rFonts w:cstheme="minorHAnsi"/>
        </w:rPr>
        <w:t xml:space="preserve"> supports a </w:t>
      </w:r>
      <w:r w:rsidR="00881141" w:rsidRPr="00994E8B">
        <w:rPr>
          <w:rFonts w:cstheme="minorHAnsi"/>
        </w:rPr>
        <w:t>G</w:t>
      </w:r>
      <w:r w:rsidRPr="00994E8B">
        <w:rPr>
          <w:rFonts w:cstheme="minorHAnsi"/>
        </w:rPr>
        <w:t xml:space="preserve">overnment priority as outlined in </w:t>
      </w:r>
      <w:hyperlink w:anchor="_Value_for_Money_1" w:history="1">
        <w:r w:rsidRPr="00994E8B">
          <w:rPr>
            <w:rStyle w:val="Hyperlink"/>
            <w:rFonts w:cstheme="minorHAnsi"/>
          </w:rPr>
          <w:t xml:space="preserve">section </w:t>
        </w:r>
        <w:r w:rsidR="00C93300" w:rsidRPr="00994E8B">
          <w:rPr>
            <w:rStyle w:val="Hyperlink"/>
            <w:rFonts w:cstheme="minorHAnsi"/>
          </w:rPr>
          <w:t>8.2</w:t>
        </w:r>
      </w:hyperlink>
    </w:p>
    <w:p w14:paraId="53FE04D3" w14:textId="77777777" w:rsidR="00E46AB8" w:rsidRPr="00994E8B" w:rsidRDefault="00E46AB8" w:rsidP="0014541A">
      <w:pPr>
        <w:pStyle w:val="ListParagraph"/>
        <w:numPr>
          <w:ilvl w:val="0"/>
          <w:numId w:val="37"/>
        </w:numPr>
        <w:rPr>
          <w:rFonts w:cstheme="minorHAnsi"/>
        </w:rPr>
      </w:pPr>
      <w:r w:rsidRPr="00994E8B">
        <w:rPr>
          <w:rFonts w:cstheme="minorHAnsi"/>
        </w:rPr>
        <w:t>comparison of similarly weighted applications for consideration of funding.</w:t>
      </w:r>
    </w:p>
    <w:p w14:paraId="530BE24D" w14:textId="4E79A132" w:rsidR="008D5844" w:rsidRPr="00994E8B" w:rsidRDefault="00202F60" w:rsidP="0014541A">
      <w:pPr>
        <w:rPr>
          <w:rFonts w:cstheme="minorHAnsi"/>
        </w:rPr>
      </w:pPr>
      <w:r w:rsidRPr="00994E8B">
        <w:rPr>
          <w:rFonts w:cstheme="minorHAnsi"/>
        </w:rPr>
        <w:t>As part of the Value for Money assessment w</w:t>
      </w:r>
      <w:r w:rsidR="00E46AB8" w:rsidRPr="00994E8B">
        <w:rPr>
          <w:rFonts w:cstheme="minorHAnsi"/>
        </w:rPr>
        <w:t xml:space="preserve">e will group all eligible </w:t>
      </w:r>
      <w:r w:rsidR="00B9503C" w:rsidRPr="00994E8B">
        <w:rPr>
          <w:rFonts w:cstheme="minorHAnsi"/>
        </w:rPr>
        <w:t>Proposed S</w:t>
      </w:r>
      <w:r w:rsidR="00654B98" w:rsidRPr="00994E8B">
        <w:rPr>
          <w:rFonts w:cstheme="minorHAnsi"/>
        </w:rPr>
        <w:t xml:space="preserve">olutions by funding stream and for </w:t>
      </w:r>
      <w:r w:rsidR="00654B98" w:rsidRPr="00994E8B">
        <w:rPr>
          <w:rFonts w:cstheme="minorHAnsi"/>
          <w:b/>
        </w:rPr>
        <w:t>Regional Connectivity Solutions</w:t>
      </w:r>
      <w:r w:rsidR="00E46AB8" w:rsidRPr="00994E8B">
        <w:rPr>
          <w:rFonts w:cstheme="minorHAnsi"/>
        </w:rPr>
        <w:t xml:space="preserve"> in</w:t>
      </w:r>
      <w:r w:rsidR="00654B98" w:rsidRPr="00994E8B">
        <w:rPr>
          <w:rFonts w:cstheme="minorHAnsi"/>
        </w:rPr>
        <w:t>to</w:t>
      </w:r>
      <w:r w:rsidR="00E46AB8" w:rsidRPr="00994E8B">
        <w:rPr>
          <w:rFonts w:cstheme="minorHAnsi"/>
        </w:rPr>
        <w:t xml:space="preserve"> the funding categories described in </w:t>
      </w:r>
      <w:hyperlink w:anchor="_Grants_available" w:history="1">
        <w:r w:rsidR="00E46AB8" w:rsidRPr="00994E8B">
          <w:rPr>
            <w:rStyle w:val="Hyperlink"/>
            <w:rFonts w:cstheme="minorHAnsi"/>
          </w:rPr>
          <w:t>section 3.1</w:t>
        </w:r>
      </w:hyperlink>
      <w:r w:rsidR="00E46AB8" w:rsidRPr="00994E8B">
        <w:rPr>
          <w:rFonts w:cstheme="minorHAnsi"/>
        </w:rPr>
        <w:t xml:space="preserve"> to ensure we compare </w:t>
      </w:r>
      <w:r w:rsidR="00263097" w:rsidRPr="00994E8B">
        <w:t>Proposed Solutions</w:t>
      </w:r>
      <w:r w:rsidR="00E46AB8" w:rsidRPr="00994E8B">
        <w:rPr>
          <w:rFonts w:cstheme="minorHAnsi"/>
        </w:rPr>
        <w:t xml:space="preserve"> of similar size against each other.</w:t>
      </w:r>
      <w:r w:rsidR="000536C3" w:rsidRPr="00994E8B">
        <w:rPr>
          <w:rFonts w:cstheme="minorHAnsi"/>
        </w:rPr>
        <w:t xml:space="preserve"> </w:t>
      </w:r>
      <w:r w:rsidR="008D5844" w:rsidRPr="00994E8B">
        <w:rPr>
          <w:rFonts w:cstheme="minorHAnsi"/>
        </w:rPr>
        <w:t xml:space="preserve"> </w:t>
      </w:r>
    </w:p>
    <w:p w14:paraId="09F5810A" w14:textId="1AC78679" w:rsidR="001546F3" w:rsidRPr="00994E8B" w:rsidRDefault="007447D0" w:rsidP="0014541A">
      <w:pPr>
        <w:rPr>
          <w:rFonts w:cstheme="minorHAnsi"/>
        </w:rPr>
      </w:pPr>
      <w:r w:rsidRPr="00994E8B">
        <w:t>T</w:t>
      </w:r>
      <w:r w:rsidR="008D5844" w:rsidRPr="00994E8B">
        <w:t xml:space="preserve">here is no separate application process or </w:t>
      </w:r>
      <w:r w:rsidR="00157339" w:rsidRPr="00994E8B">
        <w:t>E</w:t>
      </w:r>
      <w:r w:rsidR="008D5844" w:rsidRPr="00994E8B">
        <w:t xml:space="preserve">ligibility </w:t>
      </w:r>
      <w:r w:rsidR="00157339" w:rsidRPr="00994E8B">
        <w:t>C</w:t>
      </w:r>
      <w:r w:rsidR="008D5844" w:rsidRPr="00994E8B">
        <w:t xml:space="preserve">riteria to receive </w:t>
      </w:r>
      <w:r w:rsidR="00581153" w:rsidRPr="00994E8B">
        <w:t xml:space="preserve">dedicated </w:t>
      </w:r>
      <w:r w:rsidR="008D5844" w:rsidRPr="00994E8B">
        <w:t xml:space="preserve">funding </w:t>
      </w:r>
      <w:r w:rsidR="00581153" w:rsidRPr="00994E8B">
        <w:t xml:space="preserve">for </w:t>
      </w:r>
      <w:r w:rsidR="00263097" w:rsidRPr="00994E8B">
        <w:t>Proposed Solution</w:t>
      </w:r>
      <w:r w:rsidR="00581153" w:rsidRPr="00994E8B">
        <w:t xml:space="preserve">s in </w:t>
      </w:r>
      <w:r w:rsidR="001D2072" w:rsidRPr="00994E8B">
        <w:t>First Nations</w:t>
      </w:r>
      <w:r w:rsidR="00581153" w:rsidRPr="00994E8B">
        <w:t xml:space="preserve"> communities</w:t>
      </w:r>
      <w:r w:rsidR="008D5844" w:rsidRPr="00994E8B">
        <w:t>.</w:t>
      </w:r>
      <w:r w:rsidR="008D5844" w:rsidRPr="00994E8B">
        <w:rPr>
          <w:rFonts w:cstheme="minorHAnsi"/>
        </w:rPr>
        <w:t xml:space="preserve"> </w:t>
      </w:r>
      <w:r w:rsidR="000D2031" w:rsidRPr="00994E8B">
        <w:t xml:space="preserve">We will consider eligible </w:t>
      </w:r>
      <w:r w:rsidR="001D2072" w:rsidRPr="00994E8B">
        <w:t>First Nations</w:t>
      </w:r>
      <w:r w:rsidR="000D2031" w:rsidRPr="00994E8B">
        <w:t xml:space="preserve"> applications, as defined in </w:t>
      </w:r>
      <w:hyperlink w:anchor="_Application_and_selection" w:history="1">
        <w:r w:rsidR="007B6BC1" w:rsidRPr="00994E8B">
          <w:rPr>
            <w:rStyle w:val="Hyperlink"/>
          </w:rPr>
          <w:t>section 2.</w:t>
        </w:r>
        <w:r w:rsidR="003669AD" w:rsidRPr="00994E8B">
          <w:rPr>
            <w:rStyle w:val="Hyperlink"/>
          </w:rPr>
          <w:t>2</w:t>
        </w:r>
        <w:r w:rsidR="00637E2C" w:rsidRPr="00994E8B">
          <w:rPr>
            <w:rStyle w:val="Hyperlink"/>
          </w:rPr>
          <w:t>.</w:t>
        </w:r>
        <w:r w:rsidR="004428B5" w:rsidRPr="00994E8B">
          <w:rPr>
            <w:rStyle w:val="Hyperlink"/>
          </w:rPr>
          <w:t>4</w:t>
        </w:r>
      </w:hyperlink>
      <w:r w:rsidR="000D2031" w:rsidRPr="00994E8B">
        <w:t xml:space="preserve"> of these Guidelines, under a separate merit list. Eligible</w:t>
      </w:r>
      <w:r w:rsidR="00634B56" w:rsidRPr="00994E8B">
        <w:t xml:space="preserve"> </w:t>
      </w:r>
      <w:r w:rsidR="001D2072" w:rsidRPr="00994E8B">
        <w:t>First Nations</w:t>
      </w:r>
      <w:r w:rsidR="00581153" w:rsidRPr="00994E8B">
        <w:t xml:space="preserve"> </w:t>
      </w:r>
      <w:r w:rsidR="000D2031" w:rsidRPr="00994E8B">
        <w:t xml:space="preserve">solutions that are not successful in gaining dedicated </w:t>
      </w:r>
      <w:r w:rsidR="001D2072" w:rsidRPr="00994E8B">
        <w:t>First Nations</w:t>
      </w:r>
      <w:r w:rsidR="00581153" w:rsidRPr="00994E8B">
        <w:t xml:space="preserve"> </w:t>
      </w:r>
      <w:r w:rsidR="000D2031" w:rsidRPr="00994E8B">
        <w:t xml:space="preserve">funding through the </w:t>
      </w:r>
      <w:r w:rsidR="001D2072" w:rsidRPr="00994E8B">
        <w:t>First Nations</w:t>
      </w:r>
      <w:r w:rsidR="00581153" w:rsidRPr="00994E8B">
        <w:t xml:space="preserve"> </w:t>
      </w:r>
      <w:r w:rsidR="000D2031" w:rsidRPr="00994E8B">
        <w:t xml:space="preserve">merit list will be considered under the </w:t>
      </w:r>
      <w:r w:rsidR="008C2B65" w:rsidRPr="00994E8B">
        <w:t>relevant</w:t>
      </w:r>
      <w:r w:rsidR="000D2031" w:rsidRPr="00994E8B">
        <w:t xml:space="preserve"> merit list</w:t>
      </w:r>
      <w:r w:rsidR="0076452B" w:rsidRPr="00994E8B">
        <w:t xml:space="preserve"> for each funding stream</w:t>
      </w:r>
      <w:r w:rsidR="000D2031" w:rsidRPr="00994E8B">
        <w:t>.</w:t>
      </w:r>
    </w:p>
    <w:p w14:paraId="2A6400AD" w14:textId="77777777" w:rsidR="00E46AB8" w:rsidRPr="00994E8B" w:rsidRDefault="00E46AB8" w:rsidP="0014541A">
      <w:pPr>
        <w:rPr>
          <w:rFonts w:cstheme="minorHAnsi"/>
        </w:rPr>
      </w:pPr>
      <w:r w:rsidRPr="00994E8B">
        <w:rPr>
          <w:rFonts w:cstheme="minorHAnsi"/>
        </w:rPr>
        <w:t>We may seek advice regarding your Proposed Solution from state or territory government agencies, other Australian Government agencies, independent experts and other external parties. This advice may be taken into consideration when assessing the Proposed Solution.</w:t>
      </w:r>
    </w:p>
    <w:p w14:paraId="597AAE7C" w14:textId="37B63CC7" w:rsidR="00E46AB8" w:rsidRPr="00994E8B" w:rsidRDefault="00E46AB8" w:rsidP="0014541A">
      <w:pPr>
        <w:rPr>
          <w:rFonts w:cstheme="minorHAnsi"/>
        </w:rPr>
      </w:pPr>
      <w:r w:rsidRPr="00994E8B">
        <w:rPr>
          <w:rFonts w:cstheme="minorHAnsi"/>
        </w:rPr>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14:paraId="5284A961" w14:textId="77777777" w:rsidR="007B6BC1" w:rsidRPr="00994E8B" w:rsidRDefault="007B6BC1" w:rsidP="0014541A">
      <w:pPr>
        <w:spacing w:before="120"/>
        <w:rPr>
          <w:rFonts w:cstheme="minorHAnsi"/>
        </w:rPr>
      </w:pPr>
      <w:r w:rsidRPr="00994E8B">
        <w:t>An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14:paraId="4662E261" w14:textId="77777777" w:rsidR="0087150C" w:rsidRPr="00994E8B" w:rsidRDefault="0087150C" w:rsidP="0014541A">
      <w:pPr>
        <w:pStyle w:val="Heading3"/>
      </w:pPr>
      <w:bookmarkStart w:id="347" w:name="_Value_for_Money_1"/>
      <w:bookmarkStart w:id="348" w:name="_Toc129956319"/>
      <w:bookmarkEnd w:id="347"/>
      <w:r w:rsidRPr="00994E8B">
        <w:t>Value for Money and government priorities</w:t>
      </w:r>
      <w:bookmarkEnd w:id="348"/>
    </w:p>
    <w:p w14:paraId="5A936B8B" w14:textId="26B270DF" w:rsidR="0087150C" w:rsidRPr="00994E8B" w:rsidRDefault="00505FAF" w:rsidP="0014541A">
      <w:r w:rsidRPr="00994E8B">
        <w:t xml:space="preserve">Following assessment against </w:t>
      </w:r>
      <w:r w:rsidR="0087150C" w:rsidRPr="00994E8B">
        <w:t xml:space="preserve">the </w:t>
      </w:r>
      <w:r w:rsidRPr="00994E8B">
        <w:t xml:space="preserve">Eligibility and </w:t>
      </w:r>
      <w:r w:rsidR="00232862" w:rsidRPr="00994E8B">
        <w:t>Assessment</w:t>
      </w:r>
      <w:r w:rsidR="0087150C" w:rsidRPr="00994E8B">
        <w:t xml:space="preserve"> </w:t>
      </w:r>
      <w:r w:rsidR="008C2B65" w:rsidRPr="00994E8B">
        <w:t>C</w:t>
      </w:r>
      <w:r w:rsidR="0087150C" w:rsidRPr="00994E8B">
        <w:t>riteria,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14:paraId="64919833" w14:textId="77777777" w:rsidR="0087150C" w:rsidRPr="00994E8B" w:rsidRDefault="0087150C" w:rsidP="0014541A">
      <w:bookmarkStart w:id="349" w:name="_Hlk121852112"/>
      <w:r w:rsidRPr="00994E8B">
        <w:t>Factors that may be considered in the Value for Money assessment include, but are not limited to the:</w:t>
      </w:r>
    </w:p>
    <w:p w14:paraId="4088BB29" w14:textId="77777777" w:rsidR="00F67860" w:rsidRPr="00994E8B" w:rsidRDefault="0087150C" w:rsidP="0014541A">
      <w:pPr>
        <w:pStyle w:val="ListParagraph"/>
        <w:numPr>
          <w:ilvl w:val="0"/>
          <w:numId w:val="30"/>
        </w:numPr>
      </w:pPr>
      <w:r w:rsidRPr="00994E8B">
        <w:t>cost to the Commonwealth of the Proposed Solution</w:t>
      </w:r>
    </w:p>
    <w:p w14:paraId="5880FD8B" w14:textId="26A0DDED" w:rsidR="0087150C" w:rsidRPr="00994E8B" w:rsidRDefault="0087150C" w:rsidP="0014541A">
      <w:pPr>
        <w:pStyle w:val="ListParagraph"/>
        <w:numPr>
          <w:ilvl w:val="0"/>
          <w:numId w:val="30"/>
        </w:numPr>
      </w:pPr>
      <w:r w:rsidRPr="00994E8B">
        <w:t xml:space="preserve">extent to which the </w:t>
      </w:r>
      <w:r w:rsidR="00E66D91" w:rsidRPr="00994E8B">
        <w:t>Proposed Solution</w:t>
      </w:r>
      <w:r w:rsidRPr="00994E8B">
        <w:t xml:space="preserve"> would contribute to the Program objectives, including addressing an identified local priority or government priority</w:t>
      </w:r>
    </w:p>
    <w:p w14:paraId="678B9BAE" w14:textId="6D1275CF" w:rsidR="002E1C12" w:rsidRPr="00994E8B" w:rsidRDefault="002E1C12" w:rsidP="0014541A">
      <w:pPr>
        <w:pStyle w:val="ListParagraph"/>
        <w:numPr>
          <w:ilvl w:val="0"/>
          <w:numId w:val="30"/>
        </w:numPr>
      </w:pPr>
      <w:r w:rsidRPr="00994E8B">
        <w:t xml:space="preserve">for </w:t>
      </w:r>
      <w:r w:rsidR="007009DE" w:rsidRPr="00994E8B">
        <w:rPr>
          <w:b/>
        </w:rPr>
        <w:t>Mobile Black Spot Solution</w:t>
      </w:r>
      <w:r w:rsidRPr="00994E8B">
        <w:rPr>
          <w:b/>
        </w:rPr>
        <w:t>s</w:t>
      </w:r>
      <w:r w:rsidRPr="00994E8B">
        <w:t xml:space="preserve">, degree to which the </w:t>
      </w:r>
      <w:r w:rsidR="00B9503C" w:rsidRPr="00994E8B">
        <w:t>Proposed S</w:t>
      </w:r>
      <w:r w:rsidRPr="00994E8B">
        <w:t xml:space="preserve">olution </w:t>
      </w:r>
      <w:r w:rsidR="00FF1328" w:rsidRPr="00994E8B">
        <w:t>deliver</w:t>
      </w:r>
      <w:r w:rsidR="002440FC" w:rsidRPr="00994E8B">
        <w:t>s</w:t>
      </w:r>
      <w:r w:rsidR="0089797C" w:rsidRPr="00994E8B">
        <w:t xml:space="preserve"> </w:t>
      </w:r>
      <w:r w:rsidR="00731307" w:rsidRPr="00994E8B">
        <w:rPr>
          <w:b/>
        </w:rPr>
        <w:t>M</w:t>
      </w:r>
      <w:r w:rsidR="0089797C" w:rsidRPr="00994E8B">
        <w:rPr>
          <w:b/>
        </w:rPr>
        <w:t>ulti-MNO</w:t>
      </w:r>
      <w:r w:rsidR="0089797C" w:rsidRPr="00994E8B">
        <w:t xml:space="preserve"> outcomes</w:t>
      </w:r>
    </w:p>
    <w:p w14:paraId="71E04869" w14:textId="101EC188" w:rsidR="009C5199" w:rsidRPr="00994E8B" w:rsidRDefault="009C5199" w:rsidP="0014541A">
      <w:pPr>
        <w:pStyle w:val="ListParagraph"/>
        <w:numPr>
          <w:ilvl w:val="0"/>
          <w:numId w:val="30"/>
        </w:numPr>
      </w:pPr>
      <w:r w:rsidRPr="00994E8B">
        <w:lastRenderedPageBreak/>
        <w:t xml:space="preserve">extent to which the </w:t>
      </w:r>
      <w:r w:rsidR="00E66D91" w:rsidRPr="00994E8B">
        <w:t>Proposed Solution</w:t>
      </w:r>
      <w:r w:rsidRPr="00994E8B">
        <w:t xml:space="preserve"> will build on investments (aimed at delivering social and economic benefits) already </w:t>
      </w:r>
      <w:r w:rsidR="00F57ACA" w:rsidRPr="00994E8B">
        <w:t xml:space="preserve">made </w:t>
      </w:r>
      <w:r w:rsidRPr="00994E8B">
        <w:t xml:space="preserve">or planned for the </w:t>
      </w:r>
      <w:r w:rsidR="00E23628" w:rsidRPr="00994E8B">
        <w:t xml:space="preserve">Proposed Solution </w:t>
      </w:r>
      <w:r w:rsidRPr="00994E8B">
        <w:t xml:space="preserve">location </w:t>
      </w:r>
    </w:p>
    <w:p w14:paraId="4446DB0E" w14:textId="06F34238" w:rsidR="009C5199" w:rsidRPr="00994E8B" w:rsidRDefault="009C5199" w:rsidP="0014541A">
      <w:pPr>
        <w:pStyle w:val="ListParagraph"/>
        <w:numPr>
          <w:ilvl w:val="0"/>
          <w:numId w:val="30"/>
        </w:numPr>
      </w:pPr>
      <w:r w:rsidRPr="00994E8B">
        <w:t xml:space="preserve">extent of existing or planned commercial activity/investment that will impact on telecommunications services and the level of connectivity in the </w:t>
      </w:r>
      <w:r w:rsidR="00E23628" w:rsidRPr="00994E8B">
        <w:t xml:space="preserve">Proposed Solution </w:t>
      </w:r>
      <w:r w:rsidRPr="00994E8B">
        <w:t>location</w:t>
      </w:r>
    </w:p>
    <w:p w14:paraId="6D4E8C1D" w14:textId="28295CA6" w:rsidR="00D169D8" w:rsidRPr="00994E8B" w:rsidRDefault="00D169D8" w:rsidP="0014541A">
      <w:pPr>
        <w:pStyle w:val="ListParagraph"/>
        <w:numPr>
          <w:ilvl w:val="0"/>
          <w:numId w:val="30"/>
        </w:numPr>
      </w:pPr>
      <w:r w:rsidRPr="00994E8B">
        <w:t xml:space="preserve">extent to which the </w:t>
      </w:r>
      <w:r w:rsidR="00E23628" w:rsidRPr="00994E8B">
        <w:t xml:space="preserve">Proposed Solution </w:t>
      </w:r>
      <w:r w:rsidRPr="00994E8B">
        <w:t xml:space="preserve">presents a demonstrable improvement over the existing telecommunications </w:t>
      </w:r>
      <w:r w:rsidR="00D574AB" w:rsidRPr="00994E8B">
        <w:t>services</w:t>
      </w:r>
      <w:r w:rsidRPr="00994E8B">
        <w:t xml:space="preserve"> in the </w:t>
      </w:r>
      <w:r w:rsidR="00E23628" w:rsidRPr="00994E8B">
        <w:t>Proposed Solution area</w:t>
      </w:r>
    </w:p>
    <w:p w14:paraId="7962212E" w14:textId="443308DC" w:rsidR="009C5199" w:rsidRPr="00994E8B" w:rsidRDefault="009C5199" w:rsidP="0014541A">
      <w:pPr>
        <w:pStyle w:val="ListParagraph"/>
        <w:numPr>
          <w:ilvl w:val="0"/>
          <w:numId w:val="30"/>
        </w:numPr>
      </w:pPr>
      <w:r w:rsidRPr="00994E8B">
        <w:t xml:space="preserve">extent to which </w:t>
      </w:r>
      <w:r w:rsidR="00E23628" w:rsidRPr="00994E8B">
        <w:t xml:space="preserve">Proposed Solutions </w:t>
      </w:r>
      <w:r w:rsidRPr="00994E8B">
        <w:t>provide overlapping coverage in a given area, and the appropriateness of each</w:t>
      </w:r>
      <w:r w:rsidR="00B9503C" w:rsidRPr="00994E8B">
        <w:t xml:space="preserve"> Proposed</w:t>
      </w:r>
      <w:r w:rsidRPr="00994E8B">
        <w:t xml:space="preserve"> </w:t>
      </w:r>
      <w:r w:rsidR="00B9503C" w:rsidRPr="00994E8B">
        <w:t>S</w:t>
      </w:r>
      <w:r w:rsidRPr="00994E8B">
        <w:t>olution to local needs</w:t>
      </w:r>
    </w:p>
    <w:p w14:paraId="48F4E195" w14:textId="770DD3AF" w:rsidR="002E536E" w:rsidRPr="00994E8B" w:rsidRDefault="009C5199" w:rsidP="0014541A">
      <w:pPr>
        <w:pStyle w:val="ListParagraph"/>
        <w:numPr>
          <w:ilvl w:val="0"/>
          <w:numId w:val="30"/>
        </w:numPr>
      </w:pPr>
      <w:r w:rsidRPr="00994E8B">
        <w:t xml:space="preserve">extent to which the </w:t>
      </w:r>
      <w:r w:rsidR="00E23628" w:rsidRPr="00994E8B">
        <w:t>Proposed Solution</w:t>
      </w:r>
      <w:r w:rsidRPr="00994E8B">
        <w:t xml:space="preserve"> leverages additional partnerships</w:t>
      </w:r>
      <w:r w:rsidR="004C5932" w:rsidRPr="00994E8B">
        <w:t xml:space="preserve"> and in-kind contributions</w:t>
      </w:r>
    </w:p>
    <w:p w14:paraId="449FCA3C" w14:textId="65121497" w:rsidR="009C5199" w:rsidRPr="00994E8B" w:rsidRDefault="002E536E" w:rsidP="0014541A">
      <w:pPr>
        <w:pStyle w:val="ListParagraph"/>
        <w:numPr>
          <w:ilvl w:val="0"/>
          <w:numId w:val="30"/>
        </w:numPr>
      </w:pPr>
      <w:r w:rsidRPr="00994E8B">
        <w:t>extent to which the Proposed Solution supports broader Commonwealth objectives or priorities</w:t>
      </w:r>
      <w:r w:rsidR="00157A66" w:rsidRPr="00994E8B">
        <w:t>,</w:t>
      </w:r>
      <w:r w:rsidR="00950B46" w:rsidRPr="00994E8B">
        <w:t xml:space="preserve"> including</w:t>
      </w:r>
      <w:r w:rsidR="0001366C" w:rsidRPr="00994E8B">
        <w:t xml:space="preserve"> </w:t>
      </w:r>
      <w:r w:rsidR="00157A66" w:rsidRPr="00994E8B">
        <w:t>th</w:t>
      </w:r>
      <w:r w:rsidR="00B750B9" w:rsidRPr="00994E8B">
        <w:t>r</w:t>
      </w:r>
      <w:r w:rsidR="00157A66" w:rsidRPr="00994E8B">
        <w:t>ough</w:t>
      </w:r>
      <w:r w:rsidR="00625950" w:rsidRPr="00994E8B">
        <w:t xml:space="preserve"> written</w:t>
      </w:r>
      <w:r w:rsidR="00157A66" w:rsidRPr="00994E8B">
        <w:t xml:space="preserve"> support or </w:t>
      </w:r>
      <w:r w:rsidR="0001366C" w:rsidRPr="00994E8B">
        <w:t>financial</w:t>
      </w:r>
      <w:r w:rsidR="00950B46" w:rsidRPr="00994E8B">
        <w:t xml:space="preserve"> </w:t>
      </w:r>
      <w:r w:rsidR="0001366C" w:rsidRPr="00994E8B">
        <w:t>co-contributions from other Commonwealth</w:t>
      </w:r>
      <w:r w:rsidR="003C45F0" w:rsidRPr="00994E8B">
        <w:t xml:space="preserve"> Departments or</w:t>
      </w:r>
      <w:r w:rsidR="0001366C" w:rsidRPr="00994E8B">
        <w:t xml:space="preserve"> agencies</w:t>
      </w:r>
    </w:p>
    <w:p w14:paraId="411E489F" w14:textId="77777777" w:rsidR="0087150C" w:rsidRPr="00994E8B" w:rsidRDefault="0087150C" w:rsidP="0014541A">
      <w:pPr>
        <w:pStyle w:val="ListParagraph"/>
        <w:numPr>
          <w:ilvl w:val="0"/>
          <w:numId w:val="30"/>
        </w:numPr>
      </w:pPr>
      <w:r w:rsidRPr="00994E8B">
        <w:t>ability to meet the needs of end users over the Operational Period</w:t>
      </w:r>
    </w:p>
    <w:p w14:paraId="41D4DA06" w14:textId="77777777" w:rsidR="0087150C" w:rsidRPr="00994E8B" w:rsidDel="001B117E" w:rsidRDefault="0087150C" w:rsidP="0014541A">
      <w:pPr>
        <w:pStyle w:val="ListParagraph"/>
        <w:numPr>
          <w:ilvl w:val="0"/>
          <w:numId w:val="30"/>
        </w:numPr>
      </w:pPr>
      <w:r w:rsidRPr="00994E8B" w:rsidDel="001B117E">
        <w:t>forecast benefits of the Proposed Solution</w:t>
      </w:r>
    </w:p>
    <w:p w14:paraId="1DBCDEFD" w14:textId="01ACE1FD" w:rsidR="0087150C" w:rsidRPr="00994E8B" w:rsidRDefault="004C5932" w:rsidP="0014541A">
      <w:pPr>
        <w:pStyle w:val="ListParagraph"/>
        <w:numPr>
          <w:ilvl w:val="0"/>
          <w:numId w:val="30"/>
        </w:numPr>
      </w:pPr>
      <w:r w:rsidRPr="00994E8B">
        <w:t xml:space="preserve">extent to which there is </w:t>
      </w:r>
      <w:r w:rsidR="0087150C" w:rsidRPr="00994E8B">
        <w:t xml:space="preserve">an appropriate spread of </w:t>
      </w:r>
      <w:r w:rsidR="00E23628" w:rsidRPr="00994E8B">
        <w:t>Proposed Solution</w:t>
      </w:r>
      <w:r w:rsidR="0087150C" w:rsidRPr="00994E8B">
        <w:t xml:space="preserve"> types and Eligible Areas</w:t>
      </w:r>
      <w:r w:rsidRPr="00994E8B">
        <w:t>.</w:t>
      </w:r>
      <w:r w:rsidR="009B0623" w:rsidRPr="00994E8B">
        <w:t xml:space="preserve"> </w:t>
      </w:r>
    </w:p>
    <w:bookmarkEnd w:id="349"/>
    <w:p w14:paraId="71C35C56" w14:textId="07E54D2A" w:rsidR="0087150C" w:rsidRPr="00994E8B" w:rsidRDefault="0010782E" w:rsidP="0014541A">
      <w:r w:rsidRPr="00994E8B">
        <w:t xml:space="preserve">Based on the overarching Value for Money assessment, the Department reserves the right to recommend funding one or more Proposed Solutions, </w:t>
      </w:r>
      <w:r w:rsidR="00634818" w:rsidRPr="00994E8B">
        <w:t>that</w:t>
      </w:r>
      <w:r w:rsidRPr="00994E8B">
        <w:t xml:space="preserve"> were lower ranked against the </w:t>
      </w:r>
      <w:r w:rsidR="00505FAF" w:rsidRPr="00994E8B">
        <w:t xml:space="preserve">Assessment </w:t>
      </w:r>
      <w:r w:rsidRPr="00994E8B">
        <w:t>Criteria than other eligible Proposed Solutions. T</w:t>
      </w:r>
      <w:r w:rsidR="00A22B0F" w:rsidRPr="00994E8B">
        <w:t>his could include lower ranked Proposed S</w:t>
      </w:r>
      <w:r w:rsidRPr="00994E8B">
        <w:t xml:space="preserve">olutions from </w:t>
      </w:r>
      <w:r w:rsidR="001D2072" w:rsidRPr="00994E8B">
        <w:t>First Nations</w:t>
      </w:r>
      <w:r w:rsidR="00A12082" w:rsidRPr="00994E8B">
        <w:t xml:space="preserve"> communities</w:t>
      </w:r>
      <w:r w:rsidRPr="00994E8B">
        <w:t xml:space="preserve"> in recognition of the dedicated funding available </w:t>
      </w:r>
      <w:r w:rsidR="00A12082" w:rsidRPr="00994E8B">
        <w:t xml:space="preserve">for </w:t>
      </w:r>
      <w:r w:rsidR="001D2072" w:rsidRPr="00994E8B">
        <w:t>First Nations</w:t>
      </w:r>
      <w:r w:rsidR="00A12082" w:rsidRPr="00994E8B">
        <w:t xml:space="preserve"> </w:t>
      </w:r>
      <w:r w:rsidR="00E23628" w:rsidRPr="00994E8B">
        <w:t>communities</w:t>
      </w:r>
      <w:r w:rsidRPr="00994E8B">
        <w:t xml:space="preserve">. The Department also reserves the right to recommend not funding one or more Proposed Solutions, </w:t>
      </w:r>
      <w:r w:rsidR="00634818" w:rsidRPr="00994E8B">
        <w:t>that</w:t>
      </w:r>
      <w:r w:rsidRPr="00994E8B">
        <w:t xml:space="preserve"> are highly ranked against the </w:t>
      </w:r>
      <w:r w:rsidR="00505FAF" w:rsidRPr="00994E8B">
        <w:t xml:space="preserve">Assessment </w:t>
      </w:r>
      <w:r w:rsidRPr="00994E8B">
        <w:t>Criteria</w:t>
      </w:r>
      <w:r w:rsidR="00505FAF" w:rsidRPr="00994E8B">
        <w:t>,</w:t>
      </w:r>
      <w:r w:rsidRPr="00994E8B">
        <w:t xml:space="preserve"> based on the Value for Money assessment.</w:t>
      </w:r>
    </w:p>
    <w:p w14:paraId="2162E9A3" w14:textId="4E1B6764" w:rsidR="007D6A1B" w:rsidRPr="00994E8B" w:rsidRDefault="007D6A1B" w:rsidP="0014541A">
      <w:r w:rsidRPr="00994E8B">
        <w:t xml:space="preserve">The Department may, at its absolute discretion, recommend increasing the level of Commonwealth funding for one or more </w:t>
      </w:r>
      <w:r w:rsidRPr="00994E8B">
        <w:rPr>
          <w:b/>
        </w:rPr>
        <w:t>Mobile Black Spot Solution</w:t>
      </w:r>
      <w:r w:rsidRPr="00994E8B">
        <w:t xml:space="preserve"> above the maximum percentage per </w:t>
      </w:r>
      <w:r w:rsidRPr="00994E8B">
        <w:rPr>
          <w:b/>
        </w:rPr>
        <w:t>Mobile Black Spot Solution</w:t>
      </w:r>
      <w:r w:rsidRPr="00994E8B">
        <w:t xml:space="preserve"> as outlined in section 5.3, should it be considered of higher Value for Money.</w:t>
      </w:r>
    </w:p>
    <w:p w14:paraId="6EBA3392" w14:textId="77777777" w:rsidR="00C157E9" w:rsidRPr="00994E8B" w:rsidRDefault="00C157E9" w:rsidP="0014541A">
      <w:pPr>
        <w:pStyle w:val="Heading3"/>
      </w:pPr>
      <w:bookmarkStart w:id="350" w:name="_Toc129956320"/>
      <w:r w:rsidRPr="00994E8B">
        <w:t>Who will assess applications?</w:t>
      </w:r>
      <w:bookmarkEnd w:id="350"/>
    </w:p>
    <w:p w14:paraId="78594A44" w14:textId="273B571F" w:rsidR="0090586E" w:rsidRPr="00994E8B" w:rsidRDefault="007B6BC1" w:rsidP="0014541A">
      <w:pPr>
        <w:spacing w:before="120"/>
      </w:pPr>
      <w:r w:rsidRPr="00994E8B">
        <w:t>The</w:t>
      </w:r>
      <w:r w:rsidR="00C157E9" w:rsidRPr="00994E8B">
        <w:t xml:space="preserve"> </w:t>
      </w:r>
      <w:r w:rsidR="0090586E" w:rsidRPr="00994E8B">
        <w:t>evaluation committee will assess each application on its merits and compare it to other eligible applications before recommending which Proposed Solutions should be awarded a grant</w:t>
      </w:r>
      <w:r w:rsidR="007F62AE" w:rsidRPr="00994E8B">
        <w:t xml:space="preserve"> (if any)</w:t>
      </w:r>
      <w:r w:rsidR="0090586E" w:rsidRPr="00994E8B">
        <w:t>.</w:t>
      </w:r>
    </w:p>
    <w:p w14:paraId="14831801" w14:textId="77777777" w:rsidR="0090586E" w:rsidRPr="00994E8B" w:rsidRDefault="0090586E" w:rsidP="0014541A">
      <w:pPr>
        <w:spacing w:before="120"/>
      </w:pPr>
      <w:r w:rsidRPr="00994E8B">
        <w:t>We may ask external advisors to inform the assessment process. Any advisor who is not a Commonwealth Official will be required to perform their duties in accordance with the CGRGs.</w:t>
      </w:r>
    </w:p>
    <w:p w14:paraId="043C973D" w14:textId="77777777" w:rsidR="0004553D" w:rsidRPr="00994E8B" w:rsidRDefault="0090586E" w:rsidP="0014541A">
      <w:pPr>
        <w:spacing w:before="120"/>
      </w:pPr>
      <w:r w:rsidRPr="00994E8B">
        <w:t>The evaluation committee recommends to the Decision Maker which applications to approve for a grant.</w:t>
      </w:r>
    </w:p>
    <w:p w14:paraId="2382AD78" w14:textId="77777777" w:rsidR="00C157E9" w:rsidRPr="00994E8B" w:rsidRDefault="00C157E9" w:rsidP="0014541A">
      <w:pPr>
        <w:pStyle w:val="Heading3"/>
      </w:pPr>
      <w:bookmarkStart w:id="351" w:name="_Who_will_approve"/>
      <w:bookmarkStart w:id="352" w:name="_Toc129956321"/>
      <w:bookmarkEnd w:id="351"/>
      <w:r w:rsidRPr="00994E8B">
        <w:t>Who will approve grants?</w:t>
      </w:r>
      <w:bookmarkEnd w:id="352"/>
    </w:p>
    <w:p w14:paraId="674591CF" w14:textId="02CDFEA2" w:rsidR="0090586E" w:rsidRPr="00994E8B" w:rsidRDefault="00C157E9" w:rsidP="0090586E">
      <w:r w:rsidRPr="00994E8B">
        <w:t>The</w:t>
      </w:r>
      <w:r w:rsidR="00AA2994" w:rsidRPr="00994E8B">
        <w:t xml:space="preserve"> </w:t>
      </w:r>
      <w:r w:rsidR="0090586E" w:rsidRPr="00994E8B">
        <w:t xml:space="preserve">Minister for </w:t>
      </w:r>
      <w:r w:rsidR="00EF2BDA" w:rsidRPr="00994E8B">
        <w:t>Communications</w:t>
      </w:r>
      <w:r w:rsidR="0090586E" w:rsidRPr="00994E8B">
        <w:t xml:space="preserve"> (the Decision Maker) decides which grants to approve, </w:t>
      </w:r>
      <w:proofErr w:type="gramStart"/>
      <w:r w:rsidR="0090586E" w:rsidRPr="00994E8B">
        <w:t>taking into account</w:t>
      </w:r>
      <w:proofErr w:type="gramEnd"/>
      <w:r w:rsidR="0090586E" w:rsidRPr="00994E8B">
        <w:t xml:space="preserve"> the recommendations of the evaluation committee and the availability of grant funds for the purposes of the Grant Opportunity.</w:t>
      </w:r>
    </w:p>
    <w:p w14:paraId="72F79B65" w14:textId="77777777" w:rsidR="0090586E" w:rsidRPr="00994E8B" w:rsidRDefault="0090586E" w:rsidP="0090586E">
      <w:r w:rsidRPr="00994E8B">
        <w:t>The Minister’s decision is final in all matters, including the:</w:t>
      </w:r>
    </w:p>
    <w:p w14:paraId="201172CC" w14:textId="3B29E381" w:rsidR="0090586E" w:rsidRPr="00994E8B" w:rsidRDefault="0090586E" w:rsidP="00E2664E">
      <w:pPr>
        <w:pStyle w:val="ListParagraph"/>
        <w:numPr>
          <w:ilvl w:val="0"/>
          <w:numId w:val="38"/>
        </w:numPr>
      </w:pPr>
      <w:r w:rsidRPr="00994E8B">
        <w:t>approval of applications for funding</w:t>
      </w:r>
      <w:r w:rsidR="00376F54" w:rsidRPr="00994E8B">
        <w:t>;</w:t>
      </w:r>
    </w:p>
    <w:p w14:paraId="586DAE63" w14:textId="77777777" w:rsidR="0090586E" w:rsidRPr="00994E8B" w:rsidRDefault="0090586E" w:rsidP="00E2664E">
      <w:pPr>
        <w:pStyle w:val="ListParagraph"/>
        <w:numPr>
          <w:ilvl w:val="0"/>
          <w:numId w:val="38"/>
        </w:numPr>
      </w:pPr>
      <w:r w:rsidRPr="00994E8B">
        <w:t>amount of grant funding awarded; and</w:t>
      </w:r>
    </w:p>
    <w:p w14:paraId="02C7E13D" w14:textId="77777777" w:rsidR="0090586E" w:rsidRPr="00994E8B" w:rsidRDefault="0090586E" w:rsidP="00E2664E">
      <w:pPr>
        <w:pStyle w:val="ListParagraph"/>
        <w:numPr>
          <w:ilvl w:val="0"/>
          <w:numId w:val="38"/>
        </w:numPr>
      </w:pPr>
      <w:r w:rsidRPr="00994E8B">
        <w:t>terms and conditions of funding.</w:t>
      </w:r>
    </w:p>
    <w:p w14:paraId="49188965" w14:textId="59AC24C9" w:rsidR="00E459C5" w:rsidRPr="00994E8B" w:rsidRDefault="0090586E" w:rsidP="0090586E">
      <w:pPr>
        <w:rPr>
          <w:rStyle w:val="Hyperlink"/>
        </w:rPr>
      </w:pPr>
      <w:r w:rsidRPr="00994E8B">
        <w:t xml:space="preserve">There is no appeal mechanism for decisions to approve or not approve a grant. An applicant who is dissatisfied with the outcome may contact the Commonwealth Ombudsman as set out in </w:t>
      </w:r>
      <w:r w:rsidR="00C93300" w:rsidRPr="00994E8B">
        <w:fldChar w:fldCharType="begin"/>
      </w:r>
      <w:r w:rsidR="00C93300" w:rsidRPr="00994E8B">
        <w:instrText xml:space="preserve"> HYPERLINK  \l "_Enquiries_and_feedback" </w:instrText>
      </w:r>
      <w:r w:rsidR="00C93300" w:rsidRPr="00994E8B">
        <w:fldChar w:fldCharType="separate"/>
      </w:r>
      <w:r w:rsidRPr="00994E8B">
        <w:rPr>
          <w:rStyle w:val="Hyperlink"/>
        </w:rPr>
        <w:t>section</w:t>
      </w:r>
      <w:r w:rsidR="00EF2BDA" w:rsidRPr="00994E8B">
        <w:rPr>
          <w:rStyle w:val="Hyperlink"/>
        </w:rPr>
        <w:t> </w:t>
      </w:r>
      <w:r w:rsidRPr="00994E8B">
        <w:rPr>
          <w:rStyle w:val="Hyperlink"/>
        </w:rPr>
        <w:t>1</w:t>
      </w:r>
      <w:r w:rsidR="002F2E1B">
        <w:rPr>
          <w:rStyle w:val="Hyperlink"/>
        </w:rPr>
        <w:t>3.1</w:t>
      </w:r>
      <w:r w:rsidRPr="00994E8B">
        <w:rPr>
          <w:rStyle w:val="Hyperlink"/>
        </w:rPr>
        <w:t>.</w:t>
      </w:r>
    </w:p>
    <w:p w14:paraId="4D5BD64A" w14:textId="77777777" w:rsidR="00DB5819" w:rsidRPr="00994E8B" w:rsidRDefault="00C93300" w:rsidP="002E4AD3">
      <w:pPr>
        <w:pStyle w:val="Heading2"/>
      </w:pPr>
      <w:r w:rsidRPr="00994E8B">
        <w:rPr>
          <w:rFonts w:cs="Times New Roman"/>
          <w:color w:val="auto"/>
          <w:sz w:val="20"/>
          <w:szCs w:val="20"/>
        </w:rPr>
        <w:lastRenderedPageBreak/>
        <w:fldChar w:fldCharType="end"/>
      </w:r>
      <w:bookmarkStart w:id="353" w:name="_Toc129956322"/>
      <w:r w:rsidR="00FB0C71" w:rsidRPr="00994E8B">
        <w:t>Notification of application outcomes</w:t>
      </w:r>
      <w:bookmarkEnd w:id="353"/>
    </w:p>
    <w:p w14:paraId="5738A342" w14:textId="77777777" w:rsidR="00FB0C71" w:rsidRPr="00994E8B" w:rsidRDefault="00272178" w:rsidP="00FB0C71">
      <w:r w:rsidRPr="00994E8B">
        <w:t xml:space="preserve">We </w:t>
      </w:r>
      <w:r w:rsidR="0090586E" w:rsidRPr="00994E8B">
        <w:t>will advise you of the outcome of your application in writing. If you are successful, we will advise you of any specific conditions attached to the grant.</w:t>
      </w:r>
    </w:p>
    <w:p w14:paraId="32DBF4AB" w14:textId="77777777" w:rsidR="00FB0C71" w:rsidRPr="00994E8B" w:rsidRDefault="00FB0C71" w:rsidP="0014541A">
      <w:pPr>
        <w:pStyle w:val="Heading3"/>
      </w:pPr>
      <w:bookmarkStart w:id="354" w:name="_Toc129956323"/>
      <w:r w:rsidRPr="00994E8B">
        <w:t>Feedback on your application</w:t>
      </w:r>
      <w:bookmarkEnd w:id="354"/>
    </w:p>
    <w:p w14:paraId="3B4607DB" w14:textId="77777777" w:rsidR="00FB0C71" w:rsidRPr="00994E8B" w:rsidRDefault="00FB0C71" w:rsidP="00FB0C71">
      <w:r w:rsidRPr="00994E8B">
        <w:t xml:space="preserve">If you </w:t>
      </w:r>
      <w:r w:rsidR="0090586E" w:rsidRPr="00994E8B">
        <w:t xml:space="preserve">are unsuccessful in obtaining a grant, you may ask for feedback within </w:t>
      </w:r>
      <w:r w:rsidR="00D574AB" w:rsidRPr="00994E8B">
        <w:t xml:space="preserve">28 </w:t>
      </w:r>
      <w:r w:rsidR="0090586E" w:rsidRPr="00994E8B">
        <w:t>days of being advised of the outcome. We will give written feedback within one month of your request.</w:t>
      </w:r>
    </w:p>
    <w:p w14:paraId="08A83E32" w14:textId="77777777" w:rsidR="00DB5819" w:rsidRPr="00994E8B" w:rsidRDefault="00FB0C71" w:rsidP="002E4AD3">
      <w:pPr>
        <w:pStyle w:val="Heading2"/>
      </w:pPr>
      <w:bookmarkStart w:id="355" w:name="_Toc129956324"/>
      <w:r w:rsidRPr="00994E8B">
        <w:t>Successful grant applications</w:t>
      </w:r>
      <w:bookmarkEnd w:id="355"/>
    </w:p>
    <w:p w14:paraId="3966AB47" w14:textId="77777777" w:rsidR="00FB0C71" w:rsidRPr="00994E8B" w:rsidRDefault="0090586E" w:rsidP="0014541A">
      <w:pPr>
        <w:pStyle w:val="Heading3"/>
      </w:pPr>
      <w:bookmarkStart w:id="356" w:name="_Toc129956325"/>
      <w:r w:rsidRPr="00994E8B">
        <w:t>The Grant A</w:t>
      </w:r>
      <w:r w:rsidR="00FB0C71" w:rsidRPr="00994E8B">
        <w:t>greement</w:t>
      </w:r>
      <w:bookmarkEnd w:id="356"/>
    </w:p>
    <w:p w14:paraId="0AE14D55" w14:textId="0E2EC506" w:rsidR="005C6FC0" w:rsidRPr="00994E8B" w:rsidRDefault="005C6FC0" w:rsidP="005C6FC0">
      <w:bookmarkStart w:id="357" w:name="_Toc466898121"/>
      <w:bookmarkEnd w:id="320"/>
      <w:bookmarkEnd w:id="321"/>
      <w:r w:rsidRPr="00994E8B">
        <w:t>Each Grantee will be required to enter into a Grant Agreement (or Agreements if successful in both streams) with the Commonwealth. Each Grant Agreement will set out the Grantee’s obligations in respect of the roll-out and service terms for each Funded Project. Where the Grantee is successful in obtaining funding for both Regional Connectivity Solutions and Mobile Black Spot Solutions, the Regional Connectivity Solutions will be covered by a separate Grant Agreement to the Mobile Black Spot Solutions.</w:t>
      </w:r>
    </w:p>
    <w:p w14:paraId="006070DA" w14:textId="77777777" w:rsidR="005C6FC0" w:rsidRPr="00994E8B" w:rsidRDefault="005C6FC0" w:rsidP="005C6FC0">
      <w:r w:rsidRPr="00994E8B">
        <w:t xml:space="preserve">A sample Grant Agreement for Regional Connectivity Solutions and a separate sample Grant Agreement for Mobile Black Spot Solutions will be available shortly after the opening of the application round. </w:t>
      </w:r>
    </w:p>
    <w:p w14:paraId="3E02A028" w14:textId="72EB0420" w:rsidR="007A0604" w:rsidRPr="00994E8B" w:rsidRDefault="005C6FC0" w:rsidP="00DE4C0D">
      <w:r w:rsidRPr="00994E8B">
        <w:t xml:space="preserve">Applicants requesting any changes to the applicable sample Grant Agreement should provide full details of the proposed changes in their application, for consideration by the Department (see section 7.4 of these Guidelines). An applicant who was a previous funding recipient under either stream of the Program may, at the time of making their application, request to use a previously agreed funding agreement for that stream, with appropriate updates specified by the Commonwealth, as the basis for their Round 3 Agreement (an Updated Previous Funding Agreement). </w:t>
      </w:r>
      <w:r w:rsidR="008737F9" w:rsidRPr="00994E8B">
        <w:t xml:space="preserve">For RCP Round 2 funding recipients that are successful under Round 3 when seeking funding for a Regional Connectivity Solution, they may request to use their executed Round 2 Grant Agreement as the basis for the Round 3 Grant Agreement. </w:t>
      </w:r>
      <w:r w:rsidRPr="00994E8B">
        <w:t>The decision to use an Updated Previous Funding Agreement as the basis for the Round 3 Grant Agreement is at the ultimate discretion of the Commonwealth</w:t>
      </w:r>
      <w:r w:rsidR="00DE4C0D" w:rsidRPr="00994E8B">
        <w:t>.</w:t>
      </w:r>
    </w:p>
    <w:p w14:paraId="610890AE" w14:textId="4855EB5B" w:rsidR="00E61185" w:rsidRPr="00994E8B" w:rsidRDefault="00E61185" w:rsidP="00DE4C0D">
      <w:r w:rsidRPr="00994E8B">
        <w:t xml:space="preserve"> </w:t>
      </w:r>
    </w:p>
    <w:p w14:paraId="20A34059" w14:textId="20CA3C13" w:rsidR="00590EE5" w:rsidRPr="00994E8B" w:rsidRDefault="00F210F8" w:rsidP="00F210F8">
      <w:r w:rsidRPr="00994E8B">
        <w:t xml:space="preserve">We must execute a Grant Agreement with </w:t>
      </w:r>
      <w:r w:rsidR="003D095B" w:rsidRPr="00994E8B">
        <w:t>the applicant</w:t>
      </w:r>
      <w:r w:rsidRPr="00994E8B">
        <w:t xml:space="preserve"> before we can make any payments. We are not responsible for any of </w:t>
      </w:r>
      <w:r w:rsidR="00020DAF" w:rsidRPr="00994E8B">
        <w:t>the applicant’s</w:t>
      </w:r>
      <w:r w:rsidRPr="00994E8B">
        <w:t xml:space="preserve"> expenditure until a Grant Agreement is executed. </w:t>
      </w:r>
      <w:r w:rsidR="00020DAF" w:rsidRPr="00994E8B">
        <w:t>Applicant’s</w:t>
      </w:r>
      <w:r w:rsidRPr="00994E8B">
        <w:t xml:space="preserve"> should not start any activities relating to</w:t>
      </w:r>
      <w:r w:rsidR="00E23628" w:rsidRPr="00994E8B">
        <w:t xml:space="preserve"> a</w:t>
      </w:r>
      <w:r w:rsidRPr="00994E8B">
        <w:t xml:space="preserve"> </w:t>
      </w:r>
      <w:r w:rsidR="003F01F2" w:rsidRPr="00994E8B">
        <w:t xml:space="preserve">Funded Project </w:t>
      </w:r>
      <w:r w:rsidRPr="00994E8B">
        <w:t xml:space="preserve">until a Grant Agreement is executed. Each successful </w:t>
      </w:r>
      <w:r w:rsidR="00BB395A" w:rsidRPr="00994E8B">
        <w:t>applicant</w:t>
      </w:r>
      <w:r w:rsidRPr="00994E8B">
        <w:t xml:space="preserve"> must enter into a legally binding Grant Agreement with the Commonwealth prior to the Government’s announcement of successful locations and Grantees.</w:t>
      </w:r>
    </w:p>
    <w:p w14:paraId="31E867B5" w14:textId="77777777" w:rsidR="00BE5E88" w:rsidRPr="00994E8B" w:rsidRDefault="00ED1D5F" w:rsidP="00F210F8">
      <w:r w:rsidRPr="00994E8B">
        <w:t>The</w:t>
      </w:r>
      <w:r w:rsidR="00590EE5" w:rsidRPr="00994E8B">
        <w:t xml:space="preserve"> </w:t>
      </w:r>
      <w:r w:rsidRPr="00994E8B">
        <w:t xml:space="preserve">Commonwealth expects Grant Agreement terms to be reached with a successful Grantee within </w:t>
      </w:r>
      <w:r w:rsidR="00D574AB" w:rsidRPr="00994E8B">
        <w:t xml:space="preserve">60 </w:t>
      </w:r>
      <w:r w:rsidRPr="00994E8B">
        <w:t xml:space="preserve">Business days of the proposed Grantee being advised in writing that the Commonwealth is prepared to financially support the Proposed Solutions/s.  If terms have not been agreed within </w:t>
      </w:r>
      <w:r w:rsidR="00D574AB" w:rsidRPr="00994E8B">
        <w:t xml:space="preserve">60 </w:t>
      </w:r>
      <w:r w:rsidRPr="00994E8B">
        <w:t>Business days, and without limiting any other rights or discretions, the Commonwealth reserves to the right not to proceed with a Grant Agreement for the Proposed Solution.</w:t>
      </w:r>
      <w:r w:rsidRPr="00994E8B">
        <w:rPr>
          <w:color w:val="FF0000"/>
        </w:rPr>
        <w:t xml:space="preserve"> </w:t>
      </w:r>
    </w:p>
    <w:p w14:paraId="784ED6CC" w14:textId="77777777" w:rsidR="00A57577" w:rsidRPr="00994E8B" w:rsidRDefault="00A57577" w:rsidP="0014541A">
      <w:pPr>
        <w:pStyle w:val="Heading3"/>
      </w:pPr>
      <w:bookmarkStart w:id="358" w:name="_Toc129875659"/>
      <w:bookmarkStart w:id="359" w:name="_Toc129940666"/>
      <w:bookmarkStart w:id="360" w:name="_Toc129940826"/>
      <w:bookmarkStart w:id="361" w:name="_Toc129941343"/>
      <w:bookmarkStart w:id="362" w:name="_Toc129941502"/>
      <w:bookmarkStart w:id="363" w:name="_Toc129941844"/>
      <w:bookmarkStart w:id="364" w:name="_Toc129941969"/>
      <w:bookmarkStart w:id="365" w:name="_Toc129942094"/>
      <w:bookmarkStart w:id="366" w:name="_Toc129943531"/>
      <w:bookmarkStart w:id="367" w:name="_Toc129940667"/>
      <w:bookmarkStart w:id="368" w:name="_Toc129940827"/>
      <w:bookmarkStart w:id="369" w:name="_Toc129941344"/>
      <w:bookmarkStart w:id="370" w:name="_Toc129941503"/>
      <w:bookmarkStart w:id="371" w:name="_Toc129941845"/>
      <w:bookmarkStart w:id="372" w:name="_Toc129941970"/>
      <w:bookmarkStart w:id="373" w:name="_Toc129942095"/>
      <w:bookmarkStart w:id="374" w:name="_Toc129943532"/>
      <w:bookmarkStart w:id="375" w:name="_Toc12995632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994E8B">
        <w:t>Specific legislation, policies and industry standards</w:t>
      </w:r>
      <w:bookmarkEnd w:id="375"/>
      <w:r w:rsidRPr="00994E8B">
        <w:t xml:space="preserve"> </w:t>
      </w:r>
    </w:p>
    <w:p w14:paraId="039351E4" w14:textId="77777777" w:rsidR="00A57577" w:rsidRPr="00994E8B" w:rsidRDefault="00A57577" w:rsidP="002E4AD3">
      <w:r w:rsidRPr="00994E8B">
        <w:t xml:space="preserve">Whilst applicants are required to be compliant with all laws and regulations, they may be requested to demonstrate compliance with relevant legislation, policies or industry standards. For example, </w:t>
      </w:r>
      <w:r w:rsidRPr="00994E8B">
        <w:lastRenderedPageBreak/>
        <w:t xml:space="preserve">applicants may be requested to demonstrate compliance with health, safety or security related legislation, policies or industry standards that are in any way applicable to the Funded Project. </w:t>
      </w:r>
    </w:p>
    <w:p w14:paraId="45B93C05" w14:textId="77777777" w:rsidR="00A57577" w:rsidRPr="00994E8B" w:rsidRDefault="00A57577" w:rsidP="002E4AD3">
      <w:pPr>
        <w:pStyle w:val="Heading4"/>
      </w:pPr>
      <w:bookmarkStart w:id="376" w:name="_Toc129956327"/>
      <w:r w:rsidRPr="00994E8B">
        <w:t>Australian Industry Participation (AIP) Plan</w:t>
      </w:r>
      <w:bookmarkEnd w:id="376"/>
    </w:p>
    <w:p w14:paraId="6E405B63" w14:textId="352E26A9" w:rsidR="00A57577" w:rsidRPr="00994E8B" w:rsidRDefault="00A57577" w:rsidP="002E4AD3">
      <w:r w:rsidRPr="00994E8B">
        <w:t>Grant applicants should note that for funding of $20 million or more, subject to advice from the Department of Industry, Science and Resources, the Australian Industry Participation National Framework principles, including an AIP plan requirement, may apply to the grant agreement(s). More information on AIP plan requirements can be found at</w:t>
      </w:r>
      <w:r w:rsidR="007D7707">
        <w:t xml:space="preserve"> </w:t>
      </w:r>
      <w:hyperlink r:id="rId42" w:history="1">
        <w:r w:rsidR="007D7707" w:rsidRPr="007D7707">
          <w:rPr>
            <w:rStyle w:val="Hyperlink"/>
          </w:rPr>
          <w:t>https://i</w:t>
        </w:r>
        <w:r w:rsidRPr="007D7707">
          <w:rPr>
            <w:rStyle w:val="Hyperlink"/>
          </w:rPr>
          <w:t>ndustry.gov.au/aip</w:t>
        </w:r>
      </w:hyperlink>
      <w:r w:rsidRPr="00994E8B">
        <w:t xml:space="preserve">. </w:t>
      </w:r>
    </w:p>
    <w:p w14:paraId="35FEE16C" w14:textId="77777777" w:rsidR="00A57577" w:rsidRPr="00994E8B" w:rsidRDefault="00A57577" w:rsidP="002E4AD3">
      <w:pPr>
        <w:pStyle w:val="Heading4"/>
      </w:pPr>
      <w:bookmarkStart w:id="377" w:name="_Toc129956328"/>
      <w:r w:rsidRPr="00994E8B">
        <w:t>WHS Accreditation Scheme</w:t>
      </w:r>
      <w:bookmarkEnd w:id="377"/>
    </w:p>
    <w:p w14:paraId="0E1ABAD6" w14:textId="47D1AB40" w:rsidR="00A57577" w:rsidRPr="00994E8B" w:rsidRDefault="00A57577" w:rsidP="00A57577">
      <w:r w:rsidRPr="00994E8B">
        <w:t xml:space="preserve">Building work undertaken as part of the Funded Project/s funded under this agreement may be covered by the Work Health and Safety Accreditation Scheme (WHS Accreditation Scheme). The WHS Accreditation Scheme is established under the </w:t>
      </w:r>
      <w:r w:rsidR="00AB539F" w:rsidRPr="00994E8B">
        <w:t xml:space="preserve">Federal Safety Commissioner Act 2022 </w:t>
      </w:r>
      <w:r w:rsidRPr="00994E8B">
        <w:t xml:space="preserve">and specified in the </w:t>
      </w:r>
      <w:r w:rsidRPr="00994E8B">
        <w:rPr>
          <w:i/>
        </w:rPr>
        <w:t>Building and Construction Industry (Improving Productivity) (Accreditation Scheme) Rules 2019</w:t>
      </w:r>
      <w:r w:rsidRPr="00994E8B">
        <w:t xml:space="preserve">. </w:t>
      </w:r>
    </w:p>
    <w:p w14:paraId="327E6BF9" w14:textId="77777777" w:rsidR="00A57577" w:rsidRPr="00994E8B" w:rsidRDefault="00A57577" w:rsidP="00A57577">
      <w:r w:rsidRPr="00994E8B">
        <w:t xml:space="preserve">The WHS Accreditation Scheme applies to building work that is indirectly funded by the Commonwealth or a corporate Commonwealth entity if it is carried out under a contract with a value of $4 million or more (GST inclusive) and the contribution made to the funding of the project that includes the building work by the Commonwealth or corporate Commonwealth entity is at least: </w:t>
      </w:r>
    </w:p>
    <w:p w14:paraId="37010D31"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 xml:space="preserve">$6,000,000 (GST inclusive) and represents at least 50% of the total funding; or </w:t>
      </w:r>
    </w:p>
    <w:p w14:paraId="3E63F38F"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 xml:space="preserve">$10,000,000 (GST inclusive). </w:t>
      </w:r>
    </w:p>
    <w:p w14:paraId="1B8377DD" w14:textId="77777777" w:rsidR="00A57577" w:rsidRPr="00994E8B" w:rsidRDefault="00A57577" w:rsidP="00A57577">
      <w:pPr>
        <w:tabs>
          <w:tab w:val="left" w:pos="0"/>
        </w:tabs>
        <w:rPr>
          <w:bCs/>
          <w:lang w:eastAsia="en-AU"/>
        </w:rPr>
      </w:pPr>
      <w:r w:rsidRPr="00994E8B">
        <w:rPr>
          <w:bCs/>
          <w:lang w:eastAsia="en-AU"/>
        </w:rPr>
        <w:t xml:space="preserve">A successful applicant who is the builder must comply with all conditions of Scheme accreditation and successful applicants who will be engaging builders to undertake the building work must require builders to comply with all conditions of Scheme accreditation. </w:t>
      </w:r>
    </w:p>
    <w:p w14:paraId="1D9A14A1" w14:textId="77777777" w:rsidR="00A57577" w:rsidRPr="00994E8B" w:rsidRDefault="00A57577" w:rsidP="0014541A">
      <w:pPr>
        <w:pStyle w:val="Heading3"/>
      </w:pPr>
      <w:bookmarkStart w:id="378" w:name="_Toc129956329"/>
      <w:r w:rsidRPr="00994E8B">
        <w:t>How we pay the grant</w:t>
      </w:r>
      <w:bookmarkEnd w:id="378"/>
    </w:p>
    <w:p w14:paraId="3B1638EF" w14:textId="77777777" w:rsidR="00A57577" w:rsidRPr="00994E8B" w:rsidRDefault="00A57577" w:rsidP="00A57577">
      <w:pPr>
        <w:tabs>
          <w:tab w:val="left" w:pos="0"/>
        </w:tabs>
        <w:rPr>
          <w:bCs/>
          <w:lang w:eastAsia="en-AU"/>
        </w:rPr>
      </w:pPr>
      <w:r w:rsidRPr="00994E8B">
        <w:rPr>
          <w:bCs/>
          <w:lang w:eastAsia="en-AU"/>
        </w:rPr>
        <w:t>The Grant Agreement will state:</w:t>
      </w:r>
    </w:p>
    <w:p w14:paraId="5E92F77F"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the maximum grant amount to be paid;</w:t>
      </w:r>
    </w:p>
    <w:p w14:paraId="472DB8B3"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the proportion of eligible expenditure covered by the grant;</w:t>
      </w:r>
    </w:p>
    <w:p w14:paraId="401384A4"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any financial contributions provided by you or a third party;</w:t>
      </w:r>
    </w:p>
    <w:p w14:paraId="47D46AB5"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any in-kind contributions you will make; and</w:t>
      </w:r>
    </w:p>
    <w:p w14:paraId="3B0E8782" w14:textId="77777777" w:rsidR="00A57577" w:rsidRPr="00994E8B" w:rsidRDefault="00A57577" w:rsidP="00A57577">
      <w:pPr>
        <w:pStyle w:val="ListParagraph"/>
        <w:numPr>
          <w:ilvl w:val="0"/>
          <w:numId w:val="39"/>
        </w:numPr>
        <w:tabs>
          <w:tab w:val="left" w:pos="0"/>
        </w:tabs>
        <w:rPr>
          <w:bCs/>
          <w:lang w:eastAsia="en-AU"/>
        </w:rPr>
      </w:pPr>
      <w:r w:rsidRPr="00994E8B">
        <w:rPr>
          <w:bCs/>
          <w:lang w:eastAsia="en-AU"/>
        </w:rPr>
        <w:t>any other requirements.</w:t>
      </w:r>
    </w:p>
    <w:p w14:paraId="37715354" w14:textId="77777777" w:rsidR="00A57577" w:rsidRPr="00994E8B" w:rsidRDefault="00A57577" w:rsidP="00A57577">
      <w:pPr>
        <w:tabs>
          <w:tab w:val="left" w:pos="0"/>
        </w:tabs>
        <w:rPr>
          <w:bCs/>
          <w:lang w:eastAsia="en-AU"/>
        </w:rPr>
      </w:pPr>
      <w:r w:rsidRPr="00994E8B">
        <w:rPr>
          <w:bCs/>
          <w:lang w:eastAsia="en-AU"/>
        </w:rPr>
        <w:t>We will not exceed the maximum grant amount under any circumstances. If applicants incur extra costs, they must meet them themselves.</w:t>
      </w:r>
    </w:p>
    <w:p w14:paraId="119693D6" w14:textId="77777777" w:rsidR="00A57577" w:rsidRPr="00994E8B" w:rsidRDefault="00A57577" w:rsidP="00A57577">
      <w:pPr>
        <w:tabs>
          <w:tab w:val="left" w:pos="0"/>
        </w:tabs>
        <w:rPr>
          <w:bCs/>
          <w:lang w:eastAsia="en-AU"/>
        </w:rPr>
      </w:pPr>
      <w:r w:rsidRPr="00994E8B">
        <w:rPr>
          <w:bCs/>
          <w:lang w:eastAsia="en-AU"/>
        </w:rPr>
        <w:t xml:space="preserve">We may make an initial payment on execution of the Grant Agreement. We will make subsequent payments as applicants achieve Asset completion demonstrated by a satisfactory report, based on </w:t>
      </w:r>
      <w:proofErr w:type="gramStart"/>
      <w:r w:rsidRPr="00994E8B">
        <w:rPr>
          <w:bCs/>
          <w:lang w:eastAsia="en-AU"/>
        </w:rPr>
        <w:t>applicants</w:t>
      </w:r>
      <w:proofErr w:type="gramEnd"/>
      <w:r w:rsidRPr="00994E8B">
        <w:rPr>
          <w:bCs/>
          <w:lang w:eastAsia="en-AU"/>
        </w:rPr>
        <w:t xml:space="preserve"> actual eligible expenditure. These payments are subject to satisfactory progress on the Funded Project.</w:t>
      </w:r>
    </w:p>
    <w:p w14:paraId="58B235CF" w14:textId="77777777" w:rsidR="00A57577" w:rsidRPr="00994E8B" w:rsidRDefault="00A57577" w:rsidP="00A57577">
      <w:pPr>
        <w:tabs>
          <w:tab w:val="left" w:pos="0"/>
        </w:tabs>
        <w:rPr>
          <w:bCs/>
          <w:lang w:eastAsia="en-AU"/>
        </w:rPr>
      </w:pPr>
      <w:r w:rsidRPr="00994E8B">
        <w:rPr>
          <w:bCs/>
          <w:lang w:eastAsia="en-AU"/>
        </w:rPr>
        <w:t xml:space="preserve">For </w:t>
      </w:r>
      <w:r w:rsidRPr="00994E8B">
        <w:rPr>
          <w:b/>
          <w:lang w:eastAsia="en-AU"/>
        </w:rPr>
        <w:t>Mobile Black Spot Solutions</w:t>
      </w:r>
      <w:r w:rsidRPr="00994E8B">
        <w:rPr>
          <w:bCs/>
          <w:lang w:eastAsia="en-AU"/>
        </w:rPr>
        <w:t>, an upfront operational expense payment will be made once the Operational Period has commenced.</w:t>
      </w:r>
    </w:p>
    <w:p w14:paraId="47C72176" w14:textId="77777777" w:rsidR="00A57577" w:rsidRPr="00994E8B" w:rsidRDefault="00A57577" w:rsidP="0014541A">
      <w:pPr>
        <w:pStyle w:val="Heading3"/>
        <w:rPr>
          <w:lang w:eastAsia="en-AU"/>
        </w:rPr>
      </w:pPr>
      <w:bookmarkStart w:id="379" w:name="_Toc129956330"/>
      <w:r w:rsidRPr="00994E8B">
        <w:rPr>
          <w:lang w:eastAsia="en-AU"/>
        </w:rPr>
        <w:t>Maintaining project benefits</w:t>
      </w:r>
      <w:bookmarkEnd w:id="379"/>
    </w:p>
    <w:p w14:paraId="3D5B8ED9" w14:textId="1A8D86F9" w:rsidR="00A57577" w:rsidRPr="00994E8B" w:rsidRDefault="00A57577" w:rsidP="00A57577">
      <w:pPr>
        <w:rPr>
          <w:lang w:eastAsia="en-AU"/>
        </w:rPr>
      </w:pPr>
      <w:r w:rsidRPr="00994E8B">
        <w:rPr>
          <w:lang w:eastAsia="en-AU"/>
        </w:rPr>
        <w:t xml:space="preserve">In the Grant Agreement, </w:t>
      </w:r>
      <w:r w:rsidR="004604AC" w:rsidRPr="00994E8B">
        <w:rPr>
          <w:lang w:eastAsia="en-AU"/>
        </w:rPr>
        <w:t xml:space="preserve">an </w:t>
      </w:r>
      <w:r w:rsidRPr="00994E8B">
        <w:rPr>
          <w:lang w:eastAsia="en-AU"/>
        </w:rPr>
        <w:t>applicant will be required to commit to operate its Funded Project infrastructure and deliver Funded Project benefits over the Operational Period. Applicants may be required to report on the ongoing benefits delivered by the Funded Project.</w:t>
      </w:r>
    </w:p>
    <w:p w14:paraId="7C83F2A5" w14:textId="77777777" w:rsidR="00A57577" w:rsidRPr="00994E8B" w:rsidRDefault="00A57577" w:rsidP="0014541A">
      <w:pPr>
        <w:pStyle w:val="Heading3"/>
      </w:pPr>
      <w:bookmarkStart w:id="380" w:name="_Toc129956331"/>
      <w:r w:rsidRPr="00994E8B">
        <w:lastRenderedPageBreak/>
        <w:t>Grants payments and GST</w:t>
      </w:r>
      <w:bookmarkEnd w:id="380"/>
    </w:p>
    <w:p w14:paraId="6D009FA5" w14:textId="77777777" w:rsidR="00A57577" w:rsidRPr="00994E8B" w:rsidRDefault="00A57577" w:rsidP="00A57577">
      <w:r w:rsidRPr="00994E8B">
        <w:t xml:space="preserve">Payments will be made as set out in the Grant Agreement. </w:t>
      </w:r>
    </w:p>
    <w:p w14:paraId="76EE658B" w14:textId="1DBA9CA5" w:rsidR="006C06D2" w:rsidRPr="00994E8B" w:rsidRDefault="006C06D2" w:rsidP="0014541A">
      <w:pPr>
        <w:pStyle w:val="Heading3"/>
      </w:pPr>
      <w:bookmarkStart w:id="381" w:name="_Toc129956332"/>
      <w:r w:rsidRPr="00994E8B">
        <w:t>Amendment to these Guidelines</w:t>
      </w:r>
      <w:bookmarkEnd w:id="381"/>
    </w:p>
    <w:p w14:paraId="32BA8600" w14:textId="77777777" w:rsidR="006C06D2" w:rsidRPr="00994E8B" w:rsidRDefault="006C06D2" w:rsidP="006C06D2">
      <w:r w:rsidRPr="00994E8B">
        <w:t>The Government reserves the right to terminate or vary the program (including via variation of these Guidelines) at its discretion, at any time, for any reason, including without limitation, in the light of changes to Government policy.</w:t>
      </w:r>
    </w:p>
    <w:p w14:paraId="38B37542" w14:textId="427FCEA1" w:rsidR="006C06D2" w:rsidRPr="00994E8B" w:rsidRDefault="006C06D2" w:rsidP="006C06D2">
      <w:r w:rsidRPr="00994E8B">
        <w:t>Any alterations and addenda</w:t>
      </w:r>
      <w:r w:rsidRPr="00994E8B">
        <w:rPr>
          <w:rStyle w:val="FootnoteReference"/>
        </w:rPr>
        <w:footnoteReference w:id="11"/>
      </w:r>
      <w:r w:rsidRPr="00994E8B">
        <w:t xml:space="preserve"> to the Program will be published on </w:t>
      </w:r>
      <w:proofErr w:type="spellStart"/>
      <w:r w:rsidRPr="00994E8B">
        <w:t>GrantConnect</w:t>
      </w:r>
      <w:proofErr w:type="spellEnd"/>
      <w:r w:rsidRPr="00994E8B">
        <w:t xml:space="preserve"> and by registering on this website, you will be automatically notified on any changes. </w:t>
      </w:r>
      <w:proofErr w:type="spellStart"/>
      <w:r w:rsidRPr="00994E8B">
        <w:t>GrantConnect</w:t>
      </w:r>
      <w:proofErr w:type="spellEnd"/>
      <w:r w:rsidRPr="00994E8B">
        <w:t xml:space="preserve"> is the authoritative source for grants information.</w:t>
      </w:r>
    </w:p>
    <w:p w14:paraId="1E465ACD" w14:textId="71DDB679" w:rsidR="006C06D2" w:rsidRPr="00994E8B" w:rsidRDefault="006C06D2" w:rsidP="006C06D2">
      <w:r w:rsidRPr="00994E8B">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14:paraId="0C162884" w14:textId="61AE4328" w:rsidR="006C06D2" w:rsidRPr="00994E8B" w:rsidRDefault="006C06D2" w:rsidP="006C06D2">
      <w:r w:rsidRPr="00994E8B">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14:paraId="491D12B7" w14:textId="75533177" w:rsidR="006C06D2" w:rsidRPr="00994E8B" w:rsidRDefault="006C06D2" w:rsidP="006C06D2">
      <w:r w:rsidRPr="00994E8B">
        <w:t xml:space="preserve">An organisation </w:t>
      </w:r>
      <w:proofErr w:type="gramStart"/>
      <w:r w:rsidRPr="00994E8B">
        <w:t>submitting an application</w:t>
      </w:r>
      <w:proofErr w:type="gramEnd"/>
      <w:r w:rsidRPr="00994E8B">
        <w:t xml:space="preserve">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by the Commonwealth and the Grantee.</w:t>
      </w:r>
    </w:p>
    <w:p w14:paraId="59B293ED" w14:textId="77777777" w:rsidR="00E1311F" w:rsidRPr="00994E8B" w:rsidDel="00457E6C" w:rsidRDefault="00E1311F" w:rsidP="002E4AD3">
      <w:pPr>
        <w:pStyle w:val="Heading2"/>
      </w:pPr>
      <w:bookmarkStart w:id="382" w:name="_Toc129875668"/>
      <w:bookmarkStart w:id="383" w:name="_Toc129940675"/>
      <w:bookmarkStart w:id="384" w:name="_Toc129940835"/>
      <w:bookmarkStart w:id="385" w:name="_Toc129941352"/>
      <w:bookmarkStart w:id="386" w:name="_Toc129941511"/>
      <w:bookmarkStart w:id="387" w:name="_Toc129941853"/>
      <w:bookmarkStart w:id="388" w:name="_Toc129941978"/>
      <w:bookmarkStart w:id="389" w:name="_Toc129942103"/>
      <w:bookmarkStart w:id="390" w:name="_Toc129943540"/>
      <w:bookmarkStart w:id="391" w:name="_Toc129875669"/>
      <w:bookmarkStart w:id="392" w:name="_Toc129940676"/>
      <w:bookmarkStart w:id="393" w:name="_Toc129940836"/>
      <w:bookmarkStart w:id="394" w:name="_Toc129941353"/>
      <w:bookmarkStart w:id="395" w:name="_Toc129941512"/>
      <w:bookmarkStart w:id="396" w:name="_Toc129941854"/>
      <w:bookmarkStart w:id="397" w:name="_Toc129941979"/>
      <w:bookmarkStart w:id="398" w:name="_Toc129942104"/>
      <w:bookmarkStart w:id="399" w:name="_Toc129943541"/>
      <w:bookmarkStart w:id="400" w:name="_Toc129875670"/>
      <w:bookmarkStart w:id="401" w:name="_Toc129940677"/>
      <w:bookmarkStart w:id="402" w:name="_Toc129940837"/>
      <w:bookmarkStart w:id="403" w:name="_Toc129941354"/>
      <w:bookmarkStart w:id="404" w:name="_Toc129941513"/>
      <w:bookmarkStart w:id="405" w:name="_Toc129941855"/>
      <w:bookmarkStart w:id="406" w:name="_Toc129941980"/>
      <w:bookmarkStart w:id="407" w:name="_Toc129942105"/>
      <w:bookmarkStart w:id="408" w:name="_Toc129943542"/>
      <w:bookmarkStart w:id="409" w:name="_Toc129875671"/>
      <w:bookmarkStart w:id="410" w:name="_Toc129940678"/>
      <w:bookmarkStart w:id="411" w:name="_Toc129940838"/>
      <w:bookmarkStart w:id="412" w:name="_Toc129941355"/>
      <w:bookmarkStart w:id="413" w:name="_Toc129941514"/>
      <w:bookmarkStart w:id="414" w:name="_Toc129941856"/>
      <w:bookmarkStart w:id="415" w:name="_Toc129941981"/>
      <w:bookmarkStart w:id="416" w:name="_Toc129942106"/>
      <w:bookmarkStart w:id="417" w:name="_Toc129943543"/>
      <w:bookmarkStart w:id="418" w:name="_Toc129875672"/>
      <w:bookmarkStart w:id="419" w:name="_Toc129940679"/>
      <w:bookmarkStart w:id="420" w:name="_Toc129940839"/>
      <w:bookmarkStart w:id="421" w:name="_Toc129941356"/>
      <w:bookmarkStart w:id="422" w:name="_Toc129941515"/>
      <w:bookmarkStart w:id="423" w:name="_Toc129941857"/>
      <w:bookmarkStart w:id="424" w:name="_Toc129941982"/>
      <w:bookmarkStart w:id="425" w:name="_Toc129942107"/>
      <w:bookmarkStart w:id="426" w:name="_Toc129943544"/>
      <w:bookmarkStart w:id="427" w:name="_Toc129875673"/>
      <w:bookmarkStart w:id="428" w:name="_Toc129940680"/>
      <w:bookmarkStart w:id="429" w:name="_Toc129940840"/>
      <w:bookmarkStart w:id="430" w:name="_Toc129941357"/>
      <w:bookmarkStart w:id="431" w:name="_Toc129941516"/>
      <w:bookmarkStart w:id="432" w:name="_Toc129941858"/>
      <w:bookmarkStart w:id="433" w:name="_Toc129941983"/>
      <w:bookmarkStart w:id="434" w:name="_Toc129942108"/>
      <w:bookmarkStart w:id="435" w:name="_Toc129943545"/>
      <w:bookmarkStart w:id="436" w:name="_Toc129875674"/>
      <w:bookmarkStart w:id="437" w:name="_Toc129940681"/>
      <w:bookmarkStart w:id="438" w:name="_Toc129940841"/>
      <w:bookmarkStart w:id="439" w:name="_Toc129941358"/>
      <w:bookmarkStart w:id="440" w:name="_Toc129941517"/>
      <w:bookmarkStart w:id="441" w:name="_Toc129941859"/>
      <w:bookmarkStart w:id="442" w:name="_Toc129941984"/>
      <w:bookmarkStart w:id="443" w:name="_Toc129942109"/>
      <w:bookmarkStart w:id="444" w:name="_Toc129943546"/>
      <w:bookmarkStart w:id="445" w:name="_Toc129875675"/>
      <w:bookmarkStart w:id="446" w:name="_Toc129940682"/>
      <w:bookmarkStart w:id="447" w:name="_Toc129940842"/>
      <w:bookmarkStart w:id="448" w:name="_Toc129941359"/>
      <w:bookmarkStart w:id="449" w:name="_Toc129941518"/>
      <w:bookmarkStart w:id="450" w:name="_Toc129941860"/>
      <w:bookmarkStart w:id="451" w:name="_Toc129941985"/>
      <w:bookmarkStart w:id="452" w:name="_Toc129942110"/>
      <w:bookmarkStart w:id="453" w:name="_Toc129943547"/>
      <w:bookmarkStart w:id="454" w:name="_Toc129875676"/>
      <w:bookmarkStart w:id="455" w:name="_Toc129940683"/>
      <w:bookmarkStart w:id="456" w:name="_Toc129940843"/>
      <w:bookmarkStart w:id="457" w:name="_Toc129941360"/>
      <w:bookmarkStart w:id="458" w:name="_Toc129941519"/>
      <w:bookmarkStart w:id="459" w:name="_Toc129941861"/>
      <w:bookmarkStart w:id="460" w:name="_Toc129941986"/>
      <w:bookmarkStart w:id="461" w:name="_Toc129942111"/>
      <w:bookmarkStart w:id="462" w:name="_Toc129943548"/>
      <w:bookmarkStart w:id="463" w:name="_Toc129875677"/>
      <w:bookmarkStart w:id="464" w:name="_Toc129940684"/>
      <w:bookmarkStart w:id="465" w:name="_Toc129940844"/>
      <w:bookmarkStart w:id="466" w:name="_Toc129941361"/>
      <w:bookmarkStart w:id="467" w:name="_Toc129941520"/>
      <w:bookmarkStart w:id="468" w:name="_Toc129941862"/>
      <w:bookmarkStart w:id="469" w:name="_Toc129941987"/>
      <w:bookmarkStart w:id="470" w:name="_Toc129942112"/>
      <w:bookmarkStart w:id="471" w:name="_Toc129943549"/>
      <w:bookmarkStart w:id="472" w:name="_Toc127542773"/>
      <w:bookmarkStart w:id="473" w:name="_Toc128740739"/>
      <w:bookmarkStart w:id="474" w:name="_Toc129875678"/>
      <w:bookmarkStart w:id="475" w:name="_Toc129940685"/>
      <w:bookmarkStart w:id="476" w:name="_Toc129940845"/>
      <w:bookmarkStart w:id="477" w:name="_Toc129941362"/>
      <w:bookmarkStart w:id="478" w:name="_Toc129941521"/>
      <w:bookmarkStart w:id="479" w:name="_Toc129941863"/>
      <w:bookmarkStart w:id="480" w:name="_Toc129941988"/>
      <w:bookmarkStart w:id="481" w:name="_Toc129942113"/>
      <w:bookmarkStart w:id="482" w:name="_Toc129943550"/>
      <w:bookmarkStart w:id="483" w:name="_Toc127542774"/>
      <w:bookmarkStart w:id="484" w:name="_Toc128740740"/>
      <w:bookmarkStart w:id="485" w:name="_Toc129875679"/>
      <w:bookmarkStart w:id="486" w:name="_Toc129940686"/>
      <w:bookmarkStart w:id="487" w:name="_Toc129940846"/>
      <w:bookmarkStart w:id="488" w:name="_Toc129941363"/>
      <w:bookmarkStart w:id="489" w:name="_Toc129941522"/>
      <w:bookmarkStart w:id="490" w:name="_Toc129941864"/>
      <w:bookmarkStart w:id="491" w:name="_Toc129941989"/>
      <w:bookmarkStart w:id="492" w:name="_Toc129942114"/>
      <w:bookmarkStart w:id="493" w:name="_Toc129943551"/>
      <w:bookmarkStart w:id="494" w:name="_Toc127542775"/>
      <w:bookmarkStart w:id="495" w:name="_Toc128740741"/>
      <w:bookmarkStart w:id="496" w:name="_Toc129875680"/>
      <w:bookmarkStart w:id="497" w:name="_Toc129940687"/>
      <w:bookmarkStart w:id="498" w:name="_Toc129940847"/>
      <w:bookmarkStart w:id="499" w:name="_Toc129941364"/>
      <w:bookmarkStart w:id="500" w:name="_Toc129941523"/>
      <w:bookmarkStart w:id="501" w:name="_Toc129941865"/>
      <w:bookmarkStart w:id="502" w:name="_Toc129941990"/>
      <w:bookmarkStart w:id="503" w:name="_Toc129942115"/>
      <w:bookmarkStart w:id="504" w:name="_Toc129943552"/>
      <w:bookmarkStart w:id="505" w:name="_Toc127542776"/>
      <w:bookmarkStart w:id="506" w:name="_Toc128740742"/>
      <w:bookmarkStart w:id="507" w:name="_Toc129875681"/>
      <w:bookmarkStart w:id="508" w:name="_Toc129940688"/>
      <w:bookmarkStart w:id="509" w:name="_Toc129940848"/>
      <w:bookmarkStart w:id="510" w:name="_Toc129941365"/>
      <w:bookmarkStart w:id="511" w:name="_Toc129941524"/>
      <w:bookmarkStart w:id="512" w:name="_Toc129941866"/>
      <w:bookmarkStart w:id="513" w:name="_Toc129941991"/>
      <w:bookmarkStart w:id="514" w:name="_Toc129942116"/>
      <w:bookmarkStart w:id="515" w:name="_Toc129943553"/>
      <w:bookmarkStart w:id="516" w:name="_Toc127542777"/>
      <w:bookmarkStart w:id="517" w:name="_Toc128740743"/>
      <w:bookmarkStart w:id="518" w:name="_Toc129875682"/>
      <w:bookmarkStart w:id="519" w:name="_Toc129940689"/>
      <w:bookmarkStart w:id="520" w:name="_Toc129940849"/>
      <w:bookmarkStart w:id="521" w:name="_Toc129941366"/>
      <w:bookmarkStart w:id="522" w:name="_Toc129941525"/>
      <w:bookmarkStart w:id="523" w:name="_Toc129941867"/>
      <w:bookmarkStart w:id="524" w:name="_Toc129941992"/>
      <w:bookmarkStart w:id="525" w:name="_Toc129942117"/>
      <w:bookmarkStart w:id="526" w:name="_Toc129943554"/>
      <w:bookmarkStart w:id="527" w:name="_Toc127542778"/>
      <w:bookmarkStart w:id="528" w:name="_Toc128740744"/>
      <w:bookmarkStart w:id="529" w:name="_Toc129875683"/>
      <w:bookmarkStart w:id="530" w:name="_Toc129940690"/>
      <w:bookmarkStart w:id="531" w:name="_Toc129940850"/>
      <w:bookmarkStart w:id="532" w:name="_Toc129941367"/>
      <w:bookmarkStart w:id="533" w:name="_Toc129941526"/>
      <w:bookmarkStart w:id="534" w:name="_Toc129941868"/>
      <w:bookmarkStart w:id="535" w:name="_Toc129941993"/>
      <w:bookmarkStart w:id="536" w:name="_Toc129942118"/>
      <w:bookmarkStart w:id="537" w:name="_Toc129943555"/>
      <w:bookmarkStart w:id="538" w:name="_Toc129875684"/>
      <w:bookmarkStart w:id="539" w:name="_Toc129940691"/>
      <w:bookmarkStart w:id="540" w:name="_Toc129940851"/>
      <w:bookmarkStart w:id="541" w:name="_Toc129941368"/>
      <w:bookmarkStart w:id="542" w:name="_Toc129941527"/>
      <w:bookmarkStart w:id="543" w:name="_Toc129941869"/>
      <w:bookmarkStart w:id="544" w:name="_Toc129941994"/>
      <w:bookmarkStart w:id="545" w:name="_Toc129942119"/>
      <w:bookmarkStart w:id="546" w:name="_Toc129943556"/>
      <w:bookmarkStart w:id="547" w:name="_Toc129875685"/>
      <w:bookmarkStart w:id="548" w:name="_Toc129940692"/>
      <w:bookmarkStart w:id="549" w:name="_Toc129940852"/>
      <w:bookmarkStart w:id="550" w:name="_Toc129941369"/>
      <w:bookmarkStart w:id="551" w:name="_Toc129941528"/>
      <w:bookmarkStart w:id="552" w:name="_Toc129941870"/>
      <w:bookmarkStart w:id="553" w:name="_Toc129941995"/>
      <w:bookmarkStart w:id="554" w:name="_Toc129942120"/>
      <w:bookmarkStart w:id="555" w:name="_Toc129943557"/>
      <w:bookmarkStart w:id="556" w:name="_Toc129875686"/>
      <w:bookmarkStart w:id="557" w:name="_Toc129940693"/>
      <w:bookmarkStart w:id="558" w:name="_Toc129940853"/>
      <w:bookmarkStart w:id="559" w:name="_Toc129941370"/>
      <w:bookmarkStart w:id="560" w:name="_Toc129941529"/>
      <w:bookmarkStart w:id="561" w:name="_Toc129941871"/>
      <w:bookmarkStart w:id="562" w:name="_Toc129941996"/>
      <w:bookmarkStart w:id="563" w:name="_Toc129942121"/>
      <w:bookmarkStart w:id="564" w:name="_Toc129943558"/>
      <w:bookmarkStart w:id="565" w:name="_Toc129875687"/>
      <w:bookmarkStart w:id="566" w:name="_Toc129940694"/>
      <w:bookmarkStart w:id="567" w:name="_Toc129940854"/>
      <w:bookmarkStart w:id="568" w:name="_Toc129941371"/>
      <w:bookmarkStart w:id="569" w:name="_Toc129941530"/>
      <w:bookmarkStart w:id="570" w:name="_Toc129941872"/>
      <w:bookmarkStart w:id="571" w:name="_Toc129941997"/>
      <w:bookmarkStart w:id="572" w:name="_Toc129942122"/>
      <w:bookmarkStart w:id="573" w:name="_Toc129943559"/>
      <w:bookmarkStart w:id="574" w:name="_Toc129875688"/>
      <w:bookmarkStart w:id="575" w:name="_Toc129940695"/>
      <w:bookmarkStart w:id="576" w:name="_Toc129940855"/>
      <w:bookmarkStart w:id="577" w:name="_Toc129941372"/>
      <w:bookmarkStart w:id="578" w:name="_Toc129941531"/>
      <w:bookmarkStart w:id="579" w:name="_Toc129941873"/>
      <w:bookmarkStart w:id="580" w:name="_Toc129941998"/>
      <w:bookmarkStart w:id="581" w:name="_Toc129942123"/>
      <w:bookmarkStart w:id="582" w:name="_Toc129943560"/>
      <w:bookmarkStart w:id="583" w:name="_Toc129875689"/>
      <w:bookmarkStart w:id="584" w:name="_Toc129940696"/>
      <w:bookmarkStart w:id="585" w:name="_Toc129940856"/>
      <w:bookmarkStart w:id="586" w:name="_Toc129941373"/>
      <w:bookmarkStart w:id="587" w:name="_Toc129941532"/>
      <w:bookmarkStart w:id="588" w:name="_Toc129941874"/>
      <w:bookmarkStart w:id="589" w:name="_Toc129941999"/>
      <w:bookmarkStart w:id="590" w:name="_Toc129942124"/>
      <w:bookmarkStart w:id="591" w:name="_Toc129943561"/>
      <w:bookmarkStart w:id="592" w:name="_Toc129875690"/>
      <w:bookmarkStart w:id="593" w:name="_Toc129940697"/>
      <w:bookmarkStart w:id="594" w:name="_Toc129940857"/>
      <w:bookmarkStart w:id="595" w:name="_Toc129941374"/>
      <w:bookmarkStart w:id="596" w:name="_Toc129941533"/>
      <w:bookmarkStart w:id="597" w:name="_Toc129941875"/>
      <w:bookmarkStart w:id="598" w:name="_Toc129942000"/>
      <w:bookmarkStart w:id="599" w:name="_Toc129942125"/>
      <w:bookmarkStart w:id="600" w:name="_Toc129943562"/>
      <w:bookmarkStart w:id="601" w:name="_Toc129875691"/>
      <w:bookmarkStart w:id="602" w:name="_Toc129940698"/>
      <w:bookmarkStart w:id="603" w:name="_Toc129940858"/>
      <w:bookmarkStart w:id="604" w:name="_Toc129941375"/>
      <w:bookmarkStart w:id="605" w:name="_Toc129941534"/>
      <w:bookmarkStart w:id="606" w:name="_Toc129941876"/>
      <w:bookmarkStart w:id="607" w:name="_Toc129942001"/>
      <w:bookmarkStart w:id="608" w:name="_Toc129942126"/>
      <w:bookmarkStart w:id="609" w:name="_Toc129943563"/>
      <w:bookmarkStart w:id="610" w:name="_Toc129875692"/>
      <w:bookmarkStart w:id="611" w:name="_Toc129940699"/>
      <w:bookmarkStart w:id="612" w:name="_Toc129940859"/>
      <w:bookmarkStart w:id="613" w:name="_Toc129941376"/>
      <w:bookmarkStart w:id="614" w:name="_Toc129941535"/>
      <w:bookmarkStart w:id="615" w:name="_Toc129941877"/>
      <w:bookmarkStart w:id="616" w:name="_Toc129942002"/>
      <w:bookmarkStart w:id="617" w:name="_Toc129942127"/>
      <w:bookmarkStart w:id="618" w:name="_Toc129943564"/>
      <w:bookmarkStart w:id="619" w:name="_Toc129875693"/>
      <w:bookmarkStart w:id="620" w:name="_Toc129940700"/>
      <w:bookmarkStart w:id="621" w:name="_Toc129940860"/>
      <w:bookmarkStart w:id="622" w:name="_Toc129941377"/>
      <w:bookmarkStart w:id="623" w:name="_Toc129941536"/>
      <w:bookmarkStart w:id="624" w:name="_Toc129941878"/>
      <w:bookmarkStart w:id="625" w:name="_Toc129942003"/>
      <w:bookmarkStart w:id="626" w:name="_Toc129942128"/>
      <w:bookmarkStart w:id="627" w:name="_Toc129943565"/>
      <w:bookmarkStart w:id="628" w:name="_Toc129875694"/>
      <w:bookmarkStart w:id="629" w:name="_Toc129940701"/>
      <w:bookmarkStart w:id="630" w:name="_Toc129940861"/>
      <w:bookmarkStart w:id="631" w:name="_Toc129941378"/>
      <w:bookmarkStart w:id="632" w:name="_Toc129941537"/>
      <w:bookmarkStart w:id="633" w:name="_Toc129941879"/>
      <w:bookmarkStart w:id="634" w:name="_Toc129942004"/>
      <w:bookmarkStart w:id="635" w:name="_Toc129942129"/>
      <w:bookmarkStart w:id="636" w:name="_Toc129943566"/>
      <w:bookmarkStart w:id="637" w:name="_Toc129875695"/>
      <w:bookmarkStart w:id="638" w:name="_Toc129940702"/>
      <w:bookmarkStart w:id="639" w:name="_Toc129940862"/>
      <w:bookmarkStart w:id="640" w:name="_Toc129941379"/>
      <w:bookmarkStart w:id="641" w:name="_Toc129941538"/>
      <w:bookmarkStart w:id="642" w:name="_Toc129941880"/>
      <w:bookmarkStart w:id="643" w:name="_Toc129942005"/>
      <w:bookmarkStart w:id="644" w:name="_Toc129942130"/>
      <w:bookmarkStart w:id="645" w:name="_Toc129943567"/>
      <w:bookmarkStart w:id="646" w:name="_Toc129875696"/>
      <w:bookmarkStart w:id="647" w:name="_Toc129940703"/>
      <w:bookmarkStart w:id="648" w:name="_Toc129940863"/>
      <w:bookmarkStart w:id="649" w:name="_Toc129941380"/>
      <w:bookmarkStart w:id="650" w:name="_Toc129941539"/>
      <w:bookmarkStart w:id="651" w:name="_Toc129941881"/>
      <w:bookmarkStart w:id="652" w:name="_Toc129942006"/>
      <w:bookmarkStart w:id="653" w:name="_Toc129942131"/>
      <w:bookmarkStart w:id="654" w:name="_Toc129943568"/>
      <w:bookmarkStart w:id="655" w:name="_Toc129875697"/>
      <w:bookmarkStart w:id="656" w:name="_Toc129940704"/>
      <w:bookmarkStart w:id="657" w:name="_Toc129940864"/>
      <w:bookmarkStart w:id="658" w:name="_Toc129941381"/>
      <w:bookmarkStart w:id="659" w:name="_Toc129941540"/>
      <w:bookmarkStart w:id="660" w:name="_Toc129941882"/>
      <w:bookmarkStart w:id="661" w:name="_Toc129942007"/>
      <w:bookmarkStart w:id="662" w:name="_Toc129942132"/>
      <w:bookmarkStart w:id="663" w:name="_Toc129943569"/>
      <w:bookmarkStart w:id="664" w:name="_Toc494290551"/>
      <w:bookmarkStart w:id="665" w:name="_Toc485726977"/>
      <w:bookmarkStart w:id="666" w:name="_Toc485736597"/>
      <w:bookmarkStart w:id="667" w:name="_Toc129956333"/>
      <w:bookmarkStart w:id="668" w:name="_Toc164844284"/>
      <w:bookmarkEnd w:id="357"/>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994E8B" w:rsidDel="00457E6C">
        <w:t>Announcement of grants</w:t>
      </w:r>
      <w:bookmarkEnd w:id="665"/>
      <w:bookmarkEnd w:id="666"/>
      <w:bookmarkEnd w:id="667"/>
    </w:p>
    <w:p w14:paraId="32E1D3EC" w14:textId="75DB5A2E" w:rsidR="00E1311F" w:rsidRPr="00994E8B" w:rsidDel="00457E6C" w:rsidRDefault="00E1311F" w:rsidP="00E1311F">
      <w:pPr>
        <w:rPr>
          <w:i/>
        </w:rPr>
      </w:pPr>
      <w:r w:rsidRPr="00994E8B" w:rsidDel="00457E6C">
        <w:t xml:space="preserve">If successful, </w:t>
      </w:r>
      <w:r w:rsidR="005D1251" w:rsidRPr="00994E8B">
        <w:t>applicants</w:t>
      </w:r>
      <w:r w:rsidRPr="00994E8B" w:rsidDel="00457E6C">
        <w:t xml:space="preserve"> grant</w:t>
      </w:r>
      <w:r w:rsidR="005D1251" w:rsidRPr="00994E8B">
        <w:t>s</w:t>
      </w:r>
      <w:r w:rsidRPr="00994E8B" w:rsidDel="00457E6C">
        <w:t xml:space="preserve"> </w:t>
      </w:r>
      <w:r w:rsidRPr="00994E8B" w:rsidDel="0035202F">
        <w:t xml:space="preserve">will be listed </w:t>
      </w:r>
      <w:r w:rsidRPr="00994E8B" w:rsidDel="00457E6C">
        <w:t xml:space="preserve">on the </w:t>
      </w:r>
      <w:proofErr w:type="spellStart"/>
      <w:r w:rsidRPr="00994E8B" w:rsidDel="00457E6C">
        <w:t>GrantConnect</w:t>
      </w:r>
      <w:proofErr w:type="spellEnd"/>
      <w:r w:rsidRPr="00994E8B" w:rsidDel="00457E6C">
        <w:t xml:space="preserve"> website </w:t>
      </w:r>
      <w:r w:rsidR="006F757C" w:rsidRPr="00994E8B">
        <w:t>21</w:t>
      </w:r>
      <w:r w:rsidRPr="00994E8B" w:rsidDel="00457E6C">
        <w:t xml:space="preserve"> </w:t>
      </w:r>
      <w:r w:rsidR="006F757C" w:rsidRPr="00994E8B">
        <w:t xml:space="preserve">calendar </w:t>
      </w:r>
      <w:r w:rsidRPr="00994E8B" w:rsidDel="00457E6C">
        <w:t xml:space="preserve">days after the date of effect as required by </w:t>
      </w:r>
      <w:r w:rsidR="004D3D46" w:rsidRPr="00994E8B" w:rsidDel="00457E6C">
        <w:t xml:space="preserve">Section 5.3 of the </w:t>
      </w:r>
      <w:hyperlink r:id="rId43" w:history="1">
        <w:r w:rsidR="004D3D46" w:rsidRPr="00994E8B" w:rsidDel="00457E6C">
          <w:rPr>
            <w:rStyle w:val="Hyperlink"/>
          </w:rPr>
          <w:t>CGRGs</w:t>
        </w:r>
      </w:hyperlink>
      <w:r w:rsidRPr="00994E8B" w:rsidDel="00457E6C">
        <w:t>.</w:t>
      </w:r>
      <w:r w:rsidRPr="00994E8B" w:rsidDel="00457E6C">
        <w:rPr>
          <w:i/>
        </w:rPr>
        <w:t xml:space="preserve"> </w:t>
      </w:r>
    </w:p>
    <w:p w14:paraId="1C8BE2FF" w14:textId="77777777" w:rsidR="00E1311F" w:rsidRPr="00994E8B" w:rsidRDefault="00492B00" w:rsidP="0014541A">
      <w:pPr>
        <w:pStyle w:val="Heading2"/>
      </w:pPr>
      <w:bookmarkStart w:id="669" w:name="_Toc129956334"/>
      <w:r w:rsidRPr="00994E8B">
        <w:t>How we monitor your grant activity</w:t>
      </w:r>
      <w:bookmarkEnd w:id="669"/>
    </w:p>
    <w:p w14:paraId="3D901772" w14:textId="77777777" w:rsidR="004A2224" w:rsidRPr="00994E8B" w:rsidRDefault="004A2224" w:rsidP="0014541A">
      <w:pPr>
        <w:pStyle w:val="Heading3"/>
      </w:pPr>
      <w:bookmarkStart w:id="670" w:name="_Toc129956335"/>
      <w:r w:rsidRPr="00994E8B">
        <w:t>Keeping us informed</w:t>
      </w:r>
      <w:bookmarkEnd w:id="670"/>
    </w:p>
    <w:p w14:paraId="5BE03CD7" w14:textId="37E15116" w:rsidR="0061658F" w:rsidRPr="00994E8B" w:rsidRDefault="005D1251" w:rsidP="0014541A">
      <w:r w:rsidRPr="00994E8B">
        <w:t>Applicants</w:t>
      </w:r>
      <w:r w:rsidR="0061658F" w:rsidRPr="00994E8B">
        <w:t xml:space="preserve"> should let us know if anything is likely to affect </w:t>
      </w:r>
      <w:r w:rsidRPr="00994E8B">
        <w:t xml:space="preserve">the </w:t>
      </w:r>
      <w:r w:rsidR="00372BD3" w:rsidRPr="00994E8B">
        <w:t>Funded P</w:t>
      </w:r>
      <w:r w:rsidR="0061658F" w:rsidRPr="00994E8B">
        <w:t>roject or organisation.</w:t>
      </w:r>
    </w:p>
    <w:p w14:paraId="448AE86F" w14:textId="7F9478DB" w:rsidR="0061658F" w:rsidRPr="00994E8B" w:rsidRDefault="0061658F" w:rsidP="0014541A">
      <w:r w:rsidRPr="00994E8B">
        <w:t xml:space="preserve">We need to know of any key changes to </w:t>
      </w:r>
      <w:r w:rsidR="005D1251" w:rsidRPr="00994E8B">
        <w:t>the applicant’s</w:t>
      </w:r>
      <w:r w:rsidRPr="00994E8B">
        <w:t xml:space="preserve"> organisation or its business activities which may affect </w:t>
      </w:r>
      <w:r w:rsidR="005D1251" w:rsidRPr="00994E8B">
        <w:t>its</w:t>
      </w:r>
      <w:r w:rsidRPr="00994E8B">
        <w:t xml:space="preserve"> ability to complete </w:t>
      </w:r>
      <w:r w:rsidR="005D1251" w:rsidRPr="00994E8B">
        <w:t xml:space="preserve">the </w:t>
      </w:r>
      <w:r w:rsidR="00372BD3" w:rsidRPr="00994E8B">
        <w:t>Funded P</w:t>
      </w:r>
      <w:r w:rsidRPr="00994E8B">
        <w:t>roject, carry on business and pay debts due.</w:t>
      </w:r>
    </w:p>
    <w:p w14:paraId="2003CC7C" w14:textId="14A97613" w:rsidR="0061658F" w:rsidRPr="00994E8B" w:rsidRDefault="005D1251" w:rsidP="0014541A">
      <w:r w:rsidRPr="00994E8B">
        <w:t>Applicants</w:t>
      </w:r>
      <w:r w:rsidR="0061658F" w:rsidRPr="00994E8B">
        <w:t xml:space="preserve"> must also inform us of any changes to:</w:t>
      </w:r>
    </w:p>
    <w:p w14:paraId="4CC86293" w14:textId="44237445" w:rsidR="0061658F" w:rsidRPr="00994E8B" w:rsidRDefault="003B1C43" w:rsidP="0014541A">
      <w:pPr>
        <w:pStyle w:val="ListParagraph"/>
        <w:numPr>
          <w:ilvl w:val="0"/>
          <w:numId w:val="40"/>
        </w:numPr>
      </w:pPr>
      <w:r w:rsidRPr="00994E8B">
        <w:t>n</w:t>
      </w:r>
      <w:r w:rsidR="0061658F" w:rsidRPr="00994E8B">
        <w:t>ame</w:t>
      </w:r>
      <w:r w:rsidRPr="00994E8B">
        <w:t>;</w:t>
      </w:r>
    </w:p>
    <w:p w14:paraId="3E7A7DB7" w14:textId="1F304BD7" w:rsidR="0061658F" w:rsidRPr="00994E8B" w:rsidRDefault="003B1C43" w:rsidP="0014541A">
      <w:pPr>
        <w:pStyle w:val="ListParagraph"/>
        <w:numPr>
          <w:ilvl w:val="0"/>
          <w:numId w:val="40"/>
        </w:numPr>
      </w:pPr>
      <w:r w:rsidRPr="00994E8B">
        <w:t>a</w:t>
      </w:r>
      <w:r w:rsidR="0061658F" w:rsidRPr="00994E8B">
        <w:t>ddresses</w:t>
      </w:r>
      <w:r w:rsidRPr="00994E8B">
        <w:t>;</w:t>
      </w:r>
    </w:p>
    <w:p w14:paraId="7C35A6ED" w14:textId="77777777" w:rsidR="0061658F" w:rsidRPr="00994E8B" w:rsidRDefault="0061658F" w:rsidP="0014541A">
      <w:pPr>
        <w:pStyle w:val="ListParagraph"/>
        <w:numPr>
          <w:ilvl w:val="0"/>
          <w:numId w:val="40"/>
        </w:numPr>
      </w:pPr>
      <w:r w:rsidRPr="00994E8B">
        <w:t>nominated contact details; and</w:t>
      </w:r>
    </w:p>
    <w:p w14:paraId="3151BCF2" w14:textId="77777777" w:rsidR="0061658F" w:rsidRPr="00994E8B" w:rsidRDefault="0061658F" w:rsidP="0014541A">
      <w:pPr>
        <w:pStyle w:val="ListParagraph"/>
        <w:numPr>
          <w:ilvl w:val="0"/>
          <w:numId w:val="40"/>
        </w:numPr>
      </w:pPr>
      <w:r w:rsidRPr="00994E8B">
        <w:t>bank account details.</w:t>
      </w:r>
    </w:p>
    <w:p w14:paraId="27CA6AA7" w14:textId="43467243" w:rsidR="0061658F" w:rsidRPr="00994E8B" w:rsidRDefault="0061658F" w:rsidP="0014541A">
      <w:r w:rsidRPr="00994E8B">
        <w:lastRenderedPageBreak/>
        <w:t xml:space="preserve">If </w:t>
      </w:r>
      <w:r w:rsidR="005D1251" w:rsidRPr="00994E8B">
        <w:t>applicants</w:t>
      </w:r>
      <w:r w:rsidRPr="00994E8B">
        <w:t xml:space="preserve"> become aware of a breach of terms and conditions under the Grant Agreement, </w:t>
      </w:r>
      <w:r w:rsidR="005D1251" w:rsidRPr="00994E8B">
        <w:t xml:space="preserve">they </w:t>
      </w:r>
      <w:r w:rsidRPr="00994E8B">
        <w:t>must contact us immediately.</w:t>
      </w:r>
    </w:p>
    <w:p w14:paraId="1B6A613C" w14:textId="20CF501C" w:rsidR="004A2224" w:rsidRPr="00994E8B" w:rsidRDefault="005D1251" w:rsidP="0014541A">
      <w:r w:rsidRPr="00994E8B">
        <w:t>Applicants</w:t>
      </w:r>
      <w:r w:rsidR="0061658F" w:rsidRPr="00994E8B">
        <w:t xml:space="preserve"> must notify us of events relating to </w:t>
      </w:r>
      <w:r w:rsidRPr="00994E8B">
        <w:t xml:space="preserve">the </w:t>
      </w:r>
      <w:r w:rsidR="0061658F" w:rsidRPr="00994E8B">
        <w:t>grant and provide an opportunity for the Minister or their representative to attend.</w:t>
      </w:r>
    </w:p>
    <w:p w14:paraId="5B210918" w14:textId="77777777" w:rsidR="003159B5" w:rsidRPr="00994E8B" w:rsidRDefault="002536AC" w:rsidP="0014541A">
      <w:pPr>
        <w:pStyle w:val="Heading3"/>
      </w:pPr>
      <w:bookmarkStart w:id="671" w:name="_Toc129956336"/>
      <w:r w:rsidRPr="00994E8B">
        <w:t>Reporting</w:t>
      </w:r>
      <w:bookmarkEnd w:id="671"/>
      <w:r w:rsidRPr="00994E8B">
        <w:t xml:space="preserve"> </w:t>
      </w:r>
    </w:p>
    <w:p w14:paraId="1D66D6CE" w14:textId="7669CCF4" w:rsidR="0061658F" w:rsidRPr="00994E8B" w:rsidRDefault="005D1251" w:rsidP="0014541A">
      <w:pPr>
        <w:rPr>
          <w:rFonts w:cstheme="minorHAnsi"/>
        </w:rPr>
      </w:pPr>
      <w:bookmarkStart w:id="672" w:name="_Toc468693655"/>
      <w:bookmarkStart w:id="673" w:name="_Toc509838910"/>
      <w:r w:rsidRPr="00994E8B">
        <w:rPr>
          <w:rFonts w:cstheme="minorHAnsi"/>
        </w:rPr>
        <w:t>Applicants</w:t>
      </w:r>
      <w:r w:rsidR="0061658F" w:rsidRPr="00994E8B">
        <w:rPr>
          <w:rFonts w:cstheme="minorHAnsi"/>
        </w:rPr>
        <w:t xml:space="preserve"> must submit reports in accordance with the Grant Agreement. We will expect </w:t>
      </w:r>
      <w:r w:rsidRPr="00994E8B">
        <w:rPr>
          <w:rFonts w:cstheme="minorHAnsi"/>
        </w:rPr>
        <w:t>applicants</w:t>
      </w:r>
      <w:r w:rsidR="0061658F" w:rsidRPr="00994E8B">
        <w:rPr>
          <w:rFonts w:cstheme="minorHAnsi"/>
        </w:rPr>
        <w:t xml:space="preserve"> to report on such matters as:</w:t>
      </w:r>
    </w:p>
    <w:p w14:paraId="0D4B64B2" w14:textId="009E57E8" w:rsidR="0061658F" w:rsidRPr="00994E8B" w:rsidRDefault="0061658F" w:rsidP="0014541A">
      <w:pPr>
        <w:pStyle w:val="ListParagraph"/>
        <w:numPr>
          <w:ilvl w:val="0"/>
          <w:numId w:val="41"/>
        </w:numPr>
        <w:rPr>
          <w:rFonts w:cstheme="minorHAnsi"/>
        </w:rPr>
      </w:pPr>
      <w:r w:rsidRPr="00994E8B">
        <w:rPr>
          <w:rFonts w:cstheme="minorHAnsi"/>
        </w:rPr>
        <w:t>progress against agreed activity and outcomes</w:t>
      </w:r>
      <w:r w:rsidR="003B1C43" w:rsidRPr="00994E8B">
        <w:rPr>
          <w:rFonts w:cstheme="minorHAnsi"/>
        </w:rPr>
        <w:t>;</w:t>
      </w:r>
    </w:p>
    <w:p w14:paraId="2062BB8F" w14:textId="53E89610" w:rsidR="0061658F" w:rsidRPr="00994E8B" w:rsidRDefault="0061658F" w:rsidP="0014541A">
      <w:pPr>
        <w:pStyle w:val="ListParagraph"/>
        <w:numPr>
          <w:ilvl w:val="0"/>
          <w:numId w:val="41"/>
        </w:numPr>
        <w:rPr>
          <w:rFonts w:cstheme="minorHAnsi"/>
        </w:rPr>
      </w:pPr>
      <w:r w:rsidRPr="00994E8B">
        <w:rPr>
          <w:rFonts w:cstheme="minorHAnsi"/>
        </w:rPr>
        <w:t xml:space="preserve">contributions of participants directly related to the </w:t>
      </w:r>
      <w:r w:rsidR="00372BD3" w:rsidRPr="00994E8B">
        <w:rPr>
          <w:rFonts w:cstheme="minorHAnsi"/>
        </w:rPr>
        <w:t>Funded P</w:t>
      </w:r>
      <w:r w:rsidRPr="00994E8B">
        <w:rPr>
          <w:rFonts w:cstheme="minorHAnsi"/>
        </w:rPr>
        <w:t>roject including scheduled co</w:t>
      </w:r>
      <w:r w:rsidR="00881141" w:rsidRPr="00994E8B">
        <w:rPr>
          <w:rFonts w:cstheme="minorHAnsi"/>
        </w:rPr>
        <w:t>-</w:t>
      </w:r>
      <w:r w:rsidRPr="00994E8B">
        <w:rPr>
          <w:rFonts w:cstheme="minorHAnsi"/>
        </w:rPr>
        <w:t>contributions (if any); and</w:t>
      </w:r>
    </w:p>
    <w:p w14:paraId="06C22DF3" w14:textId="77777777" w:rsidR="0061658F" w:rsidRPr="00994E8B" w:rsidRDefault="0061658F" w:rsidP="0014541A">
      <w:pPr>
        <w:pStyle w:val="ListParagraph"/>
        <w:numPr>
          <w:ilvl w:val="0"/>
          <w:numId w:val="41"/>
        </w:numPr>
        <w:rPr>
          <w:rFonts w:cstheme="minorHAnsi"/>
        </w:rPr>
      </w:pPr>
      <w:r w:rsidRPr="00994E8B">
        <w:rPr>
          <w:rFonts w:cstheme="minorHAnsi"/>
        </w:rPr>
        <w:t>expenditure of the grant.</w:t>
      </w:r>
    </w:p>
    <w:p w14:paraId="62698450" w14:textId="1CD1D388" w:rsidR="0061658F" w:rsidRPr="00994E8B" w:rsidRDefault="0061658F" w:rsidP="0014541A">
      <w:pPr>
        <w:rPr>
          <w:rFonts w:cstheme="minorHAnsi"/>
        </w:rPr>
      </w:pPr>
      <w:r w:rsidRPr="00994E8B">
        <w:rPr>
          <w:rFonts w:cstheme="minorHAnsi"/>
        </w:rPr>
        <w:t xml:space="preserve">The amount of detail you provide in your reports should be relative to the </w:t>
      </w:r>
      <w:r w:rsidR="00372BD3" w:rsidRPr="00994E8B">
        <w:rPr>
          <w:rFonts w:cstheme="minorHAnsi"/>
        </w:rPr>
        <w:t>Funded P</w:t>
      </w:r>
      <w:r w:rsidR="00881141" w:rsidRPr="00994E8B">
        <w:rPr>
          <w:rFonts w:cstheme="minorHAnsi"/>
        </w:rPr>
        <w:t xml:space="preserve">roject </w:t>
      </w:r>
      <w:r w:rsidRPr="00994E8B">
        <w:rPr>
          <w:rFonts w:cstheme="minorHAnsi"/>
        </w:rPr>
        <w:t>size, complexity and grant amount.</w:t>
      </w:r>
    </w:p>
    <w:p w14:paraId="0505E462" w14:textId="2A20E312" w:rsidR="0061658F" w:rsidRPr="00994E8B" w:rsidRDefault="0061658F" w:rsidP="0014541A">
      <w:pPr>
        <w:rPr>
          <w:rFonts w:cstheme="minorHAnsi"/>
        </w:rPr>
      </w:pPr>
      <w:r w:rsidRPr="00994E8B">
        <w:rPr>
          <w:rFonts w:cstheme="minorHAnsi"/>
        </w:rPr>
        <w:t xml:space="preserve">We will monitor progress by assessing reports </w:t>
      </w:r>
      <w:r w:rsidR="005D1251" w:rsidRPr="00994E8B">
        <w:rPr>
          <w:rFonts w:cstheme="minorHAnsi"/>
        </w:rPr>
        <w:t>applicants</w:t>
      </w:r>
      <w:r w:rsidRPr="00994E8B">
        <w:rPr>
          <w:rFonts w:cstheme="minorHAnsi"/>
        </w:rPr>
        <w:t xml:space="preserve"> submit and may conduct site visits or request records to confirm details of reports if necessary. Occasionally we may need to re-examine claims, seek further information or request an independent audit of claims and payments. We may also inspect the records </w:t>
      </w:r>
      <w:r w:rsidR="005D1251" w:rsidRPr="00994E8B">
        <w:rPr>
          <w:rFonts w:cstheme="minorHAnsi"/>
        </w:rPr>
        <w:t>applicants</w:t>
      </w:r>
      <w:r w:rsidRPr="00994E8B">
        <w:rPr>
          <w:rFonts w:cstheme="minorHAnsi"/>
        </w:rPr>
        <w:t xml:space="preserve"> are required to keep under the Grant Agreement.</w:t>
      </w:r>
    </w:p>
    <w:p w14:paraId="4E17259E" w14:textId="77777777" w:rsidR="009A072D" w:rsidRPr="00994E8B" w:rsidRDefault="0061658F" w:rsidP="009D3119">
      <w:pPr>
        <w:pStyle w:val="Heading3"/>
      </w:pPr>
      <w:bookmarkStart w:id="674" w:name="_Toc129956337"/>
      <w:bookmarkEnd w:id="672"/>
      <w:bookmarkEnd w:id="673"/>
      <w:r w:rsidRPr="00994E8B">
        <w:t>Asset completion report</w:t>
      </w:r>
      <w:bookmarkEnd w:id="674"/>
    </w:p>
    <w:p w14:paraId="690B0A11" w14:textId="75F57D4A" w:rsidR="0061658F" w:rsidRPr="00994E8B" w:rsidRDefault="0061658F" w:rsidP="0014541A">
      <w:r w:rsidRPr="00994E8B">
        <w:t xml:space="preserve">For each completed Asset, </w:t>
      </w:r>
      <w:r w:rsidR="00397ECB" w:rsidRPr="00994E8B">
        <w:t>applicants</w:t>
      </w:r>
      <w:r w:rsidRPr="00994E8B">
        <w:t xml:space="preserve"> must submit an asset completion report as specified in the Grant Agreement. </w:t>
      </w:r>
      <w:r w:rsidR="00FA4CB6" w:rsidRPr="00994E8B">
        <w:t xml:space="preserve">Assets will be defined in </w:t>
      </w:r>
      <w:r w:rsidR="00D5035A" w:rsidRPr="00994E8B">
        <w:t xml:space="preserve">each </w:t>
      </w:r>
      <w:r w:rsidR="00397ECB" w:rsidRPr="00994E8B">
        <w:t>applicant</w:t>
      </w:r>
      <w:r w:rsidR="00D5035A" w:rsidRPr="00994E8B">
        <w:t>’</w:t>
      </w:r>
      <w:r w:rsidR="00397ECB" w:rsidRPr="00994E8B">
        <w:t>s</w:t>
      </w:r>
      <w:r w:rsidR="00FA4CB6" w:rsidRPr="00994E8B">
        <w:t xml:space="preserve"> Grant Agreement with the Commonwealth.  </w:t>
      </w:r>
    </w:p>
    <w:p w14:paraId="0FE79648" w14:textId="2DCE60AD" w:rsidR="00B20754" w:rsidRPr="00994E8B" w:rsidRDefault="00B20754" w:rsidP="009D3119">
      <w:pPr>
        <w:pStyle w:val="Heading3"/>
      </w:pPr>
      <w:bookmarkStart w:id="675" w:name="_Toc509572409"/>
      <w:bookmarkStart w:id="676" w:name="_Toc509572410"/>
      <w:bookmarkStart w:id="677" w:name="_Toc509572411"/>
      <w:bookmarkStart w:id="678" w:name="_Toc129956338"/>
      <w:bookmarkEnd w:id="675"/>
      <w:bookmarkEnd w:id="676"/>
      <w:bookmarkEnd w:id="677"/>
      <w:r w:rsidRPr="00994E8B">
        <w:t>Grant agreement variations</w:t>
      </w:r>
      <w:bookmarkEnd w:id="678"/>
    </w:p>
    <w:p w14:paraId="377ABF54" w14:textId="3D421B5F" w:rsidR="00B20754" w:rsidRPr="00994E8B" w:rsidRDefault="00B20754" w:rsidP="0014541A">
      <w:r w:rsidRPr="00994E8B">
        <w:t xml:space="preserve">We recognise that unexpected events may affect your progress. In these circumstances, you can request a variation to your grant agreement. </w:t>
      </w:r>
      <w:r w:rsidR="00B86501" w:rsidRPr="00994E8B">
        <w:t>Applicants</w:t>
      </w:r>
      <w:r w:rsidRPr="00994E8B">
        <w:t xml:space="preserve"> can request a variation by</w:t>
      </w:r>
      <w:r w:rsidR="00B86501" w:rsidRPr="00994E8B">
        <w:t xml:space="preserve"> providing written notice to the Department setting out the reasons for the variation and proposing steps that could be taken to better achieve the purpose or address the risks of the Funded Project.</w:t>
      </w:r>
    </w:p>
    <w:p w14:paraId="2C20D265" w14:textId="6CC94358" w:rsidR="00EE1F7A" w:rsidRPr="00994E8B" w:rsidRDefault="00EE1F7A" w:rsidP="0014541A">
      <w:r w:rsidRPr="00994E8B">
        <w:t xml:space="preserve">You should not assume that a variation request will be successful. We will consider your request based on provisions in the </w:t>
      </w:r>
      <w:r w:rsidR="006C429C" w:rsidRPr="00994E8B">
        <w:t>G</w:t>
      </w:r>
      <w:r w:rsidRPr="00994E8B">
        <w:t xml:space="preserve">rant </w:t>
      </w:r>
      <w:r w:rsidR="006C429C" w:rsidRPr="00994E8B">
        <w:t>A</w:t>
      </w:r>
      <w:r w:rsidRPr="00994E8B">
        <w:t>greement and the likely impact on achieving outcomes.</w:t>
      </w:r>
    </w:p>
    <w:p w14:paraId="678E2F0D" w14:textId="4C23ADAA" w:rsidR="009A072D" w:rsidRPr="00994E8B" w:rsidRDefault="0061658F" w:rsidP="009D3119">
      <w:pPr>
        <w:pStyle w:val="Heading3"/>
      </w:pPr>
      <w:bookmarkStart w:id="679" w:name="_Toc129940711"/>
      <w:bookmarkStart w:id="680" w:name="_Toc129940871"/>
      <w:bookmarkStart w:id="681" w:name="_Toc129941388"/>
      <w:bookmarkStart w:id="682" w:name="_Toc129941547"/>
      <w:bookmarkStart w:id="683" w:name="_Toc129941889"/>
      <w:bookmarkStart w:id="684" w:name="_Toc129942014"/>
      <w:bookmarkStart w:id="685" w:name="_Toc129942139"/>
      <w:bookmarkStart w:id="686" w:name="_Toc129943576"/>
      <w:bookmarkStart w:id="687" w:name="_Toc129956339"/>
      <w:bookmarkEnd w:id="679"/>
      <w:bookmarkEnd w:id="680"/>
      <w:bookmarkEnd w:id="681"/>
      <w:bookmarkEnd w:id="682"/>
      <w:bookmarkEnd w:id="683"/>
      <w:bookmarkEnd w:id="684"/>
      <w:bookmarkEnd w:id="685"/>
      <w:bookmarkEnd w:id="686"/>
      <w:r w:rsidRPr="00994E8B">
        <w:t>Financial declaration or a</w:t>
      </w:r>
      <w:r w:rsidR="00EC727B" w:rsidRPr="00994E8B">
        <w:t>udited financial acquittal report</w:t>
      </w:r>
      <w:bookmarkEnd w:id="687"/>
    </w:p>
    <w:p w14:paraId="54AFEFBF" w14:textId="308BBBEE" w:rsidR="004B2923" w:rsidRPr="00994E8B" w:rsidRDefault="00C94BE5" w:rsidP="0014541A">
      <w:r w:rsidRPr="00994E8B">
        <w:t xml:space="preserve">We will ask </w:t>
      </w:r>
      <w:r w:rsidR="00397ECB" w:rsidRPr="00994E8B">
        <w:t>applicants</w:t>
      </w:r>
      <w:r w:rsidRPr="00994E8B">
        <w:t xml:space="preserve"> to provide a declaration that the grant money was spent in accordance with the Grant Agreement and to report on any underspends of the grant money. We may need to re-examine claims, seek further information or request an independent audit of claims and payments.</w:t>
      </w:r>
    </w:p>
    <w:p w14:paraId="7C8D4D0C" w14:textId="77777777" w:rsidR="00C94BE5" w:rsidRPr="00994E8B" w:rsidRDefault="00C94BE5" w:rsidP="009D3119">
      <w:pPr>
        <w:pStyle w:val="Heading3"/>
      </w:pPr>
      <w:bookmarkStart w:id="688" w:name="_Toc129956340"/>
      <w:r w:rsidRPr="00994E8B">
        <w:t>Independent audit report</w:t>
      </w:r>
      <w:bookmarkEnd w:id="688"/>
    </w:p>
    <w:p w14:paraId="53D1BD52" w14:textId="737E878D" w:rsidR="00C94BE5" w:rsidRPr="00994E8B" w:rsidRDefault="00C94BE5" w:rsidP="0014541A">
      <w:r w:rsidRPr="00994E8B">
        <w:t xml:space="preserve">The Department may request an independently audited financial report for </w:t>
      </w:r>
      <w:r w:rsidR="00372BD3" w:rsidRPr="00994E8B">
        <w:t>Funded P</w:t>
      </w:r>
      <w:r w:rsidRPr="00994E8B">
        <w:t>roject</w:t>
      </w:r>
      <w:r w:rsidR="00397ECB" w:rsidRPr="00994E8B">
        <w:t>s</w:t>
      </w:r>
      <w:r w:rsidRPr="00994E8B">
        <w:t xml:space="preserve"> at </w:t>
      </w:r>
      <w:r w:rsidR="00397ECB" w:rsidRPr="00994E8B">
        <w:t xml:space="preserve">the </w:t>
      </w:r>
      <w:proofErr w:type="gramStart"/>
      <w:r w:rsidR="00397ECB" w:rsidRPr="00994E8B">
        <w:t>applicants</w:t>
      </w:r>
      <w:proofErr w:type="gramEnd"/>
      <w:r w:rsidRPr="00994E8B">
        <w:t xml:space="preserve"> expense. The financial audit report will verify that </w:t>
      </w:r>
      <w:r w:rsidR="00397ECB" w:rsidRPr="00994E8B">
        <w:t>applicants</w:t>
      </w:r>
      <w:r w:rsidRPr="00994E8B">
        <w:t xml:space="preserve"> spent the grant in accordance with the Grant Agreement. We will assess the report and may re-examine </w:t>
      </w:r>
      <w:r w:rsidR="00397ECB" w:rsidRPr="00994E8B">
        <w:t>applicants</w:t>
      </w:r>
      <w:r w:rsidRPr="00994E8B">
        <w:t xml:space="preserve"> claims or conduct site visits if necessary.</w:t>
      </w:r>
    </w:p>
    <w:p w14:paraId="3058C549" w14:textId="77777777" w:rsidR="00C94BE5" w:rsidRPr="00994E8B" w:rsidRDefault="00C94BE5" w:rsidP="009D3119">
      <w:pPr>
        <w:pStyle w:val="Heading3"/>
      </w:pPr>
      <w:bookmarkStart w:id="689" w:name="_Toc129956341"/>
      <w:r w:rsidRPr="00994E8B">
        <w:lastRenderedPageBreak/>
        <w:t>Compliance visits</w:t>
      </w:r>
      <w:bookmarkEnd w:id="689"/>
    </w:p>
    <w:p w14:paraId="58955AD5" w14:textId="653842E7" w:rsidR="00C94BE5" w:rsidRPr="00994E8B" w:rsidRDefault="00C94BE5" w:rsidP="0014541A">
      <w:r w:rsidRPr="00994E8B">
        <w:t xml:space="preserve">The Department (including entities acting on our behalf) may visit </w:t>
      </w:r>
      <w:r w:rsidR="00397ECB" w:rsidRPr="00994E8B">
        <w:t>applicants</w:t>
      </w:r>
      <w:r w:rsidRPr="00994E8B">
        <w:t xml:space="preserve"> during the development and construction of </w:t>
      </w:r>
      <w:r w:rsidR="00397ECB" w:rsidRPr="00994E8B">
        <w:t xml:space="preserve">the </w:t>
      </w:r>
      <w:r w:rsidR="00372BD3" w:rsidRPr="00994E8B">
        <w:t>Funded</w:t>
      </w:r>
      <w:r w:rsidRPr="00994E8B">
        <w:t xml:space="preserve"> </w:t>
      </w:r>
      <w:r w:rsidR="00372BD3" w:rsidRPr="00994E8B">
        <w:t>P</w:t>
      </w:r>
      <w:r w:rsidRPr="00994E8B">
        <w:t xml:space="preserve">roject, or at the completion of </w:t>
      </w:r>
      <w:r w:rsidR="00397ECB" w:rsidRPr="00994E8B">
        <w:t>the</w:t>
      </w:r>
      <w:r w:rsidRPr="00994E8B">
        <w:t xml:space="preserve"> </w:t>
      </w:r>
      <w:r w:rsidR="00372BD3" w:rsidRPr="00994E8B">
        <w:t>Funded Project</w:t>
      </w:r>
      <w:r w:rsidR="00372BD3" w:rsidRPr="00994E8B" w:rsidDel="00372BD3">
        <w:t xml:space="preserve"> </w:t>
      </w:r>
      <w:r w:rsidRPr="00994E8B">
        <w:t xml:space="preserve">to review compliance with the Grant Agreement. We may also inspect the records </w:t>
      </w:r>
      <w:r w:rsidR="00397ECB" w:rsidRPr="00994E8B">
        <w:t>applicants</w:t>
      </w:r>
      <w:r w:rsidRPr="00994E8B">
        <w:t xml:space="preserve"> are required to keep under the Grant Agreement. For large or complex </w:t>
      </w:r>
      <w:r w:rsidR="00372BD3" w:rsidRPr="00994E8B">
        <w:t>Funded Project</w:t>
      </w:r>
      <w:r w:rsidRPr="00994E8B">
        <w:t xml:space="preserve">s, we may visit </w:t>
      </w:r>
      <w:r w:rsidR="00397ECB" w:rsidRPr="00994E8B">
        <w:t>applicants</w:t>
      </w:r>
      <w:r w:rsidRPr="00994E8B">
        <w:t xml:space="preserve"> after </w:t>
      </w:r>
      <w:r w:rsidR="00397ECB" w:rsidRPr="00994E8B">
        <w:t xml:space="preserve">they </w:t>
      </w:r>
      <w:r w:rsidRPr="00994E8B">
        <w:t xml:space="preserve">finish </w:t>
      </w:r>
      <w:r w:rsidR="00397ECB" w:rsidRPr="00994E8B">
        <w:t xml:space="preserve">the </w:t>
      </w:r>
      <w:r w:rsidR="00372BD3" w:rsidRPr="00994E8B">
        <w:t>Funded Project</w:t>
      </w:r>
      <w:r w:rsidRPr="00994E8B">
        <w:t xml:space="preserve">. We will provide </w:t>
      </w:r>
      <w:r w:rsidR="00397ECB" w:rsidRPr="00994E8B">
        <w:t>applicants</w:t>
      </w:r>
      <w:r w:rsidRPr="00994E8B">
        <w:t xml:space="preserve"> with reasonable notice of any compliance visit.</w:t>
      </w:r>
    </w:p>
    <w:p w14:paraId="74CA8AFF" w14:textId="77777777" w:rsidR="00E1311F" w:rsidRPr="00994E8B" w:rsidRDefault="004B1409" w:rsidP="009D3119">
      <w:pPr>
        <w:pStyle w:val="Heading3"/>
      </w:pPr>
      <w:bookmarkStart w:id="690" w:name="_Toc129956342"/>
      <w:r w:rsidRPr="00994E8B">
        <w:t>Evaluation</w:t>
      </w:r>
      <w:bookmarkEnd w:id="690"/>
    </w:p>
    <w:p w14:paraId="19434EE0" w14:textId="4FC5BC55" w:rsidR="00C94BE5" w:rsidRPr="00994E8B" w:rsidRDefault="00C94BE5" w:rsidP="0014541A">
      <w:pPr>
        <w:rPr>
          <w:rFonts w:eastAsiaTheme="minorHAnsi" w:cstheme="minorBidi"/>
          <w:iCs/>
          <w:szCs w:val="22"/>
        </w:rPr>
      </w:pPr>
      <w:r w:rsidRPr="00994E8B">
        <w:rPr>
          <w:rFonts w:eastAsiaTheme="minorHAnsi" w:cstheme="minorBidi"/>
          <w:iCs/>
          <w:szCs w:val="22"/>
        </w:rPr>
        <w:t>We will evaluate the Grant Opportunity to measure how well the outcomes and objectives have been achieved. We may use information from application</w:t>
      </w:r>
      <w:r w:rsidR="004D6DE3" w:rsidRPr="00994E8B">
        <w:rPr>
          <w:rFonts w:eastAsiaTheme="minorHAnsi" w:cstheme="minorBidi"/>
          <w:iCs/>
          <w:szCs w:val="22"/>
        </w:rPr>
        <w:t>s</w:t>
      </w:r>
      <w:r w:rsidRPr="00994E8B">
        <w:rPr>
          <w:rFonts w:eastAsiaTheme="minorHAnsi" w:cstheme="minorBidi"/>
          <w:iCs/>
          <w:szCs w:val="22"/>
        </w:rPr>
        <w:t xml:space="preserve"> and reports for this purpose. We may also interview </w:t>
      </w:r>
      <w:r w:rsidR="004D6DE3" w:rsidRPr="00994E8B">
        <w:rPr>
          <w:rFonts w:eastAsiaTheme="minorHAnsi" w:cstheme="minorBidi"/>
          <w:iCs/>
          <w:szCs w:val="22"/>
        </w:rPr>
        <w:t>applicants</w:t>
      </w:r>
      <w:r w:rsidRPr="00994E8B">
        <w:rPr>
          <w:rFonts w:eastAsiaTheme="minorHAnsi" w:cstheme="minorBidi"/>
          <w:iCs/>
          <w:szCs w:val="22"/>
        </w:rPr>
        <w:t xml:space="preserve">, or ask for more information to help us understand how the grant impacted </w:t>
      </w:r>
      <w:r w:rsidR="004D6DE3" w:rsidRPr="00994E8B">
        <w:rPr>
          <w:rFonts w:eastAsiaTheme="minorHAnsi" w:cstheme="minorBidi"/>
          <w:iCs/>
          <w:szCs w:val="22"/>
        </w:rPr>
        <w:t>applicants</w:t>
      </w:r>
      <w:r w:rsidRPr="00994E8B">
        <w:rPr>
          <w:rFonts w:eastAsiaTheme="minorHAnsi" w:cstheme="minorBidi"/>
          <w:iCs/>
          <w:szCs w:val="22"/>
        </w:rPr>
        <w:t xml:space="preserve"> and to evaluate how effective the Program was in achieving its outcomes. Grantees may be required to participate in Program reviews and evaluations.</w:t>
      </w:r>
    </w:p>
    <w:p w14:paraId="4635B321" w14:textId="24EC3A2D" w:rsidR="004B1409" w:rsidRPr="00994E8B" w:rsidRDefault="00C94BE5" w:rsidP="0014541A">
      <w:r w:rsidRPr="00994E8B">
        <w:rPr>
          <w:rFonts w:eastAsiaTheme="minorHAnsi" w:cstheme="minorBidi"/>
          <w:iCs/>
          <w:szCs w:val="22"/>
        </w:rPr>
        <w:t xml:space="preserve">We may contact </w:t>
      </w:r>
      <w:r w:rsidR="004D6DE3" w:rsidRPr="00994E8B">
        <w:rPr>
          <w:rFonts w:eastAsiaTheme="minorHAnsi" w:cstheme="minorBidi"/>
          <w:iCs/>
          <w:szCs w:val="22"/>
        </w:rPr>
        <w:t>applicants</w:t>
      </w:r>
      <w:r w:rsidRPr="00994E8B">
        <w:rPr>
          <w:rFonts w:eastAsiaTheme="minorHAnsi" w:cstheme="minorBidi"/>
          <w:iCs/>
          <w:szCs w:val="22"/>
        </w:rPr>
        <w:t xml:space="preserve"> up to one year after the Asset Completion </w:t>
      </w:r>
      <w:r w:rsidR="00AB539F" w:rsidRPr="00994E8B">
        <w:rPr>
          <w:rFonts w:eastAsiaTheme="minorHAnsi" w:cstheme="minorBidi"/>
          <w:iCs/>
          <w:szCs w:val="22"/>
        </w:rPr>
        <w:t xml:space="preserve">Dates </w:t>
      </w:r>
      <w:r w:rsidRPr="00994E8B">
        <w:rPr>
          <w:rFonts w:eastAsiaTheme="minorHAnsi" w:cstheme="minorBidi"/>
          <w:iCs/>
          <w:szCs w:val="22"/>
        </w:rPr>
        <w:t>for each Funded Project for more information to assist with this evaluation.</w:t>
      </w:r>
      <w:r w:rsidRPr="00994E8B">
        <w:rPr>
          <w:rFonts w:eastAsiaTheme="minorHAnsi" w:cstheme="minorBidi"/>
          <w:b/>
          <w:iCs/>
          <w:szCs w:val="22"/>
        </w:rPr>
        <w:t xml:space="preserve"> </w:t>
      </w:r>
    </w:p>
    <w:p w14:paraId="1525C4F8" w14:textId="77777777" w:rsidR="00E1311F" w:rsidRPr="00994E8B" w:rsidRDefault="004B1409" w:rsidP="009D3119">
      <w:pPr>
        <w:pStyle w:val="Heading3"/>
      </w:pPr>
      <w:bookmarkStart w:id="691" w:name="_Toc129956343"/>
      <w:r w:rsidRPr="00994E8B">
        <w:t>Acknowledgement</w:t>
      </w:r>
      <w:bookmarkEnd w:id="691"/>
    </w:p>
    <w:p w14:paraId="6502189C" w14:textId="77777777" w:rsidR="00C94BE5" w:rsidRPr="00994E8B" w:rsidRDefault="00C94BE5" w:rsidP="00C94BE5">
      <w:r w:rsidRPr="00994E8B">
        <w:t>The Program logo should be used on all materials related to grants under the Program. Whenever the logo is used, the publication must also acknowledge the Commonwealth as follows:</w:t>
      </w:r>
    </w:p>
    <w:p w14:paraId="1C77138F" w14:textId="77777777" w:rsidR="00C94BE5" w:rsidRPr="00994E8B" w:rsidRDefault="00C94BE5" w:rsidP="00C94BE5">
      <w:r w:rsidRPr="00994E8B">
        <w:t>‘Regional Connectivity Program – an Australian Government initiative’</w:t>
      </w:r>
      <w:r w:rsidR="002A3EF1" w:rsidRPr="00994E8B">
        <w:t xml:space="preserve"> for Regional Connectivity Solutions and ‘Mobile Black Spot Program – an Australian Government initiative’ for Mobile Black Spot Solutions.</w:t>
      </w:r>
    </w:p>
    <w:p w14:paraId="1F36043B" w14:textId="3A0485FB" w:rsidR="00C94BE5" w:rsidRPr="00994E8B" w:rsidRDefault="00C94BE5" w:rsidP="00C94BE5">
      <w:r w:rsidRPr="00994E8B">
        <w:t xml:space="preserve">If </w:t>
      </w:r>
      <w:r w:rsidR="007C7FF2" w:rsidRPr="00994E8B">
        <w:t>applicants</w:t>
      </w:r>
      <w:r w:rsidRPr="00994E8B">
        <w:t xml:space="preserve"> make a public statement about a </w:t>
      </w:r>
      <w:r w:rsidR="008A6189" w:rsidRPr="00994E8B">
        <w:t>Funded Project</w:t>
      </w:r>
      <w:r w:rsidRPr="00994E8B">
        <w:t xml:space="preserve"> under the Program, we require </w:t>
      </w:r>
      <w:r w:rsidR="007C7FF2" w:rsidRPr="00994E8B">
        <w:t xml:space="preserve">them </w:t>
      </w:r>
      <w:r w:rsidRPr="00994E8B">
        <w:t>to acknowledge the grant by using the following:</w:t>
      </w:r>
    </w:p>
    <w:p w14:paraId="764D1682" w14:textId="77777777" w:rsidR="00512E13" w:rsidRPr="00994E8B" w:rsidRDefault="00C94BE5" w:rsidP="00C94BE5">
      <w:pPr>
        <w:rPr>
          <w:rFonts w:eastAsiaTheme="minorHAnsi"/>
        </w:rPr>
      </w:pPr>
      <w:r w:rsidRPr="00994E8B">
        <w:t>‘This project received grant funding from the Australian Government.’</w:t>
      </w:r>
    </w:p>
    <w:p w14:paraId="06657995" w14:textId="77777777" w:rsidR="00E1311F" w:rsidRPr="00994E8B" w:rsidRDefault="004B1409" w:rsidP="002E4AD3">
      <w:pPr>
        <w:pStyle w:val="Heading2"/>
      </w:pPr>
      <w:bookmarkStart w:id="692" w:name="_Toc129956344"/>
      <w:r w:rsidRPr="00994E8B">
        <w:t>Probity</w:t>
      </w:r>
      <w:bookmarkEnd w:id="692"/>
    </w:p>
    <w:p w14:paraId="7DF60272" w14:textId="77777777" w:rsidR="00C94BE5" w:rsidRPr="00994E8B" w:rsidRDefault="004B1409" w:rsidP="00C94BE5">
      <w:r w:rsidRPr="00994E8B">
        <w:t xml:space="preserve">The </w:t>
      </w:r>
      <w:r w:rsidR="00C94BE5" w:rsidRPr="00994E8B">
        <w:t>Australian Government will make sure that the Grant Opportunity process is fair, conducted according to these Guidelines, incorporates appropriate safeguards against fraud, unlawful activities and other inappropriate conduct, and is consistent with the CGRGs.</w:t>
      </w:r>
    </w:p>
    <w:p w14:paraId="61C8CDE4" w14:textId="77777777" w:rsidR="004B1409" w:rsidRPr="00994E8B" w:rsidRDefault="00C94BE5" w:rsidP="00C94BE5">
      <w:r w:rsidRPr="00994E8B">
        <w:t>External advisors may also be asked to inform the assessment and evaluation process. All external advisors must comply with the CGRGs.</w:t>
      </w:r>
    </w:p>
    <w:p w14:paraId="6F8F950B" w14:textId="77777777" w:rsidR="004B1409" w:rsidRPr="00994E8B" w:rsidRDefault="00A0109E" w:rsidP="0014541A">
      <w:pPr>
        <w:pStyle w:val="Heading3"/>
      </w:pPr>
      <w:bookmarkStart w:id="693" w:name="_Enquiries_and_feedback"/>
      <w:bookmarkStart w:id="694" w:name="_Toc129956345"/>
      <w:bookmarkEnd w:id="693"/>
      <w:r w:rsidRPr="00994E8B">
        <w:t>Enquiries and feedback</w:t>
      </w:r>
      <w:bookmarkEnd w:id="694"/>
    </w:p>
    <w:p w14:paraId="7255B271" w14:textId="1BE60C73" w:rsidR="00C94BE5" w:rsidRPr="00994E8B" w:rsidRDefault="00C94BE5" w:rsidP="00C94BE5">
      <w:r w:rsidRPr="00994E8B">
        <w:t xml:space="preserve">The Department’s </w:t>
      </w:r>
      <w:hyperlink r:id="rId44" w:history="1">
        <w:r w:rsidRPr="00994E8B">
          <w:rPr>
            <w:rStyle w:val="Hyperlink"/>
          </w:rPr>
          <w:t>Client Service Charter</w:t>
        </w:r>
      </w:hyperlink>
      <w:r w:rsidRPr="00994E8B">
        <w:t xml:space="preserve"> applies to complaints about this Grant Opportunity. All complaints about a grant process must be provided in writing.</w:t>
      </w:r>
    </w:p>
    <w:p w14:paraId="5CAB852C" w14:textId="5A94BD1D" w:rsidR="00113984" w:rsidRPr="00994E8B" w:rsidRDefault="00C94BE5" w:rsidP="00C94BE5">
      <w:r w:rsidRPr="00994E8B">
        <w:t xml:space="preserve">Any questions </w:t>
      </w:r>
      <w:r w:rsidR="007C7FF2" w:rsidRPr="00994E8B">
        <w:t>applicants</w:t>
      </w:r>
      <w:r w:rsidRPr="00994E8B">
        <w:t xml:space="preserve"> have about grant decisions for this Grant Opportunity should be sent to </w:t>
      </w:r>
      <w:hyperlink r:id="rId45" w:history="1">
        <w:r w:rsidRPr="00994E8B">
          <w:rPr>
            <w:rStyle w:val="Hyperlink"/>
          </w:rPr>
          <w:t>regionalconnectivity@communications.gov.au</w:t>
        </w:r>
      </w:hyperlink>
      <w:r w:rsidR="001415A4" w:rsidRPr="00994E8B">
        <w:rPr>
          <w:rStyle w:val="Hyperlink"/>
        </w:rPr>
        <w:t xml:space="preserve"> </w:t>
      </w:r>
      <w:r w:rsidR="001415A4" w:rsidRPr="00994E8B">
        <w:t xml:space="preserve">for </w:t>
      </w:r>
      <w:r w:rsidR="001415A4" w:rsidRPr="00994E8B">
        <w:rPr>
          <w:b/>
        </w:rPr>
        <w:t>Regional Connectivity Solutions</w:t>
      </w:r>
      <w:r w:rsidR="001415A4" w:rsidRPr="00994E8B">
        <w:t xml:space="preserve"> and </w:t>
      </w:r>
      <w:hyperlink r:id="rId46" w:history="1">
        <w:r w:rsidR="001415A4" w:rsidRPr="00994E8B">
          <w:rPr>
            <w:rStyle w:val="Hyperlink"/>
          </w:rPr>
          <w:t>MBSP@infrastructure.gov.au</w:t>
        </w:r>
      </w:hyperlink>
      <w:r w:rsidR="001415A4" w:rsidRPr="00994E8B">
        <w:t xml:space="preserve"> for </w:t>
      </w:r>
      <w:r w:rsidR="001415A4" w:rsidRPr="00994E8B">
        <w:rPr>
          <w:b/>
        </w:rPr>
        <w:t>Mobile Black Spot Solutions</w:t>
      </w:r>
      <w:r w:rsidRPr="00994E8B">
        <w:t xml:space="preserve">. </w:t>
      </w:r>
    </w:p>
    <w:p w14:paraId="3B20C705" w14:textId="583C7DDC" w:rsidR="004B1409" w:rsidRPr="00994E8B" w:rsidRDefault="004B1409" w:rsidP="00C94BE5">
      <w:r w:rsidRPr="00994E8B">
        <w:t xml:space="preserve">If </w:t>
      </w:r>
      <w:r w:rsidR="007C7FF2" w:rsidRPr="00994E8B">
        <w:t>applicants</w:t>
      </w:r>
      <w:r w:rsidRPr="00994E8B">
        <w:t xml:space="preserve"> do not agree with the way the </w:t>
      </w:r>
      <w:r w:rsidR="00B5086D" w:rsidRPr="00994E8B">
        <w:t>D</w:t>
      </w:r>
      <w:r w:rsidR="00113984" w:rsidRPr="00994E8B">
        <w:t xml:space="preserve">epartment </w:t>
      </w:r>
      <w:r w:rsidRPr="00994E8B">
        <w:t xml:space="preserve">has handled </w:t>
      </w:r>
      <w:r w:rsidR="007C7FF2" w:rsidRPr="00994E8B">
        <w:t>its</w:t>
      </w:r>
      <w:r w:rsidRPr="00994E8B">
        <w:t xml:space="preserve"> complaint, </w:t>
      </w:r>
      <w:r w:rsidR="007C7FF2" w:rsidRPr="00994E8B">
        <w:t xml:space="preserve">they </w:t>
      </w:r>
      <w:r w:rsidRPr="00994E8B">
        <w:t xml:space="preserve">may complain to the </w:t>
      </w:r>
      <w:hyperlink r:id="rId47" w:history="1">
        <w:r w:rsidRPr="00994E8B">
          <w:rPr>
            <w:rStyle w:val="Hyperlink"/>
          </w:rPr>
          <w:t>Commonwealth Ombudsman</w:t>
        </w:r>
      </w:hyperlink>
      <w:r w:rsidRPr="00994E8B">
        <w:t xml:space="preserve">. The Ombudsman will not usually look into a complaint unless the matter has first been raised directly with the </w:t>
      </w:r>
      <w:r w:rsidR="00B5086D" w:rsidRPr="00994E8B">
        <w:t>D</w:t>
      </w:r>
      <w:r w:rsidR="00113984" w:rsidRPr="00994E8B">
        <w:t xml:space="preserve">epartment. </w:t>
      </w:r>
    </w:p>
    <w:p w14:paraId="737FE314" w14:textId="77777777" w:rsidR="004B1409" w:rsidRPr="00994E8B" w:rsidRDefault="004B1409" w:rsidP="004B1409">
      <w:pPr>
        <w:ind w:left="5040" w:hanging="5040"/>
      </w:pPr>
      <w:r w:rsidRPr="00994E8B">
        <w:t xml:space="preserve">The Commonwealth Ombudsman can be contacted on: </w:t>
      </w:r>
    </w:p>
    <w:p w14:paraId="0C37756C" w14:textId="42F3141D" w:rsidR="004B1409" w:rsidRPr="00994E8B" w:rsidRDefault="004B1409" w:rsidP="004B1409">
      <w:pPr>
        <w:ind w:left="1276" w:hanging="1276"/>
      </w:pPr>
      <w:r w:rsidRPr="00994E8B">
        <w:lastRenderedPageBreak/>
        <w:tab/>
        <w:t>Phone (Toll free): 1300 362 072</w:t>
      </w:r>
      <w:r w:rsidRPr="00994E8B">
        <w:br/>
        <w:t xml:space="preserve">Email: </w:t>
      </w:r>
      <w:hyperlink r:id="rId48" w:history="1">
        <w:r w:rsidRPr="00994E8B">
          <w:t>ombudsman@ombudsman.gov.au</w:t>
        </w:r>
      </w:hyperlink>
      <w:r w:rsidR="00113984" w:rsidRPr="00994E8B">
        <w:t xml:space="preserve"> </w:t>
      </w:r>
      <w:r w:rsidRPr="00994E8B">
        <w:br/>
        <w:t xml:space="preserve">Website: </w:t>
      </w:r>
      <w:hyperlink r:id="rId49" w:history="1">
        <w:r w:rsidRPr="00994E8B">
          <w:t>www.ombudsman.gov.au</w:t>
        </w:r>
      </w:hyperlink>
      <w:r w:rsidR="00113984" w:rsidRPr="00994E8B">
        <w:t xml:space="preserve"> </w:t>
      </w:r>
    </w:p>
    <w:p w14:paraId="46A06D27" w14:textId="77777777" w:rsidR="004B1409" w:rsidRPr="00994E8B" w:rsidRDefault="004B1409" w:rsidP="002E4AD3">
      <w:pPr>
        <w:pStyle w:val="Heading3"/>
      </w:pPr>
      <w:bookmarkStart w:id="695" w:name="_Toc129956346"/>
      <w:r w:rsidRPr="00994E8B">
        <w:t>Conflicts of interest</w:t>
      </w:r>
      <w:bookmarkEnd w:id="695"/>
    </w:p>
    <w:p w14:paraId="13883E7F" w14:textId="7A9C1C82" w:rsidR="00113984" w:rsidRPr="00994E8B" w:rsidRDefault="004B1409" w:rsidP="00113984">
      <w:r w:rsidRPr="00994E8B">
        <w:t xml:space="preserve">Any </w:t>
      </w:r>
      <w:r w:rsidR="00113984" w:rsidRPr="00994E8B">
        <w:t xml:space="preserve">conflicts of interest could affect the performance of the Grant Opportunity or Program. There may be a conflict of interest, or perceived conflict of interest, if Department staff, any member of a committee or advisor and/or </w:t>
      </w:r>
      <w:r w:rsidR="007C7FF2" w:rsidRPr="00994E8B">
        <w:t>applicant</w:t>
      </w:r>
      <w:r w:rsidR="00113984" w:rsidRPr="00994E8B">
        <w:t xml:space="preserve"> or any of </w:t>
      </w:r>
      <w:r w:rsidR="007C7FF2" w:rsidRPr="00994E8B">
        <w:t xml:space="preserve">the applicant’s </w:t>
      </w:r>
      <w:r w:rsidR="00113984" w:rsidRPr="00994E8B">
        <w:t>personnel has a:</w:t>
      </w:r>
    </w:p>
    <w:p w14:paraId="6CD252FE" w14:textId="77777777" w:rsidR="00113984" w:rsidRPr="00994E8B" w:rsidRDefault="00113984" w:rsidP="007009DE">
      <w:pPr>
        <w:pStyle w:val="ListParagraph"/>
        <w:numPr>
          <w:ilvl w:val="0"/>
          <w:numId w:val="80"/>
        </w:numPr>
      </w:pPr>
      <w:r w:rsidRPr="00994E8B">
        <w:t>Professional, commercial or personal relationship with a party who is able to influence the application Selection Process, such as an Australian Government officer or external advisor</w:t>
      </w:r>
      <w:r w:rsidR="00607030" w:rsidRPr="00994E8B">
        <w:t>;</w:t>
      </w:r>
    </w:p>
    <w:p w14:paraId="5BC6D7B4" w14:textId="7AD1965E" w:rsidR="00113984" w:rsidRPr="00994E8B" w:rsidRDefault="00113984" w:rsidP="007009DE">
      <w:pPr>
        <w:pStyle w:val="ListParagraph"/>
        <w:numPr>
          <w:ilvl w:val="0"/>
          <w:numId w:val="80"/>
        </w:numPr>
      </w:pPr>
      <w:r w:rsidRPr="00994E8B">
        <w:t>Relationship with or interest in an organisation that is likely to interfere with or restrict the applicants from carrying out the proposed activities fairly and independently; or</w:t>
      </w:r>
    </w:p>
    <w:p w14:paraId="764DF0ED" w14:textId="77777777" w:rsidR="00113984" w:rsidRPr="00994E8B" w:rsidRDefault="00113984" w:rsidP="007009DE">
      <w:pPr>
        <w:pStyle w:val="ListParagraph"/>
        <w:numPr>
          <w:ilvl w:val="0"/>
          <w:numId w:val="80"/>
        </w:numPr>
      </w:pPr>
      <w:r w:rsidRPr="00994E8B">
        <w:t>Relationship with, or interest in, an organisation from which they will receive personal gain because the organisation receives a grant under the Grant Opportunity.</w:t>
      </w:r>
    </w:p>
    <w:p w14:paraId="27209A74" w14:textId="51FEA6FB" w:rsidR="00113984" w:rsidRPr="00994E8B" w:rsidRDefault="007C7FF2" w:rsidP="00113984">
      <w:r w:rsidRPr="00994E8B">
        <w:t>Applicants</w:t>
      </w:r>
      <w:r w:rsidR="00113984" w:rsidRPr="00994E8B">
        <w:t xml:space="preserve"> will be asked to declare, as part of your application, any perceived or existing conflicts of interests or that, to the best of your knowledge, there is no conflict of interest.</w:t>
      </w:r>
    </w:p>
    <w:p w14:paraId="28D20C6A" w14:textId="33D09CC5" w:rsidR="00113984" w:rsidRPr="00994E8B" w:rsidRDefault="00113984" w:rsidP="00113984">
      <w:r w:rsidRPr="00994E8B">
        <w:t xml:space="preserve">If </w:t>
      </w:r>
      <w:r w:rsidR="007C7FF2" w:rsidRPr="00994E8B">
        <w:t>applicants</w:t>
      </w:r>
      <w:r w:rsidRPr="00994E8B">
        <w:t xml:space="preserve"> later identify an actual, apparent, or perceived conflict of interest, </w:t>
      </w:r>
      <w:r w:rsidR="007C7FF2" w:rsidRPr="00994E8B">
        <w:t xml:space="preserve">they </w:t>
      </w:r>
      <w:r w:rsidRPr="00994E8B">
        <w:t>must inform the Department in writing immediately.</w:t>
      </w:r>
    </w:p>
    <w:p w14:paraId="1D3301CC" w14:textId="56DF857D" w:rsidR="004B1409" w:rsidRPr="00994E8B" w:rsidRDefault="004B1409" w:rsidP="004B1409">
      <w:r w:rsidRPr="00994E8B">
        <w:t xml:space="preserve">Conflicts of interest for Australian Government staff will be handled as set out in the Australian </w:t>
      </w:r>
      <w:hyperlink r:id="rId50" w:history="1">
        <w:r w:rsidRPr="00994E8B">
          <w:rPr>
            <w:rStyle w:val="Hyperlink"/>
          </w:rPr>
          <w:t>Public Service Code of Conduct (Section 13(7))</w:t>
        </w:r>
      </w:hyperlink>
      <w:r w:rsidRPr="00994E8B">
        <w:t xml:space="preserve"> of the </w:t>
      </w:r>
      <w:hyperlink r:id="rId51" w:history="1">
        <w:r w:rsidRPr="00994E8B">
          <w:rPr>
            <w:rStyle w:val="Hyperlink"/>
            <w:i/>
          </w:rPr>
          <w:t>Public Service Act 1999</w:t>
        </w:r>
      </w:hyperlink>
      <w:r w:rsidRPr="00994E8B">
        <w:t xml:space="preserve">. </w:t>
      </w:r>
      <w:r w:rsidR="00182EAC" w:rsidRPr="00994E8B">
        <w:t xml:space="preserve">Committee members and other officials including the </w:t>
      </w:r>
      <w:r w:rsidR="001464C2" w:rsidRPr="00994E8B">
        <w:t>D</w:t>
      </w:r>
      <w:r w:rsidR="00182EAC" w:rsidRPr="00994E8B">
        <w:t xml:space="preserve">ecision </w:t>
      </w:r>
      <w:r w:rsidR="001464C2" w:rsidRPr="00994E8B">
        <w:t>M</w:t>
      </w:r>
      <w:r w:rsidR="00182EAC" w:rsidRPr="00994E8B">
        <w:t>aker must also declare any conflicts of interest.</w:t>
      </w:r>
    </w:p>
    <w:p w14:paraId="48D8A6EE" w14:textId="77777777" w:rsidR="004B1409" w:rsidRPr="00994E8B" w:rsidRDefault="007E6B1A" w:rsidP="0014541A">
      <w:pPr>
        <w:pStyle w:val="Heading3"/>
      </w:pPr>
      <w:bookmarkStart w:id="696" w:name="_Toc129956347"/>
      <w:r w:rsidRPr="00994E8B">
        <w:t>Privacy</w:t>
      </w:r>
      <w:bookmarkEnd w:id="696"/>
    </w:p>
    <w:p w14:paraId="3A88DEAA" w14:textId="1FCA83F8" w:rsidR="007E6B1A" w:rsidRPr="00994E8B" w:rsidRDefault="007E6B1A" w:rsidP="007E6B1A">
      <w:r w:rsidRPr="00994E8B">
        <w:t xml:space="preserve">We treat </w:t>
      </w:r>
      <w:r w:rsidR="00863F5C" w:rsidRPr="00994E8B">
        <w:t>applicant’s</w:t>
      </w:r>
      <w:r w:rsidRPr="00994E8B">
        <w:t xml:space="preserve"> personal information according to the </w:t>
      </w:r>
      <w:hyperlink r:id="rId52" w:history="1">
        <w:r w:rsidR="00A95129" w:rsidRPr="00994E8B">
          <w:rPr>
            <w:rStyle w:val="Hyperlink"/>
            <w:i/>
          </w:rPr>
          <w:t>Privacy Act 1988</w:t>
        </w:r>
      </w:hyperlink>
      <w:r w:rsidR="00A95129" w:rsidRPr="00994E8B">
        <w:rPr>
          <w:i/>
        </w:rPr>
        <w:t xml:space="preserve"> </w:t>
      </w:r>
      <w:r w:rsidR="00A95129" w:rsidRPr="00994E8B">
        <w:t>and the</w:t>
      </w:r>
      <w:r w:rsidR="00A95129" w:rsidRPr="00994E8B">
        <w:rPr>
          <w:i/>
        </w:rPr>
        <w:t xml:space="preserve"> </w:t>
      </w:r>
      <w:hyperlink r:id="rId53" w:history="1">
        <w:r w:rsidRPr="00994E8B">
          <w:rPr>
            <w:rStyle w:val="Hyperlink"/>
          </w:rPr>
          <w:t>Australian Privacy Principles</w:t>
        </w:r>
      </w:hyperlink>
      <w:r w:rsidR="00164671" w:rsidRPr="00994E8B">
        <w:t>.</w:t>
      </w:r>
      <w:r w:rsidRPr="00994E8B">
        <w:t xml:space="preserve"> This includes letting </w:t>
      </w:r>
      <w:r w:rsidR="00863F5C" w:rsidRPr="00994E8B">
        <w:t>applicants</w:t>
      </w:r>
      <w:r w:rsidRPr="00994E8B">
        <w:t xml:space="preserve"> know: </w:t>
      </w:r>
    </w:p>
    <w:p w14:paraId="2FD2F04F" w14:textId="191BBFD3" w:rsidR="00113984" w:rsidRPr="00994E8B" w:rsidRDefault="00113984" w:rsidP="007447D0">
      <w:pPr>
        <w:pStyle w:val="ListParagraph"/>
        <w:numPr>
          <w:ilvl w:val="0"/>
          <w:numId w:val="42"/>
        </w:numPr>
        <w:rPr>
          <w:iCs/>
        </w:rPr>
      </w:pPr>
      <w:r w:rsidRPr="00994E8B">
        <w:rPr>
          <w:iCs/>
        </w:rPr>
        <w:t>what personal information we collect</w:t>
      </w:r>
      <w:r w:rsidR="00A151AD" w:rsidRPr="00994E8B">
        <w:rPr>
          <w:iCs/>
        </w:rPr>
        <w:t>;</w:t>
      </w:r>
    </w:p>
    <w:p w14:paraId="4A59C44A" w14:textId="77777777" w:rsidR="00113984" w:rsidRPr="00994E8B" w:rsidRDefault="00113984" w:rsidP="007447D0">
      <w:pPr>
        <w:pStyle w:val="ListParagraph"/>
        <w:numPr>
          <w:ilvl w:val="0"/>
          <w:numId w:val="42"/>
        </w:numPr>
        <w:rPr>
          <w:iCs/>
        </w:rPr>
      </w:pPr>
      <w:r w:rsidRPr="00994E8B">
        <w:rPr>
          <w:iCs/>
        </w:rPr>
        <w:t>why we collect your personal information; and</w:t>
      </w:r>
    </w:p>
    <w:p w14:paraId="70CC308F" w14:textId="77777777" w:rsidR="00113984" w:rsidRPr="00994E8B" w:rsidRDefault="00113984" w:rsidP="007447D0">
      <w:pPr>
        <w:pStyle w:val="ListParagraph"/>
        <w:numPr>
          <w:ilvl w:val="0"/>
          <w:numId w:val="42"/>
        </w:numPr>
        <w:rPr>
          <w:iCs/>
        </w:rPr>
      </w:pPr>
      <w:r w:rsidRPr="00994E8B">
        <w:rPr>
          <w:iCs/>
        </w:rPr>
        <w:t>who we give your personal information to.</w:t>
      </w:r>
    </w:p>
    <w:p w14:paraId="646FCA72" w14:textId="37358E0C" w:rsidR="00113984" w:rsidRPr="00994E8B" w:rsidRDefault="00863F5C" w:rsidP="00113984">
      <w:pPr>
        <w:rPr>
          <w:iCs/>
        </w:rPr>
      </w:pPr>
      <w:r w:rsidRPr="00994E8B">
        <w:rPr>
          <w:iCs/>
        </w:rPr>
        <w:t>Applicants</w:t>
      </w:r>
      <w:r w:rsidR="00113984" w:rsidRPr="00994E8B">
        <w:rPr>
          <w:iCs/>
        </w:rPr>
        <w:t xml:space="preserve"> personal information can only be disclosed to someone else for the primary purpose for which it was collected, unless an exemption applies under the </w:t>
      </w:r>
      <w:r w:rsidR="00113984" w:rsidRPr="00994E8B">
        <w:rPr>
          <w:i/>
          <w:iCs/>
        </w:rPr>
        <w:t>Privacy Act 1988</w:t>
      </w:r>
      <w:r w:rsidR="00113984" w:rsidRPr="00994E8B">
        <w:rPr>
          <w:iCs/>
        </w:rPr>
        <w:t>.</w:t>
      </w:r>
    </w:p>
    <w:p w14:paraId="2FB651DB" w14:textId="558285D0" w:rsidR="00113984" w:rsidRPr="00994E8B" w:rsidRDefault="00113984" w:rsidP="00113984">
      <w:pPr>
        <w:rPr>
          <w:iCs/>
        </w:rPr>
      </w:pPr>
      <w:r w:rsidRPr="00994E8B">
        <w:rPr>
          <w:iCs/>
        </w:rPr>
        <w:t xml:space="preserve">The Australian Government may use and disclose information about grant applicants and grant recipients under this Grant Opportunity. This includes disclosing grant information on </w:t>
      </w:r>
      <w:proofErr w:type="spellStart"/>
      <w:r w:rsidRPr="00994E8B">
        <w:rPr>
          <w:iCs/>
        </w:rPr>
        <w:t>GrantConnect</w:t>
      </w:r>
      <w:proofErr w:type="spellEnd"/>
      <w:r w:rsidRPr="00994E8B">
        <w:rPr>
          <w:iCs/>
        </w:rPr>
        <w:t xml:space="preserve"> as required for reporting purposes and giving information to the Australian Taxation Office for compliance purposes.</w:t>
      </w:r>
    </w:p>
    <w:p w14:paraId="006EFB41" w14:textId="77777777" w:rsidR="00113984" w:rsidRPr="00994E8B" w:rsidRDefault="00113984" w:rsidP="00113984">
      <w:pPr>
        <w:rPr>
          <w:iCs/>
        </w:rPr>
      </w:pPr>
      <w:r w:rsidRPr="00994E8B">
        <w:rPr>
          <w:iCs/>
        </w:rPr>
        <w:t>We may share the information you give us with other Commonwealth entities for purposes including government administration, research or service delivery, according to Australian laws.</w:t>
      </w:r>
    </w:p>
    <w:p w14:paraId="3CA9A509" w14:textId="40E38E03" w:rsidR="00113984" w:rsidRPr="00994E8B" w:rsidRDefault="00113984" w:rsidP="00113984">
      <w:pPr>
        <w:rPr>
          <w:iCs/>
        </w:rPr>
      </w:pPr>
      <w:r w:rsidRPr="00994E8B">
        <w:rPr>
          <w:iCs/>
        </w:rPr>
        <w:t xml:space="preserve">As part of your application, you declare your ability to comply with the </w:t>
      </w:r>
      <w:r w:rsidRPr="00994E8B">
        <w:rPr>
          <w:i/>
          <w:iCs/>
        </w:rPr>
        <w:t>Privacy Act 1988</w:t>
      </w:r>
      <w:r w:rsidRPr="00994E8B">
        <w:rPr>
          <w:iCs/>
        </w:rPr>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Department would breach an </w:t>
      </w:r>
      <w:hyperlink r:id="rId54" w:history="1">
        <w:r w:rsidRPr="00994E8B">
          <w:rPr>
            <w:rStyle w:val="Hyperlink"/>
            <w:iCs/>
          </w:rPr>
          <w:t>Australian Privacy Principle</w:t>
        </w:r>
      </w:hyperlink>
      <w:r w:rsidRPr="00994E8B">
        <w:rPr>
          <w:iCs/>
        </w:rPr>
        <w:t xml:space="preserve"> as defined in the </w:t>
      </w:r>
      <w:r w:rsidRPr="00994E8B">
        <w:rPr>
          <w:i/>
          <w:iCs/>
        </w:rPr>
        <w:t>Privacy Act 1988</w:t>
      </w:r>
      <w:r w:rsidRPr="00994E8B">
        <w:rPr>
          <w:iCs/>
        </w:rPr>
        <w:t>.</w:t>
      </w:r>
    </w:p>
    <w:p w14:paraId="532D1B7E" w14:textId="74CBDDAE" w:rsidR="00A95129" w:rsidRPr="00994E8B" w:rsidRDefault="00113984" w:rsidP="00A95129">
      <w:pPr>
        <w:rPr>
          <w:iCs/>
        </w:rPr>
      </w:pPr>
      <w:r w:rsidRPr="00994E8B">
        <w:rPr>
          <w:iCs/>
        </w:rPr>
        <w:lastRenderedPageBreak/>
        <w:t xml:space="preserve">For further information about our privacy obligations (including in relation to how to access or correct personal information or make a complaint) and our contact details for privacy matters, please see our </w:t>
      </w:r>
      <w:hyperlink r:id="rId55" w:history="1">
        <w:r w:rsidRPr="00994E8B">
          <w:rPr>
            <w:rStyle w:val="Hyperlink"/>
            <w:iCs/>
          </w:rPr>
          <w:t>Privacy Policy</w:t>
        </w:r>
      </w:hyperlink>
      <w:r w:rsidRPr="00994E8B">
        <w:rPr>
          <w:iCs/>
        </w:rPr>
        <w:t>.</w:t>
      </w:r>
    </w:p>
    <w:p w14:paraId="0484922F" w14:textId="77777777" w:rsidR="00D35A39" w:rsidRPr="00994E8B" w:rsidRDefault="00D35A39" w:rsidP="0014541A">
      <w:pPr>
        <w:pStyle w:val="Heading3"/>
      </w:pPr>
      <w:bookmarkStart w:id="697" w:name="_Toc129956348"/>
      <w:r w:rsidRPr="00994E8B">
        <w:t>Confidential Information</w:t>
      </w:r>
      <w:bookmarkEnd w:id="697"/>
    </w:p>
    <w:p w14:paraId="6CE8CDA5" w14:textId="0BC059F4" w:rsidR="00113984" w:rsidRPr="00994E8B" w:rsidRDefault="00113984" w:rsidP="00113984">
      <w:pPr>
        <w:rPr>
          <w:lang w:eastAsia="en-AU"/>
        </w:rPr>
      </w:pPr>
      <w:r w:rsidRPr="00994E8B">
        <w:rPr>
          <w:lang w:eastAsia="en-AU"/>
        </w:rPr>
        <w:t>The Department will treat the applicant’s commercially sensitive information provided in the applicant’s application as confidential information provided that information is designated as confidential information (</w:t>
      </w:r>
      <w:r w:rsidR="00BB395A" w:rsidRPr="00994E8B">
        <w:rPr>
          <w:lang w:eastAsia="en-AU"/>
        </w:rPr>
        <w:t>a</w:t>
      </w:r>
      <w:r w:rsidRPr="00994E8B">
        <w:rPr>
          <w:lang w:eastAsia="en-AU"/>
        </w:rPr>
        <w:t>pplicant Confidential Information).</w:t>
      </w:r>
    </w:p>
    <w:p w14:paraId="3A26121A" w14:textId="11520FEE" w:rsidR="00113984" w:rsidRPr="00994E8B" w:rsidRDefault="00113984" w:rsidP="00113984">
      <w:pPr>
        <w:rPr>
          <w:lang w:eastAsia="en-AU"/>
        </w:rPr>
      </w:pPr>
      <w:r w:rsidRPr="00994E8B">
        <w:rPr>
          <w:lang w:eastAsia="en-AU"/>
        </w:rPr>
        <w:t xml:space="preserve">The Department’s confidentiality obligation does not apply to the extent any </w:t>
      </w:r>
      <w:r w:rsidR="00BB395A" w:rsidRPr="00994E8B">
        <w:rPr>
          <w:lang w:eastAsia="en-AU"/>
        </w:rPr>
        <w:t>a</w:t>
      </w:r>
      <w:r w:rsidRPr="00994E8B">
        <w:rPr>
          <w:lang w:eastAsia="en-AU"/>
        </w:rPr>
        <w:t>pplicant Confidential Information is:</w:t>
      </w:r>
    </w:p>
    <w:p w14:paraId="61913D4B" w14:textId="6F157F03" w:rsidR="00113984" w:rsidRPr="00994E8B" w:rsidRDefault="00113984" w:rsidP="007447D0">
      <w:pPr>
        <w:pStyle w:val="ListParagraph"/>
        <w:numPr>
          <w:ilvl w:val="0"/>
          <w:numId w:val="43"/>
        </w:numPr>
        <w:rPr>
          <w:lang w:eastAsia="en-AU"/>
        </w:rPr>
      </w:pPr>
      <w:r w:rsidRPr="00994E8B">
        <w:rPr>
          <w:lang w:eastAsia="en-AU"/>
        </w:rPr>
        <w:t>authorised or required by law to be disclosed</w:t>
      </w:r>
      <w:r w:rsidR="00253BAE" w:rsidRPr="00994E8B">
        <w:rPr>
          <w:lang w:eastAsia="en-AU"/>
        </w:rPr>
        <w:t>;</w:t>
      </w:r>
    </w:p>
    <w:p w14:paraId="1BE95BE3" w14:textId="447F87FF" w:rsidR="00113984" w:rsidRPr="00994E8B" w:rsidRDefault="00113984" w:rsidP="007447D0">
      <w:pPr>
        <w:pStyle w:val="ListParagraph"/>
        <w:numPr>
          <w:ilvl w:val="0"/>
          <w:numId w:val="43"/>
        </w:numPr>
        <w:rPr>
          <w:lang w:eastAsia="en-AU"/>
        </w:rPr>
      </w:pPr>
      <w:r w:rsidRPr="00994E8B">
        <w:rPr>
          <w:lang w:eastAsia="en-AU"/>
        </w:rPr>
        <w:t>disclosed by the Department to its advisers, officers, employees, or other agencies’ officers or employees, for the purpose of evaluating the applicant’s application and during any Grant Agreement negotiations</w:t>
      </w:r>
      <w:r w:rsidR="00253BAE" w:rsidRPr="00994E8B">
        <w:rPr>
          <w:lang w:eastAsia="en-AU"/>
        </w:rPr>
        <w:t>;</w:t>
      </w:r>
    </w:p>
    <w:p w14:paraId="6276CDAF" w14:textId="433B093E" w:rsidR="00113984" w:rsidRPr="00994E8B" w:rsidRDefault="00113984" w:rsidP="007447D0">
      <w:pPr>
        <w:pStyle w:val="ListParagraph"/>
        <w:numPr>
          <w:ilvl w:val="0"/>
          <w:numId w:val="43"/>
        </w:numPr>
        <w:rPr>
          <w:lang w:eastAsia="en-AU"/>
        </w:rPr>
      </w:pPr>
      <w:r w:rsidRPr="00994E8B">
        <w:rPr>
          <w:lang w:eastAsia="en-AU"/>
        </w:rPr>
        <w:t>disclosed by the Department in response to a request by a house or a committee of the Parliament of Australia, or a house or a committee of the Parliament of a state or territory</w:t>
      </w:r>
      <w:r w:rsidR="00253BAE" w:rsidRPr="00994E8B">
        <w:rPr>
          <w:lang w:eastAsia="en-AU"/>
        </w:rPr>
        <w:t>;</w:t>
      </w:r>
    </w:p>
    <w:p w14:paraId="02BD9196" w14:textId="0A656662" w:rsidR="00113984" w:rsidRPr="00994E8B" w:rsidRDefault="00113984" w:rsidP="007447D0">
      <w:pPr>
        <w:pStyle w:val="ListParagraph"/>
        <w:numPr>
          <w:ilvl w:val="0"/>
          <w:numId w:val="43"/>
        </w:numPr>
        <w:rPr>
          <w:lang w:eastAsia="en-AU"/>
        </w:rPr>
      </w:pPr>
      <w:r w:rsidRPr="00994E8B">
        <w:rPr>
          <w:lang w:eastAsia="en-AU"/>
        </w:rPr>
        <w:t>disclosed by the Department to its responsible Minister or the Auditor-General</w:t>
      </w:r>
      <w:r w:rsidR="00253BAE" w:rsidRPr="00994E8B">
        <w:rPr>
          <w:lang w:eastAsia="en-AU"/>
        </w:rPr>
        <w:t>;</w:t>
      </w:r>
    </w:p>
    <w:p w14:paraId="3D86E742" w14:textId="49B04575" w:rsidR="00113984" w:rsidRPr="00994E8B" w:rsidRDefault="00113984" w:rsidP="007447D0">
      <w:pPr>
        <w:pStyle w:val="ListParagraph"/>
        <w:numPr>
          <w:ilvl w:val="0"/>
          <w:numId w:val="43"/>
        </w:numPr>
        <w:rPr>
          <w:lang w:eastAsia="en-AU"/>
        </w:rPr>
      </w:pPr>
      <w:r w:rsidRPr="00994E8B">
        <w:rPr>
          <w:lang w:eastAsia="en-AU"/>
        </w:rPr>
        <w:t>shared by the Commonwealth within the Commonwealth’s entity (for example, another Commonwealth agency), where this serves the Commonwealth’s legitimate interests</w:t>
      </w:r>
      <w:r w:rsidR="00253BAE" w:rsidRPr="00994E8B">
        <w:rPr>
          <w:lang w:eastAsia="en-AU"/>
        </w:rPr>
        <w:t>;</w:t>
      </w:r>
    </w:p>
    <w:p w14:paraId="7B62988E" w14:textId="77777777" w:rsidR="00113984" w:rsidRPr="00994E8B" w:rsidRDefault="00113984" w:rsidP="007447D0">
      <w:pPr>
        <w:pStyle w:val="ListParagraph"/>
        <w:numPr>
          <w:ilvl w:val="0"/>
          <w:numId w:val="43"/>
        </w:numPr>
        <w:rPr>
          <w:lang w:eastAsia="en-AU"/>
        </w:rPr>
      </w:pPr>
      <w:r w:rsidRPr="00994E8B">
        <w:rPr>
          <w:lang w:eastAsia="en-AU"/>
        </w:rPr>
        <w:t>disclosed to the Department’s officers to enable the effective management or auditing of the Program; or</w:t>
      </w:r>
    </w:p>
    <w:p w14:paraId="10837EAB" w14:textId="77777777" w:rsidR="00113984" w:rsidRPr="00994E8B" w:rsidRDefault="00113984" w:rsidP="007447D0">
      <w:pPr>
        <w:pStyle w:val="ListParagraph"/>
        <w:numPr>
          <w:ilvl w:val="0"/>
          <w:numId w:val="43"/>
        </w:numPr>
        <w:rPr>
          <w:lang w:eastAsia="en-AU"/>
        </w:rPr>
      </w:pPr>
      <w:r w:rsidRPr="00994E8B">
        <w:rPr>
          <w:lang w:eastAsia="en-AU"/>
        </w:rPr>
        <w:t>in the public domain otherwise than due to a breach of the Department’s confidentiality obligation.</w:t>
      </w:r>
    </w:p>
    <w:p w14:paraId="1F9F1BFF" w14:textId="6B9109B7" w:rsidR="00113984" w:rsidRPr="00994E8B" w:rsidRDefault="00113984" w:rsidP="00113984">
      <w:pPr>
        <w:rPr>
          <w:lang w:eastAsia="en-AU"/>
        </w:rPr>
      </w:pPr>
      <w:r w:rsidRPr="00994E8B">
        <w:rPr>
          <w:lang w:eastAsia="en-AU"/>
        </w:rPr>
        <w:t>The applicant will treat any information provided by the Department as confidential information provided that information is designated as confidential information. (Commonwealth Confidential Information).</w:t>
      </w:r>
    </w:p>
    <w:p w14:paraId="3601D01E" w14:textId="362EA7A5" w:rsidR="00113984" w:rsidRPr="00994E8B" w:rsidRDefault="00113984" w:rsidP="00113984">
      <w:pPr>
        <w:rPr>
          <w:lang w:eastAsia="en-AU"/>
        </w:rPr>
      </w:pPr>
      <w:r w:rsidRPr="00994E8B">
        <w:rPr>
          <w:lang w:eastAsia="en-AU"/>
        </w:rPr>
        <w:t>The applicant’s confidentiality obligation does not apply to the extent any Commonwealth Confidential Information is:</w:t>
      </w:r>
    </w:p>
    <w:p w14:paraId="7E99D780" w14:textId="77777777" w:rsidR="00113984" w:rsidRPr="00994E8B" w:rsidRDefault="00113984" w:rsidP="007447D0">
      <w:pPr>
        <w:pStyle w:val="ListParagraph"/>
        <w:numPr>
          <w:ilvl w:val="0"/>
          <w:numId w:val="44"/>
        </w:numPr>
        <w:rPr>
          <w:lang w:eastAsia="en-AU"/>
        </w:rPr>
      </w:pPr>
      <w:r w:rsidRPr="00994E8B">
        <w:rPr>
          <w:lang w:eastAsia="en-AU"/>
        </w:rPr>
        <w:t>authorised or required by law to be disclosed; or</w:t>
      </w:r>
    </w:p>
    <w:p w14:paraId="6EED4A13" w14:textId="36E229A7" w:rsidR="00113984" w:rsidRPr="00994E8B" w:rsidRDefault="00113984" w:rsidP="007447D0">
      <w:pPr>
        <w:pStyle w:val="ListParagraph"/>
        <w:numPr>
          <w:ilvl w:val="0"/>
          <w:numId w:val="44"/>
        </w:numPr>
        <w:rPr>
          <w:lang w:eastAsia="en-AU"/>
        </w:rPr>
      </w:pPr>
      <w:r w:rsidRPr="00994E8B">
        <w:rPr>
          <w:lang w:eastAsia="en-AU"/>
        </w:rPr>
        <w:t>in the public domain otherwise than due to a breach of the applicant’s confidentiality obligation.</w:t>
      </w:r>
    </w:p>
    <w:p w14:paraId="203FAF6B" w14:textId="1D64B4CD" w:rsidR="00113984" w:rsidRPr="00994E8B" w:rsidRDefault="00113984" w:rsidP="00113984">
      <w:pPr>
        <w:rPr>
          <w:lang w:eastAsia="en-AU"/>
        </w:rPr>
      </w:pPr>
      <w:r w:rsidRPr="00994E8B">
        <w:rPr>
          <w:lang w:eastAsia="en-AU"/>
        </w:rPr>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14:paraId="463960BB" w14:textId="77777777" w:rsidR="00113984" w:rsidRPr="00994E8B" w:rsidRDefault="00113984" w:rsidP="0014541A">
      <w:pPr>
        <w:pStyle w:val="Heading3"/>
      </w:pPr>
      <w:bookmarkStart w:id="698" w:name="_Toc129956349"/>
      <w:r w:rsidRPr="00994E8B">
        <w:t>Intellectual property rights</w:t>
      </w:r>
      <w:bookmarkEnd w:id="698"/>
    </w:p>
    <w:p w14:paraId="2240BD01" w14:textId="3B78DABD" w:rsidR="00113984" w:rsidRPr="00994E8B" w:rsidRDefault="00113984" w:rsidP="00113984">
      <w:pPr>
        <w:rPr>
          <w:lang w:eastAsia="en-AU"/>
        </w:rPr>
      </w:pPr>
      <w:r w:rsidRPr="00994E8B">
        <w:rPr>
          <w:lang w:eastAsia="en-AU"/>
        </w:rPr>
        <w:t xml:space="preserve">By </w:t>
      </w:r>
      <w:proofErr w:type="gramStart"/>
      <w:r w:rsidRPr="00994E8B">
        <w:rPr>
          <w:lang w:eastAsia="en-AU"/>
        </w:rPr>
        <w:t>submitting an application</w:t>
      </w:r>
      <w:proofErr w:type="gramEnd"/>
      <w:r w:rsidRPr="00994E8B">
        <w:rPr>
          <w:lang w:eastAsia="en-AU"/>
        </w:rPr>
        <w:t xml:space="preserve"> under the Program, to the extent the applicant’s application contains:</w:t>
      </w:r>
    </w:p>
    <w:p w14:paraId="289F8563" w14:textId="77777777" w:rsidR="00113984" w:rsidRPr="00994E8B" w:rsidRDefault="00113984" w:rsidP="007447D0">
      <w:pPr>
        <w:pStyle w:val="ListParagraph"/>
        <w:numPr>
          <w:ilvl w:val="0"/>
          <w:numId w:val="45"/>
        </w:numPr>
        <w:rPr>
          <w:lang w:eastAsia="en-AU"/>
        </w:rPr>
      </w:pPr>
      <w:r w:rsidRPr="00994E8B">
        <w:rPr>
          <w:lang w:eastAsia="en-AU"/>
        </w:rPr>
        <w:t>its Intellectual Property; or</w:t>
      </w:r>
    </w:p>
    <w:p w14:paraId="0ACCFF62" w14:textId="77777777" w:rsidR="00113984" w:rsidRPr="00994E8B" w:rsidRDefault="00113984" w:rsidP="007447D0">
      <w:pPr>
        <w:pStyle w:val="ListParagraph"/>
        <w:numPr>
          <w:ilvl w:val="0"/>
          <w:numId w:val="45"/>
        </w:numPr>
        <w:rPr>
          <w:lang w:eastAsia="en-AU"/>
        </w:rPr>
      </w:pPr>
      <w:r w:rsidRPr="00994E8B">
        <w:rPr>
          <w:lang w:eastAsia="en-AU"/>
        </w:rPr>
        <w:t>a third party’s Intellectual Property,</w:t>
      </w:r>
    </w:p>
    <w:p w14:paraId="756E12F6" w14:textId="261EC9ED" w:rsidR="00113984" w:rsidRPr="00994E8B" w:rsidRDefault="00113984" w:rsidP="00113984">
      <w:pPr>
        <w:rPr>
          <w:lang w:eastAsia="en-AU"/>
        </w:rPr>
      </w:pPr>
      <w:r w:rsidRPr="00994E8B">
        <w:rPr>
          <w:lang w:eastAsia="en-AU"/>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14:paraId="1ADA68B2" w14:textId="77777777" w:rsidR="00113984" w:rsidRPr="00994E8B" w:rsidRDefault="00113984" w:rsidP="00113984">
      <w:pPr>
        <w:rPr>
          <w:lang w:eastAsia="en-AU"/>
        </w:rPr>
      </w:pPr>
      <w:r w:rsidRPr="00994E8B">
        <w:rPr>
          <w:lang w:eastAsia="en-AU"/>
        </w:rPr>
        <w:lastRenderedPageBreak/>
        <w:t>Any licence granted to the Commonwealth in relation to Intellectual Property rights does not include a right to exploit the Intellectual Property for commercial purposes.</w:t>
      </w:r>
    </w:p>
    <w:p w14:paraId="47EF3BEC" w14:textId="77777777" w:rsidR="004B1409" w:rsidRPr="00994E8B" w:rsidRDefault="002D2607" w:rsidP="0014541A">
      <w:pPr>
        <w:pStyle w:val="Heading3"/>
      </w:pPr>
      <w:bookmarkStart w:id="699" w:name="_Toc129956350"/>
      <w:r w:rsidRPr="00994E8B">
        <w:t>Freedom of information</w:t>
      </w:r>
      <w:bookmarkEnd w:id="699"/>
    </w:p>
    <w:p w14:paraId="3FDA9C9C" w14:textId="4C045F2F" w:rsidR="002D2607" w:rsidRPr="00994E8B" w:rsidRDefault="002D2607" w:rsidP="002D2607">
      <w:r w:rsidRPr="00994E8B">
        <w:t>All documents in the possession of the Australian Government, including those about</w:t>
      </w:r>
      <w:r w:rsidR="00182EAC" w:rsidRPr="00994E8B">
        <w:t xml:space="preserve"> this grant opportunity</w:t>
      </w:r>
      <w:r w:rsidRPr="00994E8B">
        <w:t xml:space="preserve">, are subject to the </w:t>
      </w:r>
      <w:hyperlink r:id="rId56" w:history="1">
        <w:r w:rsidRPr="00994E8B">
          <w:rPr>
            <w:rStyle w:val="Hyperlink"/>
            <w:i/>
          </w:rPr>
          <w:t>Freedom of Information Act 1982</w:t>
        </w:r>
      </w:hyperlink>
      <w:r w:rsidRPr="00994E8B">
        <w:t xml:space="preserve"> (FOI Act)</w:t>
      </w:r>
      <w:r w:rsidRPr="00994E8B">
        <w:rPr>
          <w:i/>
        </w:rPr>
        <w:t>.</w:t>
      </w:r>
    </w:p>
    <w:p w14:paraId="40B6D846" w14:textId="77777777" w:rsidR="002D2607" w:rsidRPr="00994E8B" w:rsidRDefault="002D2607" w:rsidP="002D2607">
      <w:r w:rsidRPr="00994E8B">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4193D9D5" w14:textId="77777777" w:rsidR="002D2607" w:rsidRPr="00994E8B" w:rsidRDefault="002D2607" w:rsidP="002D2607">
      <w:r w:rsidRPr="00994E8B">
        <w:t>All Freedom of Information requests must be referred to the Freedom of Information Coordinator in writing.</w:t>
      </w:r>
    </w:p>
    <w:p w14:paraId="6018A980" w14:textId="77777777" w:rsidR="002D2607" w:rsidRPr="00994E8B" w:rsidRDefault="002D2607" w:rsidP="000227E0">
      <w:pPr>
        <w:tabs>
          <w:tab w:val="left" w:pos="1418"/>
        </w:tabs>
        <w:spacing w:after="0"/>
        <w:ind w:left="1418" w:hanging="1418"/>
        <w:contextualSpacing/>
      </w:pPr>
      <w:r w:rsidRPr="00994E8B">
        <w:t>By mail:</w:t>
      </w:r>
      <w:r w:rsidRPr="00994E8B">
        <w:tab/>
        <w:t>Freedom of Information Coordinator</w:t>
      </w:r>
    </w:p>
    <w:p w14:paraId="2D2B8DA2" w14:textId="77777777" w:rsidR="002D2607" w:rsidRPr="00994E8B" w:rsidRDefault="00113984" w:rsidP="000227E0">
      <w:pPr>
        <w:tabs>
          <w:tab w:val="left" w:pos="1418"/>
        </w:tabs>
        <w:spacing w:after="0"/>
        <w:ind w:left="2836" w:hanging="1418"/>
      </w:pPr>
      <w:r w:rsidRPr="00994E8B">
        <w:t>Department of Infrastructure, Transport, Regional Development</w:t>
      </w:r>
      <w:r w:rsidR="00BF3327" w:rsidRPr="00994E8B">
        <w:t xml:space="preserve">, </w:t>
      </w:r>
      <w:r w:rsidRPr="00994E8B">
        <w:t>Communications</w:t>
      </w:r>
      <w:r w:rsidR="00BF3327" w:rsidRPr="00994E8B">
        <w:t xml:space="preserve"> and the Arts</w:t>
      </w:r>
    </w:p>
    <w:p w14:paraId="7AE55C89" w14:textId="77777777" w:rsidR="00113984" w:rsidRPr="00994E8B" w:rsidRDefault="00113984" w:rsidP="000227E0">
      <w:pPr>
        <w:tabs>
          <w:tab w:val="left" w:pos="1418"/>
        </w:tabs>
        <w:spacing w:after="0"/>
        <w:ind w:left="2836" w:hanging="1418"/>
      </w:pPr>
      <w:r w:rsidRPr="00994E8B">
        <w:t>GPO Box 594</w:t>
      </w:r>
    </w:p>
    <w:p w14:paraId="4C1BE80F" w14:textId="77777777" w:rsidR="00113984" w:rsidRPr="00994E8B" w:rsidRDefault="00113984" w:rsidP="000227E0">
      <w:pPr>
        <w:tabs>
          <w:tab w:val="left" w:pos="1418"/>
        </w:tabs>
        <w:spacing w:after="0"/>
        <w:ind w:left="2836" w:hanging="1418"/>
      </w:pPr>
      <w:r w:rsidRPr="00994E8B">
        <w:t>CANBERRA ACT 2601</w:t>
      </w:r>
    </w:p>
    <w:p w14:paraId="65A25DB1" w14:textId="5EC47B65" w:rsidR="002D2607" w:rsidRPr="00994E8B" w:rsidRDefault="002D2607" w:rsidP="002D2607">
      <w:r w:rsidRPr="00994E8B">
        <w:t>By email:</w:t>
      </w:r>
      <w:r w:rsidRPr="00994E8B">
        <w:tab/>
      </w:r>
      <w:hyperlink r:id="rId57" w:history="1">
        <w:r w:rsidR="002A2484" w:rsidRPr="00994E8B">
          <w:rPr>
            <w:rStyle w:val="Hyperlink"/>
          </w:rPr>
          <w:t>mailto:FOI@infrastructure.gov.au</w:t>
        </w:r>
      </w:hyperlink>
    </w:p>
    <w:p w14:paraId="20F12BC4" w14:textId="77777777" w:rsidR="002D2607" w:rsidRPr="00994E8B" w:rsidRDefault="002D2607" w:rsidP="002E4AD3">
      <w:pPr>
        <w:pStyle w:val="Heading2"/>
      </w:pPr>
      <w:bookmarkStart w:id="700" w:name="_Toc129956351"/>
      <w:r w:rsidRPr="00994E8B">
        <w:t>Consultation</w:t>
      </w:r>
      <w:bookmarkEnd w:id="700"/>
    </w:p>
    <w:p w14:paraId="5F28B739" w14:textId="77777777" w:rsidR="00113984" w:rsidRPr="00994E8B" w:rsidRDefault="00113984" w:rsidP="00113984">
      <w:r w:rsidRPr="00994E8B">
        <w:t>These Guidelines are informed by the submissions received as part of consultation on the draft Guidelines.</w:t>
      </w:r>
    </w:p>
    <w:p w14:paraId="3809E850" w14:textId="7E4F1B6B" w:rsidR="007B576A" w:rsidRPr="00994E8B" w:rsidRDefault="002D2607" w:rsidP="002E4AD3">
      <w:pPr>
        <w:pStyle w:val="Heading2"/>
      </w:pPr>
      <w:bookmarkStart w:id="701" w:name="_Glossary"/>
      <w:bookmarkStart w:id="702" w:name="_Toc129956352"/>
      <w:bookmarkEnd w:id="668"/>
      <w:bookmarkEnd w:id="701"/>
      <w:r w:rsidRPr="00994E8B">
        <w:t>Glossary</w:t>
      </w:r>
      <w:bookmarkEnd w:id="702"/>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94E8B" w14:paraId="7748A134" w14:textId="77777777" w:rsidTr="004960E4">
        <w:trPr>
          <w:cantSplit/>
          <w:tblHeader/>
        </w:trPr>
        <w:tc>
          <w:tcPr>
            <w:tcW w:w="1843" w:type="pct"/>
            <w:shd w:val="clear" w:color="auto" w:fill="264F90"/>
          </w:tcPr>
          <w:p w14:paraId="6F222066" w14:textId="77777777" w:rsidR="002A7660" w:rsidRPr="00994E8B" w:rsidRDefault="002A7660" w:rsidP="004B1409">
            <w:pPr>
              <w:pStyle w:val="TableHeadingNumbered"/>
            </w:pPr>
            <w:r w:rsidRPr="00994E8B">
              <w:t>Term</w:t>
            </w:r>
          </w:p>
        </w:tc>
        <w:tc>
          <w:tcPr>
            <w:tcW w:w="3157" w:type="pct"/>
            <w:shd w:val="clear" w:color="auto" w:fill="264F90"/>
          </w:tcPr>
          <w:p w14:paraId="0B41D302" w14:textId="77777777" w:rsidR="002A7660" w:rsidRPr="00994E8B" w:rsidRDefault="002A7660" w:rsidP="004B1409">
            <w:pPr>
              <w:pStyle w:val="TableHeadingNumbered"/>
            </w:pPr>
            <w:r w:rsidRPr="00994E8B">
              <w:t>Definition</w:t>
            </w:r>
          </w:p>
        </w:tc>
      </w:tr>
      <w:tr w:rsidR="00705485" w:rsidRPr="00994E8B" w14:paraId="2541CF23" w14:textId="77777777" w:rsidTr="004960E4">
        <w:trPr>
          <w:cantSplit/>
        </w:trPr>
        <w:tc>
          <w:tcPr>
            <w:tcW w:w="1843" w:type="pct"/>
          </w:tcPr>
          <w:p w14:paraId="385D51E9" w14:textId="77777777" w:rsidR="00705485" w:rsidRPr="00994E8B" w:rsidRDefault="00705485" w:rsidP="00705485">
            <w:r w:rsidRPr="00994E8B">
              <w:t>4G</w:t>
            </w:r>
          </w:p>
        </w:tc>
        <w:tc>
          <w:tcPr>
            <w:tcW w:w="3157" w:type="pct"/>
          </w:tcPr>
          <w:p w14:paraId="6F1C2199" w14:textId="77777777" w:rsidR="00705485" w:rsidRPr="00994E8B" w:rsidRDefault="00705485" w:rsidP="00705485">
            <w:r w:rsidRPr="00994E8B">
              <w:t>Fourth generation mobile telecommunications service.</w:t>
            </w:r>
          </w:p>
        </w:tc>
      </w:tr>
      <w:tr w:rsidR="00705485" w:rsidRPr="00994E8B" w14:paraId="1B1C127D" w14:textId="77777777" w:rsidTr="004960E4">
        <w:trPr>
          <w:cantSplit/>
        </w:trPr>
        <w:tc>
          <w:tcPr>
            <w:tcW w:w="1843" w:type="pct"/>
          </w:tcPr>
          <w:p w14:paraId="68B4428F" w14:textId="77777777" w:rsidR="00705485" w:rsidRPr="00994E8B" w:rsidRDefault="00705485" w:rsidP="00705485">
            <w:r w:rsidRPr="00994E8B">
              <w:t>5G</w:t>
            </w:r>
          </w:p>
        </w:tc>
        <w:tc>
          <w:tcPr>
            <w:tcW w:w="3157" w:type="pct"/>
          </w:tcPr>
          <w:p w14:paraId="666A67C6" w14:textId="77777777" w:rsidR="00705485" w:rsidRPr="00994E8B" w:rsidRDefault="00705485" w:rsidP="00705485">
            <w:r w:rsidRPr="00994E8B">
              <w:t>Fifth generation mobile telecommunications service.</w:t>
            </w:r>
          </w:p>
        </w:tc>
      </w:tr>
      <w:tr w:rsidR="00ED7B3D" w:rsidRPr="00994E8B" w14:paraId="5B2D2603" w14:textId="77777777" w:rsidTr="004960E4">
        <w:trPr>
          <w:cantSplit/>
        </w:trPr>
        <w:tc>
          <w:tcPr>
            <w:tcW w:w="1843" w:type="pct"/>
          </w:tcPr>
          <w:p w14:paraId="4219C3B7" w14:textId="5AABC2A6" w:rsidR="00ED7B3D" w:rsidRPr="00994E8B" w:rsidRDefault="00ED7B3D" w:rsidP="00ED7B3D">
            <w:r w:rsidRPr="00994E8B">
              <w:t>ABS</w:t>
            </w:r>
          </w:p>
        </w:tc>
        <w:tc>
          <w:tcPr>
            <w:tcW w:w="3157" w:type="pct"/>
          </w:tcPr>
          <w:p w14:paraId="71761C6B" w14:textId="0A5752F1" w:rsidR="00ED7B3D" w:rsidRPr="00994E8B" w:rsidRDefault="00ED7B3D" w:rsidP="00ED7B3D">
            <w:r w:rsidRPr="00994E8B">
              <w:t>Australian Bureau of Statistics</w:t>
            </w:r>
          </w:p>
        </w:tc>
      </w:tr>
      <w:tr w:rsidR="00317203" w:rsidRPr="00994E8B" w14:paraId="2C56D2B2" w14:textId="77777777" w:rsidTr="004960E4">
        <w:trPr>
          <w:cantSplit/>
        </w:trPr>
        <w:tc>
          <w:tcPr>
            <w:tcW w:w="1843" w:type="pct"/>
          </w:tcPr>
          <w:p w14:paraId="1EFE0D0B" w14:textId="77777777" w:rsidR="00317203" w:rsidRPr="00994E8B" w:rsidRDefault="00317203" w:rsidP="00705485">
            <w:r w:rsidRPr="00994E8B">
              <w:t>Active sharing</w:t>
            </w:r>
          </w:p>
        </w:tc>
        <w:tc>
          <w:tcPr>
            <w:tcW w:w="3157" w:type="pct"/>
          </w:tcPr>
          <w:p w14:paraId="13472B5A" w14:textId="268FBE56" w:rsidR="00317203" w:rsidRPr="00994E8B" w:rsidRDefault="00E939E9" w:rsidP="00705485">
            <w:r w:rsidRPr="00994E8B">
              <w:t xml:space="preserve">Arrangements where MNOs share the active layer of mobile network </w:t>
            </w:r>
            <w:r w:rsidR="00B750B9" w:rsidRPr="00994E8B">
              <w:t>infrastructure</w:t>
            </w:r>
            <w:r w:rsidRPr="00994E8B">
              <w:t xml:space="preserve"> to deliver services to a location, including through Radio Access Network Sharing, and</w:t>
            </w:r>
            <w:r w:rsidR="00FD1D79" w:rsidRPr="00994E8B">
              <w:t>/or</w:t>
            </w:r>
            <w:r w:rsidRPr="00994E8B">
              <w:t xml:space="preserve"> </w:t>
            </w:r>
            <w:r w:rsidR="00FD1D79" w:rsidRPr="00994E8B">
              <w:t xml:space="preserve">mobile </w:t>
            </w:r>
            <w:r w:rsidRPr="00994E8B">
              <w:t xml:space="preserve">roaming. </w:t>
            </w:r>
          </w:p>
        </w:tc>
      </w:tr>
      <w:tr w:rsidR="00745D78" w:rsidRPr="00994E8B" w14:paraId="4682B99A" w14:textId="77777777" w:rsidTr="004960E4">
        <w:trPr>
          <w:cantSplit/>
        </w:trPr>
        <w:tc>
          <w:tcPr>
            <w:tcW w:w="1843" w:type="pct"/>
          </w:tcPr>
          <w:p w14:paraId="097197E0" w14:textId="5FF238B3" w:rsidR="00745D78" w:rsidRPr="00994E8B" w:rsidRDefault="00745D78" w:rsidP="00745D78">
            <w:pPr>
              <w:tabs>
                <w:tab w:val="center" w:pos="1510"/>
              </w:tabs>
            </w:pPr>
            <w:r w:rsidRPr="00994E8B">
              <w:t>AE</w:t>
            </w:r>
            <w:r w:rsidR="008F7BD2">
              <w:t>S</w:t>
            </w:r>
            <w:r w:rsidRPr="00994E8B">
              <w:t>T</w:t>
            </w:r>
          </w:p>
        </w:tc>
        <w:tc>
          <w:tcPr>
            <w:tcW w:w="3157" w:type="pct"/>
          </w:tcPr>
          <w:p w14:paraId="65DC10F0" w14:textId="76302641" w:rsidR="00745D78" w:rsidRPr="00994E8B" w:rsidRDefault="00745D78" w:rsidP="00745D78">
            <w:r w:rsidRPr="00994E8B">
              <w:t xml:space="preserve">Australian Eastern </w:t>
            </w:r>
            <w:r w:rsidR="008F7BD2">
              <w:t>Standard</w:t>
            </w:r>
            <w:r w:rsidRPr="00994E8B">
              <w:t xml:space="preserve"> Time</w:t>
            </w:r>
          </w:p>
        </w:tc>
      </w:tr>
      <w:tr w:rsidR="002D66FF" w:rsidRPr="00994E8B" w14:paraId="2CCA607A" w14:textId="77777777" w:rsidTr="004960E4">
        <w:trPr>
          <w:cantSplit/>
        </w:trPr>
        <w:tc>
          <w:tcPr>
            <w:tcW w:w="1843" w:type="pct"/>
          </w:tcPr>
          <w:p w14:paraId="16759F21" w14:textId="5E5F50C1" w:rsidR="002D66FF" w:rsidRPr="00994E8B" w:rsidRDefault="00745D78" w:rsidP="008615EE">
            <w:pPr>
              <w:tabs>
                <w:tab w:val="center" w:pos="1510"/>
              </w:tabs>
            </w:pPr>
            <w:r w:rsidRPr="00994E8B">
              <w:t>AC</w:t>
            </w:r>
          </w:p>
        </w:tc>
        <w:tc>
          <w:tcPr>
            <w:tcW w:w="3157" w:type="pct"/>
          </w:tcPr>
          <w:p w14:paraId="3966835D" w14:textId="706AB9C1" w:rsidR="002D66FF" w:rsidRPr="00994E8B" w:rsidRDefault="00745D78" w:rsidP="00705485">
            <w:r w:rsidRPr="00994E8B">
              <w:t xml:space="preserve">Alternating Current </w:t>
            </w:r>
          </w:p>
        </w:tc>
      </w:tr>
      <w:tr w:rsidR="00745D78" w:rsidRPr="00994E8B" w14:paraId="38ADE3CC" w14:textId="77777777" w:rsidTr="004960E4">
        <w:trPr>
          <w:cantSplit/>
        </w:trPr>
        <w:tc>
          <w:tcPr>
            <w:tcW w:w="1843" w:type="pct"/>
          </w:tcPr>
          <w:p w14:paraId="790D99B8" w14:textId="717CC447" w:rsidR="00745D78" w:rsidRPr="00994E8B" w:rsidRDefault="00745D78" w:rsidP="00ED7B3D">
            <w:pPr>
              <w:tabs>
                <w:tab w:val="center" w:pos="1510"/>
              </w:tabs>
            </w:pPr>
            <w:r w:rsidRPr="00994E8B">
              <w:t>ACCC</w:t>
            </w:r>
          </w:p>
        </w:tc>
        <w:tc>
          <w:tcPr>
            <w:tcW w:w="3157" w:type="pct"/>
          </w:tcPr>
          <w:p w14:paraId="19CF16E4" w14:textId="6F7B59FD" w:rsidR="00745D78" w:rsidRPr="00994E8B" w:rsidRDefault="00745D78" w:rsidP="00705485">
            <w:r w:rsidRPr="00994E8B">
              <w:t>Australian Competition and Consumer Commission</w:t>
            </w:r>
          </w:p>
        </w:tc>
      </w:tr>
      <w:tr w:rsidR="00705485" w:rsidRPr="00994E8B" w14:paraId="720060FD" w14:textId="77777777" w:rsidTr="004960E4">
        <w:trPr>
          <w:cantSplit/>
        </w:trPr>
        <w:tc>
          <w:tcPr>
            <w:tcW w:w="1843" w:type="pct"/>
          </w:tcPr>
          <w:p w14:paraId="19DDB695" w14:textId="77777777" w:rsidR="00705485" w:rsidRPr="00994E8B" w:rsidRDefault="00705485" w:rsidP="00705485">
            <w:r w:rsidRPr="00994E8B">
              <w:t>Asset</w:t>
            </w:r>
          </w:p>
        </w:tc>
        <w:tc>
          <w:tcPr>
            <w:tcW w:w="3157" w:type="pct"/>
          </w:tcPr>
          <w:p w14:paraId="69B22348" w14:textId="61951E6A" w:rsidR="00705485" w:rsidRPr="00994E8B" w:rsidRDefault="0001707A" w:rsidP="00705485">
            <w:pPr>
              <w:rPr>
                <w:rFonts w:cs="Arial"/>
                <w:lang w:eastAsia="en-AU"/>
              </w:rPr>
            </w:pPr>
            <w:r w:rsidRPr="00994E8B">
              <w:t>“The component of Proposed Solution to be constructed or upgraded at (or in connection to) a site”</w:t>
            </w:r>
            <w:r w:rsidR="000035CE" w:rsidRPr="00994E8B">
              <w:t>.</w:t>
            </w:r>
          </w:p>
        </w:tc>
      </w:tr>
      <w:tr w:rsidR="00705485" w:rsidRPr="00994E8B" w14:paraId="53520A8B" w14:textId="77777777" w:rsidTr="004960E4">
        <w:trPr>
          <w:cantSplit/>
        </w:trPr>
        <w:tc>
          <w:tcPr>
            <w:tcW w:w="1843" w:type="pct"/>
          </w:tcPr>
          <w:p w14:paraId="1395AFF7" w14:textId="77777777" w:rsidR="00705485" w:rsidRPr="00994E8B" w:rsidRDefault="00705485" w:rsidP="00705485">
            <w:r w:rsidRPr="00994E8B">
              <w:t>Date of Asset Completion</w:t>
            </w:r>
          </w:p>
        </w:tc>
        <w:tc>
          <w:tcPr>
            <w:tcW w:w="3157" w:type="pct"/>
          </w:tcPr>
          <w:p w14:paraId="708C597D" w14:textId="77777777" w:rsidR="00705485" w:rsidRPr="00994E8B" w:rsidRDefault="00705485" w:rsidP="00705485">
            <w:pPr>
              <w:rPr>
                <w:rFonts w:cs="Arial"/>
                <w:lang w:eastAsia="en-AU"/>
              </w:rPr>
            </w:pPr>
            <w:r w:rsidRPr="00994E8B">
              <w:t xml:space="preserve">The date on which the Grantee has delivered the </w:t>
            </w:r>
            <w:r w:rsidR="0063365B" w:rsidRPr="00994E8B">
              <w:t xml:space="preserve">contracted </w:t>
            </w:r>
            <w:r w:rsidRPr="00994E8B">
              <w:t>service for a particular Asset.</w:t>
            </w:r>
          </w:p>
        </w:tc>
      </w:tr>
      <w:tr w:rsidR="00705485" w:rsidRPr="00994E8B" w14:paraId="7290AA05" w14:textId="77777777" w:rsidTr="004960E4">
        <w:trPr>
          <w:cantSplit/>
        </w:trPr>
        <w:tc>
          <w:tcPr>
            <w:tcW w:w="1843" w:type="pct"/>
          </w:tcPr>
          <w:p w14:paraId="0D6B5356" w14:textId="77777777" w:rsidR="00705485" w:rsidRPr="00994E8B" w:rsidRDefault="00705485" w:rsidP="00705485">
            <w:r w:rsidRPr="00994E8B">
              <w:lastRenderedPageBreak/>
              <w:t>Backhaul</w:t>
            </w:r>
          </w:p>
        </w:tc>
        <w:tc>
          <w:tcPr>
            <w:tcW w:w="3157" w:type="pct"/>
          </w:tcPr>
          <w:p w14:paraId="6968BFBD" w14:textId="77777777" w:rsidR="00705485" w:rsidRPr="00994E8B" w:rsidRDefault="00705485" w:rsidP="00705485">
            <w:r w:rsidRPr="00994E8B">
              <w:t>A link between the core or backbone of a network and sub-networks, transporting data from a series of disparate locations to a more centralised location.</w:t>
            </w:r>
          </w:p>
        </w:tc>
      </w:tr>
      <w:tr w:rsidR="00705485" w:rsidRPr="00994E8B" w14:paraId="5922F0E1" w14:textId="77777777" w:rsidTr="004960E4">
        <w:trPr>
          <w:cantSplit/>
        </w:trPr>
        <w:tc>
          <w:tcPr>
            <w:tcW w:w="1843" w:type="pct"/>
          </w:tcPr>
          <w:p w14:paraId="32D78564" w14:textId="24325258" w:rsidR="00705485" w:rsidRPr="00994E8B" w:rsidRDefault="00A27B5B" w:rsidP="00705485">
            <w:hyperlink r:id="rId58" w:history="1">
              <w:r w:rsidR="00705485" w:rsidRPr="00994E8B">
                <w:rPr>
                  <w:rStyle w:val="Hyperlink"/>
                  <w:rFonts w:eastAsia="MS Mincho"/>
                </w:rPr>
                <w:t>Commonwealth Grants Rules and Guidelines or CGRGs</w:t>
              </w:r>
            </w:hyperlink>
            <w:r w:rsidR="00705485" w:rsidRPr="00994E8B">
              <w:rPr>
                <w:rFonts w:eastAsia="MS Mincho"/>
              </w:rPr>
              <w:t xml:space="preserve"> </w:t>
            </w:r>
          </w:p>
        </w:tc>
        <w:tc>
          <w:tcPr>
            <w:tcW w:w="3157" w:type="pct"/>
          </w:tcPr>
          <w:p w14:paraId="112525AC" w14:textId="77777777" w:rsidR="00705485" w:rsidRPr="00994E8B" w:rsidRDefault="00705485" w:rsidP="00705485">
            <w:r w:rsidRPr="00994E8B">
              <w:t xml:space="preserve">Guidelines issued by the Finance Minister under section 105C of the </w:t>
            </w:r>
            <w:r w:rsidRPr="00994E8B">
              <w:rPr>
                <w:i/>
              </w:rPr>
              <w:t>Public Governance, Performance and Accountability Act 2013</w:t>
            </w:r>
            <w:r w:rsidRPr="00994E8B">
              <w:t xml:space="preserve">, which establish the overarching Commonwealth grants policy framework and articulate the expectations for all non-corporate Commonwealth entities in relation to grants administration. </w:t>
            </w:r>
          </w:p>
        </w:tc>
      </w:tr>
      <w:tr w:rsidR="00705485" w:rsidRPr="00994E8B" w14:paraId="10BAC26D" w14:textId="77777777" w:rsidTr="004960E4">
        <w:trPr>
          <w:cantSplit/>
        </w:trPr>
        <w:tc>
          <w:tcPr>
            <w:tcW w:w="1843" w:type="pct"/>
          </w:tcPr>
          <w:p w14:paraId="2C7FC6D3" w14:textId="77777777" w:rsidR="00705485" w:rsidRPr="00994E8B" w:rsidRDefault="00705485" w:rsidP="00705485">
            <w:r w:rsidRPr="00994E8B">
              <w:t xml:space="preserve">Commonwealth Official </w:t>
            </w:r>
          </w:p>
        </w:tc>
        <w:tc>
          <w:tcPr>
            <w:tcW w:w="3157" w:type="pct"/>
          </w:tcPr>
          <w:p w14:paraId="3CFB5363" w14:textId="77777777" w:rsidR="00705485" w:rsidRPr="00994E8B" w:rsidRDefault="00705485" w:rsidP="00705485">
            <w:r w:rsidRPr="00994E8B">
              <w:t>A Commonwealth representative who is working or consulting on the Program.</w:t>
            </w:r>
          </w:p>
        </w:tc>
      </w:tr>
      <w:tr w:rsidR="00705485" w:rsidRPr="00994E8B" w14:paraId="54592678" w14:textId="77777777" w:rsidTr="004960E4">
        <w:trPr>
          <w:cantSplit/>
        </w:trPr>
        <w:tc>
          <w:tcPr>
            <w:tcW w:w="1843" w:type="pct"/>
          </w:tcPr>
          <w:p w14:paraId="67C191AF" w14:textId="77777777" w:rsidR="00705485" w:rsidRPr="00994E8B" w:rsidRDefault="00705485" w:rsidP="00705485">
            <w:r w:rsidRPr="00994E8B">
              <w:t>Decision Maker</w:t>
            </w:r>
          </w:p>
        </w:tc>
        <w:tc>
          <w:tcPr>
            <w:tcW w:w="3157" w:type="pct"/>
          </w:tcPr>
          <w:p w14:paraId="07FEC85C" w14:textId="398DD11C" w:rsidR="00705485" w:rsidRPr="00994E8B" w:rsidRDefault="00705485" w:rsidP="00705485">
            <w:r w:rsidRPr="00994E8B">
              <w:t xml:space="preserve">As set out in </w:t>
            </w:r>
            <w:hyperlink w:anchor="_Who_will_approve" w:history="1">
              <w:r w:rsidRPr="00994E8B">
                <w:rPr>
                  <w:rStyle w:val="Hyperlink"/>
                </w:rPr>
                <w:t>section 8.</w:t>
              </w:r>
            </w:hyperlink>
            <w:r w:rsidRPr="00994E8B">
              <w:rPr>
                <w:rStyle w:val="Hyperlink"/>
              </w:rPr>
              <w:t>4</w:t>
            </w:r>
            <w:r w:rsidRPr="00994E8B">
              <w:t xml:space="preserve">, the Minister for Communications. </w:t>
            </w:r>
          </w:p>
        </w:tc>
      </w:tr>
      <w:tr w:rsidR="00ED7B3D" w:rsidRPr="00994E8B" w14:paraId="6C974B2A" w14:textId="77777777" w:rsidTr="004960E4">
        <w:trPr>
          <w:cantSplit/>
        </w:trPr>
        <w:tc>
          <w:tcPr>
            <w:tcW w:w="1843" w:type="pct"/>
          </w:tcPr>
          <w:p w14:paraId="4F89ACE6" w14:textId="339D59F7" w:rsidR="00ED7B3D" w:rsidRPr="00994E8B" w:rsidRDefault="00ED7B3D" w:rsidP="00705485">
            <w:r w:rsidRPr="00994E8B">
              <w:t>DC</w:t>
            </w:r>
          </w:p>
        </w:tc>
        <w:tc>
          <w:tcPr>
            <w:tcW w:w="3157" w:type="pct"/>
          </w:tcPr>
          <w:p w14:paraId="6FBACEAA" w14:textId="6097E8BB" w:rsidR="00ED7B3D" w:rsidRPr="00994E8B" w:rsidRDefault="00ED7B3D" w:rsidP="00705485">
            <w:r w:rsidRPr="00994E8B">
              <w:t>Direct Current</w:t>
            </w:r>
          </w:p>
        </w:tc>
      </w:tr>
      <w:tr w:rsidR="00745D78" w:rsidRPr="00994E8B" w14:paraId="54873E54" w14:textId="77777777" w:rsidTr="004960E4">
        <w:trPr>
          <w:cantSplit/>
        </w:trPr>
        <w:tc>
          <w:tcPr>
            <w:tcW w:w="1843" w:type="pct"/>
          </w:tcPr>
          <w:p w14:paraId="1FE2BA67" w14:textId="7FD2544D" w:rsidR="00745D78" w:rsidRPr="00994E8B" w:rsidRDefault="00745D78" w:rsidP="00705485">
            <w:r w:rsidRPr="00994E8B">
              <w:t>DTCS FAD</w:t>
            </w:r>
          </w:p>
        </w:tc>
        <w:tc>
          <w:tcPr>
            <w:tcW w:w="3157" w:type="pct"/>
          </w:tcPr>
          <w:p w14:paraId="5815B9D6" w14:textId="03E70BE2" w:rsidR="00745D78" w:rsidRPr="00994E8B" w:rsidRDefault="00745D78" w:rsidP="00705485">
            <w:r w:rsidRPr="00994E8B">
              <w:t>Domestic Transmission Capacity Service Final Access Determination</w:t>
            </w:r>
          </w:p>
        </w:tc>
      </w:tr>
      <w:tr w:rsidR="00705485" w:rsidRPr="00994E8B" w14:paraId="17933881" w14:textId="77777777" w:rsidTr="004960E4">
        <w:trPr>
          <w:cantSplit/>
        </w:trPr>
        <w:tc>
          <w:tcPr>
            <w:tcW w:w="1843" w:type="pct"/>
          </w:tcPr>
          <w:p w14:paraId="7B25BA82" w14:textId="77777777" w:rsidR="00705485" w:rsidRPr="00994E8B" w:rsidRDefault="00705485" w:rsidP="00705485">
            <w:r w:rsidRPr="00994E8B">
              <w:t>Eligible Area</w:t>
            </w:r>
          </w:p>
        </w:tc>
        <w:tc>
          <w:tcPr>
            <w:tcW w:w="3157" w:type="pct"/>
          </w:tcPr>
          <w:p w14:paraId="71710329" w14:textId="109C0288" w:rsidR="00705485" w:rsidRPr="00994E8B" w:rsidRDefault="00705485" w:rsidP="00705485">
            <w:pPr>
              <w:rPr>
                <w:rFonts w:cs="Arial"/>
                <w:lang w:eastAsia="en-AU"/>
              </w:rPr>
            </w:pPr>
            <w:r w:rsidRPr="00994E8B">
              <w:t xml:space="preserve">As described in </w:t>
            </w:r>
            <w:hyperlink w:anchor="_Eligible_locations" w:history="1">
              <w:r w:rsidRPr="00994E8B">
                <w:rPr>
                  <w:rStyle w:val="Hyperlink"/>
                </w:rPr>
                <w:t>section 5.2.</w:t>
              </w:r>
            </w:hyperlink>
          </w:p>
        </w:tc>
      </w:tr>
      <w:tr w:rsidR="00705485" w:rsidRPr="00994E8B" w14:paraId="5793503F" w14:textId="77777777" w:rsidTr="004960E4">
        <w:trPr>
          <w:cantSplit/>
        </w:trPr>
        <w:tc>
          <w:tcPr>
            <w:tcW w:w="1843" w:type="pct"/>
          </w:tcPr>
          <w:p w14:paraId="05EB630A" w14:textId="77777777" w:rsidR="00705485" w:rsidRPr="00994E8B" w:rsidRDefault="00705485" w:rsidP="00705485">
            <w:r w:rsidRPr="00994E8B">
              <w:t>Eligibility Criteria</w:t>
            </w:r>
          </w:p>
        </w:tc>
        <w:tc>
          <w:tcPr>
            <w:tcW w:w="3157" w:type="pct"/>
          </w:tcPr>
          <w:p w14:paraId="3243369F" w14:textId="4C19C956" w:rsidR="00705485" w:rsidRPr="00994E8B" w:rsidRDefault="00705485" w:rsidP="00705485">
            <w:pPr>
              <w:rPr>
                <w:i/>
              </w:rPr>
            </w:pPr>
            <w:r w:rsidRPr="00994E8B">
              <w:t xml:space="preserve">The mandatory criteria set out in </w:t>
            </w:r>
            <w:hyperlink w:anchor="_Eligibility_criteria" w:history="1">
              <w:r w:rsidRPr="00994E8B">
                <w:rPr>
                  <w:rStyle w:val="Hyperlink"/>
                </w:rPr>
                <w:t>section 4</w:t>
              </w:r>
            </w:hyperlink>
            <w:r w:rsidRPr="00994E8B">
              <w:t xml:space="preserve"> which applicants must meet in order for their application for the Grant Opportunity to be considered. </w:t>
            </w:r>
          </w:p>
        </w:tc>
      </w:tr>
      <w:tr w:rsidR="00705485" w:rsidRPr="00994E8B" w14:paraId="113AC784" w14:textId="77777777" w:rsidTr="004960E4">
        <w:trPr>
          <w:cantSplit/>
        </w:trPr>
        <w:tc>
          <w:tcPr>
            <w:tcW w:w="1843" w:type="pct"/>
          </w:tcPr>
          <w:p w14:paraId="497A5C99" w14:textId="77777777" w:rsidR="00705485" w:rsidRPr="00994E8B" w:rsidRDefault="00705485" w:rsidP="00705485">
            <w:r w:rsidRPr="00994E8B">
              <w:t>Existing Handheld Coverage</w:t>
            </w:r>
          </w:p>
        </w:tc>
        <w:tc>
          <w:tcPr>
            <w:tcW w:w="3157" w:type="pct"/>
          </w:tcPr>
          <w:p w14:paraId="763F4002" w14:textId="43F9FE38" w:rsidR="00705485" w:rsidRPr="00994E8B" w:rsidRDefault="00705485" w:rsidP="00705485">
            <w:r w:rsidRPr="00994E8B">
              <w:t>Coverage able to be obtained with a handheld mobile device within the applicant’s mobile network:</w:t>
            </w:r>
          </w:p>
          <w:p w14:paraId="7387722D" w14:textId="77777777" w:rsidR="00705485" w:rsidRPr="00994E8B" w:rsidRDefault="00705485" w:rsidP="00705485">
            <w:pPr>
              <w:pStyle w:val="CommentText"/>
              <w:numPr>
                <w:ilvl w:val="0"/>
                <w:numId w:val="68"/>
              </w:numPr>
              <w:spacing w:line="280" w:lineRule="atLeast"/>
              <w:rPr>
                <w:rFonts w:ascii="Arial" w:hAnsi="Arial"/>
              </w:rPr>
            </w:pPr>
            <w:r w:rsidRPr="00994E8B">
              <w:rPr>
                <w:rFonts w:ascii="Arial" w:hAnsi="Arial"/>
              </w:rPr>
              <w:t>that is currently available;</w:t>
            </w:r>
          </w:p>
          <w:p w14:paraId="2E342674" w14:textId="689A8F7F" w:rsidR="00705485" w:rsidRPr="00994E8B" w:rsidRDefault="00705485" w:rsidP="00705485">
            <w:pPr>
              <w:pStyle w:val="CommentText"/>
              <w:numPr>
                <w:ilvl w:val="0"/>
                <w:numId w:val="68"/>
              </w:numPr>
              <w:spacing w:line="280" w:lineRule="atLeast"/>
              <w:rPr>
                <w:rFonts w:ascii="Arial" w:hAnsi="Arial"/>
              </w:rPr>
            </w:pPr>
            <w:r w:rsidRPr="00994E8B">
              <w:rPr>
                <w:rFonts w:ascii="Arial" w:hAnsi="Arial"/>
              </w:rPr>
              <w:t>that will be provided by any base station that will be delivered by the applicant under a round of the Mobile Black Spot Program, Peri-Urban Mobile Program or other Commonwealth grant program; or</w:t>
            </w:r>
          </w:p>
          <w:p w14:paraId="21B3FE98" w14:textId="0C7FDD39" w:rsidR="00705485" w:rsidRPr="00994E8B" w:rsidRDefault="00705485" w:rsidP="001464C2">
            <w:pPr>
              <w:pStyle w:val="CommentText"/>
              <w:numPr>
                <w:ilvl w:val="0"/>
                <w:numId w:val="68"/>
              </w:numPr>
              <w:spacing w:line="280" w:lineRule="atLeast"/>
              <w:rPr>
                <w:rFonts w:ascii="Arial" w:hAnsi="Arial" w:cs="Arial"/>
              </w:rPr>
            </w:pPr>
            <w:r w:rsidRPr="00994E8B">
              <w:rPr>
                <w:rFonts w:ascii="Arial" w:hAnsi="Arial" w:cs="Arial"/>
              </w:rPr>
              <w:t>that will be provided by any applicant base station funded under a State or Territory program.</w:t>
            </w:r>
          </w:p>
        </w:tc>
      </w:tr>
      <w:tr w:rsidR="00705485" w:rsidRPr="00994E8B" w14:paraId="69B49187" w14:textId="77777777" w:rsidTr="004960E4">
        <w:trPr>
          <w:cantSplit/>
        </w:trPr>
        <w:tc>
          <w:tcPr>
            <w:tcW w:w="1843" w:type="pct"/>
          </w:tcPr>
          <w:p w14:paraId="1704D292" w14:textId="77777777" w:rsidR="00705485" w:rsidRPr="00994E8B" w:rsidRDefault="00705485" w:rsidP="00705485">
            <w:r w:rsidRPr="00994E8B">
              <w:t>Fixed-line</w:t>
            </w:r>
          </w:p>
        </w:tc>
        <w:tc>
          <w:tcPr>
            <w:tcW w:w="3157" w:type="pct"/>
          </w:tcPr>
          <w:p w14:paraId="2F0EE6AF" w14:textId="77777777" w:rsidR="00705485" w:rsidRPr="00994E8B" w:rsidRDefault="00705485" w:rsidP="00705485">
            <w:r w:rsidRPr="00994E8B">
              <w:t xml:space="preserve">A type of internet connection that uses a physical line (including but not limited to fibre, Hybrid Fibre-Coaxial and copper) to provide services to a </w:t>
            </w:r>
            <w:proofErr w:type="gramStart"/>
            <w:r w:rsidRPr="00994E8B">
              <w:t>premises</w:t>
            </w:r>
            <w:proofErr w:type="gramEnd"/>
            <w:r w:rsidRPr="00994E8B">
              <w:t>.</w:t>
            </w:r>
          </w:p>
        </w:tc>
      </w:tr>
      <w:tr w:rsidR="00705485" w:rsidRPr="00994E8B" w14:paraId="4BFAC7AF" w14:textId="77777777" w:rsidTr="004960E4">
        <w:trPr>
          <w:cantSplit/>
        </w:trPr>
        <w:tc>
          <w:tcPr>
            <w:tcW w:w="1843" w:type="pct"/>
          </w:tcPr>
          <w:p w14:paraId="4F3FCC99" w14:textId="77777777" w:rsidR="00705485" w:rsidRPr="00994E8B" w:rsidRDefault="00705485" w:rsidP="00705485">
            <w:r w:rsidRPr="00994E8B">
              <w:t>Fixed Wireless</w:t>
            </w:r>
          </w:p>
        </w:tc>
        <w:tc>
          <w:tcPr>
            <w:tcW w:w="3157" w:type="pct"/>
          </w:tcPr>
          <w:p w14:paraId="5D98DA47" w14:textId="77777777" w:rsidR="00705485" w:rsidRPr="00994E8B" w:rsidRDefault="00705485" w:rsidP="00705485">
            <w:pPr>
              <w:rPr>
                <w:bCs/>
              </w:rPr>
            </w:pPr>
            <w:r w:rsidRPr="00994E8B">
              <w:t xml:space="preserve">A type of internet connection that uses fixed transmission towers or base stations to provide wireless services to a </w:t>
            </w:r>
            <w:proofErr w:type="gramStart"/>
            <w:r w:rsidRPr="00994E8B">
              <w:t>premises</w:t>
            </w:r>
            <w:proofErr w:type="gramEnd"/>
            <w:r w:rsidRPr="00994E8B">
              <w:t xml:space="preserve"> via antennas.</w:t>
            </w:r>
          </w:p>
        </w:tc>
      </w:tr>
      <w:tr w:rsidR="00ED7B3D" w:rsidRPr="00994E8B" w14:paraId="568F5577" w14:textId="77777777" w:rsidTr="004960E4">
        <w:trPr>
          <w:cantSplit/>
        </w:trPr>
        <w:tc>
          <w:tcPr>
            <w:tcW w:w="1843" w:type="pct"/>
          </w:tcPr>
          <w:p w14:paraId="7BA5F3E2" w14:textId="70EF295D" w:rsidR="00ED7B3D" w:rsidRPr="00994E8B" w:rsidRDefault="00ED7B3D" w:rsidP="00705485">
            <w:r w:rsidRPr="00994E8B">
              <w:t>FOI</w:t>
            </w:r>
          </w:p>
        </w:tc>
        <w:tc>
          <w:tcPr>
            <w:tcW w:w="3157" w:type="pct"/>
          </w:tcPr>
          <w:p w14:paraId="288A23E2" w14:textId="4AE3C341" w:rsidR="00ED7B3D" w:rsidRPr="00994E8B" w:rsidRDefault="00ED7B3D" w:rsidP="00705485">
            <w:r w:rsidRPr="00994E8B">
              <w:t>Freedom of Information</w:t>
            </w:r>
          </w:p>
        </w:tc>
      </w:tr>
      <w:tr w:rsidR="00ED7B3D" w:rsidRPr="00994E8B" w14:paraId="790F3A41" w14:textId="77777777" w:rsidTr="004960E4">
        <w:trPr>
          <w:cantSplit/>
        </w:trPr>
        <w:tc>
          <w:tcPr>
            <w:tcW w:w="1843" w:type="pct"/>
          </w:tcPr>
          <w:p w14:paraId="40060DBB" w14:textId="1128CD92" w:rsidR="00ED7B3D" w:rsidRPr="00994E8B" w:rsidRDefault="00ED7B3D" w:rsidP="00705485">
            <w:r w:rsidRPr="00994E8B">
              <w:t>FTTP</w:t>
            </w:r>
          </w:p>
        </w:tc>
        <w:tc>
          <w:tcPr>
            <w:tcW w:w="3157" w:type="pct"/>
          </w:tcPr>
          <w:p w14:paraId="43499613" w14:textId="4185E4AE" w:rsidR="00ED7B3D" w:rsidRPr="00994E8B" w:rsidRDefault="00ED7B3D" w:rsidP="00705485">
            <w:r w:rsidRPr="00994E8B">
              <w:t xml:space="preserve">Fibre </w:t>
            </w:r>
            <w:r w:rsidR="00AC6BFA" w:rsidRPr="00994E8B">
              <w:t>t</w:t>
            </w:r>
            <w:r w:rsidRPr="00994E8B">
              <w:t>o the Premises</w:t>
            </w:r>
          </w:p>
        </w:tc>
      </w:tr>
      <w:tr w:rsidR="00705485" w:rsidRPr="00994E8B" w14:paraId="287FCB01" w14:textId="77777777" w:rsidTr="004960E4">
        <w:trPr>
          <w:cantSplit/>
        </w:trPr>
        <w:tc>
          <w:tcPr>
            <w:tcW w:w="1843" w:type="pct"/>
          </w:tcPr>
          <w:p w14:paraId="6ECB6202" w14:textId="77777777" w:rsidR="00705485" w:rsidRPr="00994E8B" w:rsidRDefault="00705485" w:rsidP="00705485">
            <w:r w:rsidRPr="00994E8B">
              <w:t>Funded Project</w:t>
            </w:r>
          </w:p>
        </w:tc>
        <w:tc>
          <w:tcPr>
            <w:tcW w:w="3157" w:type="pct"/>
          </w:tcPr>
          <w:p w14:paraId="0B7BD3FA" w14:textId="2742F008" w:rsidR="00705485" w:rsidRPr="00994E8B" w:rsidRDefault="00705485" w:rsidP="00705485">
            <w:r w:rsidRPr="00994E8B">
              <w:t xml:space="preserve">A telecommunications infrastructure project found </w:t>
            </w:r>
            <w:r w:rsidR="000D09B0" w:rsidRPr="00994E8B">
              <w:t xml:space="preserve">suitable </w:t>
            </w:r>
            <w:r w:rsidRPr="00994E8B">
              <w:t xml:space="preserve">during the assessment process and selected for funding under </w:t>
            </w:r>
            <w:r w:rsidR="00AC6BFA" w:rsidRPr="00994E8B">
              <w:t xml:space="preserve">this </w:t>
            </w:r>
            <w:r w:rsidRPr="00994E8B">
              <w:t>Round of the Program.</w:t>
            </w:r>
          </w:p>
        </w:tc>
      </w:tr>
      <w:tr w:rsidR="00705485" w:rsidRPr="00994E8B" w14:paraId="78C9610D" w14:textId="77777777" w:rsidTr="004960E4">
        <w:trPr>
          <w:cantSplit/>
        </w:trPr>
        <w:tc>
          <w:tcPr>
            <w:tcW w:w="1843" w:type="pct"/>
          </w:tcPr>
          <w:p w14:paraId="499BAD25" w14:textId="77777777" w:rsidR="00705485" w:rsidRPr="00994E8B" w:rsidRDefault="00705485" w:rsidP="00705485">
            <w:pPr>
              <w:rPr>
                <w:rFonts w:cs="Arial"/>
                <w:lang w:eastAsia="en-AU"/>
              </w:rPr>
            </w:pPr>
            <w:r w:rsidRPr="00994E8B">
              <w:lastRenderedPageBreak/>
              <w:t>Funding Strategy</w:t>
            </w:r>
          </w:p>
        </w:tc>
        <w:tc>
          <w:tcPr>
            <w:tcW w:w="3157" w:type="pct"/>
          </w:tcPr>
          <w:p w14:paraId="744E3EBA" w14:textId="20567E45" w:rsidR="00705485" w:rsidRPr="00994E8B" w:rsidRDefault="00705485" w:rsidP="00705485">
            <w:pPr>
              <w:rPr>
                <w:rFonts w:cs="Arial"/>
                <w:lang w:eastAsia="en-AU"/>
              </w:rPr>
            </w:pPr>
            <w:r w:rsidRPr="00994E8B">
              <w:t>A written plan that outlines the financial capacity of the applicant to deliver a Proposed Solution through the Program.</w:t>
            </w:r>
          </w:p>
        </w:tc>
      </w:tr>
      <w:tr w:rsidR="00705485" w:rsidRPr="00994E8B" w14:paraId="640C0B90" w14:textId="77777777" w:rsidTr="004960E4">
        <w:trPr>
          <w:cantSplit/>
        </w:trPr>
        <w:tc>
          <w:tcPr>
            <w:tcW w:w="1843" w:type="pct"/>
          </w:tcPr>
          <w:p w14:paraId="609D16BF" w14:textId="77777777" w:rsidR="00705485" w:rsidRPr="00994E8B" w:rsidRDefault="00705485" w:rsidP="00705485">
            <w:pPr>
              <w:rPr>
                <w:rFonts w:cs="Arial"/>
              </w:rPr>
            </w:pPr>
            <w:r w:rsidRPr="00994E8B">
              <w:rPr>
                <w:rFonts w:cs="Arial"/>
              </w:rPr>
              <w:t>Grant Activity</w:t>
            </w:r>
          </w:p>
        </w:tc>
        <w:tc>
          <w:tcPr>
            <w:tcW w:w="3157" w:type="pct"/>
          </w:tcPr>
          <w:p w14:paraId="057E944D" w14:textId="77777777" w:rsidR="00705485" w:rsidRPr="00994E8B" w:rsidRDefault="00705485" w:rsidP="00705485">
            <w:pPr>
              <w:rPr>
                <w:rFonts w:cs="Arial"/>
              </w:rPr>
            </w:pPr>
            <w:r w:rsidRPr="00994E8B">
              <w:rPr>
                <w:rFonts w:cs="Arial"/>
              </w:rPr>
              <w:t xml:space="preserve">All the projects that the Grantee is </w:t>
            </w:r>
            <w:r w:rsidRPr="00994E8B">
              <w:t>required</w:t>
            </w:r>
            <w:r w:rsidRPr="00994E8B">
              <w:rPr>
                <w:rFonts w:cs="Arial"/>
              </w:rPr>
              <w:t xml:space="preserve"> to undertake as set out in the Grant Agreement.</w:t>
            </w:r>
          </w:p>
        </w:tc>
      </w:tr>
      <w:tr w:rsidR="00705485" w:rsidRPr="00994E8B" w14:paraId="7E926637" w14:textId="77777777" w:rsidTr="004960E4">
        <w:trPr>
          <w:cantSplit/>
        </w:trPr>
        <w:tc>
          <w:tcPr>
            <w:tcW w:w="1843" w:type="pct"/>
          </w:tcPr>
          <w:p w14:paraId="3D2478FE" w14:textId="77777777" w:rsidR="00705485" w:rsidRPr="00994E8B" w:rsidRDefault="00705485" w:rsidP="00705485">
            <w:pPr>
              <w:rPr>
                <w:rFonts w:cs="Arial"/>
                <w:lang w:eastAsia="en-AU"/>
              </w:rPr>
            </w:pPr>
            <w:r w:rsidRPr="00994E8B">
              <w:t>Grant Agreement</w:t>
            </w:r>
          </w:p>
        </w:tc>
        <w:tc>
          <w:tcPr>
            <w:tcW w:w="3157" w:type="pct"/>
          </w:tcPr>
          <w:p w14:paraId="3B426E68" w14:textId="77777777" w:rsidR="00705485" w:rsidRPr="00994E8B" w:rsidRDefault="00705485" w:rsidP="00705485">
            <w:pPr>
              <w:rPr>
                <w:rFonts w:cs="Arial"/>
                <w:lang w:eastAsia="en-AU"/>
              </w:rPr>
            </w:pPr>
            <w:r w:rsidRPr="00994E8B">
              <w:t>A document with contractual effect that sets out the relationship between the Grantee and the Commonwealth, and specifies the details of the grant.</w:t>
            </w:r>
          </w:p>
        </w:tc>
      </w:tr>
      <w:tr w:rsidR="00705485" w:rsidRPr="00994E8B" w14:paraId="7EE2B111" w14:textId="77777777" w:rsidTr="004960E4">
        <w:trPr>
          <w:cantSplit/>
        </w:trPr>
        <w:tc>
          <w:tcPr>
            <w:tcW w:w="1843" w:type="pct"/>
          </w:tcPr>
          <w:p w14:paraId="51685566" w14:textId="144DCF59" w:rsidR="00705485" w:rsidRPr="00994E8B" w:rsidRDefault="00A27B5B" w:rsidP="00705485">
            <w:hyperlink r:id="rId59" w:history="1">
              <w:proofErr w:type="spellStart"/>
              <w:r w:rsidR="00705485" w:rsidRPr="00994E8B">
                <w:rPr>
                  <w:rStyle w:val="Hyperlink"/>
                  <w:rFonts w:eastAsia="MS Mincho"/>
                </w:rPr>
                <w:t>GrantConnect</w:t>
              </w:r>
              <w:proofErr w:type="spellEnd"/>
            </w:hyperlink>
          </w:p>
        </w:tc>
        <w:tc>
          <w:tcPr>
            <w:tcW w:w="3157" w:type="pct"/>
          </w:tcPr>
          <w:p w14:paraId="2AA108FE" w14:textId="77777777" w:rsidR="00705485" w:rsidRPr="00994E8B" w:rsidRDefault="00705485" w:rsidP="00705485">
            <w:r w:rsidRPr="00994E8B">
              <w:t>The Australian Government’s whole-of-government grants information system, which centralises the publication and reporting of Commonwealth grants in accordance with the CGRGs.</w:t>
            </w:r>
          </w:p>
        </w:tc>
      </w:tr>
      <w:tr w:rsidR="00705485" w:rsidRPr="00994E8B" w14:paraId="6035B49E" w14:textId="77777777" w:rsidTr="004960E4">
        <w:trPr>
          <w:cantSplit/>
        </w:trPr>
        <w:tc>
          <w:tcPr>
            <w:tcW w:w="1843" w:type="pct"/>
          </w:tcPr>
          <w:p w14:paraId="59AFCD3D" w14:textId="77777777" w:rsidR="00705485" w:rsidRPr="00994E8B" w:rsidRDefault="00705485" w:rsidP="00705485">
            <w:r w:rsidRPr="00994E8B">
              <w:t>Grant Opportunity</w:t>
            </w:r>
          </w:p>
        </w:tc>
        <w:tc>
          <w:tcPr>
            <w:tcW w:w="3157" w:type="pct"/>
          </w:tcPr>
          <w:p w14:paraId="486184F0" w14:textId="31497BB0" w:rsidR="00705485" w:rsidRPr="00994E8B" w:rsidRDefault="00705485" w:rsidP="00705485">
            <w:r w:rsidRPr="00994E8B">
              <w:t xml:space="preserve">The Program Grant Opportunity as described in </w:t>
            </w:r>
            <w:hyperlink w:anchor="_Toc118808882" w:history="1">
              <w:r w:rsidRPr="00994E8B">
                <w:rPr>
                  <w:rStyle w:val="Hyperlink"/>
                </w:rPr>
                <w:t>section 2.</w:t>
              </w:r>
              <w:r w:rsidR="00CB53C6" w:rsidRPr="00994E8B">
                <w:rPr>
                  <w:rStyle w:val="Hyperlink"/>
                </w:rPr>
                <w:t>2</w:t>
              </w:r>
            </w:hyperlink>
            <w:r w:rsidRPr="00994E8B">
              <w:t xml:space="preserve">. </w:t>
            </w:r>
          </w:p>
        </w:tc>
      </w:tr>
      <w:tr w:rsidR="00705485" w:rsidRPr="00994E8B" w14:paraId="1FA3F055" w14:textId="77777777" w:rsidTr="004960E4">
        <w:trPr>
          <w:cantSplit/>
        </w:trPr>
        <w:tc>
          <w:tcPr>
            <w:tcW w:w="1843" w:type="pct"/>
          </w:tcPr>
          <w:p w14:paraId="075EEB8A" w14:textId="77777777" w:rsidR="00705485" w:rsidRPr="00994E8B" w:rsidRDefault="00705485" w:rsidP="00705485">
            <w:r w:rsidRPr="00994E8B">
              <w:t>Grantee</w:t>
            </w:r>
          </w:p>
        </w:tc>
        <w:tc>
          <w:tcPr>
            <w:tcW w:w="3157" w:type="pct"/>
          </w:tcPr>
          <w:p w14:paraId="5F7ED450" w14:textId="3136D723" w:rsidR="00705485" w:rsidRPr="00994E8B" w:rsidRDefault="00705485" w:rsidP="00705485">
            <w:r w:rsidRPr="00994E8B">
              <w:t>An applicant who</w:t>
            </w:r>
            <w:r w:rsidRPr="00994E8B" w:rsidDel="00C31EED">
              <w:t xml:space="preserve"> </w:t>
            </w:r>
            <w:r w:rsidRPr="00994E8B">
              <w:t>has been selected to receive a grant under the Grant Opportunity.</w:t>
            </w:r>
          </w:p>
        </w:tc>
      </w:tr>
      <w:tr w:rsidR="00705485" w:rsidRPr="00994E8B" w14:paraId="670B942D" w14:textId="77777777" w:rsidTr="004960E4">
        <w:trPr>
          <w:cantSplit/>
        </w:trPr>
        <w:tc>
          <w:tcPr>
            <w:tcW w:w="1843" w:type="pct"/>
          </w:tcPr>
          <w:p w14:paraId="6F47BC9A" w14:textId="77777777" w:rsidR="00705485" w:rsidRPr="00994E8B" w:rsidRDefault="00705485" w:rsidP="00705485">
            <w:r w:rsidRPr="00994E8B">
              <w:t>Guidelines</w:t>
            </w:r>
          </w:p>
        </w:tc>
        <w:tc>
          <w:tcPr>
            <w:tcW w:w="3157" w:type="pct"/>
          </w:tcPr>
          <w:p w14:paraId="2E1B43FA" w14:textId="4DFF2B49" w:rsidR="00705485" w:rsidRPr="00994E8B" w:rsidRDefault="00705485" w:rsidP="00705485">
            <w:pPr>
              <w:rPr>
                <w:rFonts w:cs="Arial"/>
              </w:rPr>
            </w:pPr>
            <w:r w:rsidRPr="00994E8B">
              <w:t>These Grant Opportunity Guidelines</w:t>
            </w:r>
            <w:r w:rsidR="00A45138" w:rsidRPr="00994E8B">
              <w:t xml:space="preserve"> for Round 3 of the Regional Connectivity Program – with Mobile Black Spot (Round 7) opportunities</w:t>
            </w:r>
            <w:r w:rsidRPr="00994E8B">
              <w:t>.</w:t>
            </w:r>
          </w:p>
        </w:tc>
      </w:tr>
      <w:tr w:rsidR="00ED7B3D" w:rsidRPr="00994E8B" w14:paraId="653BF3E6" w14:textId="77777777" w:rsidTr="004960E4">
        <w:trPr>
          <w:cantSplit/>
        </w:trPr>
        <w:tc>
          <w:tcPr>
            <w:tcW w:w="1843" w:type="pct"/>
          </w:tcPr>
          <w:p w14:paraId="315800D8" w14:textId="00E0077B" w:rsidR="00ED7B3D" w:rsidRPr="00994E8B" w:rsidRDefault="00ED7B3D" w:rsidP="00705485">
            <w:r w:rsidRPr="00994E8B">
              <w:t>GST</w:t>
            </w:r>
          </w:p>
        </w:tc>
        <w:tc>
          <w:tcPr>
            <w:tcW w:w="3157" w:type="pct"/>
          </w:tcPr>
          <w:p w14:paraId="18252CFF" w14:textId="01F5492E" w:rsidR="00ED7B3D" w:rsidRPr="00994E8B" w:rsidRDefault="00ED7B3D" w:rsidP="00705485">
            <w:r w:rsidRPr="00994E8B">
              <w:t>Goods and Service Tax</w:t>
            </w:r>
          </w:p>
        </w:tc>
      </w:tr>
      <w:tr w:rsidR="00705485" w:rsidRPr="00994E8B" w14:paraId="372D152F" w14:textId="77777777" w:rsidTr="004960E4">
        <w:trPr>
          <w:cantSplit/>
        </w:trPr>
        <w:tc>
          <w:tcPr>
            <w:tcW w:w="1843" w:type="pct"/>
          </w:tcPr>
          <w:p w14:paraId="424071B1" w14:textId="77777777" w:rsidR="00705485" w:rsidRPr="00994E8B" w:rsidRDefault="00705485" w:rsidP="00705485">
            <w:r w:rsidRPr="00994E8B">
              <w:t>Ineligible Areas</w:t>
            </w:r>
          </w:p>
        </w:tc>
        <w:tc>
          <w:tcPr>
            <w:tcW w:w="3157" w:type="pct"/>
          </w:tcPr>
          <w:p w14:paraId="3D5669FE" w14:textId="2485A703" w:rsidR="00705485" w:rsidRPr="00994E8B" w:rsidRDefault="00705485" w:rsidP="00705485">
            <w:pPr>
              <w:rPr>
                <w:rFonts w:cs="Arial"/>
              </w:rPr>
            </w:pPr>
            <w:r w:rsidRPr="00994E8B">
              <w:t xml:space="preserve">Has the meaning given in </w:t>
            </w:r>
            <w:hyperlink w:anchor="_Toc506537727" w:history="1">
              <w:r w:rsidRPr="00994E8B">
                <w:rPr>
                  <w:rStyle w:val="Hyperlink"/>
                </w:rPr>
                <w:t>section 5.2</w:t>
              </w:r>
            </w:hyperlink>
            <w:r w:rsidRPr="00994E8B">
              <w:t>.</w:t>
            </w:r>
          </w:p>
        </w:tc>
      </w:tr>
      <w:tr w:rsidR="00705485" w:rsidRPr="00994E8B" w14:paraId="1322DE97" w14:textId="77777777" w:rsidTr="004960E4">
        <w:trPr>
          <w:cantSplit/>
        </w:trPr>
        <w:tc>
          <w:tcPr>
            <w:tcW w:w="1843" w:type="pct"/>
          </w:tcPr>
          <w:p w14:paraId="579272BB" w14:textId="77777777" w:rsidR="00705485" w:rsidRPr="00994E8B" w:rsidRDefault="00705485" w:rsidP="00705485">
            <w:pPr>
              <w:rPr>
                <w:rFonts w:cs="Arial"/>
              </w:rPr>
            </w:pPr>
            <w:r w:rsidRPr="00994E8B">
              <w:rPr>
                <w:rFonts w:cs="Arial"/>
              </w:rPr>
              <w:t>Intellectual Property</w:t>
            </w:r>
          </w:p>
        </w:tc>
        <w:tc>
          <w:tcPr>
            <w:tcW w:w="3157" w:type="pct"/>
          </w:tcPr>
          <w:p w14:paraId="284854CA" w14:textId="77777777" w:rsidR="00705485" w:rsidRPr="00994E8B" w:rsidRDefault="00705485" w:rsidP="00705485">
            <w:pPr>
              <w:pStyle w:val="Tabletext0"/>
              <w:rPr>
                <w:rFonts w:ascii="Arial" w:hAnsi="Arial" w:cs="Arial"/>
                <w:sz w:val="20"/>
              </w:rPr>
            </w:pPr>
            <w:r w:rsidRPr="00994E8B">
              <w:rPr>
                <w:rFonts w:ascii="Arial" w:hAnsi="Arial" w:cs="Arial"/>
                <w:sz w:val="20"/>
              </w:rPr>
              <w:t>Includes:</w:t>
            </w:r>
          </w:p>
          <w:p w14:paraId="79E98F96" w14:textId="77777777" w:rsidR="00705485" w:rsidRPr="00994E8B" w:rsidRDefault="00705485" w:rsidP="00705485">
            <w:pPr>
              <w:pStyle w:val="Tabletext0"/>
              <w:numPr>
                <w:ilvl w:val="0"/>
                <w:numId w:val="52"/>
              </w:numPr>
              <w:rPr>
                <w:rFonts w:ascii="Arial" w:hAnsi="Arial" w:cs="Arial"/>
                <w:sz w:val="20"/>
              </w:rPr>
            </w:pPr>
            <w:r w:rsidRPr="00994E8B">
              <w:rPr>
                <w:rFonts w:ascii="Arial" w:hAnsi="Arial" w:cs="Arial"/>
                <w:sz w:val="20"/>
              </w:rPr>
              <w:t>all copyright (including rights in relation to phonograms and broadcasts);</w:t>
            </w:r>
          </w:p>
          <w:p w14:paraId="10367544" w14:textId="77777777" w:rsidR="00705485" w:rsidRPr="00994E8B" w:rsidRDefault="00705485" w:rsidP="00705485">
            <w:pPr>
              <w:pStyle w:val="Tabletext0"/>
              <w:numPr>
                <w:ilvl w:val="0"/>
                <w:numId w:val="52"/>
              </w:numPr>
              <w:rPr>
                <w:rFonts w:ascii="Arial" w:hAnsi="Arial" w:cs="Arial"/>
                <w:sz w:val="20"/>
              </w:rPr>
            </w:pPr>
            <w:r w:rsidRPr="00994E8B">
              <w:rPr>
                <w:rFonts w:ascii="Arial" w:hAnsi="Arial" w:cs="Arial"/>
                <w:sz w:val="20"/>
              </w:rPr>
              <w:t>all rights in relation to inventions, plant varieties, trademarks (including service marks), designs, circuit layouts; and</w:t>
            </w:r>
          </w:p>
          <w:p w14:paraId="143D6A47" w14:textId="77777777" w:rsidR="00705485" w:rsidRPr="00994E8B" w:rsidRDefault="00705485" w:rsidP="007009DE">
            <w:pPr>
              <w:pStyle w:val="Tabletext0"/>
              <w:numPr>
                <w:ilvl w:val="0"/>
                <w:numId w:val="50"/>
              </w:numPr>
              <w:rPr>
                <w:rFonts w:cs="Arial"/>
              </w:rPr>
            </w:pPr>
            <w:r w:rsidRPr="00994E8B">
              <w:rPr>
                <w:rFonts w:ascii="Arial" w:hAnsi="Arial" w:cs="Arial"/>
                <w:sz w:val="20"/>
              </w:rPr>
              <w:t>all other rights resulting from intellectual activity in the industrial, scientific, literary or artistic fields.</w:t>
            </w:r>
          </w:p>
        </w:tc>
      </w:tr>
      <w:tr w:rsidR="002E1C12" w:rsidRPr="00994E8B" w14:paraId="29A2A059" w14:textId="77777777" w:rsidTr="004960E4">
        <w:trPr>
          <w:cantSplit/>
        </w:trPr>
        <w:tc>
          <w:tcPr>
            <w:tcW w:w="1843" w:type="pct"/>
          </w:tcPr>
          <w:p w14:paraId="3BC2148F" w14:textId="77777777" w:rsidR="002E1C12" w:rsidRPr="00994E8B" w:rsidRDefault="002E1C12" w:rsidP="002E1C12">
            <w:proofErr w:type="spellStart"/>
            <w:r w:rsidRPr="00994E8B">
              <w:t>Macrocell</w:t>
            </w:r>
            <w:proofErr w:type="spellEnd"/>
          </w:p>
        </w:tc>
        <w:tc>
          <w:tcPr>
            <w:tcW w:w="3157" w:type="pct"/>
          </w:tcPr>
          <w:p w14:paraId="1F9B734A" w14:textId="77777777" w:rsidR="002E1C12" w:rsidRPr="00994E8B" w:rsidRDefault="002E1C12" w:rsidP="002E1C12">
            <w:r w:rsidRPr="00994E8B">
              <w:t xml:space="preserve">The widest range of cell sizes used in a mobile phone network served by a mobile base station, often used in rural areas and along highways. </w:t>
            </w:r>
            <w:proofErr w:type="spellStart"/>
            <w:r w:rsidRPr="00994E8B">
              <w:t>Macrocells</w:t>
            </w:r>
            <w:proofErr w:type="spellEnd"/>
            <w:r w:rsidRPr="00994E8B">
              <w:t xml:space="preserve"> generally provide larger coverage than small cell base stations or microcells, with a typical power output of tens of watts.</w:t>
            </w:r>
          </w:p>
        </w:tc>
      </w:tr>
      <w:tr w:rsidR="002E1C12" w:rsidRPr="00994E8B" w14:paraId="5A5C9AF3" w14:textId="77777777" w:rsidTr="004960E4">
        <w:trPr>
          <w:cantSplit/>
        </w:trPr>
        <w:tc>
          <w:tcPr>
            <w:tcW w:w="1843" w:type="pct"/>
          </w:tcPr>
          <w:p w14:paraId="5EEE2E3A" w14:textId="30888FBB" w:rsidR="002E1C12" w:rsidRPr="00994E8B" w:rsidRDefault="00232862" w:rsidP="002E1C12">
            <w:r w:rsidRPr="00994E8B">
              <w:t xml:space="preserve">Assessment </w:t>
            </w:r>
            <w:r w:rsidR="002E1C12" w:rsidRPr="00994E8B">
              <w:t>Criteria</w:t>
            </w:r>
          </w:p>
        </w:tc>
        <w:tc>
          <w:tcPr>
            <w:tcW w:w="3157" w:type="pct"/>
          </w:tcPr>
          <w:p w14:paraId="7270543D" w14:textId="278FAB9D" w:rsidR="002E1C12" w:rsidRPr="00994E8B" w:rsidRDefault="002E1C12" w:rsidP="002E1C12">
            <w:pPr>
              <w:rPr>
                <w:rFonts w:cs="Arial"/>
              </w:rPr>
            </w:pPr>
            <w:r w:rsidRPr="00994E8B">
              <w:t xml:space="preserve">The specified principles or standards set out in </w:t>
            </w:r>
            <w:hyperlink w:anchor="_Merit_criteria" w:history="1">
              <w:r w:rsidRPr="00994E8B">
                <w:rPr>
                  <w:rStyle w:val="Hyperlink"/>
                </w:rPr>
                <w:t>section 6</w:t>
              </w:r>
            </w:hyperlink>
            <w:r w:rsidRPr="00994E8B">
              <w:t xml:space="preserve">, against which applications will be judged. The </w:t>
            </w:r>
            <w:r w:rsidR="00232862" w:rsidRPr="00994E8B">
              <w:t xml:space="preserve">Assessment </w:t>
            </w:r>
            <w:r w:rsidRPr="00994E8B">
              <w:t>Criteria will be used to assess the merits of proposals and to determine application rankings.</w:t>
            </w:r>
          </w:p>
        </w:tc>
      </w:tr>
      <w:tr w:rsidR="002E1C12" w:rsidRPr="00994E8B" w14:paraId="4FD0191F" w14:textId="77777777" w:rsidTr="004960E4">
        <w:trPr>
          <w:cantSplit/>
        </w:trPr>
        <w:tc>
          <w:tcPr>
            <w:tcW w:w="1843" w:type="pct"/>
          </w:tcPr>
          <w:p w14:paraId="2DB1409C" w14:textId="77777777" w:rsidR="002E1C12" w:rsidRPr="00994E8B" w:rsidRDefault="002E1C12" w:rsidP="002E1C12">
            <w:r w:rsidRPr="00994E8B">
              <w:t>Mobile Black Spot Program</w:t>
            </w:r>
            <w:r w:rsidR="007465D1" w:rsidRPr="00994E8B">
              <w:t xml:space="preserve"> (MBSP)</w:t>
            </w:r>
          </w:p>
        </w:tc>
        <w:tc>
          <w:tcPr>
            <w:tcW w:w="3157" w:type="pct"/>
          </w:tcPr>
          <w:p w14:paraId="04085C78" w14:textId="77777777" w:rsidR="002E1C12" w:rsidRPr="00994E8B" w:rsidRDefault="002E1C12" w:rsidP="002E1C12">
            <w:r w:rsidRPr="00994E8B">
              <w:t>An Australian Government initiative to improve and extend mobile coverage in regional, rural and remote Australia.</w:t>
            </w:r>
          </w:p>
        </w:tc>
      </w:tr>
      <w:tr w:rsidR="002E1C12" w:rsidRPr="00994E8B" w14:paraId="4C79ADC1" w14:textId="77777777" w:rsidTr="004960E4">
        <w:trPr>
          <w:cantSplit/>
        </w:trPr>
        <w:tc>
          <w:tcPr>
            <w:tcW w:w="1843" w:type="pct"/>
          </w:tcPr>
          <w:p w14:paraId="7D609692" w14:textId="77777777" w:rsidR="002E1C12" w:rsidRPr="00994E8B" w:rsidRDefault="002E1C12" w:rsidP="002E1C12">
            <w:r w:rsidRPr="00994E8B">
              <w:t>Mobile Network Infrastructure Provider (MNIP)</w:t>
            </w:r>
          </w:p>
        </w:tc>
        <w:tc>
          <w:tcPr>
            <w:tcW w:w="3157" w:type="pct"/>
          </w:tcPr>
          <w:p w14:paraId="7D7D56D9" w14:textId="77777777" w:rsidR="002E1C12" w:rsidRPr="00994E8B" w:rsidRDefault="002E1C12" w:rsidP="002E1C12">
            <w:pPr>
              <w:spacing w:before="0" w:after="40" w:line="240" w:lineRule="auto"/>
            </w:pPr>
            <w:r w:rsidRPr="00994E8B">
              <w:t xml:space="preserve">Has the meaning given in section </w:t>
            </w:r>
            <w:proofErr w:type="gramStart"/>
            <w:r w:rsidRPr="00994E8B">
              <w:t>4.1.</w:t>
            </w:r>
            <w:proofErr w:type="gramEnd"/>
          </w:p>
        </w:tc>
      </w:tr>
      <w:tr w:rsidR="002E1C12" w:rsidRPr="00994E8B" w14:paraId="66F5833B" w14:textId="77777777" w:rsidTr="004960E4">
        <w:trPr>
          <w:cantSplit/>
        </w:trPr>
        <w:tc>
          <w:tcPr>
            <w:tcW w:w="1843" w:type="pct"/>
          </w:tcPr>
          <w:p w14:paraId="730BA6BE" w14:textId="77777777" w:rsidR="002E1C12" w:rsidRPr="00994E8B" w:rsidRDefault="002E1C12" w:rsidP="002E1C12">
            <w:r w:rsidRPr="00994E8B">
              <w:t>Mobile Network Operator (MNO)</w:t>
            </w:r>
          </w:p>
        </w:tc>
        <w:tc>
          <w:tcPr>
            <w:tcW w:w="3157" w:type="pct"/>
          </w:tcPr>
          <w:p w14:paraId="2108BADD" w14:textId="77777777" w:rsidR="002E1C12" w:rsidRPr="00994E8B" w:rsidRDefault="002E1C12" w:rsidP="007447D0">
            <w:r w:rsidRPr="00994E8B">
              <w:t xml:space="preserve">Has the meaning given in section </w:t>
            </w:r>
            <w:proofErr w:type="gramStart"/>
            <w:r w:rsidRPr="00994E8B">
              <w:t>4.1.</w:t>
            </w:r>
            <w:proofErr w:type="gramEnd"/>
          </w:p>
        </w:tc>
      </w:tr>
      <w:tr w:rsidR="00753CBB" w:rsidRPr="00994E8B" w14:paraId="12FEA0D9" w14:textId="77777777" w:rsidTr="004960E4">
        <w:trPr>
          <w:cantSplit/>
        </w:trPr>
        <w:tc>
          <w:tcPr>
            <w:tcW w:w="1843" w:type="pct"/>
          </w:tcPr>
          <w:p w14:paraId="6A431D74" w14:textId="5987F070" w:rsidR="00753CBB" w:rsidRPr="00994E8B" w:rsidRDefault="00753CBB" w:rsidP="002E1C12">
            <w:bookmarkStart w:id="703" w:name="_Hlk129704355"/>
            <w:r w:rsidRPr="00994E8B">
              <w:lastRenderedPageBreak/>
              <w:t>National MNO</w:t>
            </w:r>
          </w:p>
        </w:tc>
        <w:tc>
          <w:tcPr>
            <w:tcW w:w="3157" w:type="pct"/>
          </w:tcPr>
          <w:p w14:paraId="2BCDD8B0" w14:textId="2DF83FA7" w:rsidR="00753CBB" w:rsidRPr="00994E8B" w:rsidRDefault="00753CBB" w:rsidP="007447D0">
            <w:r w:rsidRPr="00994E8B">
              <w:t>An MNO who operates a mobile network that provides mobile coverage to at least 80% of the Australian population.</w:t>
            </w:r>
          </w:p>
        </w:tc>
      </w:tr>
      <w:bookmarkEnd w:id="703"/>
      <w:tr w:rsidR="007465D1" w:rsidRPr="00994E8B" w14:paraId="55D51BA5" w14:textId="77777777" w:rsidTr="004960E4">
        <w:trPr>
          <w:cantSplit/>
        </w:trPr>
        <w:tc>
          <w:tcPr>
            <w:tcW w:w="1843" w:type="pct"/>
          </w:tcPr>
          <w:p w14:paraId="73B84B31" w14:textId="77777777" w:rsidR="007465D1" w:rsidRPr="00994E8B" w:rsidRDefault="007465D1" w:rsidP="007465D1">
            <w:r w:rsidRPr="00994E8B">
              <w:t>National Broadband Network (NBN)</w:t>
            </w:r>
          </w:p>
        </w:tc>
        <w:tc>
          <w:tcPr>
            <w:tcW w:w="3157" w:type="pct"/>
          </w:tcPr>
          <w:p w14:paraId="00299210" w14:textId="77777777" w:rsidR="007465D1" w:rsidRPr="00994E8B" w:rsidRDefault="007465D1" w:rsidP="007465D1">
            <w:r w:rsidRPr="00994E8B">
              <w:t>The national wholesale-only, open access telecommunications network that is being built by, or in conjunction with, NBN Co (including any existing network incorporated into the NBN).</w:t>
            </w:r>
          </w:p>
        </w:tc>
      </w:tr>
      <w:tr w:rsidR="0089797C" w:rsidRPr="00994E8B" w14:paraId="46A6AE9C" w14:textId="77777777" w:rsidTr="004960E4">
        <w:trPr>
          <w:cantSplit/>
        </w:trPr>
        <w:tc>
          <w:tcPr>
            <w:tcW w:w="1843" w:type="pct"/>
          </w:tcPr>
          <w:p w14:paraId="6B926CBF" w14:textId="77777777" w:rsidR="0089797C" w:rsidRPr="00994E8B" w:rsidRDefault="0089797C" w:rsidP="0089797C">
            <w:r w:rsidRPr="00994E8B">
              <w:t>New Handheld Coverage</w:t>
            </w:r>
          </w:p>
        </w:tc>
        <w:tc>
          <w:tcPr>
            <w:tcW w:w="3157" w:type="pct"/>
          </w:tcPr>
          <w:p w14:paraId="6B62C183" w14:textId="56AAAFF7" w:rsidR="0089797C" w:rsidRPr="00994E8B" w:rsidRDefault="0089797C" w:rsidP="0089797C">
            <w:r w:rsidRPr="00994E8B">
              <w:t xml:space="preserve">Coverage </w:t>
            </w:r>
            <w:r w:rsidR="007C0F3B" w:rsidRPr="00994E8B">
              <w:t xml:space="preserve">from a </w:t>
            </w:r>
            <w:r w:rsidRPr="00994E8B">
              <w:t>Proposed Solution that will be able to be obtained with a handheld mobile device in areas that do not receive Existing Handheld Coverage, in accordance with the meaning given in section 2.2.1.</w:t>
            </w:r>
          </w:p>
        </w:tc>
      </w:tr>
      <w:tr w:rsidR="00ED7B3D" w:rsidRPr="00994E8B" w14:paraId="3683FC60" w14:textId="77777777" w:rsidTr="004960E4">
        <w:trPr>
          <w:cantSplit/>
        </w:trPr>
        <w:tc>
          <w:tcPr>
            <w:tcW w:w="1843" w:type="pct"/>
          </w:tcPr>
          <w:p w14:paraId="64361A25" w14:textId="0F434B45" w:rsidR="00ED7B3D" w:rsidRPr="00994E8B" w:rsidRDefault="00ED7B3D" w:rsidP="0089797C">
            <w:r w:rsidRPr="00994E8B">
              <w:t>NCD</w:t>
            </w:r>
          </w:p>
        </w:tc>
        <w:tc>
          <w:tcPr>
            <w:tcW w:w="3157" w:type="pct"/>
          </w:tcPr>
          <w:p w14:paraId="0A95F927" w14:textId="506C2B5E" w:rsidR="00ED7B3D" w:rsidRPr="00994E8B" w:rsidRDefault="00ED7B3D" w:rsidP="0089797C">
            <w:r w:rsidRPr="00994E8B">
              <w:t>Nominated Carrier Declaration</w:t>
            </w:r>
          </w:p>
        </w:tc>
      </w:tr>
      <w:tr w:rsidR="002E1C12" w:rsidRPr="00994E8B" w14:paraId="67B14BA8" w14:textId="77777777" w:rsidTr="004960E4">
        <w:trPr>
          <w:cantSplit/>
        </w:trPr>
        <w:tc>
          <w:tcPr>
            <w:tcW w:w="1843" w:type="pct"/>
          </w:tcPr>
          <w:p w14:paraId="03855F6E" w14:textId="77777777" w:rsidR="002E1C12" w:rsidRPr="00994E8B" w:rsidRDefault="002E1C12" w:rsidP="002E1C12">
            <w:r w:rsidRPr="00994E8B">
              <w:t>Operational Period</w:t>
            </w:r>
          </w:p>
        </w:tc>
        <w:tc>
          <w:tcPr>
            <w:tcW w:w="3157" w:type="pct"/>
          </w:tcPr>
          <w:p w14:paraId="2EAAC0C0" w14:textId="653B2E29" w:rsidR="002E1C12" w:rsidRPr="00994E8B" w:rsidRDefault="002E1C12" w:rsidP="007447D0">
            <w:r w:rsidRPr="00994E8B">
              <w:t xml:space="preserve">Has the meaning given in </w:t>
            </w:r>
            <w:hyperlink w:anchor="_Operational_period" w:history="1">
              <w:r w:rsidRPr="00994E8B">
                <w:rPr>
                  <w:rStyle w:val="Hyperlink"/>
                </w:rPr>
                <w:t xml:space="preserve">section </w:t>
              </w:r>
              <w:r w:rsidR="001C2044" w:rsidRPr="00994E8B">
                <w:rPr>
                  <w:rStyle w:val="Hyperlink"/>
                </w:rPr>
                <w:t>2.2.</w:t>
              </w:r>
              <w:r w:rsidRPr="00994E8B">
                <w:rPr>
                  <w:rStyle w:val="Hyperlink"/>
                </w:rPr>
                <w:t>3</w:t>
              </w:r>
            </w:hyperlink>
            <w:r w:rsidRPr="00994E8B">
              <w:t>.</w:t>
            </w:r>
          </w:p>
        </w:tc>
      </w:tr>
      <w:tr w:rsidR="002E1C12" w:rsidRPr="00994E8B" w14:paraId="5F7BBB9D" w14:textId="77777777" w:rsidTr="004960E4">
        <w:trPr>
          <w:cantSplit/>
        </w:trPr>
        <w:tc>
          <w:tcPr>
            <w:tcW w:w="1843" w:type="pct"/>
          </w:tcPr>
          <w:p w14:paraId="17B057EE" w14:textId="77777777" w:rsidR="002E1C12" w:rsidRPr="00994E8B" w:rsidRDefault="002E1C12" w:rsidP="002E1C12">
            <w:r w:rsidRPr="00994E8B">
              <w:t>Operational Costs (OPEX)</w:t>
            </w:r>
          </w:p>
        </w:tc>
        <w:tc>
          <w:tcPr>
            <w:tcW w:w="3157" w:type="pct"/>
          </w:tcPr>
          <w:p w14:paraId="632A0E84" w14:textId="77777777" w:rsidR="002E1C12" w:rsidRPr="00994E8B" w:rsidRDefault="002E1C12" w:rsidP="002E1C12">
            <w:pPr>
              <w:spacing w:before="0" w:after="40" w:line="240" w:lineRule="auto"/>
            </w:pPr>
            <w:r w:rsidRPr="00994E8B">
              <w:t>Costs for additional goods or services that are purchased for the ongoing operation of an asset.</w:t>
            </w:r>
          </w:p>
        </w:tc>
      </w:tr>
      <w:tr w:rsidR="002E1C12" w:rsidRPr="00994E8B" w14:paraId="03B364E9" w14:textId="77777777" w:rsidTr="004960E4">
        <w:trPr>
          <w:cantSplit/>
        </w:trPr>
        <w:tc>
          <w:tcPr>
            <w:tcW w:w="1843" w:type="pct"/>
          </w:tcPr>
          <w:p w14:paraId="28D951D3" w14:textId="77777777" w:rsidR="002E1C12" w:rsidRPr="00994E8B" w:rsidRDefault="002E1C12" w:rsidP="002E1C12">
            <w:r w:rsidRPr="00994E8B">
              <w:t>Peri-Urban Mobile Program</w:t>
            </w:r>
            <w:r w:rsidR="007465D1" w:rsidRPr="00994E8B">
              <w:t xml:space="preserve"> (PUMP)</w:t>
            </w:r>
          </w:p>
        </w:tc>
        <w:tc>
          <w:tcPr>
            <w:tcW w:w="3157" w:type="pct"/>
          </w:tcPr>
          <w:p w14:paraId="3424D2AF" w14:textId="77777777" w:rsidR="002E1C12" w:rsidRPr="00994E8B" w:rsidRDefault="002E1C12" w:rsidP="002E1C12">
            <w:pPr>
              <w:spacing w:before="0" w:after="40" w:line="240" w:lineRule="auto"/>
            </w:pPr>
            <w:r w:rsidRPr="00994E8B">
              <w:t>An Australian Government initiative to improve mobile coverage and capacity in peri-urban fringe areas at risk of bushfire and natural disaster.</w:t>
            </w:r>
          </w:p>
        </w:tc>
      </w:tr>
      <w:tr w:rsidR="002E1C12" w:rsidRPr="00994E8B" w14:paraId="49D632F2" w14:textId="77777777" w:rsidTr="004960E4">
        <w:trPr>
          <w:cantSplit/>
        </w:trPr>
        <w:tc>
          <w:tcPr>
            <w:tcW w:w="1843" w:type="pct"/>
          </w:tcPr>
          <w:p w14:paraId="1432F040" w14:textId="77777777" w:rsidR="002E1C12" w:rsidRPr="00994E8B" w:rsidRDefault="002E1C12" w:rsidP="002E1C12">
            <w:r w:rsidRPr="00994E8B">
              <w:t>Program</w:t>
            </w:r>
          </w:p>
        </w:tc>
        <w:tc>
          <w:tcPr>
            <w:tcW w:w="3157" w:type="pct"/>
          </w:tcPr>
          <w:p w14:paraId="0137842C" w14:textId="11DA50E4" w:rsidR="002E1C12" w:rsidRPr="00994E8B" w:rsidRDefault="002E1C12" w:rsidP="00F252BF">
            <w:r w:rsidRPr="00994E8B">
              <w:t xml:space="preserve">Has the meaning given in </w:t>
            </w:r>
            <w:hyperlink w:anchor="_About_the_Program" w:history="1">
              <w:r w:rsidRPr="00994E8B">
                <w:rPr>
                  <w:rStyle w:val="Hyperlink"/>
                </w:rPr>
                <w:t>section 2</w:t>
              </w:r>
            </w:hyperlink>
            <w:r w:rsidRPr="00994E8B">
              <w:t>.</w:t>
            </w:r>
          </w:p>
        </w:tc>
      </w:tr>
      <w:tr w:rsidR="002E1C12" w:rsidRPr="00994E8B" w14:paraId="5A222341" w14:textId="77777777" w:rsidTr="004960E4">
        <w:trPr>
          <w:cantSplit/>
        </w:trPr>
        <w:tc>
          <w:tcPr>
            <w:tcW w:w="1843" w:type="pct"/>
          </w:tcPr>
          <w:p w14:paraId="396D5923" w14:textId="77777777" w:rsidR="002E1C12" w:rsidRPr="00994E8B" w:rsidRDefault="002E1C12" w:rsidP="002E1C12">
            <w:r w:rsidRPr="00994E8B">
              <w:t>Proposed Solution</w:t>
            </w:r>
          </w:p>
        </w:tc>
        <w:tc>
          <w:tcPr>
            <w:tcW w:w="3157" w:type="pct"/>
          </w:tcPr>
          <w:p w14:paraId="3301763F" w14:textId="1FE82ACA" w:rsidR="002E1C12" w:rsidRPr="00994E8B" w:rsidRDefault="002E1C12" w:rsidP="002E1C12">
            <w:pPr>
              <w:spacing w:before="0" w:after="40" w:line="240" w:lineRule="auto"/>
            </w:pPr>
            <w:r w:rsidRPr="00994E8B">
              <w:t>Infrastructure for which an applicant has sought funding under the Program.</w:t>
            </w:r>
          </w:p>
        </w:tc>
      </w:tr>
      <w:tr w:rsidR="002E1C12" w:rsidRPr="00994E8B" w14:paraId="2134786F" w14:textId="77777777" w:rsidTr="004960E4">
        <w:trPr>
          <w:cantSplit/>
        </w:trPr>
        <w:tc>
          <w:tcPr>
            <w:tcW w:w="1843" w:type="pct"/>
          </w:tcPr>
          <w:p w14:paraId="6AAF62AE" w14:textId="77777777" w:rsidR="002E1C12" w:rsidRPr="00994E8B" w:rsidRDefault="002E1C12" w:rsidP="002E1C12">
            <w:r w:rsidRPr="00994E8B">
              <w:t xml:space="preserve">Proposed Mobile </w:t>
            </w:r>
            <w:r w:rsidR="007009DE" w:rsidRPr="00994E8B">
              <w:t xml:space="preserve">Black Spot </w:t>
            </w:r>
            <w:r w:rsidRPr="00994E8B">
              <w:t>Solution</w:t>
            </w:r>
          </w:p>
        </w:tc>
        <w:tc>
          <w:tcPr>
            <w:tcW w:w="3157" w:type="pct"/>
          </w:tcPr>
          <w:p w14:paraId="6569A6E4" w14:textId="5BAFB166" w:rsidR="002E1C12" w:rsidRPr="00994E8B" w:rsidRDefault="002E1C12" w:rsidP="002E1C12">
            <w:pPr>
              <w:spacing w:before="0" w:after="40" w:line="240" w:lineRule="auto"/>
            </w:pPr>
            <w:r w:rsidRPr="00994E8B">
              <w:t xml:space="preserve">A Proposed Solution put forward under the Mobile </w:t>
            </w:r>
            <w:r w:rsidR="007009DE" w:rsidRPr="00994E8B">
              <w:t xml:space="preserve">Black Spot </w:t>
            </w:r>
            <w:r w:rsidR="00682ACA" w:rsidRPr="00994E8B">
              <w:t>(Round 7)</w:t>
            </w:r>
            <w:r w:rsidR="007009DE" w:rsidRPr="00994E8B">
              <w:t xml:space="preserve"> funding</w:t>
            </w:r>
            <w:r w:rsidRPr="00994E8B">
              <w:t xml:space="preserve"> stream as set out in </w:t>
            </w:r>
            <w:hyperlink w:anchor="_About_Round_3" w:history="1">
              <w:r w:rsidR="007465D1" w:rsidRPr="00823AE3">
                <w:rPr>
                  <w:rStyle w:val="Hyperlink"/>
                  <w:color w:val="0070C0"/>
                </w:rPr>
                <w:t xml:space="preserve">section </w:t>
              </w:r>
              <w:r w:rsidR="00BE2A9B">
                <w:rPr>
                  <w:rStyle w:val="Hyperlink"/>
                  <w:color w:val="0070C0"/>
                </w:rPr>
                <w:t>2.2</w:t>
              </w:r>
            </w:hyperlink>
            <w:r w:rsidR="007465D1" w:rsidRPr="00994E8B">
              <w:t>.</w:t>
            </w:r>
          </w:p>
        </w:tc>
      </w:tr>
      <w:tr w:rsidR="002E1C12" w:rsidRPr="00994E8B" w14:paraId="01F75737" w14:textId="77777777" w:rsidTr="004960E4">
        <w:trPr>
          <w:cantSplit/>
        </w:trPr>
        <w:tc>
          <w:tcPr>
            <w:tcW w:w="1843" w:type="pct"/>
          </w:tcPr>
          <w:p w14:paraId="74FCFA9C" w14:textId="77777777" w:rsidR="002E1C12" w:rsidRPr="00994E8B" w:rsidRDefault="002E1C12" w:rsidP="002E1C12">
            <w:r w:rsidRPr="00994E8B">
              <w:t xml:space="preserve">Proposed </w:t>
            </w:r>
            <w:r w:rsidR="007447D0" w:rsidRPr="00994E8B">
              <w:t xml:space="preserve">Regional </w:t>
            </w:r>
            <w:r w:rsidR="009F6847" w:rsidRPr="00994E8B">
              <w:t>Connectivity</w:t>
            </w:r>
            <w:r w:rsidRPr="00994E8B">
              <w:t xml:space="preserve"> </w:t>
            </w:r>
            <w:r w:rsidR="007465D1" w:rsidRPr="00994E8B">
              <w:t>S</w:t>
            </w:r>
            <w:r w:rsidRPr="00994E8B">
              <w:t>olution</w:t>
            </w:r>
          </w:p>
        </w:tc>
        <w:tc>
          <w:tcPr>
            <w:tcW w:w="3157" w:type="pct"/>
          </w:tcPr>
          <w:p w14:paraId="28272D08" w14:textId="23EA83A4" w:rsidR="002E1C12" w:rsidRPr="00994E8B" w:rsidRDefault="002E1C12" w:rsidP="002E1C12">
            <w:pPr>
              <w:spacing w:before="0" w:after="40" w:line="240" w:lineRule="auto"/>
            </w:pPr>
            <w:r w:rsidRPr="00994E8B">
              <w:t xml:space="preserve">A Proposed Solution put forward under the </w:t>
            </w:r>
            <w:r w:rsidR="007447D0" w:rsidRPr="00994E8B">
              <w:t xml:space="preserve">Regional </w:t>
            </w:r>
            <w:r w:rsidR="009F6847" w:rsidRPr="00994E8B">
              <w:t>Connectivity</w:t>
            </w:r>
            <w:r w:rsidRPr="00994E8B">
              <w:t xml:space="preserve"> </w:t>
            </w:r>
            <w:r w:rsidR="004770F8" w:rsidRPr="00994E8B">
              <w:t>(Round 3)</w:t>
            </w:r>
            <w:r w:rsidRPr="00994E8B">
              <w:t xml:space="preserve"> </w:t>
            </w:r>
            <w:r w:rsidR="007009DE" w:rsidRPr="00994E8B">
              <w:t xml:space="preserve">funding </w:t>
            </w:r>
            <w:r w:rsidRPr="00994E8B">
              <w:t xml:space="preserve">stream as set out in </w:t>
            </w:r>
            <w:hyperlink w:anchor="_Toc118808882" w:history="1">
              <w:r w:rsidR="007465D1" w:rsidRPr="00823AE3">
                <w:rPr>
                  <w:rStyle w:val="Hyperlink"/>
                  <w:color w:val="0070C0"/>
                </w:rPr>
                <w:t>section</w:t>
              </w:r>
              <w:r w:rsidR="00BE2A9B">
                <w:rPr>
                  <w:rStyle w:val="Hyperlink"/>
                  <w:color w:val="0070C0"/>
                </w:rPr>
                <w:t> 2.2</w:t>
              </w:r>
            </w:hyperlink>
            <w:r w:rsidR="007465D1" w:rsidRPr="00994E8B">
              <w:t>.</w:t>
            </w:r>
          </w:p>
        </w:tc>
      </w:tr>
      <w:tr w:rsidR="002E1C12" w:rsidRPr="00994E8B" w14:paraId="7817BFFC" w14:textId="77777777" w:rsidTr="004960E4">
        <w:trPr>
          <w:cantSplit/>
        </w:trPr>
        <w:tc>
          <w:tcPr>
            <w:tcW w:w="1843" w:type="pct"/>
          </w:tcPr>
          <w:p w14:paraId="08D97B27" w14:textId="77777777" w:rsidR="002E1C12" w:rsidRPr="00994E8B" w:rsidRDefault="002E1C12" w:rsidP="002E1C12">
            <w:r w:rsidRPr="00994E8B">
              <w:t>Public Safety Premises</w:t>
            </w:r>
          </w:p>
        </w:tc>
        <w:tc>
          <w:tcPr>
            <w:tcW w:w="3157" w:type="pct"/>
          </w:tcPr>
          <w:p w14:paraId="1A56340E" w14:textId="77777777" w:rsidR="002E1C12" w:rsidRPr="00994E8B" w:rsidRDefault="002E1C12" w:rsidP="002E1C12">
            <w:pPr>
              <w:spacing w:before="0" w:after="40" w:line="240" w:lineRule="auto"/>
            </w:pPr>
            <w:r w:rsidRPr="00994E8B">
              <w:t xml:space="preserve">Places including emergency services facilities (i.e. including ambulance and </w:t>
            </w:r>
            <w:r w:rsidR="007465D1" w:rsidRPr="00994E8B">
              <w:t>Rural Fire Service (</w:t>
            </w:r>
            <w:r w:rsidRPr="00994E8B">
              <w:t>RFS</w:t>
            </w:r>
            <w:r w:rsidR="007465D1" w:rsidRPr="00994E8B">
              <w:t>)</w:t>
            </w:r>
            <w:r w:rsidRPr="00994E8B">
              <w:t xml:space="preserve"> depots, hospitals, police facilities, </w:t>
            </w:r>
            <w:r w:rsidR="007465D1" w:rsidRPr="00994E8B">
              <w:t>Royal Flying Doctor Service (</w:t>
            </w:r>
            <w:r w:rsidRPr="00994E8B">
              <w:t>RFDS</w:t>
            </w:r>
            <w:r w:rsidR="007465D1" w:rsidRPr="00994E8B">
              <w:t>)</w:t>
            </w:r>
            <w:r w:rsidRPr="00994E8B">
              <w:t xml:space="preserve"> and related facilities (which may include airstrips).</w:t>
            </w:r>
          </w:p>
        </w:tc>
      </w:tr>
      <w:tr w:rsidR="002E1C12" w:rsidRPr="00994E8B" w14:paraId="5C104B33" w14:textId="77777777" w:rsidTr="004960E4">
        <w:trPr>
          <w:cantSplit/>
        </w:trPr>
        <w:tc>
          <w:tcPr>
            <w:tcW w:w="1843" w:type="pct"/>
          </w:tcPr>
          <w:p w14:paraId="422D1F5E" w14:textId="77777777" w:rsidR="002E1C12" w:rsidRPr="00994E8B" w:rsidRDefault="002E1C12" w:rsidP="002E1C12">
            <w:r w:rsidRPr="00994E8B">
              <w:t>Reference Signal Received Power (RSRP)</w:t>
            </w:r>
          </w:p>
        </w:tc>
        <w:tc>
          <w:tcPr>
            <w:tcW w:w="3157" w:type="pct"/>
          </w:tcPr>
          <w:p w14:paraId="58194246" w14:textId="77777777" w:rsidR="002E1C12" w:rsidRPr="00994E8B" w:rsidRDefault="002E1C12" w:rsidP="00F252BF">
            <w:r w:rsidRPr="00994E8B">
              <w:t xml:space="preserve">The 4G received signal power in a long-term evolution (LTE) network measured in decibels per milliwatt (dBm). </w:t>
            </w:r>
          </w:p>
        </w:tc>
      </w:tr>
      <w:tr w:rsidR="00ED7B3D" w:rsidRPr="00994E8B" w14:paraId="523C8681" w14:textId="77777777" w:rsidTr="004960E4">
        <w:trPr>
          <w:cantSplit/>
        </w:trPr>
        <w:tc>
          <w:tcPr>
            <w:tcW w:w="1843" w:type="pct"/>
          </w:tcPr>
          <w:p w14:paraId="3E9E053F" w14:textId="6AD6320D" w:rsidR="00ED7B3D" w:rsidRPr="00994E8B" w:rsidRDefault="00ED7B3D" w:rsidP="002E1C12">
            <w:r w:rsidRPr="00994E8B">
              <w:t>RRU</w:t>
            </w:r>
          </w:p>
        </w:tc>
        <w:tc>
          <w:tcPr>
            <w:tcW w:w="3157" w:type="pct"/>
          </w:tcPr>
          <w:p w14:paraId="4F3C2AA3" w14:textId="61C13F27" w:rsidR="00ED7B3D" w:rsidRPr="00994E8B" w:rsidRDefault="00ED7B3D" w:rsidP="00F252BF">
            <w:r w:rsidRPr="00994E8B">
              <w:t>Remote Radio Unit</w:t>
            </w:r>
          </w:p>
        </w:tc>
      </w:tr>
      <w:tr w:rsidR="002E1C12" w:rsidRPr="00994E8B" w14:paraId="5FE56C4B" w14:textId="77777777" w:rsidTr="004960E4">
        <w:trPr>
          <w:cantSplit/>
        </w:trPr>
        <w:tc>
          <w:tcPr>
            <w:tcW w:w="1843" w:type="pct"/>
          </w:tcPr>
          <w:p w14:paraId="7821C036" w14:textId="77777777" w:rsidR="002E1C12" w:rsidRPr="00994E8B" w:rsidRDefault="002E1C12" w:rsidP="002E1C12">
            <w:r w:rsidRPr="00994E8B">
              <w:t>Selection Process</w:t>
            </w:r>
          </w:p>
        </w:tc>
        <w:tc>
          <w:tcPr>
            <w:tcW w:w="3157" w:type="pct"/>
          </w:tcPr>
          <w:p w14:paraId="41D7CBE8" w14:textId="77777777" w:rsidR="002E1C12" w:rsidRPr="00994E8B" w:rsidRDefault="002E1C12" w:rsidP="002E1C12">
            <w:pPr>
              <w:spacing w:before="0" w:after="40" w:line="240" w:lineRule="auto"/>
            </w:pPr>
            <w:r w:rsidRPr="00994E8B">
              <w:t>The method used to select Grantees, which will include:</w:t>
            </w:r>
          </w:p>
          <w:p w14:paraId="0EB65987" w14:textId="77777777" w:rsidR="002E1C12" w:rsidRPr="00994E8B" w:rsidRDefault="002E1C12" w:rsidP="002E1C12">
            <w:pPr>
              <w:spacing w:before="0" w:after="40" w:line="240" w:lineRule="auto"/>
            </w:pPr>
            <w:r w:rsidRPr="00994E8B">
              <w:t>1.</w:t>
            </w:r>
            <w:r w:rsidRPr="00994E8B">
              <w:tab/>
              <w:t>an initial assessment against Eligibility Criteria;</w:t>
            </w:r>
          </w:p>
          <w:p w14:paraId="04954625" w14:textId="6F5D2D9F" w:rsidR="002E1C12" w:rsidRPr="00994E8B" w:rsidRDefault="002E1C12" w:rsidP="002E1C12">
            <w:pPr>
              <w:spacing w:before="0" w:after="40" w:line="240" w:lineRule="auto"/>
            </w:pPr>
            <w:r w:rsidRPr="00994E8B">
              <w:t>2.</w:t>
            </w:r>
            <w:r w:rsidRPr="00994E8B">
              <w:tab/>
              <w:t xml:space="preserve">a detailed assessment against </w:t>
            </w:r>
            <w:r w:rsidR="00505FAF" w:rsidRPr="00994E8B">
              <w:t xml:space="preserve">Assessment </w:t>
            </w:r>
            <w:r w:rsidRPr="00994E8B">
              <w:t>Criteria;</w:t>
            </w:r>
          </w:p>
          <w:p w14:paraId="6DB0B276" w14:textId="77777777" w:rsidR="002E1C12" w:rsidRPr="00994E8B" w:rsidRDefault="002E1C12" w:rsidP="002E1C12">
            <w:pPr>
              <w:spacing w:before="0" w:after="40" w:line="240" w:lineRule="auto"/>
            </w:pPr>
            <w:r w:rsidRPr="00994E8B">
              <w:t>3.</w:t>
            </w:r>
            <w:r w:rsidRPr="00994E8B">
              <w:tab/>
              <w:t>a Value for Money assessment and consideration of other government priorities; and</w:t>
            </w:r>
          </w:p>
          <w:p w14:paraId="2EBB3B79" w14:textId="77777777" w:rsidR="002E1C12" w:rsidRPr="00994E8B" w:rsidRDefault="002E1C12" w:rsidP="002E1C12">
            <w:pPr>
              <w:spacing w:before="0" w:after="40" w:line="240" w:lineRule="auto"/>
            </w:pPr>
            <w:r w:rsidRPr="00994E8B">
              <w:t>4.</w:t>
            </w:r>
            <w:r w:rsidRPr="00994E8B">
              <w:tab/>
              <w:t>comparison of similarly weighted applications for consideration of funding.</w:t>
            </w:r>
          </w:p>
        </w:tc>
      </w:tr>
      <w:tr w:rsidR="002E1C12" w:rsidRPr="00994E8B" w14:paraId="4931F5B7" w14:textId="77777777" w:rsidTr="004960E4">
        <w:trPr>
          <w:cantSplit/>
        </w:trPr>
        <w:tc>
          <w:tcPr>
            <w:tcW w:w="1843" w:type="pct"/>
          </w:tcPr>
          <w:p w14:paraId="7F786331" w14:textId="77777777" w:rsidR="002E1C12" w:rsidRPr="00994E8B" w:rsidRDefault="002E1C12" w:rsidP="002E1C12">
            <w:r w:rsidRPr="00994E8B">
              <w:t>Small Cell</w:t>
            </w:r>
          </w:p>
        </w:tc>
        <w:tc>
          <w:tcPr>
            <w:tcW w:w="3157" w:type="pct"/>
          </w:tcPr>
          <w:p w14:paraId="488248DC" w14:textId="77777777" w:rsidR="002E1C12" w:rsidRPr="00994E8B" w:rsidRDefault="002E1C12" w:rsidP="002E1C12">
            <w:pPr>
              <w:spacing w:before="0" w:after="40" w:line="240" w:lineRule="auto"/>
            </w:pPr>
            <w:r w:rsidRPr="00994E8B">
              <w:t>A ‘small cell’ in a mobile phone network, with a typical range less than two kilometres. Often used to add network capacity in areas of dense population or very remote locations, utilising power control to limit coverage area. These are also known as microcells.</w:t>
            </w:r>
          </w:p>
        </w:tc>
      </w:tr>
      <w:tr w:rsidR="002E1C12" w:rsidRPr="00994E8B" w14:paraId="6F67E6FA" w14:textId="77777777" w:rsidTr="004960E4">
        <w:trPr>
          <w:cantSplit/>
        </w:trPr>
        <w:tc>
          <w:tcPr>
            <w:tcW w:w="1843" w:type="pct"/>
          </w:tcPr>
          <w:p w14:paraId="1CAC467F" w14:textId="77777777" w:rsidR="002E1C12" w:rsidRPr="00994E8B" w:rsidRDefault="002E1C12" w:rsidP="002E1C12">
            <w:r w:rsidRPr="00994E8B">
              <w:lastRenderedPageBreak/>
              <w:t>Value for Money</w:t>
            </w:r>
          </w:p>
        </w:tc>
        <w:tc>
          <w:tcPr>
            <w:tcW w:w="3157" w:type="pct"/>
          </w:tcPr>
          <w:p w14:paraId="181947E3" w14:textId="77777777" w:rsidR="002E1C12" w:rsidRPr="00994E8B" w:rsidRDefault="002E1C12" w:rsidP="002E1C12">
            <w:pPr>
              <w:spacing w:before="0" w:after="40" w:line="240" w:lineRule="auto"/>
            </w:pPr>
            <w:r w:rsidRPr="00994E8B">
              <w:t>Refers to achieving ‘value with relevant money’ which is a judgement based on the grant proposal representing an efficient, effective, economical and ethical use of public resources and determined from a variety of considerations in accordance with the CGRGs.</w:t>
            </w:r>
          </w:p>
          <w:p w14:paraId="1CE78976" w14:textId="77777777" w:rsidR="002E1C12" w:rsidRPr="00994E8B" w:rsidRDefault="002E1C12" w:rsidP="002E1C12">
            <w:pPr>
              <w:spacing w:before="0" w:after="40" w:line="240" w:lineRule="auto"/>
            </w:pPr>
            <w:r w:rsidRPr="00994E8B">
              <w:t>When administering a grant opportunity, a Commonwealth Official should consider the relevant financial and non-financial costs and benefits of each proposal including, but not limited to:</w:t>
            </w:r>
          </w:p>
          <w:p w14:paraId="79913DF8" w14:textId="77777777" w:rsidR="002E1C12" w:rsidRPr="00994E8B" w:rsidRDefault="002E1C12" w:rsidP="002E1C12">
            <w:pPr>
              <w:spacing w:before="0" w:after="40" w:line="240" w:lineRule="auto"/>
            </w:pPr>
            <w:r w:rsidRPr="00994E8B">
              <w:t>a.</w:t>
            </w:r>
            <w:r w:rsidRPr="00994E8B">
              <w:tab/>
              <w:t>the quality of the project proposal and activities;</w:t>
            </w:r>
          </w:p>
          <w:p w14:paraId="54034595" w14:textId="77777777" w:rsidR="002E1C12" w:rsidRPr="00994E8B" w:rsidRDefault="002E1C12" w:rsidP="002E1C12">
            <w:pPr>
              <w:spacing w:before="0" w:after="40" w:line="240" w:lineRule="auto"/>
            </w:pPr>
            <w:r w:rsidRPr="00994E8B">
              <w:t>b.</w:t>
            </w:r>
            <w:r w:rsidRPr="00994E8B">
              <w:tab/>
              <w:t>fitness for purpose of the proposal in contributing to Government objectives;</w:t>
            </w:r>
          </w:p>
          <w:p w14:paraId="1C9153F3" w14:textId="28BE4F64" w:rsidR="002E1C12" w:rsidRPr="00994E8B" w:rsidRDefault="002E1C12" w:rsidP="002E1C12">
            <w:pPr>
              <w:spacing w:before="0" w:after="40" w:line="240" w:lineRule="auto"/>
            </w:pPr>
            <w:r w:rsidRPr="00994E8B">
              <w:t>c.</w:t>
            </w:r>
            <w:r w:rsidRPr="00994E8B">
              <w:tab/>
              <w:t>that the absence of a grant is likely to prevent the applicant’s and the Government’s objectives being achieved; and</w:t>
            </w:r>
          </w:p>
          <w:p w14:paraId="0E4E5D8F" w14:textId="27F87829" w:rsidR="002E1C12" w:rsidRPr="00994E8B" w:rsidRDefault="002E1C12" w:rsidP="002E1C12">
            <w:pPr>
              <w:spacing w:before="0" w:after="40" w:line="240" w:lineRule="auto"/>
            </w:pPr>
            <w:r w:rsidRPr="00994E8B">
              <w:t>d.</w:t>
            </w:r>
            <w:r w:rsidRPr="00994E8B">
              <w:tab/>
              <w:t>the applicant’s relevant experience and performance history.</w:t>
            </w:r>
          </w:p>
        </w:tc>
      </w:tr>
      <w:tr w:rsidR="002E1C12" w:rsidRPr="00994E8B" w14:paraId="6E7A8E67" w14:textId="77777777" w:rsidTr="004960E4">
        <w:trPr>
          <w:cantSplit/>
        </w:trPr>
        <w:tc>
          <w:tcPr>
            <w:tcW w:w="1843" w:type="pct"/>
          </w:tcPr>
          <w:p w14:paraId="0014EF39" w14:textId="77777777" w:rsidR="002E1C12" w:rsidRPr="00994E8B" w:rsidRDefault="002E1C12" w:rsidP="002E1C12">
            <w:r w:rsidRPr="00994E8B">
              <w:t>We/us</w:t>
            </w:r>
          </w:p>
        </w:tc>
        <w:tc>
          <w:tcPr>
            <w:tcW w:w="3157" w:type="pct"/>
          </w:tcPr>
          <w:p w14:paraId="3E2A0E7C" w14:textId="64AC1429" w:rsidR="002E1C12" w:rsidRPr="00994E8B" w:rsidRDefault="002E1C12" w:rsidP="002E1C12">
            <w:pPr>
              <w:spacing w:before="0" w:after="40" w:line="240" w:lineRule="auto"/>
            </w:pPr>
            <w:r w:rsidRPr="00994E8B">
              <w:t>The Department of Infrastructure, Transport, Regional Development, Communications and the Arts/or Commonwealth Officials administering the Program.</w:t>
            </w:r>
          </w:p>
        </w:tc>
      </w:tr>
      <w:tr w:rsidR="00ED7B3D" w:rsidRPr="00994E8B" w14:paraId="309CA5C7" w14:textId="77777777" w:rsidTr="004960E4">
        <w:trPr>
          <w:cantSplit/>
        </w:trPr>
        <w:tc>
          <w:tcPr>
            <w:tcW w:w="1843" w:type="pct"/>
          </w:tcPr>
          <w:p w14:paraId="7853EE94" w14:textId="68AB48EC" w:rsidR="00ED7B3D" w:rsidRPr="00994E8B" w:rsidRDefault="00ED7B3D" w:rsidP="002E1C12">
            <w:r w:rsidRPr="00994E8B">
              <w:t>WHS</w:t>
            </w:r>
          </w:p>
        </w:tc>
        <w:tc>
          <w:tcPr>
            <w:tcW w:w="3157" w:type="pct"/>
          </w:tcPr>
          <w:p w14:paraId="46F498F4" w14:textId="4230F5EC" w:rsidR="00ED7B3D" w:rsidRPr="00994E8B" w:rsidRDefault="00ED7B3D" w:rsidP="008615EE">
            <w:pPr>
              <w:tabs>
                <w:tab w:val="left" w:pos="1110"/>
              </w:tabs>
              <w:spacing w:before="0" w:after="40" w:line="240" w:lineRule="auto"/>
            </w:pPr>
            <w:r w:rsidRPr="00994E8B">
              <w:t>Work Health and Safety</w:t>
            </w:r>
          </w:p>
        </w:tc>
      </w:tr>
    </w:tbl>
    <w:p w14:paraId="7B2AD32A" w14:textId="77777777" w:rsidR="008615EE" w:rsidRPr="00994E8B" w:rsidRDefault="008615EE" w:rsidP="004A759F">
      <w:pPr>
        <w:spacing w:before="0" w:after="0" w:line="240" w:lineRule="auto"/>
        <w:rPr>
          <w:b/>
          <w:sz w:val="32"/>
          <w:szCs w:val="32"/>
        </w:rPr>
      </w:pPr>
    </w:p>
    <w:p w14:paraId="0EFF7B4D" w14:textId="77777777" w:rsidR="008615EE" w:rsidRPr="00994E8B" w:rsidRDefault="008615EE">
      <w:pPr>
        <w:spacing w:before="0" w:after="0" w:line="240" w:lineRule="auto"/>
        <w:rPr>
          <w:b/>
          <w:sz w:val="32"/>
          <w:szCs w:val="32"/>
        </w:rPr>
      </w:pPr>
      <w:r w:rsidRPr="00994E8B">
        <w:rPr>
          <w:b/>
          <w:sz w:val="32"/>
          <w:szCs w:val="32"/>
        </w:rPr>
        <w:br w:type="page"/>
      </w:r>
    </w:p>
    <w:p w14:paraId="6EB5E759" w14:textId="34F3FB61" w:rsidR="00387FC0" w:rsidRPr="00994E8B" w:rsidRDefault="00044E9A" w:rsidP="004A759F">
      <w:pPr>
        <w:spacing w:before="0" w:after="0" w:line="240" w:lineRule="auto"/>
        <w:rPr>
          <w:b/>
          <w:sz w:val="32"/>
          <w:szCs w:val="32"/>
        </w:rPr>
      </w:pPr>
      <w:r w:rsidRPr="00994E8B">
        <w:rPr>
          <w:b/>
          <w:sz w:val="32"/>
          <w:szCs w:val="32"/>
        </w:rPr>
        <w:lastRenderedPageBreak/>
        <w:t>Attachment A</w:t>
      </w:r>
    </w:p>
    <w:p w14:paraId="53792AC1" w14:textId="77777777" w:rsidR="006F2C57" w:rsidRPr="00994E8B" w:rsidRDefault="006F2C57">
      <w:pPr>
        <w:spacing w:before="0" w:after="0" w:line="240" w:lineRule="auto"/>
        <w:rPr>
          <w:b/>
          <w:sz w:val="32"/>
          <w:szCs w:val="32"/>
        </w:rPr>
      </w:pPr>
    </w:p>
    <w:p w14:paraId="6A6A1DD4" w14:textId="77777777" w:rsidR="006F2C57" w:rsidRPr="00994E8B" w:rsidRDefault="006F2C57" w:rsidP="00F252BF">
      <w:pPr>
        <w:rPr>
          <w:sz w:val="32"/>
        </w:rPr>
      </w:pPr>
      <w:r w:rsidRPr="00994E8B">
        <w:rPr>
          <w:b/>
          <w:sz w:val="32"/>
          <w:szCs w:val="32"/>
        </w:rPr>
        <w:t>A1.</w:t>
      </w:r>
      <w:r w:rsidRPr="00994E8B">
        <w:rPr>
          <w:b/>
          <w:sz w:val="32"/>
          <w:szCs w:val="32"/>
        </w:rPr>
        <w:tab/>
      </w:r>
      <w:bookmarkStart w:id="704" w:name="_Hlk129944424"/>
      <w:r w:rsidRPr="00994E8B">
        <w:rPr>
          <w:b/>
          <w:sz w:val="32"/>
          <w:szCs w:val="32"/>
        </w:rPr>
        <w:t xml:space="preserve">Co-location and co-build for </w:t>
      </w:r>
      <w:r w:rsidR="007009DE" w:rsidRPr="00994E8B">
        <w:rPr>
          <w:b/>
          <w:sz w:val="32"/>
          <w:szCs w:val="32"/>
        </w:rPr>
        <w:t>Mobile Black Spot Solution</w:t>
      </w:r>
      <w:r w:rsidRPr="00994E8B">
        <w:rPr>
          <w:b/>
          <w:sz w:val="32"/>
          <w:szCs w:val="32"/>
        </w:rPr>
        <w:t>s</w:t>
      </w:r>
    </w:p>
    <w:bookmarkEnd w:id="704"/>
    <w:p w14:paraId="0407478E" w14:textId="274F88FC" w:rsidR="006F2C57" w:rsidRPr="00994E8B" w:rsidRDefault="002622D0" w:rsidP="006F2C57">
      <w:r w:rsidRPr="00994E8B">
        <w:t>Subject to 4.2 above, i</w:t>
      </w:r>
      <w:r w:rsidR="006F2C57" w:rsidRPr="00994E8B">
        <w:t xml:space="preserve">n addition to any arrangements negotiated with an MNO confirmed at the time of the application to provide services through the Proposed Solution, each Proposed Solution must offer </w:t>
      </w:r>
      <w:r w:rsidR="00317203" w:rsidRPr="00994E8B">
        <w:t xml:space="preserve">the option of </w:t>
      </w:r>
      <w:r w:rsidR="006F2C57" w:rsidRPr="00994E8B">
        <w:t>co</w:t>
      </w:r>
      <w:r w:rsidR="006F2C57" w:rsidRPr="00994E8B">
        <w:noBreakHyphen/>
        <w:t>location to other MNOs, or the applicant must provide evidence that the Proposed Solution is unable to support an additional MNO for technical or other reasons (for example because the applicant does not own or control the site).</w:t>
      </w:r>
    </w:p>
    <w:p w14:paraId="2650B787" w14:textId="5A2DAA6C" w:rsidR="006F2C57" w:rsidRPr="00994E8B" w:rsidRDefault="006F2C57" w:rsidP="006F2C57">
      <w:r w:rsidRPr="00994E8B">
        <w:t xml:space="preserve">If a Proposed Solution is unable to support an additional MNO other than those already participating or is not capable of supporting co-location, applicants must provide a detailed explanation of why it is not technically feasible to reconfigure the Proposed </w:t>
      </w:r>
      <w:r w:rsidR="007009DE" w:rsidRPr="00994E8B">
        <w:t>Mobile Black Spot Solution</w:t>
      </w:r>
      <w:r w:rsidRPr="00994E8B">
        <w:t xml:space="preserve"> to support an additional MNO at incremental cost to the Co-locating MNO, or why it is not otherwise possible to offer co-location at the site. The Department’s technical advisor may review any technical advice from the applicant. If the Department’s view is that co</w:t>
      </w:r>
      <w:r w:rsidRPr="00994E8B">
        <w:noBreakHyphen/>
        <w:t xml:space="preserve">location is technically possible, then the applicant must be prepared to offer </w:t>
      </w:r>
      <w:r w:rsidR="00317203" w:rsidRPr="00994E8B">
        <w:t xml:space="preserve">the option of </w:t>
      </w:r>
      <w:r w:rsidRPr="00994E8B">
        <w:t>co-location at incremental cost to an MNO seeking to co-locate on the Proposed Solution, or the Department may remove the Proposed Solution from the assessment process.</w:t>
      </w:r>
    </w:p>
    <w:p w14:paraId="019D7E94" w14:textId="5ACA9EF1" w:rsidR="006F2C57" w:rsidRPr="00994E8B" w:rsidRDefault="006F2C57" w:rsidP="006F2C57">
      <w:r w:rsidRPr="00994E8B">
        <w:t>Once an applicant is selected to build a Proposed Solution it must</w:t>
      </w:r>
      <w:r w:rsidR="003E3E55" w:rsidRPr="00994E8B">
        <w:t>,</w:t>
      </w:r>
      <w:r w:rsidRPr="00994E8B">
        <w:t xml:space="preserve"> </w:t>
      </w:r>
      <w:r w:rsidR="00317203" w:rsidRPr="00994E8B">
        <w:t xml:space="preserve">if other </w:t>
      </w:r>
      <w:proofErr w:type="gramStart"/>
      <w:r w:rsidR="00317203" w:rsidRPr="00994E8B">
        <w:t>parties</w:t>
      </w:r>
      <w:proofErr w:type="gramEnd"/>
      <w:r w:rsidR="00317203" w:rsidRPr="00994E8B">
        <w:t xml:space="preserve"> express interest, </w:t>
      </w:r>
      <w:r w:rsidRPr="00994E8B">
        <w:t xml:space="preserve">give any other MNO(s) not already participating in the </w:t>
      </w:r>
      <w:r w:rsidR="00481C8C" w:rsidRPr="00994E8B">
        <w:t>Funded Project</w:t>
      </w:r>
      <w:r w:rsidRPr="00994E8B">
        <w:t xml:space="preserve"> the opportunity to co-locate and to participate in the detailed design phase for that Funded </w:t>
      </w:r>
      <w:r w:rsidR="00481C8C" w:rsidRPr="00994E8B">
        <w:t>Project</w:t>
      </w:r>
      <w:r w:rsidRPr="00994E8B">
        <w:t xml:space="preserve"> using the process set out in this paragraph.</w:t>
      </w:r>
    </w:p>
    <w:p w14:paraId="120DA0A7" w14:textId="2A405872" w:rsidR="006F2C57" w:rsidRPr="00994E8B" w:rsidRDefault="006F2C57" w:rsidP="006F2C57">
      <w:pPr>
        <w:pStyle w:val="ListParagraph"/>
        <w:numPr>
          <w:ilvl w:val="0"/>
          <w:numId w:val="21"/>
        </w:numPr>
      </w:pPr>
      <w:r w:rsidRPr="00994E8B">
        <w:t xml:space="preserve">The incremental cost for a Funded </w:t>
      </w:r>
      <w:r w:rsidR="006D7A80" w:rsidRPr="00994E8B">
        <w:t>Project</w:t>
      </w:r>
      <w:r w:rsidRPr="00994E8B">
        <w:t xml:space="preserve"> to support an additional MNO will be provided to the other participating MNOs to allow for greater transparency in co</w:t>
      </w:r>
      <w:r w:rsidRPr="00994E8B">
        <w:noBreakHyphen/>
        <w:t>location negotiations.</w:t>
      </w:r>
    </w:p>
    <w:p w14:paraId="2FD8D294" w14:textId="4224812C" w:rsidR="006F2C57" w:rsidRPr="00994E8B" w:rsidRDefault="006F2C57" w:rsidP="006F2C57">
      <w:pPr>
        <w:pStyle w:val="ListParagraph"/>
        <w:numPr>
          <w:ilvl w:val="0"/>
          <w:numId w:val="21"/>
        </w:numPr>
      </w:pPr>
      <w:r w:rsidRPr="00994E8B">
        <w:t>For Funded</w:t>
      </w:r>
      <w:r w:rsidRPr="00994E8B">
        <w:rPr>
          <w:lang w:val="en-US"/>
        </w:rPr>
        <w:t xml:space="preserve"> </w:t>
      </w:r>
      <w:r w:rsidR="00481C8C" w:rsidRPr="00994E8B">
        <w:rPr>
          <w:lang w:val="en-US"/>
        </w:rPr>
        <w:t>Project</w:t>
      </w:r>
      <w:r w:rsidRPr="00994E8B">
        <w:t xml:space="preserve"> where other MNOs are interested in co</w:t>
      </w:r>
      <w:r w:rsidRPr="00994E8B">
        <w:noBreakHyphen/>
        <w:t>locating, the costs can be shared more broadly and efficiencies achieved if the interested MNOs can participate in the design and build phases, which should ensure that their reasonable specifications are accommodated in the design and construction of the Funded</w:t>
      </w:r>
      <w:r w:rsidRPr="00994E8B">
        <w:rPr>
          <w:lang w:val="en-US"/>
        </w:rPr>
        <w:t xml:space="preserve"> </w:t>
      </w:r>
      <w:r w:rsidR="00481C8C" w:rsidRPr="00994E8B">
        <w:rPr>
          <w:lang w:val="en-US"/>
        </w:rPr>
        <w:t>Project</w:t>
      </w:r>
      <w:r w:rsidRPr="00994E8B">
        <w:t xml:space="preserve">. This opportunity relates to all the requirements necessary for co-location to efficiently occur, including (but not limited to) the height and robustness of the Funded </w:t>
      </w:r>
      <w:r w:rsidR="00481C8C" w:rsidRPr="00994E8B">
        <w:t>Project</w:t>
      </w:r>
      <w:r w:rsidRPr="00994E8B">
        <w:t>, as well as site space for housing equipment and providing access to power and Backhaul.</w:t>
      </w:r>
    </w:p>
    <w:p w14:paraId="2C1347AE" w14:textId="0D7C4E74" w:rsidR="006F2C57" w:rsidRPr="00994E8B" w:rsidRDefault="006F2C57" w:rsidP="006F2C57">
      <w:pPr>
        <w:pStyle w:val="ListParagraph"/>
        <w:numPr>
          <w:ilvl w:val="0"/>
          <w:numId w:val="21"/>
        </w:numPr>
      </w:pPr>
      <w:r w:rsidRPr="00994E8B">
        <w:t>The Government is supportive of Grantees offering other MNOs the opportunity to co</w:t>
      </w:r>
      <w:r w:rsidRPr="00994E8B">
        <w:noBreakHyphen/>
        <w:t xml:space="preserve">invest in Funded </w:t>
      </w:r>
      <w:r w:rsidR="00481C8C" w:rsidRPr="00994E8B">
        <w:t>Project</w:t>
      </w:r>
      <w:r w:rsidRPr="00994E8B">
        <w:t xml:space="preserve"> including (but not limited to) provision of Backhaul.</w:t>
      </w:r>
    </w:p>
    <w:p w14:paraId="7AB19A1D" w14:textId="74DA66F8" w:rsidR="006F2C57" w:rsidRPr="00994E8B" w:rsidRDefault="006F2C57" w:rsidP="006F2C57">
      <w:r w:rsidRPr="00994E8B">
        <w:t xml:space="preserve">For the purpose of providing the incremental cost of supporting an additional MNO, a Funded </w:t>
      </w:r>
      <w:r w:rsidR="00481C8C" w:rsidRPr="00994E8B">
        <w:t>Project</w:t>
      </w:r>
      <w:r w:rsidRPr="00994E8B">
        <w:t xml:space="preserve"> must meet the following minimum specifications to be considered capable of supporting two or three MNOs:</w:t>
      </w:r>
    </w:p>
    <w:p w14:paraId="0A724010" w14:textId="77777777" w:rsidR="006F2C57" w:rsidRPr="00994E8B" w:rsidRDefault="006F2C57" w:rsidP="006F2C57">
      <w:pPr>
        <w:pStyle w:val="ListParagraph"/>
        <w:numPr>
          <w:ilvl w:val="0"/>
          <w:numId w:val="21"/>
        </w:numPr>
      </w:pPr>
      <w:r w:rsidRPr="00994E8B">
        <w:t>The structure is based on one of the following configurations:</w:t>
      </w:r>
    </w:p>
    <w:p w14:paraId="5C1068DF" w14:textId="79AD2616" w:rsidR="006F2C57" w:rsidRPr="00994E8B" w:rsidRDefault="006F2C57" w:rsidP="006F2C57">
      <w:pPr>
        <w:pStyle w:val="Caption"/>
        <w:keepNext/>
        <w:ind w:left="720" w:firstLine="360"/>
      </w:pPr>
      <w:r w:rsidRPr="00994E8B">
        <w:rPr>
          <w:bCs/>
        </w:rPr>
        <w:t xml:space="preserve">Table </w:t>
      </w:r>
      <w:r w:rsidR="009F304F" w:rsidRPr="00994E8B">
        <w:rPr>
          <w:bCs/>
        </w:rPr>
        <w:t>4</w:t>
      </w:r>
      <w:r w:rsidRPr="00994E8B">
        <w:rPr>
          <w:bCs/>
        </w:rPr>
        <w:t>: Minimum specification configurations for co-location of multiple MNOs</w:t>
      </w:r>
      <w:r w:rsidRPr="00994E8B">
        <w:t xml:space="preserve"> </w:t>
      </w:r>
    </w:p>
    <w:tbl>
      <w:tblPr>
        <w:tblStyle w:val="TableGrid"/>
        <w:tblW w:w="0" w:type="auto"/>
        <w:tblInd w:w="1080" w:type="dxa"/>
        <w:tblLook w:val="04A0" w:firstRow="1" w:lastRow="0" w:firstColumn="1" w:lastColumn="0" w:noHBand="0" w:noVBand="1"/>
        <w:tblCaption w:val="Table 2: Minimum specification configurations for co-location of multiple MNOs"/>
        <w:tblDescription w:val="Table 2 has 3 columns, with headings configutation 1, configuration 2, and configuration 3. Each column shows the a mimumum specification configuration setup.&#10;&#10;Configuration 1 includes&#10;&#10;3 by 1 panel antenna on a standalone headframe, with dimensions of 2533 millimetres height by 353 millimetres width by 209 millimetres depth and weight of 32 kilograms, or equivalent load.&#10;&#10;Plus&#10;&#10;3 Tower Mounted Amplifiers with dimensions 457 millimetres by 275 millimetres by 208 millimetres and Weight 25 kilograms, or equivalent load.&#10;&#10;Plus&#10;&#10;6 feeders plus 300 millimetres cable gantry for monopole structure type sites&#10;&#10;and&#10;&#10;2  600 millimetre fixed link dishes, or equivalent load.&#10;&#10;Configuration 2 includes&#10;&#10;3 by 6 port antenna on a standalone headframe, with dimensions of 2680 millimetres height by 300 millimetres width by 146 millimetres depth and weight of 39.5 kilograms.&#10;&#10;Plus&#10;&#10;6 RRUs with dimensions 400 millimetres height by 300 millimetres width by 150 millimetres depth and Weight 20 kilograms&#10;&#10;Plus&#10;&#10;6 combiners with dimensions 330 millimetres height by 200 millimetres width and 130 millimetres depth and weight 20 kilograms.&#10;&#10;Plus&#10;&#10;2  600 millimetre transmission dishes, or equivalent load.&#10;&#10;and&#10;&#10;other DC cables and junction boxes.&#10;&#10;Configuration 3 includes&#10;&#10;3 by 10 port antenna on a standalone headframe, with dimensions of 2688 millimetres height by 349 millimetres width by 166 millimetres depth and weight of 36.5 kilograms.&#10;&#10;Plus&#10;&#10;6 RRUs with dimensions 400 millimetres height by 300 millimetres width by 100 millimetres depth and weight 13.5 kilograms&#10;&#10;and&#10;&#10;2  600 millimetre fixed link dishes, or equivalent load.&#10;"/>
      </w:tblPr>
      <w:tblGrid>
        <w:gridCol w:w="2566"/>
        <w:gridCol w:w="2566"/>
        <w:gridCol w:w="2566"/>
      </w:tblGrid>
      <w:tr w:rsidR="006F2C57" w:rsidRPr="00994E8B" w14:paraId="7E8BD6BB" w14:textId="77777777" w:rsidTr="001E0C6C">
        <w:trPr>
          <w:tblHeader/>
        </w:trPr>
        <w:tc>
          <w:tcPr>
            <w:tcW w:w="2566" w:type="dxa"/>
          </w:tcPr>
          <w:p w14:paraId="7C9422A7" w14:textId="77777777" w:rsidR="006F2C57" w:rsidRPr="00994E8B" w:rsidRDefault="006F2C57" w:rsidP="001E0C6C">
            <w:pPr>
              <w:pStyle w:val="ListBullet"/>
              <w:numPr>
                <w:ilvl w:val="0"/>
                <w:numId w:val="0"/>
              </w:numPr>
              <w:rPr>
                <w:rFonts w:cs="Arial"/>
              </w:rPr>
            </w:pPr>
            <w:r w:rsidRPr="00994E8B">
              <w:rPr>
                <w:rFonts w:cs="Arial"/>
                <w:b/>
                <w:lang w:eastAsia="en-AU"/>
              </w:rPr>
              <w:t>Configuration 1</w:t>
            </w:r>
          </w:p>
        </w:tc>
        <w:tc>
          <w:tcPr>
            <w:tcW w:w="2566" w:type="dxa"/>
          </w:tcPr>
          <w:p w14:paraId="5A02533B" w14:textId="77777777" w:rsidR="006F2C57" w:rsidRPr="00994E8B" w:rsidRDefault="006F2C57" w:rsidP="001E0C6C">
            <w:pPr>
              <w:pStyle w:val="ListBullet"/>
              <w:numPr>
                <w:ilvl w:val="0"/>
                <w:numId w:val="0"/>
              </w:numPr>
              <w:rPr>
                <w:rFonts w:cs="Arial"/>
              </w:rPr>
            </w:pPr>
            <w:r w:rsidRPr="00994E8B">
              <w:rPr>
                <w:rFonts w:cs="Arial"/>
                <w:b/>
                <w:lang w:eastAsia="en-AU"/>
              </w:rPr>
              <w:t>Configuration 2</w:t>
            </w:r>
          </w:p>
        </w:tc>
        <w:tc>
          <w:tcPr>
            <w:tcW w:w="2566" w:type="dxa"/>
          </w:tcPr>
          <w:p w14:paraId="263FF44C" w14:textId="77777777" w:rsidR="006F2C57" w:rsidRPr="00994E8B" w:rsidRDefault="006F2C57" w:rsidP="001E0C6C">
            <w:pPr>
              <w:pStyle w:val="ListBullet"/>
              <w:numPr>
                <w:ilvl w:val="0"/>
                <w:numId w:val="0"/>
              </w:numPr>
              <w:rPr>
                <w:rFonts w:cs="Arial"/>
              </w:rPr>
            </w:pPr>
            <w:r w:rsidRPr="00994E8B">
              <w:rPr>
                <w:rFonts w:cs="Arial"/>
                <w:b/>
                <w:lang w:eastAsia="en-AU"/>
              </w:rPr>
              <w:t>Configuration 3</w:t>
            </w:r>
          </w:p>
        </w:tc>
      </w:tr>
      <w:tr w:rsidR="006F2C57" w:rsidRPr="00994E8B" w14:paraId="228ABEB6" w14:textId="77777777" w:rsidTr="001E0C6C">
        <w:tc>
          <w:tcPr>
            <w:tcW w:w="2566" w:type="dxa"/>
          </w:tcPr>
          <w:p w14:paraId="55B9BCF1" w14:textId="77777777" w:rsidR="006F2C57" w:rsidRPr="00994E8B" w:rsidRDefault="006F2C57" w:rsidP="001E0C6C">
            <w:pPr>
              <w:pStyle w:val="ListBullet"/>
              <w:numPr>
                <w:ilvl w:val="0"/>
                <w:numId w:val="0"/>
              </w:numPr>
              <w:rPr>
                <w:rFonts w:cs="Arial"/>
              </w:rPr>
            </w:pPr>
            <w:r w:rsidRPr="00994E8B">
              <w:rPr>
                <w:rFonts w:cs="Arial"/>
                <w:lang w:val="en-US" w:eastAsia="en-AU"/>
              </w:rPr>
              <w:t xml:space="preserve">3 x 1 panel antenna on a standalone headframe (Dimensions: 2533mm (h) x 353mm (w) x 209mm </w:t>
            </w:r>
            <w:r w:rsidRPr="00994E8B">
              <w:rPr>
                <w:rFonts w:cs="Arial"/>
                <w:lang w:val="en-US" w:eastAsia="en-AU"/>
              </w:rPr>
              <w:lastRenderedPageBreak/>
              <w:t>(d), Weight 32kg); or equivalent load</w:t>
            </w:r>
          </w:p>
        </w:tc>
        <w:tc>
          <w:tcPr>
            <w:tcW w:w="2566" w:type="dxa"/>
          </w:tcPr>
          <w:p w14:paraId="519250E0" w14:textId="77777777" w:rsidR="006F2C57" w:rsidRPr="00994E8B" w:rsidRDefault="006F2C57" w:rsidP="001E0C6C">
            <w:pPr>
              <w:pStyle w:val="ListBullet"/>
              <w:numPr>
                <w:ilvl w:val="0"/>
                <w:numId w:val="0"/>
              </w:numPr>
              <w:rPr>
                <w:rFonts w:cs="Arial"/>
              </w:rPr>
            </w:pPr>
            <w:r w:rsidRPr="00994E8B">
              <w:rPr>
                <w:rFonts w:cs="Arial"/>
                <w:lang w:val="en-US" w:eastAsia="en-AU"/>
              </w:rPr>
              <w:lastRenderedPageBreak/>
              <w:t>3 x 6 port antenna on a standalone headframe (Dimensions: 2680mm (h) x 300mm (w) x 146mm (d), Weight: 39.5kg)</w:t>
            </w:r>
          </w:p>
        </w:tc>
        <w:tc>
          <w:tcPr>
            <w:tcW w:w="2566" w:type="dxa"/>
          </w:tcPr>
          <w:p w14:paraId="75358DB8" w14:textId="77777777" w:rsidR="006F2C57" w:rsidRPr="00994E8B" w:rsidRDefault="006F2C57" w:rsidP="001E0C6C">
            <w:pPr>
              <w:pStyle w:val="ListBullet"/>
              <w:numPr>
                <w:ilvl w:val="0"/>
                <w:numId w:val="0"/>
              </w:numPr>
              <w:rPr>
                <w:rFonts w:cs="Arial"/>
              </w:rPr>
            </w:pPr>
            <w:r w:rsidRPr="00994E8B">
              <w:rPr>
                <w:rFonts w:cs="Arial"/>
                <w:lang w:val="en-US" w:eastAsia="en-AU"/>
              </w:rPr>
              <w:t>3 x 10 port antenna on a standalone headframe (Dimensions: 2688mm (h) x 349mm (w) x 166mm (d), Weight 36.5kg)</w:t>
            </w:r>
          </w:p>
        </w:tc>
      </w:tr>
      <w:tr w:rsidR="006F2C57" w:rsidRPr="00994E8B" w14:paraId="3AB44904" w14:textId="77777777" w:rsidTr="001E0C6C">
        <w:tc>
          <w:tcPr>
            <w:tcW w:w="2566" w:type="dxa"/>
          </w:tcPr>
          <w:p w14:paraId="3FC31120" w14:textId="77777777" w:rsidR="006F2C57" w:rsidRPr="00994E8B" w:rsidRDefault="006F2C57" w:rsidP="001E0C6C">
            <w:pPr>
              <w:pStyle w:val="ListBullet"/>
              <w:numPr>
                <w:ilvl w:val="0"/>
                <w:numId w:val="0"/>
              </w:numPr>
              <w:rPr>
                <w:rFonts w:cs="Arial"/>
              </w:rPr>
            </w:pPr>
            <w:r w:rsidRPr="00994E8B">
              <w:rPr>
                <w:rFonts w:cs="Arial"/>
                <w:lang w:val="en-US" w:eastAsia="en-AU"/>
              </w:rPr>
              <w:t>3 x Tower Mounted Amplifiers Dimensions: (457mm (h) x 275mm (w) x 208mm (d), Weight 25kg); or equivalent load</w:t>
            </w:r>
          </w:p>
        </w:tc>
        <w:tc>
          <w:tcPr>
            <w:tcW w:w="2566" w:type="dxa"/>
          </w:tcPr>
          <w:p w14:paraId="3974DDA1" w14:textId="77777777" w:rsidR="006F2C57" w:rsidRPr="00994E8B" w:rsidRDefault="006F2C57" w:rsidP="001E0C6C">
            <w:pPr>
              <w:pStyle w:val="ListBullet"/>
              <w:numPr>
                <w:ilvl w:val="0"/>
                <w:numId w:val="0"/>
              </w:numPr>
              <w:rPr>
                <w:rFonts w:cs="Arial"/>
              </w:rPr>
            </w:pPr>
            <w:r w:rsidRPr="00994E8B">
              <w:rPr>
                <w:rFonts w:cs="Arial"/>
                <w:lang w:val="en-US" w:eastAsia="en-AU"/>
              </w:rPr>
              <w:t>6 x RRUs (Dimensions:400mm (h) x 300mm (w) x 150mm (d), Weight 20kg)</w:t>
            </w:r>
          </w:p>
        </w:tc>
        <w:tc>
          <w:tcPr>
            <w:tcW w:w="2566" w:type="dxa"/>
          </w:tcPr>
          <w:p w14:paraId="53673DA2" w14:textId="77777777" w:rsidR="006F2C57" w:rsidRPr="00994E8B" w:rsidRDefault="006F2C57" w:rsidP="001E0C6C">
            <w:pPr>
              <w:pStyle w:val="ListBullet"/>
              <w:numPr>
                <w:ilvl w:val="0"/>
                <w:numId w:val="0"/>
              </w:numPr>
              <w:rPr>
                <w:rFonts w:cs="Arial"/>
              </w:rPr>
            </w:pPr>
            <w:r w:rsidRPr="00994E8B">
              <w:rPr>
                <w:rFonts w:cs="Arial"/>
                <w:lang w:val="en-US" w:eastAsia="en-AU"/>
              </w:rPr>
              <w:t>6 x RRUs (Dimensions: 400mm (h) x 300mm (w) x 100mm (d), Weight 13.5kg)</w:t>
            </w:r>
          </w:p>
        </w:tc>
      </w:tr>
      <w:tr w:rsidR="006F2C57" w:rsidRPr="00994E8B" w14:paraId="02231CE3" w14:textId="77777777" w:rsidTr="001E0C6C">
        <w:tc>
          <w:tcPr>
            <w:tcW w:w="2566" w:type="dxa"/>
          </w:tcPr>
          <w:p w14:paraId="3161FE23" w14:textId="77777777" w:rsidR="006F2C57" w:rsidRPr="00994E8B" w:rsidRDefault="006F2C57" w:rsidP="001E0C6C">
            <w:pPr>
              <w:pStyle w:val="ListBullet"/>
              <w:numPr>
                <w:ilvl w:val="0"/>
                <w:numId w:val="0"/>
              </w:numPr>
              <w:rPr>
                <w:rFonts w:cs="Arial"/>
              </w:rPr>
            </w:pPr>
            <w:r w:rsidRPr="00994E8B">
              <w:rPr>
                <w:rFonts w:cs="Arial"/>
                <w:lang w:val="en-US" w:eastAsia="en-AU"/>
              </w:rPr>
              <w:t>6 x feeders + 300mm cable gantry for monopole structure type sites</w:t>
            </w:r>
          </w:p>
        </w:tc>
        <w:tc>
          <w:tcPr>
            <w:tcW w:w="2566" w:type="dxa"/>
          </w:tcPr>
          <w:p w14:paraId="175F5CD5" w14:textId="77777777" w:rsidR="006F2C57" w:rsidRPr="00994E8B" w:rsidRDefault="006F2C57" w:rsidP="001E0C6C">
            <w:pPr>
              <w:pStyle w:val="ListBullet"/>
              <w:numPr>
                <w:ilvl w:val="0"/>
                <w:numId w:val="0"/>
              </w:numPr>
              <w:rPr>
                <w:rFonts w:cs="Arial"/>
              </w:rPr>
            </w:pPr>
            <w:r w:rsidRPr="00994E8B">
              <w:rPr>
                <w:rFonts w:cs="Arial"/>
                <w:lang w:val="en-US" w:eastAsia="en-AU"/>
              </w:rPr>
              <w:t>6 x combiners (Dimensions: 330mm (h) x 200mm (w) x 130mm (d), Weight 3.2kg)</w:t>
            </w:r>
          </w:p>
        </w:tc>
        <w:tc>
          <w:tcPr>
            <w:tcW w:w="2566" w:type="dxa"/>
          </w:tcPr>
          <w:p w14:paraId="4079223C" w14:textId="77777777" w:rsidR="006F2C57" w:rsidRPr="00994E8B" w:rsidRDefault="006F2C57" w:rsidP="001E0C6C">
            <w:pPr>
              <w:pStyle w:val="ListBullet"/>
              <w:numPr>
                <w:ilvl w:val="0"/>
                <w:numId w:val="0"/>
              </w:numPr>
              <w:rPr>
                <w:rFonts w:cs="Arial"/>
              </w:rPr>
            </w:pPr>
            <w:r w:rsidRPr="00994E8B">
              <w:rPr>
                <w:rFonts w:cs="Arial"/>
                <w:lang w:val="en-US" w:eastAsia="en-AU"/>
              </w:rPr>
              <w:t>2 x 600mm fixed link dishes; or equivalent load</w:t>
            </w:r>
          </w:p>
        </w:tc>
      </w:tr>
      <w:tr w:rsidR="006F2C57" w:rsidRPr="00994E8B" w14:paraId="2D51D8DC" w14:textId="77777777" w:rsidTr="001E0C6C">
        <w:tc>
          <w:tcPr>
            <w:tcW w:w="2566" w:type="dxa"/>
          </w:tcPr>
          <w:p w14:paraId="1817CFB6" w14:textId="77777777" w:rsidR="006F2C57" w:rsidRPr="00994E8B" w:rsidRDefault="006F2C57" w:rsidP="001E0C6C">
            <w:pPr>
              <w:pStyle w:val="ListBullet"/>
              <w:numPr>
                <w:ilvl w:val="0"/>
                <w:numId w:val="0"/>
              </w:numPr>
              <w:rPr>
                <w:rFonts w:cs="Arial"/>
              </w:rPr>
            </w:pPr>
            <w:r w:rsidRPr="00994E8B">
              <w:rPr>
                <w:rFonts w:cs="Arial"/>
                <w:lang w:val="en-US" w:eastAsia="en-AU"/>
              </w:rPr>
              <w:t>2 x 600mm fixed link dishes; or equivalent load</w:t>
            </w:r>
          </w:p>
        </w:tc>
        <w:tc>
          <w:tcPr>
            <w:tcW w:w="2566" w:type="dxa"/>
          </w:tcPr>
          <w:p w14:paraId="64884924" w14:textId="77777777" w:rsidR="006F2C57" w:rsidRPr="00994E8B" w:rsidRDefault="006F2C57" w:rsidP="001E0C6C">
            <w:pPr>
              <w:pStyle w:val="ListBullet"/>
              <w:numPr>
                <w:ilvl w:val="0"/>
                <w:numId w:val="0"/>
              </w:numPr>
              <w:rPr>
                <w:rFonts w:cs="Arial"/>
              </w:rPr>
            </w:pPr>
            <w:r w:rsidRPr="00994E8B">
              <w:rPr>
                <w:rFonts w:cs="Arial"/>
                <w:lang w:val="en-US" w:eastAsia="en-AU"/>
              </w:rPr>
              <w:t xml:space="preserve">2 x 600mm transmission dishes; or equivalent load </w:t>
            </w:r>
          </w:p>
        </w:tc>
        <w:tc>
          <w:tcPr>
            <w:tcW w:w="2566" w:type="dxa"/>
          </w:tcPr>
          <w:p w14:paraId="5B6ADA9E" w14:textId="77777777" w:rsidR="006F2C57" w:rsidRPr="00994E8B" w:rsidRDefault="006F2C57" w:rsidP="001E0C6C">
            <w:pPr>
              <w:pStyle w:val="ListBullet"/>
              <w:numPr>
                <w:ilvl w:val="0"/>
                <w:numId w:val="0"/>
              </w:numPr>
              <w:rPr>
                <w:rFonts w:cs="Arial"/>
              </w:rPr>
            </w:pPr>
          </w:p>
        </w:tc>
      </w:tr>
      <w:tr w:rsidR="006F2C57" w:rsidRPr="00994E8B" w14:paraId="6CD71A5D" w14:textId="77777777" w:rsidTr="001E0C6C">
        <w:tc>
          <w:tcPr>
            <w:tcW w:w="2566" w:type="dxa"/>
          </w:tcPr>
          <w:p w14:paraId="37F93442" w14:textId="77777777" w:rsidR="006F2C57" w:rsidRPr="00994E8B" w:rsidRDefault="006F2C57" w:rsidP="001E0C6C">
            <w:pPr>
              <w:pStyle w:val="ListBullet"/>
              <w:numPr>
                <w:ilvl w:val="0"/>
                <w:numId w:val="0"/>
              </w:numPr>
              <w:rPr>
                <w:rFonts w:cs="Arial"/>
              </w:rPr>
            </w:pPr>
          </w:p>
        </w:tc>
        <w:tc>
          <w:tcPr>
            <w:tcW w:w="2566" w:type="dxa"/>
          </w:tcPr>
          <w:p w14:paraId="6E5694A0" w14:textId="77777777" w:rsidR="006F2C57" w:rsidRPr="00994E8B" w:rsidRDefault="006F2C57" w:rsidP="001E0C6C">
            <w:pPr>
              <w:pStyle w:val="ListBullet"/>
              <w:numPr>
                <w:ilvl w:val="0"/>
                <w:numId w:val="0"/>
              </w:numPr>
              <w:rPr>
                <w:rFonts w:cs="Arial"/>
              </w:rPr>
            </w:pPr>
            <w:r w:rsidRPr="00994E8B">
              <w:rPr>
                <w:rFonts w:cs="Arial"/>
                <w:lang w:val="en-US" w:eastAsia="en-AU"/>
              </w:rPr>
              <w:t>Other DC Cables and Junction Boxes</w:t>
            </w:r>
          </w:p>
        </w:tc>
        <w:tc>
          <w:tcPr>
            <w:tcW w:w="2566" w:type="dxa"/>
          </w:tcPr>
          <w:p w14:paraId="0A90B75D" w14:textId="77777777" w:rsidR="006F2C57" w:rsidRPr="00994E8B" w:rsidRDefault="006F2C57" w:rsidP="001E0C6C">
            <w:pPr>
              <w:pStyle w:val="ListBullet"/>
              <w:numPr>
                <w:ilvl w:val="0"/>
                <w:numId w:val="0"/>
              </w:numPr>
              <w:rPr>
                <w:rFonts w:cs="Arial"/>
              </w:rPr>
            </w:pPr>
          </w:p>
        </w:tc>
      </w:tr>
    </w:tbl>
    <w:p w14:paraId="131B48BD" w14:textId="77777777" w:rsidR="006F2C57" w:rsidRPr="00994E8B" w:rsidRDefault="006F2C57" w:rsidP="006F2C57">
      <w:pPr>
        <w:pStyle w:val="ListBullet"/>
        <w:numPr>
          <w:ilvl w:val="0"/>
          <w:numId w:val="0"/>
        </w:numPr>
        <w:ind w:left="1080" w:hanging="360"/>
      </w:pPr>
    </w:p>
    <w:p w14:paraId="18C24451" w14:textId="77777777" w:rsidR="006F2C57" w:rsidRPr="00994E8B" w:rsidRDefault="006F2C57" w:rsidP="006F2C57">
      <w:pPr>
        <w:pStyle w:val="ListParagraph"/>
        <w:numPr>
          <w:ilvl w:val="0"/>
          <w:numId w:val="21"/>
        </w:numPr>
      </w:pPr>
      <w:r w:rsidRPr="00994E8B">
        <w:t xml:space="preserve">There is sufficient mains AC power provision to support the requirements of additional MNO equipment. This requirement does not apply to solar powered </w:t>
      </w:r>
      <w:proofErr w:type="gramStart"/>
      <w:r w:rsidRPr="00994E8B">
        <w:t>sites,</w:t>
      </w:r>
      <w:proofErr w:type="gramEnd"/>
      <w:r w:rsidRPr="00994E8B">
        <w:t xml:space="preserve"> however, solar powered sites must have sufficient space for the additional MNO(s) to install additional solar panels.</w:t>
      </w:r>
    </w:p>
    <w:p w14:paraId="6FC3A01B" w14:textId="77777777" w:rsidR="006F2C57" w:rsidRPr="00994E8B" w:rsidRDefault="006F2C57" w:rsidP="006F2C57">
      <w:pPr>
        <w:pStyle w:val="ListParagraph"/>
        <w:numPr>
          <w:ilvl w:val="0"/>
          <w:numId w:val="21"/>
        </w:numPr>
      </w:pPr>
      <w:r w:rsidRPr="00994E8B">
        <w:t>There is a communications hut of sufficient size (or space available on the site for further huts) to accommodate additional MNO equipment.</w:t>
      </w:r>
    </w:p>
    <w:p w14:paraId="3EE20CFE" w14:textId="77777777" w:rsidR="006F2C57" w:rsidRPr="00994E8B" w:rsidRDefault="006F2C57" w:rsidP="006F2C57">
      <w:pPr>
        <w:pStyle w:val="ListParagraph"/>
        <w:numPr>
          <w:ilvl w:val="0"/>
          <w:numId w:val="21"/>
        </w:numPr>
      </w:pPr>
      <w:r w:rsidRPr="00994E8B">
        <w:t xml:space="preserve">For </w:t>
      </w:r>
      <w:proofErr w:type="spellStart"/>
      <w:r w:rsidRPr="00994E8B">
        <w:t>macrocell</w:t>
      </w:r>
      <w:proofErr w:type="spellEnd"/>
      <w:r w:rsidRPr="00994E8B">
        <w:t xml:space="preserve"> solutions, the Grantee must ensure sufficient space is available to allow any participating MNOs to install auxiliary back-up power supply which provides back-up power in the event of the loss of external power to the site up to the Program’s minimum 12 hours standard. </w:t>
      </w:r>
    </w:p>
    <w:p w14:paraId="01193662" w14:textId="188E8C7C" w:rsidR="006F2C57" w:rsidRPr="00994E8B" w:rsidRDefault="006F2C57" w:rsidP="006F2C57">
      <w:r w:rsidRPr="00994E8B">
        <w:t xml:space="preserve">MNOs interested in co-locating on a Funded </w:t>
      </w:r>
      <w:r w:rsidR="00717FEA" w:rsidRPr="00994E8B">
        <w:t>Project</w:t>
      </w:r>
      <w:r w:rsidRPr="00994E8B">
        <w:t xml:space="preserve"> (i.e. the MNO expresses an interest in co-locating on Funded </w:t>
      </w:r>
      <w:r w:rsidR="00717FEA" w:rsidRPr="00994E8B">
        <w:t>Project</w:t>
      </w:r>
      <w:r w:rsidRPr="00994E8B">
        <w:t xml:space="preserve"> after funding has been awarded) will be required to express interest prior to the start of the detailed design stage for that Funded </w:t>
      </w:r>
      <w:r w:rsidR="00717FEA" w:rsidRPr="00994E8B">
        <w:t>Project</w:t>
      </w:r>
      <w:r w:rsidRPr="00994E8B">
        <w:t xml:space="preserve">. All parties will be required to negotiate in good faith with each other in relation to the Funded </w:t>
      </w:r>
      <w:r w:rsidR="00717FEA" w:rsidRPr="00994E8B">
        <w:t>Project</w:t>
      </w:r>
      <w:r w:rsidRPr="00994E8B">
        <w:t xml:space="preserve"> access and price terms, and enter into commercial arrangements. The capital contribution to be made by the co-locating parties in respect of a Funded </w:t>
      </w:r>
      <w:r w:rsidR="00717FEA" w:rsidRPr="00994E8B">
        <w:t>Project</w:t>
      </w:r>
      <w:r w:rsidRPr="00994E8B">
        <w:t xml:space="preserve"> must, at least, equal the incremental cost incurred by reason of provisioning co-location for that Funded </w:t>
      </w:r>
      <w:r w:rsidR="00717FEA" w:rsidRPr="00994E8B">
        <w:t>Project</w:t>
      </w:r>
      <w:r w:rsidRPr="00994E8B">
        <w:t>.</w:t>
      </w:r>
    </w:p>
    <w:p w14:paraId="3F47F35E" w14:textId="77777777" w:rsidR="006F2C57" w:rsidRPr="00994E8B" w:rsidRDefault="006F2C57" w:rsidP="006F2C57">
      <w:r w:rsidRPr="00994E8B">
        <w:t>In accordance with the dispute resolution process outlined at section A3, any disagreements regarding co-location matters will be determined by an independent third party, to be appointed at the MNOs’/MNIPs’ shared cost, and in accordance with the dispute resolution process.</w:t>
      </w:r>
    </w:p>
    <w:p w14:paraId="4650259B" w14:textId="77777777" w:rsidR="006F2C57" w:rsidRPr="00994E8B" w:rsidRDefault="006F2C57" w:rsidP="006F2C57">
      <w:r w:rsidRPr="00994E8B">
        <w:t>Following the process set out above, if it is ascertained that there is no interest in co</w:t>
      </w:r>
      <w:r w:rsidRPr="00994E8B">
        <w:noBreakHyphen/>
        <w:t>location from another MNO, the Grantee will not be required to design or build the site to allow for co-location.</w:t>
      </w:r>
    </w:p>
    <w:p w14:paraId="0BBF830E" w14:textId="77777777" w:rsidR="006F2C57" w:rsidRPr="00994E8B" w:rsidRDefault="006F2C57" w:rsidP="00F252BF">
      <w:pPr>
        <w:rPr>
          <w:sz w:val="32"/>
        </w:rPr>
      </w:pPr>
      <w:r w:rsidRPr="00994E8B">
        <w:rPr>
          <w:b/>
          <w:sz w:val="32"/>
          <w:szCs w:val="32"/>
        </w:rPr>
        <w:t>A2.</w:t>
      </w:r>
      <w:r w:rsidRPr="00994E8B">
        <w:rPr>
          <w:b/>
          <w:sz w:val="32"/>
          <w:szCs w:val="32"/>
        </w:rPr>
        <w:tab/>
      </w:r>
      <w:bookmarkStart w:id="705" w:name="_Hlk129944462"/>
      <w:r w:rsidRPr="00994E8B">
        <w:rPr>
          <w:b/>
          <w:sz w:val="32"/>
          <w:szCs w:val="32"/>
        </w:rPr>
        <w:t xml:space="preserve">Backhaul access and pricing for </w:t>
      </w:r>
      <w:r w:rsidR="007009DE" w:rsidRPr="00994E8B">
        <w:rPr>
          <w:b/>
          <w:sz w:val="32"/>
          <w:szCs w:val="32"/>
        </w:rPr>
        <w:t>Mobile Black Spot Solution</w:t>
      </w:r>
      <w:r w:rsidRPr="00994E8B">
        <w:rPr>
          <w:b/>
          <w:sz w:val="32"/>
          <w:szCs w:val="32"/>
        </w:rPr>
        <w:t>s</w:t>
      </w:r>
      <w:bookmarkEnd w:id="705"/>
    </w:p>
    <w:p w14:paraId="4D135819" w14:textId="6EC15EBB" w:rsidR="006F2C57" w:rsidRPr="00994E8B" w:rsidRDefault="006F2C57" w:rsidP="006F2C57">
      <w:r w:rsidRPr="00994E8B">
        <w:t xml:space="preserve">Where a Grantee selected to build a Funded </w:t>
      </w:r>
      <w:r w:rsidR="00717FEA" w:rsidRPr="00994E8B">
        <w:t>Project</w:t>
      </w:r>
      <w:r w:rsidRPr="00994E8B">
        <w:t xml:space="preserve"> reaches an agreement under section A.1 for an MNO not already participating in the Funded </w:t>
      </w:r>
      <w:r w:rsidR="00717FEA" w:rsidRPr="00994E8B">
        <w:t>Project</w:t>
      </w:r>
      <w:r w:rsidRPr="00994E8B">
        <w:t xml:space="preserve"> (the Co</w:t>
      </w:r>
      <w:r w:rsidRPr="00994E8B">
        <w:noBreakHyphen/>
        <w:t xml:space="preserve">locating MNO) to co-locate on the Funded </w:t>
      </w:r>
      <w:r w:rsidR="00717FEA" w:rsidRPr="00994E8B">
        <w:t>Project</w:t>
      </w:r>
      <w:r w:rsidRPr="00994E8B">
        <w:t>, and subject to the microwave backhaul requirements below, the Grantee must offer Backhaul to the Co-locating MNO if the Grantee is in a position to do so.</w:t>
      </w:r>
    </w:p>
    <w:p w14:paraId="7A2790C5" w14:textId="0B5C161C" w:rsidR="006F2C57" w:rsidRPr="00994E8B" w:rsidRDefault="006F2C57" w:rsidP="006F2C57">
      <w:r w:rsidRPr="00994E8B">
        <w:lastRenderedPageBreak/>
        <w:t>The Grantee will be taken to be in a position to offer Backhaul to the Co</w:t>
      </w:r>
      <w:r w:rsidRPr="00994E8B">
        <w:noBreakHyphen/>
        <w:t xml:space="preserve">locating MNO if the Grantee owns or controls an optical fibre or microwave link which connects the Funded </w:t>
      </w:r>
      <w:r w:rsidR="00717FEA" w:rsidRPr="00994E8B">
        <w:t>Project</w:t>
      </w:r>
      <w:r w:rsidRPr="00994E8B">
        <w:t xml:space="preserve"> to the Grantee’s network.</w:t>
      </w:r>
    </w:p>
    <w:p w14:paraId="5AE9BFAA" w14:textId="77777777" w:rsidR="006F2C57" w:rsidRPr="00994E8B" w:rsidRDefault="006F2C57" w:rsidP="006F2C57">
      <w:r w:rsidRPr="00994E8B">
        <w:t>The price at which the Grantee offers Backhaul to the Co-locating MNO must be more favourable than the regulated prices set under the Australian Competition and Consumer Commission (ACCC) Domestic Transmission Capacity Service Final Access Determination (DTCS FAD), for example, by offering a defined rent-free period or other discounting mechanism.</w:t>
      </w:r>
    </w:p>
    <w:p w14:paraId="546ABE63" w14:textId="77777777" w:rsidR="006F2C57" w:rsidRPr="00994E8B" w:rsidRDefault="006F2C57" w:rsidP="006F2C57">
      <w:r w:rsidRPr="00994E8B">
        <w:t>The ACCC has released the DTCS FAD 2020</w:t>
      </w:r>
      <w:r w:rsidRPr="00994E8B">
        <w:rPr>
          <w:vertAlign w:val="superscript"/>
        </w:rPr>
        <w:footnoteReference w:id="12"/>
      </w:r>
      <w:r w:rsidRPr="00994E8B">
        <w:t>, including a DTCS pricing calculator that may assist interested parties to calculate the regulated price for Backhaul.</w:t>
      </w:r>
    </w:p>
    <w:p w14:paraId="6C2EE4A1" w14:textId="66C8F27B" w:rsidR="006F2C57" w:rsidRPr="00994E8B" w:rsidRDefault="006F2C57" w:rsidP="006F2C57">
      <w:r w:rsidRPr="00994E8B">
        <w:t xml:space="preserve">Where a Grantee chooses to provide Backhaul to a Funded </w:t>
      </w:r>
      <w:r w:rsidR="00717FEA" w:rsidRPr="00994E8B">
        <w:t>Project</w:t>
      </w:r>
      <w:r w:rsidRPr="00994E8B">
        <w:t xml:space="preserve"> using an optical fibre connection, it must ensure that it provides sufficient Backhaul capacity, transmission and interfacing equipment to meet the Backhaul requirements of any Co</w:t>
      </w:r>
      <w:r w:rsidRPr="00994E8B">
        <w:noBreakHyphen/>
        <w:t xml:space="preserve">locating MNO on the Funded Solution. </w:t>
      </w:r>
    </w:p>
    <w:p w14:paraId="5E05E9AD" w14:textId="460B4F5F" w:rsidR="006F2C57" w:rsidRPr="00994E8B" w:rsidRDefault="006F2C57" w:rsidP="006F2C57">
      <w:r w:rsidRPr="00994E8B">
        <w:t xml:space="preserve">Where a Grantee chooses to provide Backhaul to a Funded </w:t>
      </w:r>
      <w:r w:rsidR="00717FEA" w:rsidRPr="00994E8B">
        <w:t>Project</w:t>
      </w:r>
      <w:r w:rsidRPr="00994E8B">
        <w:t xml:space="preserve"> using a microwave connection, the Grantee must provide Backhaul services to a Co</w:t>
      </w:r>
      <w:r w:rsidRPr="00994E8B">
        <w:noBreakHyphen/>
        <w:t>locating MNO over that microwave connection, unless:</w:t>
      </w:r>
    </w:p>
    <w:p w14:paraId="23E26EFC" w14:textId="3AF0BE90" w:rsidR="006F2C57" w:rsidRPr="00994E8B" w:rsidRDefault="006F2C57" w:rsidP="006F2C57">
      <w:pPr>
        <w:pStyle w:val="ListParagraph"/>
        <w:numPr>
          <w:ilvl w:val="0"/>
          <w:numId w:val="21"/>
        </w:numPr>
      </w:pPr>
      <w:r w:rsidRPr="00994E8B">
        <w:t xml:space="preserve">the Funded Solution is designed and built to allow the Co-locating MNO to install, operate and maintain its own microwave Backhaul equipment on the Funded </w:t>
      </w:r>
      <w:r w:rsidR="00717FEA" w:rsidRPr="00994E8B">
        <w:t>Project</w:t>
      </w:r>
      <w:r w:rsidRPr="00994E8B">
        <w:t>; and</w:t>
      </w:r>
    </w:p>
    <w:p w14:paraId="40C88AEB" w14:textId="40CB65FE" w:rsidR="006F2C57" w:rsidRPr="00994E8B" w:rsidRDefault="006F2C57" w:rsidP="006F2C57">
      <w:pPr>
        <w:pStyle w:val="ListParagraph"/>
        <w:numPr>
          <w:ilvl w:val="0"/>
          <w:numId w:val="21"/>
        </w:numPr>
      </w:pPr>
      <w:r w:rsidRPr="00994E8B">
        <w:t xml:space="preserve">the Co-locating MNO is permitted to install, operate and maintain its own microwave Backhaul equipment on the Funded </w:t>
      </w:r>
      <w:r w:rsidR="00717FEA" w:rsidRPr="00994E8B">
        <w:t>Project</w:t>
      </w:r>
      <w:r w:rsidRPr="00994E8B">
        <w:t>.</w:t>
      </w:r>
    </w:p>
    <w:p w14:paraId="68863D40" w14:textId="77777777" w:rsidR="006F2C57" w:rsidRPr="00994E8B" w:rsidRDefault="006F2C57" w:rsidP="006F2C57">
      <w:r w:rsidRPr="00994E8B">
        <w:t>The terms and pricing of Backhaul services provided by a Grantee to a Co</w:t>
      </w:r>
      <w:r w:rsidRPr="00994E8B">
        <w:noBreakHyphen/>
        <w:t>locating MNO must be negotiated commercially between the Grantee and Co</w:t>
      </w:r>
      <w:r w:rsidRPr="00994E8B">
        <w:noBreakHyphen/>
        <w:t>locating MNO in accordance with the principles set out in sections A.2.</w:t>
      </w:r>
    </w:p>
    <w:p w14:paraId="00E89EF7" w14:textId="77777777" w:rsidR="006F2C57" w:rsidRPr="00994E8B" w:rsidRDefault="006F2C57" w:rsidP="00F252BF">
      <w:pPr>
        <w:rPr>
          <w:sz w:val="32"/>
        </w:rPr>
      </w:pPr>
      <w:r w:rsidRPr="00994E8B">
        <w:rPr>
          <w:b/>
          <w:sz w:val="32"/>
          <w:szCs w:val="32"/>
        </w:rPr>
        <w:t>A3.</w:t>
      </w:r>
      <w:r w:rsidRPr="00994E8B">
        <w:rPr>
          <w:b/>
          <w:sz w:val="32"/>
          <w:szCs w:val="32"/>
        </w:rPr>
        <w:tab/>
        <w:t xml:space="preserve">Dispute resolution for </w:t>
      </w:r>
      <w:r w:rsidR="007009DE" w:rsidRPr="00994E8B">
        <w:rPr>
          <w:b/>
          <w:sz w:val="32"/>
          <w:szCs w:val="32"/>
        </w:rPr>
        <w:t>Mobile Black Spot Solution</w:t>
      </w:r>
      <w:r w:rsidRPr="00994E8B">
        <w:rPr>
          <w:b/>
          <w:sz w:val="32"/>
          <w:szCs w:val="32"/>
        </w:rPr>
        <w:t>s</w:t>
      </w:r>
    </w:p>
    <w:p w14:paraId="77270D9E" w14:textId="56148648" w:rsidR="006F2C57" w:rsidRPr="00994E8B" w:rsidRDefault="006F2C57" w:rsidP="006F2C57">
      <w:r w:rsidRPr="00994E8B">
        <w:t xml:space="preserve">Disputes between parties in relation to co-location and Backhaul for a Funded </w:t>
      </w:r>
      <w:r w:rsidR="00717FEA" w:rsidRPr="00994E8B">
        <w:t>Project</w:t>
      </w:r>
      <w:r w:rsidRPr="00994E8B">
        <w:t xml:space="preserve"> will be referred for determination to an independent </w:t>
      </w:r>
      <w:proofErr w:type="gramStart"/>
      <w:r w:rsidRPr="00994E8B">
        <w:t>third party</w:t>
      </w:r>
      <w:proofErr w:type="gramEnd"/>
      <w:r w:rsidRPr="00994E8B">
        <w:t xml:space="preserve"> expert, at the parties’ own shared cost.</w:t>
      </w:r>
    </w:p>
    <w:p w14:paraId="304266D4" w14:textId="77777777" w:rsidR="006F2C57" w:rsidRPr="00387FC0" w:rsidRDefault="006F2C57" w:rsidP="006F2C57">
      <w:r w:rsidRPr="00994E8B">
        <w:t xml:space="preserve">The Grantee and Co-locating MNO will be bound by the determination made by the independent </w:t>
      </w:r>
      <w:proofErr w:type="gramStart"/>
      <w:r w:rsidRPr="00994E8B">
        <w:t>third pa</w:t>
      </w:r>
      <w:r w:rsidRPr="007A6384">
        <w:t>rty</w:t>
      </w:r>
      <w:proofErr w:type="gramEnd"/>
      <w:r w:rsidRPr="007A6384">
        <w:t xml:space="preserve"> expert.</w:t>
      </w:r>
    </w:p>
    <w:sectPr w:rsidR="006F2C57" w:rsidRPr="00387FC0" w:rsidSect="00F9795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35EE0" w14:textId="77777777" w:rsidR="004A2477" w:rsidRDefault="004A2477" w:rsidP="00077C3D">
      <w:r>
        <w:separator/>
      </w:r>
    </w:p>
  </w:endnote>
  <w:endnote w:type="continuationSeparator" w:id="0">
    <w:p w14:paraId="09C4975B" w14:textId="77777777" w:rsidR="004A2477" w:rsidRDefault="004A2477" w:rsidP="00077C3D">
      <w:r>
        <w:continuationSeparator/>
      </w:r>
    </w:p>
  </w:endnote>
  <w:endnote w:type="continuationNotice" w:id="1">
    <w:p w14:paraId="51E7E1FD" w14:textId="77777777" w:rsidR="004A2477" w:rsidRDefault="004A2477"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DC93" w14:textId="4A489CC1" w:rsidR="004A2477" w:rsidRDefault="004A2477">
    <w:pPr>
      <w:pStyle w:val="Footer"/>
    </w:pPr>
    <w:r>
      <w:t>Round 3 of the Regional Connectivity Program – with Mobile Black Spot (Round 7) opportunities – Final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74BA6" w14:textId="377A80C6" w:rsidR="004A2477" w:rsidRPr="005B72F4" w:rsidRDefault="004A2477" w:rsidP="0002331D">
    <w:pPr>
      <w:pStyle w:val="Footer"/>
      <w:tabs>
        <w:tab w:val="clear" w:pos="4153"/>
        <w:tab w:val="clear" w:pos="8306"/>
        <w:tab w:val="center" w:pos="6096"/>
        <w:tab w:val="right" w:pos="8789"/>
      </w:tabs>
    </w:pPr>
    <w:r>
      <w:t>Round 3 of the Regional Connectivity Program – with Mobile Black Spot (Round 7) opportunities – Final Guidelines</w:t>
    </w:r>
    <w:r w:rsidDel="00243BE9">
      <w:t xml:space="preserve"> </w:t>
    </w:r>
    <w:r>
      <w:tab/>
    </w:r>
    <w:r w:rsidRPr="005B72F4">
      <w:tab/>
      <w:t xml:space="preserve">Page </w:t>
    </w:r>
    <w:r w:rsidRPr="005B72F4">
      <w:fldChar w:fldCharType="begin"/>
    </w:r>
    <w:r w:rsidRPr="005B72F4">
      <w:instrText xml:space="preserve"> PAGE </w:instrText>
    </w:r>
    <w:r w:rsidRPr="005B72F4">
      <w:fldChar w:fldCharType="separate"/>
    </w:r>
    <w:r>
      <w:rPr>
        <w:noProof/>
      </w:rPr>
      <w:t>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EC0C6" w14:textId="77777777" w:rsidR="004A2477" w:rsidRDefault="004A2477"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FEA72" w14:textId="77777777" w:rsidR="004A2477" w:rsidRDefault="004A2477" w:rsidP="00077C3D">
      <w:r>
        <w:separator/>
      </w:r>
    </w:p>
  </w:footnote>
  <w:footnote w:type="continuationSeparator" w:id="0">
    <w:p w14:paraId="1E89CC74" w14:textId="77777777" w:rsidR="004A2477" w:rsidRDefault="004A2477" w:rsidP="00077C3D">
      <w:r>
        <w:continuationSeparator/>
      </w:r>
    </w:p>
  </w:footnote>
  <w:footnote w:type="continuationNotice" w:id="1">
    <w:p w14:paraId="58619086" w14:textId="77777777" w:rsidR="004A2477" w:rsidRDefault="004A2477" w:rsidP="00077C3D"/>
  </w:footnote>
  <w:footnote w:id="2">
    <w:p w14:paraId="61094DBE" w14:textId="208EB77D" w:rsidR="004A2477" w:rsidRDefault="004A2477" w:rsidP="00583F74">
      <w:pPr>
        <w:pStyle w:val="FootnoteText"/>
      </w:pPr>
      <w:r>
        <w:rPr>
          <w:rStyle w:val="FootnoteReference"/>
        </w:rPr>
        <w:footnoteRef/>
      </w:r>
      <w:r>
        <w:t xml:space="preserve"> </w:t>
      </w:r>
      <w:hyperlink r:id="rId1" w:history="1">
        <w:r w:rsidRPr="00DA774A">
          <w:rPr>
            <w:rStyle w:val="Hyperlink"/>
          </w:rPr>
          <w:t>https://www.infrastructure.gov.au/media-technology-communications/internet/regional-connectivity-program</w:t>
        </w:r>
      </w:hyperlink>
    </w:p>
  </w:footnote>
  <w:footnote w:id="3">
    <w:p w14:paraId="3CF86B55" w14:textId="1E21F08F" w:rsidR="004A2477" w:rsidRDefault="004A2477" w:rsidP="00583F74">
      <w:pPr>
        <w:pStyle w:val="FootnoteText"/>
      </w:pPr>
      <w:r>
        <w:rPr>
          <w:rStyle w:val="FootnoteReference"/>
        </w:rPr>
        <w:footnoteRef/>
      </w:r>
      <w:r>
        <w:t xml:space="preserve"> </w:t>
      </w:r>
      <w:hyperlink r:id="rId2" w:history="1">
        <w:r w:rsidRPr="006F3F23">
          <w:rPr>
            <w:rStyle w:val="Hyperlink"/>
            <w:rFonts w:eastAsia="MS Mincho"/>
          </w:rPr>
          <w:t>www.grants.gov.au/</w:t>
        </w:r>
      </w:hyperlink>
    </w:p>
  </w:footnote>
  <w:footnote w:id="4">
    <w:p w14:paraId="213A78A4" w14:textId="17164FA1" w:rsidR="004A2477" w:rsidRDefault="004A2477" w:rsidP="00583F74">
      <w:pPr>
        <w:pStyle w:val="FootnoteText"/>
      </w:pPr>
      <w:r>
        <w:rPr>
          <w:rStyle w:val="FootnoteReference"/>
        </w:rPr>
        <w:footnoteRef/>
      </w:r>
      <w:r>
        <w:t xml:space="preserve"> </w:t>
      </w:r>
      <w:hyperlink r:id="rId3" w:history="1">
        <w:r w:rsidRPr="00771429">
          <w:rPr>
            <w:rStyle w:val="Hyperlink"/>
          </w:rPr>
          <w:t>https://www.finance.gov.au/sites/default/files/2019-11/commonwealth-grants-rules-and-guidelines.pdf</w:t>
        </w:r>
      </w:hyperlink>
      <w:r>
        <w:t xml:space="preserve"> </w:t>
      </w:r>
    </w:p>
  </w:footnote>
  <w:footnote w:id="5">
    <w:p w14:paraId="5B330078" w14:textId="77777777" w:rsidR="004A2477" w:rsidRPr="000F7BE7" w:rsidRDefault="004A2477" w:rsidP="00873A89">
      <w:pPr>
        <w:pStyle w:val="FootnoteText"/>
        <w:rPr>
          <w:lang w:val="en-US"/>
        </w:rPr>
      </w:pPr>
      <w:r>
        <w:rPr>
          <w:rStyle w:val="FootnoteReference"/>
        </w:rPr>
        <w:footnoteRef/>
      </w:r>
      <w:r>
        <w:t xml:space="preserve"> </w:t>
      </w:r>
      <w:r w:rsidRPr="00540F16">
        <w:t xml:space="preserve">  </w:t>
      </w:r>
      <w:r>
        <w:t>This definition is b</w:t>
      </w:r>
      <w:r w:rsidRPr="00540F16">
        <w:t xml:space="preserve">ased on ABS Release — </w:t>
      </w:r>
      <w:r>
        <w:t>2901.0</w:t>
      </w:r>
      <w:r w:rsidRPr="00540F16">
        <w:t xml:space="preserve"> — </w:t>
      </w:r>
      <w:r>
        <w:t>Census of Population and Housing: Census Dictionary, 2016 – Discrete Community</w:t>
      </w:r>
      <w:r w:rsidRPr="00540F16">
        <w:t>.</w:t>
      </w:r>
    </w:p>
  </w:footnote>
  <w:footnote w:id="6">
    <w:p w14:paraId="4EA5F414" w14:textId="4DF9975F" w:rsidR="004A2477" w:rsidRDefault="004A2477">
      <w:pPr>
        <w:pStyle w:val="FootnoteText"/>
      </w:pPr>
      <w:r>
        <w:rPr>
          <w:rStyle w:val="FootnoteReference"/>
        </w:rPr>
        <w:footnoteRef/>
      </w:r>
      <w:r>
        <w:t xml:space="preserve"> </w:t>
      </w:r>
      <w:r w:rsidRPr="00F178DA">
        <w:t>The Australian Government recognises that some organisations may seek to form consortia in order to apply for a grant. Consortia are eligible to apply and the relevant conditions applicable to consortia are at</w:t>
      </w:r>
      <w:r>
        <w:t xml:space="preserve"> </w:t>
      </w:r>
      <w:hyperlink w:anchor="_Joint_(consortia)_applications" w:history="1">
        <w:r>
          <w:rPr>
            <w:rStyle w:val="Hyperlink"/>
          </w:rPr>
          <w:t>6</w:t>
        </w:r>
      </w:hyperlink>
      <w:r w:rsidRPr="00F178DA">
        <w:t xml:space="preserve"> ‘Joint </w:t>
      </w:r>
      <w:r>
        <w:t xml:space="preserve">(consortia) </w:t>
      </w:r>
      <w:r w:rsidRPr="00F178DA">
        <w:t>Applications’</w:t>
      </w:r>
      <w:r>
        <w:t>.</w:t>
      </w:r>
    </w:p>
  </w:footnote>
  <w:footnote w:id="7">
    <w:p w14:paraId="4F91801A" w14:textId="77777777" w:rsidR="004A2477" w:rsidRDefault="004A2477" w:rsidP="003E671B">
      <w:pPr>
        <w:pStyle w:val="FootnoteText"/>
      </w:pPr>
      <w:r>
        <w:rPr>
          <w:rStyle w:val="FootnoteReference"/>
        </w:rPr>
        <w:footnoteRef/>
      </w:r>
      <w:r>
        <w:t xml:space="preserve"> Based on ABS </w:t>
      </w:r>
      <w:r w:rsidRPr="00FB312A">
        <w:t>Release</w:t>
      </w:r>
      <w:r>
        <w:t xml:space="preserve"> — </w:t>
      </w:r>
      <w:r w:rsidRPr="00FB312A">
        <w:t>1270.0.55.004</w:t>
      </w:r>
      <w:r>
        <w:t xml:space="preserve"> — </w:t>
      </w:r>
      <w:r w:rsidRPr="00FB312A">
        <w:t>Australian Statistical Geography Standard (ASGS): Volume 4</w:t>
      </w:r>
      <w:r>
        <w:t xml:space="preserve"> — </w:t>
      </w:r>
      <w:r w:rsidRPr="00FB312A">
        <w:t>Significant Urban Areas, Urban Centres and Localities, Section of State, July 2016</w:t>
      </w:r>
      <w:r>
        <w:t>.</w:t>
      </w:r>
    </w:p>
  </w:footnote>
  <w:footnote w:id="8">
    <w:p w14:paraId="58A443D3" w14:textId="71AAFDF9" w:rsidR="004A2477" w:rsidRPr="00AA24B2" w:rsidRDefault="004A2477" w:rsidP="00046551">
      <w:pPr>
        <w:rPr>
          <w:sz w:val="28"/>
        </w:rPr>
      </w:pPr>
      <w:r w:rsidRPr="00AA24B2">
        <w:rPr>
          <w:rStyle w:val="FootnoteReference"/>
          <w:sz w:val="16"/>
        </w:rPr>
        <w:footnoteRef/>
      </w:r>
      <w:r w:rsidRPr="00AA24B2">
        <w:rPr>
          <w:sz w:val="16"/>
        </w:rPr>
        <w:t xml:space="preserve"> </w:t>
      </w:r>
      <w:r w:rsidRPr="00F9268F">
        <w:rPr>
          <w:sz w:val="16"/>
        </w:rPr>
        <w:t xml:space="preserve">1270.0.55.005 - Australian Statistical Geography Standard (ASGS): Volume 5 - Remoteness Structure, July 2016  </w:t>
      </w:r>
    </w:p>
  </w:footnote>
  <w:footnote w:id="9">
    <w:p w14:paraId="1BEC414F" w14:textId="77777777" w:rsidR="004A2477" w:rsidRPr="009433EA" w:rsidRDefault="004A2477" w:rsidP="009433EA">
      <w:r>
        <w:rPr>
          <w:rStyle w:val="FootnoteReference"/>
        </w:rPr>
        <w:footnoteRef/>
      </w:r>
      <w:r>
        <w:t xml:space="preserve"> Australian Statistical Geography Standard (ASGS) Edition 3 - Significant Urban Areas, Urban Centres and Localities, Section of State, July 2021</w:t>
      </w:r>
    </w:p>
  </w:footnote>
  <w:footnote w:id="10">
    <w:p w14:paraId="519241B3" w14:textId="77777777" w:rsidR="004A2477" w:rsidRDefault="004A2477">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11">
    <w:p w14:paraId="72EF4D3C" w14:textId="77777777" w:rsidR="004A2477" w:rsidRDefault="004A2477">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12">
    <w:p w14:paraId="6172F580" w14:textId="7B310714" w:rsidR="004A2477" w:rsidRDefault="004A2477" w:rsidP="006F2C57">
      <w:pPr>
        <w:pStyle w:val="FootnoteText"/>
      </w:pPr>
      <w:r>
        <w:rPr>
          <w:rStyle w:val="FootnoteReference"/>
        </w:rPr>
        <w:footnoteRef/>
      </w:r>
      <w:r>
        <w:t xml:space="preserve"> </w:t>
      </w:r>
      <w:hyperlink r:id="rId4" w:history="1">
        <w:r w:rsidRPr="009376C4">
          <w:rPr>
            <w:rStyle w:val="Hyperlink"/>
          </w:rPr>
          <w:t>www.accc.gov.au/regulated-infrastructure/communications/transmission-services-facilities-access/domestic-transmission-capacity-service-final-access-determination-inquiry-2019-2020/final-report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333FA" w14:textId="6C705D28" w:rsidR="004A2477" w:rsidRDefault="004A2477" w:rsidP="00C776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965F" w14:textId="77777777" w:rsidR="004A2477" w:rsidRDefault="004A24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802E8" w14:textId="77777777" w:rsidR="004A2477" w:rsidRDefault="004A24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9F32" w14:textId="77777777" w:rsidR="004A2477" w:rsidRDefault="004A2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81"/>
    <w:multiLevelType w:val="singleLevel"/>
    <w:tmpl w:val="A4E0B8A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1152884"/>
    <w:multiLevelType w:val="hybridMultilevel"/>
    <w:tmpl w:val="087E34E6"/>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4" w15:restartNumberingAfterBreak="0">
    <w:nsid w:val="01FA123E"/>
    <w:multiLevelType w:val="hybridMultilevel"/>
    <w:tmpl w:val="84902CA4"/>
    <w:lvl w:ilvl="0" w:tplc="0C090001">
      <w:start w:val="1"/>
      <w:numFmt w:val="bullet"/>
      <w:lvlText w:val=""/>
      <w:lvlJc w:val="left"/>
      <w:pPr>
        <w:ind w:left="720" w:hanging="360"/>
      </w:pPr>
      <w:rPr>
        <w:rFonts w:ascii="Symbol" w:hAnsi="Symbol" w:hint="default"/>
      </w:rPr>
    </w:lvl>
    <w:lvl w:ilvl="1" w:tplc="077691BA">
      <w:numFmt w:val="bullet"/>
      <w:lvlText w:val="•"/>
      <w:lvlJc w:val="left"/>
      <w:pPr>
        <w:ind w:left="1490" w:hanging="41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3EB7A74"/>
    <w:multiLevelType w:val="hybridMultilevel"/>
    <w:tmpl w:val="EDA698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04D1667C"/>
    <w:multiLevelType w:val="hybridMultilevel"/>
    <w:tmpl w:val="F89ABB1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72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8960846"/>
    <w:multiLevelType w:val="hybridMultilevel"/>
    <w:tmpl w:val="35CEAB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FA60656"/>
    <w:multiLevelType w:val="hybridMultilevel"/>
    <w:tmpl w:val="77264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2AE41C8"/>
    <w:multiLevelType w:val="hybridMultilevel"/>
    <w:tmpl w:val="BBBEE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4C6A27"/>
    <w:multiLevelType w:val="multilevel"/>
    <w:tmpl w:val="E56C06F0"/>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83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EB69CB"/>
    <w:multiLevelType w:val="hybridMultilevel"/>
    <w:tmpl w:val="2612E3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9BB5E36"/>
    <w:multiLevelType w:val="hybridMultilevel"/>
    <w:tmpl w:val="EA5430E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E573973"/>
    <w:multiLevelType w:val="hybridMultilevel"/>
    <w:tmpl w:val="7B2261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3162E51"/>
    <w:multiLevelType w:val="hybridMultilevel"/>
    <w:tmpl w:val="46A6DB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FB6E45"/>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9170147"/>
    <w:multiLevelType w:val="hybridMultilevel"/>
    <w:tmpl w:val="7E94826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1" w15:restartNumberingAfterBreak="0">
    <w:nsid w:val="2EA36A02"/>
    <w:multiLevelType w:val="hybridMultilevel"/>
    <w:tmpl w:val="57DE37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9979D4"/>
    <w:multiLevelType w:val="hybridMultilevel"/>
    <w:tmpl w:val="0542FD8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31A377FC"/>
    <w:multiLevelType w:val="hybridMultilevel"/>
    <w:tmpl w:val="8A00AF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3586B30"/>
    <w:multiLevelType w:val="hybridMultilevel"/>
    <w:tmpl w:val="BCF0C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7" w15:restartNumberingAfterBreak="0">
    <w:nsid w:val="3B463177"/>
    <w:multiLevelType w:val="multilevel"/>
    <w:tmpl w:val="D4CAD2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EEE6FEA"/>
    <w:multiLevelType w:val="multilevel"/>
    <w:tmpl w:val="4752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3F067806"/>
    <w:multiLevelType w:val="hybridMultilevel"/>
    <w:tmpl w:val="8D3812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14124D3"/>
    <w:multiLevelType w:val="hybridMultilevel"/>
    <w:tmpl w:val="B3F07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5615E7"/>
    <w:multiLevelType w:val="hybridMultilevel"/>
    <w:tmpl w:val="DD742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5557AD"/>
    <w:multiLevelType w:val="hybridMultilevel"/>
    <w:tmpl w:val="8CE495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47775F96"/>
    <w:multiLevelType w:val="hybridMultilevel"/>
    <w:tmpl w:val="3502D4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A450F2C"/>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FB2F65"/>
    <w:multiLevelType w:val="hybridMultilevel"/>
    <w:tmpl w:val="094882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06C1020"/>
    <w:multiLevelType w:val="hybridMultilevel"/>
    <w:tmpl w:val="B416297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2BB218B"/>
    <w:multiLevelType w:val="hybridMultilevel"/>
    <w:tmpl w:val="EF5413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4384250"/>
    <w:multiLevelType w:val="hybridMultilevel"/>
    <w:tmpl w:val="7FB4B8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5A14B52"/>
    <w:multiLevelType w:val="hybridMultilevel"/>
    <w:tmpl w:val="EAE0400A"/>
    <w:lvl w:ilvl="0" w:tplc="0C090001">
      <w:start w:val="5"/>
      <w:numFmt w:val="bullet"/>
      <w:lvlText w:val=""/>
      <w:lvlJc w:val="left"/>
      <w:pPr>
        <w:ind w:left="360" w:hanging="360"/>
      </w:pPr>
      <w:rPr>
        <w:rFonts w:ascii="Symbol" w:eastAsia="Times New Roman"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A75AE2"/>
    <w:multiLevelType w:val="hybridMultilevel"/>
    <w:tmpl w:val="AF1C46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8B13460"/>
    <w:multiLevelType w:val="hybridMultilevel"/>
    <w:tmpl w:val="11229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4" w15:restartNumberingAfterBreak="0">
    <w:nsid w:val="5EDE4616"/>
    <w:multiLevelType w:val="multilevel"/>
    <w:tmpl w:val="EB501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03D3DCE"/>
    <w:multiLevelType w:val="hybridMultilevel"/>
    <w:tmpl w:val="74E60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2A4047C"/>
    <w:multiLevelType w:val="hybridMultilevel"/>
    <w:tmpl w:val="79ECBD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62CE5007"/>
    <w:multiLevelType w:val="hybridMultilevel"/>
    <w:tmpl w:val="D7766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4F5601B"/>
    <w:multiLevelType w:val="hybridMultilevel"/>
    <w:tmpl w:val="4E06D4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65787140"/>
    <w:multiLevelType w:val="hybridMultilevel"/>
    <w:tmpl w:val="D7962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82D4BC0"/>
    <w:multiLevelType w:val="hybridMultilevel"/>
    <w:tmpl w:val="78C45A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B723539"/>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6D7E40F7"/>
    <w:multiLevelType w:val="hybridMultilevel"/>
    <w:tmpl w:val="ED8EE4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E1B4A20"/>
    <w:multiLevelType w:val="hybridMultilevel"/>
    <w:tmpl w:val="F2F06A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13545DD"/>
    <w:multiLevelType w:val="hybridMultilevel"/>
    <w:tmpl w:val="D72A27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2697465"/>
    <w:multiLevelType w:val="hybridMultilevel"/>
    <w:tmpl w:val="A8C6253C"/>
    <w:lvl w:ilvl="0" w:tplc="0C090005">
      <w:start w:val="1"/>
      <w:numFmt w:val="bullet"/>
      <w:lvlText w:val=""/>
      <w:lvlJc w:val="left"/>
      <w:pPr>
        <w:ind w:left="360" w:hanging="360"/>
      </w:pPr>
      <w:rPr>
        <w:rFonts w:ascii="Wingdings" w:hAnsi="Wingdings" w:hint="default"/>
      </w:rPr>
    </w:lvl>
    <w:lvl w:ilvl="1" w:tplc="C8202E48">
      <w:start w:val="2"/>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8" w15:restartNumberingAfterBreak="0">
    <w:nsid w:val="734E4B48"/>
    <w:multiLevelType w:val="hybridMultilevel"/>
    <w:tmpl w:val="95F0C1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DB02E03"/>
    <w:multiLevelType w:val="hybridMultilevel"/>
    <w:tmpl w:val="2612E38E"/>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DE86F3F"/>
    <w:multiLevelType w:val="hybridMultilevel"/>
    <w:tmpl w:val="2D7C36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E375C2E"/>
    <w:multiLevelType w:val="hybridMultilevel"/>
    <w:tmpl w:val="5140921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51"/>
  </w:num>
  <w:num w:numId="2">
    <w:abstractNumId w:val="0"/>
  </w:num>
  <w:num w:numId="3">
    <w:abstractNumId w:val="26"/>
  </w:num>
  <w:num w:numId="4">
    <w:abstractNumId w:val="32"/>
  </w:num>
  <w:num w:numId="5">
    <w:abstractNumId w:val="60"/>
  </w:num>
  <w:num w:numId="6">
    <w:abstractNumId w:val="59"/>
  </w:num>
  <w:num w:numId="7">
    <w:abstractNumId w:val="13"/>
  </w:num>
  <w:num w:numId="8">
    <w:abstractNumId w:val="9"/>
  </w:num>
  <w:num w:numId="9">
    <w:abstractNumId w:val="16"/>
  </w:num>
  <w:num w:numId="10">
    <w:abstractNumId w:val="13"/>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5"/>
  </w:num>
  <w:num w:numId="12">
    <w:abstractNumId w:val="57"/>
  </w:num>
  <w:num w:numId="13">
    <w:abstractNumId w:val="43"/>
  </w:num>
  <w:num w:numId="14">
    <w:abstractNumId w:val="10"/>
  </w:num>
  <w:num w:numId="15">
    <w:abstractNumId w:val="49"/>
  </w:num>
  <w:num w:numId="16">
    <w:abstractNumId w:val="45"/>
  </w:num>
  <w:num w:numId="17">
    <w:abstractNumId w:val="58"/>
  </w:num>
  <w:num w:numId="18">
    <w:abstractNumId w:val="46"/>
  </w:num>
  <w:num w:numId="19">
    <w:abstractNumId w:val="56"/>
  </w:num>
  <w:num w:numId="20">
    <w:abstractNumId w:val="34"/>
  </w:num>
  <w:num w:numId="21">
    <w:abstractNumId w:val="17"/>
  </w:num>
  <w:num w:numId="22">
    <w:abstractNumId w:val="25"/>
  </w:num>
  <w:num w:numId="23">
    <w:abstractNumId w:val="22"/>
  </w:num>
  <w:num w:numId="24">
    <w:abstractNumId w:val="54"/>
  </w:num>
  <w:num w:numId="25">
    <w:abstractNumId w:val="23"/>
  </w:num>
  <w:num w:numId="26">
    <w:abstractNumId w:val="61"/>
  </w:num>
  <w:num w:numId="27">
    <w:abstractNumId w:val="33"/>
  </w:num>
  <w:num w:numId="28">
    <w:abstractNumId w:val="19"/>
  </w:num>
  <w:num w:numId="29">
    <w:abstractNumId w:val="37"/>
  </w:num>
  <w:num w:numId="30">
    <w:abstractNumId w:val="29"/>
  </w:num>
  <w:num w:numId="31">
    <w:abstractNumId w:val="24"/>
  </w:num>
  <w:num w:numId="32">
    <w:abstractNumId w:val="48"/>
  </w:num>
  <w:num w:numId="33">
    <w:abstractNumId w:val="62"/>
  </w:num>
  <w:num w:numId="34">
    <w:abstractNumId w:val="63"/>
  </w:num>
  <w:num w:numId="35">
    <w:abstractNumId w:val="36"/>
  </w:num>
  <w:num w:numId="36">
    <w:abstractNumId w:val="11"/>
  </w:num>
  <w:num w:numId="37">
    <w:abstractNumId w:val="53"/>
  </w:num>
  <w:num w:numId="38">
    <w:abstractNumId w:val="38"/>
  </w:num>
  <w:num w:numId="39">
    <w:abstractNumId w:val="55"/>
  </w:num>
  <w:num w:numId="40">
    <w:abstractNumId w:val="41"/>
  </w:num>
  <w:num w:numId="41">
    <w:abstractNumId w:val="18"/>
  </w:num>
  <w:num w:numId="42">
    <w:abstractNumId w:val="39"/>
  </w:num>
  <w:num w:numId="43">
    <w:abstractNumId w:val="47"/>
  </w:num>
  <w:num w:numId="44">
    <w:abstractNumId w:val="50"/>
  </w:num>
  <w:num w:numId="45">
    <w:abstractNumId w:val="7"/>
  </w:num>
  <w:num w:numId="46">
    <w:abstractNumId w:val="35"/>
  </w:num>
  <w:num w:numId="47">
    <w:abstractNumId w:val="8"/>
  </w:num>
  <w:num w:numId="48">
    <w:abstractNumId w:val="4"/>
  </w:num>
  <w:num w:numId="49">
    <w:abstractNumId w:val="15"/>
  </w:num>
  <w:num w:numId="50">
    <w:abstractNumId w:val="64"/>
  </w:num>
  <w:num w:numId="51">
    <w:abstractNumId w:val="12"/>
  </w:num>
  <w:num w:numId="52">
    <w:abstractNumId w:val="64"/>
  </w:num>
  <w:num w:numId="53">
    <w:abstractNumId w:val="64"/>
  </w:num>
  <w:num w:numId="54">
    <w:abstractNumId w:val="44"/>
  </w:num>
  <w:num w:numId="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num>
  <w:num w:numId="58">
    <w:abstractNumId w:val="28"/>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num>
  <w:num w:numId="65">
    <w:abstractNumId w:val="52"/>
  </w:num>
  <w:num w:numId="66">
    <w:abstractNumId w:val="13"/>
  </w:num>
  <w:num w:numId="67">
    <w:abstractNumId w:val="13"/>
  </w:num>
  <w:num w:numId="68">
    <w:abstractNumId w:val="40"/>
  </w:num>
  <w:num w:numId="69">
    <w:abstractNumId w:val="13"/>
  </w:num>
  <w:num w:numId="70">
    <w:abstractNumId w:val="64"/>
  </w:num>
  <w:num w:numId="71">
    <w:abstractNumId w:val="64"/>
  </w:num>
  <w:num w:numId="72">
    <w:abstractNumId w:val="13"/>
  </w:num>
  <w:num w:numId="73">
    <w:abstractNumId w:val="64"/>
  </w:num>
  <w:num w:numId="74">
    <w:abstractNumId w:val="64"/>
  </w:num>
  <w:num w:numId="75">
    <w:abstractNumId w:val="13"/>
  </w:num>
  <w:num w:numId="76">
    <w:abstractNumId w:val="13"/>
  </w:num>
  <w:num w:numId="77">
    <w:abstractNumId w:val="13"/>
  </w:num>
  <w:num w:numId="78">
    <w:abstractNumId w:val="20"/>
  </w:num>
  <w:num w:numId="79">
    <w:abstractNumId w:val="42"/>
  </w:num>
  <w:num w:numId="80">
    <w:abstractNumId w:val="30"/>
  </w:num>
  <w:num w:numId="81">
    <w:abstractNumId w:val="16"/>
  </w:num>
  <w:num w:numId="82">
    <w:abstractNumId w:val="6"/>
  </w:num>
  <w:num w:numId="83">
    <w:abstractNumId w:val="31"/>
  </w:num>
  <w:num w:numId="84">
    <w:abstractNumId w:val="64"/>
  </w:num>
  <w:num w:numId="85">
    <w:abstractNumId w:val="14"/>
  </w:num>
  <w:num w:numId="86">
    <w:abstractNumId w:val="21"/>
  </w:num>
  <w:num w:numId="87">
    <w:abstractNumId w:val="13"/>
  </w:num>
  <w:num w:numId="88">
    <w:abstractNumId w:val="13"/>
  </w:num>
  <w:num w:numId="89">
    <w:abstractNumId w:val="13"/>
  </w:num>
  <w:num w:numId="90">
    <w:abstractNumId w:val="13"/>
  </w:num>
  <w:num w:numId="91">
    <w:abstractNumId w:val="13"/>
  </w:num>
  <w:num w:numId="92">
    <w:abstractNumId w:val="13"/>
  </w:num>
  <w:num w:numId="93">
    <w:abstractNumId w:val="13"/>
  </w:num>
  <w:num w:numId="94">
    <w:abstractNumId w:val="13"/>
  </w:num>
  <w:num w:numId="95">
    <w:abstractNumId w:val="13"/>
  </w:num>
  <w:num w:numId="96">
    <w:abstractNumId w:val="13"/>
  </w:num>
  <w:num w:numId="97">
    <w:abstractNumId w:val="13"/>
  </w:num>
  <w:num w:numId="98">
    <w:abstractNumId w:val="13"/>
  </w:num>
  <w:num w:numId="99">
    <w:abstractNumId w:val="13"/>
  </w:num>
  <w:num w:numId="100">
    <w:abstractNumId w:val="13"/>
  </w:num>
  <w:num w:numId="101">
    <w:abstractNumId w:val="13"/>
  </w:num>
  <w:num w:numId="102">
    <w:abstractNumId w:val="13"/>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576"/>
    <w:rsid w:val="00002295"/>
    <w:rsid w:val="0000243E"/>
    <w:rsid w:val="00002844"/>
    <w:rsid w:val="00003577"/>
    <w:rsid w:val="00003583"/>
    <w:rsid w:val="000035CE"/>
    <w:rsid w:val="000035D8"/>
    <w:rsid w:val="00003FE0"/>
    <w:rsid w:val="00005E68"/>
    <w:rsid w:val="000062D1"/>
    <w:rsid w:val="0000640E"/>
    <w:rsid w:val="0000694F"/>
    <w:rsid w:val="000071CC"/>
    <w:rsid w:val="00007A65"/>
    <w:rsid w:val="00007C0D"/>
    <w:rsid w:val="00010CF8"/>
    <w:rsid w:val="00010D38"/>
    <w:rsid w:val="00011331"/>
    <w:rsid w:val="00011AA7"/>
    <w:rsid w:val="0001366C"/>
    <w:rsid w:val="00013C5D"/>
    <w:rsid w:val="00013E5C"/>
    <w:rsid w:val="000144C3"/>
    <w:rsid w:val="00014F77"/>
    <w:rsid w:val="000154EB"/>
    <w:rsid w:val="00016050"/>
    <w:rsid w:val="0001641E"/>
    <w:rsid w:val="0001685F"/>
    <w:rsid w:val="00016C0F"/>
    <w:rsid w:val="00016E51"/>
    <w:rsid w:val="0001707A"/>
    <w:rsid w:val="00017238"/>
    <w:rsid w:val="00017487"/>
    <w:rsid w:val="00017503"/>
    <w:rsid w:val="00017A65"/>
    <w:rsid w:val="00017FCC"/>
    <w:rsid w:val="0002006D"/>
    <w:rsid w:val="000207D9"/>
    <w:rsid w:val="00020DAF"/>
    <w:rsid w:val="00021292"/>
    <w:rsid w:val="000216F2"/>
    <w:rsid w:val="00021C55"/>
    <w:rsid w:val="000227E0"/>
    <w:rsid w:val="00022A7F"/>
    <w:rsid w:val="00023115"/>
    <w:rsid w:val="0002331D"/>
    <w:rsid w:val="0002405E"/>
    <w:rsid w:val="000243AF"/>
    <w:rsid w:val="00024C55"/>
    <w:rsid w:val="00025467"/>
    <w:rsid w:val="00026A96"/>
    <w:rsid w:val="00027157"/>
    <w:rsid w:val="00027A2E"/>
    <w:rsid w:val="00030555"/>
    <w:rsid w:val="0003065E"/>
    <w:rsid w:val="000309AA"/>
    <w:rsid w:val="00030FB2"/>
    <w:rsid w:val="00031075"/>
    <w:rsid w:val="0003165D"/>
    <w:rsid w:val="0003249B"/>
    <w:rsid w:val="000328C6"/>
    <w:rsid w:val="000336CD"/>
    <w:rsid w:val="00034685"/>
    <w:rsid w:val="00034775"/>
    <w:rsid w:val="00035B70"/>
    <w:rsid w:val="00035D52"/>
    <w:rsid w:val="00036078"/>
    <w:rsid w:val="00036290"/>
    <w:rsid w:val="000363BF"/>
    <w:rsid w:val="00037556"/>
    <w:rsid w:val="0004098F"/>
    <w:rsid w:val="00040A03"/>
    <w:rsid w:val="00041161"/>
    <w:rsid w:val="00042438"/>
    <w:rsid w:val="00044808"/>
    <w:rsid w:val="00044DC0"/>
    <w:rsid w:val="00044E9A"/>
    <w:rsid w:val="00044EF8"/>
    <w:rsid w:val="0004553D"/>
    <w:rsid w:val="00046551"/>
    <w:rsid w:val="00046DBC"/>
    <w:rsid w:val="0004767A"/>
    <w:rsid w:val="000508C3"/>
    <w:rsid w:val="0005156F"/>
    <w:rsid w:val="000525BC"/>
    <w:rsid w:val="00052C0D"/>
    <w:rsid w:val="00052E3E"/>
    <w:rsid w:val="000536C3"/>
    <w:rsid w:val="0005371D"/>
    <w:rsid w:val="00055101"/>
    <w:rsid w:val="000553F2"/>
    <w:rsid w:val="00056158"/>
    <w:rsid w:val="000569C7"/>
    <w:rsid w:val="000571CD"/>
    <w:rsid w:val="00057672"/>
    <w:rsid w:val="00057911"/>
    <w:rsid w:val="00057E29"/>
    <w:rsid w:val="00060AD3"/>
    <w:rsid w:val="00060F83"/>
    <w:rsid w:val="000612EC"/>
    <w:rsid w:val="00061671"/>
    <w:rsid w:val="00062B2E"/>
    <w:rsid w:val="00063100"/>
    <w:rsid w:val="000635B2"/>
    <w:rsid w:val="0006399E"/>
    <w:rsid w:val="0006409F"/>
    <w:rsid w:val="000644EE"/>
    <w:rsid w:val="000649AC"/>
    <w:rsid w:val="00064A4F"/>
    <w:rsid w:val="00065883"/>
    <w:rsid w:val="00065F24"/>
    <w:rsid w:val="000668C5"/>
    <w:rsid w:val="00066A84"/>
    <w:rsid w:val="0007009A"/>
    <w:rsid w:val="00070221"/>
    <w:rsid w:val="00071CC0"/>
    <w:rsid w:val="00072475"/>
    <w:rsid w:val="00072600"/>
    <w:rsid w:val="0007273D"/>
    <w:rsid w:val="00072DD5"/>
    <w:rsid w:val="000740AF"/>
    <w:rsid w:val="000741DE"/>
    <w:rsid w:val="000742CF"/>
    <w:rsid w:val="00075357"/>
    <w:rsid w:val="00075376"/>
    <w:rsid w:val="00076231"/>
    <w:rsid w:val="00076300"/>
    <w:rsid w:val="00077AD6"/>
    <w:rsid w:val="00077C3D"/>
    <w:rsid w:val="0008011D"/>
    <w:rsid w:val="000805C4"/>
    <w:rsid w:val="000807D8"/>
    <w:rsid w:val="00081379"/>
    <w:rsid w:val="00081CAA"/>
    <w:rsid w:val="000827A8"/>
    <w:rsid w:val="0008289E"/>
    <w:rsid w:val="000833DF"/>
    <w:rsid w:val="00083A5C"/>
    <w:rsid w:val="00083CC7"/>
    <w:rsid w:val="0008479B"/>
    <w:rsid w:val="000849D6"/>
    <w:rsid w:val="0008697C"/>
    <w:rsid w:val="00087644"/>
    <w:rsid w:val="00090431"/>
    <w:rsid w:val="0009133F"/>
    <w:rsid w:val="00092772"/>
    <w:rsid w:val="00092821"/>
    <w:rsid w:val="00092E9B"/>
    <w:rsid w:val="00093BA1"/>
    <w:rsid w:val="000951B3"/>
    <w:rsid w:val="00096575"/>
    <w:rsid w:val="0009683F"/>
    <w:rsid w:val="000A02C3"/>
    <w:rsid w:val="000A0FD1"/>
    <w:rsid w:val="000A19E4"/>
    <w:rsid w:val="000A2011"/>
    <w:rsid w:val="000A2037"/>
    <w:rsid w:val="000A2E65"/>
    <w:rsid w:val="000A4261"/>
    <w:rsid w:val="000A4490"/>
    <w:rsid w:val="000A4D8A"/>
    <w:rsid w:val="000A56E7"/>
    <w:rsid w:val="000A6331"/>
    <w:rsid w:val="000A6E25"/>
    <w:rsid w:val="000A7F58"/>
    <w:rsid w:val="000B0F1E"/>
    <w:rsid w:val="000B1184"/>
    <w:rsid w:val="000B138C"/>
    <w:rsid w:val="000B1991"/>
    <w:rsid w:val="000B1E17"/>
    <w:rsid w:val="000B2D39"/>
    <w:rsid w:val="000B2DAA"/>
    <w:rsid w:val="000B3A19"/>
    <w:rsid w:val="000B44F5"/>
    <w:rsid w:val="000B522C"/>
    <w:rsid w:val="000B5615"/>
    <w:rsid w:val="000B561F"/>
    <w:rsid w:val="000B597B"/>
    <w:rsid w:val="000B664F"/>
    <w:rsid w:val="000B6B92"/>
    <w:rsid w:val="000B7029"/>
    <w:rsid w:val="000B7C0B"/>
    <w:rsid w:val="000C07C6"/>
    <w:rsid w:val="000C2B51"/>
    <w:rsid w:val="000C2C35"/>
    <w:rsid w:val="000C31F3"/>
    <w:rsid w:val="000C342A"/>
    <w:rsid w:val="000C34D6"/>
    <w:rsid w:val="000C3B35"/>
    <w:rsid w:val="000C46D7"/>
    <w:rsid w:val="000C4E64"/>
    <w:rsid w:val="000C558E"/>
    <w:rsid w:val="000C5F08"/>
    <w:rsid w:val="000C69AE"/>
    <w:rsid w:val="000C6A52"/>
    <w:rsid w:val="000C6B5E"/>
    <w:rsid w:val="000C756E"/>
    <w:rsid w:val="000D01F9"/>
    <w:rsid w:val="000D0562"/>
    <w:rsid w:val="000D0903"/>
    <w:rsid w:val="000D09B0"/>
    <w:rsid w:val="000D1B5E"/>
    <w:rsid w:val="000D1F5F"/>
    <w:rsid w:val="000D2031"/>
    <w:rsid w:val="000D2187"/>
    <w:rsid w:val="000D3F05"/>
    <w:rsid w:val="000D4257"/>
    <w:rsid w:val="000D4A97"/>
    <w:rsid w:val="000D5111"/>
    <w:rsid w:val="000D63F0"/>
    <w:rsid w:val="000D6C5E"/>
    <w:rsid w:val="000D6D35"/>
    <w:rsid w:val="000D73DF"/>
    <w:rsid w:val="000D73EB"/>
    <w:rsid w:val="000E082A"/>
    <w:rsid w:val="000E08D0"/>
    <w:rsid w:val="000E0BF6"/>
    <w:rsid w:val="000E0C56"/>
    <w:rsid w:val="000E11A2"/>
    <w:rsid w:val="000E167A"/>
    <w:rsid w:val="000E1E35"/>
    <w:rsid w:val="000E23A5"/>
    <w:rsid w:val="000E276D"/>
    <w:rsid w:val="000E2D44"/>
    <w:rsid w:val="000E2F40"/>
    <w:rsid w:val="000E353D"/>
    <w:rsid w:val="000E3938"/>
    <w:rsid w:val="000E4061"/>
    <w:rsid w:val="000E47A9"/>
    <w:rsid w:val="000E4CD5"/>
    <w:rsid w:val="000E5216"/>
    <w:rsid w:val="000E620A"/>
    <w:rsid w:val="000E70D4"/>
    <w:rsid w:val="000E7CF3"/>
    <w:rsid w:val="000F027E"/>
    <w:rsid w:val="000F18DD"/>
    <w:rsid w:val="000F3506"/>
    <w:rsid w:val="000F37BE"/>
    <w:rsid w:val="000F3DAE"/>
    <w:rsid w:val="000F4757"/>
    <w:rsid w:val="000F48FA"/>
    <w:rsid w:val="000F561F"/>
    <w:rsid w:val="000F6C57"/>
    <w:rsid w:val="000F7174"/>
    <w:rsid w:val="000F7BE7"/>
    <w:rsid w:val="00100216"/>
    <w:rsid w:val="0010200A"/>
    <w:rsid w:val="00102271"/>
    <w:rsid w:val="00103050"/>
    <w:rsid w:val="0010349B"/>
    <w:rsid w:val="00103538"/>
    <w:rsid w:val="00103E5C"/>
    <w:rsid w:val="001045AD"/>
    <w:rsid w:val="001045B6"/>
    <w:rsid w:val="00104854"/>
    <w:rsid w:val="0010490E"/>
    <w:rsid w:val="00106980"/>
    <w:rsid w:val="001069F8"/>
    <w:rsid w:val="00106B83"/>
    <w:rsid w:val="00106C01"/>
    <w:rsid w:val="001074B6"/>
    <w:rsid w:val="00107707"/>
    <w:rsid w:val="0010782E"/>
    <w:rsid w:val="00107A22"/>
    <w:rsid w:val="0011021A"/>
    <w:rsid w:val="00110DF4"/>
    <w:rsid w:val="00110F7F"/>
    <w:rsid w:val="00111506"/>
    <w:rsid w:val="00111ABB"/>
    <w:rsid w:val="00112457"/>
    <w:rsid w:val="0011351F"/>
    <w:rsid w:val="00113984"/>
    <w:rsid w:val="00114362"/>
    <w:rsid w:val="00114938"/>
    <w:rsid w:val="00114CE2"/>
    <w:rsid w:val="001155E4"/>
    <w:rsid w:val="00115C6B"/>
    <w:rsid w:val="001171DB"/>
    <w:rsid w:val="00117308"/>
    <w:rsid w:val="0011744A"/>
    <w:rsid w:val="00120961"/>
    <w:rsid w:val="00122DEC"/>
    <w:rsid w:val="0012305A"/>
    <w:rsid w:val="00123774"/>
    <w:rsid w:val="00123A05"/>
    <w:rsid w:val="00123A91"/>
    <w:rsid w:val="00123A99"/>
    <w:rsid w:val="00123C82"/>
    <w:rsid w:val="001252AE"/>
    <w:rsid w:val="001252F7"/>
    <w:rsid w:val="001262D0"/>
    <w:rsid w:val="00127536"/>
    <w:rsid w:val="001279B3"/>
    <w:rsid w:val="00130493"/>
    <w:rsid w:val="00130554"/>
    <w:rsid w:val="001308C6"/>
    <w:rsid w:val="00130B21"/>
    <w:rsid w:val="00130F17"/>
    <w:rsid w:val="001315FB"/>
    <w:rsid w:val="00131F6D"/>
    <w:rsid w:val="00132444"/>
    <w:rsid w:val="00132512"/>
    <w:rsid w:val="001339E8"/>
    <w:rsid w:val="00133B5E"/>
    <w:rsid w:val="00133C4C"/>
    <w:rsid w:val="00134522"/>
    <w:rsid w:val="001347F8"/>
    <w:rsid w:val="0013514F"/>
    <w:rsid w:val="001353C1"/>
    <w:rsid w:val="0013564A"/>
    <w:rsid w:val="00137190"/>
    <w:rsid w:val="0013734A"/>
    <w:rsid w:val="0014016C"/>
    <w:rsid w:val="00141149"/>
    <w:rsid w:val="001415A4"/>
    <w:rsid w:val="001420AF"/>
    <w:rsid w:val="00142E4F"/>
    <w:rsid w:val="001430A7"/>
    <w:rsid w:val="00143EA2"/>
    <w:rsid w:val="0014408C"/>
    <w:rsid w:val="00144380"/>
    <w:rsid w:val="001450BD"/>
    <w:rsid w:val="00145221"/>
    <w:rsid w:val="001452A7"/>
    <w:rsid w:val="0014541A"/>
    <w:rsid w:val="001454EB"/>
    <w:rsid w:val="00145BE7"/>
    <w:rsid w:val="00146033"/>
    <w:rsid w:val="0014643B"/>
    <w:rsid w:val="00146445"/>
    <w:rsid w:val="001464C2"/>
    <w:rsid w:val="00146A7C"/>
    <w:rsid w:val="00150D0E"/>
    <w:rsid w:val="00151417"/>
    <w:rsid w:val="0015200E"/>
    <w:rsid w:val="00152F8C"/>
    <w:rsid w:val="0015405F"/>
    <w:rsid w:val="00154230"/>
    <w:rsid w:val="001546F3"/>
    <w:rsid w:val="00155480"/>
    <w:rsid w:val="0015680C"/>
    <w:rsid w:val="00156FB7"/>
    <w:rsid w:val="00157292"/>
    <w:rsid w:val="00157339"/>
    <w:rsid w:val="00157A66"/>
    <w:rsid w:val="00160DFD"/>
    <w:rsid w:val="00161E9F"/>
    <w:rsid w:val="00162A4E"/>
    <w:rsid w:val="001642EF"/>
    <w:rsid w:val="001642FE"/>
    <w:rsid w:val="00164671"/>
    <w:rsid w:val="00164CC3"/>
    <w:rsid w:val="00165CA8"/>
    <w:rsid w:val="00166651"/>
    <w:rsid w:val="00166904"/>
    <w:rsid w:val="001678AE"/>
    <w:rsid w:val="00170185"/>
    <w:rsid w:val="00170C86"/>
    <w:rsid w:val="001712A2"/>
    <w:rsid w:val="00171475"/>
    <w:rsid w:val="00172328"/>
    <w:rsid w:val="001723E0"/>
    <w:rsid w:val="0017284A"/>
    <w:rsid w:val="00172F7F"/>
    <w:rsid w:val="001737AC"/>
    <w:rsid w:val="0017423B"/>
    <w:rsid w:val="00174FF3"/>
    <w:rsid w:val="00175EAF"/>
    <w:rsid w:val="00176EF8"/>
    <w:rsid w:val="00176FB5"/>
    <w:rsid w:val="00176FC5"/>
    <w:rsid w:val="00177B9A"/>
    <w:rsid w:val="001809FD"/>
    <w:rsid w:val="00180B0E"/>
    <w:rsid w:val="00181248"/>
    <w:rsid w:val="001817F4"/>
    <w:rsid w:val="00181A24"/>
    <w:rsid w:val="0018250A"/>
    <w:rsid w:val="00182B70"/>
    <w:rsid w:val="00182EAC"/>
    <w:rsid w:val="00183EED"/>
    <w:rsid w:val="0018511E"/>
    <w:rsid w:val="001867EC"/>
    <w:rsid w:val="00186E15"/>
    <w:rsid w:val="001875DA"/>
    <w:rsid w:val="00187DB2"/>
    <w:rsid w:val="001907F9"/>
    <w:rsid w:val="00190A03"/>
    <w:rsid w:val="00190BC3"/>
    <w:rsid w:val="00193926"/>
    <w:rsid w:val="0019423A"/>
    <w:rsid w:val="001948A9"/>
    <w:rsid w:val="00194969"/>
    <w:rsid w:val="00194A15"/>
    <w:rsid w:val="00194ACD"/>
    <w:rsid w:val="001956C5"/>
    <w:rsid w:val="00195BF5"/>
    <w:rsid w:val="00195D42"/>
    <w:rsid w:val="00195E18"/>
    <w:rsid w:val="001973A2"/>
    <w:rsid w:val="00197A10"/>
    <w:rsid w:val="00197D8F"/>
    <w:rsid w:val="001A045A"/>
    <w:rsid w:val="001A11B0"/>
    <w:rsid w:val="001A1C64"/>
    <w:rsid w:val="001A20AF"/>
    <w:rsid w:val="001A28C0"/>
    <w:rsid w:val="001A292E"/>
    <w:rsid w:val="001A2AD2"/>
    <w:rsid w:val="001A3F99"/>
    <w:rsid w:val="001A46FB"/>
    <w:rsid w:val="001A51FA"/>
    <w:rsid w:val="001A5D9B"/>
    <w:rsid w:val="001A6742"/>
    <w:rsid w:val="001A6862"/>
    <w:rsid w:val="001A7799"/>
    <w:rsid w:val="001A7B90"/>
    <w:rsid w:val="001B0785"/>
    <w:rsid w:val="001B117E"/>
    <w:rsid w:val="001B1C0B"/>
    <w:rsid w:val="001B2A5D"/>
    <w:rsid w:val="001B36BA"/>
    <w:rsid w:val="001B3F03"/>
    <w:rsid w:val="001B43D0"/>
    <w:rsid w:val="001B4EAA"/>
    <w:rsid w:val="001B55D0"/>
    <w:rsid w:val="001B57AD"/>
    <w:rsid w:val="001B6C85"/>
    <w:rsid w:val="001B7CCF"/>
    <w:rsid w:val="001B7CE1"/>
    <w:rsid w:val="001C02DF"/>
    <w:rsid w:val="001C1B5B"/>
    <w:rsid w:val="001C2044"/>
    <w:rsid w:val="001C2830"/>
    <w:rsid w:val="001C53D3"/>
    <w:rsid w:val="001C6603"/>
    <w:rsid w:val="001C6ACC"/>
    <w:rsid w:val="001C7328"/>
    <w:rsid w:val="001C767A"/>
    <w:rsid w:val="001C7BBA"/>
    <w:rsid w:val="001C7F1A"/>
    <w:rsid w:val="001D0EC9"/>
    <w:rsid w:val="001D1340"/>
    <w:rsid w:val="001D1782"/>
    <w:rsid w:val="001D201F"/>
    <w:rsid w:val="001D2072"/>
    <w:rsid w:val="001D27BB"/>
    <w:rsid w:val="001D4DA5"/>
    <w:rsid w:val="001D513B"/>
    <w:rsid w:val="001D712A"/>
    <w:rsid w:val="001D76D4"/>
    <w:rsid w:val="001E007F"/>
    <w:rsid w:val="001E04EA"/>
    <w:rsid w:val="001E0C6C"/>
    <w:rsid w:val="001E282D"/>
    <w:rsid w:val="001E31EF"/>
    <w:rsid w:val="001E465D"/>
    <w:rsid w:val="001E51BA"/>
    <w:rsid w:val="001E52F4"/>
    <w:rsid w:val="001E5C44"/>
    <w:rsid w:val="001E5DE9"/>
    <w:rsid w:val="001E60B8"/>
    <w:rsid w:val="001E659F"/>
    <w:rsid w:val="001E6838"/>
    <w:rsid w:val="001F1B51"/>
    <w:rsid w:val="001F2424"/>
    <w:rsid w:val="001F24BD"/>
    <w:rsid w:val="001F2729"/>
    <w:rsid w:val="001F2ED0"/>
    <w:rsid w:val="001F3068"/>
    <w:rsid w:val="001F32A5"/>
    <w:rsid w:val="001F3B27"/>
    <w:rsid w:val="001F436C"/>
    <w:rsid w:val="001F5D08"/>
    <w:rsid w:val="001F6379"/>
    <w:rsid w:val="001F677C"/>
    <w:rsid w:val="001F7D6C"/>
    <w:rsid w:val="001F7E2E"/>
    <w:rsid w:val="00200152"/>
    <w:rsid w:val="0020114E"/>
    <w:rsid w:val="0020128A"/>
    <w:rsid w:val="002017E2"/>
    <w:rsid w:val="00202DFC"/>
    <w:rsid w:val="00202F60"/>
    <w:rsid w:val="0020331F"/>
    <w:rsid w:val="00203C15"/>
    <w:rsid w:val="00203F73"/>
    <w:rsid w:val="00205D7B"/>
    <w:rsid w:val="002067C9"/>
    <w:rsid w:val="0020729C"/>
    <w:rsid w:val="00207A20"/>
    <w:rsid w:val="00207C66"/>
    <w:rsid w:val="0021021D"/>
    <w:rsid w:val="00211AB8"/>
    <w:rsid w:val="00211D98"/>
    <w:rsid w:val="00211E17"/>
    <w:rsid w:val="00213470"/>
    <w:rsid w:val="00213DDD"/>
    <w:rsid w:val="00214002"/>
    <w:rsid w:val="00214A1F"/>
    <w:rsid w:val="00215802"/>
    <w:rsid w:val="00217440"/>
    <w:rsid w:val="00217EB8"/>
    <w:rsid w:val="00217FC1"/>
    <w:rsid w:val="00220403"/>
    <w:rsid w:val="00220627"/>
    <w:rsid w:val="0022081B"/>
    <w:rsid w:val="0022110C"/>
    <w:rsid w:val="00221230"/>
    <w:rsid w:val="002227CB"/>
    <w:rsid w:val="00222B57"/>
    <w:rsid w:val="00222C72"/>
    <w:rsid w:val="00222D98"/>
    <w:rsid w:val="0022316A"/>
    <w:rsid w:val="002232D1"/>
    <w:rsid w:val="00223BC6"/>
    <w:rsid w:val="00224088"/>
    <w:rsid w:val="0022474D"/>
    <w:rsid w:val="00224E34"/>
    <w:rsid w:val="00224E74"/>
    <w:rsid w:val="0022578C"/>
    <w:rsid w:val="00226A9A"/>
    <w:rsid w:val="00226C2F"/>
    <w:rsid w:val="00226E0D"/>
    <w:rsid w:val="00226F4B"/>
    <w:rsid w:val="00226FCB"/>
    <w:rsid w:val="00227080"/>
    <w:rsid w:val="002277F9"/>
    <w:rsid w:val="00227D98"/>
    <w:rsid w:val="0023055D"/>
    <w:rsid w:val="00230A2B"/>
    <w:rsid w:val="00231B61"/>
    <w:rsid w:val="00231D68"/>
    <w:rsid w:val="00232862"/>
    <w:rsid w:val="002330BB"/>
    <w:rsid w:val="00234A47"/>
    <w:rsid w:val="00235894"/>
    <w:rsid w:val="00235F40"/>
    <w:rsid w:val="00236D85"/>
    <w:rsid w:val="00240385"/>
    <w:rsid w:val="00241313"/>
    <w:rsid w:val="00241754"/>
    <w:rsid w:val="002419E9"/>
    <w:rsid w:val="0024230B"/>
    <w:rsid w:val="00242636"/>
    <w:rsid w:val="00242E48"/>
    <w:rsid w:val="00242EEE"/>
    <w:rsid w:val="00243AAE"/>
    <w:rsid w:val="00243BE9"/>
    <w:rsid w:val="00243E66"/>
    <w:rsid w:val="002440FC"/>
    <w:rsid w:val="002442FE"/>
    <w:rsid w:val="00244DC5"/>
    <w:rsid w:val="00245131"/>
    <w:rsid w:val="0024525E"/>
    <w:rsid w:val="00245C4E"/>
    <w:rsid w:val="002469C9"/>
    <w:rsid w:val="00246B7A"/>
    <w:rsid w:val="00246D3F"/>
    <w:rsid w:val="00247C18"/>
    <w:rsid w:val="00250C11"/>
    <w:rsid w:val="00250CF5"/>
    <w:rsid w:val="0025156D"/>
    <w:rsid w:val="00251F63"/>
    <w:rsid w:val="00252920"/>
    <w:rsid w:val="00252F16"/>
    <w:rsid w:val="002530A1"/>
    <w:rsid w:val="002536AC"/>
    <w:rsid w:val="00253BAE"/>
    <w:rsid w:val="00254170"/>
    <w:rsid w:val="002547F6"/>
    <w:rsid w:val="0025491C"/>
    <w:rsid w:val="00254F96"/>
    <w:rsid w:val="00255F2B"/>
    <w:rsid w:val="00256464"/>
    <w:rsid w:val="002566AB"/>
    <w:rsid w:val="00260111"/>
    <w:rsid w:val="002609E5"/>
    <w:rsid w:val="00260A42"/>
    <w:rsid w:val="002611CF"/>
    <w:rsid w:val="002612BF"/>
    <w:rsid w:val="002618D4"/>
    <w:rsid w:val="002619F0"/>
    <w:rsid w:val="00261D7F"/>
    <w:rsid w:val="002622D0"/>
    <w:rsid w:val="00262481"/>
    <w:rsid w:val="00263097"/>
    <w:rsid w:val="00263167"/>
    <w:rsid w:val="002643C3"/>
    <w:rsid w:val="00264420"/>
    <w:rsid w:val="00264CC5"/>
    <w:rsid w:val="00264D4C"/>
    <w:rsid w:val="00265BC2"/>
    <w:rsid w:val="002662F6"/>
    <w:rsid w:val="00266329"/>
    <w:rsid w:val="00267091"/>
    <w:rsid w:val="00270215"/>
    <w:rsid w:val="002713A6"/>
    <w:rsid w:val="00271FAE"/>
    <w:rsid w:val="00272178"/>
    <w:rsid w:val="0027289E"/>
    <w:rsid w:val="00272AD7"/>
    <w:rsid w:val="00272F10"/>
    <w:rsid w:val="00274A06"/>
    <w:rsid w:val="00274B8B"/>
    <w:rsid w:val="00276D9D"/>
    <w:rsid w:val="00276E47"/>
    <w:rsid w:val="00277135"/>
    <w:rsid w:val="00281521"/>
    <w:rsid w:val="00282312"/>
    <w:rsid w:val="0028277B"/>
    <w:rsid w:val="0028417F"/>
    <w:rsid w:val="0028433B"/>
    <w:rsid w:val="00284561"/>
    <w:rsid w:val="00285F58"/>
    <w:rsid w:val="00287330"/>
    <w:rsid w:val="002875B9"/>
    <w:rsid w:val="002876F0"/>
    <w:rsid w:val="002876F3"/>
    <w:rsid w:val="00287AC7"/>
    <w:rsid w:val="00290F12"/>
    <w:rsid w:val="00291F3E"/>
    <w:rsid w:val="00292430"/>
    <w:rsid w:val="002926AA"/>
    <w:rsid w:val="002926DD"/>
    <w:rsid w:val="0029287F"/>
    <w:rsid w:val="00294F98"/>
    <w:rsid w:val="00295A53"/>
    <w:rsid w:val="00295FD6"/>
    <w:rsid w:val="00296AC5"/>
    <w:rsid w:val="00296C7A"/>
    <w:rsid w:val="002970DA"/>
    <w:rsid w:val="00297193"/>
    <w:rsid w:val="00297657"/>
    <w:rsid w:val="00297C9D"/>
    <w:rsid w:val="002A0E03"/>
    <w:rsid w:val="002A1C6B"/>
    <w:rsid w:val="002A2484"/>
    <w:rsid w:val="002A2956"/>
    <w:rsid w:val="002A2DA9"/>
    <w:rsid w:val="002A32BC"/>
    <w:rsid w:val="002A3539"/>
    <w:rsid w:val="002A3E4D"/>
    <w:rsid w:val="002A3E56"/>
    <w:rsid w:val="002A3EF1"/>
    <w:rsid w:val="002A45C1"/>
    <w:rsid w:val="002A48AA"/>
    <w:rsid w:val="002A4B0D"/>
    <w:rsid w:val="002A51EB"/>
    <w:rsid w:val="002A6142"/>
    <w:rsid w:val="002A6519"/>
    <w:rsid w:val="002A6C6D"/>
    <w:rsid w:val="002A7268"/>
    <w:rsid w:val="002A7660"/>
    <w:rsid w:val="002B0099"/>
    <w:rsid w:val="002B08E8"/>
    <w:rsid w:val="002B09B6"/>
    <w:rsid w:val="002B09ED"/>
    <w:rsid w:val="002B0B3C"/>
    <w:rsid w:val="002B2742"/>
    <w:rsid w:val="002B3260"/>
    <w:rsid w:val="002B385D"/>
    <w:rsid w:val="002B3D52"/>
    <w:rsid w:val="002B4620"/>
    <w:rsid w:val="002B5660"/>
    <w:rsid w:val="002B5733"/>
    <w:rsid w:val="002B5B15"/>
    <w:rsid w:val="002B5F43"/>
    <w:rsid w:val="002B63AC"/>
    <w:rsid w:val="002C00A0"/>
    <w:rsid w:val="002C05E9"/>
    <w:rsid w:val="002C0A35"/>
    <w:rsid w:val="002C0E1E"/>
    <w:rsid w:val="002C0F53"/>
    <w:rsid w:val="002C14B0"/>
    <w:rsid w:val="002C2056"/>
    <w:rsid w:val="002C2EE8"/>
    <w:rsid w:val="002C471C"/>
    <w:rsid w:val="002C50B8"/>
    <w:rsid w:val="002C5768"/>
    <w:rsid w:val="002C5AE5"/>
    <w:rsid w:val="002C5FE4"/>
    <w:rsid w:val="002C621C"/>
    <w:rsid w:val="002D0581"/>
    <w:rsid w:val="002D0B74"/>
    <w:rsid w:val="002D0F24"/>
    <w:rsid w:val="002D0FAF"/>
    <w:rsid w:val="002D1277"/>
    <w:rsid w:val="002D13CB"/>
    <w:rsid w:val="002D1855"/>
    <w:rsid w:val="002D20BB"/>
    <w:rsid w:val="002D2404"/>
    <w:rsid w:val="002D2607"/>
    <w:rsid w:val="002D2DC7"/>
    <w:rsid w:val="002D3517"/>
    <w:rsid w:val="002D5F51"/>
    <w:rsid w:val="002D609A"/>
    <w:rsid w:val="002D66FF"/>
    <w:rsid w:val="002D6748"/>
    <w:rsid w:val="002D68E6"/>
    <w:rsid w:val="002D69C8"/>
    <w:rsid w:val="002D720E"/>
    <w:rsid w:val="002E1845"/>
    <w:rsid w:val="002E18F3"/>
    <w:rsid w:val="002E1C12"/>
    <w:rsid w:val="002E2BEC"/>
    <w:rsid w:val="002E2CE0"/>
    <w:rsid w:val="002E2EDC"/>
    <w:rsid w:val="002E33E9"/>
    <w:rsid w:val="002E367A"/>
    <w:rsid w:val="002E3A5A"/>
    <w:rsid w:val="002E3CA8"/>
    <w:rsid w:val="002E4AD3"/>
    <w:rsid w:val="002E4CB8"/>
    <w:rsid w:val="002E4ED1"/>
    <w:rsid w:val="002E536E"/>
    <w:rsid w:val="002E5556"/>
    <w:rsid w:val="002E5C08"/>
    <w:rsid w:val="002E66F8"/>
    <w:rsid w:val="002E68EA"/>
    <w:rsid w:val="002E6C4E"/>
    <w:rsid w:val="002F115B"/>
    <w:rsid w:val="002F1DCF"/>
    <w:rsid w:val="002F2108"/>
    <w:rsid w:val="002F28CA"/>
    <w:rsid w:val="002F2933"/>
    <w:rsid w:val="002F2E1B"/>
    <w:rsid w:val="002F44AD"/>
    <w:rsid w:val="002F51E5"/>
    <w:rsid w:val="002F5D25"/>
    <w:rsid w:val="002F65BC"/>
    <w:rsid w:val="002F71EC"/>
    <w:rsid w:val="002F7D07"/>
    <w:rsid w:val="002F7FF2"/>
    <w:rsid w:val="003000C1"/>
    <w:rsid w:val="003001C7"/>
    <w:rsid w:val="00300939"/>
    <w:rsid w:val="0030095F"/>
    <w:rsid w:val="00300A48"/>
    <w:rsid w:val="00300D02"/>
    <w:rsid w:val="00302002"/>
    <w:rsid w:val="003028F3"/>
    <w:rsid w:val="00302AF5"/>
    <w:rsid w:val="003038C5"/>
    <w:rsid w:val="00304A60"/>
    <w:rsid w:val="0030552D"/>
    <w:rsid w:val="0030669D"/>
    <w:rsid w:val="00307289"/>
    <w:rsid w:val="003076DB"/>
    <w:rsid w:val="00310338"/>
    <w:rsid w:val="0031052D"/>
    <w:rsid w:val="0031175D"/>
    <w:rsid w:val="00311CBF"/>
    <w:rsid w:val="003133FB"/>
    <w:rsid w:val="00313BBC"/>
    <w:rsid w:val="00313F8B"/>
    <w:rsid w:val="00313FA2"/>
    <w:rsid w:val="00314704"/>
    <w:rsid w:val="003159B5"/>
    <w:rsid w:val="0031626C"/>
    <w:rsid w:val="00316A7F"/>
    <w:rsid w:val="00317203"/>
    <w:rsid w:val="00320313"/>
    <w:rsid w:val="003206C6"/>
    <w:rsid w:val="003211B4"/>
    <w:rsid w:val="003211FA"/>
    <w:rsid w:val="00321B06"/>
    <w:rsid w:val="00322126"/>
    <w:rsid w:val="0032256A"/>
    <w:rsid w:val="003228DF"/>
    <w:rsid w:val="00325582"/>
    <w:rsid w:val="003259F6"/>
    <w:rsid w:val="00325A01"/>
    <w:rsid w:val="00326AD1"/>
    <w:rsid w:val="003271A6"/>
    <w:rsid w:val="0033049E"/>
    <w:rsid w:val="00330B17"/>
    <w:rsid w:val="00330D3C"/>
    <w:rsid w:val="003322E9"/>
    <w:rsid w:val="00332BBB"/>
    <w:rsid w:val="00332D61"/>
    <w:rsid w:val="00332F58"/>
    <w:rsid w:val="003340F3"/>
    <w:rsid w:val="00334681"/>
    <w:rsid w:val="00334AE8"/>
    <w:rsid w:val="00335039"/>
    <w:rsid w:val="00335B3C"/>
    <w:rsid w:val="003364E6"/>
    <w:rsid w:val="00336534"/>
    <w:rsid w:val="0033741C"/>
    <w:rsid w:val="00340092"/>
    <w:rsid w:val="003420F9"/>
    <w:rsid w:val="00342D0A"/>
    <w:rsid w:val="00343643"/>
    <w:rsid w:val="0034447B"/>
    <w:rsid w:val="00344557"/>
    <w:rsid w:val="0034532E"/>
    <w:rsid w:val="003458F5"/>
    <w:rsid w:val="0034633D"/>
    <w:rsid w:val="00347B0C"/>
    <w:rsid w:val="00347C09"/>
    <w:rsid w:val="00350542"/>
    <w:rsid w:val="00351215"/>
    <w:rsid w:val="00351DDA"/>
    <w:rsid w:val="0035202F"/>
    <w:rsid w:val="00352C2D"/>
    <w:rsid w:val="00352EA5"/>
    <w:rsid w:val="00353428"/>
    <w:rsid w:val="00353CBF"/>
    <w:rsid w:val="00353D19"/>
    <w:rsid w:val="00353EBA"/>
    <w:rsid w:val="00354604"/>
    <w:rsid w:val="003549A0"/>
    <w:rsid w:val="003552BD"/>
    <w:rsid w:val="003560E1"/>
    <w:rsid w:val="003565D1"/>
    <w:rsid w:val="00356ED2"/>
    <w:rsid w:val="003576AB"/>
    <w:rsid w:val="0036055C"/>
    <w:rsid w:val="0036071F"/>
    <w:rsid w:val="003630B6"/>
    <w:rsid w:val="00363657"/>
    <w:rsid w:val="003638B8"/>
    <w:rsid w:val="003642FA"/>
    <w:rsid w:val="00365288"/>
    <w:rsid w:val="00365CF4"/>
    <w:rsid w:val="003669AD"/>
    <w:rsid w:val="003669CA"/>
    <w:rsid w:val="00370247"/>
    <w:rsid w:val="003703B2"/>
    <w:rsid w:val="0037141F"/>
    <w:rsid w:val="00372018"/>
    <w:rsid w:val="003728F9"/>
    <w:rsid w:val="00372BD3"/>
    <w:rsid w:val="00372E6D"/>
    <w:rsid w:val="003745F7"/>
    <w:rsid w:val="00374A77"/>
    <w:rsid w:val="00375C2F"/>
    <w:rsid w:val="0037640A"/>
    <w:rsid w:val="00376561"/>
    <w:rsid w:val="00376F54"/>
    <w:rsid w:val="00377B75"/>
    <w:rsid w:val="003816D7"/>
    <w:rsid w:val="00381BA5"/>
    <w:rsid w:val="00381EB8"/>
    <w:rsid w:val="003823AF"/>
    <w:rsid w:val="00383297"/>
    <w:rsid w:val="00383A3A"/>
    <w:rsid w:val="00383C52"/>
    <w:rsid w:val="00383E6E"/>
    <w:rsid w:val="003848A4"/>
    <w:rsid w:val="0038553A"/>
    <w:rsid w:val="00385DD0"/>
    <w:rsid w:val="0038624E"/>
    <w:rsid w:val="00386902"/>
    <w:rsid w:val="003871B6"/>
    <w:rsid w:val="00387218"/>
    <w:rsid w:val="00387369"/>
    <w:rsid w:val="00387FC0"/>
    <w:rsid w:val="003900DB"/>
    <w:rsid w:val="003903AE"/>
    <w:rsid w:val="00390825"/>
    <w:rsid w:val="00391474"/>
    <w:rsid w:val="00392716"/>
    <w:rsid w:val="00393A2D"/>
    <w:rsid w:val="00395C91"/>
    <w:rsid w:val="0039610D"/>
    <w:rsid w:val="00396A44"/>
    <w:rsid w:val="00397BAE"/>
    <w:rsid w:val="00397ECB"/>
    <w:rsid w:val="003A0AE1"/>
    <w:rsid w:val="003A0BCC"/>
    <w:rsid w:val="003A270D"/>
    <w:rsid w:val="003A36C8"/>
    <w:rsid w:val="003A4149"/>
    <w:rsid w:val="003A435C"/>
    <w:rsid w:val="003A48C0"/>
    <w:rsid w:val="003A4A83"/>
    <w:rsid w:val="003A4C62"/>
    <w:rsid w:val="003A5754"/>
    <w:rsid w:val="003A5D94"/>
    <w:rsid w:val="003A79AD"/>
    <w:rsid w:val="003B039C"/>
    <w:rsid w:val="003B0568"/>
    <w:rsid w:val="003B17ED"/>
    <w:rsid w:val="003B18C7"/>
    <w:rsid w:val="003B1B95"/>
    <w:rsid w:val="003B1C43"/>
    <w:rsid w:val="003B29BA"/>
    <w:rsid w:val="003B3B9D"/>
    <w:rsid w:val="003B4A52"/>
    <w:rsid w:val="003B4E1F"/>
    <w:rsid w:val="003B50DD"/>
    <w:rsid w:val="003B575D"/>
    <w:rsid w:val="003B5856"/>
    <w:rsid w:val="003B6AC4"/>
    <w:rsid w:val="003B7E6C"/>
    <w:rsid w:val="003B7E8B"/>
    <w:rsid w:val="003C001C"/>
    <w:rsid w:val="003C19C8"/>
    <w:rsid w:val="003C280B"/>
    <w:rsid w:val="003C2AB0"/>
    <w:rsid w:val="003C2F23"/>
    <w:rsid w:val="003C30E5"/>
    <w:rsid w:val="003C3144"/>
    <w:rsid w:val="003C3946"/>
    <w:rsid w:val="003C3BCD"/>
    <w:rsid w:val="003C3ECC"/>
    <w:rsid w:val="003C451C"/>
    <w:rsid w:val="003C45F0"/>
    <w:rsid w:val="003C5915"/>
    <w:rsid w:val="003C6A61"/>
    <w:rsid w:val="003C6B32"/>
    <w:rsid w:val="003C6EA3"/>
    <w:rsid w:val="003C6FE0"/>
    <w:rsid w:val="003D061B"/>
    <w:rsid w:val="003D095B"/>
    <w:rsid w:val="003D09C5"/>
    <w:rsid w:val="003D2C94"/>
    <w:rsid w:val="003D3AE8"/>
    <w:rsid w:val="003D3C04"/>
    <w:rsid w:val="003D3C5F"/>
    <w:rsid w:val="003D521B"/>
    <w:rsid w:val="003D5C41"/>
    <w:rsid w:val="003D606C"/>
    <w:rsid w:val="003D635D"/>
    <w:rsid w:val="003D65D9"/>
    <w:rsid w:val="003D7548"/>
    <w:rsid w:val="003D7F5C"/>
    <w:rsid w:val="003E040C"/>
    <w:rsid w:val="003E0690"/>
    <w:rsid w:val="003E0C6C"/>
    <w:rsid w:val="003E15DF"/>
    <w:rsid w:val="003E2735"/>
    <w:rsid w:val="003E2A09"/>
    <w:rsid w:val="003E316D"/>
    <w:rsid w:val="003E339B"/>
    <w:rsid w:val="003E354A"/>
    <w:rsid w:val="003E38D5"/>
    <w:rsid w:val="003E3E55"/>
    <w:rsid w:val="003E3ED8"/>
    <w:rsid w:val="003E4139"/>
    <w:rsid w:val="003E499A"/>
    <w:rsid w:val="003E4BF0"/>
    <w:rsid w:val="003E5B2A"/>
    <w:rsid w:val="003E639F"/>
    <w:rsid w:val="003E63B6"/>
    <w:rsid w:val="003E66E8"/>
    <w:rsid w:val="003E671B"/>
    <w:rsid w:val="003E6E52"/>
    <w:rsid w:val="003E754B"/>
    <w:rsid w:val="003F01F2"/>
    <w:rsid w:val="003F044F"/>
    <w:rsid w:val="003F0BEC"/>
    <w:rsid w:val="003F0EB8"/>
    <w:rsid w:val="003F1956"/>
    <w:rsid w:val="003F1A84"/>
    <w:rsid w:val="003F3392"/>
    <w:rsid w:val="003F385C"/>
    <w:rsid w:val="003F4A6B"/>
    <w:rsid w:val="003F5421"/>
    <w:rsid w:val="003F5453"/>
    <w:rsid w:val="003F562B"/>
    <w:rsid w:val="003F5DD7"/>
    <w:rsid w:val="003F7220"/>
    <w:rsid w:val="003F745B"/>
    <w:rsid w:val="003F7476"/>
    <w:rsid w:val="003F758F"/>
    <w:rsid w:val="003F7C5F"/>
    <w:rsid w:val="00400A9D"/>
    <w:rsid w:val="00400C83"/>
    <w:rsid w:val="004023A1"/>
    <w:rsid w:val="004028F2"/>
    <w:rsid w:val="00402CA9"/>
    <w:rsid w:val="00402EFF"/>
    <w:rsid w:val="00403E45"/>
    <w:rsid w:val="00404C02"/>
    <w:rsid w:val="00405D85"/>
    <w:rsid w:val="00407043"/>
    <w:rsid w:val="00407403"/>
    <w:rsid w:val="00407F4B"/>
    <w:rsid w:val="004102B0"/>
    <w:rsid w:val="004108DC"/>
    <w:rsid w:val="004108EC"/>
    <w:rsid w:val="00411462"/>
    <w:rsid w:val="00412281"/>
    <w:rsid w:val="00412DA5"/>
    <w:rsid w:val="004131EC"/>
    <w:rsid w:val="00413A5A"/>
    <w:rsid w:val="00414211"/>
    <w:rsid w:val="004142C1"/>
    <w:rsid w:val="004149EB"/>
    <w:rsid w:val="004151F4"/>
    <w:rsid w:val="004161D7"/>
    <w:rsid w:val="004169D0"/>
    <w:rsid w:val="004205B6"/>
    <w:rsid w:val="00421993"/>
    <w:rsid w:val="004230D5"/>
    <w:rsid w:val="00423435"/>
    <w:rsid w:val="004234A1"/>
    <w:rsid w:val="00424DCB"/>
    <w:rsid w:val="00425052"/>
    <w:rsid w:val="00425D95"/>
    <w:rsid w:val="00427819"/>
    <w:rsid w:val="004279EF"/>
    <w:rsid w:val="00427AC0"/>
    <w:rsid w:val="00430ADC"/>
    <w:rsid w:val="00430D2E"/>
    <w:rsid w:val="00430F31"/>
    <w:rsid w:val="00431870"/>
    <w:rsid w:val="0043194E"/>
    <w:rsid w:val="00435983"/>
    <w:rsid w:val="00436853"/>
    <w:rsid w:val="00437174"/>
    <w:rsid w:val="00437315"/>
    <w:rsid w:val="00437CDA"/>
    <w:rsid w:val="00441028"/>
    <w:rsid w:val="00441195"/>
    <w:rsid w:val="00441373"/>
    <w:rsid w:val="00442635"/>
    <w:rsid w:val="004428B5"/>
    <w:rsid w:val="004431AE"/>
    <w:rsid w:val="004436AA"/>
    <w:rsid w:val="00443D67"/>
    <w:rsid w:val="00443FC0"/>
    <w:rsid w:val="004448AA"/>
    <w:rsid w:val="00444F4E"/>
    <w:rsid w:val="00445D92"/>
    <w:rsid w:val="00446BCB"/>
    <w:rsid w:val="00447260"/>
    <w:rsid w:val="00447B23"/>
    <w:rsid w:val="00450314"/>
    <w:rsid w:val="0045167D"/>
    <w:rsid w:val="00452841"/>
    <w:rsid w:val="00452C26"/>
    <w:rsid w:val="00452DE9"/>
    <w:rsid w:val="00453537"/>
    <w:rsid w:val="00453B5D"/>
    <w:rsid w:val="00453E77"/>
    <w:rsid w:val="00453ED2"/>
    <w:rsid w:val="00453EFC"/>
    <w:rsid w:val="00453F62"/>
    <w:rsid w:val="004545F3"/>
    <w:rsid w:val="00455160"/>
    <w:rsid w:val="004552D7"/>
    <w:rsid w:val="00456780"/>
    <w:rsid w:val="00456C04"/>
    <w:rsid w:val="00457D2C"/>
    <w:rsid w:val="00457E6C"/>
    <w:rsid w:val="004604AC"/>
    <w:rsid w:val="00461AAE"/>
    <w:rsid w:val="004622C2"/>
    <w:rsid w:val="004639AD"/>
    <w:rsid w:val="00464747"/>
    <w:rsid w:val="00464E2C"/>
    <w:rsid w:val="004654DF"/>
    <w:rsid w:val="004661C9"/>
    <w:rsid w:val="00466F9B"/>
    <w:rsid w:val="00467026"/>
    <w:rsid w:val="004671DC"/>
    <w:rsid w:val="004678C6"/>
    <w:rsid w:val="004710B7"/>
    <w:rsid w:val="004714FC"/>
    <w:rsid w:val="00472711"/>
    <w:rsid w:val="004749FB"/>
    <w:rsid w:val="00475AB4"/>
    <w:rsid w:val="00475B03"/>
    <w:rsid w:val="00476546"/>
    <w:rsid w:val="00476AC9"/>
    <w:rsid w:val="004770F8"/>
    <w:rsid w:val="004771C9"/>
    <w:rsid w:val="004803C8"/>
    <w:rsid w:val="00480B95"/>
    <w:rsid w:val="00480C37"/>
    <w:rsid w:val="00480CC8"/>
    <w:rsid w:val="00481C8C"/>
    <w:rsid w:val="0048244E"/>
    <w:rsid w:val="00482F50"/>
    <w:rsid w:val="0048485A"/>
    <w:rsid w:val="00484884"/>
    <w:rsid w:val="00484EBB"/>
    <w:rsid w:val="004855A0"/>
    <w:rsid w:val="00485F75"/>
    <w:rsid w:val="00486156"/>
    <w:rsid w:val="004875E4"/>
    <w:rsid w:val="0049044C"/>
    <w:rsid w:val="00490C48"/>
    <w:rsid w:val="00491015"/>
    <w:rsid w:val="004911E7"/>
    <w:rsid w:val="004916A1"/>
    <w:rsid w:val="004917D9"/>
    <w:rsid w:val="004918B1"/>
    <w:rsid w:val="0049193A"/>
    <w:rsid w:val="00492077"/>
    <w:rsid w:val="004927C4"/>
    <w:rsid w:val="00492B00"/>
    <w:rsid w:val="00492B0C"/>
    <w:rsid w:val="00492E57"/>
    <w:rsid w:val="00492E66"/>
    <w:rsid w:val="004938CD"/>
    <w:rsid w:val="00494050"/>
    <w:rsid w:val="004955D9"/>
    <w:rsid w:val="00495971"/>
    <w:rsid w:val="00495B49"/>
    <w:rsid w:val="004960E4"/>
    <w:rsid w:val="00496465"/>
    <w:rsid w:val="00496FF5"/>
    <w:rsid w:val="004976A6"/>
    <w:rsid w:val="004977BA"/>
    <w:rsid w:val="00497929"/>
    <w:rsid w:val="00497AEC"/>
    <w:rsid w:val="004A13DB"/>
    <w:rsid w:val="004A13F1"/>
    <w:rsid w:val="004A169C"/>
    <w:rsid w:val="004A1F0C"/>
    <w:rsid w:val="004A2224"/>
    <w:rsid w:val="004A238A"/>
    <w:rsid w:val="004A2472"/>
    <w:rsid w:val="004A2477"/>
    <w:rsid w:val="004A2CCD"/>
    <w:rsid w:val="004A500A"/>
    <w:rsid w:val="004A52AA"/>
    <w:rsid w:val="004A6837"/>
    <w:rsid w:val="004A7109"/>
    <w:rsid w:val="004A759F"/>
    <w:rsid w:val="004A7E29"/>
    <w:rsid w:val="004B011A"/>
    <w:rsid w:val="004B0ACE"/>
    <w:rsid w:val="004B1409"/>
    <w:rsid w:val="004B169B"/>
    <w:rsid w:val="004B23CA"/>
    <w:rsid w:val="004B259B"/>
    <w:rsid w:val="004B2761"/>
    <w:rsid w:val="004B285E"/>
    <w:rsid w:val="004B2923"/>
    <w:rsid w:val="004B43E7"/>
    <w:rsid w:val="004B44EC"/>
    <w:rsid w:val="004B51CC"/>
    <w:rsid w:val="004C0140"/>
    <w:rsid w:val="004C02B1"/>
    <w:rsid w:val="004C0867"/>
    <w:rsid w:val="004C0932"/>
    <w:rsid w:val="004C1646"/>
    <w:rsid w:val="004C1795"/>
    <w:rsid w:val="004C1C42"/>
    <w:rsid w:val="004C1FCF"/>
    <w:rsid w:val="004C3151"/>
    <w:rsid w:val="004C323B"/>
    <w:rsid w:val="004C368D"/>
    <w:rsid w:val="004C37F5"/>
    <w:rsid w:val="004C4803"/>
    <w:rsid w:val="004C4D0B"/>
    <w:rsid w:val="004C5932"/>
    <w:rsid w:val="004C6F6D"/>
    <w:rsid w:val="004D033A"/>
    <w:rsid w:val="004D0CF5"/>
    <w:rsid w:val="004D19FC"/>
    <w:rsid w:val="004D2CBD"/>
    <w:rsid w:val="004D30FE"/>
    <w:rsid w:val="004D3D46"/>
    <w:rsid w:val="004D4DA8"/>
    <w:rsid w:val="004D5A91"/>
    <w:rsid w:val="004D5BB6"/>
    <w:rsid w:val="004D5BED"/>
    <w:rsid w:val="004D61B0"/>
    <w:rsid w:val="004D6873"/>
    <w:rsid w:val="004D6A7F"/>
    <w:rsid w:val="004D6DE3"/>
    <w:rsid w:val="004E0184"/>
    <w:rsid w:val="004E069C"/>
    <w:rsid w:val="004E0B0A"/>
    <w:rsid w:val="004E2430"/>
    <w:rsid w:val="004E31D8"/>
    <w:rsid w:val="004E3F0C"/>
    <w:rsid w:val="004E4327"/>
    <w:rsid w:val="004E43BF"/>
    <w:rsid w:val="004E49F5"/>
    <w:rsid w:val="004E4A32"/>
    <w:rsid w:val="004E5976"/>
    <w:rsid w:val="004E75D4"/>
    <w:rsid w:val="004F00DF"/>
    <w:rsid w:val="004F170F"/>
    <w:rsid w:val="004F2FAF"/>
    <w:rsid w:val="004F3523"/>
    <w:rsid w:val="004F3711"/>
    <w:rsid w:val="004F3D4A"/>
    <w:rsid w:val="004F4C5B"/>
    <w:rsid w:val="004F5841"/>
    <w:rsid w:val="004F75B8"/>
    <w:rsid w:val="004F76F0"/>
    <w:rsid w:val="004F7E8B"/>
    <w:rsid w:val="00500F19"/>
    <w:rsid w:val="00501068"/>
    <w:rsid w:val="0050156B"/>
    <w:rsid w:val="00501C36"/>
    <w:rsid w:val="00501F56"/>
    <w:rsid w:val="00502125"/>
    <w:rsid w:val="00502558"/>
    <w:rsid w:val="00502D31"/>
    <w:rsid w:val="00503FE6"/>
    <w:rsid w:val="00505504"/>
    <w:rsid w:val="00505D1B"/>
    <w:rsid w:val="00505FAF"/>
    <w:rsid w:val="0050723E"/>
    <w:rsid w:val="00510511"/>
    <w:rsid w:val="005108D4"/>
    <w:rsid w:val="00510C89"/>
    <w:rsid w:val="00511003"/>
    <w:rsid w:val="0051167A"/>
    <w:rsid w:val="00512453"/>
    <w:rsid w:val="00512583"/>
    <w:rsid w:val="005126AD"/>
    <w:rsid w:val="00512E13"/>
    <w:rsid w:val="00512EB0"/>
    <w:rsid w:val="0051430B"/>
    <w:rsid w:val="00514FEF"/>
    <w:rsid w:val="005158AD"/>
    <w:rsid w:val="005163DB"/>
    <w:rsid w:val="00516B9D"/>
    <w:rsid w:val="00516E21"/>
    <w:rsid w:val="00517A79"/>
    <w:rsid w:val="00517B97"/>
    <w:rsid w:val="00517E9E"/>
    <w:rsid w:val="00520403"/>
    <w:rsid w:val="0052054C"/>
    <w:rsid w:val="00520E7D"/>
    <w:rsid w:val="00521250"/>
    <w:rsid w:val="005216FE"/>
    <w:rsid w:val="005224BF"/>
    <w:rsid w:val="0052269A"/>
    <w:rsid w:val="0052278F"/>
    <w:rsid w:val="0052359C"/>
    <w:rsid w:val="005242BA"/>
    <w:rsid w:val="00524F7C"/>
    <w:rsid w:val="00525943"/>
    <w:rsid w:val="00526413"/>
    <w:rsid w:val="00526928"/>
    <w:rsid w:val="00527006"/>
    <w:rsid w:val="00527130"/>
    <w:rsid w:val="00527787"/>
    <w:rsid w:val="005277BC"/>
    <w:rsid w:val="005304C8"/>
    <w:rsid w:val="0053072B"/>
    <w:rsid w:val="005318A3"/>
    <w:rsid w:val="0053262C"/>
    <w:rsid w:val="00532882"/>
    <w:rsid w:val="00532EA0"/>
    <w:rsid w:val="00533183"/>
    <w:rsid w:val="0053412C"/>
    <w:rsid w:val="00534248"/>
    <w:rsid w:val="00534B4C"/>
    <w:rsid w:val="00534F81"/>
    <w:rsid w:val="00535133"/>
    <w:rsid w:val="005357A2"/>
    <w:rsid w:val="00535DC6"/>
    <w:rsid w:val="00537A0D"/>
    <w:rsid w:val="0054009F"/>
    <w:rsid w:val="00540F16"/>
    <w:rsid w:val="005430B0"/>
    <w:rsid w:val="0054403B"/>
    <w:rsid w:val="00544300"/>
    <w:rsid w:val="005447D1"/>
    <w:rsid w:val="00544899"/>
    <w:rsid w:val="00545737"/>
    <w:rsid w:val="0054574E"/>
    <w:rsid w:val="00545898"/>
    <w:rsid w:val="0054620D"/>
    <w:rsid w:val="00546823"/>
    <w:rsid w:val="0054745E"/>
    <w:rsid w:val="0055015B"/>
    <w:rsid w:val="00550847"/>
    <w:rsid w:val="00550BC6"/>
    <w:rsid w:val="00550C6F"/>
    <w:rsid w:val="0055136F"/>
    <w:rsid w:val="005515DC"/>
    <w:rsid w:val="00551817"/>
    <w:rsid w:val="00553DBD"/>
    <w:rsid w:val="00555308"/>
    <w:rsid w:val="0055551D"/>
    <w:rsid w:val="00555D3F"/>
    <w:rsid w:val="00555E4D"/>
    <w:rsid w:val="00557246"/>
    <w:rsid w:val="00557CCE"/>
    <w:rsid w:val="00557DF2"/>
    <w:rsid w:val="00557E0C"/>
    <w:rsid w:val="00560167"/>
    <w:rsid w:val="00561C96"/>
    <w:rsid w:val="005632D8"/>
    <w:rsid w:val="00564451"/>
    <w:rsid w:val="00565996"/>
    <w:rsid w:val="00566528"/>
    <w:rsid w:val="00566924"/>
    <w:rsid w:val="00566F76"/>
    <w:rsid w:val="005676D6"/>
    <w:rsid w:val="00570A9D"/>
    <w:rsid w:val="005716C1"/>
    <w:rsid w:val="00571845"/>
    <w:rsid w:val="005721AB"/>
    <w:rsid w:val="00572707"/>
    <w:rsid w:val="00572E54"/>
    <w:rsid w:val="0057327E"/>
    <w:rsid w:val="00573821"/>
    <w:rsid w:val="0057495B"/>
    <w:rsid w:val="00574AEE"/>
    <w:rsid w:val="005753B8"/>
    <w:rsid w:val="00577826"/>
    <w:rsid w:val="00577D3F"/>
    <w:rsid w:val="0058001F"/>
    <w:rsid w:val="00581153"/>
    <w:rsid w:val="00581FDE"/>
    <w:rsid w:val="0058223D"/>
    <w:rsid w:val="005822A9"/>
    <w:rsid w:val="005825AB"/>
    <w:rsid w:val="00583750"/>
    <w:rsid w:val="00583D45"/>
    <w:rsid w:val="00583F74"/>
    <w:rsid w:val="005842A6"/>
    <w:rsid w:val="00584325"/>
    <w:rsid w:val="005855B2"/>
    <w:rsid w:val="00585950"/>
    <w:rsid w:val="00585BF6"/>
    <w:rsid w:val="0058635E"/>
    <w:rsid w:val="00587034"/>
    <w:rsid w:val="00590764"/>
    <w:rsid w:val="00590EE5"/>
    <w:rsid w:val="0059126E"/>
    <w:rsid w:val="00591571"/>
    <w:rsid w:val="00591C33"/>
    <w:rsid w:val="00591E81"/>
    <w:rsid w:val="00592DF7"/>
    <w:rsid w:val="00592E1B"/>
    <w:rsid w:val="005932FA"/>
    <w:rsid w:val="0059397C"/>
    <w:rsid w:val="00594E1F"/>
    <w:rsid w:val="00595ACB"/>
    <w:rsid w:val="005960C4"/>
    <w:rsid w:val="00596D84"/>
    <w:rsid w:val="00597881"/>
    <w:rsid w:val="00597FD2"/>
    <w:rsid w:val="005A02A4"/>
    <w:rsid w:val="005A0B2B"/>
    <w:rsid w:val="005A126C"/>
    <w:rsid w:val="005A15E9"/>
    <w:rsid w:val="005A229A"/>
    <w:rsid w:val="005A38E6"/>
    <w:rsid w:val="005A4714"/>
    <w:rsid w:val="005A49DF"/>
    <w:rsid w:val="005A5A02"/>
    <w:rsid w:val="005A5E9D"/>
    <w:rsid w:val="005A61C2"/>
    <w:rsid w:val="005A670D"/>
    <w:rsid w:val="005A7550"/>
    <w:rsid w:val="005A7734"/>
    <w:rsid w:val="005B0300"/>
    <w:rsid w:val="005B04D9"/>
    <w:rsid w:val="005B059A"/>
    <w:rsid w:val="005B150A"/>
    <w:rsid w:val="005B1696"/>
    <w:rsid w:val="005B19EE"/>
    <w:rsid w:val="005B1B91"/>
    <w:rsid w:val="005B2AC9"/>
    <w:rsid w:val="005B374C"/>
    <w:rsid w:val="005B4518"/>
    <w:rsid w:val="005B4ADF"/>
    <w:rsid w:val="005B4D8E"/>
    <w:rsid w:val="005B56EC"/>
    <w:rsid w:val="005B5951"/>
    <w:rsid w:val="005B5B57"/>
    <w:rsid w:val="005B5CC5"/>
    <w:rsid w:val="005B600F"/>
    <w:rsid w:val="005B6B66"/>
    <w:rsid w:val="005B6E95"/>
    <w:rsid w:val="005B72F4"/>
    <w:rsid w:val="005B7D70"/>
    <w:rsid w:val="005C0699"/>
    <w:rsid w:val="005C0971"/>
    <w:rsid w:val="005C09CB"/>
    <w:rsid w:val="005C1009"/>
    <w:rsid w:val="005C17BB"/>
    <w:rsid w:val="005C1BFA"/>
    <w:rsid w:val="005C20A0"/>
    <w:rsid w:val="005C246B"/>
    <w:rsid w:val="005C254A"/>
    <w:rsid w:val="005C2EDB"/>
    <w:rsid w:val="005C30BA"/>
    <w:rsid w:val="005C3B0F"/>
    <w:rsid w:val="005C3CC7"/>
    <w:rsid w:val="005C42F0"/>
    <w:rsid w:val="005C5941"/>
    <w:rsid w:val="005C6FC0"/>
    <w:rsid w:val="005C7B4A"/>
    <w:rsid w:val="005D021F"/>
    <w:rsid w:val="005D11BE"/>
    <w:rsid w:val="005D1222"/>
    <w:rsid w:val="005D1251"/>
    <w:rsid w:val="005D186F"/>
    <w:rsid w:val="005D19E6"/>
    <w:rsid w:val="005D1B94"/>
    <w:rsid w:val="005D2072"/>
    <w:rsid w:val="005D2418"/>
    <w:rsid w:val="005D2574"/>
    <w:rsid w:val="005D3AD3"/>
    <w:rsid w:val="005D4023"/>
    <w:rsid w:val="005D4034"/>
    <w:rsid w:val="005D4A46"/>
    <w:rsid w:val="005D5D1D"/>
    <w:rsid w:val="005D77BE"/>
    <w:rsid w:val="005E00F1"/>
    <w:rsid w:val="005E1F31"/>
    <w:rsid w:val="005E3700"/>
    <w:rsid w:val="005E37A8"/>
    <w:rsid w:val="005E557E"/>
    <w:rsid w:val="005E5C46"/>
    <w:rsid w:val="005E5E12"/>
    <w:rsid w:val="005E66AD"/>
    <w:rsid w:val="005E75D9"/>
    <w:rsid w:val="005F1CF2"/>
    <w:rsid w:val="005F1F5A"/>
    <w:rsid w:val="005F226D"/>
    <w:rsid w:val="005F258B"/>
    <w:rsid w:val="005F2E39"/>
    <w:rsid w:val="005F384A"/>
    <w:rsid w:val="005F3C3B"/>
    <w:rsid w:val="005F48E9"/>
    <w:rsid w:val="005F4B4F"/>
    <w:rsid w:val="005F5666"/>
    <w:rsid w:val="005F57FF"/>
    <w:rsid w:val="005F69D2"/>
    <w:rsid w:val="005F69E4"/>
    <w:rsid w:val="005F7083"/>
    <w:rsid w:val="005F7B45"/>
    <w:rsid w:val="00601F72"/>
    <w:rsid w:val="00602898"/>
    <w:rsid w:val="00603548"/>
    <w:rsid w:val="0060558A"/>
    <w:rsid w:val="00607030"/>
    <w:rsid w:val="0060722F"/>
    <w:rsid w:val="0060785D"/>
    <w:rsid w:val="00610161"/>
    <w:rsid w:val="00610BF1"/>
    <w:rsid w:val="00610DAB"/>
    <w:rsid w:val="006110D2"/>
    <w:rsid w:val="006114CD"/>
    <w:rsid w:val="0061167C"/>
    <w:rsid w:val="00611D8C"/>
    <w:rsid w:val="006126D0"/>
    <w:rsid w:val="00612763"/>
    <w:rsid w:val="00612D70"/>
    <w:rsid w:val="00612D8F"/>
    <w:rsid w:val="006132DF"/>
    <w:rsid w:val="0061338A"/>
    <w:rsid w:val="00613CBB"/>
    <w:rsid w:val="00613D08"/>
    <w:rsid w:val="00613DDA"/>
    <w:rsid w:val="00613F87"/>
    <w:rsid w:val="00615741"/>
    <w:rsid w:val="0061658F"/>
    <w:rsid w:val="0061673A"/>
    <w:rsid w:val="00617236"/>
    <w:rsid w:val="00617411"/>
    <w:rsid w:val="00617AD8"/>
    <w:rsid w:val="00620033"/>
    <w:rsid w:val="00621663"/>
    <w:rsid w:val="0062275D"/>
    <w:rsid w:val="00622786"/>
    <w:rsid w:val="006238E7"/>
    <w:rsid w:val="0062434D"/>
    <w:rsid w:val="00624853"/>
    <w:rsid w:val="006248B3"/>
    <w:rsid w:val="00624B40"/>
    <w:rsid w:val="00624C58"/>
    <w:rsid w:val="00625950"/>
    <w:rsid w:val="00626268"/>
    <w:rsid w:val="006268DB"/>
    <w:rsid w:val="00626B4F"/>
    <w:rsid w:val="006272AA"/>
    <w:rsid w:val="006276CC"/>
    <w:rsid w:val="006300AA"/>
    <w:rsid w:val="006301B6"/>
    <w:rsid w:val="006318F1"/>
    <w:rsid w:val="00631A02"/>
    <w:rsid w:val="006323DB"/>
    <w:rsid w:val="006328F9"/>
    <w:rsid w:val="00632BC6"/>
    <w:rsid w:val="0063365B"/>
    <w:rsid w:val="00634818"/>
    <w:rsid w:val="00634B56"/>
    <w:rsid w:val="006354A8"/>
    <w:rsid w:val="00635ACF"/>
    <w:rsid w:val="00635E8B"/>
    <w:rsid w:val="00636C9A"/>
    <w:rsid w:val="0063708E"/>
    <w:rsid w:val="006374CB"/>
    <w:rsid w:val="00637E2C"/>
    <w:rsid w:val="00640663"/>
    <w:rsid w:val="006416B1"/>
    <w:rsid w:val="0064210E"/>
    <w:rsid w:val="006432EF"/>
    <w:rsid w:val="006438B7"/>
    <w:rsid w:val="00643FDD"/>
    <w:rsid w:val="00644E18"/>
    <w:rsid w:val="00644E6E"/>
    <w:rsid w:val="00645360"/>
    <w:rsid w:val="00646D7B"/>
    <w:rsid w:val="00646E26"/>
    <w:rsid w:val="00647036"/>
    <w:rsid w:val="006470EC"/>
    <w:rsid w:val="00647C21"/>
    <w:rsid w:val="006505AD"/>
    <w:rsid w:val="00650ED7"/>
    <w:rsid w:val="00651083"/>
    <w:rsid w:val="00651302"/>
    <w:rsid w:val="0065241D"/>
    <w:rsid w:val="00654036"/>
    <w:rsid w:val="006544BC"/>
    <w:rsid w:val="00654610"/>
    <w:rsid w:val="00654B98"/>
    <w:rsid w:val="0065597B"/>
    <w:rsid w:val="00656393"/>
    <w:rsid w:val="006567FA"/>
    <w:rsid w:val="00657AB0"/>
    <w:rsid w:val="00660F26"/>
    <w:rsid w:val="006622BE"/>
    <w:rsid w:val="00662736"/>
    <w:rsid w:val="0066445B"/>
    <w:rsid w:val="00664C5F"/>
    <w:rsid w:val="00664D75"/>
    <w:rsid w:val="00665793"/>
    <w:rsid w:val="00665FC5"/>
    <w:rsid w:val="006666DD"/>
    <w:rsid w:val="00666A5E"/>
    <w:rsid w:val="00667E91"/>
    <w:rsid w:val="00670771"/>
    <w:rsid w:val="00670A05"/>
    <w:rsid w:val="00670A3F"/>
    <w:rsid w:val="00670D60"/>
    <w:rsid w:val="00671E17"/>
    <w:rsid w:val="00671F7E"/>
    <w:rsid w:val="00672F76"/>
    <w:rsid w:val="0067309B"/>
    <w:rsid w:val="006750F5"/>
    <w:rsid w:val="00676423"/>
    <w:rsid w:val="00676604"/>
    <w:rsid w:val="0067674E"/>
    <w:rsid w:val="00677E19"/>
    <w:rsid w:val="0068075B"/>
    <w:rsid w:val="006816EA"/>
    <w:rsid w:val="00681A94"/>
    <w:rsid w:val="00681CEF"/>
    <w:rsid w:val="00682437"/>
    <w:rsid w:val="006828E0"/>
    <w:rsid w:val="00682ACA"/>
    <w:rsid w:val="00682BBD"/>
    <w:rsid w:val="00683897"/>
    <w:rsid w:val="00683C71"/>
    <w:rsid w:val="006840F1"/>
    <w:rsid w:val="00684E39"/>
    <w:rsid w:val="00685918"/>
    <w:rsid w:val="00686279"/>
    <w:rsid w:val="0068647B"/>
    <w:rsid w:val="00687C4D"/>
    <w:rsid w:val="006908DF"/>
    <w:rsid w:val="00690931"/>
    <w:rsid w:val="00691816"/>
    <w:rsid w:val="00692B34"/>
    <w:rsid w:val="006934C3"/>
    <w:rsid w:val="00694003"/>
    <w:rsid w:val="00694E49"/>
    <w:rsid w:val="0069620E"/>
    <w:rsid w:val="00696961"/>
    <w:rsid w:val="00696A50"/>
    <w:rsid w:val="00696B00"/>
    <w:rsid w:val="0069727A"/>
    <w:rsid w:val="006A044E"/>
    <w:rsid w:val="006A089A"/>
    <w:rsid w:val="006A12C7"/>
    <w:rsid w:val="006A1491"/>
    <w:rsid w:val="006A3ABC"/>
    <w:rsid w:val="006A3D2E"/>
    <w:rsid w:val="006A44E5"/>
    <w:rsid w:val="006A5C09"/>
    <w:rsid w:val="006A6E10"/>
    <w:rsid w:val="006A7DA1"/>
    <w:rsid w:val="006B0D0E"/>
    <w:rsid w:val="006B0F80"/>
    <w:rsid w:val="006B12AC"/>
    <w:rsid w:val="006B167D"/>
    <w:rsid w:val="006B1F62"/>
    <w:rsid w:val="006B2847"/>
    <w:rsid w:val="006B3242"/>
    <w:rsid w:val="006B3737"/>
    <w:rsid w:val="006B3A15"/>
    <w:rsid w:val="006B3CDC"/>
    <w:rsid w:val="006B468C"/>
    <w:rsid w:val="006B60CC"/>
    <w:rsid w:val="006B64E8"/>
    <w:rsid w:val="006B6AFA"/>
    <w:rsid w:val="006B7FE7"/>
    <w:rsid w:val="006C06D2"/>
    <w:rsid w:val="006C1117"/>
    <w:rsid w:val="006C13FD"/>
    <w:rsid w:val="006C1508"/>
    <w:rsid w:val="006C2458"/>
    <w:rsid w:val="006C27C3"/>
    <w:rsid w:val="006C34FE"/>
    <w:rsid w:val="006C3560"/>
    <w:rsid w:val="006C3A33"/>
    <w:rsid w:val="006C429C"/>
    <w:rsid w:val="006C4678"/>
    <w:rsid w:val="006C4CCA"/>
    <w:rsid w:val="006C4CF9"/>
    <w:rsid w:val="006C4D89"/>
    <w:rsid w:val="006C53ED"/>
    <w:rsid w:val="006C5E94"/>
    <w:rsid w:val="006C664F"/>
    <w:rsid w:val="006C6A21"/>
    <w:rsid w:val="006C6C2B"/>
    <w:rsid w:val="006C6EDB"/>
    <w:rsid w:val="006C79BB"/>
    <w:rsid w:val="006D0FA5"/>
    <w:rsid w:val="006D146A"/>
    <w:rsid w:val="006D1F7D"/>
    <w:rsid w:val="006D20AD"/>
    <w:rsid w:val="006D29A7"/>
    <w:rsid w:val="006D3AC7"/>
    <w:rsid w:val="006D49B3"/>
    <w:rsid w:val="006D5123"/>
    <w:rsid w:val="006D598E"/>
    <w:rsid w:val="006D604A"/>
    <w:rsid w:val="006D68E6"/>
    <w:rsid w:val="006D6F93"/>
    <w:rsid w:val="006D7724"/>
    <w:rsid w:val="006D77A4"/>
    <w:rsid w:val="006D7A80"/>
    <w:rsid w:val="006E0213"/>
    <w:rsid w:val="006E05A8"/>
    <w:rsid w:val="006E0800"/>
    <w:rsid w:val="006E0B42"/>
    <w:rsid w:val="006E17CA"/>
    <w:rsid w:val="006E1B88"/>
    <w:rsid w:val="006E2818"/>
    <w:rsid w:val="006E2CE6"/>
    <w:rsid w:val="006E2EEE"/>
    <w:rsid w:val="006E3F96"/>
    <w:rsid w:val="006E42EC"/>
    <w:rsid w:val="006E4C05"/>
    <w:rsid w:val="006E6377"/>
    <w:rsid w:val="006E641F"/>
    <w:rsid w:val="006E6A5F"/>
    <w:rsid w:val="006E6C62"/>
    <w:rsid w:val="006E7694"/>
    <w:rsid w:val="006E769F"/>
    <w:rsid w:val="006E7FF6"/>
    <w:rsid w:val="006F0D0A"/>
    <w:rsid w:val="006F1108"/>
    <w:rsid w:val="006F145A"/>
    <w:rsid w:val="006F147F"/>
    <w:rsid w:val="006F1F74"/>
    <w:rsid w:val="006F2067"/>
    <w:rsid w:val="006F2C57"/>
    <w:rsid w:val="006F3457"/>
    <w:rsid w:val="006F3D2A"/>
    <w:rsid w:val="006F4968"/>
    <w:rsid w:val="006F4EB7"/>
    <w:rsid w:val="006F4FE1"/>
    <w:rsid w:val="006F50D9"/>
    <w:rsid w:val="006F60AE"/>
    <w:rsid w:val="006F6426"/>
    <w:rsid w:val="006F745F"/>
    <w:rsid w:val="006F757C"/>
    <w:rsid w:val="006F79F3"/>
    <w:rsid w:val="0070068E"/>
    <w:rsid w:val="007009DE"/>
    <w:rsid w:val="00701B17"/>
    <w:rsid w:val="007028A9"/>
    <w:rsid w:val="0070382E"/>
    <w:rsid w:val="00704932"/>
    <w:rsid w:val="00705485"/>
    <w:rsid w:val="00706C60"/>
    <w:rsid w:val="00707565"/>
    <w:rsid w:val="0070775D"/>
    <w:rsid w:val="007101E7"/>
    <w:rsid w:val="00710311"/>
    <w:rsid w:val="00710F12"/>
    <w:rsid w:val="007114A2"/>
    <w:rsid w:val="00711762"/>
    <w:rsid w:val="00712F06"/>
    <w:rsid w:val="00712F23"/>
    <w:rsid w:val="0071378A"/>
    <w:rsid w:val="00713BBC"/>
    <w:rsid w:val="00714386"/>
    <w:rsid w:val="007151C2"/>
    <w:rsid w:val="007152A4"/>
    <w:rsid w:val="00717725"/>
    <w:rsid w:val="007178EC"/>
    <w:rsid w:val="00717E7A"/>
    <w:rsid w:val="00717FEA"/>
    <w:rsid w:val="007203A0"/>
    <w:rsid w:val="00720798"/>
    <w:rsid w:val="007207C0"/>
    <w:rsid w:val="007209C2"/>
    <w:rsid w:val="00720C1C"/>
    <w:rsid w:val="00722B13"/>
    <w:rsid w:val="007254DD"/>
    <w:rsid w:val="007256F7"/>
    <w:rsid w:val="00726006"/>
    <w:rsid w:val="007265EB"/>
    <w:rsid w:val="00727939"/>
    <w:rsid w:val="007279B3"/>
    <w:rsid w:val="00727F46"/>
    <w:rsid w:val="0073066C"/>
    <w:rsid w:val="00731307"/>
    <w:rsid w:val="0073299E"/>
    <w:rsid w:val="00732C96"/>
    <w:rsid w:val="00733729"/>
    <w:rsid w:val="00733A63"/>
    <w:rsid w:val="00736393"/>
    <w:rsid w:val="00736E53"/>
    <w:rsid w:val="00737DEE"/>
    <w:rsid w:val="00741240"/>
    <w:rsid w:val="0074125C"/>
    <w:rsid w:val="007418A0"/>
    <w:rsid w:val="00741F3C"/>
    <w:rsid w:val="007420E5"/>
    <w:rsid w:val="00742850"/>
    <w:rsid w:val="00743A80"/>
    <w:rsid w:val="00743AC0"/>
    <w:rsid w:val="007447D0"/>
    <w:rsid w:val="00744DC9"/>
    <w:rsid w:val="00744E5C"/>
    <w:rsid w:val="00745089"/>
    <w:rsid w:val="00745C80"/>
    <w:rsid w:val="00745D78"/>
    <w:rsid w:val="007465D1"/>
    <w:rsid w:val="00747060"/>
    <w:rsid w:val="00747674"/>
    <w:rsid w:val="00747B26"/>
    <w:rsid w:val="00750459"/>
    <w:rsid w:val="007505E5"/>
    <w:rsid w:val="00751049"/>
    <w:rsid w:val="00751645"/>
    <w:rsid w:val="00751F59"/>
    <w:rsid w:val="00752E32"/>
    <w:rsid w:val="00753262"/>
    <w:rsid w:val="00753511"/>
    <w:rsid w:val="00753B54"/>
    <w:rsid w:val="00753CBB"/>
    <w:rsid w:val="00753D96"/>
    <w:rsid w:val="00754A60"/>
    <w:rsid w:val="00755EFE"/>
    <w:rsid w:val="00756BBB"/>
    <w:rsid w:val="00757166"/>
    <w:rsid w:val="00757719"/>
    <w:rsid w:val="007579D3"/>
    <w:rsid w:val="00757E26"/>
    <w:rsid w:val="00760012"/>
    <w:rsid w:val="007607C6"/>
    <w:rsid w:val="00760FAE"/>
    <w:rsid w:val="007610F4"/>
    <w:rsid w:val="007615E3"/>
    <w:rsid w:val="00761876"/>
    <w:rsid w:val="00761AD7"/>
    <w:rsid w:val="007623F2"/>
    <w:rsid w:val="007625F4"/>
    <w:rsid w:val="00762BB3"/>
    <w:rsid w:val="00763A67"/>
    <w:rsid w:val="0076452B"/>
    <w:rsid w:val="00766E17"/>
    <w:rsid w:val="00767028"/>
    <w:rsid w:val="00767D4E"/>
    <w:rsid w:val="00770559"/>
    <w:rsid w:val="00770AC9"/>
    <w:rsid w:val="00770C8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230"/>
    <w:rsid w:val="007848AF"/>
    <w:rsid w:val="007848C1"/>
    <w:rsid w:val="00784EA4"/>
    <w:rsid w:val="00784F9D"/>
    <w:rsid w:val="0078534D"/>
    <w:rsid w:val="007855E7"/>
    <w:rsid w:val="00786734"/>
    <w:rsid w:val="007867AB"/>
    <w:rsid w:val="007867C0"/>
    <w:rsid w:val="00786972"/>
    <w:rsid w:val="00787334"/>
    <w:rsid w:val="00790516"/>
    <w:rsid w:val="0079092D"/>
    <w:rsid w:val="00791684"/>
    <w:rsid w:val="0079186F"/>
    <w:rsid w:val="007927D8"/>
    <w:rsid w:val="00795551"/>
    <w:rsid w:val="00795673"/>
    <w:rsid w:val="00795995"/>
    <w:rsid w:val="00795E36"/>
    <w:rsid w:val="0079638A"/>
    <w:rsid w:val="00796710"/>
    <w:rsid w:val="00796F89"/>
    <w:rsid w:val="00797639"/>
    <w:rsid w:val="00797720"/>
    <w:rsid w:val="0079793D"/>
    <w:rsid w:val="00797EB2"/>
    <w:rsid w:val="007A0549"/>
    <w:rsid w:val="007A0604"/>
    <w:rsid w:val="007A1BD6"/>
    <w:rsid w:val="007A2076"/>
    <w:rsid w:val="007A239B"/>
    <w:rsid w:val="007A3353"/>
    <w:rsid w:val="007A46B8"/>
    <w:rsid w:val="007B0D76"/>
    <w:rsid w:val="007B0F23"/>
    <w:rsid w:val="007B1A28"/>
    <w:rsid w:val="007B1AE7"/>
    <w:rsid w:val="007B216F"/>
    <w:rsid w:val="007B395A"/>
    <w:rsid w:val="007B4CC0"/>
    <w:rsid w:val="007B576A"/>
    <w:rsid w:val="007B6464"/>
    <w:rsid w:val="007B656D"/>
    <w:rsid w:val="007B68FE"/>
    <w:rsid w:val="007B6BC1"/>
    <w:rsid w:val="007B6EED"/>
    <w:rsid w:val="007C01D8"/>
    <w:rsid w:val="007C0282"/>
    <w:rsid w:val="007C05FC"/>
    <w:rsid w:val="007C06A2"/>
    <w:rsid w:val="007C0F3B"/>
    <w:rsid w:val="007C21DC"/>
    <w:rsid w:val="007C2638"/>
    <w:rsid w:val="007C2BA1"/>
    <w:rsid w:val="007C2E12"/>
    <w:rsid w:val="007C3F2C"/>
    <w:rsid w:val="007C48E6"/>
    <w:rsid w:val="007C4B8D"/>
    <w:rsid w:val="007C52C1"/>
    <w:rsid w:val="007C565C"/>
    <w:rsid w:val="007C5B91"/>
    <w:rsid w:val="007C7033"/>
    <w:rsid w:val="007C7CFB"/>
    <w:rsid w:val="007C7FF2"/>
    <w:rsid w:val="007D2C8C"/>
    <w:rsid w:val="007D363A"/>
    <w:rsid w:val="007D412F"/>
    <w:rsid w:val="007D4984"/>
    <w:rsid w:val="007D5244"/>
    <w:rsid w:val="007D59A6"/>
    <w:rsid w:val="007D5BAA"/>
    <w:rsid w:val="007D6972"/>
    <w:rsid w:val="007D6A1B"/>
    <w:rsid w:val="007D715A"/>
    <w:rsid w:val="007D71E6"/>
    <w:rsid w:val="007D71FE"/>
    <w:rsid w:val="007D7707"/>
    <w:rsid w:val="007D7B2C"/>
    <w:rsid w:val="007D7F3A"/>
    <w:rsid w:val="007E00D3"/>
    <w:rsid w:val="007E015F"/>
    <w:rsid w:val="007E29AB"/>
    <w:rsid w:val="007E381F"/>
    <w:rsid w:val="007E568E"/>
    <w:rsid w:val="007E6455"/>
    <w:rsid w:val="007E6992"/>
    <w:rsid w:val="007E6B1A"/>
    <w:rsid w:val="007E6F62"/>
    <w:rsid w:val="007E735B"/>
    <w:rsid w:val="007E7B48"/>
    <w:rsid w:val="007E7CEF"/>
    <w:rsid w:val="007E7F16"/>
    <w:rsid w:val="007F013E"/>
    <w:rsid w:val="007F079B"/>
    <w:rsid w:val="007F07C8"/>
    <w:rsid w:val="007F0E75"/>
    <w:rsid w:val="007F181C"/>
    <w:rsid w:val="007F1DF4"/>
    <w:rsid w:val="007F2D02"/>
    <w:rsid w:val="007F2FB3"/>
    <w:rsid w:val="007F4549"/>
    <w:rsid w:val="007F474E"/>
    <w:rsid w:val="007F57C6"/>
    <w:rsid w:val="007F5BD1"/>
    <w:rsid w:val="007F62AE"/>
    <w:rsid w:val="007F646F"/>
    <w:rsid w:val="007F6708"/>
    <w:rsid w:val="007F67AE"/>
    <w:rsid w:val="007F6D58"/>
    <w:rsid w:val="007F749D"/>
    <w:rsid w:val="007F7815"/>
    <w:rsid w:val="0080138B"/>
    <w:rsid w:val="0080147F"/>
    <w:rsid w:val="00801596"/>
    <w:rsid w:val="00801F83"/>
    <w:rsid w:val="0080207B"/>
    <w:rsid w:val="00802265"/>
    <w:rsid w:val="00802523"/>
    <w:rsid w:val="00803E02"/>
    <w:rsid w:val="008043C1"/>
    <w:rsid w:val="008045BB"/>
    <w:rsid w:val="008045E7"/>
    <w:rsid w:val="008049E4"/>
    <w:rsid w:val="00804E1C"/>
    <w:rsid w:val="00805843"/>
    <w:rsid w:val="0080599F"/>
    <w:rsid w:val="00805F6E"/>
    <w:rsid w:val="00807290"/>
    <w:rsid w:val="00807B0A"/>
    <w:rsid w:val="00810055"/>
    <w:rsid w:val="00810B65"/>
    <w:rsid w:val="00810ECD"/>
    <w:rsid w:val="008112C1"/>
    <w:rsid w:val="0081166F"/>
    <w:rsid w:val="00811E36"/>
    <w:rsid w:val="008125F8"/>
    <w:rsid w:val="00812911"/>
    <w:rsid w:val="00812A2F"/>
    <w:rsid w:val="00812A90"/>
    <w:rsid w:val="00814837"/>
    <w:rsid w:val="00816040"/>
    <w:rsid w:val="00816559"/>
    <w:rsid w:val="0081750E"/>
    <w:rsid w:val="00817B7D"/>
    <w:rsid w:val="00817DF0"/>
    <w:rsid w:val="00820269"/>
    <w:rsid w:val="00821D5F"/>
    <w:rsid w:val="00822D7B"/>
    <w:rsid w:val="00823AE3"/>
    <w:rsid w:val="00824B45"/>
    <w:rsid w:val="008259AD"/>
    <w:rsid w:val="00826547"/>
    <w:rsid w:val="00826BA9"/>
    <w:rsid w:val="0082724F"/>
    <w:rsid w:val="008274BA"/>
    <w:rsid w:val="00830D53"/>
    <w:rsid w:val="008314DD"/>
    <w:rsid w:val="00832270"/>
    <w:rsid w:val="00832FC6"/>
    <w:rsid w:val="008334C2"/>
    <w:rsid w:val="008348A4"/>
    <w:rsid w:val="00834BCB"/>
    <w:rsid w:val="00835746"/>
    <w:rsid w:val="00837EAE"/>
    <w:rsid w:val="0084009C"/>
    <w:rsid w:val="00841032"/>
    <w:rsid w:val="0084226A"/>
    <w:rsid w:val="00842289"/>
    <w:rsid w:val="008429CE"/>
    <w:rsid w:val="00843AF3"/>
    <w:rsid w:val="00843AFD"/>
    <w:rsid w:val="008454F0"/>
    <w:rsid w:val="008463BB"/>
    <w:rsid w:val="00846DC0"/>
    <w:rsid w:val="00847071"/>
    <w:rsid w:val="00847282"/>
    <w:rsid w:val="00847CA7"/>
    <w:rsid w:val="008502B3"/>
    <w:rsid w:val="008503E1"/>
    <w:rsid w:val="00850449"/>
    <w:rsid w:val="0085055A"/>
    <w:rsid w:val="00850BDD"/>
    <w:rsid w:val="00851EE7"/>
    <w:rsid w:val="00852751"/>
    <w:rsid w:val="008527CB"/>
    <w:rsid w:val="0085322B"/>
    <w:rsid w:val="00853657"/>
    <w:rsid w:val="008539BF"/>
    <w:rsid w:val="00853EB9"/>
    <w:rsid w:val="008540C3"/>
    <w:rsid w:val="00854E80"/>
    <w:rsid w:val="00855366"/>
    <w:rsid w:val="008560F3"/>
    <w:rsid w:val="008561B5"/>
    <w:rsid w:val="00857133"/>
    <w:rsid w:val="0086014A"/>
    <w:rsid w:val="00861387"/>
    <w:rsid w:val="008615EE"/>
    <w:rsid w:val="00861674"/>
    <w:rsid w:val="00862339"/>
    <w:rsid w:val="00862C18"/>
    <w:rsid w:val="00862C2A"/>
    <w:rsid w:val="00863265"/>
    <w:rsid w:val="00863F5C"/>
    <w:rsid w:val="00864C31"/>
    <w:rsid w:val="00865088"/>
    <w:rsid w:val="00865326"/>
    <w:rsid w:val="008700AC"/>
    <w:rsid w:val="00870405"/>
    <w:rsid w:val="008705F3"/>
    <w:rsid w:val="00870894"/>
    <w:rsid w:val="0087150C"/>
    <w:rsid w:val="008717C7"/>
    <w:rsid w:val="008720A5"/>
    <w:rsid w:val="008721B7"/>
    <w:rsid w:val="0087265C"/>
    <w:rsid w:val="008737F9"/>
    <w:rsid w:val="00873A89"/>
    <w:rsid w:val="00873EBE"/>
    <w:rsid w:val="008740CD"/>
    <w:rsid w:val="0087431D"/>
    <w:rsid w:val="008744C5"/>
    <w:rsid w:val="00875229"/>
    <w:rsid w:val="008753C6"/>
    <w:rsid w:val="00876328"/>
    <w:rsid w:val="00876342"/>
    <w:rsid w:val="008778C3"/>
    <w:rsid w:val="00877D77"/>
    <w:rsid w:val="00877E3B"/>
    <w:rsid w:val="00881141"/>
    <w:rsid w:val="008815E1"/>
    <w:rsid w:val="0088307E"/>
    <w:rsid w:val="0088492D"/>
    <w:rsid w:val="0088557A"/>
    <w:rsid w:val="008863EB"/>
    <w:rsid w:val="00886DE3"/>
    <w:rsid w:val="00887B9E"/>
    <w:rsid w:val="008900FD"/>
    <w:rsid w:val="0089043E"/>
    <w:rsid w:val="008922D3"/>
    <w:rsid w:val="00892698"/>
    <w:rsid w:val="008940F7"/>
    <w:rsid w:val="00894461"/>
    <w:rsid w:val="00895183"/>
    <w:rsid w:val="00895B1E"/>
    <w:rsid w:val="008974DE"/>
    <w:rsid w:val="0089753F"/>
    <w:rsid w:val="0089797C"/>
    <w:rsid w:val="008A010C"/>
    <w:rsid w:val="008A0771"/>
    <w:rsid w:val="008A15EE"/>
    <w:rsid w:val="008A18B2"/>
    <w:rsid w:val="008A34DB"/>
    <w:rsid w:val="008A405F"/>
    <w:rsid w:val="008A41C6"/>
    <w:rsid w:val="008A499A"/>
    <w:rsid w:val="008A4D09"/>
    <w:rsid w:val="008A5CD2"/>
    <w:rsid w:val="008A6130"/>
    <w:rsid w:val="008A6189"/>
    <w:rsid w:val="008A650B"/>
    <w:rsid w:val="008A6CA5"/>
    <w:rsid w:val="008B03EB"/>
    <w:rsid w:val="008B07C1"/>
    <w:rsid w:val="008B0BAD"/>
    <w:rsid w:val="008B0E8C"/>
    <w:rsid w:val="008B1242"/>
    <w:rsid w:val="008B38FA"/>
    <w:rsid w:val="008B4D28"/>
    <w:rsid w:val="008B51AC"/>
    <w:rsid w:val="008B5C65"/>
    <w:rsid w:val="008B6764"/>
    <w:rsid w:val="008B714A"/>
    <w:rsid w:val="008B7895"/>
    <w:rsid w:val="008C00C0"/>
    <w:rsid w:val="008C051B"/>
    <w:rsid w:val="008C0839"/>
    <w:rsid w:val="008C119E"/>
    <w:rsid w:val="008C11EE"/>
    <w:rsid w:val="008C180E"/>
    <w:rsid w:val="008C1BE1"/>
    <w:rsid w:val="008C2492"/>
    <w:rsid w:val="008C2578"/>
    <w:rsid w:val="008C2AD3"/>
    <w:rsid w:val="008C2B65"/>
    <w:rsid w:val="008C332F"/>
    <w:rsid w:val="008C3470"/>
    <w:rsid w:val="008C3B2B"/>
    <w:rsid w:val="008C5560"/>
    <w:rsid w:val="008C5C8A"/>
    <w:rsid w:val="008C61CA"/>
    <w:rsid w:val="008C79A7"/>
    <w:rsid w:val="008D0036"/>
    <w:rsid w:val="008D0294"/>
    <w:rsid w:val="008D123A"/>
    <w:rsid w:val="008D1B09"/>
    <w:rsid w:val="008D3DAD"/>
    <w:rsid w:val="008D433F"/>
    <w:rsid w:val="008D46B6"/>
    <w:rsid w:val="008D4AED"/>
    <w:rsid w:val="008D5401"/>
    <w:rsid w:val="008D5844"/>
    <w:rsid w:val="008D713E"/>
    <w:rsid w:val="008D7225"/>
    <w:rsid w:val="008D7771"/>
    <w:rsid w:val="008E04C9"/>
    <w:rsid w:val="008E10A8"/>
    <w:rsid w:val="008E1654"/>
    <w:rsid w:val="008E215B"/>
    <w:rsid w:val="008E2958"/>
    <w:rsid w:val="008E3209"/>
    <w:rsid w:val="008E4D86"/>
    <w:rsid w:val="008E567E"/>
    <w:rsid w:val="008E5685"/>
    <w:rsid w:val="008E5EFE"/>
    <w:rsid w:val="008E6CFD"/>
    <w:rsid w:val="008F09BF"/>
    <w:rsid w:val="008F0EFE"/>
    <w:rsid w:val="008F1267"/>
    <w:rsid w:val="008F15DD"/>
    <w:rsid w:val="008F2FBD"/>
    <w:rsid w:val="008F4F41"/>
    <w:rsid w:val="008F5226"/>
    <w:rsid w:val="008F61B1"/>
    <w:rsid w:val="008F74E2"/>
    <w:rsid w:val="008F7BD2"/>
    <w:rsid w:val="0090086E"/>
    <w:rsid w:val="00901EF5"/>
    <w:rsid w:val="0090220D"/>
    <w:rsid w:val="009022B4"/>
    <w:rsid w:val="00903AB8"/>
    <w:rsid w:val="00904953"/>
    <w:rsid w:val="0090586E"/>
    <w:rsid w:val="00906BA9"/>
    <w:rsid w:val="00907078"/>
    <w:rsid w:val="00907818"/>
    <w:rsid w:val="00910BB8"/>
    <w:rsid w:val="00910BD5"/>
    <w:rsid w:val="00910FF5"/>
    <w:rsid w:val="0091149E"/>
    <w:rsid w:val="00912D67"/>
    <w:rsid w:val="00913520"/>
    <w:rsid w:val="0091403C"/>
    <w:rsid w:val="00914E04"/>
    <w:rsid w:val="00915E73"/>
    <w:rsid w:val="0091651F"/>
    <w:rsid w:val="0091685B"/>
    <w:rsid w:val="00916B94"/>
    <w:rsid w:val="00916C21"/>
    <w:rsid w:val="00917A23"/>
    <w:rsid w:val="009206D4"/>
    <w:rsid w:val="00920C72"/>
    <w:rsid w:val="00921E12"/>
    <w:rsid w:val="00923329"/>
    <w:rsid w:val="0092390C"/>
    <w:rsid w:val="00923B89"/>
    <w:rsid w:val="00924419"/>
    <w:rsid w:val="00924B5E"/>
    <w:rsid w:val="00924F90"/>
    <w:rsid w:val="00925A1B"/>
    <w:rsid w:val="00925B33"/>
    <w:rsid w:val="00925EDA"/>
    <w:rsid w:val="009264ED"/>
    <w:rsid w:val="0092692B"/>
    <w:rsid w:val="00926ACC"/>
    <w:rsid w:val="00927481"/>
    <w:rsid w:val="00927BA1"/>
    <w:rsid w:val="00927CC5"/>
    <w:rsid w:val="009304F4"/>
    <w:rsid w:val="009305C5"/>
    <w:rsid w:val="00930FA7"/>
    <w:rsid w:val="0093122C"/>
    <w:rsid w:val="009317DD"/>
    <w:rsid w:val="00932796"/>
    <w:rsid w:val="00932BB0"/>
    <w:rsid w:val="00932DED"/>
    <w:rsid w:val="0093309F"/>
    <w:rsid w:val="00933357"/>
    <w:rsid w:val="0093356A"/>
    <w:rsid w:val="00933F4E"/>
    <w:rsid w:val="0093493F"/>
    <w:rsid w:val="00934B55"/>
    <w:rsid w:val="00934F48"/>
    <w:rsid w:val="00935CDD"/>
    <w:rsid w:val="009361A2"/>
    <w:rsid w:val="0093646D"/>
    <w:rsid w:val="00936819"/>
    <w:rsid w:val="00936D8C"/>
    <w:rsid w:val="00936DAA"/>
    <w:rsid w:val="009374D6"/>
    <w:rsid w:val="009376CD"/>
    <w:rsid w:val="0093783D"/>
    <w:rsid w:val="00937879"/>
    <w:rsid w:val="009379A7"/>
    <w:rsid w:val="00937C4F"/>
    <w:rsid w:val="00940134"/>
    <w:rsid w:val="00940B59"/>
    <w:rsid w:val="0094135B"/>
    <w:rsid w:val="00941A1E"/>
    <w:rsid w:val="00941E10"/>
    <w:rsid w:val="00941F56"/>
    <w:rsid w:val="009429C7"/>
    <w:rsid w:val="009433C0"/>
    <w:rsid w:val="009433EA"/>
    <w:rsid w:val="00944130"/>
    <w:rsid w:val="0094467D"/>
    <w:rsid w:val="00945727"/>
    <w:rsid w:val="00945AC1"/>
    <w:rsid w:val="00946196"/>
    <w:rsid w:val="00950026"/>
    <w:rsid w:val="0095009F"/>
    <w:rsid w:val="00950B46"/>
    <w:rsid w:val="00950E19"/>
    <w:rsid w:val="00951FF3"/>
    <w:rsid w:val="00952BDE"/>
    <w:rsid w:val="009530B5"/>
    <w:rsid w:val="009534A2"/>
    <w:rsid w:val="0095373D"/>
    <w:rsid w:val="00954215"/>
    <w:rsid w:val="00954932"/>
    <w:rsid w:val="00955DAE"/>
    <w:rsid w:val="00956979"/>
    <w:rsid w:val="00956AA8"/>
    <w:rsid w:val="00956AD4"/>
    <w:rsid w:val="009627CE"/>
    <w:rsid w:val="009630DC"/>
    <w:rsid w:val="009639AA"/>
    <w:rsid w:val="00966507"/>
    <w:rsid w:val="009667B7"/>
    <w:rsid w:val="00966811"/>
    <w:rsid w:val="00966B9D"/>
    <w:rsid w:val="00966F25"/>
    <w:rsid w:val="00967F65"/>
    <w:rsid w:val="009704F1"/>
    <w:rsid w:val="00970E5E"/>
    <w:rsid w:val="0097103B"/>
    <w:rsid w:val="00971AA6"/>
    <w:rsid w:val="00973EFC"/>
    <w:rsid w:val="00973FCA"/>
    <w:rsid w:val="00974636"/>
    <w:rsid w:val="009746E2"/>
    <w:rsid w:val="009755A9"/>
    <w:rsid w:val="00975F29"/>
    <w:rsid w:val="009760A8"/>
    <w:rsid w:val="00976EC0"/>
    <w:rsid w:val="00977334"/>
    <w:rsid w:val="0097736B"/>
    <w:rsid w:val="00980862"/>
    <w:rsid w:val="00981743"/>
    <w:rsid w:val="009820BB"/>
    <w:rsid w:val="009823AA"/>
    <w:rsid w:val="009824E3"/>
    <w:rsid w:val="00982519"/>
    <w:rsid w:val="00982D45"/>
    <w:rsid w:val="00982F1B"/>
    <w:rsid w:val="00984B96"/>
    <w:rsid w:val="0098549B"/>
    <w:rsid w:val="009854B5"/>
    <w:rsid w:val="00985BEF"/>
    <w:rsid w:val="0098645D"/>
    <w:rsid w:val="00987A7F"/>
    <w:rsid w:val="00987EE6"/>
    <w:rsid w:val="0099035D"/>
    <w:rsid w:val="009904C8"/>
    <w:rsid w:val="009904D7"/>
    <w:rsid w:val="0099051F"/>
    <w:rsid w:val="00990673"/>
    <w:rsid w:val="009908E4"/>
    <w:rsid w:val="00992C4C"/>
    <w:rsid w:val="00992D4E"/>
    <w:rsid w:val="0099324B"/>
    <w:rsid w:val="0099327C"/>
    <w:rsid w:val="00993B6E"/>
    <w:rsid w:val="00994E8B"/>
    <w:rsid w:val="00995B0E"/>
    <w:rsid w:val="00996D67"/>
    <w:rsid w:val="00997DEE"/>
    <w:rsid w:val="009A014B"/>
    <w:rsid w:val="009A072D"/>
    <w:rsid w:val="009A0990"/>
    <w:rsid w:val="009A0D24"/>
    <w:rsid w:val="009A3269"/>
    <w:rsid w:val="009A3DA7"/>
    <w:rsid w:val="009A4524"/>
    <w:rsid w:val="009A4944"/>
    <w:rsid w:val="009A51AE"/>
    <w:rsid w:val="009A6162"/>
    <w:rsid w:val="009A7AC5"/>
    <w:rsid w:val="009A7B87"/>
    <w:rsid w:val="009A7ED4"/>
    <w:rsid w:val="009B0047"/>
    <w:rsid w:val="009B0082"/>
    <w:rsid w:val="009B0623"/>
    <w:rsid w:val="009B0C7E"/>
    <w:rsid w:val="009B0D22"/>
    <w:rsid w:val="009B1ACF"/>
    <w:rsid w:val="009B1B52"/>
    <w:rsid w:val="009B1EB3"/>
    <w:rsid w:val="009B1F78"/>
    <w:rsid w:val="009B3C90"/>
    <w:rsid w:val="009B4329"/>
    <w:rsid w:val="009B449D"/>
    <w:rsid w:val="009B4B4D"/>
    <w:rsid w:val="009B58E1"/>
    <w:rsid w:val="009B6938"/>
    <w:rsid w:val="009B713F"/>
    <w:rsid w:val="009C047C"/>
    <w:rsid w:val="009C0CF2"/>
    <w:rsid w:val="009C14A7"/>
    <w:rsid w:val="009C167A"/>
    <w:rsid w:val="009C1CFF"/>
    <w:rsid w:val="009C36CE"/>
    <w:rsid w:val="009C370B"/>
    <w:rsid w:val="009C3F2F"/>
    <w:rsid w:val="009C4CFB"/>
    <w:rsid w:val="009C4E2E"/>
    <w:rsid w:val="009C5199"/>
    <w:rsid w:val="009C645F"/>
    <w:rsid w:val="009C66BB"/>
    <w:rsid w:val="009C6BD8"/>
    <w:rsid w:val="009C70EE"/>
    <w:rsid w:val="009C7586"/>
    <w:rsid w:val="009C7D9F"/>
    <w:rsid w:val="009D0014"/>
    <w:rsid w:val="009D0788"/>
    <w:rsid w:val="009D11E3"/>
    <w:rsid w:val="009D20BA"/>
    <w:rsid w:val="009D2A43"/>
    <w:rsid w:val="009D3119"/>
    <w:rsid w:val="009D33F3"/>
    <w:rsid w:val="009D3692"/>
    <w:rsid w:val="009D3C9C"/>
    <w:rsid w:val="009D47E1"/>
    <w:rsid w:val="009D51CA"/>
    <w:rsid w:val="009D5581"/>
    <w:rsid w:val="009D61A1"/>
    <w:rsid w:val="009D646B"/>
    <w:rsid w:val="009D794C"/>
    <w:rsid w:val="009D7E28"/>
    <w:rsid w:val="009E04E9"/>
    <w:rsid w:val="009E06DB"/>
    <w:rsid w:val="009E0A0D"/>
    <w:rsid w:val="009E0C1C"/>
    <w:rsid w:val="009E283B"/>
    <w:rsid w:val="009E285B"/>
    <w:rsid w:val="009E316D"/>
    <w:rsid w:val="009E37A1"/>
    <w:rsid w:val="009E3860"/>
    <w:rsid w:val="009E3CD9"/>
    <w:rsid w:val="009E438A"/>
    <w:rsid w:val="009E45B8"/>
    <w:rsid w:val="009E4B27"/>
    <w:rsid w:val="009E59E2"/>
    <w:rsid w:val="009E6951"/>
    <w:rsid w:val="009E6A48"/>
    <w:rsid w:val="009E7919"/>
    <w:rsid w:val="009F0323"/>
    <w:rsid w:val="009F09B7"/>
    <w:rsid w:val="009F1030"/>
    <w:rsid w:val="009F1C65"/>
    <w:rsid w:val="009F1E2B"/>
    <w:rsid w:val="009F2478"/>
    <w:rsid w:val="009F2B71"/>
    <w:rsid w:val="009F304F"/>
    <w:rsid w:val="009F3218"/>
    <w:rsid w:val="009F5482"/>
    <w:rsid w:val="009F55DE"/>
    <w:rsid w:val="009F5A19"/>
    <w:rsid w:val="009F5D4A"/>
    <w:rsid w:val="009F5E98"/>
    <w:rsid w:val="009F604C"/>
    <w:rsid w:val="009F628E"/>
    <w:rsid w:val="009F6638"/>
    <w:rsid w:val="009F6847"/>
    <w:rsid w:val="009F7B46"/>
    <w:rsid w:val="009F7D28"/>
    <w:rsid w:val="009F7DC9"/>
    <w:rsid w:val="009F7F9A"/>
    <w:rsid w:val="009F7FCB"/>
    <w:rsid w:val="00A004A8"/>
    <w:rsid w:val="00A0087D"/>
    <w:rsid w:val="00A0102C"/>
    <w:rsid w:val="00A0109E"/>
    <w:rsid w:val="00A0120E"/>
    <w:rsid w:val="00A01665"/>
    <w:rsid w:val="00A035A5"/>
    <w:rsid w:val="00A04443"/>
    <w:rsid w:val="00A04666"/>
    <w:rsid w:val="00A04B6E"/>
    <w:rsid w:val="00A04E7B"/>
    <w:rsid w:val="00A05313"/>
    <w:rsid w:val="00A05845"/>
    <w:rsid w:val="00A05932"/>
    <w:rsid w:val="00A068E2"/>
    <w:rsid w:val="00A10150"/>
    <w:rsid w:val="00A12082"/>
    <w:rsid w:val="00A12251"/>
    <w:rsid w:val="00A12913"/>
    <w:rsid w:val="00A13E60"/>
    <w:rsid w:val="00A13EF0"/>
    <w:rsid w:val="00A14BA0"/>
    <w:rsid w:val="00A14D4B"/>
    <w:rsid w:val="00A151AD"/>
    <w:rsid w:val="00A155E9"/>
    <w:rsid w:val="00A15AC7"/>
    <w:rsid w:val="00A16534"/>
    <w:rsid w:val="00A16576"/>
    <w:rsid w:val="00A174C2"/>
    <w:rsid w:val="00A2004F"/>
    <w:rsid w:val="00A20EA7"/>
    <w:rsid w:val="00A21855"/>
    <w:rsid w:val="00A2194F"/>
    <w:rsid w:val="00A22298"/>
    <w:rsid w:val="00A229B7"/>
    <w:rsid w:val="00A22B0F"/>
    <w:rsid w:val="00A22FD4"/>
    <w:rsid w:val="00A232DB"/>
    <w:rsid w:val="00A2352D"/>
    <w:rsid w:val="00A246C4"/>
    <w:rsid w:val="00A24E42"/>
    <w:rsid w:val="00A250F2"/>
    <w:rsid w:val="00A25594"/>
    <w:rsid w:val="00A255E2"/>
    <w:rsid w:val="00A25D2E"/>
    <w:rsid w:val="00A25E77"/>
    <w:rsid w:val="00A2711B"/>
    <w:rsid w:val="00A27B5B"/>
    <w:rsid w:val="00A27EE3"/>
    <w:rsid w:val="00A30004"/>
    <w:rsid w:val="00A30B20"/>
    <w:rsid w:val="00A30CD6"/>
    <w:rsid w:val="00A31174"/>
    <w:rsid w:val="00A318C7"/>
    <w:rsid w:val="00A31B1D"/>
    <w:rsid w:val="00A32896"/>
    <w:rsid w:val="00A33D58"/>
    <w:rsid w:val="00A3437C"/>
    <w:rsid w:val="00A354A7"/>
    <w:rsid w:val="00A355EF"/>
    <w:rsid w:val="00A3591C"/>
    <w:rsid w:val="00A35F51"/>
    <w:rsid w:val="00A36814"/>
    <w:rsid w:val="00A36FA3"/>
    <w:rsid w:val="00A3716A"/>
    <w:rsid w:val="00A37517"/>
    <w:rsid w:val="00A37F52"/>
    <w:rsid w:val="00A40240"/>
    <w:rsid w:val="00A402EF"/>
    <w:rsid w:val="00A406CA"/>
    <w:rsid w:val="00A4184A"/>
    <w:rsid w:val="00A42494"/>
    <w:rsid w:val="00A42802"/>
    <w:rsid w:val="00A4304F"/>
    <w:rsid w:val="00A4324A"/>
    <w:rsid w:val="00A439FB"/>
    <w:rsid w:val="00A44085"/>
    <w:rsid w:val="00A448BA"/>
    <w:rsid w:val="00A45138"/>
    <w:rsid w:val="00A456A2"/>
    <w:rsid w:val="00A459D1"/>
    <w:rsid w:val="00A45F1A"/>
    <w:rsid w:val="00A46AEA"/>
    <w:rsid w:val="00A473DA"/>
    <w:rsid w:val="00A47491"/>
    <w:rsid w:val="00A47BCC"/>
    <w:rsid w:val="00A5049E"/>
    <w:rsid w:val="00A50607"/>
    <w:rsid w:val="00A506FB"/>
    <w:rsid w:val="00A50ED4"/>
    <w:rsid w:val="00A52C51"/>
    <w:rsid w:val="00A54361"/>
    <w:rsid w:val="00A546B0"/>
    <w:rsid w:val="00A5557D"/>
    <w:rsid w:val="00A55E14"/>
    <w:rsid w:val="00A55ED9"/>
    <w:rsid w:val="00A56005"/>
    <w:rsid w:val="00A5601A"/>
    <w:rsid w:val="00A572EB"/>
    <w:rsid w:val="00A57577"/>
    <w:rsid w:val="00A6008B"/>
    <w:rsid w:val="00A60BE1"/>
    <w:rsid w:val="00A60CA0"/>
    <w:rsid w:val="00A61DF1"/>
    <w:rsid w:val="00A6379E"/>
    <w:rsid w:val="00A64149"/>
    <w:rsid w:val="00A6498B"/>
    <w:rsid w:val="00A664B4"/>
    <w:rsid w:val="00A667C7"/>
    <w:rsid w:val="00A66F26"/>
    <w:rsid w:val="00A7038C"/>
    <w:rsid w:val="00A706A8"/>
    <w:rsid w:val="00A7107D"/>
    <w:rsid w:val="00A71134"/>
    <w:rsid w:val="00A71206"/>
    <w:rsid w:val="00A71623"/>
    <w:rsid w:val="00A71806"/>
    <w:rsid w:val="00A71A06"/>
    <w:rsid w:val="00A71A81"/>
    <w:rsid w:val="00A71B4A"/>
    <w:rsid w:val="00A7228F"/>
    <w:rsid w:val="00A72D46"/>
    <w:rsid w:val="00A7328A"/>
    <w:rsid w:val="00A735FE"/>
    <w:rsid w:val="00A7398B"/>
    <w:rsid w:val="00A73B92"/>
    <w:rsid w:val="00A73EC7"/>
    <w:rsid w:val="00A7453E"/>
    <w:rsid w:val="00A74831"/>
    <w:rsid w:val="00A74B88"/>
    <w:rsid w:val="00A75841"/>
    <w:rsid w:val="00A764BA"/>
    <w:rsid w:val="00A776EB"/>
    <w:rsid w:val="00A77F5D"/>
    <w:rsid w:val="00A80296"/>
    <w:rsid w:val="00A802F3"/>
    <w:rsid w:val="00A815E0"/>
    <w:rsid w:val="00A81C44"/>
    <w:rsid w:val="00A82234"/>
    <w:rsid w:val="00A8299A"/>
    <w:rsid w:val="00A83393"/>
    <w:rsid w:val="00A83AA2"/>
    <w:rsid w:val="00A83F48"/>
    <w:rsid w:val="00A84734"/>
    <w:rsid w:val="00A84CA4"/>
    <w:rsid w:val="00A85E3A"/>
    <w:rsid w:val="00A86127"/>
    <w:rsid w:val="00A86209"/>
    <w:rsid w:val="00A8650E"/>
    <w:rsid w:val="00A8668D"/>
    <w:rsid w:val="00A8754E"/>
    <w:rsid w:val="00A900C9"/>
    <w:rsid w:val="00A9087E"/>
    <w:rsid w:val="00A90C8A"/>
    <w:rsid w:val="00A90DDC"/>
    <w:rsid w:val="00A91141"/>
    <w:rsid w:val="00A92962"/>
    <w:rsid w:val="00A93901"/>
    <w:rsid w:val="00A95129"/>
    <w:rsid w:val="00A952FF"/>
    <w:rsid w:val="00A95AC8"/>
    <w:rsid w:val="00AA0371"/>
    <w:rsid w:val="00AA0375"/>
    <w:rsid w:val="00AA0C1C"/>
    <w:rsid w:val="00AA1213"/>
    <w:rsid w:val="00AA1B96"/>
    <w:rsid w:val="00AA2994"/>
    <w:rsid w:val="00AA2DD3"/>
    <w:rsid w:val="00AA385C"/>
    <w:rsid w:val="00AA46D8"/>
    <w:rsid w:val="00AA4827"/>
    <w:rsid w:val="00AA4C10"/>
    <w:rsid w:val="00AA59BE"/>
    <w:rsid w:val="00AA644F"/>
    <w:rsid w:val="00AB0259"/>
    <w:rsid w:val="00AB11EB"/>
    <w:rsid w:val="00AB1646"/>
    <w:rsid w:val="00AB177E"/>
    <w:rsid w:val="00AB1D77"/>
    <w:rsid w:val="00AB219F"/>
    <w:rsid w:val="00AB2245"/>
    <w:rsid w:val="00AB23E1"/>
    <w:rsid w:val="00AB2EF3"/>
    <w:rsid w:val="00AB3499"/>
    <w:rsid w:val="00AB3776"/>
    <w:rsid w:val="00AB415C"/>
    <w:rsid w:val="00AB46C4"/>
    <w:rsid w:val="00AB4977"/>
    <w:rsid w:val="00AB536F"/>
    <w:rsid w:val="00AB539F"/>
    <w:rsid w:val="00AB5B1D"/>
    <w:rsid w:val="00AB645E"/>
    <w:rsid w:val="00AB7D85"/>
    <w:rsid w:val="00AC0AB2"/>
    <w:rsid w:val="00AC1D76"/>
    <w:rsid w:val="00AC2D50"/>
    <w:rsid w:val="00AC3A64"/>
    <w:rsid w:val="00AC498F"/>
    <w:rsid w:val="00AC5FCB"/>
    <w:rsid w:val="00AC60E5"/>
    <w:rsid w:val="00AC6930"/>
    <w:rsid w:val="00AC6BFA"/>
    <w:rsid w:val="00AC70DB"/>
    <w:rsid w:val="00AC7D72"/>
    <w:rsid w:val="00AD0896"/>
    <w:rsid w:val="00AD1F7B"/>
    <w:rsid w:val="00AD2074"/>
    <w:rsid w:val="00AD24B5"/>
    <w:rsid w:val="00AD28E3"/>
    <w:rsid w:val="00AD31F2"/>
    <w:rsid w:val="00AD3309"/>
    <w:rsid w:val="00AD3928"/>
    <w:rsid w:val="00AD39D2"/>
    <w:rsid w:val="00AD3E27"/>
    <w:rsid w:val="00AD3F12"/>
    <w:rsid w:val="00AD6169"/>
    <w:rsid w:val="00AD6183"/>
    <w:rsid w:val="00AD63EB"/>
    <w:rsid w:val="00AD742E"/>
    <w:rsid w:val="00AD7A09"/>
    <w:rsid w:val="00AD7DE1"/>
    <w:rsid w:val="00AE0580"/>
    <w:rsid w:val="00AE0706"/>
    <w:rsid w:val="00AE0D12"/>
    <w:rsid w:val="00AE0EFC"/>
    <w:rsid w:val="00AE0F15"/>
    <w:rsid w:val="00AE2DD9"/>
    <w:rsid w:val="00AE3589"/>
    <w:rsid w:val="00AE372A"/>
    <w:rsid w:val="00AE4117"/>
    <w:rsid w:val="00AE4A09"/>
    <w:rsid w:val="00AE608B"/>
    <w:rsid w:val="00AE6176"/>
    <w:rsid w:val="00AE62D8"/>
    <w:rsid w:val="00AE78D4"/>
    <w:rsid w:val="00AE7FA5"/>
    <w:rsid w:val="00AF03B8"/>
    <w:rsid w:val="00AF05EF"/>
    <w:rsid w:val="00AF0858"/>
    <w:rsid w:val="00AF1D9D"/>
    <w:rsid w:val="00AF367E"/>
    <w:rsid w:val="00AF3AB1"/>
    <w:rsid w:val="00AF405F"/>
    <w:rsid w:val="00AF5606"/>
    <w:rsid w:val="00AF587F"/>
    <w:rsid w:val="00AF731F"/>
    <w:rsid w:val="00AF74BF"/>
    <w:rsid w:val="00AF758E"/>
    <w:rsid w:val="00AF78F8"/>
    <w:rsid w:val="00B019CB"/>
    <w:rsid w:val="00B01F98"/>
    <w:rsid w:val="00B02C2A"/>
    <w:rsid w:val="00B02DA4"/>
    <w:rsid w:val="00B03215"/>
    <w:rsid w:val="00B0441A"/>
    <w:rsid w:val="00B05EED"/>
    <w:rsid w:val="00B060EE"/>
    <w:rsid w:val="00B06309"/>
    <w:rsid w:val="00B06BDB"/>
    <w:rsid w:val="00B102D1"/>
    <w:rsid w:val="00B10560"/>
    <w:rsid w:val="00B10A26"/>
    <w:rsid w:val="00B10D58"/>
    <w:rsid w:val="00B117A9"/>
    <w:rsid w:val="00B12F72"/>
    <w:rsid w:val="00B1311B"/>
    <w:rsid w:val="00B132FD"/>
    <w:rsid w:val="00B1460B"/>
    <w:rsid w:val="00B1487F"/>
    <w:rsid w:val="00B149A3"/>
    <w:rsid w:val="00B14B16"/>
    <w:rsid w:val="00B14C71"/>
    <w:rsid w:val="00B1552C"/>
    <w:rsid w:val="00B168D7"/>
    <w:rsid w:val="00B16B54"/>
    <w:rsid w:val="00B17C0C"/>
    <w:rsid w:val="00B20284"/>
    <w:rsid w:val="00B20351"/>
    <w:rsid w:val="00B20754"/>
    <w:rsid w:val="00B20C80"/>
    <w:rsid w:val="00B2101F"/>
    <w:rsid w:val="00B2190D"/>
    <w:rsid w:val="00B224B3"/>
    <w:rsid w:val="00B230DF"/>
    <w:rsid w:val="00B23AF1"/>
    <w:rsid w:val="00B23F5F"/>
    <w:rsid w:val="00B241DA"/>
    <w:rsid w:val="00B24318"/>
    <w:rsid w:val="00B24CFF"/>
    <w:rsid w:val="00B25C3E"/>
    <w:rsid w:val="00B26003"/>
    <w:rsid w:val="00B263A4"/>
    <w:rsid w:val="00B26ED5"/>
    <w:rsid w:val="00B27335"/>
    <w:rsid w:val="00B2779E"/>
    <w:rsid w:val="00B31179"/>
    <w:rsid w:val="00B31ABF"/>
    <w:rsid w:val="00B31B03"/>
    <w:rsid w:val="00B321C1"/>
    <w:rsid w:val="00B3360B"/>
    <w:rsid w:val="00B3384D"/>
    <w:rsid w:val="00B3413E"/>
    <w:rsid w:val="00B34AEF"/>
    <w:rsid w:val="00B351C1"/>
    <w:rsid w:val="00B359CF"/>
    <w:rsid w:val="00B35FC7"/>
    <w:rsid w:val="00B368D9"/>
    <w:rsid w:val="00B36AC5"/>
    <w:rsid w:val="00B36C33"/>
    <w:rsid w:val="00B36EF4"/>
    <w:rsid w:val="00B378B4"/>
    <w:rsid w:val="00B3799C"/>
    <w:rsid w:val="00B40D3F"/>
    <w:rsid w:val="00B42860"/>
    <w:rsid w:val="00B42B6E"/>
    <w:rsid w:val="00B42CB2"/>
    <w:rsid w:val="00B444E3"/>
    <w:rsid w:val="00B4509C"/>
    <w:rsid w:val="00B45117"/>
    <w:rsid w:val="00B45B39"/>
    <w:rsid w:val="00B4660B"/>
    <w:rsid w:val="00B46B9A"/>
    <w:rsid w:val="00B501CF"/>
    <w:rsid w:val="00B50288"/>
    <w:rsid w:val="00B5039B"/>
    <w:rsid w:val="00B5086D"/>
    <w:rsid w:val="00B50A70"/>
    <w:rsid w:val="00B51861"/>
    <w:rsid w:val="00B52C0F"/>
    <w:rsid w:val="00B53BEC"/>
    <w:rsid w:val="00B548CE"/>
    <w:rsid w:val="00B54BD6"/>
    <w:rsid w:val="00B54D23"/>
    <w:rsid w:val="00B54F94"/>
    <w:rsid w:val="00B55C4F"/>
    <w:rsid w:val="00B55DEE"/>
    <w:rsid w:val="00B56555"/>
    <w:rsid w:val="00B565AE"/>
    <w:rsid w:val="00B57017"/>
    <w:rsid w:val="00B57155"/>
    <w:rsid w:val="00B57775"/>
    <w:rsid w:val="00B602AA"/>
    <w:rsid w:val="00B608EC"/>
    <w:rsid w:val="00B615A2"/>
    <w:rsid w:val="00B617C2"/>
    <w:rsid w:val="00B61DC3"/>
    <w:rsid w:val="00B62A3A"/>
    <w:rsid w:val="00B62EA7"/>
    <w:rsid w:val="00B63B9D"/>
    <w:rsid w:val="00B64ABB"/>
    <w:rsid w:val="00B6591E"/>
    <w:rsid w:val="00B65B88"/>
    <w:rsid w:val="00B65DC6"/>
    <w:rsid w:val="00B65FAD"/>
    <w:rsid w:val="00B6629A"/>
    <w:rsid w:val="00B66892"/>
    <w:rsid w:val="00B673CC"/>
    <w:rsid w:val="00B706E1"/>
    <w:rsid w:val="00B7081B"/>
    <w:rsid w:val="00B7103B"/>
    <w:rsid w:val="00B7178E"/>
    <w:rsid w:val="00B72AAE"/>
    <w:rsid w:val="00B72CFD"/>
    <w:rsid w:val="00B737FE"/>
    <w:rsid w:val="00B73AB6"/>
    <w:rsid w:val="00B73D7C"/>
    <w:rsid w:val="00B74C91"/>
    <w:rsid w:val="00B750B9"/>
    <w:rsid w:val="00B767AA"/>
    <w:rsid w:val="00B8003E"/>
    <w:rsid w:val="00B802F8"/>
    <w:rsid w:val="00B80A92"/>
    <w:rsid w:val="00B82667"/>
    <w:rsid w:val="00B82734"/>
    <w:rsid w:val="00B82FF9"/>
    <w:rsid w:val="00B83CD5"/>
    <w:rsid w:val="00B83D23"/>
    <w:rsid w:val="00B8451B"/>
    <w:rsid w:val="00B84831"/>
    <w:rsid w:val="00B84964"/>
    <w:rsid w:val="00B85676"/>
    <w:rsid w:val="00B85896"/>
    <w:rsid w:val="00B8635D"/>
    <w:rsid w:val="00B86501"/>
    <w:rsid w:val="00B87418"/>
    <w:rsid w:val="00B87810"/>
    <w:rsid w:val="00B90D14"/>
    <w:rsid w:val="00B92EF5"/>
    <w:rsid w:val="00B93A06"/>
    <w:rsid w:val="00B93ED5"/>
    <w:rsid w:val="00B94166"/>
    <w:rsid w:val="00B94249"/>
    <w:rsid w:val="00B94CE2"/>
    <w:rsid w:val="00B9503C"/>
    <w:rsid w:val="00B96490"/>
    <w:rsid w:val="00B96EAB"/>
    <w:rsid w:val="00BA0B99"/>
    <w:rsid w:val="00BA0FD6"/>
    <w:rsid w:val="00BA2CFA"/>
    <w:rsid w:val="00BA32B4"/>
    <w:rsid w:val="00BA3F7E"/>
    <w:rsid w:val="00BA4B75"/>
    <w:rsid w:val="00BA4F21"/>
    <w:rsid w:val="00BA53C3"/>
    <w:rsid w:val="00BA5EA6"/>
    <w:rsid w:val="00BA60DC"/>
    <w:rsid w:val="00BA65AC"/>
    <w:rsid w:val="00BA6D16"/>
    <w:rsid w:val="00BA6EB1"/>
    <w:rsid w:val="00BA6EDA"/>
    <w:rsid w:val="00BB272F"/>
    <w:rsid w:val="00BB29F6"/>
    <w:rsid w:val="00BB30F0"/>
    <w:rsid w:val="00BB37A8"/>
    <w:rsid w:val="00BB3854"/>
    <w:rsid w:val="00BB395A"/>
    <w:rsid w:val="00BB3A85"/>
    <w:rsid w:val="00BB4531"/>
    <w:rsid w:val="00BB45EB"/>
    <w:rsid w:val="00BB46C4"/>
    <w:rsid w:val="00BB4F3B"/>
    <w:rsid w:val="00BB54E0"/>
    <w:rsid w:val="00BB5D57"/>
    <w:rsid w:val="00BB69A7"/>
    <w:rsid w:val="00BB6B5E"/>
    <w:rsid w:val="00BB708D"/>
    <w:rsid w:val="00BB7DD5"/>
    <w:rsid w:val="00BC0AC9"/>
    <w:rsid w:val="00BC14A9"/>
    <w:rsid w:val="00BC16E5"/>
    <w:rsid w:val="00BC1C6B"/>
    <w:rsid w:val="00BC2B21"/>
    <w:rsid w:val="00BC442A"/>
    <w:rsid w:val="00BC628E"/>
    <w:rsid w:val="00BC76AF"/>
    <w:rsid w:val="00BC7B8E"/>
    <w:rsid w:val="00BC7BB9"/>
    <w:rsid w:val="00BC7C6D"/>
    <w:rsid w:val="00BD046B"/>
    <w:rsid w:val="00BD05F5"/>
    <w:rsid w:val="00BD087E"/>
    <w:rsid w:val="00BD0B0A"/>
    <w:rsid w:val="00BD0E31"/>
    <w:rsid w:val="00BD0FD5"/>
    <w:rsid w:val="00BD16D3"/>
    <w:rsid w:val="00BD19F1"/>
    <w:rsid w:val="00BD20AF"/>
    <w:rsid w:val="00BD2CDE"/>
    <w:rsid w:val="00BD2E6A"/>
    <w:rsid w:val="00BD39BE"/>
    <w:rsid w:val="00BD3F7A"/>
    <w:rsid w:val="00BD4146"/>
    <w:rsid w:val="00BD48E4"/>
    <w:rsid w:val="00BD6612"/>
    <w:rsid w:val="00BD696F"/>
    <w:rsid w:val="00BD6C2C"/>
    <w:rsid w:val="00BD7A0B"/>
    <w:rsid w:val="00BD7B7E"/>
    <w:rsid w:val="00BE2107"/>
    <w:rsid w:val="00BE279E"/>
    <w:rsid w:val="00BE27CA"/>
    <w:rsid w:val="00BE287A"/>
    <w:rsid w:val="00BE2A9B"/>
    <w:rsid w:val="00BE3005"/>
    <w:rsid w:val="00BE3786"/>
    <w:rsid w:val="00BE4CFA"/>
    <w:rsid w:val="00BE551F"/>
    <w:rsid w:val="00BE5AD5"/>
    <w:rsid w:val="00BE5E88"/>
    <w:rsid w:val="00BE65C8"/>
    <w:rsid w:val="00BE6740"/>
    <w:rsid w:val="00BE67A7"/>
    <w:rsid w:val="00BE6E4E"/>
    <w:rsid w:val="00BE7DED"/>
    <w:rsid w:val="00BF025A"/>
    <w:rsid w:val="00BF0BFC"/>
    <w:rsid w:val="00BF0D05"/>
    <w:rsid w:val="00BF20B9"/>
    <w:rsid w:val="00BF214C"/>
    <w:rsid w:val="00BF3052"/>
    <w:rsid w:val="00BF3327"/>
    <w:rsid w:val="00BF3714"/>
    <w:rsid w:val="00BF382B"/>
    <w:rsid w:val="00BF3BA3"/>
    <w:rsid w:val="00BF45AD"/>
    <w:rsid w:val="00BF5118"/>
    <w:rsid w:val="00BF5228"/>
    <w:rsid w:val="00BF59DF"/>
    <w:rsid w:val="00BF68E0"/>
    <w:rsid w:val="00BF6A6B"/>
    <w:rsid w:val="00BF6BD6"/>
    <w:rsid w:val="00BF781F"/>
    <w:rsid w:val="00C0032C"/>
    <w:rsid w:val="00C004CC"/>
    <w:rsid w:val="00C00A9E"/>
    <w:rsid w:val="00C029A6"/>
    <w:rsid w:val="00C03D6D"/>
    <w:rsid w:val="00C04380"/>
    <w:rsid w:val="00C04F7C"/>
    <w:rsid w:val="00C059F6"/>
    <w:rsid w:val="00C05A13"/>
    <w:rsid w:val="00C06276"/>
    <w:rsid w:val="00C06B9E"/>
    <w:rsid w:val="00C0742F"/>
    <w:rsid w:val="00C07D29"/>
    <w:rsid w:val="00C10145"/>
    <w:rsid w:val="00C108BC"/>
    <w:rsid w:val="00C11379"/>
    <w:rsid w:val="00C116D9"/>
    <w:rsid w:val="00C12447"/>
    <w:rsid w:val="00C124EC"/>
    <w:rsid w:val="00C128FE"/>
    <w:rsid w:val="00C12EDE"/>
    <w:rsid w:val="00C144F4"/>
    <w:rsid w:val="00C147D1"/>
    <w:rsid w:val="00C157E9"/>
    <w:rsid w:val="00C15AD1"/>
    <w:rsid w:val="00C166EB"/>
    <w:rsid w:val="00C16A11"/>
    <w:rsid w:val="00C17209"/>
    <w:rsid w:val="00C17825"/>
    <w:rsid w:val="00C17E72"/>
    <w:rsid w:val="00C217D4"/>
    <w:rsid w:val="00C21F2F"/>
    <w:rsid w:val="00C2211B"/>
    <w:rsid w:val="00C22B41"/>
    <w:rsid w:val="00C2366E"/>
    <w:rsid w:val="00C23884"/>
    <w:rsid w:val="00C23ECA"/>
    <w:rsid w:val="00C2564C"/>
    <w:rsid w:val="00C25891"/>
    <w:rsid w:val="00C2590B"/>
    <w:rsid w:val="00C25A1B"/>
    <w:rsid w:val="00C25AE9"/>
    <w:rsid w:val="00C27561"/>
    <w:rsid w:val="00C27A8F"/>
    <w:rsid w:val="00C30353"/>
    <w:rsid w:val="00C31018"/>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04E2"/>
    <w:rsid w:val="00C411DB"/>
    <w:rsid w:val="00C41CD2"/>
    <w:rsid w:val="00C43A43"/>
    <w:rsid w:val="00C43C38"/>
    <w:rsid w:val="00C44DAD"/>
    <w:rsid w:val="00C44E18"/>
    <w:rsid w:val="00C46428"/>
    <w:rsid w:val="00C46F57"/>
    <w:rsid w:val="00C50364"/>
    <w:rsid w:val="00C504F3"/>
    <w:rsid w:val="00C510BF"/>
    <w:rsid w:val="00C51363"/>
    <w:rsid w:val="00C51968"/>
    <w:rsid w:val="00C51EE1"/>
    <w:rsid w:val="00C52233"/>
    <w:rsid w:val="00C5290D"/>
    <w:rsid w:val="00C52BA3"/>
    <w:rsid w:val="00C5336F"/>
    <w:rsid w:val="00C53D03"/>
    <w:rsid w:val="00C53E61"/>
    <w:rsid w:val="00C53FC4"/>
    <w:rsid w:val="00C540B3"/>
    <w:rsid w:val="00C5423A"/>
    <w:rsid w:val="00C546F6"/>
    <w:rsid w:val="00C546FD"/>
    <w:rsid w:val="00C5530D"/>
    <w:rsid w:val="00C56000"/>
    <w:rsid w:val="00C56F6A"/>
    <w:rsid w:val="00C572BF"/>
    <w:rsid w:val="00C57831"/>
    <w:rsid w:val="00C60128"/>
    <w:rsid w:val="00C603E8"/>
    <w:rsid w:val="00C60E0F"/>
    <w:rsid w:val="00C6103E"/>
    <w:rsid w:val="00C619D0"/>
    <w:rsid w:val="00C628C6"/>
    <w:rsid w:val="00C62C59"/>
    <w:rsid w:val="00C63541"/>
    <w:rsid w:val="00C63EB5"/>
    <w:rsid w:val="00C643D4"/>
    <w:rsid w:val="00C649B9"/>
    <w:rsid w:val="00C64A8C"/>
    <w:rsid w:val="00C652C2"/>
    <w:rsid w:val="00C653B5"/>
    <w:rsid w:val="00C659C4"/>
    <w:rsid w:val="00C65BC6"/>
    <w:rsid w:val="00C6715A"/>
    <w:rsid w:val="00C67C1C"/>
    <w:rsid w:val="00C67C57"/>
    <w:rsid w:val="00C70116"/>
    <w:rsid w:val="00C701E5"/>
    <w:rsid w:val="00C702A9"/>
    <w:rsid w:val="00C70C37"/>
    <w:rsid w:val="00C71251"/>
    <w:rsid w:val="00C7205F"/>
    <w:rsid w:val="00C729AB"/>
    <w:rsid w:val="00C74F21"/>
    <w:rsid w:val="00C7593F"/>
    <w:rsid w:val="00C759C9"/>
    <w:rsid w:val="00C75CCD"/>
    <w:rsid w:val="00C7685C"/>
    <w:rsid w:val="00C7753F"/>
    <w:rsid w:val="00C776E3"/>
    <w:rsid w:val="00C80A6B"/>
    <w:rsid w:val="00C80BDE"/>
    <w:rsid w:val="00C80C05"/>
    <w:rsid w:val="00C815CB"/>
    <w:rsid w:val="00C826F3"/>
    <w:rsid w:val="00C83444"/>
    <w:rsid w:val="00C836BF"/>
    <w:rsid w:val="00C83C63"/>
    <w:rsid w:val="00C84490"/>
    <w:rsid w:val="00C8466C"/>
    <w:rsid w:val="00C84E84"/>
    <w:rsid w:val="00C85787"/>
    <w:rsid w:val="00C86224"/>
    <w:rsid w:val="00C86E8A"/>
    <w:rsid w:val="00C878B0"/>
    <w:rsid w:val="00C90253"/>
    <w:rsid w:val="00C93300"/>
    <w:rsid w:val="00C93805"/>
    <w:rsid w:val="00C94785"/>
    <w:rsid w:val="00C94810"/>
    <w:rsid w:val="00C94BE5"/>
    <w:rsid w:val="00C94DB7"/>
    <w:rsid w:val="00C96A12"/>
    <w:rsid w:val="00C97389"/>
    <w:rsid w:val="00C97EB3"/>
    <w:rsid w:val="00CA1CFF"/>
    <w:rsid w:val="00CA1FD0"/>
    <w:rsid w:val="00CA4ADF"/>
    <w:rsid w:val="00CA5ACE"/>
    <w:rsid w:val="00CA5C20"/>
    <w:rsid w:val="00CA7627"/>
    <w:rsid w:val="00CA7D12"/>
    <w:rsid w:val="00CB0A28"/>
    <w:rsid w:val="00CB0FAB"/>
    <w:rsid w:val="00CB149B"/>
    <w:rsid w:val="00CB159B"/>
    <w:rsid w:val="00CB16A2"/>
    <w:rsid w:val="00CB25B2"/>
    <w:rsid w:val="00CB2888"/>
    <w:rsid w:val="00CB3A14"/>
    <w:rsid w:val="00CB4088"/>
    <w:rsid w:val="00CB4EC9"/>
    <w:rsid w:val="00CB53C6"/>
    <w:rsid w:val="00CB58C7"/>
    <w:rsid w:val="00CB6C71"/>
    <w:rsid w:val="00CB745A"/>
    <w:rsid w:val="00CC000A"/>
    <w:rsid w:val="00CC004C"/>
    <w:rsid w:val="00CC0269"/>
    <w:rsid w:val="00CC0593"/>
    <w:rsid w:val="00CC05B1"/>
    <w:rsid w:val="00CC084C"/>
    <w:rsid w:val="00CC1475"/>
    <w:rsid w:val="00CC157E"/>
    <w:rsid w:val="00CC2BBA"/>
    <w:rsid w:val="00CC3253"/>
    <w:rsid w:val="00CC3AA3"/>
    <w:rsid w:val="00CC4422"/>
    <w:rsid w:val="00CC458A"/>
    <w:rsid w:val="00CC5634"/>
    <w:rsid w:val="00CC5F62"/>
    <w:rsid w:val="00CC6169"/>
    <w:rsid w:val="00CC717E"/>
    <w:rsid w:val="00CC7563"/>
    <w:rsid w:val="00CC767D"/>
    <w:rsid w:val="00CD0A0F"/>
    <w:rsid w:val="00CD0B22"/>
    <w:rsid w:val="00CD1F17"/>
    <w:rsid w:val="00CD2CCD"/>
    <w:rsid w:val="00CD42AF"/>
    <w:rsid w:val="00CD5027"/>
    <w:rsid w:val="00CD5F15"/>
    <w:rsid w:val="00CE01EF"/>
    <w:rsid w:val="00CE056C"/>
    <w:rsid w:val="00CE0F29"/>
    <w:rsid w:val="00CE1A20"/>
    <w:rsid w:val="00CE252A"/>
    <w:rsid w:val="00CE43D4"/>
    <w:rsid w:val="00CE47F9"/>
    <w:rsid w:val="00CE49AD"/>
    <w:rsid w:val="00CE5163"/>
    <w:rsid w:val="00CE538B"/>
    <w:rsid w:val="00CE5824"/>
    <w:rsid w:val="00CE60BA"/>
    <w:rsid w:val="00CE63D4"/>
    <w:rsid w:val="00CE6D9D"/>
    <w:rsid w:val="00CE6DAD"/>
    <w:rsid w:val="00CE6E99"/>
    <w:rsid w:val="00CF02AB"/>
    <w:rsid w:val="00CF146F"/>
    <w:rsid w:val="00CF14E4"/>
    <w:rsid w:val="00CF1B21"/>
    <w:rsid w:val="00CF2166"/>
    <w:rsid w:val="00CF2674"/>
    <w:rsid w:val="00CF2906"/>
    <w:rsid w:val="00CF2C96"/>
    <w:rsid w:val="00CF462B"/>
    <w:rsid w:val="00CF5569"/>
    <w:rsid w:val="00CF57F4"/>
    <w:rsid w:val="00CF6AC6"/>
    <w:rsid w:val="00CF726C"/>
    <w:rsid w:val="00CF7284"/>
    <w:rsid w:val="00CF74D0"/>
    <w:rsid w:val="00CF7615"/>
    <w:rsid w:val="00D00456"/>
    <w:rsid w:val="00D00B64"/>
    <w:rsid w:val="00D00EE1"/>
    <w:rsid w:val="00D0188E"/>
    <w:rsid w:val="00D020AF"/>
    <w:rsid w:val="00D021F0"/>
    <w:rsid w:val="00D032AF"/>
    <w:rsid w:val="00D03CEC"/>
    <w:rsid w:val="00D04FD6"/>
    <w:rsid w:val="00D04FEC"/>
    <w:rsid w:val="00D057B9"/>
    <w:rsid w:val="00D0596C"/>
    <w:rsid w:val="00D062B9"/>
    <w:rsid w:val="00D0671C"/>
    <w:rsid w:val="00D070AB"/>
    <w:rsid w:val="00D072AE"/>
    <w:rsid w:val="00D0744A"/>
    <w:rsid w:val="00D074CB"/>
    <w:rsid w:val="00D07532"/>
    <w:rsid w:val="00D076E8"/>
    <w:rsid w:val="00D07F3C"/>
    <w:rsid w:val="00D07F93"/>
    <w:rsid w:val="00D100A1"/>
    <w:rsid w:val="00D10AD4"/>
    <w:rsid w:val="00D1223C"/>
    <w:rsid w:val="00D12BAF"/>
    <w:rsid w:val="00D12DFC"/>
    <w:rsid w:val="00D14A4E"/>
    <w:rsid w:val="00D14FC2"/>
    <w:rsid w:val="00D15A6D"/>
    <w:rsid w:val="00D15F68"/>
    <w:rsid w:val="00D164B1"/>
    <w:rsid w:val="00D169D8"/>
    <w:rsid w:val="00D16D48"/>
    <w:rsid w:val="00D16D4F"/>
    <w:rsid w:val="00D1736A"/>
    <w:rsid w:val="00D175CD"/>
    <w:rsid w:val="00D204E5"/>
    <w:rsid w:val="00D20E87"/>
    <w:rsid w:val="00D22267"/>
    <w:rsid w:val="00D2275E"/>
    <w:rsid w:val="00D22898"/>
    <w:rsid w:val="00D22A04"/>
    <w:rsid w:val="00D230B6"/>
    <w:rsid w:val="00D23CB8"/>
    <w:rsid w:val="00D2428E"/>
    <w:rsid w:val="00D255E2"/>
    <w:rsid w:val="00D26388"/>
    <w:rsid w:val="00D26AD5"/>
    <w:rsid w:val="00D26B94"/>
    <w:rsid w:val="00D27332"/>
    <w:rsid w:val="00D278C5"/>
    <w:rsid w:val="00D27E5D"/>
    <w:rsid w:val="00D301B5"/>
    <w:rsid w:val="00D30C1B"/>
    <w:rsid w:val="00D3117F"/>
    <w:rsid w:val="00D31E38"/>
    <w:rsid w:val="00D3207B"/>
    <w:rsid w:val="00D34386"/>
    <w:rsid w:val="00D34CAE"/>
    <w:rsid w:val="00D35509"/>
    <w:rsid w:val="00D35A39"/>
    <w:rsid w:val="00D3694B"/>
    <w:rsid w:val="00D36DA9"/>
    <w:rsid w:val="00D37595"/>
    <w:rsid w:val="00D40F50"/>
    <w:rsid w:val="00D41DE6"/>
    <w:rsid w:val="00D4254D"/>
    <w:rsid w:val="00D42E57"/>
    <w:rsid w:val="00D433CD"/>
    <w:rsid w:val="00D4387F"/>
    <w:rsid w:val="00D44386"/>
    <w:rsid w:val="00D4478D"/>
    <w:rsid w:val="00D4499F"/>
    <w:rsid w:val="00D44C83"/>
    <w:rsid w:val="00D450B6"/>
    <w:rsid w:val="00D4528C"/>
    <w:rsid w:val="00D4542D"/>
    <w:rsid w:val="00D45EA0"/>
    <w:rsid w:val="00D5035A"/>
    <w:rsid w:val="00D51281"/>
    <w:rsid w:val="00D51B06"/>
    <w:rsid w:val="00D537D5"/>
    <w:rsid w:val="00D53C64"/>
    <w:rsid w:val="00D54F36"/>
    <w:rsid w:val="00D54FEB"/>
    <w:rsid w:val="00D55D7C"/>
    <w:rsid w:val="00D562B3"/>
    <w:rsid w:val="00D574AB"/>
    <w:rsid w:val="00D5754A"/>
    <w:rsid w:val="00D57F95"/>
    <w:rsid w:val="00D60AB8"/>
    <w:rsid w:val="00D61C1D"/>
    <w:rsid w:val="00D62A67"/>
    <w:rsid w:val="00D62AFA"/>
    <w:rsid w:val="00D63209"/>
    <w:rsid w:val="00D63456"/>
    <w:rsid w:val="00D63463"/>
    <w:rsid w:val="00D6389C"/>
    <w:rsid w:val="00D63B19"/>
    <w:rsid w:val="00D6463C"/>
    <w:rsid w:val="00D64CB3"/>
    <w:rsid w:val="00D65127"/>
    <w:rsid w:val="00D65A1B"/>
    <w:rsid w:val="00D65C38"/>
    <w:rsid w:val="00D65CA3"/>
    <w:rsid w:val="00D676ED"/>
    <w:rsid w:val="00D67DC5"/>
    <w:rsid w:val="00D70028"/>
    <w:rsid w:val="00D705DD"/>
    <w:rsid w:val="00D71FE9"/>
    <w:rsid w:val="00D725C0"/>
    <w:rsid w:val="00D733F6"/>
    <w:rsid w:val="00D7373F"/>
    <w:rsid w:val="00D7429A"/>
    <w:rsid w:val="00D749D6"/>
    <w:rsid w:val="00D74C2E"/>
    <w:rsid w:val="00D74E9D"/>
    <w:rsid w:val="00D75C27"/>
    <w:rsid w:val="00D77148"/>
    <w:rsid w:val="00D77D54"/>
    <w:rsid w:val="00D77E34"/>
    <w:rsid w:val="00D810C5"/>
    <w:rsid w:val="00D82995"/>
    <w:rsid w:val="00D82DF2"/>
    <w:rsid w:val="00D83EC2"/>
    <w:rsid w:val="00D83F8C"/>
    <w:rsid w:val="00D8494A"/>
    <w:rsid w:val="00D84E34"/>
    <w:rsid w:val="00D85F10"/>
    <w:rsid w:val="00D86F20"/>
    <w:rsid w:val="00D8714D"/>
    <w:rsid w:val="00D87689"/>
    <w:rsid w:val="00D90577"/>
    <w:rsid w:val="00D913BC"/>
    <w:rsid w:val="00D92B92"/>
    <w:rsid w:val="00D92F19"/>
    <w:rsid w:val="00D93403"/>
    <w:rsid w:val="00D9367D"/>
    <w:rsid w:val="00D94719"/>
    <w:rsid w:val="00D94F47"/>
    <w:rsid w:val="00D95543"/>
    <w:rsid w:val="00D958B4"/>
    <w:rsid w:val="00D967B2"/>
    <w:rsid w:val="00D96D08"/>
    <w:rsid w:val="00D97031"/>
    <w:rsid w:val="00DA100A"/>
    <w:rsid w:val="00DA14AE"/>
    <w:rsid w:val="00DA182E"/>
    <w:rsid w:val="00DA1EA5"/>
    <w:rsid w:val="00DA21F6"/>
    <w:rsid w:val="00DA310C"/>
    <w:rsid w:val="00DA339A"/>
    <w:rsid w:val="00DA3BA1"/>
    <w:rsid w:val="00DA43F0"/>
    <w:rsid w:val="00DA5F4A"/>
    <w:rsid w:val="00DA5F70"/>
    <w:rsid w:val="00DA6562"/>
    <w:rsid w:val="00DA6C40"/>
    <w:rsid w:val="00DA774A"/>
    <w:rsid w:val="00DA78DD"/>
    <w:rsid w:val="00DB1F2B"/>
    <w:rsid w:val="00DB287A"/>
    <w:rsid w:val="00DB3FAC"/>
    <w:rsid w:val="00DB426A"/>
    <w:rsid w:val="00DB4549"/>
    <w:rsid w:val="00DB4913"/>
    <w:rsid w:val="00DB5819"/>
    <w:rsid w:val="00DB5C42"/>
    <w:rsid w:val="00DB5CDD"/>
    <w:rsid w:val="00DB6494"/>
    <w:rsid w:val="00DB663D"/>
    <w:rsid w:val="00DB695B"/>
    <w:rsid w:val="00DB71D2"/>
    <w:rsid w:val="00DB7F40"/>
    <w:rsid w:val="00DC1820"/>
    <w:rsid w:val="00DC19AF"/>
    <w:rsid w:val="00DC1BCD"/>
    <w:rsid w:val="00DC2A1D"/>
    <w:rsid w:val="00DC35BA"/>
    <w:rsid w:val="00DC39EE"/>
    <w:rsid w:val="00DC4245"/>
    <w:rsid w:val="00DC4884"/>
    <w:rsid w:val="00DC4AD7"/>
    <w:rsid w:val="00DC55D6"/>
    <w:rsid w:val="00DC6DFA"/>
    <w:rsid w:val="00DC6F1C"/>
    <w:rsid w:val="00DD0339"/>
    <w:rsid w:val="00DD0810"/>
    <w:rsid w:val="00DD092D"/>
    <w:rsid w:val="00DD0AC3"/>
    <w:rsid w:val="00DD159B"/>
    <w:rsid w:val="00DD2218"/>
    <w:rsid w:val="00DD22BF"/>
    <w:rsid w:val="00DD233E"/>
    <w:rsid w:val="00DD38DB"/>
    <w:rsid w:val="00DD3C0D"/>
    <w:rsid w:val="00DD3FD5"/>
    <w:rsid w:val="00DD5A96"/>
    <w:rsid w:val="00DD5C67"/>
    <w:rsid w:val="00DD60E3"/>
    <w:rsid w:val="00DD61AF"/>
    <w:rsid w:val="00DD7738"/>
    <w:rsid w:val="00DD793E"/>
    <w:rsid w:val="00DD7F67"/>
    <w:rsid w:val="00DE0201"/>
    <w:rsid w:val="00DE05CF"/>
    <w:rsid w:val="00DE0D43"/>
    <w:rsid w:val="00DE1724"/>
    <w:rsid w:val="00DE2109"/>
    <w:rsid w:val="00DE2868"/>
    <w:rsid w:val="00DE445A"/>
    <w:rsid w:val="00DE4C0D"/>
    <w:rsid w:val="00DE4C18"/>
    <w:rsid w:val="00DE5CF4"/>
    <w:rsid w:val="00DE60BA"/>
    <w:rsid w:val="00DE6B9E"/>
    <w:rsid w:val="00DE6E47"/>
    <w:rsid w:val="00DF0789"/>
    <w:rsid w:val="00DF2012"/>
    <w:rsid w:val="00DF29CE"/>
    <w:rsid w:val="00DF333C"/>
    <w:rsid w:val="00DF383A"/>
    <w:rsid w:val="00DF38B2"/>
    <w:rsid w:val="00DF3C44"/>
    <w:rsid w:val="00DF3FFB"/>
    <w:rsid w:val="00DF5CED"/>
    <w:rsid w:val="00DF5EFD"/>
    <w:rsid w:val="00DF637B"/>
    <w:rsid w:val="00DF69C8"/>
    <w:rsid w:val="00DF72B5"/>
    <w:rsid w:val="00E008C0"/>
    <w:rsid w:val="00E009BF"/>
    <w:rsid w:val="00E00BAF"/>
    <w:rsid w:val="00E00BF7"/>
    <w:rsid w:val="00E00D3D"/>
    <w:rsid w:val="00E02AC9"/>
    <w:rsid w:val="00E02D3F"/>
    <w:rsid w:val="00E03219"/>
    <w:rsid w:val="00E03993"/>
    <w:rsid w:val="00E04E9B"/>
    <w:rsid w:val="00E05E74"/>
    <w:rsid w:val="00E0741E"/>
    <w:rsid w:val="00E11EEE"/>
    <w:rsid w:val="00E12BEC"/>
    <w:rsid w:val="00E1311F"/>
    <w:rsid w:val="00E132E1"/>
    <w:rsid w:val="00E13E3A"/>
    <w:rsid w:val="00E13EED"/>
    <w:rsid w:val="00E15BED"/>
    <w:rsid w:val="00E15CBC"/>
    <w:rsid w:val="00E15E86"/>
    <w:rsid w:val="00E162FF"/>
    <w:rsid w:val="00E16932"/>
    <w:rsid w:val="00E169A8"/>
    <w:rsid w:val="00E17B4D"/>
    <w:rsid w:val="00E17E6C"/>
    <w:rsid w:val="00E20B50"/>
    <w:rsid w:val="00E227B6"/>
    <w:rsid w:val="00E22AF5"/>
    <w:rsid w:val="00E23548"/>
    <w:rsid w:val="00E23628"/>
    <w:rsid w:val="00E23C2A"/>
    <w:rsid w:val="00E24081"/>
    <w:rsid w:val="00E240EB"/>
    <w:rsid w:val="00E24AAB"/>
    <w:rsid w:val="00E24D06"/>
    <w:rsid w:val="00E253EF"/>
    <w:rsid w:val="00E25E4F"/>
    <w:rsid w:val="00E2664E"/>
    <w:rsid w:val="00E3013A"/>
    <w:rsid w:val="00E30C9C"/>
    <w:rsid w:val="00E31F9B"/>
    <w:rsid w:val="00E3290D"/>
    <w:rsid w:val="00E32BD7"/>
    <w:rsid w:val="00E3372E"/>
    <w:rsid w:val="00E341CD"/>
    <w:rsid w:val="00E3452A"/>
    <w:rsid w:val="00E348C0"/>
    <w:rsid w:val="00E3522D"/>
    <w:rsid w:val="00E356CC"/>
    <w:rsid w:val="00E36237"/>
    <w:rsid w:val="00E376D3"/>
    <w:rsid w:val="00E37729"/>
    <w:rsid w:val="00E40532"/>
    <w:rsid w:val="00E40535"/>
    <w:rsid w:val="00E41219"/>
    <w:rsid w:val="00E42771"/>
    <w:rsid w:val="00E42957"/>
    <w:rsid w:val="00E42BB1"/>
    <w:rsid w:val="00E450A4"/>
    <w:rsid w:val="00E456FA"/>
    <w:rsid w:val="00E457E4"/>
    <w:rsid w:val="00E459C5"/>
    <w:rsid w:val="00E45C5A"/>
    <w:rsid w:val="00E45D5E"/>
    <w:rsid w:val="00E4682D"/>
    <w:rsid w:val="00E46AB8"/>
    <w:rsid w:val="00E50875"/>
    <w:rsid w:val="00E50C87"/>
    <w:rsid w:val="00E51618"/>
    <w:rsid w:val="00E52139"/>
    <w:rsid w:val="00E52373"/>
    <w:rsid w:val="00E52CDA"/>
    <w:rsid w:val="00E5358D"/>
    <w:rsid w:val="00E535DB"/>
    <w:rsid w:val="00E54176"/>
    <w:rsid w:val="00E545FE"/>
    <w:rsid w:val="00E551A8"/>
    <w:rsid w:val="00E55EEF"/>
    <w:rsid w:val="00E55FCC"/>
    <w:rsid w:val="00E56300"/>
    <w:rsid w:val="00E56798"/>
    <w:rsid w:val="00E573C5"/>
    <w:rsid w:val="00E60602"/>
    <w:rsid w:val="00E61055"/>
    <w:rsid w:val="00E61185"/>
    <w:rsid w:val="00E62D21"/>
    <w:rsid w:val="00E62F87"/>
    <w:rsid w:val="00E640A5"/>
    <w:rsid w:val="00E64282"/>
    <w:rsid w:val="00E65040"/>
    <w:rsid w:val="00E656A9"/>
    <w:rsid w:val="00E6647D"/>
    <w:rsid w:val="00E66934"/>
    <w:rsid w:val="00E66D91"/>
    <w:rsid w:val="00E66F1B"/>
    <w:rsid w:val="00E67A46"/>
    <w:rsid w:val="00E67ACA"/>
    <w:rsid w:val="00E67FC6"/>
    <w:rsid w:val="00E70243"/>
    <w:rsid w:val="00E70A33"/>
    <w:rsid w:val="00E7141A"/>
    <w:rsid w:val="00E71DAA"/>
    <w:rsid w:val="00E72F06"/>
    <w:rsid w:val="00E733FF"/>
    <w:rsid w:val="00E737D8"/>
    <w:rsid w:val="00E73A04"/>
    <w:rsid w:val="00E74512"/>
    <w:rsid w:val="00E75866"/>
    <w:rsid w:val="00E75B0B"/>
    <w:rsid w:val="00E75C7B"/>
    <w:rsid w:val="00E7646A"/>
    <w:rsid w:val="00E76A4E"/>
    <w:rsid w:val="00E76D5C"/>
    <w:rsid w:val="00E80192"/>
    <w:rsid w:val="00E80AE7"/>
    <w:rsid w:val="00E81672"/>
    <w:rsid w:val="00E81678"/>
    <w:rsid w:val="00E816D9"/>
    <w:rsid w:val="00E819ED"/>
    <w:rsid w:val="00E832A7"/>
    <w:rsid w:val="00E838A4"/>
    <w:rsid w:val="00E84B46"/>
    <w:rsid w:val="00E85725"/>
    <w:rsid w:val="00E85FA2"/>
    <w:rsid w:val="00E877A2"/>
    <w:rsid w:val="00E87A6C"/>
    <w:rsid w:val="00E9075D"/>
    <w:rsid w:val="00E91163"/>
    <w:rsid w:val="00E915F2"/>
    <w:rsid w:val="00E92054"/>
    <w:rsid w:val="00E92B4D"/>
    <w:rsid w:val="00E93238"/>
    <w:rsid w:val="00E9344C"/>
    <w:rsid w:val="00E938E3"/>
    <w:rsid w:val="00E939E9"/>
    <w:rsid w:val="00E93B69"/>
    <w:rsid w:val="00E93C2E"/>
    <w:rsid w:val="00E949C0"/>
    <w:rsid w:val="00E952E8"/>
    <w:rsid w:val="00E95540"/>
    <w:rsid w:val="00E9599A"/>
    <w:rsid w:val="00E95D50"/>
    <w:rsid w:val="00E96431"/>
    <w:rsid w:val="00E96FB9"/>
    <w:rsid w:val="00EA01F0"/>
    <w:rsid w:val="00EA1186"/>
    <w:rsid w:val="00EA1417"/>
    <w:rsid w:val="00EA1820"/>
    <w:rsid w:val="00EA2180"/>
    <w:rsid w:val="00EA2FAD"/>
    <w:rsid w:val="00EA3763"/>
    <w:rsid w:val="00EA3DBE"/>
    <w:rsid w:val="00EA4520"/>
    <w:rsid w:val="00EA45FB"/>
    <w:rsid w:val="00EA4EC1"/>
    <w:rsid w:val="00EA599F"/>
    <w:rsid w:val="00EA59F4"/>
    <w:rsid w:val="00EA60D9"/>
    <w:rsid w:val="00EA6AE0"/>
    <w:rsid w:val="00EA719A"/>
    <w:rsid w:val="00EA7898"/>
    <w:rsid w:val="00EA7AD7"/>
    <w:rsid w:val="00EB04BE"/>
    <w:rsid w:val="00EB05E7"/>
    <w:rsid w:val="00EB08F2"/>
    <w:rsid w:val="00EB0B8E"/>
    <w:rsid w:val="00EB130D"/>
    <w:rsid w:val="00EB18FF"/>
    <w:rsid w:val="00EB2820"/>
    <w:rsid w:val="00EB3379"/>
    <w:rsid w:val="00EB38EC"/>
    <w:rsid w:val="00EB4357"/>
    <w:rsid w:val="00EB4BDD"/>
    <w:rsid w:val="00EB57BA"/>
    <w:rsid w:val="00EB5DA7"/>
    <w:rsid w:val="00EB71D1"/>
    <w:rsid w:val="00EB7255"/>
    <w:rsid w:val="00EB7544"/>
    <w:rsid w:val="00EC0355"/>
    <w:rsid w:val="00EC04E1"/>
    <w:rsid w:val="00EC106D"/>
    <w:rsid w:val="00EC16AF"/>
    <w:rsid w:val="00EC1DAB"/>
    <w:rsid w:val="00EC22DB"/>
    <w:rsid w:val="00EC2CC6"/>
    <w:rsid w:val="00EC3415"/>
    <w:rsid w:val="00EC4044"/>
    <w:rsid w:val="00EC46C1"/>
    <w:rsid w:val="00EC4DDA"/>
    <w:rsid w:val="00EC58D5"/>
    <w:rsid w:val="00EC61D9"/>
    <w:rsid w:val="00EC6DBF"/>
    <w:rsid w:val="00EC7123"/>
    <w:rsid w:val="00EC727B"/>
    <w:rsid w:val="00EC753F"/>
    <w:rsid w:val="00EC7E51"/>
    <w:rsid w:val="00ED0AD5"/>
    <w:rsid w:val="00ED13BA"/>
    <w:rsid w:val="00ED1D5F"/>
    <w:rsid w:val="00ED1DD2"/>
    <w:rsid w:val="00ED29A1"/>
    <w:rsid w:val="00ED2E1A"/>
    <w:rsid w:val="00ED339D"/>
    <w:rsid w:val="00ED4D83"/>
    <w:rsid w:val="00ED5127"/>
    <w:rsid w:val="00ED52FC"/>
    <w:rsid w:val="00ED53C7"/>
    <w:rsid w:val="00ED550E"/>
    <w:rsid w:val="00ED5B33"/>
    <w:rsid w:val="00ED5EB4"/>
    <w:rsid w:val="00ED6108"/>
    <w:rsid w:val="00ED668E"/>
    <w:rsid w:val="00ED7A87"/>
    <w:rsid w:val="00ED7B3D"/>
    <w:rsid w:val="00EE1EA4"/>
    <w:rsid w:val="00EE1F7A"/>
    <w:rsid w:val="00EE21BD"/>
    <w:rsid w:val="00EE3158"/>
    <w:rsid w:val="00EE34B8"/>
    <w:rsid w:val="00EE369E"/>
    <w:rsid w:val="00EE3EB8"/>
    <w:rsid w:val="00EE4874"/>
    <w:rsid w:val="00EE4E88"/>
    <w:rsid w:val="00EE4F62"/>
    <w:rsid w:val="00EE50C7"/>
    <w:rsid w:val="00EE77AC"/>
    <w:rsid w:val="00EF03D6"/>
    <w:rsid w:val="00EF066F"/>
    <w:rsid w:val="00EF079A"/>
    <w:rsid w:val="00EF0872"/>
    <w:rsid w:val="00EF0C9C"/>
    <w:rsid w:val="00EF0E33"/>
    <w:rsid w:val="00EF126B"/>
    <w:rsid w:val="00EF126C"/>
    <w:rsid w:val="00EF12A1"/>
    <w:rsid w:val="00EF1602"/>
    <w:rsid w:val="00EF1E1F"/>
    <w:rsid w:val="00EF248C"/>
    <w:rsid w:val="00EF25CA"/>
    <w:rsid w:val="00EF2B08"/>
    <w:rsid w:val="00EF2BDA"/>
    <w:rsid w:val="00EF2E8A"/>
    <w:rsid w:val="00EF5513"/>
    <w:rsid w:val="00EF5590"/>
    <w:rsid w:val="00EF599B"/>
    <w:rsid w:val="00EF6D30"/>
    <w:rsid w:val="00EF6FD3"/>
    <w:rsid w:val="00EF7358"/>
    <w:rsid w:val="00EF7D2C"/>
    <w:rsid w:val="00F01363"/>
    <w:rsid w:val="00F015C5"/>
    <w:rsid w:val="00F017B9"/>
    <w:rsid w:val="00F0194C"/>
    <w:rsid w:val="00F01B33"/>
    <w:rsid w:val="00F01C31"/>
    <w:rsid w:val="00F02A17"/>
    <w:rsid w:val="00F02D5C"/>
    <w:rsid w:val="00F02E61"/>
    <w:rsid w:val="00F04B89"/>
    <w:rsid w:val="00F0528A"/>
    <w:rsid w:val="00F055E7"/>
    <w:rsid w:val="00F0577E"/>
    <w:rsid w:val="00F05983"/>
    <w:rsid w:val="00F066DB"/>
    <w:rsid w:val="00F069A0"/>
    <w:rsid w:val="00F06FDE"/>
    <w:rsid w:val="00F07612"/>
    <w:rsid w:val="00F102F4"/>
    <w:rsid w:val="00F11248"/>
    <w:rsid w:val="00F12EF4"/>
    <w:rsid w:val="00F13000"/>
    <w:rsid w:val="00F1318C"/>
    <w:rsid w:val="00F13AFF"/>
    <w:rsid w:val="00F1475D"/>
    <w:rsid w:val="00F1643C"/>
    <w:rsid w:val="00F17824"/>
    <w:rsid w:val="00F2002A"/>
    <w:rsid w:val="00F20775"/>
    <w:rsid w:val="00F20F7D"/>
    <w:rsid w:val="00F210F8"/>
    <w:rsid w:val="00F22E66"/>
    <w:rsid w:val="00F2323C"/>
    <w:rsid w:val="00F23464"/>
    <w:rsid w:val="00F24828"/>
    <w:rsid w:val="00F251E0"/>
    <w:rsid w:val="00F252BF"/>
    <w:rsid w:val="00F252EE"/>
    <w:rsid w:val="00F259FD"/>
    <w:rsid w:val="00F27309"/>
    <w:rsid w:val="00F27C1B"/>
    <w:rsid w:val="00F30DEA"/>
    <w:rsid w:val="00F316C0"/>
    <w:rsid w:val="00F32981"/>
    <w:rsid w:val="00F32B29"/>
    <w:rsid w:val="00F3325D"/>
    <w:rsid w:val="00F3368A"/>
    <w:rsid w:val="00F34E3C"/>
    <w:rsid w:val="00F35434"/>
    <w:rsid w:val="00F354C8"/>
    <w:rsid w:val="00F35618"/>
    <w:rsid w:val="00F35977"/>
    <w:rsid w:val="00F359DD"/>
    <w:rsid w:val="00F35D7E"/>
    <w:rsid w:val="00F3602C"/>
    <w:rsid w:val="00F36691"/>
    <w:rsid w:val="00F3685E"/>
    <w:rsid w:val="00F36AE6"/>
    <w:rsid w:val="00F36EE4"/>
    <w:rsid w:val="00F36F5C"/>
    <w:rsid w:val="00F37040"/>
    <w:rsid w:val="00F40975"/>
    <w:rsid w:val="00F41BBF"/>
    <w:rsid w:val="00F41DD5"/>
    <w:rsid w:val="00F421FB"/>
    <w:rsid w:val="00F42208"/>
    <w:rsid w:val="00F42421"/>
    <w:rsid w:val="00F43897"/>
    <w:rsid w:val="00F43BA6"/>
    <w:rsid w:val="00F454C2"/>
    <w:rsid w:val="00F4677D"/>
    <w:rsid w:val="00F4729F"/>
    <w:rsid w:val="00F511AE"/>
    <w:rsid w:val="00F52FEE"/>
    <w:rsid w:val="00F538DA"/>
    <w:rsid w:val="00F54561"/>
    <w:rsid w:val="00F5522D"/>
    <w:rsid w:val="00F557E6"/>
    <w:rsid w:val="00F55826"/>
    <w:rsid w:val="00F55B95"/>
    <w:rsid w:val="00F55CBB"/>
    <w:rsid w:val="00F57ACA"/>
    <w:rsid w:val="00F608C8"/>
    <w:rsid w:val="00F61D4E"/>
    <w:rsid w:val="00F6297A"/>
    <w:rsid w:val="00F62E3C"/>
    <w:rsid w:val="00F64AF8"/>
    <w:rsid w:val="00F6562F"/>
    <w:rsid w:val="00F65AF4"/>
    <w:rsid w:val="00F65C53"/>
    <w:rsid w:val="00F667BB"/>
    <w:rsid w:val="00F6685F"/>
    <w:rsid w:val="00F66C22"/>
    <w:rsid w:val="00F6707C"/>
    <w:rsid w:val="00F67860"/>
    <w:rsid w:val="00F70492"/>
    <w:rsid w:val="00F70AEF"/>
    <w:rsid w:val="00F7116C"/>
    <w:rsid w:val="00F716A4"/>
    <w:rsid w:val="00F72047"/>
    <w:rsid w:val="00F72ED1"/>
    <w:rsid w:val="00F730C8"/>
    <w:rsid w:val="00F73AC7"/>
    <w:rsid w:val="00F73E7E"/>
    <w:rsid w:val="00F74AB5"/>
    <w:rsid w:val="00F74F56"/>
    <w:rsid w:val="00F75F66"/>
    <w:rsid w:val="00F760F3"/>
    <w:rsid w:val="00F764B0"/>
    <w:rsid w:val="00F80064"/>
    <w:rsid w:val="00F80494"/>
    <w:rsid w:val="00F804E0"/>
    <w:rsid w:val="00F80A76"/>
    <w:rsid w:val="00F813FD"/>
    <w:rsid w:val="00F815CE"/>
    <w:rsid w:val="00F8311E"/>
    <w:rsid w:val="00F83845"/>
    <w:rsid w:val="00F842FB"/>
    <w:rsid w:val="00F84A07"/>
    <w:rsid w:val="00F84DBC"/>
    <w:rsid w:val="00F8519E"/>
    <w:rsid w:val="00F85418"/>
    <w:rsid w:val="00F85DE5"/>
    <w:rsid w:val="00F86212"/>
    <w:rsid w:val="00F86D70"/>
    <w:rsid w:val="00F86E32"/>
    <w:rsid w:val="00F87258"/>
    <w:rsid w:val="00F87B83"/>
    <w:rsid w:val="00F87B9D"/>
    <w:rsid w:val="00F90132"/>
    <w:rsid w:val="00F90223"/>
    <w:rsid w:val="00F9028C"/>
    <w:rsid w:val="00F9071E"/>
    <w:rsid w:val="00F90AE5"/>
    <w:rsid w:val="00F92161"/>
    <w:rsid w:val="00F9268F"/>
    <w:rsid w:val="00F926D5"/>
    <w:rsid w:val="00F92F8E"/>
    <w:rsid w:val="00F940E4"/>
    <w:rsid w:val="00F941B4"/>
    <w:rsid w:val="00F94813"/>
    <w:rsid w:val="00F958A6"/>
    <w:rsid w:val="00F959E0"/>
    <w:rsid w:val="00F95BFC"/>
    <w:rsid w:val="00F963D9"/>
    <w:rsid w:val="00F9786A"/>
    <w:rsid w:val="00F97959"/>
    <w:rsid w:val="00F97FF6"/>
    <w:rsid w:val="00FA009A"/>
    <w:rsid w:val="00FA0B7C"/>
    <w:rsid w:val="00FA0C67"/>
    <w:rsid w:val="00FA0FAB"/>
    <w:rsid w:val="00FA169E"/>
    <w:rsid w:val="00FA1D00"/>
    <w:rsid w:val="00FA2A64"/>
    <w:rsid w:val="00FA3454"/>
    <w:rsid w:val="00FA39DC"/>
    <w:rsid w:val="00FA4896"/>
    <w:rsid w:val="00FA4CB6"/>
    <w:rsid w:val="00FA51C3"/>
    <w:rsid w:val="00FA54BF"/>
    <w:rsid w:val="00FA5A51"/>
    <w:rsid w:val="00FB0358"/>
    <w:rsid w:val="00FB0C17"/>
    <w:rsid w:val="00FB0C71"/>
    <w:rsid w:val="00FB12AC"/>
    <w:rsid w:val="00FB1929"/>
    <w:rsid w:val="00FB1C0B"/>
    <w:rsid w:val="00FB1C38"/>
    <w:rsid w:val="00FB1F46"/>
    <w:rsid w:val="00FB6C80"/>
    <w:rsid w:val="00FB6F5B"/>
    <w:rsid w:val="00FB7C51"/>
    <w:rsid w:val="00FC279F"/>
    <w:rsid w:val="00FC2F26"/>
    <w:rsid w:val="00FC318B"/>
    <w:rsid w:val="00FC3334"/>
    <w:rsid w:val="00FC48E1"/>
    <w:rsid w:val="00FC4CDD"/>
    <w:rsid w:val="00FC511E"/>
    <w:rsid w:val="00FC5953"/>
    <w:rsid w:val="00FC7325"/>
    <w:rsid w:val="00FC7861"/>
    <w:rsid w:val="00FC7871"/>
    <w:rsid w:val="00FC7963"/>
    <w:rsid w:val="00FC7D11"/>
    <w:rsid w:val="00FC7EDB"/>
    <w:rsid w:val="00FD08EE"/>
    <w:rsid w:val="00FD1D79"/>
    <w:rsid w:val="00FD20BD"/>
    <w:rsid w:val="00FD34AD"/>
    <w:rsid w:val="00FD35B3"/>
    <w:rsid w:val="00FD3E4E"/>
    <w:rsid w:val="00FD47D5"/>
    <w:rsid w:val="00FD4899"/>
    <w:rsid w:val="00FD5352"/>
    <w:rsid w:val="00FD63C0"/>
    <w:rsid w:val="00FD64EA"/>
    <w:rsid w:val="00FD6665"/>
    <w:rsid w:val="00FD6859"/>
    <w:rsid w:val="00FD6CEB"/>
    <w:rsid w:val="00FD6DCB"/>
    <w:rsid w:val="00FD6E7A"/>
    <w:rsid w:val="00FD707F"/>
    <w:rsid w:val="00FD7468"/>
    <w:rsid w:val="00FD7B9F"/>
    <w:rsid w:val="00FD7C21"/>
    <w:rsid w:val="00FE0716"/>
    <w:rsid w:val="00FE1275"/>
    <w:rsid w:val="00FE1A01"/>
    <w:rsid w:val="00FE2398"/>
    <w:rsid w:val="00FE23BE"/>
    <w:rsid w:val="00FE31EF"/>
    <w:rsid w:val="00FE416B"/>
    <w:rsid w:val="00FE4BCF"/>
    <w:rsid w:val="00FE557B"/>
    <w:rsid w:val="00FE5602"/>
    <w:rsid w:val="00FE5AAA"/>
    <w:rsid w:val="00FE5C98"/>
    <w:rsid w:val="00FE6263"/>
    <w:rsid w:val="00FE62AF"/>
    <w:rsid w:val="00FE6C6F"/>
    <w:rsid w:val="00FF00E9"/>
    <w:rsid w:val="00FF0466"/>
    <w:rsid w:val="00FF1328"/>
    <w:rsid w:val="00FF16C1"/>
    <w:rsid w:val="00FF1C51"/>
    <w:rsid w:val="00FF231B"/>
    <w:rsid w:val="00FF2B82"/>
    <w:rsid w:val="00FF3731"/>
    <w:rsid w:val="00FF38A2"/>
    <w:rsid w:val="00FF4299"/>
    <w:rsid w:val="00FF4389"/>
    <w:rsid w:val="00FF49F0"/>
    <w:rsid w:val="00FF562F"/>
    <w:rsid w:val="00FF5DBF"/>
    <w:rsid w:val="00FF6344"/>
    <w:rsid w:val="00FF6A67"/>
    <w:rsid w:val="00FF6FAE"/>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D0BE247"/>
  <w15:docId w15:val="{FF905073-6078-411D-B3A7-02C621BF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82E"/>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2E4AD3"/>
    <w:pPr>
      <w:keepNext/>
      <w:numPr>
        <w:numId w:val="7"/>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A57577"/>
    <w:pPr>
      <w:numPr>
        <w:ilvl w:val="1"/>
      </w:numPr>
      <w:outlineLvl w:val="2"/>
    </w:pPr>
    <w:rPr>
      <w:rFonts w:cs="Arial"/>
      <w:b/>
      <w:sz w:val="24"/>
    </w:rPr>
  </w:style>
  <w:style w:type="paragraph" w:styleId="Heading4">
    <w:name w:val="heading 4"/>
    <w:basedOn w:val="Heading3"/>
    <w:next w:val="Normal"/>
    <w:link w:val="Heading4Char"/>
    <w:autoRedefine/>
    <w:qFormat/>
    <w:rsid w:val="002E4AD3"/>
    <w:pPr>
      <w:numPr>
        <w:ilvl w:val="2"/>
      </w:numPr>
      <w:outlineLvl w:val="3"/>
    </w:pPr>
    <w:rPr>
      <w:rFonts w:eastAsia="MS Mincho" w:cs="TimesNewRoman"/>
      <w:color w:val="1F497D" w:themeColor="text2"/>
      <w:sz w:val="22"/>
      <w:szCs w:val="20"/>
    </w:rPr>
  </w:style>
  <w:style w:type="paragraph" w:styleId="Heading5">
    <w:name w:val="heading 5"/>
    <w:basedOn w:val="Heading4"/>
    <w:next w:val="Normal"/>
    <w:link w:val="Heading5Char"/>
    <w:qFormat/>
    <w:rsid w:val="009E0A0D"/>
    <w:pPr>
      <w:numPr>
        <w:ilvl w:val="3"/>
      </w:numPr>
      <w:tabs>
        <w:tab w:val="left" w:pos="1985"/>
      </w:tabs>
      <w:outlineLvl w:val="4"/>
    </w:pPr>
    <w:rPr>
      <w:bCs w:val="0"/>
      <w:iCs w:val="0"/>
      <w:color w:val="auto"/>
      <w:szCs w:val="26"/>
    </w:rPr>
  </w:style>
  <w:style w:type="paragraph" w:styleId="Heading6">
    <w:name w:val="heading 6"/>
    <w:basedOn w:val="Heading5"/>
    <w:next w:val="Normal"/>
    <w:link w:val="Heading6Char"/>
    <w:qFormat/>
    <w:rsid w:val="00C17209"/>
    <w:pPr>
      <w:outlineLvl w:val="5"/>
    </w:pPr>
    <w:rPr>
      <w:bCs/>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rPr>
  </w:style>
  <w:style w:type="character" w:customStyle="1" w:styleId="Heading2Char">
    <w:name w:val="Heading 2 Char"/>
    <w:basedOn w:val="DefaultParagraphFont"/>
    <w:link w:val="Heading2"/>
    <w:rsid w:val="002E4AD3"/>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A57577"/>
    <w:rPr>
      <w:rFonts w:cs="Arial"/>
      <w:b/>
      <w:bCs/>
      <w:iCs/>
      <w:color w:val="264F90"/>
      <w:sz w:val="24"/>
      <w:szCs w:val="32"/>
    </w:rPr>
  </w:style>
  <w:style w:type="character" w:customStyle="1" w:styleId="Heading4Char">
    <w:name w:val="Heading 4 Char"/>
    <w:basedOn w:val="Heading3Char"/>
    <w:link w:val="Heading4"/>
    <w:rsid w:val="002E4AD3"/>
    <w:rPr>
      <w:rFonts w:eastAsia="MS Mincho" w:cs="TimesNewRoman"/>
      <w:b/>
      <w:bCs/>
      <w:iCs/>
      <w:color w:val="1F497D" w:themeColor="text2"/>
      <w:sz w:val="22"/>
      <w:szCs w:val="32"/>
    </w:rPr>
  </w:style>
  <w:style w:type="character" w:customStyle="1" w:styleId="Heading5Char">
    <w:name w:val="Heading 5 Char"/>
    <w:basedOn w:val="Heading4Char"/>
    <w:link w:val="Heading5"/>
    <w:rsid w:val="009E0A0D"/>
    <w:rPr>
      <w:rFonts w:eastAsia="MS Mincho" w:cs="TimesNewRoman"/>
      <w:b/>
      <w:bCs w:val="0"/>
      <w:iCs w:val="0"/>
      <w:color w:val="1F497D" w:themeColor="text2"/>
      <w:sz w:val="22"/>
      <w:szCs w:val="26"/>
    </w:rPr>
  </w:style>
  <w:style w:type="character" w:customStyle="1" w:styleId="Heading6Char">
    <w:name w:val="Heading 6 Char"/>
    <w:basedOn w:val="Heading5Char"/>
    <w:link w:val="Heading6"/>
    <w:rsid w:val="00C17209"/>
    <w:rPr>
      <w:rFonts w:eastAsia="MS Mincho" w:cs="TimesNewRoman"/>
      <w:b/>
      <w:bCs/>
      <w:iCs w:val="0"/>
      <w:color w:val="1F497D" w:themeColor="text2"/>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Bullet List,Bullet list,Bulletr List Paragraph,FooterText,List Paragraph1,List Paragraph11,List Paragraph2,List Paragraph21,Listeafsnit1,Listenabsatz,Paragraphe de liste1,Parágrafo da Lista1,Recommendation,bullet point list,numbered,リスト段落"/>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3notshowing">
    <w:name w:val="Heading 3—not showing"/>
    <w:basedOn w:val="Normal"/>
    <w:next w:val="Normal"/>
    <w:qFormat/>
    <w:rsid w:val="00C404E2"/>
    <w:pPr>
      <w:keepNext/>
      <w:spacing w:before="0" w:line="240" w:lineRule="auto"/>
    </w:pPr>
    <w:rPr>
      <w:rFonts w:ascii="Segoe UI Semibold" w:eastAsia="MingLiU" w:hAnsi="Segoe UI Semibold" w:cs="Mangal"/>
      <w:color w:val="626E81"/>
      <w:sz w:val="26"/>
      <w:szCs w:val="30"/>
    </w:rPr>
  </w:style>
  <w:style w:type="paragraph" w:customStyle="1" w:styleId="Tabletext0">
    <w:name w:val="Table text"/>
    <w:basedOn w:val="Normal"/>
    <w:uiPriority w:val="12"/>
    <w:qFormat/>
    <w:rsid w:val="00EF12A1"/>
    <w:pPr>
      <w:spacing w:before="0" w:after="0" w:line="240" w:lineRule="auto"/>
    </w:pPr>
    <w:rPr>
      <w:rFonts w:ascii="Segoe UI" w:hAnsi="Segoe UI"/>
      <w:sz w:val="22"/>
    </w:rPr>
  </w:style>
  <w:style w:type="paragraph" w:customStyle="1" w:styleId="Tablerowcolumnheading">
    <w:name w:val="Table row/column heading"/>
    <w:basedOn w:val="Normal"/>
    <w:next w:val="Normal"/>
    <w:rsid w:val="00EF12A1"/>
    <w:pPr>
      <w:spacing w:before="0" w:after="0" w:line="240" w:lineRule="auto"/>
    </w:pPr>
    <w:rPr>
      <w:rFonts w:ascii="Segoe UI" w:hAnsi="Segoe UI"/>
      <w:bCs/>
      <w:sz w:val="22"/>
    </w:rPr>
  </w:style>
  <w:style w:type="paragraph" w:customStyle="1" w:styleId="Heading2notshowing">
    <w:name w:val="Heading 2—not showing"/>
    <w:basedOn w:val="Normal"/>
    <w:next w:val="Normal"/>
    <w:qFormat/>
    <w:rsid w:val="00F0528A"/>
    <w:pPr>
      <w:spacing w:before="0" w:line="240" w:lineRule="auto"/>
    </w:pPr>
    <w:rPr>
      <w:rFonts w:ascii="Segoe UI Semibold" w:eastAsia="MingLiU" w:hAnsi="Segoe UI Semibold" w:cs="Mangal"/>
      <w:color w:val="626E81"/>
      <w:sz w:val="32"/>
      <w:szCs w:val="26"/>
    </w:rPr>
  </w:style>
  <w:style w:type="paragraph" w:customStyle="1" w:styleId="BoswellMediaHeader">
    <w:name w:val="BoswellMediaHeader"/>
    <w:rsid w:val="001262D0"/>
    <w:pPr>
      <w:jc w:val="right"/>
    </w:pPr>
    <w:rPr>
      <w:noProof/>
      <w:sz w:val="23"/>
      <w:lang w:eastAsia="en-AU"/>
    </w:rPr>
  </w:style>
  <w:style w:type="character" w:customStyle="1" w:styleId="ListParagraphChar">
    <w:name w:val="List Paragraph Char"/>
    <w:aliases w:val="Bullet List Char,Bullet list Char,Bulletr List Paragraph Char,FooterText Char,List Paragraph1 Char,List Paragraph11 Char,List Paragraph2 Char,List Paragraph21 Char,Listeafsnit1 Char,Listenabsatz Char,Paragraphe de liste1 Char"/>
    <w:basedOn w:val="DefaultParagraphFont"/>
    <w:link w:val="ListParagraph"/>
    <w:uiPriority w:val="34"/>
    <w:qFormat/>
    <w:locked/>
    <w:rsid w:val="001262D0"/>
  </w:style>
  <w:style w:type="character" w:styleId="UnresolvedMention">
    <w:name w:val="Unresolved Mention"/>
    <w:basedOn w:val="DefaultParagraphFont"/>
    <w:uiPriority w:val="99"/>
    <w:semiHidden/>
    <w:unhideWhenUsed/>
    <w:rsid w:val="00310338"/>
    <w:rPr>
      <w:color w:val="605E5C"/>
      <w:shd w:val="clear" w:color="auto" w:fill="E1DFDD"/>
    </w:rPr>
  </w:style>
  <w:style w:type="paragraph" w:customStyle="1" w:styleId="ListLegal1">
    <w:name w:val="List Legal 1"/>
    <w:basedOn w:val="Normal"/>
    <w:uiPriority w:val="3"/>
    <w:qFormat/>
    <w:rsid w:val="003A435C"/>
    <w:pPr>
      <w:numPr>
        <w:numId w:val="50"/>
      </w:numPr>
      <w:suppressAutoHyphens/>
      <w:spacing w:before="0" w:after="160" w:line="240" w:lineRule="auto"/>
      <w:ind w:left="567" w:hanging="567"/>
    </w:pPr>
    <w:rPr>
      <w:rFonts w:ascii="Calibri" w:eastAsiaTheme="minorHAnsi" w:hAnsi="Calibri" w:cstheme="minorBidi"/>
      <w:color w:val="000000"/>
      <w:kern w:val="12"/>
      <w:lang w:val="x-none"/>
    </w:rPr>
  </w:style>
  <w:style w:type="paragraph" w:customStyle="1" w:styleId="ListLegal2">
    <w:name w:val="List Legal 2"/>
    <w:basedOn w:val="ListLegal1"/>
    <w:uiPriority w:val="3"/>
    <w:rsid w:val="003A435C"/>
    <w:pPr>
      <w:numPr>
        <w:ilvl w:val="1"/>
      </w:numPr>
      <w:ind w:left="1134" w:hanging="567"/>
    </w:pPr>
  </w:style>
  <w:style w:type="paragraph" w:customStyle="1" w:styleId="ListLegal3">
    <w:name w:val="List Legal 3"/>
    <w:basedOn w:val="ListLegal2"/>
    <w:uiPriority w:val="3"/>
    <w:rsid w:val="003A435C"/>
    <w:pPr>
      <w:numPr>
        <w:ilvl w:val="2"/>
      </w:numPr>
    </w:pPr>
  </w:style>
  <w:style w:type="numbering" w:customStyle="1" w:styleId="ListLegal">
    <w:name w:val="List Legal"/>
    <w:uiPriority w:val="99"/>
    <w:rsid w:val="003A435C"/>
    <w:pPr>
      <w:numPr>
        <w:numId w:val="50"/>
      </w:numPr>
    </w:pPr>
  </w:style>
  <w:style w:type="paragraph" w:styleId="TOC6">
    <w:name w:val="toc 6"/>
    <w:basedOn w:val="Normal"/>
    <w:next w:val="Normal"/>
    <w:autoRedefine/>
    <w:unhideWhenUsed/>
    <w:rsid w:val="00A27B5B"/>
    <w:pPr>
      <w:tabs>
        <w:tab w:val="right" w:pos="8788"/>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0225186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0063118">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459736962">
      <w:bodyDiv w:val="1"/>
      <w:marLeft w:val="0"/>
      <w:marRight w:val="0"/>
      <w:marTop w:val="0"/>
      <w:marBottom w:val="0"/>
      <w:divBdr>
        <w:top w:val="none" w:sz="0" w:space="0" w:color="auto"/>
        <w:left w:val="none" w:sz="0" w:space="0" w:color="auto"/>
        <w:bottom w:val="none" w:sz="0" w:space="0" w:color="auto"/>
        <w:right w:val="none" w:sz="0" w:space="0" w:color="auto"/>
      </w:divBdr>
    </w:div>
    <w:div w:id="600144539">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36593955">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3633497">
      <w:bodyDiv w:val="1"/>
      <w:marLeft w:val="0"/>
      <w:marRight w:val="0"/>
      <w:marTop w:val="0"/>
      <w:marBottom w:val="0"/>
      <w:divBdr>
        <w:top w:val="none" w:sz="0" w:space="0" w:color="auto"/>
        <w:left w:val="none" w:sz="0" w:space="0" w:color="auto"/>
        <w:bottom w:val="none" w:sz="0" w:space="0" w:color="auto"/>
        <w:right w:val="none" w:sz="0" w:space="0" w:color="auto"/>
      </w:divBdr>
    </w:div>
    <w:div w:id="1037705843">
      <w:bodyDiv w:val="1"/>
      <w:marLeft w:val="0"/>
      <w:marRight w:val="0"/>
      <w:marTop w:val="0"/>
      <w:marBottom w:val="0"/>
      <w:divBdr>
        <w:top w:val="none" w:sz="0" w:space="0" w:color="auto"/>
        <w:left w:val="none" w:sz="0" w:space="0" w:color="auto"/>
        <w:bottom w:val="none" w:sz="0" w:space="0" w:color="auto"/>
        <w:right w:val="none" w:sz="0" w:space="0" w:color="auto"/>
      </w:divBdr>
    </w:div>
    <w:div w:id="1043675918">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53355308">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0698472">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2800470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67101689">
      <w:bodyDiv w:val="1"/>
      <w:marLeft w:val="0"/>
      <w:marRight w:val="0"/>
      <w:marTop w:val="0"/>
      <w:marBottom w:val="0"/>
      <w:divBdr>
        <w:top w:val="none" w:sz="0" w:space="0" w:color="auto"/>
        <w:left w:val="none" w:sz="0" w:space="0" w:color="auto"/>
        <w:bottom w:val="none" w:sz="0" w:space="0" w:color="auto"/>
        <w:right w:val="none" w:sz="0" w:space="0" w:color="auto"/>
      </w:divBdr>
    </w:div>
    <w:div w:id="2069842181">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finance.gov.au/sites/default/files/2019-11/commonwealth-grants-rules-and-guidelines.pdf" TargetMode="External"/><Relationship Id="rId39" Type="http://schemas.openxmlformats.org/officeDocument/2006/relationships/hyperlink" Target="mailto:MBSP@infrastructure.gov.au" TargetMode="External"/><Relationship Id="rId21" Type="http://schemas.openxmlformats.org/officeDocument/2006/relationships/hyperlink" Target="http://www.grants.gov.au/" TargetMode="External"/><Relationship Id="rId34" Type="http://schemas.openxmlformats.org/officeDocument/2006/relationships/hyperlink" Target="mailto:regionalconnectivity@communications.gov.au" TargetMode="External"/><Relationship Id="rId42" Type="http://schemas.openxmlformats.org/officeDocument/2006/relationships/hyperlink" Target="https://industry.gov.au/aip" TargetMode="External"/><Relationship Id="rId47" Type="http://schemas.openxmlformats.org/officeDocument/2006/relationships/hyperlink" Target="http://www.ombudsman.gov.au/" TargetMode="External"/><Relationship Id="rId50" Type="http://schemas.openxmlformats.org/officeDocument/2006/relationships/hyperlink" Target="http://www8.austlii.edu.au/cgi-bin/viewdoc/au/legis/cth/consol_act/psa1999152/s13.html" TargetMode="External"/><Relationship Id="rId55" Type="http://schemas.openxmlformats.org/officeDocument/2006/relationships/hyperlink" Target="https://www.infrastructure.gov.au/department/privacy-polic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s://www.grants.gov.au/" TargetMode="External"/><Relationship Id="rId41" Type="http://schemas.openxmlformats.org/officeDocument/2006/relationships/hyperlink" Target="mailto:MBSP@infrastructure.gov.au" TargetMode="External"/><Relationship Id="rId54" Type="http://schemas.openxmlformats.org/officeDocument/2006/relationships/hyperlink" Target="https://www.oaic.gov.au/privacy/australian-privacy-principl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cations.gov.au/what-we-do/internet/regional-connectivity-program" TargetMode="External"/><Relationship Id="rId32" Type="http://schemas.openxmlformats.org/officeDocument/2006/relationships/hyperlink" Target="mailto:regionalconnectivity@communications.gov.au" TargetMode="External"/><Relationship Id="rId37" Type="http://schemas.openxmlformats.org/officeDocument/2006/relationships/hyperlink" Target="mailto:MBSP@infrastructure.gov.au" TargetMode="External"/><Relationship Id="rId40" Type="http://schemas.openxmlformats.org/officeDocument/2006/relationships/hyperlink" Target="mailto:regionalconnectivity@communications.gov.au" TargetMode="External"/><Relationship Id="rId45" Type="http://schemas.openxmlformats.org/officeDocument/2006/relationships/hyperlink" Target="mailto:regionalconnectivity@communications.gov.au" TargetMode="External"/><Relationship Id="rId53" Type="http://schemas.openxmlformats.org/officeDocument/2006/relationships/hyperlink" Target="https://www.oaic.gov.au/privacy-law/privacy-act/australian-privacy-principles" TargetMode="External"/><Relationship Id="rId58"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infrastructure.gov.au/mbsp" TargetMode="External"/><Relationship Id="rId28" Type="http://schemas.openxmlformats.org/officeDocument/2006/relationships/image" Target="media/image1.png"/><Relationship Id="rId36" Type="http://schemas.openxmlformats.org/officeDocument/2006/relationships/hyperlink" Target="mailto:regionalconnectivity@communications.gov.au" TargetMode="External"/><Relationship Id="rId49" Type="http://schemas.openxmlformats.org/officeDocument/2006/relationships/hyperlink" Target="http://www.ombudsman.gov.au" TargetMode="External"/><Relationship Id="rId57" Type="http://schemas.openxmlformats.org/officeDocument/2006/relationships/hyperlink" Target="mailto:FOI@infrastructure.gov.au"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https://www.legislation.gov.au/Series/C2004A04868" TargetMode="External"/><Relationship Id="rId44" Type="http://schemas.openxmlformats.org/officeDocument/2006/relationships/hyperlink" Target="https://www.infrastructure.gov.au/department/about/charter.aspx" TargetMode="External"/><Relationship Id="rId52" Type="http://schemas.openxmlformats.org/officeDocument/2006/relationships/hyperlink" Target="https://www.legislation.gov.au/Details/C2021C00452"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infrastructure.gov.au/rcp" TargetMode="External"/><Relationship Id="rId27" Type="http://schemas.openxmlformats.org/officeDocument/2006/relationships/hyperlink" Target="http://www.nbnco.com.au/residential/learn/rollout-map" TargetMode="External"/><Relationship Id="rId30" Type="http://schemas.openxmlformats.org/officeDocument/2006/relationships/hyperlink" Target="mailto:regionalconnectivity@communications.gov.au" TargetMode="External"/><Relationship Id="rId35" Type="http://schemas.openxmlformats.org/officeDocument/2006/relationships/hyperlink" Target="mailto:MBSP@infrastructure.gov.au" TargetMode="External"/><Relationship Id="rId43" Type="http://schemas.openxmlformats.org/officeDocument/2006/relationships/hyperlink" Target="https://www.finance.gov.au/sites/default/files/2019-11/commonwealth-grants-rules-and-guidelines.pdf" TargetMode="External"/><Relationship Id="rId48" Type="http://schemas.openxmlformats.org/officeDocument/2006/relationships/hyperlink" Target="mailto:ombudsman@ombudsman.gov.au" TargetMode="External"/><Relationship Id="rId56" Type="http://schemas.openxmlformats.org/officeDocument/2006/relationships/hyperlink" Target="https://www.legislation.gov.au/Series/C2004A02562" TargetMode="External"/><Relationship Id="rId8" Type="http://schemas.openxmlformats.org/officeDocument/2006/relationships/settings" Target="settings.xml"/><Relationship Id="rId51" Type="http://schemas.openxmlformats.org/officeDocument/2006/relationships/hyperlink" Target="https://www.legislation.gov.au/Series/C2004A00538" TargetMode="External"/><Relationship Id="rId3" Type="http://schemas.openxmlformats.org/officeDocument/2006/relationships/customXml" Target="../customXml/item3.xml"/><Relationship Id="rId12" Type="http://schemas.openxmlformats.org/officeDocument/2006/relationships/hyperlink" Target="mailto:regionalconnectivity@communications.gov.au" TargetMode="External"/><Relationship Id="rId17" Type="http://schemas.openxmlformats.org/officeDocument/2006/relationships/footer" Target="footer2.xml"/><Relationship Id="rId25" Type="http://schemas.openxmlformats.org/officeDocument/2006/relationships/hyperlink" Target="https://www.grants.gov.au/" TargetMode="External"/><Relationship Id="rId33" Type="http://schemas.openxmlformats.org/officeDocument/2006/relationships/hyperlink" Target="mailto:MBSP@infrastructure.gov.au" TargetMode="External"/><Relationship Id="rId38" Type="http://schemas.openxmlformats.org/officeDocument/2006/relationships/hyperlink" Target="mailto:regionalconnectivity@communications.gov.au" TargetMode="External"/><Relationship Id="rId46" Type="http://schemas.openxmlformats.org/officeDocument/2006/relationships/hyperlink" Target="mailto:MBSP@infrastructure.gov.au" TargetMode="External"/><Relationship Id="rId59"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2019-11/commonwealth-grants-rules-and-guidelines.pdf" TargetMode="External"/><Relationship Id="rId2" Type="http://schemas.openxmlformats.org/officeDocument/2006/relationships/hyperlink" Target="https://www.grants.gov.au" TargetMode="External"/><Relationship Id="rId1" Type="http://schemas.openxmlformats.org/officeDocument/2006/relationships/hyperlink" Target="https://www.infrastructure.gov.au/media-technology-communications/internet/regional-connectivity-program" TargetMode="External"/><Relationship Id="rId4" Type="http://schemas.openxmlformats.org/officeDocument/2006/relationships/hyperlink" Target="http://www.accc.gov.au/regulated-infrastructure/communications/transmission-services-facilities-access/domestic-transmission-capacity-service-final-access-determination-inquiry-2019-2020/final-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B8FC3618B2A174088C54572B0B37E41" ma:contentTypeVersion="0" ma:contentTypeDescription="Create a new document." ma:contentTypeScope="" ma:versionID="7cea238e8af1a87a85ede7a11b91649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3A08-A08C-47F9-8081-0C6548160505}">
  <ds:schemaRefs>
    <ds:schemaRef ds:uri="http://schemas.microsoft.com/sharepoint/v3/contenttype/forms"/>
  </ds:schemaRefs>
</ds:datastoreItem>
</file>

<file path=customXml/itemProps2.xml><?xml version="1.0" encoding="utf-8"?>
<ds:datastoreItem xmlns:ds="http://schemas.openxmlformats.org/officeDocument/2006/customXml" ds:itemID="{C856AA75-8306-4FBC-97CE-4101B726FF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3AE877F9-535E-4957-BC7E-9FC939E1A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1F535DC-CD97-4ABD-89F9-F7388DFE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17381</Words>
  <Characters>104013</Characters>
  <Application>Microsoft Office Word</Application>
  <DocSecurity>0</DocSecurity>
  <Lines>6118</Lines>
  <Paragraphs>4046</Paragraphs>
  <ScaleCrop>false</ScaleCrop>
  <HeadingPairs>
    <vt:vector size="2" baseType="variant">
      <vt:variant>
        <vt:lpstr>Title</vt:lpstr>
      </vt:variant>
      <vt:variant>
        <vt:i4>1</vt:i4>
      </vt:variant>
    </vt:vector>
  </HeadingPairs>
  <TitlesOfParts>
    <vt:vector size="1" baseType="lpstr">
      <vt:lpstr>Regional Connectivity Program</vt:lpstr>
    </vt:vector>
  </TitlesOfParts>
  <Company>Australian Government, Department of Infrastructure, Transport, Regional Development, Communications and the Arts</Company>
  <LinksUpToDate>false</LinksUpToDate>
  <CharactersWithSpaces>117348</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Connectivity Program Round 3 Grant Opportunity Guidelines—Opening date 20 March 2023—PDF</dc:title>
  <dc:creator>Australian Government, Department of Infrastructure, Transport, Regional Development, Communications and the Arts</dc:creator>
  <cp:keywords/>
  <cp:lastModifiedBy>Hall, Theresa</cp:lastModifiedBy>
  <cp:revision>4</cp:revision>
  <cp:lastPrinted>2023-03-16T06:29:00Z</cp:lastPrinted>
  <dcterms:created xsi:type="dcterms:W3CDTF">2024-08-02T07:17:00Z</dcterms:created>
  <dcterms:modified xsi:type="dcterms:W3CDTF">2024-08-06T07:50:00Z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0x0101002B8FC3618B2A174088C54572B0B37E41</vt:lpwstr>
  </property>
  <property fmtid="{D5CDD505-2E9C-101B-9397-08002B2CF9AE}" pid="3" name="TrimRevisionNumber">
    <vt:i4>22</vt:i4>
  </property>
</Properties>
</file>