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C28" w:rsidRDefault="00EA3C28" w:rsidP="00E0330E">
      <w:pPr>
        <w:spacing w:before="240" w:after="0"/>
      </w:pPr>
      <w:bookmarkStart w:id="0" w:name="_GoBack"/>
      <w:bookmarkEnd w:id="0"/>
      <w:r>
        <w:rPr>
          <w:noProof/>
          <w:lang w:eastAsia="en-AU"/>
        </w:rPr>
        <w:drawing>
          <wp:inline distT="0" distB="0" distL="0" distR="0" wp14:anchorId="7F469DBC" wp14:editId="7F469DBD">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EA3C28" w:rsidRDefault="00EA3C28" w:rsidP="00E0330E">
      <w:pPr>
        <w:spacing w:before="240" w:after="0"/>
        <w:sectPr w:rsidR="00EA3C28" w:rsidSect="00EA3C28">
          <w:footerReference w:type="first" r:id="rId9"/>
          <w:pgSz w:w="16838" w:h="11906" w:orient="landscape"/>
          <w:pgMar w:top="567" w:right="1276" w:bottom="991" w:left="1276" w:header="567" w:footer="0" w:gutter="0"/>
          <w:cols w:space="708"/>
          <w:titlePg/>
          <w:docGrid w:linePitch="360"/>
        </w:sectPr>
      </w:pPr>
    </w:p>
    <w:p w:rsidR="00906533" w:rsidRPr="00B041CB" w:rsidRDefault="00C101C3" w:rsidP="00E0330E">
      <w:pPr>
        <w:pStyle w:val="Heading1"/>
      </w:pPr>
      <w:r>
        <w:rPr>
          <w:sz w:val="48"/>
          <w:szCs w:val="48"/>
        </w:rPr>
        <w:t>regional</w:t>
      </w:r>
      <w:r w:rsidR="00244E39" w:rsidRPr="00F4684C">
        <w:rPr>
          <w:sz w:val="48"/>
          <w:szCs w:val="48"/>
        </w:rPr>
        <w:t xml:space="preserve"> Precincts and Partnerships Program</w:t>
      </w:r>
      <w:r w:rsidR="00244E39">
        <w:rPr>
          <w:sz w:val="48"/>
          <w:szCs w:val="48"/>
        </w:rPr>
        <w:t>—Announced</w:t>
      </w:r>
      <w:r w:rsidR="00244E39" w:rsidRPr="00F4684C">
        <w:rPr>
          <w:sz w:val="48"/>
          <w:szCs w:val="48"/>
        </w:rPr>
        <w:t xml:space="preserve"> Projects</w:t>
      </w:r>
    </w:p>
    <w:p w:rsidR="00244E39" w:rsidRDefault="00244E39" w:rsidP="00EA3C28">
      <w:pPr>
        <w:suppressAutoHyphens/>
        <w:spacing w:before="120" w:after="240"/>
        <w:rPr>
          <w:rFonts w:eastAsia="Calibri" w:cs="Times New Roman"/>
          <w:b/>
          <w:color w:val="081E3E"/>
          <w:kern w:val="12"/>
          <w:szCs w:val="20"/>
        </w:rPr>
      </w:pPr>
      <w:r>
        <w:rPr>
          <w:rFonts w:eastAsia="Calibri" w:cs="Times New Roman"/>
          <w:b/>
          <w:color w:val="081E3E"/>
          <w:kern w:val="12"/>
          <w:szCs w:val="20"/>
        </w:rPr>
        <w:t>January</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tbl>
      <w:tblPr>
        <w:tblStyle w:val="DefaultTable11"/>
        <w:tblW w:w="5367" w:type="pct"/>
        <w:tblInd w:w="-426" w:type="dxa"/>
        <w:tblLook w:val="04A0" w:firstRow="1" w:lastRow="0" w:firstColumn="1" w:lastColumn="0" w:noHBand="0" w:noVBand="1"/>
        <w:tblDescription w:val="regional Precincts and Partnerships Program—Announced Projects—January 2025"/>
      </w:tblPr>
      <w:tblGrid>
        <w:gridCol w:w="1423"/>
        <w:gridCol w:w="1788"/>
        <w:gridCol w:w="1785"/>
        <w:gridCol w:w="3938"/>
        <w:gridCol w:w="1785"/>
        <w:gridCol w:w="1052"/>
        <w:gridCol w:w="1785"/>
        <w:gridCol w:w="1779"/>
      </w:tblGrid>
      <w:tr w:rsidR="00626193" w:rsidRPr="00E17389" w:rsidTr="000C6A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E17389" w:rsidRDefault="00626193" w:rsidP="00085605">
            <w:pPr>
              <w:pStyle w:val="Tablerowcolumnheading"/>
              <w:spacing w:before="40" w:after="40"/>
              <w:rPr>
                <w:b/>
                <w:sz w:val="22"/>
                <w:szCs w:val="22"/>
              </w:rPr>
            </w:pPr>
            <w:r w:rsidRPr="00E17389">
              <w:rPr>
                <w:b/>
                <w:sz w:val="22"/>
                <w:szCs w:val="22"/>
              </w:rPr>
              <w:t>rPPP Program stream</w:t>
            </w:r>
          </w:p>
        </w:tc>
        <w:tc>
          <w:tcPr>
            <w:tcW w:w="583" w:type="pct"/>
          </w:tcPr>
          <w:p w:rsidR="00626193" w:rsidRPr="00E17389" w:rsidRDefault="00626193"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E17389">
              <w:rPr>
                <w:b/>
                <w:sz w:val="22"/>
                <w:szCs w:val="22"/>
              </w:rPr>
              <w:t>Applicant Organisation</w:t>
            </w:r>
          </w:p>
        </w:tc>
        <w:tc>
          <w:tcPr>
            <w:tcW w:w="582" w:type="pct"/>
          </w:tcPr>
          <w:p w:rsidR="00626193" w:rsidRPr="00E17389" w:rsidRDefault="00626193"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E17389">
              <w:rPr>
                <w:b/>
                <w:sz w:val="22"/>
                <w:szCs w:val="22"/>
              </w:rPr>
              <w:t>Project Title</w:t>
            </w:r>
          </w:p>
        </w:tc>
        <w:tc>
          <w:tcPr>
            <w:tcW w:w="1284" w:type="pct"/>
          </w:tcPr>
          <w:p w:rsidR="00626193" w:rsidRPr="00E17389" w:rsidRDefault="00626193"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E17389">
              <w:rPr>
                <w:b/>
                <w:sz w:val="22"/>
                <w:szCs w:val="22"/>
              </w:rPr>
              <w:t xml:space="preserve">Project Description </w:t>
            </w:r>
          </w:p>
        </w:tc>
        <w:tc>
          <w:tcPr>
            <w:tcW w:w="582" w:type="pct"/>
          </w:tcPr>
          <w:p w:rsidR="00626193" w:rsidRPr="00E17389" w:rsidRDefault="00626193"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E17389">
              <w:rPr>
                <w:b/>
                <w:sz w:val="22"/>
                <w:szCs w:val="22"/>
              </w:rPr>
              <w:t xml:space="preserve">Project Location </w:t>
            </w:r>
          </w:p>
        </w:tc>
        <w:tc>
          <w:tcPr>
            <w:tcW w:w="343" w:type="pct"/>
          </w:tcPr>
          <w:p w:rsidR="00626193" w:rsidRPr="00E17389" w:rsidRDefault="00626193"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E17389">
              <w:rPr>
                <w:b/>
                <w:sz w:val="22"/>
                <w:szCs w:val="22"/>
              </w:rPr>
              <w:t>State</w:t>
            </w:r>
          </w:p>
        </w:tc>
        <w:tc>
          <w:tcPr>
            <w:tcW w:w="582" w:type="pct"/>
          </w:tcPr>
          <w:p w:rsidR="00626193" w:rsidRPr="00E17389" w:rsidRDefault="00626193"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E17389">
              <w:rPr>
                <w:b/>
                <w:sz w:val="22"/>
                <w:szCs w:val="22"/>
              </w:rPr>
              <w:t>Commonwealth Funding Approved</w:t>
            </w:r>
          </w:p>
        </w:tc>
        <w:tc>
          <w:tcPr>
            <w:tcW w:w="580" w:type="pct"/>
          </w:tcPr>
          <w:p w:rsidR="00626193" w:rsidRPr="00E17389" w:rsidRDefault="00626193" w:rsidP="00085605">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E17389">
              <w:rPr>
                <w:b/>
                <w:sz w:val="22"/>
                <w:szCs w:val="22"/>
              </w:rPr>
              <w:t>Date Announced</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85605">
            <w:pPr>
              <w:spacing w:before="40" w:after="40"/>
              <w:rPr>
                <w:rFonts w:cstheme="minorHAnsi"/>
                <w:color w:val="000000" w:themeColor="text1"/>
              </w:rPr>
            </w:pPr>
            <w:r>
              <w:rPr>
                <w:rFonts w:cstheme="minorHAnsi"/>
                <w:color w:val="000000" w:themeColor="text1"/>
              </w:rPr>
              <w:t xml:space="preserve">One </w:t>
            </w:r>
          </w:p>
        </w:tc>
        <w:tc>
          <w:tcPr>
            <w:tcW w:w="583"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Shoalhaven City Council</w:t>
            </w:r>
          </w:p>
        </w:tc>
        <w:tc>
          <w:tcPr>
            <w:tcW w:w="582"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Nowra Riverfront Precinct Activation</w:t>
            </w:r>
          </w:p>
        </w:tc>
        <w:tc>
          <w:tcPr>
            <w:tcW w:w="1284"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879BA">
              <w:t>This project delivers a masterplan which aims to reconnect Nowra’s City Centre with Shoalhaven River.</w:t>
            </w:r>
          </w:p>
        </w:tc>
        <w:tc>
          <w:tcPr>
            <w:tcW w:w="582"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8879BA">
              <w:t>Nowra</w:t>
            </w:r>
          </w:p>
        </w:tc>
        <w:tc>
          <w:tcPr>
            <w:tcW w:w="343"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NSW</w:t>
            </w:r>
          </w:p>
        </w:tc>
        <w:tc>
          <w:tcPr>
            <w:tcW w:w="582"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$5,000,000</w:t>
            </w:r>
          </w:p>
        </w:tc>
        <w:tc>
          <w:tcPr>
            <w:tcW w:w="580"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14 January 2025</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C6A9B">
            <w:pPr>
              <w:keepNext/>
              <w:spacing w:before="40" w:after="40"/>
              <w:rPr>
                <w:rFonts w:cstheme="minorHAnsi"/>
              </w:rPr>
            </w:pPr>
            <w:r>
              <w:rPr>
                <w:rFonts w:cstheme="minorHAnsi"/>
              </w:rPr>
              <w:t>One</w:t>
            </w:r>
          </w:p>
        </w:tc>
        <w:tc>
          <w:tcPr>
            <w:tcW w:w="583" w:type="pct"/>
          </w:tcPr>
          <w:p w:rsidR="00626193" w:rsidRDefault="00626193" w:rsidP="000C6A9B">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FE708A">
              <w:t>Northern Territory of Australia</w:t>
            </w:r>
          </w:p>
        </w:tc>
        <w:tc>
          <w:tcPr>
            <w:tcW w:w="582" w:type="pct"/>
          </w:tcPr>
          <w:p w:rsidR="00626193" w:rsidRDefault="00626193" w:rsidP="000C6A9B">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FE708A">
              <w:t>Central Australian Regional Community Precincts</w:t>
            </w:r>
          </w:p>
        </w:tc>
        <w:tc>
          <w:tcPr>
            <w:tcW w:w="1284" w:type="pct"/>
          </w:tcPr>
          <w:p w:rsidR="00626193" w:rsidRPr="008879BA" w:rsidRDefault="00626193" w:rsidP="000C6A9B">
            <w:pPr>
              <w:keepNext/>
              <w:spacing w:before="40" w:after="40"/>
              <w:cnfStyle w:val="000000010000" w:firstRow="0" w:lastRow="0" w:firstColumn="0" w:lastColumn="0" w:oddVBand="0" w:evenVBand="0" w:oddHBand="0" w:evenHBand="1" w:firstRowFirstColumn="0" w:firstRowLastColumn="0" w:lastRowFirstColumn="0" w:lastRowLastColumn="0"/>
            </w:pPr>
            <w:r w:rsidRPr="00FE708A">
              <w:t>This proposal delivers engagement reports, options analysis, detailed technical drawings and draft tender documents for six multi-purpose regional precincts in remote Northern Territory.</w:t>
            </w:r>
          </w:p>
        </w:tc>
        <w:tc>
          <w:tcPr>
            <w:tcW w:w="582" w:type="pct"/>
          </w:tcPr>
          <w:p w:rsidR="00626193" w:rsidRPr="008879BA" w:rsidRDefault="00626193"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Papunya</w:t>
            </w:r>
          </w:p>
          <w:p w:rsidR="00626193" w:rsidRPr="008879BA" w:rsidRDefault="00626193"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Ti Tree</w:t>
            </w:r>
          </w:p>
          <w:p w:rsidR="00626193" w:rsidRPr="008879BA" w:rsidRDefault="00626193"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Ntaria</w:t>
            </w:r>
          </w:p>
          <w:p w:rsidR="00626193" w:rsidRPr="008879BA" w:rsidRDefault="00626193"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Atitjere</w:t>
            </w:r>
          </w:p>
          <w:p w:rsidR="00626193" w:rsidRDefault="00626193"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Santa Teresa</w:t>
            </w:r>
          </w:p>
          <w:p w:rsidR="00626193" w:rsidRPr="000C6A9B" w:rsidRDefault="00626193"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0C6A9B">
              <w:t>Yuendumu</w:t>
            </w:r>
          </w:p>
        </w:tc>
        <w:tc>
          <w:tcPr>
            <w:tcW w:w="343" w:type="pct"/>
          </w:tcPr>
          <w:p w:rsidR="00626193" w:rsidRPr="008879BA" w:rsidRDefault="00626193"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pPr>
            <w:r>
              <w:t>NT</w:t>
            </w:r>
          </w:p>
        </w:tc>
        <w:tc>
          <w:tcPr>
            <w:tcW w:w="582" w:type="pct"/>
          </w:tcPr>
          <w:p w:rsidR="00626193" w:rsidRPr="008879BA" w:rsidRDefault="00626193"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pPr>
            <w:r>
              <w:t>$4,725,000</w:t>
            </w:r>
          </w:p>
        </w:tc>
        <w:tc>
          <w:tcPr>
            <w:tcW w:w="580" w:type="pct"/>
          </w:tcPr>
          <w:p w:rsidR="00626193" w:rsidRDefault="00626193"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30 January 2025</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C6A9B">
            <w:pPr>
              <w:keepNext/>
              <w:spacing w:before="40" w:after="40"/>
              <w:rPr>
                <w:rFonts w:cstheme="minorHAnsi"/>
              </w:rPr>
            </w:pPr>
            <w:r>
              <w:rPr>
                <w:rFonts w:cstheme="minorHAnsi"/>
              </w:rPr>
              <w:t>One</w:t>
            </w:r>
          </w:p>
        </w:tc>
        <w:tc>
          <w:tcPr>
            <w:tcW w:w="583" w:type="pct"/>
          </w:tcPr>
          <w:p w:rsidR="00626193" w:rsidRPr="00FE708A" w:rsidRDefault="00626193" w:rsidP="000C6A9B">
            <w:pPr>
              <w:keepNext/>
              <w:spacing w:before="40" w:after="40"/>
              <w:cnfStyle w:val="000000000000" w:firstRow="0" w:lastRow="0" w:firstColumn="0" w:lastColumn="0" w:oddVBand="0" w:evenVBand="0" w:oddHBand="0" w:evenHBand="0" w:firstRowFirstColumn="0" w:firstRowLastColumn="0" w:lastRowFirstColumn="0" w:lastRowLastColumn="0"/>
            </w:pPr>
            <w:r w:rsidRPr="00AA04AE">
              <w:t>Jawoyn Association Aboriginal Corporation</w:t>
            </w:r>
          </w:p>
        </w:tc>
        <w:tc>
          <w:tcPr>
            <w:tcW w:w="582" w:type="pct"/>
          </w:tcPr>
          <w:p w:rsidR="00626193" w:rsidRPr="00FE708A" w:rsidRDefault="00626193" w:rsidP="000C6A9B">
            <w:pPr>
              <w:keepNext/>
              <w:spacing w:before="40" w:after="40"/>
              <w:cnfStyle w:val="000000000000" w:firstRow="0" w:lastRow="0" w:firstColumn="0" w:lastColumn="0" w:oddVBand="0" w:evenVBand="0" w:oddHBand="0" w:evenHBand="0" w:firstRowFirstColumn="0" w:firstRowLastColumn="0" w:lastRowFirstColumn="0" w:lastRowLastColumn="0"/>
            </w:pPr>
            <w:r w:rsidRPr="00AA04AE">
              <w:t>Nitmiluk Tourism Services Precinct</w:t>
            </w:r>
          </w:p>
        </w:tc>
        <w:tc>
          <w:tcPr>
            <w:tcW w:w="1284" w:type="pct"/>
          </w:tcPr>
          <w:p w:rsidR="00626193" w:rsidRPr="00FE708A" w:rsidRDefault="00626193" w:rsidP="000C6A9B">
            <w:pPr>
              <w:keepNext/>
              <w:spacing w:before="40" w:after="40"/>
              <w:cnfStyle w:val="000000000000" w:firstRow="0" w:lastRow="0" w:firstColumn="0" w:lastColumn="0" w:oddVBand="0" w:evenVBand="0" w:oddHBand="0" w:evenHBand="0" w:firstRowFirstColumn="0" w:firstRowLastColumn="0" w:lastRowFirstColumn="0" w:lastRowLastColumn="0"/>
            </w:pPr>
            <w:r w:rsidRPr="000E704A">
              <w:t>This project delivers engagement and consultation with key stakeholders, and delivers a master plan for upgrading key infrastructure in the Nitmiluk National Park.</w:t>
            </w:r>
          </w:p>
        </w:tc>
        <w:tc>
          <w:tcPr>
            <w:tcW w:w="582" w:type="pct"/>
          </w:tcPr>
          <w:p w:rsidR="00626193" w:rsidRPr="000C6A9B" w:rsidRDefault="00626193" w:rsidP="000C6A9B">
            <w:pPr>
              <w:spacing w:line="259" w:lineRule="auto"/>
              <w:cnfStyle w:val="000000000000" w:firstRow="0" w:lastRow="0" w:firstColumn="0" w:lastColumn="0" w:oddVBand="0" w:evenVBand="0" w:oddHBand="0" w:evenHBand="0" w:firstRowFirstColumn="0" w:firstRowLastColumn="0" w:lastRowFirstColumn="0" w:lastRowLastColumn="0"/>
            </w:pPr>
            <w:r w:rsidRPr="000C6A9B">
              <w:t>Katherine</w:t>
            </w:r>
          </w:p>
        </w:tc>
        <w:tc>
          <w:tcPr>
            <w:tcW w:w="343" w:type="pct"/>
          </w:tcPr>
          <w:p w:rsidR="00626193" w:rsidRDefault="00626193"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AA04AE">
              <w:t>NT</w:t>
            </w:r>
          </w:p>
        </w:tc>
        <w:tc>
          <w:tcPr>
            <w:tcW w:w="582" w:type="pct"/>
          </w:tcPr>
          <w:p w:rsidR="00626193" w:rsidRDefault="00626193"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AA04AE">
              <w:t>$4,000,000</w:t>
            </w:r>
          </w:p>
        </w:tc>
        <w:tc>
          <w:tcPr>
            <w:tcW w:w="580" w:type="pct"/>
          </w:tcPr>
          <w:p w:rsidR="00626193" w:rsidRDefault="00626193"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 January 2025</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rPr>
            </w:pPr>
            <w:r w:rsidRPr="005275B8">
              <w:rPr>
                <w:rFonts w:cstheme="minorHAnsi"/>
              </w:rPr>
              <w:t>One</w:t>
            </w:r>
          </w:p>
        </w:tc>
        <w:tc>
          <w:tcPr>
            <w:tcW w:w="583"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b/>
                <w:color w:val="000000" w:themeColor="text1"/>
              </w:rPr>
            </w:pPr>
            <w:r w:rsidRPr="005275B8">
              <w:rPr>
                <w:rFonts w:cstheme="minorHAnsi"/>
              </w:rPr>
              <w:t>Croydon Shire Council</w:t>
            </w:r>
          </w:p>
        </w:tc>
        <w:tc>
          <w:tcPr>
            <w:tcW w:w="582"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Croydon Precinct Growth Plan</w:t>
            </w:r>
          </w:p>
        </w:tc>
        <w:tc>
          <w:tcPr>
            <w:tcW w:w="1284"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212529"/>
              </w:rPr>
              <w:t>Funding</w:t>
            </w:r>
            <w:r w:rsidRPr="005275B8">
              <w:rPr>
                <w:rFonts w:cstheme="minorHAnsi"/>
              </w:rPr>
              <w:t xml:space="preserve"> will support the delivery of a shovel-ready master plan to support both economic and population growth in Croydon over the next 10 to 15 years. </w:t>
            </w:r>
          </w:p>
        </w:tc>
        <w:tc>
          <w:tcPr>
            <w:tcW w:w="582"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Croydon</w:t>
            </w:r>
          </w:p>
        </w:tc>
        <w:tc>
          <w:tcPr>
            <w:tcW w:w="343"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QLD</w:t>
            </w:r>
          </w:p>
        </w:tc>
        <w:tc>
          <w:tcPr>
            <w:tcW w:w="582"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$2,813,500</w:t>
            </w:r>
          </w:p>
        </w:tc>
        <w:tc>
          <w:tcPr>
            <w:tcW w:w="580"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16 May 2024</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color w:val="000000" w:themeColor="text1"/>
              </w:rPr>
            </w:pPr>
            <w:r w:rsidRPr="005275B8">
              <w:rPr>
                <w:rFonts w:cstheme="minorHAnsi"/>
                <w:color w:val="000000" w:themeColor="text1"/>
              </w:rPr>
              <w:t>One</w:t>
            </w:r>
          </w:p>
        </w:tc>
        <w:tc>
          <w:tcPr>
            <w:tcW w:w="583"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275B8">
              <w:rPr>
                <w:rFonts w:cstheme="minorHAnsi"/>
                <w:color w:val="000000" w:themeColor="text1"/>
              </w:rPr>
              <w:t>Mareeba Shire Council</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 xml:space="preserve">Mareeba CBD Revitalisation </w:t>
            </w:r>
          </w:p>
        </w:tc>
        <w:tc>
          <w:tcPr>
            <w:tcW w:w="1284"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212529"/>
              </w:rPr>
              <w:t>Funding</w:t>
            </w:r>
            <w:r w:rsidRPr="005275B8">
              <w:rPr>
                <w:rFonts w:cstheme="minorHAnsi"/>
                <w:color w:val="000000" w:themeColor="text1"/>
              </w:rPr>
              <w:t xml:space="preserve"> will support the delivery of a</w:t>
            </w:r>
            <w:r w:rsidRPr="005275B8">
              <w:rPr>
                <w:rFonts w:eastAsia="Times New Roman" w:cstheme="minorHAnsi"/>
                <w:lang w:eastAsia="en-AU"/>
              </w:rPr>
              <w:t xml:space="preserve"> precinct plan that will identify issues, opportunities and priorities to deliver the necessary improvements to activate and revitalise the Mareeba CBD.</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Mareeba</w:t>
            </w:r>
          </w:p>
        </w:tc>
        <w:tc>
          <w:tcPr>
            <w:tcW w:w="343"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QLD</w:t>
            </w:r>
          </w:p>
        </w:tc>
        <w:tc>
          <w:tcPr>
            <w:tcW w:w="582"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$2,143,249</w:t>
            </w:r>
          </w:p>
        </w:tc>
        <w:tc>
          <w:tcPr>
            <w:tcW w:w="580"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rPr>
              <w:t>16 May 2024</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913934">
            <w:pPr>
              <w:spacing w:before="40" w:after="40"/>
              <w:rPr>
                <w:rFonts w:cstheme="minorHAnsi"/>
                <w:color w:val="000000" w:themeColor="text1"/>
              </w:rPr>
            </w:pPr>
            <w:r>
              <w:rPr>
                <w:rFonts w:cstheme="minorHAnsi"/>
                <w:color w:val="000000" w:themeColor="text1"/>
              </w:rPr>
              <w:lastRenderedPageBreak/>
              <w:t>One</w:t>
            </w:r>
          </w:p>
        </w:tc>
        <w:tc>
          <w:tcPr>
            <w:tcW w:w="583" w:type="pct"/>
          </w:tcPr>
          <w:p w:rsidR="00626193" w:rsidRDefault="00626193"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Coorong District Council</w:t>
            </w:r>
          </w:p>
        </w:tc>
        <w:tc>
          <w:tcPr>
            <w:tcW w:w="582" w:type="pct"/>
          </w:tcPr>
          <w:p w:rsidR="00626193" w:rsidRPr="00EC0A11" w:rsidRDefault="00626193"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Tailem Bend Growth Precinct</w:t>
            </w:r>
          </w:p>
        </w:tc>
        <w:tc>
          <w:tcPr>
            <w:tcW w:w="1284" w:type="pct"/>
          </w:tcPr>
          <w:p w:rsidR="00626193" w:rsidRPr="00EC0A11" w:rsidRDefault="00626193"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8879BA">
              <w:t xml:space="preserve">The project delivers detailed designs, feasibility and costed scope for the 10th Street Housing Development and streetscape upgrades of the main street, highway corridor and connecting reserves and streets. </w:t>
            </w:r>
          </w:p>
        </w:tc>
        <w:tc>
          <w:tcPr>
            <w:tcW w:w="582" w:type="pct"/>
          </w:tcPr>
          <w:p w:rsidR="00626193" w:rsidRPr="002200E5" w:rsidRDefault="00626193"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Tailem Bend</w:t>
            </w:r>
          </w:p>
        </w:tc>
        <w:tc>
          <w:tcPr>
            <w:tcW w:w="343" w:type="pct"/>
          </w:tcPr>
          <w:p w:rsidR="00626193" w:rsidRDefault="00626193"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SA</w:t>
            </w:r>
          </w:p>
        </w:tc>
        <w:tc>
          <w:tcPr>
            <w:tcW w:w="582" w:type="pct"/>
          </w:tcPr>
          <w:p w:rsidR="00626193" w:rsidRPr="005275B8" w:rsidRDefault="00626193"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8879BA">
              <w:t>$508,000</w:t>
            </w:r>
          </w:p>
        </w:tc>
        <w:tc>
          <w:tcPr>
            <w:tcW w:w="580" w:type="pct"/>
          </w:tcPr>
          <w:p w:rsidR="00626193" w:rsidRDefault="00626193"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January 2025</w:t>
            </w:r>
          </w:p>
        </w:tc>
      </w:tr>
      <w:tr w:rsidR="00626193" w:rsidRPr="00654F9E" w:rsidTr="0045462E">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913934">
            <w:pPr>
              <w:spacing w:before="40" w:after="40"/>
              <w:rPr>
                <w:rFonts w:cstheme="minorHAnsi"/>
                <w:color w:val="000000" w:themeColor="text1"/>
              </w:rPr>
            </w:pPr>
            <w:r>
              <w:rPr>
                <w:rFonts w:cstheme="minorHAnsi"/>
                <w:color w:val="000000" w:themeColor="text1"/>
              </w:rPr>
              <w:t>One</w:t>
            </w:r>
          </w:p>
        </w:tc>
        <w:tc>
          <w:tcPr>
            <w:tcW w:w="583" w:type="pct"/>
            <w:shd w:val="clear" w:color="auto" w:fill="auto"/>
          </w:tcPr>
          <w:p w:rsidR="00626193" w:rsidRDefault="00626193"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Mid Murray Council</w:t>
            </w:r>
          </w:p>
        </w:tc>
        <w:tc>
          <w:tcPr>
            <w:tcW w:w="582" w:type="pct"/>
            <w:shd w:val="clear" w:color="auto" w:fill="auto"/>
          </w:tcPr>
          <w:p w:rsidR="00626193" w:rsidRPr="00EC0A11" w:rsidRDefault="00626193"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Mid Murray Tourism Precinct Planning Project</w:t>
            </w:r>
          </w:p>
        </w:tc>
        <w:tc>
          <w:tcPr>
            <w:tcW w:w="1284" w:type="pct"/>
            <w:shd w:val="clear" w:color="auto" w:fill="auto"/>
          </w:tcPr>
          <w:p w:rsidR="00626193" w:rsidRPr="00EC0A11" w:rsidRDefault="00626193"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2529"/>
              </w:rPr>
            </w:pPr>
            <w:r w:rsidRPr="008879BA">
              <w:t>The project will develop a business case, document and identify tourism assets and create a precinct plan connecting 11 towns in the council district.</w:t>
            </w:r>
          </w:p>
        </w:tc>
        <w:tc>
          <w:tcPr>
            <w:tcW w:w="582" w:type="pct"/>
            <w:shd w:val="clear" w:color="auto" w:fill="auto"/>
          </w:tcPr>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Mannum</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Morgan</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Tungkillo</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Blanchetown</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 xml:space="preserve">Swan Reach </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Sedan</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Truro</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Keyneton</w:t>
            </w:r>
          </w:p>
          <w:p w:rsidR="00626193" w:rsidRPr="008879BA"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Cadell</w:t>
            </w:r>
          </w:p>
          <w:p w:rsidR="00626193"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Palmer</w:t>
            </w:r>
          </w:p>
          <w:p w:rsidR="00626193" w:rsidRPr="00913934" w:rsidRDefault="00626193"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913934">
              <w:t>Cam</w:t>
            </w:r>
            <w:r w:rsidR="00752EE1">
              <w:t>b</w:t>
            </w:r>
            <w:r w:rsidRPr="00913934">
              <w:t>rai</w:t>
            </w:r>
          </w:p>
        </w:tc>
        <w:tc>
          <w:tcPr>
            <w:tcW w:w="343" w:type="pct"/>
            <w:shd w:val="clear" w:color="auto" w:fill="auto"/>
          </w:tcPr>
          <w:p w:rsidR="00626193" w:rsidRDefault="00626193"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SA</w:t>
            </w:r>
          </w:p>
        </w:tc>
        <w:tc>
          <w:tcPr>
            <w:tcW w:w="582" w:type="pct"/>
            <w:shd w:val="clear" w:color="auto" w:fill="auto"/>
          </w:tcPr>
          <w:p w:rsidR="00626193" w:rsidRPr="005275B8" w:rsidRDefault="00626193"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8879BA">
              <w:t>$1,520,000</w:t>
            </w:r>
          </w:p>
        </w:tc>
        <w:tc>
          <w:tcPr>
            <w:tcW w:w="580" w:type="pct"/>
          </w:tcPr>
          <w:p w:rsidR="00626193" w:rsidRDefault="00626193"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January 2025</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color w:val="000000" w:themeColor="text1"/>
              </w:rPr>
            </w:pPr>
            <w:r>
              <w:rPr>
                <w:rFonts w:cstheme="minorHAnsi"/>
                <w:color w:val="000000" w:themeColor="text1"/>
              </w:rPr>
              <w:t>One</w:t>
            </w:r>
          </w:p>
        </w:tc>
        <w:tc>
          <w:tcPr>
            <w:tcW w:w="583"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631C79">
              <w:rPr>
                <w:rFonts w:cstheme="minorHAnsi"/>
                <w:color w:val="000000" w:themeColor="text1"/>
              </w:rPr>
              <w:t>Derwent Valley Council</w:t>
            </w:r>
          </w:p>
        </w:tc>
        <w:tc>
          <w:tcPr>
            <w:tcW w:w="582" w:type="pct"/>
          </w:tcPr>
          <w:p w:rsidR="00626193" w:rsidRPr="00EC0A11"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EC0A11">
              <w:t>Upper Derwent Valley Regional Precinct Project</w:t>
            </w:r>
          </w:p>
        </w:tc>
        <w:tc>
          <w:tcPr>
            <w:tcW w:w="1284" w:type="pct"/>
          </w:tcPr>
          <w:p w:rsidR="00626193" w:rsidRPr="00EC0A11"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EC0A11">
              <w:rPr>
                <w:rFonts w:cstheme="minorHAnsi"/>
                <w:color w:val="000000" w:themeColor="text1"/>
              </w:rPr>
              <w:t>Funding will support the development of precinct plans/concept designs, business plans and feasibility studies for the communities of Maydena, Plenty, Hayes, Bushy Park, Glenora, Westerway and Mount Field.</w:t>
            </w:r>
          </w:p>
        </w:tc>
        <w:tc>
          <w:tcPr>
            <w:tcW w:w="582" w:type="pct"/>
          </w:tcPr>
          <w:p w:rsidR="00626193" w:rsidRPr="002200E5"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2200E5">
              <w:rPr>
                <w:rFonts w:cstheme="minorHAnsi"/>
                <w:color w:val="000000" w:themeColor="text1"/>
              </w:rPr>
              <w:t>Upper Derwent Valley</w:t>
            </w:r>
          </w:p>
        </w:tc>
        <w:tc>
          <w:tcPr>
            <w:tcW w:w="343"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TAS</w:t>
            </w:r>
          </w:p>
        </w:tc>
        <w:tc>
          <w:tcPr>
            <w:tcW w:w="582"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$501,538</w:t>
            </w:r>
          </w:p>
        </w:tc>
        <w:tc>
          <w:tcPr>
            <w:tcW w:w="580"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15 January 2025</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rPr>
            </w:pPr>
            <w:r w:rsidRPr="005275B8">
              <w:rPr>
                <w:rFonts w:cstheme="minorHAnsi"/>
              </w:rPr>
              <w:t>One</w:t>
            </w:r>
          </w:p>
        </w:tc>
        <w:tc>
          <w:tcPr>
            <w:tcW w:w="583"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Bendigo Kangan Institute</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Bendigo East Urban Renewal Precinct </w:t>
            </w:r>
          </w:p>
        </w:tc>
        <w:tc>
          <w:tcPr>
            <w:tcW w:w="1284"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Funding will support the planning and design of a precinct master plan to activate underutilised land for education, housing and community purposes.</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Bendigo</w:t>
            </w:r>
          </w:p>
        </w:tc>
        <w:tc>
          <w:tcPr>
            <w:tcW w:w="343"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VIC</w:t>
            </w:r>
          </w:p>
        </w:tc>
        <w:tc>
          <w:tcPr>
            <w:tcW w:w="582"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$1,181,537</w:t>
            </w:r>
          </w:p>
        </w:tc>
        <w:tc>
          <w:tcPr>
            <w:tcW w:w="580"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 May 2024</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rPr>
            </w:pPr>
            <w:r w:rsidRPr="005275B8">
              <w:rPr>
                <w:rFonts w:cstheme="minorHAnsi"/>
              </w:rPr>
              <w:t>One</w:t>
            </w:r>
          </w:p>
        </w:tc>
        <w:tc>
          <w:tcPr>
            <w:tcW w:w="583"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b/>
                <w:color w:val="000000" w:themeColor="text1"/>
              </w:rPr>
            </w:pPr>
            <w:r w:rsidRPr="005275B8">
              <w:rPr>
                <w:rFonts w:cstheme="minorHAnsi"/>
              </w:rPr>
              <w:t>Colac Otway Shire Council</w:t>
            </w:r>
          </w:p>
        </w:tc>
        <w:tc>
          <w:tcPr>
            <w:tcW w:w="582" w:type="pct"/>
          </w:tcPr>
          <w:p w:rsidR="00626193" w:rsidRPr="007A11FE"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rPr>
              <w:t xml:space="preserve">Colac Otway Adaptable Precincts: a blueprint for future housing delivery </w:t>
            </w:r>
          </w:p>
        </w:tc>
        <w:tc>
          <w:tcPr>
            <w:tcW w:w="1284"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5275B8">
              <w:rPr>
                <w:rFonts w:cstheme="minorHAnsi"/>
              </w:rPr>
              <w:t>Funding will support the design of two shovel-ready, master-planned precincts for affordable and key worker housing in the townships of Colac and Apollo Bay.</w:t>
            </w:r>
          </w:p>
        </w:tc>
        <w:tc>
          <w:tcPr>
            <w:tcW w:w="582"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rPr>
              <w:t>Colac and Apollo Bay</w:t>
            </w:r>
          </w:p>
        </w:tc>
        <w:tc>
          <w:tcPr>
            <w:tcW w:w="343"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VIC</w:t>
            </w:r>
          </w:p>
        </w:tc>
        <w:tc>
          <w:tcPr>
            <w:tcW w:w="582"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$2,017,576</w:t>
            </w:r>
          </w:p>
        </w:tc>
        <w:tc>
          <w:tcPr>
            <w:tcW w:w="580"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16 May 2024</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rPr>
            </w:pPr>
            <w:r w:rsidRPr="005275B8">
              <w:rPr>
                <w:rFonts w:cstheme="minorHAnsi"/>
              </w:rPr>
              <w:lastRenderedPageBreak/>
              <w:t>One</w:t>
            </w:r>
          </w:p>
        </w:tc>
        <w:tc>
          <w:tcPr>
            <w:tcW w:w="583"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b/>
              </w:rPr>
            </w:pPr>
            <w:r w:rsidRPr="005275B8">
              <w:rPr>
                <w:rFonts w:cstheme="minorHAnsi"/>
              </w:rPr>
              <w:t>Swan</w:t>
            </w:r>
            <w:r w:rsidRPr="005275B8">
              <w:rPr>
                <w:rFonts w:cstheme="minorHAnsi"/>
                <w:color w:val="000000" w:themeColor="text1"/>
              </w:rPr>
              <w:t xml:space="preserve"> Hill Rural City Council</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Transforming the Heart of Swan Hill Precinct</w:t>
            </w:r>
          </w:p>
        </w:tc>
        <w:tc>
          <w:tcPr>
            <w:tcW w:w="1284"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Funding will support the development of a place-based precinct plan to support the revitalisation of the Swan Hill CBD across six community sites.</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Swan Hill </w:t>
            </w:r>
          </w:p>
        </w:tc>
        <w:tc>
          <w:tcPr>
            <w:tcW w:w="343"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color w:val="000000" w:themeColor="text1"/>
              </w:rPr>
              <w:t>VIC</w:t>
            </w:r>
          </w:p>
        </w:tc>
        <w:tc>
          <w:tcPr>
            <w:tcW w:w="582"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w:t>
            </w:r>
            <w:r w:rsidRPr="005275B8">
              <w:rPr>
                <w:rFonts w:cstheme="minorHAnsi"/>
                <w:color w:val="000000" w:themeColor="text1"/>
              </w:rPr>
              <w:t>650,000</w:t>
            </w:r>
          </w:p>
        </w:tc>
        <w:tc>
          <w:tcPr>
            <w:tcW w:w="580"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 May 2024</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85605">
            <w:pPr>
              <w:spacing w:before="40" w:after="40"/>
              <w:rPr>
                <w:rFonts w:cstheme="minorHAnsi"/>
                <w:color w:val="000000" w:themeColor="text1"/>
              </w:rPr>
            </w:pPr>
            <w:r>
              <w:rPr>
                <w:rFonts w:cstheme="minorHAnsi"/>
                <w:color w:val="000000" w:themeColor="text1"/>
              </w:rPr>
              <w:t>One</w:t>
            </w:r>
          </w:p>
        </w:tc>
        <w:tc>
          <w:tcPr>
            <w:tcW w:w="583"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Moira Shire Council</w:t>
            </w:r>
          </w:p>
        </w:tc>
        <w:tc>
          <w:tcPr>
            <w:tcW w:w="582"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Thompsons Beach Kennedy Park Precinct</w:t>
            </w:r>
          </w:p>
        </w:tc>
        <w:tc>
          <w:tcPr>
            <w:tcW w:w="1284"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development of a masterplan and concept plan for the Thompsons Beach and Kennedy Park Precinct to support the needs of the Cobram Barooga communities.</w:t>
            </w:r>
          </w:p>
        </w:tc>
        <w:tc>
          <w:tcPr>
            <w:tcW w:w="582"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Cobram</w:t>
            </w:r>
          </w:p>
        </w:tc>
        <w:tc>
          <w:tcPr>
            <w:tcW w:w="343"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$815,000</w:t>
            </w:r>
          </w:p>
        </w:tc>
        <w:tc>
          <w:tcPr>
            <w:tcW w:w="580"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October 2024</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color w:val="000000" w:themeColor="text1"/>
              </w:rPr>
            </w:pPr>
            <w:r>
              <w:rPr>
                <w:rFonts w:cstheme="minorHAnsi"/>
                <w:color w:val="000000" w:themeColor="text1"/>
              </w:rPr>
              <w:t>One</w:t>
            </w:r>
          </w:p>
        </w:tc>
        <w:tc>
          <w:tcPr>
            <w:tcW w:w="583"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Southern Grampians Shire Council</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Hamilton Community and Cultural Precinct</w:t>
            </w:r>
          </w:p>
        </w:tc>
        <w:tc>
          <w:tcPr>
            <w:tcW w:w="1284"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development of a Precinct Business case and detailed designs for CBD revitalisation, a New Hamilton Gallery and development of a Community and Digital Hub.</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Hamilton</w:t>
            </w:r>
          </w:p>
        </w:tc>
        <w:tc>
          <w:tcPr>
            <w:tcW w:w="343"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$5,000,000</w:t>
            </w:r>
          </w:p>
        </w:tc>
        <w:tc>
          <w:tcPr>
            <w:tcW w:w="580"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October 2024</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color w:val="000000" w:themeColor="text1"/>
              </w:rPr>
            </w:pPr>
            <w:r>
              <w:rPr>
                <w:rFonts w:cstheme="minorHAnsi"/>
                <w:color w:val="000000" w:themeColor="text1"/>
              </w:rPr>
              <w:t>One</w:t>
            </w:r>
          </w:p>
        </w:tc>
        <w:tc>
          <w:tcPr>
            <w:tcW w:w="583"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rPr>
              <w:t>Western Desert Lands Aboriginal Corporation</w:t>
            </w:r>
          </w:p>
        </w:tc>
        <w:tc>
          <w:tcPr>
            <w:tcW w:w="582" w:type="pct"/>
          </w:tcPr>
          <w:p w:rsidR="00626193" w:rsidRPr="00EC0A11"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EC0A11">
              <w:rPr>
                <w:rFonts w:cstheme="minorHAnsi"/>
              </w:rPr>
              <w:t>Kunawarritji Community Renewal</w:t>
            </w:r>
          </w:p>
          <w:p w:rsidR="00626193" w:rsidRPr="00EC0A11"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EC0A11">
              <w:rPr>
                <w:rFonts w:cstheme="minorHAnsi"/>
              </w:rPr>
              <w:t>Parnngurr Community Renewal</w:t>
            </w:r>
          </w:p>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EC0A11">
              <w:rPr>
                <w:rFonts w:cstheme="minorHAnsi"/>
              </w:rPr>
              <w:t>Punmu Community Renewal</w:t>
            </w:r>
          </w:p>
        </w:tc>
        <w:tc>
          <w:tcPr>
            <w:tcW w:w="1284"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sidRPr="00EC0A11">
              <w:rPr>
                <w:rFonts w:cstheme="minorHAnsi"/>
              </w:rPr>
              <w:t>Funding will support the development of community precinct plans for</w:t>
            </w:r>
            <w:r>
              <w:rPr>
                <w:rFonts w:cstheme="minorHAnsi"/>
              </w:rPr>
              <w:t xml:space="preserve"> 3</w:t>
            </w:r>
            <w:r w:rsidRPr="00EC0A11">
              <w:rPr>
                <w:rFonts w:cstheme="minorHAnsi"/>
              </w:rPr>
              <w:t xml:space="preserve"> communities across East Pilbara in locations for the Martu desert communities of Kunawarritji</w:t>
            </w:r>
            <w:r>
              <w:rPr>
                <w:rFonts w:cstheme="minorHAnsi"/>
              </w:rPr>
              <w:t>,</w:t>
            </w:r>
            <w:r w:rsidRPr="00EC0A11">
              <w:rPr>
                <w:rFonts w:cstheme="minorHAnsi"/>
              </w:rPr>
              <w:t xml:space="preserve"> Parnngurr </w:t>
            </w:r>
            <w:r>
              <w:rPr>
                <w:rFonts w:cstheme="minorHAnsi"/>
              </w:rPr>
              <w:t xml:space="preserve">and </w:t>
            </w:r>
            <w:r w:rsidRPr="00EC0A11">
              <w:rPr>
                <w:rFonts w:cstheme="minorHAnsi"/>
              </w:rPr>
              <w:t>Punmu. The plans will consider upgrades to accommodation, essential services and community infrastructure.</w:t>
            </w:r>
          </w:p>
        </w:tc>
        <w:tc>
          <w:tcPr>
            <w:tcW w:w="582"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East Pilbara</w:t>
            </w:r>
          </w:p>
        </w:tc>
        <w:tc>
          <w:tcPr>
            <w:tcW w:w="343"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rPr>
              <w:t>WA</w:t>
            </w:r>
          </w:p>
        </w:tc>
        <w:tc>
          <w:tcPr>
            <w:tcW w:w="582" w:type="pct"/>
          </w:tcPr>
          <w:p w:rsidR="00626193" w:rsidRPr="00555BB1"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$2,000,000</w:t>
            </w:r>
          </w:p>
        </w:tc>
        <w:tc>
          <w:tcPr>
            <w:tcW w:w="580"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9 January 2025</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85605">
            <w:pPr>
              <w:spacing w:before="40" w:after="40"/>
              <w:rPr>
                <w:rFonts w:cstheme="minorHAnsi"/>
                <w:color w:val="000000" w:themeColor="text1"/>
              </w:rPr>
            </w:pPr>
            <w:r>
              <w:rPr>
                <w:rFonts w:cstheme="minorHAnsi"/>
                <w:color w:val="000000" w:themeColor="text1"/>
              </w:rPr>
              <w:t>One</w:t>
            </w:r>
          </w:p>
        </w:tc>
        <w:tc>
          <w:tcPr>
            <w:tcW w:w="583"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City of Greater Geraldton</w:t>
            </w:r>
          </w:p>
        </w:tc>
        <w:tc>
          <w:tcPr>
            <w:tcW w:w="582" w:type="pct"/>
          </w:tcPr>
          <w:p w:rsidR="00626193" w:rsidRPr="00EC0A11"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EC0A11">
              <w:rPr>
                <w:rFonts w:cstheme="minorHAnsi"/>
              </w:rPr>
              <w:t>Geraldton Green Connect Project</w:t>
            </w:r>
          </w:p>
        </w:tc>
        <w:tc>
          <w:tcPr>
            <w:tcW w:w="1284" w:type="pct"/>
          </w:tcPr>
          <w:p w:rsidR="00626193" w:rsidRPr="00EC0A11"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EC0A11">
              <w:rPr>
                <w:rFonts w:cstheme="minorHAnsi"/>
                <w:color w:val="212529"/>
              </w:rPr>
              <w:t>Funding</w:t>
            </w:r>
            <w:r w:rsidRPr="00EC0A11">
              <w:rPr>
                <w:rFonts w:cstheme="minorHAnsi"/>
              </w:rPr>
              <w:t xml:space="preserve"> will support </w:t>
            </w:r>
            <w:r>
              <w:rPr>
                <w:rFonts w:cstheme="minorHAnsi"/>
              </w:rPr>
              <w:t xml:space="preserve">planning, detailed design and a comprehensive business case for a </w:t>
            </w:r>
            <w:r w:rsidRPr="00EC0A11">
              <w:rPr>
                <w:rFonts w:cstheme="minorHAnsi"/>
              </w:rPr>
              <w:t>multi-use parkland precinct</w:t>
            </w:r>
            <w:r>
              <w:rPr>
                <w:rFonts w:cstheme="minorHAnsi"/>
              </w:rPr>
              <w:t xml:space="preserve">, </w:t>
            </w:r>
            <w:r w:rsidRPr="00EC0A11">
              <w:rPr>
                <w:rFonts w:cstheme="minorHAnsi"/>
              </w:rPr>
              <w:t>small-scale pavilion and sustainable transport hub</w:t>
            </w:r>
            <w:r>
              <w:rPr>
                <w:rFonts w:cstheme="minorHAnsi"/>
              </w:rPr>
              <w:t>.</w:t>
            </w:r>
          </w:p>
        </w:tc>
        <w:tc>
          <w:tcPr>
            <w:tcW w:w="582"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2200E5">
              <w:rPr>
                <w:rFonts w:cstheme="minorHAnsi"/>
                <w:color w:val="000000" w:themeColor="text1"/>
              </w:rPr>
              <w:t>Geraldton</w:t>
            </w:r>
          </w:p>
        </w:tc>
        <w:tc>
          <w:tcPr>
            <w:tcW w:w="343"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WA</w:t>
            </w:r>
          </w:p>
        </w:tc>
        <w:tc>
          <w:tcPr>
            <w:tcW w:w="582"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w:t>
            </w:r>
            <w:r>
              <w:rPr>
                <w:rFonts w:cstheme="minorHAnsi"/>
              </w:rPr>
              <w:t>3,382,420</w:t>
            </w:r>
          </w:p>
        </w:tc>
        <w:tc>
          <w:tcPr>
            <w:tcW w:w="580"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 January 2025</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color w:val="000000" w:themeColor="text1"/>
              </w:rPr>
            </w:pPr>
            <w:r>
              <w:rPr>
                <w:rFonts w:cstheme="minorHAnsi"/>
                <w:color w:val="000000" w:themeColor="text1"/>
              </w:rPr>
              <w:t>One</w:t>
            </w:r>
          </w:p>
        </w:tc>
        <w:tc>
          <w:tcPr>
            <w:tcW w:w="583"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Shire of Wyndham East Kimberley</w:t>
            </w:r>
          </w:p>
        </w:tc>
        <w:tc>
          <w:tcPr>
            <w:tcW w:w="582"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Kununurra Nganjileg lambagem – ‘Riverbank Recreation’</w:t>
            </w:r>
          </w:p>
        </w:tc>
        <w:tc>
          <w:tcPr>
            <w:tcW w:w="1284"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sidRPr="008879BA">
              <w:t xml:space="preserve">This project delivers waterfront precinct concept planning, precinct plan and an implementation strategy. </w:t>
            </w:r>
          </w:p>
        </w:tc>
        <w:tc>
          <w:tcPr>
            <w:tcW w:w="582" w:type="pct"/>
          </w:tcPr>
          <w:p w:rsidR="00626193" w:rsidRPr="005275B8"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8879BA">
              <w:t>Kununurra</w:t>
            </w:r>
          </w:p>
        </w:tc>
        <w:tc>
          <w:tcPr>
            <w:tcW w:w="343"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WA</w:t>
            </w:r>
          </w:p>
        </w:tc>
        <w:tc>
          <w:tcPr>
            <w:tcW w:w="582" w:type="pct"/>
          </w:tcPr>
          <w:p w:rsidR="00626193" w:rsidRPr="005275B8"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$1,932,362</w:t>
            </w:r>
          </w:p>
        </w:tc>
        <w:tc>
          <w:tcPr>
            <w:tcW w:w="580"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9 January 2025</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keepNext/>
              <w:spacing w:before="40" w:after="40"/>
              <w:rPr>
                <w:rFonts w:cstheme="minorHAnsi"/>
              </w:rPr>
            </w:pPr>
            <w:r>
              <w:rPr>
                <w:rFonts w:cstheme="minorHAnsi"/>
              </w:rPr>
              <w:lastRenderedPageBreak/>
              <w:t>Two</w:t>
            </w:r>
          </w:p>
        </w:tc>
        <w:tc>
          <w:tcPr>
            <w:tcW w:w="583"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University of Newcastle</w:t>
            </w:r>
          </w:p>
        </w:tc>
        <w:tc>
          <w:tcPr>
            <w:tcW w:w="582"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Construction of the Future Industries Facility</w:t>
            </w:r>
          </w:p>
        </w:tc>
        <w:tc>
          <w:tcPr>
            <w:tcW w:w="1284"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color w:val="212529"/>
              </w:rPr>
            </w:pPr>
            <w:r w:rsidRPr="008879BA">
              <w:t>This project constructs two industrial scale collaborative technology demonstration spaces. The facility aims to accommodate academic-industry partnerships for rapid technology co-development from research phase to market inception across energy, resource and manufacturing sectors and the net zero economy.</w:t>
            </w:r>
          </w:p>
        </w:tc>
        <w:tc>
          <w:tcPr>
            <w:tcW w:w="582"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Callaghan</w:t>
            </w:r>
          </w:p>
        </w:tc>
        <w:tc>
          <w:tcPr>
            <w:tcW w:w="343" w:type="pct"/>
          </w:tcPr>
          <w:p w:rsidR="00626193" w:rsidRPr="005275B8" w:rsidRDefault="00626193"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NSW</w:t>
            </w:r>
          </w:p>
        </w:tc>
        <w:tc>
          <w:tcPr>
            <w:tcW w:w="582" w:type="pct"/>
          </w:tcPr>
          <w:p w:rsidR="00626193" w:rsidRPr="005275B8" w:rsidRDefault="00626193"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8879BA">
              <w:t>$20,759,545</w:t>
            </w:r>
          </w:p>
        </w:tc>
        <w:tc>
          <w:tcPr>
            <w:tcW w:w="580" w:type="pct"/>
          </w:tcPr>
          <w:p w:rsidR="00626193" w:rsidRDefault="00626193"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 January 2025</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85605">
            <w:pPr>
              <w:spacing w:before="40" w:after="40"/>
              <w:rPr>
                <w:rFonts w:cstheme="minorHAnsi"/>
                <w:color w:val="000000" w:themeColor="text1"/>
              </w:rPr>
            </w:pPr>
            <w:r>
              <w:rPr>
                <w:rFonts w:cstheme="minorHAnsi"/>
                <w:color w:val="000000" w:themeColor="text1"/>
              </w:rPr>
              <w:t>Two</w:t>
            </w:r>
          </w:p>
        </w:tc>
        <w:tc>
          <w:tcPr>
            <w:tcW w:w="583"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Devonport City Council</w:t>
            </w:r>
          </w:p>
        </w:tc>
        <w:tc>
          <w:tcPr>
            <w:tcW w:w="582"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Living City Stage 3, unlocking investment in education and housing</w:t>
            </w:r>
          </w:p>
        </w:tc>
        <w:tc>
          <w:tcPr>
            <w:tcW w:w="1284" w:type="pct"/>
          </w:tcPr>
          <w:p w:rsidR="00626193" w:rsidRPr="008879BA" w:rsidRDefault="00626193" w:rsidP="00085605">
            <w:pPr>
              <w:spacing w:before="40" w:after="40"/>
              <w:cnfStyle w:val="000000010000" w:firstRow="0" w:lastRow="0" w:firstColumn="0" w:lastColumn="0" w:oddVBand="0" w:evenVBand="0" w:oddHBand="0" w:evenHBand="1" w:firstRowFirstColumn="0" w:firstRowLastColumn="0" w:lastRowFirstColumn="0" w:lastRowLastColumn="0"/>
            </w:pPr>
            <w:r w:rsidRPr="000E704A">
              <w:t>This project delivers Stage 3 of Devonport City Council’s Living City CBD revitalisation project. It will establish a purpose-built school for disengaged students, 20-30 social housing units, two commercial sites and upgrades to public infrastructure.</w:t>
            </w:r>
          </w:p>
        </w:tc>
        <w:tc>
          <w:tcPr>
            <w:tcW w:w="582" w:type="pct"/>
          </w:tcPr>
          <w:p w:rsidR="00626193" w:rsidRPr="008879BA" w:rsidRDefault="00626193" w:rsidP="00085605">
            <w:pPr>
              <w:spacing w:before="40" w:after="40"/>
              <w:cnfStyle w:val="000000010000" w:firstRow="0" w:lastRow="0" w:firstColumn="0" w:lastColumn="0" w:oddVBand="0" w:evenVBand="0" w:oddHBand="0" w:evenHBand="1" w:firstRowFirstColumn="0" w:firstRowLastColumn="0" w:lastRowFirstColumn="0" w:lastRowLastColumn="0"/>
            </w:pPr>
            <w:r w:rsidRPr="008879BA">
              <w:t xml:space="preserve">Devonport </w:t>
            </w:r>
          </w:p>
        </w:tc>
        <w:tc>
          <w:tcPr>
            <w:tcW w:w="343" w:type="pct"/>
          </w:tcPr>
          <w:p w:rsidR="00626193" w:rsidRPr="008879BA"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pPr>
            <w:r w:rsidRPr="008879BA">
              <w:t>Tas</w:t>
            </w:r>
          </w:p>
        </w:tc>
        <w:tc>
          <w:tcPr>
            <w:tcW w:w="582" w:type="pct"/>
          </w:tcPr>
          <w:p w:rsidR="00626193" w:rsidRPr="008879BA"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pPr>
            <w:r w:rsidRPr="008879BA">
              <w:t>$6,000,000</w:t>
            </w:r>
          </w:p>
        </w:tc>
        <w:tc>
          <w:tcPr>
            <w:tcW w:w="580"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15 January 2025</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85605">
            <w:pPr>
              <w:spacing w:before="40" w:after="40"/>
              <w:rPr>
                <w:rFonts w:cstheme="minorHAnsi"/>
                <w:color w:val="000000" w:themeColor="text1"/>
              </w:rPr>
            </w:pPr>
            <w:r>
              <w:rPr>
                <w:rFonts w:cstheme="minorHAnsi"/>
                <w:color w:val="000000" w:themeColor="text1"/>
              </w:rPr>
              <w:t>Two</w:t>
            </w:r>
          </w:p>
        </w:tc>
        <w:tc>
          <w:tcPr>
            <w:tcW w:w="583"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Bass Coast Shire Council</w:t>
            </w:r>
          </w:p>
        </w:tc>
        <w:tc>
          <w:tcPr>
            <w:tcW w:w="582"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Cowes Foreshore Precinct</w:t>
            </w:r>
          </w:p>
        </w:tc>
        <w:tc>
          <w:tcPr>
            <w:tcW w:w="1284"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construction and upgrade of the Cowes Foreshore Precinct. Activation of the precinct will support pedestrian  prioritisation, a reinvigorated visitor experience and economic opportunities for the local community.</w:t>
            </w:r>
          </w:p>
        </w:tc>
        <w:tc>
          <w:tcPr>
            <w:tcW w:w="582" w:type="pct"/>
          </w:tcPr>
          <w:p w:rsidR="00626193"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Cowes</w:t>
            </w:r>
          </w:p>
        </w:tc>
        <w:tc>
          <w:tcPr>
            <w:tcW w:w="343"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$8,000,000</w:t>
            </w:r>
          </w:p>
        </w:tc>
        <w:tc>
          <w:tcPr>
            <w:tcW w:w="580"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October 2024</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Default="00626193" w:rsidP="00085605">
            <w:pPr>
              <w:spacing w:before="40" w:after="40"/>
              <w:rPr>
                <w:rFonts w:cstheme="minorHAnsi"/>
                <w:color w:val="000000" w:themeColor="text1"/>
              </w:rPr>
            </w:pPr>
            <w:r>
              <w:rPr>
                <w:rFonts w:cstheme="minorHAnsi"/>
                <w:color w:val="000000" w:themeColor="text1"/>
              </w:rPr>
              <w:t>Two</w:t>
            </w:r>
          </w:p>
        </w:tc>
        <w:tc>
          <w:tcPr>
            <w:tcW w:w="583"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Mansfield Shire Council</w:t>
            </w:r>
          </w:p>
        </w:tc>
        <w:tc>
          <w:tcPr>
            <w:tcW w:w="582"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Mansfield Station Precinct Activation Project</w:t>
            </w:r>
          </w:p>
        </w:tc>
        <w:tc>
          <w:tcPr>
            <w:tcW w:w="1284"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construction and delivery of six key elements of the Station Precinct Master plan. Stage 1 of the development will foster community involvement, support commerce and tourism, and enhance natural assets.</w:t>
            </w:r>
          </w:p>
        </w:tc>
        <w:tc>
          <w:tcPr>
            <w:tcW w:w="582" w:type="pct"/>
          </w:tcPr>
          <w:p w:rsidR="00626193" w:rsidRDefault="00626193"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Mansfield</w:t>
            </w:r>
          </w:p>
        </w:tc>
        <w:tc>
          <w:tcPr>
            <w:tcW w:w="343"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$7,703,073</w:t>
            </w:r>
          </w:p>
        </w:tc>
        <w:tc>
          <w:tcPr>
            <w:tcW w:w="580" w:type="pct"/>
          </w:tcPr>
          <w:p w:rsidR="00626193" w:rsidRDefault="00626193"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October 2024</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keepNext/>
              <w:spacing w:before="40" w:after="40"/>
              <w:rPr>
                <w:rFonts w:cstheme="minorHAnsi"/>
              </w:rPr>
            </w:pPr>
            <w:r>
              <w:rPr>
                <w:rFonts w:cstheme="minorHAnsi"/>
              </w:rPr>
              <w:lastRenderedPageBreak/>
              <w:t>Two</w:t>
            </w:r>
          </w:p>
        </w:tc>
        <w:tc>
          <w:tcPr>
            <w:tcW w:w="583"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Mount Alexander Shire Council</w:t>
            </w:r>
          </w:p>
        </w:tc>
        <w:tc>
          <w:tcPr>
            <w:tcW w:w="582"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Frederik Street and Mechanics Lane Redevelopment</w:t>
            </w:r>
          </w:p>
        </w:tc>
        <w:tc>
          <w:tcPr>
            <w:tcW w:w="1284"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color w:val="212529"/>
              </w:rPr>
            </w:pPr>
            <w:r w:rsidRPr="008879BA">
              <w:t xml:space="preserve">This project will deliver improved public space including outdoor event space, improved pedestrian zones, public safety improvements, underground infrastructure and streetscaping.  The precinct will connect the Town Centre Precinct to the Railway Precinct and will integrate local Djarra art into the streetscape. </w:t>
            </w:r>
          </w:p>
        </w:tc>
        <w:tc>
          <w:tcPr>
            <w:tcW w:w="582" w:type="pct"/>
          </w:tcPr>
          <w:p w:rsidR="00626193" w:rsidRPr="005275B8" w:rsidRDefault="00626193"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Castlemaine</w:t>
            </w:r>
          </w:p>
        </w:tc>
        <w:tc>
          <w:tcPr>
            <w:tcW w:w="343" w:type="pct"/>
          </w:tcPr>
          <w:p w:rsidR="00626193" w:rsidRPr="005275B8" w:rsidRDefault="00626193"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Vic</w:t>
            </w:r>
          </w:p>
        </w:tc>
        <w:tc>
          <w:tcPr>
            <w:tcW w:w="582" w:type="pct"/>
          </w:tcPr>
          <w:p w:rsidR="00626193" w:rsidRPr="005275B8" w:rsidRDefault="00626193"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8879BA">
              <w:t>$12,194,670</w:t>
            </w:r>
          </w:p>
        </w:tc>
        <w:tc>
          <w:tcPr>
            <w:tcW w:w="580" w:type="pct"/>
          </w:tcPr>
          <w:p w:rsidR="00626193" w:rsidRDefault="00626193"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16 January 2025</w:t>
            </w:r>
          </w:p>
        </w:tc>
      </w:tr>
      <w:tr w:rsidR="00626193" w:rsidRPr="00654F9E"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keepNext/>
              <w:spacing w:before="40" w:after="40"/>
              <w:rPr>
                <w:rFonts w:cstheme="minorHAnsi"/>
                <w:color w:val="000000" w:themeColor="text1"/>
              </w:rPr>
            </w:pPr>
            <w:r w:rsidRPr="005275B8">
              <w:rPr>
                <w:rFonts w:cstheme="minorHAnsi"/>
                <w:color w:val="000000" w:themeColor="text1"/>
              </w:rPr>
              <w:t>Two</w:t>
            </w:r>
          </w:p>
        </w:tc>
        <w:tc>
          <w:tcPr>
            <w:tcW w:w="583" w:type="pct"/>
          </w:tcPr>
          <w:p w:rsidR="00626193" w:rsidRPr="00555BB1" w:rsidRDefault="00626193"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b/>
              </w:rPr>
            </w:pPr>
            <w:r w:rsidRPr="005275B8">
              <w:rPr>
                <w:rFonts w:cstheme="minorHAnsi"/>
                <w:color w:val="000000" w:themeColor="text1"/>
              </w:rPr>
              <w:t>Shire of Broome</w:t>
            </w:r>
          </w:p>
        </w:tc>
        <w:tc>
          <w:tcPr>
            <w:tcW w:w="582" w:type="pct"/>
          </w:tcPr>
          <w:p w:rsidR="00626193" w:rsidRPr="005275B8" w:rsidRDefault="00626193"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rPr>
              <w:t xml:space="preserve">Walmanyjun/Cable Beach Foreshore </w:t>
            </w:r>
            <w:r w:rsidRPr="005275B8">
              <w:rPr>
                <w:rFonts w:cstheme="minorHAnsi"/>
                <w:color w:val="000000" w:themeColor="text1"/>
              </w:rPr>
              <w:t>Redevelopment (Stages 2 &amp; 3)</w:t>
            </w:r>
          </w:p>
        </w:tc>
        <w:tc>
          <w:tcPr>
            <w:tcW w:w="1284" w:type="pct"/>
          </w:tcPr>
          <w:p w:rsidR="00626193" w:rsidRPr="005275B8" w:rsidRDefault="00626193"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eastAsia="Times New Roman" w:cstheme="minorHAnsi"/>
                <w:lang w:eastAsia="en-AU"/>
              </w:rPr>
              <w:t>Funding will support the redevelopment of the Walmanyjun/Cable Beach Foreshore including improvements to accessibility, community facilities, and conservation.</w:t>
            </w:r>
          </w:p>
        </w:tc>
        <w:tc>
          <w:tcPr>
            <w:tcW w:w="582" w:type="pct"/>
          </w:tcPr>
          <w:p w:rsidR="00626193" w:rsidRPr="005275B8" w:rsidRDefault="00626193"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Cable Beach</w:t>
            </w:r>
          </w:p>
        </w:tc>
        <w:tc>
          <w:tcPr>
            <w:tcW w:w="343" w:type="pct"/>
          </w:tcPr>
          <w:p w:rsidR="00626193" w:rsidRPr="005275B8" w:rsidRDefault="00626193"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color w:val="000000" w:themeColor="text1"/>
              </w:rPr>
              <w:t>WA</w:t>
            </w:r>
          </w:p>
        </w:tc>
        <w:tc>
          <w:tcPr>
            <w:tcW w:w="582" w:type="pct"/>
          </w:tcPr>
          <w:p w:rsidR="00626193" w:rsidRPr="005275B8" w:rsidRDefault="00626193"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$26,361,852</w:t>
            </w:r>
          </w:p>
        </w:tc>
        <w:tc>
          <w:tcPr>
            <w:tcW w:w="580" w:type="pct"/>
          </w:tcPr>
          <w:p w:rsidR="00626193" w:rsidRPr="005275B8" w:rsidRDefault="00626193"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rPr>
              <w:t>16 May 2024</w:t>
            </w:r>
          </w:p>
        </w:tc>
      </w:tr>
      <w:tr w:rsidR="00626193" w:rsidRPr="00654F9E"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rsidR="00626193" w:rsidRPr="005275B8" w:rsidRDefault="00626193" w:rsidP="00085605">
            <w:pPr>
              <w:spacing w:before="40" w:after="40"/>
              <w:rPr>
                <w:rFonts w:cstheme="minorHAnsi"/>
                <w:color w:val="000000" w:themeColor="text1"/>
              </w:rPr>
            </w:pPr>
            <w:r>
              <w:rPr>
                <w:rFonts w:cstheme="minorHAnsi"/>
                <w:color w:val="000000" w:themeColor="text1"/>
              </w:rPr>
              <w:t>Two</w:t>
            </w:r>
          </w:p>
        </w:tc>
        <w:tc>
          <w:tcPr>
            <w:tcW w:w="583"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326C3">
              <w:rPr>
                <w:rFonts w:cstheme="minorHAnsi"/>
              </w:rPr>
              <w:t>Shire of Carnarvon</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4326C3">
              <w:rPr>
                <w:rFonts w:cstheme="minorHAnsi"/>
              </w:rPr>
              <w:t>Activate Carnarvon</w:t>
            </w:r>
          </w:p>
        </w:tc>
        <w:tc>
          <w:tcPr>
            <w:tcW w:w="1284"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326C3">
              <w:rPr>
                <w:rFonts w:cstheme="minorHAnsi"/>
              </w:rPr>
              <w:t>Funding will support the construction and revitalisation of the Carnarvon CBD including works to enable a tramway walking trail, public park upgrades, local artist hub trail and residential apartments.</w:t>
            </w:r>
          </w:p>
        </w:tc>
        <w:tc>
          <w:tcPr>
            <w:tcW w:w="582" w:type="pct"/>
          </w:tcPr>
          <w:p w:rsidR="00626193" w:rsidRPr="005275B8" w:rsidRDefault="00626193"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4326C3">
              <w:rPr>
                <w:rFonts w:cstheme="minorHAnsi"/>
              </w:rPr>
              <w:t>Carnarvon</w:t>
            </w:r>
          </w:p>
        </w:tc>
        <w:tc>
          <w:tcPr>
            <w:tcW w:w="343" w:type="pct"/>
          </w:tcPr>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326C3">
              <w:rPr>
                <w:rFonts w:cstheme="minorHAnsi"/>
              </w:rPr>
              <w:t>WA</w:t>
            </w:r>
          </w:p>
        </w:tc>
        <w:tc>
          <w:tcPr>
            <w:tcW w:w="582"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4326C3">
              <w:rPr>
                <w:rFonts w:cstheme="minorHAnsi"/>
              </w:rPr>
              <w:t>$15,554,633</w:t>
            </w:r>
          </w:p>
          <w:p w:rsidR="00626193" w:rsidRPr="005275B8"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80" w:type="pct"/>
          </w:tcPr>
          <w:p w:rsidR="00626193" w:rsidRDefault="00626193"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 January 2025</w:t>
            </w:r>
          </w:p>
        </w:tc>
      </w:tr>
    </w:tbl>
    <w:p w:rsidR="00BB3D46" w:rsidRPr="00794E80" w:rsidRDefault="00BB3D46" w:rsidP="00794E80"/>
    <w:sectPr w:rsidR="00BB3D46" w:rsidRPr="00794E80" w:rsidSect="00EA3C28">
      <w:type w:val="continuous"/>
      <w:pgSz w:w="16838" w:h="11906" w:orient="landscape"/>
      <w:pgMar w:top="851"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939" w:rsidRDefault="00EA7939" w:rsidP="00FC413F">
      <w:pPr>
        <w:spacing w:after="0"/>
      </w:pPr>
      <w:r>
        <w:separator/>
      </w:r>
    </w:p>
  </w:endnote>
  <w:endnote w:type="continuationSeparator" w:id="0">
    <w:p w:rsidR="00EA7939" w:rsidRDefault="00EA793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39" w:rsidRDefault="00244E39" w:rsidP="00085605">
    <w:pPr>
      <w:pStyle w:val="Footer"/>
      <w:tabs>
        <w:tab w:val="clear" w:pos="4513"/>
        <w:tab w:val="clear" w:pos="9026"/>
        <w:tab w:val="right" w:pos="14286"/>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92BF6">
      <w:rPr>
        <w:rFonts w:cs="Segoe UI"/>
        <w:noProof/>
        <w:szCs w:val="18"/>
      </w:rPr>
      <w:t>regional Precincts and Partnerships Program—Announced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244E39" w:rsidRPr="00FC413F" w:rsidRDefault="00244E39" w:rsidP="00CA6509">
    <w:pPr>
      <w:pStyle w:val="Footer"/>
      <w:tabs>
        <w:tab w:val="clear" w:pos="4513"/>
        <w:tab w:val="clear" w:pos="9026"/>
      </w:tabs>
      <w:ind w:left="-1418"/>
      <w:rPr>
        <w:rFonts w:cs="Segoe UI"/>
        <w:szCs w:val="18"/>
      </w:rPr>
    </w:pPr>
    <w:r>
      <w:rPr>
        <w:noProof/>
        <w:lang w:eastAsia="en-AU"/>
      </w:rPr>
      <w:drawing>
        <wp:inline distT="0" distB="0" distL="0" distR="0" wp14:anchorId="7F469DC4" wp14:editId="7F469DC5">
          <wp:extent cx="10766663" cy="150495"/>
          <wp:effectExtent l="0" t="0" r="0" b="1905"/>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939" w:rsidRDefault="00EA7939" w:rsidP="00FC413F">
      <w:pPr>
        <w:spacing w:after="0"/>
      </w:pPr>
      <w:r>
        <w:separator/>
      </w:r>
    </w:p>
  </w:footnote>
  <w:footnote w:type="continuationSeparator" w:id="0">
    <w:p w:rsidR="00EA7939" w:rsidRDefault="00EA7939"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550B52"/>
    <w:multiLevelType w:val="hybridMultilevel"/>
    <w:tmpl w:val="95266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0DA1"/>
    <w:rsid w:val="00012D3A"/>
    <w:rsid w:val="0003502E"/>
    <w:rsid w:val="000522EB"/>
    <w:rsid w:val="00072195"/>
    <w:rsid w:val="000740FB"/>
    <w:rsid w:val="00085605"/>
    <w:rsid w:val="00090E62"/>
    <w:rsid w:val="0009287F"/>
    <w:rsid w:val="000B1E86"/>
    <w:rsid w:val="000B6FF7"/>
    <w:rsid w:val="000C0244"/>
    <w:rsid w:val="000C6A9B"/>
    <w:rsid w:val="000D4B3B"/>
    <w:rsid w:val="000E704A"/>
    <w:rsid w:val="00105DA4"/>
    <w:rsid w:val="00113A03"/>
    <w:rsid w:val="00133A45"/>
    <w:rsid w:val="00143894"/>
    <w:rsid w:val="00180D22"/>
    <w:rsid w:val="00183D0B"/>
    <w:rsid w:val="00190A0C"/>
    <w:rsid w:val="001D583B"/>
    <w:rsid w:val="001D6D6B"/>
    <w:rsid w:val="001E4471"/>
    <w:rsid w:val="001E7AC4"/>
    <w:rsid w:val="001F2321"/>
    <w:rsid w:val="00204A64"/>
    <w:rsid w:val="00217C11"/>
    <w:rsid w:val="00236F1B"/>
    <w:rsid w:val="00244E39"/>
    <w:rsid w:val="00261FFA"/>
    <w:rsid w:val="00272982"/>
    <w:rsid w:val="00287C7E"/>
    <w:rsid w:val="0029453A"/>
    <w:rsid w:val="002A5AB5"/>
    <w:rsid w:val="002A7C9F"/>
    <w:rsid w:val="002F1A23"/>
    <w:rsid w:val="002F3B5A"/>
    <w:rsid w:val="00300077"/>
    <w:rsid w:val="00310148"/>
    <w:rsid w:val="00323710"/>
    <w:rsid w:val="00342348"/>
    <w:rsid w:val="003508A8"/>
    <w:rsid w:val="00381BDA"/>
    <w:rsid w:val="003B6D01"/>
    <w:rsid w:val="003C575A"/>
    <w:rsid w:val="003D71C5"/>
    <w:rsid w:val="003F3CB7"/>
    <w:rsid w:val="003F637C"/>
    <w:rsid w:val="00416734"/>
    <w:rsid w:val="00445017"/>
    <w:rsid w:val="004A3207"/>
    <w:rsid w:val="005413E7"/>
    <w:rsid w:val="00543D99"/>
    <w:rsid w:val="0059569E"/>
    <w:rsid w:val="005C0459"/>
    <w:rsid w:val="005C37D2"/>
    <w:rsid w:val="005D038B"/>
    <w:rsid w:val="005E55BD"/>
    <w:rsid w:val="00610225"/>
    <w:rsid w:val="00626193"/>
    <w:rsid w:val="00630D43"/>
    <w:rsid w:val="006452B1"/>
    <w:rsid w:val="006542FA"/>
    <w:rsid w:val="00654F9E"/>
    <w:rsid w:val="00691FA2"/>
    <w:rsid w:val="006A0EDD"/>
    <w:rsid w:val="006D43C7"/>
    <w:rsid w:val="0071085C"/>
    <w:rsid w:val="00731351"/>
    <w:rsid w:val="00744CD2"/>
    <w:rsid w:val="00752EE1"/>
    <w:rsid w:val="00754169"/>
    <w:rsid w:val="00772C27"/>
    <w:rsid w:val="00782219"/>
    <w:rsid w:val="00790F25"/>
    <w:rsid w:val="00793843"/>
    <w:rsid w:val="00794E80"/>
    <w:rsid w:val="00795EDF"/>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13934"/>
    <w:rsid w:val="0091766E"/>
    <w:rsid w:val="009276A3"/>
    <w:rsid w:val="009279AE"/>
    <w:rsid w:val="00935A30"/>
    <w:rsid w:val="00953CCD"/>
    <w:rsid w:val="009833BA"/>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5CA9"/>
    <w:rsid w:val="00B86B45"/>
    <w:rsid w:val="00BB3D46"/>
    <w:rsid w:val="00BC0598"/>
    <w:rsid w:val="00C02452"/>
    <w:rsid w:val="00C101C3"/>
    <w:rsid w:val="00C36E40"/>
    <w:rsid w:val="00C62177"/>
    <w:rsid w:val="00C91F32"/>
    <w:rsid w:val="00CA5147"/>
    <w:rsid w:val="00CA6509"/>
    <w:rsid w:val="00CD0046"/>
    <w:rsid w:val="00D13C03"/>
    <w:rsid w:val="00D47BFD"/>
    <w:rsid w:val="00D56936"/>
    <w:rsid w:val="00D64922"/>
    <w:rsid w:val="00D92BF6"/>
    <w:rsid w:val="00DB7648"/>
    <w:rsid w:val="00DC5DC8"/>
    <w:rsid w:val="00E0330E"/>
    <w:rsid w:val="00E17389"/>
    <w:rsid w:val="00E7227D"/>
    <w:rsid w:val="00E76BC6"/>
    <w:rsid w:val="00E80E04"/>
    <w:rsid w:val="00EA3C28"/>
    <w:rsid w:val="00EA415A"/>
    <w:rsid w:val="00EA7939"/>
    <w:rsid w:val="00EE6EE8"/>
    <w:rsid w:val="00EF5B98"/>
    <w:rsid w:val="00F005AF"/>
    <w:rsid w:val="00F41576"/>
    <w:rsid w:val="00F61FA1"/>
    <w:rsid w:val="00F814AD"/>
    <w:rsid w:val="00FA64C7"/>
    <w:rsid w:val="00FC413F"/>
    <w:rsid w:val="00FD2B5E"/>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EA3C28"/>
    <w:pPr>
      <w:numPr>
        <w:ilvl w:val="1"/>
      </w:numPr>
      <w:suppressAutoHyphens/>
      <w:spacing w:before="24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A3C28"/>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BalloonText">
    <w:name w:val="Balloon Text"/>
    <w:basedOn w:val="Normal"/>
    <w:link w:val="BalloonTextChar"/>
    <w:uiPriority w:val="99"/>
    <w:semiHidden/>
    <w:unhideWhenUsed/>
    <w:rsid w:val="00C91F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2E7A-DF8A-484E-A548-48756BCB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6375</Characters>
  <Application>Microsoft Office Word</Application>
  <DocSecurity>4</DocSecurity>
  <Lines>108</Lines>
  <Paragraphs>31</Paragraphs>
  <ScaleCrop>false</ScaleCrop>
  <HeadingPairs>
    <vt:vector size="2" baseType="variant">
      <vt:variant>
        <vt:lpstr>Title</vt:lpstr>
      </vt:variant>
      <vt:variant>
        <vt:i4>1</vt:i4>
      </vt:variant>
    </vt:vector>
  </HeadingPairs>
  <TitlesOfParts>
    <vt:vector size="1" baseType="lpstr">
      <vt:lpstr>regional Precincts and Partnerships Program—Announced Projects—January 2025</vt:lpstr>
    </vt:vector>
  </TitlesOfParts>
  <Company>Department of Infrastructure, Transport, Regional Development, Communications and the Arts</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Precincts and Partnerships Program—Announced Projects—January 2025</dc:title>
  <dc:subject/>
  <dc:creator>Department of Infrastructure, Transport, Regional Development, Communications and the Arts</dc:creator>
  <cp:keywords/>
  <dc:description>6 January 2025</dc:description>
  <cp:lastModifiedBy>Hall, Theresa</cp:lastModifiedBy>
  <cp:revision>2</cp:revision>
  <dcterms:created xsi:type="dcterms:W3CDTF">2025-02-11T01:45:00Z</dcterms:created>
  <dcterms:modified xsi:type="dcterms:W3CDTF">2025-02-11T01:45:00Z</dcterms:modified>
</cp:coreProperties>
</file>