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4BA9FB43" w:rsidR="007F2DD2" w:rsidRPr="00AE16E5" w:rsidRDefault="00615C6C" w:rsidP="00AC5F79">
      <w:pPr>
        <w:pStyle w:val="Heading1"/>
        <w:ind w:left="-284"/>
      </w:pPr>
      <w:r>
        <w:t>Regional Airport</w:t>
      </w:r>
      <w:r w:rsidR="006F62C3">
        <w:t>s</w:t>
      </w:r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6F62C3">
        <w:t>QLD</w:t>
      </w:r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6D943649" w:rsidR="00B041CB" w:rsidRPr="00B041CB" w:rsidRDefault="005C2837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March</w:t>
      </w:r>
      <w:bookmarkStart w:id="0" w:name="_GoBack"/>
      <w:bookmarkEnd w:id="0"/>
      <w:r w:rsidR="00615C6C" w:rsidRPr="004B5A0C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 Program (RAP) Round 4 NSW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6F62C3" w:rsidRPr="00DB4504" w14:paraId="660B86F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1922527" w14:textId="6A685513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Maranoa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EA7F8AC" w14:textId="3F94AFC4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CFBBE77" w14:textId="4627C154" w:rsidR="006F62C3" w:rsidRDefault="006F62C3" w:rsidP="006F62C3">
            <w:pPr>
              <w:rPr>
                <w:rFonts w:cs="Calibri"/>
                <w:color w:val="000000"/>
              </w:rPr>
            </w:pPr>
            <w:r w:rsidRPr="00D16A02">
              <w:rPr>
                <w:rFonts w:cs="Calibri"/>
                <w:color w:val="000000"/>
              </w:rPr>
              <w:t>Roma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0C6DAB0" w14:textId="7E308628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Apron upgrade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0445D" w14:textId="2697BA26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$1,159,043</w:t>
            </w:r>
          </w:p>
        </w:tc>
      </w:tr>
      <w:tr w:rsidR="006F62C3" w:rsidRPr="00DB4504" w14:paraId="5646202D" w14:textId="77777777" w:rsidTr="004D07CD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634684A1" w14:textId="25CD02F9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Gladstone Airport Corporation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35B03D5" w14:textId="44F7C2A7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</w:tcPr>
          <w:p w14:paraId="75AED911" w14:textId="6FF36359" w:rsidR="006F62C3" w:rsidRDefault="006F62C3" w:rsidP="006F62C3">
            <w:pPr>
              <w:rPr>
                <w:rFonts w:cs="Calibri"/>
                <w:color w:val="000000"/>
              </w:rPr>
            </w:pPr>
            <w:r w:rsidRPr="0062192F">
              <w:t>Gladstone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4FCA6772" w14:textId="67372FA3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Resurface northern taxiways and aprons, and installation of taxiway and apron flood lighting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EF6D70" w14:textId="4B2B660B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$1,104,065</w:t>
            </w:r>
          </w:p>
        </w:tc>
      </w:tr>
      <w:tr w:rsidR="006F62C3" w:rsidRPr="00DB4504" w14:paraId="2D99900E" w14:textId="77777777" w:rsidTr="004D07CD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B4D4AEB" w14:textId="5AF68810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Gladstone Airport Corporation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F3FFAC7" w14:textId="3ECEC65F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</w:tcPr>
          <w:p w14:paraId="1484833B" w14:textId="1D9D0E52" w:rsidR="006F62C3" w:rsidRDefault="006F62C3" w:rsidP="006F62C3">
            <w:pPr>
              <w:rPr>
                <w:rFonts w:cs="Calibri"/>
                <w:color w:val="000000"/>
              </w:rPr>
            </w:pPr>
            <w:r w:rsidRPr="0062192F">
              <w:t>Gladstone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3AAB273B" w14:textId="2D3B112B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Establishment of a patient transfer facility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CD022" w14:textId="4E0E6CFF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$1,015,507</w:t>
            </w:r>
          </w:p>
        </w:tc>
      </w:tr>
      <w:tr w:rsidR="006F62C3" w:rsidRPr="00DB4504" w14:paraId="01A50C0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7382B8B" w14:textId="1A784C54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Gympie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40EB781F" w14:textId="1414F641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46C0439" w14:textId="0337D6E3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  <w:color w:val="000000"/>
              </w:rPr>
              <w:t>Gympie Aerodrome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  <w:vAlign w:val="center"/>
          </w:tcPr>
          <w:p w14:paraId="5EEAB2B5" w14:textId="103B6995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Extend and reseal runway, reseal taxiways, strength apron, line marking and drainage works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D6A5D7" w14:textId="524E2590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$795,097</w:t>
            </w:r>
          </w:p>
        </w:tc>
      </w:tr>
      <w:tr w:rsidR="006F62C3" w:rsidRPr="00DB4504" w14:paraId="53897A87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33CA9FF0" w14:textId="1B03EB25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Gladstone Airport Corporation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F6693A6" w14:textId="00609827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D3B4E5E" w14:textId="14B9BC01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Gladstone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73A1C2E" w14:textId="346E2FCF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Drainage upgrade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57D4BF" w14:textId="022CD7F3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$472,120</w:t>
            </w:r>
          </w:p>
        </w:tc>
      </w:tr>
      <w:tr w:rsidR="006F62C3" w:rsidRPr="00DB4504" w14:paraId="02365D5A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2E7066" w14:textId="0D65305D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Southern Downs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9ACD58" w14:textId="7DFD2445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9C4B66F" w14:textId="73655CA8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Stanthorpe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6A9797C3" w14:textId="12A080F6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Upgrade lighting system with LED lights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A61311" w14:textId="32800E72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$426,196</w:t>
            </w:r>
          </w:p>
        </w:tc>
      </w:tr>
      <w:tr w:rsidR="006F62C3" w:rsidRPr="00DB4504" w14:paraId="78F79DA1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7AA807EE" w14:textId="75B70447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Burdekin Shire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B45252F" w14:textId="092C01F8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46B03FE2" w14:textId="78544967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Ayr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728FA9B3" w14:textId="5490EB1A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 xml:space="preserve">Reseal runway and line-marking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6E27C0" w14:textId="569839DB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$280,867</w:t>
            </w:r>
          </w:p>
        </w:tc>
      </w:tr>
      <w:tr w:rsidR="006F62C3" w:rsidRPr="00DB4504" w14:paraId="79B2D30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4E67221F" w14:textId="28F0789A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Bundaberg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94EA2F" w14:textId="2C4F70F5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CE8EEA2" w14:textId="7EAD25A4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Bundaberg Regional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2F17835C" w14:textId="5389FF16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Asphalt repairs and surface preservation treatment to runway, taxiways and aprons and line marking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73757" w14:textId="700BC83B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$275,000</w:t>
            </w:r>
          </w:p>
        </w:tc>
      </w:tr>
      <w:tr w:rsidR="006F62C3" w:rsidRPr="00DB4504" w14:paraId="4530F8A4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5C57A0BE" w14:textId="0F0D6617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Cassowary Coast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8BE7F27" w14:textId="10122E24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2F20C4C0" w14:textId="2480CDE2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Innisfail (</w:t>
            </w:r>
            <w:proofErr w:type="spellStart"/>
            <w:r w:rsidRPr="006F463F">
              <w:rPr>
                <w:rFonts w:cs="Calibri"/>
              </w:rPr>
              <w:t>Mundoo</w:t>
            </w:r>
            <w:proofErr w:type="spellEnd"/>
            <w:r w:rsidRPr="006F463F">
              <w:rPr>
                <w:rFonts w:cs="Calibri"/>
              </w:rPr>
              <w:t>)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28BB77" w14:textId="7C67106B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Drainage works and seal taxiway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C832C" w14:textId="18EDD75A" w:rsidR="006F62C3" w:rsidRDefault="006F62C3" w:rsidP="006F62C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$247,500</w:t>
            </w:r>
          </w:p>
        </w:tc>
      </w:tr>
      <w:tr w:rsidR="006F62C3" w:rsidRPr="00DB4504" w14:paraId="558C4EBC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F7443" w14:textId="776B628C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Fraser Coast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5DBE92A" w14:textId="6DB0804E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608C93ED" w14:textId="27371C76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Hervey Bay Airport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0C13C741" w14:textId="084B928B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Replace perimeter fencing and emergency generator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CFBCD6" w14:textId="56419066" w:rsidR="006F62C3" w:rsidRPr="00BC5BAA" w:rsidRDefault="006F62C3" w:rsidP="006F62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$234,631</w:t>
            </w:r>
          </w:p>
        </w:tc>
      </w:tr>
      <w:tr w:rsidR="006F62C3" w:rsidRPr="00DB4504" w14:paraId="57AE815D" w14:textId="77777777" w:rsidTr="003D3B2B">
        <w:trPr>
          <w:cantSplit/>
          <w:trHeight w:val="657"/>
        </w:trPr>
        <w:tc>
          <w:tcPr>
            <w:tcW w:w="2127" w:type="dxa"/>
            <w:shd w:val="clear" w:color="000000" w:fill="FFFFFF"/>
            <w:vAlign w:val="center"/>
          </w:tcPr>
          <w:p w14:paraId="02B558D8" w14:textId="2C4D71D9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Toowoomba Regional Council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1E0215" w14:textId="32154EAD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QLD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442882B" w14:textId="76780934" w:rsidR="006F62C3" w:rsidRDefault="006F62C3" w:rsidP="006F62C3">
            <w:pPr>
              <w:rPr>
                <w:rFonts w:cs="Calibri"/>
                <w:color w:val="000000"/>
              </w:rPr>
            </w:pPr>
            <w:r w:rsidRPr="006F463F">
              <w:rPr>
                <w:rFonts w:cs="Calibri"/>
              </w:rPr>
              <w:t>Toowoomba Aerodrome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14:paraId="176EAE5D" w14:textId="7605FF3B" w:rsidR="006F62C3" w:rsidRDefault="006F62C3" w:rsidP="006F62C3">
            <w:pPr>
              <w:rPr>
                <w:rFonts w:cs="Calibri"/>
                <w:color w:val="000000"/>
              </w:rPr>
            </w:pPr>
            <w:r>
              <w:rPr>
                <w:rFonts w:cs="Calibri"/>
              </w:rPr>
              <w:t>Purchase and installation of replacement emergency generator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23E255" w14:textId="5F1D77A3" w:rsidR="006F62C3" w:rsidRPr="00BC5BAA" w:rsidRDefault="006F62C3" w:rsidP="006F62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$20,000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498DC320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6F62C3">
      <w:rPr>
        <w:rFonts w:cs="Segoe UI"/>
        <w:noProof/>
        <w:szCs w:val="18"/>
      </w:rPr>
      <w:t>Regional Airports Program (RAP) Round 4 QLD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405539EB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5C2837">
      <w:rPr>
        <w:rFonts w:cs="Segoe UI"/>
        <w:noProof/>
        <w:szCs w:val="18"/>
      </w:rPr>
      <w:t>Regional Airports Program (RAP) Round 4 QLD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41114"/>
    <w:rsid w:val="005413E7"/>
    <w:rsid w:val="0054748B"/>
    <w:rsid w:val="00551A9C"/>
    <w:rsid w:val="005C0459"/>
    <w:rsid w:val="005C2837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463F"/>
    <w:rsid w:val="006F62C3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E6BB-81DB-4719-927E-39281ED6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Airstrip Upgrade Program round nine—approved projects</vt:lpstr>
    </vt:vector>
  </TitlesOfParts>
  <Company>Department of Infrastructure, Transport, Regional Development, Communications and the Arts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 Program (RAP) Round 4 NSW approved projects</dc:title>
  <dc:subject/>
  <dc:creator>Department of Infrastructure, Transport, Regional Development, Communications and the Arts</dc:creator>
  <cp:keywords/>
  <dc:description>22 July 2021</dc:description>
  <cp:lastModifiedBy>Katrina Shaw</cp:lastModifiedBy>
  <cp:revision>4</cp:revision>
  <cp:lastPrinted>2025-02-10T01:20:00Z</cp:lastPrinted>
  <dcterms:created xsi:type="dcterms:W3CDTF">2025-02-11T05:56:00Z</dcterms:created>
  <dcterms:modified xsi:type="dcterms:W3CDTF">2025-02-28T04:31:00Z</dcterms:modified>
</cp:coreProperties>
</file>