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0152067"/>
    <w:p w14:paraId="66E6D35A" w14:textId="6BDE2E7A" w:rsidR="00652D67" w:rsidRPr="00BE3AD8" w:rsidRDefault="003D395E" w:rsidP="004F77AA">
      <w:pPr>
        <w:pStyle w:val="Title"/>
        <w:spacing w:before="0"/>
      </w:pPr>
      <w:sdt>
        <w:sdtPr>
          <w:alias w:val="Title"/>
          <w:tag w:val=""/>
          <w:id w:val="975726233"/>
          <w:placeholder>
            <w:docPart w:val="906A69D550EE4AD695C86F9E4C316356"/>
          </w:placeholder>
          <w:dataBinding w:prefixMappings="xmlns:ns0='http://purl.org/dc/elements/1.1/' xmlns:ns1='http://schemas.openxmlformats.org/package/2006/metadata/core-properties' " w:xpath="/ns1:coreProperties[1]/ns0:title[1]" w:storeItemID="{6C3C8BC8-F283-45AE-878A-BAB7291924A1}"/>
          <w:text/>
        </w:sdtPr>
        <w:sdtEndPr/>
        <w:sdtContent>
          <w:r w:rsidR="00042C63">
            <w:t>Public Interest Disclosure</w:t>
          </w:r>
          <w:r w:rsidR="000C03B5">
            <w:t xml:space="preserve"> procedures</w:t>
          </w:r>
        </w:sdtContent>
      </w:sdt>
    </w:p>
    <w:sdt>
      <w:sdtPr>
        <w:alias w:val="Publish Date"/>
        <w:tag w:val=""/>
        <w:id w:val="452527336"/>
        <w:placeholder>
          <w:docPart w:val="28FC27980FF94BE8B768CD3DD047D040"/>
        </w:placeholder>
        <w:dataBinding w:prefixMappings="xmlns:ns0='http://schemas.microsoft.com/office/2006/coverPageProps' " w:xpath="/ns0:CoverPageProperties[1]/ns0:PublishDate[1]" w:storeItemID="{55AF091B-3C7A-41E3-B477-F2FDAA23CFDA}"/>
        <w:date w:fullDate="2024-07-10T00:00:00Z">
          <w:dateFormat w:val="MMMM yyyy"/>
          <w:lid w:val="en-AU"/>
          <w:storeMappedDataAs w:val="dateTime"/>
          <w:calendar w:val="gregorian"/>
        </w:date>
      </w:sdtPr>
      <w:sdtEndPr/>
      <w:sdtContent>
        <w:p w14:paraId="00B82895" w14:textId="77777777" w:rsidR="00DE4FE2" w:rsidRDefault="003A45FB" w:rsidP="002773D1">
          <w:pPr>
            <w:pStyle w:val="CoverDate"/>
          </w:pPr>
          <w:r>
            <w:t>July 2024</w:t>
          </w:r>
        </w:p>
      </w:sdtContent>
    </w:sdt>
    <w:p w14:paraId="052CDFD6" w14:textId="77777777" w:rsidR="00E63ED3" w:rsidRPr="00E63ED3" w:rsidRDefault="00E63ED3" w:rsidP="00BB5A02">
      <w:pPr>
        <w:pStyle w:val="Heading1"/>
        <w:numPr>
          <w:ilvl w:val="6"/>
          <w:numId w:val="1"/>
        </w:numPr>
        <w:ind w:left="284"/>
      </w:pPr>
      <w:r>
        <w:t>Introductory Matters</w:t>
      </w:r>
    </w:p>
    <w:p w14:paraId="2593B7D9" w14:textId="77777777" w:rsidR="00E63ED3" w:rsidRDefault="00E63ED3" w:rsidP="00E63ED3">
      <w:r w:rsidRPr="00E63ED3">
        <w:rPr>
          <w:lang w:val="x-none"/>
        </w:rPr>
        <w:t xml:space="preserve">This document constitutes the Department of Infrastructure, Transport, Regional Development, Communications and the Arts' procedures for facilitating and dealing with internal public interest disclosures for the purposes of section 59(3) of the </w:t>
      </w:r>
      <w:hyperlink r:id="rId11" w:history="1">
        <w:r w:rsidRPr="00281579">
          <w:rPr>
            <w:rStyle w:val="Hyperlink"/>
            <w:i/>
            <w:iCs/>
            <w:szCs w:val="18"/>
          </w:rPr>
          <w:t>Public Interest Disclosure Act 2013</w:t>
        </w:r>
        <w:r w:rsidRPr="00281579">
          <w:rPr>
            <w:rStyle w:val="Hyperlink"/>
            <w:szCs w:val="18"/>
          </w:rPr>
          <w:t xml:space="preserve"> (Cth)</w:t>
        </w:r>
      </w:hyperlink>
      <w:r w:rsidRPr="00D5465A">
        <w:t xml:space="preserve"> (</w:t>
      </w:r>
      <w:r w:rsidRPr="00D5465A">
        <w:rPr>
          <w:b/>
        </w:rPr>
        <w:t>PID Act</w:t>
      </w:r>
      <w:r w:rsidRPr="00D5465A">
        <w:t>).</w:t>
      </w:r>
    </w:p>
    <w:p w14:paraId="2F00CA46" w14:textId="77777777" w:rsidR="00E63ED3" w:rsidRDefault="00E63ED3" w:rsidP="00E63ED3">
      <w:r w:rsidRPr="00E63ED3">
        <w:rPr>
          <w:lang w:val="x-none"/>
        </w:rPr>
        <w:t xml:space="preserve">This document replaces all previous versions of the Department’s procedures under section 59(3) of the PID Act, save that the predecessor version of these procedures will continue to apply to any public interest disclosures made prior to 1 July 2023.  </w:t>
      </w:r>
    </w:p>
    <w:p w14:paraId="4C5CB7BB" w14:textId="77777777" w:rsidR="00E63ED3" w:rsidRDefault="00E63ED3" w:rsidP="00E63ED3">
      <w:r w:rsidRPr="00E63ED3">
        <w:rPr>
          <w:lang w:val="x-none"/>
        </w:rPr>
        <w:t>The Department is committed to the highest standards of ethical and accountable conduct and encourages the reporting of wrongdoing under the PID Act.  The Department will act on disclosures in accordance with its obligations under the PID Act and protect disclosers from any reprisals or threats of reprisals because they have made or are suspected to have made a disclosure.</w:t>
      </w:r>
      <w:r w:rsidRPr="00E63ED3">
        <w:t xml:space="preserve"> </w:t>
      </w:r>
    </w:p>
    <w:p w14:paraId="1C017064" w14:textId="77777777" w:rsidR="00E63ED3" w:rsidRDefault="00E63ED3" w:rsidP="00E63ED3">
      <w:r w:rsidRPr="00E63ED3">
        <w:rPr>
          <w:lang w:val="x-none"/>
        </w:rPr>
        <w:t>The operation of these procedures will be reviewed regularly to ensure their continued effectiveness.</w:t>
      </w:r>
      <w:r w:rsidRPr="00E63ED3">
        <w:t xml:space="preserve"> </w:t>
      </w:r>
    </w:p>
    <w:p w14:paraId="7E417A40" w14:textId="77777777" w:rsidR="00E63ED3" w:rsidRDefault="00E63ED3" w:rsidP="00E63ED3">
      <w:r w:rsidRPr="00E63ED3">
        <w:rPr>
          <w:lang w:val="x-none"/>
        </w:rPr>
        <w:t>In these procedures, all references to the principal officer (that is, the Secretary of the Department) include references to the principal officer's delegate.</w:t>
      </w:r>
      <w:r w:rsidRPr="00E63ED3">
        <w:t xml:space="preserve"> </w:t>
      </w:r>
    </w:p>
    <w:p w14:paraId="30FBE5DB" w14:textId="48BA13F1" w:rsidR="00E63ED3" w:rsidRDefault="00E63ED3" w:rsidP="000C03B5">
      <w:pPr>
        <w:spacing w:after="120"/>
      </w:pPr>
      <w:r w:rsidRPr="00E63ED3">
        <w:rPr>
          <w:lang w:val="x-none"/>
        </w:rPr>
        <w:t>Unless specified otherwise, terms used in this procedure have the same meaning as set out in the PID Act and the</w:t>
      </w:r>
      <w:r w:rsidRPr="00D5465A">
        <w:rPr>
          <w:szCs w:val="18"/>
        </w:rPr>
        <w:t xml:space="preserve"> </w:t>
      </w:r>
      <w:hyperlink r:id="rId12" w:history="1">
        <w:r w:rsidRPr="00BD0549">
          <w:rPr>
            <w:rStyle w:val="Hyperlink"/>
            <w:i/>
            <w:iCs/>
            <w:szCs w:val="18"/>
          </w:rPr>
          <w:t>Public Interest Disclosure Sta</w:t>
        </w:r>
        <w:r w:rsidRPr="00BD0549">
          <w:rPr>
            <w:rStyle w:val="Hyperlink"/>
            <w:i/>
            <w:iCs/>
            <w:szCs w:val="18"/>
          </w:rPr>
          <w:t>n</w:t>
        </w:r>
        <w:r w:rsidRPr="00BD0549">
          <w:rPr>
            <w:rStyle w:val="Hyperlink"/>
            <w:i/>
            <w:iCs/>
            <w:szCs w:val="18"/>
          </w:rPr>
          <w:t>dard 2013</w:t>
        </w:r>
        <w:r w:rsidRPr="00BD0549">
          <w:rPr>
            <w:rStyle w:val="Hyperlink"/>
            <w:szCs w:val="18"/>
          </w:rPr>
          <w:t xml:space="preserve"> (Cth)</w:t>
        </w:r>
      </w:hyperlink>
      <w:r>
        <w:rPr>
          <w:i/>
          <w:iCs/>
          <w:szCs w:val="18"/>
        </w:rPr>
        <w:t xml:space="preserve"> </w:t>
      </w:r>
      <w:r>
        <w:rPr>
          <w:iCs/>
          <w:szCs w:val="18"/>
        </w:rPr>
        <w:t>(</w:t>
      </w:r>
      <w:r>
        <w:rPr>
          <w:b/>
          <w:iCs/>
          <w:szCs w:val="18"/>
        </w:rPr>
        <w:t>PID Standard</w:t>
      </w:r>
      <w:r>
        <w:rPr>
          <w:iCs/>
          <w:szCs w:val="18"/>
        </w:rPr>
        <w:t>)</w:t>
      </w:r>
      <w:r w:rsidRPr="00D5465A">
        <w:rPr>
          <w:szCs w:val="18"/>
        </w:rPr>
        <w:t>.</w:t>
      </w:r>
      <w:r w:rsidRPr="00E63ED3">
        <w:t xml:space="preserve"> </w:t>
      </w:r>
    </w:p>
    <w:p w14:paraId="4AADDF18" w14:textId="77777777" w:rsidR="0017272A" w:rsidRPr="0017272A" w:rsidRDefault="0017272A" w:rsidP="000C03B5">
      <w:pPr>
        <w:pStyle w:val="H1Ashurst"/>
        <w:numPr>
          <w:ilvl w:val="6"/>
          <w:numId w:val="1"/>
        </w:numPr>
        <w:spacing w:before="120"/>
        <w:ind w:left="284"/>
        <w:rPr>
          <w:rFonts w:asciiTheme="majorHAnsi" w:eastAsiaTheme="majorEastAsia" w:hAnsiTheme="majorHAnsi" w:cstheme="majorBidi"/>
          <w:b w:val="0"/>
          <w:caps w:val="0"/>
          <w:color w:val="081E3F"/>
          <w:sz w:val="44"/>
          <w:szCs w:val="32"/>
          <w:lang w:eastAsia="en-US"/>
        </w:rPr>
      </w:pPr>
      <w:r w:rsidRPr="0017272A">
        <w:rPr>
          <w:rFonts w:asciiTheme="majorHAnsi" w:eastAsiaTheme="majorEastAsia" w:hAnsiTheme="majorHAnsi" w:cstheme="majorBidi"/>
          <w:b w:val="0"/>
          <w:caps w:val="0"/>
          <w:color w:val="081E3F"/>
          <w:sz w:val="44"/>
          <w:szCs w:val="32"/>
          <w:lang w:eastAsia="en-US"/>
        </w:rPr>
        <w:t>What are public interest disclosures?</w:t>
      </w:r>
    </w:p>
    <w:p w14:paraId="0B548213" w14:textId="77777777" w:rsidR="0017272A" w:rsidRPr="0017272A" w:rsidRDefault="0017272A" w:rsidP="0017272A">
      <w:r w:rsidRPr="0017272A">
        <w:rPr>
          <w:lang w:val="x-none"/>
        </w:rPr>
        <w:t>Not all disclosures of information that might be made to the Department will be a "public interest disclosure" for the purposes of the PID Act</w:t>
      </w:r>
      <w:r w:rsidRPr="0017272A">
        <w:t xml:space="preserve"> (</w:t>
      </w:r>
      <w:r w:rsidRPr="0017272A">
        <w:rPr>
          <w:b/>
          <w:bCs/>
        </w:rPr>
        <w:t>a PID</w:t>
      </w:r>
      <w:r w:rsidRPr="0017272A">
        <w:t>).  A disclosure of information will only be a PID to which these procedures relate if it meets the following requirements:</w:t>
      </w:r>
    </w:p>
    <w:p w14:paraId="440ECB06" w14:textId="4F203885" w:rsidR="008A3222" w:rsidRPr="008C1C69" w:rsidRDefault="0017272A" w:rsidP="008A3222">
      <w:pPr>
        <w:pStyle w:val="Bullet1"/>
      </w:pPr>
      <w:r w:rsidRPr="008A3222">
        <w:t>it is made by a public official or a person who has been a public official (or is deemed to be a public official)</w:t>
      </w:r>
      <w:bookmarkStart w:id="1" w:name="_GoBack"/>
      <w:r w:rsidRPr="008C1C69">
        <w:rPr>
          <w:rStyle w:val="FootnoteReference"/>
        </w:rPr>
        <w:footnoteReference w:id="2"/>
      </w:r>
      <w:bookmarkEnd w:id="1"/>
      <w:r w:rsidR="008A3222" w:rsidRPr="008A3222">
        <w:t xml:space="preserve"> </w:t>
      </w:r>
    </w:p>
    <w:p w14:paraId="068F80E5" w14:textId="7607B2B8" w:rsidR="008A3222" w:rsidRPr="002B3569" w:rsidRDefault="0017272A" w:rsidP="008A3222">
      <w:pPr>
        <w:pStyle w:val="Bullet1"/>
      </w:pPr>
      <w:r w:rsidRPr="008A3222">
        <w:t>the information tends to show, or the discloser believes on reasonable grounds that the information tends to show, one or more instances of "disclosable conduct" as defined by the PID Act</w:t>
      </w:r>
      <w:r w:rsidR="00686370">
        <w:rPr>
          <w:lang w:val="en-US"/>
        </w:rPr>
        <w:t>,</w:t>
      </w:r>
      <w:r w:rsidRPr="0017272A">
        <w:rPr>
          <w:rStyle w:val="FootnoteReference"/>
        </w:rPr>
        <w:footnoteReference w:id="3"/>
      </w:r>
      <w:r w:rsidRPr="0008610B">
        <w:rPr>
          <w:rStyle w:val="FootnoteReference"/>
        </w:rPr>
        <w:t xml:space="preserve"> </w:t>
      </w:r>
      <w:r w:rsidRPr="008A3222">
        <w:t>and</w:t>
      </w:r>
    </w:p>
    <w:p w14:paraId="4A509141" w14:textId="3AD579C4" w:rsidR="008A3222" w:rsidRPr="002B3569" w:rsidRDefault="0017272A" w:rsidP="008A3222">
      <w:pPr>
        <w:pStyle w:val="Bullet1"/>
      </w:pPr>
      <w:r w:rsidRPr="008A3222">
        <w:t>the disclosure is made to an appropriate person within an Australian Government agency (generally their supervisor or an authorised internal recipient).</w:t>
      </w:r>
      <w:r w:rsidRPr="0017272A">
        <w:rPr>
          <w:rStyle w:val="FootnoteReference"/>
        </w:rPr>
        <w:footnoteReference w:id="4"/>
      </w:r>
      <w:r w:rsidR="008A3222" w:rsidRPr="0008610B">
        <w:rPr>
          <w:rStyle w:val="FootnoteReference"/>
        </w:rPr>
        <w:t xml:space="preserve"> </w:t>
      </w:r>
    </w:p>
    <w:p w14:paraId="0FE15012" w14:textId="77777777" w:rsidR="008A3222" w:rsidRPr="0017272A" w:rsidRDefault="0017272A" w:rsidP="008A3222">
      <w:r w:rsidRPr="008A3222">
        <w:t>Information about these key requirements, informed by information prepared by the Commonwealth Ombudsman (</w:t>
      </w:r>
      <w:r w:rsidRPr="008A3222">
        <w:rPr>
          <w:b/>
          <w:bCs/>
        </w:rPr>
        <w:t>Ombudsman</w:t>
      </w:r>
      <w:r w:rsidRPr="008A3222">
        <w:t xml:space="preserve">), is set out at </w:t>
      </w:r>
      <w:r w:rsidRPr="008A3222">
        <w:rPr>
          <w:b/>
          <w:bCs/>
        </w:rPr>
        <w:t>Schedule 1.</w:t>
      </w:r>
      <w:r w:rsidR="008A3222" w:rsidRPr="008A3222">
        <w:t xml:space="preserve"> </w:t>
      </w:r>
    </w:p>
    <w:p w14:paraId="51C973C4" w14:textId="77777777" w:rsidR="008A3222" w:rsidRPr="0017272A" w:rsidRDefault="0017272A" w:rsidP="008A3222">
      <w:r w:rsidRPr="008A3222">
        <w:t>Only if each of the above requirements has been met will the disclosure be covered by the PID Act and the discloser have the benefit of the protections that it confers.  Accordingly, it is important that a person contemplating making a disclosure of information carefully reviews the PID Act and, if they consider it appropriate, seeks independent legal advice, in order to determine whether the disclosure can be made in a way that attracts the protections of the PID Act.</w:t>
      </w:r>
      <w:r w:rsidR="008A3222" w:rsidRPr="008A3222">
        <w:t xml:space="preserve"> </w:t>
      </w:r>
    </w:p>
    <w:p w14:paraId="386B0D01" w14:textId="77777777" w:rsidR="0017272A" w:rsidRPr="00D5465A" w:rsidRDefault="0017272A" w:rsidP="008C1C69">
      <w:r w:rsidRPr="00D5465A">
        <w:t>Summaries of the rights and responsibilities of a discloser and a person who is the subject of a disclosure</w:t>
      </w:r>
      <w:r>
        <w:t>, officials under the PID Act and other persons (including witnesses)</w:t>
      </w:r>
      <w:r w:rsidRPr="00D5465A">
        <w:t xml:space="preserve"> are set out at </w:t>
      </w:r>
      <w:r w:rsidRPr="008A3222">
        <w:rPr>
          <w:b/>
          <w:bCs/>
        </w:rPr>
        <w:t>Schedule 2</w:t>
      </w:r>
      <w:r w:rsidRPr="005326DF">
        <w:t>,</w:t>
      </w:r>
      <w:r w:rsidRPr="008A3222">
        <w:rPr>
          <w:b/>
        </w:rPr>
        <w:t xml:space="preserve"> </w:t>
      </w:r>
      <w:r w:rsidRPr="008A3222">
        <w:rPr>
          <w:b/>
          <w:bCs/>
        </w:rPr>
        <w:t>Schedule 3</w:t>
      </w:r>
      <w:r w:rsidRPr="005326DF">
        <w:t>,</w:t>
      </w:r>
      <w:r w:rsidRPr="008A3222">
        <w:rPr>
          <w:b/>
          <w:bCs/>
        </w:rPr>
        <w:t xml:space="preserve"> Schedule 4</w:t>
      </w:r>
      <w:r w:rsidRPr="005326DF">
        <w:t xml:space="preserve"> and</w:t>
      </w:r>
      <w:r w:rsidRPr="008A3222">
        <w:rPr>
          <w:b/>
          <w:bCs/>
        </w:rPr>
        <w:t xml:space="preserve"> Schedule 5</w:t>
      </w:r>
      <w:r w:rsidRPr="00D5465A">
        <w:t xml:space="preserve"> respectively.</w:t>
      </w:r>
      <w:r w:rsidR="00223A03">
        <w:t xml:space="preserve"> </w:t>
      </w:r>
    </w:p>
    <w:p w14:paraId="2B40962B" w14:textId="2C086E80" w:rsidR="005840AA" w:rsidRDefault="0017272A" w:rsidP="00107331">
      <w:r w:rsidRPr="008C1C69">
        <w:t xml:space="preserve">Further </w:t>
      </w:r>
      <w:r w:rsidR="00C54F9F">
        <w:t xml:space="preserve">guidance material </w:t>
      </w:r>
      <w:r w:rsidRPr="008C1C69">
        <w:t xml:space="preserve">can also be obtained </w:t>
      </w:r>
      <w:r w:rsidR="005840AA">
        <w:t xml:space="preserve">from the following website: </w:t>
      </w:r>
      <w:hyperlink r:id="rId13" w:history="1">
        <w:r w:rsidR="005840AA">
          <w:rPr>
            <w:rStyle w:val="Hyperlink"/>
          </w:rPr>
          <w:t>Information for Disclosers | Commonwealth Ombudsman</w:t>
        </w:r>
      </w:hyperlink>
      <w:r w:rsidR="005840AA">
        <w:t>.</w:t>
      </w:r>
    </w:p>
    <w:p w14:paraId="65AA4398" w14:textId="77777777" w:rsidR="001B00CE" w:rsidRDefault="001B00CE" w:rsidP="00107331">
      <w:pPr>
        <w:pStyle w:val="Heading1"/>
      </w:pPr>
      <w:bookmarkStart w:id="2" w:name="_Toc49863225"/>
      <w:r>
        <w:t>3.</w:t>
      </w:r>
      <w:r w:rsidR="00223A03">
        <w:tab/>
      </w:r>
      <w:r>
        <w:t>Procedures</w:t>
      </w:r>
    </w:p>
    <w:p w14:paraId="4FF0070B" w14:textId="77777777" w:rsidR="00223A03" w:rsidRPr="00223A03" w:rsidRDefault="00223A03" w:rsidP="00223A03">
      <w:pPr>
        <w:pStyle w:val="Heading2"/>
      </w:pPr>
      <w:r>
        <w:t>3.1</w:t>
      </w:r>
      <w:r>
        <w:tab/>
      </w:r>
      <w:r w:rsidR="00182A6F" w:rsidRPr="00223A03">
        <w:t>D</w:t>
      </w:r>
      <w:r w:rsidR="001B00CE" w:rsidRPr="00223A03">
        <w:t>isclosure to an authorised officer</w:t>
      </w:r>
    </w:p>
    <w:p w14:paraId="464B0F41" w14:textId="77777777" w:rsidR="00182A6F" w:rsidRPr="001B00CE" w:rsidRDefault="00182A6F" w:rsidP="00223A03">
      <w:pPr>
        <w:pStyle w:val="Heading2"/>
        <w:keepNext w:val="0"/>
        <w:keepLines w:val="0"/>
        <w:rPr>
          <w:rFonts w:eastAsiaTheme="minorHAnsi"/>
          <w:color w:val="000000" w:themeColor="text1"/>
          <w:sz w:val="22"/>
          <w:szCs w:val="22"/>
        </w:rPr>
      </w:pPr>
      <w:r w:rsidRPr="001B00CE">
        <w:rPr>
          <w:rFonts w:eastAsiaTheme="minorHAnsi"/>
          <w:color w:val="000000" w:themeColor="text1"/>
          <w:sz w:val="22"/>
          <w:szCs w:val="22"/>
        </w:rPr>
        <w:t>An authorised officer is a public official who has been appointed by the principal officer (the Secretary) to receive disclosures under the PID Act. The Department maintains a list of "authorised officers" for the purposes of the PID Act who have been appointed by the principal officer.  A PID can be made to an authorised officer of the Department if the PID relates to the Department or the discloser belongs, or last belonged to, the Department.</w:t>
      </w:r>
    </w:p>
    <w:p w14:paraId="48951DC9" w14:textId="77777777" w:rsidR="00182A6F" w:rsidRPr="001B00CE" w:rsidRDefault="00182A6F" w:rsidP="001B00CE">
      <w:r w:rsidRPr="001B00CE">
        <w:t>The list of authorised officers can be accessed on the Department’s website.</w:t>
      </w:r>
    </w:p>
    <w:p w14:paraId="1BA47473" w14:textId="77777777" w:rsidR="00182A6F" w:rsidRDefault="00182A6F" w:rsidP="001B00CE">
      <w:pPr>
        <w:pStyle w:val="B12Ashurst"/>
        <w:ind w:left="0"/>
        <w:jc w:val="left"/>
        <w:rPr>
          <w:szCs w:val="18"/>
        </w:rPr>
      </w:pPr>
      <w:r w:rsidRPr="001B00CE">
        <w:rPr>
          <w:rFonts w:eastAsiaTheme="minorHAnsi"/>
          <w:color w:val="000000" w:themeColor="text1"/>
          <w:sz w:val="22"/>
          <w:szCs w:val="22"/>
          <w:lang w:eastAsia="en-US"/>
        </w:rPr>
        <w:t>A disclosure may also be made by emailing</w:t>
      </w:r>
      <w:r>
        <w:rPr>
          <w:szCs w:val="18"/>
        </w:rPr>
        <w:t xml:space="preserve"> </w:t>
      </w:r>
      <w:hyperlink r:id="rId14" w:history="1">
        <w:r w:rsidRPr="001B00CE">
          <w:rPr>
            <w:rStyle w:val="Hyperlink"/>
            <w:rFonts w:eastAsiaTheme="minorHAnsi"/>
            <w:sz w:val="22"/>
            <w:szCs w:val="22"/>
            <w:lang w:eastAsia="en-US"/>
          </w:rPr>
          <w:t>PID@infrastructure.gov.au</w:t>
        </w:r>
      </w:hyperlink>
      <w:r>
        <w:rPr>
          <w:szCs w:val="18"/>
        </w:rPr>
        <w:t>.</w:t>
      </w:r>
    </w:p>
    <w:p w14:paraId="0F141DBF" w14:textId="77777777" w:rsidR="00182A6F" w:rsidRPr="001B00CE" w:rsidRDefault="00182A6F" w:rsidP="001B00CE">
      <w:pPr>
        <w:pStyle w:val="B12Ashurst"/>
        <w:ind w:left="720"/>
        <w:jc w:val="left"/>
        <w:rPr>
          <w:rFonts w:eastAsiaTheme="minorHAnsi"/>
          <w:color w:val="000000" w:themeColor="text1"/>
          <w:sz w:val="22"/>
          <w:szCs w:val="22"/>
          <w:lang w:eastAsia="en-US"/>
        </w:rPr>
      </w:pPr>
      <w:r w:rsidRPr="001B00CE">
        <w:rPr>
          <w:rFonts w:eastAsiaTheme="minorHAnsi"/>
          <w:color w:val="000000" w:themeColor="text1"/>
          <w:sz w:val="22"/>
          <w:szCs w:val="22"/>
          <w:lang w:eastAsia="en-US"/>
        </w:rPr>
        <w:t>To the Authorised Officer [or insert name of nominated Authorised Officer]</w:t>
      </w:r>
      <w:r w:rsidRPr="001B00CE">
        <w:rPr>
          <w:rFonts w:eastAsiaTheme="minorHAnsi"/>
          <w:color w:val="000000" w:themeColor="text1"/>
          <w:sz w:val="22"/>
          <w:szCs w:val="22"/>
          <w:lang w:eastAsia="en-US"/>
        </w:rPr>
        <w:br/>
        <w:t>Department of Infrastructure, Transport, Regional Development, Communications and the Arts</w:t>
      </w:r>
      <w:r w:rsidRPr="001B00CE">
        <w:rPr>
          <w:rFonts w:eastAsiaTheme="minorHAnsi"/>
          <w:color w:val="000000" w:themeColor="text1"/>
          <w:sz w:val="22"/>
          <w:szCs w:val="22"/>
          <w:lang w:eastAsia="en-US"/>
        </w:rPr>
        <w:br/>
        <w:t>GPO Box 594</w:t>
      </w:r>
      <w:r w:rsidRPr="001B00CE">
        <w:rPr>
          <w:rFonts w:eastAsiaTheme="minorHAnsi"/>
          <w:color w:val="000000" w:themeColor="text1"/>
          <w:sz w:val="22"/>
          <w:szCs w:val="22"/>
          <w:lang w:eastAsia="en-US"/>
        </w:rPr>
        <w:br/>
        <w:t>CANBERRA ACT 2601</w:t>
      </w:r>
    </w:p>
    <w:p w14:paraId="11C5E42F" w14:textId="77777777" w:rsidR="00182A6F" w:rsidRPr="001B00CE" w:rsidRDefault="00182A6F" w:rsidP="004F705B">
      <w:pPr>
        <w:pStyle w:val="B12Ashurst"/>
        <w:spacing w:after="480"/>
        <w:ind w:left="0"/>
        <w:jc w:val="left"/>
        <w:rPr>
          <w:rFonts w:eastAsiaTheme="minorHAnsi"/>
          <w:color w:val="000000" w:themeColor="text1"/>
          <w:sz w:val="22"/>
          <w:szCs w:val="22"/>
          <w:lang w:eastAsia="en-US"/>
        </w:rPr>
      </w:pPr>
      <w:r w:rsidRPr="001B00CE">
        <w:rPr>
          <w:rFonts w:eastAsiaTheme="minorHAnsi"/>
          <w:color w:val="000000" w:themeColor="text1"/>
          <w:sz w:val="22"/>
          <w:szCs w:val="22"/>
          <w:lang w:eastAsia="en-US"/>
        </w:rPr>
        <w:t>Disclosures may be made verbally or in writing, and can be made anonymously.</w:t>
      </w:r>
    </w:p>
    <w:p w14:paraId="6FCF9099" w14:textId="77777777" w:rsidR="00182A6F" w:rsidRPr="00223A03" w:rsidRDefault="00223A03" w:rsidP="00223A03">
      <w:pPr>
        <w:pStyle w:val="Heading2"/>
      </w:pPr>
      <w:r>
        <w:t>3.2</w:t>
      </w:r>
      <w:r>
        <w:tab/>
      </w:r>
      <w:r w:rsidRPr="00223A03">
        <w:t>Disclosure to a supervisor</w:t>
      </w:r>
    </w:p>
    <w:p w14:paraId="08EB4043" w14:textId="77777777" w:rsidR="005A527E" w:rsidRPr="001B00CE" w:rsidRDefault="00182A6F" w:rsidP="005A527E">
      <w:pPr>
        <w:pStyle w:val="Heading2"/>
        <w:keepNext w:val="0"/>
        <w:keepLines w:val="0"/>
        <w:rPr>
          <w:rFonts w:eastAsiaTheme="minorHAnsi"/>
          <w:color w:val="000000" w:themeColor="text1"/>
          <w:sz w:val="22"/>
          <w:szCs w:val="22"/>
        </w:rPr>
      </w:pPr>
      <w:r w:rsidRPr="00260E3D">
        <w:rPr>
          <w:rFonts w:eastAsiaTheme="minorHAnsi"/>
          <w:color w:val="000000" w:themeColor="text1"/>
          <w:sz w:val="22"/>
          <w:szCs w:val="22"/>
        </w:rPr>
        <w:t>If a public official discloses information to a supervisor and the supervisor has reasonable grounds to believe that the information concerns, or could concern, disclosable conduct, and the supervisor is not an authorised officer, the supervisor must:</w:t>
      </w:r>
      <w:r w:rsidR="005A527E" w:rsidRPr="005A527E">
        <w:rPr>
          <w:rFonts w:eastAsiaTheme="minorHAnsi"/>
          <w:color w:val="000000" w:themeColor="text1"/>
          <w:sz w:val="22"/>
          <w:szCs w:val="22"/>
        </w:rPr>
        <w:t xml:space="preserve"> </w:t>
      </w:r>
    </w:p>
    <w:p w14:paraId="440CF56C" w14:textId="77777777" w:rsidR="00182A6F" w:rsidRPr="00260E3D" w:rsidRDefault="00182A6F" w:rsidP="00260E3D">
      <w:pPr>
        <w:pStyle w:val="Bullet1"/>
      </w:pPr>
      <w:r w:rsidRPr="00A1377B">
        <w:rPr>
          <w:szCs w:val="18"/>
        </w:rPr>
        <w:t>inform the discloser that the disclosure could be treated as an internal disclosure for the purposes of the PID Act</w:t>
      </w:r>
    </w:p>
    <w:p w14:paraId="40301B15" w14:textId="77777777" w:rsidR="00182A6F" w:rsidRPr="00260E3D" w:rsidRDefault="00182A6F" w:rsidP="00260E3D">
      <w:pPr>
        <w:pStyle w:val="Bullet1"/>
      </w:pPr>
      <w:r w:rsidRPr="00A1377B">
        <w:rPr>
          <w:szCs w:val="18"/>
        </w:rPr>
        <w:t xml:space="preserve">explain to the discloser the procedures under the PID Act for such a disclosure to be: </w:t>
      </w:r>
    </w:p>
    <w:p w14:paraId="108BCF38" w14:textId="77777777" w:rsidR="00182A6F" w:rsidRPr="00260E3D" w:rsidRDefault="00182A6F" w:rsidP="00BB5A02">
      <w:pPr>
        <w:pStyle w:val="Bullet2"/>
        <w:numPr>
          <w:ilvl w:val="1"/>
          <w:numId w:val="2"/>
        </w:numPr>
      </w:pPr>
      <w:r w:rsidRPr="00A1377B">
        <w:rPr>
          <w:szCs w:val="18"/>
        </w:rPr>
        <w:t>given to an authorised officer</w:t>
      </w:r>
    </w:p>
    <w:p w14:paraId="5E9961F9" w14:textId="77777777" w:rsidR="00260E3D" w:rsidRPr="00260E3D" w:rsidRDefault="00260E3D" w:rsidP="00BB5A02">
      <w:pPr>
        <w:pStyle w:val="Bullet2"/>
        <w:numPr>
          <w:ilvl w:val="1"/>
          <w:numId w:val="2"/>
        </w:numPr>
        <w:tabs>
          <w:tab w:val="num" w:pos="1766"/>
        </w:tabs>
        <w:rPr>
          <w:szCs w:val="18"/>
        </w:rPr>
      </w:pPr>
      <w:r w:rsidRPr="00260E3D">
        <w:rPr>
          <w:szCs w:val="18"/>
        </w:rPr>
        <w:t>allocated to the discloser's agency or another agency</w:t>
      </w:r>
      <w:r w:rsidR="00893C2F">
        <w:rPr>
          <w:szCs w:val="18"/>
          <w:lang w:val="en-US"/>
        </w:rPr>
        <w:t xml:space="preserve">, </w:t>
      </w:r>
      <w:r w:rsidRPr="00260E3D">
        <w:rPr>
          <w:szCs w:val="18"/>
        </w:rPr>
        <w:t>and</w:t>
      </w:r>
    </w:p>
    <w:p w14:paraId="3D506400" w14:textId="77777777" w:rsidR="00260E3D" w:rsidRPr="00260E3D" w:rsidRDefault="00260E3D" w:rsidP="00BB5A02">
      <w:pPr>
        <w:pStyle w:val="Bullet2"/>
        <w:numPr>
          <w:ilvl w:val="1"/>
          <w:numId w:val="2"/>
        </w:numPr>
        <w:tabs>
          <w:tab w:val="num" w:pos="1766"/>
        </w:tabs>
        <w:rPr>
          <w:szCs w:val="18"/>
        </w:rPr>
      </w:pPr>
      <w:r w:rsidRPr="00260E3D">
        <w:rPr>
          <w:szCs w:val="18"/>
        </w:rPr>
        <w:t>investigated by the principal officer of the Department.</w:t>
      </w:r>
    </w:p>
    <w:p w14:paraId="501925F9" w14:textId="77777777" w:rsidR="00260E3D" w:rsidRPr="00260E3D" w:rsidRDefault="00260E3D" w:rsidP="00BB5A02">
      <w:pPr>
        <w:pStyle w:val="Bullet1"/>
        <w:numPr>
          <w:ilvl w:val="0"/>
          <w:numId w:val="2"/>
        </w:numPr>
        <w:rPr>
          <w:szCs w:val="18"/>
        </w:rPr>
      </w:pPr>
      <w:r w:rsidRPr="00260E3D">
        <w:rPr>
          <w:szCs w:val="18"/>
        </w:rPr>
        <w:t>advise the individual about the circumstances (if any) in which a public interest disclosure must be referred to an agency, or other person or body, under another law of the Commonwealth</w:t>
      </w:r>
    </w:p>
    <w:p w14:paraId="6FD2905B" w14:textId="77777777" w:rsidR="00260E3D" w:rsidRPr="00260E3D" w:rsidRDefault="00260E3D" w:rsidP="00BB5A02">
      <w:pPr>
        <w:pStyle w:val="Bullet1"/>
        <w:numPr>
          <w:ilvl w:val="0"/>
          <w:numId w:val="2"/>
        </w:numPr>
        <w:rPr>
          <w:szCs w:val="18"/>
        </w:rPr>
      </w:pPr>
      <w:r w:rsidRPr="00260E3D">
        <w:rPr>
          <w:szCs w:val="18"/>
        </w:rPr>
        <w:t>explain to the discloser the civil and criminal protections this Act provides to protect disclosers, and those providing assistance in relation to such disclosures, from reprisals</w:t>
      </w:r>
      <w:r w:rsidR="00893C2F">
        <w:rPr>
          <w:szCs w:val="18"/>
          <w:lang w:val="en-US"/>
        </w:rPr>
        <w:t xml:space="preserve">, </w:t>
      </w:r>
      <w:r w:rsidRPr="00260E3D">
        <w:rPr>
          <w:szCs w:val="18"/>
        </w:rPr>
        <w:t>and</w:t>
      </w:r>
    </w:p>
    <w:p w14:paraId="7BF8D729" w14:textId="77777777" w:rsidR="00260E3D" w:rsidRPr="00260E3D" w:rsidRDefault="00260E3D" w:rsidP="00BB5A02">
      <w:pPr>
        <w:pStyle w:val="Bullet1"/>
        <w:numPr>
          <w:ilvl w:val="0"/>
          <w:numId w:val="2"/>
        </w:numPr>
        <w:rPr>
          <w:szCs w:val="18"/>
        </w:rPr>
      </w:pPr>
      <w:r w:rsidRPr="00260E3D">
        <w:rPr>
          <w:szCs w:val="18"/>
        </w:rPr>
        <w:t>give the information to an authorised officer of the Department as soon as reasonably practicable.</w:t>
      </w:r>
    </w:p>
    <w:p w14:paraId="14633383" w14:textId="77777777" w:rsidR="000D5A72" w:rsidRPr="000D5A72" w:rsidRDefault="000D5A72" w:rsidP="000D5A72">
      <w:pPr>
        <w:pStyle w:val="Heading2"/>
      </w:pPr>
      <w:r>
        <w:t>3.3</w:t>
      </w:r>
      <w:r>
        <w:tab/>
      </w:r>
      <w:r w:rsidRPr="000D5A72">
        <w:t>Protecting confidentiality</w:t>
      </w:r>
    </w:p>
    <w:p w14:paraId="3CBBE68E" w14:textId="77777777" w:rsidR="000D5A72" w:rsidRPr="000D5A72" w:rsidRDefault="000D5A72" w:rsidP="000D5A72">
      <w:pPr>
        <w:pStyle w:val="Heading2"/>
        <w:keepNext w:val="0"/>
        <w:keepLines w:val="0"/>
        <w:rPr>
          <w:rFonts w:eastAsiaTheme="minorHAnsi"/>
          <w:color w:val="000000" w:themeColor="text1"/>
          <w:sz w:val="22"/>
          <w:szCs w:val="22"/>
        </w:rPr>
      </w:pPr>
      <w:r w:rsidRPr="000D5A72">
        <w:rPr>
          <w:rFonts w:eastAsiaTheme="minorHAnsi"/>
          <w:color w:val="000000" w:themeColor="text1"/>
          <w:sz w:val="22"/>
          <w:szCs w:val="22"/>
        </w:rPr>
        <w:t xml:space="preserve">The authorised officer and the principal officer will take all reasonable steps to protect the identity of a discloser from the time the disclosure is made.  Disclosures should be assessed and investigated discreetly and confidentially, with a strong emphasis on maintaining confidentiality of both the discloser and any person who is the subject of the disclosure. </w:t>
      </w:r>
    </w:p>
    <w:p w14:paraId="0F88B7BF" w14:textId="77777777" w:rsidR="000D5A72" w:rsidRPr="000D5A72" w:rsidRDefault="000D5A72" w:rsidP="000D5A72">
      <w:pPr>
        <w:pStyle w:val="Heading2"/>
        <w:keepNext w:val="0"/>
        <w:keepLines w:val="0"/>
        <w:rPr>
          <w:rFonts w:eastAsiaTheme="minorHAnsi"/>
          <w:color w:val="000000" w:themeColor="text1"/>
          <w:sz w:val="22"/>
          <w:szCs w:val="22"/>
        </w:rPr>
      </w:pPr>
      <w:r w:rsidRPr="000D5A72">
        <w:rPr>
          <w:rFonts w:eastAsiaTheme="minorHAnsi"/>
          <w:color w:val="000000" w:themeColor="text1"/>
          <w:sz w:val="22"/>
          <w:szCs w:val="22"/>
        </w:rPr>
        <w:t>To protect a discloser's identity, the authorised officer and the principal officer will limit the number of people who are aware of the discloser's identity or information that will tend to identify them and remind each person who has that identifying information that they should keep it confidential and that unauthorised disclosure may be a criminal offence.</w:t>
      </w:r>
      <w:r>
        <w:rPr>
          <w:rFonts w:eastAsiaTheme="minorHAnsi"/>
          <w:color w:val="000000" w:themeColor="text1"/>
          <w:sz w:val="22"/>
          <w:szCs w:val="22"/>
        </w:rPr>
        <w:t xml:space="preserve"> </w:t>
      </w:r>
      <w:r w:rsidRPr="000D5A72">
        <w:rPr>
          <w:rFonts w:eastAsiaTheme="minorHAnsi"/>
          <w:color w:val="000000" w:themeColor="text1"/>
          <w:sz w:val="22"/>
          <w:szCs w:val="22"/>
        </w:rPr>
        <w:t>It is an offence for a public official to disclose information that is likely to enable the identification of a person as a person who has made a public interest disclosure other than in accordance with the PID Act (see section 20(3)).</w:t>
      </w:r>
    </w:p>
    <w:p w14:paraId="0AFDCBEB" w14:textId="77777777" w:rsidR="000D5A72" w:rsidRPr="000D5A72" w:rsidRDefault="000D5A72" w:rsidP="000D5A72">
      <w:pPr>
        <w:pStyle w:val="Heading2"/>
        <w:keepNext w:val="0"/>
        <w:keepLines w:val="0"/>
        <w:rPr>
          <w:rFonts w:eastAsiaTheme="minorHAnsi"/>
          <w:color w:val="000000" w:themeColor="text1"/>
          <w:sz w:val="22"/>
          <w:szCs w:val="22"/>
        </w:rPr>
      </w:pPr>
      <w:r w:rsidRPr="000D5A72">
        <w:rPr>
          <w:rFonts w:eastAsiaTheme="minorHAnsi"/>
          <w:color w:val="000000" w:themeColor="text1"/>
          <w:sz w:val="22"/>
          <w:szCs w:val="22"/>
        </w:rPr>
        <w:t xml:space="preserve">Identifying information about a discloser will not be disclosed to a court or tribunal except where necessary to give effect to the PID Act. </w:t>
      </w:r>
    </w:p>
    <w:p w14:paraId="4584AC52" w14:textId="77777777" w:rsidR="000D5A72" w:rsidRPr="000D5A72" w:rsidRDefault="000D5A72" w:rsidP="000D5A72">
      <w:pPr>
        <w:pStyle w:val="Heading2"/>
        <w:keepNext w:val="0"/>
        <w:keepLines w:val="0"/>
        <w:rPr>
          <w:rFonts w:eastAsiaTheme="minorHAnsi"/>
          <w:color w:val="000000" w:themeColor="text1"/>
          <w:sz w:val="22"/>
          <w:szCs w:val="22"/>
        </w:rPr>
      </w:pPr>
      <w:r w:rsidRPr="000D5A72">
        <w:rPr>
          <w:rFonts w:eastAsiaTheme="minorHAnsi"/>
          <w:color w:val="000000" w:themeColor="text1"/>
          <w:sz w:val="22"/>
          <w:szCs w:val="22"/>
        </w:rPr>
        <w:t>The PID Act contemplates that the principal officer may provide information and documents in relation to a disclosure to another agency within the Department's portfolio if the conduct relates to that agency or the disclosure is allocated to that agency.</w:t>
      </w:r>
    </w:p>
    <w:p w14:paraId="0DD3973D" w14:textId="77777777" w:rsidR="000D5A72" w:rsidRPr="00893C2F" w:rsidRDefault="00893C2F" w:rsidP="00893C2F">
      <w:pPr>
        <w:pStyle w:val="Heading2"/>
      </w:pPr>
      <w:r>
        <w:t>3.4</w:t>
      </w:r>
      <w:r>
        <w:tab/>
      </w:r>
      <w:r w:rsidRPr="00893C2F">
        <w:t xml:space="preserve">Interaction with the </w:t>
      </w:r>
      <w:r>
        <w:t>N</w:t>
      </w:r>
      <w:r w:rsidRPr="00893C2F">
        <w:t xml:space="preserve">ational </w:t>
      </w:r>
      <w:r>
        <w:t>A</w:t>
      </w:r>
      <w:r w:rsidRPr="00893C2F">
        <w:t>nti-</w:t>
      </w:r>
      <w:r>
        <w:t>C</w:t>
      </w:r>
      <w:r w:rsidRPr="00893C2F">
        <w:t xml:space="preserve">orruption </w:t>
      </w:r>
      <w:r>
        <w:t>C</w:t>
      </w:r>
      <w:r w:rsidRPr="00893C2F">
        <w:t>ommission</w:t>
      </w:r>
    </w:p>
    <w:p w14:paraId="095DC3A6" w14:textId="77777777" w:rsidR="000D5A72" w:rsidRPr="00893C2F" w:rsidRDefault="000D5A72" w:rsidP="0014769A">
      <w:pPr>
        <w:pStyle w:val="Heading2"/>
        <w:keepNext w:val="0"/>
        <w:keepLines w:val="0"/>
        <w:rPr>
          <w:rFonts w:eastAsiaTheme="minorHAnsi"/>
          <w:color w:val="000000" w:themeColor="text1"/>
          <w:sz w:val="22"/>
          <w:szCs w:val="22"/>
        </w:rPr>
      </w:pPr>
      <w:r w:rsidRPr="00893C2F">
        <w:rPr>
          <w:rFonts w:eastAsiaTheme="minorHAnsi"/>
          <w:color w:val="000000" w:themeColor="text1"/>
          <w:sz w:val="22"/>
          <w:szCs w:val="22"/>
        </w:rPr>
        <w:t xml:space="preserve">The </w:t>
      </w:r>
      <w:hyperlink r:id="rId15" w:history="1">
        <w:r w:rsidRPr="00893C2F">
          <w:rPr>
            <w:rStyle w:val="Hyperlink"/>
            <w:rFonts w:eastAsiaTheme="minorHAnsi"/>
            <w:i/>
            <w:iCs/>
            <w:sz w:val="22"/>
            <w:szCs w:val="18"/>
          </w:rPr>
          <w:t>National Anti-Corruption Commission Act 2022</w:t>
        </w:r>
      </w:hyperlink>
      <w:r w:rsidR="002F7325">
        <w:rPr>
          <w:rStyle w:val="Hyperlink"/>
          <w:rFonts w:eastAsiaTheme="minorHAnsi"/>
          <w:i/>
          <w:iCs/>
          <w:sz w:val="22"/>
          <w:szCs w:val="18"/>
        </w:rPr>
        <w:t xml:space="preserve"> </w:t>
      </w:r>
      <w:r w:rsidR="002F7325" w:rsidRPr="002F7325">
        <w:rPr>
          <w:rStyle w:val="Hyperlink"/>
          <w:rFonts w:eastAsiaTheme="minorHAnsi"/>
          <w:iCs/>
          <w:sz w:val="22"/>
          <w:szCs w:val="18"/>
        </w:rPr>
        <w:t>(Cth)</w:t>
      </w:r>
      <w:r>
        <w:t xml:space="preserve"> </w:t>
      </w:r>
      <w:r w:rsidRPr="00893C2F">
        <w:rPr>
          <w:rFonts w:eastAsiaTheme="minorHAnsi"/>
          <w:color w:val="000000" w:themeColor="text1"/>
          <w:sz w:val="22"/>
          <w:szCs w:val="22"/>
        </w:rPr>
        <w:t>(</w:t>
      </w:r>
      <w:r w:rsidRPr="00893C2F">
        <w:rPr>
          <w:rFonts w:eastAsiaTheme="minorHAnsi"/>
          <w:b/>
          <w:color w:val="000000" w:themeColor="text1"/>
          <w:sz w:val="22"/>
          <w:szCs w:val="22"/>
        </w:rPr>
        <w:t>NACC Act</w:t>
      </w:r>
      <w:r w:rsidRPr="00893C2F">
        <w:rPr>
          <w:rFonts w:eastAsiaTheme="minorHAnsi"/>
          <w:color w:val="000000" w:themeColor="text1"/>
          <w:sz w:val="22"/>
          <w:szCs w:val="22"/>
        </w:rPr>
        <w:t>) establishes the National Anti</w:t>
      </w:r>
      <w:r w:rsidR="00893C2F">
        <w:rPr>
          <w:rFonts w:eastAsiaTheme="minorHAnsi"/>
          <w:color w:val="000000" w:themeColor="text1"/>
          <w:sz w:val="22"/>
          <w:szCs w:val="22"/>
        </w:rPr>
        <w:noBreakHyphen/>
      </w:r>
      <w:r w:rsidRPr="00893C2F">
        <w:rPr>
          <w:rFonts w:eastAsiaTheme="minorHAnsi"/>
          <w:color w:val="000000" w:themeColor="text1"/>
          <w:sz w:val="22"/>
          <w:szCs w:val="22"/>
        </w:rPr>
        <w:t xml:space="preserve">Corruption Commission.  Information about the NACC can be found on the NACC's website. </w:t>
      </w:r>
    </w:p>
    <w:p w14:paraId="6D276B87" w14:textId="77777777" w:rsidR="000D5A72" w:rsidRPr="00893C2F" w:rsidRDefault="000D5A72" w:rsidP="0014769A">
      <w:pPr>
        <w:pStyle w:val="Heading2"/>
        <w:keepNext w:val="0"/>
        <w:keepLines w:val="0"/>
        <w:rPr>
          <w:rFonts w:eastAsiaTheme="minorHAnsi"/>
          <w:color w:val="000000" w:themeColor="text1"/>
          <w:sz w:val="22"/>
          <w:szCs w:val="22"/>
        </w:rPr>
      </w:pPr>
      <w:r w:rsidRPr="00893C2F">
        <w:rPr>
          <w:rFonts w:eastAsiaTheme="minorHAnsi"/>
          <w:color w:val="000000" w:themeColor="text1"/>
          <w:sz w:val="22"/>
          <w:szCs w:val="22"/>
        </w:rPr>
        <w:t>At all stages of dealing with and handling a disclosure, staff members of the Department who are exercising powers or functions under Division 1 or 2 of Part 3 of the PID Act (including the principal officer and authorised officers and their delegates) must be aware of and consider their mandatory obligation under section 35 of the NACC Act.</w:t>
      </w:r>
    </w:p>
    <w:p w14:paraId="1C550B0A" w14:textId="77777777" w:rsidR="000D5A72" w:rsidRPr="00893C2F" w:rsidRDefault="000D5A72" w:rsidP="0014769A">
      <w:pPr>
        <w:pStyle w:val="Heading2"/>
        <w:keepNext w:val="0"/>
        <w:keepLines w:val="0"/>
        <w:rPr>
          <w:rFonts w:eastAsiaTheme="minorHAnsi"/>
          <w:color w:val="000000" w:themeColor="text1"/>
          <w:sz w:val="22"/>
          <w:szCs w:val="22"/>
        </w:rPr>
      </w:pPr>
      <w:r w:rsidRPr="00893C2F">
        <w:rPr>
          <w:rFonts w:eastAsiaTheme="minorHAnsi"/>
          <w:color w:val="000000" w:themeColor="text1"/>
          <w:sz w:val="22"/>
          <w:szCs w:val="22"/>
        </w:rPr>
        <w:t>Section 35 of the NACC Act provides that PID officers must refer a corruption issue to the NACC as soon as reasonably practicable upon becoming aware of a corruption issue that:</w:t>
      </w:r>
    </w:p>
    <w:p w14:paraId="05952ED1" w14:textId="77777777" w:rsidR="000D5A72" w:rsidRPr="0014769A" w:rsidRDefault="000D5A72" w:rsidP="0014769A">
      <w:pPr>
        <w:pStyle w:val="Bullet1"/>
      </w:pPr>
      <w:r w:rsidRPr="00A1377B">
        <w:rPr>
          <w:szCs w:val="18"/>
        </w:rPr>
        <w:t>concerns the conduct of a person who is or was a staff member of the Department while that person is, or was, a staff member</w:t>
      </w:r>
      <w:r w:rsidR="0014769A">
        <w:rPr>
          <w:szCs w:val="18"/>
          <w:lang w:val="en-US"/>
        </w:rPr>
        <w:t>, and</w:t>
      </w:r>
    </w:p>
    <w:p w14:paraId="4731B389" w14:textId="77777777" w:rsidR="000D5A72" w:rsidRPr="0014769A" w:rsidRDefault="000D5A72" w:rsidP="0014769A">
      <w:pPr>
        <w:pStyle w:val="Bullet1"/>
      </w:pPr>
      <w:r w:rsidRPr="00A1377B">
        <w:rPr>
          <w:szCs w:val="18"/>
        </w:rPr>
        <w:t xml:space="preserve">the PID officer suspects could involve corrupt conduct that is serious or systemic. </w:t>
      </w:r>
    </w:p>
    <w:p w14:paraId="58C15DAB" w14:textId="77777777" w:rsidR="000D5A72" w:rsidRPr="00893C2F" w:rsidRDefault="000D5A72" w:rsidP="0014769A">
      <w:pPr>
        <w:pStyle w:val="Heading2"/>
        <w:keepNext w:val="0"/>
        <w:keepLines w:val="0"/>
        <w:rPr>
          <w:rFonts w:eastAsiaTheme="minorHAnsi"/>
          <w:color w:val="000000" w:themeColor="text1"/>
          <w:sz w:val="22"/>
          <w:szCs w:val="22"/>
        </w:rPr>
      </w:pPr>
      <w:r w:rsidRPr="00893C2F">
        <w:rPr>
          <w:rFonts w:eastAsiaTheme="minorHAnsi"/>
          <w:color w:val="000000" w:themeColor="text1"/>
          <w:sz w:val="22"/>
          <w:szCs w:val="22"/>
        </w:rPr>
        <w:t xml:space="preserve">A PID officer is not required to refer a corruption issue if they believe on reasonable grounds that that NACC is already aware of the issue. </w:t>
      </w:r>
    </w:p>
    <w:p w14:paraId="0D334D3B" w14:textId="77777777" w:rsidR="000D5A72" w:rsidRPr="00893C2F" w:rsidRDefault="000D5A72" w:rsidP="0014769A">
      <w:pPr>
        <w:pStyle w:val="Heading2"/>
        <w:keepNext w:val="0"/>
        <w:keepLines w:val="0"/>
        <w:rPr>
          <w:rFonts w:eastAsiaTheme="minorHAnsi"/>
          <w:color w:val="000000" w:themeColor="text1"/>
          <w:sz w:val="22"/>
          <w:szCs w:val="22"/>
        </w:rPr>
      </w:pPr>
      <w:r w:rsidRPr="00893C2F">
        <w:rPr>
          <w:rFonts w:eastAsiaTheme="minorHAnsi"/>
          <w:color w:val="000000" w:themeColor="text1"/>
          <w:sz w:val="22"/>
          <w:szCs w:val="22"/>
        </w:rPr>
        <w:t xml:space="preserve">If a PID officer becomes aware of such a corruption issue as a result of an internal disclosure they must, as soon as reasonably practicable, notify the discloser of the referral of the issue to the NACC under section 35 of the NACC Act. </w:t>
      </w:r>
    </w:p>
    <w:p w14:paraId="04267753" w14:textId="77777777" w:rsidR="000D5A72" w:rsidRPr="00893C2F" w:rsidRDefault="000D5A72" w:rsidP="0014769A">
      <w:pPr>
        <w:pStyle w:val="Heading2"/>
        <w:keepNext w:val="0"/>
        <w:keepLines w:val="0"/>
        <w:rPr>
          <w:rFonts w:eastAsiaTheme="minorHAnsi"/>
          <w:color w:val="000000" w:themeColor="text1"/>
          <w:sz w:val="22"/>
          <w:szCs w:val="22"/>
        </w:rPr>
      </w:pPr>
      <w:r w:rsidRPr="00893C2F">
        <w:rPr>
          <w:rFonts w:eastAsiaTheme="minorHAnsi"/>
          <w:color w:val="000000" w:themeColor="text1"/>
          <w:sz w:val="22"/>
          <w:szCs w:val="22"/>
        </w:rPr>
        <w:t xml:space="preserve">Where a referral is made to the NACC, the Department should continue to deal with/ handle a disclosure, unless a stop action direction has been issued under section 43(1) of the NACC Act (section 39 of the NACC Act).  </w:t>
      </w:r>
    </w:p>
    <w:p w14:paraId="52BC690B" w14:textId="77777777" w:rsidR="000D5A72" w:rsidRDefault="000D5A72" w:rsidP="0014769A">
      <w:pPr>
        <w:pStyle w:val="Heading2"/>
        <w:keepNext w:val="0"/>
        <w:keepLines w:val="0"/>
        <w:rPr>
          <w:rFonts w:eastAsiaTheme="minorHAnsi"/>
          <w:color w:val="000000" w:themeColor="text1"/>
          <w:sz w:val="22"/>
          <w:szCs w:val="22"/>
        </w:rPr>
      </w:pPr>
      <w:r w:rsidRPr="00893C2F">
        <w:rPr>
          <w:rFonts w:eastAsiaTheme="minorHAnsi"/>
          <w:color w:val="000000" w:themeColor="text1"/>
          <w:sz w:val="22"/>
          <w:szCs w:val="22"/>
        </w:rPr>
        <w:t xml:space="preserve">The NACC Act contains particular obligations with respect to stop action directions. </w:t>
      </w:r>
    </w:p>
    <w:p w14:paraId="2116A630" w14:textId="77777777" w:rsidR="00FD3C20" w:rsidRPr="00FD3C20" w:rsidRDefault="00FD3C20" w:rsidP="00FD3C20">
      <w:pPr>
        <w:pStyle w:val="Heading2"/>
      </w:pPr>
      <w:r>
        <w:t>3.5</w:t>
      </w:r>
      <w:r>
        <w:tab/>
      </w:r>
      <w:r w:rsidRPr="00FD3C20">
        <w:t>Record keeping</w:t>
      </w:r>
    </w:p>
    <w:p w14:paraId="7CF23515" w14:textId="77777777" w:rsidR="00FD3C20" w:rsidRPr="00FD3C20" w:rsidRDefault="00FD3C20" w:rsidP="00FD3C20">
      <w:pPr>
        <w:pStyle w:val="Heading2"/>
        <w:keepNext w:val="0"/>
        <w:keepLines w:val="0"/>
        <w:rPr>
          <w:rFonts w:eastAsiaTheme="minorHAnsi"/>
          <w:color w:val="000000" w:themeColor="text1"/>
          <w:sz w:val="22"/>
          <w:szCs w:val="22"/>
        </w:rPr>
      </w:pPr>
      <w:r w:rsidRPr="00FD3C20">
        <w:rPr>
          <w:rFonts w:eastAsiaTheme="minorHAnsi"/>
          <w:color w:val="000000" w:themeColor="text1"/>
          <w:sz w:val="22"/>
          <w:szCs w:val="22"/>
        </w:rPr>
        <w:t>Written records should be kept of all communications, actions and decisions (including the reasons) relating to a disclosure.</w:t>
      </w:r>
    </w:p>
    <w:p w14:paraId="72EB68ED" w14:textId="77777777" w:rsidR="00FD3C20" w:rsidRPr="00FD3C20" w:rsidRDefault="00FD3C20" w:rsidP="00CC0105">
      <w:pPr>
        <w:pStyle w:val="Heading2"/>
        <w:keepNext w:val="0"/>
        <w:keepLines w:val="0"/>
        <w:rPr>
          <w:rFonts w:eastAsiaTheme="minorHAnsi"/>
          <w:color w:val="000000" w:themeColor="text1"/>
          <w:sz w:val="22"/>
          <w:szCs w:val="22"/>
        </w:rPr>
      </w:pPr>
      <w:r w:rsidRPr="00FD3C20">
        <w:rPr>
          <w:rFonts w:eastAsiaTheme="minorHAnsi"/>
          <w:color w:val="000000" w:themeColor="text1"/>
          <w:sz w:val="22"/>
          <w:szCs w:val="22"/>
        </w:rPr>
        <w:t>All paper and electronic documents and files, as well as other relevant records including interview tapes, should be stored securely with confidentiality obligations in mind.  Where a form is required to be sent under these procedures, a copy of the form must be kept.</w:t>
      </w:r>
    </w:p>
    <w:p w14:paraId="4C254781" w14:textId="77777777" w:rsidR="00FD3C20" w:rsidRPr="00CC0105" w:rsidRDefault="00FD3C20" w:rsidP="00CC0105">
      <w:pPr>
        <w:pStyle w:val="Heading2"/>
        <w:keepNext w:val="0"/>
        <w:keepLines w:val="0"/>
        <w:rPr>
          <w:rFonts w:eastAsiaTheme="minorHAnsi"/>
          <w:color w:val="000000" w:themeColor="text1"/>
          <w:sz w:val="22"/>
          <w:szCs w:val="22"/>
        </w:rPr>
      </w:pPr>
      <w:r w:rsidRPr="00CC0105">
        <w:rPr>
          <w:rFonts w:eastAsiaTheme="minorHAnsi"/>
          <w:color w:val="000000" w:themeColor="text1"/>
          <w:sz w:val="22"/>
          <w:szCs w:val="22"/>
        </w:rPr>
        <w:t>All records made for the purposes of the PID Act in accordance with these procedures must be appropriately marked in accordance with the Department’s information classification markings, hard copies and electronic copies stored in the appropriate storage container or record keeping system.</w:t>
      </w:r>
    </w:p>
    <w:p w14:paraId="4D34FFFF" w14:textId="77777777" w:rsidR="00FD3C20" w:rsidRPr="00D5465A" w:rsidRDefault="00E73A37" w:rsidP="00E73A37">
      <w:pPr>
        <w:pStyle w:val="Heading2"/>
      </w:pPr>
      <w:r>
        <w:t>3.6</w:t>
      </w:r>
      <w:r>
        <w:tab/>
      </w:r>
      <w:r w:rsidRPr="00D5465A">
        <w:t>Initial consideration and allocation</w:t>
      </w:r>
    </w:p>
    <w:p w14:paraId="054DB534" w14:textId="77777777" w:rsidR="00FD3C20" w:rsidRPr="00D5465A" w:rsidRDefault="00FD3C20" w:rsidP="00E73A37">
      <w:pPr>
        <w:pStyle w:val="Heading3"/>
      </w:pPr>
      <w:r w:rsidRPr="00D5465A">
        <w:t xml:space="preserve">Step 1: Consider whether a disclosure </w:t>
      </w:r>
      <w:r>
        <w:t>should be allocated</w:t>
      </w:r>
    </w:p>
    <w:p w14:paraId="112D3E05" w14:textId="77777777" w:rsidR="00FD3C20" w:rsidRPr="00E73A37" w:rsidRDefault="00FD3C20" w:rsidP="00E73A37">
      <w:pPr>
        <w:pStyle w:val="Heading2"/>
        <w:keepNext w:val="0"/>
        <w:keepLines w:val="0"/>
        <w:rPr>
          <w:rFonts w:eastAsiaTheme="minorHAnsi"/>
          <w:color w:val="000000" w:themeColor="text1"/>
          <w:sz w:val="22"/>
          <w:szCs w:val="22"/>
        </w:rPr>
      </w:pPr>
      <w:r w:rsidRPr="00E73A37">
        <w:rPr>
          <w:rFonts w:eastAsiaTheme="minorHAnsi"/>
          <w:color w:val="000000" w:themeColor="text1"/>
          <w:sz w:val="22"/>
          <w:szCs w:val="22"/>
        </w:rPr>
        <w:t>When an authorised officer receives a disclosure of information (from a discloser, or the discloser's supervisor), they will consider the information disclosed and must allocate a disclosure to one or more agencies (which may or may not be the Department) unless the authorised officer is satisfied on reasonable grounds that:</w:t>
      </w:r>
    </w:p>
    <w:p w14:paraId="0FB10D27" w14:textId="77777777" w:rsidR="00FD3C20" w:rsidRPr="000301EF" w:rsidRDefault="00FD3C20" w:rsidP="00BB5A02">
      <w:pPr>
        <w:pStyle w:val="Bullet1"/>
      </w:pPr>
      <w:r w:rsidRPr="00A1377B">
        <w:rPr>
          <w:szCs w:val="18"/>
        </w:rPr>
        <w:t>there is no reasonable basis on which the disclosure could be considered to be an internal disclosure</w:t>
      </w:r>
      <w:r w:rsidR="00BB5A02">
        <w:rPr>
          <w:szCs w:val="18"/>
          <w:lang w:val="en-US"/>
        </w:rPr>
        <w:t xml:space="preserve">, </w:t>
      </w:r>
      <w:r w:rsidRPr="00A1377B">
        <w:rPr>
          <w:szCs w:val="18"/>
        </w:rPr>
        <w:t>or</w:t>
      </w:r>
    </w:p>
    <w:p w14:paraId="165241A6" w14:textId="77777777" w:rsidR="00FD3C20" w:rsidRPr="00376A4F" w:rsidRDefault="00FD3C20" w:rsidP="00BB5A02">
      <w:pPr>
        <w:pStyle w:val="Bullet1"/>
      </w:pPr>
      <w:r w:rsidRPr="00A1377B">
        <w:rPr>
          <w:szCs w:val="18"/>
        </w:rPr>
        <w:t>the conduct disclosed would be more appropriately investigated under another law or power (this ground cannot</w:t>
      </w:r>
      <w:r w:rsidRPr="00376A4F">
        <w:t xml:space="preserve"> be satisfied only because </w:t>
      </w:r>
      <w:r>
        <w:t>t</w:t>
      </w:r>
      <w:r w:rsidRPr="00376A4F">
        <w:t>he conduct disclosed raises a corruption issue).</w:t>
      </w:r>
    </w:p>
    <w:p w14:paraId="6CAD44C9" w14:textId="77777777" w:rsidR="00FD3C20" w:rsidRPr="00E73A37" w:rsidRDefault="00FD3C20" w:rsidP="00E73A37">
      <w:pPr>
        <w:pStyle w:val="Heading2"/>
        <w:keepNext w:val="0"/>
        <w:keepLines w:val="0"/>
        <w:rPr>
          <w:rFonts w:eastAsiaTheme="minorHAnsi"/>
          <w:color w:val="000000" w:themeColor="text1"/>
          <w:sz w:val="22"/>
          <w:szCs w:val="22"/>
        </w:rPr>
      </w:pPr>
      <w:r w:rsidRPr="00E73A37">
        <w:rPr>
          <w:rFonts w:eastAsiaTheme="minorHAnsi"/>
          <w:color w:val="000000" w:themeColor="text1"/>
          <w:sz w:val="22"/>
          <w:szCs w:val="22"/>
        </w:rPr>
        <w:t xml:space="preserve">The authorised officer must use their best endeavours to make a decision about the allocation of a disclosure within 14 days after the date on which the disclosure is made to or given to an authorised officer. </w:t>
      </w:r>
    </w:p>
    <w:p w14:paraId="4E34B7CC" w14:textId="77777777" w:rsidR="00FD3C20" w:rsidRPr="00E73A37" w:rsidRDefault="00FD3C20" w:rsidP="00E73A37">
      <w:pPr>
        <w:pStyle w:val="Heading2"/>
        <w:keepNext w:val="0"/>
        <w:keepLines w:val="0"/>
        <w:rPr>
          <w:rFonts w:eastAsiaTheme="minorHAnsi"/>
          <w:color w:val="000000" w:themeColor="text1"/>
          <w:sz w:val="22"/>
          <w:szCs w:val="22"/>
        </w:rPr>
      </w:pPr>
      <w:r w:rsidRPr="00E73A37">
        <w:rPr>
          <w:rFonts w:eastAsiaTheme="minorHAnsi"/>
          <w:color w:val="000000" w:themeColor="text1"/>
          <w:sz w:val="22"/>
          <w:szCs w:val="22"/>
        </w:rPr>
        <w:t>For the purposes of determining whether there are reasonable grounds on which the disclosure could be considered to be an internal disclosure, the authorised officer may obtain information from such persons, and make such inquiries, as the authorised officer thinks fit.</w:t>
      </w:r>
    </w:p>
    <w:p w14:paraId="577BF2C9" w14:textId="77777777" w:rsidR="00FD3C20" w:rsidRPr="00E73A37" w:rsidRDefault="00FD3C20" w:rsidP="00E73A37">
      <w:pPr>
        <w:pStyle w:val="Heading2"/>
        <w:keepNext w:val="0"/>
        <w:keepLines w:val="0"/>
        <w:rPr>
          <w:rFonts w:eastAsiaTheme="minorHAnsi"/>
          <w:color w:val="000000" w:themeColor="text1"/>
          <w:sz w:val="22"/>
          <w:szCs w:val="22"/>
        </w:rPr>
      </w:pPr>
      <w:r w:rsidRPr="00E73A37">
        <w:rPr>
          <w:rFonts w:eastAsiaTheme="minorHAnsi"/>
          <w:color w:val="000000" w:themeColor="text1"/>
          <w:sz w:val="22"/>
          <w:szCs w:val="22"/>
        </w:rPr>
        <w:t>Before making a decision, the authorised officer must consider whether they have satisfied their obligations under section 60 of the PID Act (which relate to providing information to disclosers).</w:t>
      </w:r>
    </w:p>
    <w:p w14:paraId="491DF584" w14:textId="77777777" w:rsidR="00FD3C20" w:rsidRPr="00E73A37" w:rsidRDefault="00FD3C20" w:rsidP="00E73A37">
      <w:pPr>
        <w:pStyle w:val="Heading2"/>
        <w:keepNext w:val="0"/>
        <w:keepLines w:val="0"/>
        <w:rPr>
          <w:rFonts w:eastAsiaTheme="minorHAnsi"/>
          <w:color w:val="000000" w:themeColor="text1"/>
          <w:sz w:val="22"/>
          <w:szCs w:val="22"/>
        </w:rPr>
      </w:pPr>
      <w:r w:rsidRPr="00E73A37">
        <w:rPr>
          <w:rFonts w:eastAsiaTheme="minorHAnsi"/>
          <w:color w:val="000000" w:themeColor="text1"/>
          <w:sz w:val="22"/>
          <w:szCs w:val="22"/>
        </w:rPr>
        <w:t xml:space="preserve">An authorised officer may also consider the re-allocation of a disclosure to another agency after making an original decision allocating the disclosure. </w:t>
      </w:r>
    </w:p>
    <w:p w14:paraId="1D60A365" w14:textId="77777777" w:rsidR="00FD3C20" w:rsidRPr="00BB5A02" w:rsidRDefault="00FD3C20" w:rsidP="008559F4">
      <w:pPr>
        <w:pStyle w:val="Heading2"/>
        <w:keepNext w:val="0"/>
        <w:keepLines w:val="0"/>
        <w:spacing w:before="240"/>
        <w:rPr>
          <w:b/>
          <w:iCs/>
          <w:color w:val="48515C"/>
          <w:sz w:val="26"/>
          <w:szCs w:val="22"/>
        </w:rPr>
      </w:pPr>
      <w:r w:rsidRPr="00BB5A02">
        <w:rPr>
          <w:b/>
          <w:iCs/>
          <w:color w:val="48515C"/>
          <w:sz w:val="26"/>
          <w:szCs w:val="22"/>
        </w:rPr>
        <w:t>If the authorised officer decides to allocate a disclosure</w:t>
      </w:r>
    </w:p>
    <w:p w14:paraId="1F691663" w14:textId="77777777" w:rsidR="002F7325" w:rsidRPr="002F7325" w:rsidRDefault="002F7325" w:rsidP="002F7325">
      <w:pPr>
        <w:pStyle w:val="Heading2"/>
        <w:keepNext w:val="0"/>
        <w:keepLines w:val="0"/>
        <w:rPr>
          <w:rFonts w:eastAsiaTheme="minorHAnsi"/>
          <w:color w:val="000000" w:themeColor="text1"/>
          <w:sz w:val="22"/>
          <w:szCs w:val="22"/>
        </w:rPr>
      </w:pPr>
      <w:r w:rsidRPr="002F7325">
        <w:rPr>
          <w:rFonts w:eastAsiaTheme="minorHAnsi"/>
          <w:color w:val="000000" w:themeColor="text1"/>
          <w:sz w:val="22"/>
          <w:szCs w:val="22"/>
        </w:rPr>
        <w:t>The authorised officer will allocate the disclosure to one or more agencies for handling and investigation in accordance with the process outlined at Step 2.</w:t>
      </w:r>
    </w:p>
    <w:p w14:paraId="1D8C8C63" w14:textId="77777777" w:rsidR="002F7325" w:rsidRPr="002F7325" w:rsidRDefault="002F7325" w:rsidP="008559F4">
      <w:pPr>
        <w:pStyle w:val="Heading2"/>
        <w:keepNext w:val="0"/>
        <w:keepLines w:val="0"/>
        <w:spacing w:before="240"/>
        <w:rPr>
          <w:b/>
          <w:iCs/>
          <w:color w:val="48515C"/>
          <w:sz w:val="26"/>
          <w:szCs w:val="22"/>
        </w:rPr>
      </w:pPr>
      <w:r w:rsidRPr="002F7325">
        <w:rPr>
          <w:b/>
          <w:iCs/>
          <w:color w:val="48515C"/>
          <w:sz w:val="26"/>
          <w:szCs w:val="22"/>
        </w:rPr>
        <w:t>If the authorised officer decides not to allocate a disclosure</w:t>
      </w:r>
    </w:p>
    <w:p w14:paraId="33F28330" w14:textId="77777777" w:rsidR="00BB5A02" w:rsidRDefault="00BB5A02" w:rsidP="00BB5A02">
      <w:pPr>
        <w:pStyle w:val="Bullet1Ashurst"/>
        <w:numPr>
          <w:ilvl w:val="0"/>
          <w:numId w:val="0"/>
        </w:numPr>
        <w:rPr>
          <w:rFonts w:asciiTheme="majorHAnsi" w:eastAsiaTheme="minorHAnsi" w:hAnsiTheme="majorHAnsi" w:cstheme="majorBidi"/>
          <w:color w:val="000000" w:themeColor="text1"/>
          <w:sz w:val="22"/>
          <w:szCs w:val="22"/>
          <w:lang w:eastAsia="en-US"/>
        </w:rPr>
      </w:pPr>
      <w:r w:rsidRPr="00BB5A02">
        <w:rPr>
          <w:rFonts w:asciiTheme="majorHAnsi" w:eastAsiaTheme="minorHAnsi" w:hAnsiTheme="majorHAnsi" w:cstheme="majorBidi"/>
          <w:color w:val="000000" w:themeColor="text1"/>
          <w:sz w:val="22"/>
          <w:szCs w:val="22"/>
          <w:lang w:eastAsia="en-US"/>
        </w:rPr>
        <w:t>The disclosure will not be allocated and the authorised officer must:</w:t>
      </w:r>
    </w:p>
    <w:p w14:paraId="799F9E61" w14:textId="77777777" w:rsidR="00BB5A02" w:rsidRPr="00BB5A02" w:rsidRDefault="00BB5A02" w:rsidP="00BB5A02">
      <w:pPr>
        <w:pStyle w:val="Bullet1"/>
      </w:pPr>
      <w:r w:rsidRPr="00BB5A02">
        <w:t xml:space="preserve">if reasonably practicable, give written notice to </w:t>
      </w:r>
      <w:r w:rsidR="002F7325">
        <w:rPr>
          <w:lang w:val="en-US"/>
        </w:rPr>
        <w:t xml:space="preserve">the </w:t>
      </w:r>
      <w:r w:rsidRPr="00BB5A02">
        <w:t>discloser of:</w:t>
      </w:r>
    </w:p>
    <w:p w14:paraId="7B8BD630" w14:textId="77777777" w:rsidR="00BB5A02" w:rsidRPr="00BB5A02" w:rsidRDefault="00BB5A02" w:rsidP="00BB5A02">
      <w:pPr>
        <w:pStyle w:val="Bullet2"/>
        <w:numPr>
          <w:ilvl w:val="1"/>
          <w:numId w:val="2"/>
        </w:numPr>
      </w:pPr>
      <w:r w:rsidRPr="00BB5A02">
        <w:t>the decision not to allocate the disclosure and the reasons for the decision</w:t>
      </w:r>
    </w:p>
    <w:p w14:paraId="3EA4DF75" w14:textId="77777777" w:rsidR="00BB5A02" w:rsidRPr="00BB5A02" w:rsidRDefault="00BB5A02" w:rsidP="00BB5A02">
      <w:pPr>
        <w:pStyle w:val="Bullet2"/>
        <w:numPr>
          <w:ilvl w:val="1"/>
          <w:numId w:val="2"/>
        </w:numPr>
      </w:pPr>
      <w:r w:rsidRPr="00BB5A02">
        <w:t>if the authorised officer is satisfied on reasonable grounds that the conduct disclosed would be more appropriately investigated under another law or power, the details of:</w:t>
      </w:r>
    </w:p>
    <w:p w14:paraId="561D5442" w14:textId="77777777" w:rsidR="00BB5A02" w:rsidRPr="00BB5A02" w:rsidRDefault="00BB5A02" w:rsidP="00BB5A02">
      <w:pPr>
        <w:pStyle w:val="Bullet3"/>
      </w:pPr>
      <w:r w:rsidRPr="00BB5A02">
        <w:t>the other law or power</w:t>
      </w:r>
    </w:p>
    <w:p w14:paraId="3E365021" w14:textId="77777777" w:rsidR="00BB5A02" w:rsidRPr="00BB5A02" w:rsidRDefault="00BB5A02" w:rsidP="00BB5A02">
      <w:pPr>
        <w:pStyle w:val="Bullet3"/>
      </w:pPr>
      <w:r w:rsidRPr="00024E28">
        <w:rPr>
          <w:szCs w:val="18"/>
        </w:rPr>
        <w:t>the agency or other person or body to which the conduct has been, or is to be</w:t>
      </w:r>
      <w:r>
        <w:rPr>
          <w:szCs w:val="18"/>
        </w:rPr>
        <w:t>,</w:t>
      </w:r>
      <w:r w:rsidRPr="00024E28">
        <w:rPr>
          <w:szCs w:val="18"/>
        </w:rPr>
        <w:t xml:space="preserve"> referred</w:t>
      </w:r>
    </w:p>
    <w:p w14:paraId="44ACC7E5" w14:textId="77777777" w:rsidR="00BB5A02" w:rsidRPr="00BB5A02" w:rsidRDefault="00BB5A02" w:rsidP="00BB5A02">
      <w:pPr>
        <w:pStyle w:val="Bullet3"/>
      </w:pPr>
      <w:r w:rsidRPr="00024E28">
        <w:rPr>
          <w:szCs w:val="18"/>
        </w:rPr>
        <w:t>the steps taken or proposed to be taken to refer the conduct disclosed, or to facilitate its referral, for investigation</w:t>
      </w:r>
      <w:r>
        <w:rPr>
          <w:szCs w:val="18"/>
          <w:lang w:val="en-US"/>
        </w:rPr>
        <w:t>,</w:t>
      </w:r>
      <w:r w:rsidRPr="00024E28">
        <w:rPr>
          <w:szCs w:val="18"/>
        </w:rPr>
        <w:t xml:space="preserve"> and</w:t>
      </w:r>
    </w:p>
    <w:p w14:paraId="337D8817" w14:textId="77777777" w:rsidR="00BB5A02" w:rsidRPr="00BB5A02" w:rsidRDefault="00BB5A02" w:rsidP="00BB5A02">
      <w:pPr>
        <w:pStyle w:val="Bullet3"/>
      </w:pPr>
      <w:r w:rsidRPr="00024E28">
        <w:rPr>
          <w:szCs w:val="18"/>
        </w:rPr>
        <w:t>otherwise, any other course of action that might be available to the discloser under another law or power</w:t>
      </w:r>
      <w:r>
        <w:rPr>
          <w:szCs w:val="18"/>
          <w:lang w:val="en-US"/>
        </w:rPr>
        <w:t>.</w:t>
      </w:r>
    </w:p>
    <w:p w14:paraId="71DAA368" w14:textId="77777777" w:rsidR="00BB5A02" w:rsidRPr="00BB5A02" w:rsidRDefault="00BB5A02" w:rsidP="00BB5A02">
      <w:pPr>
        <w:pStyle w:val="Bullet1"/>
      </w:pPr>
      <w:r w:rsidRPr="00024E28">
        <w:rPr>
          <w:szCs w:val="18"/>
        </w:rPr>
        <w:t>give written notice to the Ombudsman (or the Inspector-General of Intelligence and Security (</w:t>
      </w:r>
      <w:r w:rsidRPr="00F31E06">
        <w:rPr>
          <w:b/>
          <w:szCs w:val="18"/>
        </w:rPr>
        <w:t>IGIS</w:t>
      </w:r>
      <w:r w:rsidRPr="00024E28">
        <w:rPr>
          <w:szCs w:val="18"/>
        </w:rPr>
        <w:t>)</w:t>
      </w:r>
      <w:r>
        <w:rPr>
          <w:szCs w:val="18"/>
        </w:rPr>
        <w:t xml:space="preserve"> if the conduct disclosed relates to an intelligence agency or ACIC or the AFP in relation to their intelligence functions)</w:t>
      </w:r>
      <w:r w:rsidRPr="00024E28">
        <w:rPr>
          <w:szCs w:val="18"/>
        </w:rPr>
        <w:t xml:space="preserve"> of: </w:t>
      </w:r>
    </w:p>
    <w:p w14:paraId="6BBBD0CD" w14:textId="77777777" w:rsidR="00BB5A02" w:rsidRPr="00BB5A02" w:rsidRDefault="00BB5A02" w:rsidP="00BB5A02">
      <w:pPr>
        <w:pStyle w:val="Bullet2"/>
        <w:numPr>
          <w:ilvl w:val="1"/>
          <w:numId w:val="2"/>
        </w:numPr>
      </w:pPr>
      <w:r w:rsidRPr="00024E28">
        <w:rPr>
          <w:szCs w:val="18"/>
        </w:rPr>
        <w:t>the decision not to allocate the disclosure and the reasons the decision</w:t>
      </w:r>
    </w:p>
    <w:p w14:paraId="1F464AC6" w14:textId="77777777" w:rsidR="00BB5A02" w:rsidRPr="00BB5A02" w:rsidRDefault="00BB5A02" w:rsidP="00BB5A02">
      <w:pPr>
        <w:pStyle w:val="Bullet2"/>
        <w:numPr>
          <w:ilvl w:val="1"/>
          <w:numId w:val="2"/>
        </w:numPr>
      </w:pPr>
      <w:r w:rsidRPr="00024E28">
        <w:rPr>
          <w:szCs w:val="18"/>
        </w:rPr>
        <w:t xml:space="preserve">whether the authorised officer has taken, or proposes to take, action to refer the conduct disclosed, or to facilitate its referral, for investigation under another law or power, and if so, details of: </w:t>
      </w:r>
    </w:p>
    <w:p w14:paraId="66AF62F9" w14:textId="77777777" w:rsidR="00BB5A02" w:rsidRPr="00BB5A02" w:rsidRDefault="00BB5A02" w:rsidP="00BB5A02">
      <w:pPr>
        <w:pStyle w:val="Bullet3"/>
      </w:pPr>
      <w:r w:rsidRPr="00024E28">
        <w:rPr>
          <w:szCs w:val="18"/>
        </w:rPr>
        <w:t>the other law or power</w:t>
      </w:r>
    </w:p>
    <w:p w14:paraId="7174CA83" w14:textId="77777777" w:rsidR="00BB5A02" w:rsidRPr="00BB5A02" w:rsidRDefault="00BB5A02" w:rsidP="00BB5A02">
      <w:pPr>
        <w:pStyle w:val="Bullet3"/>
      </w:pPr>
      <w:r w:rsidRPr="00024E28">
        <w:rPr>
          <w:szCs w:val="18"/>
        </w:rPr>
        <w:t>the agency or other person or body to which the conduct has been, or is to be referred</w:t>
      </w:r>
      <w:r w:rsidR="002F7325">
        <w:rPr>
          <w:szCs w:val="18"/>
          <w:lang w:val="en-US"/>
        </w:rPr>
        <w:t>, and</w:t>
      </w:r>
      <w:r w:rsidRPr="00024E28">
        <w:rPr>
          <w:szCs w:val="18"/>
        </w:rPr>
        <w:t xml:space="preserve">  </w:t>
      </w:r>
    </w:p>
    <w:p w14:paraId="2889FE8D" w14:textId="77777777" w:rsidR="00BB5A02" w:rsidRPr="00BB5A02" w:rsidRDefault="00BB5A02" w:rsidP="00BB5A02">
      <w:pPr>
        <w:pStyle w:val="Bullet3"/>
      </w:pPr>
      <w:r w:rsidRPr="00024E28">
        <w:rPr>
          <w:szCs w:val="18"/>
        </w:rPr>
        <w:t>the steps taken or proposed to be taken to refer the conduct disclosed, or to facilitate its referral, for investigation.</w:t>
      </w:r>
    </w:p>
    <w:p w14:paraId="50F71D8C" w14:textId="77777777" w:rsidR="00BB5A02" w:rsidRPr="00BB5A02" w:rsidRDefault="00BB5A02" w:rsidP="00BB5A02">
      <w:pPr>
        <w:pStyle w:val="Bullet1"/>
      </w:pPr>
      <w:r w:rsidRPr="00024E28">
        <w:rPr>
          <w:szCs w:val="18"/>
        </w:rPr>
        <w:t xml:space="preserve">if the authorised officer is satisfied on reasonable grounds that the conduct disclosed would be more appropriately investigated under another law or power, </w:t>
      </w:r>
      <w:r>
        <w:rPr>
          <w:szCs w:val="18"/>
        </w:rPr>
        <w:t xml:space="preserve">they will </w:t>
      </w:r>
      <w:r w:rsidRPr="00024E28">
        <w:rPr>
          <w:szCs w:val="18"/>
        </w:rPr>
        <w:t>take reasonable steps as soon as reasonably practicable to refer the conduct disclosed, or facilitate its referral, for investigation under the other law or power.</w:t>
      </w:r>
    </w:p>
    <w:p w14:paraId="333551C9" w14:textId="77777777" w:rsidR="00105749" w:rsidRPr="00105749" w:rsidRDefault="00105749" w:rsidP="00695A33">
      <w:pPr>
        <w:pStyle w:val="Heading2"/>
        <w:rPr>
          <w:b/>
          <w:iCs/>
          <w:color w:val="48515C"/>
          <w:sz w:val="26"/>
          <w:szCs w:val="22"/>
        </w:rPr>
      </w:pPr>
      <w:r w:rsidRPr="00105749">
        <w:rPr>
          <w:b/>
          <w:iCs/>
          <w:color w:val="48515C"/>
          <w:sz w:val="26"/>
          <w:szCs w:val="22"/>
        </w:rPr>
        <w:t xml:space="preserve">If a stop action direction prevents the allocation of the disclosure: </w:t>
      </w:r>
    </w:p>
    <w:p w14:paraId="1F8F6244" w14:textId="77777777" w:rsidR="00105749" w:rsidRPr="00105749" w:rsidRDefault="00105749" w:rsidP="00695A33">
      <w:pPr>
        <w:pStyle w:val="Bullet1Ashurst"/>
        <w:keepNext/>
        <w:keepLines/>
        <w:numPr>
          <w:ilvl w:val="0"/>
          <w:numId w:val="0"/>
        </w:numPr>
        <w:rPr>
          <w:rFonts w:eastAsiaTheme="minorHAnsi"/>
          <w:color w:val="000000" w:themeColor="text1"/>
          <w:sz w:val="22"/>
          <w:szCs w:val="18"/>
          <w:lang w:val="x-none" w:eastAsia="en-US"/>
        </w:rPr>
      </w:pPr>
      <w:r w:rsidRPr="00105749">
        <w:rPr>
          <w:rFonts w:eastAsiaTheme="minorHAnsi"/>
          <w:color w:val="000000" w:themeColor="text1"/>
          <w:sz w:val="22"/>
          <w:szCs w:val="18"/>
          <w:lang w:val="x-none" w:eastAsia="en-US"/>
        </w:rPr>
        <w:t>If a stop action direction under the NACC Act prevents the authorised officer from allocating a disclosure, the authorised officer must give written notice to the Ombudsman or IGIS (if the disclosure concerns conduct relating to an intelligence agency, or the IGIS, or ACIC or AFP in relation to their intelligence functions), of:</w:t>
      </w:r>
    </w:p>
    <w:p w14:paraId="5AB980CD" w14:textId="77777777" w:rsidR="00105749" w:rsidRPr="00105749" w:rsidRDefault="00105749" w:rsidP="00105749">
      <w:pPr>
        <w:pStyle w:val="Bullet1"/>
      </w:pPr>
      <w:r w:rsidRPr="00A1377B">
        <w:rPr>
          <w:szCs w:val="18"/>
        </w:rPr>
        <w:t>the information that was disclosed to the authorised officer</w:t>
      </w:r>
    </w:p>
    <w:p w14:paraId="198F17DC" w14:textId="77777777" w:rsidR="00CA5666" w:rsidRPr="00A1377B" w:rsidRDefault="00CA5666" w:rsidP="00CA5666">
      <w:pPr>
        <w:pStyle w:val="Bullet1"/>
      </w:pPr>
      <w:r w:rsidRPr="00A1377B">
        <w:t>the conduct disclosed</w:t>
      </w:r>
      <w:r w:rsidR="002F30B6">
        <w:rPr>
          <w:lang w:val="en-US"/>
        </w:rPr>
        <w:t>,</w:t>
      </w:r>
      <w:r w:rsidRPr="00A1377B">
        <w:t xml:space="preserve"> and</w:t>
      </w:r>
    </w:p>
    <w:p w14:paraId="21930F2B" w14:textId="77777777" w:rsidR="00CA5666" w:rsidRPr="00A1377B" w:rsidRDefault="00CA5666" w:rsidP="00CA5666">
      <w:pPr>
        <w:pStyle w:val="Bullet2"/>
      </w:pPr>
      <w:r w:rsidRPr="00A1377B">
        <w:t>if the discloser's name and contact details are known to the authorised officer, and the discloser consents to the principal officer and the Ombudsman/IGIS being informed – the discloser's name and contact details</w:t>
      </w:r>
      <w:r w:rsidR="002F30B6">
        <w:rPr>
          <w:lang w:val="en-US"/>
        </w:rPr>
        <w:t>, and</w:t>
      </w:r>
    </w:p>
    <w:p w14:paraId="21B99999" w14:textId="77777777" w:rsidR="00CA5666" w:rsidRPr="00A1377B" w:rsidRDefault="00CA5666" w:rsidP="00CA5666">
      <w:pPr>
        <w:pStyle w:val="Bullet2"/>
      </w:pPr>
      <w:r w:rsidRPr="00A1377B">
        <w:t xml:space="preserve">the stop action direction under the NACC Act that prevents allocation of some or all of the disclosure. </w:t>
      </w:r>
    </w:p>
    <w:p w14:paraId="6846462A" w14:textId="77777777" w:rsidR="00CA5666" w:rsidRPr="00052D50" w:rsidRDefault="00CA5666" w:rsidP="00052D50">
      <w:pPr>
        <w:pStyle w:val="Bullet1Ashurst"/>
        <w:numPr>
          <w:ilvl w:val="0"/>
          <w:numId w:val="0"/>
        </w:numPr>
        <w:rPr>
          <w:rFonts w:eastAsiaTheme="minorHAnsi"/>
          <w:color w:val="000000" w:themeColor="text1"/>
          <w:sz w:val="22"/>
          <w:szCs w:val="18"/>
          <w:lang w:val="x-none" w:eastAsia="en-US"/>
        </w:rPr>
      </w:pPr>
      <w:r w:rsidRPr="00052D50">
        <w:rPr>
          <w:rFonts w:eastAsiaTheme="minorHAnsi"/>
          <w:color w:val="000000" w:themeColor="text1"/>
          <w:sz w:val="22"/>
          <w:szCs w:val="18"/>
          <w:lang w:val="x-none" w:eastAsia="en-US"/>
        </w:rPr>
        <w:t xml:space="preserve">The authorised officer must also notify the discloser of the referral to the NACC as soon as reasonably practicable. </w:t>
      </w:r>
    </w:p>
    <w:p w14:paraId="6AFEB350" w14:textId="77777777" w:rsidR="00CA5666" w:rsidRPr="00052D50" w:rsidRDefault="00CA5666" w:rsidP="00052D50">
      <w:pPr>
        <w:pStyle w:val="Bullet1Ashurst"/>
        <w:numPr>
          <w:ilvl w:val="0"/>
          <w:numId w:val="0"/>
        </w:numPr>
        <w:rPr>
          <w:rFonts w:eastAsiaTheme="minorHAnsi"/>
          <w:color w:val="000000" w:themeColor="text1"/>
          <w:sz w:val="22"/>
          <w:szCs w:val="18"/>
          <w:lang w:val="x-none" w:eastAsia="en-US"/>
        </w:rPr>
      </w:pPr>
      <w:r w:rsidRPr="00052D50">
        <w:rPr>
          <w:rFonts w:eastAsiaTheme="minorHAnsi"/>
          <w:color w:val="000000" w:themeColor="text1"/>
          <w:sz w:val="22"/>
          <w:szCs w:val="18"/>
          <w:lang w:val="x-none" w:eastAsia="en-US"/>
        </w:rPr>
        <w:t xml:space="preserve">The authorised officer should also consider whether it is appropriate to notify a discloser that a stop action direction has prevented the allocation of the disclosure.  </w:t>
      </w:r>
    </w:p>
    <w:p w14:paraId="48320025" w14:textId="77777777" w:rsidR="00CA5666" w:rsidRPr="00052D50" w:rsidRDefault="00CA5666" w:rsidP="00052D50">
      <w:pPr>
        <w:pStyle w:val="Bullet1Ashurst"/>
        <w:numPr>
          <w:ilvl w:val="0"/>
          <w:numId w:val="0"/>
        </w:numPr>
        <w:rPr>
          <w:rFonts w:eastAsiaTheme="minorHAnsi"/>
          <w:color w:val="000000" w:themeColor="text1"/>
          <w:sz w:val="22"/>
          <w:szCs w:val="18"/>
          <w:lang w:val="x-none" w:eastAsia="en-US"/>
        </w:rPr>
      </w:pPr>
      <w:r w:rsidRPr="00052D50">
        <w:rPr>
          <w:rFonts w:eastAsiaTheme="minorHAnsi"/>
          <w:color w:val="000000" w:themeColor="text1"/>
          <w:sz w:val="22"/>
          <w:szCs w:val="18"/>
          <w:lang w:val="x-none" w:eastAsia="en-US"/>
        </w:rPr>
        <w:t xml:space="preserve">The authorised officer must carefully consider the terms of any stop action direction and consult with the principal officer (who may also consult with the NACC) prior to notifying a discloser. </w:t>
      </w:r>
    </w:p>
    <w:p w14:paraId="413C5D7D" w14:textId="77777777" w:rsidR="002F30B6" w:rsidRPr="00D5465A" w:rsidRDefault="002F30B6" w:rsidP="002F30B6">
      <w:pPr>
        <w:pStyle w:val="Heading3"/>
      </w:pPr>
      <w:r w:rsidRPr="00D5465A">
        <w:t xml:space="preserve">Step 2: </w:t>
      </w:r>
      <w:r>
        <w:t>Decide which agency the disclosure will be allocated to</w:t>
      </w:r>
    </w:p>
    <w:p w14:paraId="43DB5A47" w14:textId="77777777" w:rsidR="002F30B6" w:rsidRPr="002F30B6" w:rsidRDefault="002F30B6" w:rsidP="002F30B6">
      <w:pPr>
        <w:pStyle w:val="Bullet1Ashurst"/>
        <w:numPr>
          <w:ilvl w:val="0"/>
          <w:numId w:val="0"/>
        </w:numPr>
        <w:rPr>
          <w:rFonts w:eastAsiaTheme="minorHAnsi"/>
          <w:color w:val="000000" w:themeColor="text1"/>
          <w:sz w:val="22"/>
          <w:szCs w:val="18"/>
          <w:lang w:val="x-none" w:eastAsia="en-US"/>
        </w:rPr>
      </w:pPr>
      <w:r w:rsidRPr="002F30B6">
        <w:rPr>
          <w:rFonts w:eastAsiaTheme="minorHAnsi"/>
          <w:color w:val="000000" w:themeColor="text1"/>
          <w:sz w:val="22"/>
          <w:szCs w:val="18"/>
          <w:lang w:val="x-none" w:eastAsia="en-US"/>
        </w:rPr>
        <w:t>If the authorised officer decides to allocate the disclosure, the authorised officer must allocate the disclosure to one or more agencies. In deciding the agency or agencies to which a disclosure will be allocated, the authorised officer will have regard to:</w:t>
      </w:r>
    </w:p>
    <w:p w14:paraId="512335C6" w14:textId="569B6AD1" w:rsidR="002F30B6" w:rsidRPr="002F30B6" w:rsidRDefault="002F30B6" w:rsidP="002F30B6">
      <w:pPr>
        <w:pStyle w:val="Bullet1"/>
      </w:pPr>
      <w:r w:rsidRPr="00D5465A">
        <w:rPr>
          <w:szCs w:val="18"/>
        </w:rPr>
        <w:t xml:space="preserve">the principle that an agency – other than the Ombudsman, the </w:t>
      </w:r>
      <w:r>
        <w:rPr>
          <w:szCs w:val="18"/>
        </w:rPr>
        <w:t xml:space="preserve">IGIS </w:t>
      </w:r>
      <w:r w:rsidRPr="00D5465A">
        <w:rPr>
          <w:szCs w:val="18"/>
        </w:rPr>
        <w:t>or an investigative agency prescribed by the Public Interest Disclosure Rules</w:t>
      </w:r>
      <w:r w:rsidRPr="002B6571">
        <w:rPr>
          <w:rStyle w:val="FootnoteReference"/>
        </w:rPr>
        <w:footnoteReference w:id="5"/>
      </w:r>
      <w:r w:rsidRPr="002B6571">
        <w:t xml:space="preserve"> </w:t>
      </w:r>
      <w:r w:rsidRPr="00D5465A">
        <w:rPr>
          <w:szCs w:val="18"/>
        </w:rPr>
        <w:t xml:space="preserve"> – should </w:t>
      </w:r>
      <w:r>
        <w:rPr>
          <w:szCs w:val="18"/>
        </w:rPr>
        <w:t xml:space="preserve">not handle a disclosure unless some or all of the conduct disclosed </w:t>
      </w:r>
      <w:r w:rsidRPr="00D5465A">
        <w:rPr>
          <w:szCs w:val="18"/>
        </w:rPr>
        <w:t>relate</w:t>
      </w:r>
      <w:r>
        <w:rPr>
          <w:szCs w:val="18"/>
        </w:rPr>
        <w:t>s</w:t>
      </w:r>
      <w:r w:rsidRPr="00D5465A">
        <w:rPr>
          <w:szCs w:val="18"/>
        </w:rPr>
        <w:t xml:space="preserve"> to that agency</w:t>
      </w:r>
      <w:r w:rsidR="00607826">
        <w:rPr>
          <w:szCs w:val="18"/>
          <w:lang w:val="en-US"/>
        </w:rPr>
        <w:t>,</w:t>
      </w:r>
      <w:r w:rsidRPr="00D5465A">
        <w:rPr>
          <w:szCs w:val="18"/>
        </w:rPr>
        <w:t xml:space="preserve"> and</w:t>
      </w:r>
    </w:p>
    <w:p w14:paraId="4ED2E0EB" w14:textId="77777777" w:rsidR="002F30B6" w:rsidRPr="002F30B6" w:rsidRDefault="002F30B6" w:rsidP="002F30B6">
      <w:pPr>
        <w:pStyle w:val="Bullet1"/>
      </w:pPr>
      <w:r w:rsidRPr="002F30B6">
        <w:rPr>
          <w:szCs w:val="18"/>
        </w:rPr>
        <w:t>any other matters as the authorised officer considers relevant, including</w:t>
      </w:r>
      <w:r>
        <w:rPr>
          <w:szCs w:val="18"/>
          <w:lang w:val="en-US"/>
        </w:rPr>
        <w:t>:</w:t>
      </w:r>
    </w:p>
    <w:p w14:paraId="0B0B781B" w14:textId="77777777" w:rsidR="002F30B6" w:rsidRPr="002F30B6" w:rsidRDefault="002F30B6" w:rsidP="002F30B6">
      <w:pPr>
        <w:pStyle w:val="Bullet2"/>
      </w:pPr>
      <w:r w:rsidRPr="002F30B6">
        <w:t>whether another agency in the same portfolio as the recipient agency would be better placed to handle the disclosure</w:t>
      </w:r>
      <w:r>
        <w:rPr>
          <w:lang w:val="en-US"/>
        </w:rPr>
        <w:t>,</w:t>
      </w:r>
      <w:r w:rsidRPr="002F30B6">
        <w:t xml:space="preserve"> and</w:t>
      </w:r>
    </w:p>
    <w:p w14:paraId="520B6A64" w14:textId="77777777" w:rsidR="002F30B6" w:rsidRPr="002F30B6" w:rsidRDefault="002F30B6" w:rsidP="002F30B6">
      <w:pPr>
        <w:pStyle w:val="Bullet2"/>
      </w:pPr>
      <w:r w:rsidRPr="002F30B6">
        <w:t>any recommendation from the Ombudsman or IGIS about the allocation of the disclosure following a review under section 55 of the PID Act.</w:t>
      </w:r>
    </w:p>
    <w:p w14:paraId="1AFD5C37" w14:textId="77777777" w:rsidR="002F30B6" w:rsidRPr="002F30B6" w:rsidRDefault="002F30B6" w:rsidP="002F30B6">
      <w:pPr>
        <w:pStyle w:val="Bullet1Ashurst"/>
        <w:numPr>
          <w:ilvl w:val="0"/>
          <w:numId w:val="0"/>
        </w:numPr>
        <w:rPr>
          <w:rFonts w:eastAsiaTheme="minorHAnsi"/>
          <w:color w:val="000000" w:themeColor="text1"/>
          <w:sz w:val="22"/>
          <w:szCs w:val="18"/>
          <w:lang w:val="x-none" w:eastAsia="en-US"/>
        </w:rPr>
      </w:pPr>
      <w:r w:rsidRPr="002F30B6">
        <w:rPr>
          <w:rFonts w:eastAsiaTheme="minorHAnsi"/>
          <w:color w:val="000000" w:themeColor="text1"/>
          <w:sz w:val="22"/>
          <w:szCs w:val="18"/>
          <w:lang w:val="x-none" w:eastAsia="en-US"/>
        </w:rPr>
        <w:t xml:space="preserve">This means that, generally, a disclosure relating to the Department should be allocated to the principal officer of the Department. </w:t>
      </w:r>
    </w:p>
    <w:p w14:paraId="04C77450" w14:textId="77777777" w:rsidR="002F30B6" w:rsidRPr="002F30B6" w:rsidRDefault="002F30B6" w:rsidP="002F30B6">
      <w:pPr>
        <w:pStyle w:val="Bullet1Ashurst"/>
        <w:numPr>
          <w:ilvl w:val="0"/>
          <w:numId w:val="0"/>
        </w:numPr>
        <w:rPr>
          <w:rFonts w:eastAsiaTheme="minorHAnsi"/>
          <w:color w:val="000000" w:themeColor="text1"/>
          <w:sz w:val="22"/>
          <w:szCs w:val="18"/>
          <w:lang w:val="x-none" w:eastAsia="en-US"/>
        </w:rPr>
      </w:pPr>
      <w:r w:rsidRPr="002F30B6">
        <w:rPr>
          <w:rFonts w:eastAsiaTheme="minorHAnsi"/>
          <w:color w:val="000000" w:themeColor="text1"/>
          <w:sz w:val="22"/>
          <w:szCs w:val="18"/>
          <w:lang w:val="x-none" w:eastAsia="en-US"/>
        </w:rPr>
        <w:t>The authorised officer must not allocate a disclosure to another agency unless an authorised officer of that agency has consented to the allocation.</w:t>
      </w:r>
    </w:p>
    <w:p w14:paraId="72C5DBBB" w14:textId="07FBE6C8" w:rsidR="002F30B6" w:rsidRPr="002F30B6" w:rsidRDefault="002F30B6" w:rsidP="002F30B6">
      <w:pPr>
        <w:pStyle w:val="Bullet1Ashurst"/>
        <w:numPr>
          <w:ilvl w:val="0"/>
          <w:numId w:val="0"/>
        </w:numPr>
        <w:rPr>
          <w:rFonts w:eastAsiaTheme="minorHAnsi"/>
          <w:color w:val="000000" w:themeColor="text1"/>
          <w:sz w:val="22"/>
          <w:szCs w:val="18"/>
          <w:lang w:val="x-none" w:eastAsia="en-US"/>
        </w:rPr>
      </w:pPr>
      <w:r w:rsidRPr="002F30B6">
        <w:rPr>
          <w:rFonts w:eastAsiaTheme="minorHAnsi"/>
          <w:color w:val="000000" w:themeColor="text1"/>
          <w:sz w:val="22"/>
          <w:szCs w:val="18"/>
          <w:lang w:val="x-none" w:eastAsia="en-US"/>
        </w:rPr>
        <w:t>If the authorised officer is contemplating allocating the disclosure to the Ombudsman, the IGIS or an investigative agency that has been prescribed by the Public Interest Disclosure Rules, the authorised officer must have regard to additional matters set out in the PID Act.</w:t>
      </w:r>
      <w:r w:rsidRPr="0008610B">
        <w:rPr>
          <w:rStyle w:val="FootnoteReference"/>
          <w:sz w:val="22"/>
          <w:szCs w:val="22"/>
        </w:rPr>
        <w:footnoteReference w:id="6"/>
      </w:r>
      <w:r w:rsidRPr="002F30B6">
        <w:rPr>
          <w:rFonts w:eastAsiaTheme="minorHAnsi"/>
          <w:color w:val="000000" w:themeColor="text1"/>
          <w:sz w:val="22"/>
          <w:szCs w:val="18"/>
          <w:lang w:val="x-none" w:eastAsia="en-US"/>
        </w:rPr>
        <w:t xml:space="preserve">  </w:t>
      </w:r>
    </w:p>
    <w:p w14:paraId="2B8B7764" w14:textId="77777777" w:rsidR="00EB443C" w:rsidRDefault="00EB443C" w:rsidP="00EB443C">
      <w:pPr>
        <w:pStyle w:val="Heading3"/>
      </w:pPr>
      <w:r w:rsidRPr="00024E28">
        <w:t>Step 3: Confirm whether the disclos</w:t>
      </w:r>
      <w:r>
        <w:t>er</w:t>
      </w:r>
      <w:r w:rsidRPr="00024E28">
        <w:t xml:space="preserve"> consents to being identified</w:t>
      </w:r>
    </w:p>
    <w:p w14:paraId="207004E2" w14:textId="77777777" w:rsidR="0073163D" w:rsidRDefault="00EB443C" w:rsidP="0073163D">
      <w:pPr>
        <w:suppressAutoHyphens w:val="0"/>
      </w:pPr>
      <w:r w:rsidRPr="00024E28">
        <w:t>Before notifying an agency or the Ombudsman/IGIS of the allocation of a disclosure, the authorised officer must ask the discloser (if the discloser's identity is known) whether they</w:t>
      </w:r>
      <w:r w:rsidR="0073163D">
        <w:t xml:space="preserve"> </w:t>
      </w:r>
      <w:r w:rsidR="0073163D" w:rsidRPr="00024E28">
        <w:t>consent to their name and contact details being disclosed to the agency or the Ombudsman/IGIS.</w:t>
      </w:r>
    </w:p>
    <w:p w14:paraId="04780582" w14:textId="77777777" w:rsidR="0073163D" w:rsidRPr="0073163D" w:rsidRDefault="0073163D" w:rsidP="0073163D">
      <w:pPr>
        <w:suppressAutoHyphens w:val="0"/>
      </w:pPr>
      <w:r w:rsidRPr="00AE5E6E">
        <w:rPr>
          <w:szCs w:val="18"/>
        </w:rPr>
        <w:t>Where a disclosure was made initially to a supervisor, consent to disclose the discloser's name and contact details to the principal officer must be sought even where consent was given to the supervisor to whom the disclosure was made.</w:t>
      </w:r>
      <w:r>
        <w:rPr>
          <w:szCs w:val="18"/>
        </w:rPr>
        <w:t xml:space="preserve"> </w:t>
      </w:r>
    </w:p>
    <w:p w14:paraId="0B77F092" w14:textId="77777777" w:rsidR="0073163D" w:rsidRDefault="0073163D" w:rsidP="0073163D">
      <w:pPr>
        <w:suppressAutoHyphens w:val="0"/>
        <w:rPr>
          <w:szCs w:val="18"/>
        </w:rPr>
      </w:pPr>
      <w:r w:rsidRPr="00D5465A">
        <w:rPr>
          <w:szCs w:val="18"/>
        </w:rPr>
        <w:t>The authorised officer must make a written record of the discloser's responses (if any) to this question. Where a discloser does not respond within 7 days to the question listed above</w:t>
      </w:r>
      <w:r>
        <w:rPr>
          <w:szCs w:val="18"/>
        </w:rPr>
        <w:t xml:space="preserve"> </w:t>
      </w:r>
      <w:r w:rsidRPr="00D5465A">
        <w:rPr>
          <w:szCs w:val="18"/>
        </w:rPr>
        <w:t>the discloser is taken not to have consented to the authorised officer giving their name and contact details to the principal officer</w:t>
      </w:r>
      <w:r>
        <w:rPr>
          <w:szCs w:val="18"/>
        </w:rPr>
        <w:t>.</w:t>
      </w:r>
    </w:p>
    <w:p w14:paraId="1354C830" w14:textId="77777777" w:rsidR="0073163D" w:rsidRPr="001D59C0" w:rsidRDefault="0073163D" w:rsidP="001D59C0">
      <w:pPr>
        <w:pStyle w:val="Heading3"/>
      </w:pPr>
      <w:r w:rsidRPr="001D59C0">
        <w:t>Step 4: Inform relevant persons of the allocation</w:t>
      </w:r>
    </w:p>
    <w:p w14:paraId="3690A74A" w14:textId="77777777" w:rsidR="0073163D" w:rsidRPr="001D59C0" w:rsidRDefault="0073163D" w:rsidP="001D59C0">
      <w:pPr>
        <w:pStyle w:val="Heading2"/>
        <w:keepNext w:val="0"/>
        <w:keepLines w:val="0"/>
        <w:rPr>
          <w:b/>
          <w:iCs/>
          <w:color w:val="48515C"/>
          <w:sz w:val="26"/>
          <w:szCs w:val="22"/>
        </w:rPr>
      </w:pPr>
      <w:r w:rsidRPr="001D59C0">
        <w:rPr>
          <w:b/>
          <w:iCs/>
          <w:color w:val="48515C"/>
          <w:sz w:val="26"/>
          <w:szCs w:val="22"/>
        </w:rPr>
        <w:t>Informing the receiving agency</w:t>
      </w:r>
    </w:p>
    <w:p w14:paraId="666E9128" w14:textId="77777777" w:rsidR="0073163D" w:rsidRPr="00607826" w:rsidRDefault="0073163D" w:rsidP="00607826">
      <w:pPr>
        <w:suppressAutoHyphens w:val="0"/>
        <w:rPr>
          <w:szCs w:val="18"/>
        </w:rPr>
      </w:pPr>
      <w:r w:rsidRPr="00607826">
        <w:rPr>
          <w:szCs w:val="18"/>
        </w:rPr>
        <w:t>When the authorised officer allocates the handling of a disclosure to an agency, including the Department itself, the authorised officer must, as soon as reasonably practicable, give written notice to:</w:t>
      </w:r>
    </w:p>
    <w:p w14:paraId="3AC38C1D" w14:textId="77777777" w:rsidR="0073163D" w:rsidRPr="00607826" w:rsidRDefault="0073163D" w:rsidP="00607826">
      <w:pPr>
        <w:pStyle w:val="Bullet1"/>
      </w:pPr>
      <w:r w:rsidRPr="00024E28">
        <w:rPr>
          <w:szCs w:val="18"/>
        </w:rPr>
        <w:t>the principal officer of that agency</w:t>
      </w:r>
    </w:p>
    <w:p w14:paraId="7AE3138A" w14:textId="77777777" w:rsidR="0073163D" w:rsidRPr="00607826" w:rsidRDefault="0073163D" w:rsidP="00607826">
      <w:pPr>
        <w:pStyle w:val="Bullet1"/>
      </w:pPr>
      <w:r w:rsidRPr="00024E28">
        <w:rPr>
          <w:szCs w:val="18"/>
        </w:rPr>
        <w:t>the Ombudsman (unless the authorised officer allocated the disclosure to the Ombudsman, the IGIS, an intelligence agency or the ACIC or AFP in relation to their intelligence functions)</w:t>
      </w:r>
      <w:r w:rsidR="002B6571">
        <w:rPr>
          <w:szCs w:val="18"/>
          <w:lang w:val="en-US"/>
        </w:rPr>
        <w:t>,</w:t>
      </w:r>
      <w:r w:rsidRPr="00024E28">
        <w:rPr>
          <w:szCs w:val="18"/>
        </w:rPr>
        <w:t xml:space="preserve"> and</w:t>
      </w:r>
    </w:p>
    <w:p w14:paraId="7471A19F" w14:textId="77777777" w:rsidR="0073163D" w:rsidRPr="00607826" w:rsidRDefault="0073163D" w:rsidP="00607826">
      <w:pPr>
        <w:pStyle w:val="Bullet1"/>
      </w:pPr>
      <w:r w:rsidRPr="00024E28">
        <w:rPr>
          <w:szCs w:val="18"/>
        </w:rPr>
        <w:t>the IGIS (if the authorised officer allocated the disclosure to the an intelligence agency or the ACIC or AFP in relation to their intelligence functions).</w:t>
      </w:r>
    </w:p>
    <w:p w14:paraId="465240C8" w14:textId="77777777" w:rsidR="0073163D" w:rsidRPr="00607826" w:rsidRDefault="0073163D" w:rsidP="00607826">
      <w:pPr>
        <w:suppressAutoHyphens w:val="0"/>
        <w:rPr>
          <w:szCs w:val="18"/>
        </w:rPr>
      </w:pPr>
      <w:r w:rsidRPr="00607826">
        <w:rPr>
          <w:szCs w:val="18"/>
        </w:rPr>
        <w:t>The written notice must set out the following matters:</w:t>
      </w:r>
    </w:p>
    <w:p w14:paraId="5C8C0169" w14:textId="77777777" w:rsidR="0073163D" w:rsidRPr="00607826" w:rsidRDefault="0073163D" w:rsidP="00607826">
      <w:pPr>
        <w:pStyle w:val="Bullet1"/>
      </w:pPr>
      <w:r w:rsidRPr="00D5465A">
        <w:rPr>
          <w:szCs w:val="18"/>
        </w:rPr>
        <w:t>the allocation to the agency</w:t>
      </w:r>
    </w:p>
    <w:p w14:paraId="021F014D" w14:textId="77777777" w:rsidR="0073163D" w:rsidRPr="00607826" w:rsidRDefault="0073163D" w:rsidP="00607826">
      <w:pPr>
        <w:pStyle w:val="Bullet1"/>
      </w:pPr>
      <w:r w:rsidRPr="00D5465A">
        <w:rPr>
          <w:szCs w:val="18"/>
        </w:rPr>
        <w:t>the information that was disclosed to the authorised officer</w:t>
      </w:r>
    </w:p>
    <w:p w14:paraId="7A818684" w14:textId="77777777" w:rsidR="0073163D" w:rsidRPr="00607826" w:rsidRDefault="0073163D" w:rsidP="00607826">
      <w:pPr>
        <w:pStyle w:val="Bullet1"/>
      </w:pPr>
      <w:r w:rsidRPr="00D5465A">
        <w:rPr>
          <w:szCs w:val="18"/>
        </w:rPr>
        <w:t>the conduct</w:t>
      </w:r>
      <w:r>
        <w:rPr>
          <w:szCs w:val="18"/>
        </w:rPr>
        <w:t xml:space="preserve"> disclosed</w:t>
      </w:r>
      <w:r w:rsidR="002B6571">
        <w:rPr>
          <w:szCs w:val="18"/>
          <w:lang w:val="en-US"/>
        </w:rPr>
        <w:t>,</w:t>
      </w:r>
      <w:r w:rsidRPr="00D5465A">
        <w:rPr>
          <w:szCs w:val="18"/>
        </w:rPr>
        <w:t xml:space="preserve"> and</w:t>
      </w:r>
    </w:p>
    <w:p w14:paraId="561261DA" w14:textId="77777777" w:rsidR="0073163D" w:rsidRPr="00607826" w:rsidRDefault="0073163D" w:rsidP="00607826">
      <w:pPr>
        <w:pStyle w:val="Bullet1"/>
      </w:pPr>
      <w:r w:rsidRPr="00D5465A">
        <w:rPr>
          <w:szCs w:val="18"/>
        </w:rPr>
        <w:t>if the discloser's name and contact details are known to the authorised officer, and the discloser consents to the principal officer</w:t>
      </w:r>
      <w:r>
        <w:rPr>
          <w:szCs w:val="18"/>
        </w:rPr>
        <w:t xml:space="preserve"> and the Ombudsman/IGIS</w:t>
      </w:r>
      <w:r w:rsidRPr="00D5465A">
        <w:rPr>
          <w:szCs w:val="18"/>
        </w:rPr>
        <w:t xml:space="preserve"> being informed – the discloser's name and contact details.</w:t>
      </w:r>
    </w:p>
    <w:p w14:paraId="1A40C855" w14:textId="77777777" w:rsidR="0073163D" w:rsidRPr="001D59C0" w:rsidRDefault="0073163D" w:rsidP="001D59C0">
      <w:pPr>
        <w:pStyle w:val="Heading2"/>
        <w:keepNext w:val="0"/>
        <w:keepLines w:val="0"/>
        <w:rPr>
          <w:b/>
          <w:iCs/>
          <w:color w:val="48515C"/>
          <w:sz w:val="26"/>
          <w:szCs w:val="22"/>
        </w:rPr>
      </w:pPr>
      <w:r w:rsidRPr="001D59C0">
        <w:rPr>
          <w:b/>
          <w:iCs/>
          <w:color w:val="48515C"/>
          <w:sz w:val="26"/>
          <w:szCs w:val="22"/>
        </w:rPr>
        <w:t>Informing the discloser</w:t>
      </w:r>
    </w:p>
    <w:p w14:paraId="42521A14" w14:textId="77777777" w:rsidR="0073163D" w:rsidRPr="00607826" w:rsidRDefault="0073163D" w:rsidP="00607826">
      <w:pPr>
        <w:suppressAutoHyphens w:val="0"/>
        <w:rPr>
          <w:szCs w:val="18"/>
        </w:rPr>
      </w:pPr>
      <w:r w:rsidRPr="00607826">
        <w:rPr>
          <w:szCs w:val="18"/>
        </w:rPr>
        <w:t>If it is reasonably practicable to do so, as soon as reasonably practicable after the disclosure has been allocated, the authorised officer must give a copy of the notice to the discloser.</w:t>
      </w:r>
    </w:p>
    <w:p w14:paraId="62BF49C1" w14:textId="77777777" w:rsidR="0073163D" w:rsidRPr="00D5465A" w:rsidRDefault="0073163D" w:rsidP="00607826">
      <w:pPr>
        <w:pStyle w:val="Heading3"/>
      </w:pPr>
      <w:r w:rsidRPr="00D5465A">
        <w:t xml:space="preserve">Step </w:t>
      </w:r>
      <w:r>
        <w:t>5</w:t>
      </w:r>
      <w:r w:rsidRPr="00D5465A">
        <w:t>: Make a record of the allocation decision</w:t>
      </w:r>
    </w:p>
    <w:p w14:paraId="5F7D5ECF" w14:textId="77777777" w:rsidR="0073163D" w:rsidRPr="00607826" w:rsidRDefault="0073163D" w:rsidP="00607826">
      <w:pPr>
        <w:pStyle w:val="Heading2"/>
        <w:keepNext w:val="0"/>
        <w:keepLines w:val="0"/>
        <w:rPr>
          <w:b/>
          <w:iCs/>
          <w:color w:val="48515C"/>
          <w:sz w:val="26"/>
          <w:szCs w:val="22"/>
        </w:rPr>
      </w:pPr>
      <w:r w:rsidRPr="00607826">
        <w:rPr>
          <w:b/>
          <w:iCs/>
          <w:color w:val="48515C"/>
          <w:sz w:val="26"/>
          <w:szCs w:val="22"/>
        </w:rPr>
        <w:t>Record of decision</w:t>
      </w:r>
    </w:p>
    <w:p w14:paraId="67AB020A" w14:textId="77777777" w:rsidR="0073163D" w:rsidRPr="00607826" w:rsidRDefault="0073163D" w:rsidP="00607826">
      <w:pPr>
        <w:suppressAutoHyphens w:val="0"/>
        <w:rPr>
          <w:szCs w:val="18"/>
        </w:rPr>
      </w:pPr>
      <w:r w:rsidRPr="00607826">
        <w:rPr>
          <w:szCs w:val="18"/>
        </w:rPr>
        <w:t>When an authorised officer allocates the handling of a disclosure to one or more agencies (including if the disclosure is allocated to the Department), the authorised officer must keep an appropriate record of:</w:t>
      </w:r>
    </w:p>
    <w:p w14:paraId="267A277B" w14:textId="77777777" w:rsidR="0073163D" w:rsidRPr="00607826" w:rsidRDefault="0073163D" w:rsidP="00607826">
      <w:pPr>
        <w:pStyle w:val="Bullet1"/>
      </w:pPr>
      <w:r w:rsidRPr="00D5465A">
        <w:rPr>
          <w:szCs w:val="18"/>
        </w:rPr>
        <w:t>the decision (including the name of each agency to which the disclosure is to be allocated)</w:t>
      </w:r>
    </w:p>
    <w:p w14:paraId="3749581A" w14:textId="77777777" w:rsidR="0073163D" w:rsidRPr="00607826" w:rsidRDefault="0073163D" w:rsidP="00607826">
      <w:pPr>
        <w:pStyle w:val="Bullet1"/>
      </w:pPr>
      <w:r w:rsidRPr="00D5465A">
        <w:rPr>
          <w:szCs w:val="18"/>
        </w:rPr>
        <w:t>the reasons for the decision</w:t>
      </w:r>
      <w:r w:rsidR="00F66914">
        <w:rPr>
          <w:szCs w:val="18"/>
          <w:lang w:val="en-US"/>
        </w:rPr>
        <w:t>,</w:t>
      </w:r>
      <w:r w:rsidRPr="00D5465A">
        <w:rPr>
          <w:szCs w:val="18"/>
        </w:rPr>
        <w:t xml:space="preserve"> and</w:t>
      </w:r>
    </w:p>
    <w:p w14:paraId="13C59CB0" w14:textId="77777777" w:rsidR="0073163D" w:rsidRPr="00607826" w:rsidRDefault="0073163D" w:rsidP="00607826">
      <w:pPr>
        <w:pStyle w:val="Bullet1"/>
      </w:pPr>
      <w:r w:rsidRPr="00D5465A">
        <w:rPr>
          <w:szCs w:val="18"/>
        </w:rPr>
        <w:t>the consent provided by the authorised officer of the agency to which the allocation is made.</w:t>
      </w:r>
    </w:p>
    <w:p w14:paraId="1F18CB1B" w14:textId="77777777" w:rsidR="0073163D" w:rsidRPr="00607826" w:rsidRDefault="0073163D" w:rsidP="00695A33">
      <w:pPr>
        <w:pStyle w:val="Heading2"/>
        <w:suppressAutoHyphens w:val="0"/>
        <w:rPr>
          <w:b/>
          <w:iCs/>
          <w:color w:val="48515C"/>
          <w:sz w:val="26"/>
          <w:szCs w:val="22"/>
        </w:rPr>
      </w:pPr>
      <w:r w:rsidRPr="00607826">
        <w:rPr>
          <w:b/>
          <w:iCs/>
          <w:color w:val="48515C"/>
          <w:sz w:val="26"/>
          <w:szCs w:val="22"/>
        </w:rPr>
        <w:t>Record of communication of decision to discloser</w:t>
      </w:r>
    </w:p>
    <w:p w14:paraId="15348302" w14:textId="77777777" w:rsidR="0073163D" w:rsidRPr="00607826" w:rsidRDefault="0073163D" w:rsidP="00695A33">
      <w:pPr>
        <w:keepNext/>
        <w:keepLines/>
        <w:suppressAutoHyphens w:val="0"/>
        <w:rPr>
          <w:szCs w:val="18"/>
        </w:rPr>
      </w:pPr>
      <w:r w:rsidRPr="00607826">
        <w:rPr>
          <w:szCs w:val="18"/>
        </w:rPr>
        <w:t>In addition, the authorised officer must keep appropriate records of:</w:t>
      </w:r>
    </w:p>
    <w:p w14:paraId="1A92A00C" w14:textId="77777777" w:rsidR="0073163D" w:rsidRPr="00607826" w:rsidRDefault="0073163D" w:rsidP="00607826">
      <w:pPr>
        <w:pStyle w:val="Bullet1"/>
      </w:pPr>
      <w:r w:rsidRPr="00D5465A">
        <w:rPr>
          <w:szCs w:val="18"/>
        </w:rPr>
        <w:t xml:space="preserve">whether the </w:t>
      </w:r>
      <w:r>
        <w:rPr>
          <w:szCs w:val="18"/>
        </w:rPr>
        <w:t xml:space="preserve">notice (or a copy of the notice) was given to the </w:t>
      </w:r>
      <w:r w:rsidRPr="00D5465A">
        <w:rPr>
          <w:szCs w:val="18"/>
        </w:rPr>
        <w:t>discloser</w:t>
      </w:r>
      <w:r>
        <w:rPr>
          <w:szCs w:val="18"/>
        </w:rPr>
        <w:t>,</w:t>
      </w:r>
      <w:r w:rsidRPr="00D5465A">
        <w:rPr>
          <w:szCs w:val="18"/>
        </w:rPr>
        <w:t xml:space="preserve"> </w:t>
      </w:r>
      <w:r>
        <w:rPr>
          <w:szCs w:val="18"/>
        </w:rPr>
        <w:t>and if not, why not;</w:t>
      </w:r>
    </w:p>
    <w:p w14:paraId="0612A84E" w14:textId="77777777" w:rsidR="0073163D" w:rsidRPr="00607826" w:rsidRDefault="0073163D" w:rsidP="00607826">
      <w:pPr>
        <w:pStyle w:val="Bullet1"/>
      </w:pPr>
      <w:r>
        <w:rPr>
          <w:szCs w:val="18"/>
        </w:rPr>
        <w:t xml:space="preserve">if the notice was given to the discloser: </w:t>
      </w:r>
    </w:p>
    <w:p w14:paraId="14CF77CE" w14:textId="77777777" w:rsidR="0073163D" w:rsidRPr="00607826" w:rsidRDefault="0073163D" w:rsidP="00607826">
      <w:pPr>
        <w:pStyle w:val="Bullet2"/>
      </w:pPr>
      <w:r w:rsidRPr="00D5465A">
        <w:rPr>
          <w:szCs w:val="18"/>
        </w:rPr>
        <w:t xml:space="preserve">the day and time the discloser was </w:t>
      </w:r>
      <w:r>
        <w:rPr>
          <w:szCs w:val="18"/>
        </w:rPr>
        <w:t>given the notice</w:t>
      </w:r>
    </w:p>
    <w:p w14:paraId="7633C78A" w14:textId="77777777" w:rsidR="0073163D" w:rsidRPr="00607826" w:rsidRDefault="0073163D" w:rsidP="00607826">
      <w:pPr>
        <w:pStyle w:val="Bullet2"/>
      </w:pPr>
      <w:r w:rsidRPr="00D5465A">
        <w:rPr>
          <w:szCs w:val="18"/>
        </w:rPr>
        <w:t xml:space="preserve">the means by which the discloser was </w:t>
      </w:r>
      <w:r>
        <w:rPr>
          <w:szCs w:val="18"/>
        </w:rPr>
        <w:t>given the no</w:t>
      </w:r>
      <w:r w:rsidR="00607826" w:rsidRPr="002B6571">
        <w:rPr>
          <w:szCs w:val="18"/>
        </w:rPr>
        <w:t>t</w:t>
      </w:r>
      <w:r>
        <w:rPr>
          <w:szCs w:val="18"/>
        </w:rPr>
        <w:t>ice</w:t>
      </w:r>
      <w:r w:rsidR="00F66914">
        <w:rPr>
          <w:szCs w:val="18"/>
          <w:lang w:val="en-US"/>
        </w:rPr>
        <w:t>,</w:t>
      </w:r>
      <w:r w:rsidRPr="00D5465A">
        <w:rPr>
          <w:szCs w:val="18"/>
        </w:rPr>
        <w:t xml:space="preserve"> and</w:t>
      </w:r>
    </w:p>
    <w:p w14:paraId="3B7AF1B1" w14:textId="77777777" w:rsidR="0073163D" w:rsidRPr="00607826" w:rsidRDefault="0073163D" w:rsidP="00607826">
      <w:pPr>
        <w:pStyle w:val="Bullet2"/>
      </w:pPr>
      <w:r w:rsidRPr="00D5465A">
        <w:rPr>
          <w:szCs w:val="18"/>
        </w:rPr>
        <w:t xml:space="preserve">the </w:t>
      </w:r>
      <w:r>
        <w:rPr>
          <w:szCs w:val="18"/>
        </w:rPr>
        <w:t>matters included in the notice</w:t>
      </w:r>
      <w:r w:rsidRPr="00D5465A">
        <w:rPr>
          <w:szCs w:val="18"/>
        </w:rPr>
        <w:t>.</w:t>
      </w:r>
    </w:p>
    <w:p w14:paraId="7696F72D" w14:textId="77777777" w:rsidR="0073163D" w:rsidRPr="00607826" w:rsidRDefault="0073163D" w:rsidP="00607826">
      <w:pPr>
        <w:suppressAutoHyphens w:val="0"/>
        <w:rPr>
          <w:szCs w:val="18"/>
        </w:rPr>
      </w:pPr>
      <w:r w:rsidRPr="00607826">
        <w:rPr>
          <w:szCs w:val="18"/>
        </w:rPr>
        <w:t>These records should be kept confidential.  Where an authorised officer is required to keep a record under this procedure, the record can be kept in either hard copy or electronic form.</w:t>
      </w:r>
    </w:p>
    <w:p w14:paraId="18957E6C" w14:textId="77777777" w:rsidR="0073163D" w:rsidRPr="00607826" w:rsidRDefault="00607826" w:rsidP="00607826">
      <w:pPr>
        <w:pStyle w:val="Heading2"/>
      </w:pPr>
      <w:r w:rsidRPr="00AB5706">
        <w:t>3.7</w:t>
      </w:r>
      <w:r w:rsidRPr="00AB5706">
        <w:tab/>
        <w:t>Reprisal risk assessment</w:t>
      </w:r>
    </w:p>
    <w:p w14:paraId="3A1FBF7D" w14:textId="77777777" w:rsidR="0073163D" w:rsidRPr="00607826" w:rsidRDefault="0073163D" w:rsidP="00607826">
      <w:pPr>
        <w:pStyle w:val="Heading3"/>
      </w:pPr>
      <w:r w:rsidRPr="00607826">
        <w:t>Step 1: Conduct a risk assessment</w:t>
      </w:r>
    </w:p>
    <w:p w14:paraId="6F01F879" w14:textId="77777777" w:rsidR="0073163D" w:rsidRPr="00607826" w:rsidRDefault="0073163D" w:rsidP="00607826">
      <w:pPr>
        <w:suppressAutoHyphens w:val="0"/>
        <w:rPr>
          <w:szCs w:val="18"/>
        </w:rPr>
      </w:pPr>
      <w:r w:rsidRPr="00607826">
        <w:rPr>
          <w:szCs w:val="18"/>
        </w:rPr>
        <w:t xml:space="preserve">As soon as possible after a disclosure is received, the principal officer or relevant authorised officer will assess the risk that reprisals may be taken in relation to a disclosure.  </w:t>
      </w:r>
    </w:p>
    <w:p w14:paraId="39A62089" w14:textId="77777777" w:rsidR="0073163D" w:rsidRPr="00607826" w:rsidRDefault="0073163D" w:rsidP="00607826">
      <w:pPr>
        <w:suppressAutoHyphens w:val="0"/>
        <w:rPr>
          <w:szCs w:val="18"/>
        </w:rPr>
      </w:pPr>
      <w:r w:rsidRPr="00607826">
        <w:rPr>
          <w:szCs w:val="18"/>
        </w:rPr>
        <w:t>Reprisal occurs if someone causes, by act or omission, any detriment to another person because they believe or suspect that person, or any other person, has made, may have made, proposes to make, or could make a public interest disclosure.  Reprisal also includes a threat to take reprisal action.</w:t>
      </w:r>
    </w:p>
    <w:p w14:paraId="353AF4DF" w14:textId="77777777" w:rsidR="0073163D" w:rsidRPr="00607826" w:rsidRDefault="0073163D" w:rsidP="00607826">
      <w:pPr>
        <w:suppressAutoHyphens w:val="0"/>
        <w:rPr>
          <w:szCs w:val="18"/>
        </w:rPr>
      </w:pPr>
      <w:r w:rsidRPr="00607826">
        <w:rPr>
          <w:szCs w:val="18"/>
        </w:rPr>
        <w:t xml:space="preserve">Authorised officers should assess the risk of reprisal for the discloser, and any other person (including witnesses and staff) who might be suspected to have made, or could make, disclosures. </w:t>
      </w:r>
    </w:p>
    <w:p w14:paraId="31D0E555" w14:textId="77777777" w:rsidR="0073163D" w:rsidRPr="00607826" w:rsidRDefault="0073163D" w:rsidP="00607826">
      <w:pPr>
        <w:suppressAutoHyphens w:val="0"/>
        <w:rPr>
          <w:szCs w:val="18"/>
        </w:rPr>
      </w:pPr>
      <w:r w:rsidRPr="00607826">
        <w:rPr>
          <w:szCs w:val="18"/>
        </w:rPr>
        <w:t xml:space="preserve">If it is not feasible for an authorised officer to conduct an initial assessment, the authorised officer should ensure that, within a reasonable time, the information is passed to another officer with the requisite skills and experience to conduct the risk assessment.  </w:t>
      </w:r>
    </w:p>
    <w:p w14:paraId="35FAAAF2" w14:textId="370F11A9" w:rsidR="00F66914" w:rsidRDefault="00F66914" w:rsidP="00CA7041">
      <w:pPr>
        <w:keepNext/>
        <w:keepLines/>
        <w:suppressAutoHyphens w:val="0"/>
        <w:spacing w:after="240"/>
        <w:rPr>
          <w:vanish/>
          <w:szCs w:val="18"/>
        </w:rPr>
      </w:pPr>
      <w:r w:rsidRPr="00F66914">
        <w:rPr>
          <w:szCs w:val="18"/>
        </w:rPr>
        <w:t>In assessing the risk of reprisals, the principal officer or relevant authorised officer should use the following risk matrix:</w:t>
      </w:r>
      <w:r w:rsidR="00B359E4">
        <w:rPr>
          <w:szCs w:val="18"/>
        </w:rPr>
        <w:t xml:space="preserve"> </w:t>
      </w:r>
      <w:r w:rsidR="00B359E4" w:rsidRPr="00B359E4">
        <w:rPr>
          <w:vanish/>
          <w:szCs w:val="18"/>
        </w:rPr>
        <w:t>[The image is a risk matrix table]</w:t>
      </w:r>
    </w:p>
    <w:tbl>
      <w:tblPr>
        <w:tblStyle w:val="TableGrid"/>
        <w:tblW w:w="8505" w:type="dxa"/>
        <w:tblInd w:w="817" w:type="dxa"/>
        <w:tblLayout w:type="fixed"/>
        <w:tblLook w:val="04A0" w:firstRow="1" w:lastRow="0" w:firstColumn="1" w:lastColumn="0" w:noHBand="0" w:noVBand="1"/>
      </w:tblPr>
      <w:tblGrid>
        <w:gridCol w:w="1417"/>
        <w:gridCol w:w="1560"/>
        <w:gridCol w:w="1382"/>
        <w:gridCol w:w="1382"/>
        <w:gridCol w:w="1382"/>
        <w:gridCol w:w="1382"/>
      </w:tblGrid>
      <w:tr w:rsidR="00CA7041" w14:paraId="091AB935" w14:textId="77777777" w:rsidTr="002D7A0B">
        <w:tc>
          <w:tcPr>
            <w:tcW w:w="1417" w:type="dxa"/>
            <w:tcBorders>
              <w:top w:val="nil"/>
              <w:left w:val="nil"/>
            </w:tcBorders>
            <w:shd w:val="clear" w:color="auto" w:fill="FFFFFF" w:themeFill="background1"/>
          </w:tcPr>
          <w:p w14:paraId="0EACEAC6" w14:textId="77777777" w:rsidR="00CA7041" w:rsidRPr="00D5465A" w:rsidRDefault="00CA7041" w:rsidP="002D7A0B">
            <w:pPr>
              <w:keepNext/>
              <w:keepLines/>
              <w:spacing w:before="120" w:after="120"/>
            </w:pPr>
          </w:p>
        </w:tc>
        <w:tc>
          <w:tcPr>
            <w:tcW w:w="7088" w:type="dxa"/>
            <w:gridSpan w:val="5"/>
            <w:shd w:val="clear" w:color="auto" w:fill="FFFFFF" w:themeFill="background1"/>
          </w:tcPr>
          <w:p w14:paraId="1AB767ED" w14:textId="77777777" w:rsidR="00CA7041" w:rsidRPr="00D5465A" w:rsidRDefault="00CA7041" w:rsidP="002D7A0B">
            <w:pPr>
              <w:keepNext/>
              <w:keepLines/>
              <w:spacing w:before="120" w:after="120"/>
              <w:jc w:val="center"/>
              <w:rPr>
                <w:b/>
              </w:rPr>
            </w:pPr>
            <w:r w:rsidRPr="00D5465A">
              <w:rPr>
                <w:b/>
              </w:rPr>
              <w:t>Likely seriousness of reprisal</w:t>
            </w:r>
          </w:p>
        </w:tc>
      </w:tr>
      <w:tr w:rsidR="00CA7041" w14:paraId="3248DF3E" w14:textId="77777777" w:rsidTr="002D7A0B">
        <w:tc>
          <w:tcPr>
            <w:tcW w:w="1417" w:type="dxa"/>
            <w:vMerge w:val="restart"/>
            <w:shd w:val="clear" w:color="auto" w:fill="FFFFFF" w:themeFill="background1"/>
            <w:vAlign w:val="center"/>
          </w:tcPr>
          <w:p w14:paraId="613FCC04" w14:textId="77777777" w:rsidR="00CA7041" w:rsidRPr="00D5465A" w:rsidRDefault="00CA7041" w:rsidP="002D7A0B">
            <w:pPr>
              <w:keepNext/>
              <w:keepLines/>
              <w:spacing w:before="120" w:after="120"/>
              <w:jc w:val="center"/>
              <w:rPr>
                <w:b/>
              </w:rPr>
            </w:pPr>
            <w:r w:rsidRPr="00D5465A">
              <w:rPr>
                <w:b/>
              </w:rPr>
              <w:t xml:space="preserve">Likelihood of reprisal being taken </w:t>
            </w:r>
          </w:p>
        </w:tc>
        <w:tc>
          <w:tcPr>
            <w:tcW w:w="1560" w:type="dxa"/>
            <w:shd w:val="clear" w:color="auto" w:fill="ADADAD" w:themeFill="background2" w:themeFillShade="BF"/>
          </w:tcPr>
          <w:p w14:paraId="6782A445" w14:textId="77777777" w:rsidR="00CA7041" w:rsidRPr="00D5465A" w:rsidRDefault="00CA7041" w:rsidP="002D7A0B">
            <w:pPr>
              <w:keepNext/>
              <w:keepLines/>
              <w:spacing w:before="120" w:after="120"/>
            </w:pPr>
          </w:p>
        </w:tc>
        <w:tc>
          <w:tcPr>
            <w:tcW w:w="1382" w:type="dxa"/>
            <w:shd w:val="clear" w:color="auto" w:fill="ADADAD" w:themeFill="background2" w:themeFillShade="BF"/>
          </w:tcPr>
          <w:p w14:paraId="19E4DDB6" w14:textId="77777777" w:rsidR="00CA7041" w:rsidRPr="00D5465A" w:rsidRDefault="00CA7041" w:rsidP="002D7A0B">
            <w:pPr>
              <w:keepNext/>
              <w:keepLines/>
              <w:spacing w:before="120" w:after="120"/>
            </w:pPr>
            <w:r w:rsidRPr="00D5465A">
              <w:t>Minor</w:t>
            </w:r>
          </w:p>
        </w:tc>
        <w:tc>
          <w:tcPr>
            <w:tcW w:w="1382" w:type="dxa"/>
            <w:shd w:val="clear" w:color="auto" w:fill="ADADAD" w:themeFill="background2" w:themeFillShade="BF"/>
          </w:tcPr>
          <w:p w14:paraId="7C1A3F25" w14:textId="77777777" w:rsidR="00CA7041" w:rsidRPr="00D5465A" w:rsidRDefault="00CA7041" w:rsidP="002D7A0B">
            <w:pPr>
              <w:keepNext/>
              <w:keepLines/>
              <w:spacing w:before="120" w:after="120"/>
            </w:pPr>
            <w:r w:rsidRPr="00D5465A">
              <w:t>Moderate</w:t>
            </w:r>
          </w:p>
        </w:tc>
        <w:tc>
          <w:tcPr>
            <w:tcW w:w="1382" w:type="dxa"/>
            <w:tcBorders>
              <w:bottom w:val="single" w:sz="4" w:space="0" w:color="auto"/>
            </w:tcBorders>
            <w:shd w:val="clear" w:color="auto" w:fill="ADADAD" w:themeFill="background2" w:themeFillShade="BF"/>
          </w:tcPr>
          <w:p w14:paraId="15F558D8" w14:textId="77777777" w:rsidR="00CA7041" w:rsidRPr="00D5465A" w:rsidRDefault="00CA7041" w:rsidP="002D7A0B">
            <w:pPr>
              <w:keepNext/>
              <w:keepLines/>
              <w:spacing w:before="120" w:after="120"/>
            </w:pPr>
            <w:r w:rsidRPr="00D5465A">
              <w:t>Major</w:t>
            </w:r>
          </w:p>
        </w:tc>
        <w:tc>
          <w:tcPr>
            <w:tcW w:w="1382" w:type="dxa"/>
            <w:tcBorders>
              <w:bottom w:val="single" w:sz="4" w:space="0" w:color="auto"/>
            </w:tcBorders>
            <w:shd w:val="clear" w:color="auto" w:fill="ADADAD" w:themeFill="background2" w:themeFillShade="BF"/>
          </w:tcPr>
          <w:p w14:paraId="005E0740" w14:textId="77777777" w:rsidR="00CA7041" w:rsidRPr="00D5465A" w:rsidRDefault="00CA7041" w:rsidP="002D7A0B">
            <w:pPr>
              <w:keepNext/>
              <w:keepLines/>
              <w:spacing w:before="120" w:after="120"/>
            </w:pPr>
            <w:r w:rsidRPr="00D5465A">
              <w:t>Extreme</w:t>
            </w:r>
          </w:p>
        </w:tc>
      </w:tr>
      <w:tr w:rsidR="00CA7041" w14:paraId="2459F2CF" w14:textId="77777777" w:rsidTr="002D7A0B">
        <w:tc>
          <w:tcPr>
            <w:tcW w:w="1417" w:type="dxa"/>
            <w:vMerge/>
            <w:shd w:val="clear" w:color="auto" w:fill="FFFFFF" w:themeFill="background1"/>
          </w:tcPr>
          <w:p w14:paraId="30A921D2" w14:textId="77777777" w:rsidR="00CA7041" w:rsidRPr="00D5465A" w:rsidRDefault="00CA7041" w:rsidP="002D7A0B">
            <w:pPr>
              <w:keepNext/>
              <w:keepLines/>
              <w:spacing w:before="120" w:after="120"/>
            </w:pPr>
          </w:p>
        </w:tc>
        <w:tc>
          <w:tcPr>
            <w:tcW w:w="1560" w:type="dxa"/>
            <w:shd w:val="clear" w:color="auto" w:fill="ADADAD" w:themeFill="background2" w:themeFillShade="BF"/>
          </w:tcPr>
          <w:p w14:paraId="63834469" w14:textId="77777777" w:rsidR="00CA7041" w:rsidRPr="00D5465A" w:rsidRDefault="00CA7041" w:rsidP="002D7A0B">
            <w:pPr>
              <w:keepNext/>
              <w:keepLines/>
              <w:spacing w:before="120" w:after="120"/>
            </w:pPr>
            <w:r w:rsidRPr="00D5465A">
              <w:t>Almost certain</w:t>
            </w:r>
          </w:p>
        </w:tc>
        <w:tc>
          <w:tcPr>
            <w:tcW w:w="1382" w:type="dxa"/>
            <w:shd w:val="clear" w:color="auto" w:fill="FF9900"/>
          </w:tcPr>
          <w:p w14:paraId="3DE46927" w14:textId="77777777" w:rsidR="00CA7041" w:rsidRPr="00D5465A" w:rsidRDefault="00CA7041" w:rsidP="002D7A0B">
            <w:pPr>
              <w:keepNext/>
              <w:keepLines/>
              <w:spacing w:before="120" w:after="120"/>
            </w:pPr>
            <w:r w:rsidRPr="00D5465A">
              <w:t xml:space="preserve">Medium </w:t>
            </w:r>
          </w:p>
        </w:tc>
        <w:tc>
          <w:tcPr>
            <w:tcW w:w="1382" w:type="dxa"/>
            <w:shd w:val="clear" w:color="auto" w:fill="FF0000"/>
          </w:tcPr>
          <w:p w14:paraId="7EA2E46A" w14:textId="77777777" w:rsidR="00CA7041" w:rsidRPr="00D5465A" w:rsidRDefault="00CA7041" w:rsidP="002D7A0B">
            <w:pPr>
              <w:keepNext/>
              <w:keepLines/>
              <w:spacing w:before="120" w:after="120"/>
            </w:pPr>
            <w:r w:rsidRPr="00D5465A">
              <w:t>High</w:t>
            </w:r>
          </w:p>
        </w:tc>
        <w:tc>
          <w:tcPr>
            <w:tcW w:w="1382" w:type="dxa"/>
            <w:shd w:val="clear" w:color="auto" w:fill="FF0000"/>
          </w:tcPr>
          <w:p w14:paraId="4A21C240" w14:textId="77777777" w:rsidR="00CA7041" w:rsidRPr="00D5465A" w:rsidRDefault="00CA7041" w:rsidP="002D7A0B">
            <w:pPr>
              <w:keepNext/>
              <w:keepLines/>
              <w:spacing w:before="120" w:after="120"/>
            </w:pPr>
            <w:r w:rsidRPr="00D5465A">
              <w:t>High</w:t>
            </w:r>
          </w:p>
        </w:tc>
        <w:tc>
          <w:tcPr>
            <w:tcW w:w="1382" w:type="dxa"/>
            <w:shd w:val="clear" w:color="auto" w:fill="FF0000"/>
          </w:tcPr>
          <w:p w14:paraId="0C25E1F4" w14:textId="77777777" w:rsidR="00CA7041" w:rsidRPr="00D5465A" w:rsidRDefault="00CA7041" w:rsidP="002D7A0B">
            <w:pPr>
              <w:keepNext/>
              <w:keepLines/>
              <w:spacing w:before="120" w:after="120"/>
            </w:pPr>
            <w:r w:rsidRPr="00D5465A">
              <w:t>High</w:t>
            </w:r>
          </w:p>
        </w:tc>
      </w:tr>
      <w:tr w:rsidR="00CA7041" w14:paraId="7B44D2D4" w14:textId="77777777" w:rsidTr="002D7A0B">
        <w:tc>
          <w:tcPr>
            <w:tcW w:w="1417" w:type="dxa"/>
            <w:vMerge/>
            <w:shd w:val="clear" w:color="auto" w:fill="FFFFFF" w:themeFill="background1"/>
          </w:tcPr>
          <w:p w14:paraId="29C4A646" w14:textId="77777777" w:rsidR="00CA7041" w:rsidRPr="00D5465A" w:rsidRDefault="00CA7041" w:rsidP="002D7A0B">
            <w:pPr>
              <w:keepNext/>
              <w:keepLines/>
              <w:spacing w:before="120" w:after="120"/>
            </w:pPr>
          </w:p>
        </w:tc>
        <w:tc>
          <w:tcPr>
            <w:tcW w:w="1560" w:type="dxa"/>
            <w:shd w:val="clear" w:color="auto" w:fill="ADADAD" w:themeFill="background2" w:themeFillShade="BF"/>
          </w:tcPr>
          <w:p w14:paraId="782B924F" w14:textId="77777777" w:rsidR="00CA7041" w:rsidRPr="00D5465A" w:rsidRDefault="00CA7041" w:rsidP="002D7A0B">
            <w:pPr>
              <w:keepNext/>
              <w:keepLines/>
              <w:spacing w:before="120" w:after="120"/>
            </w:pPr>
            <w:r w:rsidRPr="00D5465A">
              <w:t>Likely</w:t>
            </w:r>
          </w:p>
        </w:tc>
        <w:tc>
          <w:tcPr>
            <w:tcW w:w="1382" w:type="dxa"/>
            <w:shd w:val="clear" w:color="auto" w:fill="FF9900"/>
          </w:tcPr>
          <w:p w14:paraId="3A98DA75" w14:textId="77777777" w:rsidR="00CA7041" w:rsidRPr="00D5465A" w:rsidRDefault="00CA7041" w:rsidP="002D7A0B">
            <w:pPr>
              <w:keepNext/>
              <w:keepLines/>
              <w:spacing w:before="120" w:after="120"/>
            </w:pPr>
            <w:r w:rsidRPr="00D5465A">
              <w:t>Medium</w:t>
            </w:r>
          </w:p>
        </w:tc>
        <w:tc>
          <w:tcPr>
            <w:tcW w:w="1382" w:type="dxa"/>
            <w:shd w:val="clear" w:color="auto" w:fill="FF9900"/>
          </w:tcPr>
          <w:p w14:paraId="15019ACA" w14:textId="77777777" w:rsidR="00CA7041" w:rsidRPr="00D5465A" w:rsidRDefault="00CA7041" w:rsidP="002D7A0B">
            <w:pPr>
              <w:keepNext/>
              <w:keepLines/>
              <w:spacing w:before="120" w:after="120"/>
            </w:pPr>
            <w:r w:rsidRPr="00D5465A">
              <w:t xml:space="preserve">Medium </w:t>
            </w:r>
          </w:p>
        </w:tc>
        <w:tc>
          <w:tcPr>
            <w:tcW w:w="1382" w:type="dxa"/>
            <w:shd w:val="clear" w:color="auto" w:fill="FF0000"/>
          </w:tcPr>
          <w:p w14:paraId="799BFA84" w14:textId="77777777" w:rsidR="00CA7041" w:rsidRPr="00D5465A" w:rsidRDefault="00CA7041" w:rsidP="002D7A0B">
            <w:pPr>
              <w:keepNext/>
              <w:keepLines/>
              <w:spacing w:before="120" w:after="120"/>
            </w:pPr>
            <w:r w:rsidRPr="00D5465A">
              <w:t>High</w:t>
            </w:r>
          </w:p>
        </w:tc>
        <w:tc>
          <w:tcPr>
            <w:tcW w:w="1382" w:type="dxa"/>
            <w:shd w:val="clear" w:color="auto" w:fill="FF0000"/>
          </w:tcPr>
          <w:p w14:paraId="6FE69090" w14:textId="77777777" w:rsidR="00CA7041" w:rsidRPr="00D5465A" w:rsidRDefault="00CA7041" w:rsidP="002D7A0B">
            <w:pPr>
              <w:keepNext/>
              <w:keepLines/>
              <w:spacing w:before="120" w:after="120"/>
            </w:pPr>
            <w:r w:rsidRPr="00D5465A">
              <w:t>High</w:t>
            </w:r>
          </w:p>
        </w:tc>
      </w:tr>
      <w:tr w:rsidR="00CA7041" w14:paraId="1E69C257" w14:textId="77777777" w:rsidTr="002D7A0B">
        <w:tc>
          <w:tcPr>
            <w:tcW w:w="1417" w:type="dxa"/>
            <w:vMerge/>
            <w:shd w:val="clear" w:color="auto" w:fill="FFFFFF" w:themeFill="background1"/>
          </w:tcPr>
          <w:p w14:paraId="1A590C39" w14:textId="77777777" w:rsidR="00CA7041" w:rsidRPr="00D5465A" w:rsidRDefault="00CA7041" w:rsidP="002D7A0B">
            <w:pPr>
              <w:keepNext/>
              <w:keepLines/>
              <w:spacing w:before="120" w:after="120"/>
            </w:pPr>
          </w:p>
        </w:tc>
        <w:tc>
          <w:tcPr>
            <w:tcW w:w="1560" w:type="dxa"/>
            <w:shd w:val="clear" w:color="auto" w:fill="ADADAD" w:themeFill="background2" w:themeFillShade="BF"/>
          </w:tcPr>
          <w:p w14:paraId="6536AE43" w14:textId="77777777" w:rsidR="00CA7041" w:rsidRPr="00D5465A" w:rsidRDefault="00CA7041" w:rsidP="002D7A0B">
            <w:pPr>
              <w:keepNext/>
              <w:keepLines/>
              <w:spacing w:before="120" w:after="120"/>
            </w:pPr>
            <w:r w:rsidRPr="00D5465A">
              <w:t xml:space="preserve">Unlikely </w:t>
            </w:r>
          </w:p>
        </w:tc>
        <w:tc>
          <w:tcPr>
            <w:tcW w:w="1382" w:type="dxa"/>
            <w:shd w:val="clear" w:color="auto" w:fill="FFFF00"/>
          </w:tcPr>
          <w:p w14:paraId="7DC82C15" w14:textId="77777777" w:rsidR="00CA7041" w:rsidRPr="00D5465A" w:rsidRDefault="00CA7041" w:rsidP="002D7A0B">
            <w:pPr>
              <w:keepNext/>
              <w:keepLines/>
              <w:spacing w:before="120" w:after="120"/>
            </w:pPr>
            <w:r w:rsidRPr="00D5465A">
              <w:t>Low</w:t>
            </w:r>
          </w:p>
        </w:tc>
        <w:tc>
          <w:tcPr>
            <w:tcW w:w="1382" w:type="dxa"/>
            <w:shd w:val="clear" w:color="auto" w:fill="FFFF00"/>
          </w:tcPr>
          <w:p w14:paraId="0350297A" w14:textId="77777777" w:rsidR="00CA7041" w:rsidRPr="00D5465A" w:rsidRDefault="00CA7041" w:rsidP="002D7A0B">
            <w:pPr>
              <w:keepNext/>
              <w:keepLines/>
              <w:spacing w:before="120" w:after="120"/>
            </w:pPr>
            <w:r w:rsidRPr="00D5465A">
              <w:t>Low</w:t>
            </w:r>
          </w:p>
        </w:tc>
        <w:tc>
          <w:tcPr>
            <w:tcW w:w="1382" w:type="dxa"/>
            <w:shd w:val="clear" w:color="auto" w:fill="FF9900"/>
          </w:tcPr>
          <w:p w14:paraId="3553ECEF" w14:textId="77777777" w:rsidR="00CA7041" w:rsidRPr="00D5465A" w:rsidRDefault="00CA7041" w:rsidP="002D7A0B">
            <w:pPr>
              <w:keepNext/>
              <w:keepLines/>
              <w:spacing w:before="120" w:after="120"/>
            </w:pPr>
            <w:r w:rsidRPr="00D5465A">
              <w:t>Medium</w:t>
            </w:r>
          </w:p>
        </w:tc>
        <w:tc>
          <w:tcPr>
            <w:tcW w:w="1382" w:type="dxa"/>
            <w:shd w:val="clear" w:color="auto" w:fill="FF9900"/>
          </w:tcPr>
          <w:p w14:paraId="6FB56ED5" w14:textId="77777777" w:rsidR="00CA7041" w:rsidRPr="00D5465A" w:rsidRDefault="00CA7041" w:rsidP="002D7A0B">
            <w:pPr>
              <w:keepNext/>
              <w:keepLines/>
              <w:spacing w:before="120" w:after="120"/>
            </w:pPr>
            <w:r w:rsidRPr="00D5465A">
              <w:t xml:space="preserve">Medium </w:t>
            </w:r>
          </w:p>
        </w:tc>
      </w:tr>
      <w:tr w:rsidR="00CA7041" w14:paraId="61A9CD34" w14:textId="77777777" w:rsidTr="002D7A0B">
        <w:tc>
          <w:tcPr>
            <w:tcW w:w="1417" w:type="dxa"/>
            <w:vMerge/>
            <w:shd w:val="clear" w:color="auto" w:fill="FFFFFF" w:themeFill="background1"/>
          </w:tcPr>
          <w:p w14:paraId="5A5138E1" w14:textId="77777777" w:rsidR="00CA7041" w:rsidRPr="00D5465A" w:rsidRDefault="00CA7041" w:rsidP="002D7A0B">
            <w:pPr>
              <w:keepNext/>
              <w:keepLines/>
              <w:spacing w:before="120" w:after="120"/>
            </w:pPr>
          </w:p>
        </w:tc>
        <w:tc>
          <w:tcPr>
            <w:tcW w:w="1560" w:type="dxa"/>
            <w:shd w:val="clear" w:color="auto" w:fill="ADADAD" w:themeFill="background2" w:themeFillShade="BF"/>
          </w:tcPr>
          <w:p w14:paraId="78FFEF32" w14:textId="77777777" w:rsidR="00CA7041" w:rsidRPr="00D5465A" w:rsidRDefault="00CA7041" w:rsidP="002D7A0B">
            <w:pPr>
              <w:keepNext/>
              <w:keepLines/>
              <w:spacing w:before="120" w:after="120"/>
            </w:pPr>
            <w:r w:rsidRPr="00D5465A">
              <w:t>Highly unlikely</w:t>
            </w:r>
          </w:p>
        </w:tc>
        <w:tc>
          <w:tcPr>
            <w:tcW w:w="1382" w:type="dxa"/>
            <w:shd w:val="clear" w:color="auto" w:fill="FFFF00"/>
          </w:tcPr>
          <w:p w14:paraId="0D883ABE" w14:textId="77777777" w:rsidR="00CA7041" w:rsidRPr="00D5465A" w:rsidRDefault="00CA7041" w:rsidP="002D7A0B">
            <w:pPr>
              <w:keepNext/>
              <w:keepLines/>
              <w:spacing w:before="120" w:after="120"/>
            </w:pPr>
            <w:r w:rsidRPr="00D5465A">
              <w:t xml:space="preserve">Low </w:t>
            </w:r>
          </w:p>
        </w:tc>
        <w:tc>
          <w:tcPr>
            <w:tcW w:w="1382" w:type="dxa"/>
            <w:shd w:val="clear" w:color="auto" w:fill="FFFF00"/>
          </w:tcPr>
          <w:p w14:paraId="3E423BF4" w14:textId="77777777" w:rsidR="00CA7041" w:rsidRPr="00D5465A" w:rsidRDefault="00CA7041" w:rsidP="002D7A0B">
            <w:pPr>
              <w:keepNext/>
              <w:keepLines/>
              <w:spacing w:before="120" w:after="120"/>
            </w:pPr>
            <w:r w:rsidRPr="00D5465A">
              <w:t>Low</w:t>
            </w:r>
          </w:p>
        </w:tc>
        <w:tc>
          <w:tcPr>
            <w:tcW w:w="1382" w:type="dxa"/>
            <w:shd w:val="clear" w:color="auto" w:fill="FFFF00"/>
          </w:tcPr>
          <w:p w14:paraId="0E02CA93" w14:textId="77777777" w:rsidR="00CA7041" w:rsidRPr="00D5465A" w:rsidRDefault="00CA7041" w:rsidP="002D7A0B">
            <w:pPr>
              <w:keepNext/>
              <w:keepLines/>
              <w:spacing w:before="120" w:after="120"/>
            </w:pPr>
            <w:r w:rsidRPr="00D5465A">
              <w:t>Low</w:t>
            </w:r>
          </w:p>
        </w:tc>
        <w:tc>
          <w:tcPr>
            <w:tcW w:w="1382" w:type="dxa"/>
            <w:shd w:val="clear" w:color="auto" w:fill="FF9900"/>
          </w:tcPr>
          <w:p w14:paraId="1C220F18" w14:textId="77777777" w:rsidR="00CA7041" w:rsidRPr="00D5465A" w:rsidRDefault="00CA7041" w:rsidP="002D7A0B">
            <w:pPr>
              <w:keepNext/>
              <w:keepLines/>
              <w:spacing w:before="120" w:after="120"/>
            </w:pPr>
            <w:r w:rsidRPr="00D5465A">
              <w:t>Medium</w:t>
            </w:r>
          </w:p>
        </w:tc>
      </w:tr>
    </w:tbl>
    <w:p w14:paraId="4E964767" w14:textId="332C2250" w:rsidR="00B359E4" w:rsidRPr="00B359E4" w:rsidRDefault="00B359E4" w:rsidP="00CA7041">
      <w:pPr>
        <w:suppressAutoHyphens w:val="0"/>
        <w:ind w:left="1440"/>
        <w:rPr>
          <w:i/>
          <w:szCs w:val="18"/>
        </w:rPr>
      </w:pPr>
      <w:r>
        <w:rPr>
          <w:i/>
          <w:szCs w:val="18"/>
        </w:rPr>
        <w:t xml:space="preserve">Disclaimer: </w:t>
      </w:r>
      <w:r>
        <w:rPr>
          <w:rFonts w:ascii="Calibri Light" w:eastAsia="Times New Roman" w:hAnsi="Calibri Light" w:cs="Calibri Light"/>
          <w:i/>
          <w:iCs/>
        </w:rPr>
        <w:t>This table is not accessible for use by assistive technologies</w:t>
      </w:r>
      <w:r w:rsidR="002D7A0B">
        <w:rPr>
          <w:rFonts w:ascii="Calibri Light" w:eastAsia="Times New Roman" w:hAnsi="Calibri Light" w:cs="Calibri Light"/>
          <w:i/>
          <w:iCs/>
        </w:rPr>
        <w:t>. If</w:t>
      </w:r>
      <w:r>
        <w:rPr>
          <w:rFonts w:ascii="Calibri Light" w:eastAsia="Times New Roman" w:hAnsi="Calibri Light" w:cs="Calibri Light"/>
          <w:i/>
          <w:iCs/>
        </w:rPr>
        <w:t xml:space="preserve"> you require an accessible version </w:t>
      </w:r>
      <w:bookmarkStart w:id="3" w:name="_Hlk171686249"/>
      <w:bookmarkStart w:id="4" w:name="_Hlk171686300"/>
      <w:r>
        <w:rPr>
          <w:rFonts w:ascii="Calibri Light" w:eastAsia="Times New Roman" w:hAnsi="Calibri Light" w:cs="Calibri Light"/>
          <w:i/>
          <w:iCs/>
        </w:rPr>
        <w:t xml:space="preserve">please send a request to </w:t>
      </w:r>
      <w:hyperlink r:id="rId16" w:history="1">
        <w:r w:rsidRPr="001B00CE">
          <w:rPr>
            <w:rStyle w:val="Hyperlink"/>
          </w:rPr>
          <w:t>PID@infrastructure.gov.au</w:t>
        </w:r>
      </w:hyperlink>
      <w:bookmarkStart w:id="5" w:name="_Hlk171686339"/>
      <w:bookmarkEnd w:id="3"/>
      <w:r w:rsidR="004061E0" w:rsidRPr="004061E0">
        <w:rPr>
          <w:rFonts w:ascii="Calibri Light" w:eastAsia="Times New Roman" w:hAnsi="Calibri Light" w:cs="Calibri Light"/>
          <w:iCs/>
        </w:rPr>
        <w:t>.</w:t>
      </w:r>
      <w:bookmarkEnd w:id="4"/>
      <w:bookmarkEnd w:id="5"/>
    </w:p>
    <w:p w14:paraId="1E064078" w14:textId="0B85F2AD" w:rsidR="00F66914" w:rsidRPr="00F66914" w:rsidRDefault="00F66914" w:rsidP="00B359E4">
      <w:pPr>
        <w:suppressAutoHyphens w:val="0"/>
        <w:spacing w:before="360"/>
        <w:rPr>
          <w:szCs w:val="18"/>
        </w:rPr>
      </w:pPr>
      <w:r w:rsidRPr="00F66914">
        <w:rPr>
          <w:szCs w:val="18"/>
        </w:rPr>
        <w:t>The authorised officer should first consider the risk factors and what reprisal action may be taken, and then assess the seriousness of that reprisal action and the likelihood of reprisal action being taken.</w:t>
      </w:r>
    </w:p>
    <w:p w14:paraId="70E3F01E" w14:textId="77777777" w:rsidR="00F66914" w:rsidRPr="00F66914" w:rsidRDefault="00F66914" w:rsidP="00695A33">
      <w:pPr>
        <w:pStyle w:val="Heading2"/>
        <w:rPr>
          <w:b/>
          <w:iCs/>
          <w:color w:val="48515C"/>
          <w:sz w:val="26"/>
          <w:szCs w:val="22"/>
        </w:rPr>
      </w:pPr>
      <w:r w:rsidRPr="00F66914">
        <w:rPr>
          <w:b/>
          <w:iCs/>
          <w:color w:val="48515C"/>
          <w:sz w:val="26"/>
          <w:szCs w:val="22"/>
        </w:rPr>
        <w:t>Criteria for assessing likelihood of potential reprisals</w:t>
      </w:r>
    </w:p>
    <w:p w14:paraId="737F9566" w14:textId="77777777" w:rsidR="00F66914" w:rsidRPr="00F66914" w:rsidRDefault="00F66914" w:rsidP="00695A33">
      <w:pPr>
        <w:keepNext/>
        <w:keepLines/>
        <w:suppressAutoHyphens w:val="0"/>
        <w:rPr>
          <w:szCs w:val="18"/>
        </w:rPr>
      </w:pPr>
      <w:r w:rsidRPr="00F66914">
        <w:rPr>
          <w:szCs w:val="18"/>
        </w:rPr>
        <w:t>When considering the likelihood of a reprisal being taken, the principal officer or relevant authorised officer should take into account all relevant factors, including to the extent relevant:</w:t>
      </w:r>
    </w:p>
    <w:p w14:paraId="0093567B" w14:textId="77777777" w:rsidR="00F66914" w:rsidRPr="00F66914" w:rsidRDefault="00F66914" w:rsidP="00695A33">
      <w:pPr>
        <w:pStyle w:val="Bullet1"/>
        <w:keepNext/>
        <w:keepLines/>
      </w:pPr>
      <w:r w:rsidRPr="003D4272">
        <w:rPr>
          <w:szCs w:val="18"/>
        </w:rPr>
        <w:t>the likelihood of the discloser</w:t>
      </w:r>
      <w:r w:rsidRPr="00D5465A">
        <w:rPr>
          <w:szCs w:val="18"/>
        </w:rPr>
        <w:t xml:space="preserve"> being identified, which may involve a consideration of:</w:t>
      </w:r>
    </w:p>
    <w:p w14:paraId="2F6959DE" w14:textId="77777777" w:rsidR="00F66914" w:rsidRPr="00F66914" w:rsidRDefault="00F66914" w:rsidP="00695A33">
      <w:pPr>
        <w:pStyle w:val="Bullet2"/>
        <w:keepNext/>
        <w:keepLines/>
      </w:pPr>
      <w:r w:rsidRPr="00D5465A">
        <w:rPr>
          <w:szCs w:val="18"/>
        </w:rPr>
        <w:t>the size of the work area in which the discloser is located</w:t>
      </w:r>
      <w:r>
        <w:rPr>
          <w:szCs w:val="18"/>
          <w:lang w:val="en-US"/>
        </w:rPr>
        <w:t xml:space="preserve">, </w:t>
      </w:r>
      <w:r w:rsidRPr="00D5465A">
        <w:rPr>
          <w:szCs w:val="18"/>
        </w:rPr>
        <w:t>and</w:t>
      </w:r>
    </w:p>
    <w:p w14:paraId="77A9616E" w14:textId="77777777" w:rsidR="00F66914" w:rsidRPr="00F66914" w:rsidRDefault="00F66914" w:rsidP="00695A33">
      <w:pPr>
        <w:pStyle w:val="Bullet2"/>
        <w:keepNext/>
        <w:keepLines/>
      </w:pPr>
      <w:r w:rsidRPr="00D5465A">
        <w:rPr>
          <w:szCs w:val="18"/>
        </w:rPr>
        <w:t>the number of people who are aware of the information leading to the disclosure</w:t>
      </w:r>
      <w:r>
        <w:rPr>
          <w:szCs w:val="18"/>
          <w:lang w:val="en-US"/>
        </w:rPr>
        <w:t>,</w:t>
      </w:r>
      <w:r w:rsidRPr="00D5465A">
        <w:rPr>
          <w:szCs w:val="18"/>
        </w:rPr>
        <w:t xml:space="preserve"> and</w:t>
      </w:r>
    </w:p>
    <w:p w14:paraId="380B9EC0" w14:textId="77777777" w:rsidR="00F66914" w:rsidRPr="00F66914" w:rsidRDefault="00F66914" w:rsidP="00695A33">
      <w:pPr>
        <w:pStyle w:val="Bullet1"/>
        <w:keepNext/>
        <w:keepLines/>
      </w:pPr>
      <w:r w:rsidRPr="00D5465A">
        <w:rPr>
          <w:szCs w:val="18"/>
        </w:rPr>
        <w:t>the number of people implicated in the disclosure</w:t>
      </w:r>
    </w:p>
    <w:p w14:paraId="30D60FA1" w14:textId="77777777" w:rsidR="00F66914" w:rsidRPr="00F66914" w:rsidRDefault="00F66914" w:rsidP="00F66914">
      <w:pPr>
        <w:pStyle w:val="Bullet1"/>
      </w:pPr>
      <w:r w:rsidRPr="00D5465A">
        <w:rPr>
          <w:szCs w:val="18"/>
        </w:rPr>
        <w:t>the subject matter of the disclosure</w:t>
      </w:r>
    </w:p>
    <w:p w14:paraId="1F227233" w14:textId="77777777" w:rsidR="00F66914" w:rsidRPr="00F66914" w:rsidRDefault="00F66914" w:rsidP="00F66914">
      <w:pPr>
        <w:pStyle w:val="Bullet1"/>
      </w:pPr>
      <w:r w:rsidRPr="00D5465A">
        <w:rPr>
          <w:szCs w:val="18"/>
        </w:rPr>
        <w:t>the number of people who are aware of the disclosure or are likely to become aware of the disclosure (for example, through participation in an investigation as witnesses)</w:t>
      </w:r>
    </w:p>
    <w:p w14:paraId="0783D8C9" w14:textId="77777777" w:rsidR="00F66914" w:rsidRPr="00D5465A" w:rsidRDefault="00F66914" w:rsidP="00F66914">
      <w:pPr>
        <w:pStyle w:val="Bullet1"/>
        <w:rPr>
          <w:szCs w:val="18"/>
        </w:rPr>
      </w:pPr>
      <w:r w:rsidRPr="00D5465A">
        <w:rPr>
          <w:szCs w:val="18"/>
        </w:rPr>
        <w:t>the culture of the workplace</w:t>
      </w:r>
    </w:p>
    <w:p w14:paraId="68204AB8" w14:textId="77777777" w:rsidR="00F66914" w:rsidRPr="00D5465A" w:rsidRDefault="00F66914" w:rsidP="00F66914">
      <w:pPr>
        <w:pStyle w:val="Bullet1"/>
        <w:rPr>
          <w:szCs w:val="18"/>
        </w:rPr>
      </w:pPr>
      <w:r w:rsidRPr="00D5465A">
        <w:rPr>
          <w:szCs w:val="18"/>
        </w:rPr>
        <w:t>whether any specific threats against the discloser have been received</w:t>
      </w:r>
    </w:p>
    <w:p w14:paraId="39DF5B6C" w14:textId="77777777" w:rsidR="00F66914" w:rsidRPr="00D5465A" w:rsidRDefault="00F66914" w:rsidP="00F66914">
      <w:pPr>
        <w:pStyle w:val="Bullet1"/>
        <w:rPr>
          <w:szCs w:val="18"/>
        </w:rPr>
      </w:pPr>
      <w:r w:rsidRPr="00D5465A">
        <w:rPr>
          <w:szCs w:val="18"/>
        </w:rPr>
        <w:t>whether there are circumstances that will make it difficult for the discloser not to discuss the disclosure in the workplace</w:t>
      </w:r>
    </w:p>
    <w:p w14:paraId="48C30B43" w14:textId="77777777" w:rsidR="00F66914" w:rsidRPr="00D5465A" w:rsidRDefault="00F66914" w:rsidP="00F66914">
      <w:pPr>
        <w:pStyle w:val="Bullet1"/>
        <w:rPr>
          <w:szCs w:val="18"/>
        </w:rPr>
      </w:pPr>
      <w:r w:rsidRPr="00D5465A">
        <w:rPr>
          <w:szCs w:val="18"/>
        </w:rPr>
        <w:t>whether there are allegations about individuals in the disclosure</w:t>
      </w:r>
    </w:p>
    <w:p w14:paraId="7D93D8AF" w14:textId="77777777" w:rsidR="00F66914" w:rsidRPr="00D5465A" w:rsidRDefault="00F66914" w:rsidP="00F66914">
      <w:pPr>
        <w:pStyle w:val="Bullet1"/>
        <w:rPr>
          <w:szCs w:val="18"/>
        </w:rPr>
      </w:pPr>
      <w:r w:rsidRPr="00D5465A">
        <w:rPr>
          <w:szCs w:val="18"/>
        </w:rPr>
        <w:t>whether there is a history of conflict between the discloser and the subject of the disclosure</w:t>
      </w:r>
      <w:r>
        <w:rPr>
          <w:szCs w:val="18"/>
          <w:lang w:val="en-US"/>
        </w:rPr>
        <w:t>,</w:t>
      </w:r>
      <w:r w:rsidRPr="00D5465A">
        <w:rPr>
          <w:szCs w:val="18"/>
        </w:rPr>
        <w:t xml:space="preserve"> and</w:t>
      </w:r>
    </w:p>
    <w:p w14:paraId="2BECBF7D" w14:textId="77777777" w:rsidR="0073163D" w:rsidRPr="00F66914" w:rsidRDefault="00F66914" w:rsidP="00F66914">
      <w:pPr>
        <w:pStyle w:val="Bullet1"/>
        <w:rPr>
          <w:szCs w:val="18"/>
        </w:rPr>
      </w:pPr>
      <w:r w:rsidRPr="00D5465A">
        <w:rPr>
          <w:szCs w:val="18"/>
        </w:rPr>
        <w:t>whether the disclosure can be investigated while maintaining confidentiality.</w:t>
      </w:r>
    </w:p>
    <w:p w14:paraId="347AF973" w14:textId="77777777" w:rsidR="001B2B32" w:rsidRPr="001B2B32" w:rsidRDefault="001B2B32" w:rsidP="001B2B32">
      <w:pPr>
        <w:pStyle w:val="Heading2"/>
        <w:keepNext w:val="0"/>
        <w:keepLines w:val="0"/>
        <w:rPr>
          <w:b/>
          <w:iCs/>
          <w:color w:val="48515C"/>
          <w:sz w:val="26"/>
          <w:szCs w:val="22"/>
        </w:rPr>
      </w:pPr>
      <w:r w:rsidRPr="001B2B32">
        <w:rPr>
          <w:b/>
          <w:iCs/>
          <w:color w:val="48515C"/>
          <w:sz w:val="26"/>
          <w:szCs w:val="22"/>
        </w:rPr>
        <w:t>Criteria for assessing likely seriousness of potential reprisals</w:t>
      </w:r>
    </w:p>
    <w:p w14:paraId="6CC07EDA" w14:textId="77777777" w:rsidR="001B2B32" w:rsidRPr="001B2B32" w:rsidRDefault="001B2B32" w:rsidP="001B2B32">
      <w:pPr>
        <w:keepNext/>
        <w:keepLines/>
        <w:suppressAutoHyphens w:val="0"/>
        <w:rPr>
          <w:szCs w:val="18"/>
        </w:rPr>
      </w:pPr>
      <w:r w:rsidRPr="001B2B32">
        <w:rPr>
          <w:szCs w:val="18"/>
        </w:rPr>
        <w:t>In considering the likely seriousness of any potential reprisal, the principal officer or relevant authorised officer should take into account all relevant factors, including, to the extent relevant:</w:t>
      </w:r>
    </w:p>
    <w:p w14:paraId="2FCF5560" w14:textId="77777777" w:rsidR="001B2B32" w:rsidRPr="00B778EA" w:rsidRDefault="001B2B32" w:rsidP="00B778EA">
      <w:pPr>
        <w:pStyle w:val="Bullet1"/>
      </w:pPr>
      <w:r w:rsidRPr="00D5465A">
        <w:rPr>
          <w:szCs w:val="18"/>
        </w:rPr>
        <w:t>the significance of the issue being disclosed</w:t>
      </w:r>
    </w:p>
    <w:p w14:paraId="400B182B" w14:textId="77777777" w:rsidR="001B2B32" w:rsidRPr="00B778EA" w:rsidRDefault="001B2B32" w:rsidP="00B778EA">
      <w:pPr>
        <w:pStyle w:val="Bullet1"/>
      </w:pPr>
      <w:r w:rsidRPr="00D5465A">
        <w:rPr>
          <w:szCs w:val="18"/>
        </w:rPr>
        <w:t>the likely outcome if the conduct disclosed is substantiated</w:t>
      </w:r>
    </w:p>
    <w:p w14:paraId="04AB10BA" w14:textId="77777777" w:rsidR="001B2B32" w:rsidRPr="00B778EA" w:rsidRDefault="001B2B32" w:rsidP="00B778EA">
      <w:pPr>
        <w:pStyle w:val="Bullet1"/>
      </w:pPr>
      <w:r w:rsidRPr="00D5465A">
        <w:rPr>
          <w:szCs w:val="18"/>
        </w:rPr>
        <w:t>the subject matter of the disclosure</w:t>
      </w:r>
    </w:p>
    <w:p w14:paraId="31AD60A6" w14:textId="77777777" w:rsidR="001B2B32" w:rsidRPr="00B778EA" w:rsidRDefault="001B2B32" w:rsidP="00B778EA">
      <w:pPr>
        <w:pStyle w:val="Bullet1"/>
      </w:pPr>
      <w:r w:rsidRPr="00D5465A">
        <w:rPr>
          <w:szCs w:val="18"/>
        </w:rPr>
        <w:t>whether the discloser</w:t>
      </w:r>
      <w:r>
        <w:rPr>
          <w:szCs w:val="18"/>
        </w:rPr>
        <w:t>/other person</w:t>
      </w:r>
      <w:r w:rsidRPr="00D5465A">
        <w:rPr>
          <w:szCs w:val="18"/>
        </w:rPr>
        <w:t xml:space="preserve"> is isolated</w:t>
      </w:r>
    </w:p>
    <w:p w14:paraId="6361992B" w14:textId="77777777" w:rsidR="001B2B32" w:rsidRPr="00B778EA" w:rsidRDefault="001B2B32" w:rsidP="00B778EA">
      <w:pPr>
        <w:pStyle w:val="Bullet1"/>
      </w:pPr>
      <w:r w:rsidRPr="00D5465A">
        <w:rPr>
          <w:szCs w:val="18"/>
        </w:rPr>
        <w:t>whether the discloser</w:t>
      </w:r>
      <w:r>
        <w:rPr>
          <w:szCs w:val="18"/>
        </w:rPr>
        <w:t>/other person</w:t>
      </w:r>
      <w:r w:rsidRPr="00D5465A">
        <w:rPr>
          <w:szCs w:val="18"/>
        </w:rPr>
        <w:t xml:space="preserve"> is employed on a full-time, part time or casual basis</w:t>
      </w:r>
    </w:p>
    <w:p w14:paraId="323DF0CC" w14:textId="77777777" w:rsidR="001B2B32" w:rsidRPr="00B778EA" w:rsidRDefault="001B2B32" w:rsidP="00B778EA">
      <w:pPr>
        <w:pStyle w:val="Bullet1"/>
      </w:pPr>
      <w:r w:rsidRPr="00D5465A">
        <w:rPr>
          <w:szCs w:val="18"/>
        </w:rPr>
        <w:t>whether the alleged wrongdoing that is the subject of the disclosure was directed at the discloser</w:t>
      </w:r>
      <w:r>
        <w:rPr>
          <w:szCs w:val="18"/>
        </w:rPr>
        <w:t>, or another person</w:t>
      </w:r>
      <w:r w:rsidR="00B778EA">
        <w:rPr>
          <w:szCs w:val="18"/>
          <w:lang w:val="en-US"/>
        </w:rPr>
        <w:t>,</w:t>
      </w:r>
      <w:r w:rsidRPr="00D5465A">
        <w:rPr>
          <w:szCs w:val="18"/>
        </w:rPr>
        <w:t xml:space="preserve"> and</w:t>
      </w:r>
    </w:p>
    <w:p w14:paraId="0D4B8459" w14:textId="77777777" w:rsidR="001B2B32" w:rsidRPr="00B778EA" w:rsidRDefault="001B2B32" w:rsidP="00B778EA">
      <w:pPr>
        <w:pStyle w:val="Bullet1"/>
      </w:pPr>
      <w:r w:rsidRPr="00D5465A">
        <w:rPr>
          <w:szCs w:val="18"/>
        </w:rPr>
        <w:t>the relative positions of the discloser</w:t>
      </w:r>
      <w:r>
        <w:rPr>
          <w:szCs w:val="18"/>
        </w:rPr>
        <w:t>/other person</w:t>
      </w:r>
      <w:r w:rsidRPr="00D5465A">
        <w:rPr>
          <w:szCs w:val="18"/>
        </w:rPr>
        <w:t xml:space="preserve"> and the person whose alleged wrongdoing is the subject of the disclosure.</w:t>
      </w:r>
    </w:p>
    <w:p w14:paraId="252113B0" w14:textId="77777777" w:rsidR="001B2B32" w:rsidRPr="00B778EA" w:rsidRDefault="001B2B32" w:rsidP="00B778EA">
      <w:pPr>
        <w:pStyle w:val="Heading2"/>
        <w:keepNext w:val="0"/>
        <w:keepLines w:val="0"/>
        <w:rPr>
          <w:b/>
          <w:iCs/>
          <w:color w:val="48515C"/>
          <w:sz w:val="26"/>
          <w:szCs w:val="22"/>
        </w:rPr>
      </w:pPr>
      <w:r w:rsidRPr="00B778EA">
        <w:rPr>
          <w:b/>
          <w:iCs/>
          <w:color w:val="48515C"/>
          <w:sz w:val="26"/>
          <w:szCs w:val="22"/>
        </w:rPr>
        <w:t>Examples of seriousness of reprisals</w:t>
      </w:r>
    </w:p>
    <w:p w14:paraId="00FD1A1D" w14:textId="77777777" w:rsidR="001B2B32" w:rsidRPr="00B778EA" w:rsidRDefault="001B2B32" w:rsidP="00B778EA">
      <w:pPr>
        <w:pStyle w:val="Bullet1"/>
      </w:pPr>
      <w:r w:rsidRPr="00D5465A">
        <w:rPr>
          <w:szCs w:val="18"/>
          <w:u w:val="single"/>
        </w:rPr>
        <w:t>Minor</w:t>
      </w:r>
      <w:r w:rsidRPr="00D5465A">
        <w:rPr>
          <w:szCs w:val="18"/>
        </w:rPr>
        <w:t>: Occasional or one-off action that is likely to have a relatively minor adverse effect on the person (for example, occasional exclusion of the person from a social activity).</w:t>
      </w:r>
    </w:p>
    <w:p w14:paraId="08DF6F7A" w14:textId="77777777" w:rsidR="001B2B32" w:rsidRPr="00B778EA" w:rsidRDefault="001B2B32" w:rsidP="00B778EA">
      <w:pPr>
        <w:pStyle w:val="Bullet1"/>
      </w:pPr>
      <w:r w:rsidRPr="00D5465A">
        <w:rPr>
          <w:szCs w:val="18"/>
          <w:u w:val="single"/>
        </w:rPr>
        <w:t>Moderate</w:t>
      </w:r>
      <w:r w:rsidRPr="00D5465A">
        <w:rPr>
          <w:szCs w:val="18"/>
        </w:rPr>
        <w:t>: Repeated action which is likely to have an adverse effect on the person (for example, routinely failing to "CC" the person on work-related emails).</w:t>
      </w:r>
    </w:p>
    <w:p w14:paraId="7EC463D9" w14:textId="77777777" w:rsidR="001B2B32" w:rsidRPr="00B778EA" w:rsidRDefault="001B2B32" w:rsidP="00B778EA">
      <w:pPr>
        <w:pStyle w:val="Bullet1"/>
      </w:pPr>
      <w:r w:rsidRPr="00D5465A">
        <w:rPr>
          <w:szCs w:val="18"/>
          <w:u w:val="single"/>
        </w:rPr>
        <w:t>Major</w:t>
      </w:r>
      <w:r w:rsidRPr="00D5465A">
        <w:rPr>
          <w:szCs w:val="18"/>
        </w:rPr>
        <w:t xml:space="preserve">: Sustained or one-off action which has a significant impact on the person (for example, consistently excluding the person from team discussions or imposing a negative performance assessment on the person). </w:t>
      </w:r>
    </w:p>
    <w:p w14:paraId="4F3780F1" w14:textId="77777777" w:rsidR="001B2B32" w:rsidRPr="00B778EA" w:rsidRDefault="001B2B32" w:rsidP="00B778EA">
      <w:pPr>
        <w:pStyle w:val="Bullet1"/>
      </w:pPr>
      <w:r w:rsidRPr="00D5465A">
        <w:rPr>
          <w:szCs w:val="18"/>
          <w:u w:val="single"/>
        </w:rPr>
        <w:t>Extreme</w:t>
      </w:r>
      <w:r w:rsidRPr="00D5465A">
        <w:rPr>
          <w:szCs w:val="18"/>
        </w:rPr>
        <w:t>: Action which is likely to have a very severe impact on the person (for example, physical violence or the denial of a promotion opportunity).</w:t>
      </w:r>
    </w:p>
    <w:p w14:paraId="1F5A7E96" w14:textId="77777777" w:rsidR="001B2B32" w:rsidRPr="00AE5E6E" w:rsidRDefault="001B2B32" w:rsidP="00695A33">
      <w:pPr>
        <w:suppressAutoHyphens w:val="0"/>
        <w:rPr>
          <w:szCs w:val="18"/>
        </w:rPr>
      </w:pPr>
      <w:r w:rsidRPr="00D5465A">
        <w:rPr>
          <w:szCs w:val="18"/>
        </w:rPr>
        <w:t xml:space="preserve">When conducting </w:t>
      </w:r>
      <w:r w:rsidRPr="00AE5E6E">
        <w:rPr>
          <w:szCs w:val="18"/>
        </w:rPr>
        <w:t xml:space="preserve">the risk assessment, where consistent with protecting the discloser's confidentiality, the </w:t>
      </w:r>
      <w:r>
        <w:rPr>
          <w:szCs w:val="18"/>
        </w:rPr>
        <w:t xml:space="preserve">principal officer or relevant </w:t>
      </w:r>
      <w:r w:rsidRPr="00AE5E6E">
        <w:rPr>
          <w:szCs w:val="18"/>
        </w:rPr>
        <w:t>authorised officer may ask the discloser why they are reporting the wrongdoing and who they might fear a reprisal from</w:t>
      </w:r>
      <w:r>
        <w:rPr>
          <w:szCs w:val="18"/>
        </w:rPr>
        <w:t>.</w:t>
      </w:r>
    </w:p>
    <w:p w14:paraId="6DB6FC95" w14:textId="77777777" w:rsidR="008B2D99" w:rsidRPr="008B2D99" w:rsidRDefault="008B2D99" w:rsidP="008B2D99">
      <w:pPr>
        <w:pStyle w:val="Heading3"/>
      </w:pPr>
      <w:r w:rsidRPr="008B2D99">
        <w:t>Step 2: Develop a risk mitigation strategy if necessary</w:t>
      </w:r>
    </w:p>
    <w:p w14:paraId="2004D3E5" w14:textId="77777777" w:rsidR="008B2D99" w:rsidRPr="00AE5E6E" w:rsidRDefault="008B2D99" w:rsidP="008B2D99">
      <w:pPr>
        <w:keepNext/>
        <w:keepLines/>
        <w:suppressAutoHyphens w:val="0"/>
        <w:rPr>
          <w:szCs w:val="18"/>
        </w:rPr>
      </w:pPr>
      <w:r w:rsidRPr="008B2D99">
        <w:rPr>
          <w:szCs w:val="18"/>
        </w:rPr>
        <w:t>Where the risk level is assessed as anything greater than low, the principal officer or relevant authorised officer will develop a risk management strategy for mitigating the risk of reprisals being taken against the discloser.  This strategy may include some or all of the support measures set out at paragraph 3.8 and, in appropriate circumstances, could include raising the matter with employees by reminding staff that taking or threatening to take a reprisal is a criminal offence.</w:t>
      </w:r>
    </w:p>
    <w:p w14:paraId="7441C417" w14:textId="77777777" w:rsidR="008B2D99" w:rsidRPr="008B2D99" w:rsidRDefault="008B2D99" w:rsidP="008B2D99">
      <w:pPr>
        <w:pStyle w:val="Heading3"/>
      </w:pPr>
      <w:r w:rsidRPr="008B2D99">
        <w:t>Step 3: Monitor and review risks</w:t>
      </w:r>
    </w:p>
    <w:p w14:paraId="1A0CA6A3" w14:textId="77777777" w:rsidR="008B2D99" w:rsidRPr="00D5465A" w:rsidRDefault="008B2D99" w:rsidP="008B2D99">
      <w:pPr>
        <w:keepNext/>
        <w:keepLines/>
        <w:suppressAutoHyphens w:val="0"/>
        <w:rPr>
          <w:szCs w:val="18"/>
        </w:rPr>
      </w:pPr>
      <w:r w:rsidRPr="008B2D99">
        <w:rPr>
          <w:szCs w:val="18"/>
        </w:rPr>
        <w:t>The principal officer or relevant authorised officer should monitor and review the risk assessment as necessary throughout the investigation process.</w:t>
      </w:r>
    </w:p>
    <w:p w14:paraId="72616D7D" w14:textId="77777777" w:rsidR="00C178F7" w:rsidRPr="00163F06" w:rsidRDefault="00163F06" w:rsidP="00163F06">
      <w:pPr>
        <w:pStyle w:val="Heading2"/>
      </w:pPr>
      <w:r>
        <w:t>3.8</w:t>
      </w:r>
      <w:r>
        <w:tab/>
      </w:r>
      <w:r w:rsidRPr="00163F06">
        <w:t>Support for disclosers</w:t>
      </w:r>
    </w:p>
    <w:p w14:paraId="1EB2500B" w14:textId="77777777" w:rsidR="00C178F7" w:rsidRPr="00163F06" w:rsidRDefault="00C178F7" w:rsidP="00163F06">
      <w:pPr>
        <w:keepNext/>
        <w:keepLines/>
        <w:suppressAutoHyphens w:val="0"/>
        <w:rPr>
          <w:szCs w:val="18"/>
        </w:rPr>
      </w:pPr>
      <w:r w:rsidRPr="00163F06">
        <w:rPr>
          <w:szCs w:val="18"/>
        </w:rPr>
        <w:t>Regardless of the outcome of the risk assessment, the authorised officer and principal officer will take reasonable steps to provide support and to protect public officials who belong to the Department who have made a PID from detriment or threats of detriment relating to the PID.</w:t>
      </w:r>
    </w:p>
    <w:p w14:paraId="39B584BF" w14:textId="77777777" w:rsidR="00C178F7" w:rsidRPr="00163F06" w:rsidRDefault="00C178F7" w:rsidP="00163F06">
      <w:pPr>
        <w:keepNext/>
        <w:keepLines/>
        <w:suppressAutoHyphens w:val="0"/>
        <w:rPr>
          <w:szCs w:val="18"/>
        </w:rPr>
      </w:pPr>
      <w:r w:rsidRPr="00163F06">
        <w:rPr>
          <w:szCs w:val="18"/>
        </w:rPr>
        <w:t>This may include taking one or more of the following actions:</w:t>
      </w:r>
    </w:p>
    <w:p w14:paraId="03B2698F" w14:textId="77777777" w:rsidR="00C178F7" w:rsidRPr="00163F06" w:rsidRDefault="00C178F7" w:rsidP="00163F06">
      <w:pPr>
        <w:pStyle w:val="Bullet1"/>
      </w:pPr>
      <w:r w:rsidRPr="00D5465A">
        <w:rPr>
          <w:szCs w:val="18"/>
        </w:rPr>
        <w:t>appointing a support person to assist the discloser, who is responsible for checking on the wellbeing of the discloser regularly</w:t>
      </w:r>
    </w:p>
    <w:p w14:paraId="6E884214" w14:textId="77777777" w:rsidR="00C178F7" w:rsidRPr="00163F06" w:rsidRDefault="00C178F7" w:rsidP="00163F06">
      <w:pPr>
        <w:pStyle w:val="Bullet1"/>
      </w:pPr>
      <w:r w:rsidRPr="00D5465A">
        <w:rPr>
          <w:szCs w:val="18"/>
        </w:rPr>
        <w:t>informing the discloser of the progress of the investigation</w:t>
      </w:r>
    </w:p>
    <w:p w14:paraId="7C5BDCC4" w14:textId="77777777" w:rsidR="00C178F7" w:rsidRPr="00163F06" w:rsidRDefault="00C178F7" w:rsidP="00163F06">
      <w:pPr>
        <w:pStyle w:val="Bullet1"/>
      </w:pPr>
      <w:r w:rsidRPr="00D5465A">
        <w:rPr>
          <w:szCs w:val="18"/>
        </w:rPr>
        <w:t>advising the discloser</w:t>
      </w:r>
      <w:r>
        <w:rPr>
          <w:szCs w:val="18"/>
        </w:rPr>
        <w:t xml:space="preserve"> </w:t>
      </w:r>
      <w:r w:rsidRPr="00D5465A">
        <w:rPr>
          <w:szCs w:val="18"/>
        </w:rPr>
        <w:t xml:space="preserve">of the availability of </w:t>
      </w:r>
      <w:r>
        <w:rPr>
          <w:szCs w:val="18"/>
        </w:rPr>
        <w:t>the Department</w:t>
      </w:r>
      <w:r w:rsidRPr="00D5465A">
        <w:rPr>
          <w:szCs w:val="18"/>
        </w:rPr>
        <w:t>'</w:t>
      </w:r>
      <w:r>
        <w:rPr>
          <w:szCs w:val="18"/>
        </w:rPr>
        <w:t>s</w:t>
      </w:r>
      <w:r w:rsidRPr="00D5465A">
        <w:rPr>
          <w:szCs w:val="18"/>
        </w:rPr>
        <w:t xml:space="preserve"> employee assistance program</w:t>
      </w:r>
    </w:p>
    <w:p w14:paraId="6B3153CC" w14:textId="77777777" w:rsidR="00C178F7" w:rsidRPr="00163F06" w:rsidRDefault="00C178F7" w:rsidP="00163F06">
      <w:pPr>
        <w:pStyle w:val="Bullet1"/>
      </w:pPr>
      <w:r w:rsidRPr="00D5465A">
        <w:rPr>
          <w:szCs w:val="18"/>
        </w:rPr>
        <w:t xml:space="preserve">where there are any concerns about the health and wellbeing of the discloser, liaising with officers responsible for work health and safety in </w:t>
      </w:r>
      <w:r>
        <w:rPr>
          <w:szCs w:val="18"/>
        </w:rPr>
        <w:t>the Department</w:t>
      </w:r>
      <w:r w:rsidR="00163F06">
        <w:rPr>
          <w:szCs w:val="18"/>
          <w:lang w:val="en-US"/>
        </w:rPr>
        <w:t>,</w:t>
      </w:r>
      <w:r w:rsidRPr="00D5465A">
        <w:rPr>
          <w:szCs w:val="18"/>
        </w:rPr>
        <w:t xml:space="preserve"> or</w:t>
      </w:r>
    </w:p>
    <w:p w14:paraId="5E68980B" w14:textId="77777777" w:rsidR="00C178F7" w:rsidRPr="00163F06" w:rsidRDefault="00C178F7" w:rsidP="00163F06">
      <w:pPr>
        <w:pStyle w:val="Bullet1"/>
      </w:pPr>
      <w:r w:rsidRPr="00D5465A">
        <w:rPr>
          <w:szCs w:val="18"/>
        </w:rPr>
        <w:t>transferring the discloser</w:t>
      </w:r>
      <w:r>
        <w:rPr>
          <w:szCs w:val="18"/>
        </w:rPr>
        <w:t xml:space="preserve"> </w:t>
      </w:r>
      <w:r w:rsidRPr="00D5465A">
        <w:rPr>
          <w:szCs w:val="18"/>
        </w:rPr>
        <w:t>to a different area within the workplace or approving remote working (where remote working arrangements are not already in place) with the consent of the discloser.</w:t>
      </w:r>
    </w:p>
    <w:p w14:paraId="6D9DBD3A" w14:textId="77777777" w:rsidR="00C178F7" w:rsidRPr="00722B9D" w:rsidRDefault="00722B9D" w:rsidP="00722B9D">
      <w:pPr>
        <w:pStyle w:val="Heading2"/>
      </w:pPr>
      <w:r>
        <w:t>3.9</w:t>
      </w:r>
      <w:r>
        <w:tab/>
      </w:r>
      <w:r w:rsidRPr="00722B9D">
        <w:t>Support for a person against whom a disclosure has been made</w:t>
      </w:r>
    </w:p>
    <w:p w14:paraId="5771551A" w14:textId="77777777" w:rsidR="00C178F7" w:rsidRPr="00722B9D" w:rsidRDefault="00C178F7" w:rsidP="00722B9D">
      <w:pPr>
        <w:keepNext/>
        <w:keepLines/>
        <w:suppressAutoHyphens w:val="0"/>
        <w:rPr>
          <w:szCs w:val="18"/>
        </w:rPr>
      </w:pPr>
      <w:r w:rsidRPr="00722B9D">
        <w:rPr>
          <w:szCs w:val="18"/>
        </w:rPr>
        <w:t>The principal officer will also take steps to support any employee who is the subject of a PID.  This may include taking one or more of the following actions:</w:t>
      </w:r>
    </w:p>
    <w:p w14:paraId="31DAAA2D" w14:textId="77777777" w:rsidR="00C178F7" w:rsidRPr="00722B9D" w:rsidRDefault="00C178F7" w:rsidP="00722B9D">
      <w:pPr>
        <w:pStyle w:val="Bullet1"/>
      </w:pPr>
      <w:r w:rsidRPr="00D5465A">
        <w:rPr>
          <w:szCs w:val="18"/>
        </w:rPr>
        <w:t xml:space="preserve">advising the employee of their rights and obligations under the PID Act and about </w:t>
      </w:r>
      <w:r>
        <w:rPr>
          <w:szCs w:val="18"/>
        </w:rPr>
        <w:t>the Department</w:t>
      </w:r>
      <w:r w:rsidRPr="00D5465A">
        <w:rPr>
          <w:szCs w:val="18"/>
        </w:rPr>
        <w:t>'</w:t>
      </w:r>
      <w:r>
        <w:rPr>
          <w:szCs w:val="18"/>
        </w:rPr>
        <w:t>s</w:t>
      </w:r>
      <w:r w:rsidRPr="00D5465A">
        <w:rPr>
          <w:szCs w:val="18"/>
        </w:rPr>
        <w:t xml:space="preserve"> investigation procedures, including the employee's rights to procedural fairness</w:t>
      </w:r>
    </w:p>
    <w:p w14:paraId="2CBF511F" w14:textId="77777777" w:rsidR="00C178F7" w:rsidRPr="00722B9D" w:rsidRDefault="00C178F7" w:rsidP="00722B9D">
      <w:pPr>
        <w:pStyle w:val="Bullet1"/>
      </w:pPr>
      <w:r w:rsidRPr="00D5465A">
        <w:rPr>
          <w:szCs w:val="18"/>
        </w:rPr>
        <w:t>informing the employee of the progress of the investigation</w:t>
      </w:r>
    </w:p>
    <w:p w14:paraId="4297E4C2" w14:textId="77777777" w:rsidR="00C178F7" w:rsidRPr="00722B9D" w:rsidRDefault="00C178F7" w:rsidP="00722B9D">
      <w:pPr>
        <w:pStyle w:val="Bullet1"/>
      </w:pPr>
      <w:r w:rsidRPr="00D5465A">
        <w:rPr>
          <w:szCs w:val="18"/>
        </w:rPr>
        <w:t>advising the employee of the availability of the employee assistance program</w:t>
      </w:r>
    </w:p>
    <w:p w14:paraId="582FBFCA" w14:textId="77777777" w:rsidR="00C178F7" w:rsidRPr="00722B9D" w:rsidRDefault="00C178F7" w:rsidP="00722B9D">
      <w:pPr>
        <w:pStyle w:val="Bullet1"/>
      </w:pPr>
      <w:r w:rsidRPr="00D5465A">
        <w:rPr>
          <w:szCs w:val="18"/>
        </w:rPr>
        <w:t>ensuring that the identity of the employee is kept confidential as far as is reasonably practicable</w:t>
      </w:r>
    </w:p>
    <w:p w14:paraId="3ADD9601" w14:textId="77777777" w:rsidR="00C178F7" w:rsidRPr="00722B9D" w:rsidRDefault="00C178F7" w:rsidP="00722B9D">
      <w:pPr>
        <w:pStyle w:val="Bullet1"/>
      </w:pPr>
      <w:r w:rsidRPr="00D5465A">
        <w:rPr>
          <w:szCs w:val="18"/>
        </w:rPr>
        <w:t xml:space="preserve">where there are any concerns about the health and wellbeing of the employee, liaising with </w:t>
      </w:r>
      <w:r>
        <w:rPr>
          <w:szCs w:val="18"/>
        </w:rPr>
        <w:t>officers responsible for work health and safety at the Department</w:t>
      </w:r>
      <w:r w:rsidR="00722B9D">
        <w:rPr>
          <w:szCs w:val="18"/>
          <w:lang w:val="en-US"/>
        </w:rPr>
        <w:t>,</w:t>
      </w:r>
      <w:r w:rsidRPr="00D5465A">
        <w:rPr>
          <w:szCs w:val="18"/>
        </w:rPr>
        <w:t xml:space="preserve"> or</w:t>
      </w:r>
    </w:p>
    <w:p w14:paraId="61D0743C" w14:textId="77777777" w:rsidR="00C178F7" w:rsidRPr="00722B9D" w:rsidRDefault="00C178F7" w:rsidP="00722B9D">
      <w:pPr>
        <w:pStyle w:val="Bullet1"/>
      </w:pPr>
      <w:r w:rsidRPr="00D5465A">
        <w:rPr>
          <w:szCs w:val="18"/>
        </w:rPr>
        <w:t>transferring the employee to a different area within the workplace or approving remote working arrangements (where these are not already in place) with the consent of the employee.</w:t>
      </w:r>
    </w:p>
    <w:p w14:paraId="150813C4" w14:textId="77777777" w:rsidR="00C178F7" w:rsidRPr="00722B9D" w:rsidRDefault="00722B9D" w:rsidP="00722B9D">
      <w:pPr>
        <w:pStyle w:val="Heading2"/>
      </w:pPr>
      <w:r>
        <w:t>3.10</w:t>
      </w:r>
      <w:r>
        <w:tab/>
      </w:r>
      <w:r w:rsidRPr="00722B9D">
        <w:t>Consideration and investigation by principal officer</w:t>
      </w:r>
    </w:p>
    <w:p w14:paraId="71EB043E" w14:textId="77777777" w:rsidR="00C178F7" w:rsidRPr="00D5465A" w:rsidRDefault="00C178F7" w:rsidP="00722B9D">
      <w:pPr>
        <w:pStyle w:val="Heading3"/>
      </w:pPr>
      <w:r w:rsidRPr="00D5465A">
        <w:t>Step 1: Provide initial information to disclosers</w:t>
      </w:r>
    </w:p>
    <w:p w14:paraId="600EA7A5" w14:textId="77777777" w:rsidR="00C178F7" w:rsidRPr="00722B9D" w:rsidRDefault="00C178F7" w:rsidP="00722B9D">
      <w:pPr>
        <w:keepNext/>
        <w:keepLines/>
        <w:suppressAutoHyphens w:val="0"/>
        <w:rPr>
          <w:szCs w:val="18"/>
        </w:rPr>
      </w:pPr>
      <w:r w:rsidRPr="00722B9D">
        <w:rPr>
          <w:szCs w:val="18"/>
        </w:rPr>
        <w:t>Where reasonably practicable, within 14 days of the Department being allocated a PID, the principal officer will provide the discloser with information about their powers to:</w:t>
      </w:r>
    </w:p>
    <w:p w14:paraId="2D425F27" w14:textId="77777777" w:rsidR="00C178F7" w:rsidRPr="00722B9D" w:rsidRDefault="00C178F7" w:rsidP="00722B9D">
      <w:pPr>
        <w:pStyle w:val="Bullet1"/>
      </w:pPr>
      <w:r w:rsidRPr="00D5465A">
        <w:rPr>
          <w:szCs w:val="18"/>
        </w:rPr>
        <w:t>decide not to investigate the disclosure</w:t>
      </w:r>
    </w:p>
    <w:p w14:paraId="66491875" w14:textId="77777777" w:rsidR="00C178F7" w:rsidRPr="00722B9D" w:rsidRDefault="00C178F7" w:rsidP="00722B9D">
      <w:pPr>
        <w:pStyle w:val="Bullet1"/>
      </w:pPr>
      <w:r w:rsidRPr="00D5465A">
        <w:rPr>
          <w:szCs w:val="18"/>
        </w:rPr>
        <w:t>decide not to investigate the disclosure furthe</w:t>
      </w:r>
      <w:r w:rsidR="002B6571">
        <w:rPr>
          <w:szCs w:val="18"/>
          <w:lang w:val="en-US"/>
        </w:rPr>
        <w:t>r</w:t>
      </w:r>
    </w:p>
    <w:p w14:paraId="1D3C30AD" w14:textId="77777777" w:rsidR="00C178F7" w:rsidRPr="00722B9D" w:rsidRDefault="00C178F7" w:rsidP="00722B9D">
      <w:pPr>
        <w:pStyle w:val="Bullet1"/>
      </w:pPr>
      <w:r w:rsidRPr="00D5465A">
        <w:rPr>
          <w:szCs w:val="18"/>
        </w:rPr>
        <w:t>decide to investigate the disclosure under a separate investigative power</w:t>
      </w:r>
      <w:r w:rsidR="002B6571">
        <w:rPr>
          <w:szCs w:val="18"/>
          <w:lang w:val="en-US"/>
        </w:rPr>
        <w:t>,</w:t>
      </w:r>
      <w:r>
        <w:rPr>
          <w:szCs w:val="18"/>
        </w:rPr>
        <w:t xml:space="preserve"> or</w:t>
      </w:r>
    </w:p>
    <w:p w14:paraId="29240D1A" w14:textId="77777777" w:rsidR="00C178F7" w:rsidRPr="00722B9D" w:rsidRDefault="00C178F7" w:rsidP="00722B9D">
      <w:pPr>
        <w:pStyle w:val="Bullet1"/>
      </w:pPr>
      <w:r>
        <w:rPr>
          <w:szCs w:val="18"/>
        </w:rPr>
        <w:t>decide to investigate the disclosure under another law or power</w:t>
      </w:r>
      <w:r w:rsidRPr="00D5465A">
        <w:rPr>
          <w:szCs w:val="18"/>
        </w:rPr>
        <w:t>.</w:t>
      </w:r>
    </w:p>
    <w:p w14:paraId="67177762" w14:textId="77777777" w:rsidR="00C178F7" w:rsidRPr="00722B9D" w:rsidRDefault="00C178F7" w:rsidP="00722B9D">
      <w:pPr>
        <w:pStyle w:val="Heading3"/>
      </w:pPr>
      <w:r w:rsidRPr="00722B9D">
        <w:t>Step 2: Consider whether to investigate the disclosure</w:t>
      </w:r>
    </w:p>
    <w:p w14:paraId="0A4BDBBF" w14:textId="77777777" w:rsidR="00C178F7" w:rsidRPr="00722B9D" w:rsidRDefault="00C178F7" w:rsidP="00722B9D">
      <w:pPr>
        <w:keepNext/>
        <w:keepLines/>
        <w:suppressAutoHyphens w:val="0"/>
        <w:rPr>
          <w:szCs w:val="18"/>
        </w:rPr>
      </w:pPr>
      <w:r w:rsidRPr="00722B9D">
        <w:rPr>
          <w:szCs w:val="18"/>
        </w:rPr>
        <w:t>If a PID is allocated to the Department, the principal officer must investigate the disclosure unless there is a basis under the PID Act to decide not to investigate the disclosure or the principal officer cannot investigate the disclosure (or investigate the disclosure further) because of a stop action direction under the NACC Act.</w:t>
      </w:r>
    </w:p>
    <w:p w14:paraId="1B39EC81" w14:textId="77777777" w:rsidR="00C178F7" w:rsidRPr="00722B9D" w:rsidRDefault="00C178F7" w:rsidP="00722B9D">
      <w:pPr>
        <w:keepNext/>
        <w:keepLines/>
        <w:suppressAutoHyphens w:val="0"/>
        <w:rPr>
          <w:szCs w:val="18"/>
        </w:rPr>
      </w:pPr>
      <w:r w:rsidRPr="00722B9D">
        <w:rPr>
          <w:szCs w:val="18"/>
        </w:rPr>
        <w:t>The principal officer may decide not to investigate a disclosure if the principal officer considers that:</w:t>
      </w:r>
    </w:p>
    <w:p w14:paraId="1832DA98" w14:textId="77777777" w:rsidR="00C178F7" w:rsidRPr="00722B9D" w:rsidRDefault="00C178F7" w:rsidP="00722B9D">
      <w:pPr>
        <w:pStyle w:val="Bullet1"/>
      </w:pPr>
      <w:r w:rsidRPr="00D5465A">
        <w:rPr>
          <w:szCs w:val="18"/>
        </w:rPr>
        <w:t>the discloser is not and has not been a public official</w:t>
      </w:r>
    </w:p>
    <w:p w14:paraId="71F8C8DD" w14:textId="77777777" w:rsidR="00C178F7" w:rsidRPr="00722B9D" w:rsidRDefault="00C178F7" w:rsidP="00722B9D">
      <w:pPr>
        <w:pStyle w:val="Bullet1"/>
      </w:pPr>
      <w:r w:rsidRPr="00D5465A">
        <w:rPr>
          <w:szCs w:val="18"/>
        </w:rPr>
        <w:t>the information does not, to any extent, concern serious disclosable conduct</w:t>
      </w:r>
    </w:p>
    <w:p w14:paraId="703EC9B5" w14:textId="77777777" w:rsidR="00C178F7" w:rsidRDefault="00C178F7" w:rsidP="00722B9D">
      <w:pPr>
        <w:pStyle w:val="Bullet1"/>
        <w:rPr>
          <w:szCs w:val="18"/>
        </w:rPr>
      </w:pPr>
      <w:r w:rsidRPr="00D5465A">
        <w:rPr>
          <w:szCs w:val="18"/>
        </w:rPr>
        <w:t>the disclosure is frivolous or vexatious</w:t>
      </w:r>
    </w:p>
    <w:p w14:paraId="33CD15AC" w14:textId="77777777" w:rsidR="00C178F7" w:rsidRPr="00722B9D" w:rsidRDefault="00C178F7" w:rsidP="00722B9D">
      <w:pPr>
        <w:pStyle w:val="Bullet1"/>
        <w:rPr>
          <w:szCs w:val="18"/>
        </w:rPr>
      </w:pPr>
      <w:r w:rsidRPr="000301EF">
        <w:rPr>
          <w:lang w:val="en-US"/>
        </w:rPr>
        <w:t xml:space="preserve">the information is the same or substantially the same as </w:t>
      </w:r>
      <w:r w:rsidRPr="00EC32DA">
        <w:rPr>
          <w:lang w:val="en-US"/>
        </w:rPr>
        <w:t>information previously disclosed under the PID Act and a decision had been previously made under section 48 not to investigate or further investigate the disclosure</w:t>
      </w:r>
      <w:r>
        <w:rPr>
          <w:lang w:val="en-US"/>
        </w:rPr>
        <w:t xml:space="preserve"> or the earlier disclosure </w:t>
      </w:r>
      <w:r w:rsidRPr="000301EF">
        <w:rPr>
          <w:lang w:val="en-US"/>
        </w:rPr>
        <w:t xml:space="preserve">has been, or is being, investigated as </w:t>
      </w:r>
      <w:r>
        <w:rPr>
          <w:lang w:val="en-US"/>
        </w:rPr>
        <w:t xml:space="preserve">a </w:t>
      </w:r>
      <w:r w:rsidRPr="000301EF">
        <w:rPr>
          <w:lang w:val="en-US"/>
        </w:rPr>
        <w:t>disclosure investigation</w:t>
      </w:r>
    </w:p>
    <w:p w14:paraId="5DC53722" w14:textId="77777777" w:rsidR="00C178F7" w:rsidRDefault="00C178F7" w:rsidP="00722B9D">
      <w:pPr>
        <w:pStyle w:val="Bullet1"/>
        <w:rPr>
          <w:szCs w:val="18"/>
        </w:rPr>
      </w:pPr>
      <w:r w:rsidRPr="00D5465A">
        <w:rPr>
          <w:szCs w:val="18"/>
        </w:rPr>
        <w:t xml:space="preserve">the conduct </w:t>
      </w:r>
      <w:r>
        <w:rPr>
          <w:szCs w:val="18"/>
        </w:rPr>
        <w:t xml:space="preserve">disclosed, </w:t>
      </w:r>
      <w:r w:rsidRPr="00D5465A">
        <w:rPr>
          <w:szCs w:val="18"/>
        </w:rPr>
        <w:t xml:space="preserve">or substantially the same </w:t>
      </w:r>
      <w:r>
        <w:rPr>
          <w:szCs w:val="18"/>
        </w:rPr>
        <w:t xml:space="preserve">conduct, </w:t>
      </w:r>
      <w:r w:rsidRPr="00D5465A">
        <w:rPr>
          <w:szCs w:val="18"/>
        </w:rPr>
        <w:t xml:space="preserve">is being investigated under </w:t>
      </w:r>
      <w:r>
        <w:rPr>
          <w:szCs w:val="18"/>
        </w:rPr>
        <w:t>another law or power</w:t>
      </w:r>
      <w:r w:rsidRPr="00D5465A">
        <w:rPr>
          <w:szCs w:val="18"/>
        </w:rPr>
        <w:t xml:space="preserve"> and</w:t>
      </w:r>
      <w:r>
        <w:rPr>
          <w:szCs w:val="18"/>
        </w:rPr>
        <w:t xml:space="preserve"> the principal officer is satisfied on reasonable grounds that </w:t>
      </w:r>
      <w:r w:rsidRPr="00D5465A">
        <w:rPr>
          <w:szCs w:val="18"/>
        </w:rPr>
        <w:t xml:space="preserve">it would be inappropriate to conduct </w:t>
      </w:r>
      <w:r>
        <w:rPr>
          <w:szCs w:val="18"/>
        </w:rPr>
        <w:t>a PID</w:t>
      </w:r>
      <w:r w:rsidRPr="00D5465A">
        <w:rPr>
          <w:szCs w:val="18"/>
        </w:rPr>
        <w:t xml:space="preserve"> investigation at the same time</w:t>
      </w:r>
    </w:p>
    <w:p w14:paraId="71E0F069" w14:textId="77777777" w:rsidR="00C178F7" w:rsidRPr="00D5465A" w:rsidRDefault="00C178F7" w:rsidP="00722B9D">
      <w:pPr>
        <w:pStyle w:val="Bullet1"/>
        <w:rPr>
          <w:szCs w:val="18"/>
        </w:rPr>
      </w:pPr>
      <w:r>
        <w:rPr>
          <w:szCs w:val="18"/>
        </w:rPr>
        <w:t xml:space="preserve">the conduct disclosed, or substantially the same conduct, has been investigated under another law or power and </w:t>
      </w:r>
      <w:r w:rsidRPr="00D5465A">
        <w:rPr>
          <w:szCs w:val="18"/>
        </w:rPr>
        <w:t>the principal officer is satisfied</w:t>
      </w:r>
      <w:r>
        <w:rPr>
          <w:szCs w:val="18"/>
        </w:rPr>
        <w:t xml:space="preserve"> on reasonable grounds</w:t>
      </w:r>
      <w:r w:rsidRPr="00D5465A">
        <w:rPr>
          <w:szCs w:val="18"/>
        </w:rPr>
        <w:t xml:space="preserve"> that there are no further matters concerning the </w:t>
      </w:r>
      <w:r>
        <w:rPr>
          <w:szCs w:val="18"/>
        </w:rPr>
        <w:t>conduct</w:t>
      </w:r>
      <w:r w:rsidRPr="00D5465A">
        <w:rPr>
          <w:szCs w:val="18"/>
        </w:rPr>
        <w:t xml:space="preserve"> that warrant investigation </w:t>
      </w:r>
    </w:p>
    <w:p w14:paraId="5D73DCE9" w14:textId="77777777" w:rsidR="00C178F7" w:rsidRDefault="00C178F7" w:rsidP="00722B9D">
      <w:pPr>
        <w:pStyle w:val="Bullet1"/>
        <w:rPr>
          <w:szCs w:val="18"/>
        </w:rPr>
      </w:pPr>
      <w:r w:rsidRPr="00862C7B">
        <w:rPr>
          <w:szCs w:val="18"/>
        </w:rPr>
        <w:t>the principal officer is satisfied, on reasonable grounds, that the conduct disclosed would be more appropriately investigated under another law or power (unless this view is reached because the conduct disclosed raises a corruption issue)</w:t>
      </w:r>
    </w:p>
    <w:p w14:paraId="40EEBEB8" w14:textId="77777777" w:rsidR="00C178F7" w:rsidRPr="00D5465A" w:rsidRDefault="00C178F7" w:rsidP="00722B9D">
      <w:pPr>
        <w:pStyle w:val="Bullet1"/>
        <w:rPr>
          <w:szCs w:val="18"/>
        </w:rPr>
      </w:pPr>
      <w:r w:rsidRPr="00D5465A">
        <w:rPr>
          <w:szCs w:val="18"/>
        </w:rPr>
        <w:t>the discloser</w:t>
      </w:r>
      <w:r>
        <w:rPr>
          <w:szCs w:val="18"/>
        </w:rPr>
        <w:t>, an authorised officer of the agency, or a principal officer or authorised officer or another agency</w:t>
      </w:r>
      <w:r w:rsidRPr="00D5465A">
        <w:rPr>
          <w:szCs w:val="18"/>
        </w:rPr>
        <w:t xml:space="preserve"> has informed the principal officer that the discloser does not wish for the investigation of the disclosure to be pursued and the principal officer is satisfied</w:t>
      </w:r>
      <w:r>
        <w:rPr>
          <w:szCs w:val="18"/>
        </w:rPr>
        <w:t xml:space="preserve"> on reasonable grounds</w:t>
      </w:r>
      <w:r w:rsidRPr="00D5465A">
        <w:rPr>
          <w:szCs w:val="18"/>
        </w:rPr>
        <w:t xml:space="preserve"> that there are no matters concerning the disclosure that warrant investigation</w:t>
      </w:r>
      <w:r w:rsidR="00A75C59">
        <w:rPr>
          <w:szCs w:val="18"/>
          <w:lang w:val="en-US"/>
        </w:rPr>
        <w:t>,</w:t>
      </w:r>
      <w:r w:rsidRPr="00D5465A">
        <w:rPr>
          <w:szCs w:val="18"/>
        </w:rPr>
        <w:t xml:space="preserve"> or</w:t>
      </w:r>
    </w:p>
    <w:p w14:paraId="22177E26" w14:textId="77777777" w:rsidR="00C178F7" w:rsidRPr="00D5465A" w:rsidRDefault="00C178F7" w:rsidP="00722B9D">
      <w:pPr>
        <w:pStyle w:val="Bullet1"/>
        <w:rPr>
          <w:szCs w:val="18"/>
        </w:rPr>
      </w:pPr>
      <w:r w:rsidRPr="00D5465A">
        <w:rPr>
          <w:szCs w:val="18"/>
        </w:rPr>
        <w:t>it is impracticable for the disclosure to be investigated because:</w:t>
      </w:r>
    </w:p>
    <w:p w14:paraId="7A4F4175" w14:textId="77777777" w:rsidR="00C178F7" w:rsidRPr="00722B9D" w:rsidRDefault="00C178F7" w:rsidP="00722B9D">
      <w:pPr>
        <w:pStyle w:val="Bullet2"/>
      </w:pPr>
      <w:r w:rsidRPr="00D5465A">
        <w:rPr>
          <w:szCs w:val="18"/>
        </w:rPr>
        <w:t>the discloser's name and contact details have not been disclosed</w:t>
      </w:r>
    </w:p>
    <w:p w14:paraId="4D8F148C" w14:textId="77777777" w:rsidR="00C178F7" w:rsidRPr="00722B9D" w:rsidRDefault="00C178F7" w:rsidP="00722B9D">
      <w:pPr>
        <w:pStyle w:val="Bullet2"/>
      </w:pPr>
      <w:r w:rsidRPr="00D5465A">
        <w:rPr>
          <w:szCs w:val="18"/>
        </w:rPr>
        <w:t>the discloser fails or is unable to give such information or assistance as the person who is or will be investigating asks the discloser to give</w:t>
      </w:r>
      <w:r w:rsidR="00722B9D">
        <w:rPr>
          <w:szCs w:val="18"/>
          <w:lang w:val="en-US"/>
        </w:rPr>
        <w:t>,</w:t>
      </w:r>
      <w:r w:rsidRPr="00D5465A">
        <w:rPr>
          <w:szCs w:val="18"/>
        </w:rPr>
        <w:t xml:space="preserve"> or </w:t>
      </w:r>
    </w:p>
    <w:p w14:paraId="05142032" w14:textId="77777777" w:rsidR="00C178F7" w:rsidRPr="00722B9D" w:rsidRDefault="00C178F7" w:rsidP="00722B9D">
      <w:pPr>
        <w:pStyle w:val="Bullet2"/>
      </w:pPr>
      <w:r w:rsidRPr="00D5465A">
        <w:rPr>
          <w:szCs w:val="18"/>
        </w:rPr>
        <w:t>of the age of the information.</w:t>
      </w:r>
    </w:p>
    <w:p w14:paraId="7023CFC4" w14:textId="77777777" w:rsidR="00C178F7" w:rsidRPr="00D5465A" w:rsidRDefault="00C178F7" w:rsidP="00695A33">
      <w:pPr>
        <w:suppressAutoHyphens w:val="0"/>
        <w:rPr>
          <w:szCs w:val="18"/>
        </w:rPr>
      </w:pPr>
      <w:r w:rsidRPr="00D5465A">
        <w:rPr>
          <w:szCs w:val="18"/>
        </w:rPr>
        <w:t>If an investigation has started, the principal officer may subsequently decide not to investigate the disclosure further if the above circumstances apply.</w:t>
      </w:r>
    </w:p>
    <w:p w14:paraId="28E6757C" w14:textId="77777777" w:rsidR="002A1C3D" w:rsidRPr="00EC3686" w:rsidRDefault="002A1C3D" w:rsidP="00695A33">
      <w:pPr>
        <w:pStyle w:val="Heading3"/>
      </w:pPr>
      <w:r w:rsidRPr="00EC3686">
        <w:t>Step 3: Notify the discloser and Ombudsman</w:t>
      </w:r>
    </w:p>
    <w:p w14:paraId="2C35E373" w14:textId="77777777" w:rsidR="002A1C3D" w:rsidRPr="00EC3686" w:rsidRDefault="002A1C3D" w:rsidP="00695A33">
      <w:pPr>
        <w:pStyle w:val="Heading2"/>
        <w:rPr>
          <w:b/>
          <w:iCs/>
          <w:color w:val="48515C"/>
          <w:sz w:val="26"/>
          <w:szCs w:val="22"/>
        </w:rPr>
      </w:pPr>
      <w:r w:rsidRPr="00EC3686">
        <w:rPr>
          <w:b/>
          <w:iCs/>
          <w:color w:val="48515C"/>
          <w:sz w:val="26"/>
          <w:szCs w:val="22"/>
        </w:rPr>
        <w:t>If the disclosure will not be investigated</w:t>
      </w:r>
    </w:p>
    <w:p w14:paraId="2A637E9B" w14:textId="77777777" w:rsidR="002A1C3D" w:rsidRPr="00D5465A" w:rsidRDefault="002A1C3D" w:rsidP="00EC3686">
      <w:pPr>
        <w:keepNext/>
        <w:keepLines/>
        <w:suppressAutoHyphens w:val="0"/>
        <w:rPr>
          <w:szCs w:val="18"/>
        </w:rPr>
      </w:pPr>
      <w:r w:rsidRPr="00D5465A">
        <w:rPr>
          <w:szCs w:val="18"/>
        </w:rPr>
        <w:t>If the principal officer decides not to investigate</w:t>
      </w:r>
      <w:r>
        <w:rPr>
          <w:szCs w:val="18"/>
        </w:rPr>
        <w:t xml:space="preserve"> (or further investigate)</w:t>
      </w:r>
      <w:r w:rsidRPr="00D5465A">
        <w:rPr>
          <w:szCs w:val="18"/>
        </w:rPr>
        <w:t xml:space="preserve"> a disclosure</w:t>
      </w:r>
      <w:r>
        <w:rPr>
          <w:szCs w:val="18"/>
        </w:rPr>
        <w:t xml:space="preserve"> under the PID Act</w:t>
      </w:r>
      <w:r w:rsidRPr="00D5465A">
        <w:rPr>
          <w:szCs w:val="18"/>
        </w:rPr>
        <w:t>, they will:</w:t>
      </w:r>
    </w:p>
    <w:p w14:paraId="45FCD341" w14:textId="77777777" w:rsidR="002A1C3D" w:rsidRPr="00D5465A" w:rsidRDefault="002A1C3D" w:rsidP="00EC3686">
      <w:pPr>
        <w:pStyle w:val="Bullet1"/>
        <w:rPr>
          <w:szCs w:val="18"/>
        </w:rPr>
      </w:pPr>
      <w:r w:rsidRPr="00D5465A">
        <w:rPr>
          <w:szCs w:val="18"/>
        </w:rPr>
        <w:t xml:space="preserve">if reasonably practicable, </w:t>
      </w:r>
      <w:r>
        <w:rPr>
          <w:szCs w:val="18"/>
        </w:rPr>
        <w:t>give written notice to</w:t>
      </w:r>
      <w:r w:rsidRPr="00D5465A">
        <w:rPr>
          <w:szCs w:val="18"/>
        </w:rPr>
        <w:t xml:space="preserve"> the discloser that the principal officer has decided not to investigate the disclosure</w:t>
      </w:r>
      <w:r>
        <w:rPr>
          <w:szCs w:val="18"/>
        </w:rPr>
        <w:t xml:space="preserve"> (or further investigate) the disclosure</w:t>
      </w:r>
      <w:r w:rsidRPr="00D5465A">
        <w:rPr>
          <w:szCs w:val="18"/>
        </w:rPr>
        <w:t>, identifying:</w:t>
      </w:r>
    </w:p>
    <w:p w14:paraId="0F414161" w14:textId="77777777" w:rsidR="002A1C3D" w:rsidRPr="00EC3686" w:rsidRDefault="002A1C3D" w:rsidP="00EC3686">
      <w:pPr>
        <w:pStyle w:val="Bullet2"/>
      </w:pPr>
      <w:r w:rsidRPr="00EC3686">
        <w:t>the reasons for the decision not to investigate</w:t>
      </w:r>
    </w:p>
    <w:p w14:paraId="5575D4C5" w14:textId="77777777" w:rsidR="002A1C3D" w:rsidRPr="00EC3686" w:rsidRDefault="002A1C3D" w:rsidP="00EC3686">
      <w:pPr>
        <w:pStyle w:val="Bullet2"/>
      </w:pPr>
      <w:r w:rsidRPr="00EC3686">
        <w:t>if the principal officer decides that the disclosure would be more appropriately investigated under another law or power, details of:</w:t>
      </w:r>
    </w:p>
    <w:p w14:paraId="24705BB1" w14:textId="77777777" w:rsidR="002A1C3D" w:rsidRPr="00862C7B" w:rsidRDefault="002A1C3D" w:rsidP="00EC3686">
      <w:pPr>
        <w:pStyle w:val="Bullet3"/>
      </w:pPr>
      <w:r w:rsidRPr="00862C7B">
        <w:t>the other law or power</w:t>
      </w:r>
    </w:p>
    <w:p w14:paraId="057A4BC7" w14:textId="77777777" w:rsidR="002A1C3D" w:rsidRPr="00862C7B" w:rsidRDefault="002A1C3D" w:rsidP="00EC3686">
      <w:pPr>
        <w:pStyle w:val="Bullet3"/>
      </w:pPr>
      <w:r w:rsidRPr="00862C7B">
        <w:t>the agency or other person or body to which the conduct has been or will be referred</w:t>
      </w:r>
    </w:p>
    <w:p w14:paraId="3FB9C6CB" w14:textId="77777777" w:rsidR="002A1C3D" w:rsidRDefault="002A1C3D" w:rsidP="00EC3686">
      <w:pPr>
        <w:pStyle w:val="Bullet3"/>
      </w:pPr>
      <w:r w:rsidRPr="00862C7B">
        <w:t xml:space="preserve">the steps taken or proposed to be taken for the conduct to be referred or to </w:t>
      </w:r>
      <w:r>
        <w:t>f</w:t>
      </w:r>
      <w:r w:rsidRPr="00862C7B">
        <w:t>acilitate referral</w:t>
      </w:r>
      <w:r>
        <w:t>.</w:t>
      </w:r>
    </w:p>
    <w:p w14:paraId="550C27BF" w14:textId="77777777" w:rsidR="002A1C3D" w:rsidRDefault="002A1C3D" w:rsidP="00EC3686">
      <w:pPr>
        <w:keepNext/>
        <w:keepLines/>
        <w:suppressAutoHyphens w:val="0"/>
        <w:ind w:left="568"/>
        <w:rPr>
          <w:szCs w:val="18"/>
        </w:rPr>
      </w:pPr>
      <w:r>
        <w:rPr>
          <w:szCs w:val="18"/>
        </w:rPr>
        <w:t xml:space="preserve">The principal officer may delete from the reasons any reasons that would cause the document: </w:t>
      </w:r>
    </w:p>
    <w:p w14:paraId="4E5DA799" w14:textId="77777777" w:rsidR="002A1C3D" w:rsidRPr="00EC3686" w:rsidRDefault="002A1C3D" w:rsidP="00EC3686">
      <w:pPr>
        <w:pStyle w:val="Bullet3"/>
      </w:pPr>
      <w:r w:rsidRPr="00EC3686">
        <w:t xml:space="preserve">to be exempt for the purposes of Part IV of the </w:t>
      </w:r>
      <w:hyperlink r:id="rId17" w:history="1">
        <w:r w:rsidRPr="002B6571">
          <w:rPr>
            <w:rStyle w:val="Hyperlink"/>
            <w:i/>
          </w:rPr>
          <w:t>Freedom of Information Act 1982</w:t>
        </w:r>
        <w:r w:rsidR="002B6571" w:rsidRPr="002B6571">
          <w:rPr>
            <w:rStyle w:val="Hyperlink"/>
            <w:i/>
            <w:lang w:val="en-US"/>
          </w:rPr>
          <w:t xml:space="preserve"> </w:t>
        </w:r>
        <w:r w:rsidR="002B6571" w:rsidRPr="002B6571">
          <w:rPr>
            <w:rStyle w:val="Hyperlink"/>
            <w:lang w:val="en-US"/>
          </w:rPr>
          <w:t>(Cth)</w:t>
        </w:r>
      </w:hyperlink>
      <w:r w:rsidR="000F4B1B">
        <w:rPr>
          <w:i/>
          <w:lang w:val="en-US"/>
        </w:rPr>
        <w:t xml:space="preserve"> </w:t>
      </w:r>
      <w:r w:rsidR="000F4B1B">
        <w:rPr>
          <w:lang w:val="en-US"/>
        </w:rPr>
        <w:t>(</w:t>
      </w:r>
      <w:r w:rsidR="000F4B1B" w:rsidRPr="000F4B1B">
        <w:rPr>
          <w:b/>
          <w:lang w:val="en-US"/>
        </w:rPr>
        <w:t>FOI Act</w:t>
      </w:r>
      <w:r w:rsidR="000F4B1B">
        <w:rPr>
          <w:lang w:val="en-US"/>
        </w:rPr>
        <w:t>)</w:t>
      </w:r>
    </w:p>
    <w:p w14:paraId="79F370EB" w14:textId="77777777" w:rsidR="002A1C3D" w:rsidRPr="00EC3686" w:rsidRDefault="002A1C3D" w:rsidP="00EC3686">
      <w:pPr>
        <w:pStyle w:val="Bullet3"/>
      </w:pPr>
      <w:r w:rsidRPr="00EC3686">
        <w:t>to have or be required to have a national security or other protective security classification</w:t>
      </w:r>
      <w:r w:rsidR="002B6571">
        <w:rPr>
          <w:lang w:val="en-US"/>
        </w:rPr>
        <w:t>,</w:t>
      </w:r>
      <w:r w:rsidRPr="00EC3686">
        <w:t xml:space="preserve"> or </w:t>
      </w:r>
    </w:p>
    <w:p w14:paraId="0B3FED7F" w14:textId="77777777" w:rsidR="002A1C3D" w:rsidRPr="00EC3686" w:rsidRDefault="002A1C3D" w:rsidP="00EC3686">
      <w:pPr>
        <w:pStyle w:val="Bullet3"/>
      </w:pPr>
      <w:r w:rsidRPr="00EC3686">
        <w:t>to contain intelligence information.</w:t>
      </w:r>
    </w:p>
    <w:p w14:paraId="2E86DA02" w14:textId="77777777" w:rsidR="002A1C3D" w:rsidRDefault="002A1C3D" w:rsidP="00EC3686">
      <w:pPr>
        <w:pStyle w:val="Bullet1"/>
        <w:rPr>
          <w:szCs w:val="18"/>
        </w:rPr>
      </w:pPr>
      <w:r>
        <w:rPr>
          <w:szCs w:val="18"/>
        </w:rPr>
        <w:t>give written notice to</w:t>
      </w:r>
      <w:r w:rsidRPr="00D5465A">
        <w:rPr>
          <w:szCs w:val="18"/>
        </w:rPr>
        <w:t xml:space="preserve"> the Ombudsman of the decision not to investigate and the reasons for that decision.</w:t>
      </w:r>
      <w:r>
        <w:rPr>
          <w:szCs w:val="18"/>
        </w:rPr>
        <w:t xml:space="preserve"> </w:t>
      </w:r>
      <w:r w:rsidRPr="00862C7B">
        <w:rPr>
          <w:szCs w:val="18"/>
        </w:rPr>
        <w:t>If the principal officer decides that the disclosure would be more appropriately investigated under another law or power, the principal officer must provide the Ombudsman with details of:</w:t>
      </w:r>
    </w:p>
    <w:p w14:paraId="06665366" w14:textId="77777777" w:rsidR="002A1C3D" w:rsidRPr="00EC3686" w:rsidRDefault="002A1C3D" w:rsidP="00EC3686">
      <w:pPr>
        <w:pStyle w:val="Bullet2"/>
      </w:pPr>
      <w:r w:rsidRPr="00862C7B">
        <w:rPr>
          <w:szCs w:val="18"/>
        </w:rPr>
        <w:t>the other law or power</w:t>
      </w:r>
    </w:p>
    <w:p w14:paraId="1E9A2D46" w14:textId="77777777" w:rsidR="002A1C3D" w:rsidRPr="00EC3686" w:rsidRDefault="002A1C3D" w:rsidP="00EC3686">
      <w:pPr>
        <w:pStyle w:val="Bullet2"/>
      </w:pPr>
      <w:r w:rsidRPr="00862C7B">
        <w:rPr>
          <w:szCs w:val="18"/>
        </w:rPr>
        <w:t>the agency or other person or body to which the conduct has been or will be referred</w:t>
      </w:r>
      <w:r w:rsidR="002B6571">
        <w:rPr>
          <w:szCs w:val="18"/>
          <w:lang w:val="en-US"/>
        </w:rPr>
        <w:t>, and</w:t>
      </w:r>
    </w:p>
    <w:p w14:paraId="1BC79945" w14:textId="77777777" w:rsidR="002A1C3D" w:rsidRPr="00EC3686" w:rsidRDefault="002A1C3D" w:rsidP="00EC3686">
      <w:pPr>
        <w:pStyle w:val="Bullet2"/>
      </w:pPr>
      <w:r w:rsidRPr="00862C7B">
        <w:rPr>
          <w:szCs w:val="18"/>
        </w:rPr>
        <w:t>the steps taken or proposed to be taken for the conduct to be referred or to facilitate referral.</w:t>
      </w:r>
    </w:p>
    <w:p w14:paraId="534FA071" w14:textId="77777777" w:rsidR="002A1C3D" w:rsidRPr="00D5465A" w:rsidRDefault="002A1C3D" w:rsidP="00EC3686">
      <w:pPr>
        <w:keepNext/>
        <w:keepLines/>
        <w:suppressAutoHyphens w:val="0"/>
        <w:rPr>
          <w:szCs w:val="18"/>
        </w:rPr>
      </w:pPr>
      <w:r w:rsidRPr="00862C7B">
        <w:rPr>
          <w:szCs w:val="18"/>
        </w:rPr>
        <w:t xml:space="preserve">If the principal officer decides that the disclosure would be more appropriately investigated under another law or power, the principal officer must, as soon as reasonably practicable, take reasonable steps to refer the conduct disclosed, or facilitate its referral, for investigation under the other law or power.  </w:t>
      </w:r>
    </w:p>
    <w:p w14:paraId="30CAE79E" w14:textId="77777777" w:rsidR="002A1C3D" w:rsidRPr="00EC3686" w:rsidRDefault="002A1C3D" w:rsidP="00EC3686">
      <w:pPr>
        <w:pStyle w:val="Heading2"/>
        <w:keepNext w:val="0"/>
        <w:keepLines w:val="0"/>
        <w:rPr>
          <w:b/>
          <w:iCs/>
          <w:color w:val="48515C"/>
          <w:sz w:val="26"/>
          <w:szCs w:val="22"/>
        </w:rPr>
      </w:pPr>
      <w:r w:rsidRPr="00EC3686">
        <w:rPr>
          <w:b/>
          <w:iCs/>
          <w:color w:val="48515C"/>
          <w:sz w:val="26"/>
          <w:szCs w:val="22"/>
        </w:rPr>
        <w:t>If the disclosure will be investigated</w:t>
      </w:r>
    </w:p>
    <w:p w14:paraId="732466B2" w14:textId="77777777" w:rsidR="002A1C3D" w:rsidRPr="00AE5E6E" w:rsidRDefault="002A1C3D" w:rsidP="00EC3686">
      <w:pPr>
        <w:keepNext/>
        <w:keepLines/>
        <w:suppressAutoHyphens w:val="0"/>
        <w:rPr>
          <w:szCs w:val="18"/>
        </w:rPr>
      </w:pPr>
      <w:r w:rsidRPr="00D5465A">
        <w:rPr>
          <w:szCs w:val="18"/>
        </w:rPr>
        <w:t xml:space="preserve">If the principal </w:t>
      </w:r>
      <w:r w:rsidRPr="00AE5E6E">
        <w:rPr>
          <w:szCs w:val="18"/>
        </w:rPr>
        <w:t>officer decides to investigate the disclosure, they will</w:t>
      </w:r>
      <w:r>
        <w:rPr>
          <w:szCs w:val="18"/>
        </w:rPr>
        <w:t xml:space="preserve"> give written notice to</w:t>
      </w:r>
      <w:r w:rsidRPr="00AE5E6E">
        <w:rPr>
          <w:szCs w:val="18"/>
        </w:rPr>
        <w:t xml:space="preserve"> the discloser</w:t>
      </w:r>
      <w:r>
        <w:rPr>
          <w:szCs w:val="18"/>
        </w:rPr>
        <w:t xml:space="preserve"> as soon as reasonably practicable</w:t>
      </w:r>
      <w:r w:rsidRPr="00AE5E6E">
        <w:rPr>
          <w:szCs w:val="18"/>
        </w:rPr>
        <w:t>:</w:t>
      </w:r>
    </w:p>
    <w:p w14:paraId="5684B3BF" w14:textId="77777777" w:rsidR="002A1C3D" w:rsidRPr="00AE5E6E" w:rsidRDefault="002A1C3D" w:rsidP="00EC3686">
      <w:pPr>
        <w:pStyle w:val="Bullet1"/>
        <w:rPr>
          <w:szCs w:val="18"/>
        </w:rPr>
      </w:pPr>
      <w:r w:rsidRPr="00AE5E6E">
        <w:rPr>
          <w:szCs w:val="18"/>
        </w:rPr>
        <w:t>that they are required to investigate the disclosure</w:t>
      </w:r>
    </w:p>
    <w:p w14:paraId="3BF0949B" w14:textId="77777777" w:rsidR="002A1C3D" w:rsidRPr="00AE5E6E" w:rsidRDefault="002A1C3D" w:rsidP="00EC3686">
      <w:pPr>
        <w:pStyle w:val="Bullet1"/>
        <w:rPr>
          <w:szCs w:val="18"/>
        </w:rPr>
      </w:pPr>
      <w:r w:rsidRPr="00AE5E6E">
        <w:rPr>
          <w:szCs w:val="18"/>
        </w:rPr>
        <w:t>of the estimated length of the investigation (not exceeding 90 days from the date of allocation, unless an extension is granted)</w:t>
      </w:r>
      <w:r w:rsidR="00EC3686">
        <w:rPr>
          <w:szCs w:val="18"/>
          <w:lang w:val="en-US"/>
        </w:rPr>
        <w:t>,</w:t>
      </w:r>
      <w:r w:rsidRPr="00AE5E6E">
        <w:rPr>
          <w:szCs w:val="18"/>
        </w:rPr>
        <w:t xml:space="preserve"> and</w:t>
      </w:r>
    </w:p>
    <w:p w14:paraId="1781DF91" w14:textId="77777777" w:rsidR="002A1C3D" w:rsidRDefault="002A1C3D" w:rsidP="00EC3686">
      <w:pPr>
        <w:pStyle w:val="Bullet1"/>
        <w:rPr>
          <w:szCs w:val="18"/>
        </w:rPr>
      </w:pPr>
      <w:r w:rsidRPr="00AE5E6E">
        <w:rPr>
          <w:szCs w:val="18"/>
        </w:rPr>
        <w:t>when it is anticipated that an investigation will take more than 90 days, an extension of time will be sought from the Ombudsman.</w:t>
      </w:r>
    </w:p>
    <w:p w14:paraId="6C6A8EAC" w14:textId="77777777" w:rsidR="002A1C3D" w:rsidRPr="00EC3686" w:rsidRDefault="002A1C3D" w:rsidP="00EC3686">
      <w:pPr>
        <w:pStyle w:val="Heading2"/>
        <w:keepNext w:val="0"/>
        <w:keepLines w:val="0"/>
        <w:rPr>
          <w:b/>
          <w:iCs/>
          <w:color w:val="48515C"/>
          <w:sz w:val="26"/>
          <w:szCs w:val="22"/>
        </w:rPr>
      </w:pPr>
      <w:r w:rsidRPr="00EC3686">
        <w:rPr>
          <w:b/>
          <w:iCs/>
          <w:color w:val="48515C"/>
          <w:sz w:val="26"/>
          <w:szCs w:val="22"/>
        </w:rPr>
        <w:t xml:space="preserve">If the disclosure cannot be investigated because of a stop action direction </w:t>
      </w:r>
    </w:p>
    <w:p w14:paraId="4EF043E3" w14:textId="77777777" w:rsidR="002A1C3D" w:rsidRDefault="002A1C3D" w:rsidP="00EC3686">
      <w:pPr>
        <w:keepNext/>
        <w:keepLines/>
        <w:suppressAutoHyphens w:val="0"/>
        <w:rPr>
          <w:szCs w:val="18"/>
        </w:rPr>
      </w:pPr>
      <w:r>
        <w:rPr>
          <w:szCs w:val="18"/>
        </w:rPr>
        <w:t xml:space="preserve">If the disclosure cannot be investigated (or cannot be investigated further) because of a stop action direction under the NACC Act, the principal officer must </w:t>
      </w:r>
      <w:r w:rsidR="002B6571">
        <w:rPr>
          <w:szCs w:val="18"/>
        </w:rPr>
        <w:t xml:space="preserve">be </w:t>
      </w:r>
      <w:r>
        <w:rPr>
          <w:szCs w:val="18"/>
        </w:rPr>
        <w:t xml:space="preserve">given written notice of the stop action direction to the discloser and the Ombudsman as soon as reasonably practicable. </w:t>
      </w:r>
    </w:p>
    <w:p w14:paraId="7269286A" w14:textId="77777777" w:rsidR="002A1C3D" w:rsidRPr="00AE5E6E" w:rsidRDefault="002A1C3D" w:rsidP="00695A33">
      <w:pPr>
        <w:suppressAutoHyphens w:val="0"/>
        <w:rPr>
          <w:szCs w:val="18"/>
        </w:rPr>
      </w:pPr>
      <w:r>
        <w:rPr>
          <w:szCs w:val="18"/>
        </w:rPr>
        <w:t>The principal officer must, as soon as reasonabl</w:t>
      </w:r>
      <w:r w:rsidR="002B6571">
        <w:rPr>
          <w:szCs w:val="18"/>
        </w:rPr>
        <w:t xml:space="preserve">y </w:t>
      </w:r>
      <w:r>
        <w:rPr>
          <w:szCs w:val="18"/>
        </w:rPr>
        <w:t xml:space="preserve">practicable, inform the discloser if the principal officer investigates, or further investigates, a disclosure that is no longer the subject of a stop action direction under the NACC Act. </w:t>
      </w:r>
    </w:p>
    <w:p w14:paraId="47405940" w14:textId="77777777" w:rsidR="002A1C3D" w:rsidRPr="00EC3686" w:rsidRDefault="002A1C3D" w:rsidP="00EC3686">
      <w:pPr>
        <w:pStyle w:val="Heading3"/>
      </w:pPr>
      <w:r w:rsidRPr="00EC3686">
        <w:t>Step 4: Conduct an investigation</w:t>
      </w:r>
    </w:p>
    <w:p w14:paraId="0AACD813" w14:textId="77777777" w:rsidR="002A1C3D" w:rsidRDefault="002A1C3D" w:rsidP="00EC3686">
      <w:pPr>
        <w:keepNext/>
        <w:keepLines/>
        <w:suppressAutoHyphens w:val="0"/>
        <w:rPr>
          <w:szCs w:val="18"/>
        </w:rPr>
      </w:pPr>
      <w:r w:rsidRPr="00862C7B">
        <w:rPr>
          <w:szCs w:val="18"/>
        </w:rPr>
        <w:t>The principal officer may investigate the matter personally, or may refer the matter to an investigator to assist in determining whether there are one or more instances of disclosable conduct.</w:t>
      </w:r>
    </w:p>
    <w:p w14:paraId="23EA12FE" w14:textId="77777777" w:rsidR="002A1C3D" w:rsidRPr="00D5465A" w:rsidRDefault="002A1C3D" w:rsidP="00EC3686">
      <w:pPr>
        <w:keepNext/>
        <w:keepLines/>
        <w:suppressAutoHyphens w:val="0"/>
        <w:rPr>
          <w:szCs w:val="18"/>
        </w:rPr>
      </w:pPr>
      <w:r>
        <w:rPr>
          <w:szCs w:val="18"/>
        </w:rPr>
        <w:t>If a disclosure is allocated to an agency, t</w:t>
      </w:r>
      <w:r w:rsidRPr="00D5465A">
        <w:rPr>
          <w:szCs w:val="18"/>
        </w:rPr>
        <w:t xml:space="preserve">he principal officer </w:t>
      </w:r>
      <w:r>
        <w:rPr>
          <w:szCs w:val="18"/>
        </w:rPr>
        <w:t xml:space="preserve">must </w:t>
      </w:r>
      <w:r w:rsidRPr="00D5465A">
        <w:rPr>
          <w:szCs w:val="18"/>
        </w:rPr>
        <w:t xml:space="preserve">investigate </w:t>
      </w:r>
      <w:r w:rsidRPr="00EC3686">
        <w:rPr>
          <w:szCs w:val="18"/>
        </w:rPr>
        <w:t>whether there are one or more instances of disclosable conduct</w:t>
      </w:r>
      <w:r w:rsidRPr="00D5465A">
        <w:rPr>
          <w:szCs w:val="18"/>
        </w:rPr>
        <w:t>.</w:t>
      </w:r>
      <w:r>
        <w:rPr>
          <w:szCs w:val="18"/>
        </w:rPr>
        <w:t xml:space="preserve"> </w:t>
      </w:r>
      <w:r w:rsidRPr="00862C7B">
        <w:rPr>
          <w:szCs w:val="18"/>
        </w:rPr>
        <w:t>Instances of disclosable conduct may relate to information that is disclosed or information obtained in the course of the investigation, unless the principal officer is satisfied on reasonable grounds that such information is tangential or remote to the disclosure.</w:t>
      </w:r>
    </w:p>
    <w:p w14:paraId="65E755B1" w14:textId="77777777" w:rsidR="002A1C3D" w:rsidRPr="00D5465A" w:rsidRDefault="002A1C3D" w:rsidP="00EC3686">
      <w:pPr>
        <w:keepNext/>
        <w:keepLines/>
        <w:suppressAutoHyphens w:val="0"/>
        <w:rPr>
          <w:szCs w:val="18"/>
        </w:rPr>
      </w:pPr>
      <w:r w:rsidRPr="00D5465A">
        <w:rPr>
          <w:szCs w:val="18"/>
        </w:rPr>
        <w:t>Investigations should be conducted in a manner consistent with the</w:t>
      </w:r>
      <w:r>
        <w:rPr>
          <w:szCs w:val="18"/>
        </w:rPr>
        <w:t xml:space="preserve"> PID</w:t>
      </w:r>
      <w:r w:rsidRPr="00EC3686">
        <w:rPr>
          <w:szCs w:val="18"/>
        </w:rPr>
        <w:t xml:space="preserve"> Standard </w:t>
      </w:r>
      <w:r w:rsidRPr="00D5465A">
        <w:rPr>
          <w:szCs w:val="18"/>
        </w:rPr>
        <w:t>and the general principles set out below.</w:t>
      </w:r>
    </w:p>
    <w:p w14:paraId="76CF42B6" w14:textId="77777777" w:rsidR="002A1C3D" w:rsidRPr="00EC3686" w:rsidRDefault="002A1C3D" w:rsidP="00EC3686">
      <w:pPr>
        <w:pStyle w:val="Heading2"/>
        <w:keepNext w:val="0"/>
        <w:keepLines w:val="0"/>
        <w:rPr>
          <w:b/>
          <w:iCs/>
          <w:color w:val="48515C"/>
          <w:sz w:val="26"/>
          <w:szCs w:val="22"/>
        </w:rPr>
      </w:pPr>
      <w:r w:rsidRPr="00EC3686">
        <w:rPr>
          <w:b/>
          <w:iCs/>
          <w:color w:val="48515C"/>
          <w:sz w:val="26"/>
          <w:szCs w:val="22"/>
        </w:rPr>
        <w:t>General principles</w:t>
      </w:r>
    </w:p>
    <w:p w14:paraId="083F310A" w14:textId="77777777" w:rsidR="002A1C3D" w:rsidRPr="00D5465A" w:rsidRDefault="002A1C3D" w:rsidP="00EC3686">
      <w:pPr>
        <w:keepNext/>
        <w:keepLines/>
        <w:suppressAutoHyphens w:val="0"/>
        <w:rPr>
          <w:szCs w:val="18"/>
        </w:rPr>
      </w:pPr>
      <w:r w:rsidRPr="00D5465A">
        <w:rPr>
          <w:szCs w:val="18"/>
        </w:rPr>
        <w:t>The following general principles will apply to the conduct of investigations:</w:t>
      </w:r>
    </w:p>
    <w:p w14:paraId="7B48F5EA" w14:textId="77777777" w:rsidR="002A1C3D" w:rsidRPr="00D5465A" w:rsidRDefault="002A1C3D" w:rsidP="00EC3686">
      <w:pPr>
        <w:pStyle w:val="Bullet1"/>
        <w:rPr>
          <w:szCs w:val="18"/>
        </w:rPr>
      </w:pPr>
      <w:r w:rsidRPr="00D5465A">
        <w:rPr>
          <w:szCs w:val="18"/>
        </w:rPr>
        <w:t>maintaining the confidentiality of the identity of the discloser will be paramount when conducting the investigation</w:t>
      </w:r>
    </w:p>
    <w:p w14:paraId="390F156F" w14:textId="77777777" w:rsidR="002A1C3D" w:rsidRDefault="002A1C3D" w:rsidP="00EC3686">
      <w:pPr>
        <w:pStyle w:val="Bullet1"/>
        <w:rPr>
          <w:szCs w:val="18"/>
        </w:rPr>
      </w:pPr>
      <w:r w:rsidRPr="0019290E">
        <w:rPr>
          <w:szCs w:val="18"/>
        </w:rPr>
        <w:t>the investigation will be carried out with as little formality as a proper consideration of the matter allows</w:t>
      </w:r>
    </w:p>
    <w:p w14:paraId="12B60DE2" w14:textId="77777777" w:rsidR="002A1C3D" w:rsidRPr="0019290E" w:rsidRDefault="002A1C3D" w:rsidP="00EC3686">
      <w:pPr>
        <w:pStyle w:val="Bullet1"/>
        <w:rPr>
          <w:szCs w:val="18"/>
        </w:rPr>
      </w:pPr>
      <w:r w:rsidRPr="00862C7B">
        <w:rPr>
          <w:szCs w:val="18"/>
        </w:rPr>
        <w:t>documentation of actions, conversations and decisions relating to a disclosure should be kept</w:t>
      </w:r>
    </w:p>
    <w:p w14:paraId="6D3F404F" w14:textId="77777777" w:rsidR="002A1C3D" w:rsidRPr="00D5465A" w:rsidRDefault="002A1C3D" w:rsidP="00EC3686">
      <w:pPr>
        <w:pStyle w:val="Bullet1"/>
        <w:rPr>
          <w:szCs w:val="18"/>
        </w:rPr>
      </w:pPr>
      <w:r w:rsidRPr="00D5465A">
        <w:rPr>
          <w:szCs w:val="18"/>
        </w:rPr>
        <w:t>a decision about whether evidence is sufficient to prove a fact will be determined on the balance of probabilities</w:t>
      </w:r>
    </w:p>
    <w:p w14:paraId="2E931328" w14:textId="77777777" w:rsidR="002A1C3D" w:rsidRPr="00D5465A" w:rsidRDefault="002A1C3D" w:rsidP="00EC3686">
      <w:pPr>
        <w:pStyle w:val="Bullet1"/>
        <w:rPr>
          <w:szCs w:val="18"/>
        </w:rPr>
      </w:pPr>
      <w:r w:rsidRPr="00D5465A">
        <w:rPr>
          <w:szCs w:val="18"/>
        </w:rPr>
        <w:t>a finding of fact will be based on logically probative evidence</w:t>
      </w:r>
    </w:p>
    <w:p w14:paraId="5B52B421" w14:textId="77777777" w:rsidR="002A1C3D" w:rsidRPr="00D5465A" w:rsidRDefault="002A1C3D" w:rsidP="00EC3686">
      <w:pPr>
        <w:pStyle w:val="Bullet1"/>
        <w:rPr>
          <w:szCs w:val="18"/>
        </w:rPr>
      </w:pPr>
      <w:r w:rsidRPr="00D5465A">
        <w:rPr>
          <w:szCs w:val="18"/>
        </w:rPr>
        <w:t>the evidence relied on in an investigation must be relevant to the investigation</w:t>
      </w:r>
      <w:r w:rsidR="00EC3686">
        <w:rPr>
          <w:szCs w:val="18"/>
          <w:lang w:val="en-US"/>
        </w:rPr>
        <w:t>,</w:t>
      </w:r>
      <w:r w:rsidRPr="00D5465A">
        <w:rPr>
          <w:szCs w:val="18"/>
        </w:rPr>
        <w:t xml:space="preserve"> and</w:t>
      </w:r>
    </w:p>
    <w:p w14:paraId="0ED54496" w14:textId="77777777" w:rsidR="002A1C3D" w:rsidRPr="00D5465A" w:rsidRDefault="002A1C3D" w:rsidP="00EC3686">
      <w:pPr>
        <w:pStyle w:val="Bullet1"/>
        <w:rPr>
          <w:szCs w:val="18"/>
        </w:rPr>
      </w:pPr>
      <w:r w:rsidRPr="00D5465A">
        <w:rPr>
          <w:szCs w:val="18"/>
        </w:rPr>
        <w:t>the investigation will be conducted in accordance with the principles of procedural fairness, including that a person who is the subject of the investigation will be provided with an opportunity to respond.</w:t>
      </w:r>
    </w:p>
    <w:p w14:paraId="26B4E5DE" w14:textId="77777777" w:rsidR="002A1C3D" w:rsidRDefault="002A1C3D" w:rsidP="00EC3686">
      <w:pPr>
        <w:keepNext/>
        <w:keepLines/>
        <w:suppressAutoHyphens w:val="0"/>
        <w:rPr>
          <w:szCs w:val="18"/>
        </w:rPr>
      </w:pPr>
      <w:r w:rsidRPr="00D5465A">
        <w:rPr>
          <w:szCs w:val="18"/>
        </w:rPr>
        <w:t xml:space="preserve">Aside from compliance with these principles, the principal officer is free to conduct the investigation as </w:t>
      </w:r>
      <w:r>
        <w:rPr>
          <w:szCs w:val="18"/>
        </w:rPr>
        <w:t>they</w:t>
      </w:r>
      <w:r w:rsidRPr="00D5465A">
        <w:rPr>
          <w:szCs w:val="18"/>
        </w:rPr>
        <w:t xml:space="preserve"> see fit.  The way in which the investigation is conducted may vary depending on the alleged conduct which is being investigated. </w:t>
      </w:r>
      <w:r>
        <w:rPr>
          <w:szCs w:val="18"/>
        </w:rPr>
        <w:t xml:space="preserve"> </w:t>
      </w:r>
    </w:p>
    <w:p w14:paraId="04E3320B" w14:textId="77777777" w:rsidR="002A1C3D" w:rsidRPr="00AE5E6E" w:rsidRDefault="002A1C3D" w:rsidP="00EC3686">
      <w:pPr>
        <w:keepNext/>
        <w:keepLines/>
        <w:suppressAutoHyphens w:val="0"/>
        <w:rPr>
          <w:szCs w:val="18"/>
        </w:rPr>
      </w:pPr>
      <w:r w:rsidRPr="00AE5E6E">
        <w:rPr>
          <w:szCs w:val="18"/>
        </w:rPr>
        <w:t>The principal officer should maintain regular contact with the discloser throughout the investigation, and keep clear records of those contacts.  This includes responding to enquiries within a reasonable time.</w:t>
      </w:r>
    </w:p>
    <w:p w14:paraId="1B0392E9" w14:textId="77777777" w:rsidR="002A1C3D" w:rsidRPr="00EC3686" w:rsidRDefault="002A1C3D" w:rsidP="00EC3686">
      <w:pPr>
        <w:pStyle w:val="Heading2"/>
        <w:rPr>
          <w:b/>
          <w:iCs/>
          <w:color w:val="48515C"/>
          <w:sz w:val="26"/>
          <w:szCs w:val="22"/>
        </w:rPr>
      </w:pPr>
      <w:r w:rsidRPr="00EC3686">
        <w:rPr>
          <w:b/>
          <w:iCs/>
          <w:color w:val="48515C"/>
          <w:sz w:val="26"/>
          <w:szCs w:val="22"/>
        </w:rPr>
        <w:t>Additional procedures required in particular circumstances</w:t>
      </w:r>
    </w:p>
    <w:p w14:paraId="7327AFFC" w14:textId="77777777" w:rsidR="002A1C3D" w:rsidRPr="00EC3686" w:rsidRDefault="002A1C3D" w:rsidP="00EC3686">
      <w:pPr>
        <w:suppressAutoHyphens w:val="0"/>
        <w:rPr>
          <w:szCs w:val="18"/>
        </w:rPr>
      </w:pPr>
      <w:r w:rsidRPr="00EC3686">
        <w:rPr>
          <w:szCs w:val="18"/>
        </w:rPr>
        <w:t>If the principal officer is required, as part of their investigation, to act in accordance with any rules relating to fraud that are made for the purposes of the</w:t>
      </w:r>
      <w:r w:rsidRPr="00D5465A">
        <w:rPr>
          <w:szCs w:val="18"/>
        </w:rPr>
        <w:t xml:space="preserve"> </w:t>
      </w:r>
      <w:hyperlink r:id="rId18" w:history="1">
        <w:r w:rsidRPr="00EC3686">
          <w:rPr>
            <w:rStyle w:val="Hyperlink"/>
            <w:i/>
            <w:iCs/>
            <w:szCs w:val="18"/>
          </w:rPr>
          <w:t>Public Governance, Performance and Accountability Act 2013</w:t>
        </w:r>
      </w:hyperlink>
      <w:r w:rsidR="000F4B1B">
        <w:rPr>
          <w:rStyle w:val="Hyperlink"/>
          <w:i/>
          <w:iCs/>
          <w:szCs w:val="18"/>
        </w:rPr>
        <w:t xml:space="preserve"> </w:t>
      </w:r>
      <w:r w:rsidR="000F4B1B">
        <w:rPr>
          <w:rStyle w:val="Hyperlink"/>
          <w:iCs/>
          <w:szCs w:val="18"/>
        </w:rPr>
        <w:t>(Cth)</w:t>
      </w:r>
      <w:r w:rsidRPr="00EC3686">
        <w:rPr>
          <w:szCs w:val="18"/>
        </w:rPr>
        <w:t>, the PID Standard will only apply to the extent that it is not inconsistent with those rules.</w:t>
      </w:r>
    </w:p>
    <w:p w14:paraId="5497515A" w14:textId="77777777" w:rsidR="002A1C3D" w:rsidRPr="00EC3686" w:rsidRDefault="002A1C3D" w:rsidP="00EC3686">
      <w:pPr>
        <w:pStyle w:val="Heading2"/>
        <w:keepNext w:val="0"/>
        <w:keepLines w:val="0"/>
        <w:rPr>
          <w:b/>
          <w:iCs/>
          <w:color w:val="48515C"/>
          <w:sz w:val="26"/>
          <w:szCs w:val="22"/>
        </w:rPr>
      </w:pPr>
      <w:r w:rsidRPr="00EC3686">
        <w:rPr>
          <w:b/>
          <w:iCs/>
          <w:color w:val="48515C"/>
          <w:sz w:val="26"/>
          <w:szCs w:val="22"/>
        </w:rPr>
        <w:t>Obtaining information</w:t>
      </w:r>
    </w:p>
    <w:p w14:paraId="4C18DECF" w14:textId="77777777" w:rsidR="002A1C3D" w:rsidRPr="00D5465A" w:rsidRDefault="002A1C3D" w:rsidP="00EC3686">
      <w:pPr>
        <w:suppressAutoHyphens w:val="0"/>
        <w:rPr>
          <w:szCs w:val="18"/>
        </w:rPr>
      </w:pPr>
      <w:r w:rsidRPr="00D5465A">
        <w:rPr>
          <w:szCs w:val="18"/>
        </w:rPr>
        <w:t>During the investigation, the principal officer may, for the purposes of the investigation, obtain information from such persons and make such inquiries as principal officer sees fit.</w:t>
      </w:r>
    </w:p>
    <w:p w14:paraId="7128815D" w14:textId="77777777" w:rsidR="002A1C3D" w:rsidRPr="00D5465A" w:rsidRDefault="002A1C3D" w:rsidP="00EC3686">
      <w:pPr>
        <w:suppressAutoHyphens w:val="0"/>
        <w:rPr>
          <w:szCs w:val="18"/>
        </w:rPr>
      </w:pPr>
      <w:r w:rsidRPr="00D5465A">
        <w:rPr>
          <w:szCs w:val="18"/>
        </w:rPr>
        <w:t>When being interviewed as part of an investigation, an interviewee will be informed of the following:</w:t>
      </w:r>
    </w:p>
    <w:p w14:paraId="39F7C8A4" w14:textId="77777777" w:rsidR="002A1C3D" w:rsidRPr="00D5465A" w:rsidRDefault="002A1C3D" w:rsidP="0054763D">
      <w:pPr>
        <w:pStyle w:val="Bullet1"/>
        <w:rPr>
          <w:szCs w:val="18"/>
        </w:rPr>
      </w:pPr>
      <w:r w:rsidRPr="00D5465A">
        <w:rPr>
          <w:szCs w:val="18"/>
        </w:rPr>
        <w:t>the identity and function of each individual conducting the interview</w:t>
      </w:r>
    </w:p>
    <w:p w14:paraId="71D91F28" w14:textId="77777777" w:rsidR="002A1C3D" w:rsidRPr="00D5465A" w:rsidRDefault="002A1C3D" w:rsidP="0054763D">
      <w:pPr>
        <w:pStyle w:val="Bullet1"/>
        <w:rPr>
          <w:szCs w:val="18"/>
        </w:rPr>
      </w:pPr>
      <w:r w:rsidRPr="00D5465A">
        <w:rPr>
          <w:szCs w:val="18"/>
        </w:rPr>
        <w:t>the process of conducting an investigation</w:t>
      </w:r>
    </w:p>
    <w:p w14:paraId="318D2ABB" w14:textId="77777777" w:rsidR="002A1C3D" w:rsidRPr="00D5465A" w:rsidRDefault="002A1C3D" w:rsidP="0054763D">
      <w:pPr>
        <w:pStyle w:val="Bullet1"/>
        <w:rPr>
          <w:szCs w:val="18"/>
        </w:rPr>
      </w:pPr>
      <w:r w:rsidRPr="00D5465A">
        <w:rPr>
          <w:szCs w:val="18"/>
        </w:rPr>
        <w:t>the authority of the principal officer under the PID Act to conduct the investigation</w:t>
      </w:r>
      <w:r w:rsidR="000F4B1B">
        <w:rPr>
          <w:szCs w:val="18"/>
          <w:lang w:val="en-US"/>
        </w:rPr>
        <w:t>, and</w:t>
      </w:r>
    </w:p>
    <w:p w14:paraId="0FAD22AD" w14:textId="77777777" w:rsidR="002A1C3D" w:rsidRDefault="002A1C3D" w:rsidP="0054763D">
      <w:pPr>
        <w:pStyle w:val="Bullet1"/>
        <w:rPr>
          <w:szCs w:val="18"/>
        </w:rPr>
      </w:pPr>
      <w:r w:rsidRPr="00D5465A">
        <w:rPr>
          <w:szCs w:val="18"/>
        </w:rPr>
        <w:t xml:space="preserve">the protections provided </w:t>
      </w:r>
      <w:r>
        <w:rPr>
          <w:szCs w:val="18"/>
        </w:rPr>
        <w:t>in Part 2</w:t>
      </w:r>
      <w:r w:rsidRPr="00D5465A">
        <w:rPr>
          <w:szCs w:val="18"/>
        </w:rPr>
        <w:t xml:space="preserve"> of the PID Act</w:t>
      </w:r>
      <w:r>
        <w:rPr>
          <w:szCs w:val="18"/>
        </w:rPr>
        <w:t>.</w:t>
      </w:r>
    </w:p>
    <w:p w14:paraId="0017F90E" w14:textId="77777777" w:rsidR="002A1C3D" w:rsidRPr="00D5465A" w:rsidRDefault="002A1C3D" w:rsidP="00695A33">
      <w:pPr>
        <w:keepNext/>
        <w:keepLines/>
        <w:suppressAutoHyphens w:val="0"/>
        <w:rPr>
          <w:szCs w:val="18"/>
        </w:rPr>
      </w:pPr>
      <w:r>
        <w:rPr>
          <w:szCs w:val="18"/>
        </w:rPr>
        <w:t xml:space="preserve">An interviewee will also be informed of </w:t>
      </w:r>
      <w:r w:rsidRPr="00D5465A">
        <w:rPr>
          <w:szCs w:val="18"/>
        </w:rPr>
        <w:t>interviewee's duties:</w:t>
      </w:r>
    </w:p>
    <w:p w14:paraId="32BA3606" w14:textId="77777777" w:rsidR="002A1C3D" w:rsidRPr="00D5465A" w:rsidRDefault="002A1C3D" w:rsidP="0054763D">
      <w:pPr>
        <w:pStyle w:val="Bullet1"/>
        <w:rPr>
          <w:szCs w:val="18"/>
        </w:rPr>
      </w:pPr>
      <w:r w:rsidRPr="00D5465A">
        <w:rPr>
          <w:szCs w:val="18"/>
        </w:rPr>
        <w:t>if they are a public official – to use their best endeavours to assist the principal officer or the principal officer's delegate/s in the conduct of an investigation under the PID Act</w:t>
      </w:r>
    </w:p>
    <w:p w14:paraId="2CB756E7" w14:textId="77777777" w:rsidR="002A1C3D" w:rsidRPr="00D5465A" w:rsidRDefault="002A1C3D" w:rsidP="0054763D">
      <w:pPr>
        <w:pStyle w:val="Bullet1"/>
        <w:rPr>
          <w:szCs w:val="18"/>
        </w:rPr>
      </w:pPr>
      <w:r w:rsidRPr="00D5465A">
        <w:rPr>
          <w:szCs w:val="18"/>
        </w:rPr>
        <w:t>not to take or threaten to take reprisal action against the discloser</w:t>
      </w:r>
      <w:r>
        <w:rPr>
          <w:szCs w:val="18"/>
        </w:rPr>
        <w:t xml:space="preserve"> (or a person suspected or having made a disclosure)</w:t>
      </w:r>
      <w:r w:rsidR="000F4B1B">
        <w:rPr>
          <w:szCs w:val="18"/>
          <w:lang w:val="en-US"/>
        </w:rPr>
        <w:t>,</w:t>
      </w:r>
      <w:r w:rsidRPr="00D5465A">
        <w:rPr>
          <w:szCs w:val="18"/>
        </w:rPr>
        <w:t xml:space="preserve"> and</w:t>
      </w:r>
    </w:p>
    <w:p w14:paraId="108DB16A" w14:textId="77777777" w:rsidR="002A1C3D" w:rsidRPr="00D5465A" w:rsidRDefault="002A1C3D" w:rsidP="0054763D">
      <w:pPr>
        <w:pStyle w:val="Bullet1"/>
        <w:rPr>
          <w:szCs w:val="18"/>
        </w:rPr>
      </w:pPr>
      <w:r w:rsidRPr="00D5465A">
        <w:rPr>
          <w:szCs w:val="18"/>
        </w:rPr>
        <w:t xml:space="preserve">subject to the PID Act, not to disclose the identity of the person who made </w:t>
      </w:r>
      <w:r>
        <w:rPr>
          <w:szCs w:val="18"/>
        </w:rPr>
        <w:t>or is suspected to have made a</w:t>
      </w:r>
      <w:r w:rsidRPr="00D5465A">
        <w:rPr>
          <w:szCs w:val="18"/>
        </w:rPr>
        <w:t xml:space="preserve"> disclosure.</w:t>
      </w:r>
    </w:p>
    <w:p w14:paraId="26DBECA7" w14:textId="77777777" w:rsidR="002A1C3D" w:rsidRPr="00D5465A" w:rsidRDefault="002A1C3D" w:rsidP="0054763D">
      <w:pPr>
        <w:suppressAutoHyphens w:val="0"/>
        <w:rPr>
          <w:szCs w:val="18"/>
        </w:rPr>
      </w:pPr>
      <w:r w:rsidRPr="00D5465A">
        <w:rPr>
          <w:szCs w:val="18"/>
        </w:rPr>
        <w:t>The principal officer will ensure:</w:t>
      </w:r>
    </w:p>
    <w:p w14:paraId="5E127E89" w14:textId="77777777" w:rsidR="002A1C3D" w:rsidRPr="00D5465A" w:rsidRDefault="002A1C3D" w:rsidP="0054763D">
      <w:pPr>
        <w:pStyle w:val="Bullet1"/>
        <w:rPr>
          <w:szCs w:val="18"/>
        </w:rPr>
      </w:pPr>
      <w:r w:rsidRPr="00D5465A">
        <w:rPr>
          <w:szCs w:val="18"/>
        </w:rPr>
        <w:t>an audio or visual recording of the interview is not made without the interviewee's knowledge</w:t>
      </w:r>
    </w:p>
    <w:p w14:paraId="068D2CA2" w14:textId="77777777" w:rsidR="002A1C3D" w:rsidRPr="00D5465A" w:rsidRDefault="002A1C3D" w:rsidP="0054763D">
      <w:pPr>
        <w:pStyle w:val="Bullet1"/>
        <w:rPr>
          <w:szCs w:val="18"/>
        </w:rPr>
      </w:pPr>
      <w:r w:rsidRPr="00D5465A">
        <w:rPr>
          <w:szCs w:val="18"/>
        </w:rPr>
        <w:t>when an interview ends, the interviewee is given an opportunity to make a final statement or comment, or express a position</w:t>
      </w:r>
      <w:r w:rsidR="000F4B1B">
        <w:rPr>
          <w:szCs w:val="18"/>
          <w:lang w:val="en-US"/>
        </w:rPr>
        <w:t>,</w:t>
      </w:r>
      <w:r w:rsidRPr="00D5465A">
        <w:rPr>
          <w:szCs w:val="18"/>
        </w:rPr>
        <w:t xml:space="preserve"> and </w:t>
      </w:r>
    </w:p>
    <w:p w14:paraId="70F5F4AD" w14:textId="77777777" w:rsidR="002A1C3D" w:rsidRPr="00D5465A" w:rsidRDefault="002A1C3D" w:rsidP="0054763D">
      <w:pPr>
        <w:pStyle w:val="Bullet1"/>
        <w:rPr>
          <w:szCs w:val="18"/>
        </w:rPr>
      </w:pPr>
      <w:r w:rsidRPr="00D5465A">
        <w:rPr>
          <w:szCs w:val="18"/>
        </w:rPr>
        <w:t xml:space="preserve">any final statement, comment or position by the interviewee is included in the record of the interview.  </w:t>
      </w:r>
    </w:p>
    <w:p w14:paraId="26B88909" w14:textId="77777777" w:rsidR="002A1C3D" w:rsidRDefault="002A1C3D" w:rsidP="0054763D">
      <w:pPr>
        <w:suppressAutoHyphens w:val="0"/>
        <w:rPr>
          <w:szCs w:val="18"/>
        </w:rPr>
      </w:pPr>
      <w:r w:rsidRPr="00D5465A">
        <w:rPr>
          <w:szCs w:val="18"/>
        </w:rPr>
        <w:t>In conducting the investigation, the principal officer may adopt findings set out in reports of investigations or inquiries under other Commonwealth laws or powers, or other investigations under the PID Act.</w:t>
      </w:r>
    </w:p>
    <w:p w14:paraId="106DDF3C" w14:textId="77777777" w:rsidR="002A1C3D" w:rsidRPr="0054763D" w:rsidRDefault="002A1C3D" w:rsidP="0054763D">
      <w:pPr>
        <w:pStyle w:val="Heading2"/>
        <w:keepNext w:val="0"/>
        <w:keepLines w:val="0"/>
        <w:rPr>
          <w:b/>
          <w:iCs/>
          <w:color w:val="48515C"/>
          <w:sz w:val="26"/>
          <w:szCs w:val="22"/>
        </w:rPr>
      </w:pPr>
      <w:r w:rsidRPr="0054763D">
        <w:rPr>
          <w:b/>
          <w:iCs/>
          <w:color w:val="48515C"/>
          <w:sz w:val="26"/>
          <w:szCs w:val="22"/>
        </w:rPr>
        <w:t>Deciding not to investigate further</w:t>
      </w:r>
    </w:p>
    <w:p w14:paraId="6219C6C7" w14:textId="77777777" w:rsidR="002A1C3D" w:rsidRPr="00D5465A" w:rsidRDefault="002A1C3D" w:rsidP="0054763D">
      <w:pPr>
        <w:suppressAutoHyphens w:val="0"/>
        <w:rPr>
          <w:szCs w:val="18"/>
        </w:rPr>
      </w:pPr>
      <w:r w:rsidRPr="00862C7B">
        <w:rPr>
          <w:szCs w:val="18"/>
        </w:rPr>
        <w:t>The principal officer may decide during the course of an investigation not to investigate further on one or more of the grounds in section 48 of the PID Act (see considerations summarised in paragraph 3.</w:t>
      </w:r>
      <w:r>
        <w:rPr>
          <w:szCs w:val="18"/>
        </w:rPr>
        <w:t>10</w:t>
      </w:r>
      <w:r w:rsidRPr="00862C7B">
        <w:rPr>
          <w:szCs w:val="18"/>
        </w:rPr>
        <w:t>(b) above).  If the principal officer makes such a decision, they must provide the relevant notifications set out in paragraph</w:t>
      </w:r>
      <w:r w:rsidR="000F4B1B">
        <w:rPr>
          <w:szCs w:val="18"/>
        </w:rPr>
        <w:t> </w:t>
      </w:r>
      <w:r w:rsidRPr="00862C7B">
        <w:rPr>
          <w:szCs w:val="18"/>
        </w:rPr>
        <w:t>3.</w:t>
      </w:r>
      <w:r>
        <w:rPr>
          <w:szCs w:val="18"/>
        </w:rPr>
        <w:t>10</w:t>
      </w:r>
      <w:r w:rsidRPr="00862C7B">
        <w:rPr>
          <w:szCs w:val="18"/>
        </w:rPr>
        <w:t>(c).</w:t>
      </w:r>
    </w:p>
    <w:p w14:paraId="11EBB329" w14:textId="77777777" w:rsidR="002A1C3D" w:rsidRPr="0054763D" w:rsidRDefault="002A1C3D" w:rsidP="0054763D">
      <w:pPr>
        <w:pStyle w:val="Heading2"/>
        <w:rPr>
          <w:b/>
          <w:iCs/>
          <w:color w:val="48515C"/>
          <w:sz w:val="26"/>
          <w:szCs w:val="22"/>
        </w:rPr>
      </w:pPr>
      <w:r w:rsidRPr="0054763D">
        <w:rPr>
          <w:b/>
          <w:iCs/>
          <w:color w:val="48515C"/>
          <w:sz w:val="26"/>
          <w:szCs w:val="22"/>
        </w:rPr>
        <w:t>Referral of information to police and others</w:t>
      </w:r>
    </w:p>
    <w:p w14:paraId="1A44F0D5" w14:textId="77777777" w:rsidR="002A1C3D" w:rsidRPr="0054763D" w:rsidRDefault="002A1C3D" w:rsidP="0054763D">
      <w:pPr>
        <w:keepNext/>
        <w:keepLines/>
        <w:suppressAutoHyphens w:val="0"/>
        <w:rPr>
          <w:szCs w:val="18"/>
        </w:rPr>
      </w:pPr>
      <w:r w:rsidRPr="0054763D">
        <w:rPr>
          <w:szCs w:val="18"/>
        </w:rPr>
        <w:t xml:space="preserve">If, during the course of the investigation, the person conducting the investigation suspects on reasonable grounds that some of the information disclosed or obtained in the course of the investigation is evidence of the commission of an offence against a law, the principal officer may disclose the information to a member of an Australian police force responsible for the investigation of the offence.  </w:t>
      </w:r>
    </w:p>
    <w:p w14:paraId="61D7D30D" w14:textId="77777777" w:rsidR="002A1C3D" w:rsidRPr="0054763D" w:rsidRDefault="002A1C3D" w:rsidP="000F4B1B">
      <w:pPr>
        <w:suppressAutoHyphens w:val="0"/>
        <w:rPr>
          <w:szCs w:val="18"/>
        </w:rPr>
      </w:pPr>
      <w:r w:rsidRPr="0054763D">
        <w:rPr>
          <w:szCs w:val="18"/>
        </w:rPr>
        <w:t>If the information relates to an offence that is punishable for a period of at least two years, the principal officer must disclose the information to a member of an Australian police force responsible for the investigation of the offence unless the investigator suspects on reasonable grounds that the relevant information raises a corruption issue and the corruption issue has already been referred to the NACC or IGIS (as relevant) or that agency is already aware of the issue.</w:t>
      </w:r>
    </w:p>
    <w:p w14:paraId="2FC871FD" w14:textId="77777777" w:rsidR="002A1C3D" w:rsidRPr="0054763D" w:rsidRDefault="002A1C3D" w:rsidP="000F4B1B">
      <w:pPr>
        <w:suppressAutoHyphens w:val="0"/>
        <w:rPr>
          <w:szCs w:val="18"/>
        </w:rPr>
      </w:pPr>
      <w:r w:rsidRPr="0054763D">
        <w:rPr>
          <w:szCs w:val="18"/>
        </w:rPr>
        <w:t>The investigation may also include consideration of whether a different or further investigation should be conducted by the agency or another body under another law of the Commonwealth.</w:t>
      </w:r>
    </w:p>
    <w:p w14:paraId="37C9CFB3" w14:textId="77777777" w:rsidR="002A1C3D" w:rsidRPr="0054763D" w:rsidRDefault="002A1C3D" w:rsidP="0054763D">
      <w:pPr>
        <w:pStyle w:val="Heading3"/>
      </w:pPr>
      <w:r w:rsidRPr="0054763D">
        <w:t>Step 5: Prepare investigation report</w:t>
      </w:r>
    </w:p>
    <w:p w14:paraId="5431E93B" w14:textId="77777777" w:rsidR="002A1C3D" w:rsidRDefault="002A1C3D" w:rsidP="0054763D">
      <w:pPr>
        <w:keepNext/>
        <w:keepLines/>
        <w:suppressAutoHyphens w:val="0"/>
        <w:rPr>
          <w:szCs w:val="18"/>
        </w:rPr>
      </w:pPr>
      <w:r w:rsidRPr="00D5465A">
        <w:rPr>
          <w:szCs w:val="18"/>
        </w:rPr>
        <w:t>Once the principal officer has completed the investigation, they will prepare a report of the investigation.</w:t>
      </w:r>
    </w:p>
    <w:p w14:paraId="19CD6928" w14:textId="77777777" w:rsidR="002A1C3D" w:rsidRPr="0054763D" w:rsidRDefault="002A1C3D" w:rsidP="0054763D">
      <w:pPr>
        <w:pStyle w:val="Heading2"/>
        <w:rPr>
          <w:b/>
          <w:iCs/>
          <w:color w:val="48515C"/>
          <w:sz w:val="26"/>
          <w:szCs w:val="22"/>
        </w:rPr>
      </w:pPr>
      <w:r w:rsidRPr="0054763D">
        <w:rPr>
          <w:b/>
          <w:iCs/>
          <w:color w:val="48515C"/>
          <w:sz w:val="26"/>
          <w:szCs w:val="22"/>
        </w:rPr>
        <w:t xml:space="preserve">Timeframe for investigation </w:t>
      </w:r>
    </w:p>
    <w:p w14:paraId="7847EC82" w14:textId="77777777" w:rsidR="002A1C3D" w:rsidRDefault="002A1C3D" w:rsidP="0054763D">
      <w:pPr>
        <w:keepNext/>
        <w:keepLines/>
        <w:suppressAutoHyphens w:val="0"/>
        <w:rPr>
          <w:szCs w:val="18"/>
        </w:rPr>
      </w:pPr>
      <w:r w:rsidRPr="00D5465A">
        <w:rPr>
          <w:szCs w:val="18"/>
        </w:rPr>
        <w:t xml:space="preserve">The principal officer must complete the investigation report within 90 days </w:t>
      </w:r>
      <w:r>
        <w:rPr>
          <w:szCs w:val="18"/>
        </w:rPr>
        <w:t>after:</w:t>
      </w:r>
    </w:p>
    <w:p w14:paraId="7A493447" w14:textId="77777777" w:rsidR="002A1C3D" w:rsidRPr="00B82E6D" w:rsidRDefault="002A1C3D" w:rsidP="0054763D">
      <w:pPr>
        <w:pStyle w:val="Bullet1"/>
        <w:rPr>
          <w:szCs w:val="18"/>
        </w:rPr>
      </w:pPr>
      <w:r w:rsidRPr="00B82E6D">
        <w:rPr>
          <w:szCs w:val="18"/>
        </w:rPr>
        <w:t>the initial allocation or reallocation of the disclosure to the principal officer</w:t>
      </w:r>
    </w:p>
    <w:p w14:paraId="65678E23" w14:textId="77777777" w:rsidR="002A1C3D" w:rsidRPr="00B82E6D" w:rsidRDefault="002A1C3D" w:rsidP="0054763D">
      <w:pPr>
        <w:pStyle w:val="Bullet1"/>
        <w:rPr>
          <w:szCs w:val="18"/>
        </w:rPr>
      </w:pPr>
      <w:r w:rsidRPr="00B82E6D">
        <w:rPr>
          <w:szCs w:val="18"/>
        </w:rPr>
        <w:t>in the case of a re-investigation, the day on which the principal officer decides to reinvestigate the disclosure</w:t>
      </w:r>
      <w:r w:rsidR="0054763D">
        <w:rPr>
          <w:szCs w:val="18"/>
          <w:lang w:val="en-US"/>
        </w:rPr>
        <w:t>,</w:t>
      </w:r>
      <w:r w:rsidRPr="00B82E6D">
        <w:rPr>
          <w:szCs w:val="18"/>
        </w:rPr>
        <w:t xml:space="preserve"> or</w:t>
      </w:r>
    </w:p>
    <w:p w14:paraId="50C4C8C7" w14:textId="77777777" w:rsidR="002A1C3D" w:rsidRPr="00B82E6D" w:rsidRDefault="002A1C3D" w:rsidP="0054763D">
      <w:pPr>
        <w:pStyle w:val="Bullet1"/>
        <w:rPr>
          <w:szCs w:val="18"/>
        </w:rPr>
      </w:pPr>
      <w:r w:rsidRPr="00B82E6D">
        <w:rPr>
          <w:szCs w:val="18"/>
        </w:rPr>
        <w:t>to the extent that a stop action direction under the NACC Act prevented the investigation, the day on which the principal officer becomes aware that a stop direction under the NACC Act which prevented the investigation no longer applies.</w:t>
      </w:r>
    </w:p>
    <w:p w14:paraId="285761FF" w14:textId="77777777" w:rsidR="002A1C3D" w:rsidRPr="00D5465A" w:rsidRDefault="002A1C3D" w:rsidP="0054763D">
      <w:pPr>
        <w:suppressAutoHyphens w:val="0"/>
        <w:rPr>
          <w:szCs w:val="18"/>
        </w:rPr>
      </w:pPr>
      <w:r w:rsidRPr="00D5465A">
        <w:rPr>
          <w:szCs w:val="18"/>
        </w:rPr>
        <w:t xml:space="preserve">The principal officer may seek one or more extensions of time from the Ombudsman. A request to the Ombudsman for an extension of time must be made at least 10 </w:t>
      </w:r>
      <w:r>
        <w:rPr>
          <w:szCs w:val="18"/>
        </w:rPr>
        <w:t xml:space="preserve">business </w:t>
      </w:r>
      <w:r w:rsidRPr="00D5465A">
        <w:rPr>
          <w:szCs w:val="18"/>
        </w:rPr>
        <w:t>days prior to the expiry of the investigation completion date.</w:t>
      </w:r>
      <w:r>
        <w:rPr>
          <w:szCs w:val="18"/>
        </w:rPr>
        <w:t xml:space="preserve"> </w:t>
      </w:r>
      <w:r w:rsidRPr="00785EAA">
        <w:rPr>
          <w:szCs w:val="18"/>
        </w:rPr>
        <w:t>The Ombudsman may extend, or further extend, the 90</w:t>
      </w:r>
      <w:r w:rsidR="000F4B1B">
        <w:rPr>
          <w:szCs w:val="18"/>
        </w:rPr>
        <w:noBreakHyphen/>
      </w:r>
      <w:r w:rsidRPr="00785EAA">
        <w:rPr>
          <w:szCs w:val="18"/>
        </w:rPr>
        <w:t xml:space="preserve">day period by such period as the Ombudsman considers appropriate on application by the principal officer.  </w:t>
      </w:r>
    </w:p>
    <w:p w14:paraId="3B573619" w14:textId="77777777" w:rsidR="002A1C3D" w:rsidRPr="00D5465A" w:rsidRDefault="002A1C3D" w:rsidP="0054763D">
      <w:pPr>
        <w:keepNext/>
        <w:keepLines/>
        <w:suppressAutoHyphens w:val="0"/>
        <w:rPr>
          <w:szCs w:val="18"/>
        </w:rPr>
      </w:pPr>
      <w:r w:rsidRPr="00D5465A">
        <w:rPr>
          <w:szCs w:val="18"/>
        </w:rPr>
        <w:t xml:space="preserve">If the 90-day period is extended: </w:t>
      </w:r>
    </w:p>
    <w:p w14:paraId="1BC33B58" w14:textId="77777777" w:rsidR="002A1C3D" w:rsidRPr="00D5465A" w:rsidRDefault="002A1C3D" w:rsidP="0054763D">
      <w:pPr>
        <w:pStyle w:val="Bullet1"/>
        <w:rPr>
          <w:szCs w:val="18"/>
        </w:rPr>
      </w:pPr>
      <w:r w:rsidRPr="00D5465A">
        <w:rPr>
          <w:szCs w:val="18"/>
        </w:rPr>
        <w:t>the Ombudsman must inform the discloser of the reasons for the extension</w:t>
      </w:r>
      <w:r w:rsidR="000F4B1B">
        <w:rPr>
          <w:szCs w:val="18"/>
          <w:lang w:val="en-US"/>
        </w:rPr>
        <w:t>,</w:t>
      </w:r>
      <w:r w:rsidRPr="00D5465A">
        <w:rPr>
          <w:szCs w:val="18"/>
        </w:rPr>
        <w:t xml:space="preserve"> and </w:t>
      </w:r>
    </w:p>
    <w:p w14:paraId="2BC865C7" w14:textId="77777777" w:rsidR="002A1C3D" w:rsidRPr="00D5465A" w:rsidRDefault="002A1C3D" w:rsidP="0054763D">
      <w:pPr>
        <w:pStyle w:val="Bullet1"/>
        <w:rPr>
          <w:szCs w:val="18"/>
        </w:rPr>
      </w:pPr>
      <w:r w:rsidRPr="00D5465A">
        <w:rPr>
          <w:szCs w:val="18"/>
        </w:rPr>
        <w:t>the principal officer will</w:t>
      </w:r>
      <w:r>
        <w:rPr>
          <w:szCs w:val="18"/>
        </w:rPr>
        <w:t>, as soon as reasonably practicable,</w:t>
      </w:r>
      <w:r w:rsidRPr="00D5465A">
        <w:rPr>
          <w:szCs w:val="18"/>
        </w:rPr>
        <w:t xml:space="preserve"> inform the discloser of the progress of the investigation.</w:t>
      </w:r>
    </w:p>
    <w:p w14:paraId="41F54FB8" w14:textId="77777777" w:rsidR="002A1C3D" w:rsidRPr="0054763D" w:rsidRDefault="002A1C3D" w:rsidP="0054763D">
      <w:pPr>
        <w:pStyle w:val="Heading2"/>
        <w:rPr>
          <w:b/>
          <w:iCs/>
          <w:color w:val="48515C"/>
          <w:sz w:val="26"/>
          <w:szCs w:val="22"/>
        </w:rPr>
      </w:pPr>
      <w:r w:rsidRPr="0054763D">
        <w:rPr>
          <w:b/>
          <w:iCs/>
          <w:color w:val="48515C"/>
          <w:sz w:val="26"/>
          <w:szCs w:val="22"/>
        </w:rPr>
        <w:t>Content of report</w:t>
      </w:r>
    </w:p>
    <w:p w14:paraId="7B002A2B" w14:textId="77777777" w:rsidR="002A1C3D" w:rsidRPr="00D5465A" w:rsidRDefault="002A1C3D" w:rsidP="0054763D">
      <w:pPr>
        <w:keepNext/>
        <w:keepLines/>
        <w:suppressAutoHyphens w:val="0"/>
        <w:rPr>
          <w:szCs w:val="18"/>
        </w:rPr>
      </w:pPr>
      <w:r w:rsidRPr="00D5465A">
        <w:rPr>
          <w:szCs w:val="18"/>
        </w:rPr>
        <w:t>The report must set out:</w:t>
      </w:r>
    </w:p>
    <w:p w14:paraId="505EBC24" w14:textId="77777777" w:rsidR="002A1C3D" w:rsidRPr="00D5465A" w:rsidRDefault="002A1C3D" w:rsidP="0054763D">
      <w:pPr>
        <w:pStyle w:val="Bullet1"/>
        <w:rPr>
          <w:szCs w:val="18"/>
        </w:rPr>
      </w:pPr>
      <w:r w:rsidRPr="00D5465A">
        <w:rPr>
          <w:szCs w:val="18"/>
        </w:rPr>
        <w:t>the matters considered in the course of the investigation</w:t>
      </w:r>
    </w:p>
    <w:p w14:paraId="5D64891E" w14:textId="77777777" w:rsidR="002A1C3D" w:rsidRPr="00D5465A" w:rsidRDefault="002A1C3D" w:rsidP="0054763D">
      <w:pPr>
        <w:pStyle w:val="Bullet1"/>
        <w:rPr>
          <w:szCs w:val="18"/>
        </w:rPr>
      </w:pPr>
      <w:r w:rsidRPr="00D5465A">
        <w:rPr>
          <w:szCs w:val="18"/>
        </w:rPr>
        <w:t>the duration of the investigation</w:t>
      </w:r>
    </w:p>
    <w:p w14:paraId="74ED2E25" w14:textId="77777777" w:rsidR="002A1C3D" w:rsidRPr="00AE5E6E" w:rsidRDefault="002A1C3D" w:rsidP="0054763D">
      <w:pPr>
        <w:pStyle w:val="Bullet1"/>
        <w:rPr>
          <w:szCs w:val="18"/>
        </w:rPr>
      </w:pPr>
      <w:r w:rsidRPr="00D5465A">
        <w:rPr>
          <w:szCs w:val="18"/>
        </w:rPr>
        <w:t xml:space="preserve">the principal officer’s findings (if </w:t>
      </w:r>
      <w:r w:rsidRPr="00AE5E6E">
        <w:rPr>
          <w:szCs w:val="18"/>
        </w:rPr>
        <w:t>any)</w:t>
      </w:r>
      <w:r w:rsidRPr="00B82E6D">
        <w:rPr>
          <w:szCs w:val="18"/>
        </w:rPr>
        <w:t xml:space="preserve">, </w:t>
      </w:r>
      <w:r w:rsidRPr="00AE5E6E">
        <w:rPr>
          <w:szCs w:val="18"/>
        </w:rPr>
        <w:t>including an adequate explanation of the basis of the investigator's findings and how the evidence has informed those findings</w:t>
      </w:r>
    </w:p>
    <w:p w14:paraId="4A103102" w14:textId="77777777" w:rsidR="002A1C3D" w:rsidRPr="00AE5E6E" w:rsidRDefault="002A1C3D" w:rsidP="0054763D">
      <w:pPr>
        <w:pStyle w:val="Bullet1"/>
        <w:rPr>
          <w:szCs w:val="18"/>
        </w:rPr>
      </w:pPr>
      <w:r w:rsidRPr="00AE5E6E">
        <w:rPr>
          <w:szCs w:val="18"/>
        </w:rPr>
        <w:t>where the findings of an external report have been adopted, details of those findings</w:t>
      </w:r>
    </w:p>
    <w:p w14:paraId="6A350565" w14:textId="77777777" w:rsidR="002A1C3D" w:rsidRPr="00D5465A" w:rsidRDefault="002A1C3D" w:rsidP="0054763D">
      <w:pPr>
        <w:pStyle w:val="Bullet1"/>
        <w:rPr>
          <w:szCs w:val="18"/>
        </w:rPr>
      </w:pPr>
      <w:r w:rsidRPr="00D5465A">
        <w:rPr>
          <w:szCs w:val="18"/>
        </w:rPr>
        <w:t>the action (if any) that has been, is being or is recommended to be taken</w:t>
      </w:r>
    </w:p>
    <w:p w14:paraId="0F1CF492" w14:textId="77777777" w:rsidR="002A1C3D" w:rsidRDefault="002A1C3D" w:rsidP="0054763D">
      <w:pPr>
        <w:pStyle w:val="Bullet1"/>
        <w:rPr>
          <w:szCs w:val="18"/>
        </w:rPr>
      </w:pPr>
      <w:r w:rsidRPr="00D5465A">
        <w:rPr>
          <w:szCs w:val="18"/>
        </w:rPr>
        <w:t xml:space="preserve">claims </w:t>
      </w:r>
      <w:r>
        <w:rPr>
          <w:szCs w:val="18"/>
        </w:rPr>
        <w:t xml:space="preserve">of any reprisal </w:t>
      </w:r>
      <w:r w:rsidRPr="00D5465A">
        <w:rPr>
          <w:szCs w:val="18"/>
        </w:rPr>
        <w:t xml:space="preserve">taken against the discloser, </w:t>
      </w:r>
      <w:r>
        <w:rPr>
          <w:szCs w:val="18"/>
        </w:rPr>
        <w:t>or any other person, that relates to the matters considered in the course of the investigation, together with any related evidence</w:t>
      </w:r>
      <w:r w:rsidR="0054763D">
        <w:rPr>
          <w:szCs w:val="18"/>
          <w:lang w:val="en-US"/>
        </w:rPr>
        <w:t>,</w:t>
      </w:r>
      <w:r>
        <w:rPr>
          <w:szCs w:val="18"/>
        </w:rPr>
        <w:t xml:space="preserve"> </w:t>
      </w:r>
      <w:r w:rsidRPr="00D5465A">
        <w:rPr>
          <w:szCs w:val="18"/>
        </w:rPr>
        <w:t xml:space="preserve">and </w:t>
      </w:r>
    </w:p>
    <w:p w14:paraId="64DF48B3" w14:textId="77777777" w:rsidR="002A1C3D" w:rsidRPr="006574C9" w:rsidRDefault="002A1C3D" w:rsidP="0054763D">
      <w:pPr>
        <w:pStyle w:val="Bullet1"/>
        <w:rPr>
          <w:szCs w:val="18"/>
        </w:rPr>
      </w:pPr>
      <w:r w:rsidRPr="00D5465A">
        <w:rPr>
          <w:szCs w:val="18"/>
        </w:rPr>
        <w:t xml:space="preserve">the agency's response to </w:t>
      </w:r>
      <w:r>
        <w:rPr>
          <w:szCs w:val="18"/>
        </w:rPr>
        <w:t>any</w:t>
      </w:r>
      <w:r w:rsidRPr="00D5465A">
        <w:rPr>
          <w:szCs w:val="18"/>
        </w:rPr>
        <w:t xml:space="preserve"> claims </w:t>
      </w:r>
      <w:r>
        <w:rPr>
          <w:szCs w:val="18"/>
        </w:rPr>
        <w:t xml:space="preserve">or </w:t>
      </w:r>
      <w:r w:rsidRPr="006574C9">
        <w:rPr>
          <w:szCs w:val="18"/>
        </w:rPr>
        <w:t>evidence</w:t>
      </w:r>
      <w:r>
        <w:rPr>
          <w:szCs w:val="18"/>
        </w:rPr>
        <w:t xml:space="preserve"> relating to reprisal</w:t>
      </w:r>
      <w:r w:rsidRPr="006574C9">
        <w:rPr>
          <w:szCs w:val="18"/>
        </w:rPr>
        <w:t>.</w:t>
      </w:r>
    </w:p>
    <w:p w14:paraId="64F4D5B0" w14:textId="77777777" w:rsidR="002A1C3D" w:rsidRPr="00D5465A" w:rsidRDefault="002A1C3D" w:rsidP="0054763D">
      <w:pPr>
        <w:keepNext/>
        <w:keepLines/>
        <w:suppressAutoHyphens w:val="0"/>
        <w:rPr>
          <w:szCs w:val="18"/>
        </w:rPr>
      </w:pPr>
      <w:r w:rsidRPr="00D5465A">
        <w:rPr>
          <w:szCs w:val="18"/>
        </w:rPr>
        <w:t>To the extent relevant, the report will also set out:</w:t>
      </w:r>
    </w:p>
    <w:p w14:paraId="1FB6B8E6" w14:textId="77777777" w:rsidR="002A1C3D" w:rsidRPr="00D5465A" w:rsidRDefault="002A1C3D" w:rsidP="0054763D">
      <w:pPr>
        <w:pStyle w:val="Bullet1"/>
        <w:rPr>
          <w:szCs w:val="18"/>
        </w:rPr>
      </w:pPr>
      <w:r w:rsidRPr="00D5465A">
        <w:rPr>
          <w:szCs w:val="18"/>
        </w:rPr>
        <w:t>whether there have been one or more instances of disclosable conduct</w:t>
      </w:r>
    </w:p>
    <w:p w14:paraId="3FE021FA" w14:textId="77777777" w:rsidR="002A1C3D" w:rsidRPr="00D5465A" w:rsidRDefault="002A1C3D" w:rsidP="0054763D">
      <w:pPr>
        <w:pStyle w:val="Bullet1"/>
        <w:rPr>
          <w:szCs w:val="18"/>
        </w:rPr>
      </w:pPr>
      <w:r w:rsidRPr="00D5465A">
        <w:rPr>
          <w:szCs w:val="18"/>
        </w:rPr>
        <w:t>any regulations, rules, administrative requirements or similar matters to which the disclosable conduct relates</w:t>
      </w:r>
    </w:p>
    <w:p w14:paraId="1484462B" w14:textId="77777777" w:rsidR="002A1C3D" w:rsidRPr="00D5465A" w:rsidRDefault="002A1C3D" w:rsidP="0054763D">
      <w:pPr>
        <w:pStyle w:val="Bullet1"/>
        <w:rPr>
          <w:szCs w:val="18"/>
        </w:rPr>
      </w:pPr>
      <w:r w:rsidRPr="00D5465A">
        <w:rPr>
          <w:szCs w:val="18"/>
        </w:rPr>
        <w:t>the steps taken to gather evidence</w:t>
      </w:r>
      <w:r w:rsidR="0054763D">
        <w:rPr>
          <w:szCs w:val="18"/>
          <w:lang w:val="en-US"/>
        </w:rPr>
        <w:t>, and</w:t>
      </w:r>
    </w:p>
    <w:p w14:paraId="3184AB00" w14:textId="77777777" w:rsidR="002A1C3D" w:rsidRPr="00D5465A" w:rsidRDefault="002A1C3D" w:rsidP="0054763D">
      <w:pPr>
        <w:pStyle w:val="Bullet1"/>
        <w:rPr>
          <w:szCs w:val="18"/>
        </w:rPr>
      </w:pPr>
      <w:r w:rsidRPr="00D5465A">
        <w:rPr>
          <w:szCs w:val="18"/>
        </w:rPr>
        <w:t>a summary of the evidence, as well as any findings and recommendations based on that evidence</w:t>
      </w:r>
      <w:r w:rsidRPr="00785EAA">
        <w:rPr>
          <w:szCs w:val="18"/>
        </w:rPr>
        <w:t>.</w:t>
      </w:r>
    </w:p>
    <w:p w14:paraId="49A0EE80" w14:textId="77777777" w:rsidR="002A1C3D" w:rsidRPr="0054763D" w:rsidRDefault="002A1C3D" w:rsidP="0054763D">
      <w:pPr>
        <w:pStyle w:val="Heading3"/>
      </w:pPr>
      <w:r w:rsidRPr="0054763D">
        <w:t>Step 6: Provide report to discloser and Ombudsman</w:t>
      </w:r>
    </w:p>
    <w:p w14:paraId="3DEA73A0" w14:textId="77777777" w:rsidR="002A1C3D" w:rsidRPr="00D5465A" w:rsidRDefault="002A1C3D" w:rsidP="0054763D">
      <w:pPr>
        <w:keepNext/>
        <w:keepLines/>
        <w:suppressAutoHyphens w:val="0"/>
        <w:rPr>
          <w:szCs w:val="18"/>
        </w:rPr>
      </w:pPr>
      <w:r w:rsidRPr="00785EAA">
        <w:rPr>
          <w:szCs w:val="18"/>
        </w:rPr>
        <w:t>The principal officer must provide written notice of the completion of the investigation and a copy of the report to the discloser (if reasonabl</w:t>
      </w:r>
      <w:r w:rsidR="000F4B1B">
        <w:rPr>
          <w:szCs w:val="18"/>
        </w:rPr>
        <w:t>y</w:t>
      </w:r>
      <w:r w:rsidRPr="00785EAA">
        <w:rPr>
          <w:szCs w:val="18"/>
        </w:rPr>
        <w:t xml:space="preserve"> practicable) and the Ombudsman. The notice and report must be provided within a reasonable time after preparing the report. </w:t>
      </w:r>
      <w:r w:rsidRPr="00D5465A">
        <w:rPr>
          <w:szCs w:val="18"/>
        </w:rPr>
        <w:t>However, the principal officer may delete from the copy of the report given to the discloser any material:</w:t>
      </w:r>
    </w:p>
    <w:p w14:paraId="666293C5" w14:textId="77777777" w:rsidR="002A1C3D" w:rsidRPr="00D5465A" w:rsidRDefault="002A1C3D" w:rsidP="0054763D">
      <w:pPr>
        <w:pStyle w:val="Bullet1"/>
        <w:rPr>
          <w:szCs w:val="18"/>
        </w:rPr>
      </w:pPr>
      <w:r w:rsidRPr="00D5465A">
        <w:rPr>
          <w:szCs w:val="18"/>
        </w:rPr>
        <w:t>that is likely to enable the identification of the discloser or another person</w:t>
      </w:r>
      <w:r w:rsidR="000F4B1B">
        <w:rPr>
          <w:szCs w:val="18"/>
          <w:lang w:val="en-US"/>
        </w:rPr>
        <w:t>, or</w:t>
      </w:r>
    </w:p>
    <w:p w14:paraId="6ECBD3D1" w14:textId="77777777" w:rsidR="002A1C3D" w:rsidRDefault="002A1C3D" w:rsidP="0054763D">
      <w:pPr>
        <w:pStyle w:val="Bullet1"/>
        <w:rPr>
          <w:szCs w:val="18"/>
        </w:rPr>
      </w:pPr>
      <w:r w:rsidRPr="00D5465A">
        <w:rPr>
          <w:szCs w:val="18"/>
        </w:rPr>
        <w:t xml:space="preserve">would be exempt for the purposes of Part IV of the </w:t>
      </w:r>
      <w:r w:rsidR="000F4B1B">
        <w:rPr>
          <w:szCs w:val="18"/>
          <w:lang w:val="en-US"/>
        </w:rPr>
        <w:t>FOI Act</w:t>
      </w:r>
      <w:r w:rsidRPr="00D5465A">
        <w:rPr>
          <w:szCs w:val="18"/>
        </w:rPr>
        <w:t>, would require a national security or other protective security clearance, contains intelligence information or contravenes a designated publication restriction as defined in the PID Act.</w:t>
      </w:r>
    </w:p>
    <w:p w14:paraId="1C89DE4E" w14:textId="77777777" w:rsidR="002A1C3D" w:rsidRPr="00785EAA" w:rsidRDefault="002A1C3D" w:rsidP="0054763D">
      <w:pPr>
        <w:keepNext/>
        <w:keepLines/>
        <w:suppressAutoHyphens w:val="0"/>
        <w:rPr>
          <w:szCs w:val="18"/>
        </w:rPr>
      </w:pPr>
      <w:r w:rsidRPr="00785EAA">
        <w:rPr>
          <w:szCs w:val="18"/>
        </w:rPr>
        <w:t xml:space="preserve">The principal officer may delete from a copy of the report given to the Ombudsman any material: </w:t>
      </w:r>
    </w:p>
    <w:p w14:paraId="70222708" w14:textId="77777777" w:rsidR="002A1C3D" w:rsidRPr="00785EAA" w:rsidRDefault="002A1C3D" w:rsidP="0054763D">
      <w:pPr>
        <w:pStyle w:val="Bullet1"/>
        <w:rPr>
          <w:szCs w:val="18"/>
        </w:rPr>
      </w:pPr>
      <w:r w:rsidRPr="00785EAA">
        <w:rPr>
          <w:szCs w:val="18"/>
        </w:rPr>
        <w:t>that is likely to enable the identification of the discloser or another person</w:t>
      </w:r>
      <w:r w:rsidR="000F4B1B">
        <w:rPr>
          <w:szCs w:val="18"/>
          <w:lang w:val="en-US"/>
        </w:rPr>
        <w:t>,</w:t>
      </w:r>
      <w:r w:rsidRPr="00785EAA">
        <w:rPr>
          <w:szCs w:val="18"/>
        </w:rPr>
        <w:t xml:space="preserve"> or</w:t>
      </w:r>
    </w:p>
    <w:p w14:paraId="69404FCC" w14:textId="77777777" w:rsidR="002A1C3D" w:rsidRDefault="002A1C3D" w:rsidP="0054763D">
      <w:pPr>
        <w:pStyle w:val="Bullet1"/>
        <w:rPr>
          <w:szCs w:val="18"/>
        </w:rPr>
      </w:pPr>
      <w:r w:rsidRPr="00785EAA">
        <w:rPr>
          <w:szCs w:val="18"/>
        </w:rPr>
        <w:t>contravenes a designated publication restriction as defined in the PID Act.</w:t>
      </w:r>
    </w:p>
    <w:p w14:paraId="6342228B" w14:textId="77777777" w:rsidR="002A1C3D" w:rsidRPr="0054763D" w:rsidRDefault="002A1C3D" w:rsidP="0054763D">
      <w:pPr>
        <w:pStyle w:val="Heading3"/>
      </w:pPr>
      <w:r w:rsidRPr="0054763D">
        <w:t>Step 7: Recommendations in the report</w:t>
      </w:r>
    </w:p>
    <w:p w14:paraId="7B341BBD" w14:textId="77777777" w:rsidR="002A1C3D" w:rsidRDefault="002A1C3D" w:rsidP="00695A33">
      <w:pPr>
        <w:suppressAutoHyphens w:val="0"/>
        <w:rPr>
          <w:szCs w:val="18"/>
        </w:rPr>
      </w:pPr>
      <w:r w:rsidRPr="00D5465A">
        <w:rPr>
          <w:szCs w:val="18"/>
        </w:rPr>
        <w:t xml:space="preserve">The principal officer must ensure that appropriate action is taken in response to recommendations in a report under section 51 of the PID Act, or any other matters raised in such a report, that relate to </w:t>
      </w:r>
      <w:r>
        <w:rPr>
          <w:szCs w:val="18"/>
        </w:rPr>
        <w:t>the Department</w:t>
      </w:r>
      <w:r w:rsidRPr="00D5465A">
        <w:rPr>
          <w:szCs w:val="18"/>
        </w:rPr>
        <w:t>.</w:t>
      </w:r>
    </w:p>
    <w:p w14:paraId="19191B6C" w14:textId="77777777" w:rsidR="002A1C3D" w:rsidRDefault="004C22AA" w:rsidP="004C22AA">
      <w:pPr>
        <w:pStyle w:val="Heading2"/>
      </w:pPr>
      <w:r>
        <w:t>3.11</w:t>
      </w:r>
      <w:r>
        <w:tab/>
        <w:t xml:space="preserve">Reporting to Ombudsman </w:t>
      </w:r>
    </w:p>
    <w:p w14:paraId="733DB827" w14:textId="77777777" w:rsidR="002A1C3D" w:rsidRPr="00D427ED" w:rsidRDefault="002A1C3D" w:rsidP="00D427ED">
      <w:pPr>
        <w:keepNext/>
        <w:keepLines/>
        <w:suppressAutoHyphens w:val="0"/>
        <w:rPr>
          <w:szCs w:val="18"/>
        </w:rPr>
      </w:pPr>
      <w:r w:rsidRPr="00785EAA">
        <w:t>The principal officer will ensure that records are kept so that the principal officer can comply</w:t>
      </w:r>
      <w:r>
        <w:t xml:space="preserve"> </w:t>
      </w:r>
      <w:r w:rsidRPr="00785EAA">
        <w:t xml:space="preserve">with their </w:t>
      </w:r>
      <w:r w:rsidRPr="006574C9">
        <w:rPr>
          <w:szCs w:val="18"/>
        </w:rPr>
        <w:t>obligation</w:t>
      </w:r>
      <w:r w:rsidRPr="00785EAA">
        <w:t xml:space="preserve"> to provide the following information to the Ombudsman as required: </w:t>
      </w:r>
    </w:p>
    <w:p w14:paraId="21CE99AB" w14:textId="77777777" w:rsidR="002A1C3D" w:rsidRPr="00D427ED" w:rsidRDefault="002A1C3D" w:rsidP="00D427ED">
      <w:pPr>
        <w:pStyle w:val="Bullet1"/>
        <w:rPr>
          <w:szCs w:val="18"/>
        </w:rPr>
      </w:pPr>
      <w:r w:rsidRPr="00D427ED">
        <w:rPr>
          <w:szCs w:val="18"/>
        </w:rPr>
        <w:t>the number of public interest disclosures received by authorised officers of the agency during the period covered by the report</w:t>
      </w:r>
    </w:p>
    <w:p w14:paraId="0DEA055F" w14:textId="77777777" w:rsidR="002A1C3D" w:rsidRPr="00D427ED" w:rsidRDefault="002A1C3D" w:rsidP="00D427ED">
      <w:pPr>
        <w:pStyle w:val="Bullet1"/>
        <w:rPr>
          <w:szCs w:val="18"/>
        </w:rPr>
      </w:pPr>
      <w:r w:rsidRPr="00D427ED">
        <w:rPr>
          <w:szCs w:val="18"/>
        </w:rPr>
        <w:t>the kinds of disclosable conduct to which those public interest disclosures related</w:t>
      </w:r>
    </w:p>
    <w:p w14:paraId="65DCD597" w14:textId="77777777" w:rsidR="002A1C3D" w:rsidRPr="00D427ED" w:rsidRDefault="002A1C3D" w:rsidP="00D427ED">
      <w:pPr>
        <w:pStyle w:val="Bullet1"/>
        <w:rPr>
          <w:szCs w:val="18"/>
        </w:rPr>
      </w:pPr>
      <w:r w:rsidRPr="00D427ED">
        <w:rPr>
          <w:szCs w:val="18"/>
        </w:rPr>
        <w:t>the number of disclosures allocated to the agency during the period covered by the report</w:t>
      </w:r>
    </w:p>
    <w:p w14:paraId="63FAF804" w14:textId="77777777" w:rsidR="002A1C3D" w:rsidRPr="00D427ED" w:rsidRDefault="002A1C3D" w:rsidP="00D427ED">
      <w:pPr>
        <w:pStyle w:val="Bullet1"/>
        <w:rPr>
          <w:szCs w:val="18"/>
        </w:rPr>
      </w:pPr>
      <w:r w:rsidRPr="00D427ED">
        <w:rPr>
          <w:szCs w:val="18"/>
        </w:rPr>
        <w:t>the number of disclosure investigations that the principal officer conducted during the period covered by the report</w:t>
      </w:r>
    </w:p>
    <w:p w14:paraId="2E099C74" w14:textId="77777777" w:rsidR="002A1C3D" w:rsidRPr="00D427ED" w:rsidRDefault="002A1C3D" w:rsidP="00D427ED">
      <w:pPr>
        <w:pStyle w:val="Bullet1"/>
        <w:rPr>
          <w:szCs w:val="18"/>
        </w:rPr>
      </w:pPr>
      <w:r w:rsidRPr="00D427ED">
        <w:rPr>
          <w:szCs w:val="18"/>
        </w:rPr>
        <w:t>the time taken to conduct those investigations</w:t>
      </w:r>
    </w:p>
    <w:p w14:paraId="41C3D04D" w14:textId="77777777" w:rsidR="002A1C3D" w:rsidRPr="00D427ED" w:rsidRDefault="002A1C3D" w:rsidP="00D427ED">
      <w:pPr>
        <w:pStyle w:val="Bullet1"/>
        <w:rPr>
          <w:szCs w:val="18"/>
        </w:rPr>
      </w:pPr>
      <w:r w:rsidRPr="00D427ED">
        <w:rPr>
          <w:szCs w:val="18"/>
        </w:rPr>
        <w:t>the actions that the principal officer has taken during the period covered by the report in response to recommendations in reports relating to those disclosure investigations</w:t>
      </w:r>
      <w:r w:rsidR="00D427ED">
        <w:rPr>
          <w:szCs w:val="18"/>
          <w:lang w:val="en-US"/>
        </w:rPr>
        <w:t>,</w:t>
      </w:r>
      <w:r w:rsidRPr="00D427ED">
        <w:rPr>
          <w:szCs w:val="18"/>
        </w:rPr>
        <w:t xml:space="preserve"> and</w:t>
      </w:r>
    </w:p>
    <w:p w14:paraId="101B02BA" w14:textId="77777777" w:rsidR="001B2B32" w:rsidRPr="00A50FDE" w:rsidRDefault="002A1C3D" w:rsidP="00A50FDE">
      <w:pPr>
        <w:pStyle w:val="Bullet1"/>
        <w:rPr>
          <w:szCs w:val="18"/>
        </w:rPr>
      </w:pPr>
      <w:r w:rsidRPr="00D427ED">
        <w:rPr>
          <w:szCs w:val="18"/>
        </w:rPr>
        <w:t>any other information requested by the Ombudsman.</w:t>
      </w:r>
    </w:p>
    <w:p w14:paraId="77444A7F" w14:textId="77777777" w:rsidR="008C1C69" w:rsidRDefault="008C1C69">
      <w:pPr>
        <w:suppressAutoHyphens w:val="0"/>
        <w:rPr>
          <w:b/>
          <w:iCs/>
          <w:szCs w:val="18"/>
        </w:rPr>
      </w:pPr>
      <w:r>
        <w:br w:type="page"/>
      </w:r>
    </w:p>
    <w:bookmarkEnd w:id="2"/>
    <w:p w14:paraId="11EADB6E" w14:textId="77777777" w:rsidR="003A1BA8" w:rsidRPr="00E63ED3" w:rsidRDefault="003A1BA8" w:rsidP="00735C8A">
      <w:pPr>
        <w:pStyle w:val="AppendixHeading1"/>
        <w:numPr>
          <w:ilvl w:val="0"/>
          <w:numId w:val="0"/>
        </w:numPr>
      </w:pPr>
      <w:r w:rsidRPr="00FB3D43">
        <w:t>Schedule 1</w:t>
      </w:r>
    </w:p>
    <w:p w14:paraId="79F0D703" w14:textId="77777777" w:rsidR="003A1BA8" w:rsidRPr="003A1BA8" w:rsidRDefault="003A1BA8" w:rsidP="003A1BA8">
      <w:pPr>
        <w:pStyle w:val="B3Ashurst"/>
        <w:ind w:left="0"/>
        <w:rPr>
          <w:rFonts w:eastAsia="Verdana" w:cs="Times New Roman"/>
          <w:b/>
          <w:color w:val="000000"/>
          <w:sz w:val="22"/>
          <w:szCs w:val="22"/>
          <w:lang w:val="en-US" w:eastAsia="en-US"/>
        </w:rPr>
      </w:pPr>
      <w:r w:rsidRPr="003A1BA8">
        <w:rPr>
          <w:rFonts w:eastAsia="Verdana" w:cs="Times New Roman"/>
          <w:b/>
          <w:color w:val="000000"/>
          <w:sz w:val="22"/>
          <w:szCs w:val="22"/>
          <w:lang w:val="en-US" w:eastAsia="en-US"/>
        </w:rPr>
        <w:t>Relevant extracts from the Commonwealth Ombudsman's Agency Guide To The Public Interest Disclosure Act 2013 – version 3 – accessed June 2024</w:t>
      </w:r>
    </w:p>
    <w:p w14:paraId="277575F1" w14:textId="77777777" w:rsidR="003A1BA8" w:rsidRPr="000301EF" w:rsidRDefault="003A1BA8" w:rsidP="00FB3D43">
      <w:pPr>
        <w:pStyle w:val="Heading2"/>
        <w:rPr>
          <w:lang w:val="en-US"/>
        </w:rPr>
      </w:pPr>
      <w:bookmarkStart w:id="6" w:name="_Hlk170295328"/>
      <w:r w:rsidRPr="000301EF">
        <w:rPr>
          <w:lang w:val="en-US"/>
        </w:rPr>
        <w:t>Who can make a public interest disclosure?</w:t>
      </w:r>
      <w:r w:rsidRPr="0086281B">
        <w:rPr>
          <w:rFonts w:eastAsia="Verdana" w:cs="Times New Roman"/>
          <w:lang w:val="en-US"/>
        </w:rPr>
        <w:t xml:space="preserve"> </w:t>
      </w:r>
    </w:p>
    <w:p w14:paraId="603A6F19" w14:textId="77777777" w:rsidR="003A1BA8" w:rsidRPr="0086281B" w:rsidRDefault="003A1BA8" w:rsidP="003A1BA8">
      <w:pPr>
        <w:spacing w:before="120" w:after="120"/>
        <w:ind w:right="72"/>
        <w:textAlignment w:val="baseline"/>
        <w:rPr>
          <w:rFonts w:eastAsia="Verdana" w:cs="Times New Roman"/>
          <w:color w:val="000000"/>
          <w:lang w:val="en-US"/>
        </w:rPr>
      </w:pPr>
      <w:r>
        <w:rPr>
          <w:rFonts w:eastAsia="Verdana" w:cs="Times New Roman"/>
          <w:color w:val="000000"/>
          <w:lang w:val="en-US"/>
        </w:rPr>
        <w:t>In order to make a public interest disclosure, a</w:t>
      </w:r>
      <w:r w:rsidRPr="000301EF">
        <w:rPr>
          <w:color w:val="000000"/>
          <w:lang w:val="en-US"/>
        </w:rPr>
        <w:t xml:space="preserve"> person must be a current or former ‘public official’, as defined in section 69</w:t>
      </w:r>
      <w:r w:rsidRPr="0086281B">
        <w:rPr>
          <w:rFonts w:eastAsia="Verdana" w:cs="Times New Roman"/>
          <w:color w:val="000000"/>
          <w:lang w:val="en-US"/>
        </w:rPr>
        <w:t>-70</w:t>
      </w:r>
      <w:r w:rsidRPr="000301EF">
        <w:rPr>
          <w:color w:val="000000"/>
          <w:lang w:val="en-US"/>
        </w:rPr>
        <w:t xml:space="preserve"> of the PID Act</w:t>
      </w:r>
      <w:r w:rsidRPr="0086281B">
        <w:rPr>
          <w:rFonts w:eastAsia="Verdana" w:cs="Times New Roman"/>
          <w:color w:val="000000"/>
          <w:lang w:val="en-US"/>
        </w:rPr>
        <w:t xml:space="preserve"> (s 26(1)(a)). </w:t>
      </w:r>
    </w:p>
    <w:p w14:paraId="3CC4F609" w14:textId="77777777" w:rsidR="003A1BA8" w:rsidRPr="00227072" w:rsidRDefault="003A1BA8" w:rsidP="00FB3D43">
      <w:pPr>
        <w:pStyle w:val="Heading3"/>
        <w:rPr>
          <w:rFonts w:eastAsia="Verdana"/>
          <w:lang w:val="en-US"/>
        </w:rPr>
      </w:pPr>
      <w:r w:rsidRPr="00227072">
        <w:rPr>
          <w:rFonts w:eastAsia="Verdana"/>
          <w:lang w:val="en-US"/>
        </w:rPr>
        <w:t>Public officials</w:t>
      </w:r>
    </w:p>
    <w:p w14:paraId="6B1F9CF2" w14:textId="77777777" w:rsidR="003A1BA8" w:rsidRPr="00B82E6D" w:rsidRDefault="003A1BA8" w:rsidP="003A1BA8">
      <w:pPr>
        <w:spacing w:before="120" w:after="120"/>
        <w:ind w:right="72"/>
        <w:textAlignment w:val="baseline"/>
        <w:rPr>
          <w:rFonts w:eastAsia="Verdana" w:cs="Times New Roman"/>
          <w:color w:val="000000"/>
          <w:lang w:val="en-US"/>
        </w:rPr>
      </w:pPr>
      <w:r w:rsidRPr="00B82E6D">
        <w:rPr>
          <w:rFonts w:eastAsia="Verdana" w:cs="Times New Roman"/>
          <w:color w:val="000000"/>
          <w:lang w:val="en-US"/>
        </w:rPr>
        <w:t>In general, a person can make a disclosure if they belong, or previously belonged, to one of the agencies covered by the PID Act</w:t>
      </w:r>
      <w:r>
        <w:rPr>
          <w:rFonts w:eastAsia="Verdana" w:cs="Times New Roman"/>
          <w:color w:val="000000"/>
          <w:lang w:val="en-US"/>
        </w:rPr>
        <w:t xml:space="preserve"> (see the discussion in 2.4.1.1 of this guide)</w:t>
      </w:r>
      <w:r w:rsidRPr="00B82E6D">
        <w:rPr>
          <w:rFonts w:eastAsia="Verdana" w:cs="Times New Roman"/>
          <w:color w:val="000000"/>
          <w:lang w:val="en-US"/>
        </w:rPr>
        <w:t>.</w:t>
      </w:r>
      <w:r w:rsidRPr="000301EF">
        <w:rPr>
          <w:color w:val="000000"/>
          <w:lang w:val="en-US"/>
        </w:rPr>
        <w:t xml:space="preserve"> This includes Commonwealth public </w:t>
      </w:r>
      <w:r w:rsidRPr="00B82E6D">
        <w:rPr>
          <w:rFonts w:eastAsia="Verdana" w:cs="Times New Roman"/>
          <w:color w:val="000000"/>
          <w:lang w:val="en-US"/>
        </w:rPr>
        <w:t>servants, members</w:t>
      </w:r>
      <w:r w:rsidRPr="000301EF">
        <w:rPr>
          <w:color w:val="000000"/>
          <w:lang w:val="en-US"/>
        </w:rPr>
        <w:t xml:space="preserve"> of the Defence Force, </w:t>
      </w:r>
      <w:r w:rsidRPr="00B82E6D">
        <w:rPr>
          <w:rFonts w:eastAsia="Verdana" w:cs="Times New Roman"/>
          <w:color w:val="000000"/>
          <w:lang w:val="en-US"/>
        </w:rPr>
        <w:t>appointees</w:t>
      </w:r>
      <w:r w:rsidRPr="000301EF">
        <w:rPr>
          <w:color w:val="000000"/>
          <w:lang w:val="en-US"/>
        </w:rPr>
        <w:t xml:space="preserve"> of the Australian Federal Police, Parliamentary Service </w:t>
      </w:r>
      <w:r w:rsidRPr="00B82E6D">
        <w:rPr>
          <w:rFonts w:eastAsia="Verdana" w:cs="Times New Roman"/>
          <w:color w:val="000000"/>
          <w:lang w:val="en-US"/>
        </w:rPr>
        <w:t>employees, directors</w:t>
      </w:r>
      <w:r w:rsidRPr="000301EF">
        <w:rPr>
          <w:color w:val="000000"/>
          <w:lang w:val="en-US"/>
        </w:rPr>
        <w:t xml:space="preserve"> or staff of Commonwealth </w:t>
      </w:r>
      <w:r w:rsidRPr="00B82E6D">
        <w:rPr>
          <w:rFonts w:eastAsia="Verdana" w:cs="Times New Roman"/>
          <w:color w:val="000000"/>
          <w:lang w:val="en-US"/>
        </w:rPr>
        <w:t>companies</w:t>
      </w:r>
      <w:r w:rsidRPr="000301EF">
        <w:rPr>
          <w:color w:val="000000"/>
          <w:lang w:val="en-US"/>
        </w:rPr>
        <w:t xml:space="preserve">, statutory office </w:t>
      </w:r>
      <w:r w:rsidRPr="00B82E6D">
        <w:rPr>
          <w:rFonts w:eastAsia="Verdana" w:cs="Times New Roman"/>
          <w:color w:val="000000"/>
          <w:lang w:val="en-US"/>
        </w:rPr>
        <w:t>holders</w:t>
      </w:r>
      <w:r w:rsidRPr="000301EF">
        <w:rPr>
          <w:color w:val="000000"/>
          <w:lang w:val="en-US"/>
        </w:rPr>
        <w:t xml:space="preserve"> or</w:t>
      </w:r>
      <w:r w:rsidRPr="00B82E6D">
        <w:rPr>
          <w:rFonts w:eastAsia="Verdana" w:cs="Times New Roman"/>
          <w:color w:val="000000"/>
          <w:lang w:val="en-US"/>
        </w:rPr>
        <w:t xml:space="preserve"> any</w:t>
      </w:r>
      <w:r w:rsidRPr="000301EF">
        <w:rPr>
          <w:color w:val="000000"/>
          <w:lang w:val="en-US"/>
        </w:rPr>
        <w:t xml:space="preserve"> other person who exercises</w:t>
      </w:r>
      <w:r>
        <w:rPr>
          <w:rFonts w:eastAsia="Verdana" w:cs="Times New Roman"/>
          <w:color w:val="000000"/>
          <w:lang w:val="en-US"/>
        </w:rPr>
        <w:t>, or exercised,</w:t>
      </w:r>
      <w:r w:rsidRPr="000301EF">
        <w:rPr>
          <w:color w:val="000000"/>
          <w:lang w:val="en-US"/>
        </w:rPr>
        <w:t xml:space="preserve"> powers under a Commonwealth law.</w:t>
      </w:r>
    </w:p>
    <w:p w14:paraId="36D4DC69" w14:textId="77777777" w:rsidR="003A1BA8" w:rsidRPr="000301EF" w:rsidRDefault="003A1BA8" w:rsidP="003A1BA8">
      <w:pPr>
        <w:spacing w:before="120" w:after="120"/>
        <w:ind w:right="72"/>
        <w:textAlignment w:val="baseline"/>
        <w:rPr>
          <w:color w:val="000000"/>
          <w:lang w:val="en-US"/>
        </w:rPr>
      </w:pPr>
      <w:r w:rsidRPr="000301EF">
        <w:rPr>
          <w:color w:val="000000"/>
          <w:lang w:val="en-US"/>
        </w:rPr>
        <w:t>Individuals and organisations that provide goods or services under a Commonwealth contract</w:t>
      </w:r>
      <w:r w:rsidRPr="0086281B">
        <w:rPr>
          <w:rFonts w:eastAsia="Verdana" w:cs="Times New Roman"/>
          <w:color w:val="000000"/>
          <w:lang w:val="en-US"/>
        </w:rPr>
        <w:t xml:space="preserve"> (</w:t>
      </w:r>
      <w:r w:rsidRPr="000301EF">
        <w:rPr>
          <w:color w:val="000000"/>
          <w:lang w:val="en-US"/>
        </w:rPr>
        <w:t xml:space="preserve">defined in </w:t>
      </w:r>
      <w:r w:rsidRPr="0086281B">
        <w:rPr>
          <w:rFonts w:eastAsia="Verdana" w:cs="Times New Roman"/>
          <w:color w:val="000000"/>
          <w:lang w:val="en-US"/>
        </w:rPr>
        <w:t>s</w:t>
      </w:r>
      <w:r w:rsidRPr="000301EF">
        <w:rPr>
          <w:color w:val="000000"/>
          <w:lang w:val="en-US"/>
        </w:rPr>
        <w:t xml:space="preserve"> 30(3</w:t>
      </w:r>
      <w:r w:rsidRPr="0086281B">
        <w:rPr>
          <w:rFonts w:eastAsia="Verdana" w:cs="Times New Roman"/>
          <w:color w:val="000000"/>
          <w:lang w:val="en-US"/>
        </w:rPr>
        <w:t>))</w:t>
      </w:r>
      <w:r w:rsidRPr="000301EF">
        <w:rPr>
          <w:color w:val="000000"/>
          <w:lang w:val="en-US"/>
        </w:rPr>
        <w:t xml:space="preserve"> and their officers or employees</w:t>
      </w:r>
      <w:r w:rsidRPr="0086281B">
        <w:rPr>
          <w:rFonts w:eastAsia="Verdana" w:cs="Times New Roman"/>
          <w:color w:val="000000"/>
          <w:lang w:val="en-US"/>
        </w:rPr>
        <w:t>,</w:t>
      </w:r>
      <w:r w:rsidRPr="000301EF">
        <w:rPr>
          <w:color w:val="000000"/>
          <w:lang w:val="en-US"/>
        </w:rPr>
        <w:t xml:space="preserve"> are also </w:t>
      </w:r>
      <w:r w:rsidRPr="0086281B">
        <w:rPr>
          <w:rFonts w:eastAsia="Verdana" w:cs="Times New Roman"/>
          <w:color w:val="000000"/>
          <w:lang w:val="en-US"/>
        </w:rPr>
        <w:t>public officials for the purposes of the PID Act.</w:t>
      </w:r>
      <w:r w:rsidRPr="000301EF">
        <w:rPr>
          <w:color w:val="000000"/>
          <w:lang w:val="en-US"/>
        </w:rPr>
        <w:t xml:space="preserve"> This includes subcontractors who are responsible for providing goods or services</w:t>
      </w:r>
      <w:r w:rsidRPr="0086281B">
        <w:rPr>
          <w:rFonts w:eastAsia="Verdana" w:cs="Times New Roman"/>
          <w:color w:val="000000"/>
          <w:lang w:val="en-US"/>
        </w:rPr>
        <w:t>, either directly or indirectly, to an agency covered by the PID Act</w:t>
      </w:r>
      <w:r w:rsidRPr="000301EF">
        <w:rPr>
          <w:color w:val="000000"/>
          <w:lang w:val="en-US"/>
        </w:rPr>
        <w:t xml:space="preserve"> for the purposes of </w:t>
      </w:r>
      <w:r w:rsidRPr="0086281B">
        <w:rPr>
          <w:rFonts w:eastAsia="Verdana" w:cs="Times New Roman"/>
          <w:color w:val="000000"/>
          <w:lang w:val="en-US"/>
        </w:rPr>
        <w:t>a</w:t>
      </w:r>
      <w:r w:rsidRPr="000301EF">
        <w:rPr>
          <w:color w:val="000000"/>
          <w:lang w:val="en-US"/>
        </w:rPr>
        <w:t xml:space="preserve"> Commonwealth contract</w:t>
      </w:r>
      <w:r w:rsidRPr="0086281B">
        <w:rPr>
          <w:rFonts w:eastAsia="Verdana" w:cs="Times New Roman"/>
          <w:color w:val="000000"/>
          <w:lang w:val="en-US"/>
        </w:rPr>
        <w:t xml:space="preserve"> (s 30(2)).</w:t>
      </w:r>
      <w:r>
        <w:rPr>
          <w:rFonts w:eastAsia="Verdana" w:cs="Times New Roman"/>
          <w:color w:val="000000"/>
          <w:lang w:val="en-US"/>
        </w:rPr>
        <w:t xml:space="preserve"> See 2.4.1.3 for more information about Commonwealth contracts</w:t>
      </w:r>
      <w:r w:rsidRPr="000301EF">
        <w:rPr>
          <w:color w:val="000000"/>
          <w:lang w:val="en-US"/>
        </w:rPr>
        <w:t>.</w:t>
      </w:r>
    </w:p>
    <w:p w14:paraId="1F188296"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 xml:space="preserve">The PID Act specifically excludes some individuals from being public officials under the Act. Public official does </w:t>
      </w:r>
      <w:r w:rsidRPr="00A268C4">
        <w:rPr>
          <w:rFonts w:eastAsia="Verdana" w:cs="Times New Roman"/>
          <w:color w:val="000000"/>
          <w:u w:val="single"/>
          <w:lang w:val="en-US"/>
        </w:rPr>
        <w:t>not</w:t>
      </w:r>
      <w:r w:rsidRPr="0086281B">
        <w:rPr>
          <w:rFonts w:eastAsia="Verdana" w:cs="Times New Roman"/>
          <w:color w:val="000000"/>
          <w:lang w:val="en-US"/>
        </w:rPr>
        <w:t xml:space="preserve"> include a Member of Parliament, staff employed under the </w:t>
      </w:r>
      <w:hyperlink r:id="rId19" w:history="1">
        <w:r w:rsidRPr="008C54AD">
          <w:rPr>
            <w:rStyle w:val="Hyperlink"/>
            <w:rFonts w:eastAsia="Verdana" w:cs="Times New Roman"/>
            <w:i/>
            <w:lang w:val="en-US"/>
          </w:rPr>
          <w:t>Members of Parliament (Staff) Act 1984</w:t>
        </w:r>
      </w:hyperlink>
      <w:r w:rsidRPr="0086281B">
        <w:rPr>
          <w:rFonts w:eastAsia="Verdana" w:cs="Times New Roman"/>
          <w:color w:val="000000"/>
          <w:lang w:val="en-US"/>
        </w:rPr>
        <w:t xml:space="preserve"> </w:t>
      </w:r>
      <w:r w:rsidR="004405CC">
        <w:rPr>
          <w:rFonts w:eastAsia="Verdana" w:cs="Times New Roman"/>
          <w:color w:val="000000"/>
          <w:lang w:val="en-US"/>
        </w:rPr>
        <w:t xml:space="preserve">(Cth) </w:t>
      </w:r>
      <w:r w:rsidRPr="0086281B">
        <w:rPr>
          <w:rFonts w:eastAsia="Verdana" w:cs="Times New Roman"/>
          <w:color w:val="000000"/>
          <w:lang w:val="en-US"/>
        </w:rPr>
        <w:t>(</w:t>
      </w:r>
      <w:r w:rsidRPr="008C54AD">
        <w:rPr>
          <w:rFonts w:eastAsia="Verdana" w:cs="Times New Roman"/>
          <w:b/>
          <w:color w:val="000000"/>
          <w:lang w:val="en-US"/>
        </w:rPr>
        <w:t>MOP(S) Act</w:t>
      </w:r>
      <w:r w:rsidRPr="0086281B">
        <w:rPr>
          <w:rFonts w:eastAsia="Verdana" w:cs="Times New Roman"/>
          <w:color w:val="000000"/>
          <w:lang w:val="en-US"/>
        </w:rPr>
        <w:t xml:space="preserve"> employees), a judicial officer, a member of a Royal Commission or grant recipients.</w:t>
      </w:r>
    </w:p>
    <w:p w14:paraId="0A567130"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 public official whose ordinary functions include sharing information about wrongdoing in the agency with their supervisor or an authorised officer (for example, those working in internal fraud control, case management, or protective security) will not meet the requirements for making an internal disclosure if the disclosure is made in the course of performing the discloser’s ordinary functions as a public official (s 26(1) − see 4.1.3.1 of this guide). If a public official in such a role intends to make a public interest disclosure, they will need to clearly express that intent when making the disclosure.</w:t>
      </w:r>
      <w:r w:rsidRPr="0086281B">
        <w:rPr>
          <w:rFonts w:eastAsia="Verdana" w:cs="Times New Roman"/>
          <w:b/>
          <w:bCs/>
          <w:color w:val="000000"/>
          <w:lang w:val="en-US"/>
        </w:rPr>
        <w:t xml:space="preserve"> </w:t>
      </w:r>
    </w:p>
    <w:p w14:paraId="3140F6DC" w14:textId="77777777" w:rsidR="003A1BA8" w:rsidRPr="00EF228F" w:rsidRDefault="003A1BA8" w:rsidP="00FB3D43">
      <w:pPr>
        <w:pStyle w:val="Heading3"/>
        <w:rPr>
          <w:rFonts w:eastAsia="Verdana"/>
          <w:lang w:val="en-US"/>
        </w:rPr>
      </w:pPr>
      <w:r w:rsidRPr="00EF228F">
        <w:rPr>
          <w:rFonts w:eastAsia="Verdana"/>
          <w:lang w:val="en-US"/>
        </w:rPr>
        <w:t xml:space="preserve">‘Deemed’ public officials </w:t>
      </w:r>
    </w:p>
    <w:p w14:paraId="244B2725" w14:textId="77777777" w:rsidR="003A1BA8" w:rsidRPr="000301EF" w:rsidRDefault="003A1BA8" w:rsidP="003A1BA8">
      <w:pPr>
        <w:spacing w:before="120" w:after="120"/>
        <w:ind w:right="72"/>
        <w:textAlignment w:val="baseline"/>
        <w:rPr>
          <w:color w:val="000000"/>
          <w:lang w:val="en-US"/>
        </w:rPr>
      </w:pPr>
      <w:r w:rsidRPr="0086281B">
        <w:rPr>
          <w:rFonts w:eastAsia="Verdana" w:cs="Times New Roman"/>
          <w:color w:val="000000"/>
          <w:lang w:val="en-US"/>
        </w:rPr>
        <w:t>An authorised</w:t>
      </w:r>
      <w:r w:rsidRPr="000301EF">
        <w:rPr>
          <w:color w:val="000000"/>
          <w:lang w:val="en-US"/>
        </w:rPr>
        <w:t xml:space="preserve"> officer may deem an individual to be a public official if they reasonably believe the individual has information </w:t>
      </w:r>
      <w:r w:rsidRPr="0086281B">
        <w:rPr>
          <w:rFonts w:eastAsia="Verdana" w:cs="Times New Roman"/>
          <w:color w:val="000000"/>
          <w:lang w:val="en-US"/>
        </w:rPr>
        <w:t>about wrongdoing</w:t>
      </w:r>
      <w:r w:rsidRPr="000301EF">
        <w:rPr>
          <w:color w:val="000000"/>
          <w:lang w:val="en-US"/>
        </w:rPr>
        <w:t xml:space="preserve"> and proposes to make a disclosure</w:t>
      </w:r>
      <w:r w:rsidRPr="0086281B">
        <w:rPr>
          <w:rFonts w:eastAsia="Verdana" w:cs="Times New Roman"/>
          <w:color w:val="000000"/>
          <w:lang w:val="en-US"/>
        </w:rPr>
        <w:t xml:space="preserve"> (s 70). Authorised officers are the </w:t>
      </w:r>
      <w:r w:rsidRPr="000301EF">
        <w:rPr>
          <w:color w:val="000000"/>
          <w:lang w:val="en-US"/>
        </w:rPr>
        <w:t xml:space="preserve">principal officer </w:t>
      </w:r>
      <w:r w:rsidRPr="0086281B">
        <w:rPr>
          <w:rFonts w:eastAsia="Verdana" w:cs="Times New Roman"/>
          <w:color w:val="000000"/>
          <w:lang w:val="en-US"/>
        </w:rPr>
        <w:t xml:space="preserve">of an agency (i.e., the agency head) and officers that </w:t>
      </w:r>
      <w:r w:rsidRPr="000301EF">
        <w:rPr>
          <w:color w:val="000000"/>
          <w:lang w:val="en-US"/>
        </w:rPr>
        <w:t xml:space="preserve">the principal officer </w:t>
      </w:r>
      <w:r w:rsidRPr="0086281B">
        <w:rPr>
          <w:rFonts w:eastAsia="Verdana" w:cs="Times New Roman"/>
          <w:color w:val="000000"/>
          <w:lang w:val="en-US"/>
        </w:rPr>
        <w:t xml:space="preserve">appoints as authorised officers under the PID Act (s 36). It is not necessary for the disclosing individual to request that they be deemed a public official, but the authorised officer </w:t>
      </w:r>
      <w:r w:rsidRPr="000301EF">
        <w:rPr>
          <w:color w:val="000000"/>
          <w:lang w:val="en-US"/>
        </w:rPr>
        <w:t>must provide the individual with a written notice of the determination.</w:t>
      </w:r>
    </w:p>
    <w:p w14:paraId="72298C62"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An authorised officer might consider it appropriate to deem an individual to be a public official if the individual is not a public official, but nevertheless has ‘inside information’ about the agency’s wrongdoing. Examples might include:</w:t>
      </w:r>
    </w:p>
    <w:p w14:paraId="3EFB728E" w14:textId="77777777" w:rsidR="003A1BA8" w:rsidRPr="00B82E6D" w:rsidRDefault="003A1BA8" w:rsidP="00EF228F">
      <w:pPr>
        <w:pStyle w:val="Bullet1"/>
      </w:pPr>
      <w:r w:rsidRPr="00B82E6D">
        <w:t>a current or former volunteer with an agency</w:t>
      </w:r>
    </w:p>
    <w:p w14:paraId="4F667B3D" w14:textId="77777777" w:rsidR="003A1BA8" w:rsidRPr="00B82E6D" w:rsidRDefault="003A1BA8" w:rsidP="00EF228F">
      <w:pPr>
        <w:pStyle w:val="Bullet1"/>
      </w:pPr>
      <w:r w:rsidRPr="00B82E6D">
        <w:t>a member of an advisory body to a Commonwealth agency (where the member’s terms of engagement do not meet the definition of a public official)</w:t>
      </w:r>
    </w:p>
    <w:p w14:paraId="2992C235" w14:textId="77777777" w:rsidR="003A1BA8" w:rsidRPr="00B82E6D" w:rsidRDefault="003A1BA8" w:rsidP="00EF228F">
      <w:pPr>
        <w:pStyle w:val="Bullet1"/>
      </w:pPr>
      <w:r w:rsidRPr="00B82E6D">
        <w:t>an employee of an organisation</w:t>
      </w:r>
      <w:r w:rsidRPr="000301EF">
        <w:t xml:space="preserve"> that </w:t>
      </w:r>
      <w:r w:rsidRPr="00B82E6D">
        <w:t>receives grant funding from the Australian Government, or</w:t>
      </w:r>
    </w:p>
    <w:p w14:paraId="7E312612" w14:textId="77777777" w:rsidR="003A1BA8" w:rsidRPr="00B82E6D" w:rsidRDefault="003A1BA8" w:rsidP="00EF228F">
      <w:pPr>
        <w:pStyle w:val="Bullet1"/>
      </w:pPr>
      <w:r w:rsidRPr="00B82E6D">
        <w:t>state and territory department officials who work alongside Commonwealth officials.</w:t>
      </w:r>
    </w:p>
    <w:p w14:paraId="3E8E70EF"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 xml:space="preserve">An authorised officer may also decide to deem a person to be a public official if they do not know, or cannot be certain, whether </w:t>
      </w:r>
      <w:r w:rsidRPr="000301EF">
        <w:rPr>
          <w:color w:val="000000"/>
          <w:lang w:val="en-US"/>
        </w:rPr>
        <w:t xml:space="preserve">the </w:t>
      </w:r>
      <w:r w:rsidRPr="0086281B">
        <w:rPr>
          <w:rFonts w:eastAsia="Verdana" w:cs="Times New Roman"/>
          <w:color w:val="000000"/>
          <w:lang w:val="en-US"/>
        </w:rPr>
        <w:t>person</w:t>
      </w:r>
      <w:r w:rsidRPr="000301EF">
        <w:rPr>
          <w:color w:val="000000"/>
          <w:lang w:val="en-US"/>
        </w:rPr>
        <w:t xml:space="preserve"> is </w:t>
      </w:r>
      <w:r w:rsidRPr="0086281B">
        <w:rPr>
          <w:rFonts w:eastAsia="Verdana" w:cs="Times New Roman"/>
          <w:color w:val="000000"/>
          <w:lang w:val="en-US"/>
        </w:rPr>
        <w:t>a public official. For example, the person may be unwilling to provide identifying information for fear of reprisal. The relevant test is that the person was not a public official at the time the information they are disclosing was obtained (s 70(1)(b)). If the authorised officer is otherwise satisfied that the person is or has been a public official, then deeming is not required.</w:t>
      </w:r>
    </w:p>
    <w:p w14:paraId="798F45FB" w14:textId="77777777" w:rsidR="003A1BA8"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An authorised officer’s power to deem a person to be a public official operates only</w:t>
      </w:r>
      <w:r w:rsidRPr="000301EF">
        <w:rPr>
          <w:color w:val="000000"/>
          <w:lang w:val="en-US"/>
        </w:rPr>
        <w:t xml:space="preserve"> for the purposes of </w:t>
      </w:r>
      <w:r w:rsidRPr="0086281B">
        <w:rPr>
          <w:rFonts w:eastAsia="Verdana" w:cs="Times New Roman"/>
          <w:color w:val="000000"/>
          <w:lang w:val="en-US"/>
        </w:rPr>
        <w:t xml:space="preserve">allowing that person to make a disclosure under </w:t>
      </w:r>
      <w:r w:rsidRPr="000301EF">
        <w:rPr>
          <w:color w:val="000000"/>
          <w:lang w:val="en-US"/>
        </w:rPr>
        <w:t>the PID Act</w:t>
      </w:r>
      <w:r w:rsidRPr="0086281B">
        <w:rPr>
          <w:rFonts w:eastAsia="Verdana" w:cs="Times New Roman"/>
          <w:color w:val="000000"/>
          <w:lang w:val="en-US"/>
        </w:rPr>
        <w:t xml:space="preserve"> (s 70). An authorised officer cannot extend the reach of the PID Act by deeming a person to be a public official for the purposes of allowing a second person to make a disclosure about that first person’s conduct. Additionally, a judicial officer, member of parliament, member of a</w:t>
      </w:r>
      <w:r>
        <w:rPr>
          <w:rFonts w:eastAsia="Verdana" w:cs="Times New Roman"/>
          <w:color w:val="000000"/>
          <w:lang w:val="en-US"/>
        </w:rPr>
        <w:t xml:space="preserve"> </w:t>
      </w:r>
      <w:r w:rsidRPr="0086281B">
        <w:rPr>
          <w:rFonts w:eastAsia="Verdana" w:cs="Times New Roman"/>
          <w:color w:val="000000"/>
          <w:lang w:val="en-US"/>
        </w:rPr>
        <w:t>Royal Commission or a person employed under the</w:t>
      </w:r>
      <w:r w:rsidR="008C54AD">
        <w:rPr>
          <w:rFonts w:eastAsia="Verdana" w:cs="Times New Roman"/>
          <w:color w:val="000000"/>
          <w:lang w:val="en-US"/>
        </w:rPr>
        <w:t xml:space="preserve"> </w:t>
      </w:r>
      <w:r w:rsidR="008C54AD" w:rsidRPr="008C54AD">
        <w:rPr>
          <w:rFonts w:eastAsia="Verdana" w:cs="Times New Roman"/>
          <w:color w:val="000000"/>
          <w:lang w:val="en-US"/>
        </w:rPr>
        <w:t>MOP(S) Act</w:t>
      </w:r>
      <w:r w:rsidRPr="0086281B">
        <w:rPr>
          <w:rFonts w:eastAsia="Verdana" w:cs="Times New Roman"/>
          <w:color w:val="000000"/>
          <w:lang w:val="en-US"/>
        </w:rPr>
        <w:t xml:space="preserve"> cannot be deemed a public official for the purposes of making a disclosure (s 70(3A)).</w:t>
      </w:r>
    </w:p>
    <w:p w14:paraId="087CA121" w14:textId="77777777" w:rsidR="003A1BA8" w:rsidRPr="000301EF" w:rsidRDefault="003A1BA8" w:rsidP="003A1BA8">
      <w:pPr>
        <w:spacing w:before="120" w:after="120"/>
        <w:ind w:right="72"/>
        <w:textAlignment w:val="baseline"/>
        <w:rPr>
          <w:color w:val="000000"/>
          <w:lang w:val="en-US"/>
        </w:rPr>
      </w:pPr>
      <w:r>
        <w:rPr>
          <w:rFonts w:eastAsia="Verdana" w:cs="Times New Roman"/>
          <w:color w:val="000000"/>
          <w:lang w:val="en-US"/>
        </w:rPr>
        <w:t>The formal requirements for an authorized officer to deem a person to be a public official are explained in 4.1.3 of this guide.</w:t>
      </w:r>
      <w:r w:rsidRPr="000301EF">
        <w:rPr>
          <w:color w:val="000000"/>
          <w:lang w:val="en-US"/>
        </w:rPr>
        <w:t xml:space="preserve"> </w:t>
      </w:r>
    </w:p>
    <w:p w14:paraId="303E14AE" w14:textId="77777777" w:rsidR="003A1BA8" w:rsidRPr="000301EF" w:rsidRDefault="003A1BA8" w:rsidP="00FB3D43">
      <w:pPr>
        <w:pStyle w:val="Heading2"/>
        <w:rPr>
          <w:lang w:val="en-US"/>
        </w:rPr>
      </w:pPr>
      <w:r w:rsidRPr="000301EF">
        <w:rPr>
          <w:lang w:val="en-US"/>
        </w:rPr>
        <w:t>What can be disclosed?</w:t>
      </w:r>
    </w:p>
    <w:p w14:paraId="58AC18B2" w14:textId="77777777" w:rsidR="003A1BA8" w:rsidRPr="000301EF" w:rsidRDefault="003A1BA8" w:rsidP="003A1BA8">
      <w:pPr>
        <w:spacing w:before="120" w:after="120"/>
        <w:ind w:right="72"/>
        <w:textAlignment w:val="baseline"/>
        <w:rPr>
          <w:color w:val="000000"/>
          <w:lang w:val="en-US"/>
        </w:rPr>
      </w:pPr>
      <w:r>
        <w:rPr>
          <w:rFonts w:eastAsia="Verdana" w:cs="Times New Roman"/>
          <w:color w:val="000000"/>
          <w:lang w:val="en-US"/>
        </w:rPr>
        <w:t>Under s 26 of the PID Act, a</w:t>
      </w:r>
      <w:r w:rsidRPr="000301EF">
        <w:rPr>
          <w:color w:val="000000"/>
          <w:lang w:val="en-US"/>
        </w:rPr>
        <w:t xml:space="preserve"> public official can disclose information that they believe, on reasonable grounds, tends to show 'disclosable conduct'.</w:t>
      </w:r>
    </w:p>
    <w:p w14:paraId="5D3C5B6D" w14:textId="77777777" w:rsidR="003A1BA8" w:rsidRDefault="003A1BA8" w:rsidP="003A1BA8">
      <w:pPr>
        <w:spacing w:before="120" w:after="120"/>
        <w:ind w:right="72"/>
        <w:textAlignment w:val="baseline"/>
        <w:rPr>
          <w:rFonts w:eastAsia="Verdana" w:cs="Times New Roman"/>
          <w:color w:val="000000"/>
          <w:lang w:val="en-US"/>
        </w:rPr>
      </w:pPr>
      <w:r>
        <w:rPr>
          <w:rFonts w:eastAsia="Verdana" w:cs="Times New Roman"/>
          <w:color w:val="000000"/>
          <w:lang w:val="en-US"/>
        </w:rPr>
        <w:t>Disclosable conduct is defined in s 29 of the PID Act. There are 2 elements to the definition. The first element is that disclosable conduct has to be engaged in by a person or body covered by the PID Act (see 2.4.1 below). The second element is that the disclosable conduct has to be of a type covered by the PID Act (see</w:t>
      </w:r>
      <w:r w:rsidR="008C54AD">
        <w:rPr>
          <w:rFonts w:eastAsia="Verdana" w:cs="Times New Roman"/>
          <w:color w:val="000000"/>
          <w:lang w:val="en-US"/>
        </w:rPr>
        <w:t> </w:t>
      </w:r>
      <w:r>
        <w:rPr>
          <w:rFonts w:eastAsia="Verdana" w:cs="Times New Roman"/>
          <w:color w:val="000000"/>
          <w:lang w:val="en-US"/>
        </w:rPr>
        <w:t>2.4.2 below).</w:t>
      </w:r>
    </w:p>
    <w:p w14:paraId="6F8C3A9D" w14:textId="77777777" w:rsidR="003A1BA8" w:rsidRPr="00B61E04" w:rsidRDefault="003A1BA8" w:rsidP="00FB3D43">
      <w:pPr>
        <w:pStyle w:val="Heading3"/>
        <w:rPr>
          <w:rFonts w:eastAsia="Verdana"/>
          <w:lang w:val="en-US"/>
        </w:rPr>
      </w:pPr>
      <w:r w:rsidRPr="00B61E04">
        <w:rPr>
          <w:rFonts w:eastAsia="Verdana"/>
          <w:lang w:val="en-US"/>
        </w:rPr>
        <w:t>Whose conduct?</w:t>
      </w:r>
    </w:p>
    <w:p w14:paraId="71B186F4"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Disclosable conduct covered by the PID Act has to be conduct on the part of one of the following:</w:t>
      </w:r>
    </w:p>
    <w:p w14:paraId="42932A76" w14:textId="77777777" w:rsidR="003A1BA8" w:rsidRPr="000301EF" w:rsidRDefault="003A1BA8" w:rsidP="00EF228F">
      <w:pPr>
        <w:pStyle w:val="Bullet1"/>
      </w:pPr>
      <w:r w:rsidRPr="000301EF">
        <w:t>an agency</w:t>
      </w:r>
      <w:r>
        <w:t xml:space="preserve"> (see 2.4.1.1)</w:t>
      </w:r>
    </w:p>
    <w:p w14:paraId="22D0D965" w14:textId="77777777" w:rsidR="003A1BA8" w:rsidRPr="000301EF" w:rsidRDefault="003A1BA8" w:rsidP="00EF228F">
      <w:pPr>
        <w:pStyle w:val="Bullet1"/>
      </w:pPr>
      <w:r w:rsidRPr="000301EF">
        <w:t>a public official in connection with their position</w:t>
      </w:r>
      <w:r>
        <w:t xml:space="preserve"> (see 2.4.1.2)</w:t>
      </w:r>
      <w:r w:rsidR="008C54AD">
        <w:rPr>
          <w:lang w:val="en-US"/>
        </w:rPr>
        <w:t>, or</w:t>
      </w:r>
    </w:p>
    <w:p w14:paraId="4130BA14" w14:textId="77777777" w:rsidR="003A1BA8" w:rsidRPr="000301EF" w:rsidRDefault="003A1BA8" w:rsidP="00EF228F">
      <w:pPr>
        <w:pStyle w:val="Bullet1"/>
      </w:pPr>
      <w:r w:rsidRPr="000301EF">
        <w:t>a contracted Commonwealth service provider in connection with entering into or giving effect to the contract</w:t>
      </w:r>
      <w:r>
        <w:t xml:space="preserve"> (see 2.4.1.3).</w:t>
      </w:r>
    </w:p>
    <w:p w14:paraId="055F6890" w14:textId="77777777" w:rsidR="003A1BA8" w:rsidRPr="00B61E04" w:rsidRDefault="003A1BA8" w:rsidP="00FB3D43">
      <w:pPr>
        <w:pStyle w:val="Heading3"/>
        <w:rPr>
          <w:rFonts w:eastAsia="Verdana"/>
          <w:lang w:val="en-US"/>
        </w:rPr>
      </w:pPr>
      <w:r w:rsidRPr="00B61E04">
        <w:rPr>
          <w:rFonts w:eastAsia="Verdana"/>
          <w:lang w:val="en-US"/>
        </w:rPr>
        <w:t xml:space="preserve">What kinds of disclosable </w:t>
      </w:r>
      <w:r w:rsidRPr="000301EF">
        <w:rPr>
          <w:lang w:val="en-US"/>
        </w:rPr>
        <w:t>conduct</w:t>
      </w:r>
      <w:r w:rsidRPr="00B61E04">
        <w:rPr>
          <w:rFonts w:eastAsia="Verdana"/>
          <w:lang w:val="en-US"/>
        </w:rPr>
        <w:t xml:space="preserve"> are covered by the PID Act?</w:t>
      </w:r>
    </w:p>
    <w:p w14:paraId="383B00E1" w14:textId="77777777" w:rsidR="003A1BA8" w:rsidRPr="000301EF" w:rsidRDefault="003A1BA8" w:rsidP="00EF228F">
      <w:pPr>
        <w:keepNext/>
        <w:keepLines/>
        <w:spacing w:before="120" w:after="120"/>
        <w:ind w:right="74"/>
        <w:textAlignment w:val="baseline"/>
        <w:rPr>
          <w:color w:val="000000"/>
          <w:lang w:val="en-US"/>
        </w:rPr>
      </w:pPr>
      <w:r w:rsidRPr="0086281B">
        <w:rPr>
          <w:rFonts w:eastAsia="Verdana" w:cs="Times New Roman"/>
          <w:color w:val="000000"/>
          <w:lang w:val="en-US"/>
        </w:rPr>
        <w:t xml:space="preserve">The kinds of conduct that a disclosure can be made about are listed in the table to section 29 of the PID Act. They </w:t>
      </w:r>
      <w:r>
        <w:rPr>
          <w:rFonts w:eastAsia="Verdana" w:cs="Times New Roman"/>
          <w:color w:val="000000"/>
          <w:lang w:val="en-US"/>
        </w:rPr>
        <w:t>include</w:t>
      </w:r>
      <w:r w:rsidRPr="0086281B">
        <w:rPr>
          <w:rFonts w:eastAsia="Verdana" w:cs="Times New Roman"/>
          <w:color w:val="000000"/>
          <w:lang w:val="en-US"/>
        </w:rPr>
        <w:t xml:space="preserve"> conduct that</w:t>
      </w:r>
      <w:r w:rsidRPr="000301EF">
        <w:rPr>
          <w:color w:val="000000"/>
          <w:lang w:val="en-US"/>
        </w:rPr>
        <w:t>:</w:t>
      </w:r>
    </w:p>
    <w:p w14:paraId="4A9D83CA" w14:textId="77777777" w:rsidR="003A1BA8" w:rsidRPr="000301EF" w:rsidRDefault="003A1BA8" w:rsidP="00EF228F">
      <w:pPr>
        <w:pStyle w:val="Bullet1"/>
      </w:pPr>
      <w:r w:rsidRPr="000301EF">
        <w:t xml:space="preserve">contravenes a Commonwealth, </w:t>
      </w:r>
      <w:r>
        <w:rPr>
          <w:rFonts w:eastAsia="Verdana"/>
        </w:rPr>
        <w:t>s</w:t>
      </w:r>
      <w:r w:rsidRPr="00B82E6D">
        <w:rPr>
          <w:rFonts w:eastAsia="Verdana"/>
        </w:rPr>
        <w:t>tate</w:t>
      </w:r>
      <w:r w:rsidRPr="000301EF">
        <w:t xml:space="preserve"> or </w:t>
      </w:r>
      <w:r>
        <w:rPr>
          <w:rFonts w:eastAsia="Verdana"/>
        </w:rPr>
        <w:t>t</w:t>
      </w:r>
      <w:r w:rsidRPr="00B82E6D">
        <w:rPr>
          <w:rFonts w:eastAsia="Verdana"/>
        </w:rPr>
        <w:t>erritory</w:t>
      </w:r>
      <w:r w:rsidRPr="000301EF">
        <w:t xml:space="preserve"> law</w:t>
      </w:r>
    </w:p>
    <w:p w14:paraId="17D5C43C" w14:textId="77777777" w:rsidR="003A1BA8" w:rsidRPr="000301EF" w:rsidRDefault="003A1BA8" w:rsidP="00EF228F">
      <w:pPr>
        <w:pStyle w:val="Bullet1"/>
      </w:pPr>
      <w:r>
        <w:rPr>
          <w:rFonts w:eastAsia="Verdana"/>
        </w:rPr>
        <w:t xml:space="preserve">occurred </w:t>
      </w:r>
      <w:r w:rsidRPr="000301EF">
        <w:t>in a foreign country</w:t>
      </w:r>
      <w:r>
        <w:rPr>
          <w:rFonts w:eastAsia="Verdana"/>
        </w:rPr>
        <w:t xml:space="preserve"> and</w:t>
      </w:r>
      <w:r w:rsidRPr="000301EF">
        <w:t xml:space="preserve"> contravenes a foreign law that applies to the agency, official or service provider</w:t>
      </w:r>
    </w:p>
    <w:p w14:paraId="7ED60231" w14:textId="77777777" w:rsidR="003A1BA8" w:rsidRPr="000301EF" w:rsidRDefault="003A1BA8" w:rsidP="00EF228F">
      <w:pPr>
        <w:pStyle w:val="Bullet1"/>
      </w:pPr>
      <w:r w:rsidRPr="000301EF">
        <w:t>perverts the course of justice</w:t>
      </w:r>
    </w:p>
    <w:p w14:paraId="731F0E2E" w14:textId="77777777" w:rsidR="003A1BA8" w:rsidRPr="000301EF" w:rsidRDefault="003A1BA8" w:rsidP="00EF228F">
      <w:pPr>
        <w:pStyle w:val="Bullet1"/>
      </w:pPr>
      <w:r w:rsidRPr="000301EF">
        <w:t>is corrupt</w:t>
      </w:r>
    </w:p>
    <w:p w14:paraId="096FE8A2" w14:textId="77777777" w:rsidR="003A1BA8" w:rsidRPr="000301EF" w:rsidRDefault="003A1BA8" w:rsidP="00EF228F">
      <w:pPr>
        <w:pStyle w:val="Bullet1"/>
      </w:pPr>
      <w:r w:rsidRPr="000301EF">
        <w:t>constitutes maladministration, including conduct that is based on improper motives or is unreasonable, unjust, oppressive or negligent</w:t>
      </w:r>
    </w:p>
    <w:p w14:paraId="253C5450" w14:textId="77777777" w:rsidR="003A1BA8" w:rsidRPr="000301EF" w:rsidRDefault="003A1BA8" w:rsidP="00EF228F">
      <w:pPr>
        <w:pStyle w:val="Bullet1"/>
      </w:pPr>
      <w:r w:rsidRPr="000301EF">
        <w:t>is an abuse of public trust</w:t>
      </w:r>
    </w:p>
    <w:p w14:paraId="167B4327" w14:textId="77777777" w:rsidR="003A1BA8" w:rsidRPr="000301EF" w:rsidRDefault="003A1BA8" w:rsidP="00EF228F">
      <w:pPr>
        <w:pStyle w:val="Bullet1"/>
      </w:pPr>
      <w:r w:rsidRPr="000301EF">
        <w:t>involves fabrication, falsification, plagiarism or deception relating to scientific research, or other misconduct in relation to scientific research, analysis or advice</w:t>
      </w:r>
    </w:p>
    <w:p w14:paraId="11CBEA97" w14:textId="77777777" w:rsidR="003A1BA8" w:rsidRPr="000301EF" w:rsidRDefault="003A1BA8" w:rsidP="00EF228F">
      <w:pPr>
        <w:pStyle w:val="Bullet1"/>
      </w:pPr>
      <w:r w:rsidRPr="000301EF">
        <w:t>results in wastage of public money or public property</w:t>
      </w:r>
    </w:p>
    <w:p w14:paraId="56F357E7" w14:textId="77777777" w:rsidR="003A1BA8" w:rsidRPr="000301EF" w:rsidRDefault="003A1BA8" w:rsidP="00695A33">
      <w:pPr>
        <w:pStyle w:val="Bullet1"/>
        <w:keepNext/>
        <w:keepLines/>
      </w:pPr>
      <w:r w:rsidRPr="000301EF">
        <w:t>unreasonably endangers health and safety</w:t>
      </w:r>
    </w:p>
    <w:p w14:paraId="508029D6" w14:textId="0D74F7FC" w:rsidR="003A1BA8" w:rsidRPr="000301EF" w:rsidRDefault="003A1BA8" w:rsidP="00695A33">
      <w:pPr>
        <w:pStyle w:val="Bullet1"/>
        <w:keepNext/>
        <w:keepLines/>
      </w:pPr>
      <w:r w:rsidRPr="000301EF">
        <w:t>endangers the environment</w:t>
      </w:r>
      <w:r w:rsidR="00695A33">
        <w:rPr>
          <w:lang w:val="en-US"/>
        </w:rPr>
        <w:t>, and</w:t>
      </w:r>
    </w:p>
    <w:p w14:paraId="5FD1C650" w14:textId="77777777" w:rsidR="003A1BA8" w:rsidRPr="000301EF" w:rsidRDefault="003A1BA8" w:rsidP="00695A33">
      <w:pPr>
        <w:pStyle w:val="Bullet1"/>
        <w:keepNext/>
        <w:keepLines/>
      </w:pPr>
      <w:r w:rsidRPr="000301EF">
        <w:t>is prescribed by the PID rules.</w:t>
      </w:r>
    </w:p>
    <w:p w14:paraId="0DB1E786"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Disclosable</w:t>
      </w:r>
      <w:r w:rsidRPr="000301EF">
        <w:rPr>
          <w:color w:val="000000"/>
          <w:lang w:val="en-US"/>
        </w:rPr>
        <w:t xml:space="preserve"> conduct also includes conduct by a public official that</w:t>
      </w:r>
      <w:r w:rsidRPr="0086281B">
        <w:rPr>
          <w:rFonts w:eastAsia="Verdana" w:cs="Times New Roman"/>
          <w:color w:val="000000"/>
          <w:lang w:val="en-US"/>
        </w:rPr>
        <w:t>:</w:t>
      </w:r>
    </w:p>
    <w:p w14:paraId="7D0BA7D6" w14:textId="77777777" w:rsidR="003A1BA8" w:rsidRPr="00B82E6D" w:rsidRDefault="003A1BA8" w:rsidP="00EF228F">
      <w:pPr>
        <w:pStyle w:val="Bullet1"/>
        <w:rPr>
          <w:rFonts w:eastAsia="Verdana"/>
        </w:rPr>
      </w:pPr>
      <w:r w:rsidRPr="000301EF">
        <w:t>involves or is engaged in for the purposes of abusing their position as a public official</w:t>
      </w:r>
      <w:r w:rsidR="008C54AD">
        <w:rPr>
          <w:rFonts w:eastAsia="Verdana"/>
          <w:lang w:val="en-US"/>
        </w:rPr>
        <w:t>,</w:t>
      </w:r>
      <w:r w:rsidRPr="00B82E6D">
        <w:rPr>
          <w:rFonts w:eastAsia="Verdana"/>
        </w:rPr>
        <w:t xml:space="preserve"> or</w:t>
      </w:r>
    </w:p>
    <w:p w14:paraId="4332CABB" w14:textId="77777777" w:rsidR="003A1BA8" w:rsidRPr="000301EF" w:rsidRDefault="003A1BA8" w:rsidP="00EF228F">
      <w:pPr>
        <w:pStyle w:val="Bullet1"/>
      </w:pPr>
      <w:r w:rsidRPr="000301EF">
        <w:t>could</w:t>
      </w:r>
      <w:r>
        <w:rPr>
          <w:rFonts w:eastAsia="Verdana"/>
        </w:rPr>
        <w:t>, if proved,</w:t>
      </w:r>
      <w:r w:rsidRPr="000301EF">
        <w:t xml:space="preserve"> give reasonable grounds for disciplinary action </w:t>
      </w:r>
      <w:r w:rsidRPr="00B82E6D">
        <w:rPr>
          <w:rFonts w:eastAsia="Verdana"/>
        </w:rPr>
        <w:t>resulting in</w:t>
      </w:r>
      <w:r w:rsidRPr="000301EF">
        <w:t xml:space="preserve"> the </w:t>
      </w:r>
      <w:r w:rsidRPr="00B82E6D">
        <w:rPr>
          <w:rFonts w:eastAsia="Verdana"/>
        </w:rPr>
        <w:t>termination of the public official's engagement or appointment (s 29(2)).</w:t>
      </w:r>
    </w:p>
    <w:p w14:paraId="0E9849DE" w14:textId="77777777" w:rsidR="003A1BA8" w:rsidRPr="00EF228F" w:rsidRDefault="003A1BA8" w:rsidP="00FB3D43">
      <w:pPr>
        <w:pStyle w:val="Heading2"/>
        <w:rPr>
          <w:lang w:val="en-US"/>
        </w:rPr>
      </w:pPr>
      <w:r w:rsidRPr="00EF228F">
        <w:rPr>
          <w:lang w:val="en-US"/>
        </w:rPr>
        <w:t>What is not disclosable conduct?</w:t>
      </w:r>
    </w:p>
    <w:p w14:paraId="03568CA3" w14:textId="77777777" w:rsidR="003A1BA8" w:rsidRPr="00EF228F" w:rsidRDefault="003A1BA8" w:rsidP="00FB3D43">
      <w:pPr>
        <w:pStyle w:val="Heading3"/>
        <w:rPr>
          <w:rFonts w:eastAsia="Verdana"/>
          <w:lang w:val="en-US"/>
        </w:rPr>
      </w:pPr>
      <w:r w:rsidRPr="00EF228F">
        <w:rPr>
          <w:rFonts w:eastAsia="Verdana"/>
          <w:lang w:val="en-US"/>
        </w:rPr>
        <w:t xml:space="preserve">Personal work-related conduct </w:t>
      </w:r>
    </w:p>
    <w:p w14:paraId="2A5E0B87" w14:textId="77777777" w:rsidR="003A1BA8" w:rsidRPr="0086281B" w:rsidRDefault="003A1BA8" w:rsidP="003A1BA8">
      <w:pPr>
        <w:keepNext/>
        <w:tabs>
          <w:tab w:val="left" w:pos="720"/>
        </w:tabs>
        <w:spacing w:before="120" w:after="120"/>
        <w:ind w:right="74"/>
        <w:textAlignment w:val="baseline"/>
        <w:rPr>
          <w:rFonts w:eastAsia="Verdana" w:cs="Times New Roman"/>
          <w:bCs/>
          <w:color w:val="000000"/>
          <w:lang w:val="en-US"/>
        </w:rPr>
      </w:pPr>
      <w:r w:rsidRPr="0086281B">
        <w:rPr>
          <w:rFonts w:eastAsia="Verdana" w:cs="Times New Roman"/>
          <w:bCs/>
          <w:color w:val="000000"/>
          <w:lang w:val="en-US"/>
        </w:rPr>
        <w:t>The PID Act provides that personal work-related conduct (s 29A) is not disclosable conduct. Personal work-related conduct is conduct engaged in by one public official in relation to another public official that has personal implications for the second official. The conduct must have occurred in relation the second official’s engagement or appointment and/or in the course of their employment or exercise of their functions and powers as a public official. It includes, but is not limited to, conduct relating to:</w:t>
      </w:r>
    </w:p>
    <w:p w14:paraId="74ED0A5D" w14:textId="77777777" w:rsidR="003A1BA8" w:rsidRPr="00B82E6D" w:rsidRDefault="003A1BA8" w:rsidP="00EF228F">
      <w:pPr>
        <w:pStyle w:val="Bullet1"/>
      </w:pPr>
      <w:r w:rsidRPr="00B82E6D">
        <w:t>interpersonal conflict, such as bullying or harassment</w:t>
      </w:r>
    </w:p>
    <w:p w14:paraId="44B38733" w14:textId="77777777" w:rsidR="003A1BA8" w:rsidRPr="00B82E6D" w:rsidRDefault="003A1BA8" w:rsidP="00EF228F">
      <w:pPr>
        <w:pStyle w:val="Bullet1"/>
      </w:pPr>
      <w:r w:rsidRPr="00B82E6D">
        <w:t xml:space="preserve">changing </w:t>
      </w:r>
      <w:r w:rsidRPr="000301EF">
        <w:t xml:space="preserve">a </w:t>
      </w:r>
      <w:r w:rsidRPr="00B82E6D">
        <w:t xml:space="preserve">person’s duties </w:t>
      </w:r>
    </w:p>
    <w:p w14:paraId="36567B48" w14:textId="77777777" w:rsidR="003A1BA8" w:rsidRPr="00B82E6D" w:rsidRDefault="003A1BA8" w:rsidP="00EF228F">
      <w:pPr>
        <w:pStyle w:val="Bullet1"/>
      </w:pPr>
      <w:r w:rsidRPr="00B82E6D">
        <w:t xml:space="preserve">disciplinary action </w:t>
      </w:r>
    </w:p>
    <w:p w14:paraId="2EC44523" w14:textId="77777777" w:rsidR="003A1BA8" w:rsidRPr="00B82E6D" w:rsidRDefault="003A1BA8" w:rsidP="00EF228F">
      <w:pPr>
        <w:pStyle w:val="Bullet1"/>
      </w:pPr>
      <w:r w:rsidRPr="00B82E6D">
        <w:t>adverse decisions about promotion or temporary acting arrangements</w:t>
      </w:r>
    </w:p>
    <w:p w14:paraId="3A9D0A3C" w14:textId="77777777" w:rsidR="003A1BA8" w:rsidRPr="00B82E6D" w:rsidRDefault="003A1BA8" w:rsidP="00EF228F">
      <w:pPr>
        <w:pStyle w:val="Bullet1"/>
      </w:pPr>
      <w:r w:rsidRPr="00B82E6D">
        <w:t>terms and conditions of employment or engagement</w:t>
      </w:r>
    </w:p>
    <w:p w14:paraId="359E7451" w14:textId="77777777" w:rsidR="003A1BA8" w:rsidRPr="00B82E6D" w:rsidRDefault="003A1BA8" w:rsidP="00EF228F">
      <w:pPr>
        <w:pStyle w:val="Bullet1"/>
      </w:pPr>
      <w:r w:rsidRPr="00B82E6D">
        <w:t>suspension or termination</w:t>
      </w:r>
    </w:p>
    <w:p w14:paraId="1AE11D12" w14:textId="77777777" w:rsidR="003A1BA8" w:rsidRPr="00B82E6D" w:rsidRDefault="003A1BA8" w:rsidP="00EF228F">
      <w:pPr>
        <w:pStyle w:val="Bullet1"/>
      </w:pPr>
      <w:r w:rsidRPr="00B82E6D">
        <w:t xml:space="preserve">actions that could be reviewed under s 33 of the </w:t>
      </w:r>
      <w:hyperlink r:id="rId20" w:history="1">
        <w:r w:rsidRPr="008C54AD">
          <w:rPr>
            <w:rStyle w:val="Hyperlink"/>
            <w:i/>
          </w:rPr>
          <w:t>Public Service Act 1999</w:t>
        </w:r>
        <w:r w:rsidR="008C54AD" w:rsidRPr="008C54AD">
          <w:rPr>
            <w:rStyle w:val="Hyperlink"/>
            <w:i/>
            <w:lang w:val="en-US"/>
          </w:rPr>
          <w:t xml:space="preserve"> </w:t>
        </w:r>
        <w:r w:rsidR="008C54AD" w:rsidRPr="008C54AD">
          <w:rPr>
            <w:rStyle w:val="Hyperlink"/>
            <w:lang w:val="en-US"/>
          </w:rPr>
          <w:t>(Cth)</w:t>
        </w:r>
      </w:hyperlink>
      <w:r w:rsidRPr="00B82E6D">
        <w:t>, or comparable review processes relating to terms or conditions of engagement or appointment</w:t>
      </w:r>
    </w:p>
    <w:p w14:paraId="4925069E" w14:textId="77777777" w:rsidR="003A1BA8" w:rsidRPr="0086281B" w:rsidRDefault="003A1BA8" w:rsidP="003A1BA8">
      <w:pPr>
        <w:tabs>
          <w:tab w:val="left" w:pos="720"/>
        </w:tabs>
        <w:spacing w:before="120" w:after="120"/>
        <w:ind w:right="72"/>
        <w:textAlignment w:val="baseline"/>
        <w:rPr>
          <w:rFonts w:eastAsia="Verdana" w:cs="Times New Roman"/>
          <w:bCs/>
          <w:color w:val="000000"/>
          <w:lang w:val="en-US"/>
        </w:rPr>
      </w:pPr>
      <w:r w:rsidRPr="0086281B">
        <w:rPr>
          <w:rFonts w:eastAsia="Verdana" w:cs="Times New Roman"/>
          <w:bCs/>
          <w:color w:val="000000"/>
          <w:lang w:val="en-US"/>
        </w:rPr>
        <w:t xml:space="preserve">Excluding personal work-related conduct from the scope of disclosable conduct recognises that personal work-related conduct is often dealt with more effectively under other frameworks, as distinct from the PID Act, which is focused on significant integrity wrongdoing. </w:t>
      </w:r>
    </w:p>
    <w:p w14:paraId="2C7BB564" w14:textId="77777777" w:rsidR="003A1BA8" w:rsidRPr="0086281B" w:rsidRDefault="003A1BA8" w:rsidP="003A1BA8">
      <w:pPr>
        <w:tabs>
          <w:tab w:val="left" w:pos="720"/>
        </w:tabs>
        <w:spacing w:before="120" w:after="120"/>
        <w:ind w:right="72"/>
        <w:textAlignment w:val="baseline"/>
        <w:rPr>
          <w:rFonts w:eastAsia="Verdana" w:cs="Times New Roman"/>
          <w:bCs/>
          <w:color w:val="000000"/>
          <w:lang w:val="en-US"/>
        </w:rPr>
      </w:pPr>
      <w:r w:rsidRPr="0086281B">
        <w:rPr>
          <w:rFonts w:eastAsia="Verdana" w:cs="Times New Roman"/>
          <w:bCs/>
          <w:color w:val="000000"/>
          <w:lang w:val="en-US"/>
        </w:rPr>
        <w:t>Personal work-related conduct will be disclosable conduct where the personal work-related conduct:</w:t>
      </w:r>
    </w:p>
    <w:p w14:paraId="20EA7693" w14:textId="77777777" w:rsidR="003A1BA8" w:rsidRPr="00B82E6D" w:rsidRDefault="003A1BA8" w:rsidP="00EF228F">
      <w:pPr>
        <w:pStyle w:val="Bullet1"/>
      </w:pPr>
      <w:r w:rsidRPr="00B82E6D">
        <w:t>amounts to reprisal action</w:t>
      </w:r>
      <w:r>
        <w:t xml:space="preserve"> (see Chapter 8 of this guide)</w:t>
      </w:r>
      <w:r w:rsidRPr="00B82E6D">
        <w:t xml:space="preserve"> </w:t>
      </w:r>
    </w:p>
    <w:p w14:paraId="5DD3B68C" w14:textId="77777777" w:rsidR="003A1BA8" w:rsidRPr="00B82E6D" w:rsidRDefault="003A1BA8" w:rsidP="00EF228F">
      <w:pPr>
        <w:pStyle w:val="Bullet1"/>
      </w:pPr>
      <w:r w:rsidRPr="00B82E6D">
        <w:t xml:space="preserve">is of such a significant nature that it would undermine public confidence in an agency, </w:t>
      </w:r>
      <w:r w:rsidRPr="00EA2811">
        <w:rPr>
          <w:u w:val="single"/>
        </w:rPr>
        <w:t>or</w:t>
      </w:r>
    </w:p>
    <w:p w14:paraId="1E0F0E33" w14:textId="77777777" w:rsidR="003A1BA8" w:rsidRPr="00B82E6D" w:rsidRDefault="003A1BA8" w:rsidP="00EF228F">
      <w:pPr>
        <w:pStyle w:val="Bullet1"/>
      </w:pPr>
      <w:r w:rsidRPr="00B82E6D">
        <w:t>has other significant implications for an agency.</w:t>
      </w:r>
    </w:p>
    <w:p w14:paraId="42A07F3D" w14:textId="77777777" w:rsidR="003A1BA8" w:rsidRPr="0086281B" w:rsidRDefault="003A1BA8" w:rsidP="003A1BA8">
      <w:pPr>
        <w:tabs>
          <w:tab w:val="left" w:pos="288"/>
          <w:tab w:val="left" w:pos="720"/>
        </w:tabs>
        <w:spacing w:before="120" w:after="120"/>
        <w:ind w:right="72"/>
        <w:textAlignment w:val="baseline"/>
        <w:rPr>
          <w:rFonts w:eastAsia="Verdana" w:cs="Times New Roman"/>
          <w:bCs/>
          <w:color w:val="000000"/>
          <w:lang w:val="en-US"/>
        </w:rPr>
      </w:pPr>
      <w:r w:rsidRPr="0086281B">
        <w:rPr>
          <w:rFonts w:eastAsia="Verdana" w:cs="Times New Roman"/>
          <w:bCs/>
          <w:color w:val="000000"/>
          <w:lang w:val="en-US"/>
        </w:rPr>
        <w:t xml:space="preserve">Personal work-related conduct that could be considered to be of a significant nature or have such significant implications for an agency as to affect public confidence in the agency, would depend on the circumstances of each case. </w:t>
      </w:r>
    </w:p>
    <w:p w14:paraId="223E104B" w14:textId="77777777" w:rsidR="003A1BA8" w:rsidRPr="0086281B" w:rsidRDefault="003A1BA8" w:rsidP="003A1BA8">
      <w:pPr>
        <w:tabs>
          <w:tab w:val="left" w:pos="288"/>
          <w:tab w:val="left" w:pos="720"/>
        </w:tabs>
        <w:spacing w:before="120" w:after="120"/>
        <w:ind w:right="72"/>
        <w:textAlignment w:val="baseline"/>
        <w:rPr>
          <w:rFonts w:eastAsia="Verdana" w:cs="Times New Roman"/>
          <w:bCs/>
          <w:color w:val="000000"/>
          <w:lang w:val="en-US"/>
        </w:rPr>
      </w:pPr>
      <w:r w:rsidRPr="0086281B">
        <w:rPr>
          <w:rFonts w:eastAsia="Verdana" w:cs="Times New Roman"/>
          <w:bCs/>
          <w:color w:val="000000"/>
          <w:lang w:val="en-US"/>
        </w:rPr>
        <w:t xml:space="preserve">Disclosures of </w:t>
      </w:r>
      <w:r w:rsidRPr="00EA2811">
        <w:rPr>
          <w:rFonts w:eastAsia="Verdana" w:cs="Times New Roman"/>
          <w:bCs/>
          <w:color w:val="000000"/>
          <w:u w:val="single"/>
          <w:lang w:val="en-US"/>
        </w:rPr>
        <w:t>solely</w:t>
      </w:r>
      <w:r w:rsidRPr="0086281B">
        <w:rPr>
          <w:rFonts w:eastAsia="Verdana" w:cs="Times New Roman"/>
          <w:bCs/>
          <w:color w:val="000000"/>
          <w:lang w:val="en-US"/>
        </w:rPr>
        <w:t xml:space="preserve"> personal work-related conduct will not, unless an exception applies, constitute an internal disclosure for the purposes of the PID Act. Disclosures of information that tends to show both personal work-related conduct </w:t>
      </w:r>
      <w:r w:rsidRPr="00EA2811">
        <w:rPr>
          <w:rFonts w:eastAsia="Verdana" w:cs="Times New Roman"/>
          <w:bCs/>
          <w:i/>
          <w:color w:val="000000"/>
          <w:lang w:val="en-US"/>
        </w:rPr>
        <w:t>and</w:t>
      </w:r>
      <w:r w:rsidRPr="0086281B">
        <w:rPr>
          <w:rFonts w:eastAsia="Verdana" w:cs="Times New Roman"/>
          <w:bCs/>
          <w:color w:val="000000"/>
          <w:lang w:val="en-US"/>
        </w:rPr>
        <w:t xml:space="preserve"> disclosable conduct will still need to be allocated as an internal disclosure under the PID Act.</w:t>
      </w:r>
      <w:r>
        <w:rPr>
          <w:rFonts w:eastAsia="Verdana" w:cs="Times New Roman"/>
          <w:bCs/>
          <w:color w:val="000000"/>
          <w:lang w:val="en-US"/>
        </w:rPr>
        <w:t xml:space="preserve"> More information on making allocation decisions about disclosures that contain personal work-related conduct is at Chapter 5 of this guide.</w:t>
      </w:r>
      <w:r w:rsidRPr="0086281B">
        <w:rPr>
          <w:rFonts w:eastAsia="Verdana" w:cs="Times New Roman"/>
          <w:bCs/>
          <w:color w:val="000000"/>
          <w:lang w:val="en-US"/>
        </w:rPr>
        <w:t xml:space="preserve"> </w:t>
      </w:r>
    </w:p>
    <w:p w14:paraId="4203CB83" w14:textId="77777777" w:rsidR="003A1BA8" w:rsidRPr="0086281B" w:rsidRDefault="003A1BA8" w:rsidP="00695A33">
      <w:pPr>
        <w:pStyle w:val="Heading3"/>
        <w:rPr>
          <w:rFonts w:eastAsia="Verdana"/>
          <w:lang w:val="en-US"/>
        </w:rPr>
      </w:pPr>
      <w:r w:rsidRPr="0086281B">
        <w:rPr>
          <w:rFonts w:eastAsia="Verdana"/>
          <w:lang w:val="en-US"/>
        </w:rPr>
        <w:t>Conduct relating to courts, tribunals and the Parliament</w:t>
      </w:r>
    </w:p>
    <w:p w14:paraId="26A33842" w14:textId="77777777" w:rsidR="003A1BA8" w:rsidRPr="0086281B" w:rsidRDefault="003A1BA8" w:rsidP="00695A33">
      <w:pPr>
        <w:keepNext/>
        <w:keepLines/>
        <w:spacing w:before="120" w:after="120"/>
        <w:ind w:right="74"/>
        <w:textAlignment w:val="baseline"/>
        <w:rPr>
          <w:rFonts w:eastAsia="Verdana" w:cs="Times New Roman"/>
          <w:color w:val="000000"/>
          <w:lang w:val="en-US"/>
        </w:rPr>
      </w:pPr>
      <w:r w:rsidRPr="0086281B">
        <w:rPr>
          <w:rFonts w:eastAsia="Verdana" w:cs="Times New Roman"/>
          <w:color w:val="000000"/>
          <w:lang w:val="en-US"/>
        </w:rPr>
        <w:t>The PID Act has limited application to courts and tribunals. The following aspects of court and tribunal operations are excluded from the categories of disclosable conduct in the PID Act (s 32):</w:t>
      </w:r>
    </w:p>
    <w:p w14:paraId="5EB20362" w14:textId="77777777" w:rsidR="003A1BA8" w:rsidRPr="00BD0549" w:rsidRDefault="003A1BA8" w:rsidP="00695A33">
      <w:pPr>
        <w:pStyle w:val="Bullet1"/>
        <w:keepNext/>
        <w:keepLines/>
      </w:pPr>
      <w:r w:rsidRPr="00BD0549">
        <w:t>the conduct of judicial officers (defined in s 32(1))</w:t>
      </w:r>
    </w:p>
    <w:p w14:paraId="6E38A469" w14:textId="77777777" w:rsidR="003A1BA8" w:rsidRPr="00BD0549" w:rsidRDefault="003A1BA8" w:rsidP="00EF228F">
      <w:pPr>
        <w:pStyle w:val="Bullet1"/>
      </w:pPr>
      <w:r w:rsidRPr="00BD0549">
        <w:t>the judicial functions of court staff, tribunal staff or tribunal members</w:t>
      </w:r>
    </w:p>
    <w:p w14:paraId="0E0839DF" w14:textId="77777777" w:rsidR="003A1BA8" w:rsidRPr="00BD0549" w:rsidRDefault="003A1BA8" w:rsidP="00EF228F">
      <w:pPr>
        <w:pStyle w:val="Bullet1"/>
      </w:pPr>
      <w:r w:rsidRPr="00BD0549">
        <w:t>the conduct of tribunal members or tribunal staff when exercising a power of the tribunal</w:t>
      </w:r>
    </w:p>
    <w:p w14:paraId="6CA0DEE0" w14:textId="77777777" w:rsidR="003A1BA8" w:rsidRPr="00BD0549" w:rsidRDefault="003A1BA8" w:rsidP="00EF228F">
      <w:pPr>
        <w:pStyle w:val="Bullet1"/>
      </w:pPr>
      <w:r w:rsidRPr="00BD0549">
        <w:t>any other conduct related to a court or tribunal unless it is of an administrative nature and does not relate to the management or hearing of matters before the court or tribunal.</w:t>
      </w:r>
    </w:p>
    <w:p w14:paraId="7293206C" w14:textId="77777777" w:rsidR="003A1BA8" w:rsidRPr="000301EF" w:rsidRDefault="003A1BA8" w:rsidP="003A1BA8">
      <w:pPr>
        <w:spacing w:before="120" w:after="120"/>
        <w:ind w:right="72"/>
        <w:textAlignment w:val="baseline"/>
        <w:rPr>
          <w:color w:val="000000"/>
          <w:lang w:val="en-US"/>
        </w:rPr>
      </w:pPr>
      <w:r w:rsidRPr="0086281B">
        <w:rPr>
          <w:rFonts w:eastAsia="Verdana" w:cs="Times New Roman"/>
          <w:color w:val="000000"/>
          <w:lang w:val="en-US"/>
        </w:rPr>
        <w:t>The conduct of members of parliament or of MOP(S) Act employees is not covered by the PID Act (because they are not ‘public officials’ as defined in s 69).</w:t>
      </w:r>
      <w:r w:rsidRPr="000301EF">
        <w:rPr>
          <w:color w:val="000000"/>
          <w:lang w:val="en-US"/>
        </w:rPr>
        <w:t xml:space="preserve"> However, the departments of the Parliament and their employees are covered.</w:t>
      </w:r>
    </w:p>
    <w:p w14:paraId="114FC28D" w14:textId="77777777" w:rsidR="003A1BA8" w:rsidRPr="00735C8A" w:rsidRDefault="003A1BA8" w:rsidP="00735C8A">
      <w:pPr>
        <w:pStyle w:val="Heading3"/>
        <w:rPr>
          <w:rFonts w:eastAsia="Verdana"/>
          <w:lang w:val="en-US"/>
        </w:rPr>
      </w:pPr>
      <w:r w:rsidRPr="00735C8A">
        <w:rPr>
          <w:rFonts w:eastAsia="Verdana"/>
          <w:lang w:val="en-US"/>
        </w:rPr>
        <w:t>Disagreement with government policy or actions</w:t>
      </w:r>
    </w:p>
    <w:p w14:paraId="3BE763AE" w14:textId="77777777" w:rsidR="003A1BA8" w:rsidRPr="000301EF" w:rsidRDefault="003A1BA8" w:rsidP="003A1BA8">
      <w:pPr>
        <w:spacing w:before="120" w:after="120"/>
        <w:ind w:right="72"/>
        <w:textAlignment w:val="baseline"/>
        <w:rPr>
          <w:color w:val="000000"/>
          <w:lang w:val="en-US"/>
        </w:rPr>
      </w:pPr>
      <w:r w:rsidRPr="000301EF">
        <w:rPr>
          <w:color w:val="000000"/>
          <w:lang w:val="en-US"/>
        </w:rPr>
        <w:t>It is not disclosable conduct just because a person disagrees with:</w:t>
      </w:r>
    </w:p>
    <w:p w14:paraId="36E7D67D" w14:textId="77777777" w:rsidR="003A1BA8" w:rsidRPr="00EF228F" w:rsidRDefault="003A1BA8" w:rsidP="00EF228F">
      <w:pPr>
        <w:pStyle w:val="Bullet1"/>
      </w:pPr>
      <w:r w:rsidRPr="00EF228F">
        <w:t>a government policy or proposed policy</w:t>
      </w:r>
    </w:p>
    <w:p w14:paraId="771C4FCD" w14:textId="77777777" w:rsidR="003A1BA8" w:rsidRPr="00EF228F" w:rsidRDefault="003A1BA8" w:rsidP="00EF228F">
      <w:pPr>
        <w:pStyle w:val="Bullet1"/>
      </w:pPr>
      <w:r w:rsidRPr="00EF228F">
        <w:t>action or proposed action by a minister, the Speaker of the House of Representatives or the President of the Senate</w:t>
      </w:r>
    </w:p>
    <w:p w14:paraId="142E55E0" w14:textId="77777777" w:rsidR="003A1BA8" w:rsidRPr="00EF228F" w:rsidRDefault="003A1BA8" w:rsidP="00EF228F">
      <w:pPr>
        <w:pStyle w:val="Bullet1"/>
      </w:pPr>
      <w:r w:rsidRPr="00EF228F">
        <w:t>expenditure or proposed expenditure related to such policy or action (s 31).</w:t>
      </w:r>
    </w:p>
    <w:p w14:paraId="50A12327" w14:textId="77777777" w:rsidR="003A1BA8" w:rsidRPr="00EA2811" w:rsidRDefault="003A1BA8" w:rsidP="003A1BA8">
      <w:pPr>
        <w:spacing w:before="120" w:after="120"/>
        <w:ind w:right="72"/>
        <w:textAlignment w:val="baseline"/>
        <w:rPr>
          <w:rFonts w:eastAsia="Verdana" w:cs="Times New Roman"/>
          <w:color w:val="000000"/>
          <w:lang w:val="en-US"/>
        </w:rPr>
      </w:pPr>
      <w:r>
        <w:rPr>
          <w:rFonts w:eastAsia="Verdana" w:cs="Times New Roman"/>
          <w:color w:val="000000"/>
          <w:lang w:val="en-US"/>
        </w:rPr>
        <w:t xml:space="preserve">However, if the conduct disclosed constitutes both a disagreement with a policy, action or expenditure </w:t>
      </w:r>
      <w:r>
        <w:rPr>
          <w:rFonts w:eastAsia="Verdana" w:cs="Times New Roman"/>
          <w:i/>
          <w:color w:val="000000"/>
          <w:lang w:val="en-US"/>
        </w:rPr>
        <w:t>and</w:t>
      </w:r>
      <w:r>
        <w:rPr>
          <w:rFonts w:eastAsia="Verdana" w:cs="Times New Roman"/>
          <w:color w:val="000000"/>
          <w:lang w:val="en-US"/>
        </w:rPr>
        <w:t xml:space="preserve"> disclosable conduct (as well as meeting the other requirements of the PID Act), the conduct disclosed will likely constitute an internal disclosure under the PID Act. Protections under the Act would apply to the disclosure in this case.</w:t>
      </w:r>
    </w:p>
    <w:p w14:paraId="50CE7286" w14:textId="77777777" w:rsidR="003A1BA8" w:rsidRDefault="003A1BA8" w:rsidP="00735C8A">
      <w:pPr>
        <w:pStyle w:val="Heading3"/>
        <w:rPr>
          <w:rFonts w:eastAsia="Verdana"/>
          <w:lang w:val="en-US"/>
        </w:rPr>
      </w:pPr>
      <w:r w:rsidRPr="00735C8A">
        <w:rPr>
          <w:rFonts w:eastAsia="Verdana"/>
          <w:lang w:val="en-US"/>
        </w:rPr>
        <w:t xml:space="preserve">Other categories </w:t>
      </w:r>
    </w:p>
    <w:p w14:paraId="1B0C52FA" w14:textId="77777777" w:rsidR="003A1BA8" w:rsidRPr="00735C8A" w:rsidRDefault="003A1BA8" w:rsidP="00EF228F">
      <w:pPr>
        <w:pStyle w:val="Heading3"/>
        <w:rPr>
          <w:iCs/>
          <w:color w:val="48515C"/>
          <w:sz w:val="26"/>
          <w:szCs w:val="22"/>
        </w:rPr>
      </w:pPr>
      <w:r w:rsidRPr="00735C8A">
        <w:rPr>
          <w:iCs/>
          <w:color w:val="48515C"/>
          <w:sz w:val="26"/>
          <w:szCs w:val="22"/>
        </w:rPr>
        <w:t>Proper performance of the functions and exercise of the powers of intelligence agencies</w:t>
      </w:r>
    </w:p>
    <w:p w14:paraId="42D8018F" w14:textId="77777777" w:rsidR="003A1BA8" w:rsidRPr="000301EF" w:rsidRDefault="003A1BA8" w:rsidP="003A1BA8">
      <w:pPr>
        <w:spacing w:before="120" w:after="120"/>
        <w:ind w:right="72"/>
        <w:textAlignment w:val="baseline"/>
        <w:rPr>
          <w:color w:val="000000"/>
          <w:lang w:val="en-US"/>
        </w:rPr>
      </w:pPr>
      <w:r w:rsidRPr="000301EF">
        <w:rPr>
          <w:color w:val="000000"/>
          <w:lang w:val="en-US"/>
        </w:rPr>
        <w:t>Disclosable conduct also does not include the proper performance of the functions and proper exercise of the powers of an intelligence agency or its officials</w:t>
      </w:r>
      <w:r w:rsidRPr="0086281B">
        <w:rPr>
          <w:rFonts w:eastAsia="Verdana" w:cs="Times New Roman"/>
          <w:color w:val="000000"/>
          <w:lang w:val="en-US"/>
        </w:rPr>
        <w:t xml:space="preserve"> (s 33).</w:t>
      </w:r>
    </w:p>
    <w:p w14:paraId="73C0A263" w14:textId="77777777" w:rsidR="003A1BA8" w:rsidRPr="00735C8A" w:rsidRDefault="003A1BA8" w:rsidP="00EF228F">
      <w:pPr>
        <w:pStyle w:val="Heading3"/>
        <w:rPr>
          <w:iCs/>
          <w:color w:val="48515C"/>
          <w:sz w:val="26"/>
          <w:szCs w:val="22"/>
        </w:rPr>
      </w:pPr>
      <w:r w:rsidRPr="00735C8A">
        <w:rPr>
          <w:iCs/>
          <w:color w:val="48515C"/>
          <w:sz w:val="26"/>
          <w:szCs w:val="22"/>
        </w:rPr>
        <w:t>Connection with position as a public official</w:t>
      </w:r>
    </w:p>
    <w:p w14:paraId="4022AF32" w14:textId="77777777" w:rsidR="003A1BA8" w:rsidRDefault="003A1BA8" w:rsidP="003A1BA8">
      <w:pPr>
        <w:spacing w:before="120" w:after="120"/>
        <w:ind w:right="72"/>
        <w:textAlignment w:val="baseline"/>
        <w:rPr>
          <w:rFonts w:eastAsia="Verdana" w:cs="Times New Roman"/>
          <w:color w:val="000000"/>
          <w:lang w:val="en-US"/>
        </w:rPr>
      </w:pPr>
      <w:r>
        <w:rPr>
          <w:rFonts w:eastAsia="Verdana" w:cs="Times New Roman"/>
          <w:color w:val="000000"/>
          <w:lang w:val="en-US"/>
        </w:rPr>
        <w:t xml:space="preserve">Disclosable conduct by a public official must be conduct in connection with their position as a public official. In other words, conduct that is wholly private and has no bearing on their position as a public official is generally not disclosable conduct. However, serious unethical or criminal behavior on the part of a public official, even if not connected to their employment, might nevertheless be grounds for disciplinary action resulting in the termination </w:t>
      </w:r>
      <w:r w:rsidR="008C54AD">
        <w:rPr>
          <w:rFonts w:eastAsia="Verdana" w:cs="Times New Roman"/>
          <w:color w:val="000000"/>
          <w:lang w:val="en-US"/>
        </w:rPr>
        <w:t>o</w:t>
      </w:r>
      <w:r>
        <w:rPr>
          <w:rFonts w:eastAsia="Verdana" w:cs="Times New Roman"/>
          <w:color w:val="000000"/>
          <w:lang w:val="en-US"/>
        </w:rPr>
        <w:t>f the official’s engagement or appointment. Thus, conduct outside of the terms of employment that is nevertheless incompatible with the person’s position as a public official would meet the extended definition of disclosable conduct in s 29(2)(b).</w:t>
      </w:r>
    </w:p>
    <w:p w14:paraId="0DA7D521" w14:textId="77777777" w:rsidR="003A1BA8" w:rsidRPr="00735C8A" w:rsidRDefault="003A1BA8" w:rsidP="00EF228F">
      <w:pPr>
        <w:pStyle w:val="Heading3"/>
        <w:rPr>
          <w:iCs/>
          <w:color w:val="48515C"/>
          <w:sz w:val="26"/>
          <w:szCs w:val="22"/>
        </w:rPr>
      </w:pPr>
      <w:r w:rsidRPr="00735C8A">
        <w:rPr>
          <w:iCs/>
          <w:color w:val="48515C"/>
          <w:sz w:val="26"/>
          <w:szCs w:val="22"/>
        </w:rPr>
        <w:t>Activities of grant recipients</w:t>
      </w:r>
    </w:p>
    <w:p w14:paraId="7AA7FCCC" w14:textId="77777777" w:rsidR="003A1BA8" w:rsidRPr="008269E5" w:rsidRDefault="003A1BA8" w:rsidP="003A1BA8">
      <w:pPr>
        <w:spacing w:before="120" w:after="120"/>
        <w:ind w:right="72"/>
        <w:textAlignment w:val="baseline"/>
        <w:rPr>
          <w:rFonts w:eastAsia="Verdana" w:cs="Times New Roman"/>
          <w:color w:val="000000"/>
          <w:lang w:val="en-US"/>
        </w:rPr>
      </w:pPr>
      <w:r w:rsidRPr="008269E5">
        <w:rPr>
          <w:rFonts w:eastAsia="Verdana" w:cs="Times New Roman"/>
          <w:color w:val="000000"/>
          <w:lang w:val="en-US"/>
        </w:rPr>
        <w:t xml:space="preserve">Grant recipients are not public officials for the purposes of the Act, meaning that the conduct of the recipient of a grant, or of employees of a recipient of a Commonwealth grant, would not be disclosable conduct. However, grant recipients may be deemed public officials under s 70 of the PID Act (see 4.1.2 of this guide). </w:t>
      </w:r>
    </w:p>
    <w:p w14:paraId="199A0597" w14:textId="77777777" w:rsidR="003A1BA8" w:rsidRPr="008269E5" w:rsidRDefault="003A1BA8" w:rsidP="003A1BA8">
      <w:pPr>
        <w:spacing w:before="120" w:after="120"/>
        <w:ind w:right="72"/>
        <w:textAlignment w:val="baseline"/>
        <w:rPr>
          <w:rFonts w:eastAsia="Verdana" w:cs="Times New Roman"/>
          <w:color w:val="000000"/>
          <w:lang w:val="en-US"/>
        </w:rPr>
      </w:pPr>
      <w:r w:rsidRPr="008269E5">
        <w:rPr>
          <w:rFonts w:eastAsia="Verdana" w:cs="Times New Roman"/>
          <w:color w:val="000000"/>
          <w:lang w:val="en-US"/>
        </w:rPr>
        <w:t>The fact that the PID Act does not apply to recipients of grant funding does not mean that agencies should not have systems in place to collect information that might be relevant to the conditions and administration of grants. Agencies should consider alternate ways of protecting and supporting individuals who may be important sources of information about how funded organisations are meeting their obligations.</w:t>
      </w:r>
      <w:r>
        <w:rPr>
          <w:rFonts w:eastAsia="Verdana" w:cs="Times New Roman"/>
          <w:color w:val="000000"/>
          <w:lang w:val="en-US"/>
        </w:rPr>
        <w:t xml:space="preserve"> </w:t>
      </w:r>
    </w:p>
    <w:p w14:paraId="44D51F7D" w14:textId="77777777" w:rsidR="003A1BA8" w:rsidRPr="0086281B" w:rsidRDefault="003A1BA8" w:rsidP="00735C8A">
      <w:pPr>
        <w:pStyle w:val="Heading2"/>
        <w:rPr>
          <w:rFonts w:eastAsia="Verdana"/>
          <w:lang w:val="en-US"/>
        </w:rPr>
      </w:pPr>
      <w:r>
        <w:rPr>
          <w:rFonts w:eastAsia="Verdana"/>
          <w:lang w:val="en-US"/>
        </w:rPr>
        <w:t>Who can receive an internal public interest disclosure?</w:t>
      </w:r>
      <w:r w:rsidRPr="0086281B">
        <w:rPr>
          <w:rFonts w:eastAsia="Verdana"/>
          <w:lang w:val="en-US"/>
        </w:rPr>
        <w:t xml:space="preserve"> </w:t>
      </w:r>
    </w:p>
    <w:p w14:paraId="3F25C9A3" w14:textId="77777777" w:rsidR="003A1BA8" w:rsidRPr="000301EF" w:rsidRDefault="003A1BA8" w:rsidP="003A1BA8">
      <w:pPr>
        <w:spacing w:before="120" w:after="120"/>
        <w:ind w:right="72"/>
        <w:textAlignment w:val="baseline"/>
        <w:rPr>
          <w:color w:val="000000"/>
          <w:lang w:val="en-US"/>
        </w:rPr>
      </w:pPr>
      <w:r w:rsidRPr="0086281B">
        <w:rPr>
          <w:rFonts w:eastAsia="Verdana" w:cs="Times New Roman"/>
          <w:bCs/>
          <w:color w:val="000000"/>
          <w:lang w:val="en-US"/>
        </w:rPr>
        <w:t>In</w:t>
      </w:r>
      <w:r w:rsidRPr="000301EF">
        <w:rPr>
          <w:color w:val="000000"/>
          <w:lang w:val="en-US"/>
        </w:rPr>
        <w:t xml:space="preserve"> order to gain the protections available under the PID Act</w:t>
      </w:r>
      <w:r w:rsidRPr="0086281B">
        <w:rPr>
          <w:rFonts w:eastAsia="Verdana" w:cs="Times New Roman"/>
          <w:bCs/>
          <w:color w:val="000000"/>
          <w:lang w:val="en-US"/>
        </w:rPr>
        <w:t>, a disclosure must be made to an authorised recipient (s 26).</w:t>
      </w:r>
      <w:r w:rsidRPr="000301EF">
        <w:rPr>
          <w:color w:val="000000"/>
          <w:lang w:val="en-US"/>
        </w:rPr>
        <w:t xml:space="preserve"> The PID Act focuses on the reporting and investigating of wrongdoing within government</w:t>
      </w:r>
      <w:r w:rsidRPr="0086281B">
        <w:rPr>
          <w:rFonts w:eastAsia="Verdana" w:cs="Times New Roman"/>
          <w:bCs/>
          <w:color w:val="000000"/>
          <w:lang w:val="en-US"/>
        </w:rPr>
        <w:t xml:space="preserve"> (internal disclosures)</w:t>
      </w:r>
      <w:r w:rsidRPr="000301EF">
        <w:rPr>
          <w:color w:val="000000"/>
          <w:lang w:val="en-US"/>
        </w:rPr>
        <w:t xml:space="preserve"> but allows for reporting outside government in specified circumstances.</w:t>
      </w:r>
    </w:p>
    <w:p w14:paraId="27B55A24" w14:textId="77777777" w:rsidR="003A1BA8" w:rsidRPr="00274EAD" w:rsidRDefault="003A1BA8" w:rsidP="00735C8A">
      <w:pPr>
        <w:pStyle w:val="Heading3"/>
        <w:rPr>
          <w:rFonts w:eastAsia="Verdana"/>
          <w:lang w:val="en-US"/>
        </w:rPr>
      </w:pPr>
      <w:r w:rsidRPr="00274EAD">
        <w:rPr>
          <w:rFonts w:eastAsia="Verdana"/>
          <w:lang w:val="en-US"/>
        </w:rPr>
        <w:t>Internal disclosure to the agency concerned</w:t>
      </w:r>
    </w:p>
    <w:p w14:paraId="734FEE71" w14:textId="77777777" w:rsidR="003A1BA8" w:rsidRDefault="003A1BA8" w:rsidP="003A1BA8">
      <w:pPr>
        <w:spacing w:before="120" w:after="120"/>
        <w:ind w:right="72"/>
        <w:textAlignment w:val="baseline"/>
      </w:pPr>
      <w:r>
        <w:t xml:space="preserve">The majority of public interest disclosures are internal disclosures made to the agency concerned. An internal disclosure attracts the protections of the PID Act for the discloser and brings into play obligations for the agency (and the official who received it). </w:t>
      </w:r>
    </w:p>
    <w:p w14:paraId="5C7B5D4F" w14:textId="77777777" w:rsidR="003A1BA8" w:rsidRPr="000301EF" w:rsidRDefault="003A1BA8" w:rsidP="003A1BA8">
      <w:pPr>
        <w:spacing w:before="120" w:after="120"/>
        <w:ind w:right="72"/>
        <w:textAlignment w:val="baseline"/>
        <w:rPr>
          <w:color w:val="000000"/>
          <w:lang w:val="en-US"/>
        </w:rPr>
      </w:pPr>
      <w:r>
        <w:t>Making a disclosure internally gives the agency the chance to investigate the matter and remove any danger or correct any wrong practices as quickly as possible. Each agency must have procedures for dealing with public interest disclosures (ss 59(3) and (4)) and should set out in its procedures how a disclosure should be made.</w:t>
      </w:r>
    </w:p>
    <w:p w14:paraId="03B78E13"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Under the PID Act, a public official can make an internal disclosure to their current supervisor or an authorised officer in:</w:t>
      </w:r>
    </w:p>
    <w:p w14:paraId="33D2115F" w14:textId="77777777" w:rsidR="003A1BA8" w:rsidRPr="0086281B" w:rsidRDefault="003A1BA8" w:rsidP="003A6EC6">
      <w:pPr>
        <w:numPr>
          <w:ilvl w:val="0"/>
          <w:numId w:val="20"/>
        </w:numPr>
        <w:tabs>
          <w:tab w:val="left" w:pos="720"/>
        </w:tabs>
        <w:suppressAutoHyphens w:val="0"/>
        <w:spacing w:before="120" w:after="120"/>
        <w:ind w:left="720" w:right="72" w:hanging="288"/>
        <w:textAlignment w:val="baseline"/>
        <w:rPr>
          <w:rFonts w:eastAsia="Verdana" w:cs="Times New Roman"/>
          <w:color w:val="000000"/>
          <w:lang w:val="en-US"/>
        </w:rPr>
      </w:pPr>
      <w:r w:rsidRPr="0086281B">
        <w:rPr>
          <w:rFonts w:eastAsia="Verdana" w:cs="Times New Roman"/>
          <w:color w:val="000000"/>
          <w:lang w:val="en-US"/>
        </w:rPr>
        <w:t xml:space="preserve">their </w:t>
      </w:r>
      <w:r w:rsidRPr="0086281B">
        <w:rPr>
          <w:rFonts w:eastAsia="Verdana" w:cs="Times New Roman"/>
          <w:color w:val="000000"/>
          <w:spacing w:val="-1"/>
          <w:lang w:val="en-US"/>
        </w:rPr>
        <w:t>current agency</w:t>
      </w:r>
    </w:p>
    <w:p w14:paraId="1CF13245" w14:textId="77777777" w:rsidR="003A1BA8" w:rsidRPr="0086281B" w:rsidRDefault="003A1BA8" w:rsidP="003A6EC6">
      <w:pPr>
        <w:numPr>
          <w:ilvl w:val="0"/>
          <w:numId w:val="20"/>
        </w:numPr>
        <w:tabs>
          <w:tab w:val="left" w:pos="720"/>
        </w:tabs>
        <w:suppressAutoHyphens w:val="0"/>
        <w:spacing w:before="120" w:after="120"/>
        <w:ind w:left="720" w:right="72" w:hanging="288"/>
        <w:textAlignment w:val="baseline"/>
        <w:rPr>
          <w:rFonts w:eastAsia="Verdana" w:cs="Times New Roman"/>
          <w:color w:val="000000"/>
          <w:lang w:val="en-US"/>
        </w:rPr>
      </w:pPr>
      <w:r w:rsidRPr="0086281B">
        <w:rPr>
          <w:rFonts w:eastAsia="Verdana" w:cs="Times New Roman"/>
          <w:color w:val="000000"/>
          <w:spacing w:val="-1"/>
          <w:lang w:val="en-US"/>
        </w:rPr>
        <w:t>the agency to which they previously belonged, or</w:t>
      </w:r>
    </w:p>
    <w:p w14:paraId="6C2242DA" w14:textId="77777777" w:rsidR="003A1BA8" w:rsidRPr="0086281B" w:rsidRDefault="003A1BA8" w:rsidP="003A6EC6">
      <w:pPr>
        <w:numPr>
          <w:ilvl w:val="0"/>
          <w:numId w:val="20"/>
        </w:numPr>
        <w:tabs>
          <w:tab w:val="left" w:pos="720"/>
        </w:tabs>
        <w:suppressAutoHyphens w:val="0"/>
        <w:spacing w:before="120" w:after="120"/>
        <w:ind w:left="720" w:right="72" w:hanging="288"/>
        <w:textAlignment w:val="baseline"/>
        <w:rPr>
          <w:rFonts w:eastAsia="Verdana" w:cs="Times New Roman"/>
          <w:color w:val="000000"/>
          <w:lang w:val="en-US"/>
        </w:rPr>
      </w:pPr>
      <w:r w:rsidRPr="0086281B">
        <w:rPr>
          <w:rFonts w:eastAsia="Verdana" w:cs="Times New Roman"/>
          <w:color w:val="000000"/>
          <w:spacing w:val="-1"/>
          <w:lang w:val="en-US"/>
        </w:rPr>
        <w:t>the agency to</w:t>
      </w:r>
      <w:r w:rsidRPr="0086281B">
        <w:rPr>
          <w:rFonts w:eastAsia="Verdana" w:cs="Times New Roman"/>
          <w:color w:val="000000"/>
          <w:lang w:val="en-US"/>
        </w:rPr>
        <w:t xml:space="preserve"> which the disclosure relates.</w:t>
      </w:r>
    </w:p>
    <w:p w14:paraId="796B9177" w14:textId="77777777" w:rsidR="003A1BA8" w:rsidRPr="00735C8A" w:rsidRDefault="003A1BA8" w:rsidP="00274EAD">
      <w:pPr>
        <w:pStyle w:val="Heading3"/>
        <w:rPr>
          <w:iCs/>
          <w:color w:val="48515C"/>
          <w:sz w:val="26"/>
          <w:szCs w:val="22"/>
        </w:rPr>
      </w:pPr>
      <w:r w:rsidRPr="00735C8A">
        <w:rPr>
          <w:iCs/>
          <w:color w:val="48515C"/>
          <w:sz w:val="26"/>
          <w:szCs w:val="22"/>
        </w:rPr>
        <w:t>Who is an authorised officer for an agency?</w:t>
      </w:r>
    </w:p>
    <w:p w14:paraId="2EB86E34"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Authorised officers</w:t>
      </w:r>
      <w:r>
        <w:rPr>
          <w:rFonts w:eastAsia="Verdana" w:cs="Times New Roman"/>
          <w:color w:val="000000"/>
          <w:lang w:val="en-US"/>
        </w:rPr>
        <w:t xml:space="preserve"> for each agency</w:t>
      </w:r>
      <w:r w:rsidRPr="0086281B">
        <w:rPr>
          <w:rFonts w:eastAsia="Verdana" w:cs="Times New Roman"/>
          <w:color w:val="000000"/>
          <w:lang w:val="en-US"/>
        </w:rPr>
        <w:t xml:space="preserve"> are the principal officer (i.e. the agency head), and officers that the principal officer appoints as authorised officers under the PID Act (s 36). If a public official has information about suspected wrongdoing in an agency other than the one in which they work, they can choose to make their disclosure directly to an authorised officer in that other agency. However, if the conduct disclosed relates to an intelligence agency, the public official must disclose it to an authorised officer in that agency (or</w:t>
      </w:r>
      <w:r w:rsidR="008C54AD">
        <w:rPr>
          <w:rFonts w:eastAsia="Verdana" w:cs="Times New Roman"/>
          <w:color w:val="000000"/>
          <w:lang w:val="en-US"/>
        </w:rPr>
        <w:t> </w:t>
      </w:r>
      <w:r w:rsidRPr="0086281B">
        <w:rPr>
          <w:rFonts w:eastAsia="Verdana" w:cs="Times New Roman"/>
          <w:color w:val="000000"/>
          <w:lang w:val="en-US"/>
        </w:rPr>
        <w:t>the IGIS) and not to their own agency.</w:t>
      </w:r>
    </w:p>
    <w:p w14:paraId="746890FC" w14:textId="77777777" w:rsidR="003A1BA8" w:rsidRPr="00735C8A" w:rsidRDefault="003A1BA8" w:rsidP="00274EAD">
      <w:pPr>
        <w:pStyle w:val="Heading3"/>
        <w:rPr>
          <w:iCs/>
          <w:color w:val="48515C"/>
          <w:sz w:val="26"/>
          <w:szCs w:val="22"/>
        </w:rPr>
      </w:pPr>
      <w:r w:rsidRPr="00735C8A">
        <w:rPr>
          <w:iCs/>
          <w:color w:val="48515C"/>
          <w:sz w:val="26"/>
          <w:szCs w:val="22"/>
        </w:rPr>
        <w:t>Making an internal disclosure to a supervisor</w:t>
      </w:r>
    </w:p>
    <w:p w14:paraId="6A8F1A6A" w14:textId="77777777" w:rsidR="003A1BA8" w:rsidRDefault="003A1BA8" w:rsidP="003A1BA8">
      <w:pPr>
        <w:spacing w:before="120" w:after="120"/>
        <w:ind w:right="72"/>
        <w:textAlignment w:val="baseline"/>
        <w:rPr>
          <w:rFonts w:eastAsia="Verdana" w:cs="Times New Roman"/>
          <w:color w:val="000000"/>
          <w:lang w:val="en-US"/>
        </w:rPr>
      </w:pPr>
      <w:r>
        <w:t>A public official can also make a disclosure to their current supervisor (defined in s 8 to mean someone who supervises or manages them). A supervisor who receives a disclosure from someone they manage or supervise is obliged to give the information to an authorised officer in their agency as soon as reasonably practicable (s 60A). The supervisor must also explain certain matters to the discloser (supervisor responsibilities are discussed in 3.3.2 of this guide). The supervisor’s obligation applies as soon as the supervisor has reasonable grounds to believe the information concerns, or could concern, one or more instances of disclosable conduct.</w:t>
      </w:r>
    </w:p>
    <w:p w14:paraId="0EF552EA" w14:textId="77777777" w:rsidR="003A1BA8" w:rsidRPr="00735C8A" w:rsidRDefault="003A1BA8" w:rsidP="00274EAD">
      <w:pPr>
        <w:pStyle w:val="Heading3"/>
        <w:rPr>
          <w:iCs/>
          <w:color w:val="48515C"/>
          <w:sz w:val="26"/>
          <w:szCs w:val="22"/>
        </w:rPr>
      </w:pPr>
      <w:r w:rsidRPr="00735C8A">
        <w:rPr>
          <w:iCs/>
          <w:color w:val="48515C"/>
          <w:sz w:val="26"/>
          <w:szCs w:val="22"/>
        </w:rPr>
        <w:t>Internal disclosure to the Ombudsman or the IGIS</w:t>
      </w:r>
    </w:p>
    <w:p w14:paraId="747A9EE4"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 public official can also make a disclosure to authorised officers of the Commonwealth Ombudsman, if they believe on reasonable grounds that it would be appropriate for the Ombudsman to investigate (ss 26(1), 34). This could include, but would not be limited to, circumstances where the discloser believes that the agency will not take appropriate action to deal with the conduct disclosed.</w:t>
      </w:r>
    </w:p>
    <w:p w14:paraId="1F2E8066"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If the matter involves an intelligence agency or agency with intelligence functions (see s 8 definition), there are 2 options. Either the public official can make a disclosure to an authorised officer in the intelligence agency or, if they believe on reasonable grounds that it would be appropriate for the IGIS to investigate, the public official may make a disclosure to an authorised officer of the IGIS (see www.igis.gov.au).</w:t>
      </w:r>
    </w:p>
    <w:p w14:paraId="56008E5D" w14:textId="77777777" w:rsidR="003A1BA8" w:rsidRPr="00735C8A" w:rsidRDefault="003A1BA8" w:rsidP="00274EAD">
      <w:pPr>
        <w:pStyle w:val="Heading3"/>
        <w:rPr>
          <w:iCs/>
          <w:color w:val="48515C"/>
          <w:sz w:val="26"/>
          <w:szCs w:val="22"/>
        </w:rPr>
      </w:pPr>
      <w:r w:rsidRPr="00735C8A">
        <w:rPr>
          <w:iCs/>
          <w:color w:val="48515C"/>
          <w:sz w:val="26"/>
          <w:szCs w:val="22"/>
        </w:rPr>
        <w:t>Internal disclosure to a prescribed investigative agency</w:t>
      </w:r>
    </w:p>
    <w:p w14:paraId="6E62604C"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The PID Act also allows for agencies with special investigative powers to be prescribed under PID rules. If the matter concerns their functions and powers, a disclosure may be made to those special investigative agencies. However, at the time of publication there are no prescribed investigative agencies.</w:t>
      </w:r>
    </w:p>
    <w:p w14:paraId="4F152DA2" w14:textId="77777777" w:rsidR="003A1BA8" w:rsidRPr="00F27A5A" w:rsidRDefault="003A1BA8" w:rsidP="00735C8A">
      <w:pPr>
        <w:pStyle w:val="Heading3"/>
        <w:rPr>
          <w:rFonts w:eastAsia="Verdana"/>
          <w:lang w:val="en-US"/>
        </w:rPr>
      </w:pPr>
      <w:r w:rsidRPr="00F27A5A">
        <w:rPr>
          <w:rFonts w:eastAsia="Verdana"/>
          <w:lang w:val="en-US"/>
        </w:rPr>
        <w:t xml:space="preserve">External disclosures </w:t>
      </w:r>
    </w:p>
    <w:p w14:paraId="7A847A96"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 public official who has already made an internal disclosure under the PID Act may in some circumstances subsequently make a disclosure to any person (except a foreign public official), if (s 26(1) item 2):</w:t>
      </w:r>
    </w:p>
    <w:p w14:paraId="475FCB6C" w14:textId="77777777" w:rsidR="003A1BA8" w:rsidRPr="00BD0549" w:rsidRDefault="003A1BA8" w:rsidP="00274EAD">
      <w:pPr>
        <w:pStyle w:val="Bullet1"/>
      </w:pPr>
      <w:r w:rsidRPr="00BD0549">
        <w:t>the final report of the internal PID investigation has not been prepared within 90 days of allocation, or the extended investigation period approved by the Ombudsman or the IGIS (this condition does not apply to Ombudsman/IGIS investigations under their respective legislation)</w:t>
      </w:r>
    </w:p>
    <w:p w14:paraId="410BBCAF" w14:textId="77777777" w:rsidR="003A1BA8" w:rsidRPr="00BD0549" w:rsidRDefault="003A1BA8" w:rsidP="00274EAD">
      <w:pPr>
        <w:pStyle w:val="Bullet1"/>
      </w:pPr>
      <w:r w:rsidRPr="00BD0549">
        <w:t xml:space="preserve">the PID investigation has been completed and the discloser believes on reasonable grounds that the investigation was inadequate </w:t>
      </w:r>
    </w:p>
    <w:p w14:paraId="7A52663A" w14:textId="77777777" w:rsidR="003A1BA8" w:rsidRPr="00BD0549" w:rsidRDefault="003A1BA8" w:rsidP="00274EAD">
      <w:pPr>
        <w:pStyle w:val="Bullet1"/>
      </w:pPr>
      <w:r w:rsidRPr="00BD0549">
        <w:t>an investigation has been completed (whether the investigation was conducted under the PID Act or under other legislation) and the discloser believes on reasonable grounds that the response to the investigation was inadequate.</w:t>
      </w:r>
    </w:p>
    <w:p w14:paraId="4628CB69" w14:textId="77777777" w:rsidR="003A1BA8" w:rsidRPr="00F27A5A" w:rsidRDefault="003A1BA8" w:rsidP="003A1BA8">
      <w:pPr>
        <w:spacing w:before="120" w:after="120"/>
        <w:ind w:right="72"/>
        <w:textAlignment w:val="baseline"/>
        <w:rPr>
          <w:rFonts w:eastAsia="Verdana" w:cs="Times New Roman"/>
          <w:color w:val="000000"/>
          <w:lang w:val="en-US"/>
        </w:rPr>
      </w:pPr>
      <w:r w:rsidRPr="00F27A5A">
        <w:rPr>
          <w:rFonts w:eastAsia="Verdana" w:cs="Times New Roman"/>
          <w:color w:val="000000"/>
          <w:lang w:val="en-US"/>
        </w:rPr>
        <w:t>The external disclosure must not include intelligence information, including sensitive law enforcement information, and none of the information disclosed can concern the conduct of an intelligence agency. Further, the definition of ‘disclosable conduct’ excludes conduct that an intelligence agency, or one of its officials, engages in as part of the proper exercise of the intelligence agency’s functions (see 2.6 of this guide).</w:t>
      </w:r>
    </w:p>
    <w:p w14:paraId="26105D3A" w14:textId="77777777" w:rsidR="003A1BA8" w:rsidRDefault="003A1BA8" w:rsidP="003A1BA8">
      <w:pPr>
        <w:spacing w:before="120" w:after="120"/>
        <w:ind w:right="72"/>
        <w:textAlignment w:val="baseline"/>
        <w:rPr>
          <w:rFonts w:eastAsia="Verdana" w:cs="Times New Roman"/>
          <w:color w:val="000000"/>
          <w:lang w:val="en-US"/>
        </w:rPr>
      </w:pPr>
      <w:r w:rsidRPr="00F27A5A">
        <w:rPr>
          <w:rFonts w:eastAsia="Verdana" w:cs="Times New Roman"/>
          <w:color w:val="000000"/>
          <w:lang w:val="en-US"/>
        </w:rPr>
        <w:t xml:space="preserve">If the agency decides not to allocate or investigate the official’s disclosure (i.e., by making a decision under s 43 or s 48 of the PID Act, including a decision not to allocate or investigate because the conduct would be better investigated under another law or power), this </w:t>
      </w:r>
      <w:r w:rsidRPr="00F27A5A">
        <w:rPr>
          <w:rFonts w:eastAsia="Verdana" w:cs="Times New Roman"/>
          <w:color w:val="000000"/>
          <w:u w:val="single"/>
          <w:lang w:val="en-US"/>
        </w:rPr>
        <w:t>will not</w:t>
      </w:r>
      <w:r w:rsidRPr="00F27A5A">
        <w:rPr>
          <w:rFonts w:eastAsia="Verdana" w:cs="Times New Roman"/>
          <w:color w:val="000000"/>
          <w:lang w:val="en-US"/>
        </w:rPr>
        <w:t xml:space="preserve"> meet the criteria for an official to make an external disclosure. The official may complain to the Ombudsman about the agency’s decision not to allocate or investigate their disclosure. If the disclosure relates to one of the intelligence agencies or the intelligence functions of the ACIC or AFP, the official may complain to the IGIS.</w:t>
      </w:r>
    </w:p>
    <w:p w14:paraId="5CD54AFE"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Additional restrictions apply to external disclosures (s 26):</w:t>
      </w:r>
    </w:p>
    <w:p w14:paraId="7DAAD2B4" w14:textId="77777777" w:rsidR="003A1BA8" w:rsidRPr="00BD0549" w:rsidRDefault="003A1BA8" w:rsidP="00274EAD">
      <w:pPr>
        <w:pStyle w:val="Bullet1"/>
      </w:pPr>
      <w:r w:rsidRPr="00BD0549">
        <w:t>the public official must not disclose more information than is reasonably necessary to identify the wrongdoing</w:t>
      </w:r>
    </w:p>
    <w:p w14:paraId="1D623AD4" w14:textId="77777777" w:rsidR="003A1BA8" w:rsidRPr="00BD0549" w:rsidRDefault="003A1BA8" w:rsidP="00274EAD">
      <w:pPr>
        <w:pStyle w:val="Bullet1"/>
      </w:pPr>
      <w:r w:rsidRPr="00BD0549">
        <w:t>all of the externally disclosed information must have been the subject of at least part of a prior internal disclosure</w:t>
      </w:r>
    </w:p>
    <w:p w14:paraId="5C779F2C" w14:textId="77777777" w:rsidR="003A1BA8" w:rsidRPr="00BD0549" w:rsidRDefault="003A1BA8" w:rsidP="00274EAD">
      <w:pPr>
        <w:pStyle w:val="Bullet1"/>
      </w:pPr>
      <w:r w:rsidRPr="00BD0549">
        <w:t>on balance, making that external disclosure must not be contrary to the public interest.</w:t>
      </w:r>
    </w:p>
    <w:p w14:paraId="742231C0" w14:textId="77777777" w:rsidR="003A1BA8" w:rsidRPr="00F27A5A" w:rsidRDefault="003A1BA8" w:rsidP="00735C8A">
      <w:pPr>
        <w:pStyle w:val="Heading3"/>
        <w:rPr>
          <w:rFonts w:eastAsia="Verdana"/>
          <w:lang w:val="en-US"/>
        </w:rPr>
      </w:pPr>
      <w:r w:rsidRPr="00F27A5A">
        <w:rPr>
          <w:rFonts w:eastAsia="Verdana"/>
          <w:lang w:val="en-US"/>
        </w:rPr>
        <w:t xml:space="preserve">Emergency disclosure </w:t>
      </w:r>
    </w:p>
    <w:p w14:paraId="5EDB79A0"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If a public official believes on reasonable grounds that the information they have involves a substantial and imminent danger to the health or safety of one or more people or to the environment, they may make an emergency disclosure to any person except a foreign public official (s 26(1) item 3), provided they meet certain requirements:</w:t>
      </w:r>
    </w:p>
    <w:p w14:paraId="24D5D81A" w14:textId="77777777" w:rsidR="003A1BA8" w:rsidRPr="00BD0549" w:rsidRDefault="003A1BA8" w:rsidP="00274EAD">
      <w:pPr>
        <w:pStyle w:val="Bullet1"/>
      </w:pPr>
      <w:r w:rsidRPr="00BD0549">
        <w:t>The extent of the information they disclose must be only what is necessary to alert the recipient of the substantial and imminent danger.</w:t>
      </w:r>
    </w:p>
    <w:p w14:paraId="3AD02347" w14:textId="77777777" w:rsidR="003A1BA8" w:rsidRPr="00BD0549" w:rsidRDefault="003A1BA8" w:rsidP="00274EAD">
      <w:pPr>
        <w:pStyle w:val="Bullet1"/>
      </w:pPr>
      <w:r w:rsidRPr="00BD0549">
        <w:t>If they have not previously made an internal disclosure about the matter, or if they have done so and the investigation is not yet completed, there must be exceptional circumstances justifying their decision to make an external disclosure. This might include, for example, if the investigation was taking too long to complete having regard to the risk to a person’s health and safety.</w:t>
      </w:r>
    </w:p>
    <w:p w14:paraId="5DE63FB8"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An emergency disclosure must not include intelligence information, including sensitive law enforcement information.</w:t>
      </w:r>
    </w:p>
    <w:p w14:paraId="65276962" w14:textId="77777777" w:rsidR="003A1BA8" w:rsidRPr="00735C8A" w:rsidRDefault="003A1BA8" w:rsidP="00735C8A">
      <w:pPr>
        <w:pStyle w:val="Heading3"/>
        <w:rPr>
          <w:rFonts w:eastAsia="Verdana"/>
          <w:lang w:val="en-US"/>
        </w:rPr>
      </w:pPr>
      <w:r w:rsidRPr="00735C8A">
        <w:rPr>
          <w:rFonts w:eastAsia="Verdana"/>
          <w:lang w:val="en-US"/>
        </w:rPr>
        <w:t xml:space="preserve">Disclosure to other people - legal practitioner disclosure </w:t>
      </w:r>
    </w:p>
    <w:p w14:paraId="3402B1E3"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An official may make an emergency or external disclosure to a legal practitioner (noting these disclosures may be made to any person other than a foreign public official in the circumstances discussed above).</w:t>
      </w:r>
    </w:p>
    <w:p w14:paraId="666F30C6"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There is also a specific category of public interest disclosure under the PID Act – ‘a legal practitioner disclosure’ - which allows a public official to disclose information to an Australian legal practitioner for the purposes of seeking legal advice or professional assistance in relation to the official’s actual or proposed disclosure elsewhere (i.e., an internal disclosure, an emergency disclosure or an external disclosure).</w:t>
      </w:r>
    </w:p>
    <w:p w14:paraId="52AEF791"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An Australian legal practitioner is an Australian lawyer admitted to the legal profession by a Supreme Court of an Australian State or Territory and who holds a practising certificate under a law of an Australian State or Territory (s 8 PID Act). In order to make a ‘legal practitioner disclosure’, the disclosure by the public official to the lawyer must be made for the purpose of obtaining legal advice or professional assistance from the lawyer in relation to a disclosure that the discloser has made or proposes to make.</w:t>
      </w:r>
    </w:p>
    <w:p w14:paraId="1D5C5523"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For a ‘legal practitioner disclosure’, the official must not disclose intelligence information including sensitive law enforcement information (s 26(1) item 4).</w:t>
      </w:r>
    </w:p>
    <w:p w14:paraId="7A3AE2EC" w14:textId="77777777" w:rsidR="003A1BA8" w:rsidRPr="00735C8A" w:rsidRDefault="003A1BA8" w:rsidP="00735C8A">
      <w:pPr>
        <w:pStyle w:val="Heading3"/>
        <w:rPr>
          <w:rFonts w:eastAsia="Verdana"/>
          <w:lang w:val="en-US"/>
        </w:rPr>
      </w:pPr>
      <w:r w:rsidRPr="00735C8A">
        <w:rPr>
          <w:rFonts w:eastAsia="Verdana"/>
          <w:lang w:val="en-US"/>
        </w:rPr>
        <w:t>Disclosures to the National Anti-Corruption Commission (NACC)</w:t>
      </w:r>
    </w:p>
    <w:p w14:paraId="40207551" w14:textId="77777777" w:rsidR="003A1BA8" w:rsidRPr="0086281B"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 xml:space="preserve">A public official may make a public interest disclosure directly to the NACC. The NACC Commissioner has discretion to investigate a corruption issue raised through a disclosure if they are of the opinion that the issue could involve serious or systemic corrupt conduct. If the disclosure is made to the NACC and the Commissioner decides not to investigate it, the Commissioner may refer it back to the relevant agency for consideration or investigation. </w:t>
      </w:r>
    </w:p>
    <w:p w14:paraId="38416863" w14:textId="0A9BC1DF" w:rsidR="003A1BA8" w:rsidRDefault="003A1BA8" w:rsidP="003A1BA8">
      <w:pPr>
        <w:spacing w:before="120" w:after="120"/>
        <w:ind w:right="72"/>
        <w:textAlignment w:val="baseline"/>
        <w:rPr>
          <w:rFonts w:eastAsia="Verdana" w:cs="Times New Roman"/>
          <w:color w:val="000000"/>
          <w:lang w:val="en-US"/>
        </w:rPr>
      </w:pPr>
      <w:r w:rsidRPr="0086281B">
        <w:rPr>
          <w:rFonts w:eastAsia="Verdana" w:cs="Times New Roman"/>
          <w:color w:val="000000"/>
          <w:lang w:val="en-US"/>
        </w:rPr>
        <w:t>The NACC Act and the PID Act offer different protections to disclosers. The NACC Act protections are available to any person who provides information or evidence related to a corruption issue to the Commission. Importantly, a public official will be able to access protections under both schemes where the information or evidence disclosed to the Commission also constitutes disclosable conduct under the PID Act.</w:t>
      </w:r>
      <w:bookmarkEnd w:id="6"/>
    </w:p>
    <w:p w14:paraId="404E6E23" w14:textId="77777777" w:rsidR="003A1BA8" w:rsidRPr="00B375CC" w:rsidRDefault="003A1BA8" w:rsidP="00735C8A">
      <w:pPr>
        <w:pStyle w:val="Heading2"/>
        <w:rPr>
          <w:rFonts w:eastAsia="Verdana"/>
          <w:lang w:val="en-US"/>
        </w:rPr>
      </w:pPr>
      <w:r w:rsidRPr="00B375CC">
        <w:rPr>
          <w:rFonts w:eastAsia="Verdana"/>
          <w:lang w:val="en-US"/>
        </w:rPr>
        <w:t xml:space="preserve">What happens if information is disclosed outside these circumstances?  </w:t>
      </w:r>
    </w:p>
    <w:p w14:paraId="1BE41C31" w14:textId="77777777" w:rsidR="003A1BA8" w:rsidRDefault="003A1BA8" w:rsidP="003A1BA8">
      <w:pPr>
        <w:keepNext/>
        <w:spacing w:before="120" w:after="120"/>
        <w:ind w:right="74"/>
        <w:textAlignment w:val="baseline"/>
      </w:pPr>
      <w:r>
        <w:t xml:space="preserve">Public officials are privy to significant amounts of private and sensitive information about individuals and government matters. Maintaining confidentiality is an important part of a public official’s role and this obligation is often reinforced by criminal sanctions. </w:t>
      </w:r>
    </w:p>
    <w:p w14:paraId="191A57B9" w14:textId="77777777" w:rsidR="003A1BA8" w:rsidRDefault="003A1BA8" w:rsidP="003A1BA8">
      <w:pPr>
        <w:keepNext/>
        <w:spacing w:before="120" w:after="120"/>
        <w:ind w:right="74"/>
        <w:textAlignment w:val="baseline"/>
      </w:pPr>
      <w:r>
        <w:t xml:space="preserve">A public official must use one of the proper avenues to gain the protections available under the PID Act. Those protections include making it an offence to disclose or use the identifying information of a discloser, immunity for the public official from criminal, civil and administrative liability (including disciplinary action), and protection from reprisal (see Chapter 8 of this guide). </w:t>
      </w:r>
    </w:p>
    <w:p w14:paraId="0C4B7948" w14:textId="4E1D7CAF" w:rsidR="003A1BA8" w:rsidRPr="00FC4AF9" w:rsidRDefault="003A1BA8" w:rsidP="00FC4AF9">
      <w:pPr>
        <w:keepNext/>
        <w:spacing w:before="120" w:after="120"/>
        <w:ind w:right="74"/>
        <w:textAlignment w:val="baseline"/>
        <w:rPr>
          <w:color w:val="000000"/>
          <w:lang w:val="en-US"/>
        </w:rPr>
      </w:pPr>
      <w:r>
        <w:t>A public official will not receive the immunities under the PID Act, or the protection of their identifying information, if they give the information about disclosable conduct to someone outside government like a journalist, Member of Parliament or union representative, unless the conditions for an external or emergency disclosure are met. If these conditions are not met, the official may be in breach of their duty to maintain appropriate confidentiality in relation to official information they have gained in the course of their work, or be subject to other civil, criminal or disciplinary action.</w:t>
      </w:r>
    </w:p>
    <w:p w14:paraId="46786FC9" w14:textId="77777777" w:rsidR="003A1BA8" w:rsidRPr="000301EF" w:rsidRDefault="003A1BA8" w:rsidP="003A1BA8">
      <w:pPr>
        <w:spacing w:after="0"/>
        <w:rPr>
          <w:b/>
        </w:rPr>
      </w:pPr>
      <w:r>
        <w:rPr>
          <w:b/>
          <w:bCs/>
        </w:rPr>
        <w:br w:type="page"/>
      </w:r>
    </w:p>
    <w:p w14:paraId="15654771" w14:textId="77777777" w:rsidR="003A1BA8" w:rsidRPr="00735C8A" w:rsidRDefault="00274EAD" w:rsidP="00735C8A">
      <w:pPr>
        <w:pStyle w:val="AppendixHeading1"/>
        <w:numPr>
          <w:ilvl w:val="0"/>
          <w:numId w:val="0"/>
        </w:numPr>
      </w:pPr>
      <w:r w:rsidRPr="00735C8A">
        <w:t xml:space="preserve">Schedule </w:t>
      </w:r>
      <w:r w:rsidR="003A6EC6" w:rsidRPr="00735C8A">
        <w:t>2</w:t>
      </w:r>
      <w:r w:rsidRPr="00735C8A">
        <w:t xml:space="preserve"> - Rights and responsibilities of disclosers</w:t>
      </w:r>
    </w:p>
    <w:p w14:paraId="69727039" w14:textId="77777777" w:rsidR="003A1BA8" w:rsidRPr="000301EF" w:rsidRDefault="003A1BA8" w:rsidP="003A6EC6">
      <w:pPr>
        <w:pStyle w:val="Heading2"/>
      </w:pPr>
      <w:r w:rsidRPr="000301EF">
        <w:t>Rights</w:t>
      </w:r>
      <w:r w:rsidRPr="00B208D7">
        <w:rPr>
          <w:rFonts w:eastAsia="Verdana"/>
        </w:rPr>
        <w:t xml:space="preserve"> and protections</w:t>
      </w:r>
    </w:p>
    <w:p w14:paraId="6648210F" w14:textId="77777777" w:rsidR="003A1BA8" w:rsidRDefault="003A1BA8" w:rsidP="003A6EC6">
      <w:pPr>
        <w:rPr>
          <w:rFonts w:eastAsia="Verdana"/>
        </w:rPr>
      </w:pPr>
      <w:r w:rsidRPr="000301EF">
        <w:t>A discloser has right to the protections set out in the PID Act, including</w:t>
      </w:r>
      <w:r>
        <w:rPr>
          <w:rFonts w:eastAsia="Verdana"/>
        </w:rPr>
        <w:t>:</w:t>
      </w:r>
    </w:p>
    <w:p w14:paraId="78291AEE" w14:textId="77777777" w:rsidR="003A1BA8" w:rsidRDefault="003A1BA8" w:rsidP="003A6EC6">
      <w:pPr>
        <w:pStyle w:val="Bullet1"/>
        <w:rPr>
          <w:rFonts w:eastAsia="Verdana"/>
        </w:rPr>
      </w:pPr>
      <w:r w:rsidRPr="000301EF">
        <w:t xml:space="preserve">protection from the </w:t>
      </w:r>
      <w:r>
        <w:rPr>
          <w:rFonts w:eastAsia="Verdana"/>
        </w:rPr>
        <w:t xml:space="preserve">unauthorised </w:t>
      </w:r>
      <w:r w:rsidRPr="000301EF">
        <w:t>disclosure of their identity</w:t>
      </w:r>
    </w:p>
    <w:p w14:paraId="5BFB1E89" w14:textId="77777777" w:rsidR="003A1BA8" w:rsidRDefault="003A1BA8" w:rsidP="003A6EC6">
      <w:pPr>
        <w:pStyle w:val="Bullet1"/>
        <w:rPr>
          <w:rFonts w:eastAsia="Verdana"/>
        </w:rPr>
      </w:pPr>
      <w:r>
        <w:rPr>
          <w:rFonts w:eastAsia="Verdana"/>
        </w:rPr>
        <w:t>protection from reprisal</w:t>
      </w:r>
    </w:p>
    <w:p w14:paraId="4BCF5432" w14:textId="77777777" w:rsidR="003A1BA8" w:rsidRPr="000301EF" w:rsidRDefault="003A1BA8" w:rsidP="003A6EC6">
      <w:pPr>
        <w:pStyle w:val="Bullet1"/>
      </w:pPr>
      <w:r>
        <w:rPr>
          <w:rFonts w:eastAsia="Verdana"/>
        </w:rPr>
        <w:t xml:space="preserve">protection from civil, criminal and administration liability for making a public interest </w:t>
      </w:r>
      <w:r w:rsidRPr="000301EF">
        <w:t xml:space="preserve">disclosure </w:t>
      </w:r>
      <w:r>
        <w:rPr>
          <w:rFonts w:eastAsia="Verdana"/>
        </w:rPr>
        <w:t>(noting that the making of</w:t>
      </w:r>
      <w:r w:rsidRPr="000301EF">
        <w:t xml:space="preserve"> a disclosure does not protect the discloser from the consequences of their own wrongdoing, including where they have been involved in the misconduct that they are reporting</w:t>
      </w:r>
      <w:r>
        <w:rPr>
          <w:rFonts w:eastAsia="Verdana"/>
        </w:rPr>
        <w:t>).</w:t>
      </w:r>
    </w:p>
    <w:p w14:paraId="6BDDE79D" w14:textId="77777777" w:rsidR="003A1BA8" w:rsidRDefault="003A1BA8" w:rsidP="003A1BA8">
      <w:pPr>
        <w:spacing w:before="120" w:after="120"/>
        <w:ind w:right="72"/>
        <w:textAlignment w:val="baseline"/>
        <w:rPr>
          <w:rFonts w:eastAsia="Verdana"/>
          <w:color w:val="000000"/>
        </w:rPr>
      </w:pPr>
      <w:r>
        <w:rPr>
          <w:rFonts w:eastAsia="Verdana"/>
          <w:color w:val="000000"/>
        </w:rPr>
        <w:t xml:space="preserve">The authorised officer and principal officer will take reasonable steps to protect the discloser against reprisal. </w:t>
      </w:r>
    </w:p>
    <w:p w14:paraId="3B0B6FFE" w14:textId="77777777" w:rsidR="003A1BA8" w:rsidRDefault="003A1BA8" w:rsidP="003A1BA8">
      <w:pPr>
        <w:spacing w:before="120" w:after="120"/>
        <w:ind w:right="72"/>
        <w:textAlignment w:val="baseline"/>
        <w:rPr>
          <w:rFonts w:eastAsia="Verdana"/>
          <w:color w:val="000000"/>
        </w:rPr>
      </w:pPr>
      <w:r>
        <w:rPr>
          <w:rFonts w:eastAsia="Verdana"/>
          <w:color w:val="000000"/>
        </w:rPr>
        <w:t xml:space="preserve">The taking of reprisal action against a discloser is an offence under the PID Act and can lead to imprisonment or the imposition of penalties.  </w:t>
      </w:r>
    </w:p>
    <w:p w14:paraId="40D423C9" w14:textId="77777777" w:rsidR="003A1BA8" w:rsidRDefault="003A1BA8" w:rsidP="003A6EC6">
      <w:pPr>
        <w:rPr>
          <w:rFonts w:eastAsia="Verdana"/>
          <w:color w:val="000000"/>
        </w:rPr>
      </w:pPr>
      <w:r>
        <w:rPr>
          <w:rFonts w:eastAsia="Verdana"/>
          <w:color w:val="000000"/>
        </w:rPr>
        <w:t xml:space="preserve">If a discloser believes they are suffering or have been threatened with reprisal, they may apply to Court for an injunction, or for compensation for loss, damage or injury suffered from a reprisal.  </w:t>
      </w:r>
    </w:p>
    <w:p w14:paraId="256DBEEC" w14:textId="77777777" w:rsidR="003A1BA8" w:rsidRPr="000301EF" w:rsidRDefault="003A1BA8" w:rsidP="003A1BA8">
      <w:pPr>
        <w:spacing w:before="120" w:after="120"/>
        <w:ind w:right="72"/>
        <w:textAlignment w:val="baseline"/>
        <w:rPr>
          <w:color w:val="000000"/>
        </w:rPr>
      </w:pPr>
      <w:r w:rsidRPr="000301EF">
        <w:rPr>
          <w:color w:val="000000"/>
        </w:rPr>
        <w:t>During the PID Act process, a discloser will be:</w:t>
      </w:r>
    </w:p>
    <w:p w14:paraId="7E422299" w14:textId="77777777" w:rsidR="003A1BA8" w:rsidRPr="003A6EC6" w:rsidRDefault="003A1BA8" w:rsidP="003A6EC6">
      <w:pPr>
        <w:pStyle w:val="Bullet1"/>
      </w:pPr>
      <w:r w:rsidRPr="003A6EC6">
        <w:t>advised of the following:</w:t>
      </w:r>
    </w:p>
    <w:p w14:paraId="4A3630A2" w14:textId="77777777" w:rsidR="003A1BA8" w:rsidRPr="003A6EC6" w:rsidRDefault="003A1BA8" w:rsidP="003A6EC6">
      <w:pPr>
        <w:pStyle w:val="Bullet2"/>
      </w:pPr>
      <w:r w:rsidRPr="003A6EC6">
        <w:t>any decision that a disclosure is not a disclosure within the meaning of the PID Act</w:t>
      </w:r>
    </w:p>
    <w:p w14:paraId="1BF483CE" w14:textId="77777777" w:rsidR="003A1BA8" w:rsidRPr="003A6EC6" w:rsidRDefault="003A1BA8" w:rsidP="003A6EC6">
      <w:pPr>
        <w:pStyle w:val="Bullet2"/>
      </w:pPr>
      <w:r w:rsidRPr="003A6EC6">
        <w:t>the allocation of their disclosure</w:t>
      </w:r>
    </w:p>
    <w:p w14:paraId="0E713E38" w14:textId="77777777" w:rsidR="003A1BA8" w:rsidRPr="003A6EC6" w:rsidRDefault="003A1BA8" w:rsidP="003A6EC6">
      <w:pPr>
        <w:pStyle w:val="Bullet2"/>
      </w:pPr>
      <w:r w:rsidRPr="003A6EC6">
        <w:t>the decision of the department to investigate their disclosure</w:t>
      </w:r>
    </w:p>
    <w:p w14:paraId="296CAFA7" w14:textId="77777777" w:rsidR="003A1BA8" w:rsidRPr="003A6EC6" w:rsidRDefault="003A1BA8" w:rsidP="003A6EC6">
      <w:pPr>
        <w:pStyle w:val="Bullet2"/>
      </w:pPr>
      <w:r w:rsidRPr="003A6EC6">
        <w:t>the estimated duration of the investigation into their disclosure</w:t>
      </w:r>
    </w:p>
    <w:p w14:paraId="499B742E" w14:textId="77777777" w:rsidR="003A1BA8" w:rsidRPr="003A6EC6" w:rsidRDefault="003A1BA8" w:rsidP="003A6EC6">
      <w:pPr>
        <w:pStyle w:val="Bullet2"/>
      </w:pPr>
      <w:r w:rsidRPr="003A6EC6">
        <w:t>if the department decides not to investigate their disclosure, the reasons for that decision and any action that may be available to the discloser under other Commonwealth laws</w:t>
      </w:r>
    </w:p>
    <w:p w14:paraId="6BC4F2BB" w14:textId="77777777" w:rsidR="003A1BA8" w:rsidRPr="003A6EC6" w:rsidRDefault="003A1BA8" w:rsidP="003A6EC6">
      <w:pPr>
        <w:pStyle w:val="Bullet2"/>
      </w:pPr>
      <w:r w:rsidRPr="003A6EC6">
        <w:t>if an investigation is conducted under the PID Act and an extension of time is granted by the Ombudsman, the progress of the investigation</w:t>
      </w:r>
      <w:r w:rsidR="008C54AD">
        <w:rPr>
          <w:lang w:val="en-US"/>
        </w:rPr>
        <w:t>,</w:t>
      </w:r>
      <w:r w:rsidRPr="003A6EC6">
        <w:t xml:space="preserve"> and</w:t>
      </w:r>
    </w:p>
    <w:p w14:paraId="7DA0F0F5" w14:textId="77777777" w:rsidR="003A1BA8" w:rsidRPr="003A6EC6" w:rsidRDefault="003A1BA8" w:rsidP="003A6EC6">
      <w:pPr>
        <w:pStyle w:val="Bullet2"/>
      </w:pPr>
      <w:r w:rsidRPr="003A6EC6">
        <w:t xml:space="preserve">the outcome of the investigation (including provision of a copy of the investigation report except to the extent that it would be exempt for the purposes of Part IV of the </w:t>
      </w:r>
      <w:r w:rsidR="008C54AD">
        <w:rPr>
          <w:lang w:val="en-US"/>
        </w:rPr>
        <w:t>FOI Act</w:t>
      </w:r>
      <w:r w:rsidRPr="003A6EC6">
        <w:t>, would require a national security or other protective security clearance, contains intelligence information or contravenes a designated publication restriction as defined in the PID Act).</w:t>
      </w:r>
    </w:p>
    <w:p w14:paraId="2248DF1E" w14:textId="77777777" w:rsidR="003A1BA8" w:rsidRPr="003A6EC6" w:rsidRDefault="003A1BA8" w:rsidP="003A6EC6">
      <w:pPr>
        <w:pStyle w:val="Bullet1"/>
      </w:pPr>
      <w:r w:rsidRPr="003A6EC6">
        <w:t>given support in accordance with paragraph 3.6 of the procedures</w:t>
      </w:r>
      <w:r w:rsidR="008C54AD">
        <w:rPr>
          <w:lang w:val="en-US"/>
        </w:rPr>
        <w:t>, and</w:t>
      </w:r>
    </w:p>
    <w:p w14:paraId="60A43BF7" w14:textId="77777777" w:rsidR="003A1BA8" w:rsidRPr="003A6EC6" w:rsidRDefault="003A1BA8" w:rsidP="003A6EC6">
      <w:pPr>
        <w:pStyle w:val="Bullet1"/>
      </w:pPr>
      <w:r w:rsidRPr="003A6EC6">
        <w:t>able to seek assistance from the Ombudsman in relation to the operation of the PID Act.</w:t>
      </w:r>
    </w:p>
    <w:p w14:paraId="179D6A2B" w14:textId="77777777" w:rsidR="003A1BA8" w:rsidRPr="003A6EC6" w:rsidRDefault="003A1BA8" w:rsidP="003A6EC6">
      <w:pPr>
        <w:pStyle w:val="Heading2"/>
      </w:pPr>
      <w:r w:rsidRPr="003A6EC6">
        <w:t xml:space="preserve">Responsibilities  </w:t>
      </w:r>
    </w:p>
    <w:p w14:paraId="0CFEBBA1" w14:textId="77777777" w:rsidR="003A1BA8" w:rsidRPr="000301EF" w:rsidRDefault="003A1BA8" w:rsidP="003A1BA8">
      <w:pPr>
        <w:keepNext/>
        <w:spacing w:before="120" w:after="120"/>
        <w:ind w:left="72"/>
        <w:textAlignment w:val="baseline"/>
        <w:rPr>
          <w:color w:val="000000"/>
          <w:spacing w:val="-3"/>
        </w:rPr>
      </w:pPr>
      <w:r w:rsidRPr="000301EF">
        <w:rPr>
          <w:color w:val="000000"/>
          <w:spacing w:val="-3"/>
        </w:rPr>
        <w:t>A discloser must:</w:t>
      </w:r>
    </w:p>
    <w:p w14:paraId="2370D852" w14:textId="77777777" w:rsidR="003A1BA8" w:rsidRDefault="003A1BA8" w:rsidP="003A6EC6">
      <w:pPr>
        <w:pStyle w:val="Bullet1"/>
      </w:pPr>
      <w:r>
        <w:t>have regard to the Department's advice with respect to the making of disclosures</w:t>
      </w:r>
    </w:p>
    <w:p w14:paraId="3B278A8C" w14:textId="77777777" w:rsidR="003A1BA8" w:rsidRPr="000301EF" w:rsidRDefault="003A1BA8" w:rsidP="003A6EC6">
      <w:pPr>
        <w:pStyle w:val="Bullet1"/>
      </w:pPr>
      <w:r w:rsidRPr="000301EF">
        <w:t>comply with the PID Act requirements and the procedures set out in this document when making a PID</w:t>
      </w:r>
    </w:p>
    <w:p w14:paraId="76FADEA5" w14:textId="77777777" w:rsidR="003A1BA8" w:rsidRPr="000301EF" w:rsidRDefault="003A1BA8" w:rsidP="003A6EC6">
      <w:pPr>
        <w:pStyle w:val="Bullet1"/>
      </w:pPr>
      <w:r w:rsidRPr="000301EF">
        <w:t xml:space="preserve">use their best endeavours to assist the principal officer of </w:t>
      </w:r>
      <w:r>
        <w:t>an</w:t>
      </w:r>
      <w:r w:rsidRPr="000301EF">
        <w:t xml:space="preserve"> agency in the conduct of an investigation</w:t>
      </w:r>
    </w:p>
    <w:p w14:paraId="113C4C37" w14:textId="77777777" w:rsidR="003A1BA8" w:rsidRPr="000301EF" w:rsidRDefault="003A1BA8" w:rsidP="003A6EC6">
      <w:pPr>
        <w:pStyle w:val="Bullet1"/>
      </w:pPr>
      <w:r w:rsidRPr="000301EF">
        <w:t>use their best endeavours to assist the Ombudsman in the performance of the Ombudsman's functions under the PID Act</w:t>
      </w:r>
    </w:p>
    <w:p w14:paraId="51449F97" w14:textId="77777777" w:rsidR="003A1BA8" w:rsidRPr="000301EF" w:rsidRDefault="003A1BA8" w:rsidP="003A6EC6">
      <w:pPr>
        <w:pStyle w:val="Bullet1"/>
      </w:pPr>
      <w:r w:rsidRPr="000301EF">
        <w:t xml:space="preserve">use their best endeavours to assist the IGIS in the performance of </w:t>
      </w:r>
      <w:r>
        <w:t>IGIS's</w:t>
      </w:r>
      <w:r w:rsidRPr="000301EF">
        <w:t xml:space="preserve"> functions under the PID Act</w:t>
      </w:r>
    </w:p>
    <w:p w14:paraId="50AB33E1" w14:textId="77777777" w:rsidR="003A1BA8" w:rsidRPr="000301EF" w:rsidRDefault="003A1BA8" w:rsidP="003A6EC6">
      <w:pPr>
        <w:pStyle w:val="Bullet1"/>
      </w:pPr>
      <w:r w:rsidRPr="000301EF">
        <w:t xml:space="preserve">report to the </w:t>
      </w:r>
      <w:r>
        <w:t>authorised</w:t>
      </w:r>
      <w:r w:rsidRPr="000301EF">
        <w:t xml:space="preserve"> officer any detriment the discloser believes they have been subjected to as a result of making the disclosure</w:t>
      </w:r>
      <w:r w:rsidR="008C54AD">
        <w:rPr>
          <w:lang w:val="en-US"/>
        </w:rPr>
        <w:t xml:space="preserve">, </w:t>
      </w:r>
      <w:r>
        <w:t>and</w:t>
      </w:r>
    </w:p>
    <w:p w14:paraId="52F21847" w14:textId="77777777" w:rsidR="003A1BA8" w:rsidRDefault="003A1BA8" w:rsidP="003A6EC6">
      <w:pPr>
        <w:pStyle w:val="Bullet1"/>
      </w:pPr>
      <w:r>
        <w:t>cooperate with actions proposed by the authorised officer to protect the discloser from reprisals or the threat of reprisals or address work health and safety risks. In particular, although a discloser will be consulted regarding any actions proposed to be taken, such actions may be taken without the consent of the discloser.</w:t>
      </w:r>
    </w:p>
    <w:p w14:paraId="2C9A37F5" w14:textId="77777777" w:rsidR="003A1BA8" w:rsidRPr="003A6EC6" w:rsidRDefault="003A1BA8" w:rsidP="003A6EC6">
      <w:pPr>
        <w:pStyle w:val="Heading2"/>
      </w:pPr>
      <w:r w:rsidRPr="003A6EC6">
        <w:t>Advice to disclosers</w:t>
      </w:r>
    </w:p>
    <w:p w14:paraId="33617584" w14:textId="77777777" w:rsidR="003A1BA8" w:rsidRDefault="003A1BA8" w:rsidP="003A1BA8">
      <w:pPr>
        <w:spacing w:before="120" w:after="120"/>
        <w:ind w:left="72"/>
        <w:textAlignment w:val="baseline"/>
        <w:rPr>
          <w:rFonts w:eastAsia="Verdana"/>
          <w:color w:val="000000"/>
          <w:spacing w:val="-3"/>
        </w:rPr>
      </w:pPr>
      <w:r>
        <w:rPr>
          <w:rFonts w:eastAsia="Verdana"/>
          <w:color w:val="000000"/>
          <w:spacing w:val="-3"/>
        </w:rPr>
        <w:t xml:space="preserve">When making a disclosure, a discloser should be clear and factual, and avoid speculation, personal attacks and emotive language, which can divert attention from the real issues in their disclosure. </w:t>
      </w:r>
    </w:p>
    <w:p w14:paraId="3CE615AE" w14:textId="77777777" w:rsidR="003A1BA8" w:rsidRDefault="003A1BA8" w:rsidP="003A1BA8">
      <w:pPr>
        <w:spacing w:before="120" w:after="120"/>
        <w:ind w:left="72"/>
        <w:textAlignment w:val="baseline"/>
        <w:rPr>
          <w:rFonts w:eastAsia="Verdana"/>
          <w:color w:val="000000"/>
          <w:spacing w:val="-3"/>
        </w:rPr>
      </w:pPr>
      <w:r>
        <w:rPr>
          <w:rFonts w:eastAsia="Verdana"/>
          <w:color w:val="000000"/>
          <w:spacing w:val="-3"/>
        </w:rPr>
        <w:t xml:space="preserve">When making a disclosure, disclosers should consider providing the following information: </w:t>
      </w:r>
    </w:p>
    <w:p w14:paraId="61DA8E0C" w14:textId="77777777" w:rsidR="003A1BA8" w:rsidRPr="003A6EC6" w:rsidRDefault="003A1BA8" w:rsidP="003A6EC6">
      <w:pPr>
        <w:pStyle w:val="Bullet1"/>
      </w:pPr>
      <w:r w:rsidRPr="003A6EC6">
        <w:t>their name and contact details (if they wish)</w:t>
      </w:r>
    </w:p>
    <w:p w14:paraId="18885A66" w14:textId="77777777" w:rsidR="003A1BA8" w:rsidRPr="003A6EC6" w:rsidRDefault="003A1BA8" w:rsidP="003A6EC6">
      <w:pPr>
        <w:pStyle w:val="Bullet1"/>
      </w:pPr>
      <w:r w:rsidRPr="003A6EC6">
        <w:t>the nature of the suspected wrongdoing</w:t>
      </w:r>
    </w:p>
    <w:p w14:paraId="4200AE15" w14:textId="77777777" w:rsidR="003A1BA8" w:rsidRPr="003A6EC6" w:rsidRDefault="003A1BA8" w:rsidP="003A6EC6">
      <w:pPr>
        <w:pStyle w:val="Bullet1"/>
      </w:pPr>
      <w:r w:rsidRPr="003A6EC6">
        <w:t>who they believe committed the suspected wrongdoing</w:t>
      </w:r>
    </w:p>
    <w:p w14:paraId="2F2329DB" w14:textId="77777777" w:rsidR="003A1BA8" w:rsidRPr="003A6EC6" w:rsidRDefault="003A1BA8" w:rsidP="003A6EC6">
      <w:pPr>
        <w:pStyle w:val="Bullet1"/>
      </w:pPr>
      <w:r w:rsidRPr="003A6EC6">
        <w:t>when and where the suspected wrongdoing occurred</w:t>
      </w:r>
    </w:p>
    <w:p w14:paraId="7309824F" w14:textId="77777777" w:rsidR="003A1BA8" w:rsidRPr="003A6EC6" w:rsidRDefault="003A1BA8" w:rsidP="003A6EC6">
      <w:pPr>
        <w:pStyle w:val="Bullet1"/>
      </w:pPr>
      <w:r w:rsidRPr="003A6EC6">
        <w:t>how they became aware of the suspected wrongdoing</w:t>
      </w:r>
    </w:p>
    <w:p w14:paraId="4ED9030A" w14:textId="77777777" w:rsidR="003A1BA8" w:rsidRPr="003A6EC6" w:rsidRDefault="003A1BA8" w:rsidP="003A6EC6">
      <w:pPr>
        <w:pStyle w:val="Bullet1"/>
      </w:pPr>
      <w:r w:rsidRPr="003A6EC6">
        <w:t>whether the suspected wrongdoing has been reported to anyone else</w:t>
      </w:r>
    </w:p>
    <w:p w14:paraId="765677A9" w14:textId="77777777" w:rsidR="003A1BA8" w:rsidRPr="003A6EC6" w:rsidRDefault="003A1BA8" w:rsidP="003A6EC6">
      <w:pPr>
        <w:pStyle w:val="Bullet1"/>
      </w:pPr>
      <w:r w:rsidRPr="003A6EC6">
        <w:t>if so, what that person has done to fix, stop or prevent it</w:t>
      </w:r>
    </w:p>
    <w:p w14:paraId="6E399736" w14:textId="77777777" w:rsidR="003A1BA8" w:rsidRPr="003A6EC6" w:rsidRDefault="003A1BA8" w:rsidP="003A6EC6">
      <w:pPr>
        <w:pStyle w:val="Bullet1"/>
      </w:pPr>
      <w:r w:rsidRPr="003A6EC6">
        <w:t>whether they are concerned about possible reprisal as a result of making a disclosure.</w:t>
      </w:r>
    </w:p>
    <w:p w14:paraId="326AE688" w14:textId="77777777" w:rsidR="003A1BA8" w:rsidRDefault="003A1BA8" w:rsidP="003A1BA8">
      <w:pPr>
        <w:spacing w:before="120" w:after="120"/>
        <w:ind w:left="72"/>
        <w:textAlignment w:val="baseline"/>
        <w:rPr>
          <w:rFonts w:eastAsia="Verdana"/>
          <w:color w:val="000000"/>
          <w:spacing w:val="-3"/>
        </w:rPr>
      </w:pPr>
      <w:r>
        <w:rPr>
          <w:rFonts w:eastAsia="Verdana"/>
          <w:color w:val="000000"/>
          <w:spacing w:val="-3"/>
        </w:rPr>
        <w:t xml:space="preserve">Disclosers should not investigate a matter themselves before making their disclosure.  </w:t>
      </w:r>
    </w:p>
    <w:p w14:paraId="4A1AC93F" w14:textId="77777777" w:rsidR="003A1BA8" w:rsidRDefault="003A1BA8" w:rsidP="003A1BA8">
      <w:pPr>
        <w:spacing w:before="120" w:after="120"/>
        <w:ind w:left="72"/>
        <w:textAlignment w:val="baseline"/>
        <w:rPr>
          <w:rFonts w:eastAsia="Verdana"/>
          <w:color w:val="000000"/>
          <w:spacing w:val="-3"/>
        </w:rPr>
      </w:pPr>
      <w:r>
        <w:rPr>
          <w:rFonts w:eastAsia="Verdana"/>
          <w:color w:val="000000"/>
          <w:spacing w:val="-3"/>
        </w:rPr>
        <w:t xml:space="preserve">The sooner a discloser raises a concern, the easier it is likely to be for the agency to take action. </w:t>
      </w:r>
    </w:p>
    <w:p w14:paraId="00A74790" w14:textId="77777777" w:rsidR="003A1BA8" w:rsidRPr="00D5465A" w:rsidRDefault="003A1BA8" w:rsidP="00735C8A">
      <w:pPr>
        <w:pStyle w:val="AppendixHeading1"/>
        <w:numPr>
          <w:ilvl w:val="0"/>
          <w:numId w:val="0"/>
        </w:numPr>
      </w:pPr>
      <w:r>
        <w:rPr>
          <w:b/>
          <w:bCs/>
          <w:u w:val="single"/>
        </w:rPr>
        <w:br w:type="page"/>
      </w:r>
      <w:r w:rsidR="001C1989" w:rsidRPr="00FB3D43">
        <w:t xml:space="preserve">Schedule 3 - </w:t>
      </w:r>
      <w:r w:rsidRPr="00FB3D43">
        <w:t>R</w:t>
      </w:r>
      <w:r w:rsidR="001C1989" w:rsidRPr="00FB3D43">
        <w:t>ights and responsibilities of persons who are the subject of a PID</w:t>
      </w:r>
    </w:p>
    <w:p w14:paraId="2C711257" w14:textId="77777777" w:rsidR="003A1BA8" w:rsidRPr="006574C9" w:rsidRDefault="003A1BA8" w:rsidP="001C1989">
      <w:pPr>
        <w:pStyle w:val="Heading2"/>
      </w:pPr>
      <w:r w:rsidRPr="006574C9">
        <w:t>Rights</w:t>
      </w:r>
    </w:p>
    <w:p w14:paraId="08D961D6" w14:textId="77777777" w:rsidR="003A1BA8" w:rsidRPr="00D5465A" w:rsidRDefault="003A1BA8" w:rsidP="001C1989">
      <w:r w:rsidRPr="00D5465A">
        <w:t>A</w:t>
      </w:r>
      <w:r>
        <w:t xml:space="preserve"> Departmental</w:t>
      </w:r>
      <w:r w:rsidRPr="00D5465A">
        <w:t xml:space="preserve"> employee who is the subject of a disclosure will be:</w:t>
      </w:r>
    </w:p>
    <w:p w14:paraId="168AFFA3" w14:textId="77777777" w:rsidR="003A1BA8" w:rsidRPr="000301EF" w:rsidRDefault="003A1BA8" w:rsidP="001C1989">
      <w:pPr>
        <w:pStyle w:val="Bullet1"/>
      </w:pPr>
      <w:r w:rsidRPr="000301EF">
        <w:t>given support in accordance with paragraph 3.</w:t>
      </w:r>
      <w:r w:rsidRPr="006574C9">
        <w:rPr>
          <w:rFonts w:eastAsia="Verdana"/>
        </w:rPr>
        <w:t>7</w:t>
      </w:r>
      <w:r w:rsidRPr="000301EF">
        <w:t xml:space="preserve"> of the procedures</w:t>
      </w:r>
    </w:p>
    <w:p w14:paraId="6D7DC47A" w14:textId="77777777" w:rsidR="003A1BA8" w:rsidRPr="006574C9" w:rsidRDefault="003A1BA8" w:rsidP="001C1989">
      <w:pPr>
        <w:pStyle w:val="Bullet1"/>
        <w:rPr>
          <w:rFonts w:eastAsia="Verdana"/>
        </w:rPr>
      </w:pPr>
      <w:r w:rsidRPr="006574C9">
        <w:rPr>
          <w:rFonts w:eastAsia="Verdana"/>
        </w:rPr>
        <w:t>afforded procedural fairness</w:t>
      </w:r>
      <w:r w:rsidR="001C1989">
        <w:rPr>
          <w:rFonts w:eastAsia="Verdana"/>
          <w:lang w:val="en-US"/>
        </w:rPr>
        <w:t>,</w:t>
      </w:r>
      <w:r w:rsidRPr="006574C9">
        <w:rPr>
          <w:rFonts w:eastAsia="Verdana"/>
        </w:rPr>
        <w:t xml:space="preserve"> and</w:t>
      </w:r>
    </w:p>
    <w:p w14:paraId="0CE75D9E" w14:textId="77777777" w:rsidR="003A1BA8" w:rsidRPr="000301EF" w:rsidRDefault="003A1BA8" w:rsidP="001C1989">
      <w:pPr>
        <w:pStyle w:val="Bullet1"/>
      </w:pPr>
      <w:r w:rsidRPr="000301EF">
        <w:t>able to seek assistance from the Ombudsman in relation to the operation of the PID Act.</w:t>
      </w:r>
    </w:p>
    <w:p w14:paraId="22FF37D0" w14:textId="77777777" w:rsidR="003A1BA8" w:rsidRPr="00D5465A" w:rsidRDefault="003A1BA8" w:rsidP="001C1989">
      <w:pPr>
        <w:pStyle w:val="Heading2"/>
      </w:pPr>
      <w:r w:rsidRPr="00D5465A">
        <w:t>Responsibilities</w:t>
      </w:r>
    </w:p>
    <w:p w14:paraId="340CEFFE" w14:textId="77777777" w:rsidR="003A1BA8" w:rsidRPr="001C1989" w:rsidRDefault="003A1BA8" w:rsidP="003A1BA8">
      <w:pPr>
        <w:pStyle w:val="Bullet1Ashurst"/>
        <w:numPr>
          <w:ilvl w:val="0"/>
          <w:numId w:val="0"/>
        </w:numPr>
        <w:rPr>
          <w:rFonts w:eastAsiaTheme="minorHAnsi"/>
          <w:color w:val="000000" w:themeColor="text1"/>
          <w:sz w:val="22"/>
          <w:szCs w:val="22"/>
          <w:lang w:eastAsia="en-US"/>
        </w:rPr>
      </w:pPr>
      <w:r w:rsidRPr="001C1989">
        <w:rPr>
          <w:rFonts w:eastAsiaTheme="minorHAnsi"/>
          <w:color w:val="000000" w:themeColor="text1"/>
          <w:sz w:val="22"/>
          <w:szCs w:val="22"/>
          <w:lang w:eastAsia="en-US"/>
        </w:rPr>
        <w:t>A Departmental employee who is the subject of a disclosure must:</w:t>
      </w:r>
    </w:p>
    <w:p w14:paraId="6F5FBD69" w14:textId="77777777" w:rsidR="003A1BA8" w:rsidRPr="000301EF" w:rsidRDefault="003A1BA8" w:rsidP="001C1989">
      <w:pPr>
        <w:pStyle w:val="Bullet1"/>
      </w:pPr>
      <w:r w:rsidRPr="000301EF">
        <w:t>use their best endeavours to assist the principal officer of any agency in the conduct of an investigation</w:t>
      </w:r>
    </w:p>
    <w:p w14:paraId="46F252B1" w14:textId="77777777" w:rsidR="003A1BA8" w:rsidRPr="000301EF" w:rsidRDefault="003A1BA8" w:rsidP="001C1989">
      <w:pPr>
        <w:pStyle w:val="Bullet1"/>
      </w:pPr>
      <w:r w:rsidRPr="000301EF">
        <w:t>use their best endeavours to assist the Ombudsman in the performance of the Ombudsman's functions under the PID Act</w:t>
      </w:r>
    </w:p>
    <w:p w14:paraId="595B195B" w14:textId="77777777" w:rsidR="003A1BA8" w:rsidRPr="000301EF" w:rsidRDefault="003A1BA8" w:rsidP="001C1989">
      <w:pPr>
        <w:pStyle w:val="Bullet1"/>
      </w:pPr>
      <w:r w:rsidRPr="000301EF">
        <w:t>use their best endeavours to assist the IGIS in the performance of the IGIS' functions under the PID Act</w:t>
      </w:r>
      <w:r w:rsidR="008C54AD">
        <w:rPr>
          <w:lang w:val="en-US"/>
        </w:rPr>
        <w:t>,</w:t>
      </w:r>
      <w:r w:rsidRPr="000301EF">
        <w:t xml:space="preserve"> and</w:t>
      </w:r>
    </w:p>
    <w:p w14:paraId="16E895B9" w14:textId="77777777" w:rsidR="003A1BA8" w:rsidRPr="000301EF" w:rsidRDefault="003A1BA8" w:rsidP="001C1989">
      <w:pPr>
        <w:pStyle w:val="Bullet1"/>
      </w:pPr>
      <w:r w:rsidRPr="000301EF">
        <w:t>comply with action taken by the Department to address risks or concerns in relation to the PID.</w:t>
      </w:r>
    </w:p>
    <w:p w14:paraId="73C48FA1" w14:textId="77777777" w:rsidR="003A1BA8" w:rsidRPr="000301EF" w:rsidRDefault="003A1BA8" w:rsidP="003A1BA8">
      <w:pPr>
        <w:spacing w:before="120" w:after="120"/>
        <w:ind w:left="72" w:right="72"/>
        <w:textAlignment w:val="baseline"/>
        <w:rPr>
          <w:color w:val="000000"/>
        </w:rPr>
      </w:pPr>
      <w:r w:rsidRPr="000301EF">
        <w:rPr>
          <w:color w:val="000000"/>
        </w:rPr>
        <w:t>An employee who is the subject of a disclosure should also be aware that</w:t>
      </w:r>
      <w:r>
        <w:rPr>
          <w:rFonts w:eastAsia="Verdana"/>
          <w:color w:val="000000"/>
        </w:rPr>
        <w:t>:</w:t>
      </w:r>
    </w:p>
    <w:p w14:paraId="56C700E2" w14:textId="77777777" w:rsidR="003A1BA8" w:rsidRDefault="003A1BA8" w:rsidP="001C1989">
      <w:pPr>
        <w:pStyle w:val="Bullet1"/>
      </w:pPr>
      <w:r>
        <w:t>the outcome of an investigation under the procedures set out in this document may result in another, different investigation (for example, a Code of Conduct investigation) taking place</w:t>
      </w:r>
      <w:r w:rsidR="008C54AD">
        <w:rPr>
          <w:lang w:val="en-US"/>
        </w:rPr>
        <w:t>,</w:t>
      </w:r>
      <w:r>
        <w:t xml:space="preserve"> and</w:t>
      </w:r>
    </w:p>
    <w:p w14:paraId="78B1DD49" w14:textId="4583032C" w:rsidR="003A1BA8" w:rsidRDefault="003A1BA8" w:rsidP="00FC4AF9">
      <w:pPr>
        <w:pStyle w:val="Bullet1"/>
      </w:pPr>
      <w:r>
        <w:t>the department may decide to take action in relation to the employee, for example temporarily transferring the employee to another work area without the employee's consent, in order to discharge its obligations including under the PID Act and work health and safety legislation.</w:t>
      </w:r>
    </w:p>
    <w:p w14:paraId="5A834329" w14:textId="77777777" w:rsidR="003A1BA8" w:rsidRDefault="003A1BA8" w:rsidP="003A1BA8">
      <w:pPr>
        <w:spacing w:after="0"/>
      </w:pPr>
      <w:r>
        <w:br w:type="page"/>
      </w:r>
    </w:p>
    <w:p w14:paraId="78B46FA8" w14:textId="77777777" w:rsidR="003A1BA8" w:rsidRPr="00FB3D43" w:rsidRDefault="0092698A" w:rsidP="00735C8A">
      <w:pPr>
        <w:pStyle w:val="AppendixHeading1"/>
        <w:numPr>
          <w:ilvl w:val="0"/>
          <w:numId w:val="0"/>
        </w:numPr>
      </w:pPr>
      <w:r w:rsidRPr="00FB3D43">
        <w:t>Schedule 4 - Obligations and protections for officials under the PID Act</w:t>
      </w:r>
    </w:p>
    <w:p w14:paraId="3D2C7239" w14:textId="77777777" w:rsidR="003A1BA8" w:rsidRPr="00B208D7" w:rsidRDefault="003A1BA8" w:rsidP="0092698A">
      <w:pPr>
        <w:pStyle w:val="Heading2"/>
        <w:rPr>
          <w:rFonts w:eastAsia="Verdana"/>
        </w:rPr>
      </w:pPr>
      <w:r w:rsidRPr="00B208D7">
        <w:rPr>
          <w:rFonts w:eastAsia="Verdana"/>
        </w:rPr>
        <w:t xml:space="preserve">Additional obligations of the Principal Officer </w:t>
      </w:r>
    </w:p>
    <w:p w14:paraId="6D26C7A6" w14:textId="77777777" w:rsidR="003A1BA8" w:rsidRDefault="003A1BA8" w:rsidP="003A6EC6">
      <w:r>
        <w:t xml:space="preserve">The principal officer must: </w:t>
      </w:r>
    </w:p>
    <w:p w14:paraId="03C62E6F" w14:textId="77777777" w:rsidR="003A1BA8" w:rsidRPr="00B82E6D" w:rsidRDefault="003A1BA8" w:rsidP="0092698A">
      <w:pPr>
        <w:pStyle w:val="Bullet1"/>
      </w:pPr>
      <w:r w:rsidRPr="00B82E6D">
        <w:t xml:space="preserve">ensure that the number of authorised officers in the Department is sufficient to ensure that they are readily accessible by public officials who belong to the Department and that public officials are aware of the identity of the authorised officers </w:t>
      </w:r>
    </w:p>
    <w:p w14:paraId="64F00701" w14:textId="77777777" w:rsidR="003A1BA8" w:rsidRPr="00B82E6D" w:rsidRDefault="003A1BA8" w:rsidP="0092698A">
      <w:pPr>
        <w:pStyle w:val="Bullet1"/>
      </w:pPr>
      <w:r w:rsidRPr="00B82E6D">
        <w:t xml:space="preserve">take reasonable steps to encourage and support public officials who make or are considering making PIDs, and persons who provide or are considering providing assistance in relation to PIDs </w:t>
      </w:r>
    </w:p>
    <w:p w14:paraId="6749916B" w14:textId="77777777" w:rsidR="003A1BA8" w:rsidRPr="00B82E6D" w:rsidRDefault="003A1BA8" w:rsidP="0092698A">
      <w:pPr>
        <w:pStyle w:val="Bullet1"/>
      </w:pPr>
      <w:r w:rsidRPr="00B82E6D">
        <w:t>establish PID Procedures consistent with the PID Act and PID Standard</w:t>
      </w:r>
    </w:p>
    <w:p w14:paraId="0C5CB0D5" w14:textId="77777777" w:rsidR="003A1BA8" w:rsidRPr="00B82E6D" w:rsidRDefault="003A1BA8" w:rsidP="0092698A">
      <w:pPr>
        <w:pStyle w:val="Bullet1"/>
      </w:pPr>
      <w:r w:rsidRPr="00B82E6D">
        <w:t>as soon as reasonably practicable, ensure that appropriate action in relation to the agency is taken in response to any recommendations in a PID report</w:t>
      </w:r>
    </w:p>
    <w:p w14:paraId="5AF891A0" w14:textId="77777777" w:rsidR="003A1BA8" w:rsidRPr="00B82E6D" w:rsidRDefault="003A1BA8" w:rsidP="0092698A">
      <w:pPr>
        <w:pStyle w:val="Bullet1"/>
      </w:pPr>
      <w:r w:rsidRPr="00B82E6D">
        <w:t>take reasonable steps to provide ongoing training and education to public officials about the PID Act</w:t>
      </w:r>
    </w:p>
    <w:p w14:paraId="0CF79473" w14:textId="77777777" w:rsidR="003A1BA8" w:rsidRPr="00B82E6D" w:rsidRDefault="003A1BA8" w:rsidP="0092698A">
      <w:pPr>
        <w:pStyle w:val="Bullet1"/>
      </w:pPr>
      <w:r w:rsidRPr="00B82E6D">
        <w:t>ensure that officials who are appointed to perform functions and duties or exercise powers under the PID Act are given appropriate training and education within a reasonable time after their appointment</w:t>
      </w:r>
      <w:r w:rsidR="00A50FDE">
        <w:rPr>
          <w:lang w:val="en-US"/>
        </w:rPr>
        <w:t>, and</w:t>
      </w:r>
    </w:p>
    <w:p w14:paraId="1106B3C8" w14:textId="77777777" w:rsidR="003A1BA8" w:rsidRPr="00B82E6D" w:rsidRDefault="003A1BA8" w:rsidP="0092698A">
      <w:pPr>
        <w:pStyle w:val="Bullet1"/>
      </w:pPr>
      <w:r w:rsidRPr="00B82E6D">
        <w:t xml:space="preserve">take reasonable steps to protect public officials who belong to the Department against reprisals that have been, or may be taken in relation to PIDs that have been made, may have been made, are proposed to be made or could be made to an authorised officer or supervisor. </w:t>
      </w:r>
    </w:p>
    <w:p w14:paraId="492BB561" w14:textId="77777777" w:rsidR="003A1BA8" w:rsidRPr="00B208D7" w:rsidRDefault="003A1BA8" w:rsidP="001C1989">
      <w:pPr>
        <w:pStyle w:val="Heading2"/>
        <w:rPr>
          <w:rFonts w:eastAsia="Verdana"/>
        </w:rPr>
      </w:pPr>
      <w:r w:rsidRPr="00B208D7">
        <w:rPr>
          <w:rFonts w:eastAsia="Verdana"/>
        </w:rPr>
        <w:t>Additional obligations of authorised officers</w:t>
      </w:r>
    </w:p>
    <w:p w14:paraId="2CDA2D25" w14:textId="77777777" w:rsidR="003A1BA8" w:rsidRDefault="003A1BA8" w:rsidP="003A6EC6">
      <w:r>
        <w:t xml:space="preserve">An authorised officer must </w:t>
      </w:r>
    </w:p>
    <w:p w14:paraId="4902B54A" w14:textId="77777777" w:rsidR="003A1BA8" w:rsidRPr="00B82E6D" w:rsidRDefault="003A1BA8" w:rsidP="0092698A">
      <w:pPr>
        <w:pStyle w:val="Bullet1"/>
      </w:pPr>
      <w:r w:rsidRPr="00B82E6D">
        <w:t xml:space="preserve">if an individual discloses, or proposes to disclose information to an authorised officer of the Department, and the authorised officer has reasonable grounds to believe that the information concerns or could concern disclosable conduct and the individual may be unaware of the consequences of making the disclosure: </w:t>
      </w:r>
    </w:p>
    <w:p w14:paraId="07F1B15A" w14:textId="77777777" w:rsidR="003A1BA8" w:rsidRPr="00B82E6D" w:rsidRDefault="003A1BA8" w:rsidP="001C1989">
      <w:pPr>
        <w:pStyle w:val="Bullet2"/>
      </w:pPr>
      <w:r w:rsidRPr="00B82E6D">
        <w:t>inform the individual that the disclosure could be treated as an internal disclosure for the purposes of the PID Act</w:t>
      </w:r>
    </w:p>
    <w:p w14:paraId="5E2D7886" w14:textId="77777777" w:rsidR="003A1BA8" w:rsidRPr="00B82E6D" w:rsidRDefault="003A1BA8" w:rsidP="001C1989">
      <w:pPr>
        <w:pStyle w:val="Bullet2"/>
      </w:pPr>
      <w:r w:rsidRPr="00B82E6D">
        <w:t>explain what the PID Act requires for the disclosure to be an internal disclosure;</w:t>
      </w:r>
    </w:p>
    <w:p w14:paraId="11759AAD" w14:textId="77777777" w:rsidR="003A1BA8" w:rsidRPr="00B82E6D" w:rsidRDefault="003A1BA8" w:rsidP="001C1989">
      <w:pPr>
        <w:pStyle w:val="Bullet2"/>
      </w:pPr>
      <w:r w:rsidRPr="00B82E6D">
        <w:t>advise the individual of the circumstances in which a PID must be referred to an agency or other person or body under another law of the Commonwealth</w:t>
      </w:r>
    </w:p>
    <w:p w14:paraId="67BBAB33" w14:textId="77777777" w:rsidR="003A1BA8" w:rsidRPr="00B82E6D" w:rsidRDefault="003A1BA8" w:rsidP="001C1989">
      <w:pPr>
        <w:pStyle w:val="Bullet2"/>
      </w:pPr>
      <w:r w:rsidRPr="00B82E6D">
        <w:t>advise the individual of any orders or directions of which the authorised officer is aware that are designated publication restrictions that may affect disclosure of the information</w:t>
      </w:r>
      <w:r w:rsidR="00A50FDE">
        <w:rPr>
          <w:lang w:val="en-US"/>
        </w:rPr>
        <w:t xml:space="preserve">, </w:t>
      </w:r>
      <w:r w:rsidRPr="00B82E6D">
        <w:t xml:space="preserve">and </w:t>
      </w:r>
    </w:p>
    <w:p w14:paraId="25A3A0E4" w14:textId="77777777" w:rsidR="003A1BA8" w:rsidRPr="00B82E6D" w:rsidRDefault="003A1BA8" w:rsidP="001C1989">
      <w:pPr>
        <w:pStyle w:val="Bullet2"/>
      </w:pPr>
      <w:r w:rsidRPr="00B82E6D">
        <w:t>take reasonable steps to protect public officials who belong to the Department against reprisals that have been, or may be taken in relation to PIDs that the authorised officer suspects on reasonable grounds have been made, may have been made, are proposed to be made or could be made, to them</w:t>
      </w:r>
      <w:r>
        <w:t xml:space="preserve">. </w:t>
      </w:r>
      <w:r w:rsidRPr="00B82E6D">
        <w:t xml:space="preserve"> </w:t>
      </w:r>
    </w:p>
    <w:p w14:paraId="11600ABF" w14:textId="77777777" w:rsidR="003A1BA8" w:rsidRPr="001C1989" w:rsidRDefault="003A1BA8" w:rsidP="001C1989">
      <w:pPr>
        <w:pStyle w:val="Heading2"/>
        <w:rPr>
          <w:rFonts w:eastAsia="Verdana"/>
        </w:rPr>
      </w:pPr>
      <w:r w:rsidRPr="001C1989">
        <w:rPr>
          <w:rFonts w:eastAsia="Verdana"/>
        </w:rPr>
        <w:t>Additional obligations of supervisors</w:t>
      </w:r>
    </w:p>
    <w:p w14:paraId="2C88F28B" w14:textId="2D80343E" w:rsidR="003A1BA8" w:rsidRPr="0024551E" w:rsidRDefault="003A1BA8" w:rsidP="003A6EC6">
      <w:r w:rsidRPr="0024551E">
        <w:t>The obligations of supervi</w:t>
      </w:r>
      <w:r>
        <w:t>s</w:t>
      </w:r>
      <w:r w:rsidRPr="0024551E">
        <w:t xml:space="preserve">ors </w:t>
      </w:r>
      <w:r w:rsidR="00695A33">
        <w:t>are</w:t>
      </w:r>
      <w:r>
        <w:t xml:space="preserve"> set out in paragraph 3.2 of the Procedures. </w:t>
      </w:r>
    </w:p>
    <w:p w14:paraId="1CCD77F8" w14:textId="77777777" w:rsidR="003A1BA8" w:rsidRPr="001C1989" w:rsidRDefault="003A1BA8" w:rsidP="001C1989">
      <w:pPr>
        <w:pStyle w:val="Heading2"/>
        <w:rPr>
          <w:rFonts w:eastAsia="Verdana"/>
        </w:rPr>
      </w:pPr>
      <w:r w:rsidRPr="001C1989">
        <w:rPr>
          <w:rFonts w:eastAsia="Verdana"/>
        </w:rPr>
        <w:t xml:space="preserve">Protection from liability </w:t>
      </w:r>
    </w:p>
    <w:p w14:paraId="118024C9" w14:textId="77777777" w:rsidR="003A1BA8" w:rsidRDefault="003A1BA8" w:rsidP="003A6EC6">
      <w:r>
        <w:t xml:space="preserve">A person who is the principal officer, a delegate of the principal officer, an authorised officers, a supervisor of a person who makes a disclosure or a person assisting the principal officer (or delegate) is not liable to any criminal or civil proceedings, or any disciplinary action, for or in relation to any act or matter done or omitted to be done, in good faith: </w:t>
      </w:r>
    </w:p>
    <w:p w14:paraId="7C0FF5A1" w14:textId="77777777" w:rsidR="003A1BA8" w:rsidRDefault="003A1BA8" w:rsidP="001C1989">
      <w:pPr>
        <w:pStyle w:val="Bullet1"/>
      </w:pPr>
      <w:r>
        <w:t xml:space="preserve">the </w:t>
      </w:r>
      <w:r w:rsidRPr="00B82E6D">
        <w:t>performance</w:t>
      </w:r>
      <w:r>
        <w:t xml:space="preserve"> or purported performance or any functions conferred on the person by the PID Act</w:t>
      </w:r>
    </w:p>
    <w:p w14:paraId="0B4F0DB0" w14:textId="77777777" w:rsidR="003A1BA8" w:rsidRDefault="003A1BA8" w:rsidP="001C1989">
      <w:pPr>
        <w:pStyle w:val="Bullet1"/>
      </w:pPr>
      <w:r>
        <w:t xml:space="preserve">the exercise, or </w:t>
      </w:r>
      <w:r w:rsidRPr="00B82E6D">
        <w:t>purported</w:t>
      </w:r>
      <w:r>
        <w:t xml:space="preserve"> exercise, or any power conferred on the person by the PID Act</w:t>
      </w:r>
    </w:p>
    <w:p w14:paraId="72CCD780" w14:textId="77777777" w:rsidR="003A1BA8" w:rsidRPr="004A4F3E" w:rsidRDefault="003A1BA8" w:rsidP="001C1989">
      <w:pPr>
        <w:pStyle w:val="Bullet1"/>
      </w:pPr>
      <w:r>
        <w:t>i</w:t>
      </w:r>
      <w:r w:rsidRPr="0024551E">
        <w:t>n the case of a person assisting a principal officer or delegate</w:t>
      </w:r>
      <w:r>
        <w:t xml:space="preserve">, </w:t>
      </w:r>
      <w:r w:rsidRPr="0024551E">
        <w:t xml:space="preserve">in assisting the principal officer or delegate in doing anything mentioned </w:t>
      </w:r>
      <w:r>
        <w:t xml:space="preserve">above. </w:t>
      </w:r>
    </w:p>
    <w:p w14:paraId="37743D0A" w14:textId="77777777" w:rsidR="003A1BA8" w:rsidRDefault="003A1BA8" w:rsidP="003A1BA8">
      <w:pPr>
        <w:rPr>
          <w:rFonts w:eastAsia="Verdana"/>
          <w:b/>
          <w:color w:val="000000"/>
        </w:rPr>
      </w:pPr>
      <w:r>
        <w:rPr>
          <w:rFonts w:eastAsia="Verdana"/>
          <w:b/>
          <w:color w:val="000000"/>
        </w:rPr>
        <w:br w:type="page"/>
      </w:r>
    </w:p>
    <w:p w14:paraId="01568613" w14:textId="77777777" w:rsidR="003A1BA8" w:rsidRPr="00274EAD" w:rsidRDefault="00274EAD" w:rsidP="00735C8A">
      <w:pPr>
        <w:pStyle w:val="AppendixHeading1"/>
        <w:numPr>
          <w:ilvl w:val="0"/>
          <w:numId w:val="0"/>
        </w:numPr>
      </w:pPr>
      <w:r w:rsidRPr="00FB3D43">
        <w:t>Schedule 5 - Rights, responsibilities and protections of other persons</w:t>
      </w:r>
    </w:p>
    <w:p w14:paraId="6F62276B" w14:textId="77777777" w:rsidR="003A1BA8" w:rsidRPr="00B208D7" w:rsidRDefault="003A1BA8" w:rsidP="00274EAD">
      <w:pPr>
        <w:pStyle w:val="Heading2"/>
        <w:rPr>
          <w:rFonts w:eastAsia="Verdana"/>
        </w:rPr>
      </w:pPr>
      <w:r w:rsidRPr="00B208D7">
        <w:rPr>
          <w:rFonts w:eastAsia="Verdana"/>
        </w:rPr>
        <w:t xml:space="preserve">Responsibilities of public officials </w:t>
      </w:r>
    </w:p>
    <w:p w14:paraId="238F2DA2" w14:textId="77777777" w:rsidR="003A1BA8" w:rsidRDefault="003A1BA8" w:rsidP="003A1BA8">
      <w:pPr>
        <w:tabs>
          <w:tab w:val="left" w:pos="360"/>
          <w:tab w:val="left" w:pos="432"/>
        </w:tabs>
        <w:spacing w:before="120" w:after="120"/>
        <w:ind w:right="72"/>
        <w:textAlignment w:val="baseline"/>
        <w:rPr>
          <w:rFonts w:eastAsia="Verdana"/>
          <w:color w:val="000000"/>
        </w:rPr>
      </w:pPr>
      <w:r>
        <w:rPr>
          <w:rFonts w:eastAsia="Verdana"/>
          <w:color w:val="000000"/>
          <w:spacing w:val="-1"/>
        </w:rPr>
        <w:t>Under section 61 of the PID Act, p</w:t>
      </w:r>
      <w:r w:rsidRPr="004F72DD">
        <w:rPr>
          <w:rFonts w:eastAsia="Verdana"/>
          <w:color w:val="000000"/>
          <w:spacing w:val="-1"/>
        </w:rPr>
        <w:t xml:space="preserve">ublic </w:t>
      </w:r>
      <w:r w:rsidRPr="004F72DD">
        <w:rPr>
          <w:rFonts w:eastAsia="Verdana"/>
          <w:color w:val="000000"/>
        </w:rPr>
        <w:t>officials must</w:t>
      </w:r>
      <w:r>
        <w:rPr>
          <w:rFonts w:eastAsia="Verdana"/>
          <w:color w:val="000000"/>
        </w:rPr>
        <w:t xml:space="preserve"> use their best endeavours to:</w:t>
      </w:r>
    </w:p>
    <w:p w14:paraId="46D6654F" w14:textId="77777777" w:rsidR="003A1BA8" w:rsidRPr="004F72DD" w:rsidRDefault="003A1BA8" w:rsidP="00274EAD">
      <w:pPr>
        <w:pStyle w:val="Bullet1"/>
      </w:pPr>
      <w:r w:rsidRPr="004F72DD">
        <w:t>assist the principal officer in the conduct of an investigation under the PID Act</w:t>
      </w:r>
    </w:p>
    <w:p w14:paraId="29F97027" w14:textId="77777777" w:rsidR="003A1BA8" w:rsidRPr="004F72DD" w:rsidRDefault="003A1BA8" w:rsidP="00274EAD">
      <w:pPr>
        <w:pStyle w:val="Bullet1"/>
      </w:pPr>
      <w:r w:rsidRPr="004F72DD">
        <w:t>assist the Ombudsman in the performance of the Ombudsman's functions under the PID Act</w:t>
      </w:r>
    </w:p>
    <w:p w14:paraId="61504396" w14:textId="77777777" w:rsidR="003A1BA8" w:rsidRPr="004F72DD" w:rsidRDefault="003A1BA8" w:rsidP="00274EAD">
      <w:pPr>
        <w:pStyle w:val="Bullet1"/>
      </w:pPr>
      <w:r w:rsidRPr="004F72DD">
        <w:t>assist the IGIS in the performance of IGIS's functions under the PID Act</w:t>
      </w:r>
      <w:r w:rsidR="00A50FDE">
        <w:rPr>
          <w:lang w:val="en-US"/>
        </w:rPr>
        <w:t>, and</w:t>
      </w:r>
    </w:p>
    <w:p w14:paraId="5F3DACE7" w14:textId="77777777" w:rsidR="003A1BA8" w:rsidRPr="00B82E6D" w:rsidRDefault="003A1BA8" w:rsidP="00274EAD">
      <w:pPr>
        <w:pStyle w:val="Bullet1"/>
      </w:pPr>
      <w:r w:rsidRPr="00B82E6D">
        <w:t xml:space="preserve">assist any other public official to exercise a right, or performance any duty or function, under the PID Act.  </w:t>
      </w:r>
    </w:p>
    <w:p w14:paraId="5C1F0AD5" w14:textId="77777777" w:rsidR="003A1BA8" w:rsidRPr="00B208D7" w:rsidRDefault="003A1BA8" w:rsidP="00274EAD">
      <w:pPr>
        <w:pStyle w:val="Heading2"/>
        <w:rPr>
          <w:rFonts w:eastAsia="Verdana"/>
        </w:rPr>
      </w:pPr>
      <w:r w:rsidRPr="00B208D7">
        <w:rPr>
          <w:rFonts w:eastAsia="Verdana"/>
        </w:rPr>
        <w:t xml:space="preserve">Immunities from liability for witnesses </w:t>
      </w:r>
    </w:p>
    <w:p w14:paraId="2DEF8351" w14:textId="77777777" w:rsidR="003A1BA8" w:rsidRPr="007757E7" w:rsidRDefault="003A1BA8" w:rsidP="003A1BA8">
      <w:pPr>
        <w:spacing w:before="120" w:after="120"/>
        <w:ind w:right="72"/>
        <w:textAlignment w:val="baseline"/>
        <w:rPr>
          <w:rFonts w:eastAsia="Verdana"/>
          <w:color w:val="000000"/>
          <w:spacing w:val="-1"/>
        </w:rPr>
      </w:pPr>
      <w:r w:rsidRPr="007757E7">
        <w:rPr>
          <w:rFonts w:eastAsia="Verdana"/>
          <w:color w:val="000000"/>
          <w:spacing w:val="-1"/>
        </w:rPr>
        <w:t>A witness</w:t>
      </w:r>
      <w:r>
        <w:rPr>
          <w:rFonts w:eastAsia="Verdana"/>
          <w:color w:val="000000"/>
          <w:spacing w:val="-1"/>
        </w:rPr>
        <w:t xml:space="preserve"> (other than a discloser)</w:t>
      </w:r>
      <w:r w:rsidRPr="007757E7">
        <w:rPr>
          <w:rFonts w:eastAsia="Verdana"/>
          <w:color w:val="000000"/>
          <w:spacing w:val="-1"/>
        </w:rPr>
        <w:t xml:space="preserve"> will not be subject to any civil, criminal or administrative liability because they give information or produce a document or other thing, or answer a question, that the witness considers on reasonable grounds to be relevant to: </w:t>
      </w:r>
    </w:p>
    <w:p w14:paraId="588D9084" w14:textId="77777777" w:rsidR="003A1BA8" w:rsidRPr="00B82E6D" w:rsidRDefault="003A1BA8" w:rsidP="00274EAD">
      <w:pPr>
        <w:pStyle w:val="Bullet1"/>
      </w:pPr>
      <w:r w:rsidRPr="00B82E6D">
        <w:t>the making of a decision in relation to the allocation of a disclosure under section 43 of the PID Act</w:t>
      </w:r>
    </w:p>
    <w:p w14:paraId="49EE0CD7" w14:textId="77777777" w:rsidR="003A1BA8" w:rsidRPr="00B82E6D" w:rsidRDefault="003A1BA8" w:rsidP="00274EAD">
      <w:pPr>
        <w:pStyle w:val="Bullet1"/>
      </w:pPr>
      <w:r w:rsidRPr="00B82E6D">
        <w:t>a disclosure investigation or a proposed disclosure investigation</w:t>
      </w:r>
      <w:r w:rsidR="00A50FDE">
        <w:rPr>
          <w:lang w:val="en-US"/>
        </w:rPr>
        <w:t xml:space="preserve">, </w:t>
      </w:r>
      <w:r w:rsidRPr="00B82E6D">
        <w:t>or</w:t>
      </w:r>
    </w:p>
    <w:p w14:paraId="4C6F7BBB" w14:textId="77777777" w:rsidR="003A1BA8" w:rsidRPr="00B82E6D" w:rsidRDefault="003A1BA8" w:rsidP="00274EAD">
      <w:pPr>
        <w:pStyle w:val="Bullet1"/>
      </w:pPr>
      <w:r w:rsidRPr="00B82E6D">
        <w:t xml:space="preserve">a review or proposed review by the Ombudsman or IGIS under section 55(3) of the PID Act about the handling of a disclosure. </w:t>
      </w:r>
    </w:p>
    <w:p w14:paraId="6BEA96CA" w14:textId="77777777" w:rsidR="003A1BA8" w:rsidRDefault="003A1BA8" w:rsidP="003A1BA8">
      <w:pPr>
        <w:spacing w:before="120" w:after="120"/>
        <w:ind w:right="72"/>
        <w:textAlignment w:val="baseline"/>
        <w:rPr>
          <w:rFonts w:eastAsia="Verdana"/>
          <w:color w:val="000000"/>
          <w:spacing w:val="-1"/>
        </w:rPr>
      </w:pPr>
      <w:r w:rsidRPr="007757E7">
        <w:rPr>
          <w:rFonts w:eastAsia="Verdana"/>
          <w:color w:val="000000"/>
          <w:spacing w:val="-1"/>
        </w:rPr>
        <w:t>This immunity does not apply to any liability of the witness for</w:t>
      </w:r>
      <w:r>
        <w:rPr>
          <w:rFonts w:eastAsia="Verdana"/>
          <w:color w:val="000000"/>
          <w:spacing w:val="-1"/>
        </w:rPr>
        <w:t>:</w:t>
      </w:r>
    </w:p>
    <w:p w14:paraId="21A7A5C4" w14:textId="77777777" w:rsidR="003A1BA8" w:rsidRPr="00B82E6D" w:rsidRDefault="003A1BA8" w:rsidP="00274EAD">
      <w:pPr>
        <w:pStyle w:val="Bullet1"/>
      </w:pPr>
      <w:r w:rsidRPr="00B82E6D">
        <w:t>making false or misleading statements</w:t>
      </w:r>
    </w:p>
    <w:p w14:paraId="378F16B6" w14:textId="77777777" w:rsidR="003A1BA8" w:rsidRPr="00B82E6D" w:rsidRDefault="003A1BA8" w:rsidP="00274EAD">
      <w:pPr>
        <w:pStyle w:val="Bullet1"/>
      </w:pPr>
      <w:r w:rsidRPr="00B82E6D">
        <w:t>contravening a designated publication restriction</w:t>
      </w:r>
    </w:p>
    <w:p w14:paraId="07671B0A" w14:textId="77777777" w:rsidR="003A1BA8" w:rsidRPr="00B82E6D" w:rsidRDefault="003A1BA8" w:rsidP="00274EAD">
      <w:pPr>
        <w:pStyle w:val="Bullet1"/>
      </w:pPr>
      <w:r w:rsidRPr="00B82E6D">
        <w:t xml:space="preserve">particular offences under the </w:t>
      </w:r>
      <w:hyperlink r:id="rId21" w:history="1">
        <w:r w:rsidRPr="00316ACD">
          <w:rPr>
            <w:rStyle w:val="Hyperlink"/>
            <w:i/>
            <w:lang w:val="en-US"/>
          </w:rPr>
          <w:t>Criminal Code</w:t>
        </w:r>
        <w:r w:rsidR="00A50FDE" w:rsidRPr="00A50FDE">
          <w:rPr>
            <w:rStyle w:val="Hyperlink"/>
            <w:i/>
            <w:lang w:val="en-US"/>
          </w:rPr>
          <w:t xml:space="preserve"> Act 1995</w:t>
        </w:r>
      </w:hyperlink>
      <w:r w:rsidR="00A50FDE" w:rsidRPr="00316ACD">
        <w:rPr>
          <w:rStyle w:val="Hyperlink"/>
          <w:i/>
        </w:rPr>
        <w:t xml:space="preserve"> </w:t>
      </w:r>
      <w:r w:rsidR="00A50FDE" w:rsidRPr="00316ACD">
        <w:rPr>
          <w:rStyle w:val="Hyperlink"/>
        </w:rPr>
        <w:t>(Cth)</w:t>
      </w:r>
      <w:r w:rsidR="00A50FDE">
        <w:rPr>
          <w:lang w:val="en-US"/>
        </w:rPr>
        <w:t>, and</w:t>
      </w:r>
    </w:p>
    <w:p w14:paraId="1984F6B9" w14:textId="77777777" w:rsidR="003A1BA8" w:rsidRPr="00B82E6D" w:rsidRDefault="003A1BA8" w:rsidP="00274EAD">
      <w:pPr>
        <w:pStyle w:val="Bullet1"/>
      </w:pPr>
      <w:r w:rsidRPr="00B82E6D">
        <w:t xml:space="preserve">their own conduct (the immunity only relates to the act of providing assistance in relation to the public interest disclosure). </w:t>
      </w:r>
      <w:bookmarkEnd w:id="0"/>
    </w:p>
    <w:sectPr w:rsidR="003A1BA8" w:rsidRPr="00B82E6D" w:rsidSect="00D2335F">
      <w:headerReference w:type="even" r:id="rId22"/>
      <w:footerReference w:type="even" r:id="rId23"/>
      <w:footerReference w:type="default" r:id="rId24"/>
      <w:headerReference w:type="first" r:id="rId25"/>
      <w:footerReference w:type="first" r:id="rId26"/>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C3B3" w14:textId="77777777" w:rsidR="002D7A0B" w:rsidRDefault="002D7A0B" w:rsidP="008456D5">
      <w:pPr>
        <w:spacing w:before="0" w:after="0"/>
      </w:pPr>
      <w:r>
        <w:separator/>
      </w:r>
    </w:p>
  </w:endnote>
  <w:endnote w:type="continuationSeparator" w:id="0">
    <w:p w14:paraId="5E1A691C" w14:textId="77777777" w:rsidR="002D7A0B" w:rsidRDefault="002D7A0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A538" w14:textId="77777777" w:rsidR="002D7A0B" w:rsidRDefault="002D7A0B" w:rsidP="00180B5B">
    <w:pPr>
      <w:pStyle w:val="Footer"/>
      <w:spacing w:before="720"/>
      <w:jc w:val="right"/>
    </w:pPr>
    <w:r>
      <w:rPr>
        <w:noProof/>
        <w:lang w:eastAsia="en-AU"/>
      </w:rPr>
      <mc:AlternateContent>
        <mc:Choice Requires="wps">
          <w:drawing>
            <wp:inline distT="0" distB="0" distL="0" distR="0" wp14:anchorId="3F7E82E4" wp14:editId="7370305A">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1313E39" w14:textId="77777777" w:rsidR="002D7A0B" w:rsidRPr="007A05BE" w:rsidRDefault="002D7A0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3F7E82E4"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1313E39" w14:textId="77777777" w:rsidR="002D7A0B" w:rsidRPr="007A05BE" w:rsidRDefault="002D7A0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04E428E5" w14:textId="77777777" w:rsidR="002D7A0B" w:rsidRDefault="002D7A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98CF7" w14:textId="0210DFF3" w:rsidR="002D7A0B" w:rsidRPr="002A68A3" w:rsidRDefault="002D7A0B" w:rsidP="00AB3238">
    <w:pPr>
      <w:pStyle w:val="SecurityMarker"/>
      <w:rPr>
        <w:color w:val="FFFFFF" w:themeColor="background1"/>
        <w:lang w:val="en-US"/>
      </w:rPr>
    </w:pPr>
  </w:p>
  <w:p w14:paraId="36318E7D" w14:textId="77777777" w:rsidR="002D7A0B" w:rsidRDefault="002D7A0B" w:rsidP="00AB3238">
    <w:pPr>
      <w:framePr w:w="11907" w:h="284" w:hSpace="181" w:wrap="around" w:vAnchor="page" w:hAnchor="page" w:yAlign="bottom"/>
      <w:spacing w:before="0" w:after="0"/>
    </w:pPr>
    <w:r>
      <w:rPr>
        <w:noProof/>
      </w:rPr>
      <w:drawing>
        <wp:inline distT="0" distB="0" distL="0" distR="0" wp14:anchorId="31FBF07F" wp14:editId="2945FF18">
          <wp:extent cx="7562850" cy="179922"/>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26341213" w14:textId="4C0E8C3C" w:rsidR="002D7A0B" w:rsidRPr="00654E6E" w:rsidRDefault="003D395E"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AA36AE">
          <w:rPr>
            <w:color w:val="auto"/>
            <w:sz w:val="18"/>
            <w:szCs w:val="18"/>
            <w:lang w:val="en-US"/>
          </w:rPr>
          <w:t>Public Interest Disclosure procedures</w:t>
        </w:r>
      </w:sdtContent>
    </w:sdt>
    <w:r w:rsidR="002D7A0B" w:rsidRPr="00654E6E">
      <w:rPr>
        <w:color w:val="auto"/>
        <w:sz w:val="18"/>
        <w:szCs w:val="18"/>
        <w:lang w:val="en-US"/>
      </w:rPr>
      <w:tab/>
    </w:r>
    <w:r w:rsidR="002D7A0B" w:rsidRPr="00654E6E">
      <w:rPr>
        <w:b/>
        <w:color w:val="auto"/>
        <w:sz w:val="18"/>
        <w:szCs w:val="18"/>
        <w:lang w:val="en-US"/>
      </w:rPr>
      <w:t>Release date:</w:t>
    </w:r>
    <w:r w:rsidR="002D7A0B" w:rsidRPr="00654E6E">
      <w:rPr>
        <w:color w:val="auto"/>
        <w:sz w:val="18"/>
        <w:szCs w:val="18"/>
        <w:lang w:val="en-US"/>
      </w:rPr>
      <w:t xml:space="preserve"> </w:t>
    </w:r>
    <w:sdt>
      <w:sdtPr>
        <w:rPr>
          <w:color w:val="auto"/>
          <w:sz w:val="18"/>
          <w:szCs w:val="18"/>
          <w:lang w:val="en-US"/>
        </w:rPr>
        <w:alias w:val="Category"/>
        <w:id w:val="-708417275"/>
        <w:dataBinding w:prefixMappings="xmlns:ns0='http://purl.org/dc/elements/1.1/' xmlns:ns1='http://schemas.openxmlformats.org/package/2006/metadata/core-properties' " w:xpath="/ns1:coreProperties[1]/ns1:category[1]" w:storeItemID="{6C3C8BC8-F283-45AE-878A-BAB7291924A1}"/>
        <w:text/>
      </w:sdtPr>
      <w:sdtEndPr/>
      <w:sdtContent>
        <w:r w:rsidR="002D7A0B">
          <w:rPr>
            <w:color w:val="auto"/>
            <w:sz w:val="18"/>
            <w:szCs w:val="18"/>
            <w:lang w:val="en-US"/>
          </w:rPr>
          <w:t>July 2024</w:t>
        </w:r>
      </w:sdtContent>
    </w:sdt>
    <w:r w:rsidR="002D7A0B" w:rsidRPr="00654E6E">
      <w:rPr>
        <w:color w:val="auto"/>
        <w:sz w:val="18"/>
        <w:szCs w:val="18"/>
        <w:lang w:val="en-US"/>
      </w:rPr>
      <w:tab/>
      <w:t xml:space="preserve">Page </w:t>
    </w:r>
    <w:r w:rsidR="002D7A0B" w:rsidRPr="00654E6E">
      <w:rPr>
        <w:color w:val="auto"/>
        <w:sz w:val="18"/>
        <w:szCs w:val="18"/>
        <w:lang w:val="en-US"/>
      </w:rPr>
      <w:fldChar w:fldCharType="begin"/>
    </w:r>
    <w:r w:rsidR="002D7A0B" w:rsidRPr="00654E6E">
      <w:rPr>
        <w:color w:val="auto"/>
        <w:sz w:val="18"/>
        <w:szCs w:val="18"/>
        <w:lang w:val="en-US"/>
      </w:rPr>
      <w:instrText xml:space="preserve"> PAGE   \* MERGEFORMAT </w:instrText>
    </w:r>
    <w:r w:rsidR="002D7A0B" w:rsidRPr="00654E6E">
      <w:rPr>
        <w:color w:val="auto"/>
        <w:sz w:val="18"/>
        <w:szCs w:val="18"/>
        <w:lang w:val="en-US"/>
      </w:rPr>
      <w:fldChar w:fldCharType="separate"/>
    </w:r>
    <w:r w:rsidR="002D7A0B">
      <w:rPr>
        <w:color w:val="auto"/>
        <w:sz w:val="18"/>
        <w:szCs w:val="18"/>
        <w:lang w:val="en-US"/>
      </w:rPr>
      <w:t>3</w:t>
    </w:r>
    <w:r w:rsidR="002D7A0B" w:rsidRPr="00654E6E">
      <w:rPr>
        <w:noProof/>
        <w:color w:val="auto"/>
        <w:sz w:val="18"/>
        <w:szCs w:val="18"/>
        <w:lang w:val="en-US"/>
      </w:rPr>
      <w:fldChar w:fldCharType="end"/>
    </w:r>
    <w:r w:rsidR="002D7A0B" w:rsidRPr="00654E6E">
      <w:rPr>
        <w:noProof/>
        <w:color w:val="auto"/>
        <w:sz w:val="18"/>
        <w:szCs w:val="18"/>
        <w:lang w:val="en-US"/>
      </w:rPr>
      <w:t xml:space="preserve"> of </w:t>
    </w:r>
    <w:r w:rsidR="002D7A0B" w:rsidRPr="00654E6E">
      <w:rPr>
        <w:noProof/>
        <w:color w:val="auto"/>
        <w:sz w:val="18"/>
        <w:szCs w:val="18"/>
        <w:lang w:val="en-US"/>
      </w:rPr>
      <w:fldChar w:fldCharType="begin"/>
    </w:r>
    <w:r w:rsidR="002D7A0B" w:rsidRPr="00654E6E">
      <w:rPr>
        <w:noProof/>
        <w:color w:val="auto"/>
        <w:sz w:val="18"/>
        <w:szCs w:val="18"/>
        <w:lang w:val="en-US"/>
      </w:rPr>
      <w:instrText xml:space="preserve"> NUMPAGES   \* MERGEFORMAT </w:instrText>
    </w:r>
    <w:r w:rsidR="002D7A0B" w:rsidRPr="00654E6E">
      <w:rPr>
        <w:noProof/>
        <w:color w:val="auto"/>
        <w:sz w:val="18"/>
        <w:szCs w:val="18"/>
        <w:lang w:val="en-US"/>
      </w:rPr>
      <w:fldChar w:fldCharType="separate"/>
    </w:r>
    <w:r w:rsidR="002D7A0B">
      <w:rPr>
        <w:noProof/>
        <w:color w:val="auto"/>
        <w:sz w:val="18"/>
        <w:szCs w:val="18"/>
        <w:lang w:val="en-US"/>
      </w:rPr>
      <w:t>9</w:t>
    </w:r>
    <w:r w:rsidR="002D7A0B"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837E" w14:textId="424CD1BB" w:rsidR="002D7A0B" w:rsidRDefault="002D7A0B" w:rsidP="006B1647">
    <w:pPr>
      <w:framePr w:w="11907" w:h="284" w:hSpace="181" w:wrap="around" w:vAnchor="page" w:hAnchor="page" w:yAlign="bottom"/>
      <w:spacing w:before="0" w:after="0"/>
    </w:pPr>
    <w:r>
      <w:rPr>
        <w:noProof/>
      </w:rPr>
      <w:drawing>
        <wp:inline distT="0" distB="0" distL="0" distR="0" wp14:anchorId="63F6BEEA" wp14:editId="0C0712F1">
          <wp:extent cx="7562850" cy="179922"/>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48AA5B9B" w14:textId="48F08BAD" w:rsidR="002D7A0B" w:rsidRPr="00654E6E" w:rsidRDefault="003D395E"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AA36AE">
          <w:rPr>
            <w:color w:val="auto"/>
            <w:sz w:val="18"/>
            <w:szCs w:val="18"/>
            <w:lang w:val="en-US"/>
          </w:rPr>
          <w:t>Public Interest Disclosure procedures</w:t>
        </w:r>
      </w:sdtContent>
    </w:sdt>
    <w:r w:rsidR="002D7A0B" w:rsidRPr="00654E6E">
      <w:rPr>
        <w:color w:val="auto"/>
        <w:sz w:val="18"/>
        <w:szCs w:val="18"/>
        <w:lang w:val="en-US"/>
      </w:rPr>
      <w:tab/>
    </w:r>
    <w:r w:rsidR="002D7A0B" w:rsidRPr="00654E6E">
      <w:rPr>
        <w:b/>
        <w:color w:val="auto"/>
        <w:sz w:val="18"/>
        <w:szCs w:val="18"/>
        <w:lang w:val="en-US"/>
      </w:rPr>
      <w:t>Release date:</w:t>
    </w:r>
    <w:r w:rsidR="002D7A0B" w:rsidRPr="00654E6E">
      <w:rPr>
        <w:color w:val="auto"/>
        <w:sz w:val="18"/>
        <w:szCs w:val="18"/>
        <w:lang w:val="en-US"/>
      </w:rPr>
      <w:t xml:space="preserve"> </w:t>
    </w:r>
    <w:sdt>
      <w:sdtPr>
        <w:rPr>
          <w:color w:val="auto"/>
          <w:sz w:val="18"/>
          <w:szCs w:val="18"/>
          <w:lang w:val="en-US"/>
        </w:rPr>
        <w:alias w:val="Category"/>
        <w:id w:val="1232892812"/>
        <w:dataBinding w:prefixMappings="xmlns:ns0='http://purl.org/dc/elements/1.1/' xmlns:ns1='http://schemas.openxmlformats.org/package/2006/metadata/core-properties' " w:xpath="/ns1:coreProperties[1]/ns1:category[1]" w:storeItemID="{6C3C8BC8-F283-45AE-878A-BAB7291924A1}"/>
        <w:text/>
      </w:sdtPr>
      <w:sdtEndPr/>
      <w:sdtContent>
        <w:r w:rsidR="002D7A0B">
          <w:rPr>
            <w:color w:val="auto"/>
            <w:sz w:val="18"/>
            <w:szCs w:val="18"/>
            <w:lang w:val="en-US"/>
          </w:rPr>
          <w:t>July 2024</w:t>
        </w:r>
      </w:sdtContent>
    </w:sdt>
    <w:r w:rsidR="002D7A0B" w:rsidRPr="00654E6E">
      <w:rPr>
        <w:color w:val="auto"/>
        <w:sz w:val="18"/>
        <w:szCs w:val="18"/>
        <w:lang w:val="en-US"/>
      </w:rPr>
      <w:tab/>
      <w:t xml:space="preserve">Page </w:t>
    </w:r>
    <w:r w:rsidR="002D7A0B" w:rsidRPr="00654E6E">
      <w:rPr>
        <w:color w:val="auto"/>
        <w:sz w:val="18"/>
        <w:szCs w:val="18"/>
        <w:lang w:val="en-US"/>
      </w:rPr>
      <w:fldChar w:fldCharType="begin"/>
    </w:r>
    <w:r w:rsidR="002D7A0B" w:rsidRPr="00654E6E">
      <w:rPr>
        <w:color w:val="auto"/>
        <w:sz w:val="18"/>
        <w:szCs w:val="18"/>
        <w:lang w:val="en-US"/>
      </w:rPr>
      <w:instrText xml:space="preserve"> PAGE   \* MERGEFORMAT </w:instrText>
    </w:r>
    <w:r w:rsidR="002D7A0B" w:rsidRPr="00654E6E">
      <w:rPr>
        <w:color w:val="auto"/>
        <w:sz w:val="18"/>
        <w:szCs w:val="18"/>
        <w:lang w:val="en-US"/>
      </w:rPr>
      <w:fldChar w:fldCharType="separate"/>
    </w:r>
    <w:r w:rsidR="002D7A0B">
      <w:rPr>
        <w:color w:val="auto"/>
        <w:sz w:val="18"/>
        <w:szCs w:val="18"/>
        <w:lang w:val="en-US"/>
      </w:rPr>
      <w:t>3</w:t>
    </w:r>
    <w:r w:rsidR="002D7A0B" w:rsidRPr="00654E6E">
      <w:rPr>
        <w:noProof/>
        <w:color w:val="auto"/>
        <w:sz w:val="18"/>
        <w:szCs w:val="18"/>
        <w:lang w:val="en-US"/>
      </w:rPr>
      <w:fldChar w:fldCharType="end"/>
    </w:r>
    <w:r w:rsidR="002D7A0B" w:rsidRPr="00654E6E">
      <w:rPr>
        <w:noProof/>
        <w:color w:val="auto"/>
        <w:sz w:val="18"/>
        <w:szCs w:val="18"/>
        <w:lang w:val="en-US"/>
      </w:rPr>
      <w:t xml:space="preserve"> of </w:t>
    </w:r>
    <w:r w:rsidR="002D7A0B" w:rsidRPr="00654E6E">
      <w:rPr>
        <w:noProof/>
        <w:color w:val="auto"/>
        <w:sz w:val="18"/>
        <w:szCs w:val="18"/>
        <w:lang w:val="en-US"/>
      </w:rPr>
      <w:fldChar w:fldCharType="begin"/>
    </w:r>
    <w:r w:rsidR="002D7A0B" w:rsidRPr="00654E6E">
      <w:rPr>
        <w:noProof/>
        <w:color w:val="auto"/>
        <w:sz w:val="18"/>
        <w:szCs w:val="18"/>
        <w:lang w:val="en-US"/>
      </w:rPr>
      <w:instrText xml:space="preserve"> NUMPAGES   \* MERGEFORMAT </w:instrText>
    </w:r>
    <w:r w:rsidR="002D7A0B" w:rsidRPr="00654E6E">
      <w:rPr>
        <w:noProof/>
        <w:color w:val="auto"/>
        <w:sz w:val="18"/>
        <w:szCs w:val="18"/>
        <w:lang w:val="en-US"/>
      </w:rPr>
      <w:fldChar w:fldCharType="separate"/>
    </w:r>
    <w:r w:rsidR="002D7A0B">
      <w:rPr>
        <w:noProof/>
        <w:color w:val="auto"/>
        <w:sz w:val="18"/>
        <w:szCs w:val="18"/>
        <w:lang w:val="en-US"/>
      </w:rPr>
      <w:t>9</w:t>
    </w:r>
    <w:r w:rsidR="002D7A0B"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D342E" w14:textId="77777777" w:rsidR="002D7A0B" w:rsidRPr="00EF7FF3" w:rsidRDefault="002D7A0B" w:rsidP="005912BE">
      <w:pPr>
        <w:spacing w:before="300"/>
        <w:rPr>
          <w:color w:val="081E3E" w:themeColor="text2"/>
        </w:rPr>
      </w:pPr>
      <w:r w:rsidRPr="00EF7FF3">
        <w:rPr>
          <w:color w:val="081E3E" w:themeColor="text2"/>
        </w:rPr>
        <w:t>----------</w:t>
      </w:r>
    </w:p>
  </w:footnote>
  <w:footnote w:type="continuationSeparator" w:id="0">
    <w:p w14:paraId="26F48040" w14:textId="77777777" w:rsidR="002D7A0B" w:rsidRDefault="002D7A0B" w:rsidP="008456D5">
      <w:pPr>
        <w:spacing w:before="0" w:after="0"/>
      </w:pPr>
      <w:r>
        <w:continuationSeparator/>
      </w:r>
    </w:p>
  </w:footnote>
  <w:footnote w:type="continuationNotice" w:id="1">
    <w:p w14:paraId="5B9EBD41" w14:textId="77777777" w:rsidR="002D7A0B" w:rsidRDefault="002D7A0B">
      <w:pPr>
        <w:spacing w:before="0" w:after="0"/>
      </w:pPr>
    </w:p>
  </w:footnote>
  <w:footnote w:id="2">
    <w:p w14:paraId="6923E469" w14:textId="77777777" w:rsidR="002D7A0B" w:rsidRDefault="002D7A0B" w:rsidP="0017272A">
      <w:pPr>
        <w:pStyle w:val="FootnoteText"/>
      </w:pPr>
      <w:r>
        <w:rPr>
          <w:rStyle w:val="FootnoteReference"/>
        </w:rPr>
        <w:footnoteRef/>
      </w:r>
      <w:r>
        <w:tab/>
        <w:t xml:space="preserve">This includes a current or former APS employee </w:t>
      </w:r>
      <w:r w:rsidRPr="00B64020">
        <w:t>or contracted service provider</w:t>
      </w:r>
      <w:r>
        <w:t xml:space="preserve">: see section 69 of the </w:t>
      </w:r>
      <w:r w:rsidRPr="00443726">
        <w:rPr>
          <w:szCs w:val="24"/>
        </w:rPr>
        <w:t>PID Act</w:t>
      </w:r>
      <w:r>
        <w:t>.  A person may be "deemed" to be a public official by an authorised officer.</w:t>
      </w:r>
    </w:p>
  </w:footnote>
  <w:footnote w:id="3">
    <w:p w14:paraId="20FE8842" w14:textId="77777777" w:rsidR="002D7A0B" w:rsidRDefault="002D7A0B" w:rsidP="0017272A">
      <w:pPr>
        <w:pStyle w:val="FootnoteText"/>
      </w:pPr>
      <w:r>
        <w:rPr>
          <w:rStyle w:val="FootnoteReference"/>
        </w:rPr>
        <w:footnoteRef/>
      </w:r>
      <w:r>
        <w:t xml:space="preserve"> </w:t>
      </w:r>
      <w:r>
        <w:tab/>
        <w:t xml:space="preserve">What does and does not constitute disclosable conduct is defined in sections 29-33 of the </w:t>
      </w:r>
      <w:r w:rsidRPr="00443726">
        <w:rPr>
          <w:szCs w:val="24"/>
        </w:rPr>
        <w:t>PID Act</w:t>
      </w:r>
      <w:r>
        <w:t>.</w:t>
      </w:r>
    </w:p>
  </w:footnote>
  <w:footnote w:id="4">
    <w:p w14:paraId="1D14BF71" w14:textId="77777777" w:rsidR="002D7A0B" w:rsidRDefault="002D7A0B" w:rsidP="0017272A">
      <w:pPr>
        <w:pStyle w:val="FootnoteText"/>
      </w:pPr>
      <w:r>
        <w:rPr>
          <w:rStyle w:val="FootnoteReference"/>
        </w:rPr>
        <w:footnoteRef/>
      </w:r>
      <w:r>
        <w:tab/>
        <w:t xml:space="preserve">Generally, to constitute a PID, the disclosure must first be made to an "authorised internal recipient" or a supervisor of the discloser as defined in sections 34 and 8 (respectively) of the PID Act.  In some limited circumstances, a disclosure can be made to an external party.  The PID Act sets out strict requirements which must be met for such external disclosures to be afforded the protections contained in the PID Act: see section 26 of the </w:t>
      </w:r>
      <w:r w:rsidRPr="00443726">
        <w:rPr>
          <w:szCs w:val="24"/>
        </w:rPr>
        <w:t>PID Act</w:t>
      </w:r>
      <w:r>
        <w:t>.</w:t>
      </w:r>
    </w:p>
  </w:footnote>
  <w:footnote w:id="5">
    <w:p w14:paraId="37736042" w14:textId="77777777" w:rsidR="002D7A0B" w:rsidRDefault="002D7A0B" w:rsidP="002F30B6">
      <w:pPr>
        <w:pStyle w:val="FootnoteText"/>
      </w:pPr>
      <w:r>
        <w:rPr>
          <w:rStyle w:val="FootnoteReference"/>
        </w:rPr>
        <w:footnoteRef/>
      </w:r>
      <w:r>
        <w:t xml:space="preserve"> </w:t>
      </w:r>
      <w:r>
        <w:tab/>
        <w:t xml:space="preserve">For example, the </w:t>
      </w:r>
      <w:r>
        <w:rPr>
          <w:i/>
          <w:iCs/>
        </w:rPr>
        <w:t>Public Interest Disclosure Rules 2019</w:t>
      </w:r>
      <w:r>
        <w:t>, which prescribes the Australian Securities and Investments Commission for the purposes of subsection 72(1)(p)(ii) of the PID Act.</w:t>
      </w:r>
    </w:p>
  </w:footnote>
  <w:footnote w:id="6">
    <w:p w14:paraId="60408803" w14:textId="77777777" w:rsidR="002D7A0B" w:rsidRDefault="002D7A0B" w:rsidP="002F30B6">
      <w:pPr>
        <w:pStyle w:val="FootnoteText"/>
      </w:pPr>
      <w:r>
        <w:rPr>
          <w:rStyle w:val="FootnoteReference"/>
        </w:rPr>
        <w:footnoteRef/>
      </w:r>
      <w:r>
        <w:t xml:space="preserve"> </w:t>
      </w:r>
      <w:r>
        <w:tab/>
        <w:t>PID Act, section 44(5)(a)(ii)-(iv).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13E3" w14:textId="763FB160" w:rsidR="002D7A0B" w:rsidRDefault="003D395E" w:rsidP="00180B5B">
    <w:pPr>
      <w:pStyle w:val="Header"/>
      <w:spacing w:after="1320"/>
      <w:jc w:val="left"/>
    </w:pPr>
    <w:r>
      <w:fldChar w:fldCharType="begin"/>
    </w:r>
    <w:r>
      <w:instrText xml:space="preserve"> STYLEREF  "Heading 1" \l  \* MERGEFORMAT </w:instrText>
    </w:r>
    <w:r>
      <w:fldChar w:fldCharType="separate"/>
    </w:r>
    <w:r w:rsidR="002D7A0B">
      <w:rPr>
        <w:noProof/>
      </w:rPr>
      <w:t>Introductory Matters</w:t>
    </w:r>
    <w:r>
      <w:rPr>
        <w:noProof/>
      </w:rPr>
      <w:fldChar w:fldCharType="end"/>
    </w:r>
  </w:p>
  <w:p w14:paraId="3667CBF9" w14:textId="77777777" w:rsidR="002D7A0B" w:rsidRDefault="002D7A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C6DD" w14:textId="77777777" w:rsidR="002D7A0B" w:rsidRDefault="002D7A0B" w:rsidP="00D2335F">
    <w:pPr>
      <w:framePr w:w="11907" w:h="3062" w:wrap="around" w:vAnchor="page" w:hAnchor="page" w:x="12" w:yAlign="top" w:anchorLock="1"/>
      <w:spacing w:before="0" w:after="400"/>
    </w:pPr>
    <w:bookmarkStart w:id="7" w:name="_Hlk148680551"/>
    <w:bookmarkStart w:id="8" w:name="_Hlk168414111"/>
    <w:bookmarkStart w:id="9" w:name="_Hlk168414112"/>
    <w:r>
      <w:rPr>
        <w:noProof/>
      </w:rPr>
      <w:drawing>
        <wp:inline distT="0" distB="0" distL="0" distR="0" wp14:anchorId="7D581614" wp14:editId="3753FFB7">
          <wp:extent cx="7553115" cy="19431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7"/>
  <w:p w14:paraId="2892CFB9" w14:textId="77777777" w:rsidR="002D7A0B" w:rsidRDefault="002D7A0B" w:rsidP="00652D67">
    <w:pPr>
      <w:framePr w:w="6237" w:h="1134" w:hSpace="181" w:wrap="around" w:vAnchor="page" w:hAnchor="page" w:x="1022" w:y="1135" w:anchorLock="1"/>
      <w:spacing w:after="0"/>
    </w:pPr>
    <w:r>
      <w:rPr>
        <w:noProof/>
      </w:rPr>
      <w:drawing>
        <wp:inline distT="0" distB="0" distL="0" distR="0" wp14:anchorId="2C85F276" wp14:editId="29B370AF">
          <wp:extent cx="3646800" cy="669600"/>
          <wp:effectExtent l="0" t="0" r="0" b="0"/>
          <wp:docPr id="7" name="Picture 7"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bookmarkEnd w:id="8"/>
  <w:bookmarkEnd w:id="9"/>
  <w:p w14:paraId="2337B1F8" w14:textId="77777777" w:rsidR="002D7A0B" w:rsidRPr="0069753D" w:rsidRDefault="002D7A0B"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21331E"/>
    <w:multiLevelType w:val="multilevel"/>
    <w:tmpl w:val="1CC62114"/>
    <w:lvl w:ilvl="0">
      <w:start w:val="1"/>
      <w:numFmt w:val="decimal"/>
      <w:pStyle w:val="SCHEDULEAshurst"/>
      <w:suff w:val="nothing"/>
      <w:lvlText w:val="schedule %1"/>
      <w:lvlJc w:val="left"/>
      <w:pPr>
        <w:ind w:left="0" w:firstLine="0"/>
      </w:pPr>
      <w:rPr>
        <w:rFonts w:hint="default"/>
        <w:b/>
        <w:i w:val="0"/>
        <w:sz w:val="18"/>
        <w:u w:val="single"/>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3" w15:restartNumberingAfterBreak="0">
    <w:nsid w:val="0D621AED"/>
    <w:multiLevelType w:val="multilevel"/>
    <w:tmpl w:val="C2EED61A"/>
    <w:numStyleLink w:val="NumberedHeadings"/>
  </w:abstractNum>
  <w:abstractNum w:abstractNumId="4" w15:restartNumberingAfterBreak="0">
    <w:nsid w:val="10F77C36"/>
    <w:multiLevelType w:val="hybridMultilevel"/>
    <w:tmpl w:val="EABE370C"/>
    <w:lvl w:ilvl="0" w:tplc="D0F6013E">
      <w:start w:val="1"/>
      <w:numFmt w:val="bullet"/>
      <w:pStyle w:val="Bullet1Ashurst"/>
      <w:lvlText w:val=""/>
      <w:lvlJc w:val="left"/>
      <w:pPr>
        <w:tabs>
          <w:tab w:val="num" w:pos="1406"/>
        </w:tabs>
        <w:ind w:left="1406" w:hanging="624"/>
      </w:pPr>
      <w:rPr>
        <w:rFonts w:ascii="Symbol" w:hAnsi="Symbol" w:hint="default"/>
        <w:b w:val="0"/>
        <w:i w:val="0"/>
        <w:color w:val="auto"/>
        <w:sz w:val="18"/>
        <w:szCs w:val="18"/>
      </w:rPr>
    </w:lvl>
    <w:lvl w:ilvl="1" w:tplc="DF84702C">
      <w:start w:val="1"/>
      <w:numFmt w:val="bullet"/>
      <w:lvlText w:val="o"/>
      <w:lvlJc w:val="left"/>
      <w:pPr>
        <w:tabs>
          <w:tab w:val="num" w:pos="1440"/>
        </w:tabs>
        <w:ind w:left="1440" w:hanging="360"/>
      </w:pPr>
      <w:rPr>
        <w:rFonts w:ascii="Courier New" w:hAnsi="Courier New" w:cs="Courier New" w:hint="default"/>
      </w:rPr>
    </w:lvl>
    <w:lvl w:ilvl="2" w:tplc="CE6CC316">
      <w:start w:val="1"/>
      <w:numFmt w:val="bullet"/>
      <w:lvlText w:val=""/>
      <w:lvlJc w:val="left"/>
      <w:pPr>
        <w:tabs>
          <w:tab w:val="num" w:pos="2160"/>
        </w:tabs>
        <w:ind w:left="2160" w:hanging="360"/>
      </w:pPr>
      <w:rPr>
        <w:rFonts w:ascii="Wingdings" w:hAnsi="Wingdings" w:hint="default"/>
      </w:rPr>
    </w:lvl>
    <w:lvl w:ilvl="3" w:tplc="B14082B0">
      <w:start w:val="1"/>
      <w:numFmt w:val="bullet"/>
      <w:lvlText w:val=""/>
      <w:lvlJc w:val="left"/>
      <w:pPr>
        <w:tabs>
          <w:tab w:val="num" w:pos="2880"/>
        </w:tabs>
        <w:ind w:left="2880" w:hanging="360"/>
      </w:pPr>
      <w:rPr>
        <w:rFonts w:ascii="Symbol" w:hAnsi="Symbol" w:hint="default"/>
      </w:rPr>
    </w:lvl>
    <w:lvl w:ilvl="4" w:tplc="13E6D18C" w:tentative="1">
      <w:start w:val="1"/>
      <w:numFmt w:val="bullet"/>
      <w:lvlText w:val="o"/>
      <w:lvlJc w:val="left"/>
      <w:pPr>
        <w:tabs>
          <w:tab w:val="num" w:pos="3600"/>
        </w:tabs>
        <w:ind w:left="3600" w:hanging="360"/>
      </w:pPr>
      <w:rPr>
        <w:rFonts w:ascii="Courier New" w:hAnsi="Courier New" w:cs="Courier New" w:hint="default"/>
      </w:rPr>
    </w:lvl>
    <w:lvl w:ilvl="5" w:tplc="A40861D6" w:tentative="1">
      <w:start w:val="1"/>
      <w:numFmt w:val="bullet"/>
      <w:lvlText w:val=""/>
      <w:lvlJc w:val="left"/>
      <w:pPr>
        <w:tabs>
          <w:tab w:val="num" w:pos="4320"/>
        </w:tabs>
        <w:ind w:left="4320" w:hanging="360"/>
      </w:pPr>
      <w:rPr>
        <w:rFonts w:ascii="Wingdings" w:hAnsi="Wingdings" w:hint="default"/>
      </w:rPr>
    </w:lvl>
    <w:lvl w:ilvl="6" w:tplc="C15ED702" w:tentative="1">
      <w:start w:val="1"/>
      <w:numFmt w:val="bullet"/>
      <w:lvlText w:val=""/>
      <w:lvlJc w:val="left"/>
      <w:pPr>
        <w:tabs>
          <w:tab w:val="num" w:pos="5040"/>
        </w:tabs>
        <w:ind w:left="5040" w:hanging="360"/>
      </w:pPr>
      <w:rPr>
        <w:rFonts w:ascii="Symbol" w:hAnsi="Symbol" w:hint="default"/>
      </w:rPr>
    </w:lvl>
    <w:lvl w:ilvl="7" w:tplc="DFA67938" w:tentative="1">
      <w:start w:val="1"/>
      <w:numFmt w:val="bullet"/>
      <w:lvlText w:val="o"/>
      <w:lvlJc w:val="left"/>
      <w:pPr>
        <w:tabs>
          <w:tab w:val="num" w:pos="5760"/>
        </w:tabs>
        <w:ind w:left="5760" w:hanging="360"/>
      </w:pPr>
      <w:rPr>
        <w:rFonts w:ascii="Courier New" w:hAnsi="Courier New" w:cs="Courier New" w:hint="default"/>
      </w:rPr>
    </w:lvl>
    <w:lvl w:ilvl="8" w:tplc="C4EE65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AA51938"/>
    <w:multiLevelType w:val="multilevel"/>
    <w:tmpl w:val="298C34E4"/>
    <w:numStyleLink w:val="AppendixNumbers"/>
  </w:abstractNum>
  <w:abstractNum w:abstractNumId="7" w15:restartNumberingAfterBreak="0">
    <w:nsid w:val="3BD63E2A"/>
    <w:multiLevelType w:val="multilevel"/>
    <w:tmpl w:val="3968B2F4"/>
    <w:lvl w:ilvl="0">
      <w:numFmt w:val="bullet"/>
      <w:lvlText w:val="·"/>
      <w:lvlJc w:val="left"/>
      <w:pPr>
        <w:tabs>
          <w:tab w:val="left" w:pos="288"/>
        </w:tabs>
        <w:ind w:left="0" w:firstLine="0"/>
      </w:pPr>
      <w:rPr>
        <w:rFonts w:ascii="Symbol" w:eastAsia="Symbol" w:hAnsi="Symbol"/>
        <w:color w:val="000000"/>
        <w:spacing w:val="-2"/>
        <w:w w:val="100"/>
        <w:sz w:val="18"/>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F4B3ADF"/>
    <w:multiLevelType w:val="multilevel"/>
    <w:tmpl w:val="56185A56"/>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06"/>
        </w:tabs>
        <w:ind w:left="1406" w:hanging="624"/>
      </w:pPr>
      <w:rPr>
        <w:rFonts w:hint="default"/>
        <w:b w:val="0"/>
        <w:bCs/>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792B61"/>
    <w:multiLevelType w:val="hybridMultilevel"/>
    <w:tmpl w:val="AA02C10E"/>
    <w:lvl w:ilvl="0" w:tplc="B47A5CA2">
      <w:start w:val="1"/>
      <w:numFmt w:val="decimal"/>
      <w:pStyle w:val="PartiesAshurst"/>
      <w:lvlText w:val="(%1)"/>
      <w:lvlJc w:val="left"/>
      <w:pPr>
        <w:tabs>
          <w:tab w:val="num" w:pos="782"/>
        </w:tabs>
        <w:ind w:left="782" w:hanging="782"/>
      </w:pPr>
      <w:rPr>
        <w:rFonts w:hint="default"/>
        <w:b w:val="0"/>
        <w:i w:val="0"/>
        <w:sz w:val="18"/>
        <w:szCs w:val="18"/>
      </w:rPr>
    </w:lvl>
    <w:lvl w:ilvl="1" w:tplc="13E6A9E8" w:tentative="1">
      <w:start w:val="1"/>
      <w:numFmt w:val="lowerLetter"/>
      <w:lvlText w:val="%2."/>
      <w:lvlJc w:val="left"/>
      <w:pPr>
        <w:tabs>
          <w:tab w:val="num" w:pos="1440"/>
        </w:tabs>
        <w:ind w:left="1440" w:hanging="360"/>
      </w:pPr>
    </w:lvl>
    <w:lvl w:ilvl="2" w:tplc="9FB46BFA" w:tentative="1">
      <w:start w:val="1"/>
      <w:numFmt w:val="lowerRoman"/>
      <w:lvlText w:val="%3."/>
      <w:lvlJc w:val="right"/>
      <w:pPr>
        <w:tabs>
          <w:tab w:val="num" w:pos="2160"/>
        </w:tabs>
        <w:ind w:left="2160" w:hanging="180"/>
      </w:pPr>
    </w:lvl>
    <w:lvl w:ilvl="3" w:tplc="D9704828" w:tentative="1">
      <w:start w:val="1"/>
      <w:numFmt w:val="decimal"/>
      <w:lvlText w:val="%4."/>
      <w:lvlJc w:val="left"/>
      <w:pPr>
        <w:tabs>
          <w:tab w:val="num" w:pos="2880"/>
        </w:tabs>
        <w:ind w:left="2880" w:hanging="360"/>
      </w:pPr>
    </w:lvl>
    <w:lvl w:ilvl="4" w:tplc="8FFEA374" w:tentative="1">
      <w:start w:val="1"/>
      <w:numFmt w:val="lowerLetter"/>
      <w:lvlText w:val="%5."/>
      <w:lvlJc w:val="left"/>
      <w:pPr>
        <w:tabs>
          <w:tab w:val="num" w:pos="3600"/>
        </w:tabs>
        <w:ind w:left="3600" w:hanging="360"/>
      </w:pPr>
    </w:lvl>
    <w:lvl w:ilvl="5" w:tplc="1E8401FC" w:tentative="1">
      <w:start w:val="1"/>
      <w:numFmt w:val="lowerRoman"/>
      <w:lvlText w:val="%6."/>
      <w:lvlJc w:val="right"/>
      <w:pPr>
        <w:tabs>
          <w:tab w:val="num" w:pos="4320"/>
        </w:tabs>
        <w:ind w:left="4320" w:hanging="180"/>
      </w:pPr>
    </w:lvl>
    <w:lvl w:ilvl="6" w:tplc="7E285F34" w:tentative="1">
      <w:start w:val="1"/>
      <w:numFmt w:val="decimal"/>
      <w:lvlText w:val="%7."/>
      <w:lvlJc w:val="left"/>
      <w:pPr>
        <w:tabs>
          <w:tab w:val="num" w:pos="5040"/>
        </w:tabs>
        <w:ind w:left="5040" w:hanging="360"/>
      </w:pPr>
    </w:lvl>
    <w:lvl w:ilvl="7" w:tplc="D01AEB6E" w:tentative="1">
      <w:start w:val="1"/>
      <w:numFmt w:val="lowerLetter"/>
      <w:lvlText w:val="%8."/>
      <w:lvlJc w:val="left"/>
      <w:pPr>
        <w:tabs>
          <w:tab w:val="num" w:pos="5760"/>
        </w:tabs>
        <w:ind w:left="5760" w:hanging="360"/>
      </w:pPr>
    </w:lvl>
    <w:lvl w:ilvl="8" w:tplc="699E4E14" w:tentative="1">
      <w:start w:val="1"/>
      <w:numFmt w:val="lowerRoman"/>
      <w:lvlText w:val="%9."/>
      <w:lvlJc w:val="right"/>
      <w:pPr>
        <w:tabs>
          <w:tab w:val="num" w:pos="6480"/>
        </w:tabs>
        <w:ind w:left="6480" w:hanging="180"/>
      </w:pPr>
    </w:lvl>
  </w:abstractNum>
  <w:abstractNum w:abstractNumId="1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5"/>
  </w:num>
  <w:num w:numId="10">
    <w:abstractNumId w:val="6"/>
  </w:num>
  <w:num w:numId="11">
    <w:abstractNumId w:val="11"/>
  </w:num>
  <w:num w:numId="12">
    <w:abstractNumId w:val="12"/>
  </w:num>
  <w:num w:numId="13">
    <w:abstractNumId w:val="12"/>
  </w:num>
  <w:num w:numId="14">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num>
  <w:num w:numId="17">
    <w:abstractNumId w:val="10"/>
  </w:num>
  <w:num w:numId="18">
    <w:abstractNumId w:val="0"/>
  </w:num>
  <w:num w:numId="19">
    <w:abstractNumId w:val="2"/>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368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59"/>
    <w:rsid w:val="0001430B"/>
    <w:rsid w:val="00024E97"/>
    <w:rsid w:val="000341E0"/>
    <w:rsid w:val="00042C63"/>
    <w:rsid w:val="00052D50"/>
    <w:rsid w:val="00060354"/>
    <w:rsid w:val="00062740"/>
    <w:rsid w:val="00067445"/>
    <w:rsid w:val="00072740"/>
    <w:rsid w:val="0008610B"/>
    <w:rsid w:val="0009564F"/>
    <w:rsid w:val="000B08D1"/>
    <w:rsid w:val="000C03B5"/>
    <w:rsid w:val="000D5A72"/>
    <w:rsid w:val="000E24BA"/>
    <w:rsid w:val="000E5674"/>
    <w:rsid w:val="000E7E9F"/>
    <w:rsid w:val="000F4B1B"/>
    <w:rsid w:val="00102480"/>
    <w:rsid w:val="00105749"/>
    <w:rsid w:val="00107331"/>
    <w:rsid w:val="001109C3"/>
    <w:rsid w:val="001349C6"/>
    <w:rsid w:val="00140888"/>
    <w:rsid w:val="0014769A"/>
    <w:rsid w:val="001606C9"/>
    <w:rsid w:val="00163F06"/>
    <w:rsid w:val="001653B4"/>
    <w:rsid w:val="001662E7"/>
    <w:rsid w:val="0017272A"/>
    <w:rsid w:val="00180B5B"/>
    <w:rsid w:val="00182A6F"/>
    <w:rsid w:val="00187420"/>
    <w:rsid w:val="001B00CE"/>
    <w:rsid w:val="001B2B32"/>
    <w:rsid w:val="001C1989"/>
    <w:rsid w:val="001D0282"/>
    <w:rsid w:val="001D59C0"/>
    <w:rsid w:val="001D659E"/>
    <w:rsid w:val="001E1D59"/>
    <w:rsid w:val="0020028C"/>
    <w:rsid w:val="00203702"/>
    <w:rsid w:val="002179CC"/>
    <w:rsid w:val="00222611"/>
    <w:rsid w:val="002229F7"/>
    <w:rsid w:val="00223A03"/>
    <w:rsid w:val="00224BE3"/>
    <w:rsid w:val="002254D5"/>
    <w:rsid w:val="0022611D"/>
    <w:rsid w:val="00234E65"/>
    <w:rsid w:val="00260E3D"/>
    <w:rsid w:val="0026422D"/>
    <w:rsid w:val="00266955"/>
    <w:rsid w:val="00274EAD"/>
    <w:rsid w:val="002773D1"/>
    <w:rsid w:val="00284164"/>
    <w:rsid w:val="002959FB"/>
    <w:rsid w:val="002A1C3D"/>
    <w:rsid w:val="002A68A3"/>
    <w:rsid w:val="002B3569"/>
    <w:rsid w:val="002B6571"/>
    <w:rsid w:val="002B7197"/>
    <w:rsid w:val="002D233D"/>
    <w:rsid w:val="002D31E0"/>
    <w:rsid w:val="002D7A0B"/>
    <w:rsid w:val="002E1ADA"/>
    <w:rsid w:val="002F1DB2"/>
    <w:rsid w:val="002F30B6"/>
    <w:rsid w:val="002F7111"/>
    <w:rsid w:val="002F7325"/>
    <w:rsid w:val="00316ACD"/>
    <w:rsid w:val="003720E9"/>
    <w:rsid w:val="00372DCC"/>
    <w:rsid w:val="003767E2"/>
    <w:rsid w:val="0038444F"/>
    <w:rsid w:val="003A1BA8"/>
    <w:rsid w:val="003A45FB"/>
    <w:rsid w:val="003A6EC6"/>
    <w:rsid w:val="003C625A"/>
    <w:rsid w:val="003D289E"/>
    <w:rsid w:val="003D395E"/>
    <w:rsid w:val="003E16B6"/>
    <w:rsid w:val="003F1371"/>
    <w:rsid w:val="003F775D"/>
    <w:rsid w:val="004061E0"/>
    <w:rsid w:val="00420F04"/>
    <w:rsid w:val="00427326"/>
    <w:rsid w:val="00430511"/>
    <w:rsid w:val="00436294"/>
    <w:rsid w:val="004405CC"/>
    <w:rsid w:val="00450D0E"/>
    <w:rsid w:val="00454FED"/>
    <w:rsid w:val="00456078"/>
    <w:rsid w:val="00477E77"/>
    <w:rsid w:val="0048292A"/>
    <w:rsid w:val="00483596"/>
    <w:rsid w:val="0049153B"/>
    <w:rsid w:val="0049392B"/>
    <w:rsid w:val="004A4EB9"/>
    <w:rsid w:val="004C22AA"/>
    <w:rsid w:val="004C3600"/>
    <w:rsid w:val="004D25C5"/>
    <w:rsid w:val="004E1EB0"/>
    <w:rsid w:val="004F41A7"/>
    <w:rsid w:val="004F705B"/>
    <w:rsid w:val="004F77AA"/>
    <w:rsid w:val="00513351"/>
    <w:rsid w:val="00526674"/>
    <w:rsid w:val="00526CD7"/>
    <w:rsid w:val="00541213"/>
    <w:rsid w:val="00546218"/>
    <w:rsid w:val="0054763D"/>
    <w:rsid w:val="005653A9"/>
    <w:rsid w:val="00572907"/>
    <w:rsid w:val="0057419C"/>
    <w:rsid w:val="00580E6C"/>
    <w:rsid w:val="00582A04"/>
    <w:rsid w:val="005840AA"/>
    <w:rsid w:val="005856BD"/>
    <w:rsid w:val="005912BE"/>
    <w:rsid w:val="00597181"/>
    <w:rsid w:val="005A527E"/>
    <w:rsid w:val="005D50BC"/>
    <w:rsid w:val="005E581B"/>
    <w:rsid w:val="005F794B"/>
    <w:rsid w:val="00607826"/>
    <w:rsid w:val="00611CC1"/>
    <w:rsid w:val="006124E0"/>
    <w:rsid w:val="00621D1B"/>
    <w:rsid w:val="006335BA"/>
    <w:rsid w:val="00652D67"/>
    <w:rsid w:val="00654131"/>
    <w:rsid w:val="006851B3"/>
    <w:rsid w:val="00686370"/>
    <w:rsid w:val="00686A7B"/>
    <w:rsid w:val="00695A33"/>
    <w:rsid w:val="006A0F8A"/>
    <w:rsid w:val="006A266A"/>
    <w:rsid w:val="006A61D0"/>
    <w:rsid w:val="006B1647"/>
    <w:rsid w:val="006E1ECA"/>
    <w:rsid w:val="006E2A0E"/>
    <w:rsid w:val="006F42E5"/>
    <w:rsid w:val="00701FB3"/>
    <w:rsid w:val="00722B9D"/>
    <w:rsid w:val="0073163D"/>
    <w:rsid w:val="00735C8A"/>
    <w:rsid w:val="007A05BE"/>
    <w:rsid w:val="007A0CD1"/>
    <w:rsid w:val="007C2AF2"/>
    <w:rsid w:val="007D0859"/>
    <w:rsid w:val="007D7CD4"/>
    <w:rsid w:val="007E40AE"/>
    <w:rsid w:val="0080482C"/>
    <w:rsid w:val="008067A1"/>
    <w:rsid w:val="00823E03"/>
    <w:rsid w:val="00833543"/>
    <w:rsid w:val="00835773"/>
    <w:rsid w:val="00840953"/>
    <w:rsid w:val="008456D5"/>
    <w:rsid w:val="0084634B"/>
    <w:rsid w:val="008500E4"/>
    <w:rsid w:val="008559F4"/>
    <w:rsid w:val="00884E68"/>
    <w:rsid w:val="00893C2F"/>
    <w:rsid w:val="008A1887"/>
    <w:rsid w:val="008A2A8F"/>
    <w:rsid w:val="008A3222"/>
    <w:rsid w:val="008A3E38"/>
    <w:rsid w:val="008B2D99"/>
    <w:rsid w:val="008B3901"/>
    <w:rsid w:val="008B6A81"/>
    <w:rsid w:val="008C1C69"/>
    <w:rsid w:val="008C54AD"/>
    <w:rsid w:val="008C69F3"/>
    <w:rsid w:val="008E2A0D"/>
    <w:rsid w:val="00924CF8"/>
    <w:rsid w:val="0092698A"/>
    <w:rsid w:val="00946BCD"/>
    <w:rsid w:val="00981F9A"/>
    <w:rsid w:val="009909EC"/>
    <w:rsid w:val="0099647D"/>
    <w:rsid w:val="00996B8C"/>
    <w:rsid w:val="009B00F2"/>
    <w:rsid w:val="009D6C76"/>
    <w:rsid w:val="009E58BF"/>
    <w:rsid w:val="009E7E52"/>
    <w:rsid w:val="009F0F2E"/>
    <w:rsid w:val="00A070A2"/>
    <w:rsid w:val="00A103B6"/>
    <w:rsid w:val="00A146EE"/>
    <w:rsid w:val="00A50FDE"/>
    <w:rsid w:val="00A55479"/>
    <w:rsid w:val="00A70111"/>
    <w:rsid w:val="00A75C59"/>
    <w:rsid w:val="00A84ADF"/>
    <w:rsid w:val="00A95970"/>
    <w:rsid w:val="00AA36AE"/>
    <w:rsid w:val="00AA72D4"/>
    <w:rsid w:val="00AB3238"/>
    <w:rsid w:val="00AB5706"/>
    <w:rsid w:val="00AC4537"/>
    <w:rsid w:val="00AD4EF7"/>
    <w:rsid w:val="00AD7703"/>
    <w:rsid w:val="00AE1A3E"/>
    <w:rsid w:val="00AE4F99"/>
    <w:rsid w:val="00B0484D"/>
    <w:rsid w:val="00B359E4"/>
    <w:rsid w:val="00B42AC2"/>
    <w:rsid w:val="00B666D4"/>
    <w:rsid w:val="00B778EA"/>
    <w:rsid w:val="00B800E2"/>
    <w:rsid w:val="00B9430D"/>
    <w:rsid w:val="00BB266D"/>
    <w:rsid w:val="00BB3AAC"/>
    <w:rsid w:val="00BB5A02"/>
    <w:rsid w:val="00BB68A9"/>
    <w:rsid w:val="00BE198C"/>
    <w:rsid w:val="00BE3AD8"/>
    <w:rsid w:val="00BE5DEC"/>
    <w:rsid w:val="00BF19D6"/>
    <w:rsid w:val="00BF4718"/>
    <w:rsid w:val="00C0455C"/>
    <w:rsid w:val="00C10346"/>
    <w:rsid w:val="00C15F0D"/>
    <w:rsid w:val="00C178F7"/>
    <w:rsid w:val="00C27C02"/>
    <w:rsid w:val="00C54F9F"/>
    <w:rsid w:val="00C5653D"/>
    <w:rsid w:val="00C57766"/>
    <w:rsid w:val="00C60146"/>
    <w:rsid w:val="00C748C0"/>
    <w:rsid w:val="00C76D5B"/>
    <w:rsid w:val="00CA5666"/>
    <w:rsid w:val="00CA7041"/>
    <w:rsid w:val="00CC0105"/>
    <w:rsid w:val="00CC4FDE"/>
    <w:rsid w:val="00CD233E"/>
    <w:rsid w:val="00CD42C9"/>
    <w:rsid w:val="00CD6739"/>
    <w:rsid w:val="00CE3757"/>
    <w:rsid w:val="00CF6CFD"/>
    <w:rsid w:val="00CF763F"/>
    <w:rsid w:val="00CF78A5"/>
    <w:rsid w:val="00D02062"/>
    <w:rsid w:val="00D23311"/>
    <w:rsid w:val="00D2335F"/>
    <w:rsid w:val="00D26896"/>
    <w:rsid w:val="00D3125C"/>
    <w:rsid w:val="00D42263"/>
    <w:rsid w:val="00D427ED"/>
    <w:rsid w:val="00D55FFA"/>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37013"/>
    <w:rsid w:val="00E51F03"/>
    <w:rsid w:val="00E5444D"/>
    <w:rsid w:val="00E55BB2"/>
    <w:rsid w:val="00E63ED3"/>
    <w:rsid w:val="00E70F26"/>
    <w:rsid w:val="00E73A37"/>
    <w:rsid w:val="00E800D9"/>
    <w:rsid w:val="00E94FDD"/>
    <w:rsid w:val="00E95BA5"/>
    <w:rsid w:val="00EA3028"/>
    <w:rsid w:val="00EA5F31"/>
    <w:rsid w:val="00EB443C"/>
    <w:rsid w:val="00EC3686"/>
    <w:rsid w:val="00EE65C6"/>
    <w:rsid w:val="00EF228F"/>
    <w:rsid w:val="00EF7FF3"/>
    <w:rsid w:val="00F11869"/>
    <w:rsid w:val="00F1428D"/>
    <w:rsid w:val="00F472C5"/>
    <w:rsid w:val="00F66914"/>
    <w:rsid w:val="00F67CDB"/>
    <w:rsid w:val="00F87230"/>
    <w:rsid w:val="00FB2CED"/>
    <w:rsid w:val="00FB3D43"/>
    <w:rsid w:val="00FB5D36"/>
    <w:rsid w:val="00FC32B2"/>
    <w:rsid w:val="00FC34AF"/>
    <w:rsid w:val="00FC4AF9"/>
    <w:rsid w:val="00FD3C20"/>
    <w:rsid w:val="00FF4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65F6CF2"/>
  <w15:chartTrackingRefBased/>
  <w15:docId w15:val="{1C37173F-467D-4D7B-BFF0-F994B7C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8"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13"/>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13"/>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3"/>
      </w:numPr>
    </w:pPr>
  </w:style>
  <w:style w:type="numbering" w:customStyle="1" w:styleId="ListNumbered">
    <w:name w:val="List Numbered"/>
    <w:uiPriority w:val="99"/>
    <w:rsid w:val="00477E77"/>
    <w:pPr>
      <w:numPr>
        <w:numId w:val="5"/>
      </w:numPr>
    </w:pPr>
  </w:style>
  <w:style w:type="paragraph" w:customStyle="1" w:styleId="Heading1Numbered">
    <w:name w:val="Heading 1 Numbered"/>
    <w:basedOn w:val="Heading1"/>
    <w:uiPriority w:val="10"/>
    <w:rsid w:val="003F775D"/>
    <w:pPr>
      <w:numPr>
        <w:numId w:val="8"/>
      </w:numPr>
    </w:pPr>
  </w:style>
  <w:style w:type="paragraph" w:customStyle="1" w:styleId="Heading2Numbered">
    <w:name w:val="Heading 2 Numbered"/>
    <w:basedOn w:val="Heading2"/>
    <w:uiPriority w:val="10"/>
    <w:rsid w:val="003F775D"/>
    <w:pPr>
      <w:numPr>
        <w:ilvl w:val="1"/>
        <w:numId w:val="8"/>
      </w:numPr>
    </w:pPr>
  </w:style>
  <w:style w:type="paragraph" w:customStyle="1" w:styleId="Heading3Numbered">
    <w:name w:val="Heading 3 Numbered"/>
    <w:basedOn w:val="Heading3"/>
    <w:uiPriority w:val="10"/>
    <w:rsid w:val="003F775D"/>
    <w:pPr>
      <w:numPr>
        <w:ilvl w:val="2"/>
        <w:numId w:val="8"/>
      </w:numPr>
    </w:pPr>
  </w:style>
  <w:style w:type="paragraph" w:customStyle="1" w:styleId="Heading4Numbered">
    <w:name w:val="Heading 4 Numbered"/>
    <w:basedOn w:val="Heading4"/>
    <w:uiPriority w:val="10"/>
    <w:rsid w:val="003F775D"/>
    <w:pPr>
      <w:numPr>
        <w:ilvl w:val="3"/>
        <w:numId w:val="8"/>
      </w:numPr>
    </w:pPr>
  </w:style>
  <w:style w:type="paragraph" w:customStyle="1" w:styleId="Heading5Numbered">
    <w:name w:val="Heading 5 Numbered"/>
    <w:basedOn w:val="Heading5"/>
    <w:uiPriority w:val="10"/>
    <w:rsid w:val="003F775D"/>
    <w:pPr>
      <w:numPr>
        <w:ilvl w:val="4"/>
        <w:numId w:val="8"/>
      </w:numPr>
    </w:pPr>
  </w:style>
  <w:style w:type="numbering" w:customStyle="1" w:styleId="NumberedHeadings">
    <w:name w:val="Numbered Headings"/>
    <w:uiPriority w:val="99"/>
    <w:rsid w:val="003F775D"/>
    <w:pPr>
      <w:numPr>
        <w:numId w:val="7"/>
      </w:numPr>
    </w:pPr>
  </w:style>
  <w:style w:type="paragraph" w:customStyle="1" w:styleId="AppendixHeading1">
    <w:name w:val="Appendix Heading 1"/>
    <w:basedOn w:val="Heading1"/>
    <w:uiPriority w:val="11"/>
    <w:qFormat/>
    <w:rsid w:val="0001430B"/>
    <w:pPr>
      <w:numPr>
        <w:numId w:val="10"/>
      </w:numPr>
    </w:pPr>
  </w:style>
  <w:style w:type="paragraph" w:customStyle="1" w:styleId="AppendixHeading2">
    <w:name w:val="Appendix Heading 2"/>
    <w:basedOn w:val="Heading2"/>
    <w:uiPriority w:val="11"/>
    <w:rsid w:val="0001430B"/>
    <w:pPr>
      <w:numPr>
        <w:ilvl w:val="1"/>
        <w:numId w:val="10"/>
      </w:numPr>
    </w:pPr>
  </w:style>
  <w:style w:type="paragraph" w:customStyle="1" w:styleId="AttachmentHeading1">
    <w:name w:val="Attachment Heading 1"/>
    <w:basedOn w:val="Heading1"/>
    <w:uiPriority w:val="11"/>
    <w:qFormat/>
    <w:rsid w:val="0001430B"/>
    <w:pPr>
      <w:numPr>
        <w:numId w:val="11"/>
      </w:numPr>
    </w:pPr>
  </w:style>
  <w:style w:type="paragraph" w:customStyle="1" w:styleId="AttachmentHeading2">
    <w:name w:val="Attachment Heading 2"/>
    <w:basedOn w:val="Heading2"/>
    <w:uiPriority w:val="11"/>
    <w:rsid w:val="0001430B"/>
    <w:pPr>
      <w:numPr>
        <w:ilvl w:val="1"/>
        <w:numId w:val="11"/>
      </w:numPr>
    </w:pPr>
  </w:style>
  <w:style w:type="numbering" w:customStyle="1" w:styleId="AppendixNumbers">
    <w:name w:val="Appendix Numbers"/>
    <w:uiPriority w:val="99"/>
    <w:rsid w:val="0001430B"/>
    <w:pPr>
      <w:numPr>
        <w:numId w:val="9"/>
      </w:numPr>
    </w:pPr>
  </w:style>
  <w:style w:type="numbering" w:customStyle="1" w:styleId="AttachmentNumbers">
    <w:name w:val="Attachment Numbers"/>
    <w:uiPriority w:val="99"/>
    <w:rsid w:val="0001430B"/>
    <w:pPr>
      <w:numPr>
        <w:numId w:val="11"/>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13"/>
      </w:numPr>
    </w:pPr>
    <w:rPr>
      <w:kern w:val="12"/>
      <w:sz w:val="20"/>
      <w:szCs w:val="20"/>
    </w:rPr>
  </w:style>
  <w:style w:type="numbering" w:customStyle="1" w:styleId="BoxedBullets">
    <w:name w:val="Boxed Bullets"/>
    <w:uiPriority w:val="99"/>
    <w:rsid w:val="00430511"/>
    <w:pPr>
      <w:numPr>
        <w:numId w:val="12"/>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98"/>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paragraph" w:customStyle="1" w:styleId="PartiesAshurst">
    <w:name w:val="PartiesAshurst"/>
    <w:basedOn w:val="Normal"/>
    <w:uiPriority w:val="26"/>
    <w:rsid w:val="00E63ED3"/>
    <w:pPr>
      <w:numPr>
        <w:numId w:val="15"/>
      </w:numPr>
      <w:spacing w:before="0" w:after="220" w:line="264" w:lineRule="auto"/>
      <w:jc w:val="both"/>
      <w:outlineLvl w:val="0"/>
    </w:pPr>
    <w:rPr>
      <w:rFonts w:eastAsiaTheme="minorEastAsia"/>
      <w:color w:val="auto"/>
      <w:sz w:val="18"/>
      <w:szCs w:val="24"/>
      <w:lang w:eastAsia="zh-TW"/>
    </w:rPr>
  </w:style>
  <w:style w:type="paragraph" w:customStyle="1" w:styleId="B12Ashurst">
    <w:name w:val="B1&amp;2Ashurst"/>
    <w:basedOn w:val="Normal"/>
    <w:uiPriority w:val="2"/>
    <w:rsid w:val="00E63ED3"/>
    <w:pPr>
      <w:tabs>
        <w:tab w:val="left" w:pos="1406"/>
        <w:tab w:val="left" w:pos="2030"/>
        <w:tab w:val="left" w:pos="2654"/>
        <w:tab w:val="left" w:pos="3277"/>
        <w:tab w:val="left" w:pos="3901"/>
      </w:tabs>
      <w:spacing w:before="0" w:after="220" w:line="264" w:lineRule="auto"/>
      <w:ind w:left="782"/>
      <w:jc w:val="both"/>
    </w:pPr>
    <w:rPr>
      <w:rFonts w:eastAsiaTheme="minorEastAsia"/>
      <w:color w:val="auto"/>
      <w:sz w:val="18"/>
      <w:szCs w:val="24"/>
      <w:lang w:eastAsia="zh-TW"/>
    </w:rPr>
  </w:style>
  <w:style w:type="paragraph" w:customStyle="1" w:styleId="Level1fo">
    <w:name w:val="Level 1.fo"/>
    <w:basedOn w:val="Normal"/>
    <w:uiPriority w:val="4"/>
    <w:rsid w:val="00E63ED3"/>
    <w:pPr>
      <w:tabs>
        <w:tab w:val="left" w:pos="1406"/>
      </w:tabs>
      <w:suppressAutoHyphens w:val="0"/>
      <w:spacing w:before="0" w:after="220" w:line="264" w:lineRule="auto"/>
      <w:ind w:left="782"/>
      <w:jc w:val="both"/>
    </w:pPr>
    <w:rPr>
      <w:rFonts w:ascii="Verdana" w:hAnsi="Verdana"/>
      <w:color w:val="auto"/>
      <w:sz w:val="18"/>
      <w:szCs w:val="18"/>
    </w:rPr>
  </w:style>
  <w:style w:type="character" w:styleId="FollowedHyperlink">
    <w:name w:val="FollowedHyperlink"/>
    <w:basedOn w:val="DefaultParagraphFont"/>
    <w:uiPriority w:val="99"/>
    <w:semiHidden/>
    <w:unhideWhenUsed/>
    <w:rsid w:val="00E63ED3"/>
    <w:rPr>
      <w:color w:val="0046FF" w:themeColor="followedHyperlink"/>
      <w:u w:val="single"/>
    </w:rPr>
  </w:style>
  <w:style w:type="paragraph" w:customStyle="1" w:styleId="H1Ashurst">
    <w:name w:val="H1Ashurst"/>
    <w:basedOn w:val="Normal"/>
    <w:next w:val="B12Ashurst"/>
    <w:uiPriority w:val="1"/>
    <w:rsid w:val="0017272A"/>
    <w:pPr>
      <w:keepNext/>
      <w:numPr>
        <w:numId w:val="17"/>
      </w:numPr>
      <w:spacing w:before="0" w:after="220" w:line="264" w:lineRule="auto"/>
      <w:jc w:val="both"/>
      <w:outlineLvl w:val="0"/>
    </w:pPr>
    <w:rPr>
      <w:rFonts w:eastAsiaTheme="minorEastAsia"/>
      <w:b/>
      <w:caps/>
      <w:color w:val="auto"/>
      <w:sz w:val="18"/>
      <w:szCs w:val="24"/>
      <w:lang w:eastAsia="zh-TW"/>
    </w:rPr>
  </w:style>
  <w:style w:type="paragraph" w:customStyle="1" w:styleId="H2Ashurst">
    <w:name w:val="H2Ashurst"/>
    <w:basedOn w:val="Normal"/>
    <w:next w:val="B12Ashurst"/>
    <w:uiPriority w:val="1"/>
    <w:rsid w:val="0017272A"/>
    <w:pPr>
      <w:keepNext/>
      <w:numPr>
        <w:ilvl w:val="1"/>
        <w:numId w:val="17"/>
      </w:numPr>
      <w:spacing w:before="0" w:after="220" w:line="264" w:lineRule="auto"/>
      <w:jc w:val="both"/>
      <w:outlineLvl w:val="1"/>
    </w:pPr>
    <w:rPr>
      <w:rFonts w:eastAsiaTheme="minorEastAsia"/>
      <w:b/>
      <w:color w:val="auto"/>
      <w:sz w:val="18"/>
      <w:szCs w:val="24"/>
      <w:lang w:eastAsia="zh-TW"/>
    </w:rPr>
  </w:style>
  <w:style w:type="paragraph" w:customStyle="1" w:styleId="H3Ashurst">
    <w:name w:val="H3Ashurst"/>
    <w:basedOn w:val="Normal"/>
    <w:next w:val="Normal"/>
    <w:uiPriority w:val="1"/>
    <w:rsid w:val="0017272A"/>
    <w:pPr>
      <w:numPr>
        <w:ilvl w:val="2"/>
        <w:numId w:val="17"/>
      </w:numPr>
      <w:spacing w:before="0" w:after="220" w:line="264" w:lineRule="auto"/>
      <w:jc w:val="both"/>
      <w:outlineLvl w:val="2"/>
    </w:pPr>
    <w:rPr>
      <w:rFonts w:eastAsiaTheme="minorEastAsia"/>
      <w:color w:val="auto"/>
      <w:sz w:val="18"/>
      <w:szCs w:val="24"/>
      <w:lang w:eastAsia="zh-TW"/>
    </w:rPr>
  </w:style>
  <w:style w:type="paragraph" w:customStyle="1" w:styleId="H4Ashurst">
    <w:name w:val="H4Ashurst"/>
    <w:basedOn w:val="Normal"/>
    <w:next w:val="Normal"/>
    <w:uiPriority w:val="1"/>
    <w:rsid w:val="0017272A"/>
    <w:pPr>
      <w:numPr>
        <w:ilvl w:val="3"/>
        <w:numId w:val="17"/>
      </w:numPr>
      <w:spacing w:before="0" w:after="220" w:line="264" w:lineRule="auto"/>
      <w:jc w:val="both"/>
      <w:outlineLvl w:val="3"/>
    </w:pPr>
    <w:rPr>
      <w:rFonts w:eastAsiaTheme="minorEastAsia"/>
      <w:color w:val="auto"/>
      <w:sz w:val="18"/>
      <w:szCs w:val="24"/>
      <w:lang w:eastAsia="zh-TW"/>
    </w:rPr>
  </w:style>
  <w:style w:type="paragraph" w:customStyle="1" w:styleId="H5Ashurst">
    <w:name w:val="H5Ashurst"/>
    <w:basedOn w:val="Normal"/>
    <w:next w:val="Normal"/>
    <w:uiPriority w:val="1"/>
    <w:rsid w:val="0017272A"/>
    <w:pPr>
      <w:numPr>
        <w:ilvl w:val="4"/>
        <w:numId w:val="17"/>
      </w:numPr>
      <w:spacing w:before="0" w:after="220" w:line="264" w:lineRule="auto"/>
      <w:jc w:val="both"/>
      <w:outlineLvl w:val="4"/>
    </w:pPr>
    <w:rPr>
      <w:rFonts w:eastAsiaTheme="minorEastAsia"/>
      <w:color w:val="auto"/>
      <w:sz w:val="18"/>
      <w:szCs w:val="24"/>
      <w:lang w:eastAsia="zh-TW"/>
    </w:rPr>
  </w:style>
  <w:style w:type="paragraph" w:customStyle="1" w:styleId="H6Ashurst">
    <w:name w:val="H6Ashurst"/>
    <w:basedOn w:val="Normal"/>
    <w:next w:val="Normal"/>
    <w:uiPriority w:val="38"/>
    <w:rsid w:val="0017272A"/>
    <w:pPr>
      <w:numPr>
        <w:ilvl w:val="5"/>
        <w:numId w:val="17"/>
      </w:numPr>
      <w:spacing w:before="0" w:after="220" w:line="264" w:lineRule="auto"/>
      <w:jc w:val="both"/>
      <w:outlineLvl w:val="5"/>
    </w:pPr>
    <w:rPr>
      <w:rFonts w:eastAsiaTheme="minorEastAsia"/>
      <w:color w:val="auto"/>
      <w:sz w:val="18"/>
      <w:szCs w:val="24"/>
      <w:lang w:eastAsia="zh-TW"/>
    </w:rPr>
  </w:style>
  <w:style w:type="paragraph" w:customStyle="1" w:styleId="Bullet1Ashurst">
    <w:name w:val="Bullet1Ashurst"/>
    <w:basedOn w:val="Normal"/>
    <w:uiPriority w:val="15"/>
    <w:rsid w:val="0017272A"/>
    <w:pPr>
      <w:numPr>
        <w:numId w:val="16"/>
      </w:numPr>
      <w:spacing w:before="0" w:after="220" w:line="264" w:lineRule="auto"/>
      <w:jc w:val="both"/>
    </w:pPr>
    <w:rPr>
      <w:rFonts w:eastAsiaTheme="minorEastAsia"/>
      <w:color w:val="auto"/>
      <w:sz w:val="18"/>
      <w:szCs w:val="24"/>
      <w:lang w:eastAsia="zh-TW"/>
    </w:rPr>
  </w:style>
  <w:style w:type="paragraph" w:customStyle="1" w:styleId="H7Ashurst">
    <w:name w:val="H7Ashurst"/>
    <w:basedOn w:val="Normal"/>
    <w:next w:val="Normal"/>
    <w:uiPriority w:val="38"/>
    <w:rsid w:val="0017272A"/>
    <w:pPr>
      <w:numPr>
        <w:ilvl w:val="6"/>
        <w:numId w:val="17"/>
      </w:numPr>
      <w:spacing w:before="0" w:after="220" w:line="264" w:lineRule="auto"/>
      <w:jc w:val="both"/>
      <w:outlineLvl w:val="6"/>
    </w:pPr>
    <w:rPr>
      <w:rFonts w:eastAsiaTheme="minorEastAsia"/>
      <w:color w:val="auto"/>
      <w:sz w:val="18"/>
      <w:szCs w:val="24"/>
      <w:lang w:eastAsia="zh-TW"/>
    </w:rPr>
  </w:style>
  <w:style w:type="paragraph" w:customStyle="1" w:styleId="H8Ashurst">
    <w:name w:val="H8Ashurst"/>
    <w:basedOn w:val="Normal"/>
    <w:next w:val="Normal"/>
    <w:uiPriority w:val="38"/>
    <w:rsid w:val="0017272A"/>
    <w:pPr>
      <w:numPr>
        <w:ilvl w:val="7"/>
        <w:numId w:val="17"/>
      </w:numPr>
      <w:spacing w:before="0" w:after="220" w:line="264" w:lineRule="auto"/>
      <w:jc w:val="both"/>
      <w:outlineLvl w:val="7"/>
    </w:pPr>
    <w:rPr>
      <w:rFonts w:eastAsiaTheme="minorEastAsia"/>
      <w:color w:val="auto"/>
      <w:sz w:val="18"/>
      <w:szCs w:val="24"/>
      <w:lang w:eastAsia="zh-TW"/>
    </w:rPr>
  </w:style>
  <w:style w:type="paragraph" w:customStyle="1" w:styleId="B3Ashurst">
    <w:name w:val="B3Ashurst"/>
    <w:basedOn w:val="Normal"/>
    <w:uiPriority w:val="2"/>
    <w:qFormat/>
    <w:rsid w:val="00FD3C20"/>
    <w:pPr>
      <w:tabs>
        <w:tab w:val="left" w:pos="2030"/>
        <w:tab w:val="left" w:pos="2654"/>
        <w:tab w:val="left" w:pos="3277"/>
        <w:tab w:val="left" w:pos="3901"/>
      </w:tabs>
      <w:spacing w:before="0" w:after="220" w:line="264" w:lineRule="auto"/>
      <w:ind w:left="1406"/>
      <w:jc w:val="both"/>
    </w:pPr>
    <w:rPr>
      <w:rFonts w:eastAsiaTheme="minorEastAsia"/>
      <w:color w:val="auto"/>
      <w:sz w:val="18"/>
      <w:szCs w:val="24"/>
      <w:lang w:eastAsia="zh-TW"/>
    </w:rPr>
  </w:style>
  <w:style w:type="paragraph" w:styleId="ListNumber2">
    <w:name w:val="List Number 2"/>
    <w:basedOn w:val="Normal"/>
    <w:uiPriority w:val="98"/>
    <w:semiHidden/>
    <w:rsid w:val="002F30B6"/>
    <w:pPr>
      <w:numPr>
        <w:numId w:val="18"/>
      </w:numPr>
      <w:suppressAutoHyphens w:val="0"/>
      <w:spacing w:before="0" w:after="220" w:line="264" w:lineRule="auto"/>
      <w:contextualSpacing/>
      <w:jc w:val="both"/>
    </w:pPr>
    <w:rPr>
      <w:rFonts w:ascii="Verdana" w:hAnsi="Verdana"/>
      <w:color w:val="auto"/>
      <w:sz w:val="18"/>
      <w:szCs w:val="18"/>
    </w:rPr>
  </w:style>
  <w:style w:type="paragraph" w:customStyle="1" w:styleId="Level11fo">
    <w:name w:val="Level 1.1fo"/>
    <w:basedOn w:val="Normal"/>
    <w:uiPriority w:val="5"/>
    <w:rsid w:val="002A1C3D"/>
    <w:pPr>
      <w:tabs>
        <w:tab w:val="left" w:pos="1406"/>
      </w:tabs>
      <w:suppressAutoHyphens w:val="0"/>
      <w:spacing w:before="0" w:after="220" w:line="264" w:lineRule="auto"/>
      <w:ind w:left="782"/>
      <w:jc w:val="both"/>
    </w:pPr>
    <w:rPr>
      <w:rFonts w:ascii="Verdana" w:hAnsi="Verdana"/>
      <w:color w:val="auto"/>
      <w:sz w:val="18"/>
      <w:szCs w:val="18"/>
    </w:rPr>
  </w:style>
  <w:style w:type="paragraph" w:customStyle="1" w:styleId="SCHEDULEAshurst">
    <w:name w:val="SCHEDULEAshurst"/>
    <w:basedOn w:val="Normal"/>
    <w:next w:val="Normal"/>
    <w:uiPriority w:val="79"/>
    <w:rsid w:val="003A1BA8"/>
    <w:pPr>
      <w:keepNext/>
      <w:numPr>
        <w:numId w:val="19"/>
      </w:numPr>
      <w:spacing w:before="0" w:after="220" w:line="264" w:lineRule="auto"/>
      <w:jc w:val="center"/>
      <w:outlineLvl w:val="0"/>
    </w:pPr>
    <w:rPr>
      <w:rFonts w:eastAsiaTheme="minorEastAsia"/>
      <w:b/>
      <w:caps/>
      <w:color w:val="auto"/>
      <w:sz w:val="1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gov.au/complaints/public-interest-disclosure-whistleblowing/information-for-disclosers" TargetMode="External"/><Relationship Id="rId18" Type="http://schemas.openxmlformats.org/officeDocument/2006/relationships/hyperlink" Target="https://www.legislation.gov.au/C2013A00123/latest/tex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legislation.gov.au/C2004A04868/latest/text" TargetMode="External"/><Relationship Id="rId7" Type="http://schemas.openxmlformats.org/officeDocument/2006/relationships/settings" Target="settings.xml"/><Relationship Id="rId12" Type="http://schemas.openxmlformats.org/officeDocument/2006/relationships/hyperlink" Target="https://www.legislation.gov.au/Series/F2013L02146" TargetMode="External"/><Relationship Id="rId17" Type="http://schemas.openxmlformats.org/officeDocument/2006/relationships/hyperlink" Target="https://www.legislation.gov.au/C2004A02562/latest/version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ID@infrastructure.gov.au" TargetMode="External"/><Relationship Id="rId20" Type="http://schemas.openxmlformats.org/officeDocument/2006/relationships/hyperlink" Target="https://www.legislation.gov.au/C2004A00538/latest/te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13A00133"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au/Series/C2022A00088"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legislation.gov.au/C2004A02928/latest/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D@infrastructure.gov.au"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6A69D550EE4AD695C86F9E4C316356"/>
        <w:category>
          <w:name w:val="General"/>
          <w:gallery w:val="placeholder"/>
        </w:category>
        <w:types>
          <w:type w:val="bbPlcHdr"/>
        </w:types>
        <w:behaviors>
          <w:behavior w:val="content"/>
        </w:behaviors>
        <w:guid w:val="{24E999E2-B4EF-4411-8F1B-00CE40C0ABC8}"/>
      </w:docPartPr>
      <w:docPartBody>
        <w:p w:rsidR="00735F39" w:rsidRDefault="00735F39">
          <w:pPr>
            <w:pStyle w:val="906A69D550EE4AD695C86F9E4C316356"/>
          </w:pPr>
          <w:r w:rsidRPr="00EC51DD">
            <w:rPr>
              <w:rStyle w:val="PlaceholderText"/>
            </w:rPr>
            <w:t>[Title]</w:t>
          </w:r>
        </w:p>
      </w:docPartBody>
    </w:docPart>
    <w:docPart>
      <w:docPartPr>
        <w:name w:val="28FC27980FF94BE8B768CD3DD047D040"/>
        <w:category>
          <w:name w:val="General"/>
          <w:gallery w:val="placeholder"/>
        </w:category>
        <w:types>
          <w:type w:val="bbPlcHdr"/>
        </w:types>
        <w:behaviors>
          <w:behavior w:val="content"/>
        </w:behaviors>
        <w:guid w:val="{EE4EFF6D-C832-445B-B7AD-2B512E02C52C}"/>
      </w:docPartPr>
      <w:docPartBody>
        <w:p w:rsidR="00735F39" w:rsidRDefault="00735F39">
          <w:pPr>
            <w:pStyle w:val="28FC27980FF94BE8B768CD3DD047D040"/>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39"/>
    <w:rsid w:val="002C1110"/>
    <w:rsid w:val="00477C2C"/>
    <w:rsid w:val="00735F39"/>
    <w:rsid w:val="00BF2B1F"/>
    <w:rsid w:val="00C91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AF6A437BC154C8F862BF85D835FA73B">
    <w:name w:val="BAF6A437BC154C8F862BF85D835FA73B"/>
  </w:style>
  <w:style w:type="paragraph" w:customStyle="1" w:styleId="906A69D550EE4AD695C86F9E4C316356">
    <w:name w:val="906A69D550EE4AD695C86F9E4C316356"/>
  </w:style>
  <w:style w:type="paragraph" w:customStyle="1" w:styleId="28FC27980FF94BE8B768CD3DD047D040">
    <w:name w:val="28FC27980FF94BE8B768CD3DD047D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4B29751C-35DA-47BF-A5DE-DF569050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10</TotalTime>
  <Pages>29</Pages>
  <Words>12164</Words>
  <Characters>64836</Characters>
  <Application>Microsoft Office Word</Application>
  <DocSecurity>0</DocSecurity>
  <Lines>1029</Lines>
  <Paragraphs>681</Paragraphs>
  <ScaleCrop>false</ScaleCrop>
  <HeadingPairs>
    <vt:vector size="2" baseType="variant">
      <vt:variant>
        <vt:lpstr>Title</vt:lpstr>
      </vt:variant>
      <vt:variant>
        <vt:i4>1</vt:i4>
      </vt:variant>
    </vt:vector>
  </HeadingPairs>
  <TitlesOfParts>
    <vt:vector size="1" baseType="lpstr">
      <vt:lpstr>Public Interest Disclosure procedures</vt:lpstr>
    </vt:vector>
  </TitlesOfParts>
  <Company>Department of Infrastructure &amp; Regional Development</Company>
  <LinksUpToDate>false</LinksUpToDate>
  <CharactersWithSpaces>76319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procedures</dc:title>
  <dc:subject/>
  <dc:creator>Legal Services</dc:creator>
  <cp:keywords/>
  <dc:description/>
  <cp:lastModifiedBy>Legal Services</cp:lastModifiedBy>
  <cp:revision>9</cp:revision>
  <cp:lastPrinted>2024-07-16T23:35:00Z</cp:lastPrinted>
  <dcterms:created xsi:type="dcterms:W3CDTF">2024-07-16T07:28:00Z</dcterms:created>
  <dcterms:modified xsi:type="dcterms:W3CDTF">2024-07-16T23:35:00Z</dcterms:modified>
  <cp:category>July 2024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