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8F07D7" w:rsidP="00906533">
      <w:pPr>
        <w:pStyle w:val="Heading1"/>
      </w:pPr>
      <w:r w:rsidRPr="008F07D7">
        <w:t>Peri-Urban Mobile Program Round 2 Outcomes</w:t>
      </w:r>
      <w:bookmarkStart w:id="0" w:name="_GoBack"/>
      <w:bookmarkEnd w:id="0"/>
    </w:p>
    <w:p w:rsidR="00906533" w:rsidRPr="00B041CB" w:rsidRDefault="000A49D1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October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E598F"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W w:w="9073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  <w:tblDescription w:val="Peri-Urban Mobile Program Round 2 Outcomes, October 2024"/>
      </w:tblPr>
      <w:tblGrid>
        <w:gridCol w:w="2977"/>
        <w:gridCol w:w="1418"/>
        <w:gridCol w:w="1134"/>
        <w:gridCol w:w="1701"/>
        <w:gridCol w:w="1843"/>
      </w:tblGrid>
      <w:tr w:rsidR="000A49D1" w:rsidTr="00362359">
        <w:trPr>
          <w:trHeight w:hRule="exact" w:val="720"/>
          <w:tblHeader/>
        </w:trPr>
        <w:tc>
          <w:tcPr>
            <w:tcW w:w="2977" w:type="dxa"/>
            <w:tcBorders>
              <w:bottom w:val="single" w:sz="4" w:space="0" w:color="000000"/>
            </w:tcBorders>
            <w:shd w:val="clear" w:color="071E3D" w:fill="071E3D"/>
            <w:vAlign w:val="center"/>
          </w:tcPr>
          <w:p w:rsidR="000A49D1" w:rsidRDefault="000A49D1" w:rsidP="000A49D1">
            <w:pPr>
              <w:pStyle w:val="Tablerowcolumnheading"/>
            </w:pPr>
            <w:r>
              <w:t>Site Name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071E3D" w:fill="071E3D"/>
            <w:vAlign w:val="center"/>
          </w:tcPr>
          <w:p w:rsidR="000A49D1" w:rsidRDefault="000A49D1" w:rsidP="000A49D1">
            <w:pPr>
              <w:pStyle w:val="Tablerowcolumnheading"/>
            </w:pPr>
            <w:r>
              <w:rPr>
                <w:lang w:val="en-US"/>
              </w:rPr>
              <w:t>Applicant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071E3D" w:fill="071E3D"/>
            <w:vAlign w:val="center"/>
          </w:tcPr>
          <w:p w:rsidR="000A49D1" w:rsidRDefault="000A49D1" w:rsidP="009222BE">
            <w:pPr>
              <w:pStyle w:val="Tablerowcolumnheadingcentred"/>
            </w:pPr>
            <w:r>
              <w:t>Carrier/s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071E3D" w:fill="071E3D"/>
            <w:vAlign w:val="center"/>
          </w:tcPr>
          <w:p w:rsidR="000A49D1" w:rsidRDefault="000A49D1" w:rsidP="000A49D1">
            <w:pPr>
              <w:pStyle w:val="Tablerowcolumnheadingcentred"/>
            </w:pPr>
            <w:r>
              <w:t>State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071E3D" w:fill="071E3D"/>
            <w:vAlign w:val="center"/>
          </w:tcPr>
          <w:p w:rsidR="000A49D1" w:rsidRDefault="000A49D1" w:rsidP="000A49D1">
            <w:pPr>
              <w:pStyle w:val="Tablerowcolumnheading"/>
            </w:pPr>
            <w:r>
              <w:t>Eligible Location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Killarney Vale - Eastern 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Central Coast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Noraville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Central Coast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Kingscliff Beach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Gold Coast/Tweed Heads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Abermain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Newcastle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Weston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Newcastle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Cawdor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820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Grays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Point Royal National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Gregory Hills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Kemps Creek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Koorana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Rossmore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Sydney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Calderwood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Wollongong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Jamberoo East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Wollongong</w:t>
            </w:r>
          </w:p>
        </w:tc>
      </w:tr>
      <w:tr w:rsidR="000A49D1" w:rsidTr="00362359">
        <w:trPr>
          <w:trHeight w:hRule="exact" w:val="852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Zuccoli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Darwin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Beaudesert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Telstra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Burpengary South East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Edens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Crossing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Ripley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Springfield Lakes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804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Upper Caboolture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Yarrabilba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Brisbane</w:t>
            </w:r>
          </w:p>
        </w:tc>
      </w:tr>
      <w:tr w:rsidR="000A49D1" w:rsidTr="00362359">
        <w:trPr>
          <w:trHeight w:hRule="exact" w:val="912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Edmonton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Cairns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Toowoomba Rockville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9222BE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  <w:r>
              <w:rPr>
                <w:rFonts w:cs="Calibri"/>
                <w:color w:val="000000"/>
              </w:rPr>
              <w:t xml:space="preserve"> &amp; 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Toowoomba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Highfields Cawdor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Toowoomba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Pallarenda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Townsville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Rasmussen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Townsville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Gawler River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Adelaide</w:t>
            </w:r>
          </w:p>
        </w:tc>
      </w:tr>
      <w:tr w:rsidR="000A49D1" w:rsidTr="00362359">
        <w:trPr>
          <w:trHeight w:hRule="exact" w:val="851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Bridgewater Industrial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Hobart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Buninyong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Ballarat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Lucas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Ballarat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Epsom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Bendigo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Torquay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Geelong</w:t>
            </w:r>
          </w:p>
        </w:tc>
      </w:tr>
      <w:tr w:rsidR="000A49D1" w:rsidTr="00362359">
        <w:trPr>
          <w:trHeight w:hRule="exact" w:val="841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Aintree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878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5762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Chandler Recreation Reserve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Clyde Bells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  <w:r>
              <w:rPr>
                <w:rFonts w:cs="Calibri"/>
                <w:color w:val="000000"/>
              </w:rPr>
              <w:t xml:space="preserve"> &amp; 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Donnybrook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  <w:r>
              <w:rPr>
                <w:rFonts w:cs="Calibri"/>
                <w:color w:val="000000"/>
              </w:rPr>
              <w:t xml:space="preserve"> &amp; 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Lilydale Junction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Merrifield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Mickleham West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Mt. Atkinson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Pearcedale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Tooradin North West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Wildwood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Wollert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Waveconn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Melbourne</w:t>
            </w:r>
          </w:p>
        </w:tc>
      </w:tr>
      <w:tr w:rsidR="000A49D1" w:rsidTr="00362359">
        <w:trPr>
          <w:trHeight w:hRule="exact" w:val="60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Ellenbrook North East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Amplitel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Telstra &amp; </w:t>
            </w: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Perth</w:t>
            </w:r>
          </w:p>
        </w:tc>
      </w:tr>
      <w:tr w:rsidR="000A49D1" w:rsidTr="00362359">
        <w:trPr>
          <w:trHeight w:hRule="exact" w:val="79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Madora North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Optus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Perth</w:t>
            </w:r>
          </w:p>
        </w:tc>
      </w:tr>
      <w:tr w:rsidR="000A49D1" w:rsidTr="00362359">
        <w:trPr>
          <w:trHeight w:hRule="exact" w:val="795"/>
        </w:trPr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5313F" w:rsidRDefault="000A49D1" w:rsidP="00740976">
            <w:pPr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West Swan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TPG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Default="000A49D1" w:rsidP="009222B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0A49D1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A49D1" w:rsidRPr="00DC2190" w:rsidRDefault="000A49D1" w:rsidP="00740976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Perth</w:t>
            </w:r>
          </w:p>
        </w:tc>
      </w:tr>
    </w:tbl>
    <w:p w:rsidR="00BB3D46" w:rsidRDefault="00BB3D46" w:rsidP="00906533"/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F07D7">
      <w:rPr>
        <w:rFonts w:cs="Segoe UI"/>
        <w:noProof/>
        <w:szCs w:val="18"/>
      </w:rPr>
      <w:t>Peri-Urban Mobile Program Round 2 Outcomes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F07D7">
      <w:rPr>
        <w:rFonts w:cs="Segoe UI"/>
        <w:noProof/>
        <w:szCs w:val="18"/>
      </w:rPr>
      <w:t>Peri-Urban Mobile Program Round 2 Outcomes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A49D1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D6E6F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62359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76276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07D7"/>
    <w:rsid w:val="008F24DE"/>
    <w:rsid w:val="00906533"/>
    <w:rsid w:val="00912D17"/>
    <w:rsid w:val="009222BE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21D55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CF1CF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2EBB-4ABB-439E-B2D3-6EF7FE5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1852</Characters>
  <Application>Microsoft Office Word</Application>
  <DocSecurity>0</DocSecurity>
  <Lines>264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Peri-Urban Mobile Program Round 2 Outcomes</vt:lpstr>
    </vt:vector>
  </TitlesOfParts>
  <Company>Department of Infrastructure, Transport, Regional Development, Communications and the Arts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Peri-Urban Mobile Program Round 2 Outcomes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8</cp:revision>
  <dcterms:created xsi:type="dcterms:W3CDTF">2024-10-01T02:10:00Z</dcterms:created>
  <dcterms:modified xsi:type="dcterms:W3CDTF">2024-10-01T02:15:00Z</dcterms:modified>
</cp:coreProperties>
</file>