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7548" w14:textId="77777777" w:rsidR="00133A45" w:rsidRDefault="000E29BE" w:rsidP="005C4E32">
      <w:pPr>
        <w:spacing w:after="720"/>
        <w:sectPr w:rsidR="00133A45" w:rsidSect="000E23F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73D47961" wp14:editId="73D47962">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73D4754A" w14:textId="77777777" w:rsidR="00B041CB" w:rsidRPr="00B041CB" w:rsidRDefault="000A47D4" w:rsidP="005C4E32">
      <w:pPr>
        <w:pStyle w:val="Heading1"/>
        <w:ind w:left="567"/>
      </w:pPr>
      <w:r>
        <w:t>Peri</w:t>
      </w:r>
      <w:r w:rsidR="00FC0522">
        <w:t>-</w:t>
      </w:r>
      <w:r>
        <w:t>Urban Mobile Program Round 2</w:t>
      </w:r>
      <w:r w:rsidR="00B90AB8">
        <w:t xml:space="preserve"> Grant Opportunity Guidelines</w:t>
      </w:r>
    </w:p>
    <w:p w14:paraId="73D4754B" w14:textId="6FA3C6C2" w:rsidR="00B041CB" w:rsidRPr="00B041CB" w:rsidRDefault="00ED072E" w:rsidP="005C4E32">
      <w:pPr>
        <w:suppressAutoHyphens/>
        <w:spacing w:before="160" w:after="80"/>
        <w:ind w:left="567"/>
        <w:rPr>
          <w:rFonts w:eastAsia="Calibri" w:cs="Times New Roman"/>
          <w:b/>
          <w:color w:val="081E3E"/>
          <w:kern w:val="12"/>
          <w:sz w:val="20"/>
          <w:szCs w:val="20"/>
        </w:rPr>
      </w:pPr>
      <w:r w:rsidRPr="00ED072E">
        <w:rPr>
          <w:rFonts w:eastAsia="Calibri" w:cs="Times New Roman"/>
          <w:b/>
          <w:color w:val="081E3E"/>
          <w:kern w:val="12"/>
          <w:sz w:val="20"/>
          <w:szCs w:val="20"/>
        </w:rPr>
        <w:t>December</w:t>
      </w:r>
      <w:r w:rsidR="00B041CB" w:rsidRPr="00ED072E">
        <w:rPr>
          <w:rFonts w:eastAsia="Calibri" w:cs="Times New Roman"/>
          <w:b/>
          <w:color w:val="081E3E"/>
          <w:kern w:val="12"/>
          <w:sz w:val="20"/>
          <w:szCs w:val="20"/>
        </w:rPr>
        <w:t xml:space="preserve"> 20</w:t>
      </w:r>
      <w:r w:rsidR="000A47D4" w:rsidRPr="00ED072E">
        <w:rPr>
          <w:rFonts w:eastAsia="Calibri" w:cs="Times New Roman"/>
          <w:b/>
          <w:color w:val="081E3E"/>
          <w:kern w:val="12"/>
          <w:sz w:val="20"/>
          <w:szCs w:val="20"/>
        </w:rPr>
        <w:t>2</w:t>
      </w:r>
      <w:r w:rsidR="00763085" w:rsidRPr="00ED072E">
        <w:rPr>
          <w:rFonts w:eastAsia="Calibri" w:cs="Times New Roman"/>
          <w:b/>
          <w:color w:val="081E3E"/>
          <w:kern w:val="12"/>
          <w:sz w:val="20"/>
          <w:szCs w:val="20"/>
        </w:rPr>
        <w:t>3</w:t>
      </w:r>
    </w:p>
    <w:p w14:paraId="73D4754C" w14:textId="77777777" w:rsidR="009C1ECD" w:rsidRDefault="009C1ECD" w:rsidP="00944292">
      <w:pPr>
        <w:rPr>
          <w:rFonts w:eastAsia="Calibri" w:cs="Times New Roman"/>
          <w:color w:val="000000"/>
          <w:kern w:val="12"/>
          <w:sz w:val="20"/>
          <w:szCs w:val="2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207"/>
        <w:gridCol w:w="5582"/>
      </w:tblGrid>
      <w:tr w:rsidR="00B90AB8" w:rsidRPr="004B3B58" w14:paraId="73D4754F" w14:textId="77777777" w:rsidTr="009442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73D4754D" w14:textId="77777777" w:rsidR="00B90AB8" w:rsidRPr="004B3B58" w:rsidRDefault="00B90AB8" w:rsidP="005C4E32">
            <w:pPr>
              <w:rPr>
                <w:color w:val="264F90"/>
              </w:rPr>
            </w:pPr>
            <w:r w:rsidRPr="004B3B58">
              <w:rPr>
                <w:color w:val="264F90"/>
              </w:rPr>
              <w:t>Opening date:</w:t>
            </w:r>
          </w:p>
        </w:tc>
        <w:tc>
          <w:tcPr>
            <w:tcW w:w="0" w:type="dxa"/>
          </w:tcPr>
          <w:p w14:paraId="73D4754E" w14:textId="08743716" w:rsidR="00B90AB8" w:rsidRPr="00ED072E" w:rsidRDefault="00ED072E" w:rsidP="005C4E32">
            <w:pPr>
              <w:cnfStyle w:val="100000000000" w:firstRow="1" w:lastRow="0" w:firstColumn="0" w:lastColumn="0" w:oddVBand="0" w:evenVBand="0" w:oddHBand="0" w:evenHBand="0" w:firstRowFirstColumn="0" w:firstRowLastColumn="0" w:lastRowFirstColumn="0" w:lastRowLastColumn="0"/>
            </w:pPr>
            <w:r w:rsidRPr="00ED072E">
              <w:t xml:space="preserve">18 December </w:t>
            </w:r>
            <w:r w:rsidR="00DB65EA" w:rsidRPr="00ED072E">
              <w:t>2023</w:t>
            </w:r>
          </w:p>
        </w:tc>
      </w:tr>
      <w:tr w:rsidR="00B90AB8" w:rsidRPr="004B3B58" w14:paraId="73D47552" w14:textId="77777777" w:rsidTr="009442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3D47550" w14:textId="77777777" w:rsidR="00B90AB8" w:rsidRPr="004B3B58" w:rsidRDefault="00B90AB8" w:rsidP="005C4E32">
            <w:pPr>
              <w:rPr>
                <w:color w:val="264F90"/>
              </w:rPr>
            </w:pPr>
            <w:r w:rsidRPr="004B3B58">
              <w:rPr>
                <w:color w:val="264F90"/>
              </w:rPr>
              <w:t>Closing date and time:</w:t>
            </w:r>
          </w:p>
        </w:tc>
        <w:tc>
          <w:tcPr>
            <w:tcW w:w="0" w:type="dxa"/>
            <w:shd w:val="clear" w:color="auto" w:fill="auto"/>
          </w:tcPr>
          <w:p w14:paraId="73D47551" w14:textId="5EBC43DA" w:rsidR="00B90AB8" w:rsidRPr="00ED072E" w:rsidRDefault="00FC7F3A" w:rsidP="005C4E32">
            <w:pPr>
              <w:cnfStyle w:val="100000000000" w:firstRow="1" w:lastRow="0" w:firstColumn="0" w:lastColumn="0" w:oddVBand="0" w:evenVBand="0" w:oddHBand="0" w:evenHBand="0" w:firstRowFirstColumn="0" w:firstRowLastColumn="0" w:lastRowFirstColumn="0" w:lastRowLastColumn="0"/>
            </w:pPr>
            <w:r w:rsidRPr="00ED072E">
              <w:t>17</w:t>
            </w:r>
            <w:r w:rsidR="009F71B1">
              <w:t>:</w:t>
            </w:r>
            <w:r w:rsidR="00B90AB8" w:rsidRPr="00ED072E">
              <w:t xml:space="preserve">00 </w:t>
            </w:r>
            <w:proofErr w:type="spellStart"/>
            <w:r w:rsidR="00B90AB8" w:rsidRPr="00ED072E">
              <w:t>AE</w:t>
            </w:r>
            <w:r w:rsidR="00FC3F31">
              <w:t>D</w:t>
            </w:r>
            <w:r w:rsidR="00B90AB8" w:rsidRPr="00ED072E">
              <w:t>T</w:t>
            </w:r>
            <w:proofErr w:type="spellEnd"/>
            <w:r w:rsidR="00ED072E" w:rsidRPr="00ED072E">
              <w:t xml:space="preserve"> </w:t>
            </w:r>
            <w:r w:rsidR="00B90AB8" w:rsidRPr="00ED072E">
              <w:t xml:space="preserve">on </w:t>
            </w:r>
            <w:r w:rsidR="00ED072E" w:rsidRPr="00ED072E">
              <w:t>11 March 2024</w:t>
            </w:r>
            <w:r w:rsidR="00D558F5" w:rsidRPr="00ED072E">
              <w:t xml:space="preserve"> (</w:t>
            </w:r>
            <w:r w:rsidRPr="00ED072E">
              <w:t>12</w:t>
            </w:r>
            <w:r w:rsidR="00D558F5" w:rsidRPr="00ED072E">
              <w:t xml:space="preserve"> weeks after opening) </w:t>
            </w:r>
          </w:p>
        </w:tc>
      </w:tr>
      <w:tr w:rsidR="00B90AB8" w:rsidRPr="004B3B58" w14:paraId="73D47555" w14:textId="77777777" w:rsidTr="009442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3D47553" w14:textId="77777777" w:rsidR="00B90AB8" w:rsidRPr="004B3B58" w:rsidRDefault="00B90AB8" w:rsidP="005C4E32">
            <w:pPr>
              <w:rPr>
                <w:color w:val="264F90"/>
              </w:rPr>
            </w:pPr>
            <w:r w:rsidRPr="004B3B58">
              <w:rPr>
                <w:color w:val="264F90"/>
              </w:rPr>
              <w:t>Commonwealth policy entity:</w:t>
            </w:r>
          </w:p>
        </w:tc>
        <w:tc>
          <w:tcPr>
            <w:tcW w:w="0" w:type="dxa"/>
            <w:shd w:val="clear" w:color="auto" w:fill="auto"/>
          </w:tcPr>
          <w:p w14:paraId="73D47554" w14:textId="77777777" w:rsidR="00B90AB8" w:rsidRPr="00ED072E" w:rsidRDefault="00B90AB8" w:rsidP="005C4E32">
            <w:pPr>
              <w:cnfStyle w:val="100000000000" w:firstRow="1" w:lastRow="0" w:firstColumn="0" w:lastColumn="0" w:oddVBand="0" w:evenVBand="0" w:oddHBand="0" w:evenHBand="0" w:firstRowFirstColumn="0" w:firstRowLastColumn="0" w:lastRowFirstColumn="0" w:lastRowLastColumn="0"/>
            </w:pPr>
            <w:r w:rsidRPr="00ED072E">
              <w:t>Department of Infrastructure, Transport, Regional Development, Communications and the Arts</w:t>
            </w:r>
          </w:p>
        </w:tc>
      </w:tr>
      <w:tr w:rsidR="00B90AB8" w:rsidRPr="004B3B58" w14:paraId="73D4755A" w14:textId="77777777" w:rsidTr="009442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3D47556" w14:textId="77777777" w:rsidR="00B90AB8" w:rsidRPr="004B3B58" w:rsidRDefault="00B90AB8" w:rsidP="005C4E32">
            <w:pPr>
              <w:rPr>
                <w:color w:val="264F90"/>
              </w:rPr>
            </w:pPr>
            <w:r w:rsidRPr="004B3B58">
              <w:rPr>
                <w:color w:val="264F90"/>
              </w:rPr>
              <w:t>Enquiries:</w:t>
            </w:r>
          </w:p>
        </w:tc>
        <w:tc>
          <w:tcPr>
            <w:tcW w:w="0" w:type="dxa"/>
            <w:shd w:val="clear" w:color="auto" w:fill="auto"/>
          </w:tcPr>
          <w:p w14:paraId="73D47557" w14:textId="77777777" w:rsidR="007E495B" w:rsidRPr="00ED072E" w:rsidRDefault="00B90AB8" w:rsidP="005C4E32">
            <w:pPr>
              <w:cnfStyle w:val="100000000000" w:firstRow="1" w:lastRow="0" w:firstColumn="0" w:lastColumn="0" w:oddVBand="0" w:evenVBand="0" w:oddHBand="0" w:evenHBand="0" w:firstRowFirstColumn="0" w:firstRowLastColumn="0" w:lastRowFirstColumn="0" w:lastRowLastColumn="0"/>
            </w:pPr>
            <w:r w:rsidRPr="00ED072E">
              <w:t>If you have any questions, contact</w:t>
            </w:r>
          </w:p>
          <w:p w14:paraId="73D47558" w14:textId="42955C1E" w:rsidR="00B90AB8" w:rsidRPr="00ED072E" w:rsidRDefault="00192222" w:rsidP="005C4E32">
            <w:pPr>
              <w:cnfStyle w:val="100000000000" w:firstRow="1" w:lastRow="0" w:firstColumn="0" w:lastColumn="0" w:oddVBand="0" w:evenVBand="0" w:oddHBand="0" w:evenHBand="0" w:firstRowFirstColumn="0" w:firstRowLastColumn="0" w:lastRowFirstColumn="0" w:lastRowLastColumn="0"/>
            </w:pPr>
            <w:hyperlink r:id="rId15" w:history="1">
              <w:r w:rsidR="00B005C4" w:rsidRPr="00ED072E">
                <w:rPr>
                  <w:rStyle w:val="Hyperlink"/>
                </w:rPr>
                <w:t>PUMP@infrastructure.gov.au</w:t>
              </w:r>
            </w:hyperlink>
            <w:r w:rsidR="00B005C4" w:rsidRPr="00ED072E">
              <w:t xml:space="preserve"> </w:t>
            </w:r>
          </w:p>
          <w:p w14:paraId="73D47559" w14:textId="2BD4137B" w:rsidR="00B90AB8" w:rsidRPr="00ED072E" w:rsidRDefault="00B90AB8" w:rsidP="005C4E32">
            <w:pPr>
              <w:cnfStyle w:val="100000000000" w:firstRow="1" w:lastRow="0" w:firstColumn="0" w:lastColumn="0" w:oddVBand="0" w:evenVBand="0" w:oddHBand="0" w:evenHBand="0" w:firstRowFirstColumn="0" w:firstRowLastColumn="0" w:lastRowFirstColumn="0" w:lastRowLastColumn="0"/>
            </w:pPr>
            <w:r w:rsidRPr="00ED072E">
              <w:t>Questions should be sent no later than</w:t>
            </w:r>
            <w:r w:rsidR="00ED072E">
              <w:t xml:space="preserve"> two weeks before the closing date</w:t>
            </w:r>
          </w:p>
        </w:tc>
      </w:tr>
      <w:tr w:rsidR="00B90AB8" w:rsidRPr="004B3B58" w14:paraId="73D4755D" w14:textId="77777777" w:rsidTr="009442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3D4755B" w14:textId="77777777" w:rsidR="00B90AB8" w:rsidRPr="004B3B58" w:rsidRDefault="00B90AB8" w:rsidP="005C4E32">
            <w:pPr>
              <w:rPr>
                <w:color w:val="264F90"/>
              </w:rPr>
            </w:pPr>
            <w:r w:rsidRPr="004B3B58">
              <w:rPr>
                <w:color w:val="264F90"/>
              </w:rPr>
              <w:t>Date guidelines released:</w:t>
            </w:r>
          </w:p>
        </w:tc>
        <w:tc>
          <w:tcPr>
            <w:tcW w:w="0" w:type="dxa"/>
            <w:shd w:val="clear" w:color="auto" w:fill="auto"/>
          </w:tcPr>
          <w:p w14:paraId="73D4755C" w14:textId="3C572107" w:rsidR="00B90AB8" w:rsidRPr="00ED072E" w:rsidRDefault="00ED072E" w:rsidP="005C4E32">
            <w:pPr>
              <w:cnfStyle w:val="100000000000" w:firstRow="1" w:lastRow="0" w:firstColumn="0" w:lastColumn="0" w:oddVBand="0" w:evenVBand="0" w:oddHBand="0" w:evenHBand="0" w:firstRowFirstColumn="0" w:firstRowLastColumn="0" w:lastRowFirstColumn="0" w:lastRowLastColumn="0"/>
            </w:pPr>
            <w:r w:rsidRPr="00ED072E">
              <w:t xml:space="preserve">18 December </w:t>
            </w:r>
            <w:r w:rsidR="00DB65EA" w:rsidRPr="00ED072E">
              <w:t>2023</w:t>
            </w:r>
          </w:p>
        </w:tc>
      </w:tr>
      <w:tr w:rsidR="00B90AB8" w14:paraId="73D47560" w14:textId="77777777" w:rsidTr="009442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3D4755E" w14:textId="77777777" w:rsidR="00B90AB8" w:rsidRPr="004B3B58" w:rsidRDefault="00B90AB8" w:rsidP="005C4E32">
            <w:pPr>
              <w:rPr>
                <w:color w:val="264F90"/>
              </w:rPr>
            </w:pPr>
            <w:r w:rsidRPr="004B3B58">
              <w:rPr>
                <w:color w:val="264F90"/>
              </w:rPr>
              <w:t>Type of grant opportunity:</w:t>
            </w:r>
          </w:p>
        </w:tc>
        <w:tc>
          <w:tcPr>
            <w:tcW w:w="0" w:type="dxa"/>
            <w:shd w:val="clear" w:color="auto" w:fill="auto"/>
          </w:tcPr>
          <w:p w14:paraId="73D4755F" w14:textId="77777777" w:rsidR="00B90AB8" w:rsidRPr="00ED072E" w:rsidRDefault="00B90AB8" w:rsidP="005C4E32">
            <w:pPr>
              <w:cnfStyle w:val="100000000000" w:firstRow="1" w:lastRow="0" w:firstColumn="0" w:lastColumn="0" w:oddVBand="0" w:evenVBand="0" w:oddHBand="0" w:evenHBand="0" w:firstRowFirstColumn="0" w:firstRowLastColumn="0" w:lastRowFirstColumn="0" w:lastRowLastColumn="0"/>
            </w:pPr>
            <w:r w:rsidRPr="00ED072E">
              <w:t>Targeted competitive</w:t>
            </w:r>
          </w:p>
        </w:tc>
      </w:tr>
    </w:tbl>
    <w:p w14:paraId="73D47561" w14:textId="77777777" w:rsidR="009C1ECD" w:rsidRDefault="009C1ECD" w:rsidP="005C4E32">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73D47562" w14:textId="21C90F30" w:rsidR="009C1ECD" w:rsidRPr="009C1ECD" w:rsidRDefault="009C1ECD" w:rsidP="005C4E32">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w:t>
      </w:r>
      <w:r w:rsidRPr="00ED072E">
        <w:rPr>
          <w:rFonts w:eastAsia="Calibri" w:cs="Times New Roman"/>
          <w:color w:val="000000"/>
          <w:kern w:val="12"/>
          <w:sz w:val="20"/>
          <w:szCs w:val="20"/>
        </w:rPr>
        <w:t>ustralia</w:t>
      </w:r>
      <w:r w:rsidR="00565922" w:rsidRPr="00ED072E">
        <w:rPr>
          <w:rFonts w:eastAsia="Calibri" w:cs="Times New Roman"/>
          <w:color w:val="000000"/>
          <w:kern w:val="12"/>
          <w:sz w:val="20"/>
          <w:szCs w:val="20"/>
        </w:rPr>
        <w:t xml:space="preserve"> </w:t>
      </w:r>
      <w:r w:rsidR="004C4272" w:rsidRPr="00ED072E">
        <w:rPr>
          <w:rFonts w:eastAsia="Calibri" w:cs="Times New Roman"/>
          <w:color w:val="000000"/>
          <w:kern w:val="12"/>
          <w:sz w:val="20"/>
          <w:szCs w:val="20"/>
        </w:rPr>
        <w:t>December</w:t>
      </w:r>
      <w:r w:rsidR="00F46D65" w:rsidRPr="00ED072E">
        <w:rPr>
          <w:rFonts w:eastAsia="Calibri" w:cs="Times New Roman"/>
          <w:color w:val="000000"/>
          <w:kern w:val="12"/>
          <w:sz w:val="20"/>
          <w:szCs w:val="20"/>
        </w:rPr>
        <w:t xml:space="preserve"> </w:t>
      </w:r>
      <w:r w:rsidR="00565922" w:rsidRPr="00ED072E">
        <w:rPr>
          <w:rFonts w:eastAsia="Calibri" w:cs="Times New Roman"/>
          <w:color w:val="000000"/>
          <w:kern w:val="12"/>
          <w:sz w:val="20"/>
          <w:szCs w:val="20"/>
        </w:rPr>
        <w:t xml:space="preserve">2023 </w:t>
      </w:r>
    </w:p>
    <w:p w14:paraId="73D47563" w14:textId="77777777" w:rsidR="009C1ECD" w:rsidRPr="009C1ECD" w:rsidRDefault="009C1ECD" w:rsidP="005C4E32">
      <w:pPr>
        <w:pStyle w:val="Heading2notshowing"/>
      </w:pPr>
      <w:r w:rsidRPr="009C1ECD">
        <w:t>Ownership of intellectual property rights in this publication</w:t>
      </w:r>
    </w:p>
    <w:p w14:paraId="73D47564" w14:textId="77777777" w:rsidR="009C1ECD" w:rsidRPr="009C1ECD" w:rsidRDefault="009C1ECD" w:rsidP="005C4E32">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73D47565" w14:textId="77777777" w:rsidR="009C1ECD" w:rsidRPr="009C1ECD" w:rsidRDefault="009C1ECD" w:rsidP="005C4E32">
      <w:pPr>
        <w:pStyle w:val="Heading2notshowing"/>
      </w:pPr>
      <w:r w:rsidRPr="009C1ECD">
        <w:t>Use of the Coat of Arms</w:t>
      </w:r>
    </w:p>
    <w:p w14:paraId="73D47566" w14:textId="77777777" w:rsidR="009C1ECD" w:rsidRPr="009C1ECD" w:rsidRDefault="009C1ECD" w:rsidP="005C4E32">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6" w:tooltip="Department of Prime Minister and Cabinet website" w:history="1">
        <w:r w:rsidRPr="009C1ECD">
          <w:rPr>
            <w:color w:val="0046FF"/>
            <w:u w:val="single"/>
          </w:rPr>
          <w:t>http://www.pmc.gov.au</w:t>
        </w:r>
      </w:hyperlink>
      <w:r w:rsidRPr="009C1ECD">
        <w:t>.</w:t>
      </w:r>
    </w:p>
    <w:p w14:paraId="73D47567" w14:textId="77777777" w:rsidR="009C1ECD" w:rsidRPr="009C1ECD" w:rsidRDefault="009C1ECD" w:rsidP="005C4E32">
      <w:pPr>
        <w:pStyle w:val="Heading2notshowing"/>
      </w:pPr>
      <w:r w:rsidRPr="009C1ECD">
        <w:t>Contact us</w:t>
      </w:r>
    </w:p>
    <w:p w14:paraId="73D47568" w14:textId="77777777" w:rsidR="009C1ECD" w:rsidRPr="009C1ECD" w:rsidRDefault="009C1ECD" w:rsidP="005C4E32">
      <w:r w:rsidRPr="009C1ECD">
        <w:t xml:space="preserve">This publication is available in </w:t>
      </w:r>
      <w:r w:rsidR="00FF4886">
        <w:t>Word</w:t>
      </w:r>
      <w:r w:rsidRPr="009C1ECD">
        <w:t xml:space="preserve"> or PDF format. All other rights are reserved, including in relation to any</w:t>
      </w:r>
      <w:r w:rsidRPr="009C1ECD">
        <w:rPr>
          <w:lang w:val="en-US"/>
        </w:rPr>
        <w:t xml:space="preserve"> departmental</w:t>
      </w:r>
      <w:r w:rsidRPr="009C1ECD">
        <w:t xml:space="preserve"> logos or trademarks which may exist. For enquiries regarding the licence and any use of this publication,</w:t>
      </w:r>
      <w:r w:rsidRPr="009C1ECD">
        <w:rPr>
          <w:lang w:val="en-US"/>
        </w:rPr>
        <w:t xml:space="preserve"> </w:t>
      </w:r>
      <w:r w:rsidRPr="009C1ECD">
        <w:t>please contact:</w:t>
      </w:r>
    </w:p>
    <w:p w14:paraId="73D47569" w14:textId="77777777" w:rsidR="009C1ECD" w:rsidRPr="009C1ECD" w:rsidRDefault="009C1ECD" w:rsidP="005C4E32">
      <w:r w:rsidRPr="009C1ECD">
        <w:t>Director – Creative Services</w:t>
      </w:r>
      <w:r>
        <w:br/>
      </w:r>
      <w:r w:rsidRPr="009C1ECD">
        <w:t>Communication Branch</w:t>
      </w:r>
      <w:r>
        <w:br/>
      </w:r>
      <w:r w:rsidRPr="009C1ECD">
        <w:t>Department of Infrastructure, Transport, Regional Development</w:t>
      </w:r>
      <w:r w:rsidR="00AA5908">
        <w:t>,</w:t>
      </w:r>
      <w:r w:rsidRPr="009C1ECD">
        <w:t xml:space="preserve"> Communications</w:t>
      </w:r>
      <w:r w:rsidR="00AA5908">
        <w:t xml:space="preserve"> and the Arts</w:t>
      </w:r>
      <w:r>
        <w:br/>
      </w:r>
      <w:r w:rsidRPr="009C1ECD">
        <w:t>GPO Box 594</w:t>
      </w:r>
      <w:r>
        <w:br/>
      </w:r>
      <w:r w:rsidRPr="009C1ECD">
        <w:t>Canberra ACT 2601</w:t>
      </w:r>
      <w:r>
        <w:br/>
      </w:r>
      <w:r w:rsidRPr="009C1ECD">
        <w:t>Australia</w:t>
      </w:r>
    </w:p>
    <w:p w14:paraId="73D4756A" w14:textId="77777777" w:rsidR="009C1ECD" w:rsidRDefault="009C1ECD" w:rsidP="005C4E32">
      <w:r w:rsidRPr="009C1ECD">
        <w:t xml:space="preserve">Email: </w:t>
      </w:r>
      <w:hyperlink r:id="rId17" w:tooltip="Email the Publishing team at the Department of Infrastructure, Transport, Regional Development and Communications" w:history="1">
        <w:r w:rsidRPr="009C1ECD">
          <w:rPr>
            <w:color w:val="0046FF"/>
            <w:u w:val="single"/>
          </w:rPr>
          <w:t>publishing@infrastructure.gov.au</w:t>
        </w:r>
      </w:hyperlink>
      <w:r>
        <w:rPr>
          <w:color w:val="0046FF"/>
          <w:u w:val="single"/>
        </w:rPr>
        <w:br/>
      </w:r>
      <w:r w:rsidRPr="009C1ECD">
        <w:t xml:space="preserve">Website: </w:t>
      </w:r>
      <w:hyperlink r:id="rId18" w:tooltip="Department of Infrastructure, Transport, Regional Development and Communications website" w:history="1">
        <w:r w:rsidRPr="009C1ECD">
          <w:rPr>
            <w:color w:val="0046FF"/>
            <w:u w:val="single"/>
          </w:rPr>
          <w:t>www.infrastructure.gov.au</w:t>
        </w:r>
      </w:hyperlink>
      <w:r>
        <w:br w:type="page"/>
      </w:r>
    </w:p>
    <w:p w14:paraId="73D4756B" w14:textId="77777777" w:rsidR="00670726" w:rsidRPr="004B4D93" w:rsidRDefault="00670726" w:rsidP="004B4D93">
      <w:pPr>
        <w:pStyle w:val="Heading2notshowing"/>
        <w:rPr>
          <w:sz w:val="36"/>
          <w:szCs w:val="36"/>
        </w:rPr>
      </w:pPr>
      <w:r w:rsidRPr="004B4D93">
        <w:rPr>
          <w:sz w:val="36"/>
          <w:szCs w:val="36"/>
        </w:rPr>
        <w:lastRenderedPageBreak/>
        <w:t>Table of contents</w:t>
      </w:r>
    </w:p>
    <w:p w14:paraId="2A612B74" w14:textId="77EF7735" w:rsidR="00865D77"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78085173" w:history="1">
        <w:r w:rsidR="00865D77" w:rsidRPr="00BA7206">
          <w:rPr>
            <w:rStyle w:val="Hyperlink"/>
            <w:noProof/>
          </w:rPr>
          <w:t>Peri-Urban Mobile Program Round 2: processes</w:t>
        </w:r>
        <w:r w:rsidR="00865D77">
          <w:rPr>
            <w:noProof/>
            <w:webHidden/>
          </w:rPr>
          <w:tab/>
        </w:r>
        <w:r w:rsidR="00865D77">
          <w:rPr>
            <w:noProof/>
            <w:webHidden/>
          </w:rPr>
          <w:fldChar w:fldCharType="begin"/>
        </w:r>
        <w:r w:rsidR="00865D77">
          <w:rPr>
            <w:noProof/>
            <w:webHidden/>
          </w:rPr>
          <w:instrText xml:space="preserve"> PAGEREF _Toc178085173 \h </w:instrText>
        </w:r>
        <w:r w:rsidR="00865D77">
          <w:rPr>
            <w:noProof/>
            <w:webHidden/>
          </w:rPr>
        </w:r>
        <w:r w:rsidR="00865D77">
          <w:rPr>
            <w:noProof/>
            <w:webHidden/>
          </w:rPr>
          <w:fldChar w:fldCharType="separate"/>
        </w:r>
        <w:r w:rsidR="00865D77">
          <w:rPr>
            <w:noProof/>
            <w:webHidden/>
          </w:rPr>
          <w:t>5</w:t>
        </w:r>
        <w:r w:rsidR="00865D77">
          <w:rPr>
            <w:noProof/>
            <w:webHidden/>
          </w:rPr>
          <w:fldChar w:fldCharType="end"/>
        </w:r>
      </w:hyperlink>
    </w:p>
    <w:p w14:paraId="6CCCD609" w14:textId="6E117993" w:rsidR="00865D77" w:rsidRDefault="00192222">
      <w:pPr>
        <w:pStyle w:val="TOC1"/>
        <w:rPr>
          <w:rFonts w:asciiTheme="minorHAnsi" w:eastAsiaTheme="minorEastAsia" w:hAnsiTheme="minorHAnsi"/>
          <w:b w:val="0"/>
          <w:noProof/>
          <w:color w:val="auto"/>
          <w:u w:val="none"/>
          <w:lang w:eastAsia="en-AU"/>
        </w:rPr>
      </w:pPr>
      <w:hyperlink w:anchor="_Toc178085174" w:history="1">
        <w:r w:rsidR="00865D77" w:rsidRPr="00BA7206">
          <w:rPr>
            <w:rStyle w:val="Hyperlink"/>
            <w:noProof/>
          </w:rPr>
          <w:t>1.</w:t>
        </w:r>
        <w:r w:rsidR="00865D77">
          <w:rPr>
            <w:rFonts w:asciiTheme="minorHAnsi" w:eastAsiaTheme="minorEastAsia" w:hAnsiTheme="minorHAnsi"/>
            <w:b w:val="0"/>
            <w:noProof/>
            <w:color w:val="auto"/>
            <w:u w:val="none"/>
            <w:lang w:eastAsia="en-AU"/>
          </w:rPr>
          <w:tab/>
        </w:r>
        <w:r w:rsidR="00865D77" w:rsidRPr="00BA7206">
          <w:rPr>
            <w:rStyle w:val="Hyperlink"/>
            <w:noProof/>
          </w:rPr>
          <w:t>Introduction</w:t>
        </w:r>
        <w:r w:rsidR="00865D77">
          <w:rPr>
            <w:noProof/>
            <w:webHidden/>
          </w:rPr>
          <w:tab/>
        </w:r>
        <w:r w:rsidR="00865D77">
          <w:rPr>
            <w:noProof/>
            <w:webHidden/>
          </w:rPr>
          <w:fldChar w:fldCharType="begin"/>
        </w:r>
        <w:r w:rsidR="00865D77">
          <w:rPr>
            <w:noProof/>
            <w:webHidden/>
          </w:rPr>
          <w:instrText xml:space="preserve"> PAGEREF _Toc178085174 \h </w:instrText>
        </w:r>
        <w:r w:rsidR="00865D77">
          <w:rPr>
            <w:noProof/>
            <w:webHidden/>
          </w:rPr>
        </w:r>
        <w:r w:rsidR="00865D77">
          <w:rPr>
            <w:noProof/>
            <w:webHidden/>
          </w:rPr>
          <w:fldChar w:fldCharType="separate"/>
        </w:r>
        <w:r w:rsidR="00865D77">
          <w:rPr>
            <w:noProof/>
            <w:webHidden/>
          </w:rPr>
          <w:t>7</w:t>
        </w:r>
        <w:r w:rsidR="00865D77">
          <w:rPr>
            <w:noProof/>
            <w:webHidden/>
          </w:rPr>
          <w:fldChar w:fldCharType="end"/>
        </w:r>
      </w:hyperlink>
    </w:p>
    <w:p w14:paraId="093BF7C8" w14:textId="3557A0F2" w:rsidR="00865D77" w:rsidRDefault="00192222">
      <w:pPr>
        <w:pStyle w:val="TOC2"/>
        <w:rPr>
          <w:rFonts w:asciiTheme="minorHAnsi" w:eastAsiaTheme="minorEastAsia" w:hAnsiTheme="minorHAnsi"/>
          <w:noProof/>
          <w:sz w:val="22"/>
          <w:lang w:eastAsia="en-AU"/>
        </w:rPr>
      </w:pPr>
      <w:hyperlink w:anchor="_Toc178085175" w:history="1">
        <w:r w:rsidR="00865D77" w:rsidRPr="00BA7206">
          <w:rPr>
            <w:rStyle w:val="Hyperlink"/>
            <w:noProof/>
          </w:rPr>
          <w:t>1.1.</w:t>
        </w:r>
        <w:r w:rsidR="00865D77">
          <w:rPr>
            <w:rFonts w:asciiTheme="minorHAnsi" w:eastAsiaTheme="minorEastAsia" w:hAnsiTheme="minorHAnsi"/>
            <w:noProof/>
            <w:sz w:val="22"/>
            <w:lang w:eastAsia="en-AU"/>
          </w:rPr>
          <w:tab/>
        </w:r>
        <w:r w:rsidR="00865D77" w:rsidRPr="00BA7206">
          <w:rPr>
            <w:rStyle w:val="Hyperlink"/>
            <w:noProof/>
          </w:rPr>
          <w:t>Introduction</w:t>
        </w:r>
        <w:r w:rsidR="00865D77">
          <w:rPr>
            <w:noProof/>
            <w:webHidden/>
          </w:rPr>
          <w:tab/>
        </w:r>
        <w:r w:rsidR="00865D77">
          <w:rPr>
            <w:noProof/>
            <w:webHidden/>
          </w:rPr>
          <w:fldChar w:fldCharType="begin"/>
        </w:r>
        <w:r w:rsidR="00865D77">
          <w:rPr>
            <w:noProof/>
            <w:webHidden/>
          </w:rPr>
          <w:instrText xml:space="preserve"> PAGEREF _Toc178085175 \h </w:instrText>
        </w:r>
        <w:r w:rsidR="00865D77">
          <w:rPr>
            <w:noProof/>
            <w:webHidden/>
          </w:rPr>
        </w:r>
        <w:r w:rsidR="00865D77">
          <w:rPr>
            <w:noProof/>
            <w:webHidden/>
          </w:rPr>
          <w:fldChar w:fldCharType="separate"/>
        </w:r>
        <w:r w:rsidR="00865D77">
          <w:rPr>
            <w:noProof/>
            <w:webHidden/>
          </w:rPr>
          <w:t>7</w:t>
        </w:r>
        <w:r w:rsidR="00865D77">
          <w:rPr>
            <w:noProof/>
            <w:webHidden/>
          </w:rPr>
          <w:fldChar w:fldCharType="end"/>
        </w:r>
      </w:hyperlink>
    </w:p>
    <w:p w14:paraId="5C9D6555" w14:textId="00FF9A26" w:rsidR="00865D77" w:rsidRDefault="00192222">
      <w:pPr>
        <w:pStyle w:val="TOC1"/>
        <w:rPr>
          <w:rFonts w:asciiTheme="minorHAnsi" w:eastAsiaTheme="minorEastAsia" w:hAnsiTheme="minorHAnsi"/>
          <w:b w:val="0"/>
          <w:noProof/>
          <w:color w:val="auto"/>
          <w:u w:val="none"/>
          <w:lang w:eastAsia="en-AU"/>
        </w:rPr>
      </w:pPr>
      <w:hyperlink w:anchor="_Toc178085176" w:history="1">
        <w:r w:rsidR="00865D77" w:rsidRPr="00BA7206">
          <w:rPr>
            <w:rStyle w:val="Hyperlink"/>
            <w:noProof/>
          </w:rPr>
          <w:t>2.</w:t>
        </w:r>
        <w:r w:rsidR="00865D77">
          <w:rPr>
            <w:rFonts w:asciiTheme="minorHAnsi" w:eastAsiaTheme="minorEastAsia" w:hAnsiTheme="minorHAnsi"/>
            <w:b w:val="0"/>
            <w:noProof/>
            <w:color w:val="auto"/>
            <w:u w:val="none"/>
            <w:lang w:eastAsia="en-AU"/>
          </w:rPr>
          <w:tab/>
        </w:r>
        <w:r w:rsidR="00865D77" w:rsidRPr="00BA7206">
          <w:rPr>
            <w:rStyle w:val="Hyperlink"/>
            <w:noProof/>
          </w:rPr>
          <w:t>About the grant program</w:t>
        </w:r>
        <w:r w:rsidR="00865D77">
          <w:rPr>
            <w:noProof/>
            <w:webHidden/>
          </w:rPr>
          <w:tab/>
        </w:r>
        <w:r w:rsidR="00865D77">
          <w:rPr>
            <w:noProof/>
            <w:webHidden/>
          </w:rPr>
          <w:fldChar w:fldCharType="begin"/>
        </w:r>
        <w:r w:rsidR="00865D77">
          <w:rPr>
            <w:noProof/>
            <w:webHidden/>
          </w:rPr>
          <w:instrText xml:space="preserve"> PAGEREF _Toc178085176 \h </w:instrText>
        </w:r>
        <w:r w:rsidR="00865D77">
          <w:rPr>
            <w:noProof/>
            <w:webHidden/>
          </w:rPr>
        </w:r>
        <w:r w:rsidR="00865D77">
          <w:rPr>
            <w:noProof/>
            <w:webHidden/>
          </w:rPr>
          <w:fldChar w:fldCharType="separate"/>
        </w:r>
        <w:r w:rsidR="00865D77">
          <w:rPr>
            <w:noProof/>
            <w:webHidden/>
          </w:rPr>
          <w:t>7</w:t>
        </w:r>
        <w:r w:rsidR="00865D77">
          <w:rPr>
            <w:noProof/>
            <w:webHidden/>
          </w:rPr>
          <w:fldChar w:fldCharType="end"/>
        </w:r>
      </w:hyperlink>
    </w:p>
    <w:p w14:paraId="1D455821" w14:textId="2F9EB895" w:rsidR="00865D77" w:rsidRDefault="00192222">
      <w:pPr>
        <w:pStyle w:val="TOC2"/>
        <w:rPr>
          <w:rFonts w:asciiTheme="minorHAnsi" w:eastAsiaTheme="minorEastAsia" w:hAnsiTheme="minorHAnsi"/>
          <w:noProof/>
          <w:sz w:val="22"/>
          <w:lang w:eastAsia="en-AU"/>
        </w:rPr>
      </w:pPr>
      <w:hyperlink w:anchor="_Toc178085177" w:history="1">
        <w:r w:rsidR="00865D77" w:rsidRPr="00BA7206">
          <w:rPr>
            <w:rStyle w:val="Hyperlink"/>
            <w:noProof/>
          </w:rPr>
          <w:t>2.1.</w:t>
        </w:r>
        <w:r w:rsidR="00865D77">
          <w:rPr>
            <w:rFonts w:asciiTheme="minorHAnsi" w:eastAsiaTheme="minorEastAsia" w:hAnsiTheme="minorHAnsi"/>
            <w:noProof/>
            <w:sz w:val="22"/>
            <w:lang w:eastAsia="en-AU"/>
          </w:rPr>
          <w:tab/>
        </w:r>
        <w:r w:rsidR="00865D77" w:rsidRPr="00BA7206">
          <w:rPr>
            <w:rStyle w:val="Hyperlink"/>
            <w:noProof/>
          </w:rPr>
          <w:t>About the Program</w:t>
        </w:r>
        <w:r w:rsidR="00865D77">
          <w:rPr>
            <w:noProof/>
            <w:webHidden/>
          </w:rPr>
          <w:tab/>
        </w:r>
        <w:r w:rsidR="00865D77">
          <w:rPr>
            <w:noProof/>
            <w:webHidden/>
          </w:rPr>
          <w:fldChar w:fldCharType="begin"/>
        </w:r>
        <w:r w:rsidR="00865D77">
          <w:rPr>
            <w:noProof/>
            <w:webHidden/>
          </w:rPr>
          <w:instrText xml:space="preserve"> PAGEREF _Toc178085177 \h </w:instrText>
        </w:r>
        <w:r w:rsidR="00865D77">
          <w:rPr>
            <w:noProof/>
            <w:webHidden/>
          </w:rPr>
        </w:r>
        <w:r w:rsidR="00865D77">
          <w:rPr>
            <w:noProof/>
            <w:webHidden/>
          </w:rPr>
          <w:fldChar w:fldCharType="separate"/>
        </w:r>
        <w:r w:rsidR="00865D77">
          <w:rPr>
            <w:noProof/>
            <w:webHidden/>
          </w:rPr>
          <w:t>7</w:t>
        </w:r>
        <w:r w:rsidR="00865D77">
          <w:rPr>
            <w:noProof/>
            <w:webHidden/>
          </w:rPr>
          <w:fldChar w:fldCharType="end"/>
        </w:r>
      </w:hyperlink>
    </w:p>
    <w:p w14:paraId="0852B332" w14:textId="4569EA66" w:rsidR="00865D77" w:rsidRDefault="00192222">
      <w:pPr>
        <w:pStyle w:val="TOC1"/>
        <w:rPr>
          <w:rFonts w:asciiTheme="minorHAnsi" w:eastAsiaTheme="minorEastAsia" w:hAnsiTheme="minorHAnsi"/>
          <w:b w:val="0"/>
          <w:noProof/>
          <w:color w:val="auto"/>
          <w:u w:val="none"/>
          <w:lang w:eastAsia="en-AU"/>
        </w:rPr>
      </w:pPr>
      <w:hyperlink w:anchor="_Toc178085178" w:history="1">
        <w:r w:rsidR="00865D77" w:rsidRPr="00BA7206">
          <w:rPr>
            <w:rStyle w:val="Hyperlink"/>
            <w:noProof/>
          </w:rPr>
          <w:t>3.</w:t>
        </w:r>
        <w:r w:rsidR="00865D77">
          <w:rPr>
            <w:rFonts w:asciiTheme="minorHAnsi" w:eastAsiaTheme="minorEastAsia" w:hAnsiTheme="minorHAnsi"/>
            <w:b w:val="0"/>
            <w:noProof/>
            <w:color w:val="auto"/>
            <w:u w:val="none"/>
            <w:lang w:eastAsia="en-AU"/>
          </w:rPr>
          <w:tab/>
        </w:r>
        <w:r w:rsidR="00865D77" w:rsidRPr="00BA7206">
          <w:rPr>
            <w:rStyle w:val="Hyperlink"/>
            <w:noProof/>
          </w:rPr>
          <w:t>Grant amount and grant period</w:t>
        </w:r>
        <w:r w:rsidR="00865D77">
          <w:rPr>
            <w:noProof/>
            <w:webHidden/>
          </w:rPr>
          <w:tab/>
        </w:r>
        <w:r w:rsidR="00865D77">
          <w:rPr>
            <w:noProof/>
            <w:webHidden/>
          </w:rPr>
          <w:fldChar w:fldCharType="begin"/>
        </w:r>
        <w:r w:rsidR="00865D77">
          <w:rPr>
            <w:noProof/>
            <w:webHidden/>
          </w:rPr>
          <w:instrText xml:space="preserve"> PAGEREF _Toc178085178 \h </w:instrText>
        </w:r>
        <w:r w:rsidR="00865D77">
          <w:rPr>
            <w:noProof/>
            <w:webHidden/>
          </w:rPr>
        </w:r>
        <w:r w:rsidR="00865D77">
          <w:rPr>
            <w:noProof/>
            <w:webHidden/>
          </w:rPr>
          <w:fldChar w:fldCharType="separate"/>
        </w:r>
        <w:r w:rsidR="00865D77">
          <w:rPr>
            <w:noProof/>
            <w:webHidden/>
          </w:rPr>
          <w:t>8</w:t>
        </w:r>
        <w:r w:rsidR="00865D77">
          <w:rPr>
            <w:noProof/>
            <w:webHidden/>
          </w:rPr>
          <w:fldChar w:fldCharType="end"/>
        </w:r>
      </w:hyperlink>
    </w:p>
    <w:p w14:paraId="67B14A65" w14:textId="4E6AB609" w:rsidR="00865D77" w:rsidRDefault="00192222">
      <w:pPr>
        <w:pStyle w:val="TOC2"/>
        <w:rPr>
          <w:rFonts w:asciiTheme="minorHAnsi" w:eastAsiaTheme="minorEastAsia" w:hAnsiTheme="minorHAnsi"/>
          <w:noProof/>
          <w:sz w:val="22"/>
          <w:lang w:eastAsia="en-AU"/>
        </w:rPr>
      </w:pPr>
      <w:hyperlink w:anchor="_Toc178085179" w:history="1">
        <w:r w:rsidR="00865D77" w:rsidRPr="00BA7206">
          <w:rPr>
            <w:rStyle w:val="Hyperlink"/>
            <w:noProof/>
          </w:rPr>
          <w:t>3.1.</w:t>
        </w:r>
        <w:r w:rsidR="00865D77">
          <w:rPr>
            <w:rFonts w:asciiTheme="minorHAnsi" w:eastAsiaTheme="minorEastAsia" w:hAnsiTheme="minorHAnsi"/>
            <w:noProof/>
            <w:sz w:val="22"/>
            <w:lang w:eastAsia="en-AU"/>
          </w:rPr>
          <w:tab/>
        </w:r>
        <w:r w:rsidR="00865D77" w:rsidRPr="00BA7206">
          <w:rPr>
            <w:rStyle w:val="Hyperlink"/>
            <w:noProof/>
          </w:rPr>
          <w:t>Grants available</w:t>
        </w:r>
        <w:r w:rsidR="00865D77">
          <w:rPr>
            <w:noProof/>
            <w:webHidden/>
          </w:rPr>
          <w:tab/>
        </w:r>
        <w:r w:rsidR="00865D77">
          <w:rPr>
            <w:noProof/>
            <w:webHidden/>
          </w:rPr>
          <w:fldChar w:fldCharType="begin"/>
        </w:r>
        <w:r w:rsidR="00865D77">
          <w:rPr>
            <w:noProof/>
            <w:webHidden/>
          </w:rPr>
          <w:instrText xml:space="preserve"> PAGEREF _Toc178085179 \h </w:instrText>
        </w:r>
        <w:r w:rsidR="00865D77">
          <w:rPr>
            <w:noProof/>
            <w:webHidden/>
          </w:rPr>
        </w:r>
        <w:r w:rsidR="00865D77">
          <w:rPr>
            <w:noProof/>
            <w:webHidden/>
          </w:rPr>
          <w:fldChar w:fldCharType="separate"/>
        </w:r>
        <w:r w:rsidR="00865D77">
          <w:rPr>
            <w:noProof/>
            <w:webHidden/>
          </w:rPr>
          <w:t>8</w:t>
        </w:r>
        <w:r w:rsidR="00865D77">
          <w:rPr>
            <w:noProof/>
            <w:webHidden/>
          </w:rPr>
          <w:fldChar w:fldCharType="end"/>
        </w:r>
      </w:hyperlink>
    </w:p>
    <w:p w14:paraId="177FFE9A" w14:textId="3873A70E" w:rsidR="00865D77" w:rsidRDefault="00192222">
      <w:pPr>
        <w:pStyle w:val="TOC2"/>
        <w:rPr>
          <w:rFonts w:asciiTheme="minorHAnsi" w:eastAsiaTheme="minorEastAsia" w:hAnsiTheme="minorHAnsi"/>
          <w:noProof/>
          <w:sz w:val="22"/>
          <w:lang w:eastAsia="en-AU"/>
        </w:rPr>
      </w:pPr>
      <w:hyperlink w:anchor="_Toc178085180" w:history="1">
        <w:r w:rsidR="00865D77" w:rsidRPr="00BA7206">
          <w:rPr>
            <w:rStyle w:val="Hyperlink"/>
            <w:noProof/>
          </w:rPr>
          <w:t>3.2.</w:t>
        </w:r>
        <w:r w:rsidR="00865D77">
          <w:rPr>
            <w:rFonts w:asciiTheme="minorHAnsi" w:eastAsiaTheme="minorEastAsia" w:hAnsiTheme="minorHAnsi"/>
            <w:noProof/>
            <w:sz w:val="22"/>
            <w:lang w:eastAsia="en-AU"/>
          </w:rPr>
          <w:tab/>
        </w:r>
        <w:r w:rsidR="00865D77" w:rsidRPr="00BA7206">
          <w:rPr>
            <w:rStyle w:val="Hyperlink"/>
            <w:noProof/>
          </w:rPr>
          <w:t>Applicant co-contribution</w:t>
        </w:r>
        <w:r w:rsidR="00865D77">
          <w:rPr>
            <w:noProof/>
            <w:webHidden/>
          </w:rPr>
          <w:tab/>
        </w:r>
        <w:r w:rsidR="00865D77">
          <w:rPr>
            <w:noProof/>
            <w:webHidden/>
          </w:rPr>
          <w:fldChar w:fldCharType="begin"/>
        </w:r>
        <w:r w:rsidR="00865D77">
          <w:rPr>
            <w:noProof/>
            <w:webHidden/>
          </w:rPr>
          <w:instrText xml:space="preserve"> PAGEREF _Toc178085180 \h </w:instrText>
        </w:r>
        <w:r w:rsidR="00865D77">
          <w:rPr>
            <w:noProof/>
            <w:webHidden/>
          </w:rPr>
        </w:r>
        <w:r w:rsidR="00865D77">
          <w:rPr>
            <w:noProof/>
            <w:webHidden/>
          </w:rPr>
          <w:fldChar w:fldCharType="separate"/>
        </w:r>
        <w:r w:rsidR="00865D77">
          <w:rPr>
            <w:noProof/>
            <w:webHidden/>
          </w:rPr>
          <w:t>8</w:t>
        </w:r>
        <w:r w:rsidR="00865D77">
          <w:rPr>
            <w:noProof/>
            <w:webHidden/>
          </w:rPr>
          <w:fldChar w:fldCharType="end"/>
        </w:r>
      </w:hyperlink>
    </w:p>
    <w:p w14:paraId="245721BB" w14:textId="71D5FC67" w:rsidR="00865D77" w:rsidRDefault="00192222">
      <w:pPr>
        <w:pStyle w:val="TOC2"/>
        <w:rPr>
          <w:rFonts w:asciiTheme="minorHAnsi" w:eastAsiaTheme="minorEastAsia" w:hAnsiTheme="minorHAnsi"/>
          <w:noProof/>
          <w:sz w:val="22"/>
          <w:lang w:eastAsia="en-AU"/>
        </w:rPr>
      </w:pPr>
      <w:hyperlink w:anchor="_Toc178085181" w:history="1">
        <w:r w:rsidR="00865D77" w:rsidRPr="00BA7206">
          <w:rPr>
            <w:rStyle w:val="Hyperlink"/>
            <w:noProof/>
          </w:rPr>
          <w:t>3.3.</w:t>
        </w:r>
        <w:r w:rsidR="00865D77">
          <w:rPr>
            <w:rFonts w:asciiTheme="minorHAnsi" w:eastAsiaTheme="minorEastAsia" w:hAnsiTheme="minorHAnsi"/>
            <w:noProof/>
            <w:sz w:val="22"/>
            <w:lang w:eastAsia="en-AU"/>
          </w:rPr>
          <w:tab/>
        </w:r>
        <w:r w:rsidR="00865D77" w:rsidRPr="00BA7206">
          <w:rPr>
            <w:rStyle w:val="Hyperlink"/>
            <w:noProof/>
          </w:rPr>
          <w:t>Third Party funding co-contributions</w:t>
        </w:r>
        <w:r w:rsidR="00865D77">
          <w:rPr>
            <w:noProof/>
            <w:webHidden/>
          </w:rPr>
          <w:tab/>
        </w:r>
        <w:r w:rsidR="00865D77">
          <w:rPr>
            <w:noProof/>
            <w:webHidden/>
          </w:rPr>
          <w:fldChar w:fldCharType="begin"/>
        </w:r>
        <w:r w:rsidR="00865D77">
          <w:rPr>
            <w:noProof/>
            <w:webHidden/>
          </w:rPr>
          <w:instrText xml:space="preserve"> PAGEREF _Toc178085181 \h </w:instrText>
        </w:r>
        <w:r w:rsidR="00865D77">
          <w:rPr>
            <w:noProof/>
            <w:webHidden/>
          </w:rPr>
        </w:r>
        <w:r w:rsidR="00865D77">
          <w:rPr>
            <w:noProof/>
            <w:webHidden/>
          </w:rPr>
          <w:fldChar w:fldCharType="separate"/>
        </w:r>
        <w:r w:rsidR="00865D77">
          <w:rPr>
            <w:noProof/>
            <w:webHidden/>
          </w:rPr>
          <w:t>8</w:t>
        </w:r>
        <w:r w:rsidR="00865D77">
          <w:rPr>
            <w:noProof/>
            <w:webHidden/>
          </w:rPr>
          <w:fldChar w:fldCharType="end"/>
        </w:r>
      </w:hyperlink>
    </w:p>
    <w:p w14:paraId="3DB5B6DC" w14:textId="6331B7C2" w:rsidR="00865D77" w:rsidRDefault="00192222">
      <w:pPr>
        <w:pStyle w:val="TOC2"/>
        <w:rPr>
          <w:rFonts w:asciiTheme="minorHAnsi" w:eastAsiaTheme="minorEastAsia" w:hAnsiTheme="minorHAnsi"/>
          <w:noProof/>
          <w:sz w:val="22"/>
          <w:lang w:eastAsia="en-AU"/>
        </w:rPr>
      </w:pPr>
      <w:hyperlink w:anchor="_Toc178085182" w:history="1">
        <w:r w:rsidR="00865D77" w:rsidRPr="00BA7206">
          <w:rPr>
            <w:rStyle w:val="Hyperlink"/>
            <w:noProof/>
          </w:rPr>
          <w:t>3.4.</w:t>
        </w:r>
        <w:r w:rsidR="00865D77">
          <w:rPr>
            <w:rFonts w:asciiTheme="minorHAnsi" w:eastAsiaTheme="minorEastAsia" w:hAnsiTheme="minorHAnsi"/>
            <w:noProof/>
            <w:sz w:val="22"/>
            <w:lang w:eastAsia="en-AU"/>
          </w:rPr>
          <w:tab/>
        </w:r>
        <w:r w:rsidR="00865D77" w:rsidRPr="00BA7206">
          <w:rPr>
            <w:rStyle w:val="Hyperlink"/>
            <w:noProof/>
          </w:rPr>
          <w:t>In-kind co-contributions</w:t>
        </w:r>
        <w:r w:rsidR="00865D77">
          <w:rPr>
            <w:noProof/>
            <w:webHidden/>
          </w:rPr>
          <w:tab/>
        </w:r>
        <w:r w:rsidR="00865D77">
          <w:rPr>
            <w:noProof/>
            <w:webHidden/>
          </w:rPr>
          <w:fldChar w:fldCharType="begin"/>
        </w:r>
        <w:r w:rsidR="00865D77">
          <w:rPr>
            <w:noProof/>
            <w:webHidden/>
          </w:rPr>
          <w:instrText xml:space="preserve"> PAGEREF _Toc178085182 \h </w:instrText>
        </w:r>
        <w:r w:rsidR="00865D77">
          <w:rPr>
            <w:noProof/>
            <w:webHidden/>
          </w:rPr>
        </w:r>
        <w:r w:rsidR="00865D77">
          <w:rPr>
            <w:noProof/>
            <w:webHidden/>
          </w:rPr>
          <w:fldChar w:fldCharType="separate"/>
        </w:r>
        <w:r w:rsidR="00865D77">
          <w:rPr>
            <w:noProof/>
            <w:webHidden/>
          </w:rPr>
          <w:t>9</w:t>
        </w:r>
        <w:r w:rsidR="00865D77">
          <w:rPr>
            <w:noProof/>
            <w:webHidden/>
          </w:rPr>
          <w:fldChar w:fldCharType="end"/>
        </w:r>
      </w:hyperlink>
    </w:p>
    <w:p w14:paraId="7F34EB09" w14:textId="78967FE2" w:rsidR="00865D77" w:rsidRDefault="00192222">
      <w:pPr>
        <w:pStyle w:val="TOC2"/>
        <w:rPr>
          <w:rFonts w:asciiTheme="minorHAnsi" w:eastAsiaTheme="minorEastAsia" w:hAnsiTheme="minorHAnsi"/>
          <w:noProof/>
          <w:sz w:val="22"/>
          <w:lang w:eastAsia="en-AU"/>
        </w:rPr>
      </w:pPr>
      <w:hyperlink w:anchor="_Toc178085183" w:history="1">
        <w:r w:rsidR="00865D77" w:rsidRPr="00BA7206">
          <w:rPr>
            <w:rStyle w:val="Hyperlink"/>
            <w:noProof/>
          </w:rPr>
          <w:t>3.5.</w:t>
        </w:r>
        <w:r w:rsidR="00865D77">
          <w:rPr>
            <w:rFonts w:asciiTheme="minorHAnsi" w:eastAsiaTheme="minorEastAsia" w:hAnsiTheme="minorHAnsi"/>
            <w:noProof/>
            <w:sz w:val="22"/>
            <w:lang w:eastAsia="en-AU"/>
          </w:rPr>
          <w:tab/>
        </w:r>
        <w:r w:rsidR="00865D77" w:rsidRPr="00BA7206">
          <w:rPr>
            <w:rStyle w:val="Hyperlink"/>
            <w:noProof/>
          </w:rPr>
          <w:t>Grant period</w:t>
        </w:r>
        <w:r w:rsidR="00865D77">
          <w:rPr>
            <w:noProof/>
            <w:webHidden/>
          </w:rPr>
          <w:tab/>
        </w:r>
        <w:r w:rsidR="00865D77">
          <w:rPr>
            <w:noProof/>
            <w:webHidden/>
          </w:rPr>
          <w:fldChar w:fldCharType="begin"/>
        </w:r>
        <w:r w:rsidR="00865D77">
          <w:rPr>
            <w:noProof/>
            <w:webHidden/>
          </w:rPr>
          <w:instrText xml:space="preserve"> PAGEREF _Toc178085183 \h </w:instrText>
        </w:r>
        <w:r w:rsidR="00865D77">
          <w:rPr>
            <w:noProof/>
            <w:webHidden/>
          </w:rPr>
        </w:r>
        <w:r w:rsidR="00865D77">
          <w:rPr>
            <w:noProof/>
            <w:webHidden/>
          </w:rPr>
          <w:fldChar w:fldCharType="separate"/>
        </w:r>
        <w:r w:rsidR="00865D77">
          <w:rPr>
            <w:noProof/>
            <w:webHidden/>
          </w:rPr>
          <w:t>9</w:t>
        </w:r>
        <w:r w:rsidR="00865D77">
          <w:rPr>
            <w:noProof/>
            <w:webHidden/>
          </w:rPr>
          <w:fldChar w:fldCharType="end"/>
        </w:r>
      </w:hyperlink>
    </w:p>
    <w:p w14:paraId="2C29C5A9" w14:textId="58F8F8A8" w:rsidR="00865D77" w:rsidRDefault="00192222">
      <w:pPr>
        <w:pStyle w:val="TOC1"/>
        <w:rPr>
          <w:rFonts w:asciiTheme="minorHAnsi" w:eastAsiaTheme="minorEastAsia" w:hAnsiTheme="minorHAnsi"/>
          <w:b w:val="0"/>
          <w:noProof/>
          <w:color w:val="auto"/>
          <w:u w:val="none"/>
          <w:lang w:eastAsia="en-AU"/>
        </w:rPr>
      </w:pPr>
      <w:hyperlink w:anchor="_Toc178085184" w:history="1">
        <w:r w:rsidR="00865D77" w:rsidRPr="00BA7206">
          <w:rPr>
            <w:rStyle w:val="Hyperlink"/>
            <w:noProof/>
          </w:rPr>
          <w:t>4.</w:t>
        </w:r>
        <w:r w:rsidR="00865D77">
          <w:rPr>
            <w:rFonts w:asciiTheme="minorHAnsi" w:eastAsiaTheme="minorEastAsia" w:hAnsiTheme="minorHAnsi"/>
            <w:b w:val="0"/>
            <w:noProof/>
            <w:color w:val="auto"/>
            <w:u w:val="none"/>
            <w:lang w:eastAsia="en-AU"/>
          </w:rPr>
          <w:tab/>
        </w:r>
        <w:r w:rsidR="00865D77" w:rsidRPr="00BA7206">
          <w:rPr>
            <w:rStyle w:val="Hyperlink"/>
            <w:noProof/>
          </w:rPr>
          <w:t>Eligibility criteria</w:t>
        </w:r>
        <w:r w:rsidR="00865D77">
          <w:rPr>
            <w:noProof/>
            <w:webHidden/>
          </w:rPr>
          <w:tab/>
        </w:r>
        <w:r w:rsidR="00865D77">
          <w:rPr>
            <w:noProof/>
            <w:webHidden/>
          </w:rPr>
          <w:fldChar w:fldCharType="begin"/>
        </w:r>
        <w:r w:rsidR="00865D77">
          <w:rPr>
            <w:noProof/>
            <w:webHidden/>
          </w:rPr>
          <w:instrText xml:space="preserve"> PAGEREF _Toc178085184 \h </w:instrText>
        </w:r>
        <w:r w:rsidR="00865D77">
          <w:rPr>
            <w:noProof/>
            <w:webHidden/>
          </w:rPr>
        </w:r>
        <w:r w:rsidR="00865D77">
          <w:rPr>
            <w:noProof/>
            <w:webHidden/>
          </w:rPr>
          <w:fldChar w:fldCharType="separate"/>
        </w:r>
        <w:r w:rsidR="00865D77">
          <w:rPr>
            <w:noProof/>
            <w:webHidden/>
          </w:rPr>
          <w:t>10</w:t>
        </w:r>
        <w:r w:rsidR="00865D77">
          <w:rPr>
            <w:noProof/>
            <w:webHidden/>
          </w:rPr>
          <w:fldChar w:fldCharType="end"/>
        </w:r>
      </w:hyperlink>
    </w:p>
    <w:p w14:paraId="5990B4F1" w14:textId="6A00F3F3" w:rsidR="00865D77" w:rsidRDefault="00192222">
      <w:pPr>
        <w:pStyle w:val="TOC2"/>
        <w:rPr>
          <w:rFonts w:asciiTheme="minorHAnsi" w:eastAsiaTheme="minorEastAsia" w:hAnsiTheme="minorHAnsi"/>
          <w:noProof/>
          <w:sz w:val="22"/>
          <w:lang w:eastAsia="en-AU"/>
        </w:rPr>
      </w:pPr>
      <w:hyperlink w:anchor="_Toc178085185" w:history="1">
        <w:r w:rsidR="00865D77" w:rsidRPr="00BA7206">
          <w:rPr>
            <w:rStyle w:val="Hyperlink"/>
            <w:noProof/>
          </w:rPr>
          <w:t>4.1.</w:t>
        </w:r>
        <w:r w:rsidR="00865D77">
          <w:rPr>
            <w:rFonts w:asciiTheme="minorHAnsi" w:eastAsiaTheme="minorEastAsia" w:hAnsiTheme="minorHAnsi"/>
            <w:noProof/>
            <w:sz w:val="22"/>
            <w:lang w:eastAsia="en-AU"/>
          </w:rPr>
          <w:tab/>
        </w:r>
        <w:r w:rsidR="00865D77" w:rsidRPr="00BA7206">
          <w:rPr>
            <w:rStyle w:val="Hyperlink"/>
            <w:noProof/>
          </w:rPr>
          <w:t>Who is eligible to apply for a grant?</w:t>
        </w:r>
        <w:r w:rsidR="00865D77">
          <w:rPr>
            <w:noProof/>
            <w:webHidden/>
          </w:rPr>
          <w:tab/>
        </w:r>
        <w:r w:rsidR="00865D77">
          <w:rPr>
            <w:noProof/>
            <w:webHidden/>
          </w:rPr>
          <w:fldChar w:fldCharType="begin"/>
        </w:r>
        <w:r w:rsidR="00865D77">
          <w:rPr>
            <w:noProof/>
            <w:webHidden/>
          </w:rPr>
          <w:instrText xml:space="preserve"> PAGEREF _Toc178085185 \h </w:instrText>
        </w:r>
        <w:r w:rsidR="00865D77">
          <w:rPr>
            <w:noProof/>
            <w:webHidden/>
          </w:rPr>
        </w:r>
        <w:r w:rsidR="00865D77">
          <w:rPr>
            <w:noProof/>
            <w:webHidden/>
          </w:rPr>
          <w:fldChar w:fldCharType="separate"/>
        </w:r>
        <w:r w:rsidR="00865D77">
          <w:rPr>
            <w:noProof/>
            <w:webHidden/>
          </w:rPr>
          <w:t>10</w:t>
        </w:r>
        <w:r w:rsidR="00865D77">
          <w:rPr>
            <w:noProof/>
            <w:webHidden/>
          </w:rPr>
          <w:fldChar w:fldCharType="end"/>
        </w:r>
      </w:hyperlink>
    </w:p>
    <w:p w14:paraId="1F7A6582" w14:textId="16C1FA3B" w:rsidR="00865D77" w:rsidRDefault="00192222">
      <w:pPr>
        <w:pStyle w:val="TOC2"/>
        <w:rPr>
          <w:rFonts w:asciiTheme="minorHAnsi" w:eastAsiaTheme="minorEastAsia" w:hAnsiTheme="minorHAnsi"/>
          <w:noProof/>
          <w:sz w:val="22"/>
          <w:lang w:eastAsia="en-AU"/>
        </w:rPr>
      </w:pPr>
      <w:hyperlink w:anchor="_Toc178085186" w:history="1">
        <w:r w:rsidR="00865D77" w:rsidRPr="00BA7206">
          <w:rPr>
            <w:rStyle w:val="Hyperlink"/>
            <w:noProof/>
          </w:rPr>
          <w:t>4.2.</w:t>
        </w:r>
        <w:r w:rsidR="00865D77">
          <w:rPr>
            <w:rFonts w:asciiTheme="minorHAnsi" w:eastAsiaTheme="minorEastAsia" w:hAnsiTheme="minorHAnsi"/>
            <w:noProof/>
            <w:sz w:val="22"/>
            <w:lang w:eastAsia="en-AU"/>
          </w:rPr>
          <w:tab/>
        </w:r>
        <w:r w:rsidR="00865D77" w:rsidRPr="00BA7206">
          <w:rPr>
            <w:rStyle w:val="Hyperlink"/>
            <w:noProof/>
          </w:rPr>
          <w:t>Minimum requirements</w:t>
        </w:r>
        <w:r w:rsidR="00865D77">
          <w:rPr>
            <w:noProof/>
            <w:webHidden/>
          </w:rPr>
          <w:tab/>
        </w:r>
        <w:r w:rsidR="00865D77">
          <w:rPr>
            <w:noProof/>
            <w:webHidden/>
          </w:rPr>
          <w:fldChar w:fldCharType="begin"/>
        </w:r>
        <w:r w:rsidR="00865D77">
          <w:rPr>
            <w:noProof/>
            <w:webHidden/>
          </w:rPr>
          <w:instrText xml:space="preserve"> PAGEREF _Toc178085186 \h </w:instrText>
        </w:r>
        <w:r w:rsidR="00865D77">
          <w:rPr>
            <w:noProof/>
            <w:webHidden/>
          </w:rPr>
        </w:r>
        <w:r w:rsidR="00865D77">
          <w:rPr>
            <w:noProof/>
            <w:webHidden/>
          </w:rPr>
          <w:fldChar w:fldCharType="separate"/>
        </w:r>
        <w:r w:rsidR="00865D77">
          <w:rPr>
            <w:noProof/>
            <w:webHidden/>
          </w:rPr>
          <w:t>11</w:t>
        </w:r>
        <w:r w:rsidR="00865D77">
          <w:rPr>
            <w:noProof/>
            <w:webHidden/>
          </w:rPr>
          <w:fldChar w:fldCharType="end"/>
        </w:r>
      </w:hyperlink>
    </w:p>
    <w:p w14:paraId="3594EB8B" w14:textId="4EE68F2C" w:rsidR="00865D77" w:rsidRDefault="00192222">
      <w:pPr>
        <w:pStyle w:val="TOC3"/>
        <w:rPr>
          <w:rFonts w:asciiTheme="minorHAnsi" w:eastAsiaTheme="minorEastAsia" w:hAnsiTheme="minorHAnsi"/>
          <w:noProof/>
          <w:sz w:val="22"/>
          <w:lang w:eastAsia="en-AU"/>
        </w:rPr>
      </w:pPr>
      <w:hyperlink w:anchor="_Toc178085187" w:history="1">
        <w:r w:rsidR="00865D77" w:rsidRPr="00BA7206">
          <w:rPr>
            <w:rStyle w:val="Hyperlink"/>
            <w:noProof/>
          </w:rPr>
          <w:t>Services required</w:t>
        </w:r>
        <w:r w:rsidR="00865D77">
          <w:rPr>
            <w:noProof/>
            <w:webHidden/>
          </w:rPr>
          <w:tab/>
        </w:r>
        <w:r w:rsidR="00865D77">
          <w:rPr>
            <w:noProof/>
            <w:webHidden/>
          </w:rPr>
          <w:fldChar w:fldCharType="begin"/>
        </w:r>
        <w:r w:rsidR="00865D77">
          <w:rPr>
            <w:noProof/>
            <w:webHidden/>
          </w:rPr>
          <w:instrText xml:space="preserve"> PAGEREF _Toc178085187 \h </w:instrText>
        </w:r>
        <w:r w:rsidR="00865D77">
          <w:rPr>
            <w:noProof/>
            <w:webHidden/>
          </w:rPr>
        </w:r>
        <w:r w:rsidR="00865D77">
          <w:rPr>
            <w:noProof/>
            <w:webHidden/>
          </w:rPr>
          <w:fldChar w:fldCharType="separate"/>
        </w:r>
        <w:r w:rsidR="00865D77">
          <w:rPr>
            <w:noProof/>
            <w:webHidden/>
          </w:rPr>
          <w:t>11</w:t>
        </w:r>
        <w:r w:rsidR="00865D77">
          <w:rPr>
            <w:noProof/>
            <w:webHidden/>
          </w:rPr>
          <w:fldChar w:fldCharType="end"/>
        </w:r>
      </w:hyperlink>
    </w:p>
    <w:p w14:paraId="2D1CF9A1" w14:textId="4E8B0B41" w:rsidR="00865D77" w:rsidRDefault="00192222">
      <w:pPr>
        <w:pStyle w:val="TOC3"/>
        <w:rPr>
          <w:rFonts w:asciiTheme="minorHAnsi" w:eastAsiaTheme="minorEastAsia" w:hAnsiTheme="minorHAnsi"/>
          <w:noProof/>
          <w:sz w:val="22"/>
          <w:lang w:eastAsia="en-AU"/>
        </w:rPr>
      </w:pPr>
      <w:hyperlink w:anchor="_Toc178085188" w:history="1">
        <w:r w:rsidR="00865D77" w:rsidRPr="00BA7206">
          <w:rPr>
            <w:rStyle w:val="Hyperlink"/>
            <w:noProof/>
          </w:rPr>
          <w:t>Back-up Power</w:t>
        </w:r>
        <w:r w:rsidR="00865D77">
          <w:rPr>
            <w:noProof/>
            <w:webHidden/>
          </w:rPr>
          <w:tab/>
        </w:r>
        <w:r w:rsidR="00865D77">
          <w:rPr>
            <w:noProof/>
            <w:webHidden/>
          </w:rPr>
          <w:fldChar w:fldCharType="begin"/>
        </w:r>
        <w:r w:rsidR="00865D77">
          <w:rPr>
            <w:noProof/>
            <w:webHidden/>
          </w:rPr>
          <w:instrText xml:space="preserve"> PAGEREF _Toc178085188 \h </w:instrText>
        </w:r>
        <w:r w:rsidR="00865D77">
          <w:rPr>
            <w:noProof/>
            <w:webHidden/>
          </w:rPr>
        </w:r>
        <w:r w:rsidR="00865D77">
          <w:rPr>
            <w:noProof/>
            <w:webHidden/>
          </w:rPr>
          <w:fldChar w:fldCharType="separate"/>
        </w:r>
        <w:r w:rsidR="00865D77">
          <w:rPr>
            <w:noProof/>
            <w:webHidden/>
          </w:rPr>
          <w:t>11</w:t>
        </w:r>
        <w:r w:rsidR="00865D77">
          <w:rPr>
            <w:noProof/>
            <w:webHidden/>
          </w:rPr>
          <w:fldChar w:fldCharType="end"/>
        </w:r>
      </w:hyperlink>
    </w:p>
    <w:p w14:paraId="4BA16FED" w14:textId="70DC0C78" w:rsidR="00865D77" w:rsidRDefault="00192222">
      <w:pPr>
        <w:pStyle w:val="TOC3"/>
        <w:rPr>
          <w:rFonts w:asciiTheme="minorHAnsi" w:eastAsiaTheme="minorEastAsia" w:hAnsiTheme="minorHAnsi"/>
          <w:noProof/>
          <w:sz w:val="22"/>
          <w:lang w:eastAsia="en-AU"/>
        </w:rPr>
      </w:pPr>
      <w:hyperlink w:anchor="_Toc178085189" w:history="1">
        <w:r w:rsidR="00865D77" w:rsidRPr="00BA7206">
          <w:rPr>
            <w:rStyle w:val="Hyperlink"/>
            <w:noProof/>
          </w:rPr>
          <w:t>Multi-MNO solutions – Active sharing, Co-location and co-build</w:t>
        </w:r>
        <w:r w:rsidR="00865D77">
          <w:rPr>
            <w:noProof/>
            <w:webHidden/>
          </w:rPr>
          <w:tab/>
        </w:r>
        <w:r w:rsidR="00865D77">
          <w:rPr>
            <w:noProof/>
            <w:webHidden/>
          </w:rPr>
          <w:fldChar w:fldCharType="begin"/>
        </w:r>
        <w:r w:rsidR="00865D77">
          <w:rPr>
            <w:noProof/>
            <w:webHidden/>
          </w:rPr>
          <w:instrText xml:space="preserve"> PAGEREF _Toc178085189 \h </w:instrText>
        </w:r>
        <w:r w:rsidR="00865D77">
          <w:rPr>
            <w:noProof/>
            <w:webHidden/>
          </w:rPr>
        </w:r>
        <w:r w:rsidR="00865D77">
          <w:rPr>
            <w:noProof/>
            <w:webHidden/>
          </w:rPr>
          <w:fldChar w:fldCharType="separate"/>
        </w:r>
        <w:r w:rsidR="00865D77">
          <w:rPr>
            <w:noProof/>
            <w:webHidden/>
          </w:rPr>
          <w:t>11</w:t>
        </w:r>
        <w:r w:rsidR="00865D77">
          <w:rPr>
            <w:noProof/>
            <w:webHidden/>
          </w:rPr>
          <w:fldChar w:fldCharType="end"/>
        </w:r>
      </w:hyperlink>
    </w:p>
    <w:p w14:paraId="0B4FBA28" w14:textId="2D49A195" w:rsidR="00865D77" w:rsidRDefault="00192222">
      <w:pPr>
        <w:pStyle w:val="TOC3"/>
        <w:rPr>
          <w:rFonts w:asciiTheme="minorHAnsi" w:eastAsiaTheme="minorEastAsia" w:hAnsiTheme="minorHAnsi"/>
          <w:noProof/>
          <w:sz w:val="22"/>
          <w:lang w:eastAsia="en-AU"/>
        </w:rPr>
      </w:pPr>
      <w:hyperlink w:anchor="_Toc178085190" w:history="1">
        <w:r w:rsidR="00865D77" w:rsidRPr="00BA7206">
          <w:rPr>
            <w:rStyle w:val="Hyperlink"/>
            <w:noProof/>
          </w:rPr>
          <w:t>Backhaul access and pricing</w:t>
        </w:r>
        <w:r w:rsidR="00865D77">
          <w:rPr>
            <w:noProof/>
            <w:webHidden/>
          </w:rPr>
          <w:tab/>
        </w:r>
        <w:r w:rsidR="00865D77">
          <w:rPr>
            <w:noProof/>
            <w:webHidden/>
          </w:rPr>
          <w:fldChar w:fldCharType="begin"/>
        </w:r>
        <w:r w:rsidR="00865D77">
          <w:rPr>
            <w:noProof/>
            <w:webHidden/>
          </w:rPr>
          <w:instrText xml:space="preserve"> PAGEREF _Toc178085190 \h </w:instrText>
        </w:r>
        <w:r w:rsidR="00865D77">
          <w:rPr>
            <w:noProof/>
            <w:webHidden/>
          </w:rPr>
        </w:r>
        <w:r w:rsidR="00865D77">
          <w:rPr>
            <w:noProof/>
            <w:webHidden/>
          </w:rPr>
          <w:fldChar w:fldCharType="separate"/>
        </w:r>
        <w:r w:rsidR="00865D77">
          <w:rPr>
            <w:noProof/>
            <w:webHidden/>
          </w:rPr>
          <w:t>13</w:t>
        </w:r>
        <w:r w:rsidR="00865D77">
          <w:rPr>
            <w:noProof/>
            <w:webHidden/>
          </w:rPr>
          <w:fldChar w:fldCharType="end"/>
        </w:r>
      </w:hyperlink>
    </w:p>
    <w:p w14:paraId="0CA548F5" w14:textId="05130F8C" w:rsidR="00865D77" w:rsidRDefault="00192222">
      <w:pPr>
        <w:pStyle w:val="TOC3"/>
        <w:rPr>
          <w:rFonts w:asciiTheme="minorHAnsi" w:eastAsiaTheme="minorEastAsia" w:hAnsiTheme="minorHAnsi"/>
          <w:noProof/>
          <w:sz w:val="22"/>
          <w:lang w:eastAsia="en-AU"/>
        </w:rPr>
      </w:pPr>
      <w:hyperlink w:anchor="_Toc178085191" w:history="1">
        <w:r w:rsidR="00865D77" w:rsidRPr="00BA7206">
          <w:rPr>
            <w:rStyle w:val="Hyperlink"/>
            <w:noProof/>
          </w:rPr>
          <w:t>Dispute resolution</w:t>
        </w:r>
        <w:r w:rsidR="00865D77">
          <w:rPr>
            <w:noProof/>
            <w:webHidden/>
          </w:rPr>
          <w:tab/>
        </w:r>
        <w:r w:rsidR="00865D77">
          <w:rPr>
            <w:noProof/>
            <w:webHidden/>
          </w:rPr>
          <w:fldChar w:fldCharType="begin"/>
        </w:r>
        <w:r w:rsidR="00865D77">
          <w:rPr>
            <w:noProof/>
            <w:webHidden/>
          </w:rPr>
          <w:instrText xml:space="preserve"> PAGEREF _Toc178085191 \h </w:instrText>
        </w:r>
        <w:r w:rsidR="00865D77">
          <w:rPr>
            <w:noProof/>
            <w:webHidden/>
          </w:rPr>
        </w:r>
        <w:r w:rsidR="00865D77">
          <w:rPr>
            <w:noProof/>
            <w:webHidden/>
          </w:rPr>
          <w:fldChar w:fldCharType="separate"/>
        </w:r>
        <w:r w:rsidR="00865D77">
          <w:rPr>
            <w:noProof/>
            <w:webHidden/>
          </w:rPr>
          <w:t>14</w:t>
        </w:r>
        <w:r w:rsidR="00865D77">
          <w:rPr>
            <w:noProof/>
            <w:webHidden/>
          </w:rPr>
          <w:fldChar w:fldCharType="end"/>
        </w:r>
      </w:hyperlink>
    </w:p>
    <w:p w14:paraId="3BEC89DD" w14:textId="1F7B5C3E" w:rsidR="00865D77" w:rsidRDefault="00192222">
      <w:pPr>
        <w:pStyle w:val="TOC1"/>
        <w:rPr>
          <w:rFonts w:asciiTheme="minorHAnsi" w:eastAsiaTheme="minorEastAsia" w:hAnsiTheme="minorHAnsi"/>
          <w:b w:val="0"/>
          <w:noProof/>
          <w:color w:val="auto"/>
          <w:u w:val="none"/>
          <w:lang w:eastAsia="en-AU"/>
        </w:rPr>
      </w:pPr>
      <w:hyperlink w:anchor="_Toc178085192" w:history="1">
        <w:r w:rsidR="00865D77" w:rsidRPr="00BA7206">
          <w:rPr>
            <w:rStyle w:val="Hyperlink"/>
            <w:noProof/>
          </w:rPr>
          <w:t>5.</w:t>
        </w:r>
        <w:r w:rsidR="00865D77">
          <w:rPr>
            <w:rFonts w:asciiTheme="minorHAnsi" w:eastAsiaTheme="minorEastAsia" w:hAnsiTheme="minorHAnsi"/>
            <w:b w:val="0"/>
            <w:noProof/>
            <w:color w:val="auto"/>
            <w:u w:val="none"/>
            <w:lang w:eastAsia="en-AU"/>
          </w:rPr>
          <w:tab/>
        </w:r>
        <w:r w:rsidR="00865D77" w:rsidRPr="00BA7206">
          <w:rPr>
            <w:rStyle w:val="Hyperlink"/>
            <w:noProof/>
          </w:rPr>
          <w:t>What the grant money can be used for</w:t>
        </w:r>
        <w:r w:rsidR="00865D77">
          <w:rPr>
            <w:noProof/>
            <w:webHidden/>
          </w:rPr>
          <w:tab/>
        </w:r>
        <w:r w:rsidR="00865D77">
          <w:rPr>
            <w:noProof/>
            <w:webHidden/>
          </w:rPr>
          <w:fldChar w:fldCharType="begin"/>
        </w:r>
        <w:r w:rsidR="00865D77">
          <w:rPr>
            <w:noProof/>
            <w:webHidden/>
          </w:rPr>
          <w:instrText xml:space="preserve"> PAGEREF _Toc178085192 \h </w:instrText>
        </w:r>
        <w:r w:rsidR="00865D77">
          <w:rPr>
            <w:noProof/>
            <w:webHidden/>
          </w:rPr>
        </w:r>
        <w:r w:rsidR="00865D77">
          <w:rPr>
            <w:noProof/>
            <w:webHidden/>
          </w:rPr>
          <w:fldChar w:fldCharType="separate"/>
        </w:r>
        <w:r w:rsidR="00865D77">
          <w:rPr>
            <w:noProof/>
            <w:webHidden/>
          </w:rPr>
          <w:t>14</w:t>
        </w:r>
        <w:r w:rsidR="00865D77">
          <w:rPr>
            <w:noProof/>
            <w:webHidden/>
          </w:rPr>
          <w:fldChar w:fldCharType="end"/>
        </w:r>
      </w:hyperlink>
    </w:p>
    <w:p w14:paraId="7C71B939" w14:textId="1FCFAC14" w:rsidR="00865D77" w:rsidRDefault="00192222">
      <w:pPr>
        <w:pStyle w:val="TOC2"/>
        <w:rPr>
          <w:rFonts w:asciiTheme="minorHAnsi" w:eastAsiaTheme="minorEastAsia" w:hAnsiTheme="minorHAnsi"/>
          <w:noProof/>
          <w:sz w:val="22"/>
          <w:lang w:eastAsia="en-AU"/>
        </w:rPr>
      </w:pPr>
      <w:hyperlink w:anchor="_Toc178085193" w:history="1">
        <w:r w:rsidR="00865D77" w:rsidRPr="00BA7206">
          <w:rPr>
            <w:rStyle w:val="Hyperlink"/>
            <w:noProof/>
          </w:rPr>
          <w:t>5.1.</w:t>
        </w:r>
        <w:r w:rsidR="00865D77">
          <w:rPr>
            <w:rFonts w:asciiTheme="minorHAnsi" w:eastAsiaTheme="minorEastAsia" w:hAnsiTheme="minorHAnsi"/>
            <w:noProof/>
            <w:sz w:val="22"/>
            <w:lang w:eastAsia="en-AU"/>
          </w:rPr>
          <w:tab/>
        </w:r>
        <w:r w:rsidR="00865D77" w:rsidRPr="00BA7206">
          <w:rPr>
            <w:rStyle w:val="Hyperlink"/>
            <w:noProof/>
          </w:rPr>
          <w:t>Eligible grant activities</w:t>
        </w:r>
        <w:r w:rsidR="00865D77">
          <w:rPr>
            <w:noProof/>
            <w:webHidden/>
          </w:rPr>
          <w:tab/>
        </w:r>
        <w:r w:rsidR="00865D77">
          <w:rPr>
            <w:noProof/>
            <w:webHidden/>
          </w:rPr>
          <w:fldChar w:fldCharType="begin"/>
        </w:r>
        <w:r w:rsidR="00865D77">
          <w:rPr>
            <w:noProof/>
            <w:webHidden/>
          </w:rPr>
          <w:instrText xml:space="preserve"> PAGEREF _Toc178085193 \h </w:instrText>
        </w:r>
        <w:r w:rsidR="00865D77">
          <w:rPr>
            <w:noProof/>
            <w:webHidden/>
          </w:rPr>
        </w:r>
        <w:r w:rsidR="00865D77">
          <w:rPr>
            <w:noProof/>
            <w:webHidden/>
          </w:rPr>
          <w:fldChar w:fldCharType="separate"/>
        </w:r>
        <w:r w:rsidR="00865D77">
          <w:rPr>
            <w:noProof/>
            <w:webHidden/>
          </w:rPr>
          <w:t>14</w:t>
        </w:r>
        <w:r w:rsidR="00865D77">
          <w:rPr>
            <w:noProof/>
            <w:webHidden/>
          </w:rPr>
          <w:fldChar w:fldCharType="end"/>
        </w:r>
      </w:hyperlink>
    </w:p>
    <w:p w14:paraId="31DBCD06" w14:textId="32F1BB56" w:rsidR="00865D77" w:rsidRDefault="00192222">
      <w:pPr>
        <w:pStyle w:val="TOC2"/>
        <w:rPr>
          <w:rFonts w:asciiTheme="minorHAnsi" w:eastAsiaTheme="minorEastAsia" w:hAnsiTheme="minorHAnsi"/>
          <w:noProof/>
          <w:sz w:val="22"/>
          <w:lang w:eastAsia="en-AU"/>
        </w:rPr>
      </w:pPr>
      <w:hyperlink w:anchor="_Toc178085194" w:history="1">
        <w:r w:rsidR="00865D77" w:rsidRPr="00BA7206">
          <w:rPr>
            <w:rStyle w:val="Hyperlink"/>
            <w:noProof/>
          </w:rPr>
          <w:t>5.2.</w:t>
        </w:r>
        <w:r w:rsidR="00865D77">
          <w:rPr>
            <w:rFonts w:asciiTheme="minorHAnsi" w:eastAsiaTheme="minorEastAsia" w:hAnsiTheme="minorHAnsi"/>
            <w:noProof/>
            <w:sz w:val="22"/>
            <w:lang w:eastAsia="en-AU"/>
          </w:rPr>
          <w:tab/>
        </w:r>
        <w:r w:rsidR="00865D77" w:rsidRPr="00BA7206">
          <w:rPr>
            <w:rStyle w:val="Hyperlink"/>
            <w:noProof/>
          </w:rPr>
          <w:t>Eligible locations</w:t>
        </w:r>
        <w:r w:rsidR="00865D77">
          <w:rPr>
            <w:noProof/>
            <w:webHidden/>
          </w:rPr>
          <w:tab/>
        </w:r>
        <w:r w:rsidR="00865D77">
          <w:rPr>
            <w:noProof/>
            <w:webHidden/>
          </w:rPr>
          <w:fldChar w:fldCharType="begin"/>
        </w:r>
        <w:r w:rsidR="00865D77">
          <w:rPr>
            <w:noProof/>
            <w:webHidden/>
          </w:rPr>
          <w:instrText xml:space="preserve"> PAGEREF _Toc178085194 \h </w:instrText>
        </w:r>
        <w:r w:rsidR="00865D77">
          <w:rPr>
            <w:noProof/>
            <w:webHidden/>
          </w:rPr>
        </w:r>
        <w:r w:rsidR="00865D77">
          <w:rPr>
            <w:noProof/>
            <w:webHidden/>
          </w:rPr>
          <w:fldChar w:fldCharType="separate"/>
        </w:r>
        <w:r w:rsidR="00865D77">
          <w:rPr>
            <w:noProof/>
            <w:webHidden/>
          </w:rPr>
          <w:t>14</w:t>
        </w:r>
        <w:r w:rsidR="00865D77">
          <w:rPr>
            <w:noProof/>
            <w:webHidden/>
          </w:rPr>
          <w:fldChar w:fldCharType="end"/>
        </w:r>
      </w:hyperlink>
    </w:p>
    <w:p w14:paraId="585528D5" w14:textId="015E25E1" w:rsidR="00865D77" w:rsidRDefault="00192222">
      <w:pPr>
        <w:pStyle w:val="TOC2"/>
        <w:rPr>
          <w:rFonts w:asciiTheme="minorHAnsi" w:eastAsiaTheme="minorEastAsia" w:hAnsiTheme="minorHAnsi"/>
          <w:noProof/>
          <w:sz w:val="22"/>
          <w:lang w:eastAsia="en-AU"/>
        </w:rPr>
      </w:pPr>
      <w:hyperlink w:anchor="_Toc178085195" w:history="1">
        <w:r w:rsidR="00865D77" w:rsidRPr="00BA7206">
          <w:rPr>
            <w:rStyle w:val="Hyperlink"/>
            <w:noProof/>
          </w:rPr>
          <w:t>5.3.</w:t>
        </w:r>
        <w:r w:rsidR="00865D77">
          <w:rPr>
            <w:rFonts w:asciiTheme="minorHAnsi" w:eastAsiaTheme="minorEastAsia" w:hAnsiTheme="minorHAnsi"/>
            <w:noProof/>
            <w:sz w:val="22"/>
            <w:lang w:eastAsia="en-AU"/>
          </w:rPr>
          <w:tab/>
        </w:r>
        <w:r w:rsidR="00865D77" w:rsidRPr="00BA7206">
          <w:rPr>
            <w:rStyle w:val="Hyperlink"/>
            <w:noProof/>
          </w:rPr>
          <w:t>Eligible expenditure</w:t>
        </w:r>
        <w:r w:rsidR="00865D77">
          <w:rPr>
            <w:noProof/>
            <w:webHidden/>
          </w:rPr>
          <w:tab/>
        </w:r>
        <w:r w:rsidR="00865D77">
          <w:rPr>
            <w:noProof/>
            <w:webHidden/>
          </w:rPr>
          <w:fldChar w:fldCharType="begin"/>
        </w:r>
        <w:r w:rsidR="00865D77">
          <w:rPr>
            <w:noProof/>
            <w:webHidden/>
          </w:rPr>
          <w:instrText xml:space="preserve"> PAGEREF _Toc178085195 \h </w:instrText>
        </w:r>
        <w:r w:rsidR="00865D77">
          <w:rPr>
            <w:noProof/>
            <w:webHidden/>
          </w:rPr>
        </w:r>
        <w:r w:rsidR="00865D77">
          <w:rPr>
            <w:noProof/>
            <w:webHidden/>
          </w:rPr>
          <w:fldChar w:fldCharType="separate"/>
        </w:r>
        <w:r w:rsidR="00865D77">
          <w:rPr>
            <w:noProof/>
            <w:webHidden/>
          </w:rPr>
          <w:t>15</w:t>
        </w:r>
        <w:r w:rsidR="00865D77">
          <w:rPr>
            <w:noProof/>
            <w:webHidden/>
          </w:rPr>
          <w:fldChar w:fldCharType="end"/>
        </w:r>
      </w:hyperlink>
    </w:p>
    <w:p w14:paraId="560C626C" w14:textId="0C6075CD" w:rsidR="00865D77" w:rsidRDefault="00192222">
      <w:pPr>
        <w:pStyle w:val="TOC2"/>
        <w:rPr>
          <w:rFonts w:asciiTheme="minorHAnsi" w:eastAsiaTheme="minorEastAsia" w:hAnsiTheme="minorHAnsi"/>
          <w:noProof/>
          <w:sz w:val="22"/>
          <w:lang w:eastAsia="en-AU"/>
        </w:rPr>
      </w:pPr>
      <w:hyperlink w:anchor="_Toc178085196" w:history="1">
        <w:r w:rsidR="00865D77" w:rsidRPr="00BA7206">
          <w:rPr>
            <w:rStyle w:val="Hyperlink"/>
            <w:noProof/>
          </w:rPr>
          <w:t>5.4.</w:t>
        </w:r>
        <w:r w:rsidR="00865D77">
          <w:rPr>
            <w:rFonts w:asciiTheme="minorHAnsi" w:eastAsiaTheme="minorEastAsia" w:hAnsiTheme="minorHAnsi"/>
            <w:noProof/>
            <w:sz w:val="22"/>
            <w:lang w:eastAsia="en-AU"/>
          </w:rPr>
          <w:tab/>
        </w:r>
        <w:r w:rsidR="00865D77" w:rsidRPr="00BA7206">
          <w:rPr>
            <w:rStyle w:val="Hyperlink"/>
            <w:noProof/>
          </w:rPr>
          <w:t>What the grant money cannot be used for</w:t>
        </w:r>
        <w:r w:rsidR="00865D77">
          <w:rPr>
            <w:noProof/>
            <w:webHidden/>
          </w:rPr>
          <w:tab/>
        </w:r>
        <w:r w:rsidR="00865D77">
          <w:rPr>
            <w:noProof/>
            <w:webHidden/>
          </w:rPr>
          <w:fldChar w:fldCharType="begin"/>
        </w:r>
        <w:r w:rsidR="00865D77">
          <w:rPr>
            <w:noProof/>
            <w:webHidden/>
          </w:rPr>
          <w:instrText xml:space="preserve"> PAGEREF _Toc178085196 \h </w:instrText>
        </w:r>
        <w:r w:rsidR="00865D77">
          <w:rPr>
            <w:noProof/>
            <w:webHidden/>
          </w:rPr>
        </w:r>
        <w:r w:rsidR="00865D77">
          <w:rPr>
            <w:noProof/>
            <w:webHidden/>
          </w:rPr>
          <w:fldChar w:fldCharType="separate"/>
        </w:r>
        <w:r w:rsidR="00865D77">
          <w:rPr>
            <w:noProof/>
            <w:webHidden/>
          </w:rPr>
          <w:t>16</w:t>
        </w:r>
        <w:r w:rsidR="00865D77">
          <w:rPr>
            <w:noProof/>
            <w:webHidden/>
          </w:rPr>
          <w:fldChar w:fldCharType="end"/>
        </w:r>
      </w:hyperlink>
    </w:p>
    <w:p w14:paraId="3428AA6B" w14:textId="07720B9B" w:rsidR="00865D77" w:rsidRDefault="00192222">
      <w:pPr>
        <w:pStyle w:val="TOC1"/>
        <w:rPr>
          <w:rFonts w:asciiTheme="minorHAnsi" w:eastAsiaTheme="minorEastAsia" w:hAnsiTheme="minorHAnsi"/>
          <w:b w:val="0"/>
          <w:noProof/>
          <w:color w:val="auto"/>
          <w:u w:val="none"/>
          <w:lang w:eastAsia="en-AU"/>
        </w:rPr>
      </w:pPr>
      <w:hyperlink w:anchor="_Toc178085197" w:history="1">
        <w:r w:rsidR="00865D77" w:rsidRPr="00BA7206">
          <w:rPr>
            <w:rStyle w:val="Hyperlink"/>
            <w:noProof/>
          </w:rPr>
          <w:t>6.</w:t>
        </w:r>
        <w:r w:rsidR="00865D77">
          <w:rPr>
            <w:rFonts w:asciiTheme="minorHAnsi" w:eastAsiaTheme="minorEastAsia" w:hAnsiTheme="minorHAnsi"/>
            <w:b w:val="0"/>
            <w:noProof/>
            <w:color w:val="auto"/>
            <w:u w:val="none"/>
            <w:lang w:eastAsia="en-AU"/>
          </w:rPr>
          <w:tab/>
        </w:r>
        <w:r w:rsidR="00865D77" w:rsidRPr="00BA7206">
          <w:rPr>
            <w:rStyle w:val="Hyperlink"/>
            <w:noProof/>
          </w:rPr>
          <w:t>The assessment criteria</w:t>
        </w:r>
        <w:r w:rsidR="00865D77">
          <w:rPr>
            <w:noProof/>
            <w:webHidden/>
          </w:rPr>
          <w:tab/>
        </w:r>
        <w:r w:rsidR="00865D77">
          <w:rPr>
            <w:noProof/>
            <w:webHidden/>
          </w:rPr>
          <w:fldChar w:fldCharType="begin"/>
        </w:r>
        <w:r w:rsidR="00865D77">
          <w:rPr>
            <w:noProof/>
            <w:webHidden/>
          </w:rPr>
          <w:instrText xml:space="preserve"> PAGEREF _Toc178085197 \h </w:instrText>
        </w:r>
        <w:r w:rsidR="00865D77">
          <w:rPr>
            <w:noProof/>
            <w:webHidden/>
          </w:rPr>
        </w:r>
        <w:r w:rsidR="00865D77">
          <w:rPr>
            <w:noProof/>
            <w:webHidden/>
          </w:rPr>
          <w:fldChar w:fldCharType="separate"/>
        </w:r>
        <w:r w:rsidR="00865D77">
          <w:rPr>
            <w:noProof/>
            <w:webHidden/>
          </w:rPr>
          <w:t>17</w:t>
        </w:r>
        <w:r w:rsidR="00865D77">
          <w:rPr>
            <w:noProof/>
            <w:webHidden/>
          </w:rPr>
          <w:fldChar w:fldCharType="end"/>
        </w:r>
      </w:hyperlink>
    </w:p>
    <w:p w14:paraId="171E94E7" w14:textId="0CD444B8" w:rsidR="00865D77" w:rsidRDefault="00192222">
      <w:pPr>
        <w:pStyle w:val="TOC2"/>
        <w:rPr>
          <w:rFonts w:asciiTheme="minorHAnsi" w:eastAsiaTheme="minorEastAsia" w:hAnsiTheme="minorHAnsi"/>
          <w:noProof/>
          <w:sz w:val="22"/>
          <w:lang w:eastAsia="en-AU"/>
        </w:rPr>
      </w:pPr>
      <w:hyperlink w:anchor="_Toc178085198" w:history="1">
        <w:r w:rsidR="00865D77" w:rsidRPr="00BA7206">
          <w:rPr>
            <w:rStyle w:val="Hyperlink"/>
            <w:noProof/>
          </w:rPr>
          <w:t>6.1.</w:t>
        </w:r>
        <w:r w:rsidR="00865D77">
          <w:rPr>
            <w:rFonts w:asciiTheme="minorHAnsi" w:eastAsiaTheme="minorEastAsia" w:hAnsiTheme="minorHAnsi"/>
            <w:noProof/>
            <w:sz w:val="22"/>
            <w:lang w:eastAsia="en-AU"/>
          </w:rPr>
          <w:tab/>
        </w:r>
        <w:r w:rsidR="00865D77" w:rsidRPr="00BA7206">
          <w:rPr>
            <w:rStyle w:val="Hyperlink"/>
            <w:noProof/>
          </w:rPr>
          <w:t>Criterion 1: New Improved Handheld Coverage (25 Points)</w:t>
        </w:r>
        <w:r w:rsidR="00865D77">
          <w:rPr>
            <w:noProof/>
            <w:webHidden/>
          </w:rPr>
          <w:tab/>
        </w:r>
        <w:r w:rsidR="00865D77">
          <w:rPr>
            <w:noProof/>
            <w:webHidden/>
          </w:rPr>
          <w:fldChar w:fldCharType="begin"/>
        </w:r>
        <w:r w:rsidR="00865D77">
          <w:rPr>
            <w:noProof/>
            <w:webHidden/>
          </w:rPr>
          <w:instrText xml:space="preserve"> PAGEREF _Toc178085198 \h </w:instrText>
        </w:r>
        <w:r w:rsidR="00865D77">
          <w:rPr>
            <w:noProof/>
            <w:webHidden/>
          </w:rPr>
        </w:r>
        <w:r w:rsidR="00865D77">
          <w:rPr>
            <w:noProof/>
            <w:webHidden/>
          </w:rPr>
          <w:fldChar w:fldCharType="separate"/>
        </w:r>
        <w:r w:rsidR="00865D77">
          <w:rPr>
            <w:noProof/>
            <w:webHidden/>
          </w:rPr>
          <w:t>17</w:t>
        </w:r>
        <w:r w:rsidR="00865D77">
          <w:rPr>
            <w:noProof/>
            <w:webHidden/>
          </w:rPr>
          <w:fldChar w:fldCharType="end"/>
        </w:r>
      </w:hyperlink>
    </w:p>
    <w:p w14:paraId="0B432715" w14:textId="0C640766" w:rsidR="00865D77" w:rsidRDefault="00192222">
      <w:pPr>
        <w:pStyle w:val="TOC2"/>
        <w:rPr>
          <w:rFonts w:asciiTheme="minorHAnsi" w:eastAsiaTheme="minorEastAsia" w:hAnsiTheme="minorHAnsi"/>
          <w:noProof/>
          <w:sz w:val="22"/>
          <w:lang w:eastAsia="en-AU"/>
        </w:rPr>
      </w:pPr>
      <w:hyperlink w:anchor="_Toc178085199" w:history="1">
        <w:r w:rsidR="00865D77" w:rsidRPr="00BA7206">
          <w:rPr>
            <w:rStyle w:val="Hyperlink"/>
            <w:noProof/>
          </w:rPr>
          <w:t>6.2.</w:t>
        </w:r>
        <w:r w:rsidR="00865D77">
          <w:rPr>
            <w:rFonts w:asciiTheme="minorHAnsi" w:eastAsiaTheme="minorEastAsia" w:hAnsiTheme="minorHAnsi"/>
            <w:noProof/>
            <w:sz w:val="22"/>
            <w:lang w:eastAsia="en-AU"/>
          </w:rPr>
          <w:tab/>
        </w:r>
        <w:r w:rsidR="00865D77" w:rsidRPr="00BA7206">
          <w:rPr>
            <w:rStyle w:val="Hyperlink"/>
            <w:noProof/>
          </w:rPr>
          <w:t>Criterion 2: Premises within New Improved Handheld Coverage Area (15 Points)</w:t>
        </w:r>
        <w:r w:rsidR="00865D77">
          <w:rPr>
            <w:noProof/>
            <w:webHidden/>
          </w:rPr>
          <w:tab/>
        </w:r>
        <w:r w:rsidR="00865D77">
          <w:rPr>
            <w:noProof/>
            <w:webHidden/>
          </w:rPr>
          <w:fldChar w:fldCharType="begin"/>
        </w:r>
        <w:r w:rsidR="00865D77">
          <w:rPr>
            <w:noProof/>
            <w:webHidden/>
          </w:rPr>
          <w:instrText xml:space="preserve"> PAGEREF _Toc178085199 \h </w:instrText>
        </w:r>
        <w:r w:rsidR="00865D77">
          <w:rPr>
            <w:noProof/>
            <w:webHidden/>
          </w:rPr>
        </w:r>
        <w:r w:rsidR="00865D77">
          <w:rPr>
            <w:noProof/>
            <w:webHidden/>
          </w:rPr>
          <w:fldChar w:fldCharType="separate"/>
        </w:r>
        <w:r w:rsidR="00865D77">
          <w:rPr>
            <w:noProof/>
            <w:webHidden/>
          </w:rPr>
          <w:t>18</w:t>
        </w:r>
        <w:r w:rsidR="00865D77">
          <w:rPr>
            <w:noProof/>
            <w:webHidden/>
          </w:rPr>
          <w:fldChar w:fldCharType="end"/>
        </w:r>
      </w:hyperlink>
    </w:p>
    <w:p w14:paraId="2A3EF6D8" w14:textId="655C6C69" w:rsidR="00865D77" w:rsidRDefault="00192222">
      <w:pPr>
        <w:pStyle w:val="TOC2"/>
        <w:rPr>
          <w:rFonts w:asciiTheme="minorHAnsi" w:eastAsiaTheme="minorEastAsia" w:hAnsiTheme="minorHAnsi"/>
          <w:noProof/>
          <w:sz w:val="22"/>
          <w:lang w:eastAsia="en-AU"/>
        </w:rPr>
      </w:pPr>
      <w:hyperlink w:anchor="_Toc178085200" w:history="1">
        <w:r w:rsidR="00865D77" w:rsidRPr="00BA7206">
          <w:rPr>
            <w:rStyle w:val="Hyperlink"/>
            <w:noProof/>
          </w:rPr>
          <w:t>6.3.</w:t>
        </w:r>
        <w:r w:rsidR="00865D77">
          <w:rPr>
            <w:rFonts w:asciiTheme="minorHAnsi" w:eastAsiaTheme="minorEastAsia" w:hAnsiTheme="minorHAnsi"/>
            <w:noProof/>
            <w:sz w:val="22"/>
            <w:lang w:eastAsia="en-AU"/>
          </w:rPr>
          <w:tab/>
        </w:r>
        <w:r w:rsidR="00865D77" w:rsidRPr="00BA7206">
          <w:rPr>
            <w:rStyle w:val="Hyperlink"/>
            <w:noProof/>
          </w:rPr>
          <w:t>Criterion 3: Cost to the Commonwealth (20 Points)</w:t>
        </w:r>
        <w:r w:rsidR="00865D77">
          <w:rPr>
            <w:noProof/>
            <w:webHidden/>
          </w:rPr>
          <w:tab/>
        </w:r>
        <w:r w:rsidR="00865D77">
          <w:rPr>
            <w:noProof/>
            <w:webHidden/>
          </w:rPr>
          <w:fldChar w:fldCharType="begin"/>
        </w:r>
        <w:r w:rsidR="00865D77">
          <w:rPr>
            <w:noProof/>
            <w:webHidden/>
          </w:rPr>
          <w:instrText xml:space="preserve"> PAGEREF _Toc178085200 \h </w:instrText>
        </w:r>
        <w:r w:rsidR="00865D77">
          <w:rPr>
            <w:noProof/>
            <w:webHidden/>
          </w:rPr>
        </w:r>
        <w:r w:rsidR="00865D77">
          <w:rPr>
            <w:noProof/>
            <w:webHidden/>
          </w:rPr>
          <w:fldChar w:fldCharType="separate"/>
        </w:r>
        <w:r w:rsidR="00865D77">
          <w:rPr>
            <w:noProof/>
            <w:webHidden/>
          </w:rPr>
          <w:t>19</w:t>
        </w:r>
        <w:r w:rsidR="00865D77">
          <w:rPr>
            <w:noProof/>
            <w:webHidden/>
          </w:rPr>
          <w:fldChar w:fldCharType="end"/>
        </w:r>
      </w:hyperlink>
    </w:p>
    <w:p w14:paraId="4C90885F" w14:textId="2F116EB5" w:rsidR="00865D77" w:rsidRDefault="00192222">
      <w:pPr>
        <w:pStyle w:val="TOC2"/>
        <w:rPr>
          <w:rFonts w:asciiTheme="minorHAnsi" w:eastAsiaTheme="minorEastAsia" w:hAnsiTheme="minorHAnsi"/>
          <w:noProof/>
          <w:sz w:val="22"/>
          <w:lang w:eastAsia="en-AU"/>
        </w:rPr>
      </w:pPr>
      <w:hyperlink w:anchor="_Toc178085201" w:history="1">
        <w:r w:rsidR="00865D77" w:rsidRPr="00BA7206">
          <w:rPr>
            <w:rStyle w:val="Hyperlink"/>
            <w:noProof/>
          </w:rPr>
          <w:t>6.4.</w:t>
        </w:r>
        <w:r w:rsidR="00865D77">
          <w:rPr>
            <w:rFonts w:asciiTheme="minorHAnsi" w:eastAsiaTheme="minorEastAsia" w:hAnsiTheme="minorHAnsi"/>
            <w:noProof/>
            <w:sz w:val="22"/>
            <w:lang w:eastAsia="en-AU"/>
          </w:rPr>
          <w:tab/>
        </w:r>
        <w:r w:rsidR="00865D77" w:rsidRPr="00BA7206">
          <w:rPr>
            <w:rStyle w:val="Hyperlink"/>
            <w:noProof/>
          </w:rPr>
          <w:t>Criterion 4: Material Coverage Improvement (20 Points)</w:t>
        </w:r>
        <w:r w:rsidR="00865D77">
          <w:rPr>
            <w:noProof/>
            <w:webHidden/>
          </w:rPr>
          <w:tab/>
        </w:r>
        <w:r w:rsidR="00865D77">
          <w:rPr>
            <w:noProof/>
            <w:webHidden/>
          </w:rPr>
          <w:fldChar w:fldCharType="begin"/>
        </w:r>
        <w:r w:rsidR="00865D77">
          <w:rPr>
            <w:noProof/>
            <w:webHidden/>
          </w:rPr>
          <w:instrText xml:space="preserve"> PAGEREF _Toc178085201 \h </w:instrText>
        </w:r>
        <w:r w:rsidR="00865D77">
          <w:rPr>
            <w:noProof/>
            <w:webHidden/>
          </w:rPr>
        </w:r>
        <w:r w:rsidR="00865D77">
          <w:rPr>
            <w:noProof/>
            <w:webHidden/>
          </w:rPr>
          <w:fldChar w:fldCharType="separate"/>
        </w:r>
        <w:r w:rsidR="00865D77">
          <w:rPr>
            <w:noProof/>
            <w:webHidden/>
          </w:rPr>
          <w:t>19</w:t>
        </w:r>
        <w:r w:rsidR="00865D77">
          <w:rPr>
            <w:noProof/>
            <w:webHidden/>
          </w:rPr>
          <w:fldChar w:fldCharType="end"/>
        </w:r>
      </w:hyperlink>
    </w:p>
    <w:p w14:paraId="5FCC7E6D" w14:textId="3DFA10CF" w:rsidR="00865D77" w:rsidRDefault="00192222">
      <w:pPr>
        <w:pStyle w:val="TOC2"/>
        <w:rPr>
          <w:rFonts w:asciiTheme="minorHAnsi" w:eastAsiaTheme="minorEastAsia" w:hAnsiTheme="minorHAnsi"/>
          <w:noProof/>
          <w:sz w:val="22"/>
          <w:lang w:eastAsia="en-AU"/>
        </w:rPr>
      </w:pPr>
      <w:hyperlink w:anchor="_Toc178085202" w:history="1">
        <w:r w:rsidR="00865D77" w:rsidRPr="00BA7206">
          <w:rPr>
            <w:rStyle w:val="Hyperlink"/>
            <w:noProof/>
          </w:rPr>
          <w:t>6.5.</w:t>
        </w:r>
        <w:r w:rsidR="00865D77">
          <w:rPr>
            <w:rFonts w:asciiTheme="minorHAnsi" w:eastAsiaTheme="minorEastAsia" w:hAnsiTheme="minorHAnsi"/>
            <w:noProof/>
            <w:sz w:val="22"/>
            <w:lang w:eastAsia="en-AU"/>
          </w:rPr>
          <w:tab/>
        </w:r>
        <w:r w:rsidR="00865D77" w:rsidRPr="00BA7206">
          <w:rPr>
            <w:rStyle w:val="Hyperlink"/>
            <w:noProof/>
          </w:rPr>
          <w:t>Criterion 5: Multi-MNO Solutions –Additional MNO service offerings (20 Points)</w:t>
        </w:r>
        <w:r w:rsidR="00865D77">
          <w:rPr>
            <w:noProof/>
            <w:webHidden/>
          </w:rPr>
          <w:tab/>
        </w:r>
        <w:r w:rsidR="00865D77">
          <w:rPr>
            <w:noProof/>
            <w:webHidden/>
          </w:rPr>
          <w:fldChar w:fldCharType="begin"/>
        </w:r>
        <w:r w:rsidR="00865D77">
          <w:rPr>
            <w:noProof/>
            <w:webHidden/>
          </w:rPr>
          <w:instrText xml:space="preserve"> PAGEREF _Toc178085202 \h </w:instrText>
        </w:r>
        <w:r w:rsidR="00865D77">
          <w:rPr>
            <w:noProof/>
            <w:webHidden/>
          </w:rPr>
        </w:r>
        <w:r w:rsidR="00865D77">
          <w:rPr>
            <w:noProof/>
            <w:webHidden/>
          </w:rPr>
          <w:fldChar w:fldCharType="separate"/>
        </w:r>
        <w:r w:rsidR="00865D77">
          <w:rPr>
            <w:noProof/>
            <w:webHidden/>
          </w:rPr>
          <w:t>20</w:t>
        </w:r>
        <w:r w:rsidR="00865D77">
          <w:rPr>
            <w:noProof/>
            <w:webHidden/>
          </w:rPr>
          <w:fldChar w:fldCharType="end"/>
        </w:r>
      </w:hyperlink>
    </w:p>
    <w:p w14:paraId="431AF43D" w14:textId="40729086" w:rsidR="00865D77" w:rsidRDefault="00192222">
      <w:pPr>
        <w:pStyle w:val="TOC1"/>
        <w:rPr>
          <w:rFonts w:asciiTheme="minorHAnsi" w:eastAsiaTheme="minorEastAsia" w:hAnsiTheme="minorHAnsi"/>
          <w:b w:val="0"/>
          <w:noProof/>
          <w:color w:val="auto"/>
          <w:u w:val="none"/>
          <w:lang w:eastAsia="en-AU"/>
        </w:rPr>
      </w:pPr>
      <w:hyperlink w:anchor="_Toc178085203" w:history="1">
        <w:r w:rsidR="00865D77" w:rsidRPr="00BA7206">
          <w:rPr>
            <w:rStyle w:val="Hyperlink"/>
            <w:noProof/>
          </w:rPr>
          <w:t>7.</w:t>
        </w:r>
        <w:r w:rsidR="00865D77">
          <w:rPr>
            <w:rFonts w:asciiTheme="minorHAnsi" w:eastAsiaTheme="minorEastAsia" w:hAnsiTheme="minorHAnsi"/>
            <w:b w:val="0"/>
            <w:noProof/>
            <w:color w:val="auto"/>
            <w:u w:val="none"/>
            <w:lang w:eastAsia="en-AU"/>
          </w:rPr>
          <w:tab/>
        </w:r>
        <w:r w:rsidR="00865D77" w:rsidRPr="00BA7206">
          <w:rPr>
            <w:rStyle w:val="Hyperlink"/>
            <w:noProof/>
          </w:rPr>
          <w:t>How to apply</w:t>
        </w:r>
        <w:r w:rsidR="00865D77">
          <w:rPr>
            <w:noProof/>
            <w:webHidden/>
          </w:rPr>
          <w:tab/>
        </w:r>
        <w:r w:rsidR="00865D77">
          <w:rPr>
            <w:noProof/>
            <w:webHidden/>
          </w:rPr>
          <w:fldChar w:fldCharType="begin"/>
        </w:r>
        <w:r w:rsidR="00865D77">
          <w:rPr>
            <w:noProof/>
            <w:webHidden/>
          </w:rPr>
          <w:instrText xml:space="preserve"> PAGEREF _Toc178085203 \h </w:instrText>
        </w:r>
        <w:r w:rsidR="00865D77">
          <w:rPr>
            <w:noProof/>
            <w:webHidden/>
          </w:rPr>
        </w:r>
        <w:r w:rsidR="00865D77">
          <w:rPr>
            <w:noProof/>
            <w:webHidden/>
          </w:rPr>
          <w:fldChar w:fldCharType="separate"/>
        </w:r>
        <w:r w:rsidR="00865D77">
          <w:rPr>
            <w:noProof/>
            <w:webHidden/>
          </w:rPr>
          <w:t>21</w:t>
        </w:r>
        <w:r w:rsidR="00865D77">
          <w:rPr>
            <w:noProof/>
            <w:webHidden/>
          </w:rPr>
          <w:fldChar w:fldCharType="end"/>
        </w:r>
      </w:hyperlink>
    </w:p>
    <w:p w14:paraId="7C189D6D" w14:textId="0BC93DC7" w:rsidR="00865D77" w:rsidRDefault="00192222">
      <w:pPr>
        <w:pStyle w:val="TOC2"/>
        <w:rPr>
          <w:rFonts w:asciiTheme="minorHAnsi" w:eastAsiaTheme="minorEastAsia" w:hAnsiTheme="minorHAnsi"/>
          <w:noProof/>
          <w:sz w:val="22"/>
          <w:lang w:eastAsia="en-AU"/>
        </w:rPr>
      </w:pPr>
      <w:hyperlink w:anchor="_Toc178085204" w:history="1">
        <w:r w:rsidR="00865D77" w:rsidRPr="00BA7206">
          <w:rPr>
            <w:rStyle w:val="Hyperlink"/>
            <w:noProof/>
          </w:rPr>
          <w:t>7.1.</w:t>
        </w:r>
        <w:r w:rsidR="00865D77">
          <w:rPr>
            <w:rFonts w:asciiTheme="minorHAnsi" w:eastAsiaTheme="minorEastAsia" w:hAnsiTheme="minorHAnsi"/>
            <w:noProof/>
            <w:sz w:val="22"/>
            <w:lang w:eastAsia="en-AU"/>
          </w:rPr>
          <w:tab/>
        </w:r>
        <w:r w:rsidR="00865D77" w:rsidRPr="00BA7206">
          <w:rPr>
            <w:rStyle w:val="Hyperlink"/>
            <w:noProof/>
          </w:rPr>
          <w:t>Applicant registration</w:t>
        </w:r>
        <w:r w:rsidR="00865D77">
          <w:rPr>
            <w:noProof/>
            <w:webHidden/>
          </w:rPr>
          <w:tab/>
        </w:r>
        <w:r w:rsidR="00865D77">
          <w:rPr>
            <w:noProof/>
            <w:webHidden/>
          </w:rPr>
          <w:fldChar w:fldCharType="begin"/>
        </w:r>
        <w:r w:rsidR="00865D77">
          <w:rPr>
            <w:noProof/>
            <w:webHidden/>
          </w:rPr>
          <w:instrText xml:space="preserve"> PAGEREF _Toc178085204 \h </w:instrText>
        </w:r>
        <w:r w:rsidR="00865D77">
          <w:rPr>
            <w:noProof/>
            <w:webHidden/>
          </w:rPr>
        </w:r>
        <w:r w:rsidR="00865D77">
          <w:rPr>
            <w:noProof/>
            <w:webHidden/>
          </w:rPr>
          <w:fldChar w:fldCharType="separate"/>
        </w:r>
        <w:r w:rsidR="00865D77">
          <w:rPr>
            <w:noProof/>
            <w:webHidden/>
          </w:rPr>
          <w:t>21</w:t>
        </w:r>
        <w:r w:rsidR="00865D77">
          <w:rPr>
            <w:noProof/>
            <w:webHidden/>
          </w:rPr>
          <w:fldChar w:fldCharType="end"/>
        </w:r>
      </w:hyperlink>
    </w:p>
    <w:p w14:paraId="575C538F" w14:textId="52BF8254" w:rsidR="00865D77" w:rsidRDefault="00192222">
      <w:pPr>
        <w:pStyle w:val="TOC2"/>
        <w:rPr>
          <w:rFonts w:asciiTheme="minorHAnsi" w:eastAsiaTheme="minorEastAsia" w:hAnsiTheme="minorHAnsi"/>
          <w:noProof/>
          <w:sz w:val="22"/>
          <w:lang w:eastAsia="en-AU"/>
        </w:rPr>
      </w:pPr>
      <w:hyperlink w:anchor="_Toc178085205" w:history="1">
        <w:r w:rsidR="00865D77" w:rsidRPr="00BA7206">
          <w:rPr>
            <w:rStyle w:val="Hyperlink"/>
            <w:noProof/>
          </w:rPr>
          <w:t>7.2.</w:t>
        </w:r>
        <w:r w:rsidR="00865D77">
          <w:rPr>
            <w:rFonts w:asciiTheme="minorHAnsi" w:eastAsiaTheme="minorEastAsia" w:hAnsiTheme="minorHAnsi"/>
            <w:noProof/>
            <w:sz w:val="22"/>
            <w:lang w:eastAsia="en-AU"/>
          </w:rPr>
          <w:tab/>
        </w:r>
        <w:r w:rsidR="00865D77" w:rsidRPr="00BA7206">
          <w:rPr>
            <w:rStyle w:val="Hyperlink"/>
            <w:noProof/>
          </w:rPr>
          <w:t>Pre-application lodgement</w:t>
        </w:r>
        <w:r w:rsidR="00865D77">
          <w:rPr>
            <w:noProof/>
            <w:webHidden/>
          </w:rPr>
          <w:tab/>
        </w:r>
        <w:r w:rsidR="00865D77">
          <w:rPr>
            <w:noProof/>
            <w:webHidden/>
          </w:rPr>
          <w:fldChar w:fldCharType="begin"/>
        </w:r>
        <w:r w:rsidR="00865D77">
          <w:rPr>
            <w:noProof/>
            <w:webHidden/>
          </w:rPr>
          <w:instrText xml:space="preserve"> PAGEREF _Toc178085205 \h </w:instrText>
        </w:r>
        <w:r w:rsidR="00865D77">
          <w:rPr>
            <w:noProof/>
            <w:webHidden/>
          </w:rPr>
        </w:r>
        <w:r w:rsidR="00865D77">
          <w:rPr>
            <w:noProof/>
            <w:webHidden/>
          </w:rPr>
          <w:fldChar w:fldCharType="separate"/>
        </w:r>
        <w:r w:rsidR="00865D77">
          <w:rPr>
            <w:noProof/>
            <w:webHidden/>
          </w:rPr>
          <w:t>22</w:t>
        </w:r>
        <w:r w:rsidR="00865D77">
          <w:rPr>
            <w:noProof/>
            <w:webHidden/>
          </w:rPr>
          <w:fldChar w:fldCharType="end"/>
        </w:r>
      </w:hyperlink>
    </w:p>
    <w:p w14:paraId="0BFE839F" w14:textId="37AE61F3" w:rsidR="00865D77" w:rsidRDefault="00192222">
      <w:pPr>
        <w:pStyle w:val="TOC2"/>
        <w:rPr>
          <w:rFonts w:asciiTheme="minorHAnsi" w:eastAsiaTheme="minorEastAsia" w:hAnsiTheme="minorHAnsi"/>
          <w:noProof/>
          <w:sz w:val="22"/>
          <w:lang w:eastAsia="en-AU"/>
        </w:rPr>
      </w:pPr>
      <w:hyperlink w:anchor="_Toc178085206" w:history="1">
        <w:r w:rsidR="00865D77" w:rsidRPr="00BA7206">
          <w:rPr>
            <w:rStyle w:val="Hyperlink"/>
            <w:noProof/>
          </w:rPr>
          <w:t>7.3.</w:t>
        </w:r>
        <w:r w:rsidR="00865D77">
          <w:rPr>
            <w:rFonts w:asciiTheme="minorHAnsi" w:eastAsiaTheme="minorEastAsia" w:hAnsiTheme="minorHAnsi"/>
            <w:noProof/>
            <w:sz w:val="22"/>
            <w:lang w:eastAsia="en-AU"/>
          </w:rPr>
          <w:tab/>
        </w:r>
        <w:r w:rsidR="00865D77" w:rsidRPr="00BA7206">
          <w:rPr>
            <w:rStyle w:val="Hyperlink"/>
            <w:noProof/>
          </w:rPr>
          <w:t>Submit initial proposals for Proposed Solutions</w:t>
        </w:r>
        <w:r w:rsidR="00865D77">
          <w:rPr>
            <w:noProof/>
            <w:webHidden/>
          </w:rPr>
          <w:tab/>
        </w:r>
        <w:r w:rsidR="00865D77">
          <w:rPr>
            <w:noProof/>
            <w:webHidden/>
          </w:rPr>
          <w:fldChar w:fldCharType="begin"/>
        </w:r>
        <w:r w:rsidR="00865D77">
          <w:rPr>
            <w:noProof/>
            <w:webHidden/>
          </w:rPr>
          <w:instrText xml:space="preserve"> PAGEREF _Toc178085206 \h </w:instrText>
        </w:r>
        <w:r w:rsidR="00865D77">
          <w:rPr>
            <w:noProof/>
            <w:webHidden/>
          </w:rPr>
        </w:r>
        <w:r w:rsidR="00865D77">
          <w:rPr>
            <w:noProof/>
            <w:webHidden/>
          </w:rPr>
          <w:fldChar w:fldCharType="separate"/>
        </w:r>
        <w:r w:rsidR="00865D77">
          <w:rPr>
            <w:noProof/>
            <w:webHidden/>
          </w:rPr>
          <w:t>22</w:t>
        </w:r>
        <w:r w:rsidR="00865D77">
          <w:rPr>
            <w:noProof/>
            <w:webHidden/>
          </w:rPr>
          <w:fldChar w:fldCharType="end"/>
        </w:r>
      </w:hyperlink>
    </w:p>
    <w:p w14:paraId="3E0C291A" w14:textId="54A933E1" w:rsidR="00865D77" w:rsidRDefault="00192222">
      <w:pPr>
        <w:pStyle w:val="TOC2"/>
        <w:rPr>
          <w:rFonts w:asciiTheme="minorHAnsi" w:eastAsiaTheme="minorEastAsia" w:hAnsiTheme="minorHAnsi"/>
          <w:noProof/>
          <w:sz w:val="22"/>
          <w:lang w:eastAsia="en-AU"/>
        </w:rPr>
      </w:pPr>
      <w:hyperlink w:anchor="_Toc178085207" w:history="1">
        <w:r w:rsidR="00865D77" w:rsidRPr="00BA7206">
          <w:rPr>
            <w:rStyle w:val="Hyperlink"/>
            <w:noProof/>
          </w:rPr>
          <w:t>7.4.</w:t>
        </w:r>
        <w:r w:rsidR="00865D77">
          <w:rPr>
            <w:rFonts w:asciiTheme="minorHAnsi" w:eastAsiaTheme="minorEastAsia" w:hAnsiTheme="minorHAnsi"/>
            <w:noProof/>
            <w:sz w:val="22"/>
            <w:lang w:eastAsia="en-AU"/>
          </w:rPr>
          <w:tab/>
        </w:r>
        <w:r w:rsidR="00865D77" w:rsidRPr="00BA7206">
          <w:rPr>
            <w:rStyle w:val="Hyperlink"/>
            <w:noProof/>
          </w:rPr>
          <w:t>Completing and lodging an application</w:t>
        </w:r>
        <w:r w:rsidR="00865D77">
          <w:rPr>
            <w:noProof/>
            <w:webHidden/>
          </w:rPr>
          <w:tab/>
        </w:r>
        <w:r w:rsidR="00865D77">
          <w:rPr>
            <w:noProof/>
            <w:webHidden/>
          </w:rPr>
          <w:fldChar w:fldCharType="begin"/>
        </w:r>
        <w:r w:rsidR="00865D77">
          <w:rPr>
            <w:noProof/>
            <w:webHidden/>
          </w:rPr>
          <w:instrText xml:space="preserve"> PAGEREF _Toc178085207 \h </w:instrText>
        </w:r>
        <w:r w:rsidR="00865D77">
          <w:rPr>
            <w:noProof/>
            <w:webHidden/>
          </w:rPr>
        </w:r>
        <w:r w:rsidR="00865D77">
          <w:rPr>
            <w:noProof/>
            <w:webHidden/>
          </w:rPr>
          <w:fldChar w:fldCharType="separate"/>
        </w:r>
        <w:r w:rsidR="00865D77">
          <w:rPr>
            <w:noProof/>
            <w:webHidden/>
          </w:rPr>
          <w:t>23</w:t>
        </w:r>
        <w:r w:rsidR="00865D77">
          <w:rPr>
            <w:noProof/>
            <w:webHidden/>
          </w:rPr>
          <w:fldChar w:fldCharType="end"/>
        </w:r>
      </w:hyperlink>
    </w:p>
    <w:p w14:paraId="7391A914" w14:textId="30DD971F" w:rsidR="00865D77" w:rsidRDefault="00192222">
      <w:pPr>
        <w:pStyle w:val="TOC2"/>
        <w:rPr>
          <w:rFonts w:asciiTheme="minorHAnsi" w:eastAsiaTheme="minorEastAsia" w:hAnsiTheme="minorHAnsi"/>
          <w:noProof/>
          <w:sz w:val="22"/>
          <w:lang w:eastAsia="en-AU"/>
        </w:rPr>
      </w:pPr>
      <w:hyperlink w:anchor="_Toc178085208" w:history="1">
        <w:r w:rsidR="00865D77" w:rsidRPr="00BA7206">
          <w:rPr>
            <w:rStyle w:val="Hyperlink"/>
            <w:noProof/>
          </w:rPr>
          <w:t>7.5.</w:t>
        </w:r>
        <w:r w:rsidR="00865D77">
          <w:rPr>
            <w:rFonts w:asciiTheme="minorHAnsi" w:eastAsiaTheme="minorEastAsia" w:hAnsiTheme="minorHAnsi"/>
            <w:noProof/>
            <w:sz w:val="22"/>
            <w:lang w:eastAsia="en-AU"/>
          </w:rPr>
          <w:tab/>
        </w:r>
        <w:r w:rsidR="00865D77" w:rsidRPr="00BA7206">
          <w:rPr>
            <w:rStyle w:val="Hyperlink"/>
            <w:noProof/>
          </w:rPr>
          <w:t>Costing Arrangements for MNIP-led applications</w:t>
        </w:r>
        <w:r w:rsidR="00865D77">
          <w:rPr>
            <w:noProof/>
            <w:webHidden/>
          </w:rPr>
          <w:tab/>
        </w:r>
        <w:r w:rsidR="00865D77">
          <w:rPr>
            <w:noProof/>
            <w:webHidden/>
          </w:rPr>
          <w:fldChar w:fldCharType="begin"/>
        </w:r>
        <w:r w:rsidR="00865D77">
          <w:rPr>
            <w:noProof/>
            <w:webHidden/>
          </w:rPr>
          <w:instrText xml:space="preserve"> PAGEREF _Toc178085208 \h </w:instrText>
        </w:r>
        <w:r w:rsidR="00865D77">
          <w:rPr>
            <w:noProof/>
            <w:webHidden/>
          </w:rPr>
        </w:r>
        <w:r w:rsidR="00865D77">
          <w:rPr>
            <w:noProof/>
            <w:webHidden/>
          </w:rPr>
          <w:fldChar w:fldCharType="separate"/>
        </w:r>
        <w:r w:rsidR="00865D77">
          <w:rPr>
            <w:noProof/>
            <w:webHidden/>
          </w:rPr>
          <w:t>25</w:t>
        </w:r>
        <w:r w:rsidR="00865D77">
          <w:rPr>
            <w:noProof/>
            <w:webHidden/>
          </w:rPr>
          <w:fldChar w:fldCharType="end"/>
        </w:r>
      </w:hyperlink>
    </w:p>
    <w:p w14:paraId="36104DEA" w14:textId="1C77030F" w:rsidR="00865D77" w:rsidRDefault="00192222">
      <w:pPr>
        <w:pStyle w:val="TOC2"/>
        <w:rPr>
          <w:rFonts w:asciiTheme="minorHAnsi" w:eastAsiaTheme="minorEastAsia" w:hAnsiTheme="minorHAnsi"/>
          <w:noProof/>
          <w:sz w:val="22"/>
          <w:lang w:eastAsia="en-AU"/>
        </w:rPr>
      </w:pPr>
      <w:hyperlink w:anchor="_Toc178085209" w:history="1">
        <w:r w:rsidR="00865D77" w:rsidRPr="00BA7206">
          <w:rPr>
            <w:rStyle w:val="Hyperlink"/>
            <w:noProof/>
          </w:rPr>
          <w:t>7.6.</w:t>
        </w:r>
        <w:r w:rsidR="00865D77">
          <w:rPr>
            <w:rFonts w:asciiTheme="minorHAnsi" w:eastAsiaTheme="minorEastAsia" w:hAnsiTheme="minorHAnsi"/>
            <w:noProof/>
            <w:sz w:val="22"/>
            <w:lang w:eastAsia="en-AU"/>
          </w:rPr>
          <w:tab/>
        </w:r>
        <w:r w:rsidR="00865D77" w:rsidRPr="00BA7206">
          <w:rPr>
            <w:rStyle w:val="Hyperlink"/>
            <w:noProof/>
          </w:rPr>
          <w:t>Joint (consortia) applications</w:t>
        </w:r>
        <w:r w:rsidR="00865D77">
          <w:rPr>
            <w:noProof/>
            <w:webHidden/>
          </w:rPr>
          <w:tab/>
        </w:r>
        <w:r w:rsidR="00865D77">
          <w:rPr>
            <w:noProof/>
            <w:webHidden/>
          </w:rPr>
          <w:fldChar w:fldCharType="begin"/>
        </w:r>
        <w:r w:rsidR="00865D77">
          <w:rPr>
            <w:noProof/>
            <w:webHidden/>
          </w:rPr>
          <w:instrText xml:space="preserve"> PAGEREF _Toc178085209 \h </w:instrText>
        </w:r>
        <w:r w:rsidR="00865D77">
          <w:rPr>
            <w:noProof/>
            <w:webHidden/>
          </w:rPr>
        </w:r>
        <w:r w:rsidR="00865D77">
          <w:rPr>
            <w:noProof/>
            <w:webHidden/>
          </w:rPr>
          <w:fldChar w:fldCharType="separate"/>
        </w:r>
        <w:r w:rsidR="00865D77">
          <w:rPr>
            <w:noProof/>
            <w:webHidden/>
          </w:rPr>
          <w:t>26</w:t>
        </w:r>
        <w:r w:rsidR="00865D77">
          <w:rPr>
            <w:noProof/>
            <w:webHidden/>
          </w:rPr>
          <w:fldChar w:fldCharType="end"/>
        </w:r>
      </w:hyperlink>
    </w:p>
    <w:p w14:paraId="2A89E858" w14:textId="12CD5003" w:rsidR="00865D77" w:rsidRDefault="00192222">
      <w:pPr>
        <w:pStyle w:val="TOC2"/>
        <w:rPr>
          <w:rFonts w:asciiTheme="minorHAnsi" w:eastAsiaTheme="minorEastAsia" w:hAnsiTheme="minorHAnsi"/>
          <w:noProof/>
          <w:sz w:val="22"/>
          <w:lang w:eastAsia="en-AU"/>
        </w:rPr>
      </w:pPr>
      <w:hyperlink w:anchor="_Toc178085210" w:history="1">
        <w:r w:rsidR="00865D77" w:rsidRPr="00BA7206">
          <w:rPr>
            <w:rStyle w:val="Hyperlink"/>
            <w:noProof/>
          </w:rPr>
          <w:t>7.7.</w:t>
        </w:r>
        <w:r w:rsidR="00865D77">
          <w:rPr>
            <w:rFonts w:asciiTheme="minorHAnsi" w:eastAsiaTheme="minorEastAsia" w:hAnsiTheme="minorHAnsi"/>
            <w:noProof/>
            <w:sz w:val="22"/>
            <w:lang w:eastAsia="en-AU"/>
          </w:rPr>
          <w:tab/>
        </w:r>
        <w:r w:rsidR="00865D77" w:rsidRPr="00BA7206">
          <w:rPr>
            <w:rStyle w:val="Hyperlink"/>
            <w:noProof/>
          </w:rPr>
          <w:t>Closing date for funding applications</w:t>
        </w:r>
        <w:r w:rsidR="00865D77">
          <w:rPr>
            <w:noProof/>
            <w:webHidden/>
          </w:rPr>
          <w:tab/>
        </w:r>
        <w:r w:rsidR="00865D77">
          <w:rPr>
            <w:noProof/>
            <w:webHidden/>
          </w:rPr>
          <w:fldChar w:fldCharType="begin"/>
        </w:r>
        <w:r w:rsidR="00865D77">
          <w:rPr>
            <w:noProof/>
            <w:webHidden/>
          </w:rPr>
          <w:instrText xml:space="preserve"> PAGEREF _Toc178085210 \h </w:instrText>
        </w:r>
        <w:r w:rsidR="00865D77">
          <w:rPr>
            <w:noProof/>
            <w:webHidden/>
          </w:rPr>
        </w:r>
        <w:r w:rsidR="00865D77">
          <w:rPr>
            <w:noProof/>
            <w:webHidden/>
          </w:rPr>
          <w:fldChar w:fldCharType="separate"/>
        </w:r>
        <w:r w:rsidR="00865D77">
          <w:rPr>
            <w:noProof/>
            <w:webHidden/>
          </w:rPr>
          <w:t>27</w:t>
        </w:r>
        <w:r w:rsidR="00865D77">
          <w:rPr>
            <w:noProof/>
            <w:webHidden/>
          </w:rPr>
          <w:fldChar w:fldCharType="end"/>
        </w:r>
      </w:hyperlink>
    </w:p>
    <w:p w14:paraId="07A345C0" w14:textId="20293B52" w:rsidR="00865D77" w:rsidRDefault="00192222">
      <w:pPr>
        <w:pStyle w:val="TOC2"/>
        <w:rPr>
          <w:rFonts w:asciiTheme="minorHAnsi" w:eastAsiaTheme="minorEastAsia" w:hAnsiTheme="minorHAnsi"/>
          <w:noProof/>
          <w:sz w:val="22"/>
          <w:lang w:eastAsia="en-AU"/>
        </w:rPr>
      </w:pPr>
      <w:hyperlink w:anchor="_Toc178085211" w:history="1">
        <w:r w:rsidR="00865D77" w:rsidRPr="00BA7206">
          <w:rPr>
            <w:rStyle w:val="Hyperlink"/>
            <w:noProof/>
          </w:rPr>
          <w:t>7.8.</w:t>
        </w:r>
        <w:r w:rsidR="00865D77">
          <w:rPr>
            <w:rFonts w:asciiTheme="minorHAnsi" w:eastAsiaTheme="minorEastAsia" w:hAnsiTheme="minorHAnsi"/>
            <w:noProof/>
            <w:sz w:val="22"/>
            <w:lang w:eastAsia="en-AU"/>
          </w:rPr>
          <w:tab/>
        </w:r>
        <w:r w:rsidR="00865D77" w:rsidRPr="00BA7206">
          <w:rPr>
            <w:rStyle w:val="Hyperlink"/>
            <w:noProof/>
          </w:rPr>
          <w:t>Late applications</w:t>
        </w:r>
        <w:r w:rsidR="00865D77">
          <w:rPr>
            <w:noProof/>
            <w:webHidden/>
          </w:rPr>
          <w:tab/>
        </w:r>
        <w:r w:rsidR="00865D77">
          <w:rPr>
            <w:noProof/>
            <w:webHidden/>
          </w:rPr>
          <w:fldChar w:fldCharType="begin"/>
        </w:r>
        <w:r w:rsidR="00865D77">
          <w:rPr>
            <w:noProof/>
            <w:webHidden/>
          </w:rPr>
          <w:instrText xml:space="preserve"> PAGEREF _Toc178085211 \h </w:instrText>
        </w:r>
        <w:r w:rsidR="00865D77">
          <w:rPr>
            <w:noProof/>
            <w:webHidden/>
          </w:rPr>
        </w:r>
        <w:r w:rsidR="00865D77">
          <w:rPr>
            <w:noProof/>
            <w:webHidden/>
          </w:rPr>
          <w:fldChar w:fldCharType="separate"/>
        </w:r>
        <w:r w:rsidR="00865D77">
          <w:rPr>
            <w:noProof/>
            <w:webHidden/>
          </w:rPr>
          <w:t>27</w:t>
        </w:r>
        <w:r w:rsidR="00865D77">
          <w:rPr>
            <w:noProof/>
            <w:webHidden/>
          </w:rPr>
          <w:fldChar w:fldCharType="end"/>
        </w:r>
      </w:hyperlink>
    </w:p>
    <w:p w14:paraId="1DB778B2" w14:textId="7A0FFB01" w:rsidR="00865D77" w:rsidRDefault="00192222">
      <w:pPr>
        <w:pStyle w:val="TOC2"/>
        <w:rPr>
          <w:rFonts w:asciiTheme="minorHAnsi" w:eastAsiaTheme="minorEastAsia" w:hAnsiTheme="minorHAnsi"/>
          <w:noProof/>
          <w:sz w:val="22"/>
          <w:lang w:eastAsia="en-AU"/>
        </w:rPr>
      </w:pPr>
      <w:hyperlink w:anchor="_Toc178085212" w:history="1">
        <w:r w:rsidR="00865D77" w:rsidRPr="00BA7206">
          <w:rPr>
            <w:rStyle w:val="Hyperlink"/>
            <w:noProof/>
          </w:rPr>
          <w:t>7.9.</w:t>
        </w:r>
        <w:r w:rsidR="00865D77">
          <w:rPr>
            <w:rFonts w:asciiTheme="minorHAnsi" w:eastAsiaTheme="minorEastAsia" w:hAnsiTheme="minorHAnsi"/>
            <w:noProof/>
            <w:sz w:val="22"/>
            <w:lang w:eastAsia="en-AU"/>
          </w:rPr>
          <w:tab/>
        </w:r>
        <w:r w:rsidR="00865D77" w:rsidRPr="00BA7206">
          <w:rPr>
            <w:rStyle w:val="Hyperlink"/>
            <w:noProof/>
          </w:rPr>
          <w:t>Further information about the application</w:t>
        </w:r>
        <w:r w:rsidR="00865D77">
          <w:rPr>
            <w:noProof/>
            <w:webHidden/>
          </w:rPr>
          <w:tab/>
        </w:r>
        <w:r w:rsidR="00865D77">
          <w:rPr>
            <w:noProof/>
            <w:webHidden/>
          </w:rPr>
          <w:fldChar w:fldCharType="begin"/>
        </w:r>
        <w:r w:rsidR="00865D77">
          <w:rPr>
            <w:noProof/>
            <w:webHidden/>
          </w:rPr>
          <w:instrText xml:space="preserve"> PAGEREF _Toc178085212 \h </w:instrText>
        </w:r>
        <w:r w:rsidR="00865D77">
          <w:rPr>
            <w:noProof/>
            <w:webHidden/>
          </w:rPr>
        </w:r>
        <w:r w:rsidR="00865D77">
          <w:rPr>
            <w:noProof/>
            <w:webHidden/>
          </w:rPr>
          <w:fldChar w:fldCharType="separate"/>
        </w:r>
        <w:r w:rsidR="00865D77">
          <w:rPr>
            <w:noProof/>
            <w:webHidden/>
          </w:rPr>
          <w:t>27</w:t>
        </w:r>
        <w:r w:rsidR="00865D77">
          <w:rPr>
            <w:noProof/>
            <w:webHidden/>
          </w:rPr>
          <w:fldChar w:fldCharType="end"/>
        </w:r>
      </w:hyperlink>
    </w:p>
    <w:p w14:paraId="229E0302" w14:textId="62F8094D" w:rsidR="00865D77" w:rsidRDefault="00192222">
      <w:pPr>
        <w:pStyle w:val="TOC2"/>
        <w:rPr>
          <w:rFonts w:asciiTheme="minorHAnsi" w:eastAsiaTheme="minorEastAsia" w:hAnsiTheme="minorHAnsi"/>
          <w:noProof/>
          <w:sz w:val="22"/>
          <w:lang w:eastAsia="en-AU"/>
        </w:rPr>
      </w:pPr>
      <w:hyperlink w:anchor="_Toc178085213" w:history="1">
        <w:r w:rsidR="00865D77" w:rsidRPr="00BA7206">
          <w:rPr>
            <w:rStyle w:val="Hyperlink"/>
            <w:noProof/>
          </w:rPr>
          <w:t>7.10.</w:t>
        </w:r>
        <w:r w:rsidR="00865D77">
          <w:rPr>
            <w:rFonts w:asciiTheme="minorHAnsi" w:eastAsiaTheme="minorEastAsia" w:hAnsiTheme="minorHAnsi"/>
            <w:noProof/>
            <w:sz w:val="22"/>
            <w:lang w:eastAsia="en-AU"/>
          </w:rPr>
          <w:tab/>
        </w:r>
        <w:r w:rsidR="00865D77" w:rsidRPr="00BA7206">
          <w:rPr>
            <w:rStyle w:val="Hyperlink"/>
            <w:noProof/>
          </w:rPr>
          <w:t>Questions during the application process</w:t>
        </w:r>
        <w:r w:rsidR="00865D77">
          <w:rPr>
            <w:noProof/>
            <w:webHidden/>
          </w:rPr>
          <w:tab/>
        </w:r>
        <w:r w:rsidR="00865D77">
          <w:rPr>
            <w:noProof/>
            <w:webHidden/>
          </w:rPr>
          <w:fldChar w:fldCharType="begin"/>
        </w:r>
        <w:r w:rsidR="00865D77">
          <w:rPr>
            <w:noProof/>
            <w:webHidden/>
          </w:rPr>
          <w:instrText xml:space="preserve"> PAGEREF _Toc178085213 \h </w:instrText>
        </w:r>
        <w:r w:rsidR="00865D77">
          <w:rPr>
            <w:noProof/>
            <w:webHidden/>
          </w:rPr>
        </w:r>
        <w:r w:rsidR="00865D77">
          <w:rPr>
            <w:noProof/>
            <w:webHidden/>
          </w:rPr>
          <w:fldChar w:fldCharType="separate"/>
        </w:r>
        <w:r w:rsidR="00865D77">
          <w:rPr>
            <w:noProof/>
            <w:webHidden/>
          </w:rPr>
          <w:t>27</w:t>
        </w:r>
        <w:r w:rsidR="00865D77">
          <w:rPr>
            <w:noProof/>
            <w:webHidden/>
          </w:rPr>
          <w:fldChar w:fldCharType="end"/>
        </w:r>
      </w:hyperlink>
    </w:p>
    <w:p w14:paraId="22E61C00" w14:textId="29BDBC52" w:rsidR="00865D77" w:rsidRDefault="00192222">
      <w:pPr>
        <w:pStyle w:val="TOC2"/>
        <w:rPr>
          <w:rFonts w:asciiTheme="minorHAnsi" w:eastAsiaTheme="minorEastAsia" w:hAnsiTheme="minorHAnsi"/>
          <w:noProof/>
          <w:sz w:val="22"/>
          <w:lang w:eastAsia="en-AU"/>
        </w:rPr>
      </w:pPr>
      <w:hyperlink w:anchor="_Toc178085214" w:history="1">
        <w:r w:rsidR="00865D77" w:rsidRPr="00BA7206">
          <w:rPr>
            <w:rStyle w:val="Hyperlink"/>
            <w:noProof/>
          </w:rPr>
          <w:t>7.11.</w:t>
        </w:r>
        <w:r w:rsidR="00865D77">
          <w:rPr>
            <w:rFonts w:asciiTheme="minorHAnsi" w:eastAsiaTheme="minorEastAsia" w:hAnsiTheme="minorHAnsi"/>
            <w:noProof/>
            <w:sz w:val="22"/>
            <w:lang w:eastAsia="en-AU"/>
          </w:rPr>
          <w:tab/>
        </w:r>
        <w:r w:rsidR="00865D77" w:rsidRPr="00BA7206">
          <w:rPr>
            <w:rStyle w:val="Hyperlink"/>
            <w:noProof/>
          </w:rPr>
          <w:t>Errors identified in applications</w:t>
        </w:r>
        <w:r w:rsidR="00865D77">
          <w:rPr>
            <w:noProof/>
            <w:webHidden/>
          </w:rPr>
          <w:tab/>
        </w:r>
        <w:r w:rsidR="00865D77">
          <w:rPr>
            <w:noProof/>
            <w:webHidden/>
          </w:rPr>
          <w:fldChar w:fldCharType="begin"/>
        </w:r>
        <w:r w:rsidR="00865D77">
          <w:rPr>
            <w:noProof/>
            <w:webHidden/>
          </w:rPr>
          <w:instrText xml:space="preserve"> PAGEREF _Toc178085214 \h </w:instrText>
        </w:r>
        <w:r w:rsidR="00865D77">
          <w:rPr>
            <w:noProof/>
            <w:webHidden/>
          </w:rPr>
        </w:r>
        <w:r w:rsidR="00865D77">
          <w:rPr>
            <w:noProof/>
            <w:webHidden/>
          </w:rPr>
          <w:fldChar w:fldCharType="separate"/>
        </w:r>
        <w:r w:rsidR="00865D77">
          <w:rPr>
            <w:noProof/>
            <w:webHidden/>
          </w:rPr>
          <w:t>27</w:t>
        </w:r>
        <w:r w:rsidR="00865D77">
          <w:rPr>
            <w:noProof/>
            <w:webHidden/>
          </w:rPr>
          <w:fldChar w:fldCharType="end"/>
        </w:r>
      </w:hyperlink>
    </w:p>
    <w:p w14:paraId="70CCEF48" w14:textId="24413B58" w:rsidR="00865D77" w:rsidRDefault="00192222">
      <w:pPr>
        <w:pStyle w:val="TOC1"/>
        <w:rPr>
          <w:rFonts w:asciiTheme="minorHAnsi" w:eastAsiaTheme="minorEastAsia" w:hAnsiTheme="minorHAnsi"/>
          <w:b w:val="0"/>
          <w:noProof/>
          <w:color w:val="auto"/>
          <w:u w:val="none"/>
          <w:lang w:eastAsia="en-AU"/>
        </w:rPr>
      </w:pPr>
      <w:hyperlink w:anchor="_Toc178085215" w:history="1">
        <w:r w:rsidR="00865D77" w:rsidRPr="00BA7206">
          <w:rPr>
            <w:rStyle w:val="Hyperlink"/>
            <w:noProof/>
          </w:rPr>
          <w:t>8.</w:t>
        </w:r>
        <w:r w:rsidR="00865D77">
          <w:rPr>
            <w:rFonts w:asciiTheme="minorHAnsi" w:eastAsiaTheme="minorEastAsia" w:hAnsiTheme="minorHAnsi"/>
            <w:b w:val="0"/>
            <w:noProof/>
            <w:color w:val="auto"/>
            <w:u w:val="none"/>
            <w:lang w:eastAsia="en-AU"/>
          </w:rPr>
          <w:tab/>
        </w:r>
        <w:r w:rsidR="00865D77" w:rsidRPr="00BA7206">
          <w:rPr>
            <w:rStyle w:val="Hyperlink"/>
            <w:noProof/>
          </w:rPr>
          <w:t>The grant selection process</w:t>
        </w:r>
        <w:r w:rsidR="00865D77">
          <w:rPr>
            <w:noProof/>
            <w:webHidden/>
          </w:rPr>
          <w:tab/>
        </w:r>
        <w:r w:rsidR="00865D77">
          <w:rPr>
            <w:noProof/>
            <w:webHidden/>
          </w:rPr>
          <w:fldChar w:fldCharType="begin"/>
        </w:r>
        <w:r w:rsidR="00865D77">
          <w:rPr>
            <w:noProof/>
            <w:webHidden/>
          </w:rPr>
          <w:instrText xml:space="preserve"> PAGEREF _Toc178085215 \h </w:instrText>
        </w:r>
        <w:r w:rsidR="00865D77">
          <w:rPr>
            <w:noProof/>
            <w:webHidden/>
          </w:rPr>
        </w:r>
        <w:r w:rsidR="00865D77">
          <w:rPr>
            <w:noProof/>
            <w:webHidden/>
          </w:rPr>
          <w:fldChar w:fldCharType="separate"/>
        </w:r>
        <w:r w:rsidR="00865D77">
          <w:rPr>
            <w:noProof/>
            <w:webHidden/>
          </w:rPr>
          <w:t>28</w:t>
        </w:r>
        <w:r w:rsidR="00865D77">
          <w:rPr>
            <w:noProof/>
            <w:webHidden/>
          </w:rPr>
          <w:fldChar w:fldCharType="end"/>
        </w:r>
      </w:hyperlink>
    </w:p>
    <w:p w14:paraId="0104A1B5" w14:textId="2592F363" w:rsidR="00865D77" w:rsidRDefault="00192222">
      <w:pPr>
        <w:pStyle w:val="TOC2"/>
        <w:rPr>
          <w:rFonts w:asciiTheme="minorHAnsi" w:eastAsiaTheme="minorEastAsia" w:hAnsiTheme="minorHAnsi"/>
          <w:noProof/>
          <w:sz w:val="22"/>
          <w:lang w:eastAsia="en-AU"/>
        </w:rPr>
      </w:pPr>
      <w:hyperlink w:anchor="_Toc178085216" w:history="1">
        <w:r w:rsidR="00865D77" w:rsidRPr="00BA7206">
          <w:rPr>
            <w:rStyle w:val="Hyperlink"/>
            <w:noProof/>
          </w:rPr>
          <w:t>8.1.</w:t>
        </w:r>
        <w:r w:rsidR="00865D77">
          <w:rPr>
            <w:rFonts w:asciiTheme="minorHAnsi" w:eastAsiaTheme="minorEastAsia" w:hAnsiTheme="minorHAnsi"/>
            <w:noProof/>
            <w:sz w:val="22"/>
            <w:lang w:eastAsia="en-AU"/>
          </w:rPr>
          <w:tab/>
        </w:r>
        <w:r w:rsidR="00865D77" w:rsidRPr="00BA7206">
          <w:rPr>
            <w:rStyle w:val="Hyperlink"/>
            <w:noProof/>
          </w:rPr>
          <w:t>Assessment of grant applications</w:t>
        </w:r>
        <w:r w:rsidR="00865D77">
          <w:rPr>
            <w:noProof/>
            <w:webHidden/>
          </w:rPr>
          <w:tab/>
        </w:r>
        <w:r w:rsidR="00865D77">
          <w:rPr>
            <w:noProof/>
            <w:webHidden/>
          </w:rPr>
          <w:fldChar w:fldCharType="begin"/>
        </w:r>
        <w:r w:rsidR="00865D77">
          <w:rPr>
            <w:noProof/>
            <w:webHidden/>
          </w:rPr>
          <w:instrText xml:space="preserve"> PAGEREF _Toc178085216 \h </w:instrText>
        </w:r>
        <w:r w:rsidR="00865D77">
          <w:rPr>
            <w:noProof/>
            <w:webHidden/>
          </w:rPr>
        </w:r>
        <w:r w:rsidR="00865D77">
          <w:rPr>
            <w:noProof/>
            <w:webHidden/>
          </w:rPr>
          <w:fldChar w:fldCharType="separate"/>
        </w:r>
        <w:r w:rsidR="00865D77">
          <w:rPr>
            <w:noProof/>
            <w:webHidden/>
          </w:rPr>
          <w:t>28</w:t>
        </w:r>
        <w:r w:rsidR="00865D77">
          <w:rPr>
            <w:noProof/>
            <w:webHidden/>
          </w:rPr>
          <w:fldChar w:fldCharType="end"/>
        </w:r>
      </w:hyperlink>
    </w:p>
    <w:p w14:paraId="29BC5CAB" w14:textId="706353A9" w:rsidR="00865D77" w:rsidRDefault="00192222">
      <w:pPr>
        <w:pStyle w:val="TOC2"/>
        <w:rPr>
          <w:rFonts w:asciiTheme="minorHAnsi" w:eastAsiaTheme="minorEastAsia" w:hAnsiTheme="minorHAnsi"/>
          <w:noProof/>
          <w:sz w:val="22"/>
          <w:lang w:eastAsia="en-AU"/>
        </w:rPr>
      </w:pPr>
      <w:hyperlink w:anchor="_Toc178085217" w:history="1">
        <w:r w:rsidR="00865D77" w:rsidRPr="00BA7206">
          <w:rPr>
            <w:rStyle w:val="Hyperlink"/>
            <w:noProof/>
          </w:rPr>
          <w:t>8.2.</w:t>
        </w:r>
        <w:r w:rsidR="00865D77">
          <w:rPr>
            <w:rFonts w:asciiTheme="minorHAnsi" w:eastAsiaTheme="minorEastAsia" w:hAnsiTheme="minorHAnsi"/>
            <w:noProof/>
            <w:sz w:val="22"/>
            <w:lang w:eastAsia="en-AU"/>
          </w:rPr>
          <w:tab/>
        </w:r>
        <w:r w:rsidR="00865D77" w:rsidRPr="00BA7206">
          <w:rPr>
            <w:rStyle w:val="Hyperlink"/>
            <w:noProof/>
          </w:rPr>
          <w:t>Value with Relevant Money</w:t>
        </w:r>
        <w:r w:rsidR="00865D77">
          <w:rPr>
            <w:noProof/>
            <w:webHidden/>
          </w:rPr>
          <w:tab/>
        </w:r>
        <w:r w:rsidR="00865D77">
          <w:rPr>
            <w:noProof/>
            <w:webHidden/>
          </w:rPr>
          <w:fldChar w:fldCharType="begin"/>
        </w:r>
        <w:r w:rsidR="00865D77">
          <w:rPr>
            <w:noProof/>
            <w:webHidden/>
          </w:rPr>
          <w:instrText xml:space="preserve"> PAGEREF _Toc178085217 \h </w:instrText>
        </w:r>
        <w:r w:rsidR="00865D77">
          <w:rPr>
            <w:noProof/>
            <w:webHidden/>
          </w:rPr>
        </w:r>
        <w:r w:rsidR="00865D77">
          <w:rPr>
            <w:noProof/>
            <w:webHidden/>
          </w:rPr>
          <w:fldChar w:fldCharType="separate"/>
        </w:r>
        <w:r w:rsidR="00865D77">
          <w:rPr>
            <w:noProof/>
            <w:webHidden/>
          </w:rPr>
          <w:t>28</w:t>
        </w:r>
        <w:r w:rsidR="00865D77">
          <w:rPr>
            <w:noProof/>
            <w:webHidden/>
          </w:rPr>
          <w:fldChar w:fldCharType="end"/>
        </w:r>
      </w:hyperlink>
    </w:p>
    <w:p w14:paraId="3A3BE3A4" w14:textId="57842B13" w:rsidR="00865D77" w:rsidRDefault="00192222">
      <w:pPr>
        <w:pStyle w:val="TOC2"/>
        <w:rPr>
          <w:rFonts w:asciiTheme="minorHAnsi" w:eastAsiaTheme="minorEastAsia" w:hAnsiTheme="minorHAnsi"/>
          <w:noProof/>
          <w:sz w:val="22"/>
          <w:lang w:eastAsia="en-AU"/>
        </w:rPr>
      </w:pPr>
      <w:hyperlink w:anchor="_Toc178085218" w:history="1">
        <w:r w:rsidR="00865D77" w:rsidRPr="00BA7206">
          <w:rPr>
            <w:rStyle w:val="Hyperlink"/>
            <w:noProof/>
          </w:rPr>
          <w:t>8.3.</w:t>
        </w:r>
        <w:r w:rsidR="00865D77">
          <w:rPr>
            <w:rFonts w:asciiTheme="minorHAnsi" w:eastAsiaTheme="minorEastAsia" w:hAnsiTheme="minorHAnsi"/>
            <w:noProof/>
            <w:sz w:val="22"/>
            <w:lang w:eastAsia="en-AU"/>
          </w:rPr>
          <w:tab/>
        </w:r>
        <w:r w:rsidR="00865D77" w:rsidRPr="00BA7206">
          <w:rPr>
            <w:rStyle w:val="Hyperlink"/>
            <w:noProof/>
          </w:rPr>
          <w:t>Who will assess applications?</w:t>
        </w:r>
        <w:r w:rsidR="00865D77">
          <w:rPr>
            <w:noProof/>
            <w:webHidden/>
          </w:rPr>
          <w:tab/>
        </w:r>
        <w:r w:rsidR="00865D77">
          <w:rPr>
            <w:noProof/>
            <w:webHidden/>
          </w:rPr>
          <w:fldChar w:fldCharType="begin"/>
        </w:r>
        <w:r w:rsidR="00865D77">
          <w:rPr>
            <w:noProof/>
            <w:webHidden/>
          </w:rPr>
          <w:instrText xml:space="preserve"> PAGEREF _Toc178085218 \h </w:instrText>
        </w:r>
        <w:r w:rsidR="00865D77">
          <w:rPr>
            <w:noProof/>
            <w:webHidden/>
          </w:rPr>
        </w:r>
        <w:r w:rsidR="00865D77">
          <w:rPr>
            <w:noProof/>
            <w:webHidden/>
          </w:rPr>
          <w:fldChar w:fldCharType="separate"/>
        </w:r>
        <w:r w:rsidR="00865D77">
          <w:rPr>
            <w:noProof/>
            <w:webHidden/>
          </w:rPr>
          <w:t>30</w:t>
        </w:r>
        <w:r w:rsidR="00865D77">
          <w:rPr>
            <w:noProof/>
            <w:webHidden/>
          </w:rPr>
          <w:fldChar w:fldCharType="end"/>
        </w:r>
      </w:hyperlink>
    </w:p>
    <w:p w14:paraId="2698CF8D" w14:textId="2C5D8646" w:rsidR="00865D77" w:rsidRDefault="00192222">
      <w:pPr>
        <w:pStyle w:val="TOC2"/>
        <w:rPr>
          <w:rFonts w:asciiTheme="minorHAnsi" w:eastAsiaTheme="minorEastAsia" w:hAnsiTheme="minorHAnsi"/>
          <w:noProof/>
          <w:sz w:val="22"/>
          <w:lang w:eastAsia="en-AU"/>
        </w:rPr>
      </w:pPr>
      <w:hyperlink w:anchor="_Toc178085219" w:history="1">
        <w:r w:rsidR="00865D77" w:rsidRPr="00BA7206">
          <w:rPr>
            <w:rStyle w:val="Hyperlink"/>
            <w:noProof/>
          </w:rPr>
          <w:t>8.4.</w:t>
        </w:r>
        <w:r w:rsidR="00865D77">
          <w:rPr>
            <w:rFonts w:asciiTheme="minorHAnsi" w:eastAsiaTheme="minorEastAsia" w:hAnsiTheme="minorHAnsi"/>
            <w:noProof/>
            <w:sz w:val="22"/>
            <w:lang w:eastAsia="en-AU"/>
          </w:rPr>
          <w:tab/>
        </w:r>
        <w:r w:rsidR="00865D77" w:rsidRPr="00BA7206">
          <w:rPr>
            <w:rStyle w:val="Hyperlink"/>
            <w:noProof/>
          </w:rPr>
          <w:t>Who will approve grants?</w:t>
        </w:r>
        <w:r w:rsidR="00865D77">
          <w:rPr>
            <w:noProof/>
            <w:webHidden/>
          </w:rPr>
          <w:tab/>
        </w:r>
        <w:r w:rsidR="00865D77">
          <w:rPr>
            <w:noProof/>
            <w:webHidden/>
          </w:rPr>
          <w:fldChar w:fldCharType="begin"/>
        </w:r>
        <w:r w:rsidR="00865D77">
          <w:rPr>
            <w:noProof/>
            <w:webHidden/>
          </w:rPr>
          <w:instrText xml:space="preserve"> PAGEREF _Toc178085219 \h </w:instrText>
        </w:r>
        <w:r w:rsidR="00865D77">
          <w:rPr>
            <w:noProof/>
            <w:webHidden/>
          </w:rPr>
        </w:r>
        <w:r w:rsidR="00865D77">
          <w:rPr>
            <w:noProof/>
            <w:webHidden/>
          </w:rPr>
          <w:fldChar w:fldCharType="separate"/>
        </w:r>
        <w:r w:rsidR="00865D77">
          <w:rPr>
            <w:noProof/>
            <w:webHidden/>
          </w:rPr>
          <w:t>30</w:t>
        </w:r>
        <w:r w:rsidR="00865D77">
          <w:rPr>
            <w:noProof/>
            <w:webHidden/>
          </w:rPr>
          <w:fldChar w:fldCharType="end"/>
        </w:r>
      </w:hyperlink>
    </w:p>
    <w:p w14:paraId="4F5F2299" w14:textId="4385A017" w:rsidR="00865D77" w:rsidRDefault="00192222">
      <w:pPr>
        <w:pStyle w:val="TOC1"/>
        <w:rPr>
          <w:rFonts w:asciiTheme="minorHAnsi" w:eastAsiaTheme="minorEastAsia" w:hAnsiTheme="minorHAnsi"/>
          <w:b w:val="0"/>
          <w:noProof/>
          <w:color w:val="auto"/>
          <w:u w:val="none"/>
          <w:lang w:eastAsia="en-AU"/>
        </w:rPr>
      </w:pPr>
      <w:hyperlink w:anchor="_Toc178085220" w:history="1">
        <w:r w:rsidR="00865D77" w:rsidRPr="00BA7206">
          <w:rPr>
            <w:rStyle w:val="Hyperlink"/>
            <w:noProof/>
          </w:rPr>
          <w:t>9.</w:t>
        </w:r>
        <w:r w:rsidR="00865D77">
          <w:rPr>
            <w:rFonts w:asciiTheme="minorHAnsi" w:eastAsiaTheme="minorEastAsia" w:hAnsiTheme="minorHAnsi"/>
            <w:b w:val="0"/>
            <w:noProof/>
            <w:color w:val="auto"/>
            <w:u w:val="none"/>
            <w:lang w:eastAsia="en-AU"/>
          </w:rPr>
          <w:tab/>
        </w:r>
        <w:r w:rsidR="00865D77" w:rsidRPr="00BA7206">
          <w:rPr>
            <w:rStyle w:val="Hyperlink"/>
            <w:noProof/>
          </w:rPr>
          <w:t>Notification of application outcomes</w:t>
        </w:r>
        <w:r w:rsidR="00865D77">
          <w:rPr>
            <w:noProof/>
            <w:webHidden/>
          </w:rPr>
          <w:tab/>
        </w:r>
        <w:r w:rsidR="00865D77">
          <w:rPr>
            <w:noProof/>
            <w:webHidden/>
          </w:rPr>
          <w:fldChar w:fldCharType="begin"/>
        </w:r>
        <w:r w:rsidR="00865D77">
          <w:rPr>
            <w:noProof/>
            <w:webHidden/>
          </w:rPr>
          <w:instrText xml:space="preserve"> PAGEREF _Toc178085220 \h </w:instrText>
        </w:r>
        <w:r w:rsidR="00865D77">
          <w:rPr>
            <w:noProof/>
            <w:webHidden/>
          </w:rPr>
        </w:r>
        <w:r w:rsidR="00865D77">
          <w:rPr>
            <w:noProof/>
            <w:webHidden/>
          </w:rPr>
          <w:fldChar w:fldCharType="separate"/>
        </w:r>
        <w:r w:rsidR="00865D77">
          <w:rPr>
            <w:noProof/>
            <w:webHidden/>
          </w:rPr>
          <w:t>31</w:t>
        </w:r>
        <w:r w:rsidR="00865D77">
          <w:rPr>
            <w:noProof/>
            <w:webHidden/>
          </w:rPr>
          <w:fldChar w:fldCharType="end"/>
        </w:r>
      </w:hyperlink>
    </w:p>
    <w:p w14:paraId="0FBF2146" w14:textId="4EEE0183" w:rsidR="00865D77" w:rsidRDefault="00192222">
      <w:pPr>
        <w:pStyle w:val="TOC2"/>
        <w:rPr>
          <w:rFonts w:asciiTheme="minorHAnsi" w:eastAsiaTheme="minorEastAsia" w:hAnsiTheme="minorHAnsi"/>
          <w:noProof/>
          <w:sz w:val="22"/>
          <w:lang w:eastAsia="en-AU"/>
        </w:rPr>
      </w:pPr>
      <w:hyperlink w:anchor="_Toc178085221" w:history="1">
        <w:r w:rsidR="00865D77" w:rsidRPr="00BA7206">
          <w:rPr>
            <w:rStyle w:val="Hyperlink"/>
            <w:noProof/>
          </w:rPr>
          <w:t>9.1.</w:t>
        </w:r>
        <w:r w:rsidR="00865D77">
          <w:rPr>
            <w:rFonts w:asciiTheme="minorHAnsi" w:eastAsiaTheme="minorEastAsia" w:hAnsiTheme="minorHAnsi"/>
            <w:noProof/>
            <w:sz w:val="22"/>
            <w:lang w:eastAsia="en-AU"/>
          </w:rPr>
          <w:tab/>
        </w:r>
        <w:r w:rsidR="00865D77" w:rsidRPr="00BA7206">
          <w:rPr>
            <w:rStyle w:val="Hyperlink"/>
            <w:noProof/>
          </w:rPr>
          <w:t>Application outcomes</w:t>
        </w:r>
        <w:r w:rsidR="00865D77">
          <w:rPr>
            <w:noProof/>
            <w:webHidden/>
          </w:rPr>
          <w:tab/>
        </w:r>
        <w:r w:rsidR="00865D77">
          <w:rPr>
            <w:noProof/>
            <w:webHidden/>
          </w:rPr>
          <w:fldChar w:fldCharType="begin"/>
        </w:r>
        <w:r w:rsidR="00865D77">
          <w:rPr>
            <w:noProof/>
            <w:webHidden/>
          </w:rPr>
          <w:instrText xml:space="preserve"> PAGEREF _Toc178085221 \h </w:instrText>
        </w:r>
        <w:r w:rsidR="00865D77">
          <w:rPr>
            <w:noProof/>
            <w:webHidden/>
          </w:rPr>
        </w:r>
        <w:r w:rsidR="00865D77">
          <w:rPr>
            <w:noProof/>
            <w:webHidden/>
          </w:rPr>
          <w:fldChar w:fldCharType="separate"/>
        </w:r>
        <w:r w:rsidR="00865D77">
          <w:rPr>
            <w:noProof/>
            <w:webHidden/>
          </w:rPr>
          <w:t>31</w:t>
        </w:r>
        <w:r w:rsidR="00865D77">
          <w:rPr>
            <w:noProof/>
            <w:webHidden/>
          </w:rPr>
          <w:fldChar w:fldCharType="end"/>
        </w:r>
      </w:hyperlink>
    </w:p>
    <w:p w14:paraId="326C3E2B" w14:textId="2EBEA38D" w:rsidR="00865D77" w:rsidRDefault="00192222">
      <w:pPr>
        <w:pStyle w:val="TOC2"/>
        <w:rPr>
          <w:rFonts w:asciiTheme="minorHAnsi" w:eastAsiaTheme="minorEastAsia" w:hAnsiTheme="minorHAnsi"/>
          <w:noProof/>
          <w:sz w:val="22"/>
          <w:lang w:eastAsia="en-AU"/>
        </w:rPr>
      </w:pPr>
      <w:hyperlink w:anchor="_Toc178085222" w:history="1">
        <w:r w:rsidR="00865D77" w:rsidRPr="00BA7206">
          <w:rPr>
            <w:rStyle w:val="Hyperlink"/>
            <w:noProof/>
          </w:rPr>
          <w:t>9.2.</w:t>
        </w:r>
        <w:r w:rsidR="00865D77">
          <w:rPr>
            <w:rFonts w:asciiTheme="minorHAnsi" w:eastAsiaTheme="minorEastAsia" w:hAnsiTheme="minorHAnsi"/>
            <w:noProof/>
            <w:sz w:val="22"/>
            <w:lang w:eastAsia="en-AU"/>
          </w:rPr>
          <w:tab/>
        </w:r>
        <w:r w:rsidR="00865D77" w:rsidRPr="00BA7206">
          <w:rPr>
            <w:rStyle w:val="Hyperlink"/>
            <w:noProof/>
          </w:rPr>
          <w:t>Feedback on your application</w:t>
        </w:r>
        <w:r w:rsidR="00865D77">
          <w:rPr>
            <w:noProof/>
            <w:webHidden/>
          </w:rPr>
          <w:tab/>
        </w:r>
        <w:r w:rsidR="00865D77">
          <w:rPr>
            <w:noProof/>
            <w:webHidden/>
          </w:rPr>
          <w:fldChar w:fldCharType="begin"/>
        </w:r>
        <w:r w:rsidR="00865D77">
          <w:rPr>
            <w:noProof/>
            <w:webHidden/>
          </w:rPr>
          <w:instrText xml:space="preserve"> PAGEREF _Toc178085222 \h </w:instrText>
        </w:r>
        <w:r w:rsidR="00865D77">
          <w:rPr>
            <w:noProof/>
            <w:webHidden/>
          </w:rPr>
        </w:r>
        <w:r w:rsidR="00865D77">
          <w:rPr>
            <w:noProof/>
            <w:webHidden/>
          </w:rPr>
          <w:fldChar w:fldCharType="separate"/>
        </w:r>
        <w:r w:rsidR="00865D77">
          <w:rPr>
            <w:noProof/>
            <w:webHidden/>
          </w:rPr>
          <w:t>31</w:t>
        </w:r>
        <w:r w:rsidR="00865D77">
          <w:rPr>
            <w:noProof/>
            <w:webHidden/>
          </w:rPr>
          <w:fldChar w:fldCharType="end"/>
        </w:r>
      </w:hyperlink>
    </w:p>
    <w:p w14:paraId="7D99B2E3" w14:textId="7F65F642" w:rsidR="00865D77" w:rsidRDefault="00192222">
      <w:pPr>
        <w:pStyle w:val="TOC1"/>
        <w:rPr>
          <w:rFonts w:asciiTheme="minorHAnsi" w:eastAsiaTheme="minorEastAsia" w:hAnsiTheme="minorHAnsi"/>
          <w:b w:val="0"/>
          <w:noProof/>
          <w:color w:val="auto"/>
          <w:u w:val="none"/>
          <w:lang w:eastAsia="en-AU"/>
        </w:rPr>
      </w:pPr>
      <w:hyperlink w:anchor="_Toc178085223" w:history="1">
        <w:r w:rsidR="00865D77" w:rsidRPr="00BA7206">
          <w:rPr>
            <w:rStyle w:val="Hyperlink"/>
            <w:noProof/>
          </w:rPr>
          <w:t>10.</w:t>
        </w:r>
        <w:r w:rsidR="00865D77">
          <w:rPr>
            <w:rFonts w:asciiTheme="minorHAnsi" w:eastAsiaTheme="minorEastAsia" w:hAnsiTheme="minorHAnsi"/>
            <w:b w:val="0"/>
            <w:noProof/>
            <w:color w:val="auto"/>
            <w:u w:val="none"/>
            <w:lang w:eastAsia="en-AU"/>
          </w:rPr>
          <w:tab/>
        </w:r>
        <w:r w:rsidR="00865D77" w:rsidRPr="00BA7206">
          <w:rPr>
            <w:rStyle w:val="Hyperlink"/>
            <w:noProof/>
          </w:rPr>
          <w:t>Successful grant applications</w:t>
        </w:r>
        <w:r w:rsidR="00865D77">
          <w:rPr>
            <w:noProof/>
            <w:webHidden/>
          </w:rPr>
          <w:tab/>
        </w:r>
        <w:r w:rsidR="00865D77">
          <w:rPr>
            <w:noProof/>
            <w:webHidden/>
          </w:rPr>
          <w:fldChar w:fldCharType="begin"/>
        </w:r>
        <w:r w:rsidR="00865D77">
          <w:rPr>
            <w:noProof/>
            <w:webHidden/>
          </w:rPr>
          <w:instrText xml:space="preserve"> PAGEREF _Toc178085223 \h </w:instrText>
        </w:r>
        <w:r w:rsidR="00865D77">
          <w:rPr>
            <w:noProof/>
            <w:webHidden/>
          </w:rPr>
        </w:r>
        <w:r w:rsidR="00865D77">
          <w:rPr>
            <w:noProof/>
            <w:webHidden/>
          </w:rPr>
          <w:fldChar w:fldCharType="separate"/>
        </w:r>
        <w:r w:rsidR="00865D77">
          <w:rPr>
            <w:noProof/>
            <w:webHidden/>
          </w:rPr>
          <w:t>31</w:t>
        </w:r>
        <w:r w:rsidR="00865D77">
          <w:rPr>
            <w:noProof/>
            <w:webHidden/>
          </w:rPr>
          <w:fldChar w:fldCharType="end"/>
        </w:r>
      </w:hyperlink>
    </w:p>
    <w:p w14:paraId="0C70A24F" w14:textId="190FADE6" w:rsidR="00865D77" w:rsidRDefault="00192222">
      <w:pPr>
        <w:pStyle w:val="TOC2"/>
        <w:rPr>
          <w:rFonts w:asciiTheme="minorHAnsi" w:eastAsiaTheme="minorEastAsia" w:hAnsiTheme="minorHAnsi"/>
          <w:noProof/>
          <w:sz w:val="22"/>
          <w:lang w:eastAsia="en-AU"/>
        </w:rPr>
      </w:pPr>
      <w:hyperlink w:anchor="_Toc178085224" w:history="1">
        <w:r w:rsidR="00865D77" w:rsidRPr="00BA7206">
          <w:rPr>
            <w:rStyle w:val="Hyperlink"/>
            <w:noProof/>
          </w:rPr>
          <w:t>10.1.</w:t>
        </w:r>
        <w:r w:rsidR="00865D77">
          <w:rPr>
            <w:rFonts w:asciiTheme="minorHAnsi" w:eastAsiaTheme="minorEastAsia" w:hAnsiTheme="minorHAnsi"/>
            <w:noProof/>
            <w:sz w:val="22"/>
            <w:lang w:eastAsia="en-AU"/>
          </w:rPr>
          <w:tab/>
        </w:r>
        <w:r w:rsidR="00865D77" w:rsidRPr="00BA7206">
          <w:rPr>
            <w:rStyle w:val="Hyperlink"/>
            <w:noProof/>
          </w:rPr>
          <w:t>The grant agreement</w:t>
        </w:r>
        <w:r w:rsidR="00865D77">
          <w:rPr>
            <w:noProof/>
            <w:webHidden/>
          </w:rPr>
          <w:tab/>
        </w:r>
        <w:r w:rsidR="00865D77">
          <w:rPr>
            <w:noProof/>
            <w:webHidden/>
          </w:rPr>
          <w:fldChar w:fldCharType="begin"/>
        </w:r>
        <w:r w:rsidR="00865D77">
          <w:rPr>
            <w:noProof/>
            <w:webHidden/>
          </w:rPr>
          <w:instrText xml:space="preserve"> PAGEREF _Toc178085224 \h </w:instrText>
        </w:r>
        <w:r w:rsidR="00865D77">
          <w:rPr>
            <w:noProof/>
            <w:webHidden/>
          </w:rPr>
        </w:r>
        <w:r w:rsidR="00865D77">
          <w:rPr>
            <w:noProof/>
            <w:webHidden/>
          </w:rPr>
          <w:fldChar w:fldCharType="separate"/>
        </w:r>
        <w:r w:rsidR="00865D77">
          <w:rPr>
            <w:noProof/>
            <w:webHidden/>
          </w:rPr>
          <w:t>31</w:t>
        </w:r>
        <w:r w:rsidR="00865D77">
          <w:rPr>
            <w:noProof/>
            <w:webHidden/>
          </w:rPr>
          <w:fldChar w:fldCharType="end"/>
        </w:r>
      </w:hyperlink>
    </w:p>
    <w:p w14:paraId="580F5D48" w14:textId="1AA58D6B" w:rsidR="00865D77" w:rsidRDefault="00192222">
      <w:pPr>
        <w:pStyle w:val="TOC2"/>
        <w:rPr>
          <w:rFonts w:asciiTheme="minorHAnsi" w:eastAsiaTheme="minorEastAsia" w:hAnsiTheme="minorHAnsi"/>
          <w:noProof/>
          <w:sz w:val="22"/>
          <w:lang w:eastAsia="en-AU"/>
        </w:rPr>
      </w:pPr>
      <w:hyperlink w:anchor="_Toc178085225" w:history="1">
        <w:r w:rsidR="00865D77" w:rsidRPr="00BA7206">
          <w:rPr>
            <w:rStyle w:val="Hyperlink"/>
            <w:noProof/>
          </w:rPr>
          <w:t>10.2.</w:t>
        </w:r>
        <w:r w:rsidR="00865D77">
          <w:rPr>
            <w:rFonts w:asciiTheme="minorHAnsi" w:eastAsiaTheme="minorEastAsia" w:hAnsiTheme="minorHAnsi"/>
            <w:noProof/>
            <w:sz w:val="22"/>
            <w:lang w:eastAsia="en-AU"/>
          </w:rPr>
          <w:tab/>
        </w:r>
        <w:r w:rsidR="00865D77" w:rsidRPr="00BA7206">
          <w:rPr>
            <w:rStyle w:val="Hyperlink"/>
            <w:noProof/>
          </w:rPr>
          <w:t>Specific legislation, policies and industry standards</w:t>
        </w:r>
        <w:r w:rsidR="00865D77">
          <w:rPr>
            <w:noProof/>
            <w:webHidden/>
          </w:rPr>
          <w:tab/>
        </w:r>
        <w:r w:rsidR="00865D77">
          <w:rPr>
            <w:noProof/>
            <w:webHidden/>
          </w:rPr>
          <w:fldChar w:fldCharType="begin"/>
        </w:r>
        <w:r w:rsidR="00865D77">
          <w:rPr>
            <w:noProof/>
            <w:webHidden/>
          </w:rPr>
          <w:instrText xml:space="preserve"> PAGEREF _Toc178085225 \h </w:instrText>
        </w:r>
        <w:r w:rsidR="00865D77">
          <w:rPr>
            <w:noProof/>
            <w:webHidden/>
          </w:rPr>
        </w:r>
        <w:r w:rsidR="00865D77">
          <w:rPr>
            <w:noProof/>
            <w:webHidden/>
          </w:rPr>
          <w:fldChar w:fldCharType="separate"/>
        </w:r>
        <w:r w:rsidR="00865D77">
          <w:rPr>
            <w:noProof/>
            <w:webHidden/>
          </w:rPr>
          <w:t>32</w:t>
        </w:r>
        <w:r w:rsidR="00865D77">
          <w:rPr>
            <w:noProof/>
            <w:webHidden/>
          </w:rPr>
          <w:fldChar w:fldCharType="end"/>
        </w:r>
      </w:hyperlink>
    </w:p>
    <w:p w14:paraId="607A6FEA" w14:textId="7C030A23" w:rsidR="00865D77" w:rsidRDefault="00192222">
      <w:pPr>
        <w:pStyle w:val="TOC2"/>
        <w:rPr>
          <w:rFonts w:asciiTheme="minorHAnsi" w:eastAsiaTheme="minorEastAsia" w:hAnsiTheme="minorHAnsi"/>
          <w:noProof/>
          <w:sz w:val="22"/>
          <w:lang w:eastAsia="en-AU"/>
        </w:rPr>
      </w:pPr>
      <w:hyperlink w:anchor="_Toc178085226" w:history="1">
        <w:r w:rsidR="00865D77" w:rsidRPr="00BA7206">
          <w:rPr>
            <w:rStyle w:val="Hyperlink"/>
            <w:noProof/>
          </w:rPr>
          <w:t>10.3.</w:t>
        </w:r>
        <w:r w:rsidR="00865D77">
          <w:rPr>
            <w:rFonts w:asciiTheme="minorHAnsi" w:eastAsiaTheme="minorEastAsia" w:hAnsiTheme="minorHAnsi"/>
            <w:noProof/>
            <w:sz w:val="22"/>
            <w:lang w:eastAsia="en-AU"/>
          </w:rPr>
          <w:tab/>
        </w:r>
        <w:r w:rsidR="00865D77" w:rsidRPr="00BA7206">
          <w:rPr>
            <w:rStyle w:val="Hyperlink"/>
            <w:noProof/>
          </w:rPr>
          <w:t>How we pay the grant</w:t>
        </w:r>
        <w:r w:rsidR="00865D77">
          <w:rPr>
            <w:noProof/>
            <w:webHidden/>
          </w:rPr>
          <w:tab/>
        </w:r>
        <w:r w:rsidR="00865D77">
          <w:rPr>
            <w:noProof/>
            <w:webHidden/>
          </w:rPr>
          <w:fldChar w:fldCharType="begin"/>
        </w:r>
        <w:r w:rsidR="00865D77">
          <w:rPr>
            <w:noProof/>
            <w:webHidden/>
          </w:rPr>
          <w:instrText xml:space="preserve"> PAGEREF _Toc178085226 \h </w:instrText>
        </w:r>
        <w:r w:rsidR="00865D77">
          <w:rPr>
            <w:noProof/>
            <w:webHidden/>
          </w:rPr>
        </w:r>
        <w:r w:rsidR="00865D77">
          <w:rPr>
            <w:noProof/>
            <w:webHidden/>
          </w:rPr>
          <w:fldChar w:fldCharType="separate"/>
        </w:r>
        <w:r w:rsidR="00865D77">
          <w:rPr>
            <w:noProof/>
            <w:webHidden/>
          </w:rPr>
          <w:t>33</w:t>
        </w:r>
        <w:r w:rsidR="00865D77">
          <w:rPr>
            <w:noProof/>
            <w:webHidden/>
          </w:rPr>
          <w:fldChar w:fldCharType="end"/>
        </w:r>
      </w:hyperlink>
    </w:p>
    <w:p w14:paraId="54245F44" w14:textId="5E444637" w:rsidR="00865D77" w:rsidRDefault="00192222">
      <w:pPr>
        <w:pStyle w:val="TOC2"/>
        <w:rPr>
          <w:rFonts w:asciiTheme="minorHAnsi" w:eastAsiaTheme="minorEastAsia" w:hAnsiTheme="minorHAnsi"/>
          <w:noProof/>
          <w:sz w:val="22"/>
          <w:lang w:eastAsia="en-AU"/>
        </w:rPr>
      </w:pPr>
      <w:hyperlink w:anchor="_Toc178085227" w:history="1">
        <w:r w:rsidR="00865D77" w:rsidRPr="00BA7206">
          <w:rPr>
            <w:rStyle w:val="Hyperlink"/>
            <w:noProof/>
          </w:rPr>
          <w:t>10.4.</w:t>
        </w:r>
        <w:r w:rsidR="00865D77">
          <w:rPr>
            <w:rFonts w:asciiTheme="minorHAnsi" w:eastAsiaTheme="minorEastAsia" w:hAnsiTheme="minorHAnsi"/>
            <w:noProof/>
            <w:sz w:val="22"/>
            <w:lang w:eastAsia="en-AU"/>
          </w:rPr>
          <w:tab/>
        </w:r>
        <w:r w:rsidR="00865D77" w:rsidRPr="00BA7206">
          <w:rPr>
            <w:rStyle w:val="Hyperlink"/>
            <w:noProof/>
          </w:rPr>
          <w:t>Grant payments and GST</w:t>
        </w:r>
        <w:r w:rsidR="00865D77">
          <w:rPr>
            <w:noProof/>
            <w:webHidden/>
          </w:rPr>
          <w:tab/>
        </w:r>
        <w:r w:rsidR="00865D77">
          <w:rPr>
            <w:noProof/>
            <w:webHidden/>
          </w:rPr>
          <w:fldChar w:fldCharType="begin"/>
        </w:r>
        <w:r w:rsidR="00865D77">
          <w:rPr>
            <w:noProof/>
            <w:webHidden/>
          </w:rPr>
          <w:instrText xml:space="preserve"> PAGEREF _Toc178085227 \h </w:instrText>
        </w:r>
        <w:r w:rsidR="00865D77">
          <w:rPr>
            <w:noProof/>
            <w:webHidden/>
          </w:rPr>
        </w:r>
        <w:r w:rsidR="00865D77">
          <w:rPr>
            <w:noProof/>
            <w:webHidden/>
          </w:rPr>
          <w:fldChar w:fldCharType="separate"/>
        </w:r>
        <w:r w:rsidR="00865D77">
          <w:rPr>
            <w:noProof/>
            <w:webHidden/>
          </w:rPr>
          <w:t>33</w:t>
        </w:r>
        <w:r w:rsidR="00865D77">
          <w:rPr>
            <w:noProof/>
            <w:webHidden/>
          </w:rPr>
          <w:fldChar w:fldCharType="end"/>
        </w:r>
      </w:hyperlink>
    </w:p>
    <w:p w14:paraId="126785D4" w14:textId="258BE114" w:rsidR="00865D77" w:rsidRDefault="00192222">
      <w:pPr>
        <w:pStyle w:val="TOC2"/>
        <w:rPr>
          <w:rFonts w:asciiTheme="minorHAnsi" w:eastAsiaTheme="minorEastAsia" w:hAnsiTheme="minorHAnsi"/>
          <w:noProof/>
          <w:sz w:val="22"/>
          <w:lang w:eastAsia="en-AU"/>
        </w:rPr>
      </w:pPr>
      <w:hyperlink w:anchor="_Toc178085228" w:history="1">
        <w:r w:rsidR="00865D77" w:rsidRPr="00BA7206">
          <w:rPr>
            <w:rStyle w:val="Hyperlink"/>
            <w:noProof/>
          </w:rPr>
          <w:t>10.5.</w:t>
        </w:r>
        <w:r w:rsidR="00865D77">
          <w:rPr>
            <w:rFonts w:asciiTheme="minorHAnsi" w:eastAsiaTheme="minorEastAsia" w:hAnsiTheme="minorHAnsi"/>
            <w:noProof/>
            <w:sz w:val="22"/>
            <w:lang w:eastAsia="en-AU"/>
          </w:rPr>
          <w:tab/>
        </w:r>
        <w:r w:rsidR="00865D77" w:rsidRPr="00BA7206">
          <w:rPr>
            <w:rStyle w:val="Hyperlink"/>
            <w:noProof/>
          </w:rPr>
          <w:t>Amendment to these Guidelines</w:t>
        </w:r>
        <w:r w:rsidR="00865D77">
          <w:rPr>
            <w:noProof/>
            <w:webHidden/>
          </w:rPr>
          <w:tab/>
        </w:r>
        <w:r w:rsidR="00865D77">
          <w:rPr>
            <w:noProof/>
            <w:webHidden/>
          </w:rPr>
          <w:fldChar w:fldCharType="begin"/>
        </w:r>
        <w:r w:rsidR="00865D77">
          <w:rPr>
            <w:noProof/>
            <w:webHidden/>
          </w:rPr>
          <w:instrText xml:space="preserve"> PAGEREF _Toc178085228 \h </w:instrText>
        </w:r>
        <w:r w:rsidR="00865D77">
          <w:rPr>
            <w:noProof/>
            <w:webHidden/>
          </w:rPr>
        </w:r>
        <w:r w:rsidR="00865D77">
          <w:rPr>
            <w:noProof/>
            <w:webHidden/>
          </w:rPr>
          <w:fldChar w:fldCharType="separate"/>
        </w:r>
        <w:r w:rsidR="00865D77">
          <w:rPr>
            <w:noProof/>
            <w:webHidden/>
          </w:rPr>
          <w:t>33</w:t>
        </w:r>
        <w:r w:rsidR="00865D77">
          <w:rPr>
            <w:noProof/>
            <w:webHidden/>
          </w:rPr>
          <w:fldChar w:fldCharType="end"/>
        </w:r>
      </w:hyperlink>
    </w:p>
    <w:p w14:paraId="2885CC7E" w14:textId="3F22DB41" w:rsidR="00865D77" w:rsidRDefault="00192222">
      <w:pPr>
        <w:pStyle w:val="TOC1"/>
        <w:rPr>
          <w:rFonts w:asciiTheme="minorHAnsi" w:eastAsiaTheme="minorEastAsia" w:hAnsiTheme="minorHAnsi"/>
          <w:b w:val="0"/>
          <w:noProof/>
          <w:color w:val="auto"/>
          <w:u w:val="none"/>
          <w:lang w:eastAsia="en-AU"/>
        </w:rPr>
      </w:pPr>
      <w:hyperlink w:anchor="_Toc178085229" w:history="1">
        <w:r w:rsidR="00865D77" w:rsidRPr="00BA7206">
          <w:rPr>
            <w:rStyle w:val="Hyperlink"/>
            <w:noProof/>
          </w:rPr>
          <w:t>11.</w:t>
        </w:r>
        <w:r w:rsidR="00865D77">
          <w:rPr>
            <w:rFonts w:asciiTheme="minorHAnsi" w:eastAsiaTheme="minorEastAsia" w:hAnsiTheme="minorHAnsi"/>
            <w:b w:val="0"/>
            <w:noProof/>
            <w:color w:val="auto"/>
            <w:u w:val="none"/>
            <w:lang w:eastAsia="en-AU"/>
          </w:rPr>
          <w:tab/>
        </w:r>
        <w:r w:rsidR="00865D77" w:rsidRPr="00BA7206">
          <w:rPr>
            <w:rStyle w:val="Hyperlink"/>
            <w:noProof/>
          </w:rPr>
          <w:t>Announcement of grants</w:t>
        </w:r>
        <w:r w:rsidR="00865D77">
          <w:rPr>
            <w:noProof/>
            <w:webHidden/>
          </w:rPr>
          <w:tab/>
        </w:r>
        <w:r w:rsidR="00865D77">
          <w:rPr>
            <w:noProof/>
            <w:webHidden/>
          </w:rPr>
          <w:fldChar w:fldCharType="begin"/>
        </w:r>
        <w:r w:rsidR="00865D77">
          <w:rPr>
            <w:noProof/>
            <w:webHidden/>
          </w:rPr>
          <w:instrText xml:space="preserve"> PAGEREF _Toc178085229 \h </w:instrText>
        </w:r>
        <w:r w:rsidR="00865D77">
          <w:rPr>
            <w:noProof/>
            <w:webHidden/>
          </w:rPr>
        </w:r>
        <w:r w:rsidR="00865D77">
          <w:rPr>
            <w:noProof/>
            <w:webHidden/>
          </w:rPr>
          <w:fldChar w:fldCharType="separate"/>
        </w:r>
        <w:r w:rsidR="00865D77">
          <w:rPr>
            <w:noProof/>
            <w:webHidden/>
          </w:rPr>
          <w:t>34</w:t>
        </w:r>
        <w:r w:rsidR="00865D77">
          <w:rPr>
            <w:noProof/>
            <w:webHidden/>
          </w:rPr>
          <w:fldChar w:fldCharType="end"/>
        </w:r>
      </w:hyperlink>
    </w:p>
    <w:p w14:paraId="3002B346" w14:textId="0152CC19" w:rsidR="00865D77" w:rsidRDefault="00192222">
      <w:pPr>
        <w:pStyle w:val="TOC1"/>
        <w:rPr>
          <w:rFonts w:asciiTheme="minorHAnsi" w:eastAsiaTheme="minorEastAsia" w:hAnsiTheme="minorHAnsi"/>
          <w:b w:val="0"/>
          <w:noProof/>
          <w:color w:val="auto"/>
          <w:u w:val="none"/>
          <w:lang w:eastAsia="en-AU"/>
        </w:rPr>
      </w:pPr>
      <w:hyperlink w:anchor="_Toc178085230" w:history="1">
        <w:r w:rsidR="00865D77" w:rsidRPr="00BA7206">
          <w:rPr>
            <w:rStyle w:val="Hyperlink"/>
            <w:noProof/>
          </w:rPr>
          <w:t>12.</w:t>
        </w:r>
        <w:r w:rsidR="00865D77">
          <w:rPr>
            <w:rFonts w:asciiTheme="minorHAnsi" w:eastAsiaTheme="minorEastAsia" w:hAnsiTheme="minorHAnsi"/>
            <w:b w:val="0"/>
            <w:noProof/>
            <w:color w:val="auto"/>
            <w:u w:val="none"/>
            <w:lang w:eastAsia="en-AU"/>
          </w:rPr>
          <w:tab/>
        </w:r>
        <w:r w:rsidR="00865D77" w:rsidRPr="00BA7206">
          <w:rPr>
            <w:rStyle w:val="Hyperlink"/>
            <w:noProof/>
          </w:rPr>
          <w:t>How we monitor your grant activity</w:t>
        </w:r>
        <w:r w:rsidR="00865D77">
          <w:rPr>
            <w:noProof/>
            <w:webHidden/>
          </w:rPr>
          <w:tab/>
        </w:r>
        <w:r w:rsidR="00865D77">
          <w:rPr>
            <w:noProof/>
            <w:webHidden/>
          </w:rPr>
          <w:fldChar w:fldCharType="begin"/>
        </w:r>
        <w:r w:rsidR="00865D77">
          <w:rPr>
            <w:noProof/>
            <w:webHidden/>
          </w:rPr>
          <w:instrText xml:space="preserve"> PAGEREF _Toc178085230 \h </w:instrText>
        </w:r>
        <w:r w:rsidR="00865D77">
          <w:rPr>
            <w:noProof/>
            <w:webHidden/>
          </w:rPr>
        </w:r>
        <w:r w:rsidR="00865D77">
          <w:rPr>
            <w:noProof/>
            <w:webHidden/>
          </w:rPr>
          <w:fldChar w:fldCharType="separate"/>
        </w:r>
        <w:r w:rsidR="00865D77">
          <w:rPr>
            <w:noProof/>
            <w:webHidden/>
          </w:rPr>
          <w:t>34</w:t>
        </w:r>
        <w:r w:rsidR="00865D77">
          <w:rPr>
            <w:noProof/>
            <w:webHidden/>
          </w:rPr>
          <w:fldChar w:fldCharType="end"/>
        </w:r>
      </w:hyperlink>
    </w:p>
    <w:p w14:paraId="72A4526D" w14:textId="1B39CC82" w:rsidR="00865D77" w:rsidRDefault="00192222">
      <w:pPr>
        <w:pStyle w:val="TOC2"/>
        <w:rPr>
          <w:rFonts w:asciiTheme="minorHAnsi" w:eastAsiaTheme="minorEastAsia" w:hAnsiTheme="minorHAnsi"/>
          <w:noProof/>
          <w:sz w:val="22"/>
          <w:lang w:eastAsia="en-AU"/>
        </w:rPr>
      </w:pPr>
      <w:hyperlink w:anchor="_Toc178085231" w:history="1">
        <w:r w:rsidR="00865D77" w:rsidRPr="00BA7206">
          <w:rPr>
            <w:rStyle w:val="Hyperlink"/>
            <w:noProof/>
          </w:rPr>
          <w:t>12.1.</w:t>
        </w:r>
        <w:r w:rsidR="00865D77">
          <w:rPr>
            <w:rFonts w:asciiTheme="minorHAnsi" w:eastAsiaTheme="minorEastAsia" w:hAnsiTheme="minorHAnsi"/>
            <w:noProof/>
            <w:sz w:val="22"/>
            <w:lang w:eastAsia="en-AU"/>
          </w:rPr>
          <w:tab/>
        </w:r>
        <w:r w:rsidR="00865D77" w:rsidRPr="00BA7206">
          <w:rPr>
            <w:rStyle w:val="Hyperlink"/>
            <w:noProof/>
          </w:rPr>
          <w:t>Keeping us informed</w:t>
        </w:r>
        <w:r w:rsidR="00865D77">
          <w:rPr>
            <w:noProof/>
            <w:webHidden/>
          </w:rPr>
          <w:tab/>
        </w:r>
        <w:r w:rsidR="00865D77">
          <w:rPr>
            <w:noProof/>
            <w:webHidden/>
          </w:rPr>
          <w:fldChar w:fldCharType="begin"/>
        </w:r>
        <w:r w:rsidR="00865D77">
          <w:rPr>
            <w:noProof/>
            <w:webHidden/>
          </w:rPr>
          <w:instrText xml:space="preserve"> PAGEREF _Toc178085231 \h </w:instrText>
        </w:r>
        <w:r w:rsidR="00865D77">
          <w:rPr>
            <w:noProof/>
            <w:webHidden/>
          </w:rPr>
        </w:r>
        <w:r w:rsidR="00865D77">
          <w:rPr>
            <w:noProof/>
            <w:webHidden/>
          </w:rPr>
          <w:fldChar w:fldCharType="separate"/>
        </w:r>
        <w:r w:rsidR="00865D77">
          <w:rPr>
            <w:noProof/>
            <w:webHidden/>
          </w:rPr>
          <w:t>34</w:t>
        </w:r>
        <w:r w:rsidR="00865D77">
          <w:rPr>
            <w:noProof/>
            <w:webHidden/>
          </w:rPr>
          <w:fldChar w:fldCharType="end"/>
        </w:r>
      </w:hyperlink>
    </w:p>
    <w:p w14:paraId="24FB232C" w14:textId="5B452ED1" w:rsidR="00865D77" w:rsidRDefault="00192222">
      <w:pPr>
        <w:pStyle w:val="TOC2"/>
        <w:rPr>
          <w:rFonts w:asciiTheme="minorHAnsi" w:eastAsiaTheme="minorEastAsia" w:hAnsiTheme="minorHAnsi"/>
          <w:noProof/>
          <w:sz w:val="22"/>
          <w:lang w:eastAsia="en-AU"/>
        </w:rPr>
      </w:pPr>
      <w:hyperlink w:anchor="_Toc178085232" w:history="1">
        <w:r w:rsidR="00865D77" w:rsidRPr="00BA7206">
          <w:rPr>
            <w:rStyle w:val="Hyperlink"/>
            <w:noProof/>
          </w:rPr>
          <w:t>12.2.</w:t>
        </w:r>
        <w:r w:rsidR="00865D77">
          <w:rPr>
            <w:rFonts w:asciiTheme="minorHAnsi" w:eastAsiaTheme="minorEastAsia" w:hAnsiTheme="minorHAnsi"/>
            <w:noProof/>
            <w:sz w:val="22"/>
            <w:lang w:eastAsia="en-AU"/>
          </w:rPr>
          <w:tab/>
        </w:r>
        <w:r w:rsidR="00865D77" w:rsidRPr="00BA7206">
          <w:rPr>
            <w:rStyle w:val="Hyperlink"/>
            <w:noProof/>
          </w:rPr>
          <w:t>Reporting</w:t>
        </w:r>
        <w:r w:rsidR="00865D77">
          <w:rPr>
            <w:noProof/>
            <w:webHidden/>
          </w:rPr>
          <w:tab/>
        </w:r>
        <w:r w:rsidR="00865D77">
          <w:rPr>
            <w:noProof/>
            <w:webHidden/>
          </w:rPr>
          <w:fldChar w:fldCharType="begin"/>
        </w:r>
        <w:r w:rsidR="00865D77">
          <w:rPr>
            <w:noProof/>
            <w:webHidden/>
          </w:rPr>
          <w:instrText xml:space="preserve"> PAGEREF _Toc178085232 \h </w:instrText>
        </w:r>
        <w:r w:rsidR="00865D77">
          <w:rPr>
            <w:noProof/>
            <w:webHidden/>
          </w:rPr>
        </w:r>
        <w:r w:rsidR="00865D77">
          <w:rPr>
            <w:noProof/>
            <w:webHidden/>
          </w:rPr>
          <w:fldChar w:fldCharType="separate"/>
        </w:r>
        <w:r w:rsidR="00865D77">
          <w:rPr>
            <w:noProof/>
            <w:webHidden/>
          </w:rPr>
          <w:t>34</w:t>
        </w:r>
        <w:r w:rsidR="00865D77">
          <w:rPr>
            <w:noProof/>
            <w:webHidden/>
          </w:rPr>
          <w:fldChar w:fldCharType="end"/>
        </w:r>
      </w:hyperlink>
    </w:p>
    <w:p w14:paraId="51812753" w14:textId="2D80B9EC" w:rsidR="00865D77" w:rsidRDefault="00192222">
      <w:pPr>
        <w:pStyle w:val="TOC2"/>
        <w:rPr>
          <w:rFonts w:asciiTheme="minorHAnsi" w:eastAsiaTheme="minorEastAsia" w:hAnsiTheme="minorHAnsi"/>
          <w:noProof/>
          <w:sz w:val="22"/>
          <w:lang w:eastAsia="en-AU"/>
        </w:rPr>
      </w:pPr>
      <w:hyperlink w:anchor="_Toc178085233" w:history="1">
        <w:r w:rsidR="00865D77" w:rsidRPr="00BA7206">
          <w:rPr>
            <w:rStyle w:val="Hyperlink"/>
            <w:noProof/>
          </w:rPr>
          <w:t>12.3.</w:t>
        </w:r>
        <w:r w:rsidR="00865D77">
          <w:rPr>
            <w:rFonts w:asciiTheme="minorHAnsi" w:eastAsiaTheme="minorEastAsia" w:hAnsiTheme="minorHAnsi"/>
            <w:noProof/>
            <w:sz w:val="22"/>
            <w:lang w:eastAsia="en-AU"/>
          </w:rPr>
          <w:tab/>
        </w:r>
        <w:r w:rsidR="00865D77" w:rsidRPr="00BA7206">
          <w:rPr>
            <w:rStyle w:val="Hyperlink"/>
            <w:noProof/>
          </w:rPr>
          <w:t>Asset completion report</w:t>
        </w:r>
        <w:r w:rsidR="00865D77">
          <w:rPr>
            <w:noProof/>
            <w:webHidden/>
          </w:rPr>
          <w:tab/>
        </w:r>
        <w:r w:rsidR="00865D77">
          <w:rPr>
            <w:noProof/>
            <w:webHidden/>
          </w:rPr>
          <w:fldChar w:fldCharType="begin"/>
        </w:r>
        <w:r w:rsidR="00865D77">
          <w:rPr>
            <w:noProof/>
            <w:webHidden/>
          </w:rPr>
          <w:instrText xml:space="preserve"> PAGEREF _Toc178085233 \h </w:instrText>
        </w:r>
        <w:r w:rsidR="00865D77">
          <w:rPr>
            <w:noProof/>
            <w:webHidden/>
          </w:rPr>
        </w:r>
        <w:r w:rsidR="00865D77">
          <w:rPr>
            <w:noProof/>
            <w:webHidden/>
          </w:rPr>
          <w:fldChar w:fldCharType="separate"/>
        </w:r>
        <w:r w:rsidR="00865D77">
          <w:rPr>
            <w:noProof/>
            <w:webHidden/>
          </w:rPr>
          <w:t>35</w:t>
        </w:r>
        <w:r w:rsidR="00865D77">
          <w:rPr>
            <w:noProof/>
            <w:webHidden/>
          </w:rPr>
          <w:fldChar w:fldCharType="end"/>
        </w:r>
      </w:hyperlink>
    </w:p>
    <w:p w14:paraId="62CE7AE9" w14:textId="000DB556" w:rsidR="00865D77" w:rsidRDefault="00192222">
      <w:pPr>
        <w:pStyle w:val="TOC2"/>
        <w:rPr>
          <w:rFonts w:asciiTheme="minorHAnsi" w:eastAsiaTheme="minorEastAsia" w:hAnsiTheme="minorHAnsi"/>
          <w:noProof/>
          <w:sz w:val="22"/>
          <w:lang w:eastAsia="en-AU"/>
        </w:rPr>
      </w:pPr>
      <w:hyperlink w:anchor="_Toc178085234" w:history="1">
        <w:r w:rsidR="00865D77" w:rsidRPr="00BA7206">
          <w:rPr>
            <w:rStyle w:val="Hyperlink"/>
            <w:noProof/>
          </w:rPr>
          <w:t>12.4.</w:t>
        </w:r>
        <w:r w:rsidR="00865D77">
          <w:rPr>
            <w:rFonts w:asciiTheme="minorHAnsi" w:eastAsiaTheme="minorEastAsia" w:hAnsiTheme="minorHAnsi"/>
            <w:noProof/>
            <w:sz w:val="22"/>
            <w:lang w:eastAsia="en-AU"/>
          </w:rPr>
          <w:tab/>
        </w:r>
        <w:r w:rsidR="00865D77" w:rsidRPr="00BA7206">
          <w:rPr>
            <w:rStyle w:val="Hyperlink"/>
            <w:noProof/>
          </w:rPr>
          <w:t>Financial declaration or audited financial acquittal reports</w:t>
        </w:r>
        <w:r w:rsidR="00865D77">
          <w:rPr>
            <w:noProof/>
            <w:webHidden/>
          </w:rPr>
          <w:tab/>
        </w:r>
        <w:r w:rsidR="00865D77">
          <w:rPr>
            <w:noProof/>
            <w:webHidden/>
          </w:rPr>
          <w:fldChar w:fldCharType="begin"/>
        </w:r>
        <w:r w:rsidR="00865D77">
          <w:rPr>
            <w:noProof/>
            <w:webHidden/>
          </w:rPr>
          <w:instrText xml:space="preserve"> PAGEREF _Toc178085234 \h </w:instrText>
        </w:r>
        <w:r w:rsidR="00865D77">
          <w:rPr>
            <w:noProof/>
            <w:webHidden/>
          </w:rPr>
        </w:r>
        <w:r w:rsidR="00865D77">
          <w:rPr>
            <w:noProof/>
            <w:webHidden/>
          </w:rPr>
          <w:fldChar w:fldCharType="separate"/>
        </w:r>
        <w:r w:rsidR="00865D77">
          <w:rPr>
            <w:noProof/>
            <w:webHidden/>
          </w:rPr>
          <w:t>35</w:t>
        </w:r>
        <w:r w:rsidR="00865D77">
          <w:rPr>
            <w:noProof/>
            <w:webHidden/>
          </w:rPr>
          <w:fldChar w:fldCharType="end"/>
        </w:r>
      </w:hyperlink>
    </w:p>
    <w:p w14:paraId="264E1BBB" w14:textId="0F9F9E88" w:rsidR="00865D77" w:rsidRDefault="00192222">
      <w:pPr>
        <w:pStyle w:val="TOC2"/>
        <w:rPr>
          <w:rFonts w:asciiTheme="minorHAnsi" w:eastAsiaTheme="minorEastAsia" w:hAnsiTheme="minorHAnsi"/>
          <w:noProof/>
          <w:sz w:val="22"/>
          <w:lang w:eastAsia="en-AU"/>
        </w:rPr>
      </w:pPr>
      <w:hyperlink w:anchor="_Toc178085235" w:history="1">
        <w:r w:rsidR="00865D77" w:rsidRPr="00BA7206">
          <w:rPr>
            <w:rStyle w:val="Hyperlink"/>
            <w:noProof/>
          </w:rPr>
          <w:t>12.5.</w:t>
        </w:r>
        <w:r w:rsidR="00865D77">
          <w:rPr>
            <w:rFonts w:asciiTheme="minorHAnsi" w:eastAsiaTheme="minorEastAsia" w:hAnsiTheme="minorHAnsi"/>
            <w:noProof/>
            <w:sz w:val="22"/>
            <w:lang w:eastAsia="en-AU"/>
          </w:rPr>
          <w:tab/>
        </w:r>
        <w:r w:rsidR="00865D77" w:rsidRPr="00BA7206">
          <w:rPr>
            <w:rStyle w:val="Hyperlink"/>
            <w:noProof/>
          </w:rPr>
          <w:t>Independent audit report</w:t>
        </w:r>
        <w:r w:rsidR="00865D77">
          <w:rPr>
            <w:noProof/>
            <w:webHidden/>
          </w:rPr>
          <w:tab/>
        </w:r>
        <w:r w:rsidR="00865D77">
          <w:rPr>
            <w:noProof/>
            <w:webHidden/>
          </w:rPr>
          <w:fldChar w:fldCharType="begin"/>
        </w:r>
        <w:r w:rsidR="00865D77">
          <w:rPr>
            <w:noProof/>
            <w:webHidden/>
          </w:rPr>
          <w:instrText xml:space="preserve"> PAGEREF _Toc178085235 \h </w:instrText>
        </w:r>
        <w:r w:rsidR="00865D77">
          <w:rPr>
            <w:noProof/>
            <w:webHidden/>
          </w:rPr>
        </w:r>
        <w:r w:rsidR="00865D77">
          <w:rPr>
            <w:noProof/>
            <w:webHidden/>
          </w:rPr>
          <w:fldChar w:fldCharType="separate"/>
        </w:r>
        <w:r w:rsidR="00865D77">
          <w:rPr>
            <w:noProof/>
            <w:webHidden/>
          </w:rPr>
          <w:t>35</w:t>
        </w:r>
        <w:r w:rsidR="00865D77">
          <w:rPr>
            <w:noProof/>
            <w:webHidden/>
          </w:rPr>
          <w:fldChar w:fldCharType="end"/>
        </w:r>
      </w:hyperlink>
    </w:p>
    <w:p w14:paraId="1D8A9BAB" w14:textId="2E66F9E2" w:rsidR="00865D77" w:rsidRDefault="00192222">
      <w:pPr>
        <w:pStyle w:val="TOC2"/>
        <w:rPr>
          <w:rFonts w:asciiTheme="minorHAnsi" w:eastAsiaTheme="minorEastAsia" w:hAnsiTheme="minorHAnsi"/>
          <w:noProof/>
          <w:sz w:val="22"/>
          <w:lang w:eastAsia="en-AU"/>
        </w:rPr>
      </w:pPr>
      <w:hyperlink w:anchor="_Toc178085236" w:history="1">
        <w:r w:rsidR="00865D77" w:rsidRPr="00BA7206">
          <w:rPr>
            <w:rStyle w:val="Hyperlink"/>
            <w:noProof/>
          </w:rPr>
          <w:t>12.6.</w:t>
        </w:r>
        <w:r w:rsidR="00865D77">
          <w:rPr>
            <w:rFonts w:asciiTheme="minorHAnsi" w:eastAsiaTheme="minorEastAsia" w:hAnsiTheme="minorHAnsi"/>
            <w:noProof/>
            <w:sz w:val="22"/>
            <w:lang w:eastAsia="en-AU"/>
          </w:rPr>
          <w:tab/>
        </w:r>
        <w:r w:rsidR="00865D77" w:rsidRPr="00BA7206">
          <w:rPr>
            <w:rStyle w:val="Hyperlink"/>
            <w:noProof/>
          </w:rPr>
          <w:t>Grant agreement variations</w:t>
        </w:r>
        <w:r w:rsidR="00865D77">
          <w:rPr>
            <w:noProof/>
            <w:webHidden/>
          </w:rPr>
          <w:tab/>
        </w:r>
        <w:r w:rsidR="00865D77">
          <w:rPr>
            <w:noProof/>
            <w:webHidden/>
          </w:rPr>
          <w:fldChar w:fldCharType="begin"/>
        </w:r>
        <w:r w:rsidR="00865D77">
          <w:rPr>
            <w:noProof/>
            <w:webHidden/>
          </w:rPr>
          <w:instrText xml:space="preserve"> PAGEREF _Toc178085236 \h </w:instrText>
        </w:r>
        <w:r w:rsidR="00865D77">
          <w:rPr>
            <w:noProof/>
            <w:webHidden/>
          </w:rPr>
        </w:r>
        <w:r w:rsidR="00865D77">
          <w:rPr>
            <w:noProof/>
            <w:webHidden/>
          </w:rPr>
          <w:fldChar w:fldCharType="separate"/>
        </w:r>
        <w:r w:rsidR="00865D77">
          <w:rPr>
            <w:noProof/>
            <w:webHidden/>
          </w:rPr>
          <w:t>35</w:t>
        </w:r>
        <w:r w:rsidR="00865D77">
          <w:rPr>
            <w:noProof/>
            <w:webHidden/>
          </w:rPr>
          <w:fldChar w:fldCharType="end"/>
        </w:r>
      </w:hyperlink>
    </w:p>
    <w:p w14:paraId="6982B494" w14:textId="6146C995" w:rsidR="00865D77" w:rsidRDefault="00192222">
      <w:pPr>
        <w:pStyle w:val="TOC2"/>
        <w:rPr>
          <w:rFonts w:asciiTheme="minorHAnsi" w:eastAsiaTheme="minorEastAsia" w:hAnsiTheme="minorHAnsi"/>
          <w:noProof/>
          <w:sz w:val="22"/>
          <w:lang w:eastAsia="en-AU"/>
        </w:rPr>
      </w:pPr>
      <w:hyperlink w:anchor="_Toc178085237" w:history="1">
        <w:r w:rsidR="00865D77" w:rsidRPr="00BA7206">
          <w:rPr>
            <w:rStyle w:val="Hyperlink"/>
            <w:noProof/>
          </w:rPr>
          <w:t>12.7.</w:t>
        </w:r>
        <w:r w:rsidR="00865D77">
          <w:rPr>
            <w:rFonts w:asciiTheme="minorHAnsi" w:eastAsiaTheme="minorEastAsia" w:hAnsiTheme="minorHAnsi"/>
            <w:noProof/>
            <w:sz w:val="22"/>
            <w:lang w:eastAsia="en-AU"/>
          </w:rPr>
          <w:tab/>
        </w:r>
        <w:r w:rsidR="00865D77" w:rsidRPr="00BA7206">
          <w:rPr>
            <w:rStyle w:val="Hyperlink"/>
            <w:noProof/>
          </w:rPr>
          <w:t>Compliance visits</w:t>
        </w:r>
        <w:r w:rsidR="00865D77">
          <w:rPr>
            <w:noProof/>
            <w:webHidden/>
          </w:rPr>
          <w:tab/>
        </w:r>
        <w:r w:rsidR="00865D77">
          <w:rPr>
            <w:noProof/>
            <w:webHidden/>
          </w:rPr>
          <w:fldChar w:fldCharType="begin"/>
        </w:r>
        <w:r w:rsidR="00865D77">
          <w:rPr>
            <w:noProof/>
            <w:webHidden/>
          </w:rPr>
          <w:instrText xml:space="preserve"> PAGEREF _Toc178085237 \h </w:instrText>
        </w:r>
        <w:r w:rsidR="00865D77">
          <w:rPr>
            <w:noProof/>
            <w:webHidden/>
          </w:rPr>
        </w:r>
        <w:r w:rsidR="00865D77">
          <w:rPr>
            <w:noProof/>
            <w:webHidden/>
          </w:rPr>
          <w:fldChar w:fldCharType="separate"/>
        </w:r>
        <w:r w:rsidR="00865D77">
          <w:rPr>
            <w:noProof/>
            <w:webHidden/>
          </w:rPr>
          <w:t>35</w:t>
        </w:r>
        <w:r w:rsidR="00865D77">
          <w:rPr>
            <w:noProof/>
            <w:webHidden/>
          </w:rPr>
          <w:fldChar w:fldCharType="end"/>
        </w:r>
      </w:hyperlink>
    </w:p>
    <w:p w14:paraId="56567A37" w14:textId="2B78D9B1" w:rsidR="00865D77" w:rsidRDefault="00192222">
      <w:pPr>
        <w:pStyle w:val="TOC2"/>
        <w:rPr>
          <w:rFonts w:asciiTheme="minorHAnsi" w:eastAsiaTheme="minorEastAsia" w:hAnsiTheme="minorHAnsi"/>
          <w:noProof/>
          <w:sz w:val="22"/>
          <w:lang w:eastAsia="en-AU"/>
        </w:rPr>
      </w:pPr>
      <w:hyperlink w:anchor="_Toc178085238" w:history="1">
        <w:r w:rsidR="00865D77" w:rsidRPr="00BA7206">
          <w:rPr>
            <w:rStyle w:val="Hyperlink"/>
            <w:noProof/>
          </w:rPr>
          <w:t>12.8.</w:t>
        </w:r>
        <w:r w:rsidR="00865D77">
          <w:rPr>
            <w:rFonts w:asciiTheme="minorHAnsi" w:eastAsiaTheme="minorEastAsia" w:hAnsiTheme="minorHAnsi"/>
            <w:noProof/>
            <w:sz w:val="22"/>
            <w:lang w:eastAsia="en-AU"/>
          </w:rPr>
          <w:tab/>
        </w:r>
        <w:r w:rsidR="00865D77" w:rsidRPr="00BA7206">
          <w:rPr>
            <w:rStyle w:val="Hyperlink"/>
            <w:noProof/>
          </w:rPr>
          <w:t>Evaluation</w:t>
        </w:r>
        <w:r w:rsidR="00865D77">
          <w:rPr>
            <w:noProof/>
            <w:webHidden/>
          </w:rPr>
          <w:tab/>
        </w:r>
        <w:r w:rsidR="00865D77">
          <w:rPr>
            <w:noProof/>
            <w:webHidden/>
          </w:rPr>
          <w:fldChar w:fldCharType="begin"/>
        </w:r>
        <w:r w:rsidR="00865D77">
          <w:rPr>
            <w:noProof/>
            <w:webHidden/>
          </w:rPr>
          <w:instrText xml:space="preserve"> PAGEREF _Toc178085238 \h </w:instrText>
        </w:r>
        <w:r w:rsidR="00865D77">
          <w:rPr>
            <w:noProof/>
            <w:webHidden/>
          </w:rPr>
        </w:r>
        <w:r w:rsidR="00865D77">
          <w:rPr>
            <w:noProof/>
            <w:webHidden/>
          </w:rPr>
          <w:fldChar w:fldCharType="separate"/>
        </w:r>
        <w:r w:rsidR="00865D77">
          <w:rPr>
            <w:noProof/>
            <w:webHidden/>
          </w:rPr>
          <w:t>35</w:t>
        </w:r>
        <w:r w:rsidR="00865D77">
          <w:rPr>
            <w:noProof/>
            <w:webHidden/>
          </w:rPr>
          <w:fldChar w:fldCharType="end"/>
        </w:r>
      </w:hyperlink>
    </w:p>
    <w:p w14:paraId="4E9B71C3" w14:textId="2D06245F" w:rsidR="00865D77" w:rsidRDefault="00192222">
      <w:pPr>
        <w:pStyle w:val="TOC2"/>
        <w:rPr>
          <w:rFonts w:asciiTheme="minorHAnsi" w:eastAsiaTheme="minorEastAsia" w:hAnsiTheme="minorHAnsi"/>
          <w:noProof/>
          <w:sz w:val="22"/>
          <w:lang w:eastAsia="en-AU"/>
        </w:rPr>
      </w:pPr>
      <w:hyperlink w:anchor="_Toc178085239" w:history="1">
        <w:r w:rsidR="00865D77" w:rsidRPr="00BA7206">
          <w:rPr>
            <w:rStyle w:val="Hyperlink"/>
            <w:noProof/>
          </w:rPr>
          <w:t>12.9.</w:t>
        </w:r>
        <w:r w:rsidR="00865D77">
          <w:rPr>
            <w:rFonts w:asciiTheme="minorHAnsi" w:eastAsiaTheme="minorEastAsia" w:hAnsiTheme="minorHAnsi"/>
            <w:noProof/>
            <w:sz w:val="22"/>
            <w:lang w:eastAsia="en-AU"/>
          </w:rPr>
          <w:tab/>
        </w:r>
        <w:r w:rsidR="00865D77" w:rsidRPr="00BA7206">
          <w:rPr>
            <w:rStyle w:val="Hyperlink"/>
            <w:noProof/>
          </w:rPr>
          <w:t>Acknowledgement</w:t>
        </w:r>
        <w:r w:rsidR="00865D77">
          <w:rPr>
            <w:noProof/>
            <w:webHidden/>
          </w:rPr>
          <w:tab/>
        </w:r>
        <w:r w:rsidR="00865D77">
          <w:rPr>
            <w:noProof/>
            <w:webHidden/>
          </w:rPr>
          <w:fldChar w:fldCharType="begin"/>
        </w:r>
        <w:r w:rsidR="00865D77">
          <w:rPr>
            <w:noProof/>
            <w:webHidden/>
          </w:rPr>
          <w:instrText xml:space="preserve"> PAGEREF _Toc178085239 \h </w:instrText>
        </w:r>
        <w:r w:rsidR="00865D77">
          <w:rPr>
            <w:noProof/>
            <w:webHidden/>
          </w:rPr>
        </w:r>
        <w:r w:rsidR="00865D77">
          <w:rPr>
            <w:noProof/>
            <w:webHidden/>
          </w:rPr>
          <w:fldChar w:fldCharType="separate"/>
        </w:r>
        <w:r w:rsidR="00865D77">
          <w:rPr>
            <w:noProof/>
            <w:webHidden/>
          </w:rPr>
          <w:t>36</w:t>
        </w:r>
        <w:r w:rsidR="00865D77">
          <w:rPr>
            <w:noProof/>
            <w:webHidden/>
          </w:rPr>
          <w:fldChar w:fldCharType="end"/>
        </w:r>
      </w:hyperlink>
    </w:p>
    <w:p w14:paraId="3C682141" w14:textId="4DE00B77" w:rsidR="00865D77" w:rsidRDefault="00192222">
      <w:pPr>
        <w:pStyle w:val="TOC1"/>
        <w:rPr>
          <w:rFonts w:asciiTheme="minorHAnsi" w:eastAsiaTheme="minorEastAsia" w:hAnsiTheme="minorHAnsi"/>
          <w:b w:val="0"/>
          <w:noProof/>
          <w:color w:val="auto"/>
          <w:u w:val="none"/>
          <w:lang w:eastAsia="en-AU"/>
        </w:rPr>
      </w:pPr>
      <w:hyperlink w:anchor="_Toc178085240" w:history="1">
        <w:r w:rsidR="00865D77" w:rsidRPr="00BA7206">
          <w:rPr>
            <w:rStyle w:val="Hyperlink"/>
            <w:noProof/>
          </w:rPr>
          <w:t>13.</w:t>
        </w:r>
        <w:r w:rsidR="00865D77">
          <w:rPr>
            <w:rFonts w:asciiTheme="minorHAnsi" w:eastAsiaTheme="minorEastAsia" w:hAnsiTheme="minorHAnsi"/>
            <w:b w:val="0"/>
            <w:noProof/>
            <w:color w:val="auto"/>
            <w:u w:val="none"/>
            <w:lang w:eastAsia="en-AU"/>
          </w:rPr>
          <w:tab/>
        </w:r>
        <w:r w:rsidR="00865D77" w:rsidRPr="00BA7206">
          <w:rPr>
            <w:rStyle w:val="Hyperlink"/>
            <w:noProof/>
          </w:rPr>
          <w:t>Probity</w:t>
        </w:r>
        <w:r w:rsidR="00865D77">
          <w:rPr>
            <w:noProof/>
            <w:webHidden/>
          </w:rPr>
          <w:tab/>
        </w:r>
        <w:r w:rsidR="00865D77">
          <w:rPr>
            <w:noProof/>
            <w:webHidden/>
          </w:rPr>
          <w:fldChar w:fldCharType="begin"/>
        </w:r>
        <w:r w:rsidR="00865D77">
          <w:rPr>
            <w:noProof/>
            <w:webHidden/>
          </w:rPr>
          <w:instrText xml:space="preserve"> PAGEREF _Toc178085240 \h </w:instrText>
        </w:r>
        <w:r w:rsidR="00865D77">
          <w:rPr>
            <w:noProof/>
            <w:webHidden/>
          </w:rPr>
        </w:r>
        <w:r w:rsidR="00865D77">
          <w:rPr>
            <w:noProof/>
            <w:webHidden/>
          </w:rPr>
          <w:fldChar w:fldCharType="separate"/>
        </w:r>
        <w:r w:rsidR="00865D77">
          <w:rPr>
            <w:noProof/>
            <w:webHidden/>
          </w:rPr>
          <w:t>36</w:t>
        </w:r>
        <w:r w:rsidR="00865D77">
          <w:rPr>
            <w:noProof/>
            <w:webHidden/>
          </w:rPr>
          <w:fldChar w:fldCharType="end"/>
        </w:r>
      </w:hyperlink>
    </w:p>
    <w:p w14:paraId="01D0852C" w14:textId="715703DD" w:rsidR="00865D77" w:rsidRDefault="00192222">
      <w:pPr>
        <w:pStyle w:val="TOC2"/>
        <w:rPr>
          <w:rFonts w:asciiTheme="minorHAnsi" w:eastAsiaTheme="minorEastAsia" w:hAnsiTheme="minorHAnsi"/>
          <w:noProof/>
          <w:sz w:val="22"/>
          <w:lang w:eastAsia="en-AU"/>
        </w:rPr>
      </w:pPr>
      <w:hyperlink w:anchor="_Toc178085241" w:history="1">
        <w:r w:rsidR="00865D77" w:rsidRPr="00BA7206">
          <w:rPr>
            <w:rStyle w:val="Hyperlink"/>
            <w:noProof/>
          </w:rPr>
          <w:t>13.1.</w:t>
        </w:r>
        <w:r w:rsidR="00865D77">
          <w:rPr>
            <w:rFonts w:asciiTheme="minorHAnsi" w:eastAsiaTheme="minorEastAsia" w:hAnsiTheme="minorHAnsi"/>
            <w:noProof/>
            <w:sz w:val="22"/>
            <w:lang w:eastAsia="en-AU"/>
          </w:rPr>
          <w:tab/>
        </w:r>
        <w:r w:rsidR="00865D77" w:rsidRPr="00BA7206">
          <w:rPr>
            <w:rStyle w:val="Hyperlink"/>
            <w:noProof/>
          </w:rPr>
          <w:t>Grant opportunity probity</w:t>
        </w:r>
        <w:r w:rsidR="00865D77">
          <w:rPr>
            <w:noProof/>
            <w:webHidden/>
          </w:rPr>
          <w:tab/>
        </w:r>
        <w:r w:rsidR="00865D77">
          <w:rPr>
            <w:noProof/>
            <w:webHidden/>
          </w:rPr>
          <w:fldChar w:fldCharType="begin"/>
        </w:r>
        <w:r w:rsidR="00865D77">
          <w:rPr>
            <w:noProof/>
            <w:webHidden/>
          </w:rPr>
          <w:instrText xml:space="preserve"> PAGEREF _Toc178085241 \h </w:instrText>
        </w:r>
        <w:r w:rsidR="00865D77">
          <w:rPr>
            <w:noProof/>
            <w:webHidden/>
          </w:rPr>
        </w:r>
        <w:r w:rsidR="00865D77">
          <w:rPr>
            <w:noProof/>
            <w:webHidden/>
          </w:rPr>
          <w:fldChar w:fldCharType="separate"/>
        </w:r>
        <w:r w:rsidR="00865D77">
          <w:rPr>
            <w:noProof/>
            <w:webHidden/>
          </w:rPr>
          <w:t>36</w:t>
        </w:r>
        <w:r w:rsidR="00865D77">
          <w:rPr>
            <w:noProof/>
            <w:webHidden/>
          </w:rPr>
          <w:fldChar w:fldCharType="end"/>
        </w:r>
      </w:hyperlink>
    </w:p>
    <w:p w14:paraId="37919232" w14:textId="2510FA7B" w:rsidR="00865D77" w:rsidRDefault="00192222">
      <w:pPr>
        <w:pStyle w:val="TOC2"/>
        <w:rPr>
          <w:rFonts w:asciiTheme="minorHAnsi" w:eastAsiaTheme="minorEastAsia" w:hAnsiTheme="minorHAnsi"/>
          <w:noProof/>
          <w:sz w:val="22"/>
          <w:lang w:eastAsia="en-AU"/>
        </w:rPr>
      </w:pPr>
      <w:hyperlink w:anchor="_Toc178085242" w:history="1">
        <w:r w:rsidR="00865D77" w:rsidRPr="00BA7206">
          <w:rPr>
            <w:rStyle w:val="Hyperlink"/>
            <w:noProof/>
          </w:rPr>
          <w:t>13.2.</w:t>
        </w:r>
        <w:r w:rsidR="00865D77">
          <w:rPr>
            <w:rFonts w:asciiTheme="minorHAnsi" w:eastAsiaTheme="minorEastAsia" w:hAnsiTheme="minorHAnsi"/>
            <w:noProof/>
            <w:sz w:val="22"/>
            <w:lang w:eastAsia="en-AU"/>
          </w:rPr>
          <w:tab/>
        </w:r>
        <w:r w:rsidR="00865D77" w:rsidRPr="00BA7206">
          <w:rPr>
            <w:rStyle w:val="Hyperlink"/>
            <w:noProof/>
          </w:rPr>
          <w:t>Enquiries and feedback</w:t>
        </w:r>
        <w:r w:rsidR="00865D77">
          <w:rPr>
            <w:noProof/>
            <w:webHidden/>
          </w:rPr>
          <w:tab/>
        </w:r>
        <w:r w:rsidR="00865D77">
          <w:rPr>
            <w:noProof/>
            <w:webHidden/>
          </w:rPr>
          <w:fldChar w:fldCharType="begin"/>
        </w:r>
        <w:r w:rsidR="00865D77">
          <w:rPr>
            <w:noProof/>
            <w:webHidden/>
          </w:rPr>
          <w:instrText xml:space="preserve"> PAGEREF _Toc178085242 \h </w:instrText>
        </w:r>
        <w:r w:rsidR="00865D77">
          <w:rPr>
            <w:noProof/>
            <w:webHidden/>
          </w:rPr>
        </w:r>
        <w:r w:rsidR="00865D77">
          <w:rPr>
            <w:noProof/>
            <w:webHidden/>
          </w:rPr>
          <w:fldChar w:fldCharType="separate"/>
        </w:r>
        <w:r w:rsidR="00865D77">
          <w:rPr>
            <w:noProof/>
            <w:webHidden/>
          </w:rPr>
          <w:t>36</w:t>
        </w:r>
        <w:r w:rsidR="00865D77">
          <w:rPr>
            <w:noProof/>
            <w:webHidden/>
          </w:rPr>
          <w:fldChar w:fldCharType="end"/>
        </w:r>
      </w:hyperlink>
    </w:p>
    <w:p w14:paraId="66A25E42" w14:textId="51F7AB40" w:rsidR="00865D77" w:rsidRDefault="00192222">
      <w:pPr>
        <w:pStyle w:val="TOC2"/>
        <w:rPr>
          <w:rFonts w:asciiTheme="minorHAnsi" w:eastAsiaTheme="minorEastAsia" w:hAnsiTheme="minorHAnsi"/>
          <w:noProof/>
          <w:sz w:val="22"/>
          <w:lang w:eastAsia="en-AU"/>
        </w:rPr>
      </w:pPr>
      <w:hyperlink w:anchor="_Toc178085243" w:history="1">
        <w:r w:rsidR="00865D77" w:rsidRPr="00BA7206">
          <w:rPr>
            <w:rStyle w:val="Hyperlink"/>
            <w:noProof/>
          </w:rPr>
          <w:t>13.3.</w:t>
        </w:r>
        <w:r w:rsidR="00865D77">
          <w:rPr>
            <w:rFonts w:asciiTheme="minorHAnsi" w:eastAsiaTheme="minorEastAsia" w:hAnsiTheme="minorHAnsi"/>
            <w:noProof/>
            <w:sz w:val="22"/>
            <w:lang w:eastAsia="en-AU"/>
          </w:rPr>
          <w:tab/>
        </w:r>
        <w:r w:rsidR="00865D77" w:rsidRPr="00BA7206">
          <w:rPr>
            <w:rStyle w:val="Hyperlink"/>
            <w:noProof/>
          </w:rPr>
          <w:t>Conflicts of interest</w:t>
        </w:r>
        <w:r w:rsidR="00865D77">
          <w:rPr>
            <w:noProof/>
            <w:webHidden/>
          </w:rPr>
          <w:tab/>
        </w:r>
        <w:r w:rsidR="00865D77">
          <w:rPr>
            <w:noProof/>
            <w:webHidden/>
          </w:rPr>
          <w:fldChar w:fldCharType="begin"/>
        </w:r>
        <w:r w:rsidR="00865D77">
          <w:rPr>
            <w:noProof/>
            <w:webHidden/>
          </w:rPr>
          <w:instrText xml:space="preserve"> PAGEREF _Toc178085243 \h </w:instrText>
        </w:r>
        <w:r w:rsidR="00865D77">
          <w:rPr>
            <w:noProof/>
            <w:webHidden/>
          </w:rPr>
        </w:r>
        <w:r w:rsidR="00865D77">
          <w:rPr>
            <w:noProof/>
            <w:webHidden/>
          </w:rPr>
          <w:fldChar w:fldCharType="separate"/>
        </w:r>
        <w:r w:rsidR="00865D77">
          <w:rPr>
            <w:noProof/>
            <w:webHidden/>
          </w:rPr>
          <w:t>36</w:t>
        </w:r>
        <w:r w:rsidR="00865D77">
          <w:rPr>
            <w:noProof/>
            <w:webHidden/>
          </w:rPr>
          <w:fldChar w:fldCharType="end"/>
        </w:r>
      </w:hyperlink>
    </w:p>
    <w:p w14:paraId="7E06EF80" w14:textId="65AFD9BA" w:rsidR="00865D77" w:rsidRDefault="00192222">
      <w:pPr>
        <w:pStyle w:val="TOC2"/>
        <w:rPr>
          <w:rFonts w:asciiTheme="minorHAnsi" w:eastAsiaTheme="minorEastAsia" w:hAnsiTheme="minorHAnsi"/>
          <w:noProof/>
          <w:sz w:val="22"/>
          <w:lang w:eastAsia="en-AU"/>
        </w:rPr>
      </w:pPr>
      <w:hyperlink w:anchor="_Toc178085244" w:history="1">
        <w:r w:rsidR="00865D77" w:rsidRPr="00BA7206">
          <w:rPr>
            <w:rStyle w:val="Hyperlink"/>
            <w:noProof/>
          </w:rPr>
          <w:t>13.4.</w:t>
        </w:r>
        <w:r w:rsidR="00865D77">
          <w:rPr>
            <w:rFonts w:asciiTheme="minorHAnsi" w:eastAsiaTheme="minorEastAsia" w:hAnsiTheme="minorHAnsi"/>
            <w:noProof/>
            <w:sz w:val="22"/>
            <w:lang w:eastAsia="en-AU"/>
          </w:rPr>
          <w:tab/>
        </w:r>
        <w:r w:rsidR="00865D77" w:rsidRPr="00BA7206">
          <w:rPr>
            <w:rStyle w:val="Hyperlink"/>
            <w:noProof/>
          </w:rPr>
          <w:t>Privacy</w:t>
        </w:r>
        <w:r w:rsidR="00865D77">
          <w:rPr>
            <w:noProof/>
            <w:webHidden/>
          </w:rPr>
          <w:tab/>
        </w:r>
        <w:r w:rsidR="00865D77">
          <w:rPr>
            <w:noProof/>
            <w:webHidden/>
          </w:rPr>
          <w:fldChar w:fldCharType="begin"/>
        </w:r>
        <w:r w:rsidR="00865D77">
          <w:rPr>
            <w:noProof/>
            <w:webHidden/>
          </w:rPr>
          <w:instrText xml:space="preserve"> PAGEREF _Toc178085244 \h </w:instrText>
        </w:r>
        <w:r w:rsidR="00865D77">
          <w:rPr>
            <w:noProof/>
            <w:webHidden/>
          </w:rPr>
        </w:r>
        <w:r w:rsidR="00865D77">
          <w:rPr>
            <w:noProof/>
            <w:webHidden/>
          </w:rPr>
          <w:fldChar w:fldCharType="separate"/>
        </w:r>
        <w:r w:rsidR="00865D77">
          <w:rPr>
            <w:noProof/>
            <w:webHidden/>
          </w:rPr>
          <w:t>37</w:t>
        </w:r>
        <w:r w:rsidR="00865D77">
          <w:rPr>
            <w:noProof/>
            <w:webHidden/>
          </w:rPr>
          <w:fldChar w:fldCharType="end"/>
        </w:r>
      </w:hyperlink>
    </w:p>
    <w:p w14:paraId="6B1F066C" w14:textId="05E2EED4" w:rsidR="00865D77" w:rsidRDefault="00192222">
      <w:pPr>
        <w:pStyle w:val="TOC2"/>
        <w:rPr>
          <w:rFonts w:asciiTheme="minorHAnsi" w:eastAsiaTheme="minorEastAsia" w:hAnsiTheme="minorHAnsi"/>
          <w:noProof/>
          <w:sz w:val="22"/>
          <w:lang w:eastAsia="en-AU"/>
        </w:rPr>
      </w:pPr>
      <w:hyperlink w:anchor="_Toc178085245" w:history="1">
        <w:r w:rsidR="00865D77" w:rsidRPr="00BA7206">
          <w:rPr>
            <w:rStyle w:val="Hyperlink"/>
            <w:noProof/>
          </w:rPr>
          <w:t>13.5.</w:t>
        </w:r>
        <w:r w:rsidR="00865D77">
          <w:rPr>
            <w:rFonts w:asciiTheme="minorHAnsi" w:eastAsiaTheme="minorEastAsia" w:hAnsiTheme="minorHAnsi"/>
            <w:noProof/>
            <w:sz w:val="22"/>
            <w:lang w:eastAsia="en-AU"/>
          </w:rPr>
          <w:tab/>
        </w:r>
        <w:r w:rsidR="00865D77" w:rsidRPr="00BA7206">
          <w:rPr>
            <w:rStyle w:val="Hyperlink"/>
            <w:noProof/>
          </w:rPr>
          <w:t>Confidential Information</w:t>
        </w:r>
        <w:r w:rsidR="00865D77">
          <w:rPr>
            <w:noProof/>
            <w:webHidden/>
          </w:rPr>
          <w:tab/>
        </w:r>
        <w:r w:rsidR="00865D77">
          <w:rPr>
            <w:noProof/>
            <w:webHidden/>
          </w:rPr>
          <w:fldChar w:fldCharType="begin"/>
        </w:r>
        <w:r w:rsidR="00865D77">
          <w:rPr>
            <w:noProof/>
            <w:webHidden/>
          </w:rPr>
          <w:instrText xml:space="preserve"> PAGEREF _Toc178085245 \h </w:instrText>
        </w:r>
        <w:r w:rsidR="00865D77">
          <w:rPr>
            <w:noProof/>
            <w:webHidden/>
          </w:rPr>
        </w:r>
        <w:r w:rsidR="00865D77">
          <w:rPr>
            <w:noProof/>
            <w:webHidden/>
          </w:rPr>
          <w:fldChar w:fldCharType="separate"/>
        </w:r>
        <w:r w:rsidR="00865D77">
          <w:rPr>
            <w:noProof/>
            <w:webHidden/>
          </w:rPr>
          <w:t>38</w:t>
        </w:r>
        <w:r w:rsidR="00865D77">
          <w:rPr>
            <w:noProof/>
            <w:webHidden/>
          </w:rPr>
          <w:fldChar w:fldCharType="end"/>
        </w:r>
      </w:hyperlink>
    </w:p>
    <w:p w14:paraId="20464011" w14:textId="2C5CBA34" w:rsidR="00865D77" w:rsidRDefault="00192222">
      <w:pPr>
        <w:pStyle w:val="TOC2"/>
        <w:rPr>
          <w:rFonts w:asciiTheme="minorHAnsi" w:eastAsiaTheme="minorEastAsia" w:hAnsiTheme="minorHAnsi"/>
          <w:noProof/>
          <w:sz w:val="22"/>
          <w:lang w:eastAsia="en-AU"/>
        </w:rPr>
      </w:pPr>
      <w:hyperlink w:anchor="_Toc178085246" w:history="1">
        <w:r w:rsidR="00865D77" w:rsidRPr="00BA7206">
          <w:rPr>
            <w:rStyle w:val="Hyperlink"/>
            <w:noProof/>
          </w:rPr>
          <w:t>13.6.</w:t>
        </w:r>
        <w:r w:rsidR="00865D77">
          <w:rPr>
            <w:rFonts w:asciiTheme="minorHAnsi" w:eastAsiaTheme="minorEastAsia" w:hAnsiTheme="minorHAnsi"/>
            <w:noProof/>
            <w:sz w:val="22"/>
            <w:lang w:eastAsia="en-AU"/>
          </w:rPr>
          <w:tab/>
        </w:r>
        <w:r w:rsidR="00865D77" w:rsidRPr="00BA7206">
          <w:rPr>
            <w:rStyle w:val="Hyperlink"/>
            <w:noProof/>
          </w:rPr>
          <w:t>Intellectual Property rights</w:t>
        </w:r>
        <w:r w:rsidR="00865D77">
          <w:rPr>
            <w:noProof/>
            <w:webHidden/>
          </w:rPr>
          <w:tab/>
        </w:r>
        <w:r w:rsidR="00865D77">
          <w:rPr>
            <w:noProof/>
            <w:webHidden/>
          </w:rPr>
          <w:fldChar w:fldCharType="begin"/>
        </w:r>
        <w:r w:rsidR="00865D77">
          <w:rPr>
            <w:noProof/>
            <w:webHidden/>
          </w:rPr>
          <w:instrText xml:space="preserve"> PAGEREF _Toc178085246 \h </w:instrText>
        </w:r>
        <w:r w:rsidR="00865D77">
          <w:rPr>
            <w:noProof/>
            <w:webHidden/>
          </w:rPr>
        </w:r>
        <w:r w:rsidR="00865D77">
          <w:rPr>
            <w:noProof/>
            <w:webHidden/>
          </w:rPr>
          <w:fldChar w:fldCharType="separate"/>
        </w:r>
        <w:r w:rsidR="00865D77">
          <w:rPr>
            <w:noProof/>
            <w:webHidden/>
          </w:rPr>
          <w:t>38</w:t>
        </w:r>
        <w:r w:rsidR="00865D77">
          <w:rPr>
            <w:noProof/>
            <w:webHidden/>
          </w:rPr>
          <w:fldChar w:fldCharType="end"/>
        </w:r>
      </w:hyperlink>
    </w:p>
    <w:p w14:paraId="42149621" w14:textId="0FA2F4D4" w:rsidR="00865D77" w:rsidRDefault="00192222">
      <w:pPr>
        <w:pStyle w:val="TOC2"/>
        <w:rPr>
          <w:rFonts w:asciiTheme="minorHAnsi" w:eastAsiaTheme="minorEastAsia" w:hAnsiTheme="minorHAnsi"/>
          <w:noProof/>
          <w:sz w:val="22"/>
          <w:lang w:eastAsia="en-AU"/>
        </w:rPr>
      </w:pPr>
      <w:hyperlink w:anchor="_Toc178085247" w:history="1">
        <w:r w:rsidR="00865D77" w:rsidRPr="00BA7206">
          <w:rPr>
            <w:rStyle w:val="Hyperlink"/>
            <w:noProof/>
          </w:rPr>
          <w:t>13.7.</w:t>
        </w:r>
        <w:r w:rsidR="00865D77">
          <w:rPr>
            <w:rFonts w:asciiTheme="minorHAnsi" w:eastAsiaTheme="minorEastAsia" w:hAnsiTheme="minorHAnsi"/>
            <w:noProof/>
            <w:sz w:val="22"/>
            <w:lang w:eastAsia="en-AU"/>
          </w:rPr>
          <w:tab/>
        </w:r>
        <w:r w:rsidR="00865D77" w:rsidRPr="00BA7206">
          <w:rPr>
            <w:rStyle w:val="Hyperlink"/>
            <w:noProof/>
          </w:rPr>
          <w:t>Freedom of Information</w:t>
        </w:r>
        <w:r w:rsidR="00865D77">
          <w:rPr>
            <w:noProof/>
            <w:webHidden/>
          </w:rPr>
          <w:tab/>
        </w:r>
        <w:r w:rsidR="00865D77">
          <w:rPr>
            <w:noProof/>
            <w:webHidden/>
          </w:rPr>
          <w:fldChar w:fldCharType="begin"/>
        </w:r>
        <w:r w:rsidR="00865D77">
          <w:rPr>
            <w:noProof/>
            <w:webHidden/>
          </w:rPr>
          <w:instrText xml:space="preserve"> PAGEREF _Toc178085247 \h </w:instrText>
        </w:r>
        <w:r w:rsidR="00865D77">
          <w:rPr>
            <w:noProof/>
            <w:webHidden/>
          </w:rPr>
        </w:r>
        <w:r w:rsidR="00865D77">
          <w:rPr>
            <w:noProof/>
            <w:webHidden/>
          </w:rPr>
          <w:fldChar w:fldCharType="separate"/>
        </w:r>
        <w:r w:rsidR="00865D77">
          <w:rPr>
            <w:noProof/>
            <w:webHidden/>
          </w:rPr>
          <w:t>39</w:t>
        </w:r>
        <w:r w:rsidR="00865D77">
          <w:rPr>
            <w:noProof/>
            <w:webHidden/>
          </w:rPr>
          <w:fldChar w:fldCharType="end"/>
        </w:r>
      </w:hyperlink>
    </w:p>
    <w:p w14:paraId="2AD0548B" w14:textId="79D73FEC" w:rsidR="00865D77" w:rsidRDefault="00192222">
      <w:pPr>
        <w:pStyle w:val="TOC1"/>
        <w:rPr>
          <w:rFonts w:asciiTheme="minorHAnsi" w:eastAsiaTheme="minorEastAsia" w:hAnsiTheme="minorHAnsi"/>
          <w:b w:val="0"/>
          <w:noProof/>
          <w:color w:val="auto"/>
          <w:u w:val="none"/>
          <w:lang w:eastAsia="en-AU"/>
        </w:rPr>
      </w:pPr>
      <w:hyperlink w:anchor="_Toc178085248" w:history="1">
        <w:r w:rsidR="00865D77" w:rsidRPr="00BA7206">
          <w:rPr>
            <w:rStyle w:val="Hyperlink"/>
            <w:noProof/>
          </w:rPr>
          <w:t>14.</w:t>
        </w:r>
        <w:r w:rsidR="00865D77">
          <w:rPr>
            <w:rFonts w:asciiTheme="minorHAnsi" w:eastAsiaTheme="minorEastAsia" w:hAnsiTheme="minorHAnsi"/>
            <w:b w:val="0"/>
            <w:noProof/>
            <w:color w:val="auto"/>
            <w:u w:val="none"/>
            <w:lang w:eastAsia="en-AU"/>
          </w:rPr>
          <w:tab/>
        </w:r>
        <w:r w:rsidR="00865D77" w:rsidRPr="00BA7206">
          <w:rPr>
            <w:rStyle w:val="Hyperlink"/>
            <w:noProof/>
          </w:rPr>
          <w:t>Consultation</w:t>
        </w:r>
        <w:r w:rsidR="00865D77">
          <w:rPr>
            <w:noProof/>
            <w:webHidden/>
          </w:rPr>
          <w:tab/>
        </w:r>
        <w:r w:rsidR="00865D77">
          <w:rPr>
            <w:noProof/>
            <w:webHidden/>
          </w:rPr>
          <w:fldChar w:fldCharType="begin"/>
        </w:r>
        <w:r w:rsidR="00865D77">
          <w:rPr>
            <w:noProof/>
            <w:webHidden/>
          </w:rPr>
          <w:instrText xml:space="preserve"> PAGEREF _Toc178085248 \h </w:instrText>
        </w:r>
        <w:r w:rsidR="00865D77">
          <w:rPr>
            <w:noProof/>
            <w:webHidden/>
          </w:rPr>
        </w:r>
        <w:r w:rsidR="00865D77">
          <w:rPr>
            <w:noProof/>
            <w:webHidden/>
          </w:rPr>
          <w:fldChar w:fldCharType="separate"/>
        </w:r>
        <w:r w:rsidR="00865D77">
          <w:rPr>
            <w:noProof/>
            <w:webHidden/>
          </w:rPr>
          <w:t>39</w:t>
        </w:r>
        <w:r w:rsidR="00865D77">
          <w:rPr>
            <w:noProof/>
            <w:webHidden/>
          </w:rPr>
          <w:fldChar w:fldCharType="end"/>
        </w:r>
      </w:hyperlink>
    </w:p>
    <w:p w14:paraId="15482932" w14:textId="10EB119F" w:rsidR="00865D77" w:rsidRDefault="00192222">
      <w:pPr>
        <w:pStyle w:val="TOC1"/>
        <w:rPr>
          <w:rFonts w:asciiTheme="minorHAnsi" w:eastAsiaTheme="minorEastAsia" w:hAnsiTheme="minorHAnsi"/>
          <w:b w:val="0"/>
          <w:noProof/>
          <w:color w:val="auto"/>
          <w:u w:val="none"/>
          <w:lang w:eastAsia="en-AU"/>
        </w:rPr>
      </w:pPr>
      <w:hyperlink w:anchor="_Toc178085249" w:history="1">
        <w:r w:rsidR="00865D77" w:rsidRPr="00BA7206">
          <w:rPr>
            <w:rStyle w:val="Hyperlink"/>
            <w:noProof/>
          </w:rPr>
          <w:t>15.</w:t>
        </w:r>
        <w:r w:rsidR="00865D77">
          <w:rPr>
            <w:rFonts w:asciiTheme="minorHAnsi" w:eastAsiaTheme="minorEastAsia" w:hAnsiTheme="minorHAnsi"/>
            <w:b w:val="0"/>
            <w:noProof/>
            <w:color w:val="auto"/>
            <w:u w:val="none"/>
            <w:lang w:eastAsia="en-AU"/>
          </w:rPr>
          <w:tab/>
        </w:r>
        <w:r w:rsidR="00865D77" w:rsidRPr="00BA7206">
          <w:rPr>
            <w:rStyle w:val="Hyperlink"/>
            <w:noProof/>
          </w:rPr>
          <w:t>Glossary</w:t>
        </w:r>
        <w:r w:rsidR="00865D77">
          <w:rPr>
            <w:noProof/>
            <w:webHidden/>
          </w:rPr>
          <w:tab/>
        </w:r>
        <w:r w:rsidR="00865D77">
          <w:rPr>
            <w:noProof/>
            <w:webHidden/>
          </w:rPr>
          <w:fldChar w:fldCharType="begin"/>
        </w:r>
        <w:r w:rsidR="00865D77">
          <w:rPr>
            <w:noProof/>
            <w:webHidden/>
          </w:rPr>
          <w:instrText xml:space="preserve"> PAGEREF _Toc178085249 \h </w:instrText>
        </w:r>
        <w:r w:rsidR="00865D77">
          <w:rPr>
            <w:noProof/>
            <w:webHidden/>
          </w:rPr>
        </w:r>
        <w:r w:rsidR="00865D77">
          <w:rPr>
            <w:noProof/>
            <w:webHidden/>
          </w:rPr>
          <w:fldChar w:fldCharType="separate"/>
        </w:r>
        <w:r w:rsidR="00865D77">
          <w:rPr>
            <w:noProof/>
            <w:webHidden/>
          </w:rPr>
          <w:t>39</w:t>
        </w:r>
        <w:r w:rsidR="00865D77">
          <w:rPr>
            <w:noProof/>
            <w:webHidden/>
          </w:rPr>
          <w:fldChar w:fldCharType="end"/>
        </w:r>
      </w:hyperlink>
    </w:p>
    <w:p w14:paraId="73D475B6" w14:textId="002F1C66" w:rsidR="00670726" w:rsidRPr="004B4D93" w:rsidRDefault="006E5952" w:rsidP="004B4D93">
      <w:pPr>
        <w:pStyle w:val="Heading2notshowing"/>
        <w:spacing w:before="360"/>
        <w:rPr>
          <w:sz w:val="36"/>
          <w:szCs w:val="36"/>
        </w:rPr>
      </w:pPr>
      <w:r>
        <w:rPr>
          <w:color w:val="000000" w:themeColor="text1"/>
          <w:u w:val="single" w:color="4BB3B5"/>
        </w:rPr>
        <w:fldChar w:fldCharType="end"/>
      </w:r>
      <w:r w:rsidR="00670726" w:rsidRPr="004B4D93">
        <w:rPr>
          <w:sz w:val="36"/>
          <w:szCs w:val="36"/>
        </w:rPr>
        <w:t>List of figures and tables</w:t>
      </w:r>
    </w:p>
    <w:p w14:paraId="3FC2DCB7" w14:textId="53C6051B" w:rsidR="00BC1176" w:rsidRDefault="00865D77" w:rsidP="00BC1176">
      <w:pPr>
        <w:pStyle w:val="TableofFigures"/>
        <w:tabs>
          <w:tab w:val="left" w:leader="dot" w:pos="9072"/>
        </w:tabs>
        <w:rPr>
          <w:rFonts w:eastAsiaTheme="minorEastAsia"/>
          <w:noProof/>
          <w:color w:val="auto"/>
          <w:kern w:val="0"/>
          <w:szCs w:val="22"/>
          <w:lang w:eastAsia="en-AU"/>
        </w:rPr>
      </w:pPr>
      <w:r>
        <w:fldChar w:fldCharType="begin"/>
      </w:r>
      <w:r>
        <w:instrText xml:space="preserve"> TOC \h \z \t "Table/figure heading" \c </w:instrText>
      </w:r>
      <w:r>
        <w:fldChar w:fldCharType="separate"/>
      </w:r>
      <w:hyperlink w:anchor="_Toc178085267" w:history="1">
        <w:r w:rsidR="00BC1176" w:rsidRPr="00D03638">
          <w:rPr>
            <w:rStyle w:val="Hyperlink"/>
            <w:noProof/>
          </w:rPr>
          <w:t>Table 1: Additional Commonwealth Funding Contribution</w:t>
        </w:r>
        <w:r w:rsidR="00BC1176">
          <w:rPr>
            <w:noProof/>
            <w:webHidden/>
          </w:rPr>
          <w:tab/>
        </w:r>
        <w:r w:rsidR="00BC1176">
          <w:rPr>
            <w:noProof/>
            <w:webHidden/>
          </w:rPr>
          <w:fldChar w:fldCharType="begin"/>
        </w:r>
        <w:r w:rsidR="00BC1176">
          <w:rPr>
            <w:noProof/>
            <w:webHidden/>
          </w:rPr>
          <w:instrText xml:space="preserve"> PAGEREF _Toc178085267 \h </w:instrText>
        </w:r>
        <w:r w:rsidR="00BC1176">
          <w:rPr>
            <w:noProof/>
            <w:webHidden/>
          </w:rPr>
        </w:r>
        <w:r w:rsidR="00BC1176">
          <w:rPr>
            <w:noProof/>
            <w:webHidden/>
          </w:rPr>
          <w:fldChar w:fldCharType="separate"/>
        </w:r>
        <w:r w:rsidR="00BC1176">
          <w:rPr>
            <w:noProof/>
            <w:webHidden/>
          </w:rPr>
          <w:t>16</w:t>
        </w:r>
        <w:r w:rsidR="00BC1176">
          <w:rPr>
            <w:noProof/>
            <w:webHidden/>
          </w:rPr>
          <w:fldChar w:fldCharType="end"/>
        </w:r>
      </w:hyperlink>
    </w:p>
    <w:p w14:paraId="319A37B7" w14:textId="3D9587EE" w:rsidR="00BC1176" w:rsidRDefault="00192222" w:rsidP="00BC1176">
      <w:pPr>
        <w:pStyle w:val="TableofFigures"/>
        <w:tabs>
          <w:tab w:val="left" w:leader="dot" w:pos="9072"/>
        </w:tabs>
        <w:rPr>
          <w:rFonts w:eastAsiaTheme="minorEastAsia"/>
          <w:noProof/>
          <w:color w:val="auto"/>
          <w:kern w:val="0"/>
          <w:szCs w:val="22"/>
          <w:lang w:eastAsia="en-AU"/>
        </w:rPr>
      </w:pPr>
      <w:hyperlink w:anchor="_Toc178085268" w:history="1">
        <w:r w:rsidR="00BC1176" w:rsidRPr="00D03638">
          <w:rPr>
            <w:rStyle w:val="Hyperlink"/>
            <w:noProof/>
          </w:rPr>
          <w:t>Table 2: 4G New Improved Handheld Coverage Scoring Matrix (Part 1)</w:t>
        </w:r>
        <w:r w:rsidR="00BC1176">
          <w:rPr>
            <w:noProof/>
            <w:webHidden/>
          </w:rPr>
          <w:tab/>
        </w:r>
        <w:r w:rsidR="00BC1176">
          <w:rPr>
            <w:noProof/>
            <w:webHidden/>
          </w:rPr>
          <w:fldChar w:fldCharType="begin"/>
        </w:r>
        <w:r w:rsidR="00BC1176">
          <w:rPr>
            <w:noProof/>
            <w:webHidden/>
          </w:rPr>
          <w:instrText xml:space="preserve"> PAGEREF _Toc178085268 \h </w:instrText>
        </w:r>
        <w:r w:rsidR="00BC1176">
          <w:rPr>
            <w:noProof/>
            <w:webHidden/>
          </w:rPr>
        </w:r>
        <w:r w:rsidR="00BC1176">
          <w:rPr>
            <w:noProof/>
            <w:webHidden/>
          </w:rPr>
          <w:fldChar w:fldCharType="separate"/>
        </w:r>
        <w:r w:rsidR="00BC1176">
          <w:rPr>
            <w:noProof/>
            <w:webHidden/>
          </w:rPr>
          <w:t>17</w:t>
        </w:r>
        <w:r w:rsidR="00BC1176">
          <w:rPr>
            <w:noProof/>
            <w:webHidden/>
          </w:rPr>
          <w:fldChar w:fldCharType="end"/>
        </w:r>
      </w:hyperlink>
    </w:p>
    <w:p w14:paraId="04583C27" w14:textId="3FCC5445" w:rsidR="00BC1176" w:rsidRDefault="00192222" w:rsidP="00BC1176">
      <w:pPr>
        <w:pStyle w:val="TableofFigures"/>
        <w:tabs>
          <w:tab w:val="left" w:leader="dot" w:pos="9072"/>
        </w:tabs>
        <w:rPr>
          <w:rFonts w:eastAsiaTheme="minorEastAsia"/>
          <w:noProof/>
          <w:color w:val="auto"/>
          <w:kern w:val="0"/>
          <w:szCs w:val="22"/>
          <w:lang w:eastAsia="en-AU"/>
        </w:rPr>
      </w:pPr>
      <w:hyperlink w:anchor="_Toc178085269" w:history="1">
        <w:r w:rsidR="00BC1176" w:rsidRPr="00D03638">
          <w:rPr>
            <w:rStyle w:val="Hyperlink"/>
            <w:noProof/>
          </w:rPr>
          <w:t>Table 3: 5G New Improved Handheld Coverage Scoring Matrix (Part 2)</w:t>
        </w:r>
        <w:r w:rsidR="00BC1176">
          <w:rPr>
            <w:noProof/>
            <w:webHidden/>
          </w:rPr>
          <w:tab/>
        </w:r>
        <w:r w:rsidR="00BC1176">
          <w:rPr>
            <w:noProof/>
            <w:webHidden/>
          </w:rPr>
          <w:fldChar w:fldCharType="begin"/>
        </w:r>
        <w:r w:rsidR="00BC1176">
          <w:rPr>
            <w:noProof/>
            <w:webHidden/>
          </w:rPr>
          <w:instrText xml:space="preserve"> PAGEREF _Toc178085269 \h </w:instrText>
        </w:r>
        <w:r w:rsidR="00BC1176">
          <w:rPr>
            <w:noProof/>
            <w:webHidden/>
          </w:rPr>
        </w:r>
        <w:r w:rsidR="00BC1176">
          <w:rPr>
            <w:noProof/>
            <w:webHidden/>
          </w:rPr>
          <w:fldChar w:fldCharType="separate"/>
        </w:r>
        <w:r w:rsidR="00BC1176">
          <w:rPr>
            <w:noProof/>
            <w:webHidden/>
          </w:rPr>
          <w:t>17</w:t>
        </w:r>
        <w:r w:rsidR="00BC1176">
          <w:rPr>
            <w:noProof/>
            <w:webHidden/>
          </w:rPr>
          <w:fldChar w:fldCharType="end"/>
        </w:r>
      </w:hyperlink>
    </w:p>
    <w:p w14:paraId="48086162" w14:textId="2EDE2B58" w:rsidR="00BC1176" w:rsidRDefault="00192222" w:rsidP="00BC1176">
      <w:pPr>
        <w:pStyle w:val="TableofFigures"/>
        <w:tabs>
          <w:tab w:val="left" w:leader="dot" w:pos="9072"/>
        </w:tabs>
        <w:rPr>
          <w:rFonts w:eastAsiaTheme="minorEastAsia"/>
          <w:noProof/>
          <w:color w:val="auto"/>
          <w:kern w:val="0"/>
          <w:szCs w:val="22"/>
          <w:lang w:eastAsia="en-AU"/>
        </w:rPr>
      </w:pPr>
      <w:hyperlink w:anchor="_Toc178085270" w:history="1">
        <w:r w:rsidR="00BC1176" w:rsidRPr="00D03638">
          <w:rPr>
            <w:rStyle w:val="Hyperlink"/>
            <w:noProof/>
          </w:rPr>
          <w:t>Table 4: Coverage Loading</w:t>
        </w:r>
        <w:r w:rsidR="00BC1176">
          <w:rPr>
            <w:noProof/>
            <w:webHidden/>
          </w:rPr>
          <w:tab/>
        </w:r>
        <w:r w:rsidR="00BC1176">
          <w:rPr>
            <w:noProof/>
            <w:webHidden/>
          </w:rPr>
          <w:fldChar w:fldCharType="begin"/>
        </w:r>
        <w:r w:rsidR="00BC1176">
          <w:rPr>
            <w:noProof/>
            <w:webHidden/>
          </w:rPr>
          <w:instrText xml:space="preserve"> PAGEREF _Toc178085270 \h </w:instrText>
        </w:r>
        <w:r w:rsidR="00BC1176">
          <w:rPr>
            <w:noProof/>
            <w:webHidden/>
          </w:rPr>
        </w:r>
        <w:r w:rsidR="00BC1176">
          <w:rPr>
            <w:noProof/>
            <w:webHidden/>
          </w:rPr>
          <w:fldChar w:fldCharType="separate"/>
        </w:r>
        <w:r w:rsidR="00BC1176">
          <w:rPr>
            <w:noProof/>
            <w:webHidden/>
          </w:rPr>
          <w:t>18</w:t>
        </w:r>
        <w:r w:rsidR="00BC1176">
          <w:rPr>
            <w:noProof/>
            <w:webHidden/>
          </w:rPr>
          <w:fldChar w:fldCharType="end"/>
        </w:r>
      </w:hyperlink>
    </w:p>
    <w:p w14:paraId="048CD5CE" w14:textId="6222FE43" w:rsidR="00BC1176" w:rsidRDefault="00192222" w:rsidP="00BC1176">
      <w:pPr>
        <w:pStyle w:val="TableofFigures"/>
        <w:tabs>
          <w:tab w:val="left" w:leader="dot" w:pos="9072"/>
        </w:tabs>
        <w:rPr>
          <w:rFonts w:eastAsiaTheme="minorEastAsia"/>
          <w:noProof/>
          <w:color w:val="auto"/>
          <w:kern w:val="0"/>
          <w:szCs w:val="22"/>
          <w:lang w:eastAsia="en-AU"/>
        </w:rPr>
      </w:pPr>
      <w:hyperlink w:anchor="_Toc178085271" w:history="1">
        <w:r w:rsidR="00BC1176" w:rsidRPr="00D03638">
          <w:rPr>
            <w:rStyle w:val="Hyperlink"/>
            <w:noProof/>
          </w:rPr>
          <w:t>Table 5: Premises Scoring Matrix (Category A)</w:t>
        </w:r>
        <w:r w:rsidR="00BC1176">
          <w:rPr>
            <w:noProof/>
            <w:webHidden/>
          </w:rPr>
          <w:tab/>
        </w:r>
        <w:r w:rsidR="00BC1176">
          <w:rPr>
            <w:noProof/>
            <w:webHidden/>
          </w:rPr>
          <w:fldChar w:fldCharType="begin"/>
        </w:r>
        <w:r w:rsidR="00BC1176">
          <w:rPr>
            <w:noProof/>
            <w:webHidden/>
          </w:rPr>
          <w:instrText xml:space="preserve"> PAGEREF _Toc178085271 \h </w:instrText>
        </w:r>
        <w:r w:rsidR="00BC1176">
          <w:rPr>
            <w:noProof/>
            <w:webHidden/>
          </w:rPr>
        </w:r>
        <w:r w:rsidR="00BC1176">
          <w:rPr>
            <w:noProof/>
            <w:webHidden/>
          </w:rPr>
          <w:fldChar w:fldCharType="separate"/>
        </w:r>
        <w:r w:rsidR="00BC1176">
          <w:rPr>
            <w:noProof/>
            <w:webHidden/>
          </w:rPr>
          <w:t>18</w:t>
        </w:r>
        <w:r w:rsidR="00BC1176">
          <w:rPr>
            <w:noProof/>
            <w:webHidden/>
          </w:rPr>
          <w:fldChar w:fldCharType="end"/>
        </w:r>
      </w:hyperlink>
    </w:p>
    <w:p w14:paraId="29F2F436" w14:textId="5E6E8AEC" w:rsidR="00BC1176" w:rsidRDefault="00192222" w:rsidP="00BC1176">
      <w:pPr>
        <w:pStyle w:val="TableofFigures"/>
        <w:tabs>
          <w:tab w:val="left" w:leader="dot" w:pos="9072"/>
        </w:tabs>
        <w:rPr>
          <w:rFonts w:eastAsiaTheme="minorEastAsia"/>
          <w:noProof/>
          <w:color w:val="auto"/>
          <w:kern w:val="0"/>
          <w:szCs w:val="22"/>
          <w:lang w:eastAsia="en-AU"/>
        </w:rPr>
      </w:pPr>
      <w:hyperlink w:anchor="_Toc178085272" w:history="1">
        <w:r w:rsidR="00BC1176" w:rsidRPr="00D03638">
          <w:rPr>
            <w:rStyle w:val="Hyperlink"/>
            <w:noProof/>
          </w:rPr>
          <w:t>Table 6: Premises Scoring Matrix (Category B)</w:t>
        </w:r>
        <w:r w:rsidR="00BC1176">
          <w:rPr>
            <w:noProof/>
            <w:webHidden/>
          </w:rPr>
          <w:tab/>
        </w:r>
        <w:r w:rsidR="00BC1176">
          <w:rPr>
            <w:noProof/>
            <w:webHidden/>
          </w:rPr>
          <w:fldChar w:fldCharType="begin"/>
        </w:r>
        <w:r w:rsidR="00BC1176">
          <w:rPr>
            <w:noProof/>
            <w:webHidden/>
          </w:rPr>
          <w:instrText xml:space="preserve"> PAGEREF _Toc178085272 \h </w:instrText>
        </w:r>
        <w:r w:rsidR="00BC1176">
          <w:rPr>
            <w:noProof/>
            <w:webHidden/>
          </w:rPr>
        </w:r>
        <w:r w:rsidR="00BC1176">
          <w:rPr>
            <w:noProof/>
            <w:webHidden/>
          </w:rPr>
          <w:fldChar w:fldCharType="separate"/>
        </w:r>
        <w:r w:rsidR="00BC1176">
          <w:rPr>
            <w:noProof/>
            <w:webHidden/>
          </w:rPr>
          <w:t>19</w:t>
        </w:r>
        <w:r w:rsidR="00BC1176">
          <w:rPr>
            <w:noProof/>
            <w:webHidden/>
          </w:rPr>
          <w:fldChar w:fldCharType="end"/>
        </w:r>
      </w:hyperlink>
    </w:p>
    <w:p w14:paraId="688F942E" w14:textId="15EEA665" w:rsidR="00BC1176" w:rsidRDefault="00192222" w:rsidP="00BC1176">
      <w:pPr>
        <w:pStyle w:val="TableofFigures"/>
        <w:tabs>
          <w:tab w:val="left" w:leader="dot" w:pos="9072"/>
        </w:tabs>
        <w:rPr>
          <w:rFonts w:eastAsiaTheme="minorEastAsia"/>
          <w:noProof/>
          <w:color w:val="auto"/>
          <w:kern w:val="0"/>
          <w:szCs w:val="22"/>
          <w:lang w:eastAsia="en-AU"/>
        </w:rPr>
      </w:pPr>
      <w:hyperlink w:anchor="_Toc178085273" w:history="1">
        <w:r w:rsidR="00BC1176" w:rsidRPr="00D03638">
          <w:rPr>
            <w:rStyle w:val="Hyperlink"/>
            <w:noProof/>
          </w:rPr>
          <w:t>Table 7: Cost to the Commonwealth Scoring Matrix</w:t>
        </w:r>
        <w:r w:rsidR="00BC1176">
          <w:rPr>
            <w:noProof/>
            <w:webHidden/>
          </w:rPr>
          <w:tab/>
        </w:r>
        <w:r w:rsidR="00BC1176">
          <w:rPr>
            <w:noProof/>
            <w:webHidden/>
          </w:rPr>
          <w:fldChar w:fldCharType="begin"/>
        </w:r>
        <w:r w:rsidR="00BC1176">
          <w:rPr>
            <w:noProof/>
            <w:webHidden/>
          </w:rPr>
          <w:instrText xml:space="preserve"> PAGEREF _Toc178085273 \h </w:instrText>
        </w:r>
        <w:r w:rsidR="00BC1176">
          <w:rPr>
            <w:noProof/>
            <w:webHidden/>
          </w:rPr>
        </w:r>
        <w:r w:rsidR="00BC1176">
          <w:rPr>
            <w:noProof/>
            <w:webHidden/>
          </w:rPr>
          <w:fldChar w:fldCharType="separate"/>
        </w:r>
        <w:r w:rsidR="00BC1176">
          <w:rPr>
            <w:noProof/>
            <w:webHidden/>
          </w:rPr>
          <w:t>19</w:t>
        </w:r>
        <w:r w:rsidR="00BC1176">
          <w:rPr>
            <w:noProof/>
            <w:webHidden/>
          </w:rPr>
          <w:fldChar w:fldCharType="end"/>
        </w:r>
      </w:hyperlink>
    </w:p>
    <w:p w14:paraId="67349D5F" w14:textId="777DB6E8" w:rsidR="00BC1176" w:rsidRDefault="00192222" w:rsidP="00BC1176">
      <w:pPr>
        <w:pStyle w:val="TableofFigures"/>
        <w:tabs>
          <w:tab w:val="left" w:leader="dot" w:pos="9072"/>
        </w:tabs>
        <w:rPr>
          <w:rFonts w:eastAsiaTheme="minorEastAsia"/>
          <w:noProof/>
          <w:color w:val="auto"/>
          <w:kern w:val="0"/>
          <w:szCs w:val="22"/>
          <w:lang w:eastAsia="en-AU"/>
        </w:rPr>
      </w:pPr>
      <w:hyperlink w:anchor="_Toc178085274" w:history="1">
        <w:r w:rsidR="00BC1176" w:rsidRPr="00D03638">
          <w:rPr>
            <w:rStyle w:val="Hyperlink"/>
            <w:noProof/>
          </w:rPr>
          <w:t>Table 8: Material Coverage Improvement Scoring Matrix</w:t>
        </w:r>
        <w:r w:rsidR="00BC1176">
          <w:rPr>
            <w:noProof/>
            <w:webHidden/>
          </w:rPr>
          <w:tab/>
        </w:r>
        <w:r w:rsidR="00BC1176">
          <w:rPr>
            <w:noProof/>
            <w:webHidden/>
          </w:rPr>
          <w:fldChar w:fldCharType="begin"/>
        </w:r>
        <w:r w:rsidR="00BC1176">
          <w:rPr>
            <w:noProof/>
            <w:webHidden/>
          </w:rPr>
          <w:instrText xml:space="preserve"> PAGEREF _Toc178085274 \h </w:instrText>
        </w:r>
        <w:r w:rsidR="00BC1176">
          <w:rPr>
            <w:noProof/>
            <w:webHidden/>
          </w:rPr>
        </w:r>
        <w:r w:rsidR="00BC1176">
          <w:rPr>
            <w:noProof/>
            <w:webHidden/>
          </w:rPr>
          <w:fldChar w:fldCharType="separate"/>
        </w:r>
        <w:r w:rsidR="00BC1176">
          <w:rPr>
            <w:noProof/>
            <w:webHidden/>
          </w:rPr>
          <w:t>20</w:t>
        </w:r>
        <w:r w:rsidR="00BC1176">
          <w:rPr>
            <w:noProof/>
            <w:webHidden/>
          </w:rPr>
          <w:fldChar w:fldCharType="end"/>
        </w:r>
      </w:hyperlink>
    </w:p>
    <w:p w14:paraId="68863E98" w14:textId="31F99601" w:rsidR="00BC1176" w:rsidRDefault="00192222" w:rsidP="00BC1176">
      <w:pPr>
        <w:pStyle w:val="TableofFigures"/>
        <w:tabs>
          <w:tab w:val="left" w:leader="dot" w:pos="9072"/>
        </w:tabs>
        <w:rPr>
          <w:rFonts w:eastAsiaTheme="minorEastAsia"/>
          <w:noProof/>
          <w:color w:val="auto"/>
          <w:kern w:val="0"/>
          <w:szCs w:val="22"/>
          <w:lang w:eastAsia="en-AU"/>
        </w:rPr>
      </w:pPr>
      <w:hyperlink w:anchor="_Toc178085275" w:history="1">
        <w:r w:rsidR="00BC1176" w:rsidRPr="00D03638">
          <w:rPr>
            <w:rStyle w:val="Hyperlink"/>
            <w:noProof/>
          </w:rPr>
          <w:t>Table 9: Expected timing for this Grant Opportunity</w:t>
        </w:r>
        <w:r w:rsidR="00BC1176">
          <w:rPr>
            <w:noProof/>
            <w:webHidden/>
          </w:rPr>
          <w:tab/>
        </w:r>
        <w:r w:rsidR="00BC1176">
          <w:rPr>
            <w:noProof/>
            <w:webHidden/>
          </w:rPr>
          <w:fldChar w:fldCharType="begin"/>
        </w:r>
        <w:r w:rsidR="00BC1176">
          <w:rPr>
            <w:noProof/>
            <w:webHidden/>
          </w:rPr>
          <w:instrText xml:space="preserve"> PAGEREF _Toc178085275 \h </w:instrText>
        </w:r>
        <w:r w:rsidR="00BC1176">
          <w:rPr>
            <w:noProof/>
            <w:webHidden/>
          </w:rPr>
        </w:r>
        <w:r w:rsidR="00BC1176">
          <w:rPr>
            <w:noProof/>
            <w:webHidden/>
          </w:rPr>
          <w:fldChar w:fldCharType="separate"/>
        </w:r>
        <w:r w:rsidR="00BC1176">
          <w:rPr>
            <w:noProof/>
            <w:webHidden/>
          </w:rPr>
          <w:t>21</w:t>
        </w:r>
        <w:r w:rsidR="00BC1176">
          <w:rPr>
            <w:noProof/>
            <w:webHidden/>
          </w:rPr>
          <w:fldChar w:fldCharType="end"/>
        </w:r>
      </w:hyperlink>
    </w:p>
    <w:p w14:paraId="011C3B71" w14:textId="34B44AA3" w:rsidR="00BC1176" w:rsidRDefault="00192222" w:rsidP="00BC1176">
      <w:pPr>
        <w:pStyle w:val="TableofFigures"/>
        <w:tabs>
          <w:tab w:val="left" w:leader="dot" w:pos="9072"/>
        </w:tabs>
        <w:rPr>
          <w:rFonts w:eastAsiaTheme="minorEastAsia"/>
          <w:noProof/>
          <w:color w:val="auto"/>
          <w:kern w:val="0"/>
          <w:szCs w:val="22"/>
          <w:lang w:eastAsia="en-AU"/>
        </w:rPr>
      </w:pPr>
      <w:hyperlink w:anchor="_Toc178085276" w:history="1">
        <w:r w:rsidR="00BC1176" w:rsidRPr="00D03638">
          <w:rPr>
            <w:rStyle w:val="Hyperlink"/>
            <w:noProof/>
          </w:rPr>
          <w:t>Glossary</w:t>
        </w:r>
        <w:r w:rsidR="00BC1176">
          <w:rPr>
            <w:noProof/>
            <w:webHidden/>
          </w:rPr>
          <w:tab/>
        </w:r>
        <w:r w:rsidR="00BC1176">
          <w:rPr>
            <w:noProof/>
            <w:webHidden/>
          </w:rPr>
          <w:fldChar w:fldCharType="begin"/>
        </w:r>
        <w:r w:rsidR="00BC1176">
          <w:rPr>
            <w:noProof/>
            <w:webHidden/>
          </w:rPr>
          <w:instrText xml:space="preserve"> PAGEREF _Toc178085276 \h </w:instrText>
        </w:r>
        <w:r w:rsidR="00BC1176">
          <w:rPr>
            <w:noProof/>
            <w:webHidden/>
          </w:rPr>
        </w:r>
        <w:r w:rsidR="00BC1176">
          <w:rPr>
            <w:noProof/>
            <w:webHidden/>
          </w:rPr>
          <w:fldChar w:fldCharType="separate"/>
        </w:r>
        <w:r w:rsidR="00BC1176">
          <w:rPr>
            <w:noProof/>
            <w:webHidden/>
          </w:rPr>
          <w:t>39</w:t>
        </w:r>
        <w:r w:rsidR="00BC1176">
          <w:rPr>
            <w:noProof/>
            <w:webHidden/>
          </w:rPr>
          <w:fldChar w:fldCharType="end"/>
        </w:r>
      </w:hyperlink>
    </w:p>
    <w:p w14:paraId="5ACF4E17" w14:textId="46337957" w:rsidR="00865D77" w:rsidRDefault="00865D77" w:rsidP="00F739AC">
      <w:pPr>
        <w:rPr>
          <w:b/>
        </w:rPr>
      </w:pPr>
      <w:r>
        <w:fldChar w:fldCharType="end"/>
      </w:r>
    </w:p>
    <w:p w14:paraId="73D475BD" w14:textId="53B1D96E" w:rsidR="00733FF0" w:rsidRPr="00733FF0" w:rsidRDefault="00BF5FA4" w:rsidP="005A463E">
      <w:pPr>
        <w:pStyle w:val="Heading2"/>
        <w:numPr>
          <w:ilvl w:val="0"/>
          <w:numId w:val="0"/>
        </w:numPr>
        <w:ind w:left="1134" w:hanging="1134"/>
      </w:pPr>
      <w:r>
        <w:br w:type="page"/>
      </w:r>
      <w:bookmarkStart w:id="0" w:name="_Toc458420391"/>
      <w:bookmarkStart w:id="1" w:name="_Toc462824846"/>
      <w:bookmarkStart w:id="2" w:name="_Toc113442163"/>
      <w:bookmarkStart w:id="3" w:name="_Toc113357200"/>
      <w:bookmarkStart w:id="4" w:name="_Toc178085173"/>
      <w:r w:rsidR="000A47D4" w:rsidRPr="00B62525">
        <w:lastRenderedPageBreak/>
        <w:t>Peri-Urban Mobile Program Round 2</w:t>
      </w:r>
      <w:r w:rsidR="00733FF0" w:rsidRPr="00B62525">
        <w:t>: processes</w:t>
      </w:r>
      <w:bookmarkEnd w:id="0"/>
      <w:bookmarkEnd w:id="1"/>
      <w:bookmarkEnd w:id="2"/>
      <w:bookmarkEnd w:id="3"/>
      <w:bookmarkEnd w:id="4"/>
    </w:p>
    <w:p w14:paraId="46DBA997" w14:textId="77777777" w:rsidR="00B005C4" w:rsidRDefault="00B005C4" w:rsidP="00C24D07">
      <w:pPr>
        <w:pBdr>
          <w:top w:val="single" w:sz="4" w:space="1" w:color="auto"/>
          <w:left w:val="single" w:sz="4" w:space="4" w:color="auto"/>
          <w:bottom w:val="single" w:sz="4" w:space="1" w:color="auto"/>
          <w:right w:val="single" w:sz="4" w:space="4" w:color="auto"/>
        </w:pBdr>
        <w:spacing w:after="0"/>
        <w:jc w:val="center"/>
        <w:rPr>
          <w:b/>
        </w:rPr>
      </w:pPr>
    </w:p>
    <w:p w14:paraId="73D475BF" w14:textId="112EAE26" w:rsidR="007B4050" w:rsidRDefault="007B4050" w:rsidP="00C24D07">
      <w:pPr>
        <w:pBdr>
          <w:top w:val="single" w:sz="4" w:space="1" w:color="auto"/>
          <w:left w:val="single" w:sz="4" w:space="4" w:color="auto"/>
          <w:bottom w:val="single" w:sz="4" w:space="1" w:color="auto"/>
          <w:right w:val="single" w:sz="4" w:space="4" w:color="auto"/>
        </w:pBdr>
        <w:spacing w:after="0"/>
        <w:jc w:val="center"/>
        <w:rPr>
          <w:b/>
        </w:rPr>
      </w:pPr>
      <w:r w:rsidRPr="00450A34">
        <w:rPr>
          <w:b/>
        </w:rPr>
        <w:t>The Program is designed to achieve Australian Government objectives.</w:t>
      </w:r>
    </w:p>
    <w:p w14:paraId="73D475C0" w14:textId="046BA0AB" w:rsidR="00D558F5" w:rsidRPr="003616E4" w:rsidRDefault="007B4050" w:rsidP="00C24D07">
      <w:pPr>
        <w:pBdr>
          <w:top w:val="single" w:sz="4" w:space="1" w:color="auto"/>
          <w:left w:val="single" w:sz="4" w:space="4" w:color="auto"/>
          <w:bottom w:val="single" w:sz="4" w:space="1" w:color="auto"/>
          <w:right w:val="single" w:sz="4" w:space="4" w:color="auto"/>
        </w:pBdr>
        <w:spacing w:after="0"/>
        <w:jc w:val="center"/>
        <w:rPr>
          <w:b/>
        </w:rPr>
      </w:pPr>
      <w:r w:rsidRPr="00450A34">
        <w:t xml:space="preserve">The opportunity </w:t>
      </w:r>
      <w:r>
        <w:t>is part of the above</w:t>
      </w:r>
      <w:r w:rsidRPr="00560CE6">
        <w:rPr>
          <w:b/>
        </w:rPr>
        <w:t xml:space="preserve"> grant</w:t>
      </w:r>
      <w:r>
        <w:t xml:space="preserve"> program </w:t>
      </w:r>
      <w:r w:rsidRPr="006030D4">
        <w:t xml:space="preserve">which contributes to </w:t>
      </w:r>
      <w:r>
        <w:t xml:space="preserve">the </w:t>
      </w:r>
      <w:r w:rsidRPr="006030D4">
        <w:t xml:space="preserve">Department of Infrastructure, Transport, Regional Development, Communications and the Arts’ Outcome </w:t>
      </w:r>
      <w:r>
        <w:t>5</w:t>
      </w:r>
      <w:r w:rsidRPr="006030D4">
        <w:t>.</w:t>
      </w:r>
      <w:r>
        <w:t xml:space="preserve"> </w:t>
      </w:r>
      <w:r w:rsidRPr="00FB39B3">
        <w:t xml:space="preserve">The </w:t>
      </w:r>
      <w:r w:rsidRPr="00560CE6">
        <w:rPr>
          <w:b/>
        </w:rPr>
        <w:t>department</w:t>
      </w:r>
      <w:r w:rsidRPr="00FB39B3">
        <w:t xml:space="preserve"> works with stakeholders to plan and design </w:t>
      </w:r>
      <w:r w:rsidRPr="00560CE6">
        <w:rPr>
          <w:b/>
        </w:rPr>
        <w:t>grant programs</w:t>
      </w:r>
      <w:r w:rsidRPr="00FB39B3">
        <w:t xml:space="preserve"> ac</w:t>
      </w:r>
      <w:bookmarkStart w:id="5" w:name="_GoBack"/>
      <w:bookmarkEnd w:id="5"/>
      <w:r w:rsidRPr="00FB39B3">
        <w:t xml:space="preserve">cording to the </w:t>
      </w:r>
      <w:hyperlink r:id="rId19" w:history="1">
        <w:r w:rsidRPr="003616E4">
          <w:rPr>
            <w:rStyle w:val="Hyperlink"/>
            <w:b/>
            <w:i/>
          </w:rPr>
          <w:t>Commonwealth Grants Rules and Guidelines.</w:t>
        </w:r>
      </w:hyperlink>
    </w:p>
    <w:p w14:paraId="73D475C1" w14:textId="77777777" w:rsidR="00733FF0" w:rsidRPr="009E6FF4" w:rsidRDefault="00733FF0" w:rsidP="00C24D07">
      <w:pPr>
        <w:spacing w:after="0"/>
        <w:jc w:val="center"/>
        <w:rPr>
          <w:rFonts w:ascii="Wingdings" w:hAnsi="Wingdings"/>
        </w:rPr>
      </w:pPr>
      <w:r w:rsidRPr="00F40BDA">
        <w:rPr>
          <w:rFonts w:ascii="Wingdings" w:hAnsi="Wingdings"/>
        </w:rPr>
        <w:t></w:t>
      </w:r>
    </w:p>
    <w:p w14:paraId="73D475C2" w14:textId="77777777" w:rsidR="00450A34" w:rsidRDefault="00450A34" w:rsidP="00C24D07">
      <w:pPr>
        <w:pBdr>
          <w:top w:val="single" w:sz="2" w:space="1" w:color="auto"/>
          <w:left w:val="single" w:sz="2" w:space="4" w:color="auto"/>
          <w:bottom w:val="single" w:sz="2" w:space="0" w:color="auto"/>
          <w:right w:val="single" w:sz="2" w:space="4" w:color="auto"/>
        </w:pBdr>
        <w:spacing w:after="0"/>
        <w:jc w:val="center"/>
        <w:rPr>
          <w:b/>
        </w:rPr>
      </w:pPr>
      <w:r>
        <w:rPr>
          <w:b/>
        </w:rPr>
        <w:t>The grant opportunity opens</w:t>
      </w:r>
    </w:p>
    <w:p w14:paraId="73D475C3" w14:textId="01A39252" w:rsidR="00450A34" w:rsidRPr="001A4F4B" w:rsidRDefault="00450A34" w:rsidP="00C24D07">
      <w:pPr>
        <w:pBdr>
          <w:top w:val="single" w:sz="2" w:space="1" w:color="auto"/>
          <w:left w:val="single" w:sz="2" w:space="4" w:color="auto"/>
          <w:bottom w:val="single" w:sz="2" w:space="0" w:color="auto"/>
          <w:right w:val="single" w:sz="2" w:space="4" w:color="auto"/>
        </w:pBdr>
        <w:spacing w:after="0"/>
        <w:jc w:val="center"/>
      </w:pPr>
      <w:r w:rsidRPr="00C22041">
        <w:t>We</w:t>
      </w:r>
      <w:r w:rsidRPr="00774AC4">
        <w:t xml:space="preserve"> publish the </w:t>
      </w:r>
      <w:r w:rsidRPr="00560CE6">
        <w:rPr>
          <w:b/>
        </w:rPr>
        <w:t>Guidelines</w:t>
      </w:r>
      <w:r w:rsidRPr="00774AC4">
        <w:t xml:space="preserve"> on </w:t>
      </w:r>
      <w:hyperlink r:id="rId20" w:history="1">
        <w:proofErr w:type="spellStart"/>
        <w:r w:rsidRPr="00560CE6">
          <w:rPr>
            <w:rStyle w:val="Hyperlink"/>
            <w:rFonts w:ascii="Arial" w:eastAsia="Times New Roman" w:hAnsi="Arial" w:cs="Arial"/>
            <w:b/>
            <w:sz w:val="20"/>
            <w:szCs w:val="20"/>
          </w:rPr>
          <w:t>GrantConnect</w:t>
        </w:r>
        <w:proofErr w:type="spellEnd"/>
      </w:hyperlink>
      <w:r w:rsidRPr="00F46D65">
        <w:rPr>
          <w:rStyle w:val="Hyperlink"/>
          <w:rFonts w:ascii="Arial" w:eastAsia="Times New Roman" w:hAnsi="Arial" w:cs="Arial"/>
          <w:color w:val="3366CC"/>
          <w:sz w:val="20"/>
          <w:szCs w:val="20"/>
        </w:rPr>
        <w:t>.</w:t>
      </w:r>
    </w:p>
    <w:p w14:paraId="73D475C4" w14:textId="77777777" w:rsidR="00054028" w:rsidRDefault="00733FF0" w:rsidP="00C24D07">
      <w:pPr>
        <w:spacing w:after="0"/>
        <w:jc w:val="center"/>
        <w:rPr>
          <w:rFonts w:ascii="Wingdings" w:hAnsi="Wingdings"/>
        </w:rPr>
      </w:pPr>
      <w:r w:rsidRPr="004B3B58">
        <w:rPr>
          <w:rFonts w:ascii="Wingdings" w:hAnsi="Wingdings"/>
        </w:rPr>
        <w:t></w:t>
      </w:r>
    </w:p>
    <w:p w14:paraId="73D475C5" w14:textId="07EAE6E5" w:rsidR="007C2A17" w:rsidRPr="005C2C43" w:rsidRDefault="007C2A17" w:rsidP="00C24D07">
      <w:pPr>
        <w:pStyle w:val="Heading3notshowing"/>
        <w:pBdr>
          <w:top w:val="single" w:sz="4" w:space="1" w:color="auto"/>
          <w:left w:val="single" w:sz="4" w:space="1" w:color="auto"/>
          <w:bottom w:val="single" w:sz="4" w:space="1" w:color="auto"/>
          <w:right w:val="single" w:sz="4" w:space="1" w:color="auto"/>
        </w:pBdr>
        <w:spacing w:after="0"/>
        <w:jc w:val="center"/>
        <w:rPr>
          <w:color w:val="auto"/>
          <w:sz w:val="22"/>
          <w:szCs w:val="22"/>
        </w:rPr>
      </w:pPr>
      <w:r w:rsidRPr="005C2C43">
        <w:rPr>
          <w:color w:val="auto"/>
          <w:sz w:val="22"/>
          <w:szCs w:val="22"/>
        </w:rPr>
        <w:t xml:space="preserve">Register with </w:t>
      </w:r>
      <w:r w:rsidR="00B005C4">
        <w:rPr>
          <w:color w:val="auto"/>
          <w:sz w:val="22"/>
          <w:szCs w:val="22"/>
        </w:rPr>
        <w:t>d</w:t>
      </w:r>
      <w:r w:rsidRPr="005C2C43">
        <w:rPr>
          <w:color w:val="auto"/>
          <w:sz w:val="22"/>
          <w:szCs w:val="22"/>
        </w:rPr>
        <w:t>epartment and pre-application documentation</w:t>
      </w:r>
    </w:p>
    <w:p w14:paraId="73D475C6" w14:textId="0FEE6857" w:rsidR="007C2A17" w:rsidRPr="00B841AA" w:rsidRDefault="007C2A17" w:rsidP="00C24D07">
      <w:pPr>
        <w:pBdr>
          <w:top w:val="single" w:sz="4" w:space="1" w:color="auto"/>
          <w:left w:val="single" w:sz="4" w:space="1" w:color="auto"/>
          <w:bottom w:val="single" w:sz="4" w:space="1" w:color="auto"/>
          <w:right w:val="single" w:sz="4" w:space="1" w:color="auto"/>
        </w:pBdr>
        <w:spacing w:after="0"/>
        <w:jc w:val="center"/>
      </w:pPr>
      <w:r w:rsidRPr="00B841AA">
        <w:t xml:space="preserve">Organisations wishing to apply for funding </w:t>
      </w:r>
      <w:r>
        <w:t>must</w:t>
      </w:r>
      <w:r w:rsidRPr="00B841AA">
        <w:t xml:space="preserve"> contact the </w:t>
      </w:r>
      <w:r w:rsidR="005C2C43">
        <w:t>d</w:t>
      </w:r>
      <w:r w:rsidRPr="00B841AA">
        <w:t xml:space="preserve">epartment to register as potential applicants </w:t>
      </w:r>
      <w:r w:rsidRPr="00ED072E">
        <w:t xml:space="preserve">within </w:t>
      </w:r>
      <w:r w:rsidR="004C4272" w:rsidRPr="00ED072E">
        <w:t xml:space="preserve">4 </w:t>
      </w:r>
      <w:r w:rsidRPr="00ED072E">
        <w:t>weeks</w:t>
      </w:r>
      <w:r w:rsidRPr="00B841AA">
        <w:t xml:space="preserve"> following release of these Guidelines in order to obtain access to the application documentation. At this time, applicants must submit their coverage maps as outlined in section 7.2.</w:t>
      </w:r>
    </w:p>
    <w:p w14:paraId="73D475C7" w14:textId="77777777" w:rsidR="007C2A17" w:rsidRPr="00B841AA" w:rsidRDefault="007C2A17" w:rsidP="00C24D07">
      <w:pPr>
        <w:pBdr>
          <w:top w:val="single" w:sz="4" w:space="1" w:color="auto"/>
          <w:left w:val="single" w:sz="4" w:space="1" w:color="auto"/>
          <w:bottom w:val="single" w:sz="4" w:space="1" w:color="auto"/>
          <w:right w:val="single" w:sz="4" w:space="1" w:color="auto"/>
        </w:pBdr>
        <w:spacing w:after="0"/>
        <w:jc w:val="center"/>
      </w:pPr>
      <w:r w:rsidRPr="00B841AA">
        <w:t xml:space="preserve">The application documentation outlines the requirements on potential applicants prior to </w:t>
      </w:r>
      <w:proofErr w:type="gramStart"/>
      <w:r w:rsidRPr="00B841AA">
        <w:t>submitting an application</w:t>
      </w:r>
      <w:proofErr w:type="gramEnd"/>
      <w:r w:rsidRPr="00B841AA">
        <w:t xml:space="preserve"> for funding.</w:t>
      </w:r>
    </w:p>
    <w:p w14:paraId="73D475C8" w14:textId="247F002B" w:rsidR="007C2A17" w:rsidRPr="00B841AA" w:rsidRDefault="007C2A17" w:rsidP="00C24D07">
      <w:pPr>
        <w:pBdr>
          <w:top w:val="single" w:sz="4" w:space="1" w:color="auto"/>
          <w:left w:val="single" w:sz="4" w:space="1" w:color="auto"/>
          <w:bottom w:val="single" w:sz="4" w:space="1" w:color="auto"/>
          <w:right w:val="single" w:sz="4" w:space="1" w:color="auto"/>
        </w:pBdr>
        <w:spacing w:after="0"/>
        <w:jc w:val="center"/>
      </w:pPr>
      <w:r w:rsidRPr="00B841AA">
        <w:t xml:space="preserve">Organisations can register their interest with the department by emailing </w:t>
      </w:r>
      <w:hyperlink r:id="rId21" w:history="1">
        <w:r w:rsidR="006D3514" w:rsidRPr="006D3514">
          <w:rPr>
            <w:rStyle w:val="Hyperlink"/>
          </w:rPr>
          <w:t>PUMP@infrastructure.gov.au</w:t>
        </w:r>
      </w:hyperlink>
      <w:r w:rsidR="006D3514">
        <w:t xml:space="preserve"> </w:t>
      </w:r>
      <w:r w:rsidRPr="00B841AA">
        <w:t>and providing the following information:</w:t>
      </w:r>
    </w:p>
    <w:p w14:paraId="73D475C9" w14:textId="77777777" w:rsidR="007C2A17" w:rsidRPr="00B841AA" w:rsidRDefault="007C2A17" w:rsidP="00C24D07">
      <w:pPr>
        <w:pBdr>
          <w:top w:val="single" w:sz="4" w:space="1" w:color="auto"/>
          <w:left w:val="single" w:sz="4" w:space="1" w:color="auto"/>
          <w:bottom w:val="single" w:sz="4" w:space="1" w:color="auto"/>
          <w:right w:val="single" w:sz="4" w:space="1" w:color="auto"/>
        </w:pBdr>
        <w:spacing w:after="0"/>
        <w:ind w:firstLine="3261"/>
      </w:pPr>
      <w:r w:rsidRPr="00B841AA">
        <w:t>(a)</w:t>
      </w:r>
      <w:r w:rsidRPr="00B841AA">
        <w:tab/>
        <w:t>Organisation name;</w:t>
      </w:r>
    </w:p>
    <w:p w14:paraId="73D475CA" w14:textId="77777777" w:rsidR="007C2A17" w:rsidRPr="00B841AA" w:rsidRDefault="007C2A17" w:rsidP="00C24D07">
      <w:pPr>
        <w:pBdr>
          <w:top w:val="single" w:sz="4" w:space="1" w:color="auto"/>
          <w:left w:val="single" w:sz="4" w:space="1" w:color="auto"/>
          <w:bottom w:val="single" w:sz="4" w:space="1" w:color="auto"/>
          <w:right w:val="single" w:sz="4" w:space="1" w:color="auto"/>
        </w:pBdr>
        <w:spacing w:after="0"/>
        <w:ind w:firstLine="3261"/>
      </w:pPr>
      <w:r w:rsidRPr="00B841AA">
        <w:t>(b)</w:t>
      </w:r>
      <w:r w:rsidRPr="00B841AA">
        <w:tab/>
        <w:t>Contact name;</w:t>
      </w:r>
    </w:p>
    <w:p w14:paraId="73D475CB" w14:textId="77777777" w:rsidR="007C2A17" w:rsidRPr="00B841AA" w:rsidRDefault="007C2A17" w:rsidP="00C24D07">
      <w:pPr>
        <w:pBdr>
          <w:top w:val="single" w:sz="4" w:space="1" w:color="auto"/>
          <w:left w:val="single" w:sz="4" w:space="1" w:color="auto"/>
          <w:bottom w:val="single" w:sz="4" w:space="1" w:color="auto"/>
          <w:right w:val="single" w:sz="4" w:space="1" w:color="auto"/>
        </w:pBdr>
        <w:spacing w:after="0"/>
        <w:ind w:firstLine="3261"/>
      </w:pPr>
      <w:r w:rsidRPr="00B841AA">
        <w:t>(c)</w:t>
      </w:r>
      <w:r w:rsidRPr="00B841AA">
        <w:tab/>
        <w:t>Contact phone number; and</w:t>
      </w:r>
    </w:p>
    <w:p w14:paraId="73D475CC" w14:textId="77777777" w:rsidR="007C2A17" w:rsidRPr="00B841AA" w:rsidRDefault="007C2A17" w:rsidP="00C24D07">
      <w:pPr>
        <w:pBdr>
          <w:top w:val="single" w:sz="4" w:space="1" w:color="auto"/>
          <w:left w:val="single" w:sz="4" w:space="1" w:color="auto"/>
          <w:bottom w:val="single" w:sz="4" w:space="1" w:color="auto"/>
          <w:right w:val="single" w:sz="4" w:space="1" w:color="auto"/>
        </w:pBdr>
        <w:spacing w:after="0"/>
        <w:ind w:firstLine="3261"/>
      </w:pPr>
      <w:r w:rsidRPr="00B841AA">
        <w:t>(d)</w:t>
      </w:r>
      <w:r w:rsidRPr="00B841AA">
        <w:tab/>
        <w:t>Contact email address.</w:t>
      </w:r>
    </w:p>
    <w:p w14:paraId="73D475CD" w14:textId="77777777" w:rsidR="007C2A17" w:rsidRPr="00B841AA" w:rsidRDefault="007C2A17" w:rsidP="00C24D07">
      <w:pPr>
        <w:spacing w:after="0"/>
        <w:jc w:val="center"/>
        <w:rPr>
          <w:rFonts w:ascii="Wingdings" w:hAnsi="Wingdings"/>
        </w:rPr>
      </w:pPr>
      <w:r w:rsidRPr="00B841AA">
        <w:rPr>
          <w:rFonts w:ascii="Wingdings" w:hAnsi="Wingdings"/>
        </w:rPr>
        <w:t></w:t>
      </w:r>
    </w:p>
    <w:p w14:paraId="73D475CE" w14:textId="77777777" w:rsidR="007C2A17" w:rsidRDefault="007C2A17" w:rsidP="00C24D07">
      <w:pPr>
        <w:pBdr>
          <w:top w:val="single" w:sz="2" w:space="1" w:color="auto"/>
          <w:left w:val="single" w:sz="2" w:space="4" w:color="auto"/>
          <w:bottom w:val="single" w:sz="2" w:space="1" w:color="auto"/>
          <w:right w:val="single" w:sz="2" w:space="4" w:color="auto"/>
        </w:pBdr>
        <w:spacing w:after="0"/>
        <w:jc w:val="center"/>
      </w:pPr>
      <w:r>
        <w:rPr>
          <w:b/>
        </w:rPr>
        <w:t>Initial proposal period</w:t>
      </w:r>
    </w:p>
    <w:p w14:paraId="73D475CF" w14:textId="212ADE79" w:rsidR="007C2A17" w:rsidRDefault="007C2A17" w:rsidP="00C24D07">
      <w:pPr>
        <w:pBdr>
          <w:top w:val="single" w:sz="2" w:space="1" w:color="auto"/>
          <w:left w:val="single" w:sz="2" w:space="4" w:color="auto"/>
          <w:bottom w:val="single" w:sz="2" w:space="1" w:color="auto"/>
          <w:right w:val="single" w:sz="2" w:space="4" w:color="auto"/>
        </w:pBdr>
        <w:spacing w:after="0"/>
        <w:jc w:val="center"/>
      </w:pPr>
      <w:r w:rsidRPr="00D52898">
        <w:t>Applicants hav</w:t>
      </w:r>
      <w:r w:rsidRPr="00ED072E">
        <w:t xml:space="preserve">e </w:t>
      </w:r>
      <w:r w:rsidR="004C4272" w:rsidRPr="00ED072E">
        <w:t xml:space="preserve">6 </w:t>
      </w:r>
      <w:r w:rsidRPr="00ED072E">
        <w:t>weeks</w:t>
      </w:r>
      <w:r w:rsidRPr="00D52898">
        <w:t xml:space="preserve"> from the re</w:t>
      </w:r>
      <w:r>
        <w:t xml:space="preserve">lease of the Guidelines to develop and submit initial proposals for </w:t>
      </w:r>
      <w:r w:rsidRPr="00093124">
        <w:t xml:space="preserve">locations where they are interested in </w:t>
      </w:r>
      <w:r>
        <w:t>applying for funding under the Program</w:t>
      </w:r>
      <w:r w:rsidRPr="00093124">
        <w:t>, including sites where they would be interested in</w:t>
      </w:r>
      <w:r w:rsidR="00327F5D">
        <w:t xml:space="preserve"> developing joint applications or co-locating</w:t>
      </w:r>
      <w:r w:rsidR="006E3F8C">
        <w:t xml:space="preserve"> with other applicants</w:t>
      </w:r>
      <w:r w:rsidRPr="00093124">
        <w:t>.</w:t>
      </w:r>
      <w:r>
        <w:t xml:space="preserve"> </w:t>
      </w:r>
      <w:bookmarkStart w:id="6" w:name="_Hlk146873999"/>
      <w:r w:rsidR="00B94F5C">
        <w:t>The department st</w:t>
      </w:r>
      <w:r w:rsidR="00F7482D">
        <w:t xml:space="preserve">rongly </w:t>
      </w:r>
      <w:r w:rsidR="00B94F5C">
        <w:t xml:space="preserve">encourages applicants </w:t>
      </w:r>
      <w:r w:rsidR="00B94F5C" w:rsidRPr="00964505">
        <w:t xml:space="preserve">to consult with </w:t>
      </w:r>
      <w:r w:rsidR="00327F5D">
        <w:t xml:space="preserve">relevant </w:t>
      </w:r>
      <w:r w:rsidR="00F615B8">
        <w:t xml:space="preserve">third parties during this period including, but not limited to: </w:t>
      </w:r>
      <w:r w:rsidR="00327F5D">
        <w:t xml:space="preserve">other </w:t>
      </w:r>
      <w:r w:rsidR="00B604BB">
        <w:t xml:space="preserve">potential </w:t>
      </w:r>
      <w:r w:rsidR="00327F5D">
        <w:t xml:space="preserve">applicants, </w:t>
      </w:r>
      <w:r w:rsidR="00F615B8">
        <w:t>s</w:t>
      </w:r>
      <w:r w:rsidR="00B94F5C" w:rsidRPr="00964505">
        <w:t xml:space="preserve">tate, </w:t>
      </w:r>
      <w:r w:rsidR="00B94F5C">
        <w:t>t</w:t>
      </w:r>
      <w:r w:rsidR="00B94F5C" w:rsidRPr="00964505">
        <w:t>erritory and local governments</w:t>
      </w:r>
      <w:r w:rsidR="00B94F5C">
        <w:t>, emergency management organisations</w:t>
      </w:r>
      <w:r w:rsidR="00B604BB">
        <w:t>,</w:t>
      </w:r>
      <w:r w:rsidR="00B94F5C" w:rsidRPr="00964505">
        <w:t xml:space="preserve"> and local</w:t>
      </w:r>
      <w:r w:rsidR="00B604BB">
        <w:t xml:space="preserve"> </w:t>
      </w:r>
      <w:r w:rsidR="00B94F5C" w:rsidRPr="00964505">
        <w:t>communities</w:t>
      </w:r>
      <w:r w:rsidR="00F615B8">
        <w:t>.</w:t>
      </w:r>
      <w:bookmarkEnd w:id="6"/>
    </w:p>
    <w:p w14:paraId="73D475D0" w14:textId="77777777" w:rsidR="007C2A17" w:rsidRPr="007919D0" w:rsidRDefault="007C2A17" w:rsidP="00C24D07">
      <w:pPr>
        <w:pBdr>
          <w:top w:val="single" w:sz="2" w:space="1" w:color="auto"/>
          <w:left w:val="single" w:sz="2" w:space="4" w:color="auto"/>
          <w:bottom w:val="single" w:sz="2" w:space="1" w:color="auto"/>
          <w:right w:val="single" w:sz="2" w:space="4" w:color="auto"/>
        </w:pBdr>
        <w:spacing w:after="0"/>
        <w:jc w:val="center"/>
      </w:pPr>
      <w:r>
        <w:t>The application documentation provides the required template for initial proposals.</w:t>
      </w:r>
    </w:p>
    <w:p w14:paraId="73D475D1" w14:textId="77777777" w:rsidR="007C2A17" w:rsidRDefault="007C2A17" w:rsidP="00C24D07">
      <w:pPr>
        <w:spacing w:after="0"/>
        <w:jc w:val="center"/>
        <w:rPr>
          <w:rFonts w:ascii="Wingdings" w:hAnsi="Wingdings"/>
        </w:rPr>
      </w:pPr>
      <w:r w:rsidRPr="00C659C4">
        <w:rPr>
          <w:rFonts w:ascii="Wingdings" w:hAnsi="Wingdings"/>
        </w:rPr>
        <w:t></w:t>
      </w:r>
    </w:p>
    <w:p w14:paraId="73D475D2" w14:textId="1BE6126B" w:rsidR="00054028" w:rsidRPr="00054028" w:rsidRDefault="00054028" w:rsidP="00C24D07">
      <w:pPr>
        <w:pBdr>
          <w:top w:val="single" w:sz="2" w:space="1" w:color="auto"/>
          <w:left w:val="single" w:sz="2" w:space="4" w:color="auto"/>
          <w:bottom w:val="single" w:sz="2" w:space="0" w:color="auto"/>
          <w:right w:val="single" w:sz="2" w:space="4" w:color="auto"/>
        </w:pBdr>
        <w:spacing w:after="0"/>
        <w:jc w:val="center"/>
        <w:rPr>
          <w:b/>
        </w:rPr>
      </w:pPr>
      <w:r w:rsidRPr="00054028">
        <w:rPr>
          <w:b/>
        </w:rPr>
        <w:t>You complete and submit a grant application.</w:t>
      </w:r>
    </w:p>
    <w:p w14:paraId="73D475D3" w14:textId="77777777" w:rsidR="00054028" w:rsidRPr="004B3B58" w:rsidRDefault="00054028" w:rsidP="00C24D07">
      <w:pPr>
        <w:pBdr>
          <w:top w:val="single" w:sz="2" w:space="1" w:color="auto"/>
          <w:left w:val="single" w:sz="2" w:space="4" w:color="auto"/>
          <w:bottom w:val="single" w:sz="2" w:space="0" w:color="auto"/>
          <w:right w:val="single" w:sz="2" w:space="4" w:color="auto"/>
        </w:pBdr>
        <w:spacing w:after="0"/>
        <w:jc w:val="center"/>
        <w:rPr>
          <w:b/>
        </w:rPr>
      </w:pPr>
      <w:r w:rsidRPr="00774AC4">
        <w:t xml:space="preserve">You complete the application form by the closing date/time and address all of the Eligibility and </w:t>
      </w:r>
      <w:r w:rsidRPr="008F6E3A">
        <w:rPr>
          <w:b/>
        </w:rPr>
        <w:t>Assessment Criteria</w:t>
      </w:r>
      <w:r w:rsidRPr="00774AC4">
        <w:t xml:space="preserve"> to be considered for a grant</w:t>
      </w:r>
      <w:r w:rsidR="001A4F4B">
        <w:t>.</w:t>
      </w:r>
    </w:p>
    <w:p w14:paraId="73D475D4" w14:textId="77777777" w:rsidR="00054028" w:rsidRDefault="001A4F4B" w:rsidP="00C24D07">
      <w:pPr>
        <w:spacing w:after="0"/>
        <w:jc w:val="center"/>
        <w:rPr>
          <w:rFonts w:ascii="Wingdings" w:hAnsi="Wingdings"/>
        </w:rPr>
      </w:pPr>
      <w:r w:rsidRPr="00C659C4">
        <w:rPr>
          <w:rFonts w:ascii="Wingdings" w:hAnsi="Wingdings"/>
        </w:rPr>
        <w:t></w:t>
      </w:r>
    </w:p>
    <w:p w14:paraId="73D475D5" w14:textId="77777777" w:rsidR="00774AC4" w:rsidRDefault="00774AC4" w:rsidP="00C24D07">
      <w:pPr>
        <w:pBdr>
          <w:top w:val="single" w:sz="2" w:space="1" w:color="auto"/>
          <w:left w:val="single" w:sz="2" w:space="4" w:color="auto"/>
          <w:bottom w:val="single" w:sz="2" w:space="0" w:color="auto"/>
          <w:right w:val="single" w:sz="2" w:space="4" w:color="auto"/>
        </w:pBdr>
        <w:spacing w:after="0"/>
        <w:jc w:val="center"/>
        <w:rPr>
          <w:b/>
        </w:rPr>
      </w:pPr>
      <w:r>
        <w:rPr>
          <w:b/>
        </w:rPr>
        <w:t>We assess all grant applications</w:t>
      </w:r>
    </w:p>
    <w:p w14:paraId="73D475D6" w14:textId="1DF4869F" w:rsidR="00774AC4" w:rsidRPr="004B3B58" w:rsidRDefault="00774AC4" w:rsidP="00C24D07">
      <w:pPr>
        <w:pBdr>
          <w:top w:val="single" w:sz="2" w:space="1" w:color="auto"/>
          <w:left w:val="single" w:sz="2" w:space="4" w:color="auto"/>
          <w:bottom w:val="single" w:sz="2" w:space="0" w:color="auto"/>
          <w:right w:val="single" w:sz="2" w:space="4" w:color="auto"/>
        </w:pBdr>
        <w:spacing w:after="0"/>
        <w:jc w:val="center"/>
        <w:rPr>
          <w:b/>
        </w:rPr>
      </w:pPr>
      <w:r w:rsidRPr="006030D4">
        <w:rPr>
          <w:color w:val="000000" w:themeColor="text1"/>
        </w:rPr>
        <w:t xml:space="preserve">We assess the applications against </w:t>
      </w:r>
      <w:r>
        <w:rPr>
          <w:color w:val="000000" w:themeColor="text1"/>
        </w:rPr>
        <w:t xml:space="preserve">the </w:t>
      </w:r>
      <w:r w:rsidRPr="00560CE6">
        <w:rPr>
          <w:b/>
          <w:color w:val="000000" w:themeColor="text1"/>
        </w:rPr>
        <w:t>Eligibility Criteria</w:t>
      </w:r>
      <w:r w:rsidRPr="006030D4">
        <w:rPr>
          <w:color w:val="000000" w:themeColor="text1"/>
        </w:rPr>
        <w:t>.</w:t>
      </w:r>
      <w:r>
        <w:rPr>
          <w:color w:val="000000" w:themeColor="text1"/>
        </w:rPr>
        <w:t xml:space="preserve"> </w:t>
      </w:r>
      <w:r w:rsidRPr="006030D4">
        <w:rPr>
          <w:color w:val="000000" w:themeColor="text1"/>
        </w:rPr>
        <w:t xml:space="preserve">We assess eligible application against the </w:t>
      </w:r>
      <w:r>
        <w:rPr>
          <w:color w:val="000000" w:themeColor="text1"/>
        </w:rPr>
        <w:t>A</w:t>
      </w:r>
      <w:r w:rsidRPr="006030D4">
        <w:rPr>
          <w:color w:val="000000" w:themeColor="text1"/>
        </w:rPr>
        <w:t xml:space="preserve">ssessment </w:t>
      </w:r>
      <w:r>
        <w:rPr>
          <w:color w:val="000000" w:themeColor="text1"/>
        </w:rPr>
        <w:t>C</w:t>
      </w:r>
      <w:r w:rsidRPr="006030D4">
        <w:rPr>
          <w:color w:val="000000" w:themeColor="text1"/>
        </w:rPr>
        <w:t xml:space="preserve">riteria including an overall consideration of </w:t>
      </w:r>
      <w:r w:rsidRPr="008F6E3A">
        <w:rPr>
          <w:b/>
          <w:color w:val="000000" w:themeColor="text1"/>
        </w:rPr>
        <w:t xml:space="preserve">Value </w:t>
      </w:r>
      <w:r w:rsidR="00DE026D">
        <w:rPr>
          <w:b/>
          <w:color w:val="000000" w:themeColor="text1"/>
        </w:rPr>
        <w:t>with Relevant</w:t>
      </w:r>
      <w:r w:rsidR="00DE026D" w:rsidRPr="008F6E3A">
        <w:rPr>
          <w:b/>
          <w:color w:val="000000" w:themeColor="text1"/>
        </w:rPr>
        <w:t xml:space="preserve"> </w:t>
      </w:r>
      <w:r w:rsidRPr="008F6E3A">
        <w:rPr>
          <w:b/>
          <w:color w:val="000000" w:themeColor="text1"/>
        </w:rPr>
        <w:t>Money</w:t>
      </w:r>
      <w:r w:rsidRPr="006030D4">
        <w:rPr>
          <w:color w:val="000000" w:themeColor="text1"/>
        </w:rPr>
        <w:t xml:space="preserve"> and compare it to other applications.</w:t>
      </w:r>
    </w:p>
    <w:p w14:paraId="73D475D7" w14:textId="77777777" w:rsidR="00774AC4" w:rsidRDefault="001A4F4B" w:rsidP="00C24D07">
      <w:pPr>
        <w:spacing w:after="0"/>
        <w:jc w:val="center"/>
        <w:rPr>
          <w:rFonts w:ascii="Wingdings" w:hAnsi="Wingdings"/>
        </w:rPr>
      </w:pPr>
      <w:r w:rsidRPr="00C659C4">
        <w:rPr>
          <w:rFonts w:ascii="Wingdings" w:hAnsi="Wingdings"/>
        </w:rPr>
        <w:t></w:t>
      </w:r>
    </w:p>
    <w:p w14:paraId="73D475D8" w14:textId="645D61D8" w:rsidR="005F0B3B" w:rsidRPr="006315EB" w:rsidRDefault="005F0B3B" w:rsidP="00C24D07">
      <w:pPr>
        <w:pBdr>
          <w:top w:val="single" w:sz="2" w:space="1" w:color="auto"/>
          <w:left w:val="single" w:sz="2" w:space="4" w:color="auto"/>
          <w:bottom w:val="single" w:sz="2" w:space="0" w:color="auto"/>
          <w:right w:val="single" w:sz="2" w:space="4" w:color="auto"/>
        </w:pBdr>
        <w:spacing w:after="0"/>
        <w:jc w:val="center"/>
        <w:rPr>
          <w:b/>
        </w:rPr>
      </w:pPr>
      <w:r w:rsidRPr="006315EB">
        <w:rPr>
          <w:b/>
        </w:rPr>
        <w:t>We make grant recommendations.</w:t>
      </w:r>
    </w:p>
    <w:p w14:paraId="73D475D9" w14:textId="6D7F868A" w:rsidR="005F0B3B" w:rsidRDefault="005F0B3B" w:rsidP="00C24D07">
      <w:pPr>
        <w:pBdr>
          <w:top w:val="single" w:sz="2" w:space="1" w:color="auto"/>
          <w:left w:val="single" w:sz="2" w:space="4" w:color="auto"/>
          <w:bottom w:val="single" w:sz="2" w:space="0" w:color="auto"/>
          <w:right w:val="single" w:sz="2" w:space="4" w:color="auto"/>
        </w:pBdr>
        <w:spacing w:after="0"/>
        <w:jc w:val="center"/>
      </w:pPr>
      <w:r>
        <w:t xml:space="preserve">We provide advice to the </w:t>
      </w:r>
      <w:r w:rsidRPr="003616E4">
        <w:rPr>
          <w:b/>
        </w:rPr>
        <w:t>Decision Maker</w:t>
      </w:r>
      <w:r>
        <w:t xml:space="preserve"> on the merits of each application.</w:t>
      </w:r>
    </w:p>
    <w:p w14:paraId="73D475DA" w14:textId="77777777" w:rsidR="005F0B3B" w:rsidRPr="001A4F4B" w:rsidRDefault="001A4F4B" w:rsidP="00C24D07">
      <w:pPr>
        <w:spacing w:after="0"/>
        <w:jc w:val="center"/>
        <w:rPr>
          <w:rFonts w:ascii="Wingdings" w:hAnsi="Wingdings"/>
        </w:rPr>
      </w:pPr>
      <w:r w:rsidRPr="00C659C4">
        <w:rPr>
          <w:rFonts w:ascii="Wingdings" w:hAnsi="Wingdings"/>
        </w:rPr>
        <w:t></w:t>
      </w:r>
    </w:p>
    <w:p w14:paraId="73D475DB" w14:textId="77777777" w:rsidR="006315EB" w:rsidRPr="00A70B69" w:rsidRDefault="006315EB" w:rsidP="00C24D07">
      <w:pPr>
        <w:pBdr>
          <w:top w:val="single" w:sz="2" w:space="1" w:color="auto"/>
          <w:left w:val="single" w:sz="2" w:space="4" w:color="auto"/>
          <w:bottom w:val="single" w:sz="2" w:space="0" w:color="auto"/>
          <w:right w:val="single" w:sz="2" w:space="4" w:color="auto"/>
        </w:pBdr>
        <w:spacing w:after="0"/>
        <w:jc w:val="center"/>
        <w:rPr>
          <w:b/>
        </w:rPr>
      </w:pPr>
      <w:r w:rsidRPr="00A70B69">
        <w:rPr>
          <w:b/>
        </w:rPr>
        <w:t>Grant decisions are made</w:t>
      </w:r>
    </w:p>
    <w:p w14:paraId="73D475DC" w14:textId="50594BA0" w:rsidR="006315EB" w:rsidRDefault="006315EB" w:rsidP="00C24D07">
      <w:pPr>
        <w:pBdr>
          <w:top w:val="single" w:sz="2" w:space="1" w:color="auto"/>
          <w:left w:val="single" w:sz="2" w:space="4" w:color="auto"/>
          <w:bottom w:val="single" w:sz="2" w:space="0" w:color="auto"/>
          <w:right w:val="single" w:sz="2" w:space="4" w:color="auto"/>
        </w:pBdr>
        <w:spacing w:after="0"/>
        <w:jc w:val="center"/>
      </w:pPr>
      <w:r>
        <w:t>The Decision Maker decides which applications are successful.</w:t>
      </w:r>
    </w:p>
    <w:p w14:paraId="73D475DD" w14:textId="77777777" w:rsidR="006315EB" w:rsidRPr="001A4F4B" w:rsidRDefault="001A4F4B" w:rsidP="00C24D07">
      <w:pPr>
        <w:spacing w:after="0"/>
        <w:jc w:val="center"/>
        <w:rPr>
          <w:rFonts w:ascii="Wingdings" w:hAnsi="Wingdings"/>
        </w:rPr>
      </w:pPr>
      <w:r w:rsidRPr="00C659C4">
        <w:rPr>
          <w:rFonts w:ascii="Wingdings" w:hAnsi="Wingdings"/>
        </w:rPr>
        <w:t></w:t>
      </w:r>
    </w:p>
    <w:p w14:paraId="73D475DE" w14:textId="77777777" w:rsidR="004F6BD4" w:rsidRPr="00DA3E4E" w:rsidRDefault="004F6BD4" w:rsidP="00C24D07">
      <w:pPr>
        <w:keepNext/>
        <w:keepLines/>
        <w:pBdr>
          <w:top w:val="single" w:sz="2" w:space="1" w:color="auto"/>
          <w:left w:val="single" w:sz="2" w:space="4" w:color="auto"/>
          <w:bottom w:val="single" w:sz="2" w:space="0" w:color="auto"/>
          <w:right w:val="single" w:sz="2" w:space="4" w:color="auto"/>
        </w:pBdr>
        <w:spacing w:after="0"/>
        <w:jc w:val="center"/>
        <w:rPr>
          <w:b/>
        </w:rPr>
      </w:pPr>
      <w:r w:rsidRPr="00DA3E4E">
        <w:rPr>
          <w:b/>
        </w:rPr>
        <w:t>We notify you of the outcome.</w:t>
      </w:r>
    </w:p>
    <w:p w14:paraId="73D475DF" w14:textId="77777777" w:rsidR="004F6BD4" w:rsidRPr="00774AC4" w:rsidRDefault="004F6BD4" w:rsidP="00C24D07">
      <w:pPr>
        <w:keepNext/>
        <w:keepLines/>
        <w:pBdr>
          <w:top w:val="single" w:sz="2" w:space="1" w:color="auto"/>
          <w:left w:val="single" w:sz="2" w:space="4" w:color="auto"/>
          <w:bottom w:val="single" w:sz="2" w:space="0" w:color="auto"/>
          <w:right w:val="single" w:sz="2" w:space="4" w:color="auto"/>
        </w:pBdr>
        <w:spacing w:after="0"/>
        <w:jc w:val="center"/>
      </w:pPr>
      <w:r w:rsidRPr="006030D4">
        <w:rPr>
          <w:color w:val="000000" w:themeColor="text1"/>
        </w:rPr>
        <w:t>We advise you of the outcome of your application</w:t>
      </w:r>
      <w:r>
        <w:rPr>
          <w:color w:val="000000" w:themeColor="text1"/>
        </w:rPr>
        <w:t xml:space="preserve">. </w:t>
      </w:r>
      <w:r w:rsidRPr="006030D4">
        <w:rPr>
          <w:color w:val="000000" w:themeColor="text1"/>
        </w:rPr>
        <w:t xml:space="preserve">We may not notify unsuccessful applicants until </w:t>
      </w:r>
      <w:r w:rsidRPr="00560CE6">
        <w:rPr>
          <w:b/>
          <w:color w:val="000000" w:themeColor="text1"/>
        </w:rPr>
        <w:t>Grant Agreements</w:t>
      </w:r>
      <w:r w:rsidRPr="006030D4">
        <w:rPr>
          <w:color w:val="000000" w:themeColor="text1"/>
        </w:rPr>
        <w:t xml:space="preserve"> have been executed with successful applicants</w:t>
      </w:r>
      <w:r>
        <w:rPr>
          <w:color w:val="000000" w:themeColor="text1"/>
        </w:rPr>
        <w:t>.</w:t>
      </w:r>
    </w:p>
    <w:p w14:paraId="73D475E0" w14:textId="77777777" w:rsidR="004F6BD4" w:rsidRDefault="001A4F4B" w:rsidP="00C24D07">
      <w:pPr>
        <w:spacing w:before="20" w:after="0"/>
        <w:jc w:val="center"/>
      </w:pPr>
      <w:r w:rsidRPr="00B841AA">
        <w:rPr>
          <w:rFonts w:ascii="Wingdings" w:hAnsi="Wingdings"/>
        </w:rPr>
        <w:t></w:t>
      </w:r>
    </w:p>
    <w:p w14:paraId="73D475E1" w14:textId="77777777" w:rsidR="001A4F4B" w:rsidRPr="001A4F4B" w:rsidRDefault="001A4F4B" w:rsidP="00C24D07">
      <w:pPr>
        <w:pStyle w:val="Heading3notshowing"/>
        <w:pBdr>
          <w:top w:val="single" w:sz="4" w:space="1" w:color="auto"/>
          <w:left w:val="single" w:sz="4" w:space="4" w:color="auto"/>
          <w:bottom w:val="single" w:sz="4" w:space="3" w:color="auto"/>
          <w:right w:val="single" w:sz="4" w:space="4" w:color="auto"/>
        </w:pBdr>
        <w:spacing w:after="0"/>
        <w:jc w:val="center"/>
        <w:rPr>
          <w:color w:val="auto"/>
          <w:sz w:val="22"/>
          <w:szCs w:val="22"/>
        </w:rPr>
      </w:pPr>
      <w:r w:rsidRPr="001A4F4B">
        <w:rPr>
          <w:color w:val="auto"/>
          <w:sz w:val="22"/>
          <w:szCs w:val="22"/>
        </w:rPr>
        <w:lastRenderedPageBreak/>
        <w:t>We enter into a Grant Agreement</w:t>
      </w:r>
    </w:p>
    <w:p w14:paraId="73D475E2" w14:textId="0CB71DC2" w:rsidR="001A4F4B" w:rsidRPr="00B841AA" w:rsidRDefault="001A4F4B" w:rsidP="00C24D07">
      <w:pPr>
        <w:pBdr>
          <w:top w:val="single" w:sz="4" w:space="1" w:color="auto"/>
          <w:left w:val="single" w:sz="4" w:space="4" w:color="auto"/>
          <w:bottom w:val="single" w:sz="4" w:space="3" w:color="auto"/>
          <w:right w:val="single" w:sz="4" w:space="4" w:color="auto"/>
        </w:pBdr>
        <w:spacing w:after="0"/>
        <w:jc w:val="center"/>
        <w:rPr>
          <w:sz w:val="21"/>
          <w:szCs w:val="21"/>
        </w:rPr>
      </w:pPr>
      <w:r w:rsidRPr="00B841AA">
        <w:rPr>
          <w:sz w:val="21"/>
          <w:szCs w:val="21"/>
        </w:rPr>
        <w:t xml:space="preserve">We will enter into a Grant Agreement with you if you are successful. The terms and conditions of the Grant Agreement will depend on the risk profile of your </w:t>
      </w:r>
      <w:r w:rsidRPr="00560CE6">
        <w:rPr>
          <w:b/>
          <w:sz w:val="21"/>
          <w:szCs w:val="21"/>
        </w:rPr>
        <w:t>Grant Activity</w:t>
      </w:r>
      <w:r w:rsidRPr="00B841AA">
        <w:rPr>
          <w:sz w:val="21"/>
          <w:szCs w:val="21"/>
        </w:rPr>
        <w:t>.</w:t>
      </w:r>
    </w:p>
    <w:p w14:paraId="73D475E3" w14:textId="77777777" w:rsidR="001A4F4B" w:rsidRPr="00B841AA" w:rsidRDefault="001A4F4B" w:rsidP="00C24D07">
      <w:pPr>
        <w:spacing w:before="20" w:after="0"/>
        <w:jc w:val="center"/>
      </w:pPr>
      <w:r w:rsidRPr="00B841AA">
        <w:rPr>
          <w:rFonts w:ascii="Wingdings" w:hAnsi="Wingdings"/>
        </w:rPr>
        <w:t></w:t>
      </w:r>
    </w:p>
    <w:p w14:paraId="73D475E4" w14:textId="77777777" w:rsidR="001A4F4B" w:rsidRPr="001A4F4B" w:rsidRDefault="001A4F4B" w:rsidP="00C24D07">
      <w:pPr>
        <w:pStyle w:val="Heading3notshowing"/>
        <w:pBdr>
          <w:top w:val="single" w:sz="4" w:space="1" w:color="auto"/>
          <w:left w:val="single" w:sz="4" w:space="4" w:color="auto"/>
          <w:bottom w:val="single" w:sz="4" w:space="1" w:color="auto"/>
          <w:right w:val="single" w:sz="4" w:space="4" w:color="auto"/>
        </w:pBdr>
        <w:spacing w:after="0"/>
        <w:jc w:val="center"/>
        <w:rPr>
          <w:color w:val="auto"/>
          <w:sz w:val="22"/>
          <w:szCs w:val="22"/>
        </w:rPr>
      </w:pPr>
      <w:r w:rsidRPr="001A4F4B">
        <w:rPr>
          <w:color w:val="auto"/>
          <w:sz w:val="22"/>
          <w:szCs w:val="22"/>
        </w:rPr>
        <w:t>Delivery of grant</w:t>
      </w:r>
    </w:p>
    <w:p w14:paraId="73D475E5" w14:textId="77777777" w:rsidR="001A4F4B" w:rsidRPr="00B841AA" w:rsidRDefault="001A4F4B" w:rsidP="00C24D07">
      <w:pPr>
        <w:pBdr>
          <w:top w:val="single" w:sz="4" w:space="1" w:color="auto"/>
          <w:left w:val="single" w:sz="4" w:space="4" w:color="auto"/>
          <w:bottom w:val="single" w:sz="4" w:space="1" w:color="auto"/>
          <w:right w:val="single" w:sz="4" w:space="4" w:color="auto"/>
        </w:pBdr>
        <w:spacing w:after="0"/>
        <w:jc w:val="center"/>
        <w:rPr>
          <w:sz w:val="21"/>
          <w:szCs w:val="21"/>
        </w:rPr>
      </w:pPr>
      <w:r w:rsidRPr="00B841AA">
        <w:rPr>
          <w:sz w:val="21"/>
          <w:szCs w:val="21"/>
        </w:rPr>
        <w:t>You undertake the Grant Activity as set out in your Grant Agreement. We manage the grant by working with you, monitoring your progress and making payments.</w:t>
      </w:r>
    </w:p>
    <w:p w14:paraId="73D475E6" w14:textId="77777777" w:rsidR="001A4F4B" w:rsidRPr="00B841AA" w:rsidRDefault="001A4F4B" w:rsidP="00C24D07">
      <w:pPr>
        <w:spacing w:before="20" w:after="0"/>
        <w:jc w:val="center"/>
      </w:pPr>
      <w:r w:rsidRPr="00B841AA">
        <w:rPr>
          <w:rFonts w:ascii="Wingdings" w:hAnsi="Wingdings"/>
        </w:rPr>
        <w:t></w:t>
      </w:r>
    </w:p>
    <w:p w14:paraId="73D475E7" w14:textId="77777777" w:rsidR="001A4F4B" w:rsidRPr="001A4F4B" w:rsidRDefault="001A4F4B" w:rsidP="00C24D07">
      <w:pPr>
        <w:pStyle w:val="Heading3notshowing"/>
        <w:pBdr>
          <w:top w:val="single" w:sz="4" w:space="1" w:color="auto"/>
          <w:left w:val="single" w:sz="4" w:space="4" w:color="auto"/>
          <w:bottom w:val="single" w:sz="4" w:space="1" w:color="auto"/>
          <w:right w:val="single" w:sz="4" w:space="4" w:color="auto"/>
        </w:pBdr>
        <w:spacing w:after="0"/>
        <w:jc w:val="center"/>
        <w:rPr>
          <w:color w:val="auto"/>
          <w:sz w:val="22"/>
          <w:szCs w:val="22"/>
        </w:rPr>
      </w:pPr>
      <w:r w:rsidRPr="001A4F4B">
        <w:rPr>
          <w:color w:val="auto"/>
          <w:sz w:val="22"/>
          <w:szCs w:val="22"/>
        </w:rPr>
        <w:t>Evaluation of the Program</w:t>
      </w:r>
    </w:p>
    <w:p w14:paraId="73D475E8" w14:textId="77777777" w:rsidR="001A4F4B" w:rsidRPr="00B841AA" w:rsidRDefault="001A4F4B" w:rsidP="00C24D07">
      <w:pPr>
        <w:pBdr>
          <w:top w:val="single" w:sz="4" w:space="1" w:color="auto"/>
          <w:left w:val="single" w:sz="4" w:space="4" w:color="auto"/>
          <w:bottom w:val="single" w:sz="4" w:space="1" w:color="auto"/>
          <w:right w:val="single" w:sz="4" w:space="4" w:color="auto"/>
        </w:pBdr>
        <w:spacing w:after="0"/>
        <w:jc w:val="center"/>
        <w:rPr>
          <w:sz w:val="21"/>
          <w:szCs w:val="21"/>
        </w:rPr>
      </w:pPr>
      <w:r w:rsidRPr="00B841AA">
        <w:rPr>
          <w:sz w:val="21"/>
          <w:szCs w:val="21"/>
        </w:rPr>
        <w:t xml:space="preserve">We evaluate your specific Grant Activity and the Program as a whole. We base this both on the information you provide to </w:t>
      </w:r>
      <w:r w:rsidRPr="00C22041">
        <w:rPr>
          <w:sz w:val="21"/>
          <w:szCs w:val="21"/>
        </w:rPr>
        <w:t>us</w:t>
      </w:r>
      <w:r w:rsidRPr="00B841AA">
        <w:rPr>
          <w:sz w:val="21"/>
          <w:szCs w:val="21"/>
        </w:rPr>
        <w:t xml:space="preserve"> and that which we collect from various sources.</w:t>
      </w:r>
    </w:p>
    <w:p w14:paraId="73D475E9" w14:textId="55D7C9B7" w:rsidR="001A4F4B" w:rsidRDefault="001A4F4B" w:rsidP="00944292">
      <w:pPr>
        <w:spacing w:after="0"/>
      </w:pPr>
    </w:p>
    <w:p w14:paraId="52624B52" w14:textId="1E4BCF8C" w:rsidR="00E41B5C" w:rsidRDefault="00E41B5C">
      <w:pPr>
        <w:spacing w:line="259" w:lineRule="auto"/>
      </w:pPr>
      <w:r>
        <w:br w:type="page"/>
      </w:r>
    </w:p>
    <w:p w14:paraId="12D5B656" w14:textId="41FE0307" w:rsidR="00E41B5C" w:rsidRDefault="00E41B5C" w:rsidP="00E41B5C">
      <w:pPr>
        <w:pStyle w:val="Heading2"/>
      </w:pPr>
      <w:bookmarkStart w:id="7" w:name="_Toc178085174"/>
      <w:r>
        <w:lastRenderedPageBreak/>
        <w:t>Introduction</w:t>
      </w:r>
      <w:bookmarkEnd w:id="7"/>
    </w:p>
    <w:p w14:paraId="73D475EB" w14:textId="77777777" w:rsidR="00733FF0" w:rsidRPr="005D21F0" w:rsidRDefault="00733FF0" w:rsidP="005C4E32">
      <w:pPr>
        <w:pStyle w:val="Heading3"/>
        <w:ind w:left="1077" w:hanging="1077"/>
      </w:pPr>
      <w:bookmarkStart w:id="8" w:name="_Toc113442164"/>
      <w:bookmarkStart w:id="9" w:name="_Toc113357201"/>
      <w:bookmarkStart w:id="10" w:name="_Toc178085175"/>
      <w:r w:rsidRPr="005D21F0">
        <w:t>Introduction</w:t>
      </w:r>
      <w:bookmarkEnd w:id="8"/>
      <w:bookmarkEnd w:id="9"/>
      <w:bookmarkEnd w:id="10"/>
    </w:p>
    <w:p w14:paraId="73D475EC" w14:textId="77777777" w:rsidR="00733FF0" w:rsidRPr="00B24CA0" w:rsidRDefault="00733FF0" w:rsidP="005C4E32">
      <w:pPr>
        <w:pStyle w:val="Normal-Style2"/>
      </w:pPr>
      <w:r w:rsidRPr="00B24CA0">
        <w:t xml:space="preserve">These </w:t>
      </w:r>
      <w:r w:rsidRPr="00944292">
        <w:rPr>
          <w:b/>
        </w:rPr>
        <w:t>Grant Opportunity</w:t>
      </w:r>
      <w:r w:rsidRPr="00B24CA0">
        <w:t xml:space="preserve"> Guidelines (Guidelines) contain information for </w:t>
      </w:r>
      <w:r w:rsidR="00727AD4">
        <w:t>Round</w:t>
      </w:r>
      <w:r w:rsidR="002E3EEA">
        <w:t> </w:t>
      </w:r>
      <w:r w:rsidR="00727AD4">
        <w:t>2 of the Peri</w:t>
      </w:r>
      <w:r w:rsidR="00727AD4">
        <w:noBreakHyphen/>
        <w:t xml:space="preserve">Urban Mobile </w:t>
      </w:r>
      <w:r w:rsidRPr="00B24CA0">
        <w:t>Program (</w:t>
      </w:r>
      <w:r w:rsidRPr="003C1ED9">
        <w:rPr>
          <w:b/>
        </w:rPr>
        <w:t>the Program</w:t>
      </w:r>
      <w:r w:rsidRPr="00B24CA0">
        <w:t>).</w:t>
      </w:r>
      <w:r>
        <w:t xml:space="preserve"> </w:t>
      </w:r>
      <w:r w:rsidRPr="00E00BAF">
        <w:t>This document sets out:</w:t>
      </w:r>
    </w:p>
    <w:p w14:paraId="73D475ED" w14:textId="1514BBD5" w:rsidR="00733FF0" w:rsidRPr="00F739AC" w:rsidRDefault="00733FF0" w:rsidP="00F739AC">
      <w:pPr>
        <w:pStyle w:val="ListBullet"/>
      </w:pPr>
      <w:r w:rsidRPr="000C2FDF">
        <w:rPr>
          <w:rStyle w:val="highlightedtextChar"/>
          <w:rFonts w:cs="Arial"/>
          <w:b w:val="0"/>
          <w:color w:val="auto"/>
        </w:rPr>
        <w:t xml:space="preserve">the </w:t>
      </w:r>
      <w:r w:rsidRPr="00D8353F">
        <w:t>purp</w:t>
      </w:r>
      <w:r w:rsidRPr="00F739AC">
        <w:t xml:space="preserve">ose of the </w:t>
      </w:r>
      <w:r w:rsidR="00B604BB" w:rsidRPr="00F739AC">
        <w:t>P</w:t>
      </w:r>
      <w:r w:rsidRPr="00F739AC">
        <w:t>rogram</w:t>
      </w:r>
      <w:r w:rsidR="00F942F4" w:rsidRPr="00F739AC">
        <w:t>;</w:t>
      </w:r>
    </w:p>
    <w:p w14:paraId="73D475EE" w14:textId="77777777" w:rsidR="00733FF0" w:rsidRPr="00F739AC" w:rsidRDefault="00733FF0" w:rsidP="00F739AC">
      <w:pPr>
        <w:pStyle w:val="ListBullet"/>
      </w:pPr>
      <w:r w:rsidRPr="00F739AC">
        <w:t xml:space="preserve">the </w:t>
      </w:r>
      <w:r w:rsidR="00787359" w:rsidRPr="00F739AC">
        <w:t>E</w:t>
      </w:r>
      <w:r w:rsidRPr="00F739AC">
        <w:t xml:space="preserve">ligibility and </w:t>
      </w:r>
      <w:r w:rsidR="00787359" w:rsidRPr="00F739AC">
        <w:t>A</w:t>
      </w:r>
      <w:r w:rsidRPr="00F739AC">
        <w:t>ssessment criteria</w:t>
      </w:r>
      <w:r w:rsidR="00F942F4" w:rsidRPr="00F739AC">
        <w:t>;</w:t>
      </w:r>
    </w:p>
    <w:p w14:paraId="73D475EF" w14:textId="77777777" w:rsidR="00733FF0" w:rsidRPr="00F739AC" w:rsidRDefault="00733FF0" w:rsidP="00F739AC">
      <w:pPr>
        <w:pStyle w:val="ListBullet"/>
      </w:pPr>
      <w:r w:rsidRPr="00F739AC">
        <w:t>how grant applications are considered and selected</w:t>
      </w:r>
      <w:r w:rsidR="00F942F4" w:rsidRPr="00F739AC">
        <w:t>;</w:t>
      </w:r>
    </w:p>
    <w:p w14:paraId="73D475F0" w14:textId="77777777" w:rsidR="00733FF0" w:rsidRPr="00F739AC" w:rsidRDefault="00733FF0" w:rsidP="00F739AC">
      <w:pPr>
        <w:pStyle w:val="ListBullet"/>
      </w:pPr>
      <w:r w:rsidRPr="00F739AC">
        <w:t xml:space="preserve">how </w:t>
      </w:r>
      <w:r w:rsidR="00787359" w:rsidRPr="00F739AC">
        <w:t>G</w:t>
      </w:r>
      <w:r w:rsidRPr="00F739AC">
        <w:t>rantees are notified and receive grant payments</w:t>
      </w:r>
      <w:r w:rsidR="00F942F4" w:rsidRPr="00F739AC">
        <w:t>;</w:t>
      </w:r>
    </w:p>
    <w:p w14:paraId="73D475F1" w14:textId="77777777" w:rsidR="00733FF0" w:rsidRPr="00F739AC" w:rsidRDefault="00733FF0" w:rsidP="00F739AC">
      <w:pPr>
        <w:pStyle w:val="ListBullet"/>
      </w:pPr>
      <w:r w:rsidRPr="00F739AC">
        <w:t xml:space="preserve">how </w:t>
      </w:r>
      <w:r w:rsidR="00787359" w:rsidRPr="00F739AC">
        <w:t>G</w:t>
      </w:r>
      <w:r w:rsidRPr="00F739AC">
        <w:t>rantees will be monitored and evaluated</w:t>
      </w:r>
      <w:r w:rsidR="00F942F4" w:rsidRPr="00F739AC">
        <w:t xml:space="preserve">; and </w:t>
      </w:r>
    </w:p>
    <w:p w14:paraId="73D475F2" w14:textId="77777777" w:rsidR="0045229E" w:rsidRPr="000C2FDF" w:rsidRDefault="00733FF0" w:rsidP="00F739AC">
      <w:pPr>
        <w:pStyle w:val="ListBullet"/>
        <w:rPr>
          <w:rStyle w:val="highlightedtextChar"/>
          <w:rFonts w:cs="Arial"/>
          <w:color w:val="auto"/>
        </w:rPr>
      </w:pPr>
      <w:r w:rsidRPr="00F739AC">
        <w:t>responsibilit</w:t>
      </w:r>
      <w:r w:rsidRPr="005541C4">
        <w:t>ies</w:t>
      </w:r>
      <w:r w:rsidRPr="005541C4">
        <w:rPr>
          <w:iCs w:val="0"/>
        </w:rPr>
        <w:t xml:space="preserve"> and</w:t>
      </w:r>
      <w:r w:rsidRPr="000C2FDF">
        <w:rPr>
          <w:rStyle w:val="highlightedtextChar"/>
          <w:rFonts w:cs="Arial"/>
          <w:b w:val="0"/>
          <w:color w:val="auto"/>
        </w:rPr>
        <w:t xml:space="preserve"> expectations in relation to the opportunity</w:t>
      </w:r>
      <w:r w:rsidR="0045229E" w:rsidRPr="000C2FDF">
        <w:rPr>
          <w:rStyle w:val="highlightedtextChar"/>
          <w:rFonts w:cs="Arial"/>
          <w:color w:val="auto"/>
        </w:rPr>
        <w:t>.</w:t>
      </w:r>
    </w:p>
    <w:p w14:paraId="73D475F3" w14:textId="77777777" w:rsidR="0045229E" w:rsidRDefault="00733FF0" w:rsidP="005C4E32">
      <w:pPr>
        <w:pStyle w:val="Normal-Style2"/>
      </w:pPr>
      <w:r w:rsidRPr="00B24CA0">
        <w:t xml:space="preserve">You must read these </w:t>
      </w:r>
      <w:r w:rsidR="00787359">
        <w:t>G</w:t>
      </w:r>
      <w:r w:rsidRPr="00B24CA0">
        <w:t>uidelines before filling out an application</w:t>
      </w:r>
      <w:r w:rsidR="0045229E">
        <w:t>.</w:t>
      </w:r>
    </w:p>
    <w:p w14:paraId="73D475F4" w14:textId="77777777" w:rsidR="0056176A" w:rsidRDefault="00ED6A5A" w:rsidP="005C4E32">
      <w:pPr>
        <w:pStyle w:val="Normal-Style2"/>
      </w:pPr>
      <w:r>
        <w:rPr>
          <w:rFonts w:eastAsiaTheme="minorHAnsi"/>
        </w:rPr>
        <w:t xml:space="preserve">This grant opportunity will be administered by the Department of Infrastructure, Transport, Regional Development, Communications and the Arts (the </w:t>
      </w:r>
      <w:r>
        <w:rPr>
          <w:rFonts w:eastAsiaTheme="minorHAnsi"/>
          <w:b/>
          <w:bCs/>
        </w:rPr>
        <w:t>department</w:t>
      </w:r>
      <w:r>
        <w:rPr>
          <w:rFonts w:eastAsiaTheme="minorHAnsi"/>
        </w:rPr>
        <w:t>).</w:t>
      </w:r>
    </w:p>
    <w:p w14:paraId="73D475F5" w14:textId="721C331F" w:rsidR="00B211B8" w:rsidRDefault="006D5EF7" w:rsidP="005C4E32">
      <w:pPr>
        <w:pStyle w:val="Normal-Style2"/>
      </w:pPr>
      <w:r>
        <w:t xml:space="preserve">Consistent with the </w:t>
      </w:r>
      <w:hyperlink r:id="rId22" w:history="1">
        <w:r w:rsidRPr="003C1ED9">
          <w:rPr>
            <w:rFonts w:eastAsia="Calibri"/>
            <w:b/>
          </w:rPr>
          <w:t>Commonwealth Grants Rules and Guidelines</w:t>
        </w:r>
      </w:hyperlink>
      <w:r w:rsidRPr="003C1ED9">
        <w:rPr>
          <w:rFonts w:eastAsia="Calibri"/>
          <w:b/>
        </w:rPr>
        <w:t xml:space="preserve"> </w:t>
      </w:r>
      <w:r w:rsidRPr="00F46D65">
        <w:rPr>
          <w:rFonts w:eastAsia="Calibri"/>
        </w:rPr>
        <w:t>(</w:t>
      </w:r>
      <w:proofErr w:type="spellStart"/>
      <w:r w:rsidRPr="00F46D65">
        <w:rPr>
          <w:rFonts w:eastAsia="Calibri"/>
        </w:rPr>
        <w:t>CGRGs</w:t>
      </w:r>
      <w:proofErr w:type="spellEnd"/>
      <w:r w:rsidRPr="00F46D65">
        <w:rPr>
          <w:rFonts w:eastAsia="Calibri"/>
        </w:rPr>
        <w:t>)</w:t>
      </w:r>
      <w:r>
        <w:rPr>
          <w:rStyle w:val="FootnoteReference"/>
          <w:rFonts w:eastAsia="Calibri"/>
        </w:rPr>
        <w:footnoteReference w:id="2"/>
      </w:r>
      <w:r w:rsidR="00B211B8">
        <w:t xml:space="preserve"> </w:t>
      </w:r>
      <w:r>
        <w:t xml:space="preserve">this </w:t>
      </w:r>
      <w:r w:rsidR="00B211B8">
        <w:t xml:space="preserve">grant opportunity </w:t>
      </w:r>
      <w:r w:rsidR="00D506BE">
        <w:t xml:space="preserve">is categorised as a </w:t>
      </w:r>
      <w:r w:rsidR="00B211B8" w:rsidRPr="008231EA">
        <w:t xml:space="preserve">targeted competitive funding round </w:t>
      </w:r>
      <w:r w:rsidR="00D506BE">
        <w:t xml:space="preserve">as it is </w:t>
      </w:r>
      <w:r w:rsidR="00B211B8" w:rsidRPr="008231EA">
        <w:t>open to a small number of potential grantees based on the specialised requirements of the grant activity under consideration</w:t>
      </w:r>
      <w:r w:rsidR="00D506BE">
        <w:t>.</w:t>
      </w:r>
    </w:p>
    <w:p w14:paraId="73D475F6" w14:textId="77777777" w:rsidR="009E455C" w:rsidRDefault="009E455C" w:rsidP="005C4E32">
      <w:pPr>
        <w:pStyle w:val="Normal-Style2"/>
      </w:pPr>
      <w:r>
        <w:t xml:space="preserve">We have defined key terms used in the Guidelines in the Glossary at section 15. </w:t>
      </w:r>
    </w:p>
    <w:p w14:paraId="73D475F7" w14:textId="77777777" w:rsidR="00733FF0" w:rsidRPr="00F40BDA" w:rsidRDefault="00733FF0" w:rsidP="00F739AC">
      <w:pPr>
        <w:pStyle w:val="Heading2"/>
      </w:pPr>
      <w:bookmarkStart w:id="11" w:name="_Ref109304581"/>
      <w:bookmarkStart w:id="12" w:name="_Toc113442165"/>
      <w:bookmarkStart w:id="13" w:name="_Toc113357202"/>
      <w:bookmarkStart w:id="14" w:name="_Toc178085176"/>
      <w:r>
        <w:t>About the grant program</w:t>
      </w:r>
      <w:bookmarkEnd w:id="11"/>
      <w:bookmarkEnd w:id="12"/>
      <w:bookmarkEnd w:id="13"/>
      <w:bookmarkEnd w:id="14"/>
    </w:p>
    <w:p w14:paraId="73D475F8" w14:textId="77777777" w:rsidR="00733FF0" w:rsidRPr="002873DD" w:rsidRDefault="00733FF0" w:rsidP="005C4E32">
      <w:pPr>
        <w:pStyle w:val="Heading3"/>
        <w:ind w:left="1077" w:hanging="1077"/>
      </w:pPr>
      <w:bookmarkStart w:id="15" w:name="_Toc50044010"/>
      <w:bookmarkStart w:id="16" w:name="_Toc88037072"/>
      <w:bookmarkStart w:id="17" w:name="_Toc95910909"/>
      <w:bookmarkStart w:id="18" w:name="_Toc113442166"/>
      <w:bookmarkStart w:id="19" w:name="_Toc113357203"/>
      <w:bookmarkStart w:id="20" w:name="_Toc178085177"/>
      <w:r w:rsidRPr="002873DD">
        <w:t>About the Program</w:t>
      </w:r>
      <w:bookmarkEnd w:id="15"/>
      <w:bookmarkEnd w:id="16"/>
      <w:bookmarkEnd w:id="17"/>
      <w:bookmarkEnd w:id="18"/>
      <w:bookmarkEnd w:id="19"/>
      <w:bookmarkEnd w:id="20"/>
    </w:p>
    <w:p w14:paraId="73D475F9" w14:textId="6629B849" w:rsidR="005166C0" w:rsidRPr="00F46D65" w:rsidRDefault="005166C0" w:rsidP="005C4E32">
      <w:pPr>
        <w:spacing w:line="276" w:lineRule="auto"/>
        <w:rPr>
          <w:rFonts w:eastAsia="Calibri" w:cs="Arial"/>
        </w:rPr>
      </w:pPr>
      <w:r w:rsidRPr="00F46D65">
        <w:rPr>
          <w:rFonts w:eastAsia="Calibri" w:cs="Arial"/>
        </w:rPr>
        <w:t xml:space="preserve">The Australian Government </w:t>
      </w:r>
      <w:r w:rsidRPr="00706689">
        <w:rPr>
          <w:rFonts w:eastAsia="Calibri" w:cs="Arial"/>
        </w:rPr>
        <w:t>committed $39.</w:t>
      </w:r>
      <w:r w:rsidR="002066BE" w:rsidRPr="00706689">
        <w:rPr>
          <w:rFonts w:eastAsia="Calibri" w:cs="Arial"/>
        </w:rPr>
        <w:t>1</w:t>
      </w:r>
      <w:r w:rsidRPr="00706689">
        <w:rPr>
          <w:rFonts w:eastAsia="Calibri" w:cs="Arial"/>
        </w:rPr>
        <w:t xml:space="preserve"> million</w:t>
      </w:r>
      <w:r w:rsidRPr="00F46D65">
        <w:rPr>
          <w:rFonts w:eastAsia="Calibri" w:cs="Arial"/>
        </w:rPr>
        <w:t xml:space="preserve"> to a further two rounds of the Program</w:t>
      </w:r>
      <w:r w:rsidR="001A4F4B">
        <w:rPr>
          <w:rFonts w:eastAsia="Calibri" w:cs="Arial"/>
        </w:rPr>
        <w:t xml:space="preserve"> </w:t>
      </w:r>
      <w:r w:rsidR="001A4F4B" w:rsidRPr="00F46D65">
        <w:rPr>
          <w:rFonts w:eastAsia="Calibri" w:cs="Arial"/>
        </w:rPr>
        <w:t xml:space="preserve">in the </w:t>
      </w:r>
      <w:r w:rsidR="00B61B96">
        <w:rPr>
          <w:rFonts w:eastAsia="Calibri" w:cs="Arial"/>
        </w:rPr>
        <w:t xml:space="preserve">October </w:t>
      </w:r>
      <w:r w:rsidR="001A4F4B" w:rsidRPr="00F46D65">
        <w:rPr>
          <w:rFonts w:eastAsia="Calibri" w:cs="Arial"/>
        </w:rPr>
        <w:t>2022</w:t>
      </w:r>
      <w:r w:rsidR="00E41B5C">
        <w:rPr>
          <w:rFonts w:eastAsia="Calibri" w:cs="Arial"/>
        </w:rPr>
        <w:t>–</w:t>
      </w:r>
      <w:r w:rsidR="001A4F4B" w:rsidRPr="00F46D65">
        <w:rPr>
          <w:rFonts w:eastAsia="Calibri" w:cs="Arial"/>
        </w:rPr>
        <w:t>23 Budget</w:t>
      </w:r>
      <w:r w:rsidRPr="00F46D65">
        <w:rPr>
          <w:rFonts w:eastAsia="Calibri" w:cs="Arial"/>
        </w:rPr>
        <w:t>.</w:t>
      </w:r>
    </w:p>
    <w:p w14:paraId="73D475FA" w14:textId="375A3B22" w:rsidR="00733FF0" w:rsidRPr="00F46D65" w:rsidRDefault="00733FF0" w:rsidP="005C4E32">
      <w:pPr>
        <w:spacing w:line="276" w:lineRule="auto"/>
        <w:rPr>
          <w:rFonts w:eastAsia="Calibri" w:cs="Arial"/>
        </w:rPr>
      </w:pPr>
      <w:r w:rsidRPr="00F46D65">
        <w:rPr>
          <w:rFonts w:eastAsia="Calibri" w:cs="Arial"/>
        </w:rPr>
        <w:t>The objective</w:t>
      </w:r>
      <w:r w:rsidR="00727AD4" w:rsidRPr="00F46D65">
        <w:rPr>
          <w:rFonts w:eastAsia="Calibri" w:cs="Arial"/>
        </w:rPr>
        <w:t xml:space="preserve"> of the Program is to improve mobile phone reception in peri-urban fringe areas that are at threat of bushfire </w:t>
      </w:r>
      <w:r w:rsidR="003C1ED9">
        <w:rPr>
          <w:rFonts w:eastAsia="Calibri" w:cs="Arial"/>
        </w:rPr>
        <w:t xml:space="preserve">and other </w:t>
      </w:r>
      <w:r w:rsidR="003C1ED9" w:rsidRPr="00560CE6">
        <w:rPr>
          <w:rFonts w:eastAsia="Calibri" w:cs="Arial"/>
          <w:b/>
        </w:rPr>
        <w:t xml:space="preserve">natural </w:t>
      </w:r>
      <w:r w:rsidR="00DB7E40" w:rsidRPr="00560CE6">
        <w:rPr>
          <w:rFonts w:eastAsia="Calibri" w:cs="Arial"/>
          <w:b/>
        </w:rPr>
        <w:t>disasters</w:t>
      </w:r>
      <w:r w:rsidR="00DB7E40" w:rsidRPr="00F46D65">
        <w:rPr>
          <w:rFonts w:eastAsia="Calibri" w:cs="Arial"/>
        </w:rPr>
        <w:t xml:space="preserve"> (</w:t>
      </w:r>
      <w:r w:rsidR="00727AD4" w:rsidRPr="00F46D65">
        <w:rPr>
          <w:rFonts w:eastAsia="Calibri" w:cs="Arial"/>
        </w:rPr>
        <w:t xml:space="preserve">see section 5.2 for </w:t>
      </w:r>
      <w:r w:rsidR="00727AD4" w:rsidRPr="00560CE6">
        <w:rPr>
          <w:rFonts w:eastAsia="Calibri" w:cs="Arial"/>
          <w:b/>
        </w:rPr>
        <w:t>Eligible Locations</w:t>
      </w:r>
      <w:r w:rsidR="00727AD4" w:rsidRPr="00F46D65">
        <w:rPr>
          <w:rFonts w:eastAsia="Calibri" w:cs="Arial"/>
        </w:rPr>
        <w:t>)</w:t>
      </w:r>
      <w:r w:rsidRPr="00F46D65">
        <w:rPr>
          <w:rFonts w:eastAsia="Calibri" w:cs="Arial"/>
        </w:rPr>
        <w:t xml:space="preserve">, by co-funding </w:t>
      </w:r>
      <w:r w:rsidR="006A0A21" w:rsidRPr="00F46D65">
        <w:rPr>
          <w:rFonts w:eastAsia="Calibri" w:cs="Arial"/>
        </w:rPr>
        <w:t>with Mobile Network Operators</w:t>
      </w:r>
      <w:r w:rsidR="00AD37BF">
        <w:rPr>
          <w:rFonts w:eastAsia="Calibri" w:cs="Arial"/>
        </w:rPr>
        <w:t>’</w:t>
      </w:r>
      <w:r w:rsidR="006A0A21" w:rsidRPr="00F46D65">
        <w:rPr>
          <w:rFonts w:eastAsia="Calibri" w:cs="Arial"/>
        </w:rPr>
        <w:t xml:space="preserve"> (</w:t>
      </w:r>
      <w:r w:rsidR="006A0A21" w:rsidRPr="00560CE6">
        <w:rPr>
          <w:rFonts w:eastAsia="Calibri" w:cs="Arial"/>
          <w:b/>
        </w:rPr>
        <w:t>MNOs</w:t>
      </w:r>
      <w:r w:rsidR="006A0A21" w:rsidRPr="00F46D65">
        <w:rPr>
          <w:rFonts w:eastAsia="Calibri" w:cs="Arial"/>
        </w:rPr>
        <w:t>) and Mobile Network Infrastructure Providers</w:t>
      </w:r>
      <w:r w:rsidR="00AD37BF">
        <w:rPr>
          <w:rFonts w:eastAsia="Calibri" w:cs="Arial"/>
        </w:rPr>
        <w:t>’</w:t>
      </w:r>
      <w:r w:rsidR="006A0A21" w:rsidRPr="00F46D65">
        <w:rPr>
          <w:rFonts w:eastAsia="Calibri" w:cs="Arial"/>
        </w:rPr>
        <w:t xml:space="preserve"> (</w:t>
      </w:r>
      <w:proofErr w:type="spellStart"/>
      <w:r w:rsidR="006A0A21" w:rsidRPr="00560CE6">
        <w:rPr>
          <w:rFonts w:eastAsia="Calibri" w:cs="Arial"/>
          <w:b/>
        </w:rPr>
        <w:t>MNIPs</w:t>
      </w:r>
      <w:proofErr w:type="spellEnd"/>
      <w:r w:rsidR="006A0A21" w:rsidRPr="00F46D65">
        <w:rPr>
          <w:rFonts w:eastAsia="Calibri" w:cs="Arial"/>
        </w:rPr>
        <w:t xml:space="preserve">) </w:t>
      </w:r>
      <w:r w:rsidRPr="00F46D65">
        <w:rPr>
          <w:rFonts w:eastAsia="Calibri" w:cs="Arial"/>
        </w:rPr>
        <w:t>new or upgraded telecommunications infrastructure.</w:t>
      </w:r>
    </w:p>
    <w:p w14:paraId="73D475FC" w14:textId="4EEAD5B9" w:rsidR="00733FF0" w:rsidRPr="00F46D65" w:rsidRDefault="00733FF0" w:rsidP="005C4E32">
      <w:pPr>
        <w:spacing w:line="276" w:lineRule="auto"/>
        <w:rPr>
          <w:rFonts w:eastAsia="Calibri" w:cs="Arial"/>
        </w:rPr>
      </w:pPr>
      <w:r w:rsidRPr="00F46D65">
        <w:rPr>
          <w:rFonts w:eastAsia="Calibri" w:cs="Arial"/>
        </w:rPr>
        <w:t xml:space="preserve">The intended outcome of the Program </w:t>
      </w:r>
      <w:bookmarkStart w:id="21" w:name="_Hlk54953432"/>
      <w:r w:rsidR="00727AD4" w:rsidRPr="00F46D65">
        <w:rPr>
          <w:rFonts w:eastAsia="Calibri" w:cs="Arial"/>
        </w:rPr>
        <w:t xml:space="preserve">is to fund deployment of new mobile phone infrastructure that will provide improved </w:t>
      </w:r>
      <w:r w:rsidR="00727AD4" w:rsidRPr="008F6E3A">
        <w:rPr>
          <w:rFonts w:eastAsia="Calibri" w:cs="Arial"/>
          <w:b/>
        </w:rPr>
        <w:t>quality of service</w:t>
      </w:r>
      <w:r w:rsidR="00727AD4" w:rsidRPr="00F46D65">
        <w:rPr>
          <w:rFonts w:eastAsia="Calibri" w:cs="Arial"/>
        </w:rPr>
        <w:t xml:space="preserve"> to mobile telecommunications users in peri-urban fringe areas, to assist during times of emergency.</w:t>
      </w:r>
      <w:r w:rsidR="00D234E9">
        <w:rPr>
          <w:rFonts w:eastAsia="Calibri" w:cs="Arial"/>
        </w:rPr>
        <w:t xml:space="preserve"> </w:t>
      </w:r>
      <w:r w:rsidR="00727AD4" w:rsidRPr="00F46D65">
        <w:rPr>
          <w:rFonts w:eastAsia="Calibri" w:cs="Arial"/>
        </w:rPr>
        <w:t xml:space="preserve">Previously, under Round 1 of the </w:t>
      </w:r>
      <w:r w:rsidRPr="00F46D65">
        <w:rPr>
          <w:rFonts w:eastAsia="Calibri" w:cs="Arial"/>
        </w:rPr>
        <w:t xml:space="preserve">Program, </w:t>
      </w:r>
      <w:r w:rsidR="00727AD4" w:rsidRPr="00F46D65">
        <w:rPr>
          <w:rFonts w:eastAsia="Calibri" w:cs="Arial"/>
        </w:rPr>
        <w:t>66 new mobile base stations across 50 location</w:t>
      </w:r>
      <w:r w:rsidR="00057C00" w:rsidRPr="00F46D65">
        <w:rPr>
          <w:rFonts w:eastAsia="Calibri" w:cs="Arial"/>
        </w:rPr>
        <w:t>s</w:t>
      </w:r>
      <w:r w:rsidR="00727AD4" w:rsidRPr="00F46D65">
        <w:rPr>
          <w:rFonts w:eastAsia="Calibri" w:cs="Arial"/>
        </w:rPr>
        <w:t xml:space="preserve"> received funding.</w:t>
      </w:r>
    </w:p>
    <w:p w14:paraId="73D475FD" w14:textId="77777777" w:rsidR="00C92BD2" w:rsidRDefault="00733FF0" w:rsidP="005C4E32">
      <w:pPr>
        <w:keepLines/>
        <w:spacing w:line="276" w:lineRule="auto"/>
        <w:rPr>
          <w:rFonts w:eastAsia="Calibri" w:cs="Arial"/>
        </w:rPr>
      </w:pPr>
      <w:r w:rsidRPr="00F46D65">
        <w:rPr>
          <w:rFonts w:eastAsia="Calibri" w:cs="Arial"/>
        </w:rPr>
        <w:t>The department is responsible for administering the Program on behalf of the Government.</w:t>
      </w:r>
      <w:bookmarkEnd w:id="21"/>
      <w:r w:rsidR="009B0757" w:rsidRPr="00F46D65">
        <w:rPr>
          <w:rFonts w:eastAsia="Calibri" w:cs="Arial"/>
        </w:rPr>
        <w:t xml:space="preserve"> The Program contributes to the department’s </w:t>
      </w:r>
      <w:r w:rsidR="009B0757" w:rsidRPr="0071042F">
        <w:rPr>
          <w:rFonts w:eastAsia="Calibri" w:cs="Arial"/>
          <w:i/>
        </w:rPr>
        <w:t>Outcome 5: Promote an innovative and competitive communications sector, through policy development, advice and program delivery, so all Australians can realise the full potential of digital technologies and communications services</w:t>
      </w:r>
      <w:r w:rsidR="009B0757" w:rsidRPr="00F46D65">
        <w:rPr>
          <w:rFonts w:eastAsia="Calibri" w:cs="Arial"/>
        </w:rPr>
        <w:t>.</w:t>
      </w:r>
    </w:p>
    <w:p w14:paraId="73D475FE" w14:textId="02BE78AF" w:rsidR="00C92BD2" w:rsidRDefault="00C92BD2" w:rsidP="005C4E32">
      <w:pPr>
        <w:spacing w:line="276" w:lineRule="auto"/>
        <w:rPr>
          <w:rFonts w:eastAsia="Calibri" w:cs="Arial"/>
        </w:rPr>
      </w:pPr>
      <w:r>
        <w:rPr>
          <w:rFonts w:eastAsia="Calibri" w:cs="Arial"/>
        </w:rPr>
        <w:t xml:space="preserve">The Government will not own and is not responsible for the operation of the infrastructure, aside from any co-contributions provided for </w:t>
      </w:r>
      <w:r w:rsidRPr="008F6E3A">
        <w:rPr>
          <w:rFonts w:eastAsia="Calibri" w:cs="Arial"/>
          <w:b/>
        </w:rPr>
        <w:t>operational costs</w:t>
      </w:r>
      <w:r>
        <w:rPr>
          <w:rFonts w:eastAsia="Calibri" w:cs="Arial"/>
        </w:rPr>
        <w:t xml:space="preserve"> during the </w:t>
      </w:r>
      <w:r w:rsidRPr="003C1ED9">
        <w:rPr>
          <w:rFonts w:eastAsia="Calibri" w:cs="Arial"/>
          <w:b/>
        </w:rPr>
        <w:t>Operational Period</w:t>
      </w:r>
      <w:r>
        <w:rPr>
          <w:rFonts w:eastAsia="Calibri" w:cs="Arial"/>
        </w:rPr>
        <w:t>. Grantee</w:t>
      </w:r>
      <w:r w:rsidR="00B604BB">
        <w:rPr>
          <w:rFonts w:eastAsia="Calibri" w:cs="Arial"/>
        </w:rPr>
        <w:t>s</w:t>
      </w:r>
      <w:r>
        <w:rPr>
          <w:rFonts w:eastAsia="Calibri" w:cs="Arial"/>
        </w:rPr>
        <w:t xml:space="preserve"> will own and/or hold necessary rights to the infrastructure to deliver the contracted services during the </w:t>
      </w:r>
      <w:r>
        <w:rPr>
          <w:rFonts w:eastAsia="Calibri" w:cs="Arial"/>
        </w:rPr>
        <w:lastRenderedPageBreak/>
        <w:t>Operational Period.</w:t>
      </w:r>
      <w:r w:rsidR="00295A5B">
        <w:rPr>
          <w:rFonts w:eastAsia="Calibri" w:cs="Arial"/>
        </w:rPr>
        <w:t xml:space="preserve"> </w:t>
      </w:r>
      <w:r w:rsidR="00295A5B">
        <w:rPr>
          <w:rFonts w:cs="Arial"/>
        </w:rPr>
        <w:t>While the Government encourages Grantee</w:t>
      </w:r>
      <w:r w:rsidR="00B604BB">
        <w:rPr>
          <w:rFonts w:cs="Arial"/>
        </w:rPr>
        <w:t>s</w:t>
      </w:r>
      <w:r w:rsidR="00295A5B">
        <w:rPr>
          <w:rFonts w:cs="Arial"/>
        </w:rPr>
        <w:t xml:space="preserve"> to continue to provide services into the future, asset ownership and operation beyond the Operational Period is a matter for Grantee</w:t>
      </w:r>
      <w:r w:rsidR="00B604BB">
        <w:rPr>
          <w:rFonts w:cs="Arial"/>
        </w:rPr>
        <w:t>s</w:t>
      </w:r>
      <w:r w:rsidR="00295A5B">
        <w:rPr>
          <w:rFonts w:cs="Arial"/>
        </w:rPr>
        <w:t>.</w:t>
      </w:r>
    </w:p>
    <w:p w14:paraId="73D475FF" w14:textId="08FA5395" w:rsidR="00F46D65" w:rsidRDefault="00F9598B" w:rsidP="005C4E32">
      <w:pPr>
        <w:spacing w:line="276" w:lineRule="auto"/>
        <w:rPr>
          <w:rFonts w:eastAsia="Calibri" w:cs="Arial"/>
        </w:rPr>
      </w:pPr>
      <w:r w:rsidRPr="00F46D65">
        <w:rPr>
          <w:rFonts w:eastAsia="Calibri" w:cs="Arial"/>
        </w:rPr>
        <w:t>T</w:t>
      </w:r>
      <w:r w:rsidR="00057C00" w:rsidRPr="00F46D65">
        <w:rPr>
          <w:rFonts w:eastAsia="Calibri" w:cs="Arial"/>
        </w:rPr>
        <w:t xml:space="preserve">he department </w:t>
      </w:r>
      <w:r w:rsidR="00733FF0" w:rsidRPr="00F46D65">
        <w:rPr>
          <w:rFonts w:eastAsia="Calibri" w:cs="Arial"/>
        </w:rPr>
        <w:t>administer</w:t>
      </w:r>
      <w:r w:rsidR="00057C00" w:rsidRPr="00F46D65">
        <w:rPr>
          <w:rFonts w:eastAsia="Calibri" w:cs="Arial"/>
        </w:rPr>
        <w:t>s</w:t>
      </w:r>
      <w:r w:rsidR="00733FF0" w:rsidRPr="00F46D65">
        <w:rPr>
          <w:rFonts w:eastAsia="Calibri" w:cs="Arial"/>
        </w:rPr>
        <w:t xml:space="preserve"> the </w:t>
      </w:r>
      <w:r w:rsidR="00597C2A" w:rsidRPr="00F46D65">
        <w:rPr>
          <w:rFonts w:eastAsia="Calibri" w:cs="Arial"/>
        </w:rPr>
        <w:t>P</w:t>
      </w:r>
      <w:r w:rsidR="00733FF0" w:rsidRPr="00F46D65">
        <w:rPr>
          <w:rFonts w:eastAsia="Calibri" w:cs="Arial"/>
        </w:rPr>
        <w:t xml:space="preserve">rogram </w:t>
      </w:r>
      <w:r w:rsidR="00F97879" w:rsidRPr="00F46D65">
        <w:rPr>
          <w:rFonts w:eastAsia="Calibri" w:cs="Arial"/>
        </w:rPr>
        <w:t xml:space="preserve">in accordance with </w:t>
      </w:r>
      <w:r w:rsidR="00733FF0" w:rsidRPr="00F46D65">
        <w:rPr>
          <w:rFonts w:eastAsia="Calibri" w:cs="Arial"/>
        </w:rPr>
        <w:t xml:space="preserve">the </w:t>
      </w:r>
      <w:hyperlink r:id="rId23" w:history="1">
        <w:proofErr w:type="spellStart"/>
        <w:r w:rsidR="00733FF0" w:rsidRPr="008567F7">
          <w:rPr>
            <w:rStyle w:val="Hyperlink"/>
            <w:rFonts w:eastAsia="Calibri" w:cs="Arial"/>
          </w:rPr>
          <w:t>CGRGs</w:t>
        </w:r>
        <w:proofErr w:type="spellEnd"/>
      </w:hyperlink>
      <w:r w:rsidR="00733FF0" w:rsidRPr="00F46D65">
        <w:rPr>
          <w:rFonts w:eastAsia="Calibri" w:cs="Arial"/>
        </w:rPr>
        <w:t>.</w:t>
      </w:r>
      <w:r w:rsidR="004308A9">
        <w:rPr>
          <w:rFonts w:eastAsia="Calibri" w:cs="Arial"/>
        </w:rPr>
        <w:t xml:space="preserve"> </w:t>
      </w:r>
      <w:r w:rsidRPr="00F46D65">
        <w:rPr>
          <w:rFonts w:eastAsia="Calibri" w:cs="Arial"/>
        </w:rPr>
        <w:t>The Commonwealth has the power to make, vary or administer this grant program under Item 4</w:t>
      </w:r>
      <w:r w:rsidR="00A42E20">
        <w:rPr>
          <w:rFonts w:eastAsia="Calibri" w:cs="Arial"/>
        </w:rPr>
        <w:t>96</w:t>
      </w:r>
      <w:r w:rsidRPr="00F46D65">
        <w:rPr>
          <w:rFonts w:eastAsia="Calibri" w:cs="Arial"/>
        </w:rPr>
        <w:t xml:space="preserve"> of the table in Part 4 of Schedule 1AB to the </w:t>
      </w:r>
      <w:hyperlink r:id="rId24" w:history="1">
        <w:r w:rsidRPr="00F46D65">
          <w:rPr>
            <w:rFonts w:eastAsia="Calibri" w:cs="Arial"/>
          </w:rPr>
          <w:t>Financial Framework (Supplementary Powers) Regulations 1997</w:t>
        </w:r>
      </w:hyperlink>
      <w:r w:rsidRPr="00F46D65">
        <w:rPr>
          <w:rFonts w:eastAsia="Calibri" w:cs="Arial"/>
        </w:rPr>
        <w:t xml:space="preserve"> (</w:t>
      </w:r>
      <w:proofErr w:type="spellStart"/>
      <w:r w:rsidRPr="00F46D65">
        <w:rPr>
          <w:rFonts w:eastAsia="Calibri" w:cs="Arial"/>
        </w:rPr>
        <w:t>Cth</w:t>
      </w:r>
      <w:proofErr w:type="spellEnd"/>
      <w:r w:rsidRPr="00F46D65">
        <w:rPr>
          <w:rFonts w:eastAsia="Calibri" w:cs="Arial"/>
        </w:rPr>
        <w:t>)</w:t>
      </w:r>
      <w:r w:rsidR="00F46D65">
        <w:rPr>
          <w:rFonts w:eastAsia="Calibri" w:cs="Arial"/>
        </w:rPr>
        <w:t>.</w:t>
      </w:r>
    </w:p>
    <w:p w14:paraId="73D47600" w14:textId="77777777" w:rsidR="00733FF0" w:rsidRDefault="00733FF0" w:rsidP="00F739AC">
      <w:pPr>
        <w:pStyle w:val="Heading2"/>
      </w:pPr>
      <w:bookmarkStart w:id="22" w:name="_Toc113442168"/>
      <w:bookmarkStart w:id="23" w:name="_Toc113357205"/>
      <w:bookmarkStart w:id="24" w:name="_Toc178085178"/>
      <w:r>
        <w:t>Grant amount and grant period</w:t>
      </w:r>
      <w:bookmarkEnd w:id="22"/>
      <w:bookmarkEnd w:id="23"/>
      <w:bookmarkEnd w:id="24"/>
    </w:p>
    <w:p w14:paraId="73D47601" w14:textId="77777777" w:rsidR="00733FF0" w:rsidRDefault="00733FF0" w:rsidP="005C4E32">
      <w:pPr>
        <w:pStyle w:val="Heading3"/>
        <w:ind w:left="1077" w:hanging="1077"/>
      </w:pPr>
      <w:bookmarkStart w:id="25" w:name="_Ref109305501"/>
      <w:bookmarkStart w:id="26" w:name="_Toc113442169"/>
      <w:bookmarkStart w:id="27" w:name="_Toc113357206"/>
      <w:bookmarkStart w:id="28" w:name="_Toc178085179"/>
      <w:r>
        <w:t>Grants available</w:t>
      </w:r>
      <w:bookmarkEnd w:id="25"/>
      <w:bookmarkEnd w:id="26"/>
      <w:bookmarkEnd w:id="27"/>
      <w:bookmarkEnd w:id="28"/>
    </w:p>
    <w:p w14:paraId="73D47602" w14:textId="5B649969" w:rsidR="00733FF0" w:rsidRDefault="005166C0" w:rsidP="005C4E32">
      <w:pPr>
        <w:pStyle w:val="Normal-Style2"/>
      </w:pPr>
      <w:r>
        <w:t xml:space="preserve">Up to </w:t>
      </w:r>
      <w:r w:rsidR="006C342C">
        <w:t>$</w:t>
      </w:r>
      <w:r>
        <w:t>20 million</w:t>
      </w:r>
      <w:r w:rsidR="00733FF0">
        <w:t xml:space="preserve"> (</w:t>
      </w:r>
      <w:r w:rsidR="00733FF0" w:rsidRPr="00560CE6">
        <w:rPr>
          <w:b/>
        </w:rPr>
        <w:t xml:space="preserve">GST </w:t>
      </w:r>
      <w:r w:rsidR="00733FF0">
        <w:t xml:space="preserve">exclusive) </w:t>
      </w:r>
      <w:r>
        <w:t xml:space="preserve">will be available for applications under Round 2 of the Program. Funding </w:t>
      </w:r>
      <w:r w:rsidR="00C325B4">
        <w:t xml:space="preserve">will be made </w:t>
      </w:r>
      <w:r>
        <w:t xml:space="preserve">available </w:t>
      </w:r>
      <w:r w:rsidR="00733FF0">
        <w:t xml:space="preserve">over </w:t>
      </w:r>
      <w:r w:rsidR="00A605FF">
        <w:t>four</w:t>
      </w:r>
      <w:r w:rsidR="00733FF0">
        <w:t xml:space="preserve"> </w:t>
      </w:r>
      <w:r w:rsidR="00C325B4">
        <w:t xml:space="preserve">financial </w:t>
      </w:r>
      <w:r w:rsidR="00733FF0">
        <w:t>years</w:t>
      </w:r>
      <w:r>
        <w:t>,</w:t>
      </w:r>
      <w:r w:rsidR="00733FF0">
        <w:t xml:space="preserve"> from</w:t>
      </w:r>
      <w:r w:rsidR="006B08D6">
        <w:t xml:space="preserve"> </w:t>
      </w:r>
      <w:r w:rsidR="00733FF0">
        <w:t>202</w:t>
      </w:r>
      <w:r w:rsidR="00875ED0">
        <w:t>3</w:t>
      </w:r>
      <w:r w:rsidR="00CC14C9">
        <w:t>–</w:t>
      </w:r>
      <w:r w:rsidR="00733FF0">
        <w:t>2</w:t>
      </w:r>
      <w:r w:rsidR="00875ED0">
        <w:t>4</w:t>
      </w:r>
      <w:r w:rsidR="00733FF0">
        <w:t xml:space="preserve"> to 20</w:t>
      </w:r>
      <w:r w:rsidR="00A605FF">
        <w:t>26</w:t>
      </w:r>
      <w:r w:rsidR="00CC14C9">
        <w:t>–</w:t>
      </w:r>
      <w:r w:rsidR="00A605FF">
        <w:t>27</w:t>
      </w:r>
      <w:r w:rsidR="00733FF0">
        <w:t>.</w:t>
      </w:r>
    </w:p>
    <w:p w14:paraId="73D47603" w14:textId="77777777" w:rsidR="005166C0" w:rsidRDefault="005166C0" w:rsidP="005C4E32">
      <w:pPr>
        <w:pStyle w:val="Normal-Style2"/>
      </w:pPr>
      <w:bookmarkStart w:id="29" w:name="_Toc90294818"/>
      <w:bookmarkStart w:id="30" w:name="_Toc113442170"/>
      <w:bookmarkStart w:id="31" w:name="_Toc113357207"/>
      <w:r>
        <w:t>There is no minimum or maximum grant amount under the Program, noting the total grant amount must not exceed $20 million (see section 3.1.1).</w:t>
      </w:r>
    </w:p>
    <w:p w14:paraId="73D47604" w14:textId="1F2DF426" w:rsidR="00F372F5" w:rsidRPr="00894737" w:rsidRDefault="008A1DB2" w:rsidP="005C4E32">
      <w:pPr>
        <w:pStyle w:val="Normal-Style2"/>
      </w:pPr>
      <w:r>
        <w:t xml:space="preserve">All </w:t>
      </w:r>
      <w:r w:rsidRPr="00D92D00">
        <w:rPr>
          <w:b/>
        </w:rPr>
        <w:t>Proposed Solution</w:t>
      </w:r>
      <w:r>
        <w:t>s will be eligible for a Commonwealth contribution of u</w:t>
      </w:r>
      <w:r w:rsidR="005166C0" w:rsidRPr="00894737">
        <w:t>p to 50 per cent of the Total Solution Cost</w:t>
      </w:r>
      <w:r>
        <w:t xml:space="preserve"> under the Program</w:t>
      </w:r>
      <w:r w:rsidR="007452E7">
        <w:t xml:space="preserve"> (</w:t>
      </w:r>
      <w:r w:rsidR="007452E7" w:rsidRPr="007452E7">
        <w:rPr>
          <w:b/>
        </w:rPr>
        <w:t>Commonwealth Contribution</w:t>
      </w:r>
      <w:r w:rsidR="007452E7">
        <w:t>)</w:t>
      </w:r>
      <w:r>
        <w:t xml:space="preserve">. An </w:t>
      </w:r>
      <w:r w:rsidRPr="008A1DB2">
        <w:rPr>
          <w:b/>
        </w:rPr>
        <w:t>Additional Commonwealth Funding Contribution</w:t>
      </w:r>
      <w:r>
        <w:t xml:space="preserve"> will be available to specific solution types as outlined at section 5.3 and Table 1.</w:t>
      </w:r>
      <w:r w:rsidR="00F372F5" w:rsidRPr="00894737">
        <w:t xml:space="preserve"> </w:t>
      </w:r>
    </w:p>
    <w:p w14:paraId="73D47605" w14:textId="77777777" w:rsidR="005166C0" w:rsidRPr="00894737" w:rsidRDefault="00F372F5" w:rsidP="005C4E32">
      <w:pPr>
        <w:pStyle w:val="Normal-Style2"/>
      </w:pPr>
      <w:r w:rsidRPr="00894737">
        <w:t xml:space="preserve">For the purposes of the Program, the Total Solution Cost means the combined total cost of estimated </w:t>
      </w:r>
      <w:r w:rsidRPr="003616E4">
        <w:rPr>
          <w:b/>
        </w:rPr>
        <w:t>Asset Capital Costs</w:t>
      </w:r>
      <w:r w:rsidRPr="00894737">
        <w:t xml:space="preserve"> and incremental Operational Costs for a Proposed Solution. See section 5.3 for eligible expenditure.</w:t>
      </w:r>
    </w:p>
    <w:p w14:paraId="73D47606" w14:textId="77777777" w:rsidR="00733FF0" w:rsidRDefault="00733FF0" w:rsidP="005C4E32">
      <w:pPr>
        <w:pStyle w:val="Heading3"/>
        <w:ind w:left="1077" w:hanging="1077"/>
      </w:pPr>
      <w:bookmarkStart w:id="32" w:name="_Toc178085180"/>
      <w:r>
        <w:t>Applicant co-contribution</w:t>
      </w:r>
      <w:bookmarkEnd w:id="29"/>
      <w:bookmarkEnd w:id="30"/>
      <w:bookmarkEnd w:id="31"/>
      <w:bookmarkEnd w:id="32"/>
    </w:p>
    <w:p w14:paraId="73D47607" w14:textId="7E28A667" w:rsidR="00733FF0" w:rsidRDefault="00733FF0" w:rsidP="005C4E32">
      <w:pPr>
        <w:pStyle w:val="Normal-Style2"/>
      </w:pPr>
      <w:r>
        <w:t xml:space="preserve">All Grantees will be expected to make a financial (cash) co-contribution to the capital costs of building or installing each </w:t>
      </w:r>
      <w:r w:rsidRPr="00560CE6">
        <w:rPr>
          <w:b/>
        </w:rPr>
        <w:t>Funded Solution</w:t>
      </w:r>
      <w:r>
        <w:t xml:space="preserve">, as well as ongoing operational expenses over the </w:t>
      </w:r>
      <w:proofErr w:type="gramStart"/>
      <w:r w:rsidR="00705FC3">
        <w:t xml:space="preserve">Operational </w:t>
      </w:r>
      <w:r>
        <w:t xml:space="preserve"> </w:t>
      </w:r>
      <w:r w:rsidR="00705FC3">
        <w:t>P</w:t>
      </w:r>
      <w:r>
        <w:t>eriod</w:t>
      </w:r>
      <w:proofErr w:type="gramEnd"/>
      <w:r>
        <w:t xml:space="preserve"> specified at section 3.5.2.</w:t>
      </w:r>
    </w:p>
    <w:p w14:paraId="73D47608" w14:textId="274F3D2A" w:rsidR="00733FF0" w:rsidRPr="00A9458B" w:rsidRDefault="00733FF0" w:rsidP="005C4E32">
      <w:pPr>
        <w:pStyle w:val="Normal-Style2"/>
      </w:pPr>
      <w:r w:rsidRPr="00A9458B">
        <w:t xml:space="preserve">Financial co-contributions made by other MNOs that are confirmed to provide mobile coverage through a Proposed Solution at the time of application, but are not an applicant for the purposes of the application, will be considered in the same manner as other third-party co-contributions, as specified in section </w:t>
      </w:r>
      <w:r>
        <w:fldChar w:fldCharType="begin"/>
      </w:r>
      <w:r>
        <w:instrText xml:space="preserve"> REF _Ref109305041 \r \h </w:instrText>
      </w:r>
      <w:r w:rsidR="005C4E32">
        <w:instrText xml:space="preserve"> \* MERGEFORMAT </w:instrText>
      </w:r>
      <w:r>
        <w:fldChar w:fldCharType="separate"/>
      </w:r>
      <w:r w:rsidR="00711186">
        <w:t>3.3</w:t>
      </w:r>
      <w:r>
        <w:fldChar w:fldCharType="end"/>
      </w:r>
      <w:r w:rsidRPr="00A9458B">
        <w:t>.</w:t>
      </w:r>
    </w:p>
    <w:p w14:paraId="73D47609" w14:textId="77777777" w:rsidR="00733FF0" w:rsidRDefault="00733FF0" w:rsidP="005C4E32">
      <w:pPr>
        <w:pStyle w:val="Heading3"/>
        <w:ind w:left="1077" w:hanging="1077"/>
      </w:pPr>
      <w:bookmarkStart w:id="33" w:name="_Toc90294819"/>
      <w:bookmarkStart w:id="34" w:name="_Ref109305041"/>
      <w:bookmarkStart w:id="35" w:name="_Toc113442171"/>
      <w:bookmarkStart w:id="36" w:name="_Toc113357208"/>
      <w:bookmarkStart w:id="37" w:name="_Toc178085181"/>
      <w:r>
        <w:t>Third Party funding co-contributions</w:t>
      </w:r>
      <w:bookmarkEnd w:id="33"/>
      <w:bookmarkEnd w:id="34"/>
      <w:bookmarkEnd w:id="35"/>
      <w:bookmarkEnd w:id="36"/>
      <w:bookmarkEnd w:id="37"/>
    </w:p>
    <w:p w14:paraId="73D4760A" w14:textId="77777777" w:rsidR="00733FF0" w:rsidRDefault="00733FF0" w:rsidP="005C4E32">
      <w:pPr>
        <w:pStyle w:val="Normal-Style2"/>
      </w:pPr>
      <w:r w:rsidRPr="00964505">
        <w:t>To increase the reach of the Program, applicants are encouraged</w:t>
      </w:r>
      <w:r>
        <w:t xml:space="preserve"> (but not required)</w:t>
      </w:r>
      <w:r w:rsidRPr="00964505">
        <w:t xml:space="preserve"> to seek financial </w:t>
      </w:r>
      <w:r>
        <w:t xml:space="preserve">(cash) and in-kind </w:t>
      </w:r>
      <w:r w:rsidRPr="00964505">
        <w:t xml:space="preserve">co-contributions from </w:t>
      </w:r>
      <w:r w:rsidR="006438E6">
        <w:t>s</w:t>
      </w:r>
      <w:r w:rsidRPr="00964505">
        <w:t xml:space="preserve">tate, </w:t>
      </w:r>
      <w:r w:rsidR="006438E6">
        <w:t>t</w:t>
      </w:r>
      <w:r w:rsidRPr="00964505">
        <w:t>erritory or local governments, local communities and/or other third parties.</w:t>
      </w:r>
      <w:r w:rsidRPr="008D51B5">
        <w:t xml:space="preserve"> </w:t>
      </w:r>
      <w:r w:rsidRPr="00D255B0">
        <w:t xml:space="preserve">Interested third parties are also encouraged to contact applicants directly in relation </w:t>
      </w:r>
      <w:r>
        <w:t>to potential co-contributions.</w:t>
      </w:r>
    </w:p>
    <w:p w14:paraId="73D4760B" w14:textId="04E9C43A" w:rsidR="0045229E" w:rsidRDefault="00733FF0" w:rsidP="005C4E32">
      <w:pPr>
        <w:pStyle w:val="Normal-Style2"/>
      </w:pPr>
      <w:r w:rsidRPr="00964505">
        <w:t>During the application period</w:t>
      </w:r>
      <w:r>
        <w:t xml:space="preserve">, </w:t>
      </w:r>
      <w:r w:rsidRPr="00964505">
        <w:t xml:space="preserve">applicants are strongly encouraged to consult with </w:t>
      </w:r>
      <w:r w:rsidR="006438E6">
        <w:t>s</w:t>
      </w:r>
      <w:r w:rsidRPr="00964505">
        <w:t xml:space="preserve">tate, </w:t>
      </w:r>
      <w:r w:rsidR="006438E6">
        <w:t>t</w:t>
      </w:r>
      <w:r w:rsidRPr="00964505">
        <w:t>erritory and local governments</w:t>
      </w:r>
      <w:r w:rsidR="00754982">
        <w:t>, emergency service organisations</w:t>
      </w:r>
      <w:r w:rsidRPr="00964505">
        <w:t xml:space="preserve"> and local communities regarding the locations for which they intend to build Proposed Solutions. These consultations should include any specific areas identified within the location that would be considered desirable to be covered by the Proposed Solution</w:t>
      </w:r>
      <w:r w:rsidR="0045229E">
        <w:t>.</w:t>
      </w:r>
      <w:r w:rsidR="00A605FF">
        <w:t xml:space="preserve"> </w:t>
      </w:r>
      <w:r w:rsidR="006B2E28">
        <w:t xml:space="preserve">A </w:t>
      </w:r>
      <w:hyperlink r:id="rId25" w:history="1">
        <w:r w:rsidR="006B2E28" w:rsidRPr="006B2E28">
          <w:rPr>
            <w:rStyle w:val="Hyperlink"/>
          </w:rPr>
          <w:t>Project Noticeboard</w:t>
        </w:r>
      </w:hyperlink>
      <w:r w:rsidR="006B2E28">
        <w:t xml:space="preserve"> has been established to help local councils and community groups identify mobile coverage, reception and quality of service issues to further assist applicants develop their proposals</w:t>
      </w:r>
      <w:r w:rsidR="00944292">
        <w:t xml:space="preserve">. The Noticeboard is available at </w:t>
      </w:r>
      <w:hyperlink r:id="rId26" w:history="1">
        <w:r w:rsidR="00944292" w:rsidRPr="00D3244C">
          <w:rPr>
            <w:rStyle w:val="Hyperlink"/>
          </w:rPr>
          <w:t>www.infrastructure.gov.au/pump</w:t>
        </w:r>
      </w:hyperlink>
      <w:r w:rsidR="00944292">
        <w:t xml:space="preserve">. </w:t>
      </w:r>
    </w:p>
    <w:p w14:paraId="73D4760C" w14:textId="77777777" w:rsidR="00733FF0" w:rsidRDefault="00733FF0" w:rsidP="005C4E32">
      <w:pPr>
        <w:pStyle w:val="Normal-Style2"/>
      </w:pPr>
      <w:r w:rsidRPr="00964505">
        <w:lastRenderedPageBreak/>
        <w:t>Where applicants can confirm the level of co</w:t>
      </w:r>
      <w:r w:rsidRPr="00964505">
        <w:noBreakHyphen/>
        <w:t xml:space="preserve">contributions that </w:t>
      </w:r>
      <w:r w:rsidR="006438E6">
        <w:t>s</w:t>
      </w:r>
      <w:r w:rsidRPr="00964505">
        <w:t xml:space="preserve">tate, </w:t>
      </w:r>
      <w:r w:rsidR="006438E6">
        <w:t>t</w:t>
      </w:r>
      <w:r w:rsidRPr="00964505">
        <w:t>erritory or local governments or other third</w:t>
      </w:r>
      <w:r w:rsidRPr="00964505">
        <w:noBreakHyphen/>
        <w:t>parties propose to make, applicants should include this in their application in respect of the relevant Proposed Solution.</w:t>
      </w:r>
    </w:p>
    <w:p w14:paraId="73D4760D" w14:textId="77777777" w:rsidR="00733FF0" w:rsidRDefault="00733FF0" w:rsidP="005C4E32">
      <w:pPr>
        <w:pStyle w:val="Normal-Style2"/>
      </w:pPr>
      <w:r w:rsidRPr="00F53C18">
        <w:t xml:space="preserve">On request, the </w:t>
      </w:r>
      <w:r>
        <w:t>department</w:t>
      </w:r>
      <w:r w:rsidRPr="00F53C18">
        <w:t xml:space="preserve"> will provide </w:t>
      </w:r>
      <w:r w:rsidR="006438E6">
        <w:t>s</w:t>
      </w:r>
      <w:r w:rsidRPr="00F53C18">
        <w:t xml:space="preserve">tate, </w:t>
      </w:r>
      <w:r w:rsidR="006438E6">
        <w:t>t</w:t>
      </w:r>
      <w:r w:rsidRPr="00F53C18">
        <w:t xml:space="preserve">erritory and </w:t>
      </w:r>
      <w:r>
        <w:t>l</w:t>
      </w:r>
      <w:r w:rsidRPr="00F53C18">
        <w:t xml:space="preserve">ocal </w:t>
      </w:r>
      <w:r>
        <w:t>g</w:t>
      </w:r>
      <w:r w:rsidRPr="00F53C18">
        <w:t xml:space="preserve">overnment contact details to organisations that have registered as eligible applicants for funding </w:t>
      </w:r>
      <w:r>
        <w:t>under the Program</w:t>
      </w:r>
      <w:r w:rsidRPr="00F53C18">
        <w:t xml:space="preserve">. </w:t>
      </w:r>
      <w:r w:rsidRPr="00964505">
        <w:t>Applicants are solely responsible for forming relationships and negotiating contributions with any relevant</w:t>
      </w:r>
      <w:r>
        <w:t xml:space="preserve"> third</w:t>
      </w:r>
      <w:r w:rsidRPr="00964505">
        <w:t xml:space="preserve"> parties, and for testing </w:t>
      </w:r>
      <w:r>
        <w:t>and/</w:t>
      </w:r>
      <w:r w:rsidRPr="00964505">
        <w:t>or verifying any advice received from these parties.</w:t>
      </w:r>
    </w:p>
    <w:p w14:paraId="73D4760E" w14:textId="77777777" w:rsidR="0045229E" w:rsidRDefault="00733FF0" w:rsidP="005C4E32">
      <w:pPr>
        <w:pStyle w:val="Normal-Style2"/>
      </w:pPr>
      <w:r w:rsidRPr="00964505">
        <w:t xml:space="preserve">For Funded Solutions that include a co-contribution from a </w:t>
      </w:r>
      <w:r w:rsidR="006438E6">
        <w:t>s</w:t>
      </w:r>
      <w:r w:rsidRPr="00964505">
        <w:t xml:space="preserve">tate or </w:t>
      </w:r>
      <w:r w:rsidR="006438E6">
        <w:t>t</w:t>
      </w:r>
      <w:r w:rsidRPr="00964505">
        <w:t>erritory government</w:t>
      </w:r>
      <w:r>
        <w:t xml:space="preserve">, </w:t>
      </w:r>
      <w:r w:rsidRPr="00964505">
        <w:t xml:space="preserve">the </w:t>
      </w:r>
      <w:r>
        <w:t>department</w:t>
      </w:r>
      <w:r w:rsidRPr="00964505">
        <w:t xml:space="preserve"> expects that Grantees will enter into a Grant Agreement with the Commonwealth and a separate agreement with the respective </w:t>
      </w:r>
      <w:r w:rsidR="006438E6">
        <w:t>s</w:t>
      </w:r>
      <w:r w:rsidRPr="00964505">
        <w:t xml:space="preserve">tate or </w:t>
      </w:r>
      <w:r w:rsidR="006438E6">
        <w:t>t</w:t>
      </w:r>
      <w:r w:rsidRPr="00964505">
        <w:t>erritory government</w:t>
      </w:r>
      <w:r w:rsidR="0045229E">
        <w:t>.</w:t>
      </w:r>
    </w:p>
    <w:p w14:paraId="73D4760F" w14:textId="77777777" w:rsidR="00733FF0" w:rsidRDefault="00733FF0" w:rsidP="005C4E32">
      <w:pPr>
        <w:pStyle w:val="Normal-Style2"/>
      </w:pPr>
      <w:r w:rsidRPr="00964505">
        <w:t xml:space="preserve">State, </w:t>
      </w:r>
      <w:r w:rsidR="006438E6">
        <w:t>t</w:t>
      </w:r>
      <w:r w:rsidRPr="00964505">
        <w:t>erritory and local governments may own infrastructure in location</w:t>
      </w:r>
      <w:r>
        <w:t>s</w:t>
      </w:r>
      <w:r w:rsidRPr="00964505">
        <w:t xml:space="preserve"> that could potentially be used for Funded Solutions. These governments may have specific requirements that will need to be reflected in the applications put forward by applicants for each Proposed Solution.</w:t>
      </w:r>
    </w:p>
    <w:p w14:paraId="73D47610" w14:textId="77777777" w:rsidR="0045229E" w:rsidRDefault="00733FF0" w:rsidP="005C4E32">
      <w:pPr>
        <w:pStyle w:val="Normal-Style2"/>
      </w:pPr>
      <w:r w:rsidRPr="00964505">
        <w:t>For Proposed Solutions that include co-contributions from third parties, a copy of the terms of the third part</w:t>
      </w:r>
      <w:r w:rsidR="00C325B4">
        <w:t>y</w:t>
      </w:r>
      <w:r w:rsidRPr="00964505">
        <w:t>’</w:t>
      </w:r>
      <w:r w:rsidR="00C325B4">
        <w:t>s</w:t>
      </w:r>
      <w:r w:rsidRPr="00964505">
        <w:t xml:space="preserve"> commitment to the applicant is to be attached to the application for funding</w:t>
      </w:r>
      <w:r w:rsidR="0045229E">
        <w:t>.</w:t>
      </w:r>
    </w:p>
    <w:p w14:paraId="73D47611" w14:textId="77777777" w:rsidR="00733FF0" w:rsidRDefault="00733FF0" w:rsidP="005C4E32">
      <w:pPr>
        <w:pStyle w:val="Normal-Style2"/>
      </w:pPr>
      <w:r>
        <w:t xml:space="preserve">In the event that a </w:t>
      </w:r>
      <w:r w:rsidRPr="00964505">
        <w:t>Funded Solution include</w:t>
      </w:r>
      <w:r>
        <w:t>s</w:t>
      </w:r>
      <w:r w:rsidRPr="00964505">
        <w:t xml:space="preserve"> </w:t>
      </w:r>
      <w:r>
        <w:t xml:space="preserve">a </w:t>
      </w:r>
      <w:r w:rsidRPr="00964505">
        <w:t xml:space="preserve">co-contribution from </w:t>
      </w:r>
      <w:r>
        <w:t xml:space="preserve">a third party, </w:t>
      </w:r>
      <w:r w:rsidRPr="00964505">
        <w:t xml:space="preserve">the </w:t>
      </w:r>
      <w:r>
        <w:t>Commonwealth will not be liable for any costs that may arise in relation to that co</w:t>
      </w:r>
      <w:r>
        <w:noBreakHyphen/>
        <w:t xml:space="preserve">contribution. For example, if the third party’s funding is not secured following execution of the Grant Agreement between the Commonwealth and the Grantee, the Grantee will </w:t>
      </w:r>
      <w:r w:rsidR="005500A8">
        <w:t xml:space="preserve">be required to </w:t>
      </w:r>
      <w:r>
        <w:t>cover the third party’s funding.</w:t>
      </w:r>
    </w:p>
    <w:p w14:paraId="73D47612" w14:textId="77777777" w:rsidR="00733FF0" w:rsidRDefault="00733FF0" w:rsidP="005C4E32">
      <w:pPr>
        <w:pStyle w:val="Heading3"/>
        <w:ind w:left="1077" w:hanging="1077"/>
      </w:pPr>
      <w:bookmarkStart w:id="38" w:name="_Toc90294820"/>
      <w:bookmarkStart w:id="39" w:name="_Toc113442172"/>
      <w:bookmarkStart w:id="40" w:name="_Toc113357209"/>
      <w:bookmarkStart w:id="41" w:name="_Toc178085182"/>
      <w:r>
        <w:t>In-kind co-contributions</w:t>
      </w:r>
      <w:bookmarkEnd w:id="38"/>
      <w:bookmarkEnd w:id="39"/>
      <w:bookmarkEnd w:id="40"/>
      <w:bookmarkEnd w:id="41"/>
    </w:p>
    <w:p w14:paraId="73D47613" w14:textId="4EC1FD19" w:rsidR="0045229E" w:rsidRDefault="00733FF0" w:rsidP="005C4E32">
      <w:pPr>
        <w:pStyle w:val="Normal-Style2"/>
      </w:pPr>
      <w:r w:rsidRPr="00D255B0">
        <w:t xml:space="preserve">A third party may wish to provide an incentive for applicants to include a </w:t>
      </w:r>
      <w:r w:rsidR="00DC36B0">
        <w:t xml:space="preserve">particular </w:t>
      </w:r>
      <w:r w:rsidRPr="00D255B0">
        <w:t>location in their funding applications. Third party incentives may include in</w:t>
      </w:r>
      <w:r w:rsidRPr="00D255B0">
        <w:noBreakHyphen/>
        <w:t>kind co</w:t>
      </w:r>
      <w:r w:rsidRPr="00D255B0">
        <w:noBreakHyphen/>
        <w:t>contributions towards the construction of a Proposed Solution such as the co-co</w:t>
      </w:r>
      <w:r>
        <w:t>ntributions outlined in section </w:t>
      </w:r>
      <w:r>
        <w:fldChar w:fldCharType="begin"/>
      </w:r>
      <w:r>
        <w:instrText xml:space="preserve"> REF _Ref109305063 \r \h </w:instrText>
      </w:r>
      <w:r w:rsidR="005C4E32">
        <w:instrText xml:space="preserve"> \* MERGEFORMAT </w:instrText>
      </w:r>
      <w:r>
        <w:fldChar w:fldCharType="separate"/>
      </w:r>
      <w:r w:rsidR="00711186">
        <w:t>3.4.2</w:t>
      </w:r>
      <w:r>
        <w:fldChar w:fldCharType="end"/>
      </w:r>
      <w:r w:rsidR="0045229E">
        <w:t>.</w:t>
      </w:r>
    </w:p>
    <w:p w14:paraId="73D47614" w14:textId="77777777" w:rsidR="00733FF0" w:rsidRDefault="00733FF0" w:rsidP="005C4E32">
      <w:pPr>
        <w:pStyle w:val="Normal-Style2"/>
      </w:pPr>
      <w:bookmarkStart w:id="42" w:name="_Ref109305063"/>
      <w:bookmarkStart w:id="43" w:name="_Hlk54955087"/>
      <w:r w:rsidRPr="00D255B0">
        <w:t>In-kind co-contributions could include:</w:t>
      </w:r>
      <w:bookmarkEnd w:id="42"/>
    </w:p>
    <w:p w14:paraId="73D47615" w14:textId="77777777" w:rsidR="00733FF0" w:rsidRPr="00F739AC" w:rsidRDefault="00733FF0" w:rsidP="00F739AC">
      <w:pPr>
        <w:pStyle w:val="ListBullet"/>
      </w:pPr>
      <w:r w:rsidRPr="00D8353F">
        <w:t>ass</w:t>
      </w:r>
      <w:r w:rsidRPr="00F739AC">
        <w:t>istance with identifying and consulting with the local community on a suitable site;</w:t>
      </w:r>
    </w:p>
    <w:p w14:paraId="73D47616" w14:textId="77777777" w:rsidR="00733FF0" w:rsidRPr="00F739AC" w:rsidRDefault="00733FF0" w:rsidP="00F739AC">
      <w:pPr>
        <w:pStyle w:val="ListBullet"/>
      </w:pPr>
      <w:r w:rsidRPr="00F739AC">
        <w:t>securing the necessary planning and site approvals;</w:t>
      </w:r>
    </w:p>
    <w:p w14:paraId="73D47617" w14:textId="77777777" w:rsidR="00733FF0" w:rsidRPr="00F739AC" w:rsidRDefault="00733FF0" w:rsidP="00F739AC">
      <w:pPr>
        <w:pStyle w:val="ListBullet"/>
      </w:pPr>
      <w:r w:rsidRPr="00F739AC">
        <w:t>lease arrangements;</w:t>
      </w:r>
    </w:p>
    <w:p w14:paraId="73D47618" w14:textId="77777777" w:rsidR="00733FF0" w:rsidRPr="00F739AC" w:rsidRDefault="00733FF0" w:rsidP="00F739AC">
      <w:pPr>
        <w:pStyle w:val="ListBullet"/>
      </w:pPr>
      <w:r w:rsidRPr="00F739AC">
        <w:t>civil works required for access to the site;</w:t>
      </w:r>
    </w:p>
    <w:p w14:paraId="73D47619" w14:textId="77777777" w:rsidR="00733FF0" w:rsidRPr="00F739AC" w:rsidRDefault="00733FF0" w:rsidP="00F739AC">
      <w:pPr>
        <w:pStyle w:val="ListBullet"/>
      </w:pPr>
      <w:r w:rsidRPr="00F739AC">
        <w:t>assistance with coordinating power to the site; or</w:t>
      </w:r>
    </w:p>
    <w:p w14:paraId="73D4761A" w14:textId="77777777" w:rsidR="00733FF0" w:rsidRPr="00256043" w:rsidRDefault="00733FF0" w:rsidP="00F739AC">
      <w:pPr>
        <w:pStyle w:val="ListBullet"/>
      </w:pPr>
      <w:r w:rsidRPr="00F739AC">
        <w:t>facilitatin</w:t>
      </w:r>
      <w:r w:rsidRPr="005541C4">
        <w:t>g</w:t>
      </w:r>
      <w:r>
        <w:t xml:space="preserve"> access to existing infrastructure.</w:t>
      </w:r>
    </w:p>
    <w:bookmarkEnd w:id="43"/>
    <w:p w14:paraId="73D4761B" w14:textId="77777777" w:rsidR="0045229E" w:rsidRDefault="00733FF0" w:rsidP="005C4E32">
      <w:pPr>
        <w:pStyle w:val="Normal-Style2"/>
        <w:keepLines/>
        <w:ind w:left="1843"/>
      </w:pPr>
      <w:r w:rsidRPr="00D255B0">
        <w:t xml:space="preserve">Third party </w:t>
      </w:r>
      <w:r>
        <w:t>in-kind co-</w:t>
      </w:r>
      <w:r w:rsidRPr="00D255B0">
        <w:t>contributions are the responsibility of the applicant, and can be reflected in a reduction in the amount of funding the applicant seeks for a Proposed Solution</w:t>
      </w:r>
      <w:r w:rsidR="0045229E">
        <w:t>.</w:t>
      </w:r>
    </w:p>
    <w:p w14:paraId="73D4761D" w14:textId="164644EE" w:rsidR="00733FF0" w:rsidRDefault="00733FF0" w:rsidP="005C4E32">
      <w:pPr>
        <w:pStyle w:val="Heading3"/>
      </w:pPr>
      <w:bookmarkStart w:id="44" w:name="_Toc113442173"/>
      <w:bookmarkStart w:id="45" w:name="_Toc113357210"/>
      <w:bookmarkStart w:id="46" w:name="_Toc178085183"/>
      <w:r>
        <w:t>Grant period</w:t>
      </w:r>
      <w:bookmarkEnd w:id="44"/>
      <w:bookmarkEnd w:id="45"/>
      <w:bookmarkEnd w:id="46"/>
    </w:p>
    <w:p w14:paraId="73D4761E" w14:textId="14C0061B" w:rsidR="00733FF0" w:rsidRDefault="00733FF0" w:rsidP="005C4E32">
      <w:pPr>
        <w:pStyle w:val="Normal-Style2"/>
      </w:pPr>
      <w:r>
        <w:t>All Funded Solutions must be completed by the date specified in the respective Grant Agreement</w:t>
      </w:r>
      <w:r w:rsidR="00C97ADE">
        <w:t xml:space="preserve">. The maximum time available </w:t>
      </w:r>
      <w:r w:rsidR="00705FC3">
        <w:t>t</w:t>
      </w:r>
      <w:r w:rsidR="006B2E28">
        <w:t xml:space="preserve">o </w:t>
      </w:r>
      <w:r w:rsidR="00C97ADE">
        <w:t xml:space="preserve">complete </w:t>
      </w:r>
      <w:r w:rsidR="006B2E28">
        <w:t xml:space="preserve">a </w:t>
      </w:r>
      <w:r w:rsidR="00C97ADE">
        <w:t xml:space="preserve">Funded Solution is 36 months from the date of commencement </w:t>
      </w:r>
      <w:r w:rsidR="006B2E28">
        <w:t>in</w:t>
      </w:r>
      <w:r w:rsidR="00C97ADE">
        <w:t xml:space="preserve"> the</w:t>
      </w:r>
      <w:r w:rsidR="006B2E28">
        <w:t xml:space="preserve"> respective</w:t>
      </w:r>
      <w:r w:rsidR="00C97ADE">
        <w:t xml:space="preserve"> Grant A</w:t>
      </w:r>
      <w:r w:rsidR="006B2E28">
        <w:t>greement</w:t>
      </w:r>
      <w:r w:rsidR="00C97ADE">
        <w:t xml:space="preserve">. </w:t>
      </w:r>
    </w:p>
    <w:p w14:paraId="73D4761F" w14:textId="272D98FE" w:rsidR="00733FF0" w:rsidRDefault="00733FF0" w:rsidP="005C4E32">
      <w:pPr>
        <w:pStyle w:val="Normal-Style2"/>
      </w:pPr>
      <w:r>
        <w:lastRenderedPageBreak/>
        <w:t xml:space="preserve">Funded Solutions must remain operational, and provide the required services outlined in section </w:t>
      </w:r>
      <w:r>
        <w:fldChar w:fldCharType="begin"/>
      </w:r>
      <w:r>
        <w:instrText xml:space="preserve"> REF _Ref109305080 \r \h </w:instrText>
      </w:r>
      <w:r w:rsidR="005C4E32">
        <w:instrText xml:space="preserve"> \* MERGEFORMAT </w:instrText>
      </w:r>
      <w:r>
        <w:fldChar w:fldCharType="separate"/>
      </w:r>
      <w:r w:rsidR="00711186">
        <w:t>4.2</w:t>
      </w:r>
      <w:r>
        <w:fldChar w:fldCharType="end"/>
      </w:r>
      <w:r>
        <w:t xml:space="preserve"> to the target coverage areas on a commercial basis, </w:t>
      </w:r>
      <w:r w:rsidR="00A865CD" w:rsidRPr="00B841AA">
        <w:t xml:space="preserve">for a minimum period of ten (10) years after </w:t>
      </w:r>
      <w:r w:rsidR="00A865CD">
        <w:t>the Funded Solution</w:t>
      </w:r>
      <w:r w:rsidR="00A865CD" w:rsidRPr="00B841AA">
        <w:t xml:space="preserve"> has (have) become operational</w:t>
      </w:r>
      <w:r>
        <w:t>.</w:t>
      </w:r>
    </w:p>
    <w:p w14:paraId="73D47620" w14:textId="77777777" w:rsidR="00733FF0" w:rsidRPr="00DF637B" w:rsidRDefault="00733FF0" w:rsidP="00F739AC">
      <w:pPr>
        <w:pStyle w:val="Heading2"/>
      </w:pPr>
      <w:bookmarkStart w:id="47" w:name="_Ref109305621"/>
      <w:bookmarkStart w:id="48" w:name="_Toc113442174"/>
      <w:bookmarkStart w:id="49" w:name="_Toc113357211"/>
      <w:bookmarkStart w:id="50" w:name="_Toc178085184"/>
      <w:r>
        <w:t>Eligibility criteria</w:t>
      </w:r>
      <w:bookmarkEnd w:id="47"/>
      <w:bookmarkEnd w:id="48"/>
      <w:bookmarkEnd w:id="49"/>
      <w:bookmarkEnd w:id="50"/>
    </w:p>
    <w:p w14:paraId="73D47621" w14:textId="77777777" w:rsidR="00733FF0" w:rsidRDefault="00733FF0" w:rsidP="005C4E32">
      <w:pPr>
        <w:pStyle w:val="Heading3"/>
        <w:ind w:left="1077" w:hanging="1077"/>
      </w:pPr>
      <w:bookmarkStart w:id="51" w:name="_Ref437348317"/>
      <w:bookmarkStart w:id="52" w:name="_Ref437348323"/>
      <w:bookmarkStart w:id="53" w:name="_Ref437349175"/>
      <w:bookmarkStart w:id="54" w:name="_Ref485202969"/>
      <w:bookmarkStart w:id="55" w:name="_Toc113442175"/>
      <w:bookmarkStart w:id="56" w:name="_Toc113357212"/>
      <w:bookmarkStart w:id="57" w:name="_Toc178085185"/>
      <w:r>
        <w:t>Who is eligible to apply for a grant?</w:t>
      </w:r>
      <w:bookmarkEnd w:id="51"/>
      <w:bookmarkEnd w:id="52"/>
      <w:bookmarkEnd w:id="53"/>
      <w:bookmarkEnd w:id="54"/>
      <w:bookmarkEnd w:id="55"/>
      <w:bookmarkEnd w:id="56"/>
      <w:bookmarkEnd w:id="57"/>
    </w:p>
    <w:p w14:paraId="73D47622" w14:textId="77777777" w:rsidR="00733FF0" w:rsidRPr="00694DF9" w:rsidRDefault="00733FF0" w:rsidP="005C4E32">
      <w:pPr>
        <w:pStyle w:val="Normal-Style2"/>
      </w:pPr>
      <w:r w:rsidRPr="00694DF9">
        <w:t xml:space="preserve">To be eligible </w:t>
      </w:r>
      <w:r>
        <w:t xml:space="preserve">to apply for funding under the Program </w:t>
      </w:r>
      <w:r w:rsidRPr="00694DF9">
        <w:t>you must:</w:t>
      </w:r>
    </w:p>
    <w:p w14:paraId="73D47623" w14:textId="77777777" w:rsidR="00733FF0" w:rsidRPr="00F739AC" w:rsidRDefault="00733FF0" w:rsidP="00F739AC">
      <w:pPr>
        <w:pStyle w:val="ListBullet"/>
      </w:pPr>
      <w:r w:rsidRPr="00214F6F">
        <w:rPr>
          <w:rFonts w:eastAsia="Calibri" w:cs="Arial"/>
        </w:rPr>
        <w:t>ha</w:t>
      </w:r>
      <w:r w:rsidRPr="00F739AC">
        <w:rPr>
          <w:rFonts w:eastAsia="Calibri"/>
        </w:rPr>
        <w:t>ve</w:t>
      </w:r>
      <w:r w:rsidRPr="00F739AC">
        <w:t xml:space="preserve"> an </w:t>
      </w:r>
      <w:r w:rsidRPr="00F739AC">
        <w:rPr>
          <w:b/>
        </w:rPr>
        <w:t>Australian Business Number (ABN)</w:t>
      </w:r>
    </w:p>
    <w:p w14:paraId="73D47624" w14:textId="77777777" w:rsidR="00733FF0" w:rsidRPr="000A271A" w:rsidRDefault="00733FF0" w:rsidP="00F739AC">
      <w:pPr>
        <w:pStyle w:val="ListBullet"/>
      </w:pPr>
      <w:r w:rsidRPr="00F739AC">
        <w:rPr>
          <w:rFonts w:eastAsia="Calibri"/>
        </w:rPr>
        <w:t>be</w:t>
      </w:r>
      <w:r w:rsidRPr="00F739AC">
        <w:t xml:space="preserve"> </w:t>
      </w:r>
      <w:r w:rsidRPr="000A271A">
        <w:t xml:space="preserve">registered for the purposes of </w:t>
      </w:r>
      <w:r>
        <w:t xml:space="preserve">the </w:t>
      </w:r>
      <w:r w:rsidRPr="000A271A">
        <w:t>G</w:t>
      </w:r>
      <w:r>
        <w:t xml:space="preserve">oods and </w:t>
      </w:r>
      <w:r w:rsidRPr="000A271A">
        <w:t>S</w:t>
      </w:r>
      <w:r>
        <w:t xml:space="preserve">ervices </w:t>
      </w:r>
      <w:r w:rsidRPr="000A271A">
        <w:t>T</w:t>
      </w:r>
      <w:r>
        <w:t>ax (GST)</w:t>
      </w:r>
    </w:p>
    <w:p w14:paraId="73D47625" w14:textId="77777777" w:rsidR="00733FF0" w:rsidRPr="000A271A" w:rsidRDefault="00733FF0" w:rsidP="005C4E32">
      <w:pPr>
        <w:ind w:left="1077"/>
      </w:pPr>
      <w:r>
        <w:t xml:space="preserve">and </w:t>
      </w:r>
      <w:r w:rsidRPr="000A271A">
        <w:t xml:space="preserve">be one </w:t>
      </w:r>
      <w:r>
        <w:t>of the following entity types:</w:t>
      </w:r>
    </w:p>
    <w:p w14:paraId="73D47626" w14:textId="77777777" w:rsidR="00733FF0" w:rsidRPr="00F739AC" w:rsidRDefault="00733FF0" w:rsidP="00F739AC">
      <w:pPr>
        <w:pStyle w:val="ListBullet"/>
      </w:pPr>
      <w:r w:rsidRPr="000A271A">
        <w:t xml:space="preserve">a </w:t>
      </w:r>
      <w:r w:rsidRPr="00007834">
        <w:rPr>
          <w:b/>
        </w:rPr>
        <w:t>Mobile Network Operator</w:t>
      </w:r>
      <w:r w:rsidRPr="00007834">
        <w:t xml:space="preserve"> (MNO); </w:t>
      </w:r>
      <w:r w:rsidRPr="00F739AC">
        <w:t>or</w:t>
      </w:r>
    </w:p>
    <w:p w14:paraId="73D47627" w14:textId="77777777" w:rsidR="00733FF0" w:rsidRPr="002D68C3" w:rsidRDefault="00730200" w:rsidP="00F739AC">
      <w:pPr>
        <w:pStyle w:val="ListBullet"/>
      </w:pPr>
      <w:r w:rsidRPr="00F739AC">
        <w:t xml:space="preserve">a </w:t>
      </w:r>
      <w:r w:rsidR="00733FF0" w:rsidRPr="002D68C3">
        <w:rPr>
          <w:b/>
        </w:rPr>
        <w:t>Mobile Network Infrastructure Provider</w:t>
      </w:r>
      <w:r w:rsidR="00733FF0" w:rsidRPr="002D68C3">
        <w:t xml:space="preserve"> (</w:t>
      </w:r>
      <w:proofErr w:type="spellStart"/>
      <w:r w:rsidR="00733FF0" w:rsidRPr="002D68C3">
        <w:t>MNIP</w:t>
      </w:r>
      <w:proofErr w:type="spellEnd"/>
      <w:r w:rsidR="00733FF0" w:rsidRPr="002D68C3">
        <w:t>)</w:t>
      </w:r>
      <w:r w:rsidR="00105838" w:rsidRPr="002D68C3">
        <w:t>.</w:t>
      </w:r>
    </w:p>
    <w:p w14:paraId="73D47628" w14:textId="77777777" w:rsidR="00733FF0" w:rsidRDefault="00733FF0" w:rsidP="005C4E32">
      <w:pPr>
        <w:pStyle w:val="Normal-Style2"/>
      </w:pPr>
      <w:r w:rsidRPr="002D68C3">
        <w:t>For th</w:t>
      </w:r>
      <w:r w:rsidRPr="00007834">
        <w:t xml:space="preserve">e purposes of the Program, </w:t>
      </w:r>
      <w:proofErr w:type="gramStart"/>
      <w:r w:rsidR="00CB378D" w:rsidRPr="00007834">
        <w:t>a</w:t>
      </w:r>
      <w:proofErr w:type="gramEnd"/>
      <w:r w:rsidR="00CB378D" w:rsidRPr="00007834">
        <w:t xml:space="preserve"> </w:t>
      </w:r>
      <w:r w:rsidRPr="00007834">
        <w:rPr>
          <w:b/>
        </w:rPr>
        <w:t xml:space="preserve">MNO </w:t>
      </w:r>
      <w:r w:rsidRPr="00007834">
        <w:t>means</w:t>
      </w:r>
      <w:r>
        <w:t xml:space="preserve"> a company that:</w:t>
      </w:r>
    </w:p>
    <w:p w14:paraId="73D47629" w14:textId="77777777" w:rsidR="00733FF0" w:rsidRPr="00F739AC" w:rsidRDefault="00733FF0" w:rsidP="00F739AC">
      <w:pPr>
        <w:pStyle w:val="ListBullet"/>
      </w:pPr>
      <w:r w:rsidRPr="00D90B2A">
        <w:rPr>
          <w:rFonts w:eastAsia="Calibri" w:cs="Arial"/>
        </w:rPr>
        <w:t>Su</w:t>
      </w:r>
      <w:r w:rsidRPr="00F739AC">
        <w:rPr>
          <w:rFonts w:eastAsia="Calibri"/>
        </w:rPr>
        <w:t>pplies</w:t>
      </w:r>
      <w:r w:rsidRPr="00F739AC">
        <w:t xml:space="preserve"> a public mobile telecommunications service within the meaning of the </w:t>
      </w:r>
      <w:r w:rsidRPr="00F739AC">
        <w:rPr>
          <w:i/>
        </w:rPr>
        <w:t>Telecommunications Act 1997 (</w:t>
      </w:r>
      <w:proofErr w:type="spellStart"/>
      <w:r w:rsidRPr="00F739AC">
        <w:rPr>
          <w:i/>
        </w:rPr>
        <w:t>Cth</w:t>
      </w:r>
      <w:proofErr w:type="spellEnd"/>
      <w:r w:rsidRPr="00F739AC">
        <w:rPr>
          <w:i/>
        </w:rPr>
        <w:t>)</w:t>
      </w:r>
      <w:r w:rsidRPr="00F739AC">
        <w:t>;</w:t>
      </w:r>
    </w:p>
    <w:p w14:paraId="73D4762A" w14:textId="77777777" w:rsidR="00202760" w:rsidRPr="00F739AC" w:rsidRDefault="00733FF0" w:rsidP="00F739AC">
      <w:pPr>
        <w:pStyle w:val="ListBullet"/>
      </w:pPr>
      <w:r w:rsidRPr="00F739AC">
        <w:t xml:space="preserve">Holds an apparatus or a spectrum licence (or both) for the supply of public mobile </w:t>
      </w:r>
      <w:r w:rsidRPr="00F739AC">
        <w:rPr>
          <w:rFonts w:eastAsia="Calibri"/>
        </w:rPr>
        <w:t>telecommunications</w:t>
      </w:r>
      <w:r w:rsidRPr="00F739AC">
        <w:t xml:space="preserve"> services under the </w:t>
      </w:r>
      <w:r w:rsidRPr="00F739AC">
        <w:rPr>
          <w:i/>
        </w:rPr>
        <w:t>Radiocommunications Act 1992 (</w:t>
      </w:r>
      <w:proofErr w:type="spellStart"/>
      <w:r w:rsidRPr="00F739AC">
        <w:rPr>
          <w:i/>
        </w:rPr>
        <w:t>Cth</w:t>
      </w:r>
      <w:proofErr w:type="spellEnd"/>
      <w:r w:rsidRPr="00F739AC">
        <w:rPr>
          <w:i/>
        </w:rPr>
        <w:t>)</w:t>
      </w:r>
      <w:r w:rsidR="00202760" w:rsidRPr="00F739AC">
        <w:t>; and</w:t>
      </w:r>
    </w:p>
    <w:p w14:paraId="73D4762B" w14:textId="77777777" w:rsidR="004B3E42" w:rsidRPr="00D90B2A" w:rsidRDefault="00202760" w:rsidP="00F739AC">
      <w:pPr>
        <w:pStyle w:val="ListBullet"/>
      </w:pPr>
      <w:r w:rsidRPr="00F739AC">
        <w:t>Op</w:t>
      </w:r>
      <w:r>
        <w:t>erates a mobile network that provides mobile coverage to at least 80% of the Australian population.</w:t>
      </w:r>
    </w:p>
    <w:p w14:paraId="73D4762C" w14:textId="35ADA284" w:rsidR="00733FF0" w:rsidRPr="00734ED7" w:rsidRDefault="00733FF0" w:rsidP="005C4E32">
      <w:pPr>
        <w:pStyle w:val="Normal-Style2"/>
      </w:pPr>
      <w:r w:rsidRPr="00734ED7">
        <w:t xml:space="preserve">For the purposes of the Program, </w:t>
      </w:r>
      <w:proofErr w:type="spellStart"/>
      <w:r w:rsidRPr="00734ED7">
        <w:rPr>
          <w:b/>
        </w:rPr>
        <w:t>MNIP</w:t>
      </w:r>
      <w:proofErr w:type="spellEnd"/>
      <w:r w:rsidRPr="00734ED7">
        <w:t xml:space="preserve"> means a company, other than an MNO, that provides communications infrastructure in Australia or overseas, including the installation and operation of infrastructure to be used by one or more MNOs to provide public mobile telecommunications services.</w:t>
      </w:r>
    </w:p>
    <w:p w14:paraId="73D4762D" w14:textId="6385A9AE" w:rsidR="00733FF0" w:rsidRPr="00734ED7" w:rsidRDefault="00733FF0" w:rsidP="005C4E32">
      <w:pPr>
        <w:pStyle w:val="Normal-Style2"/>
      </w:pPr>
      <w:proofErr w:type="spellStart"/>
      <w:r w:rsidRPr="00734ED7">
        <w:t>MNIP</w:t>
      </w:r>
      <w:proofErr w:type="spellEnd"/>
      <w:r w:rsidRPr="00734ED7">
        <w:t xml:space="preserve"> applications must be accompanied by written evidence of intent from at least one MNO to enter into a commercially binding commitment to use the infrastructure to deliver mobile services as described at section </w:t>
      </w:r>
      <w:r w:rsidRPr="00734ED7">
        <w:fldChar w:fldCharType="begin"/>
      </w:r>
      <w:r w:rsidRPr="00734ED7">
        <w:instrText xml:space="preserve"> REF _Ref109304876 \r \h </w:instrText>
      </w:r>
      <w:r w:rsidR="00734ED7">
        <w:instrText xml:space="preserve"> \* MERGEFORMAT </w:instrText>
      </w:r>
      <w:r w:rsidRPr="00734ED7">
        <w:fldChar w:fldCharType="separate"/>
      </w:r>
      <w:r w:rsidR="00711186" w:rsidRPr="00734ED7">
        <w:t>4.2</w:t>
      </w:r>
      <w:r w:rsidRPr="00734ED7">
        <w:fldChar w:fldCharType="end"/>
      </w:r>
      <w:r w:rsidRPr="00734ED7">
        <w:t xml:space="preserve"> for the Operational Period of the Proposed Solution</w:t>
      </w:r>
      <w:r w:rsidR="007F1144">
        <w:t xml:space="preserve"> (see section 3.5.2)</w:t>
      </w:r>
      <w:r w:rsidRPr="00734ED7">
        <w:t xml:space="preserve">. Funding may be awarded to eligible </w:t>
      </w:r>
      <w:proofErr w:type="spellStart"/>
      <w:r w:rsidRPr="00734ED7">
        <w:t>MNIPs</w:t>
      </w:r>
      <w:proofErr w:type="spellEnd"/>
      <w:r w:rsidRPr="00734ED7">
        <w:t xml:space="preserve"> on the condition that the </w:t>
      </w:r>
      <w:proofErr w:type="spellStart"/>
      <w:r w:rsidRPr="00734ED7">
        <w:t>MNIP</w:t>
      </w:r>
      <w:proofErr w:type="spellEnd"/>
      <w:r w:rsidRPr="00734ED7">
        <w:t xml:space="preserve"> and relevant MNO(s) enter into a binding commercial commitment prior to the finalisation of the Grant Agreement.</w:t>
      </w:r>
    </w:p>
    <w:p w14:paraId="73D4762E" w14:textId="4520272C" w:rsidR="00733FF0" w:rsidRDefault="00733FF0" w:rsidP="005C4E32">
      <w:pPr>
        <w:pStyle w:val="Normal-Style2"/>
      </w:pPr>
      <w:r w:rsidRPr="00734ED7">
        <w:t>MNOs and</w:t>
      </w:r>
      <w:r w:rsidR="00C22041">
        <w:t>/or</w:t>
      </w:r>
      <w:r w:rsidRPr="00734ED7">
        <w:t xml:space="preserve"> </w:t>
      </w:r>
      <w:proofErr w:type="spellStart"/>
      <w:r w:rsidRPr="00734ED7">
        <w:t>MNIPs</w:t>
      </w:r>
      <w:proofErr w:type="spellEnd"/>
      <w:r w:rsidRPr="00734ED7">
        <w:t xml:space="preserve"> may also apply jointly for funding through the Program. Joint applications must be underpinned by commercially binding arrangements or the clear intention to enter into such arrangements should the application be successful. A grant may only be awarded to eligible joint applicants on the condition that the </w:t>
      </w:r>
      <w:r w:rsidR="00C22041">
        <w:t>relevant</w:t>
      </w:r>
      <w:r w:rsidRPr="00734ED7">
        <w:t xml:space="preserve"> </w:t>
      </w:r>
      <w:r w:rsidR="00737F63">
        <w:t xml:space="preserve">parties </w:t>
      </w:r>
      <w:r w:rsidRPr="00734ED7">
        <w:t>enter into a binding commercial commitment prior to the finalisation of the Grant</w:t>
      </w:r>
      <w:r w:rsidRPr="00182CEB">
        <w:t xml:space="preserve"> Agreement</w:t>
      </w:r>
      <w:r>
        <w:t xml:space="preserve">. The Commonwealth will only enter into a Grant Agreement with one of the joint applicants, being the </w:t>
      </w:r>
      <w:r w:rsidRPr="00D92D00">
        <w:rPr>
          <w:b/>
        </w:rPr>
        <w:t>Lead Applicant</w:t>
      </w:r>
      <w:r>
        <w:t>.</w:t>
      </w:r>
    </w:p>
    <w:p w14:paraId="0CD93122" w14:textId="13061D5E" w:rsidR="00700A36" w:rsidRPr="000A271A" w:rsidRDefault="007F1144" w:rsidP="005C4E32">
      <w:pPr>
        <w:pStyle w:val="Normal-Style2"/>
      </w:pPr>
      <w:r>
        <w:t xml:space="preserve">The ownership of assets constructed as part of an </w:t>
      </w:r>
      <w:proofErr w:type="spellStart"/>
      <w:proofErr w:type="gramStart"/>
      <w:r>
        <w:t>MNIP</w:t>
      </w:r>
      <w:proofErr w:type="spellEnd"/>
      <w:r>
        <w:t>-led or joint application</w:t>
      </w:r>
      <w:r w:rsidR="00E5476D">
        <w:t>s</w:t>
      </w:r>
      <w:proofErr w:type="gramEnd"/>
      <w:r>
        <w:t xml:space="preserve"> is a matter for the </w:t>
      </w:r>
      <w:r w:rsidR="00F51987">
        <w:t>respective parties and sub</w:t>
      </w:r>
      <w:r w:rsidR="007F2FAB">
        <w:t xml:space="preserve">ject to </w:t>
      </w:r>
      <w:r w:rsidR="006851AC">
        <w:t xml:space="preserve">the terms of </w:t>
      </w:r>
      <w:r w:rsidR="007F2FAB">
        <w:t>the</w:t>
      </w:r>
      <w:r w:rsidR="00E5476D">
        <w:t>ir</w:t>
      </w:r>
      <w:r w:rsidR="007F2FAB">
        <w:t xml:space="preserve"> commercial agreement</w:t>
      </w:r>
      <w:r w:rsidR="00E5476D">
        <w:t>.</w:t>
      </w:r>
    </w:p>
    <w:p w14:paraId="73D4762F" w14:textId="77777777" w:rsidR="00733FF0" w:rsidRPr="00C204DC" w:rsidRDefault="00733FF0" w:rsidP="005C4E32">
      <w:pPr>
        <w:pStyle w:val="Heading3"/>
        <w:ind w:left="1077" w:hanging="1077"/>
      </w:pPr>
      <w:bookmarkStart w:id="58" w:name="_Toc494290495"/>
      <w:bookmarkStart w:id="59" w:name="_Ref109304876"/>
      <w:bookmarkStart w:id="60" w:name="_Ref109305080"/>
      <w:bookmarkStart w:id="61" w:name="_Ref109305126"/>
      <w:bookmarkStart w:id="62" w:name="_Ref109305391"/>
      <w:bookmarkStart w:id="63" w:name="_Toc113442176"/>
      <w:bookmarkStart w:id="64" w:name="_Toc113357213"/>
      <w:bookmarkStart w:id="65" w:name="_Toc178085186"/>
      <w:bookmarkEnd w:id="58"/>
      <w:r>
        <w:lastRenderedPageBreak/>
        <w:t>Minimum requirements</w:t>
      </w:r>
      <w:bookmarkEnd w:id="59"/>
      <w:bookmarkEnd w:id="60"/>
      <w:bookmarkEnd w:id="61"/>
      <w:bookmarkEnd w:id="62"/>
      <w:bookmarkEnd w:id="63"/>
      <w:bookmarkEnd w:id="64"/>
      <w:bookmarkEnd w:id="65"/>
    </w:p>
    <w:p w14:paraId="73D47630" w14:textId="39C774D0" w:rsidR="00733FF0" w:rsidRDefault="00733FF0" w:rsidP="005C4E32">
      <w:pPr>
        <w:pStyle w:val="Normal-Style2"/>
        <w:keepLines/>
      </w:pPr>
      <w:r w:rsidRPr="00D656ED">
        <w:t xml:space="preserve">Unless indicated otherwise in these Guidelines, this section </w:t>
      </w:r>
      <w:r>
        <w:fldChar w:fldCharType="begin"/>
      </w:r>
      <w:r>
        <w:instrText xml:space="preserve"> REF _Ref109305126 \r \h </w:instrText>
      </w:r>
      <w:r w:rsidR="005C4E32">
        <w:instrText xml:space="preserve"> \* MERGEFORMAT </w:instrText>
      </w:r>
      <w:r>
        <w:fldChar w:fldCharType="separate"/>
      </w:r>
      <w:r w:rsidR="00711186">
        <w:t>4.2</w:t>
      </w:r>
      <w:r>
        <w:fldChar w:fldCharType="end"/>
      </w:r>
      <w:r>
        <w:t xml:space="preserve"> </w:t>
      </w:r>
      <w:r w:rsidRPr="00D656ED">
        <w:t xml:space="preserve">sets out the minimum requirements that Grantees will need to comply with if their application is successful. These requirements will be included as schedules to the Grant Agreements. Under section </w:t>
      </w:r>
      <w:r w:rsidR="004C421F">
        <w:t>8.</w:t>
      </w:r>
      <w:r w:rsidR="00F82AA7">
        <w:t>1</w:t>
      </w:r>
      <w:r w:rsidRPr="00D656ED">
        <w:t xml:space="preserve">, Proposed Solutions that do not meet the minimum requirements may be excluded from further consideration, at the </w:t>
      </w:r>
      <w:r>
        <w:t>department</w:t>
      </w:r>
      <w:r w:rsidRPr="00D656ED">
        <w:t>’s absolute discretion.</w:t>
      </w:r>
    </w:p>
    <w:p w14:paraId="73D47631" w14:textId="77777777" w:rsidR="00733FF0" w:rsidRPr="00CB3318" w:rsidRDefault="00733FF0" w:rsidP="005C4E32">
      <w:pPr>
        <w:pStyle w:val="Heading4"/>
      </w:pPr>
      <w:bookmarkStart w:id="66" w:name="_Toc178085187"/>
      <w:r w:rsidRPr="00CB3318">
        <w:t>Services required</w:t>
      </w:r>
      <w:bookmarkEnd w:id="66"/>
    </w:p>
    <w:p w14:paraId="73D47632" w14:textId="49ACD87F" w:rsidR="00733FF0" w:rsidRDefault="00733FF0" w:rsidP="005C4E32">
      <w:pPr>
        <w:pStyle w:val="Normal-Style2"/>
      </w:pPr>
      <w:r w:rsidRPr="002D68C3">
        <w:t xml:space="preserve">All </w:t>
      </w:r>
      <w:r w:rsidR="00B16950">
        <w:t>P</w:t>
      </w:r>
      <w:r w:rsidR="00734ED7" w:rsidRPr="002D68C3">
        <w:t>roposed</w:t>
      </w:r>
      <w:r w:rsidRPr="002D68C3">
        <w:t xml:space="preserve"> Solutions</w:t>
      </w:r>
      <w:r w:rsidRPr="00002067">
        <w:t xml:space="preserve"> </w:t>
      </w:r>
      <w:r>
        <w:t xml:space="preserve">must </w:t>
      </w:r>
      <w:r w:rsidRPr="00002067">
        <w:t>deliver</w:t>
      </w:r>
      <w:r w:rsidR="00C177FE">
        <w:t xml:space="preserve"> </w:t>
      </w:r>
      <w:r w:rsidR="00C177FE" w:rsidRPr="00522F89">
        <w:rPr>
          <w:b/>
        </w:rPr>
        <w:t>New</w:t>
      </w:r>
      <w:r w:rsidR="00F35BCE" w:rsidRPr="00522F89">
        <w:rPr>
          <w:b/>
        </w:rPr>
        <w:t xml:space="preserve"> </w:t>
      </w:r>
      <w:r w:rsidRPr="00522F89">
        <w:rPr>
          <w:b/>
        </w:rPr>
        <w:t>Improved Handheld Coverage</w:t>
      </w:r>
      <w:r w:rsidR="00F372F5">
        <w:t xml:space="preserve"> to an Eligible Location, as outlined in section 5.</w:t>
      </w:r>
      <w:r w:rsidR="00301803">
        <w:t>2</w:t>
      </w:r>
      <w:r w:rsidR="00C2783F">
        <w:t>.</w:t>
      </w:r>
      <w:r w:rsidR="000A443E">
        <w:t xml:space="preserve"> </w:t>
      </w:r>
      <w:r w:rsidR="00F372F5">
        <w:t xml:space="preserve">Where an application includes a </w:t>
      </w:r>
      <w:r w:rsidR="00F372F5" w:rsidRPr="009D61F9">
        <w:rPr>
          <w:b/>
        </w:rPr>
        <w:t>Cluster Solution</w:t>
      </w:r>
      <w:r w:rsidR="00F372F5">
        <w:t xml:space="preserve">, all solutions that form part of the cluster must provide </w:t>
      </w:r>
      <w:r w:rsidR="00F82AA7">
        <w:t xml:space="preserve">New Improved </w:t>
      </w:r>
      <w:r w:rsidR="00F372F5">
        <w:t xml:space="preserve">Handheld Coverage to an Eligible Location. </w:t>
      </w:r>
      <w:r>
        <w:t xml:space="preserve"> </w:t>
      </w:r>
    </w:p>
    <w:p w14:paraId="73D47633" w14:textId="77777777" w:rsidR="00733FF0" w:rsidRPr="00D656ED" w:rsidRDefault="00733FF0" w:rsidP="005C4E32">
      <w:pPr>
        <w:pStyle w:val="Normal-Style2"/>
      </w:pPr>
      <w:bookmarkStart w:id="67" w:name="_Ref109305451"/>
      <w:r w:rsidRPr="00D656ED">
        <w:t>The Government’s expectation is that Proposed Solutions will enable consumers to perform a range of functions using mobile devices, such as making and receiving phone calls, sending emails and text messages, browsing the internet, accessing online services, downloading files, using mobile apps, and accessing emergency communications services. To meet this expectation all Proposed Solutions must:</w:t>
      </w:r>
      <w:bookmarkEnd w:id="67"/>
    </w:p>
    <w:p w14:paraId="1A967833" w14:textId="7AB7D7E7" w:rsidR="00966FCA" w:rsidRPr="00F739AC" w:rsidRDefault="00733FF0" w:rsidP="00F739AC">
      <w:pPr>
        <w:pStyle w:val="ListBullet"/>
      </w:pPr>
      <w:bookmarkStart w:id="68" w:name="_Hlk112247960"/>
      <w:r w:rsidRPr="00F739AC">
        <w:rPr>
          <w:rFonts w:eastAsia="Calibri" w:cs="Arial"/>
        </w:rPr>
        <w:t>deliver</w:t>
      </w:r>
      <w:r w:rsidRPr="00FC5001">
        <w:t xml:space="preserve"> </w:t>
      </w:r>
      <w:r w:rsidRPr="00F739AC">
        <w:rPr>
          <w:b/>
        </w:rPr>
        <w:t>4G</w:t>
      </w:r>
      <w:r w:rsidR="00506965" w:rsidRPr="00A865CD">
        <w:t>,</w:t>
      </w:r>
      <w:r w:rsidRPr="00A865CD">
        <w:t xml:space="preserve"> </w:t>
      </w:r>
      <w:r w:rsidR="00506965" w:rsidRPr="00A865CD">
        <w:t>and</w:t>
      </w:r>
      <w:r w:rsidR="00506965">
        <w:t xml:space="preserve"> preferably also </w:t>
      </w:r>
      <w:r w:rsidR="00506965" w:rsidRPr="00F739AC">
        <w:rPr>
          <w:b/>
        </w:rPr>
        <w:t>5G</w:t>
      </w:r>
      <w:r w:rsidR="00506965">
        <w:t xml:space="preserve">, </w:t>
      </w:r>
      <w:r>
        <w:t>broadband data services and a voice se</w:t>
      </w:r>
      <w:r w:rsidRPr="00F739AC">
        <w:t>rvice; and</w:t>
      </w:r>
    </w:p>
    <w:bookmarkEnd w:id="68"/>
    <w:p w14:paraId="6E8AE64E" w14:textId="7BE83CC8" w:rsidR="00F766F6" w:rsidRPr="00F766F6" w:rsidRDefault="00733FF0" w:rsidP="00F739AC">
      <w:pPr>
        <w:pStyle w:val="ListBullet"/>
        <w:rPr>
          <w:b/>
        </w:rPr>
      </w:pPr>
      <w:r w:rsidRPr="00F739AC">
        <w:t>provid</w:t>
      </w:r>
      <w:r>
        <w:t>e c</w:t>
      </w:r>
      <w:r w:rsidRPr="00B705B9">
        <w:t xml:space="preserve">overage modelling based on </w:t>
      </w:r>
      <w:r>
        <w:t xml:space="preserve">a </w:t>
      </w:r>
      <w:r w:rsidRPr="001F1077">
        <w:t>New</w:t>
      </w:r>
      <w:r w:rsidR="0067483E">
        <w:t xml:space="preserve"> </w:t>
      </w:r>
      <w:r w:rsidRPr="001F1077">
        <w:t>Improved</w:t>
      </w:r>
      <w:r>
        <w:t xml:space="preserve"> Handheld Coverage</w:t>
      </w:r>
      <w:r w:rsidRPr="00B705B9">
        <w:t xml:space="preserve"> </w:t>
      </w:r>
      <w:r>
        <w:t xml:space="preserve">level with a </w:t>
      </w:r>
      <w:r w:rsidRPr="008F6E3A">
        <w:rPr>
          <w:b/>
        </w:rPr>
        <w:t xml:space="preserve">Reference </w:t>
      </w:r>
      <w:r w:rsidRPr="008F6E3A">
        <w:rPr>
          <w:rFonts w:eastAsia="Calibri" w:cs="Arial"/>
          <w:b/>
        </w:rPr>
        <w:t>Signal</w:t>
      </w:r>
      <w:r w:rsidRPr="008F6E3A">
        <w:rPr>
          <w:b/>
        </w:rPr>
        <w:t xml:space="preserve"> Received Power</w:t>
      </w:r>
      <w:r w:rsidRPr="00B705B9">
        <w:t xml:space="preserve"> (</w:t>
      </w:r>
      <w:proofErr w:type="spellStart"/>
      <w:r w:rsidRPr="00B705B9">
        <w:t>RS</w:t>
      </w:r>
      <w:r>
        <w:t>R</w:t>
      </w:r>
      <w:r w:rsidRPr="00B705B9">
        <w:t>P</w:t>
      </w:r>
      <w:proofErr w:type="spellEnd"/>
      <w:r w:rsidRPr="00B705B9">
        <w:t xml:space="preserve">) </w:t>
      </w:r>
      <w:r>
        <w:t xml:space="preserve">of </w:t>
      </w:r>
      <w:r w:rsidRPr="00CB3318">
        <w:rPr>
          <w:b/>
        </w:rPr>
        <w:t>-85</w:t>
      </w:r>
      <w:r w:rsidR="00FE0606">
        <w:rPr>
          <w:b/>
        </w:rPr>
        <w:t xml:space="preserve"> </w:t>
      </w:r>
      <w:r w:rsidRPr="00CB3318">
        <w:rPr>
          <w:b/>
        </w:rPr>
        <w:t>dBm</w:t>
      </w:r>
      <w:r w:rsidR="00E5476D">
        <w:rPr>
          <w:b/>
        </w:rPr>
        <w:t>, -95</w:t>
      </w:r>
      <w:r w:rsidR="00FE0606">
        <w:rPr>
          <w:b/>
        </w:rPr>
        <w:t xml:space="preserve"> </w:t>
      </w:r>
      <w:r w:rsidR="00E5476D">
        <w:rPr>
          <w:b/>
        </w:rPr>
        <w:t>d</w:t>
      </w:r>
      <w:r w:rsidR="00FE0606">
        <w:rPr>
          <w:b/>
        </w:rPr>
        <w:t>B</w:t>
      </w:r>
      <w:r w:rsidR="00E5476D">
        <w:rPr>
          <w:b/>
        </w:rPr>
        <w:t>m and </w:t>
      </w:r>
      <w:r w:rsidR="006851AC">
        <w:rPr>
          <w:b/>
        </w:rPr>
        <w:noBreakHyphen/>
      </w:r>
      <w:r w:rsidR="00E5476D">
        <w:rPr>
          <w:b/>
        </w:rPr>
        <w:t>105</w:t>
      </w:r>
      <w:r w:rsidR="00FE0606">
        <w:rPr>
          <w:b/>
        </w:rPr>
        <w:t> </w:t>
      </w:r>
      <w:r w:rsidR="00E5476D">
        <w:rPr>
          <w:b/>
        </w:rPr>
        <w:t>d</w:t>
      </w:r>
      <w:r w:rsidR="00FE0606">
        <w:rPr>
          <w:b/>
        </w:rPr>
        <w:t>B</w:t>
      </w:r>
      <w:r w:rsidR="00E5476D">
        <w:rPr>
          <w:b/>
        </w:rPr>
        <w:t>m</w:t>
      </w:r>
      <w:r>
        <w:t xml:space="preserve"> </w:t>
      </w:r>
      <w:r w:rsidR="00B67A77">
        <w:t xml:space="preserve">for 4G </w:t>
      </w:r>
      <w:r w:rsidR="00E5476D">
        <w:t>and</w:t>
      </w:r>
      <w:r w:rsidR="00EC526D">
        <w:t xml:space="preserve"> </w:t>
      </w:r>
      <w:r w:rsidR="00B67A77">
        <w:t xml:space="preserve">5G services, </w:t>
      </w:r>
      <w:r w:rsidRPr="00B705B9">
        <w:t>at 90 per cent confidence level</w:t>
      </w:r>
      <w:r w:rsidR="00B67A77">
        <w:t>s</w:t>
      </w:r>
      <w:r w:rsidRPr="00B705B9">
        <w:t xml:space="preserve"> for the cell area</w:t>
      </w:r>
      <w:r w:rsidRPr="00F766F6">
        <w:rPr>
          <w:b/>
        </w:rPr>
        <w:t>.</w:t>
      </w:r>
    </w:p>
    <w:p w14:paraId="73D47636" w14:textId="39EBEFAB" w:rsidR="00733FF0" w:rsidRPr="00B705B9" w:rsidRDefault="00733FF0" w:rsidP="005C4E32">
      <w:pPr>
        <w:pStyle w:val="Normal-Style2"/>
      </w:pPr>
      <w:r>
        <w:t xml:space="preserve">Where an applicant has existing 5G handheld coverage in (or adjacent to) </w:t>
      </w:r>
      <w:r w:rsidR="00F372F5">
        <w:t>an Eligible Location</w:t>
      </w:r>
      <w:r>
        <w:t xml:space="preserve">, it is expected that they will also offer 5G broadband data services to </w:t>
      </w:r>
      <w:r w:rsidR="00F372F5">
        <w:t>the Eligible Location</w:t>
      </w:r>
      <w:r>
        <w:t xml:space="preserve"> through the Proposed Solution</w:t>
      </w:r>
      <w:r w:rsidR="00C2783F">
        <w:t>.</w:t>
      </w:r>
      <w:r w:rsidR="00C90DB5">
        <w:t xml:space="preserve"> Applicants must provide sufficient justification where it is not feasible to do so.</w:t>
      </w:r>
    </w:p>
    <w:p w14:paraId="73D47637" w14:textId="77777777" w:rsidR="00733FF0" w:rsidRDefault="00733FF0" w:rsidP="005C4E32">
      <w:pPr>
        <w:pStyle w:val="Heading4"/>
      </w:pPr>
      <w:bookmarkStart w:id="69" w:name="_Toc178085188"/>
      <w:r>
        <w:t>Back-up Power</w:t>
      </w:r>
      <w:bookmarkEnd w:id="69"/>
    </w:p>
    <w:p w14:paraId="73D47638" w14:textId="77777777" w:rsidR="00733FF0" w:rsidRDefault="00733FF0" w:rsidP="005C4E32">
      <w:pPr>
        <w:pStyle w:val="Normal-Style2"/>
      </w:pPr>
      <w:r>
        <w:t>A</w:t>
      </w:r>
      <w:r w:rsidRPr="008C4C1D">
        <w:t xml:space="preserve">ll </w:t>
      </w:r>
      <w:proofErr w:type="spellStart"/>
      <w:r w:rsidRPr="006851AC">
        <w:rPr>
          <w:b/>
        </w:rPr>
        <w:t>Macrocell</w:t>
      </w:r>
      <w:proofErr w:type="spellEnd"/>
      <w:r>
        <w:t xml:space="preserve"> base stations in </w:t>
      </w:r>
      <w:r w:rsidRPr="008C4C1D">
        <w:t xml:space="preserve">Funded </w:t>
      </w:r>
      <w:r>
        <w:t xml:space="preserve">Solutions </w:t>
      </w:r>
      <w:r w:rsidRPr="008C4C1D">
        <w:t>must have an auxiliary back-up power supply which provides back</w:t>
      </w:r>
      <w:r>
        <w:t>-</w:t>
      </w:r>
      <w:r w:rsidRPr="008C4C1D">
        <w:t>up power for a minimum of 12 hours in the event of the loss of external power to the site.</w:t>
      </w:r>
    </w:p>
    <w:p w14:paraId="73D47639" w14:textId="77777777" w:rsidR="00733FF0" w:rsidRPr="00D84EEA" w:rsidRDefault="00733FF0" w:rsidP="005C4E32">
      <w:pPr>
        <w:pStyle w:val="Normal-Style2"/>
      </w:pPr>
      <w:r>
        <w:t>O</w:t>
      </w:r>
      <w:r w:rsidRPr="00112FEE">
        <w:t xml:space="preserve">ther base stations </w:t>
      </w:r>
      <w:r>
        <w:t xml:space="preserve">(e.g. </w:t>
      </w:r>
      <w:r w:rsidRPr="006851AC">
        <w:rPr>
          <w:b/>
        </w:rPr>
        <w:t>Small Cells</w:t>
      </w:r>
      <w:r>
        <w:t xml:space="preserve">) </w:t>
      </w:r>
      <w:r w:rsidRPr="00112FEE">
        <w:t xml:space="preserve">in </w:t>
      </w:r>
      <w:r>
        <w:t>Funded</w:t>
      </w:r>
      <w:r w:rsidRPr="00112FEE">
        <w:t xml:space="preserve"> Solutions must have an auxiliary back</w:t>
      </w:r>
      <w:r w:rsidRPr="00112FEE">
        <w:noBreakHyphen/>
        <w:t xml:space="preserve">up power supply which provides back-up power for a minimum of </w:t>
      </w:r>
      <w:r>
        <w:t>12</w:t>
      </w:r>
      <w:r w:rsidRPr="00112FEE">
        <w:t xml:space="preserve"> hours in the ev</w:t>
      </w:r>
      <w:r w:rsidRPr="009B732C">
        <w:t xml:space="preserve">ent of the loss of external power to the site, </w:t>
      </w:r>
      <w:r w:rsidRPr="00505AA4">
        <w:t>unless (to the satisfaction of the department) it is not feasible to do so.</w:t>
      </w:r>
    </w:p>
    <w:p w14:paraId="73D4763A" w14:textId="1DC8CA22" w:rsidR="00733FF0" w:rsidRPr="00CB3318" w:rsidRDefault="00733FF0" w:rsidP="00F739AC">
      <w:pPr>
        <w:pStyle w:val="ListBullet"/>
      </w:pPr>
      <w:r w:rsidRPr="005C4E32">
        <w:t xml:space="preserve">Applicants </w:t>
      </w:r>
      <w:r>
        <w:t>should provide sufficient justification for</w:t>
      </w:r>
      <w:r w:rsidR="00913381">
        <w:t xml:space="preserve"> Proposed</w:t>
      </w:r>
      <w:r>
        <w:t xml:space="preserve"> Solutions where it is not feasible to </w:t>
      </w:r>
      <w:r w:rsidRPr="005541C4">
        <w:t>provide</w:t>
      </w:r>
      <w:r>
        <w:t xml:space="preserve"> a minimum of 12 hours back-up power supply.</w:t>
      </w:r>
    </w:p>
    <w:p w14:paraId="73D4763B" w14:textId="77777777" w:rsidR="00733FF0" w:rsidRDefault="000F245E" w:rsidP="005C4E32">
      <w:pPr>
        <w:pStyle w:val="Heading4"/>
      </w:pPr>
      <w:bookmarkStart w:id="70" w:name="_Toc178085189"/>
      <w:r>
        <w:t xml:space="preserve">Multi-MNO solutions – </w:t>
      </w:r>
      <w:r w:rsidR="00202760">
        <w:t xml:space="preserve">Active sharing, </w:t>
      </w:r>
      <w:r w:rsidR="00733FF0">
        <w:t xml:space="preserve">Co-location and </w:t>
      </w:r>
      <w:r w:rsidR="00733FF0" w:rsidRPr="00B22949">
        <w:t>co-build</w:t>
      </w:r>
      <w:bookmarkEnd w:id="70"/>
    </w:p>
    <w:p w14:paraId="73D4763C" w14:textId="77777777" w:rsidR="00733FF0" w:rsidRDefault="00733FF0" w:rsidP="005C4E32">
      <w:pPr>
        <w:pStyle w:val="Normal-Style2"/>
      </w:pPr>
      <w:bookmarkStart w:id="71" w:name="_Ref109305308"/>
      <w:r>
        <w:t xml:space="preserve">Applicants and MNOs/other interested parties are encouraged to work together to develop </w:t>
      </w:r>
      <w:r w:rsidR="00AD47C6">
        <w:rPr>
          <w:b/>
        </w:rPr>
        <w:t>M</w:t>
      </w:r>
      <w:r w:rsidRPr="00A13A36">
        <w:rPr>
          <w:b/>
        </w:rPr>
        <w:t>ulti-MNO</w:t>
      </w:r>
      <w:r>
        <w:t xml:space="preserve"> </w:t>
      </w:r>
      <w:r w:rsidRPr="00A13A36">
        <w:rPr>
          <w:b/>
        </w:rPr>
        <w:t>solutions</w:t>
      </w:r>
      <w:r w:rsidR="00365CE1">
        <w:t xml:space="preserve">, including </w:t>
      </w:r>
      <w:r w:rsidR="006F2DE0">
        <w:t xml:space="preserve">Proposed Solutions that use active sharing technologies and/or </w:t>
      </w:r>
      <w:bookmarkStart w:id="72" w:name="_Hlk146099304"/>
      <w:r w:rsidR="006F2DE0">
        <w:t>mobile roaming</w:t>
      </w:r>
      <w:bookmarkEnd w:id="72"/>
      <w:r>
        <w:t xml:space="preserve">. </w:t>
      </w:r>
      <w:r w:rsidRPr="00964505">
        <w:t xml:space="preserve">Applicants are solely responsible for forming relationships and </w:t>
      </w:r>
      <w:r>
        <w:t>discussions</w:t>
      </w:r>
      <w:r w:rsidRPr="00964505">
        <w:t xml:space="preserve"> with any relevant</w:t>
      </w:r>
      <w:r>
        <w:t xml:space="preserve"> third</w:t>
      </w:r>
      <w:r w:rsidRPr="00964505">
        <w:t xml:space="preserve"> parties.</w:t>
      </w:r>
      <w:bookmarkEnd w:id="71"/>
    </w:p>
    <w:p w14:paraId="73D4763D" w14:textId="5A135277" w:rsidR="00733FF0" w:rsidRDefault="00733FF0" w:rsidP="005C4E32">
      <w:pPr>
        <w:pStyle w:val="Normal-Style2"/>
      </w:pPr>
      <w:r>
        <w:lastRenderedPageBreak/>
        <w:t>In addition to any</w:t>
      </w:r>
      <w:r w:rsidRPr="00492784">
        <w:t xml:space="preserve"> arrangements negotiated with an MNO confirmed at the time of the application to provide services through</w:t>
      </w:r>
      <w:r w:rsidR="00CA4033">
        <w:t xml:space="preserve"> a</w:t>
      </w:r>
      <w:r w:rsidRPr="00492784">
        <w:t xml:space="preserve"> </w:t>
      </w:r>
      <w:r>
        <w:t xml:space="preserve">Proposed </w:t>
      </w:r>
      <w:r w:rsidRPr="00492784">
        <w:t xml:space="preserve">Solution, each </w:t>
      </w:r>
      <w:r>
        <w:t xml:space="preserve">Proposed </w:t>
      </w:r>
      <w:r w:rsidRPr="00830A83">
        <w:t>Solution must offer co</w:t>
      </w:r>
      <w:r>
        <w:noBreakHyphen/>
      </w:r>
      <w:r w:rsidRPr="00830A83">
        <w:t>location</w:t>
      </w:r>
      <w:r>
        <w:t xml:space="preserve"> to other MNOs</w:t>
      </w:r>
      <w:r w:rsidRPr="00830A83">
        <w:t>, or the applicant must provide evidence (as per section</w:t>
      </w:r>
      <w:r w:rsidR="00A1062C">
        <w:t xml:space="preserve"> </w:t>
      </w:r>
      <w:r w:rsidR="005E77BA">
        <w:t>4.2.9</w:t>
      </w:r>
      <w:r w:rsidR="00C2783F">
        <w:t>)</w:t>
      </w:r>
      <w:r w:rsidR="00A1062C">
        <w:t xml:space="preserve"> </w:t>
      </w:r>
      <w:r w:rsidRPr="00830A83">
        <w:t xml:space="preserve">that the </w:t>
      </w:r>
      <w:r>
        <w:t xml:space="preserve">Proposed </w:t>
      </w:r>
      <w:r w:rsidRPr="00830A83">
        <w:t>Solution is unable to support an additional MNO</w:t>
      </w:r>
      <w:r>
        <w:t xml:space="preserve"> for technical or other reasons (for example because the applicant does not own or control the site)</w:t>
      </w:r>
      <w:r w:rsidRPr="00830A83">
        <w:t>.</w:t>
      </w:r>
    </w:p>
    <w:p w14:paraId="73D4763E" w14:textId="74520648" w:rsidR="00733FF0" w:rsidRDefault="00733FF0" w:rsidP="005C4E32">
      <w:pPr>
        <w:pStyle w:val="Normal-Style2"/>
        <w:spacing w:after="120"/>
      </w:pPr>
      <w:bookmarkStart w:id="73" w:name="_Ref109305249"/>
      <w:r>
        <w:t xml:space="preserve">If a Proposed Solution is unable to support an additional MNO other than those already participating or is not capable of supporting co-location, applicants must provide a detailed explanation of why it is not technically feasible to reconfigure the Proposed Solution to support an additional MNO at incremental cost to the </w:t>
      </w:r>
      <w:r w:rsidR="005E77BA">
        <w:t>MNO that has agreed to co-locate at the time of the application</w:t>
      </w:r>
      <w:r>
        <w:t>, or why it is not otherwise possible to offer co-location at the site. The department’s technical advisor may review any technical advice from the applicant. If the department’s view is that co</w:t>
      </w:r>
      <w:r>
        <w:noBreakHyphen/>
        <w:t>location is technically possible, then the applicant must be prepared to offer co-location at incremental cost to an MNO seeking to co-locate on the</w:t>
      </w:r>
      <w:r w:rsidRPr="00A76C75">
        <w:rPr>
          <w:rFonts w:cstheme="minorHAnsi"/>
        </w:rPr>
        <w:t xml:space="preserve"> </w:t>
      </w:r>
      <w:r w:rsidRPr="000F0174">
        <w:t xml:space="preserve">Proposed </w:t>
      </w:r>
      <w:r>
        <w:t>Solution, or the department may remove the Proposed Solution from the assessment process.</w:t>
      </w:r>
      <w:bookmarkEnd w:id="73"/>
    </w:p>
    <w:p w14:paraId="73D4763F" w14:textId="26FDB6BC" w:rsidR="00733FF0" w:rsidRDefault="00733FF0" w:rsidP="005C4E32">
      <w:pPr>
        <w:pStyle w:val="Normal-Style2"/>
        <w:spacing w:after="120"/>
      </w:pPr>
      <w:bookmarkStart w:id="74" w:name="_Ref109304994"/>
      <w:r>
        <w:t>Once an applicant is selected to build a Proposed Solution, it must give any other MNO(s) not already participating in the solution the opportunity to co-locate and to participate in the detailed design phase for that Funded Solution using the process set out in section</w:t>
      </w:r>
      <w:r w:rsidR="0005471B">
        <w:t xml:space="preserve"> 4.2.10</w:t>
      </w:r>
      <w:r w:rsidR="00C2783F">
        <w:t xml:space="preserve"> </w:t>
      </w:r>
      <w:r w:rsidR="0005471B">
        <w:t>-</w:t>
      </w:r>
      <w:r w:rsidR="00C2783F">
        <w:t xml:space="preserve"> </w:t>
      </w:r>
      <w:r w:rsidR="0005471B">
        <w:t>4.2.13</w:t>
      </w:r>
      <w:r>
        <w:t>.</w:t>
      </w:r>
      <w:bookmarkEnd w:id="74"/>
    </w:p>
    <w:p w14:paraId="73D47640" w14:textId="77777777" w:rsidR="00733FF0" w:rsidRPr="00F739AC" w:rsidRDefault="00733FF0" w:rsidP="00F739AC">
      <w:pPr>
        <w:pStyle w:val="ListBullet"/>
      </w:pPr>
      <w:r>
        <w:t>The incremental cost for a Funded Solution to support an additional MNO will</w:t>
      </w:r>
      <w:r w:rsidRPr="00F739AC">
        <w:t xml:space="preserve"> be provided to the other </w:t>
      </w:r>
      <w:r w:rsidRPr="00F739AC">
        <w:rPr>
          <w:rFonts w:eastAsia="Calibri"/>
        </w:rPr>
        <w:t>participating</w:t>
      </w:r>
      <w:r w:rsidRPr="00F739AC">
        <w:t xml:space="preserve"> MNOs to allow for greater transparency in co</w:t>
      </w:r>
      <w:r w:rsidRPr="00F739AC">
        <w:noBreakHyphen/>
        <w:t>location negotiations.</w:t>
      </w:r>
    </w:p>
    <w:p w14:paraId="73D47641" w14:textId="04214597" w:rsidR="00733FF0" w:rsidRPr="00F739AC" w:rsidRDefault="00733FF0" w:rsidP="00F739AC">
      <w:pPr>
        <w:pStyle w:val="ListBullet"/>
      </w:pPr>
      <w:r w:rsidRPr="00F739AC">
        <w:t>For Funded Solutions where other MNOs are interested in co</w:t>
      </w:r>
      <w:r w:rsidRPr="00F739AC">
        <w:noBreakHyphen/>
        <w:t>locating, the costs can be shared more broadly and efficiencies achieved if the interested MNOs can participate in the design and build phases, which should ensure that their specifications are accommodated in the design and construction of the Funded Solution. This opportunity relates to all the requirements necessary for co-location to efficiently occur, including (but not limited to) the height and robustness of the Funded Solution, as well as site space for housing equipment and providing access to power and Backhaul.</w:t>
      </w:r>
    </w:p>
    <w:p w14:paraId="0B77731F" w14:textId="082947A2" w:rsidR="005E77BA" w:rsidRPr="00F739AC" w:rsidRDefault="005E77BA" w:rsidP="00F739AC">
      <w:pPr>
        <w:pStyle w:val="ListBullet"/>
      </w:pPr>
      <w:r w:rsidRPr="00F739AC">
        <w:t xml:space="preserve">Applicants are solely responsible for obtaining </w:t>
      </w:r>
      <w:r w:rsidR="00CA4033" w:rsidRPr="00F739AC">
        <w:t xml:space="preserve">the necessary specifications from all </w:t>
      </w:r>
      <w:r w:rsidRPr="00F739AC">
        <w:t xml:space="preserve">MNOs </w:t>
      </w:r>
      <w:r w:rsidR="00CA4033" w:rsidRPr="00F739AC">
        <w:t xml:space="preserve">that have confirmed, or are interested in co-location, </w:t>
      </w:r>
      <w:r w:rsidR="0005471B" w:rsidRPr="00F739AC">
        <w:t xml:space="preserve">and ensuring these </w:t>
      </w:r>
      <w:r w:rsidR="00CA4033" w:rsidRPr="00F739AC">
        <w:t xml:space="preserve">specifications </w:t>
      </w:r>
      <w:r w:rsidR="0005471B" w:rsidRPr="00F739AC">
        <w:t>can be accommodated at the respective site.</w:t>
      </w:r>
      <w:r w:rsidRPr="00F739AC">
        <w:t xml:space="preserve"> </w:t>
      </w:r>
    </w:p>
    <w:p w14:paraId="73D47642" w14:textId="77777777" w:rsidR="00733FF0" w:rsidRDefault="00733FF0" w:rsidP="00F739AC">
      <w:pPr>
        <w:pStyle w:val="ListBullet"/>
      </w:pPr>
      <w:r w:rsidRPr="00F739AC">
        <w:t xml:space="preserve">The </w:t>
      </w:r>
      <w:r w:rsidRPr="00D8353F">
        <w:t>Government</w:t>
      </w:r>
      <w:r>
        <w:t xml:space="preserve"> is supportive of Grantees offering other MNOs the opportunity to co</w:t>
      </w:r>
      <w:r>
        <w:noBreakHyphen/>
        <w:t>invest in Funded Solutions including (but not limited to) provision of Backhaul.</w:t>
      </w:r>
    </w:p>
    <w:p w14:paraId="73D47661" w14:textId="77777777" w:rsidR="00733FF0" w:rsidRDefault="00733FF0" w:rsidP="005C4E32">
      <w:pPr>
        <w:pStyle w:val="Normal-Style2"/>
      </w:pPr>
      <w:bookmarkStart w:id="75" w:name="_Ref109305316"/>
      <w:r>
        <w:t>MNOs interested in co-locating on a Funded Solution (i.e. the MNO expresses an interest in co-locating on Funded Solutions after funding has been awarded) will be required to express interest prior to the start of the detailed design stage for that Funded Solution. All parties will be required to negotiate in good faith with each other in relation to the Funded Solution access and price terms, and enter into commercial arrangements. The capital contribution to be made by the co-locating parties in respect of a Funded Solution must, at least, equal the incremental cost incurred by reason of provisioning co-location for that Funded Solution.</w:t>
      </w:r>
      <w:bookmarkEnd w:id="75"/>
    </w:p>
    <w:p w14:paraId="73D47662" w14:textId="5BAF7863" w:rsidR="00733FF0" w:rsidRDefault="00733FF0" w:rsidP="005C4E32">
      <w:pPr>
        <w:pStyle w:val="Normal-Style2"/>
      </w:pPr>
      <w:r>
        <w:lastRenderedPageBreak/>
        <w:t xml:space="preserve">In accordance with the dispute resolution process outlined at </w:t>
      </w:r>
      <w:r w:rsidRPr="00A23788">
        <w:t xml:space="preserve">sections </w:t>
      </w:r>
      <w:r w:rsidR="006851AC">
        <w:t>4.2.20</w:t>
      </w:r>
      <w:r>
        <w:t xml:space="preserve"> </w:t>
      </w:r>
      <w:r w:rsidRPr="00251548">
        <w:t>and</w:t>
      </w:r>
      <w:r w:rsidR="00A370C3">
        <w:t xml:space="preserve"> </w:t>
      </w:r>
      <w:r w:rsidR="006851AC">
        <w:t>4.2.</w:t>
      </w:r>
      <w:r w:rsidR="00C2783F">
        <w:t>2</w:t>
      </w:r>
      <w:r w:rsidR="006851AC">
        <w:t>1</w:t>
      </w:r>
      <w:r>
        <w:t xml:space="preserve">, any disagreements regarding co-location matters will be determined by an independent third party, to be appointed at the </w:t>
      </w:r>
      <w:r w:rsidR="0005471B">
        <w:t xml:space="preserve">respective </w:t>
      </w:r>
      <w:r w:rsidR="00617624">
        <w:t xml:space="preserve">parties </w:t>
      </w:r>
      <w:r>
        <w:t>shared cost, and in accordance with the dispute resolution process.</w:t>
      </w:r>
    </w:p>
    <w:p w14:paraId="73D47663" w14:textId="11B82D8E" w:rsidR="00733FF0" w:rsidRDefault="00733FF0" w:rsidP="005C4E32">
      <w:pPr>
        <w:pStyle w:val="Normal-Style2"/>
      </w:pPr>
      <w:bookmarkStart w:id="76" w:name="_Ref109305790"/>
      <w:r>
        <w:t xml:space="preserve">Following the process set out </w:t>
      </w:r>
      <w:r w:rsidRPr="00EA627E">
        <w:t xml:space="preserve">in sections </w:t>
      </w:r>
      <w:r>
        <w:fldChar w:fldCharType="begin"/>
      </w:r>
      <w:r>
        <w:instrText xml:space="preserve"> REF _Ref109305308 \r \h </w:instrText>
      </w:r>
      <w:r w:rsidR="005C4E32">
        <w:instrText xml:space="preserve"> \* MERGEFORMAT </w:instrText>
      </w:r>
      <w:r>
        <w:fldChar w:fldCharType="separate"/>
      </w:r>
      <w:r w:rsidR="00711186">
        <w:t>4.2.8</w:t>
      </w:r>
      <w:r>
        <w:fldChar w:fldCharType="end"/>
      </w:r>
      <w:r>
        <w:t xml:space="preserve"> </w:t>
      </w:r>
      <w:r w:rsidR="00C2783F">
        <w:t xml:space="preserve">- </w:t>
      </w:r>
      <w:r w:rsidR="00F82AA7">
        <w:t>4.12</w:t>
      </w:r>
      <w:r w:rsidRPr="00EA627E">
        <w:t>,</w:t>
      </w:r>
      <w:r>
        <w:t xml:space="preserve"> if it is ascertained that there is no interest in co-location from another MNO, the Grantee will not be required to design or build the site to allow for co-location.</w:t>
      </w:r>
      <w:bookmarkEnd w:id="76"/>
    </w:p>
    <w:p w14:paraId="73D47664" w14:textId="77777777" w:rsidR="00733FF0" w:rsidRPr="00F82558" w:rsidRDefault="00733FF0" w:rsidP="005C4E32">
      <w:pPr>
        <w:pStyle w:val="Heading4"/>
      </w:pPr>
      <w:bookmarkStart w:id="77" w:name="_Toc178085190"/>
      <w:r w:rsidRPr="00F82558">
        <w:t>Backhaul access and pricing</w:t>
      </w:r>
      <w:bookmarkEnd w:id="77"/>
    </w:p>
    <w:p w14:paraId="73D47665" w14:textId="5CD494CB" w:rsidR="00733FF0" w:rsidRDefault="00733FF0" w:rsidP="005C4E32">
      <w:pPr>
        <w:pStyle w:val="Normal-Style2"/>
      </w:pPr>
      <w:bookmarkStart w:id="78" w:name="_Ref109305374"/>
      <w:r>
        <w:t xml:space="preserve">Where a Grantee selected to build a Funded Solution reaches an agreement under sections </w:t>
      </w:r>
      <w:r>
        <w:fldChar w:fldCharType="begin"/>
      </w:r>
      <w:r>
        <w:instrText xml:space="preserve"> REF _Ref109305308 \r \h </w:instrText>
      </w:r>
      <w:r w:rsidR="005C4E32">
        <w:instrText xml:space="preserve"> \* MERGEFORMAT </w:instrText>
      </w:r>
      <w:r>
        <w:fldChar w:fldCharType="separate"/>
      </w:r>
      <w:r w:rsidR="00711186">
        <w:t>4.2.8</w:t>
      </w:r>
      <w:r>
        <w:fldChar w:fldCharType="end"/>
      </w:r>
      <w:r>
        <w:t xml:space="preserve"> </w:t>
      </w:r>
      <w:r w:rsidR="00C2783F">
        <w:t>-</w:t>
      </w:r>
      <w:r w:rsidR="00CA4033">
        <w:t xml:space="preserve"> 4.2.12</w:t>
      </w:r>
      <w:r w:rsidRPr="00EA627E">
        <w:t xml:space="preserve"> </w:t>
      </w:r>
      <w:r w:rsidRPr="006B7869">
        <w:t xml:space="preserve">for an MNO </w:t>
      </w:r>
      <w:r>
        <w:t xml:space="preserve">not already participating in the Funded Solution </w:t>
      </w:r>
      <w:r w:rsidRPr="006B7869">
        <w:t xml:space="preserve">(the </w:t>
      </w:r>
      <w:r w:rsidRPr="003616E4">
        <w:rPr>
          <w:b/>
        </w:rPr>
        <w:t>Co</w:t>
      </w:r>
      <w:r w:rsidRPr="003616E4">
        <w:rPr>
          <w:b/>
        </w:rPr>
        <w:noBreakHyphen/>
        <w:t>locating MNO</w:t>
      </w:r>
      <w:r w:rsidRPr="006B7869">
        <w:t xml:space="preserve">) to co-locate on the </w:t>
      </w:r>
      <w:r>
        <w:t>F</w:t>
      </w:r>
      <w:r w:rsidRPr="006B7869">
        <w:t xml:space="preserve">unded Solution, </w:t>
      </w:r>
      <w:r>
        <w:t>and subject to section</w:t>
      </w:r>
      <w:r w:rsidRPr="00EA627E">
        <w:t xml:space="preserve"> </w:t>
      </w:r>
      <w:r w:rsidR="00DA5FCE">
        <w:t>4.2.19</w:t>
      </w:r>
      <w:r w:rsidR="00C2783F">
        <w:t>,</w:t>
      </w:r>
      <w:r w:rsidR="00DA5FCE">
        <w:t xml:space="preserve"> </w:t>
      </w:r>
      <w:r w:rsidRPr="00EA627E">
        <w:t>the Grantee must offer Backhaul to the Co-locating MNO if the Grantee is in a position to do so (see section</w:t>
      </w:r>
      <w:r w:rsidR="007E495B">
        <w:t> </w:t>
      </w:r>
      <w:r w:rsidR="00DA5FCE">
        <w:t>4.2.16</w:t>
      </w:r>
      <w:r w:rsidRPr="00EA627E">
        <w:t>).</w:t>
      </w:r>
      <w:bookmarkEnd w:id="78"/>
    </w:p>
    <w:p w14:paraId="73D47666" w14:textId="77777777" w:rsidR="00733FF0" w:rsidRDefault="00733FF0" w:rsidP="005C4E32">
      <w:pPr>
        <w:pStyle w:val="Normal-Style2"/>
      </w:pPr>
      <w:bookmarkStart w:id="79" w:name="_Ref109305356"/>
      <w:r>
        <w:t>The Grantee will be taken to be in a position to offer Backhaul to the Co</w:t>
      </w:r>
      <w:r>
        <w:noBreakHyphen/>
        <w:t>locating MNO if the Grantee owns or controls an optical fibre or microwave link which connects the Funded Solution to the Grantee’s network.</w:t>
      </w:r>
      <w:bookmarkEnd w:id="79"/>
    </w:p>
    <w:p w14:paraId="73D47667" w14:textId="709AB35D" w:rsidR="00733FF0" w:rsidRDefault="00733FF0" w:rsidP="005C4E32">
      <w:pPr>
        <w:pStyle w:val="Normal-Style2"/>
      </w:pPr>
      <w:r>
        <w:t xml:space="preserve">The price at which the Grantee offers Backhaul to </w:t>
      </w:r>
      <w:r w:rsidR="00DA5FCE">
        <w:t>any</w:t>
      </w:r>
      <w:r>
        <w:t xml:space="preserve"> Co-locating MNO</w:t>
      </w:r>
      <w:r w:rsidR="009B7141">
        <w:t>s</w:t>
      </w:r>
      <w:r>
        <w:t xml:space="preserve"> must be more favourable than the regulated prices set under the Australian Competition and Consumer Commission (</w:t>
      </w:r>
      <w:proofErr w:type="spellStart"/>
      <w:r>
        <w:t>ACCC</w:t>
      </w:r>
      <w:proofErr w:type="spellEnd"/>
      <w:r>
        <w:t>) Domestic Transmission Capacity Service Final Access Determination (</w:t>
      </w:r>
      <w:proofErr w:type="spellStart"/>
      <w:r>
        <w:t>DTCS</w:t>
      </w:r>
      <w:proofErr w:type="spellEnd"/>
      <w:r>
        <w:t xml:space="preserve"> FAD), for example, by offering a defined rent-free period or other discounting mechanism.</w:t>
      </w:r>
    </w:p>
    <w:p w14:paraId="73D47668" w14:textId="77777777" w:rsidR="00733FF0" w:rsidRDefault="00733FF0" w:rsidP="00F739AC">
      <w:pPr>
        <w:pStyle w:val="ListBullet"/>
      </w:pPr>
      <w:r>
        <w:t xml:space="preserve">The </w:t>
      </w:r>
      <w:proofErr w:type="spellStart"/>
      <w:r>
        <w:t>ACCC</w:t>
      </w:r>
      <w:proofErr w:type="spellEnd"/>
      <w:r>
        <w:t xml:space="preserve"> has released the </w:t>
      </w:r>
      <w:proofErr w:type="spellStart"/>
      <w:r>
        <w:t>DTCS</w:t>
      </w:r>
      <w:proofErr w:type="spellEnd"/>
      <w:r>
        <w:t xml:space="preserve"> FAD 2020</w:t>
      </w:r>
      <w:r>
        <w:rPr>
          <w:rStyle w:val="FootnoteReference"/>
        </w:rPr>
        <w:footnoteReference w:id="3"/>
      </w:r>
      <w:r>
        <w:t xml:space="preserve">, including a </w:t>
      </w:r>
      <w:proofErr w:type="spellStart"/>
      <w:r>
        <w:t>DTCS</w:t>
      </w:r>
      <w:proofErr w:type="spellEnd"/>
      <w:r>
        <w:t xml:space="preserve"> pricing calculator that may assist interested parties to calculate the regulated price for Backhaul.</w:t>
      </w:r>
    </w:p>
    <w:p w14:paraId="73D47669" w14:textId="77777777" w:rsidR="0045229E" w:rsidRDefault="00733FF0" w:rsidP="005C4E32">
      <w:pPr>
        <w:pStyle w:val="Normal-Style2"/>
        <w:keepLines/>
      </w:pPr>
      <w:r w:rsidRPr="005E0E67">
        <w:t xml:space="preserve">Where a Grantee chooses to provide Backhaul to a </w:t>
      </w:r>
      <w:r>
        <w:t>F</w:t>
      </w:r>
      <w:r w:rsidRPr="005E0E67">
        <w:t>unded Solution using an optical fibre connection, it must ensure that it provides sufficient Backhaul capacity, transmission and interfacing equipment to meet the Backhaul requirements of any Co</w:t>
      </w:r>
      <w:r w:rsidRPr="005E0E67">
        <w:noBreakHyphen/>
        <w:t xml:space="preserve">locating MNO on the </w:t>
      </w:r>
      <w:r>
        <w:t>F</w:t>
      </w:r>
      <w:r w:rsidRPr="005E0E67">
        <w:t>unded Solution</w:t>
      </w:r>
      <w:r w:rsidR="0045229E">
        <w:t>.</w:t>
      </w:r>
    </w:p>
    <w:p w14:paraId="73D4766A" w14:textId="6CEE4D44" w:rsidR="00733FF0" w:rsidRDefault="00733FF0" w:rsidP="005C4E32">
      <w:pPr>
        <w:pStyle w:val="Normal-Style2"/>
      </w:pPr>
      <w:bookmarkStart w:id="80" w:name="_Ref109305343"/>
      <w:r>
        <w:t>Where a Grantee chooses to provide Backhaul to a Funded</w:t>
      </w:r>
      <w:r w:rsidRPr="008C2847">
        <w:t xml:space="preserve"> </w:t>
      </w:r>
      <w:r>
        <w:t>Solution using a microwave connection, the Grantee must provide Backhaul services to a</w:t>
      </w:r>
      <w:r w:rsidR="003056F6">
        <w:t>ny</w:t>
      </w:r>
      <w:r>
        <w:t xml:space="preserve"> Co</w:t>
      </w:r>
      <w:r>
        <w:noBreakHyphen/>
        <w:t>locating MNO over that microwave connection, unless:</w:t>
      </w:r>
      <w:bookmarkEnd w:id="80"/>
    </w:p>
    <w:p w14:paraId="73D4766B" w14:textId="3B88C826" w:rsidR="00733FF0" w:rsidRPr="00F739AC" w:rsidRDefault="00733FF0" w:rsidP="00F739AC">
      <w:pPr>
        <w:pStyle w:val="ListBullet"/>
      </w:pPr>
      <w:r w:rsidRPr="00CC21B8">
        <w:t xml:space="preserve">the </w:t>
      </w:r>
      <w:r>
        <w:t>F</w:t>
      </w:r>
      <w:r w:rsidRPr="00CC21B8">
        <w:t>unded</w:t>
      </w:r>
      <w:r w:rsidRPr="008C2847">
        <w:t xml:space="preserve"> </w:t>
      </w:r>
      <w:r w:rsidRPr="00214F6F">
        <w:rPr>
          <w:rFonts w:eastAsia="Calibri" w:cs="Arial"/>
        </w:rPr>
        <w:t>Solution</w:t>
      </w:r>
      <w:r w:rsidRPr="00CC21B8">
        <w:t xml:space="preserve"> is designed and built to allow Co-locating MNO</w:t>
      </w:r>
      <w:r w:rsidR="00816FFA">
        <w:t>s</w:t>
      </w:r>
      <w:r w:rsidRPr="00CC21B8">
        <w:t xml:space="preserve"> to install, operate and maintain </w:t>
      </w:r>
      <w:r w:rsidR="009B7141">
        <w:t>their</w:t>
      </w:r>
      <w:r w:rsidRPr="00CC21B8">
        <w:t xml:space="preserve"> own microwave Backhaul equipment on the </w:t>
      </w:r>
      <w:r>
        <w:t>F</w:t>
      </w:r>
      <w:r w:rsidRPr="00F739AC">
        <w:t>unded Solution; and</w:t>
      </w:r>
    </w:p>
    <w:p w14:paraId="73D4766C" w14:textId="53AD8AAF" w:rsidR="00733FF0" w:rsidRPr="00CC21B8" w:rsidRDefault="00733FF0" w:rsidP="00F739AC">
      <w:pPr>
        <w:pStyle w:val="ListBullet"/>
      </w:pPr>
      <w:r w:rsidRPr="00F739AC">
        <w:t>the C</w:t>
      </w:r>
      <w:r w:rsidRPr="00CC21B8">
        <w:t>o-</w:t>
      </w:r>
      <w:r w:rsidRPr="005541C4">
        <w:t>locating</w:t>
      </w:r>
      <w:r w:rsidRPr="00CC21B8">
        <w:t xml:space="preserve"> MNO</w:t>
      </w:r>
      <w:r w:rsidR="00816FFA">
        <w:t>s</w:t>
      </w:r>
      <w:r w:rsidRPr="00CC21B8">
        <w:t xml:space="preserve"> </w:t>
      </w:r>
      <w:r w:rsidR="00816FFA">
        <w:t>are</w:t>
      </w:r>
      <w:r w:rsidRPr="00CC21B8">
        <w:t xml:space="preserve"> permitted to install, operate and maintain </w:t>
      </w:r>
      <w:r w:rsidR="00816FFA">
        <w:t>their</w:t>
      </w:r>
      <w:r w:rsidRPr="00CC21B8">
        <w:t xml:space="preserve"> own microwave Backhaul equipment on the </w:t>
      </w:r>
      <w:r>
        <w:t>F</w:t>
      </w:r>
      <w:r w:rsidRPr="00CC21B8">
        <w:t>unded Solution.</w:t>
      </w:r>
    </w:p>
    <w:p w14:paraId="73D4766D" w14:textId="11B20BF9" w:rsidR="00733FF0" w:rsidRPr="00A76C75" w:rsidRDefault="00733FF0" w:rsidP="005C4E32">
      <w:pPr>
        <w:pStyle w:val="Normal-Style2"/>
      </w:pPr>
      <w:r>
        <w:t>The terms and pricing of Backhaul services provided by a Grantee to a</w:t>
      </w:r>
      <w:r w:rsidR="00816FFA">
        <w:t>ny</w:t>
      </w:r>
      <w:r>
        <w:t xml:space="preserve"> Co</w:t>
      </w:r>
      <w:r>
        <w:noBreakHyphen/>
        <w:t>locating MNO must be negotiated commercially between the Grantee and Co</w:t>
      </w:r>
      <w:r>
        <w:noBreakHyphen/>
        <w:t xml:space="preserve">locating MNO in accordance with the principles set out in </w:t>
      </w:r>
      <w:r w:rsidRPr="006B7869">
        <w:t>sections</w:t>
      </w:r>
      <w:r w:rsidR="00816FFA">
        <w:t xml:space="preserve"> 4.2.15</w:t>
      </w:r>
      <w:r>
        <w:t xml:space="preserve"> </w:t>
      </w:r>
      <w:r w:rsidRPr="00D36B6D">
        <w:t>to</w:t>
      </w:r>
      <w:r w:rsidR="00C2783F">
        <w:t xml:space="preserve"> </w:t>
      </w:r>
      <w:r w:rsidR="00816FFA">
        <w:t>4.2.1</w:t>
      </w:r>
      <w:r w:rsidR="00C2783F">
        <w:t>8</w:t>
      </w:r>
      <w:r w:rsidRPr="006B7869">
        <w:t>.</w:t>
      </w:r>
    </w:p>
    <w:p w14:paraId="73D4766E" w14:textId="77777777" w:rsidR="00733FF0" w:rsidRPr="007A6384" w:rsidRDefault="00733FF0" w:rsidP="005C4E32">
      <w:pPr>
        <w:pStyle w:val="Heading4"/>
      </w:pPr>
      <w:bookmarkStart w:id="81" w:name="_Toc178085191"/>
      <w:r w:rsidRPr="007A6384">
        <w:lastRenderedPageBreak/>
        <w:t>Dispute resolution</w:t>
      </w:r>
      <w:bookmarkEnd w:id="81"/>
    </w:p>
    <w:p w14:paraId="73D4766F" w14:textId="77777777" w:rsidR="00733FF0" w:rsidRDefault="00733FF0" w:rsidP="005C4E32">
      <w:pPr>
        <w:pStyle w:val="Normal-Style2"/>
      </w:pPr>
      <w:bookmarkStart w:id="82" w:name="_Ref109305289"/>
      <w:r>
        <w:t>D</w:t>
      </w:r>
      <w:r w:rsidRPr="007A6384">
        <w:t xml:space="preserve">isputes </w:t>
      </w:r>
      <w:r>
        <w:t xml:space="preserve">between parties </w:t>
      </w:r>
      <w:r w:rsidRPr="007A6384">
        <w:t xml:space="preserve">in relation to </w:t>
      </w:r>
      <w:r>
        <w:t>c</w:t>
      </w:r>
      <w:r w:rsidRPr="007A6384">
        <w:t xml:space="preserve">o-location and Backhaul for a </w:t>
      </w:r>
      <w:r>
        <w:t>F</w:t>
      </w:r>
      <w:r w:rsidRPr="007A6384">
        <w:t>unded Solution will be referred for determination to an independent third-party expert</w:t>
      </w:r>
      <w:r>
        <w:t>, at the parties’ own shared cost</w:t>
      </w:r>
      <w:r w:rsidRPr="007A6384">
        <w:t>.</w:t>
      </w:r>
      <w:bookmarkEnd w:id="82"/>
    </w:p>
    <w:p w14:paraId="73D47670" w14:textId="0087742B" w:rsidR="0045229E" w:rsidRDefault="00733FF0" w:rsidP="005C4E32">
      <w:pPr>
        <w:pStyle w:val="Normal-Style2"/>
      </w:pPr>
      <w:bookmarkStart w:id="83" w:name="_Ref109305296"/>
      <w:r w:rsidRPr="007A6384">
        <w:t xml:space="preserve">The </w:t>
      </w:r>
      <w:r>
        <w:t>Grantee</w:t>
      </w:r>
      <w:r w:rsidRPr="007A6384">
        <w:t xml:space="preserve"> and Co-locating MNO</w:t>
      </w:r>
      <w:r w:rsidR="009B7141">
        <w:t>s</w:t>
      </w:r>
      <w:r w:rsidRPr="007A6384">
        <w:t xml:space="preserve"> will be bound by the determination made by the independent third-party expert</w:t>
      </w:r>
      <w:bookmarkEnd w:id="83"/>
      <w:r w:rsidR="0045229E">
        <w:t>.</w:t>
      </w:r>
    </w:p>
    <w:p w14:paraId="73D47671" w14:textId="77777777" w:rsidR="00733FF0" w:rsidRDefault="00733FF0" w:rsidP="00F739AC">
      <w:pPr>
        <w:pStyle w:val="Heading2"/>
      </w:pPr>
      <w:bookmarkStart w:id="84" w:name="_Toc113442177"/>
      <w:bookmarkStart w:id="85" w:name="_Toc113357214"/>
      <w:bookmarkStart w:id="86" w:name="_Toc178085192"/>
      <w:r>
        <w:t>What the grant money can be used for</w:t>
      </w:r>
      <w:bookmarkEnd w:id="84"/>
      <w:bookmarkEnd w:id="85"/>
      <w:bookmarkEnd w:id="86"/>
    </w:p>
    <w:p w14:paraId="73D47672" w14:textId="77777777" w:rsidR="00733FF0" w:rsidRDefault="00733FF0" w:rsidP="005C4E32">
      <w:pPr>
        <w:pStyle w:val="Heading3"/>
        <w:ind w:left="1077" w:hanging="1077"/>
      </w:pPr>
      <w:bookmarkStart w:id="87" w:name="_Toc113442178"/>
      <w:bookmarkStart w:id="88" w:name="_Toc113357215"/>
      <w:bookmarkStart w:id="89" w:name="_Toc178085193"/>
      <w:r w:rsidRPr="005E1F31">
        <w:t xml:space="preserve">Eligible </w:t>
      </w:r>
      <w:r>
        <w:t>g</w:t>
      </w:r>
      <w:r w:rsidRPr="005E1F31">
        <w:t xml:space="preserve">rant </w:t>
      </w:r>
      <w:r>
        <w:t>a</w:t>
      </w:r>
      <w:r w:rsidRPr="005E1F31">
        <w:t>ctivities</w:t>
      </w:r>
      <w:bookmarkEnd w:id="87"/>
      <w:bookmarkEnd w:id="88"/>
      <w:bookmarkEnd w:id="89"/>
    </w:p>
    <w:p w14:paraId="73D47673" w14:textId="7DDC194F" w:rsidR="00733FF0" w:rsidRPr="00F562BC" w:rsidRDefault="00733FF0" w:rsidP="005C4E32">
      <w:pPr>
        <w:pStyle w:val="Normal-Style2"/>
        <w:rPr>
          <w:rStyle w:val="highlightedtextChar"/>
          <w:b w:val="0"/>
          <w:color w:val="auto"/>
        </w:rPr>
      </w:pPr>
      <w:bookmarkStart w:id="90" w:name="_Ref468355814"/>
      <w:bookmarkStart w:id="91" w:name="_Toc383003258"/>
      <w:bookmarkStart w:id="92" w:name="_Toc164844265"/>
      <w:r w:rsidRPr="00F562BC">
        <w:rPr>
          <w:rStyle w:val="highlightedtextChar"/>
          <w:b w:val="0"/>
          <w:color w:val="auto"/>
        </w:rPr>
        <w:t>To be eligible for funding under the Program, each Proposed Solution must:</w:t>
      </w:r>
    </w:p>
    <w:p w14:paraId="73D47674" w14:textId="77777777" w:rsidR="00E84D35" w:rsidRPr="00E84D35" w:rsidRDefault="00E84D35" w:rsidP="00F739AC">
      <w:pPr>
        <w:pStyle w:val="ListBullet"/>
        <w:rPr>
          <w:rStyle w:val="highlightedtextChar"/>
          <w:b w:val="0"/>
          <w:color w:val="auto"/>
        </w:rPr>
      </w:pPr>
      <w:r w:rsidRPr="009E1D55">
        <w:rPr>
          <w:rStyle w:val="highlightedtextChar"/>
          <w:b w:val="0"/>
          <w:color w:val="auto"/>
        </w:rPr>
        <w:t xml:space="preserve">deliver </w:t>
      </w:r>
      <w:r w:rsidR="00C12400">
        <w:rPr>
          <w:rStyle w:val="highlightedtextChar"/>
          <w:b w:val="0"/>
          <w:color w:val="auto"/>
        </w:rPr>
        <w:t xml:space="preserve">New Improved </w:t>
      </w:r>
      <w:r w:rsidRPr="009E1D55">
        <w:rPr>
          <w:rStyle w:val="highlightedtextChar"/>
          <w:b w:val="0"/>
          <w:color w:val="auto"/>
        </w:rPr>
        <w:t>Handheld Coverage from the applicant’s network – voice and data (sections 4.2.2 to 4.2.3) – to an Eligible</w:t>
      </w:r>
      <w:r w:rsidRPr="00E84D35">
        <w:rPr>
          <w:rStyle w:val="highlightedtextChar"/>
          <w:b w:val="0"/>
          <w:color w:val="auto"/>
        </w:rPr>
        <w:t xml:space="preserve"> Location (section 5.2); and</w:t>
      </w:r>
    </w:p>
    <w:p w14:paraId="73D47675" w14:textId="4CEAFA07" w:rsidR="00E84D35" w:rsidRPr="00E84D35" w:rsidRDefault="00E84D35" w:rsidP="00F739AC">
      <w:pPr>
        <w:pStyle w:val="ListBullet"/>
        <w:rPr>
          <w:rStyle w:val="highlightedtextChar"/>
          <w:b w:val="0"/>
          <w:color w:val="auto"/>
        </w:rPr>
      </w:pPr>
      <w:bookmarkStart w:id="93" w:name="_Hlk150432360"/>
      <w:r w:rsidRPr="00E84D35">
        <w:rPr>
          <w:rStyle w:val="highlightedtextChar"/>
          <w:b w:val="0"/>
          <w:color w:val="auto"/>
        </w:rPr>
        <w:t xml:space="preserve">not be sited at a location identified on the </w:t>
      </w:r>
      <w:r w:rsidR="004C2EBB">
        <w:rPr>
          <w:rStyle w:val="highlightedtextChar"/>
          <w:b w:val="0"/>
          <w:color w:val="auto"/>
        </w:rPr>
        <w:t xml:space="preserve">participating MNO/s </w:t>
      </w:r>
      <w:r w:rsidRPr="00E84D35">
        <w:rPr>
          <w:rStyle w:val="highlightedtextChar"/>
          <w:b w:val="0"/>
          <w:color w:val="auto"/>
        </w:rPr>
        <w:t>202</w:t>
      </w:r>
      <w:r w:rsidR="00AF72E5">
        <w:rPr>
          <w:rStyle w:val="highlightedtextChar"/>
          <w:b w:val="0"/>
          <w:color w:val="auto"/>
        </w:rPr>
        <w:t>3</w:t>
      </w:r>
      <w:r w:rsidRPr="00E84D35">
        <w:rPr>
          <w:rStyle w:val="highlightedtextChar"/>
          <w:b w:val="0"/>
          <w:color w:val="auto"/>
        </w:rPr>
        <w:t>-2</w:t>
      </w:r>
      <w:r w:rsidR="00AF72E5">
        <w:rPr>
          <w:rStyle w:val="highlightedtextChar"/>
          <w:b w:val="0"/>
          <w:color w:val="auto"/>
        </w:rPr>
        <w:t>4</w:t>
      </w:r>
      <w:r w:rsidRPr="00E84D35">
        <w:rPr>
          <w:rStyle w:val="highlightedtextChar"/>
          <w:b w:val="0"/>
          <w:color w:val="auto"/>
        </w:rPr>
        <w:t xml:space="preserve"> to 202</w:t>
      </w:r>
      <w:r w:rsidR="00AF72E5">
        <w:rPr>
          <w:rStyle w:val="highlightedtextChar"/>
          <w:b w:val="0"/>
          <w:color w:val="auto"/>
        </w:rPr>
        <w:t>6</w:t>
      </w:r>
      <w:r w:rsidR="005439CF">
        <w:rPr>
          <w:rStyle w:val="highlightedtextChar"/>
          <w:b w:val="0"/>
          <w:color w:val="auto"/>
        </w:rPr>
        <w:t>-</w:t>
      </w:r>
      <w:r w:rsidRPr="00E84D35">
        <w:rPr>
          <w:rStyle w:val="highlightedtextChar"/>
          <w:b w:val="0"/>
          <w:color w:val="auto"/>
        </w:rPr>
        <w:t>2</w:t>
      </w:r>
      <w:r w:rsidR="00AF72E5">
        <w:rPr>
          <w:rStyle w:val="highlightedtextChar"/>
          <w:b w:val="0"/>
          <w:color w:val="auto"/>
        </w:rPr>
        <w:t>7</w:t>
      </w:r>
      <w:r w:rsidRPr="00E84D35">
        <w:rPr>
          <w:rStyle w:val="highlightedtextChar"/>
          <w:b w:val="0"/>
          <w:color w:val="auto"/>
        </w:rPr>
        <w:t xml:space="preserve"> forward build network expansion or upgrade plans</w:t>
      </w:r>
      <w:r w:rsidR="004C2EBB">
        <w:rPr>
          <w:rStyle w:val="highlightedtextChar"/>
          <w:b w:val="0"/>
          <w:color w:val="auto"/>
        </w:rPr>
        <w:t>.</w:t>
      </w:r>
    </w:p>
    <w:bookmarkEnd w:id="93"/>
    <w:p w14:paraId="73D47676" w14:textId="4C32E341" w:rsidR="0045229E" w:rsidRDefault="00733FF0" w:rsidP="005C4E32">
      <w:pPr>
        <w:pStyle w:val="Normal-Style2"/>
        <w:rPr>
          <w:rFonts w:eastAsiaTheme="minorHAnsi"/>
        </w:rPr>
      </w:pPr>
      <w:r w:rsidRPr="005B2993">
        <w:rPr>
          <w:rFonts w:eastAsiaTheme="minorHAnsi"/>
        </w:rPr>
        <w:t xml:space="preserve">Applicants may propose any infrastructure </w:t>
      </w:r>
      <w:r w:rsidRPr="004F3C3C">
        <w:rPr>
          <w:rFonts w:eastAsiaTheme="minorHAnsi"/>
        </w:rPr>
        <w:t>solution or combination of solutions</w:t>
      </w:r>
      <w:r>
        <w:rPr>
          <w:rFonts w:eastAsiaTheme="minorHAnsi"/>
        </w:rPr>
        <w:t xml:space="preserve"> (</w:t>
      </w:r>
      <w:r w:rsidRPr="00E1071F">
        <w:rPr>
          <w:rFonts w:eastAsiaTheme="minorHAnsi"/>
          <w:b/>
        </w:rPr>
        <w:t>Cluster</w:t>
      </w:r>
      <w:r>
        <w:rPr>
          <w:rFonts w:eastAsiaTheme="minorHAnsi"/>
          <w:b/>
        </w:rPr>
        <w:t xml:space="preserve"> Solution</w:t>
      </w:r>
      <w:r>
        <w:rPr>
          <w:rFonts w:eastAsiaTheme="minorHAnsi"/>
        </w:rPr>
        <w:t>)</w:t>
      </w:r>
      <w:r w:rsidR="00E84D35">
        <w:rPr>
          <w:rFonts w:eastAsiaTheme="minorHAnsi"/>
        </w:rPr>
        <w:t xml:space="preserve">, </w:t>
      </w:r>
      <w:r>
        <w:rPr>
          <w:rFonts w:eastAsiaTheme="minorHAnsi"/>
        </w:rPr>
        <w:t>so </w:t>
      </w:r>
      <w:r w:rsidRPr="005B2993">
        <w:rPr>
          <w:rFonts w:eastAsiaTheme="minorHAnsi"/>
        </w:rPr>
        <w:t xml:space="preserve">long as it delivers the </w:t>
      </w:r>
      <w:r>
        <w:rPr>
          <w:rFonts w:eastAsiaTheme="minorHAnsi"/>
        </w:rPr>
        <w:t xml:space="preserve">relevant </w:t>
      </w:r>
      <w:r w:rsidRPr="005B2993">
        <w:rPr>
          <w:rFonts w:eastAsiaTheme="minorHAnsi"/>
        </w:rPr>
        <w:t xml:space="preserve">minimum standards specified at section </w:t>
      </w:r>
      <w:r>
        <w:rPr>
          <w:rFonts w:eastAsiaTheme="minorHAnsi"/>
        </w:rPr>
        <w:fldChar w:fldCharType="begin"/>
      </w:r>
      <w:r>
        <w:rPr>
          <w:rFonts w:eastAsiaTheme="minorHAnsi"/>
        </w:rPr>
        <w:instrText xml:space="preserve"> REF _Ref109305391 \r \h </w:instrText>
      </w:r>
      <w:r w:rsidR="005C4E32">
        <w:rPr>
          <w:rFonts w:eastAsiaTheme="minorHAnsi"/>
        </w:rPr>
        <w:instrText xml:space="preserve"> \* MERGEFORMAT </w:instrText>
      </w:r>
      <w:r>
        <w:rPr>
          <w:rFonts w:eastAsiaTheme="minorHAnsi"/>
        </w:rPr>
      </w:r>
      <w:r>
        <w:rPr>
          <w:rFonts w:eastAsiaTheme="minorHAnsi"/>
        </w:rPr>
        <w:fldChar w:fldCharType="separate"/>
      </w:r>
      <w:r w:rsidR="00711186">
        <w:rPr>
          <w:rFonts w:eastAsiaTheme="minorHAnsi"/>
        </w:rPr>
        <w:t>4.2</w:t>
      </w:r>
      <w:r>
        <w:rPr>
          <w:rFonts w:eastAsiaTheme="minorHAnsi"/>
        </w:rPr>
        <w:fldChar w:fldCharType="end"/>
      </w:r>
      <w:r w:rsidR="0045229E">
        <w:rPr>
          <w:rFonts w:eastAsiaTheme="minorHAnsi"/>
        </w:rPr>
        <w:t>.</w:t>
      </w:r>
    </w:p>
    <w:p w14:paraId="73D47677" w14:textId="77777777" w:rsidR="00733FF0" w:rsidRDefault="00733FF0" w:rsidP="005C4E32">
      <w:pPr>
        <w:pStyle w:val="Heading3"/>
        <w:ind w:left="1077" w:hanging="1077"/>
      </w:pPr>
      <w:bookmarkStart w:id="94" w:name="_Toc506537727"/>
      <w:bookmarkStart w:id="95" w:name="_Toc506537728"/>
      <w:bookmarkStart w:id="96" w:name="_Toc506537729"/>
      <w:bookmarkStart w:id="97" w:name="_Toc506537730"/>
      <w:bookmarkStart w:id="98" w:name="_Toc506537731"/>
      <w:bookmarkStart w:id="99" w:name="_Toc506537732"/>
      <w:bookmarkStart w:id="100" w:name="_Toc506537733"/>
      <w:bookmarkStart w:id="101" w:name="_Toc506537734"/>
      <w:bookmarkStart w:id="102" w:name="_Toc506537735"/>
      <w:bookmarkStart w:id="103" w:name="_Toc506537736"/>
      <w:bookmarkStart w:id="104" w:name="_Toc506537737"/>
      <w:bookmarkStart w:id="105" w:name="_Toc506537738"/>
      <w:bookmarkStart w:id="106" w:name="_Toc506537739"/>
      <w:bookmarkStart w:id="107" w:name="_Toc506537740"/>
      <w:bookmarkStart w:id="108" w:name="_Toc506537741"/>
      <w:bookmarkStart w:id="109" w:name="_Toc506537742"/>
      <w:bookmarkStart w:id="110" w:name="_Ref109304814"/>
      <w:bookmarkStart w:id="111" w:name="_Toc113442179"/>
      <w:bookmarkStart w:id="112" w:name="_Toc113357216"/>
      <w:bookmarkStart w:id="113" w:name="_Toc178085194"/>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t>Eligible locations</w:t>
      </w:r>
      <w:bookmarkEnd w:id="110"/>
      <w:bookmarkEnd w:id="111"/>
      <w:bookmarkEnd w:id="112"/>
      <w:bookmarkEnd w:id="113"/>
    </w:p>
    <w:p w14:paraId="73D47678" w14:textId="5E9AABAF" w:rsidR="00E84D35" w:rsidRDefault="00E84D35" w:rsidP="005C4E32">
      <w:pPr>
        <w:pStyle w:val="Normal-Style2"/>
        <w:rPr>
          <w:rFonts w:eastAsia="Calibri"/>
        </w:rPr>
      </w:pPr>
      <w:bookmarkStart w:id="114" w:name="_Toc113442180"/>
      <w:bookmarkStart w:id="115" w:name="_Toc113357217"/>
      <w:r w:rsidRPr="00E84D35">
        <w:rPr>
          <w:rFonts w:eastAsia="Calibri"/>
        </w:rPr>
        <w:t xml:space="preserve">Eligible Locations under </w:t>
      </w:r>
      <w:r w:rsidR="00214F6F">
        <w:rPr>
          <w:rFonts w:eastAsia="Calibri"/>
        </w:rPr>
        <w:t>Round 2 of the</w:t>
      </w:r>
      <w:r w:rsidRPr="00E84D35">
        <w:rPr>
          <w:rFonts w:eastAsia="Calibri"/>
        </w:rPr>
        <w:t xml:space="preserve"> Program are those areas which are located within the Urban Fringe Area or are located within a Major Transport Passage.</w:t>
      </w:r>
      <w:r w:rsidR="00B42EE1">
        <w:rPr>
          <w:rFonts w:eastAsia="Calibri"/>
        </w:rPr>
        <w:t xml:space="preserve"> </w:t>
      </w:r>
      <w:r w:rsidR="004E6F97">
        <w:rPr>
          <w:rFonts w:eastAsia="Calibri"/>
        </w:rPr>
        <w:t>Subject to network re</w:t>
      </w:r>
      <w:r w:rsidR="00952A58">
        <w:rPr>
          <w:rFonts w:eastAsia="Calibri"/>
        </w:rPr>
        <w:t>quirements, Proposed Solutions may be located in an area adjacent to an Eligible Location provid</w:t>
      </w:r>
      <w:r w:rsidR="001E1F63">
        <w:rPr>
          <w:rFonts w:eastAsia="Calibri"/>
        </w:rPr>
        <w:t>ed</w:t>
      </w:r>
      <w:r w:rsidR="00952A58">
        <w:rPr>
          <w:rFonts w:eastAsia="Calibri"/>
        </w:rPr>
        <w:t xml:space="preserve"> they deliver the relevant minimum requir</w:t>
      </w:r>
      <w:r w:rsidR="003E682B">
        <w:rPr>
          <w:rFonts w:eastAsia="Calibri"/>
        </w:rPr>
        <w:t>e</w:t>
      </w:r>
      <w:r w:rsidR="00952A58">
        <w:rPr>
          <w:rFonts w:eastAsia="Calibri"/>
        </w:rPr>
        <w:t>ments (see section 4.2) to an Eligible Location.</w:t>
      </w:r>
    </w:p>
    <w:p w14:paraId="73D47679" w14:textId="40416410" w:rsidR="00E84D35" w:rsidRDefault="00E84D35" w:rsidP="005C4E32">
      <w:pPr>
        <w:pStyle w:val="Normal-Style2"/>
        <w:rPr>
          <w:rFonts w:eastAsia="Calibri"/>
        </w:rPr>
      </w:pPr>
      <w:r w:rsidRPr="00E84D35">
        <w:rPr>
          <w:rFonts w:eastAsia="Calibri"/>
        </w:rPr>
        <w:t xml:space="preserve">For the purposes of </w:t>
      </w:r>
      <w:r w:rsidR="00214F6F">
        <w:rPr>
          <w:rFonts w:eastAsia="Calibri"/>
        </w:rPr>
        <w:t xml:space="preserve">the </w:t>
      </w:r>
      <w:r w:rsidRPr="00E84D35">
        <w:rPr>
          <w:rFonts w:eastAsia="Calibri"/>
        </w:rPr>
        <w:t>Program</w:t>
      </w:r>
      <w:r w:rsidR="00291B61">
        <w:rPr>
          <w:rFonts w:eastAsia="Calibri"/>
        </w:rPr>
        <w:t xml:space="preserve">, the eligible area boundary is available on the </w:t>
      </w:r>
      <w:r w:rsidR="00F4212F">
        <w:rPr>
          <w:rFonts w:eastAsia="Calibri"/>
        </w:rPr>
        <w:t>d</w:t>
      </w:r>
      <w:r w:rsidR="00291B61">
        <w:rPr>
          <w:rFonts w:eastAsia="Calibri"/>
        </w:rPr>
        <w:t xml:space="preserve">epartment’s website at </w:t>
      </w:r>
      <w:hyperlink r:id="rId27" w:history="1">
        <w:r w:rsidR="00E83EEF" w:rsidRPr="00981CDE">
          <w:rPr>
            <w:rStyle w:val="Hyperlink"/>
            <w:rFonts w:eastAsia="Calibri"/>
          </w:rPr>
          <w:t>www.infrastructure.gov.au/PUMPMaps</w:t>
        </w:r>
      </w:hyperlink>
      <w:r w:rsidR="00291B61">
        <w:rPr>
          <w:rFonts w:eastAsia="Calibri"/>
        </w:rPr>
        <w:t>. The eligible area has been derived based on the following method, with adjustments made to these areas where necessary to ensure consistency across the eligible areas, and to account for local terrain.</w:t>
      </w:r>
      <w:r w:rsidR="00980C0E">
        <w:rPr>
          <w:rFonts w:eastAsia="Calibri"/>
        </w:rPr>
        <w:t xml:space="preserve"> </w:t>
      </w:r>
    </w:p>
    <w:p w14:paraId="73D4767A" w14:textId="77777777" w:rsidR="00E84D35" w:rsidRPr="00F739AC" w:rsidRDefault="00E84D35" w:rsidP="00F739AC">
      <w:pPr>
        <w:pStyle w:val="ListBullet"/>
        <w:rPr>
          <w:rFonts w:eastAsia="Calibri"/>
        </w:rPr>
      </w:pPr>
      <w:r w:rsidRPr="00D8353F">
        <w:t>the</w:t>
      </w:r>
      <w:r w:rsidRPr="00E84D35">
        <w:rPr>
          <w:rFonts w:eastAsia="Calibri"/>
        </w:rPr>
        <w:t xml:space="preserve"> </w:t>
      </w:r>
      <w:r w:rsidRPr="000B7774">
        <w:rPr>
          <w:rFonts w:eastAsia="Calibri"/>
          <w:b/>
        </w:rPr>
        <w:t>Urban Fringe Area</w:t>
      </w:r>
      <w:r w:rsidRPr="00E84D35">
        <w:rPr>
          <w:rFonts w:eastAsia="Calibri"/>
        </w:rPr>
        <w:t xml:space="preserve"> is the corridor located either side of the ‘Major Urban’ boun</w:t>
      </w:r>
      <w:r w:rsidRPr="00F739AC">
        <w:rPr>
          <w:rFonts w:eastAsia="Calibri"/>
        </w:rPr>
        <w:t xml:space="preserve">dary of the Major </w:t>
      </w:r>
      <w:r w:rsidRPr="00F739AC">
        <w:t>Cities</w:t>
      </w:r>
      <w:r w:rsidRPr="00F739AC">
        <w:rPr>
          <w:rFonts w:eastAsia="Calibri"/>
        </w:rPr>
        <w:t>.</w:t>
      </w:r>
    </w:p>
    <w:p w14:paraId="73D4767B" w14:textId="77777777" w:rsidR="00E84D35" w:rsidRPr="005D21F0" w:rsidRDefault="00E84D35" w:rsidP="00F739AC">
      <w:pPr>
        <w:pStyle w:val="ListBullet"/>
        <w:rPr>
          <w:rFonts w:eastAsia="Calibri"/>
        </w:rPr>
      </w:pPr>
      <w:r w:rsidRPr="00F739AC">
        <w:t>the</w:t>
      </w:r>
      <w:r w:rsidRPr="00F739AC">
        <w:rPr>
          <w:rFonts w:eastAsia="Calibri"/>
        </w:rPr>
        <w:t xml:space="preserve"> c</w:t>
      </w:r>
      <w:r w:rsidRPr="005D21F0">
        <w:rPr>
          <w:rFonts w:eastAsia="Calibri"/>
        </w:rPr>
        <w:t>orridor extends to a distance of two kilometres (2 km) inside the Major Urban boundary, and 15 kilometres (15 km) outside the Major Urban boundary.</w:t>
      </w:r>
    </w:p>
    <w:p w14:paraId="73D4767C" w14:textId="77777777" w:rsidR="00E84D35" w:rsidRPr="00F739AC" w:rsidRDefault="00E84D35" w:rsidP="00F739AC">
      <w:pPr>
        <w:pStyle w:val="ListBullet"/>
      </w:pPr>
      <w:r w:rsidRPr="000B7774">
        <w:rPr>
          <w:b/>
        </w:rPr>
        <w:t>Major Urban</w:t>
      </w:r>
      <w:r w:rsidRPr="00E84D35">
        <w:t xml:space="preserve"> areas are the Urban Centres and Localities geographical units classified by the Australian Bureau of Statistics in </w:t>
      </w:r>
      <w:r w:rsidR="00214F6F">
        <w:t>2021</w:t>
      </w:r>
      <w:r w:rsidRPr="00E84D35">
        <w:t xml:space="preserve"> with a population of 100,000 </w:t>
      </w:r>
      <w:r w:rsidRPr="00F739AC">
        <w:t>or more</w:t>
      </w:r>
      <w:r w:rsidR="00214F6F" w:rsidRPr="00E41B5C">
        <w:rPr>
          <w:rStyle w:val="FootnoteReference"/>
          <w:rFonts w:eastAsia="Calibri"/>
        </w:rPr>
        <w:footnoteReference w:id="4"/>
      </w:r>
      <w:r w:rsidRPr="00F739AC">
        <w:t>.</w:t>
      </w:r>
    </w:p>
    <w:p w14:paraId="73D4767D" w14:textId="77777777" w:rsidR="00E84D35" w:rsidRPr="00E84D35" w:rsidRDefault="00E84D35" w:rsidP="00F739AC">
      <w:pPr>
        <w:pStyle w:val="ListBullet"/>
      </w:pPr>
      <w:r w:rsidRPr="00F739AC">
        <w:rPr>
          <w:b/>
        </w:rPr>
        <w:t>Major Cities</w:t>
      </w:r>
      <w:r w:rsidRPr="00F739AC">
        <w:t xml:space="preserve"> are</w:t>
      </w:r>
      <w:r w:rsidRPr="00E84D35">
        <w:t xml:space="preserve"> Adelaide, </w:t>
      </w:r>
      <w:r w:rsidR="00214F6F">
        <w:t xml:space="preserve">Ballarat, Bendigo, </w:t>
      </w:r>
      <w:r w:rsidRPr="00E84D35">
        <w:t>Brisbane,</w:t>
      </w:r>
      <w:r w:rsidR="00214F6F">
        <w:t xml:space="preserve"> Cairns, Canberra/Queanbeyan, Central Coast, Darwin, Geelong, Gold Coast/Tweed Heads,</w:t>
      </w:r>
      <w:r w:rsidRPr="00E84D35">
        <w:t xml:space="preserve"> Hobart, Melbourne, </w:t>
      </w:r>
      <w:r w:rsidR="00214F6F">
        <w:t xml:space="preserve">Newcastle, </w:t>
      </w:r>
      <w:r w:rsidRPr="00E84D35">
        <w:t>Perth</w:t>
      </w:r>
      <w:r w:rsidR="00214F6F">
        <w:t xml:space="preserve">, Sunshine Coast, </w:t>
      </w:r>
      <w:r w:rsidRPr="00E84D35">
        <w:t>Sydney</w:t>
      </w:r>
      <w:r w:rsidR="00214F6F">
        <w:t>, Toowoomba, Townsville and Wollongong</w:t>
      </w:r>
      <w:r w:rsidR="0007353F">
        <w:t>.</w:t>
      </w:r>
      <w:r w:rsidR="00214F6F">
        <w:t xml:space="preserve"> </w:t>
      </w:r>
    </w:p>
    <w:p w14:paraId="73D4767E" w14:textId="77777777" w:rsidR="00E84D35" w:rsidRPr="00BF229A" w:rsidRDefault="00E84D35" w:rsidP="00BF229A">
      <w:pPr>
        <w:pStyle w:val="ListBullet"/>
      </w:pPr>
      <w:r w:rsidRPr="00E84D35">
        <w:lastRenderedPageBreak/>
        <w:t xml:space="preserve">a </w:t>
      </w:r>
      <w:r w:rsidRPr="000B7774">
        <w:rPr>
          <w:b/>
        </w:rPr>
        <w:t>Major Transport Passage</w:t>
      </w:r>
      <w:r w:rsidRPr="00E84D35">
        <w:t xml:space="preserve"> is the corridor located either side of a road that is included in the National Land Transport Network (</w:t>
      </w:r>
      <w:proofErr w:type="spellStart"/>
      <w:r w:rsidRPr="00E84D35">
        <w:t>NLTN</w:t>
      </w:r>
      <w:proofErr w:type="spellEnd"/>
      <w:r w:rsidR="00214F6F">
        <w:t>)</w:t>
      </w:r>
      <w:r w:rsidR="00214F6F">
        <w:rPr>
          <w:rStyle w:val="FootnoteReference"/>
          <w:rFonts w:eastAsia="Calibri"/>
        </w:rPr>
        <w:footnoteReference w:id="5"/>
      </w:r>
      <w:r w:rsidRPr="00E84D35">
        <w:t>, and that exits the Urban Fringe Area, to</w:t>
      </w:r>
      <w:r w:rsidRPr="00BF229A">
        <w:t xml:space="preserve"> a distance of 15 kilometres (15 km) from the Urban Fringe Area boundary.</w:t>
      </w:r>
    </w:p>
    <w:p w14:paraId="73D4767F" w14:textId="77777777" w:rsidR="00E84D35" w:rsidRPr="00E84D35" w:rsidRDefault="00E84D35" w:rsidP="00BF229A">
      <w:pPr>
        <w:pStyle w:val="ListBullet"/>
        <w:rPr>
          <w:rFonts w:eastAsia="Calibri" w:cs="Arial"/>
        </w:rPr>
      </w:pPr>
      <w:r w:rsidRPr="00BF229A">
        <w:rPr>
          <w:rFonts w:eastAsia="Calibri"/>
        </w:rPr>
        <w:t xml:space="preserve">the corridor extends </w:t>
      </w:r>
      <w:r w:rsidRPr="00BF229A">
        <w:t>t</w:t>
      </w:r>
      <w:r w:rsidRPr="00D8353F">
        <w:t>o</w:t>
      </w:r>
      <w:r w:rsidRPr="00E84D35">
        <w:rPr>
          <w:rFonts w:eastAsia="Calibri" w:cs="Arial"/>
        </w:rPr>
        <w:t xml:space="preserve"> a distance of five kilometres (5 km) either side of the road.</w:t>
      </w:r>
    </w:p>
    <w:p w14:paraId="73D47680" w14:textId="77777777" w:rsidR="00E84D35" w:rsidRPr="00E84D35" w:rsidRDefault="00E84D35" w:rsidP="005C4E32">
      <w:pPr>
        <w:pStyle w:val="Normal-Style2"/>
        <w:rPr>
          <w:rFonts w:eastAsia="Calibri"/>
        </w:rPr>
      </w:pPr>
      <w:r w:rsidRPr="00E84D35">
        <w:rPr>
          <w:rFonts w:eastAsia="Calibri"/>
        </w:rPr>
        <w:t xml:space="preserve">The </w:t>
      </w:r>
      <w:r w:rsidR="00F4212F">
        <w:rPr>
          <w:rFonts w:eastAsia="Calibri"/>
        </w:rPr>
        <w:t>d</w:t>
      </w:r>
      <w:r w:rsidRPr="00E84D35">
        <w:rPr>
          <w:rFonts w:eastAsia="Calibri"/>
        </w:rPr>
        <w:t xml:space="preserve">epartment will provide map overlays showing Eligible Locations to Eligible Applicants upon request following registration. </w:t>
      </w:r>
    </w:p>
    <w:p w14:paraId="73D47681" w14:textId="77777777" w:rsidR="00E84D35" w:rsidRPr="00214F6F" w:rsidRDefault="00E84D35" w:rsidP="005C4E32">
      <w:pPr>
        <w:pStyle w:val="Normal-Style2"/>
        <w:rPr>
          <w:rFonts w:eastAsia="Calibri"/>
        </w:rPr>
      </w:pPr>
      <w:r w:rsidRPr="00214F6F">
        <w:rPr>
          <w:rFonts w:eastAsia="Calibri"/>
        </w:rPr>
        <w:t>In the event of inconsistencies between the mapping layers and the Eligible Locations definitions, the mapping layers take precedence.</w:t>
      </w:r>
    </w:p>
    <w:p w14:paraId="73D47682" w14:textId="77777777" w:rsidR="00733FF0" w:rsidRDefault="00733FF0" w:rsidP="005C4E32">
      <w:pPr>
        <w:pStyle w:val="Heading3"/>
        <w:ind w:left="1077" w:hanging="1077"/>
      </w:pPr>
      <w:bookmarkStart w:id="116" w:name="_Toc178085195"/>
      <w:r>
        <w:t>Eligible expenditure</w:t>
      </w:r>
      <w:bookmarkEnd w:id="114"/>
      <w:bookmarkEnd w:id="115"/>
      <w:bookmarkEnd w:id="116"/>
    </w:p>
    <w:p w14:paraId="73D47683" w14:textId="323CADBC" w:rsidR="00733FF0" w:rsidRDefault="008A1DB2" w:rsidP="005C4E32">
      <w:pPr>
        <w:pStyle w:val="Normal-Style2"/>
      </w:pPr>
      <w:bookmarkStart w:id="117" w:name="_Toc506537745"/>
      <w:bookmarkStart w:id="118" w:name="_Toc506537746"/>
      <w:bookmarkStart w:id="119" w:name="_Toc506537747"/>
      <w:bookmarkStart w:id="120" w:name="_Toc506537748"/>
      <w:bookmarkStart w:id="121" w:name="_Toc506537749"/>
      <w:bookmarkStart w:id="122" w:name="_Toc506537751"/>
      <w:bookmarkStart w:id="123" w:name="_Toc506537752"/>
      <w:bookmarkStart w:id="124" w:name="_Toc506537753"/>
      <w:bookmarkStart w:id="125" w:name="_Toc506537754"/>
      <w:bookmarkStart w:id="126" w:name="_Toc506537755"/>
      <w:bookmarkStart w:id="127" w:name="_Toc506537756"/>
      <w:bookmarkStart w:id="128" w:name="_Toc506537757"/>
      <w:bookmarkStart w:id="129" w:name="_Ref110515540"/>
      <w:bookmarkEnd w:id="90"/>
      <w:bookmarkEnd w:id="117"/>
      <w:bookmarkEnd w:id="118"/>
      <w:bookmarkEnd w:id="119"/>
      <w:bookmarkEnd w:id="120"/>
      <w:bookmarkEnd w:id="121"/>
      <w:bookmarkEnd w:id="122"/>
      <w:bookmarkEnd w:id="123"/>
      <w:bookmarkEnd w:id="124"/>
      <w:bookmarkEnd w:id="125"/>
      <w:bookmarkEnd w:id="126"/>
      <w:bookmarkEnd w:id="127"/>
      <w:bookmarkEnd w:id="128"/>
      <w:r>
        <w:t xml:space="preserve">All Proposed Solutions will be eligible to receive a </w:t>
      </w:r>
      <w:r w:rsidR="00733FF0" w:rsidRPr="004003DE">
        <w:t>Commonwealth funding</w:t>
      </w:r>
      <w:r>
        <w:t xml:space="preserve"> contribution of up to 50 per cent</w:t>
      </w:r>
      <w:r w:rsidR="00A41387">
        <w:t xml:space="preserve"> (Commonwealth Contribution)</w:t>
      </w:r>
      <w:r>
        <w:t xml:space="preserve"> </w:t>
      </w:r>
      <w:r w:rsidR="00E95E10">
        <w:t xml:space="preserve">of the </w:t>
      </w:r>
      <w:r w:rsidR="00E868E8">
        <w:t xml:space="preserve">Total Cost </w:t>
      </w:r>
      <w:r w:rsidR="00A41387">
        <w:t>of a</w:t>
      </w:r>
      <w:r w:rsidR="00E868E8">
        <w:t xml:space="preserve"> Proposed Solution</w:t>
      </w:r>
      <w:r>
        <w:t xml:space="preserve"> under the Program</w:t>
      </w:r>
      <w:r w:rsidR="00E868E8">
        <w:t xml:space="preserve">, which is the </w:t>
      </w:r>
      <w:r w:rsidR="00E95E10">
        <w:t>combined</w:t>
      </w:r>
      <w:r w:rsidR="00733FF0">
        <w:t>:</w:t>
      </w:r>
      <w:bookmarkEnd w:id="129"/>
    </w:p>
    <w:p w14:paraId="73D47684" w14:textId="2E2DA828" w:rsidR="00733FF0" w:rsidRPr="00BF229A" w:rsidRDefault="00733FF0" w:rsidP="00BF229A">
      <w:pPr>
        <w:pStyle w:val="ListBullet"/>
      </w:pPr>
      <w:r w:rsidRPr="004003DE">
        <w:t>est</w:t>
      </w:r>
      <w:r w:rsidRPr="00BF229A">
        <w:t xml:space="preserve">imated Asset Capital Costs of building or installing </w:t>
      </w:r>
      <w:r w:rsidR="00116A0D" w:rsidRPr="00BF229A">
        <w:t xml:space="preserve">a </w:t>
      </w:r>
      <w:r w:rsidRPr="00BF229A">
        <w:t>Funded Solution; and</w:t>
      </w:r>
    </w:p>
    <w:p w14:paraId="3161F5CC" w14:textId="6BDDE1E0" w:rsidR="005C4E32" w:rsidRPr="00510C53" w:rsidRDefault="00733FF0" w:rsidP="00BF229A">
      <w:pPr>
        <w:pStyle w:val="ListBullet"/>
      </w:pPr>
      <w:r w:rsidRPr="00BF229A">
        <w:t>th</w:t>
      </w:r>
      <w:r w:rsidRPr="004003DE">
        <w:t>e capitalised net present value (using a discount rate equivalent to the 10</w:t>
      </w:r>
      <w:r w:rsidR="00F15E6F">
        <w:noBreakHyphen/>
      </w:r>
      <w:r w:rsidRPr="004003DE">
        <w:t>year Treasury Bond Rate applied at the date of the application) of Operational Costs over the minimum Operational Period of a Funded Solution</w:t>
      </w:r>
      <w:r>
        <w:t>.</w:t>
      </w:r>
    </w:p>
    <w:p w14:paraId="030EF4C3" w14:textId="59141F5E" w:rsidR="005C4E32" w:rsidRDefault="005C4E32" w:rsidP="005C4E32">
      <w:pPr>
        <w:pStyle w:val="Normal-Style2"/>
      </w:pPr>
      <w:r>
        <w:t xml:space="preserve">Asset Capital Costs and Operational Costs sought under the Commonwealth Contribution at 5.3.1 must be clearly identified separately in the application, and will be considered as part of both the assessment against the Assessment Criteria (section 6) and Value </w:t>
      </w:r>
      <w:r w:rsidR="00DE026D">
        <w:t xml:space="preserve">with Relevant </w:t>
      </w:r>
      <w:r>
        <w:t>Money assessment (section 8.</w:t>
      </w:r>
      <w:r w:rsidR="000824A3">
        <w:t>2</w:t>
      </w:r>
      <w:r>
        <w:t>).</w:t>
      </w:r>
    </w:p>
    <w:p w14:paraId="5926B776" w14:textId="62EAB4A4" w:rsidR="00A16A17" w:rsidRPr="008A1DB2" w:rsidRDefault="00A16A17" w:rsidP="005C4E32">
      <w:pPr>
        <w:pStyle w:val="Normal-Style2"/>
      </w:pPr>
      <w:r w:rsidRPr="004003DE">
        <w:t xml:space="preserve">Grantees will be responsible for any actual Asset Capital Costs and/or Operational Costs </w:t>
      </w:r>
      <w:r w:rsidRPr="00C52715">
        <w:t>that exceed estimated costs.</w:t>
      </w:r>
    </w:p>
    <w:p w14:paraId="0CA20D18" w14:textId="4AC9AA34" w:rsidR="00A41387" w:rsidRDefault="008A1DB2" w:rsidP="005C4E32">
      <w:pPr>
        <w:pStyle w:val="Normal-Style2"/>
      </w:pPr>
      <w:r>
        <w:t xml:space="preserve">An Additional Commonwealth Funding Contribution will be available for specific solution types outlined in Table 1. The Additional Commonwealth Funding Contribution </w:t>
      </w:r>
      <w:r w:rsidR="00A41387">
        <w:t xml:space="preserve">is an </w:t>
      </w:r>
      <w:r w:rsidR="00A41387" w:rsidRPr="00D867FA">
        <w:t xml:space="preserve">additional </w:t>
      </w:r>
      <w:r w:rsidR="00D867FA" w:rsidRPr="00D867FA">
        <w:t>25</w:t>
      </w:r>
      <w:r w:rsidR="00495FA5" w:rsidRPr="00D867FA">
        <w:t xml:space="preserve"> per</w:t>
      </w:r>
      <w:r w:rsidR="00495FA5">
        <w:t xml:space="preserve"> cent</w:t>
      </w:r>
      <w:r w:rsidR="00A41387">
        <w:t xml:space="preserve"> loading based on the Commonwealth Contribution </w:t>
      </w:r>
      <w:r w:rsidR="007452E7">
        <w:t xml:space="preserve">sought by applicants under section </w:t>
      </w:r>
      <w:r w:rsidR="00A41387">
        <w:t>5.3.1. The Additional Commonwealth Funding Contribution will be calculated according to the below formula:</w:t>
      </w:r>
    </w:p>
    <w:p w14:paraId="3C7E65D0" w14:textId="71DBD9B0" w:rsidR="00510C53" w:rsidRDefault="007452E7" w:rsidP="00F82AA7">
      <w:pPr>
        <w:pStyle w:val="Normal-Style2"/>
        <w:numPr>
          <w:ilvl w:val="0"/>
          <w:numId w:val="0"/>
        </w:numPr>
      </w:pPr>
      <w:r>
        <w:rPr>
          <w:i/>
          <w:sz w:val="20"/>
        </w:rPr>
        <w:t xml:space="preserve">Additional Commonwealth Funding Contribution </w:t>
      </w:r>
      <w:r w:rsidR="00A41387" w:rsidRPr="00510C53">
        <w:rPr>
          <w:i/>
          <w:sz w:val="20"/>
        </w:rPr>
        <w:t xml:space="preserve">= Commonwealth Contribution </w:t>
      </w:r>
      <w:r>
        <w:rPr>
          <w:i/>
          <w:sz w:val="20"/>
        </w:rPr>
        <w:t>sought under section 5.3.1. * 0.</w:t>
      </w:r>
      <w:r w:rsidR="00D867FA">
        <w:rPr>
          <w:i/>
          <w:sz w:val="20"/>
        </w:rPr>
        <w:t>25</w:t>
      </w:r>
    </w:p>
    <w:p w14:paraId="5EE74306" w14:textId="2D7CDBF0" w:rsidR="00510C53" w:rsidRDefault="00510C53" w:rsidP="005C4E32">
      <w:pPr>
        <w:pStyle w:val="Normal-Style2"/>
      </w:pPr>
      <w:r>
        <w:t xml:space="preserve">The Additional Commonwealth Funding Contribution </w:t>
      </w:r>
      <w:r w:rsidRPr="00BE2BED">
        <w:rPr>
          <w:b/>
        </w:rPr>
        <w:t>must not be included in the application</w:t>
      </w:r>
      <w:r>
        <w:t xml:space="preserve"> and </w:t>
      </w:r>
      <w:r w:rsidRPr="007452E7">
        <w:rPr>
          <w:b/>
        </w:rPr>
        <w:t xml:space="preserve">will not be considered as part of the assessment against the Assessment Criteria and Value </w:t>
      </w:r>
      <w:r w:rsidR="00DE026D">
        <w:rPr>
          <w:b/>
        </w:rPr>
        <w:t>with Relevant</w:t>
      </w:r>
      <w:r w:rsidR="00DE026D" w:rsidRPr="007452E7">
        <w:rPr>
          <w:b/>
        </w:rPr>
        <w:t xml:space="preserve"> </w:t>
      </w:r>
      <w:r w:rsidRPr="007452E7">
        <w:rPr>
          <w:b/>
        </w:rPr>
        <w:t xml:space="preserve">Money </w:t>
      </w:r>
      <w:r w:rsidR="00BE2BED" w:rsidRPr="007452E7">
        <w:rPr>
          <w:b/>
        </w:rPr>
        <w:t>a</w:t>
      </w:r>
      <w:r w:rsidRPr="007452E7">
        <w:rPr>
          <w:b/>
        </w:rPr>
        <w:t>ssessment</w:t>
      </w:r>
      <w:r>
        <w:t>. The Additional Commonwealth Funding Contribution will be reflected in</w:t>
      </w:r>
      <w:r w:rsidR="007452E7">
        <w:t xml:space="preserve"> the Grant</w:t>
      </w:r>
      <w:r>
        <w:t xml:space="preserve"> Agreements for Funded Solutions. </w:t>
      </w:r>
    </w:p>
    <w:p w14:paraId="53545B1F" w14:textId="1D6DD842" w:rsidR="00DA699A" w:rsidRPr="00F82AA7" w:rsidRDefault="004C5A14" w:rsidP="007411E2">
      <w:pPr>
        <w:pStyle w:val="Tablefigureheading"/>
      </w:pPr>
      <w:bookmarkStart w:id="130" w:name="_Toc178085250"/>
      <w:bookmarkStart w:id="131" w:name="_Toc178085267"/>
      <w:r w:rsidRPr="00F82AA7">
        <w:lastRenderedPageBreak/>
        <w:t xml:space="preserve">Table </w:t>
      </w:r>
      <w:fldSimple w:instr=" SEQ Table \* ARABIC ">
        <w:r w:rsidR="0035264F">
          <w:rPr>
            <w:noProof/>
          </w:rPr>
          <w:t>1</w:t>
        </w:r>
      </w:fldSimple>
      <w:r w:rsidRPr="00F82AA7">
        <w:t>: Additional Commonwealth Funding Contribution</w:t>
      </w:r>
      <w:bookmarkEnd w:id="130"/>
      <w:bookmarkEnd w:id="131"/>
    </w:p>
    <w:tbl>
      <w:tblPr>
        <w:tblStyle w:val="DefaultTable11"/>
        <w:tblW w:w="5000" w:type="pct"/>
        <w:tblLook w:val="04A0" w:firstRow="1" w:lastRow="0" w:firstColumn="1" w:lastColumn="0" w:noHBand="0" w:noVBand="1"/>
        <w:tblDescription w:val="Table 1: Minimum specification configurations for co-location of multiple MNOs"/>
      </w:tblPr>
      <w:tblGrid>
        <w:gridCol w:w="2765"/>
        <w:gridCol w:w="2196"/>
        <w:gridCol w:w="4514"/>
      </w:tblGrid>
      <w:tr w:rsidR="00234115" w:rsidRPr="00654F9E" w14:paraId="57009D83" w14:textId="77777777" w:rsidTr="005A46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9" w:type="pct"/>
          </w:tcPr>
          <w:p w14:paraId="5F8C14CE" w14:textId="77777777" w:rsidR="00234115" w:rsidRPr="00F34D4A" w:rsidRDefault="00234115" w:rsidP="00CC14C9">
            <w:pPr>
              <w:pStyle w:val="Tablerowcolumnheading"/>
              <w:keepNext/>
              <w:ind w:left="31"/>
              <w:rPr>
                <w:b/>
              </w:rPr>
            </w:pPr>
            <w:r>
              <w:rPr>
                <w:b/>
              </w:rPr>
              <w:t>Solution Type</w:t>
            </w:r>
          </w:p>
        </w:tc>
        <w:tc>
          <w:tcPr>
            <w:tcW w:w="1159" w:type="pct"/>
          </w:tcPr>
          <w:p w14:paraId="68012B20" w14:textId="7EABDBA1" w:rsidR="00234115" w:rsidRPr="00F34D4A" w:rsidRDefault="00234115" w:rsidP="00CC14C9">
            <w:pPr>
              <w:pStyle w:val="Tablerowcolumnheading"/>
              <w:keepNext/>
              <w:cnfStyle w:val="100000000000" w:firstRow="1" w:lastRow="0" w:firstColumn="0" w:lastColumn="0" w:oddVBand="0" w:evenVBand="0" w:oddHBand="0" w:evenHBand="0" w:firstRowFirstColumn="0" w:firstRowLastColumn="0" w:lastRowFirstColumn="0" w:lastRowLastColumn="0"/>
              <w:rPr>
                <w:b/>
                <w:lang w:eastAsia="en-AU"/>
              </w:rPr>
            </w:pPr>
            <w:r>
              <w:rPr>
                <w:b/>
                <w:lang w:eastAsia="en-AU"/>
              </w:rPr>
              <w:t>Eligible for Additional Commonwealth Funding Contribution</w:t>
            </w:r>
          </w:p>
        </w:tc>
        <w:tc>
          <w:tcPr>
            <w:tcW w:w="2382" w:type="pct"/>
          </w:tcPr>
          <w:p w14:paraId="1C0716C1" w14:textId="157F99C0" w:rsidR="00234115" w:rsidRPr="00F34D4A" w:rsidRDefault="00234115" w:rsidP="00CC14C9">
            <w:pPr>
              <w:pStyle w:val="Tablerowcolumnheading"/>
              <w:keepNext/>
              <w:cnfStyle w:val="100000000000" w:firstRow="1" w:lastRow="0" w:firstColumn="0" w:lastColumn="0" w:oddVBand="0" w:evenVBand="0" w:oddHBand="0" w:evenHBand="0" w:firstRowFirstColumn="0" w:firstRowLastColumn="0" w:lastRowFirstColumn="0" w:lastRowLastColumn="0"/>
              <w:rPr>
                <w:b/>
              </w:rPr>
            </w:pPr>
            <w:r>
              <w:rPr>
                <w:b/>
                <w:lang w:eastAsia="en-AU"/>
              </w:rPr>
              <w:t>Notes</w:t>
            </w:r>
          </w:p>
        </w:tc>
      </w:tr>
      <w:tr w:rsidR="00234115" w:rsidRPr="00654F9E" w14:paraId="7876F758"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1459" w:type="pct"/>
          </w:tcPr>
          <w:p w14:paraId="4DA79BA8" w14:textId="77777777" w:rsidR="00234115" w:rsidRPr="007E495B" w:rsidRDefault="00234115" w:rsidP="00CC14C9">
            <w:pPr>
              <w:pStyle w:val="Tabletext"/>
              <w:keepNext/>
              <w:contextualSpacing/>
              <w:rPr>
                <w:b w:val="0"/>
              </w:rPr>
            </w:pPr>
            <w:r>
              <w:rPr>
                <w:b w:val="0"/>
              </w:rPr>
              <w:t>Single MNO Solution</w:t>
            </w:r>
          </w:p>
        </w:tc>
        <w:tc>
          <w:tcPr>
            <w:tcW w:w="1159" w:type="pct"/>
          </w:tcPr>
          <w:p w14:paraId="1B9F451E" w14:textId="5D20E51A" w:rsidR="00234115" w:rsidRDefault="00234115" w:rsidP="00CC14C9">
            <w:pPr>
              <w:pStyle w:val="Tabletext"/>
              <w:keepNext/>
              <w:contextualSpacing/>
              <w:cnfStyle w:val="000000000000" w:firstRow="0" w:lastRow="0" w:firstColumn="0" w:lastColumn="0" w:oddVBand="0" w:evenVBand="0" w:oddHBand="0" w:evenHBand="0" w:firstRowFirstColumn="0" w:firstRowLastColumn="0" w:lastRowFirstColumn="0" w:lastRowLastColumn="0"/>
            </w:pPr>
            <w:r>
              <w:t>No</w:t>
            </w:r>
          </w:p>
        </w:tc>
        <w:tc>
          <w:tcPr>
            <w:tcW w:w="2382" w:type="pct"/>
          </w:tcPr>
          <w:p w14:paraId="320B598B" w14:textId="42CE62CF" w:rsidR="00234115" w:rsidRPr="007E495B" w:rsidRDefault="00234115" w:rsidP="00CC14C9">
            <w:pPr>
              <w:pStyle w:val="Tabletext"/>
              <w:keepNext/>
              <w:contextualSpacing/>
              <w:cnfStyle w:val="000000000000" w:firstRow="0" w:lastRow="0" w:firstColumn="0" w:lastColumn="0" w:oddVBand="0" w:evenVBand="0" w:oddHBand="0" w:evenHBand="0" w:firstRowFirstColumn="0" w:firstRowLastColumn="0" w:lastRowFirstColumn="0" w:lastRowLastColumn="0"/>
            </w:pPr>
          </w:p>
        </w:tc>
      </w:tr>
      <w:tr w:rsidR="00234115" w:rsidRPr="00654F9E" w14:paraId="2B200300"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9" w:type="pct"/>
          </w:tcPr>
          <w:p w14:paraId="06FBE09C" w14:textId="77777777" w:rsidR="00234115" w:rsidRPr="007E495B" w:rsidRDefault="00234115" w:rsidP="005C4E32">
            <w:pPr>
              <w:pStyle w:val="Tabletext"/>
              <w:contextualSpacing/>
              <w:rPr>
                <w:b w:val="0"/>
              </w:rPr>
            </w:pPr>
            <w:proofErr w:type="spellStart"/>
            <w:r>
              <w:rPr>
                <w:b w:val="0"/>
              </w:rPr>
              <w:t>MNIP</w:t>
            </w:r>
            <w:proofErr w:type="spellEnd"/>
            <w:r>
              <w:rPr>
                <w:b w:val="0"/>
              </w:rPr>
              <w:t>-led Solution with one or more MNOs</w:t>
            </w:r>
          </w:p>
        </w:tc>
        <w:tc>
          <w:tcPr>
            <w:tcW w:w="1159" w:type="pct"/>
          </w:tcPr>
          <w:p w14:paraId="1B0164CB" w14:textId="7E7A97F7" w:rsidR="00234115" w:rsidRDefault="00234115" w:rsidP="005C4E32">
            <w:pPr>
              <w:pStyle w:val="Tabletext"/>
              <w:contextualSpacing/>
              <w:cnfStyle w:val="000000010000" w:firstRow="0" w:lastRow="0" w:firstColumn="0" w:lastColumn="0" w:oddVBand="0" w:evenVBand="0" w:oddHBand="0" w:evenHBand="1" w:firstRowFirstColumn="0" w:firstRowLastColumn="0" w:lastRowFirstColumn="0" w:lastRowLastColumn="0"/>
            </w:pPr>
            <w:r>
              <w:t>Yes</w:t>
            </w:r>
          </w:p>
        </w:tc>
        <w:tc>
          <w:tcPr>
            <w:tcW w:w="2382" w:type="pct"/>
          </w:tcPr>
          <w:p w14:paraId="5A95985E" w14:textId="26CBE3C8" w:rsidR="00234115" w:rsidRPr="005A463E" w:rsidRDefault="00234115" w:rsidP="005A463E">
            <w:pPr>
              <w:pStyle w:val="Tabletext"/>
              <w:spacing w:after="80"/>
              <w:contextualSpacing/>
              <w:cnfStyle w:val="000000010000" w:firstRow="0" w:lastRow="0" w:firstColumn="0" w:lastColumn="0" w:oddVBand="0" w:evenVBand="0" w:oddHBand="0" w:evenHBand="1" w:firstRowFirstColumn="0" w:firstRowLastColumn="0" w:lastRowFirstColumn="0" w:lastRowLastColumn="0"/>
            </w:pPr>
            <w:r w:rsidRPr="00234115">
              <w:rPr>
                <w:lang w:eastAsia="en-AU"/>
              </w:rPr>
              <w:t>Additional Commonwealth Funding Contribution</w:t>
            </w:r>
            <w:r w:rsidDel="00234115">
              <w:t xml:space="preserve"> </w:t>
            </w:r>
            <w:r>
              <w:t xml:space="preserve">available to the </w:t>
            </w:r>
            <w:r w:rsidRPr="00234115">
              <w:rPr>
                <w:b/>
              </w:rPr>
              <w:t>Lead Applicant only</w:t>
            </w:r>
            <w:r w:rsidR="005A463E" w:rsidRPr="005A463E">
              <w:t>.</w:t>
            </w:r>
          </w:p>
          <w:p w14:paraId="399BDAA7" w14:textId="64A5556A" w:rsidR="00234115" w:rsidRPr="007E495B" w:rsidRDefault="00D3278E" w:rsidP="005A463E">
            <w:pPr>
              <w:pStyle w:val="Tabletext"/>
              <w:spacing w:after="80"/>
              <w:contextualSpacing/>
              <w:cnfStyle w:val="000000010000" w:firstRow="0" w:lastRow="0" w:firstColumn="0" w:lastColumn="0" w:oddVBand="0" w:evenVBand="0" w:oddHBand="0" w:evenHBand="1" w:firstRowFirstColumn="0" w:firstRowLastColumn="0" w:lastRowFirstColumn="0" w:lastRowLastColumn="0"/>
            </w:pPr>
            <w:r>
              <w:t>Contingent</w:t>
            </w:r>
            <w:r w:rsidR="00234115">
              <w:t xml:space="preserve"> on the </w:t>
            </w:r>
            <w:r w:rsidR="007452E7">
              <w:t xml:space="preserve">application for the </w:t>
            </w:r>
            <w:proofErr w:type="spellStart"/>
            <w:r w:rsidR="00234115">
              <w:t>MNIP</w:t>
            </w:r>
            <w:proofErr w:type="spellEnd"/>
            <w:r w:rsidR="007452E7">
              <w:t>-led solution</w:t>
            </w:r>
            <w:r w:rsidR="00234115">
              <w:t xml:space="preserve"> including written </w:t>
            </w:r>
            <w:r w:rsidR="00510C53">
              <w:t xml:space="preserve">evidence of intent from at least one MNO to enter into a commercially binding agreement </w:t>
            </w:r>
            <w:r w:rsidR="00510C53" w:rsidRPr="00734ED7">
              <w:t xml:space="preserve">to use the infrastructure to deliver mobile services as described at section </w:t>
            </w:r>
            <w:r w:rsidR="00510C53" w:rsidRPr="00734ED7">
              <w:fldChar w:fldCharType="begin"/>
            </w:r>
            <w:r w:rsidR="00510C53" w:rsidRPr="00734ED7">
              <w:instrText xml:space="preserve"> REF _Ref109304876 \r \h </w:instrText>
            </w:r>
            <w:r w:rsidR="00510C53">
              <w:instrText xml:space="preserve"> \* MERGEFORMAT </w:instrText>
            </w:r>
            <w:r w:rsidR="00510C53" w:rsidRPr="00734ED7">
              <w:fldChar w:fldCharType="separate"/>
            </w:r>
            <w:r w:rsidR="00510C53" w:rsidRPr="00734ED7">
              <w:t>4.2</w:t>
            </w:r>
            <w:r w:rsidR="00510C53" w:rsidRPr="00734ED7">
              <w:fldChar w:fldCharType="end"/>
            </w:r>
            <w:r w:rsidR="00510C53" w:rsidRPr="00734ED7">
              <w:t xml:space="preserve"> for the Operational Period of the Proposed Solution</w:t>
            </w:r>
            <w:r w:rsidR="00510C53">
              <w:t xml:space="preserve"> (see</w:t>
            </w:r>
            <w:r w:rsidR="005A463E">
              <w:t> </w:t>
            </w:r>
            <w:r w:rsidR="00510C53">
              <w:t>4.1.4)</w:t>
            </w:r>
            <w:r w:rsidR="005A463E">
              <w:t>.</w:t>
            </w:r>
          </w:p>
        </w:tc>
      </w:tr>
      <w:tr w:rsidR="00234115" w:rsidRPr="00654F9E" w14:paraId="635075B9"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1459" w:type="pct"/>
          </w:tcPr>
          <w:p w14:paraId="061FD1AC" w14:textId="77777777" w:rsidR="00234115" w:rsidRPr="007E495B" w:rsidRDefault="00234115" w:rsidP="005C4E32">
            <w:pPr>
              <w:pStyle w:val="Tabletext"/>
              <w:contextualSpacing/>
              <w:rPr>
                <w:b w:val="0"/>
              </w:rPr>
            </w:pPr>
            <w:r>
              <w:rPr>
                <w:b w:val="0"/>
              </w:rPr>
              <w:t>Multi-MNO Solution</w:t>
            </w:r>
          </w:p>
        </w:tc>
        <w:tc>
          <w:tcPr>
            <w:tcW w:w="1159" w:type="pct"/>
          </w:tcPr>
          <w:p w14:paraId="34CA0621" w14:textId="33D607F3" w:rsidR="00234115" w:rsidRDefault="00234115" w:rsidP="005C4E32">
            <w:pPr>
              <w:pStyle w:val="Tabletext"/>
              <w:contextualSpacing/>
              <w:cnfStyle w:val="000000000000" w:firstRow="0" w:lastRow="0" w:firstColumn="0" w:lastColumn="0" w:oddVBand="0" w:evenVBand="0" w:oddHBand="0" w:evenHBand="0" w:firstRowFirstColumn="0" w:firstRowLastColumn="0" w:lastRowFirstColumn="0" w:lastRowLastColumn="0"/>
            </w:pPr>
            <w:r>
              <w:t>Yes</w:t>
            </w:r>
          </w:p>
        </w:tc>
        <w:tc>
          <w:tcPr>
            <w:tcW w:w="2382" w:type="pct"/>
          </w:tcPr>
          <w:p w14:paraId="731B56F1" w14:textId="44F07340" w:rsidR="00510C53" w:rsidRPr="005A463E" w:rsidRDefault="005A463E" w:rsidP="005A463E">
            <w:pPr>
              <w:pStyle w:val="Listparagraphbullets"/>
              <w:cnfStyle w:val="000000000000" w:firstRow="0" w:lastRow="0" w:firstColumn="0" w:lastColumn="0" w:oddVBand="0" w:evenVBand="0" w:oddHBand="0" w:evenHBand="0" w:firstRowFirstColumn="0" w:firstRowLastColumn="0" w:lastRowFirstColumn="0" w:lastRowLastColumn="0"/>
            </w:pPr>
            <w:r>
              <w:rPr>
                <w:lang w:eastAsia="en-AU"/>
              </w:rPr>
              <w:t>a</w:t>
            </w:r>
            <w:r w:rsidR="00510C53" w:rsidRPr="00234115">
              <w:rPr>
                <w:lang w:eastAsia="en-AU"/>
              </w:rPr>
              <w:t>dditional Commonwealth Funding Contribution</w:t>
            </w:r>
            <w:r w:rsidR="00510C53" w:rsidDel="00234115">
              <w:t xml:space="preserve"> </w:t>
            </w:r>
            <w:r w:rsidR="00510C53">
              <w:t xml:space="preserve">available to the </w:t>
            </w:r>
            <w:r w:rsidR="00510C53" w:rsidRPr="00234115">
              <w:rPr>
                <w:b/>
              </w:rPr>
              <w:t>Lead Applicant only</w:t>
            </w:r>
          </w:p>
          <w:p w14:paraId="0D1D86BC" w14:textId="5B9A2281" w:rsidR="00510C53" w:rsidRDefault="005A463E" w:rsidP="005A463E">
            <w:pPr>
              <w:pStyle w:val="Listparagraphbullets"/>
              <w:cnfStyle w:val="000000000000" w:firstRow="0" w:lastRow="0" w:firstColumn="0" w:lastColumn="0" w:oddVBand="0" w:evenVBand="0" w:oddHBand="0" w:evenHBand="0" w:firstRowFirstColumn="0" w:firstRowLastColumn="0" w:lastRowFirstColumn="0" w:lastRowLastColumn="0"/>
            </w:pPr>
            <w:r>
              <w:t>c</w:t>
            </w:r>
            <w:r w:rsidR="00510C53">
              <w:t>ontingent on all Proposed Solutions at a proposed co-location site being awarded funding under the Program</w:t>
            </w:r>
            <w:r w:rsidR="008C4C5F">
              <w:t xml:space="preserve">; and </w:t>
            </w:r>
          </w:p>
          <w:p w14:paraId="22279373" w14:textId="570F4A8E" w:rsidR="008C4C5F" w:rsidRPr="007E495B" w:rsidRDefault="005A463E" w:rsidP="005A463E">
            <w:pPr>
              <w:pStyle w:val="Listparagraphbullets"/>
              <w:cnfStyle w:val="000000000000" w:firstRow="0" w:lastRow="0" w:firstColumn="0" w:lastColumn="0" w:oddVBand="0" w:evenVBand="0" w:oddHBand="0" w:evenHBand="0" w:firstRowFirstColumn="0" w:firstRowLastColumn="0" w:lastRowFirstColumn="0" w:lastRowLastColumn="0"/>
            </w:pPr>
            <w:r>
              <w:t>co</w:t>
            </w:r>
            <w:r w:rsidR="008C4C5F">
              <w:t>ntingent on the application/s including a signed commercially binding agreement between the co</w:t>
            </w:r>
            <w:r w:rsidR="00417CD1">
              <w:noBreakHyphen/>
            </w:r>
            <w:r w:rsidR="008C4C5F">
              <w:t>locating parties</w:t>
            </w:r>
            <w:r w:rsidR="00BA7497">
              <w:t>, or a commitment to enter into such an agreement prior to a Grant Agreement being executed</w:t>
            </w:r>
          </w:p>
        </w:tc>
      </w:tr>
    </w:tbl>
    <w:p w14:paraId="73D47688" w14:textId="77777777" w:rsidR="00733FF0" w:rsidRPr="00C52715" w:rsidRDefault="00733FF0" w:rsidP="007411E2">
      <w:pPr>
        <w:pStyle w:val="Heading3"/>
        <w:spacing w:before="360"/>
        <w:ind w:left="1077" w:hanging="1077"/>
      </w:pPr>
      <w:bookmarkStart w:id="132" w:name="_Toc149307691"/>
      <w:bookmarkStart w:id="133" w:name="_Toc113442181"/>
      <w:bookmarkStart w:id="134" w:name="_Toc113357218"/>
      <w:bookmarkStart w:id="135" w:name="_Toc178085196"/>
      <w:bookmarkEnd w:id="132"/>
      <w:r w:rsidRPr="00C52715">
        <w:t>What the grant money cannot be used for</w:t>
      </w:r>
      <w:bookmarkEnd w:id="133"/>
      <w:bookmarkEnd w:id="134"/>
      <w:bookmarkEnd w:id="135"/>
    </w:p>
    <w:p w14:paraId="73D47689" w14:textId="3C201DDC" w:rsidR="00733FF0" w:rsidRPr="00C52715" w:rsidRDefault="00733FF0" w:rsidP="005C4E32">
      <w:pPr>
        <w:pStyle w:val="Normal-Style2"/>
        <w:rPr>
          <w:rFonts w:eastAsia="Calibri"/>
        </w:rPr>
      </w:pPr>
      <w:bookmarkStart w:id="136" w:name="_Toc494290504"/>
      <w:bookmarkStart w:id="137" w:name="_Toc494290505"/>
      <w:bookmarkStart w:id="138" w:name="_Toc494290506"/>
      <w:bookmarkStart w:id="139" w:name="_Toc494290507"/>
      <w:bookmarkStart w:id="140" w:name="_Toc494290508"/>
      <w:bookmarkStart w:id="141" w:name="_Toc494290509"/>
      <w:bookmarkStart w:id="142" w:name="_Toc494290510"/>
      <w:bookmarkStart w:id="143" w:name="_Toc494290511"/>
      <w:bookmarkStart w:id="144" w:name="_Ref109305409"/>
      <w:bookmarkStart w:id="145" w:name="_Ref485221187"/>
      <w:bookmarkEnd w:id="136"/>
      <w:bookmarkEnd w:id="137"/>
      <w:bookmarkEnd w:id="138"/>
      <w:bookmarkEnd w:id="139"/>
      <w:bookmarkEnd w:id="140"/>
      <w:bookmarkEnd w:id="141"/>
      <w:bookmarkEnd w:id="142"/>
      <w:bookmarkEnd w:id="143"/>
      <w:r w:rsidRPr="00C52715">
        <w:rPr>
          <w:rFonts w:eastAsia="Calibri"/>
        </w:rPr>
        <w:t xml:space="preserve">Applicants must not seek Commonwealth funding for Proposed Solutions where they have already planned to invest commercially. All applicants must certify through the provision of a statutory declaration that any Proposed Solutions for which Commonwealth funds are being sought were not, at any time, part of </w:t>
      </w:r>
      <w:r w:rsidR="004C2EBB">
        <w:rPr>
          <w:rFonts w:eastAsia="Calibri"/>
        </w:rPr>
        <w:t>a participating MNO’s</w:t>
      </w:r>
      <w:r w:rsidR="004C2EBB" w:rsidRPr="00C52715">
        <w:rPr>
          <w:rFonts w:eastAsia="Calibri"/>
        </w:rPr>
        <w:t xml:space="preserve"> </w:t>
      </w:r>
      <w:r w:rsidRPr="00C52715">
        <w:rPr>
          <w:rFonts w:eastAsia="Calibri"/>
        </w:rPr>
        <w:t>202</w:t>
      </w:r>
      <w:r w:rsidR="00F86073">
        <w:rPr>
          <w:rFonts w:eastAsia="Calibri"/>
        </w:rPr>
        <w:t>3</w:t>
      </w:r>
      <w:r w:rsidRPr="00C52715">
        <w:rPr>
          <w:rFonts w:eastAsia="Calibri"/>
        </w:rPr>
        <w:t>-2</w:t>
      </w:r>
      <w:r w:rsidR="00F86073">
        <w:rPr>
          <w:rFonts w:eastAsia="Calibri"/>
        </w:rPr>
        <w:t>4</w:t>
      </w:r>
      <w:r w:rsidRPr="00C52715">
        <w:rPr>
          <w:rFonts w:eastAsia="Calibri"/>
        </w:rPr>
        <w:t xml:space="preserve"> to 2026-27 forward</w:t>
      </w:r>
      <w:r w:rsidRPr="00C52715">
        <w:rPr>
          <w:rFonts w:eastAsia="Calibri"/>
        </w:rPr>
        <w:noBreakHyphen/>
        <w:t>build plans.</w:t>
      </w:r>
      <w:bookmarkStart w:id="146" w:name="_Ref110515500"/>
      <w:bookmarkEnd w:id="144"/>
      <w:r w:rsidR="0032225B" w:rsidRPr="00C52715">
        <w:rPr>
          <w:rFonts w:eastAsia="Calibri"/>
        </w:rPr>
        <w:t xml:space="preserve"> In addition, a</w:t>
      </w:r>
      <w:r w:rsidR="004F6BD4" w:rsidRPr="00C52715">
        <w:rPr>
          <w:rFonts w:eastAsia="Calibri"/>
        </w:rPr>
        <w:t xml:space="preserve">pplicants must not have </w:t>
      </w:r>
      <w:r w:rsidR="004F6BD4" w:rsidRPr="00C52715">
        <w:t>started construction or be part of the participating telecommunications provider’s forward build network or upgrade plans from the period commencing from the date the Grant Opportunity</w:t>
      </w:r>
      <w:r w:rsidR="004F6BD4" w:rsidRPr="00C52715">
        <w:rPr>
          <w:rFonts w:cstheme="minorHAnsi"/>
        </w:rPr>
        <w:t xml:space="preserve"> opens until 30 June 2027</w:t>
      </w:r>
      <w:r w:rsidR="004F6BD4" w:rsidRPr="00C52715">
        <w:rPr>
          <w:rStyle w:val="highlightedtextChar"/>
          <w:rFonts w:ascii="Arial" w:hAnsi="Arial"/>
          <w:color w:val="auto"/>
          <w:sz w:val="20"/>
        </w:rPr>
        <w:t>.</w:t>
      </w:r>
    </w:p>
    <w:bookmarkEnd w:id="146"/>
    <w:p w14:paraId="73D4768A" w14:textId="78ACCB14" w:rsidR="00733FF0" w:rsidRPr="00642E27" w:rsidRDefault="00733FF0" w:rsidP="005C4E32">
      <w:pPr>
        <w:pStyle w:val="Normal-Style2"/>
        <w:rPr>
          <w:rFonts w:eastAsia="Calibri"/>
        </w:rPr>
      </w:pPr>
      <w:r w:rsidRPr="00631E6D">
        <w:rPr>
          <w:rFonts w:eastAsia="Calibri"/>
        </w:rPr>
        <w:t xml:space="preserve">The </w:t>
      </w:r>
      <w:r>
        <w:rPr>
          <w:rFonts w:eastAsia="Calibri"/>
        </w:rPr>
        <w:t>department</w:t>
      </w:r>
      <w:r w:rsidRPr="00631E6D">
        <w:rPr>
          <w:rFonts w:eastAsia="Calibri"/>
        </w:rPr>
        <w:t xml:space="preserve"> may audit a Grantee’s compliance with section </w:t>
      </w:r>
      <w:r>
        <w:rPr>
          <w:rFonts w:eastAsia="Calibri"/>
        </w:rPr>
        <w:fldChar w:fldCharType="begin"/>
      </w:r>
      <w:r>
        <w:rPr>
          <w:rFonts w:eastAsia="Calibri"/>
        </w:rPr>
        <w:instrText xml:space="preserve"> REF _Ref110515500 \r \h </w:instrText>
      </w:r>
      <w:r w:rsidR="005C4E32">
        <w:rPr>
          <w:rFonts w:eastAsia="Calibri"/>
        </w:rPr>
        <w:instrText xml:space="preserve"> \* MERGEFORMAT </w:instrText>
      </w:r>
      <w:r>
        <w:rPr>
          <w:rFonts w:eastAsia="Calibri"/>
        </w:rPr>
      </w:r>
      <w:r>
        <w:rPr>
          <w:rFonts w:eastAsia="Calibri"/>
        </w:rPr>
        <w:fldChar w:fldCharType="separate"/>
      </w:r>
      <w:r w:rsidR="00711186">
        <w:rPr>
          <w:rFonts w:eastAsia="Calibri"/>
        </w:rPr>
        <w:t>5.4.1</w:t>
      </w:r>
      <w:r>
        <w:rPr>
          <w:rFonts w:eastAsia="Calibri"/>
        </w:rPr>
        <w:fldChar w:fldCharType="end"/>
      </w:r>
      <w:r w:rsidRPr="00631E6D">
        <w:rPr>
          <w:rFonts w:eastAsia="Calibri"/>
        </w:rPr>
        <w:t>.</w:t>
      </w:r>
    </w:p>
    <w:p w14:paraId="73D4768B" w14:textId="77777777" w:rsidR="00733FF0" w:rsidRDefault="00733FF0" w:rsidP="005C4E32">
      <w:pPr>
        <w:pStyle w:val="Normal-Style2"/>
        <w:rPr>
          <w:rFonts w:eastAsia="Calibri"/>
        </w:rPr>
      </w:pPr>
      <w:r w:rsidRPr="00631E6D">
        <w:rPr>
          <w:rFonts w:eastAsia="Calibri"/>
        </w:rPr>
        <w:t xml:space="preserve">Proposed </w:t>
      </w:r>
      <w:r>
        <w:rPr>
          <w:rFonts w:eastAsia="Calibri"/>
        </w:rPr>
        <w:t>S</w:t>
      </w:r>
      <w:r w:rsidRPr="00631E6D">
        <w:rPr>
          <w:rFonts w:eastAsia="Calibri"/>
        </w:rPr>
        <w:t xml:space="preserve">olutions must be infrastructure projects and cannot consist of </w:t>
      </w:r>
      <w:r w:rsidRPr="003616E4">
        <w:rPr>
          <w:rFonts w:eastAsia="Calibri"/>
          <w:b/>
        </w:rPr>
        <w:t>Consumer Level Products or Equipment</w:t>
      </w:r>
      <w:r w:rsidRPr="00631E6D">
        <w:rPr>
          <w:rFonts w:eastAsia="Calibri"/>
        </w:rPr>
        <w:t>.</w:t>
      </w:r>
    </w:p>
    <w:p w14:paraId="73D4768C" w14:textId="77777777" w:rsidR="00B5747D" w:rsidRPr="009257F3" w:rsidRDefault="00B5747D" w:rsidP="005C4E32">
      <w:pPr>
        <w:pStyle w:val="Normal-Style2"/>
        <w:rPr>
          <w:rFonts w:eastAsia="Calibri"/>
        </w:rPr>
      </w:pPr>
      <w:r w:rsidRPr="009257F3">
        <w:rPr>
          <w:rFonts w:eastAsia="Calibri"/>
        </w:rPr>
        <w:t>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Grant Agreement and of other documentation.</w:t>
      </w:r>
    </w:p>
    <w:p w14:paraId="73D4768D" w14:textId="77777777" w:rsidR="00733FF0" w:rsidRDefault="00733FF0" w:rsidP="00F739AC">
      <w:pPr>
        <w:pStyle w:val="Heading2"/>
      </w:pPr>
      <w:bookmarkStart w:id="147" w:name="_Toc138639117"/>
      <w:bookmarkStart w:id="148" w:name="_Ref110515467"/>
      <w:bookmarkStart w:id="149" w:name="_Ref110516168"/>
      <w:bookmarkStart w:id="150" w:name="_Ref110516226"/>
      <w:bookmarkStart w:id="151" w:name="_Toc113442182"/>
      <w:bookmarkStart w:id="152" w:name="_Toc113357219"/>
      <w:bookmarkStart w:id="153" w:name="_Toc178085197"/>
      <w:bookmarkStart w:id="154" w:name="_Ref109305520"/>
      <w:bookmarkEnd w:id="147"/>
      <w:r>
        <w:lastRenderedPageBreak/>
        <w:t>The assessment criteria</w:t>
      </w:r>
      <w:bookmarkEnd w:id="148"/>
      <w:bookmarkEnd w:id="149"/>
      <w:bookmarkEnd w:id="150"/>
      <w:bookmarkEnd w:id="151"/>
      <w:bookmarkEnd w:id="152"/>
      <w:bookmarkEnd w:id="153"/>
    </w:p>
    <w:p w14:paraId="73D4768E" w14:textId="07593360" w:rsidR="005D29B7" w:rsidRPr="005D29B7" w:rsidRDefault="001A692A" w:rsidP="005C4E32">
      <w:pPr>
        <w:pStyle w:val="Heading3"/>
        <w:ind w:left="1077" w:hanging="1077"/>
      </w:pPr>
      <w:bookmarkStart w:id="155" w:name="_Toc178085198"/>
      <w:r w:rsidRPr="001A692A">
        <w:t>Criterion 1: New Improved Handheld Coverage (</w:t>
      </w:r>
      <w:r w:rsidR="008D12C7">
        <w:t>2</w:t>
      </w:r>
      <w:r w:rsidR="00A2637F">
        <w:t>5</w:t>
      </w:r>
      <w:r w:rsidRPr="001A692A">
        <w:t xml:space="preserve"> Points)</w:t>
      </w:r>
      <w:bookmarkEnd w:id="155"/>
      <w:r>
        <w:t xml:space="preserve"> </w:t>
      </w:r>
    </w:p>
    <w:p w14:paraId="73D4768F" w14:textId="05A92FEC" w:rsidR="005D29B7" w:rsidRDefault="005D29B7" w:rsidP="00CC14C9">
      <w:pPr>
        <w:pStyle w:val="Normal-Style2"/>
        <w:keepLines/>
        <w:rPr>
          <w:rFonts w:eastAsia="Calibri"/>
        </w:rPr>
      </w:pPr>
      <w:r w:rsidRPr="00D84EEA">
        <w:rPr>
          <w:rFonts w:eastAsia="Calibri"/>
          <w:b/>
        </w:rPr>
        <w:t>New Improved Handheld Coverage</w:t>
      </w:r>
      <w:r w:rsidRPr="00165184">
        <w:rPr>
          <w:rFonts w:eastAsia="Calibri"/>
        </w:rPr>
        <w:t xml:space="preserve"> refers to the size (in square kilometres) of the mobile coverage footprint area</w:t>
      </w:r>
      <w:r>
        <w:rPr>
          <w:rFonts w:eastAsia="Calibri"/>
        </w:rPr>
        <w:t xml:space="preserve"> </w:t>
      </w:r>
      <w:r w:rsidRPr="00165184">
        <w:rPr>
          <w:rFonts w:eastAsia="Calibri"/>
        </w:rPr>
        <w:t>which will receive</w:t>
      </w:r>
      <w:r w:rsidR="00EA4293">
        <w:rPr>
          <w:rFonts w:eastAsia="Calibri"/>
        </w:rPr>
        <w:t xml:space="preserve"> </w:t>
      </w:r>
      <w:r w:rsidR="0057529D" w:rsidRPr="002D68C3">
        <w:rPr>
          <w:rFonts w:eastAsia="Calibri"/>
        </w:rPr>
        <w:t>New</w:t>
      </w:r>
      <w:r w:rsidR="0057529D" w:rsidRPr="00B16950">
        <w:rPr>
          <w:rFonts w:eastAsia="Calibri"/>
        </w:rPr>
        <w:t xml:space="preserve"> </w:t>
      </w:r>
      <w:r w:rsidRPr="00B16950">
        <w:rPr>
          <w:rFonts w:eastAsia="Calibri"/>
        </w:rPr>
        <w:t>Improved</w:t>
      </w:r>
      <w:r w:rsidRPr="00165184">
        <w:rPr>
          <w:rFonts w:eastAsia="Calibri"/>
        </w:rPr>
        <w:t xml:space="preserve"> Handheld Coverage where there is no </w:t>
      </w:r>
      <w:r w:rsidRPr="009868E0">
        <w:rPr>
          <w:rFonts w:eastAsia="Calibri"/>
          <w:b/>
        </w:rPr>
        <w:t>Existing Handheld Coverage</w:t>
      </w:r>
      <w:r w:rsidRPr="00165184">
        <w:rPr>
          <w:rFonts w:eastAsia="Calibri"/>
        </w:rPr>
        <w:t xml:space="preserve"> in the applicant’s network</w:t>
      </w:r>
      <w:r>
        <w:rPr>
          <w:rFonts w:eastAsia="Calibri"/>
        </w:rPr>
        <w:t xml:space="preserve"> at the signal levels specified in section 4.2.3</w:t>
      </w:r>
      <w:r w:rsidRPr="00165184">
        <w:rPr>
          <w:rFonts w:eastAsia="Calibri"/>
        </w:rPr>
        <w:t>.</w:t>
      </w:r>
    </w:p>
    <w:p w14:paraId="73D47690" w14:textId="67B88DB8" w:rsidR="005D29B7" w:rsidRDefault="00F7474B" w:rsidP="005C4E32">
      <w:pPr>
        <w:pStyle w:val="Normal-Style2"/>
        <w:keepLines/>
      </w:pPr>
      <w:r>
        <w:t>P</w:t>
      </w:r>
      <w:r w:rsidR="005D29B7">
        <w:t xml:space="preserve">oints will be awarded </w:t>
      </w:r>
      <w:r>
        <w:t xml:space="preserve">in two parts </w:t>
      </w:r>
      <w:r w:rsidR="005D29B7">
        <w:t xml:space="preserve">based on the </w:t>
      </w:r>
      <w:r w:rsidR="005D29B7" w:rsidRPr="008C6DEB">
        <w:t xml:space="preserve">amount of New Improved Handheld Coverage delivered by the Proposed Solution within the applicant’s network in the </w:t>
      </w:r>
      <w:r w:rsidR="003B24C1">
        <w:t>E</w:t>
      </w:r>
      <w:r w:rsidR="005D29B7">
        <w:t xml:space="preserve">ligible </w:t>
      </w:r>
      <w:r w:rsidR="002E71C8">
        <w:t>Location</w:t>
      </w:r>
      <w:r w:rsidR="005D29B7" w:rsidRPr="008C6DEB">
        <w:t>.</w:t>
      </w:r>
      <w:r w:rsidR="00326008">
        <w:t xml:space="preserve"> </w:t>
      </w:r>
      <w:r w:rsidR="005D29B7" w:rsidRPr="008C6DEB">
        <w:t xml:space="preserve"> </w:t>
      </w:r>
    </w:p>
    <w:p w14:paraId="194F37C5" w14:textId="738C071B" w:rsidR="009E4D51" w:rsidRPr="00850B9D" w:rsidRDefault="00F7474B" w:rsidP="00850B9D">
      <w:pPr>
        <w:pStyle w:val="Normal-Style2"/>
        <w:keepLines/>
        <w:numPr>
          <w:ilvl w:val="0"/>
          <w:numId w:val="0"/>
        </w:numPr>
        <w:ind w:left="2214" w:hanging="1080"/>
        <w:rPr>
          <w:rFonts w:ascii="Calibri" w:eastAsia="SimSun" w:hAnsi="Calibri" w:cs="Times New Roman"/>
          <w:b/>
          <w:color w:val="595C6E"/>
          <w:kern w:val="12"/>
          <w:sz w:val="32"/>
          <w:szCs w:val="24"/>
        </w:rPr>
      </w:pPr>
      <w:r w:rsidRPr="00850B9D">
        <w:rPr>
          <w:rFonts w:ascii="Calibri" w:eastAsia="SimSun" w:hAnsi="Calibri" w:cs="Times New Roman"/>
          <w:b/>
          <w:color w:val="595C6E"/>
          <w:kern w:val="12"/>
          <w:sz w:val="32"/>
          <w:szCs w:val="24"/>
        </w:rPr>
        <w:t>Part 1</w:t>
      </w:r>
    </w:p>
    <w:p w14:paraId="3E2C1EF7" w14:textId="33DD9990" w:rsidR="00DE2163" w:rsidRDefault="00326008" w:rsidP="005C4E32">
      <w:pPr>
        <w:pStyle w:val="Normal-Style2"/>
      </w:pPr>
      <w:r>
        <w:t xml:space="preserve">Under Part 1, </w:t>
      </w:r>
      <w:r w:rsidRPr="008C6DEB">
        <w:t xml:space="preserve">Proposed </w:t>
      </w:r>
      <w:r>
        <w:t>S</w:t>
      </w:r>
      <w:r w:rsidRPr="008C6DEB">
        <w:t xml:space="preserve">olutions </w:t>
      </w:r>
      <w:r>
        <w:t xml:space="preserve">will be awarded up to 20 points according to the </w:t>
      </w:r>
      <w:r w:rsidR="001875E9">
        <w:t>s</w:t>
      </w:r>
      <w:r>
        <w:t xml:space="preserve">coring </w:t>
      </w:r>
      <w:r w:rsidR="001875E9">
        <w:t>m</w:t>
      </w:r>
      <w:r>
        <w:t>atrix</w:t>
      </w:r>
      <w:r w:rsidR="001875E9">
        <w:t xml:space="preserve"> in </w:t>
      </w:r>
      <w:r>
        <w:t>Table 2 based on</w:t>
      </w:r>
      <w:r w:rsidRPr="008C6DEB">
        <w:t xml:space="preserve"> the amount of</w:t>
      </w:r>
      <w:r w:rsidR="00D21283">
        <w:t xml:space="preserve"> </w:t>
      </w:r>
      <w:r w:rsidR="00BE0ABA">
        <w:t xml:space="preserve">4G </w:t>
      </w:r>
      <w:r w:rsidRPr="008C6DEB">
        <w:t>New Improved Handheld Coverage in square kilometres</w:t>
      </w:r>
      <w:r>
        <w:t xml:space="preserve"> (km</w:t>
      </w:r>
      <w:r w:rsidRPr="00326008">
        <w:rPr>
          <w:vertAlign w:val="superscript"/>
        </w:rPr>
        <w:t>2</w:t>
      </w:r>
      <w:r>
        <w:t>).</w:t>
      </w:r>
      <w:r w:rsidR="00A42ED5">
        <w:t xml:space="preserve"> </w:t>
      </w:r>
      <w:r>
        <w:t>The amount of New Improved Handheld Coverage will be asse</w:t>
      </w:r>
      <w:r w:rsidR="00070A51">
        <w:t>ssed against each of the coverage levels specified at 4.2.3 with loading</w:t>
      </w:r>
      <w:r w:rsidR="00252A3F">
        <w:t>s</w:t>
      </w:r>
      <w:r w:rsidR="00070A51">
        <w:t xml:space="preserve"> applied </w:t>
      </w:r>
      <w:r w:rsidR="00252A3F">
        <w:t xml:space="preserve">as per </w:t>
      </w:r>
      <w:r w:rsidR="00070A51">
        <w:t xml:space="preserve">Table </w:t>
      </w:r>
      <w:r w:rsidR="0035264F">
        <w:t>4</w:t>
      </w:r>
      <w:r w:rsidR="00252A3F">
        <w:t xml:space="preserve">, and </w:t>
      </w:r>
      <w:r w:rsidR="00DE2163">
        <w:t xml:space="preserve">then </w:t>
      </w:r>
      <w:r w:rsidR="00252A3F">
        <w:t>added together to give a total score.</w:t>
      </w:r>
    </w:p>
    <w:p w14:paraId="2DE775F9" w14:textId="3132A28D" w:rsidR="00DE2163" w:rsidRPr="00850B9D" w:rsidRDefault="00DE2163" w:rsidP="00850B9D">
      <w:pPr>
        <w:pStyle w:val="Normal-Style2"/>
        <w:keepLines/>
        <w:numPr>
          <w:ilvl w:val="0"/>
          <w:numId w:val="0"/>
        </w:numPr>
        <w:ind w:left="2214" w:hanging="1080"/>
        <w:rPr>
          <w:rFonts w:ascii="Calibri" w:eastAsia="SimSun" w:hAnsi="Calibri" w:cs="Times New Roman"/>
          <w:b/>
          <w:color w:val="595C6E"/>
          <w:kern w:val="12"/>
          <w:sz w:val="32"/>
          <w:szCs w:val="24"/>
        </w:rPr>
      </w:pPr>
      <w:r w:rsidRPr="00850B9D">
        <w:rPr>
          <w:rFonts w:ascii="Calibri" w:eastAsia="SimSun" w:hAnsi="Calibri" w:cs="Times New Roman"/>
          <w:b/>
          <w:color w:val="595C6E"/>
          <w:kern w:val="12"/>
          <w:sz w:val="32"/>
          <w:szCs w:val="24"/>
        </w:rPr>
        <w:t>Part 2</w:t>
      </w:r>
    </w:p>
    <w:p w14:paraId="121DA38B" w14:textId="77777777" w:rsidR="007411E2" w:rsidRPr="007411E2" w:rsidRDefault="000824A3" w:rsidP="007411E2">
      <w:pPr>
        <w:pStyle w:val="Normal-Style2"/>
        <w:rPr>
          <w:b/>
          <w:color w:val="002D72"/>
        </w:rPr>
      </w:pPr>
      <w:r w:rsidRPr="00DE2163">
        <w:t>Under Part 2, Proposed Solutions will be awarded up to an additional 5 points according to scoring matrix in Table</w:t>
      </w:r>
      <w:r>
        <w:t xml:space="preserve"> 3</w:t>
      </w:r>
      <w:r w:rsidRPr="00DE2163">
        <w:t xml:space="preserve"> based on </w:t>
      </w:r>
      <w:r>
        <w:t xml:space="preserve">the </w:t>
      </w:r>
      <w:r w:rsidRPr="00DE2163">
        <w:t xml:space="preserve">amount of </w:t>
      </w:r>
      <w:r w:rsidRPr="008C26ED">
        <w:t>5G</w:t>
      </w:r>
      <w:r w:rsidRPr="00DE2163">
        <w:t xml:space="preserve"> New Improved Handheld Coverage in squ</w:t>
      </w:r>
      <w:r>
        <w:t>a</w:t>
      </w:r>
      <w:r w:rsidRPr="00DE2163">
        <w:t xml:space="preserve">re kilometres </w:t>
      </w:r>
      <w:r>
        <w:t>(km</w:t>
      </w:r>
      <w:r w:rsidRPr="00326008">
        <w:rPr>
          <w:vertAlign w:val="superscript"/>
        </w:rPr>
        <w:t>2</w:t>
      </w:r>
      <w:r w:rsidRPr="00DE2163">
        <w:t>)</w:t>
      </w:r>
      <w:r>
        <w:t>.</w:t>
      </w:r>
    </w:p>
    <w:p w14:paraId="5EA83312" w14:textId="270D133F" w:rsidR="0035264F" w:rsidRPr="00850B9D" w:rsidRDefault="0035264F" w:rsidP="007411E2">
      <w:pPr>
        <w:pStyle w:val="Tablefigureheading"/>
      </w:pPr>
      <w:bookmarkStart w:id="156" w:name="_Toc178085251"/>
      <w:bookmarkStart w:id="157" w:name="_Toc178085268"/>
      <w:r w:rsidRPr="00850B9D">
        <w:t xml:space="preserve">Table </w:t>
      </w:r>
      <w:fldSimple w:instr=" SEQ Table \* ARABIC ">
        <w:r>
          <w:rPr>
            <w:noProof/>
          </w:rPr>
          <w:t>2</w:t>
        </w:r>
      </w:fldSimple>
      <w:r w:rsidRPr="00850B9D">
        <w:t xml:space="preserve">: </w:t>
      </w:r>
      <w:r w:rsidR="00BE0ABA">
        <w:t xml:space="preserve">4G </w:t>
      </w:r>
      <w:r w:rsidRPr="00850B9D">
        <w:t>New Improved Handheld Coverage Scoring Matrix (Part 1)</w:t>
      </w:r>
      <w:bookmarkEnd w:id="156"/>
      <w:bookmarkEnd w:id="157"/>
    </w:p>
    <w:tbl>
      <w:tblPr>
        <w:tblStyle w:val="DefaultTable11"/>
        <w:tblW w:w="3115" w:type="pct"/>
        <w:tblInd w:w="1011" w:type="dxa"/>
        <w:tblBorders>
          <w:top w:val="single" w:sz="12" w:space="0" w:color="4BB3B5"/>
          <w:left w:val="single" w:sz="12" w:space="0" w:color="4BB3B5"/>
          <w:bottom w:val="single" w:sz="12" w:space="0" w:color="4BB3B5"/>
          <w:right w:val="single" w:sz="12" w:space="0" w:color="4BB3B5"/>
          <w:insideH w:val="single" w:sz="12" w:space="0" w:color="4BB3B5"/>
          <w:insideV w:val="single" w:sz="12" w:space="0" w:color="4BB3B5"/>
        </w:tblBorders>
        <w:tblLook w:val="04A0" w:firstRow="1" w:lastRow="0" w:firstColumn="1" w:lastColumn="0" w:noHBand="0" w:noVBand="1"/>
        <w:tblDescription w:val="Table 2: New Improved Handheld Coverage Scoring Matrix"/>
      </w:tblPr>
      <w:tblGrid>
        <w:gridCol w:w="1508"/>
        <w:gridCol w:w="1379"/>
        <w:gridCol w:w="1632"/>
        <w:gridCol w:w="1365"/>
      </w:tblGrid>
      <w:tr w:rsidR="00050126" w:rsidRPr="00654F9E" w14:paraId="7C17AC8A" w14:textId="77777777" w:rsidTr="00850B9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tcBorders>
              <w:top w:val="none" w:sz="0" w:space="0" w:color="auto"/>
              <w:bottom w:val="none" w:sz="0" w:space="0" w:color="auto"/>
            </w:tcBorders>
            <w:vAlign w:val="center"/>
          </w:tcPr>
          <w:p w14:paraId="11F981CD" w14:textId="1DBE36DA" w:rsidR="00050126" w:rsidRPr="002254CD" w:rsidRDefault="00050126" w:rsidP="00850B9D">
            <w:pPr>
              <w:pStyle w:val="Tablerowcolumnheadingcentred"/>
              <w:contextualSpacing/>
              <w:rPr>
                <w:b/>
              </w:rPr>
            </w:pPr>
            <w:r w:rsidRPr="002254CD">
              <w:rPr>
                <w:b/>
              </w:rPr>
              <w:t xml:space="preserve">New Improved Handheld coverage range </w:t>
            </w:r>
            <w:r w:rsidRPr="0096747D">
              <w:rPr>
                <w:b/>
              </w:rPr>
              <w:t>(</w:t>
            </w:r>
            <w:r w:rsidR="0096747D" w:rsidRPr="0096747D">
              <w:t>km</w:t>
            </w:r>
            <w:r w:rsidR="0096747D" w:rsidRPr="0096747D">
              <w:rPr>
                <w:vertAlign w:val="superscript"/>
              </w:rPr>
              <w:t>2</w:t>
            </w:r>
            <w:r w:rsidRPr="0096747D">
              <w:rPr>
                <w:b/>
              </w:rPr>
              <w:t>)</w:t>
            </w:r>
          </w:p>
        </w:tc>
        <w:tc>
          <w:tcPr>
            <w:tcW w:w="1172" w:type="pct"/>
            <w:tcBorders>
              <w:top w:val="none" w:sz="0" w:space="0" w:color="auto"/>
              <w:bottom w:val="none" w:sz="0" w:space="0" w:color="auto"/>
            </w:tcBorders>
            <w:vAlign w:val="center"/>
          </w:tcPr>
          <w:p w14:paraId="2BF55ED4" w14:textId="092F86AE" w:rsidR="00050126" w:rsidRPr="002254CD" w:rsidRDefault="00050126" w:rsidP="00850B9D">
            <w:pPr>
              <w:pStyle w:val="Tablerowcolumnheadingcentred"/>
              <w:contextualSpacing/>
              <w:cnfStyle w:val="100000000000" w:firstRow="1" w:lastRow="0" w:firstColumn="0" w:lastColumn="0" w:oddVBand="0" w:evenVBand="0" w:oddHBand="0" w:evenHBand="0" w:firstRowFirstColumn="0" w:firstRowLastColumn="0" w:lastRowFirstColumn="0" w:lastRowLastColumn="0"/>
              <w:rPr>
                <w:b/>
              </w:rPr>
            </w:pPr>
            <w:r w:rsidRPr="002254CD">
              <w:rPr>
                <w:b/>
              </w:rPr>
              <w:t>Points</w:t>
            </w:r>
          </w:p>
        </w:tc>
        <w:tc>
          <w:tcPr>
            <w:tcW w:w="1387" w:type="pct"/>
            <w:tcBorders>
              <w:top w:val="none" w:sz="0" w:space="0" w:color="auto"/>
              <w:bottom w:val="none" w:sz="0" w:space="0" w:color="auto"/>
            </w:tcBorders>
            <w:vAlign w:val="center"/>
          </w:tcPr>
          <w:p w14:paraId="7F43BE2F" w14:textId="77777777" w:rsidR="00050126" w:rsidRPr="002254CD" w:rsidRDefault="00050126" w:rsidP="00850B9D">
            <w:pPr>
              <w:pStyle w:val="Tablerowcolumnheadingcentred"/>
              <w:contextualSpacing/>
              <w:cnfStyle w:val="100000000000" w:firstRow="1" w:lastRow="0" w:firstColumn="0" w:lastColumn="0" w:oddVBand="0" w:evenVBand="0" w:oddHBand="0" w:evenHBand="0" w:firstRowFirstColumn="0" w:firstRowLastColumn="0" w:lastRowFirstColumn="0" w:lastRowLastColumn="0"/>
              <w:rPr>
                <w:b/>
              </w:rPr>
            </w:pPr>
            <w:r w:rsidRPr="002254CD">
              <w:rPr>
                <w:b/>
              </w:rPr>
              <w:t>New Improved Handheld coverage range (km2)</w:t>
            </w:r>
          </w:p>
        </w:tc>
        <w:tc>
          <w:tcPr>
            <w:tcW w:w="1160" w:type="pct"/>
            <w:tcBorders>
              <w:top w:val="none" w:sz="0" w:space="0" w:color="auto"/>
              <w:bottom w:val="none" w:sz="0" w:space="0" w:color="auto"/>
            </w:tcBorders>
            <w:vAlign w:val="center"/>
          </w:tcPr>
          <w:p w14:paraId="64E402BD" w14:textId="06EDC019" w:rsidR="00050126" w:rsidRPr="002254CD" w:rsidRDefault="00050126" w:rsidP="00850B9D">
            <w:pPr>
              <w:pStyle w:val="Tablerowcolumnheadingcentred"/>
              <w:contextualSpacing/>
              <w:cnfStyle w:val="100000000000" w:firstRow="1" w:lastRow="0" w:firstColumn="0" w:lastColumn="0" w:oddVBand="0" w:evenVBand="0" w:oddHBand="0" w:evenHBand="0" w:firstRowFirstColumn="0" w:firstRowLastColumn="0" w:lastRowFirstColumn="0" w:lastRowLastColumn="0"/>
              <w:rPr>
                <w:b/>
              </w:rPr>
            </w:pPr>
            <w:r w:rsidRPr="002254CD">
              <w:rPr>
                <w:b/>
              </w:rPr>
              <w:t>Points</w:t>
            </w:r>
          </w:p>
        </w:tc>
      </w:tr>
      <w:tr w:rsidR="003930BD" w:rsidRPr="00654F9E" w14:paraId="3D7BA50E"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33431548" w14:textId="49983AF9" w:rsidR="00050126" w:rsidRPr="00092C94" w:rsidRDefault="00050126" w:rsidP="00850B9D">
            <w:pPr>
              <w:spacing w:after="0"/>
              <w:contextualSpacing/>
              <w:jc w:val="center"/>
              <w:rPr>
                <w:rFonts w:cs="Arial"/>
                <w:b w:val="0"/>
                <w:color w:val="000000" w:themeColor="text1"/>
                <w:lang w:eastAsia="en-AU"/>
              </w:rPr>
            </w:pPr>
            <w:r w:rsidRPr="00092C94">
              <w:rPr>
                <w:rFonts w:cs="Arial"/>
                <w:b w:val="0"/>
                <w:color w:val="000000" w:themeColor="text1"/>
                <w:lang w:eastAsia="en-AU"/>
              </w:rPr>
              <w:t xml:space="preserve">0.1 </w:t>
            </w:r>
            <w:proofErr w:type="gramStart"/>
            <w:r w:rsidR="003930BD" w:rsidRPr="00092C94">
              <w:rPr>
                <w:rFonts w:cs="Arial"/>
                <w:b w:val="0"/>
                <w:color w:val="000000" w:themeColor="text1"/>
                <w:lang w:eastAsia="en-AU"/>
              </w:rPr>
              <w:t xml:space="preserve">≤ </w:t>
            </w:r>
            <w:r w:rsidRPr="00092C94">
              <w:rPr>
                <w:rFonts w:cs="Arial"/>
                <w:b w:val="0"/>
                <w:color w:val="000000" w:themeColor="text1"/>
                <w:lang w:eastAsia="en-AU"/>
              </w:rPr>
              <w:t xml:space="preserve"> x</w:t>
            </w:r>
            <w:proofErr w:type="gramEnd"/>
            <w:r w:rsidRPr="00092C94">
              <w:rPr>
                <w:rFonts w:cs="Arial"/>
                <w:b w:val="0"/>
                <w:color w:val="000000" w:themeColor="text1"/>
                <w:lang w:eastAsia="en-AU"/>
              </w:rPr>
              <w:t xml:space="preserve"> &lt; 2.5</w:t>
            </w:r>
          </w:p>
        </w:tc>
        <w:tc>
          <w:tcPr>
            <w:tcW w:w="0" w:type="pct"/>
            <w:vAlign w:val="center"/>
          </w:tcPr>
          <w:p w14:paraId="2F943B68" w14:textId="701B4A28" w:rsidR="00050126" w:rsidRPr="00092C94" w:rsidRDefault="00050126" w:rsidP="00850B9D">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1</w:t>
            </w:r>
          </w:p>
        </w:tc>
        <w:tc>
          <w:tcPr>
            <w:tcW w:w="0" w:type="pct"/>
          </w:tcPr>
          <w:p w14:paraId="64B7CCDC" w14:textId="50A6550F" w:rsidR="00050126" w:rsidRPr="00092C94" w:rsidRDefault="00050126" w:rsidP="00850B9D">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25</w:t>
            </w:r>
            <w:r w:rsidR="00092C94">
              <w:rPr>
                <w:rFonts w:cs="Arial"/>
                <w:color w:val="000000" w:themeColor="text1"/>
                <w:lang w:eastAsia="en-AU"/>
              </w:rPr>
              <w:t>.0</w:t>
            </w:r>
            <w:r w:rsidR="003930BD" w:rsidRPr="00092C94">
              <w:rPr>
                <w:rFonts w:cs="Arial"/>
                <w:color w:val="000000" w:themeColor="text1"/>
                <w:lang w:eastAsia="en-AU"/>
              </w:rPr>
              <w:t xml:space="preserve"> </w:t>
            </w:r>
            <w:r w:rsidRPr="00092C94">
              <w:rPr>
                <w:rFonts w:cs="Arial"/>
                <w:color w:val="000000" w:themeColor="text1"/>
                <w:lang w:eastAsia="en-AU"/>
              </w:rPr>
              <w:t>≤</w:t>
            </w:r>
            <w:r w:rsidR="003930BD" w:rsidRPr="00092C94">
              <w:rPr>
                <w:rFonts w:cs="Arial"/>
                <w:color w:val="000000" w:themeColor="text1"/>
                <w:lang w:eastAsia="en-AU"/>
              </w:rPr>
              <w:t xml:space="preserve"> </w:t>
            </w:r>
            <w:r w:rsidRPr="00092C94">
              <w:rPr>
                <w:rFonts w:cs="Arial"/>
                <w:color w:val="000000" w:themeColor="text1"/>
                <w:lang w:eastAsia="en-AU"/>
              </w:rPr>
              <w:t>x</w:t>
            </w:r>
            <w:r w:rsidR="003930BD" w:rsidRPr="00092C94">
              <w:rPr>
                <w:rFonts w:cs="Arial"/>
                <w:color w:val="000000" w:themeColor="text1"/>
                <w:lang w:eastAsia="en-AU"/>
              </w:rPr>
              <w:t xml:space="preserve"> </w:t>
            </w:r>
            <w:r w:rsidRPr="00092C94">
              <w:rPr>
                <w:rFonts w:cs="Arial"/>
                <w:color w:val="000000" w:themeColor="text1"/>
                <w:lang w:eastAsia="en-AU"/>
              </w:rPr>
              <w:t>&lt;</w:t>
            </w:r>
            <w:r w:rsidR="003930BD" w:rsidRPr="00092C94">
              <w:rPr>
                <w:rFonts w:cs="Arial"/>
                <w:color w:val="000000" w:themeColor="text1"/>
                <w:lang w:eastAsia="en-AU"/>
              </w:rPr>
              <w:t xml:space="preserve"> </w:t>
            </w:r>
            <w:r w:rsidRPr="00092C94">
              <w:rPr>
                <w:rFonts w:cs="Arial"/>
                <w:color w:val="000000" w:themeColor="text1"/>
                <w:lang w:eastAsia="en-AU"/>
              </w:rPr>
              <w:t>30</w:t>
            </w:r>
            <w:r w:rsidR="00092C94">
              <w:rPr>
                <w:rFonts w:cs="Arial"/>
                <w:color w:val="000000" w:themeColor="text1"/>
                <w:lang w:eastAsia="en-AU"/>
              </w:rPr>
              <w:t>.0</w:t>
            </w:r>
          </w:p>
        </w:tc>
        <w:tc>
          <w:tcPr>
            <w:tcW w:w="0" w:type="pct"/>
          </w:tcPr>
          <w:p w14:paraId="7A3B0A15" w14:textId="23D529E7" w:rsidR="00050126" w:rsidRPr="00092C94" w:rsidRDefault="00050126" w:rsidP="00850B9D">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11</w:t>
            </w:r>
          </w:p>
        </w:tc>
      </w:tr>
      <w:tr w:rsidR="00D21283" w:rsidRPr="00654F9E" w14:paraId="61186C24"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4B77E161" w14:textId="3AC83736" w:rsidR="00050126" w:rsidRPr="00092C94" w:rsidRDefault="00050126" w:rsidP="00D21283">
            <w:pPr>
              <w:spacing w:after="0"/>
              <w:contextualSpacing/>
              <w:jc w:val="center"/>
              <w:rPr>
                <w:rFonts w:cs="Arial"/>
                <w:b w:val="0"/>
                <w:color w:val="000000" w:themeColor="text1"/>
                <w:lang w:eastAsia="en-AU"/>
              </w:rPr>
            </w:pPr>
            <w:r w:rsidRPr="00092C94">
              <w:rPr>
                <w:rFonts w:cs="Arial"/>
                <w:b w:val="0"/>
                <w:color w:val="000000" w:themeColor="text1"/>
                <w:lang w:eastAsia="en-AU"/>
              </w:rPr>
              <w:t>2.5 ≤ x &lt; 5</w:t>
            </w:r>
          </w:p>
        </w:tc>
        <w:tc>
          <w:tcPr>
            <w:tcW w:w="0" w:type="pct"/>
            <w:vAlign w:val="center"/>
          </w:tcPr>
          <w:p w14:paraId="510E112A" w14:textId="2DFAF12E"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2</w:t>
            </w:r>
          </w:p>
        </w:tc>
        <w:tc>
          <w:tcPr>
            <w:tcW w:w="0" w:type="pct"/>
          </w:tcPr>
          <w:p w14:paraId="23B56AAD" w14:textId="666E4878"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30</w:t>
            </w:r>
            <w:r w:rsidR="00092C94">
              <w:rPr>
                <w:rFonts w:cs="Arial"/>
                <w:color w:val="000000" w:themeColor="text1"/>
                <w:lang w:eastAsia="en-AU"/>
              </w:rPr>
              <w:t>.0</w:t>
            </w:r>
            <w:r w:rsidR="003930BD" w:rsidRPr="00092C94">
              <w:rPr>
                <w:rFonts w:cs="Arial"/>
                <w:color w:val="000000" w:themeColor="text1"/>
                <w:lang w:eastAsia="en-AU"/>
              </w:rPr>
              <w:t xml:space="preserve"> </w:t>
            </w:r>
            <w:r w:rsidRPr="00092C94">
              <w:rPr>
                <w:rFonts w:cs="Arial"/>
                <w:color w:val="000000" w:themeColor="text1"/>
                <w:lang w:eastAsia="en-AU"/>
              </w:rPr>
              <w:t>≤</w:t>
            </w:r>
            <w:r w:rsidR="003930BD" w:rsidRPr="00092C94">
              <w:rPr>
                <w:rFonts w:cs="Arial"/>
                <w:color w:val="000000" w:themeColor="text1"/>
                <w:lang w:eastAsia="en-AU"/>
              </w:rPr>
              <w:t xml:space="preserve"> </w:t>
            </w:r>
            <w:r w:rsidRPr="00092C94">
              <w:rPr>
                <w:rFonts w:cs="Arial"/>
                <w:color w:val="000000" w:themeColor="text1"/>
                <w:lang w:eastAsia="en-AU"/>
              </w:rPr>
              <w:t>x</w:t>
            </w:r>
            <w:r w:rsidR="003930BD" w:rsidRPr="00092C94">
              <w:rPr>
                <w:rFonts w:cs="Arial"/>
                <w:color w:val="000000" w:themeColor="text1"/>
                <w:lang w:eastAsia="en-AU"/>
              </w:rPr>
              <w:t xml:space="preserve"> </w:t>
            </w:r>
            <w:r w:rsidRPr="00092C94">
              <w:rPr>
                <w:rFonts w:cs="Arial"/>
                <w:color w:val="000000" w:themeColor="text1"/>
                <w:lang w:eastAsia="en-AU"/>
              </w:rPr>
              <w:t>&lt;</w:t>
            </w:r>
            <w:r w:rsidR="003930BD" w:rsidRPr="00092C94">
              <w:rPr>
                <w:rFonts w:cs="Arial"/>
                <w:color w:val="000000" w:themeColor="text1"/>
                <w:lang w:eastAsia="en-AU"/>
              </w:rPr>
              <w:t xml:space="preserve"> </w:t>
            </w:r>
            <w:r w:rsidRPr="00092C94">
              <w:rPr>
                <w:rFonts w:cs="Arial"/>
                <w:color w:val="000000" w:themeColor="text1"/>
                <w:lang w:eastAsia="en-AU"/>
              </w:rPr>
              <w:t>35</w:t>
            </w:r>
            <w:r w:rsidR="00092C94">
              <w:rPr>
                <w:rFonts w:cs="Arial"/>
                <w:color w:val="000000" w:themeColor="text1"/>
                <w:lang w:eastAsia="en-AU"/>
              </w:rPr>
              <w:t>.0</w:t>
            </w:r>
          </w:p>
        </w:tc>
        <w:tc>
          <w:tcPr>
            <w:tcW w:w="0" w:type="pct"/>
          </w:tcPr>
          <w:p w14:paraId="01CA3057" w14:textId="0809A4DA"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12</w:t>
            </w:r>
          </w:p>
        </w:tc>
      </w:tr>
      <w:tr w:rsidR="003930BD" w:rsidRPr="00654F9E" w14:paraId="52EB1AD9"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00F983C3" w14:textId="10D1AC87" w:rsidR="00050126" w:rsidRPr="00092C94" w:rsidRDefault="00050126" w:rsidP="00D21283">
            <w:pPr>
              <w:spacing w:after="0"/>
              <w:contextualSpacing/>
              <w:jc w:val="center"/>
              <w:rPr>
                <w:rFonts w:cs="Arial"/>
                <w:b w:val="0"/>
                <w:color w:val="000000" w:themeColor="text1"/>
                <w:lang w:eastAsia="en-AU"/>
              </w:rPr>
            </w:pPr>
            <w:r w:rsidRPr="00092C94">
              <w:rPr>
                <w:rFonts w:cs="Arial"/>
                <w:b w:val="0"/>
                <w:color w:val="000000" w:themeColor="text1"/>
                <w:lang w:eastAsia="en-AU"/>
              </w:rPr>
              <w:t>5</w:t>
            </w:r>
            <w:r w:rsidR="00092C94">
              <w:rPr>
                <w:rFonts w:cs="Arial"/>
                <w:b w:val="0"/>
                <w:color w:val="000000" w:themeColor="text1"/>
                <w:lang w:eastAsia="en-AU"/>
              </w:rPr>
              <w:t>.0</w:t>
            </w:r>
            <w:r w:rsidRPr="00092C94">
              <w:rPr>
                <w:rFonts w:cs="Arial"/>
                <w:b w:val="0"/>
                <w:color w:val="000000" w:themeColor="text1"/>
                <w:lang w:eastAsia="en-AU"/>
              </w:rPr>
              <w:t xml:space="preserve"> ≤ x &lt; 7.5</w:t>
            </w:r>
          </w:p>
        </w:tc>
        <w:tc>
          <w:tcPr>
            <w:tcW w:w="0" w:type="pct"/>
            <w:vAlign w:val="center"/>
          </w:tcPr>
          <w:p w14:paraId="7F408BC7" w14:textId="685D3925" w:rsidR="00050126" w:rsidRPr="00092C94" w:rsidRDefault="00050126" w:rsidP="00D21283">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3</w:t>
            </w:r>
          </w:p>
        </w:tc>
        <w:tc>
          <w:tcPr>
            <w:tcW w:w="0" w:type="pct"/>
          </w:tcPr>
          <w:p w14:paraId="6A3F5D7C" w14:textId="48B8F463" w:rsidR="00050126" w:rsidRPr="00092C94" w:rsidRDefault="00050126" w:rsidP="00D21283">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35</w:t>
            </w:r>
            <w:r w:rsidR="00092C94">
              <w:rPr>
                <w:rFonts w:cs="Arial"/>
                <w:color w:val="000000" w:themeColor="text1"/>
                <w:lang w:eastAsia="en-AU"/>
              </w:rPr>
              <w:t>.0</w:t>
            </w:r>
            <w:r w:rsidR="003930BD" w:rsidRPr="00092C94">
              <w:rPr>
                <w:rFonts w:cs="Arial"/>
                <w:color w:val="000000" w:themeColor="text1"/>
                <w:lang w:eastAsia="en-AU"/>
              </w:rPr>
              <w:t xml:space="preserve"> </w:t>
            </w:r>
            <w:r w:rsidRPr="00092C94">
              <w:rPr>
                <w:rFonts w:cs="Arial"/>
                <w:color w:val="000000" w:themeColor="text1"/>
                <w:lang w:eastAsia="en-AU"/>
              </w:rPr>
              <w:t>≤</w:t>
            </w:r>
            <w:r w:rsidR="003930BD" w:rsidRPr="00092C94">
              <w:rPr>
                <w:rFonts w:cs="Arial"/>
                <w:color w:val="000000" w:themeColor="text1"/>
                <w:lang w:eastAsia="en-AU"/>
              </w:rPr>
              <w:t xml:space="preserve"> </w:t>
            </w:r>
            <w:r w:rsidRPr="00092C94">
              <w:rPr>
                <w:rFonts w:cs="Arial"/>
                <w:color w:val="000000" w:themeColor="text1"/>
                <w:lang w:eastAsia="en-AU"/>
              </w:rPr>
              <w:t>x</w:t>
            </w:r>
            <w:r w:rsidR="003930BD" w:rsidRPr="00092C94">
              <w:rPr>
                <w:rFonts w:cs="Arial"/>
                <w:color w:val="000000" w:themeColor="text1"/>
                <w:lang w:eastAsia="en-AU"/>
              </w:rPr>
              <w:t xml:space="preserve"> </w:t>
            </w:r>
            <w:r w:rsidRPr="00092C94">
              <w:rPr>
                <w:rFonts w:cs="Arial"/>
                <w:color w:val="000000" w:themeColor="text1"/>
                <w:lang w:eastAsia="en-AU"/>
              </w:rPr>
              <w:t>&lt;</w:t>
            </w:r>
            <w:r w:rsidR="003930BD" w:rsidRPr="00092C94">
              <w:rPr>
                <w:rFonts w:cs="Arial"/>
                <w:color w:val="000000" w:themeColor="text1"/>
                <w:lang w:eastAsia="en-AU"/>
              </w:rPr>
              <w:t xml:space="preserve"> </w:t>
            </w:r>
            <w:r w:rsidRPr="00092C94">
              <w:rPr>
                <w:rFonts w:cs="Arial"/>
                <w:color w:val="000000" w:themeColor="text1"/>
                <w:lang w:eastAsia="en-AU"/>
              </w:rPr>
              <w:t>40</w:t>
            </w:r>
            <w:r w:rsidR="00092C94">
              <w:rPr>
                <w:rFonts w:cs="Arial"/>
                <w:color w:val="000000" w:themeColor="text1"/>
                <w:lang w:eastAsia="en-AU"/>
              </w:rPr>
              <w:t>.0</w:t>
            </w:r>
          </w:p>
        </w:tc>
        <w:tc>
          <w:tcPr>
            <w:tcW w:w="0" w:type="pct"/>
          </w:tcPr>
          <w:p w14:paraId="1BF23DBC" w14:textId="54A203BD" w:rsidR="00050126" w:rsidRPr="00092C94" w:rsidRDefault="00050126" w:rsidP="00D21283">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13</w:t>
            </w:r>
          </w:p>
        </w:tc>
      </w:tr>
      <w:tr w:rsidR="003930BD" w:rsidRPr="00654F9E" w14:paraId="2375CE6C"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2071E2CE" w14:textId="18B672CF" w:rsidR="00050126" w:rsidRPr="00092C94" w:rsidRDefault="00050126" w:rsidP="00D21283">
            <w:pPr>
              <w:spacing w:after="0"/>
              <w:contextualSpacing/>
              <w:jc w:val="center"/>
              <w:rPr>
                <w:rFonts w:cs="Arial"/>
                <w:b w:val="0"/>
                <w:color w:val="000000" w:themeColor="text1"/>
                <w:lang w:eastAsia="en-AU"/>
              </w:rPr>
            </w:pPr>
            <w:r w:rsidRPr="00092C94">
              <w:rPr>
                <w:rFonts w:cs="Arial"/>
                <w:b w:val="0"/>
                <w:color w:val="000000" w:themeColor="text1"/>
                <w:lang w:eastAsia="en-AU"/>
              </w:rPr>
              <w:t>7.5 ≤ x &lt; 10</w:t>
            </w:r>
          </w:p>
        </w:tc>
        <w:tc>
          <w:tcPr>
            <w:tcW w:w="0" w:type="pct"/>
            <w:vAlign w:val="center"/>
          </w:tcPr>
          <w:p w14:paraId="4C16C8DC" w14:textId="2A5F3256"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4</w:t>
            </w:r>
          </w:p>
        </w:tc>
        <w:tc>
          <w:tcPr>
            <w:tcW w:w="0" w:type="pct"/>
          </w:tcPr>
          <w:p w14:paraId="21247977" w14:textId="66D38F90"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40</w:t>
            </w:r>
            <w:r w:rsidR="00092C94">
              <w:rPr>
                <w:rFonts w:cs="Arial"/>
                <w:color w:val="000000" w:themeColor="text1"/>
                <w:lang w:eastAsia="en-AU"/>
              </w:rPr>
              <w:t>.0</w:t>
            </w:r>
            <w:r w:rsidR="003930BD" w:rsidRPr="00092C94">
              <w:rPr>
                <w:rFonts w:cs="Arial"/>
                <w:color w:val="000000" w:themeColor="text1"/>
                <w:lang w:eastAsia="en-AU"/>
              </w:rPr>
              <w:t xml:space="preserve"> </w:t>
            </w:r>
            <w:r w:rsidRPr="00092C94">
              <w:rPr>
                <w:rFonts w:cs="Arial"/>
                <w:color w:val="000000" w:themeColor="text1"/>
                <w:lang w:eastAsia="en-AU"/>
              </w:rPr>
              <w:t>≤</w:t>
            </w:r>
            <w:r w:rsidR="003930BD" w:rsidRPr="00092C94">
              <w:rPr>
                <w:rFonts w:cs="Arial"/>
                <w:color w:val="000000" w:themeColor="text1"/>
                <w:lang w:eastAsia="en-AU"/>
              </w:rPr>
              <w:t xml:space="preserve"> </w:t>
            </w:r>
            <w:r w:rsidRPr="00092C94">
              <w:rPr>
                <w:rFonts w:cs="Arial"/>
                <w:color w:val="000000" w:themeColor="text1"/>
                <w:lang w:eastAsia="en-AU"/>
              </w:rPr>
              <w:t>x</w:t>
            </w:r>
            <w:r w:rsidR="003930BD" w:rsidRPr="00092C94">
              <w:rPr>
                <w:rFonts w:cs="Arial"/>
                <w:color w:val="000000" w:themeColor="text1"/>
                <w:lang w:eastAsia="en-AU"/>
              </w:rPr>
              <w:t xml:space="preserve"> </w:t>
            </w:r>
            <w:r w:rsidRPr="00092C94">
              <w:rPr>
                <w:rFonts w:cs="Arial"/>
                <w:color w:val="000000" w:themeColor="text1"/>
                <w:lang w:eastAsia="en-AU"/>
              </w:rPr>
              <w:t>&lt;</w:t>
            </w:r>
            <w:r w:rsidR="003930BD" w:rsidRPr="00092C94">
              <w:rPr>
                <w:rFonts w:cs="Arial"/>
                <w:color w:val="000000" w:themeColor="text1"/>
                <w:lang w:eastAsia="en-AU"/>
              </w:rPr>
              <w:t xml:space="preserve"> </w:t>
            </w:r>
            <w:r w:rsidRPr="00092C94">
              <w:rPr>
                <w:rFonts w:cs="Arial"/>
                <w:color w:val="000000" w:themeColor="text1"/>
                <w:lang w:eastAsia="en-AU"/>
              </w:rPr>
              <w:t>45</w:t>
            </w:r>
            <w:r w:rsidR="00092C94">
              <w:rPr>
                <w:rFonts w:cs="Arial"/>
                <w:color w:val="000000" w:themeColor="text1"/>
                <w:lang w:eastAsia="en-AU"/>
              </w:rPr>
              <w:t>.0</w:t>
            </w:r>
          </w:p>
        </w:tc>
        <w:tc>
          <w:tcPr>
            <w:tcW w:w="0" w:type="pct"/>
          </w:tcPr>
          <w:p w14:paraId="0F548008" w14:textId="1EAFF2DB"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14</w:t>
            </w:r>
          </w:p>
        </w:tc>
      </w:tr>
      <w:tr w:rsidR="003930BD" w:rsidRPr="00654F9E" w14:paraId="27A3DF29"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797CD6FA" w14:textId="10AA1696" w:rsidR="00050126" w:rsidRPr="00092C94" w:rsidRDefault="00050126" w:rsidP="00D21283">
            <w:pPr>
              <w:spacing w:after="0"/>
              <w:contextualSpacing/>
              <w:jc w:val="center"/>
              <w:rPr>
                <w:rFonts w:cs="Arial"/>
                <w:b w:val="0"/>
                <w:color w:val="000000" w:themeColor="text1"/>
                <w:lang w:eastAsia="en-AU"/>
              </w:rPr>
            </w:pPr>
            <w:r w:rsidRPr="00092C94">
              <w:rPr>
                <w:rFonts w:cs="Arial"/>
                <w:b w:val="0"/>
                <w:color w:val="000000" w:themeColor="text1"/>
                <w:lang w:eastAsia="en-AU"/>
              </w:rPr>
              <w:t>10</w:t>
            </w:r>
            <w:r w:rsidR="00092C94">
              <w:rPr>
                <w:rFonts w:cs="Arial"/>
                <w:b w:val="0"/>
                <w:color w:val="000000" w:themeColor="text1"/>
                <w:lang w:eastAsia="en-AU"/>
              </w:rPr>
              <w:t xml:space="preserve">.0 </w:t>
            </w:r>
            <w:r w:rsidRPr="00092C94">
              <w:rPr>
                <w:rFonts w:cs="Arial"/>
                <w:b w:val="0"/>
                <w:color w:val="000000" w:themeColor="text1"/>
                <w:lang w:eastAsia="en-AU"/>
              </w:rPr>
              <w:t>≤ x &lt; 12.5</w:t>
            </w:r>
          </w:p>
        </w:tc>
        <w:tc>
          <w:tcPr>
            <w:tcW w:w="0" w:type="pct"/>
            <w:vAlign w:val="center"/>
          </w:tcPr>
          <w:p w14:paraId="45503B8B" w14:textId="4C630D0E" w:rsidR="00050126" w:rsidRPr="00092C94" w:rsidRDefault="00050126" w:rsidP="00D21283">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5</w:t>
            </w:r>
          </w:p>
        </w:tc>
        <w:tc>
          <w:tcPr>
            <w:tcW w:w="0" w:type="pct"/>
          </w:tcPr>
          <w:p w14:paraId="32090DC0" w14:textId="4E08A1CE" w:rsidR="00050126" w:rsidRPr="00092C94" w:rsidRDefault="00050126" w:rsidP="00D21283">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45</w:t>
            </w:r>
            <w:r w:rsidR="00092C94">
              <w:rPr>
                <w:rFonts w:cs="Arial"/>
                <w:color w:val="000000" w:themeColor="text1"/>
                <w:lang w:eastAsia="en-AU"/>
              </w:rPr>
              <w:t>.0</w:t>
            </w:r>
            <w:r w:rsidR="003930BD" w:rsidRPr="00092C94">
              <w:rPr>
                <w:rFonts w:cs="Arial"/>
                <w:color w:val="000000" w:themeColor="text1"/>
                <w:lang w:eastAsia="en-AU"/>
              </w:rPr>
              <w:t xml:space="preserve"> </w:t>
            </w:r>
            <w:r w:rsidRPr="00092C94">
              <w:rPr>
                <w:rFonts w:cs="Arial"/>
                <w:color w:val="000000" w:themeColor="text1"/>
                <w:lang w:eastAsia="en-AU"/>
              </w:rPr>
              <w:t>≤</w:t>
            </w:r>
            <w:r w:rsidR="003930BD" w:rsidRPr="00092C94">
              <w:rPr>
                <w:rFonts w:cs="Arial"/>
                <w:color w:val="000000" w:themeColor="text1"/>
                <w:lang w:eastAsia="en-AU"/>
              </w:rPr>
              <w:t xml:space="preserve"> </w:t>
            </w:r>
            <w:r w:rsidRPr="00092C94">
              <w:rPr>
                <w:rFonts w:cs="Arial"/>
                <w:color w:val="000000" w:themeColor="text1"/>
                <w:lang w:eastAsia="en-AU"/>
              </w:rPr>
              <w:t>x</w:t>
            </w:r>
            <w:r w:rsidR="003930BD" w:rsidRPr="00092C94">
              <w:rPr>
                <w:rFonts w:cs="Arial"/>
                <w:color w:val="000000" w:themeColor="text1"/>
                <w:lang w:eastAsia="en-AU"/>
              </w:rPr>
              <w:t xml:space="preserve"> </w:t>
            </w:r>
            <w:r w:rsidRPr="00092C94">
              <w:rPr>
                <w:rFonts w:cs="Arial"/>
                <w:color w:val="000000" w:themeColor="text1"/>
                <w:lang w:eastAsia="en-AU"/>
              </w:rPr>
              <w:t>&lt;</w:t>
            </w:r>
            <w:r w:rsidR="003930BD" w:rsidRPr="00092C94">
              <w:rPr>
                <w:rFonts w:cs="Arial"/>
                <w:color w:val="000000" w:themeColor="text1"/>
                <w:lang w:eastAsia="en-AU"/>
              </w:rPr>
              <w:t xml:space="preserve"> </w:t>
            </w:r>
            <w:r w:rsidRPr="00092C94">
              <w:rPr>
                <w:rFonts w:cs="Arial"/>
                <w:color w:val="000000" w:themeColor="text1"/>
                <w:lang w:eastAsia="en-AU"/>
              </w:rPr>
              <w:t>50</w:t>
            </w:r>
            <w:r w:rsidR="00092C94">
              <w:rPr>
                <w:rFonts w:cs="Arial"/>
                <w:color w:val="000000" w:themeColor="text1"/>
                <w:lang w:eastAsia="en-AU"/>
              </w:rPr>
              <w:t>.0</w:t>
            </w:r>
          </w:p>
        </w:tc>
        <w:tc>
          <w:tcPr>
            <w:tcW w:w="0" w:type="pct"/>
          </w:tcPr>
          <w:p w14:paraId="206158D1" w14:textId="1E8F492A" w:rsidR="00050126" w:rsidRPr="00092C94" w:rsidRDefault="00050126" w:rsidP="00D21283">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15</w:t>
            </w:r>
          </w:p>
        </w:tc>
      </w:tr>
      <w:tr w:rsidR="003930BD" w:rsidRPr="00654F9E" w14:paraId="0701A0D1"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54B4E928" w14:textId="2C90B452" w:rsidR="00050126" w:rsidRPr="00092C94" w:rsidRDefault="00050126" w:rsidP="00D21283">
            <w:pPr>
              <w:spacing w:after="0"/>
              <w:contextualSpacing/>
              <w:jc w:val="center"/>
              <w:rPr>
                <w:rFonts w:cs="Arial"/>
                <w:b w:val="0"/>
                <w:color w:val="000000" w:themeColor="text1"/>
                <w:lang w:eastAsia="en-AU"/>
              </w:rPr>
            </w:pPr>
            <w:r w:rsidRPr="00092C94">
              <w:rPr>
                <w:rFonts w:cs="Arial"/>
                <w:b w:val="0"/>
                <w:color w:val="000000" w:themeColor="text1"/>
                <w:lang w:eastAsia="en-AU"/>
              </w:rPr>
              <w:t>12.5 ≤ x &lt; 15</w:t>
            </w:r>
          </w:p>
        </w:tc>
        <w:tc>
          <w:tcPr>
            <w:tcW w:w="0" w:type="pct"/>
            <w:vAlign w:val="center"/>
          </w:tcPr>
          <w:p w14:paraId="3B618563" w14:textId="466274E5"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6</w:t>
            </w:r>
          </w:p>
        </w:tc>
        <w:tc>
          <w:tcPr>
            <w:tcW w:w="0" w:type="pct"/>
          </w:tcPr>
          <w:p w14:paraId="27470959" w14:textId="7B0F6FCA"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50</w:t>
            </w:r>
            <w:r w:rsidR="00092C94">
              <w:rPr>
                <w:rFonts w:cs="Arial"/>
                <w:color w:val="000000" w:themeColor="text1"/>
                <w:lang w:eastAsia="en-AU"/>
              </w:rPr>
              <w:t>.0</w:t>
            </w:r>
            <w:r w:rsidR="003930BD" w:rsidRPr="00092C94">
              <w:rPr>
                <w:rFonts w:cs="Arial"/>
                <w:color w:val="000000" w:themeColor="text1"/>
                <w:lang w:eastAsia="en-AU"/>
              </w:rPr>
              <w:t xml:space="preserve"> </w:t>
            </w:r>
            <w:r w:rsidRPr="00092C94">
              <w:rPr>
                <w:rFonts w:cs="Arial"/>
                <w:color w:val="000000" w:themeColor="text1"/>
                <w:lang w:eastAsia="en-AU"/>
              </w:rPr>
              <w:t>≤</w:t>
            </w:r>
            <w:r w:rsidR="003930BD" w:rsidRPr="00092C94">
              <w:rPr>
                <w:rFonts w:cs="Arial"/>
                <w:color w:val="000000" w:themeColor="text1"/>
                <w:lang w:eastAsia="en-AU"/>
              </w:rPr>
              <w:t xml:space="preserve"> </w:t>
            </w:r>
            <w:r w:rsidRPr="00092C94">
              <w:rPr>
                <w:rFonts w:cs="Arial"/>
                <w:color w:val="000000" w:themeColor="text1"/>
                <w:lang w:eastAsia="en-AU"/>
              </w:rPr>
              <w:t>x</w:t>
            </w:r>
            <w:r w:rsidR="003930BD" w:rsidRPr="00092C94">
              <w:rPr>
                <w:rFonts w:cs="Arial"/>
                <w:color w:val="000000" w:themeColor="text1"/>
                <w:lang w:eastAsia="en-AU"/>
              </w:rPr>
              <w:t xml:space="preserve"> </w:t>
            </w:r>
            <w:r w:rsidRPr="00092C94">
              <w:rPr>
                <w:rFonts w:cs="Arial"/>
                <w:color w:val="000000" w:themeColor="text1"/>
                <w:lang w:eastAsia="en-AU"/>
              </w:rPr>
              <w:t>&lt;</w:t>
            </w:r>
            <w:r w:rsidR="003930BD" w:rsidRPr="00092C94">
              <w:rPr>
                <w:rFonts w:cs="Arial"/>
                <w:color w:val="000000" w:themeColor="text1"/>
                <w:lang w:eastAsia="en-AU"/>
              </w:rPr>
              <w:t xml:space="preserve"> </w:t>
            </w:r>
            <w:r w:rsidRPr="00092C94">
              <w:rPr>
                <w:rFonts w:cs="Arial"/>
                <w:color w:val="000000" w:themeColor="text1"/>
                <w:lang w:eastAsia="en-AU"/>
              </w:rPr>
              <w:t>55</w:t>
            </w:r>
            <w:r w:rsidR="00092C94">
              <w:rPr>
                <w:rFonts w:cs="Arial"/>
                <w:color w:val="000000" w:themeColor="text1"/>
                <w:lang w:eastAsia="en-AU"/>
              </w:rPr>
              <w:t>.0</w:t>
            </w:r>
          </w:p>
        </w:tc>
        <w:tc>
          <w:tcPr>
            <w:tcW w:w="0" w:type="pct"/>
          </w:tcPr>
          <w:p w14:paraId="6B3E61C3" w14:textId="7CAE7E9D"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16</w:t>
            </w:r>
          </w:p>
        </w:tc>
      </w:tr>
      <w:tr w:rsidR="003930BD" w:rsidRPr="00654F9E" w14:paraId="1803F718"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648330F0" w14:textId="70A61C93" w:rsidR="00050126" w:rsidRPr="00092C94" w:rsidRDefault="00050126" w:rsidP="00D21283">
            <w:pPr>
              <w:spacing w:after="0"/>
              <w:contextualSpacing/>
              <w:jc w:val="center"/>
              <w:rPr>
                <w:rFonts w:cs="Arial"/>
                <w:b w:val="0"/>
                <w:color w:val="000000" w:themeColor="text1"/>
                <w:lang w:eastAsia="en-AU"/>
              </w:rPr>
            </w:pPr>
            <w:r w:rsidRPr="00092C94">
              <w:rPr>
                <w:rFonts w:cs="Arial"/>
                <w:b w:val="0"/>
                <w:color w:val="000000" w:themeColor="text1"/>
                <w:lang w:eastAsia="en-AU"/>
              </w:rPr>
              <w:t>15</w:t>
            </w:r>
            <w:r w:rsidR="00092C94">
              <w:rPr>
                <w:rFonts w:cs="Arial"/>
                <w:b w:val="0"/>
                <w:color w:val="000000" w:themeColor="text1"/>
                <w:lang w:eastAsia="en-AU"/>
              </w:rPr>
              <w:t>.0</w:t>
            </w:r>
            <w:r w:rsidRPr="00092C94">
              <w:rPr>
                <w:rFonts w:cs="Arial"/>
                <w:b w:val="0"/>
                <w:color w:val="000000" w:themeColor="text1"/>
                <w:lang w:eastAsia="en-AU"/>
              </w:rPr>
              <w:t xml:space="preserve"> ≤ x &lt; 17.5</w:t>
            </w:r>
          </w:p>
        </w:tc>
        <w:tc>
          <w:tcPr>
            <w:tcW w:w="0" w:type="pct"/>
            <w:vAlign w:val="center"/>
          </w:tcPr>
          <w:p w14:paraId="17F95E2D" w14:textId="7E93FD3F" w:rsidR="00050126" w:rsidRPr="00092C94" w:rsidRDefault="00050126" w:rsidP="00D21283">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7</w:t>
            </w:r>
          </w:p>
        </w:tc>
        <w:tc>
          <w:tcPr>
            <w:tcW w:w="0" w:type="pct"/>
          </w:tcPr>
          <w:p w14:paraId="549EA8E8" w14:textId="73516806" w:rsidR="00050126" w:rsidRPr="00092C94" w:rsidRDefault="00050126" w:rsidP="00D21283">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55</w:t>
            </w:r>
            <w:r w:rsidR="00092C94">
              <w:rPr>
                <w:rFonts w:cs="Arial"/>
                <w:color w:val="000000" w:themeColor="text1"/>
                <w:lang w:eastAsia="en-AU"/>
              </w:rPr>
              <w:t>.0</w:t>
            </w:r>
            <w:r w:rsidR="003930BD" w:rsidRPr="00092C94">
              <w:rPr>
                <w:rFonts w:cs="Arial"/>
                <w:color w:val="000000" w:themeColor="text1"/>
                <w:lang w:eastAsia="en-AU"/>
              </w:rPr>
              <w:t xml:space="preserve"> </w:t>
            </w:r>
            <w:r w:rsidRPr="00092C94">
              <w:rPr>
                <w:rFonts w:cs="Arial"/>
                <w:color w:val="000000" w:themeColor="text1"/>
                <w:lang w:eastAsia="en-AU"/>
              </w:rPr>
              <w:t>≤</w:t>
            </w:r>
            <w:r w:rsidR="003930BD" w:rsidRPr="00092C94">
              <w:rPr>
                <w:rFonts w:cs="Arial"/>
                <w:color w:val="000000" w:themeColor="text1"/>
                <w:lang w:eastAsia="en-AU"/>
              </w:rPr>
              <w:t xml:space="preserve"> </w:t>
            </w:r>
            <w:r w:rsidRPr="00092C94">
              <w:rPr>
                <w:rFonts w:cs="Arial"/>
                <w:color w:val="000000" w:themeColor="text1"/>
                <w:lang w:eastAsia="en-AU"/>
              </w:rPr>
              <w:t>x</w:t>
            </w:r>
            <w:r w:rsidR="003930BD" w:rsidRPr="00092C94">
              <w:rPr>
                <w:rFonts w:cs="Arial"/>
                <w:color w:val="000000" w:themeColor="text1"/>
                <w:lang w:eastAsia="en-AU"/>
              </w:rPr>
              <w:t xml:space="preserve"> </w:t>
            </w:r>
            <w:r w:rsidRPr="00092C94">
              <w:rPr>
                <w:rFonts w:cs="Arial"/>
                <w:color w:val="000000" w:themeColor="text1"/>
                <w:lang w:eastAsia="en-AU"/>
              </w:rPr>
              <w:t>&lt;</w:t>
            </w:r>
            <w:r w:rsidR="003930BD" w:rsidRPr="00092C94">
              <w:rPr>
                <w:rFonts w:cs="Arial"/>
                <w:color w:val="000000" w:themeColor="text1"/>
                <w:lang w:eastAsia="en-AU"/>
              </w:rPr>
              <w:t xml:space="preserve"> </w:t>
            </w:r>
            <w:r w:rsidRPr="00092C94">
              <w:rPr>
                <w:rFonts w:cs="Arial"/>
                <w:color w:val="000000" w:themeColor="text1"/>
                <w:lang w:eastAsia="en-AU"/>
              </w:rPr>
              <w:t>60</w:t>
            </w:r>
            <w:r w:rsidR="00092C94">
              <w:rPr>
                <w:rFonts w:cs="Arial"/>
                <w:color w:val="000000" w:themeColor="text1"/>
                <w:lang w:eastAsia="en-AU"/>
              </w:rPr>
              <w:t>.0</w:t>
            </w:r>
          </w:p>
        </w:tc>
        <w:tc>
          <w:tcPr>
            <w:tcW w:w="0" w:type="pct"/>
          </w:tcPr>
          <w:p w14:paraId="65C2ADD6" w14:textId="1E7E3A1E" w:rsidR="00050126" w:rsidRPr="00092C94" w:rsidRDefault="00050126" w:rsidP="00D21283">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17</w:t>
            </w:r>
          </w:p>
        </w:tc>
      </w:tr>
      <w:tr w:rsidR="003930BD" w:rsidRPr="00654F9E" w14:paraId="2B85C278"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6C2881A8" w14:textId="5B9320D5" w:rsidR="00050126" w:rsidRPr="00092C94" w:rsidRDefault="00050126" w:rsidP="00D21283">
            <w:pPr>
              <w:spacing w:after="0"/>
              <w:contextualSpacing/>
              <w:jc w:val="center"/>
              <w:rPr>
                <w:rFonts w:cs="Arial"/>
                <w:b w:val="0"/>
                <w:color w:val="000000" w:themeColor="text1"/>
                <w:lang w:eastAsia="en-AU"/>
              </w:rPr>
            </w:pPr>
            <w:r w:rsidRPr="00092C94">
              <w:rPr>
                <w:rFonts w:cs="Arial"/>
                <w:b w:val="0"/>
                <w:color w:val="000000" w:themeColor="text1"/>
                <w:lang w:eastAsia="en-AU"/>
              </w:rPr>
              <w:t>17.5 ≤ x &lt;</w:t>
            </w:r>
            <w:r w:rsidR="00092C94">
              <w:rPr>
                <w:rFonts w:cs="Arial"/>
                <w:b w:val="0"/>
                <w:color w:val="000000" w:themeColor="text1"/>
                <w:lang w:eastAsia="en-AU"/>
              </w:rPr>
              <w:t xml:space="preserve"> </w:t>
            </w:r>
            <w:r w:rsidRPr="00092C94">
              <w:rPr>
                <w:rFonts w:cs="Arial"/>
                <w:b w:val="0"/>
                <w:color w:val="000000" w:themeColor="text1"/>
                <w:lang w:eastAsia="en-AU"/>
              </w:rPr>
              <w:t>20</w:t>
            </w:r>
          </w:p>
        </w:tc>
        <w:tc>
          <w:tcPr>
            <w:tcW w:w="0" w:type="pct"/>
            <w:vAlign w:val="center"/>
          </w:tcPr>
          <w:p w14:paraId="6902ECDC" w14:textId="43A8D168"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8</w:t>
            </w:r>
          </w:p>
        </w:tc>
        <w:tc>
          <w:tcPr>
            <w:tcW w:w="0" w:type="pct"/>
          </w:tcPr>
          <w:p w14:paraId="3045A43E" w14:textId="5F017702"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60</w:t>
            </w:r>
            <w:r w:rsidR="00092C94">
              <w:rPr>
                <w:rFonts w:cs="Arial"/>
                <w:color w:val="000000" w:themeColor="text1"/>
                <w:lang w:eastAsia="en-AU"/>
              </w:rPr>
              <w:t>.0</w:t>
            </w:r>
            <w:r w:rsidR="003930BD" w:rsidRPr="00092C94">
              <w:rPr>
                <w:rFonts w:cs="Arial"/>
                <w:color w:val="000000" w:themeColor="text1"/>
                <w:lang w:eastAsia="en-AU"/>
              </w:rPr>
              <w:t xml:space="preserve"> </w:t>
            </w:r>
            <w:r w:rsidRPr="00092C94">
              <w:rPr>
                <w:rFonts w:cs="Arial"/>
                <w:color w:val="000000" w:themeColor="text1"/>
                <w:lang w:eastAsia="en-AU"/>
              </w:rPr>
              <w:t>≤</w:t>
            </w:r>
            <w:r w:rsidR="003930BD" w:rsidRPr="00092C94">
              <w:rPr>
                <w:rFonts w:cs="Arial"/>
                <w:color w:val="000000" w:themeColor="text1"/>
                <w:lang w:eastAsia="en-AU"/>
              </w:rPr>
              <w:t xml:space="preserve"> </w:t>
            </w:r>
            <w:r w:rsidRPr="00092C94">
              <w:rPr>
                <w:rFonts w:cs="Arial"/>
                <w:color w:val="000000" w:themeColor="text1"/>
                <w:lang w:eastAsia="en-AU"/>
              </w:rPr>
              <w:t>x</w:t>
            </w:r>
            <w:r w:rsidR="003930BD" w:rsidRPr="00092C94">
              <w:rPr>
                <w:rFonts w:cs="Arial"/>
                <w:color w:val="000000" w:themeColor="text1"/>
                <w:lang w:eastAsia="en-AU"/>
              </w:rPr>
              <w:t xml:space="preserve"> </w:t>
            </w:r>
            <w:r w:rsidRPr="00092C94">
              <w:rPr>
                <w:rFonts w:cs="Arial"/>
                <w:color w:val="000000" w:themeColor="text1"/>
                <w:lang w:eastAsia="en-AU"/>
              </w:rPr>
              <w:t>&lt;</w:t>
            </w:r>
            <w:r w:rsidR="003930BD" w:rsidRPr="00092C94">
              <w:rPr>
                <w:rFonts w:cs="Arial"/>
                <w:color w:val="000000" w:themeColor="text1"/>
                <w:lang w:eastAsia="en-AU"/>
              </w:rPr>
              <w:t xml:space="preserve"> </w:t>
            </w:r>
            <w:r w:rsidRPr="00092C94">
              <w:rPr>
                <w:rFonts w:cs="Arial"/>
                <w:color w:val="000000" w:themeColor="text1"/>
                <w:lang w:eastAsia="en-AU"/>
              </w:rPr>
              <w:t>65</w:t>
            </w:r>
            <w:r w:rsidR="00092C94">
              <w:rPr>
                <w:rFonts w:cs="Arial"/>
                <w:color w:val="000000" w:themeColor="text1"/>
                <w:lang w:eastAsia="en-AU"/>
              </w:rPr>
              <w:t>.0</w:t>
            </w:r>
          </w:p>
        </w:tc>
        <w:tc>
          <w:tcPr>
            <w:tcW w:w="0" w:type="pct"/>
          </w:tcPr>
          <w:p w14:paraId="7ABA9CB6" w14:textId="772D752A"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18</w:t>
            </w:r>
          </w:p>
        </w:tc>
      </w:tr>
      <w:tr w:rsidR="003930BD" w:rsidRPr="00654F9E" w14:paraId="3927C787"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0" w:type="pct"/>
          </w:tcPr>
          <w:p w14:paraId="61259634" w14:textId="2D753034" w:rsidR="00050126" w:rsidRPr="00092C94" w:rsidRDefault="00050126" w:rsidP="00D21283">
            <w:pPr>
              <w:spacing w:after="0"/>
              <w:contextualSpacing/>
              <w:jc w:val="center"/>
              <w:rPr>
                <w:rFonts w:cs="Arial"/>
                <w:b w:val="0"/>
                <w:color w:val="000000" w:themeColor="text1"/>
                <w:lang w:eastAsia="en-AU"/>
              </w:rPr>
            </w:pPr>
            <w:r w:rsidRPr="00092C94">
              <w:rPr>
                <w:rFonts w:cs="Arial"/>
                <w:b w:val="0"/>
                <w:color w:val="000000" w:themeColor="text1"/>
                <w:lang w:eastAsia="en-AU"/>
              </w:rPr>
              <w:t>20</w:t>
            </w:r>
            <w:r w:rsidR="00092C94">
              <w:rPr>
                <w:rFonts w:cs="Arial"/>
                <w:b w:val="0"/>
                <w:color w:val="000000" w:themeColor="text1"/>
                <w:lang w:eastAsia="en-AU"/>
              </w:rPr>
              <w:t>.0</w:t>
            </w:r>
            <w:r w:rsidRPr="00092C94">
              <w:rPr>
                <w:rFonts w:cs="Arial"/>
                <w:b w:val="0"/>
                <w:color w:val="000000" w:themeColor="text1"/>
                <w:lang w:eastAsia="en-AU"/>
              </w:rPr>
              <w:t xml:space="preserve"> ≤ x</w:t>
            </w:r>
            <w:r w:rsidR="003930BD" w:rsidRPr="00092C94">
              <w:rPr>
                <w:rFonts w:cs="Arial"/>
                <w:b w:val="0"/>
                <w:color w:val="000000" w:themeColor="text1"/>
                <w:lang w:eastAsia="en-AU"/>
              </w:rPr>
              <w:t xml:space="preserve"> </w:t>
            </w:r>
            <w:r w:rsidRPr="00092C94">
              <w:rPr>
                <w:rFonts w:cs="Arial"/>
                <w:b w:val="0"/>
                <w:color w:val="000000" w:themeColor="text1"/>
                <w:lang w:eastAsia="en-AU"/>
              </w:rPr>
              <w:t>&lt; 22.5</w:t>
            </w:r>
          </w:p>
        </w:tc>
        <w:tc>
          <w:tcPr>
            <w:tcW w:w="0" w:type="pct"/>
          </w:tcPr>
          <w:p w14:paraId="7A003FF3" w14:textId="3F9CD586" w:rsidR="00050126" w:rsidRPr="00092C94" w:rsidRDefault="00050126" w:rsidP="00D21283">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9</w:t>
            </w:r>
          </w:p>
        </w:tc>
        <w:tc>
          <w:tcPr>
            <w:tcW w:w="0" w:type="pct"/>
          </w:tcPr>
          <w:p w14:paraId="76A23F2A" w14:textId="205AEFD0" w:rsidR="00050126" w:rsidRPr="00092C94" w:rsidRDefault="00050126" w:rsidP="00D21283">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65</w:t>
            </w:r>
            <w:r w:rsidR="00092C94">
              <w:rPr>
                <w:rFonts w:cs="Arial"/>
                <w:color w:val="000000" w:themeColor="text1"/>
                <w:lang w:eastAsia="en-AU"/>
              </w:rPr>
              <w:t>.0</w:t>
            </w:r>
            <w:r w:rsidR="003930BD" w:rsidRPr="00092C94">
              <w:rPr>
                <w:rFonts w:cs="Arial"/>
                <w:color w:val="000000" w:themeColor="text1"/>
                <w:lang w:eastAsia="en-AU"/>
              </w:rPr>
              <w:t xml:space="preserve"> </w:t>
            </w:r>
            <w:r w:rsidRPr="00092C94">
              <w:rPr>
                <w:rFonts w:cs="Arial"/>
                <w:color w:val="000000" w:themeColor="text1"/>
                <w:lang w:eastAsia="en-AU"/>
              </w:rPr>
              <w:t>≤</w:t>
            </w:r>
            <w:r w:rsidR="003930BD" w:rsidRPr="00092C94">
              <w:rPr>
                <w:rFonts w:cs="Arial"/>
                <w:color w:val="000000" w:themeColor="text1"/>
                <w:lang w:eastAsia="en-AU"/>
              </w:rPr>
              <w:t xml:space="preserve"> </w:t>
            </w:r>
            <w:r w:rsidRPr="00092C94">
              <w:rPr>
                <w:rFonts w:cs="Arial"/>
                <w:color w:val="000000" w:themeColor="text1"/>
                <w:lang w:eastAsia="en-AU"/>
              </w:rPr>
              <w:t>x</w:t>
            </w:r>
            <w:r w:rsidR="003930BD" w:rsidRPr="00092C94">
              <w:rPr>
                <w:rFonts w:cs="Arial"/>
                <w:color w:val="000000" w:themeColor="text1"/>
                <w:lang w:eastAsia="en-AU"/>
              </w:rPr>
              <w:t xml:space="preserve"> </w:t>
            </w:r>
            <w:r w:rsidRPr="00092C94">
              <w:rPr>
                <w:rFonts w:cs="Arial"/>
                <w:color w:val="000000" w:themeColor="text1"/>
                <w:lang w:eastAsia="en-AU"/>
              </w:rPr>
              <w:t>&lt;</w:t>
            </w:r>
            <w:r w:rsidR="00C41294" w:rsidRPr="00092C94">
              <w:rPr>
                <w:rFonts w:cs="Arial"/>
                <w:color w:val="000000" w:themeColor="text1"/>
                <w:lang w:eastAsia="en-AU"/>
              </w:rPr>
              <w:t xml:space="preserve"> </w:t>
            </w:r>
            <w:r w:rsidRPr="00092C94">
              <w:rPr>
                <w:rFonts w:cs="Arial"/>
                <w:color w:val="000000" w:themeColor="text1"/>
                <w:lang w:eastAsia="en-AU"/>
              </w:rPr>
              <w:t>70</w:t>
            </w:r>
            <w:r w:rsidR="00092C94">
              <w:rPr>
                <w:rFonts w:cs="Arial"/>
                <w:color w:val="000000" w:themeColor="text1"/>
                <w:lang w:eastAsia="en-AU"/>
              </w:rPr>
              <w:t>.0</w:t>
            </w:r>
          </w:p>
        </w:tc>
        <w:tc>
          <w:tcPr>
            <w:tcW w:w="0" w:type="pct"/>
          </w:tcPr>
          <w:p w14:paraId="495E320E" w14:textId="3B321E2B" w:rsidR="00050126" w:rsidRPr="00092C94" w:rsidRDefault="00050126" w:rsidP="00D21283">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19</w:t>
            </w:r>
          </w:p>
        </w:tc>
      </w:tr>
      <w:tr w:rsidR="003930BD" w:rsidRPr="00654F9E" w14:paraId="484A65DE"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tcPr>
          <w:p w14:paraId="2CF59D67" w14:textId="7361A570" w:rsidR="00050126" w:rsidRPr="00092C94" w:rsidRDefault="00050126" w:rsidP="00D21283">
            <w:pPr>
              <w:spacing w:after="0"/>
              <w:contextualSpacing/>
              <w:jc w:val="center"/>
              <w:rPr>
                <w:rFonts w:cs="Arial"/>
                <w:b w:val="0"/>
                <w:color w:val="000000" w:themeColor="text1"/>
                <w:lang w:eastAsia="en-AU"/>
              </w:rPr>
            </w:pPr>
            <w:r w:rsidRPr="00092C94">
              <w:rPr>
                <w:rFonts w:cs="Arial"/>
                <w:b w:val="0"/>
                <w:color w:val="000000" w:themeColor="text1"/>
                <w:lang w:eastAsia="en-AU"/>
              </w:rPr>
              <w:t>22.5 ≤ x</w:t>
            </w:r>
            <w:r w:rsidR="003930BD" w:rsidRPr="00092C94">
              <w:rPr>
                <w:rFonts w:cs="Arial"/>
                <w:b w:val="0"/>
                <w:color w:val="000000" w:themeColor="text1"/>
                <w:lang w:eastAsia="en-AU"/>
              </w:rPr>
              <w:t xml:space="preserve"> </w:t>
            </w:r>
            <w:r w:rsidRPr="00092C94">
              <w:rPr>
                <w:rFonts w:cs="Arial"/>
                <w:b w:val="0"/>
                <w:color w:val="000000" w:themeColor="text1"/>
                <w:lang w:eastAsia="en-AU"/>
              </w:rPr>
              <w:t>&lt; 25</w:t>
            </w:r>
          </w:p>
        </w:tc>
        <w:tc>
          <w:tcPr>
            <w:tcW w:w="1172" w:type="pct"/>
          </w:tcPr>
          <w:p w14:paraId="65A44238" w14:textId="7EDB1DFA"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10</w:t>
            </w:r>
          </w:p>
        </w:tc>
        <w:tc>
          <w:tcPr>
            <w:tcW w:w="0" w:type="pct"/>
          </w:tcPr>
          <w:p w14:paraId="698D5B52" w14:textId="178F9802"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x</w:t>
            </w:r>
            <w:r w:rsidR="003930BD" w:rsidRPr="00092C94">
              <w:rPr>
                <w:rFonts w:cs="Arial"/>
                <w:color w:val="000000" w:themeColor="text1"/>
                <w:lang w:eastAsia="en-AU"/>
              </w:rPr>
              <w:t xml:space="preserve"> </w:t>
            </w:r>
            <w:r w:rsidRPr="00092C94">
              <w:rPr>
                <w:rFonts w:cs="Arial"/>
                <w:color w:val="000000" w:themeColor="text1"/>
                <w:lang w:eastAsia="en-AU"/>
              </w:rPr>
              <w:t>≥70</w:t>
            </w:r>
            <w:r w:rsidR="00092C94">
              <w:rPr>
                <w:rFonts w:cs="Arial"/>
                <w:color w:val="000000" w:themeColor="text1"/>
                <w:lang w:eastAsia="en-AU"/>
              </w:rPr>
              <w:t>.0</w:t>
            </w:r>
          </w:p>
        </w:tc>
        <w:tc>
          <w:tcPr>
            <w:tcW w:w="0" w:type="pct"/>
          </w:tcPr>
          <w:p w14:paraId="6EF55817" w14:textId="27A6115D" w:rsidR="00050126" w:rsidRPr="00092C94" w:rsidRDefault="00050126" w:rsidP="00D21283">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20</w:t>
            </w:r>
          </w:p>
        </w:tc>
      </w:tr>
    </w:tbl>
    <w:p w14:paraId="28CCD8A2" w14:textId="33291D39" w:rsidR="0035264F" w:rsidRPr="00850B9D" w:rsidRDefault="0035264F" w:rsidP="007411E2">
      <w:pPr>
        <w:pStyle w:val="Tablefigureheading"/>
      </w:pPr>
      <w:bookmarkStart w:id="158" w:name="_Toc178085252"/>
      <w:bookmarkStart w:id="159" w:name="_Toc178085269"/>
      <w:r w:rsidRPr="00850B9D">
        <w:t xml:space="preserve">Table </w:t>
      </w:r>
      <w:fldSimple w:instr=" SEQ Table \* ARABIC ">
        <w:r>
          <w:rPr>
            <w:noProof/>
          </w:rPr>
          <w:t>3</w:t>
        </w:r>
      </w:fldSimple>
      <w:r w:rsidRPr="00850B9D">
        <w:t>: 5G New Improved Handheld Coverage Scoring Matrix (Part 2)</w:t>
      </w:r>
      <w:bookmarkEnd w:id="158"/>
      <w:bookmarkEnd w:id="159"/>
    </w:p>
    <w:tbl>
      <w:tblPr>
        <w:tblStyle w:val="DefaultTable11"/>
        <w:tblW w:w="2248" w:type="pct"/>
        <w:tblInd w:w="1119" w:type="dxa"/>
        <w:tblBorders>
          <w:top w:val="single" w:sz="12" w:space="0" w:color="4BB3B5"/>
          <w:left w:val="single" w:sz="12" w:space="0" w:color="4BB3B5"/>
          <w:bottom w:val="single" w:sz="12" w:space="0" w:color="4BB3B5"/>
          <w:right w:val="single" w:sz="12" w:space="0" w:color="4BB3B5"/>
          <w:insideH w:val="single" w:sz="12" w:space="0" w:color="4BB3B5"/>
          <w:insideV w:val="single" w:sz="12" w:space="0" w:color="4BB3B5"/>
        </w:tblBorders>
        <w:tblLook w:val="04A0" w:firstRow="1" w:lastRow="0" w:firstColumn="1" w:lastColumn="0" w:noHBand="0" w:noVBand="1"/>
        <w:tblDescription w:val="Table 2: New Improved Handheld Coverage Scoring Matrix"/>
      </w:tblPr>
      <w:tblGrid>
        <w:gridCol w:w="2266"/>
        <w:gridCol w:w="1980"/>
      </w:tblGrid>
      <w:tr w:rsidR="0096747D" w:rsidRPr="00654F9E" w14:paraId="7116C725" w14:textId="77777777" w:rsidTr="00850B9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4375A57D" w14:textId="3566317D" w:rsidR="00050126" w:rsidRPr="002254CD" w:rsidRDefault="00050126" w:rsidP="00850B9D">
            <w:pPr>
              <w:pStyle w:val="Tablerowcolumnheadingcentred"/>
              <w:ind w:left="199"/>
              <w:contextualSpacing/>
              <w:rPr>
                <w:b/>
              </w:rPr>
            </w:pPr>
            <w:r w:rsidRPr="002254CD">
              <w:rPr>
                <w:b/>
              </w:rPr>
              <w:t xml:space="preserve">New Improved Handheld coverage </w:t>
            </w:r>
            <w:r w:rsidRPr="0096747D">
              <w:rPr>
                <w:b/>
              </w:rPr>
              <w:t>range (</w:t>
            </w:r>
            <w:r w:rsidR="0096747D" w:rsidRPr="0096747D">
              <w:t>km</w:t>
            </w:r>
            <w:r w:rsidR="0096747D" w:rsidRPr="0096747D">
              <w:rPr>
                <w:vertAlign w:val="superscript"/>
              </w:rPr>
              <w:t>2</w:t>
            </w:r>
            <w:r w:rsidRPr="0096747D">
              <w:rPr>
                <w:b/>
              </w:rPr>
              <w:t>)</w:t>
            </w:r>
          </w:p>
        </w:tc>
        <w:tc>
          <w:tcPr>
            <w:tcW w:w="0" w:type="pct"/>
            <w:vAlign w:val="center"/>
          </w:tcPr>
          <w:p w14:paraId="135A8188" w14:textId="58C6DCC9" w:rsidR="007443E5" w:rsidRPr="007443E5" w:rsidRDefault="00050126" w:rsidP="007411E2">
            <w:pPr>
              <w:pStyle w:val="Tablerowcolumnheadingcentred"/>
              <w:ind w:left="199"/>
              <w:contextualSpacing/>
              <w:cnfStyle w:val="100000000000" w:firstRow="1" w:lastRow="0" w:firstColumn="0" w:lastColumn="0" w:oddVBand="0" w:evenVBand="0" w:oddHBand="0" w:evenHBand="0" w:firstRowFirstColumn="0" w:firstRowLastColumn="0" w:lastRowFirstColumn="0" w:lastRowLastColumn="0"/>
            </w:pPr>
            <w:r w:rsidRPr="002254CD">
              <w:rPr>
                <w:b/>
              </w:rPr>
              <w:t>Points</w:t>
            </w:r>
          </w:p>
        </w:tc>
      </w:tr>
      <w:tr w:rsidR="0096747D" w:rsidRPr="00654F9E" w14:paraId="3B5ADCAB"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11E2DAC5" w14:textId="04F19A64" w:rsidR="00050126" w:rsidRPr="00092C94" w:rsidRDefault="00050126" w:rsidP="00850B9D">
            <w:pPr>
              <w:spacing w:after="0"/>
              <w:contextualSpacing/>
              <w:jc w:val="center"/>
              <w:rPr>
                <w:rFonts w:cs="Arial"/>
                <w:b w:val="0"/>
                <w:color w:val="000000" w:themeColor="text1"/>
                <w:lang w:eastAsia="en-AU"/>
              </w:rPr>
            </w:pPr>
            <w:r w:rsidRPr="00092C94">
              <w:rPr>
                <w:rFonts w:cs="Arial"/>
                <w:b w:val="0"/>
                <w:color w:val="000000" w:themeColor="text1"/>
                <w:lang w:eastAsia="en-AU"/>
              </w:rPr>
              <w:t xml:space="preserve">0.1 </w:t>
            </w:r>
            <w:r w:rsidR="00CB2D5B" w:rsidRPr="00092C94">
              <w:rPr>
                <w:rFonts w:cs="Arial"/>
                <w:b w:val="0"/>
                <w:color w:val="000000" w:themeColor="text1"/>
                <w:lang w:eastAsia="en-AU"/>
              </w:rPr>
              <w:t>≤</w:t>
            </w:r>
            <w:r w:rsidRPr="00092C94">
              <w:rPr>
                <w:rFonts w:cs="Arial"/>
                <w:b w:val="0"/>
                <w:color w:val="000000" w:themeColor="text1"/>
                <w:lang w:eastAsia="en-AU"/>
              </w:rPr>
              <w:t xml:space="preserve"> x &lt; 20</w:t>
            </w:r>
            <w:r w:rsidR="00092C94">
              <w:rPr>
                <w:rFonts w:cs="Arial"/>
                <w:b w:val="0"/>
                <w:color w:val="000000" w:themeColor="text1"/>
                <w:lang w:eastAsia="en-AU"/>
              </w:rPr>
              <w:t>.0</w:t>
            </w:r>
          </w:p>
        </w:tc>
        <w:tc>
          <w:tcPr>
            <w:tcW w:w="0" w:type="pct"/>
            <w:vAlign w:val="center"/>
          </w:tcPr>
          <w:p w14:paraId="46EF62A6" w14:textId="53F17965" w:rsidR="00050126" w:rsidRPr="00092C94" w:rsidRDefault="00050126" w:rsidP="00850B9D">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1</w:t>
            </w:r>
          </w:p>
        </w:tc>
      </w:tr>
      <w:tr w:rsidR="0096747D" w:rsidRPr="00654F9E" w14:paraId="229000F7"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27D05B06" w14:textId="2E9CA233" w:rsidR="00050126" w:rsidRPr="00092C94" w:rsidRDefault="00050126" w:rsidP="00850B9D">
            <w:pPr>
              <w:spacing w:after="0"/>
              <w:contextualSpacing/>
              <w:jc w:val="center"/>
              <w:rPr>
                <w:rFonts w:cs="Arial"/>
                <w:b w:val="0"/>
                <w:color w:val="000000" w:themeColor="text1"/>
                <w:lang w:eastAsia="en-AU"/>
              </w:rPr>
            </w:pPr>
            <w:r w:rsidRPr="00092C94">
              <w:rPr>
                <w:rFonts w:cs="Arial"/>
                <w:b w:val="0"/>
                <w:color w:val="000000" w:themeColor="text1"/>
                <w:lang w:eastAsia="en-AU"/>
              </w:rPr>
              <w:t>20</w:t>
            </w:r>
            <w:r w:rsidR="00092C94">
              <w:rPr>
                <w:rFonts w:cs="Arial"/>
                <w:b w:val="0"/>
                <w:color w:val="000000" w:themeColor="text1"/>
                <w:lang w:eastAsia="en-AU"/>
              </w:rPr>
              <w:t>.0</w:t>
            </w:r>
            <w:r w:rsidRPr="00092C94">
              <w:rPr>
                <w:rFonts w:cs="Arial"/>
                <w:b w:val="0"/>
                <w:color w:val="000000" w:themeColor="text1"/>
                <w:lang w:eastAsia="en-AU"/>
              </w:rPr>
              <w:t xml:space="preserve"> ≤ x &lt; 30</w:t>
            </w:r>
            <w:r w:rsidR="00092C94">
              <w:rPr>
                <w:rFonts w:cs="Arial"/>
                <w:b w:val="0"/>
                <w:color w:val="000000" w:themeColor="text1"/>
                <w:lang w:eastAsia="en-AU"/>
              </w:rPr>
              <w:t>.0</w:t>
            </w:r>
          </w:p>
        </w:tc>
        <w:tc>
          <w:tcPr>
            <w:tcW w:w="0" w:type="pct"/>
            <w:vAlign w:val="center"/>
          </w:tcPr>
          <w:p w14:paraId="7F40B2EB" w14:textId="078B6A80" w:rsidR="00050126" w:rsidRPr="00092C94" w:rsidRDefault="00050126" w:rsidP="00850B9D">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2</w:t>
            </w:r>
          </w:p>
        </w:tc>
      </w:tr>
      <w:tr w:rsidR="0096747D" w:rsidRPr="00654F9E" w14:paraId="6449489F"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0981BD21" w14:textId="659068AC" w:rsidR="00050126" w:rsidRPr="00092C94" w:rsidRDefault="00050126" w:rsidP="00850B9D">
            <w:pPr>
              <w:spacing w:after="0"/>
              <w:contextualSpacing/>
              <w:jc w:val="center"/>
              <w:rPr>
                <w:rFonts w:cs="Arial"/>
                <w:b w:val="0"/>
                <w:color w:val="000000" w:themeColor="text1"/>
                <w:lang w:eastAsia="en-AU"/>
              </w:rPr>
            </w:pPr>
            <w:r w:rsidRPr="00092C94">
              <w:rPr>
                <w:rFonts w:cs="Arial"/>
                <w:b w:val="0"/>
                <w:color w:val="000000" w:themeColor="text1"/>
                <w:lang w:eastAsia="en-AU"/>
              </w:rPr>
              <w:t>30</w:t>
            </w:r>
            <w:r w:rsidR="00092C94">
              <w:rPr>
                <w:rFonts w:cs="Arial"/>
                <w:b w:val="0"/>
                <w:color w:val="000000" w:themeColor="text1"/>
                <w:lang w:eastAsia="en-AU"/>
              </w:rPr>
              <w:t>.0</w:t>
            </w:r>
            <w:r w:rsidRPr="00092C94">
              <w:rPr>
                <w:rFonts w:cs="Arial"/>
                <w:b w:val="0"/>
                <w:color w:val="000000" w:themeColor="text1"/>
                <w:lang w:eastAsia="en-AU"/>
              </w:rPr>
              <w:t xml:space="preserve"> ≤ x &lt; 40</w:t>
            </w:r>
            <w:r w:rsidR="00092C94">
              <w:rPr>
                <w:rFonts w:cs="Arial"/>
                <w:b w:val="0"/>
                <w:color w:val="000000" w:themeColor="text1"/>
                <w:lang w:eastAsia="en-AU"/>
              </w:rPr>
              <w:t>.0</w:t>
            </w:r>
          </w:p>
        </w:tc>
        <w:tc>
          <w:tcPr>
            <w:tcW w:w="0" w:type="pct"/>
            <w:vAlign w:val="center"/>
          </w:tcPr>
          <w:p w14:paraId="514153B5" w14:textId="212959E7" w:rsidR="00050126" w:rsidRPr="00092C94" w:rsidRDefault="00050126" w:rsidP="00850B9D">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3</w:t>
            </w:r>
          </w:p>
        </w:tc>
      </w:tr>
      <w:tr w:rsidR="0096747D" w:rsidRPr="00654F9E" w14:paraId="663BEDF3"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6A73ECAD" w14:textId="049BD983" w:rsidR="00050126" w:rsidRPr="00092C94" w:rsidRDefault="00050126" w:rsidP="00850B9D">
            <w:pPr>
              <w:spacing w:after="0"/>
              <w:contextualSpacing/>
              <w:jc w:val="center"/>
              <w:rPr>
                <w:rFonts w:cs="Arial"/>
                <w:b w:val="0"/>
                <w:color w:val="000000" w:themeColor="text1"/>
                <w:lang w:eastAsia="en-AU"/>
              </w:rPr>
            </w:pPr>
            <w:r w:rsidRPr="00092C94">
              <w:rPr>
                <w:rFonts w:cs="Arial"/>
                <w:b w:val="0"/>
                <w:color w:val="000000" w:themeColor="text1"/>
                <w:lang w:eastAsia="en-AU"/>
              </w:rPr>
              <w:t>40</w:t>
            </w:r>
            <w:r w:rsidR="00092C94">
              <w:rPr>
                <w:rFonts w:cs="Arial"/>
                <w:b w:val="0"/>
                <w:color w:val="000000" w:themeColor="text1"/>
                <w:lang w:eastAsia="en-AU"/>
              </w:rPr>
              <w:t>.0</w:t>
            </w:r>
            <w:r w:rsidRPr="00092C94">
              <w:rPr>
                <w:rFonts w:cs="Arial"/>
                <w:b w:val="0"/>
                <w:color w:val="000000" w:themeColor="text1"/>
                <w:lang w:eastAsia="en-AU"/>
              </w:rPr>
              <w:t xml:space="preserve"> ≤ x &lt; 50</w:t>
            </w:r>
            <w:r w:rsidR="00092C94">
              <w:rPr>
                <w:rFonts w:cs="Arial"/>
                <w:b w:val="0"/>
                <w:color w:val="000000" w:themeColor="text1"/>
                <w:lang w:eastAsia="en-AU"/>
              </w:rPr>
              <w:t>.0</w:t>
            </w:r>
          </w:p>
        </w:tc>
        <w:tc>
          <w:tcPr>
            <w:tcW w:w="0" w:type="pct"/>
            <w:vAlign w:val="center"/>
          </w:tcPr>
          <w:p w14:paraId="7C4B9EC8" w14:textId="0C2561C3" w:rsidR="00050126" w:rsidRPr="00092C94" w:rsidRDefault="00050126" w:rsidP="00850B9D">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092C94">
              <w:rPr>
                <w:rFonts w:cs="Arial"/>
                <w:color w:val="000000" w:themeColor="text1"/>
                <w:lang w:eastAsia="en-AU"/>
              </w:rPr>
              <w:t>4</w:t>
            </w:r>
          </w:p>
        </w:tc>
      </w:tr>
      <w:tr w:rsidR="0096747D" w:rsidRPr="00654F9E" w14:paraId="7D2B590F"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24246CEE" w14:textId="39CE6516" w:rsidR="00050126" w:rsidRPr="00092C94" w:rsidRDefault="00CB2D5B" w:rsidP="00850B9D">
            <w:pPr>
              <w:spacing w:after="0"/>
              <w:contextualSpacing/>
              <w:jc w:val="center"/>
              <w:rPr>
                <w:rFonts w:cs="Arial"/>
                <w:b w:val="0"/>
                <w:color w:val="000000" w:themeColor="text1"/>
                <w:lang w:eastAsia="en-AU"/>
              </w:rPr>
            </w:pPr>
            <w:r w:rsidRPr="00092C94">
              <w:rPr>
                <w:rFonts w:cs="Arial"/>
                <w:b w:val="0"/>
                <w:color w:val="000000" w:themeColor="text1"/>
                <w:lang w:eastAsia="en-AU"/>
              </w:rPr>
              <w:t xml:space="preserve">x </w:t>
            </w:r>
            <w:r w:rsidR="00050126" w:rsidRPr="00092C94">
              <w:rPr>
                <w:rFonts w:cs="Arial"/>
                <w:b w:val="0"/>
                <w:color w:val="000000" w:themeColor="text1"/>
                <w:lang w:eastAsia="en-AU"/>
              </w:rPr>
              <w:t>≥</w:t>
            </w:r>
            <w:r w:rsidRPr="00092C94">
              <w:rPr>
                <w:rFonts w:cs="Arial"/>
                <w:b w:val="0"/>
                <w:color w:val="000000" w:themeColor="text1"/>
                <w:lang w:eastAsia="en-AU"/>
              </w:rPr>
              <w:t xml:space="preserve"> </w:t>
            </w:r>
            <w:r w:rsidR="00DE2163" w:rsidRPr="00092C94">
              <w:rPr>
                <w:rFonts w:cs="Arial"/>
                <w:b w:val="0"/>
                <w:color w:val="000000" w:themeColor="text1"/>
                <w:lang w:eastAsia="en-AU"/>
              </w:rPr>
              <w:t>50</w:t>
            </w:r>
            <w:r w:rsidR="00092C94" w:rsidRPr="00092C94">
              <w:rPr>
                <w:rFonts w:cs="Arial"/>
                <w:b w:val="0"/>
                <w:color w:val="000000" w:themeColor="text1"/>
                <w:lang w:eastAsia="en-AU"/>
              </w:rPr>
              <w:t>.0</w:t>
            </w:r>
          </w:p>
        </w:tc>
        <w:tc>
          <w:tcPr>
            <w:tcW w:w="0" w:type="pct"/>
            <w:vAlign w:val="center"/>
          </w:tcPr>
          <w:p w14:paraId="24739E49" w14:textId="4B141097" w:rsidR="00050126" w:rsidRPr="00092C94" w:rsidRDefault="00050126" w:rsidP="00850B9D">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092C94">
              <w:rPr>
                <w:rFonts w:cs="Arial"/>
                <w:color w:val="000000" w:themeColor="text1"/>
                <w:lang w:eastAsia="en-AU"/>
              </w:rPr>
              <w:t>5</w:t>
            </w:r>
          </w:p>
        </w:tc>
      </w:tr>
    </w:tbl>
    <w:p w14:paraId="32278C37" w14:textId="563931A5" w:rsidR="0035264F" w:rsidRPr="00850B9D" w:rsidRDefault="0035264F" w:rsidP="007411E2">
      <w:pPr>
        <w:pStyle w:val="Tablefigureheading"/>
      </w:pPr>
      <w:bookmarkStart w:id="160" w:name="_Toc178085253"/>
      <w:bookmarkStart w:id="161" w:name="_Toc178085270"/>
      <w:r w:rsidRPr="00850B9D">
        <w:lastRenderedPageBreak/>
        <w:t xml:space="preserve">Table </w:t>
      </w:r>
      <w:fldSimple w:instr=" SEQ Table \* ARABIC ">
        <w:r>
          <w:rPr>
            <w:noProof/>
          </w:rPr>
          <w:t>4</w:t>
        </w:r>
      </w:fldSimple>
      <w:r w:rsidRPr="00850B9D">
        <w:t>: Coverage Loading</w:t>
      </w:r>
      <w:bookmarkEnd w:id="160"/>
      <w:bookmarkEnd w:id="161"/>
    </w:p>
    <w:tbl>
      <w:tblPr>
        <w:tblStyle w:val="DefaultTable11"/>
        <w:tblW w:w="4128" w:type="pct"/>
        <w:tblInd w:w="1119" w:type="dxa"/>
        <w:tblBorders>
          <w:top w:val="single" w:sz="12" w:space="0" w:color="4BB3B5"/>
          <w:left w:val="single" w:sz="12" w:space="0" w:color="4BB3B5"/>
          <w:bottom w:val="single" w:sz="12" w:space="0" w:color="4BB3B5"/>
          <w:right w:val="single" w:sz="12" w:space="0" w:color="4BB3B5"/>
          <w:insideH w:val="single" w:sz="12" w:space="0" w:color="4BB3B5"/>
          <w:insideV w:val="single" w:sz="12" w:space="0" w:color="4BB3B5"/>
        </w:tblBorders>
        <w:tblLook w:val="04A0" w:firstRow="1" w:lastRow="0" w:firstColumn="1" w:lastColumn="0" w:noHBand="0" w:noVBand="1"/>
        <w:tblDescription w:val="Table 1: Minimum specification configurations for co-location of multiple MNOs"/>
      </w:tblPr>
      <w:tblGrid>
        <w:gridCol w:w="2274"/>
        <w:gridCol w:w="2123"/>
        <w:gridCol w:w="3401"/>
      </w:tblGrid>
      <w:tr w:rsidR="00252A3F" w:rsidRPr="00654F9E" w14:paraId="4ED6B197" w14:textId="77777777" w:rsidTr="007411E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8" w:type="pct"/>
            <w:tcBorders>
              <w:top w:val="none" w:sz="0" w:space="0" w:color="auto"/>
              <w:bottom w:val="none" w:sz="0" w:space="0" w:color="auto"/>
            </w:tcBorders>
            <w:vAlign w:val="center"/>
          </w:tcPr>
          <w:p w14:paraId="24CB8C5E" w14:textId="02171BF2" w:rsidR="00070A51" w:rsidRPr="00252A3F" w:rsidRDefault="00070A51" w:rsidP="00850B9D">
            <w:pPr>
              <w:pStyle w:val="Tablerowcolumnheading"/>
              <w:keepNext/>
              <w:ind w:left="31"/>
              <w:contextualSpacing/>
              <w:jc w:val="center"/>
              <w:rPr>
                <w:b/>
              </w:rPr>
            </w:pPr>
            <w:r w:rsidRPr="00252A3F">
              <w:rPr>
                <w:b/>
              </w:rPr>
              <w:t>Coverage Level</w:t>
            </w:r>
          </w:p>
        </w:tc>
        <w:tc>
          <w:tcPr>
            <w:tcW w:w="1361" w:type="pct"/>
            <w:tcBorders>
              <w:top w:val="none" w:sz="0" w:space="0" w:color="auto"/>
              <w:bottom w:val="none" w:sz="0" w:space="0" w:color="auto"/>
            </w:tcBorders>
            <w:vAlign w:val="center"/>
          </w:tcPr>
          <w:p w14:paraId="2FD4C0F9" w14:textId="2EDFAF4D" w:rsidR="00070A51" w:rsidRPr="00F34D4A" w:rsidRDefault="00070A51" w:rsidP="00850B9D">
            <w:pPr>
              <w:pStyle w:val="Tablerowcolumnheading"/>
              <w:keepNext/>
              <w:contextualSpacing/>
              <w:jc w:val="center"/>
              <w:cnfStyle w:val="100000000000" w:firstRow="1" w:lastRow="0" w:firstColumn="0" w:lastColumn="0" w:oddVBand="0" w:evenVBand="0" w:oddHBand="0" w:evenHBand="0" w:firstRowFirstColumn="0" w:firstRowLastColumn="0" w:lastRowFirstColumn="0" w:lastRowLastColumn="0"/>
              <w:rPr>
                <w:b/>
                <w:lang w:eastAsia="en-AU"/>
              </w:rPr>
            </w:pPr>
            <w:r>
              <w:rPr>
                <w:b/>
                <w:lang w:eastAsia="en-AU"/>
              </w:rPr>
              <w:t>Loading</w:t>
            </w:r>
          </w:p>
        </w:tc>
        <w:tc>
          <w:tcPr>
            <w:tcW w:w="2181" w:type="pct"/>
            <w:tcBorders>
              <w:top w:val="none" w:sz="0" w:space="0" w:color="auto"/>
              <w:bottom w:val="none" w:sz="0" w:space="0" w:color="auto"/>
            </w:tcBorders>
            <w:vAlign w:val="center"/>
          </w:tcPr>
          <w:p w14:paraId="6BF6DCAC" w14:textId="25DC6598" w:rsidR="00092C94" w:rsidRDefault="00070A51" w:rsidP="00850B9D">
            <w:pPr>
              <w:pStyle w:val="Tablerowcolumnheading"/>
              <w:keepNext/>
              <w:contextualSpacing/>
              <w:jc w:val="center"/>
              <w:cnfStyle w:val="100000000000" w:firstRow="1" w:lastRow="0" w:firstColumn="0" w:lastColumn="0" w:oddVBand="0" w:evenVBand="0" w:oddHBand="0" w:evenHBand="0" w:firstRowFirstColumn="0" w:firstRowLastColumn="0" w:lastRowFirstColumn="0" w:lastRowLastColumn="0"/>
            </w:pPr>
            <w:r>
              <w:rPr>
                <w:b/>
              </w:rPr>
              <w:t>Example</w:t>
            </w:r>
            <w:r w:rsidR="007411E2">
              <w:rPr>
                <w:b/>
              </w:rPr>
              <w:t xml:space="preserve"> —</w:t>
            </w:r>
            <w:r>
              <w:rPr>
                <w:b/>
              </w:rPr>
              <w:t xml:space="preserve"> number of points received for 24</w:t>
            </w:r>
            <w:r w:rsidR="00D3278E" w:rsidRPr="00B90EE2">
              <w:rPr>
                <w:b/>
              </w:rPr>
              <w:t>km</w:t>
            </w:r>
            <w:r w:rsidR="00D3278E" w:rsidRPr="00B90EE2">
              <w:rPr>
                <w:b/>
                <w:vertAlign w:val="superscript"/>
              </w:rPr>
              <w:t>2</w:t>
            </w:r>
            <w:r w:rsidR="00D3278E">
              <w:rPr>
                <w:b/>
              </w:rPr>
              <w:t xml:space="preserve"> </w:t>
            </w:r>
            <w:r>
              <w:rPr>
                <w:b/>
              </w:rPr>
              <w:t>of coverage</w:t>
            </w:r>
            <w:r w:rsidR="0096747D">
              <w:rPr>
                <w:b/>
              </w:rPr>
              <w:t xml:space="preserve"> based on </w:t>
            </w:r>
          </w:p>
          <w:p w14:paraId="0FFBED99" w14:textId="5CE5839C" w:rsidR="00070A51" w:rsidRPr="00F34D4A" w:rsidRDefault="0096747D" w:rsidP="00850B9D">
            <w:pPr>
              <w:pStyle w:val="Tablerowcolumnheading"/>
              <w:keepNext/>
              <w:contextualSpacing/>
              <w:jc w:val="center"/>
              <w:cnfStyle w:val="100000000000" w:firstRow="1" w:lastRow="0" w:firstColumn="0" w:lastColumn="0" w:oddVBand="0" w:evenVBand="0" w:oddHBand="0" w:evenHBand="0" w:firstRowFirstColumn="0" w:firstRowLastColumn="0" w:lastRowFirstColumn="0" w:lastRowLastColumn="0"/>
              <w:rPr>
                <w:b/>
              </w:rPr>
            </w:pPr>
            <w:r>
              <w:rPr>
                <w:b/>
              </w:rPr>
              <w:t>Table 2</w:t>
            </w:r>
          </w:p>
        </w:tc>
      </w:tr>
      <w:tr w:rsidR="00252A3F" w:rsidRPr="00654F9E" w14:paraId="26DF2D40"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1458" w:type="pct"/>
          </w:tcPr>
          <w:p w14:paraId="1D67D1BD" w14:textId="64186C23" w:rsidR="00070A51" w:rsidRPr="00850B9D" w:rsidRDefault="00070A51" w:rsidP="00850B9D">
            <w:pPr>
              <w:spacing w:after="0"/>
              <w:contextualSpacing/>
              <w:jc w:val="center"/>
              <w:rPr>
                <w:rFonts w:cs="Arial"/>
                <w:b w:val="0"/>
                <w:color w:val="000000" w:themeColor="text1"/>
                <w:lang w:eastAsia="en-AU"/>
              </w:rPr>
            </w:pPr>
            <w:r w:rsidRPr="00850B9D">
              <w:rPr>
                <w:rFonts w:cs="Arial"/>
                <w:color w:val="000000" w:themeColor="text1"/>
                <w:szCs w:val="22"/>
                <w:lang w:eastAsia="en-AU"/>
              </w:rPr>
              <w:t>-85dBm</w:t>
            </w:r>
          </w:p>
        </w:tc>
        <w:tc>
          <w:tcPr>
            <w:tcW w:w="1361" w:type="pct"/>
          </w:tcPr>
          <w:p w14:paraId="32E5F802" w14:textId="3EF759B5" w:rsidR="00070A51" w:rsidRPr="00850B9D" w:rsidRDefault="00070A51" w:rsidP="00850B9D">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1</w:t>
            </w:r>
          </w:p>
        </w:tc>
        <w:tc>
          <w:tcPr>
            <w:tcW w:w="2181" w:type="pct"/>
          </w:tcPr>
          <w:p w14:paraId="3B682EFB" w14:textId="1530BB2C" w:rsidR="00070A51" w:rsidRPr="00850B9D" w:rsidRDefault="00070A51" w:rsidP="00850B9D">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10</w:t>
            </w:r>
          </w:p>
        </w:tc>
      </w:tr>
      <w:tr w:rsidR="00252A3F" w:rsidRPr="00654F9E" w14:paraId="698F8E5E"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8" w:type="pct"/>
          </w:tcPr>
          <w:p w14:paraId="5AD7B076" w14:textId="4E0041DD" w:rsidR="00070A51" w:rsidRPr="00850B9D" w:rsidRDefault="00070A51" w:rsidP="00850B9D">
            <w:pPr>
              <w:spacing w:after="0"/>
              <w:contextualSpacing/>
              <w:jc w:val="center"/>
              <w:rPr>
                <w:rFonts w:cs="Arial"/>
                <w:b w:val="0"/>
                <w:color w:val="000000" w:themeColor="text1"/>
                <w:lang w:eastAsia="en-AU"/>
              </w:rPr>
            </w:pPr>
            <w:r w:rsidRPr="00850B9D">
              <w:rPr>
                <w:rFonts w:cs="Arial"/>
                <w:color w:val="000000" w:themeColor="text1"/>
                <w:szCs w:val="22"/>
                <w:lang w:eastAsia="en-AU"/>
              </w:rPr>
              <w:t>-95dBm</w:t>
            </w:r>
          </w:p>
        </w:tc>
        <w:tc>
          <w:tcPr>
            <w:tcW w:w="1361" w:type="pct"/>
          </w:tcPr>
          <w:p w14:paraId="1F999242" w14:textId="0BBFB00E" w:rsidR="00070A51" w:rsidRPr="00850B9D" w:rsidRDefault="00070A51" w:rsidP="00850B9D">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0.5</w:t>
            </w:r>
          </w:p>
        </w:tc>
        <w:tc>
          <w:tcPr>
            <w:tcW w:w="2181" w:type="pct"/>
          </w:tcPr>
          <w:p w14:paraId="384FD448" w14:textId="258FF5F0" w:rsidR="00070A51" w:rsidRPr="00850B9D" w:rsidRDefault="00070A51" w:rsidP="00850B9D">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5</w:t>
            </w:r>
          </w:p>
        </w:tc>
      </w:tr>
      <w:tr w:rsidR="00252A3F" w:rsidRPr="00654F9E" w14:paraId="411BEB53" w14:textId="77777777" w:rsidTr="007411E2">
        <w:trPr>
          <w:cantSplit/>
        </w:trPr>
        <w:tc>
          <w:tcPr>
            <w:cnfStyle w:val="001000000000" w:firstRow="0" w:lastRow="0" w:firstColumn="1" w:lastColumn="0" w:oddVBand="0" w:evenVBand="0" w:oddHBand="0" w:evenHBand="0" w:firstRowFirstColumn="0" w:firstRowLastColumn="0" w:lastRowFirstColumn="0" w:lastRowLastColumn="0"/>
            <w:tcW w:w="1458" w:type="pct"/>
            <w:tcBorders>
              <w:bottom w:val="single" w:sz="12" w:space="0" w:color="4BB3B5"/>
            </w:tcBorders>
          </w:tcPr>
          <w:p w14:paraId="43559F8A" w14:textId="727E59B2" w:rsidR="00070A51" w:rsidRPr="00850B9D" w:rsidRDefault="00070A51" w:rsidP="00850B9D">
            <w:pPr>
              <w:spacing w:after="0"/>
              <w:contextualSpacing/>
              <w:jc w:val="center"/>
              <w:rPr>
                <w:rFonts w:cs="Arial"/>
                <w:b w:val="0"/>
                <w:color w:val="000000" w:themeColor="text1"/>
                <w:lang w:eastAsia="en-AU"/>
              </w:rPr>
            </w:pPr>
            <w:r w:rsidRPr="00850B9D">
              <w:rPr>
                <w:rFonts w:cs="Arial"/>
                <w:color w:val="000000" w:themeColor="text1"/>
                <w:szCs w:val="22"/>
                <w:lang w:eastAsia="en-AU"/>
              </w:rPr>
              <w:t>-105dBm</w:t>
            </w:r>
          </w:p>
        </w:tc>
        <w:tc>
          <w:tcPr>
            <w:tcW w:w="1361" w:type="pct"/>
            <w:tcBorders>
              <w:bottom w:val="single" w:sz="12" w:space="0" w:color="4BB3B5"/>
            </w:tcBorders>
          </w:tcPr>
          <w:p w14:paraId="46D6407B" w14:textId="67BB086E" w:rsidR="00070A51" w:rsidRPr="00850B9D" w:rsidRDefault="00070A51" w:rsidP="00850B9D">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0.25</w:t>
            </w:r>
          </w:p>
        </w:tc>
        <w:tc>
          <w:tcPr>
            <w:tcW w:w="2181" w:type="pct"/>
            <w:tcBorders>
              <w:bottom w:val="single" w:sz="12" w:space="0" w:color="4BB3B5"/>
            </w:tcBorders>
          </w:tcPr>
          <w:p w14:paraId="4C6E5E13" w14:textId="06F6DFF2" w:rsidR="00070A51" w:rsidRPr="00850B9D" w:rsidRDefault="00070A51" w:rsidP="00850B9D">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2.5</w:t>
            </w:r>
          </w:p>
        </w:tc>
      </w:tr>
      <w:tr w:rsidR="007411E2" w:rsidRPr="00654F9E" w14:paraId="4B32DD03" w14:textId="77777777" w:rsidTr="007411E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8" w:type="pct"/>
            <w:tcBorders>
              <w:right w:val="single" w:sz="4" w:space="0" w:color="auto"/>
            </w:tcBorders>
          </w:tcPr>
          <w:p w14:paraId="5A65477C" w14:textId="77777777" w:rsidR="007411E2" w:rsidRPr="00850B9D" w:rsidRDefault="007411E2" w:rsidP="00850B9D">
            <w:pPr>
              <w:spacing w:after="0"/>
              <w:contextualSpacing/>
              <w:jc w:val="center"/>
              <w:rPr>
                <w:rFonts w:cs="Arial"/>
                <w:color w:val="000000" w:themeColor="text1"/>
                <w:lang w:eastAsia="en-AU"/>
              </w:rPr>
            </w:pPr>
          </w:p>
        </w:tc>
        <w:tc>
          <w:tcPr>
            <w:tcW w:w="1361" w:type="pct"/>
            <w:tcBorders>
              <w:left w:val="single" w:sz="4" w:space="0" w:color="auto"/>
              <w:right w:val="single" w:sz="4" w:space="0" w:color="auto"/>
            </w:tcBorders>
          </w:tcPr>
          <w:p w14:paraId="7A744BDE" w14:textId="77777777" w:rsidR="007411E2" w:rsidRPr="00850B9D" w:rsidRDefault="007411E2" w:rsidP="00850B9D">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p>
        </w:tc>
        <w:tc>
          <w:tcPr>
            <w:tcW w:w="2181" w:type="pct"/>
            <w:tcBorders>
              <w:left w:val="single" w:sz="4" w:space="0" w:color="auto"/>
            </w:tcBorders>
          </w:tcPr>
          <w:p w14:paraId="5A8F6C19" w14:textId="513C49A2" w:rsidR="007411E2" w:rsidRPr="007411E2" w:rsidRDefault="007411E2" w:rsidP="00850B9D">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b/>
                <w:color w:val="000000" w:themeColor="text1"/>
                <w:lang w:eastAsia="en-AU"/>
              </w:rPr>
            </w:pPr>
            <w:r w:rsidRPr="007411E2">
              <w:rPr>
                <w:rFonts w:cs="Arial"/>
                <w:b/>
                <w:color w:val="000000" w:themeColor="text1"/>
                <w:szCs w:val="22"/>
                <w:lang w:eastAsia="en-AU"/>
              </w:rPr>
              <w:t>Total points received: 17.5</w:t>
            </w:r>
          </w:p>
        </w:tc>
      </w:tr>
    </w:tbl>
    <w:p w14:paraId="6ACAA397" w14:textId="761D441D" w:rsidR="00802A9F" w:rsidRDefault="00802A9F" w:rsidP="00436751">
      <w:pPr>
        <w:pStyle w:val="Normal-Style2"/>
        <w:keepLines/>
        <w:spacing w:before="240"/>
      </w:pPr>
      <w:r>
        <w:t>The department reserves the right to apply a scaling factor</w:t>
      </w:r>
      <w:r w:rsidR="00625332">
        <w:t xml:space="preserve"> and</w:t>
      </w:r>
      <w:r>
        <w:t xml:space="preserve"> </w:t>
      </w:r>
      <w:r w:rsidR="00625332">
        <w:t xml:space="preserve">/ or offset to </w:t>
      </w:r>
      <w:r>
        <w:t xml:space="preserve">each of the New Improved </w:t>
      </w:r>
      <w:r w:rsidR="0043402E">
        <w:t>C</w:t>
      </w:r>
      <w:r>
        <w:t xml:space="preserve">overage ranges in Tables </w:t>
      </w:r>
      <w:r w:rsidR="00D867FA">
        <w:t xml:space="preserve">2, </w:t>
      </w:r>
      <w:r>
        <w:t xml:space="preserve">3 and 4, if the existing </w:t>
      </w:r>
      <w:r w:rsidR="00625332">
        <w:t>ranges do not result in an adequate scoring differential. For example, if the New Improved Coverage outcomes only ranged up to 35 km</w:t>
      </w:r>
      <w:r w:rsidR="00625332" w:rsidRPr="00625332">
        <w:rPr>
          <w:vertAlign w:val="superscript"/>
        </w:rPr>
        <w:t>2</w:t>
      </w:r>
      <w:r w:rsidR="00625332">
        <w:t xml:space="preserve"> with a significant clumping, the department may apply a factor </w:t>
      </w:r>
      <w:r w:rsidR="00A1062C">
        <w:t>(i.e. ½)</w:t>
      </w:r>
      <w:r w:rsidR="00625332">
        <w:t xml:space="preserve"> </w:t>
      </w:r>
      <w:r w:rsidR="00A76D51">
        <w:t xml:space="preserve">to </w:t>
      </w:r>
      <w:r w:rsidR="00625332">
        <w:t>increase the scoring range</w:t>
      </w:r>
      <w:r w:rsidR="00097586">
        <w:t xml:space="preserve"> and better differentiate the scoring of applications</w:t>
      </w:r>
      <w:r w:rsidR="00625332">
        <w:t>.</w:t>
      </w:r>
    </w:p>
    <w:p w14:paraId="73D47691" w14:textId="3D867887" w:rsidR="00555603" w:rsidRPr="007833F5" w:rsidRDefault="00555603" w:rsidP="005C4E32">
      <w:pPr>
        <w:pStyle w:val="Normal-Style2"/>
        <w:keepLines/>
      </w:pPr>
      <w:r>
        <w:t xml:space="preserve">For Multi-MNO Proposed Solutions, the points </w:t>
      </w:r>
      <w:r w:rsidR="00CB1CB6">
        <w:t xml:space="preserve">received for </w:t>
      </w:r>
      <w:r w:rsidR="00050126">
        <w:t xml:space="preserve">Part 1 and Part 2 </w:t>
      </w:r>
      <w:r>
        <w:t xml:space="preserve">will be assessed separately for each MNO’s mobile coverage footprint </w:t>
      </w:r>
      <w:r w:rsidR="00610AAA">
        <w:t xml:space="preserve">area </w:t>
      </w:r>
      <w:r>
        <w:t xml:space="preserve">and then </w:t>
      </w:r>
      <w:r w:rsidR="00610AAA">
        <w:t xml:space="preserve">added together </w:t>
      </w:r>
      <w:r>
        <w:t>into a single score</w:t>
      </w:r>
      <w:r w:rsidR="00610AAA">
        <w:t xml:space="preserve"> for </w:t>
      </w:r>
      <w:r w:rsidR="004E4FA9">
        <w:t>the respective solution</w:t>
      </w:r>
      <w:r w:rsidR="00610AAA">
        <w:t>, capped to 2</w:t>
      </w:r>
      <w:r w:rsidR="005153D5">
        <w:t>5</w:t>
      </w:r>
      <w:r w:rsidR="00610AAA">
        <w:t xml:space="preserve"> points.</w:t>
      </w:r>
    </w:p>
    <w:p w14:paraId="73D476CB" w14:textId="4353B365" w:rsidR="005D29B7" w:rsidRPr="00CB3318" w:rsidRDefault="005D29B7" w:rsidP="005C4E32">
      <w:pPr>
        <w:pStyle w:val="Heading3"/>
        <w:ind w:left="1077" w:hanging="1077"/>
      </w:pPr>
      <w:bookmarkStart w:id="162" w:name="_Toc178085199"/>
      <w:r w:rsidRPr="00CB3318">
        <w:t xml:space="preserve">Criterion </w:t>
      </w:r>
      <w:r>
        <w:t>2</w:t>
      </w:r>
      <w:r w:rsidRPr="00CB3318">
        <w:t>:</w:t>
      </w:r>
      <w:r>
        <w:t xml:space="preserve"> Premises within</w:t>
      </w:r>
      <w:r w:rsidRPr="00CB3318">
        <w:t xml:space="preserve"> </w:t>
      </w:r>
      <w:r w:rsidRPr="00D84EEA">
        <w:t xml:space="preserve">New </w:t>
      </w:r>
      <w:r w:rsidRPr="00CB3318">
        <w:t>Improved Handheld Coverage</w:t>
      </w:r>
      <w:r w:rsidRPr="00D84EEA">
        <w:t xml:space="preserve"> </w:t>
      </w:r>
      <w:r w:rsidR="0043766F">
        <w:t xml:space="preserve">Area </w:t>
      </w:r>
      <w:r w:rsidRPr="00D84EEA">
        <w:t>(</w:t>
      </w:r>
      <w:r w:rsidR="005153D5">
        <w:t>15</w:t>
      </w:r>
      <w:r w:rsidRPr="00D84EEA">
        <w:t xml:space="preserve"> Points)</w:t>
      </w:r>
      <w:bookmarkEnd w:id="162"/>
    </w:p>
    <w:p w14:paraId="1156A8E3" w14:textId="2B210B22" w:rsidR="00EF78E1" w:rsidRDefault="005D29B7" w:rsidP="005C4E32">
      <w:pPr>
        <w:pStyle w:val="Normal-Style2"/>
        <w:rPr>
          <w:rFonts w:eastAsia="Calibri"/>
        </w:rPr>
      </w:pPr>
      <w:r w:rsidRPr="005D29B7">
        <w:rPr>
          <w:rFonts w:eastAsia="Calibri"/>
        </w:rPr>
        <w:t xml:space="preserve">Proposed Solutions will be awarded up to </w:t>
      </w:r>
      <w:r w:rsidR="00D74268">
        <w:rPr>
          <w:rFonts w:eastAsia="Calibri"/>
        </w:rPr>
        <w:t>15</w:t>
      </w:r>
      <w:r w:rsidRPr="005D29B7">
        <w:rPr>
          <w:rFonts w:eastAsia="Calibri"/>
        </w:rPr>
        <w:t xml:space="preserve"> points based on the </w:t>
      </w:r>
      <w:r w:rsidR="00AE6AFE">
        <w:rPr>
          <w:rFonts w:eastAsia="Calibri"/>
        </w:rPr>
        <w:t xml:space="preserve">number of </w:t>
      </w:r>
      <w:r w:rsidRPr="005D29B7">
        <w:rPr>
          <w:rFonts w:eastAsia="Calibri"/>
        </w:rPr>
        <w:t xml:space="preserve">premises within the </w:t>
      </w:r>
      <w:r w:rsidR="009E273E">
        <w:rPr>
          <w:rFonts w:eastAsia="Calibri"/>
        </w:rPr>
        <w:t>P</w:t>
      </w:r>
      <w:r w:rsidRPr="005D29B7">
        <w:rPr>
          <w:rFonts w:eastAsia="Calibri"/>
        </w:rPr>
        <w:t xml:space="preserve">roposed </w:t>
      </w:r>
      <w:r w:rsidR="009E273E">
        <w:rPr>
          <w:rFonts w:eastAsia="Calibri"/>
        </w:rPr>
        <w:t>S</w:t>
      </w:r>
      <w:r w:rsidRPr="005D29B7">
        <w:rPr>
          <w:rFonts w:eastAsia="Calibri"/>
        </w:rPr>
        <w:t>olution</w:t>
      </w:r>
      <w:r w:rsidR="00417CD1">
        <w:rPr>
          <w:rFonts w:eastAsia="Calibri"/>
        </w:rPr>
        <w:t>’</w:t>
      </w:r>
      <w:r w:rsidRPr="005D29B7">
        <w:rPr>
          <w:rFonts w:eastAsia="Calibri"/>
        </w:rPr>
        <w:t>s</w:t>
      </w:r>
      <w:r w:rsidR="00417CD1" w:rsidRPr="00417CD1">
        <w:t xml:space="preserve"> </w:t>
      </w:r>
      <w:r w:rsidR="00417CD1" w:rsidRPr="00D84EEA">
        <w:t xml:space="preserve">New </w:t>
      </w:r>
      <w:r w:rsidR="00417CD1" w:rsidRPr="00CB3318">
        <w:t xml:space="preserve">Improved Handheld </w:t>
      </w:r>
      <w:r w:rsidR="00A067FB">
        <w:t>C</w:t>
      </w:r>
      <w:r w:rsidR="00417CD1" w:rsidRPr="00CB3318">
        <w:t>overage</w:t>
      </w:r>
      <w:r w:rsidR="00417CD1" w:rsidRPr="00D84EEA">
        <w:t xml:space="preserve"> </w:t>
      </w:r>
      <w:r w:rsidR="00417CD1">
        <w:t>area</w:t>
      </w:r>
      <w:r w:rsidR="00BE0ABA">
        <w:rPr>
          <w:rFonts w:eastAsia="Calibri"/>
        </w:rPr>
        <w:t xml:space="preserve"> at a </w:t>
      </w:r>
      <w:r w:rsidR="00BE0ABA">
        <w:t xml:space="preserve">level with a </w:t>
      </w:r>
      <w:proofErr w:type="spellStart"/>
      <w:r w:rsidR="00BE0ABA" w:rsidRPr="00B705B9">
        <w:t>RS</w:t>
      </w:r>
      <w:r w:rsidR="00BE0ABA">
        <w:t>R</w:t>
      </w:r>
      <w:r w:rsidR="00BE0ABA" w:rsidRPr="00B705B9">
        <w:t>P</w:t>
      </w:r>
      <w:proofErr w:type="spellEnd"/>
      <w:r w:rsidR="00BE0ABA" w:rsidRPr="00B705B9">
        <w:t xml:space="preserve"> </w:t>
      </w:r>
      <w:r w:rsidR="00BE0ABA">
        <w:t xml:space="preserve">of </w:t>
      </w:r>
      <w:r w:rsidR="00BE0ABA" w:rsidRPr="00CB3318">
        <w:rPr>
          <w:b/>
        </w:rPr>
        <w:t>-85dBm</w:t>
      </w:r>
      <w:r w:rsidR="00BE0ABA">
        <w:t xml:space="preserve"> for 4G </w:t>
      </w:r>
      <w:r w:rsidR="004A615C">
        <w:t xml:space="preserve">and 5G </w:t>
      </w:r>
      <w:r w:rsidR="00BE0ABA">
        <w:t xml:space="preserve">services, </w:t>
      </w:r>
      <w:r w:rsidR="00BE0ABA" w:rsidRPr="00B705B9">
        <w:t>at 90 per cent confidence level</w:t>
      </w:r>
      <w:r w:rsidR="00BE0ABA">
        <w:t>s</w:t>
      </w:r>
      <w:r w:rsidR="00BE0ABA" w:rsidRPr="00B705B9">
        <w:t xml:space="preserve"> for the cell area</w:t>
      </w:r>
      <w:r w:rsidRPr="005D29B7">
        <w:rPr>
          <w:rFonts w:eastAsia="Calibri"/>
        </w:rPr>
        <w:t>.</w:t>
      </w:r>
      <w:r w:rsidR="00D74268">
        <w:rPr>
          <w:rFonts w:eastAsia="Calibri"/>
        </w:rPr>
        <w:t xml:space="preserve"> Eligible Locations </w:t>
      </w:r>
      <w:r w:rsidR="00DE2163">
        <w:rPr>
          <w:rFonts w:eastAsia="Calibri"/>
        </w:rPr>
        <w:t xml:space="preserve">under the Program (see </w:t>
      </w:r>
      <w:r w:rsidR="00C41294">
        <w:rPr>
          <w:rFonts w:eastAsia="Calibri"/>
        </w:rPr>
        <w:t xml:space="preserve">section </w:t>
      </w:r>
      <w:r w:rsidR="00DE2163">
        <w:rPr>
          <w:rFonts w:eastAsia="Calibri"/>
        </w:rPr>
        <w:t xml:space="preserve">5.2) </w:t>
      </w:r>
      <w:r w:rsidR="00D74268">
        <w:rPr>
          <w:rFonts w:eastAsia="Calibri"/>
        </w:rPr>
        <w:t xml:space="preserve">will be divided into two categories with separate scoring matrices, in recognition of the different </w:t>
      </w:r>
      <w:r w:rsidR="00D3278E">
        <w:rPr>
          <w:rFonts w:eastAsia="Calibri"/>
        </w:rPr>
        <w:t>demographics</w:t>
      </w:r>
      <w:r w:rsidR="00D74268">
        <w:rPr>
          <w:rFonts w:eastAsia="Calibri"/>
        </w:rPr>
        <w:t xml:space="preserve"> and </w:t>
      </w:r>
      <w:r w:rsidR="00812935">
        <w:rPr>
          <w:rFonts w:eastAsia="Calibri"/>
        </w:rPr>
        <w:t>settlement patter</w:t>
      </w:r>
      <w:r w:rsidR="00EF78E1">
        <w:rPr>
          <w:rFonts w:eastAsia="Calibri"/>
        </w:rPr>
        <w:t>n</w:t>
      </w:r>
      <w:r w:rsidR="00812935">
        <w:rPr>
          <w:rFonts w:eastAsia="Calibri"/>
        </w:rPr>
        <w:t>s</w:t>
      </w:r>
      <w:r w:rsidR="00D74268">
        <w:rPr>
          <w:rFonts w:eastAsia="Calibri"/>
        </w:rPr>
        <w:t xml:space="preserve"> </w:t>
      </w:r>
      <w:r w:rsidR="00C41294">
        <w:rPr>
          <w:rFonts w:eastAsia="Calibri"/>
        </w:rPr>
        <w:t>between</w:t>
      </w:r>
      <w:r w:rsidR="00EF78E1">
        <w:rPr>
          <w:rFonts w:eastAsia="Calibri"/>
        </w:rPr>
        <w:t xml:space="preserve"> the locations. Category A locations will be assessed against the scoring matrix in Table </w:t>
      </w:r>
      <w:r w:rsidR="0035264F">
        <w:rPr>
          <w:rFonts w:eastAsia="Calibri"/>
        </w:rPr>
        <w:t>5</w:t>
      </w:r>
      <w:r w:rsidR="00EF78E1">
        <w:rPr>
          <w:rFonts w:eastAsia="Calibri"/>
        </w:rPr>
        <w:t xml:space="preserve">, and Category B locations will be assessed against the scoring matrix in Table </w:t>
      </w:r>
      <w:r w:rsidR="0035264F">
        <w:rPr>
          <w:rFonts w:eastAsia="Calibri"/>
        </w:rPr>
        <w:t>6</w:t>
      </w:r>
      <w:r w:rsidR="00EF78E1">
        <w:rPr>
          <w:rFonts w:eastAsia="Calibri"/>
        </w:rPr>
        <w:t>.</w:t>
      </w:r>
    </w:p>
    <w:p w14:paraId="73D476CC" w14:textId="49F9663E" w:rsidR="00610AAA" w:rsidRDefault="00EF78E1" w:rsidP="005A463E">
      <w:pPr>
        <w:pStyle w:val="ListBullet"/>
        <w:rPr>
          <w:rFonts w:eastAsia="Calibri"/>
        </w:rPr>
      </w:pPr>
      <w:r w:rsidRPr="00850B9D">
        <w:rPr>
          <w:rFonts w:eastAsia="Calibri"/>
          <w:b/>
        </w:rPr>
        <w:t>Category A:</w:t>
      </w:r>
      <w:r w:rsidR="00D74268">
        <w:rPr>
          <w:rFonts w:eastAsia="Calibri"/>
        </w:rPr>
        <w:t xml:space="preserve"> </w:t>
      </w:r>
      <w:r w:rsidR="005D29B7" w:rsidRPr="005D29B7">
        <w:rPr>
          <w:rFonts w:eastAsia="Calibri"/>
        </w:rPr>
        <w:t xml:space="preserve"> </w:t>
      </w:r>
      <w:r>
        <w:rPr>
          <w:rFonts w:eastAsia="Calibri"/>
        </w:rPr>
        <w:t xml:space="preserve">Melbourne, Sydney, Brisbane, Perth, Adelaide, Gold </w:t>
      </w:r>
      <w:r w:rsidR="00D3278E">
        <w:rPr>
          <w:rFonts w:eastAsia="Calibri"/>
        </w:rPr>
        <w:t>C</w:t>
      </w:r>
      <w:r>
        <w:rPr>
          <w:rFonts w:eastAsia="Calibri"/>
        </w:rPr>
        <w:t>oast/Tweed Heads and Canberra/Queanbeyan.</w:t>
      </w:r>
    </w:p>
    <w:p w14:paraId="11C13B27" w14:textId="57114DEF" w:rsidR="00EF78E1" w:rsidRDefault="00EF78E1" w:rsidP="005A463E">
      <w:pPr>
        <w:pStyle w:val="ListBullet"/>
        <w:rPr>
          <w:rFonts w:eastAsia="Calibri"/>
        </w:rPr>
      </w:pPr>
      <w:r w:rsidRPr="00850B9D">
        <w:rPr>
          <w:rFonts w:eastAsia="Calibri"/>
          <w:b/>
        </w:rPr>
        <w:t>Category B:</w:t>
      </w:r>
      <w:r>
        <w:rPr>
          <w:rFonts w:eastAsia="Calibri"/>
        </w:rPr>
        <w:t xml:space="preserve"> Sunshine Coast, Central Coast, Geelong, Cairns, Hobart, Townsville, </w:t>
      </w:r>
      <w:r w:rsidR="00D3278E">
        <w:rPr>
          <w:rFonts w:eastAsia="Calibri"/>
        </w:rPr>
        <w:t>Newcastle</w:t>
      </w:r>
      <w:r>
        <w:rPr>
          <w:rFonts w:eastAsia="Calibri"/>
        </w:rPr>
        <w:t>, Ballarat, Bendigo, Toowoomba, Darwin and Wollongong.</w:t>
      </w:r>
    </w:p>
    <w:p w14:paraId="6558C013" w14:textId="15264A3E" w:rsidR="0035264F" w:rsidRPr="00850B9D" w:rsidRDefault="0035264F" w:rsidP="007411E2">
      <w:pPr>
        <w:pStyle w:val="Tablefigureheading"/>
      </w:pPr>
      <w:bookmarkStart w:id="163" w:name="_Toc178085254"/>
      <w:bookmarkStart w:id="164" w:name="_Toc178085271"/>
      <w:r w:rsidRPr="00850B9D">
        <w:t xml:space="preserve">Table </w:t>
      </w:r>
      <w:fldSimple w:instr=" SEQ Table \* ARABIC ">
        <w:r>
          <w:rPr>
            <w:noProof/>
          </w:rPr>
          <w:t>5</w:t>
        </w:r>
      </w:fldSimple>
      <w:r w:rsidRPr="00850B9D">
        <w:t>: Premises Scoring Matrix (Category A)</w:t>
      </w:r>
      <w:bookmarkEnd w:id="163"/>
      <w:bookmarkEnd w:id="164"/>
    </w:p>
    <w:tbl>
      <w:tblPr>
        <w:tblStyle w:val="DefaultTable11"/>
        <w:tblW w:w="3115" w:type="pct"/>
        <w:tblInd w:w="1011" w:type="dxa"/>
        <w:tblBorders>
          <w:top w:val="single" w:sz="12" w:space="0" w:color="4BB3B5"/>
          <w:left w:val="single" w:sz="12" w:space="0" w:color="4BB3B5"/>
          <w:bottom w:val="single" w:sz="12" w:space="0" w:color="4BB3B5"/>
          <w:right w:val="single" w:sz="12" w:space="0" w:color="4BB3B5"/>
          <w:insideH w:val="single" w:sz="12" w:space="0" w:color="4BB3B5"/>
          <w:insideV w:val="single" w:sz="12" w:space="0" w:color="4BB3B5"/>
        </w:tblBorders>
        <w:tblLook w:val="04A0" w:firstRow="1" w:lastRow="0" w:firstColumn="1" w:lastColumn="0" w:noHBand="0" w:noVBand="1"/>
        <w:tblDescription w:val="Table 3: New Improved Handheld Coverage Scoring Matrix"/>
      </w:tblPr>
      <w:tblGrid>
        <w:gridCol w:w="1508"/>
        <w:gridCol w:w="1380"/>
        <w:gridCol w:w="1631"/>
        <w:gridCol w:w="1365"/>
      </w:tblGrid>
      <w:tr w:rsidR="007443E5" w:rsidRPr="00654F9E" w14:paraId="3C040CEE" w14:textId="77777777" w:rsidTr="00850B9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tcBorders>
              <w:top w:val="none" w:sz="0" w:space="0" w:color="auto"/>
              <w:bottom w:val="none" w:sz="0" w:space="0" w:color="auto"/>
            </w:tcBorders>
            <w:vAlign w:val="center"/>
          </w:tcPr>
          <w:p w14:paraId="345D12C1" w14:textId="0C3BA401" w:rsidR="007443E5" w:rsidRPr="00850B9D" w:rsidRDefault="007443E5" w:rsidP="00850B9D">
            <w:pPr>
              <w:spacing w:after="0"/>
              <w:rPr>
                <w:color w:val="FFFFFF" w:themeColor="background1"/>
              </w:rPr>
            </w:pPr>
            <w:r w:rsidRPr="00850B9D">
              <w:rPr>
                <w:color w:val="FFFFFF" w:themeColor="background1"/>
              </w:rPr>
              <w:t>Premises range</w:t>
            </w:r>
          </w:p>
        </w:tc>
        <w:tc>
          <w:tcPr>
            <w:tcW w:w="1173" w:type="pct"/>
            <w:tcBorders>
              <w:top w:val="none" w:sz="0" w:space="0" w:color="auto"/>
              <w:bottom w:val="none" w:sz="0" w:space="0" w:color="auto"/>
            </w:tcBorders>
            <w:vAlign w:val="center"/>
          </w:tcPr>
          <w:p w14:paraId="71A54649" w14:textId="1F72B95A" w:rsidR="007443E5" w:rsidRPr="00850B9D" w:rsidRDefault="007443E5" w:rsidP="007443E5">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50B9D">
              <w:rPr>
                <w:color w:val="FFFFFF" w:themeColor="background1"/>
              </w:rPr>
              <w:t>Points</w:t>
            </w:r>
          </w:p>
        </w:tc>
        <w:tc>
          <w:tcPr>
            <w:tcW w:w="1386" w:type="pct"/>
            <w:tcBorders>
              <w:top w:val="none" w:sz="0" w:space="0" w:color="auto"/>
              <w:bottom w:val="none" w:sz="0" w:space="0" w:color="auto"/>
            </w:tcBorders>
            <w:vAlign w:val="center"/>
          </w:tcPr>
          <w:p w14:paraId="6C8645FE" w14:textId="2962F68F" w:rsidR="007443E5" w:rsidRPr="00850B9D" w:rsidRDefault="007443E5" w:rsidP="007443E5">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90EE2">
              <w:rPr>
                <w:color w:val="FFFFFF" w:themeColor="background1"/>
              </w:rPr>
              <w:t>Premises range</w:t>
            </w:r>
          </w:p>
        </w:tc>
        <w:tc>
          <w:tcPr>
            <w:tcW w:w="1160" w:type="pct"/>
            <w:tcBorders>
              <w:top w:val="none" w:sz="0" w:space="0" w:color="auto"/>
              <w:bottom w:val="none" w:sz="0" w:space="0" w:color="auto"/>
            </w:tcBorders>
            <w:vAlign w:val="center"/>
          </w:tcPr>
          <w:p w14:paraId="76381BA1" w14:textId="5D75C378" w:rsidR="007443E5" w:rsidRPr="007411E2" w:rsidRDefault="007443E5" w:rsidP="007411E2">
            <w:pPr>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B90EE2">
              <w:rPr>
                <w:color w:val="FFFFFF" w:themeColor="background1"/>
              </w:rPr>
              <w:t>Points</w:t>
            </w:r>
          </w:p>
        </w:tc>
      </w:tr>
      <w:tr w:rsidR="007443E5" w:rsidRPr="00654F9E" w14:paraId="76F795EB"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0270D49D" w14:textId="1DC7A066" w:rsidR="007443E5" w:rsidRPr="002254CD" w:rsidRDefault="007443E5" w:rsidP="007443E5">
            <w:pPr>
              <w:spacing w:after="0"/>
              <w:contextualSpacing/>
              <w:jc w:val="center"/>
              <w:rPr>
                <w:rFonts w:cs="Arial"/>
                <w:b w:val="0"/>
                <w:color w:val="000000" w:themeColor="text1"/>
                <w:lang w:eastAsia="en-AU"/>
              </w:rPr>
            </w:pPr>
            <w:r>
              <w:rPr>
                <w:rFonts w:cs="Arial"/>
                <w:b w:val="0"/>
                <w:color w:val="000000" w:themeColor="text1"/>
                <w:lang w:eastAsia="en-AU"/>
              </w:rPr>
              <w:t>1 – 1000</w:t>
            </w:r>
          </w:p>
        </w:tc>
        <w:tc>
          <w:tcPr>
            <w:tcW w:w="1173" w:type="pct"/>
            <w:vAlign w:val="center"/>
          </w:tcPr>
          <w:p w14:paraId="3D994FD2" w14:textId="6F4FE1B4" w:rsidR="007443E5" w:rsidRPr="00850B9D" w:rsidRDefault="007443E5" w:rsidP="007443E5">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1</w:t>
            </w:r>
          </w:p>
        </w:tc>
        <w:tc>
          <w:tcPr>
            <w:tcW w:w="1386" w:type="pct"/>
            <w:vAlign w:val="center"/>
          </w:tcPr>
          <w:p w14:paraId="3D97FB64" w14:textId="1AB08678" w:rsidR="007443E5" w:rsidRPr="00E83EEF" w:rsidRDefault="007443E5" w:rsidP="007443E5">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Pr>
                <w:rFonts w:cs="Arial"/>
                <w:color w:val="000000" w:themeColor="text1"/>
                <w:lang w:eastAsia="en-AU"/>
              </w:rPr>
              <w:t>8,0</w:t>
            </w:r>
            <w:r w:rsidRPr="00E83EEF">
              <w:rPr>
                <w:rFonts w:cs="Arial"/>
                <w:color w:val="000000" w:themeColor="text1"/>
                <w:lang w:eastAsia="en-AU"/>
              </w:rPr>
              <w:t xml:space="preserve">01 – </w:t>
            </w:r>
            <w:r>
              <w:rPr>
                <w:rFonts w:cs="Arial"/>
                <w:color w:val="000000" w:themeColor="text1"/>
                <w:lang w:eastAsia="en-AU"/>
              </w:rPr>
              <w:t>9,000</w:t>
            </w:r>
          </w:p>
        </w:tc>
        <w:tc>
          <w:tcPr>
            <w:tcW w:w="1160" w:type="pct"/>
            <w:vAlign w:val="center"/>
          </w:tcPr>
          <w:p w14:paraId="0A93FC7B" w14:textId="46A796D6" w:rsidR="007443E5" w:rsidRPr="00850B9D" w:rsidRDefault="007443E5" w:rsidP="007443E5">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11.5</w:t>
            </w:r>
          </w:p>
        </w:tc>
      </w:tr>
      <w:tr w:rsidR="007443E5" w:rsidRPr="00654F9E" w14:paraId="0E83C927"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133F3D01" w14:textId="1898212A" w:rsidR="007443E5" w:rsidRPr="002254CD" w:rsidRDefault="007443E5" w:rsidP="007443E5">
            <w:pPr>
              <w:spacing w:after="0"/>
              <w:contextualSpacing/>
              <w:jc w:val="center"/>
              <w:rPr>
                <w:rFonts w:cs="Arial"/>
                <w:b w:val="0"/>
                <w:color w:val="000000" w:themeColor="text1"/>
                <w:lang w:eastAsia="en-AU"/>
              </w:rPr>
            </w:pPr>
            <w:r>
              <w:rPr>
                <w:rFonts w:cs="Arial"/>
                <w:b w:val="0"/>
                <w:color w:val="000000" w:themeColor="text1"/>
                <w:lang w:eastAsia="en-AU"/>
              </w:rPr>
              <w:t>1,001 – 2,000</w:t>
            </w:r>
          </w:p>
        </w:tc>
        <w:tc>
          <w:tcPr>
            <w:tcW w:w="1173" w:type="pct"/>
            <w:vAlign w:val="center"/>
          </w:tcPr>
          <w:p w14:paraId="7C1400BD" w14:textId="1F3D1762" w:rsidR="007443E5" w:rsidRPr="00850B9D" w:rsidRDefault="007443E5" w:rsidP="007443E5">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2</w:t>
            </w:r>
          </w:p>
        </w:tc>
        <w:tc>
          <w:tcPr>
            <w:tcW w:w="1386" w:type="pct"/>
            <w:vAlign w:val="center"/>
          </w:tcPr>
          <w:p w14:paraId="266D4766" w14:textId="7F5B2085" w:rsidR="007443E5" w:rsidRPr="00994A94" w:rsidRDefault="007443E5" w:rsidP="007443E5">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994A94">
              <w:rPr>
                <w:rFonts w:cs="Arial"/>
                <w:color w:val="000000" w:themeColor="text1"/>
                <w:lang w:eastAsia="en-AU"/>
              </w:rPr>
              <w:t>9,001 – 10,000</w:t>
            </w:r>
          </w:p>
        </w:tc>
        <w:tc>
          <w:tcPr>
            <w:tcW w:w="1160" w:type="pct"/>
            <w:vAlign w:val="center"/>
          </w:tcPr>
          <w:p w14:paraId="4958EDE5" w14:textId="55DB7C6B" w:rsidR="007443E5" w:rsidRPr="00850B9D" w:rsidRDefault="007443E5" w:rsidP="007443E5">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12</w:t>
            </w:r>
          </w:p>
        </w:tc>
      </w:tr>
      <w:tr w:rsidR="007443E5" w:rsidRPr="00654F9E" w14:paraId="2098A0ED"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70C88986" w14:textId="05B6DD40" w:rsidR="007443E5" w:rsidRPr="002254CD" w:rsidRDefault="007443E5" w:rsidP="007443E5">
            <w:pPr>
              <w:spacing w:after="0"/>
              <w:contextualSpacing/>
              <w:jc w:val="center"/>
              <w:rPr>
                <w:rFonts w:cs="Arial"/>
                <w:b w:val="0"/>
                <w:color w:val="000000" w:themeColor="text1"/>
                <w:lang w:eastAsia="en-AU"/>
              </w:rPr>
            </w:pPr>
            <w:r>
              <w:rPr>
                <w:rFonts w:cs="Arial"/>
                <w:b w:val="0"/>
                <w:color w:val="000000" w:themeColor="text1"/>
                <w:lang w:eastAsia="en-AU"/>
              </w:rPr>
              <w:t>2,001 – 3,000</w:t>
            </w:r>
          </w:p>
        </w:tc>
        <w:tc>
          <w:tcPr>
            <w:tcW w:w="1173" w:type="pct"/>
            <w:vAlign w:val="center"/>
          </w:tcPr>
          <w:p w14:paraId="5850C7E6" w14:textId="5352A123" w:rsidR="007443E5" w:rsidRPr="00850B9D" w:rsidRDefault="007443E5" w:rsidP="007443E5">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4</w:t>
            </w:r>
          </w:p>
        </w:tc>
        <w:tc>
          <w:tcPr>
            <w:tcW w:w="1386" w:type="pct"/>
            <w:vAlign w:val="center"/>
          </w:tcPr>
          <w:p w14:paraId="2E11A3E3" w14:textId="73C20704" w:rsidR="007443E5" w:rsidRPr="00994A94" w:rsidRDefault="007443E5" w:rsidP="007443E5">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994A94">
              <w:rPr>
                <w:rFonts w:cs="Arial"/>
                <w:color w:val="000000" w:themeColor="text1"/>
                <w:lang w:eastAsia="en-AU"/>
              </w:rPr>
              <w:t>10,001 – 12,000</w:t>
            </w:r>
          </w:p>
        </w:tc>
        <w:tc>
          <w:tcPr>
            <w:tcW w:w="1160" w:type="pct"/>
            <w:vAlign w:val="center"/>
          </w:tcPr>
          <w:p w14:paraId="75C9136D" w14:textId="1E8CDDD5" w:rsidR="007443E5" w:rsidRPr="00850B9D" w:rsidRDefault="007443E5" w:rsidP="007443E5">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12.5</w:t>
            </w:r>
          </w:p>
        </w:tc>
      </w:tr>
      <w:tr w:rsidR="007443E5" w:rsidRPr="00654F9E" w14:paraId="37FF4679"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1A62770C" w14:textId="23FCA118" w:rsidR="007443E5" w:rsidRPr="002254CD" w:rsidRDefault="007443E5" w:rsidP="007443E5">
            <w:pPr>
              <w:spacing w:after="0"/>
              <w:contextualSpacing/>
              <w:jc w:val="center"/>
              <w:rPr>
                <w:rFonts w:cs="Arial"/>
                <w:b w:val="0"/>
                <w:color w:val="000000" w:themeColor="text1"/>
                <w:lang w:eastAsia="en-AU"/>
              </w:rPr>
            </w:pPr>
            <w:r>
              <w:rPr>
                <w:rFonts w:cs="Arial"/>
                <w:b w:val="0"/>
                <w:color w:val="000000" w:themeColor="text1"/>
                <w:lang w:eastAsia="en-AU"/>
              </w:rPr>
              <w:t>3,001 – 4,000</w:t>
            </w:r>
          </w:p>
        </w:tc>
        <w:tc>
          <w:tcPr>
            <w:tcW w:w="1173" w:type="pct"/>
            <w:vAlign w:val="center"/>
          </w:tcPr>
          <w:p w14:paraId="4E7DBDC2" w14:textId="2DBCE658" w:rsidR="007443E5" w:rsidRPr="00850B9D" w:rsidRDefault="007443E5" w:rsidP="007443E5">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6</w:t>
            </w:r>
          </w:p>
        </w:tc>
        <w:tc>
          <w:tcPr>
            <w:tcW w:w="1386" w:type="pct"/>
            <w:vAlign w:val="center"/>
          </w:tcPr>
          <w:p w14:paraId="48E5905F" w14:textId="7CED44E8" w:rsidR="007443E5" w:rsidRPr="00994A94" w:rsidRDefault="007443E5" w:rsidP="007443E5">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994A94">
              <w:rPr>
                <w:rFonts w:cs="Arial"/>
                <w:color w:val="000000" w:themeColor="text1"/>
                <w:lang w:eastAsia="en-AU"/>
              </w:rPr>
              <w:t>12,001 – 14,000</w:t>
            </w:r>
          </w:p>
        </w:tc>
        <w:tc>
          <w:tcPr>
            <w:tcW w:w="1160" w:type="pct"/>
            <w:vAlign w:val="center"/>
          </w:tcPr>
          <w:p w14:paraId="29E05EA3" w14:textId="02EC9442" w:rsidR="007443E5" w:rsidRPr="00850B9D" w:rsidRDefault="007443E5" w:rsidP="007443E5">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13</w:t>
            </w:r>
          </w:p>
        </w:tc>
      </w:tr>
      <w:tr w:rsidR="007443E5" w:rsidRPr="00654F9E" w14:paraId="4EE52DE1"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573F6D2B" w14:textId="42DD8287" w:rsidR="007443E5" w:rsidRDefault="007443E5" w:rsidP="007443E5">
            <w:pPr>
              <w:spacing w:after="0"/>
              <w:contextualSpacing/>
              <w:jc w:val="center"/>
              <w:rPr>
                <w:rFonts w:cs="Arial"/>
                <w:b w:val="0"/>
                <w:color w:val="000000" w:themeColor="text1"/>
                <w:lang w:eastAsia="en-AU"/>
              </w:rPr>
            </w:pPr>
            <w:r>
              <w:rPr>
                <w:rFonts w:cs="Arial"/>
                <w:b w:val="0"/>
                <w:color w:val="000000" w:themeColor="text1"/>
                <w:lang w:eastAsia="en-AU"/>
              </w:rPr>
              <w:t>4,001 – 5,000</w:t>
            </w:r>
          </w:p>
        </w:tc>
        <w:tc>
          <w:tcPr>
            <w:tcW w:w="1173" w:type="pct"/>
            <w:vAlign w:val="center"/>
          </w:tcPr>
          <w:p w14:paraId="374BE2F6" w14:textId="46E55699" w:rsidR="007443E5" w:rsidRPr="00850B9D" w:rsidRDefault="007443E5" w:rsidP="007443E5">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8</w:t>
            </w:r>
          </w:p>
        </w:tc>
        <w:tc>
          <w:tcPr>
            <w:tcW w:w="1386" w:type="pct"/>
            <w:vAlign w:val="center"/>
          </w:tcPr>
          <w:p w14:paraId="754ED71F" w14:textId="55F4DC0A" w:rsidR="007443E5" w:rsidRDefault="007443E5" w:rsidP="007443E5">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Pr>
                <w:rFonts w:cs="Arial"/>
                <w:color w:val="000000" w:themeColor="text1"/>
                <w:lang w:eastAsia="en-AU"/>
              </w:rPr>
              <w:t>14,001</w:t>
            </w:r>
            <w:r w:rsidRPr="00E83EEF">
              <w:rPr>
                <w:rFonts w:cs="Arial"/>
                <w:color w:val="000000" w:themeColor="text1"/>
                <w:lang w:eastAsia="en-AU"/>
              </w:rPr>
              <w:t xml:space="preserve"> – </w:t>
            </w:r>
            <w:r>
              <w:rPr>
                <w:rFonts w:cs="Arial"/>
                <w:color w:val="000000" w:themeColor="text1"/>
                <w:lang w:eastAsia="en-AU"/>
              </w:rPr>
              <w:t>16,</w:t>
            </w:r>
            <w:r w:rsidRPr="00E83EEF">
              <w:rPr>
                <w:rFonts w:cs="Arial"/>
                <w:color w:val="000000" w:themeColor="text1"/>
                <w:lang w:eastAsia="en-AU"/>
              </w:rPr>
              <w:t>00</w:t>
            </w:r>
            <w:r>
              <w:rPr>
                <w:rFonts w:cs="Arial"/>
                <w:color w:val="000000" w:themeColor="text1"/>
                <w:lang w:eastAsia="en-AU"/>
              </w:rPr>
              <w:t>0</w:t>
            </w:r>
          </w:p>
        </w:tc>
        <w:tc>
          <w:tcPr>
            <w:tcW w:w="1160" w:type="pct"/>
            <w:vAlign w:val="center"/>
          </w:tcPr>
          <w:p w14:paraId="6C9FC5B5" w14:textId="2DAA5EE0" w:rsidR="007443E5" w:rsidRPr="00850B9D" w:rsidRDefault="007443E5" w:rsidP="007443E5">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13.5</w:t>
            </w:r>
          </w:p>
        </w:tc>
      </w:tr>
      <w:tr w:rsidR="007443E5" w:rsidRPr="00654F9E" w14:paraId="5D320FCF"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0102645F" w14:textId="54EEA940" w:rsidR="007443E5" w:rsidRDefault="007443E5" w:rsidP="00850B9D">
            <w:pPr>
              <w:spacing w:after="0"/>
              <w:contextualSpacing/>
              <w:jc w:val="center"/>
              <w:rPr>
                <w:rFonts w:cs="Arial"/>
                <w:b w:val="0"/>
                <w:color w:val="000000" w:themeColor="text1"/>
                <w:lang w:eastAsia="en-AU"/>
              </w:rPr>
            </w:pPr>
            <w:r>
              <w:rPr>
                <w:rFonts w:cs="Arial"/>
                <w:b w:val="0"/>
                <w:color w:val="000000" w:themeColor="text1"/>
                <w:lang w:eastAsia="en-AU"/>
              </w:rPr>
              <w:t>5,001 – 6,000</w:t>
            </w:r>
          </w:p>
        </w:tc>
        <w:tc>
          <w:tcPr>
            <w:tcW w:w="1173" w:type="pct"/>
            <w:vAlign w:val="center"/>
          </w:tcPr>
          <w:p w14:paraId="53D14389" w14:textId="6E0EF10E" w:rsidR="007443E5" w:rsidRPr="00850B9D" w:rsidRDefault="007443E5" w:rsidP="00850B9D">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10</w:t>
            </w:r>
          </w:p>
        </w:tc>
        <w:tc>
          <w:tcPr>
            <w:tcW w:w="1386" w:type="pct"/>
            <w:vAlign w:val="center"/>
          </w:tcPr>
          <w:p w14:paraId="1E18D35D" w14:textId="7C0678C9" w:rsidR="007443E5" w:rsidRPr="00994A94" w:rsidRDefault="007443E5" w:rsidP="00850B9D">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994A94">
              <w:rPr>
                <w:rFonts w:cs="Arial"/>
                <w:color w:val="000000" w:themeColor="text1"/>
                <w:lang w:eastAsia="en-AU"/>
              </w:rPr>
              <w:t>16,001 – 18,000</w:t>
            </w:r>
          </w:p>
        </w:tc>
        <w:tc>
          <w:tcPr>
            <w:tcW w:w="1160" w:type="pct"/>
            <w:vAlign w:val="center"/>
          </w:tcPr>
          <w:p w14:paraId="397147A4" w14:textId="1F54A6D1" w:rsidR="007443E5" w:rsidRPr="00850B9D" w:rsidRDefault="007443E5" w:rsidP="00850B9D">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14</w:t>
            </w:r>
          </w:p>
        </w:tc>
      </w:tr>
      <w:tr w:rsidR="007443E5" w:rsidRPr="00654F9E" w14:paraId="5B0E32E1"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5256320F" w14:textId="4E429AE6" w:rsidR="007443E5" w:rsidRPr="00092C94" w:rsidRDefault="007443E5" w:rsidP="00850B9D">
            <w:pPr>
              <w:spacing w:after="0"/>
              <w:contextualSpacing/>
              <w:jc w:val="center"/>
              <w:rPr>
                <w:rFonts w:cs="Arial"/>
                <w:b w:val="0"/>
                <w:color w:val="000000" w:themeColor="text1"/>
                <w:lang w:eastAsia="en-AU"/>
              </w:rPr>
            </w:pPr>
            <w:r w:rsidRPr="00092C94">
              <w:rPr>
                <w:rFonts w:cs="Arial"/>
                <w:b w:val="0"/>
                <w:color w:val="000000" w:themeColor="text1"/>
                <w:lang w:eastAsia="en-AU"/>
              </w:rPr>
              <w:t>6,001 – 7,000</w:t>
            </w:r>
          </w:p>
        </w:tc>
        <w:tc>
          <w:tcPr>
            <w:tcW w:w="1173" w:type="pct"/>
            <w:vAlign w:val="center"/>
          </w:tcPr>
          <w:p w14:paraId="4FCB4250" w14:textId="6C3D4A49" w:rsidR="007443E5" w:rsidRPr="00850B9D" w:rsidRDefault="007443E5" w:rsidP="00850B9D">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10.5</w:t>
            </w:r>
          </w:p>
        </w:tc>
        <w:tc>
          <w:tcPr>
            <w:tcW w:w="1386" w:type="pct"/>
            <w:vAlign w:val="center"/>
          </w:tcPr>
          <w:p w14:paraId="43BBE13C" w14:textId="68ECACBC" w:rsidR="007443E5" w:rsidRDefault="007443E5" w:rsidP="00850B9D">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Pr>
                <w:rFonts w:cs="Arial"/>
                <w:color w:val="000000" w:themeColor="text1"/>
                <w:lang w:eastAsia="en-AU"/>
              </w:rPr>
              <w:t xml:space="preserve">18,001 </w:t>
            </w:r>
            <w:r w:rsidRPr="00850B9D">
              <w:rPr>
                <w:rFonts w:cs="Arial"/>
                <w:color w:val="000000" w:themeColor="text1"/>
                <w:lang w:eastAsia="en-AU"/>
              </w:rPr>
              <w:t>–</w:t>
            </w:r>
            <w:r>
              <w:rPr>
                <w:rFonts w:cs="Arial"/>
                <w:color w:val="000000" w:themeColor="text1"/>
                <w:lang w:eastAsia="en-AU"/>
              </w:rPr>
              <w:t xml:space="preserve"> 20,000</w:t>
            </w:r>
          </w:p>
        </w:tc>
        <w:tc>
          <w:tcPr>
            <w:tcW w:w="1160" w:type="pct"/>
            <w:vAlign w:val="center"/>
          </w:tcPr>
          <w:p w14:paraId="19BCA366" w14:textId="74E7E792" w:rsidR="007443E5" w:rsidRPr="00850B9D" w:rsidRDefault="007443E5" w:rsidP="00850B9D">
            <w:pPr>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14.5</w:t>
            </w:r>
          </w:p>
        </w:tc>
      </w:tr>
      <w:tr w:rsidR="007443E5" w:rsidRPr="00654F9E" w14:paraId="27ABEC6F"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1" w:type="pct"/>
            <w:vAlign w:val="center"/>
          </w:tcPr>
          <w:p w14:paraId="1EDBE5B4" w14:textId="4CD739ED" w:rsidR="007443E5" w:rsidRPr="00092C94" w:rsidRDefault="007443E5" w:rsidP="00850B9D">
            <w:pPr>
              <w:spacing w:after="0"/>
              <w:contextualSpacing/>
              <w:jc w:val="center"/>
              <w:rPr>
                <w:rFonts w:cs="Arial"/>
                <w:b w:val="0"/>
                <w:color w:val="000000" w:themeColor="text1"/>
                <w:lang w:eastAsia="en-AU"/>
              </w:rPr>
            </w:pPr>
            <w:r w:rsidRPr="00092C94">
              <w:rPr>
                <w:rFonts w:cs="Arial"/>
                <w:b w:val="0"/>
                <w:color w:val="000000" w:themeColor="text1"/>
                <w:lang w:eastAsia="en-AU"/>
              </w:rPr>
              <w:t>7,001 – 8,000</w:t>
            </w:r>
          </w:p>
        </w:tc>
        <w:tc>
          <w:tcPr>
            <w:tcW w:w="1173" w:type="pct"/>
            <w:vAlign w:val="center"/>
          </w:tcPr>
          <w:p w14:paraId="7507DCAA" w14:textId="6F591643" w:rsidR="007443E5" w:rsidRPr="00850B9D" w:rsidRDefault="007443E5" w:rsidP="00850B9D">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11</w:t>
            </w:r>
          </w:p>
        </w:tc>
        <w:tc>
          <w:tcPr>
            <w:tcW w:w="1386" w:type="pct"/>
            <w:vAlign w:val="center"/>
          </w:tcPr>
          <w:p w14:paraId="49A96164" w14:textId="7FABBB4E" w:rsidR="007443E5" w:rsidRPr="00994A94" w:rsidRDefault="007443E5" w:rsidP="00850B9D">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994A94">
              <w:rPr>
                <w:rFonts w:cs="Arial"/>
                <w:color w:val="000000" w:themeColor="text1"/>
                <w:lang w:eastAsia="en-AU"/>
              </w:rPr>
              <w:t>&gt; 20,000</w:t>
            </w:r>
          </w:p>
        </w:tc>
        <w:tc>
          <w:tcPr>
            <w:tcW w:w="1160" w:type="pct"/>
            <w:vAlign w:val="center"/>
          </w:tcPr>
          <w:p w14:paraId="020A0815" w14:textId="7A3D957F" w:rsidR="007443E5" w:rsidRPr="00850B9D" w:rsidRDefault="007443E5" w:rsidP="00850B9D">
            <w:pPr>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15</w:t>
            </w:r>
          </w:p>
        </w:tc>
      </w:tr>
    </w:tbl>
    <w:p w14:paraId="6BD04655" w14:textId="209B59DB" w:rsidR="0035264F" w:rsidRDefault="0035264F" w:rsidP="007411E2">
      <w:pPr>
        <w:pStyle w:val="Tablefigureheading"/>
      </w:pPr>
      <w:bookmarkStart w:id="165" w:name="_Toc178085255"/>
      <w:bookmarkStart w:id="166" w:name="_Toc178085272"/>
      <w:r w:rsidRPr="00850B9D">
        <w:lastRenderedPageBreak/>
        <w:t xml:space="preserve">Table </w:t>
      </w:r>
      <w:fldSimple w:instr=" SEQ Table \* ARABIC ">
        <w:r>
          <w:rPr>
            <w:noProof/>
          </w:rPr>
          <w:t>6</w:t>
        </w:r>
      </w:fldSimple>
      <w:r w:rsidRPr="00850B9D">
        <w:t>: Premises Scoring Matrix (Category B)</w:t>
      </w:r>
      <w:bookmarkEnd w:id="165"/>
      <w:bookmarkEnd w:id="166"/>
    </w:p>
    <w:tbl>
      <w:tblPr>
        <w:tblStyle w:val="DefaultTable11"/>
        <w:tblW w:w="4551" w:type="pct"/>
        <w:tblInd w:w="1011" w:type="dxa"/>
        <w:tblBorders>
          <w:top w:val="single" w:sz="12" w:space="0" w:color="4BB3B5"/>
          <w:left w:val="single" w:sz="12" w:space="0" w:color="4BB3B5"/>
          <w:bottom w:val="single" w:sz="12" w:space="0" w:color="4BB3B5"/>
          <w:right w:val="single" w:sz="12" w:space="0" w:color="4BB3B5"/>
          <w:insideH w:val="single" w:sz="12" w:space="0" w:color="4BB3B5"/>
          <w:insideV w:val="single" w:sz="12" w:space="0" w:color="4BB3B5"/>
        </w:tblBorders>
        <w:tblLook w:val="04A0" w:firstRow="1" w:lastRow="0" w:firstColumn="1" w:lastColumn="0" w:noHBand="0" w:noVBand="1"/>
        <w:tblDescription w:val="Table 3: New Improved Handheld Coverage Scoring Matrix"/>
      </w:tblPr>
      <w:tblGrid>
        <w:gridCol w:w="1549"/>
        <w:gridCol w:w="1318"/>
        <w:gridCol w:w="1548"/>
        <w:gridCol w:w="1317"/>
        <w:gridCol w:w="1548"/>
        <w:gridCol w:w="1317"/>
      </w:tblGrid>
      <w:tr w:rsidR="00A733F2" w:rsidRPr="00654F9E" w14:paraId="73D476D6" w14:textId="77777777" w:rsidTr="00850B9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bottom w:val="none" w:sz="0" w:space="0" w:color="auto"/>
            </w:tcBorders>
            <w:vAlign w:val="center"/>
          </w:tcPr>
          <w:p w14:paraId="73D476D0" w14:textId="7EF9BD01" w:rsidR="00A733F2" w:rsidRPr="002254CD" w:rsidRDefault="00A733F2" w:rsidP="00EF13BF">
            <w:pPr>
              <w:pStyle w:val="Tablerowcolumnheadingcentred"/>
              <w:keepNext/>
              <w:keepLines/>
              <w:rPr>
                <w:b/>
              </w:rPr>
            </w:pPr>
            <w:r>
              <w:rPr>
                <w:b/>
              </w:rPr>
              <w:t>Premises range</w:t>
            </w:r>
          </w:p>
        </w:tc>
        <w:tc>
          <w:tcPr>
            <w:tcW w:w="0" w:type="pct"/>
            <w:tcBorders>
              <w:top w:val="none" w:sz="0" w:space="0" w:color="auto"/>
              <w:bottom w:val="none" w:sz="0" w:space="0" w:color="auto"/>
            </w:tcBorders>
            <w:vAlign w:val="center"/>
          </w:tcPr>
          <w:p w14:paraId="73D476D1" w14:textId="77777777" w:rsidR="00A733F2" w:rsidRPr="002254CD" w:rsidRDefault="00A733F2" w:rsidP="00EF13BF">
            <w:pPr>
              <w:pStyle w:val="Tablerowcolumnheadingcentred"/>
              <w:keepNext/>
              <w:keepLines/>
              <w:cnfStyle w:val="100000000000" w:firstRow="1" w:lastRow="0" w:firstColumn="0" w:lastColumn="0" w:oddVBand="0" w:evenVBand="0" w:oddHBand="0" w:evenHBand="0" w:firstRowFirstColumn="0" w:firstRowLastColumn="0" w:lastRowFirstColumn="0" w:lastRowLastColumn="0"/>
              <w:rPr>
                <w:b/>
              </w:rPr>
            </w:pPr>
            <w:r w:rsidRPr="002254CD">
              <w:rPr>
                <w:b/>
              </w:rPr>
              <w:t>Points</w:t>
            </w:r>
          </w:p>
        </w:tc>
        <w:tc>
          <w:tcPr>
            <w:tcW w:w="0" w:type="pct"/>
            <w:tcBorders>
              <w:top w:val="none" w:sz="0" w:space="0" w:color="auto"/>
              <w:bottom w:val="none" w:sz="0" w:space="0" w:color="auto"/>
            </w:tcBorders>
            <w:vAlign w:val="center"/>
          </w:tcPr>
          <w:p w14:paraId="73D476D2" w14:textId="77777777" w:rsidR="00A733F2" w:rsidRPr="002254CD" w:rsidRDefault="00A733F2" w:rsidP="00EF13BF">
            <w:pPr>
              <w:pStyle w:val="Tablerowcolumnheadingcentred"/>
              <w:keepNext/>
              <w:keepLines/>
              <w:cnfStyle w:val="100000000000" w:firstRow="1" w:lastRow="0" w:firstColumn="0" w:lastColumn="0" w:oddVBand="0" w:evenVBand="0" w:oddHBand="0" w:evenHBand="0" w:firstRowFirstColumn="0" w:firstRowLastColumn="0" w:lastRowFirstColumn="0" w:lastRowLastColumn="0"/>
              <w:rPr>
                <w:b/>
              </w:rPr>
            </w:pPr>
            <w:r>
              <w:rPr>
                <w:b/>
              </w:rPr>
              <w:t>Premises range</w:t>
            </w:r>
          </w:p>
        </w:tc>
        <w:tc>
          <w:tcPr>
            <w:tcW w:w="0" w:type="pct"/>
            <w:tcBorders>
              <w:top w:val="none" w:sz="0" w:space="0" w:color="auto"/>
              <w:bottom w:val="none" w:sz="0" w:space="0" w:color="auto"/>
            </w:tcBorders>
            <w:vAlign w:val="center"/>
          </w:tcPr>
          <w:p w14:paraId="73D476D3" w14:textId="77777777" w:rsidR="00A733F2" w:rsidRPr="002254CD" w:rsidRDefault="00A733F2" w:rsidP="00EF13BF">
            <w:pPr>
              <w:pStyle w:val="Tablerowcolumnheadingcentred"/>
              <w:keepNext/>
              <w:keepLines/>
              <w:cnfStyle w:val="100000000000" w:firstRow="1" w:lastRow="0" w:firstColumn="0" w:lastColumn="0" w:oddVBand="0" w:evenVBand="0" w:oddHBand="0" w:evenHBand="0" w:firstRowFirstColumn="0" w:firstRowLastColumn="0" w:lastRowFirstColumn="0" w:lastRowLastColumn="0"/>
              <w:rPr>
                <w:b/>
              </w:rPr>
            </w:pPr>
            <w:r w:rsidRPr="002254CD">
              <w:rPr>
                <w:b/>
              </w:rPr>
              <w:t>Points</w:t>
            </w:r>
          </w:p>
        </w:tc>
        <w:tc>
          <w:tcPr>
            <w:tcW w:w="0" w:type="pct"/>
            <w:tcBorders>
              <w:top w:val="none" w:sz="0" w:space="0" w:color="auto"/>
              <w:bottom w:val="none" w:sz="0" w:space="0" w:color="auto"/>
            </w:tcBorders>
            <w:vAlign w:val="center"/>
          </w:tcPr>
          <w:p w14:paraId="73D476D4" w14:textId="77777777" w:rsidR="00A733F2" w:rsidRPr="002254CD" w:rsidRDefault="00A733F2" w:rsidP="00EF13BF">
            <w:pPr>
              <w:pStyle w:val="Tablerowcolumnheadingcentred"/>
              <w:keepNext/>
              <w:keepLines/>
              <w:cnfStyle w:val="100000000000" w:firstRow="1" w:lastRow="0" w:firstColumn="0" w:lastColumn="0" w:oddVBand="0" w:evenVBand="0" w:oddHBand="0" w:evenHBand="0" w:firstRowFirstColumn="0" w:firstRowLastColumn="0" w:lastRowFirstColumn="0" w:lastRowLastColumn="0"/>
              <w:rPr>
                <w:b/>
              </w:rPr>
            </w:pPr>
            <w:r>
              <w:rPr>
                <w:b/>
              </w:rPr>
              <w:t>Premises range</w:t>
            </w:r>
          </w:p>
        </w:tc>
        <w:tc>
          <w:tcPr>
            <w:tcW w:w="0" w:type="pct"/>
            <w:tcBorders>
              <w:top w:val="none" w:sz="0" w:space="0" w:color="auto"/>
              <w:bottom w:val="none" w:sz="0" w:space="0" w:color="auto"/>
            </w:tcBorders>
            <w:vAlign w:val="center"/>
          </w:tcPr>
          <w:p w14:paraId="73D476D5" w14:textId="77777777" w:rsidR="00A733F2" w:rsidRPr="002254CD" w:rsidRDefault="00A733F2" w:rsidP="00EF13BF">
            <w:pPr>
              <w:pStyle w:val="Tablerowcolumnheadingcentred"/>
              <w:keepNext/>
              <w:keepLines/>
              <w:cnfStyle w:val="100000000000" w:firstRow="1" w:lastRow="0" w:firstColumn="0" w:lastColumn="0" w:oddVBand="0" w:evenVBand="0" w:oddHBand="0" w:evenHBand="0" w:firstRowFirstColumn="0" w:firstRowLastColumn="0" w:lastRowFirstColumn="0" w:lastRowLastColumn="0"/>
              <w:rPr>
                <w:b/>
              </w:rPr>
            </w:pPr>
            <w:r w:rsidRPr="002254CD">
              <w:rPr>
                <w:b/>
              </w:rPr>
              <w:t>Points</w:t>
            </w:r>
          </w:p>
        </w:tc>
      </w:tr>
      <w:tr w:rsidR="001C1877" w:rsidRPr="00654F9E" w14:paraId="73D476DD"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73D476D7" w14:textId="77777777" w:rsidR="001C1877" w:rsidRPr="00994A94" w:rsidRDefault="001C1877" w:rsidP="00EF13BF">
            <w:pPr>
              <w:keepNext/>
              <w:keepLines/>
              <w:spacing w:after="0"/>
              <w:contextualSpacing/>
              <w:jc w:val="center"/>
              <w:rPr>
                <w:rFonts w:cs="Arial"/>
                <w:b w:val="0"/>
                <w:color w:val="000000" w:themeColor="text1"/>
                <w:lang w:eastAsia="en-AU"/>
              </w:rPr>
            </w:pPr>
            <w:r w:rsidRPr="00994A94">
              <w:rPr>
                <w:rFonts w:cs="Arial"/>
                <w:b w:val="0"/>
                <w:color w:val="000000" w:themeColor="text1"/>
                <w:lang w:eastAsia="en-AU"/>
              </w:rPr>
              <w:t>1 – 100</w:t>
            </w:r>
          </w:p>
        </w:tc>
        <w:tc>
          <w:tcPr>
            <w:tcW w:w="0" w:type="pct"/>
            <w:vAlign w:val="center"/>
          </w:tcPr>
          <w:p w14:paraId="73D476D8" w14:textId="6193D8D8" w:rsidR="001C1877" w:rsidRPr="00850B9D" w:rsidRDefault="00EA4AEB"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1</w:t>
            </w:r>
          </w:p>
        </w:tc>
        <w:tc>
          <w:tcPr>
            <w:tcW w:w="0" w:type="pct"/>
            <w:vAlign w:val="center"/>
          </w:tcPr>
          <w:p w14:paraId="73D476D9" w14:textId="730F2192" w:rsidR="001C1877" w:rsidRPr="00994A94" w:rsidRDefault="00EA4AEB"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994A94">
              <w:rPr>
                <w:rFonts w:cs="Arial"/>
                <w:color w:val="000000" w:themeColor="text1"/>
                <w:lang w:eastAsia="en-AU"/>
              </w:rPr>
              <w:t>751</w:t>
            </w:r>
            <w:r w:rsidR="001C1877" w:rsidRPr="00994A94">
              <w:rPr>
                <w:rFonts w:cs="Arial"/>
                <w:color w:val="000000" w:themeColor="text1"/>
                <w:lang w:eastAsia="en-AU"/>
              </w:rPr>
              <w:t xml:space="preserve"> – </w:t>
            </w:r>
            <w:r w:rsidRPr="00994A94">
              <w:rPr>
                <w:rFonts w:cs="Arial"/>
                <w:color w:val="000000" w:themeColor="text1"/>
                <w:lang w:eastAsia="en-AU"/>
              </w:rPr>
              <w:t>1</w:t>
            </w:r>
            <w:r w:rsidR="001C1877" w:rsidRPr="00994A94">
              <w:rPr>
                <w:rFonts w:cs="Arial"/>
                <w:color w:val="000000" w:themeColor="text1"/>
                <w:lang w:eastAsia="en-AU"/>
              </w:rPr>
              <w:t>,000</w:t>
            </w:r>
          </w:p>
        </w:tc>
        <w:tc>
          <w:tcPr>
            <w:tcW w:w="0" w:type="pct"/>
            <w:vAlign w:val="center"/>
          </w:tcPr>
          <w:p w14:paraId="73D476DA" w14:textId="2687DEC5" w:rsidR="001C1877" w:rsidRPr="00850B9D" w:rsidRDefault="00EA4AEB"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6</w:t>
            </w:r>
          </w:p>
        </w:tc>
        <w:tc>
          <w:tcPr>
            <w:tcW w:w="0" w:type="pct"/>
            <w:vAlign w:val="center"/>
          </w:tcPr>
          <w:p w14:paraId="73D476DB" w14:textId="6FCA7687" w:rsidR="001C1877" w:rsidRPr="00994A94" w:rsidRDefault="00EA4AEB"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994A94">
              <w:rPr>
                <w:rFonts w:cs="Arial"/>
                <w:color w:val="000000" w:themeColor="text1"/>
                <w:lang w:eastAsia="en-AU"/>
              </w:rPr>
              <w:t>2</w:t>
            </w:r>
            <w:r w:rsidR="001C1877" w:rsidRPr="00994A94">
              <w:rPr>
                <w:rFonts w:cs="Arial"/>
                <w:color w:val="000000" w:themeColor="text1"/>
                <w:lang w:eastAsia="en-AU"/>
              </w:rPr>
              <w:t xml:space="preserve">,001 – </w:t>
            </w:r>
            <w:r w:rsidRPr="00994A94">
              <w:rPr>
                <w:rFonts w:cs="Arial"/>
                <w:color w:val="000000" w:themeColor="text1"/>
                <w:lang w:eastAsia="en-AU"/>
              </w:rPr>
              <w:t>2</w:t>
            </w:r>
            <w:r w:rsidR="001C1877" w:rsidRPr="00994A94">
              <w:rPr>
                <w:rFonts w:cs="Arial"/>
                <w:color w:val="000000" w:themeColor="text1"/>
                <w:lang w:eastAsia="en-AU"/>
              </w:rPr>
              <w:t>,500</w:t>
            </w:r>
          </w:p>
        </w:tc>
        <w:tc>
          <w:tcPr>
            <w:tcW w:w="0" w:type="pct"/>
            <w:vAlign w:val="center"/>
          </w:tcPr>
          <w:p w14:paraId="73D476DC" w14:textId="45320803" w:rsidR="001C1877" w:rsidRPr="00850B9D" w:rsidRDefault="001C187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1</w:t>
            </w:r>
            <w:r w:rsidR="00EA4AEB" w:rsidRPr="00850B9D">
              <w:rPr>
                <w:rFonts w:cs="Arial"/>
                <w:color w:val="000000" w:themeColor="text1"/>
                <w:lang w:eastAsia="en-AU"/>
              </w:rPr>
              <w:t>1</w:t>
            </w:r>
          </w:p>
        </w:tc>
      </w:tr>
      <w:tr w:rsidR="001C1877" w:rsidRPr="00654F9E" w14:paraId="73D476E4"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73D476DE" w14:textId="048E1578" w:rsidR="001C1877" w:rsidRPr="00994A94" w:rsidRDefault="001C1877" w:rsidP="00EF13BF">
            <w:pPr>
              <w:keepNext/>
              <w:keepLines/>
              <w:spacing w:after="0"/>
              <w:contextualSpacing/>
              <w:jc w:val="center"/>
              <w:rPr>
                <w:rFonts w:cs="Arial"/>
                <w:b w:val="0"/>
                <w:color w:val="000000" w:themeColor="text1"/>
                <w:lang w:eastAsia="en-AU"/>
              </w:rPr>
            </w:pPr>
            <w:r w:rsidRPr="00994A94">
              <w:rPr>
                <w:rFonts w:cs="Arial"/>
                <w:b w:val="0"/>
                <w:color w:val="000000" w:themeColor="text1"/>
                <w:lang w:eastAsia="en-AU"/>
              </w:rPr>
              <w:t>101</w:t>
            </w:r>
            <w:r w:rsidR="008D531E" w:rsidRPr="00994A94">
              <w:rPr>
                <w:rFonts w:cs="Arial"/>
                <w:b w:val="0"/>
                <w:color w:val="000000" w:themeColor="text1"/>
                <w:lang w:eastAsia="en-AU"/>
              </w:rPr>
              <w:t xml:space="preserve"> – </w:t>
            </w:r>
            <w:r w:rsidR="00EA4AEB" w:rsidRPr="00994A94">
              <w:rPr>
                <w:rFonts w:cs="Arial"/>
                <w:b w:val="0"/>
                <w:color w:val="000000" w:themeColor="text1"/>
                <w:lang w:eastAsia="en-AU"/>
              </w:rPr>
              <w:t>2</w:t>
            </w:r>
            <w:r w:rsidRPr="00994A94">
              <w:rPr>
                <w:rFonts w:cs="Arial"/>
                <w:b w:val="0"/>
                <w:color w:val="000000" w:themeColor="text1"/>
                <w:lang w:eastAsia="en-AU"/>
              </w:rPr>
              <w:t>00</w:t>
            </w:r>
          </w:p>
        </w:tc>
        <w:tc>
          <w:tcPr>
            <w:tcW w:w="0" w:type="pct"/>
            <w:vAlign w:val="center"/>
          </w:tcPr>
          <w:p w14:paraId="73D476DF" w14:textId="59DA5337" w:rsidR="001C1877" w:rsidRPr="00850B9D" w:rsidRDefault="00EA4AEB"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2</w:t>
            </w:r>
          </w:p>
        </w:tc>
        <w:tc>
          <w:tcPr>
            <w:tcW w:w="0" w:type="pct"/>
            <w:vAlign w:val="center"/>
          </w:tcPr>
          <w:p w14:paraId="73D476E0" w14:textId="3E56146A" w:rsidR="001C1877" w:rsidRPr="00994A94" w:rsidRDefault="00EA4AEB"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994A94">
              <w:rPr>
                <w:rFonts w:cs="Arial"/>
                <w:color w:val="000000" w:themeColor="text1"/>
                <w:lang w:eastAsia="en-AU"/>
              </w:rPr>
              <w:t>1</w:t>
            </w:r>
            <w:r w:rsidR="001C1877" w:rsidRPr="00994A94">
              <w:rPr>
                <w:rFonts w:cs="Arial"/>
                <w:color w:val="000000" w:themeColor="text1"/>
                <w:lang w:eastAsia="en-AU"/>
              </w:rPr>
              <w:t xml:space="preserve">,001 – </w:t>
            </w:r>
            <w:r w:rsidRPr="00994A94">
              <w:rPr>
                <w:rFonts w:cs="Arial"/>
                <w:color w:val="000000" w:themeColor="text1"/>
                <w:lang w:eastAsia="en-AU"/>
              </w:rPr>
              <w:t>1,25</w:t>
            </w:r>
            <w:r w:rsidR="008D531E" w:rsidRPr="00994A94">
              <w:rPr>
                <w:rFonts w:cs="Arial"/>
                <w:color w:val="000000" w:themeColor="text1"/>
                <w:lang w:eastAsia="en-AU"/>
              </w:rPr>
              <w:t>0</w:t>
            </w:r>
          </w:p>
        </w:tc>
        <w:tc>
          <w:tcPr>
            <w:tcW w:w="0" w:type="pct"/>
            <w:vAlign w:val="center"/>
          </w:tcPr>
          <w:p w14:paraId="73D476E1" w14:textId="075A0479" w:rsidR="001C1877" w:rsidRPr="00850B9D" w:rsidRDefault="00EA4AEB"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7</w:t>
            </w:r>
          </w:p>
        </w:tc>
        <w:tc>
          <w:tcPr>
            <w:tcW w:w="0" w:type="pct"/>
            <w:vAlign w:val="center"/>
          </w:tcPr>
          <w:p w14:paraId="73D476E2" w14:textId="3E4847BD" w:rsidR="001C1877" w:rsidRPr="00994A94" w:rsidRDefault="00EA4AEB"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994A94">
              <w:rPr>
                <w:rFonts w:cs="Arial"/>
                <w:color w:val="000000" w:themeColor="text1"/>
                <w:lang w:eastAsia="en-AU"/>
              </w:rPr>
              <w:t>2</w:t>
            </w:r>
            <w:r w:rsidR="001C1877" w:rsidRPr="00994A94">
              <w:rPr>
                <w:rFonts w:cs="Arial"/>
                <w:color w:val="000000" w:themeColor="text1"/>
                <w:lang w:eastAsia="en-AU"/>
              </w:rPr>
              <w:t xml:space="preserve">,501 – </w:t>
            </w:r>
            <w:r w:rsidRPr="00994A94">
              <w:rPr>
                <w:rFonts w:cs="Arial"/>
                <w:color w:val="000000" w:themeColor="text1"/>
                <w:lang w:eastAsia="en-AU"/>
              </w:rPr>
              <w:t>3</w:t>
            </w:r>
            <w:r w:rsidR="001C1877" w:rsidRPr="00994A94">
              <w:rPr>
                <w:rFonts w:cs="Arial"/>
                <w:color w:val="000000" w:themeColor="text1"/>
                <w:lang w:eastAsia="en-AU"/>
              </w:rPr>
              <w:t>,000</w:t>
            </w:r>
          </w:p>
        </w:tc>
        <w:tc>
          <w:tcPr>
            <w:tcW w:w="0" w:type="pct"/>
            <w:vAlign w:val="center"/>
          </w:tcPr>
          <w:p w14:paraId="73D476E3" w14:textId="75F5007D" w:rsidR="001C1877" w:rsidRPr="00850B9D" w:rsidRDefault="001C187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1</w:t>
            </w:r>
            <w:r w:rsidR="00EA4AEB" w:rsidRPr="00850B9D">
              <w:rPr>
                <w:rFonts w:cs="Arial"/>
                <w:color w:val="000000" w:themeColor="text1"/>
                <w:lang w:eastAsia="en-AU"/>
              </w:rPr>
              <w:t>2</w:t>
            </w:r>
          </w:p>
        </w:tc>
      </w:tr>
      <w:tr w:rsidR="001C1877" w:rsidRPr="00654F9E" w14:paraId="73D476EB"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73D476E5" w14:textId="266F13AF" w:rsidR="001C1877" w:rsidRPr="00994A94" w:rsidRDefault="00EA4AEB" w:rsidP="00EF13BF">
            <w:pPr>
              <w:keepNext/>
              <w:keepLines/>
              <w:spacing w:after="0"/>
              <w:contextualSpacing/>
              <w:jc w:val="center"/>
              <w:rPr>
                <w:rFonts w:cs="Arial"/>
                <w:b w:val="0"/>
                <w:color w:val="000000" w:themeColor="text1"/>
                <w:lang w:eastAsia="en-AU"/>
              </w:rPr>
            </w:pPr>
            <w:r w:rsidRPr="00994A94">
              <w:rPr>
                <w:rFonts w:cs="Arial"/>
                <w:b w:val="0"/>
                <w:color w:val="000000" w:themeColor="text1"/>
                <w:lang w:eastAsia="en-AU"/>
              </w:rPr>
              <w:t>2</w:t>
            </w:r>
            <w:r w:rsidR="001C1877" w:rsidRPr="00994A94">
              <w:rPr>
                <w:rFonts w:cs="Arial"/>
                <w:b w:val="0"/>
                <w:color w:val="000000" w:themeColor="text1"/>
                <w:lang w:eastAsia="en-AU"/>
              </w:rPr>
              <w:t>01</w:t>
            </w:r>
            <w:r w:rsidR="008D531E" w:rsidRPr="00994A94">
              <w:rPr>
                <w:rFonts w:cs="Arial"/>
                <w:b w:val="0"/>
                <w:color w:val="000000" w:themeColor="text1"/>
                <w:lang w:eastAsia="en-AU"/>
              </w:rPr>
              <w:t xml:space="preserve"> – </w:t>
            </w:r>
            <w:r w:rsidRPr="00994A94">
              <w:rPr>
                <w:rFonts w:cs="Arial"/>
                <w:b w:val="0"/>
                <w:color w:val="000000" w:themeColor="text1"/>
                <w:lang w:eastAsia="en-AU"/>
              </w:rPr>
              <w:t>3</w:t>
            </w:r>
            <w:r w:rsidR="001C1877" w:rsidRPr="00994A94">
              <w:rPr>
                <w:rFonts w:cs="Arial"/>
                <w:b w:val="0"/>
                <w:color w:val="000000" w:themeColor="text1"/>
                <w:lang w:eastAsia="en-AU"/>
              </w:rPr>
              <w:t>00</w:t>
            </w:r>
          </w:p>
        </w:tc>
        <w:tc>
          <w:tcPr>
            <w:tcW w:w="0" w:type="pct"/>
            <w:vAlign w:val="center"/>
          </w:tcPr>
          <w:p w14:paraId="73D476E6" w14:textId="0E52F506" w:rsidR="001C1877" w:rsidRPr="00850B9D" w:rsidRDefault="00EA4AEB"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3</w:t>
            </w:r>
          </w:p>
        </w:tc>
        <w:tc>
          <w:tcPr>
            <w:tcW w:w="0" w:type="pct"/>
            <w:vAlign w:val="center"/>
          </w:tcPr>
          <w:p w14:paraId="73D476E7" w14:textId="515CCFDF" w:rsidR="001C1877" w:rsidRPr="00994A94" w:rsidRDefault="00EA4AEB"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994A94">
              <w:rPr>
                <w:rFonts w:cs="Arial"/>
                <w:color w:val="000000" w:themeColor="text1"/>
                <w:lang w:eastAsia="en-AU"/>
              </w:rPr>
              <w:t>1,251</w:t>
            </w:r>
            <w:r w:rsidR="001C1877" w:rsidRPr="00994A94">
              <w:rPr>
                <w:rFonts w:cs="Arial"/>
                <w:color w:val="000000" w:themeColor="text1"/>
                <w:lang w:eastAsia="en-AU"/>
              </w:rPr>
              <w:t xml:space="preserve"> – </w:t>
            </w:r>
            <w:r w:rsidRPr="00994A94">
              <w:rPr>
                <w:rFonts w:cs="Arial"/>
                <w:color w:val="000000" w:themeColor="text1"/>
                <w:lang w:eastAsia="en-AU"/>
              </w:rPr>
              <w:t>1</w:t>
            </w:r>
            <w:r w:rsidR="001C1877" w:rsidRPr="00994A94">
              <w:rPr>
                <w:rFonts w:cs="Arial"/>
                <w:color w:val="000000" w:themeColor="text1"/>
                <w:lang w:eastAsia="en-AU"/>
              </w:rPr>
              <w:t>,</w:t>
            </w:r>
            <w:r w:rsidRPr="00994A94">
              <w:rPr>
                <w:rFonts w:cs="Arial"/>
                <w:color w:val="000000" w:themeColor="text1"/>
                <w:lang w:eastAsia="en-AU"/>
              </w:rPr>
              <w:t>5</w:t>
            </w:r>
            <w:r w:rsidR="001C1877" w:rsidRPr="00994A94">
              <w:rPr>
                <w:rFonts w:cs="Arial"/>
                <w:color w:val="000000" w:themeColor="text1"/>
                <w:lang w:eastAsia="en-AU"/>
              </w:rPr>
              <w:t>00</w:t>
            </w:r>
          </w:p>
        </w:tc>
        <w:tc>
          <w:tcPr>
            <w:tcW w:w="0" w:type="pct"/>
            <w:vAlign w:val="center"/>
          </w:tcPr>
          <w:p w14:paraId="73D476E8" w14:textId="709F9179" w:rsidR="001C1877" w:rsidRPr="00850B9D" w:rsidRDefault="00EA4AEB"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8</w:t>
            </w:r>
          </w:p>
        </w:tc>
        <w:tc>
          <w:tcPr>
            <w:tcW w:w="0" w:type="pct"/>
            <w:vAlign w:val="center"/>
          </w:tcPr>
          <w:p w14:paraId="73D476E9" w14:textId="7E3D0FA4" w:rsidR="001C1877" w:rsidRPr="00994A94" w:rsidRDefault="00EA4AEB"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994A94">
              <w:rPr>
                <w:rFonts w:cs="Arial"/>
                <w:color w:val="000000" w:themeColor="text1"/>
                <w:lang w:eastAsia="en-AU"/>
              </w:rPr>
              <w:t>3</w:t>
            </w:r>
            <w:r w:rsidR="001C1877" w:rsidRPr="00994A94">
              <w:rPr>
                <w:rFonts w:cs="Arial"/>
                <w:color w:val="000000" w:themeColor="text1"/>
                <w:lang w:eastAsia="en-AU"/>
              </w:rPr>
              <w:t xml:space="preserve">,001 – </w:t>
            </w:r>
            <w:r w:rsidRPr="00994A94">
              <w:rPr>
                <w:rFonts w:cs="Arial"/>
                <w:color w:val="000000" w:themeColor="text1"/>
                <w:lang w:eastAsia="en-AU"/>
              </w:rPr>
              <w:t>4,</w:t>
            </w:r>
            <w:r w:rsidR="001C1877" w:rsidRPr="00994A94">
              <w:rPr>
                <w:rFonts w:cs="Arial"/>
                <w:color w:val="000000" w:themeColor="text1"/>
                <w:lang w:eastAsia="en-AU"/>
              </w:rPr>
              <w:t>00</w:t>
            </w:r>
            <w:r w:rsidRPr="00994A94">
              <w:rPr>
                <w:rFonts w:cs="Arial"/>
                <w:color w:val="000000" w:themeColor="text1"/>
                <w:lang w:eastAsia="en-AU"/>
              </w:rPr>
              <w:t>0</w:t>
            </w:r>
          </w:p>
        </w:tc>
        <w:tc>
          <w:tcPr>
            <w:tcW w:w="0" w:type="pct"/>
            <w:vAlign w:val="center"/>
          </w:tcPr>
          <w:p w14:paraId="73D476EA" w14:textId="078E0835" w:rsidR="001C1877" w:rsidRPr="00850B9D" w:rsidRDefault="001C187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1</w:t>
            </w:r>
            <w:r w:rsidR="00EA4AEB" w:rsidRPr="00850B9D">
              <w:rPr>
                <w:rFonts w:cs="Arial"/>
                <w:color w:val="000000" w:themeColor="text1"/>
                <w:lang w:eastAsia="en-AU"/>
              </w:rPr>
              <w:t>3</w:t>
            </w:r>
          </w:p>
        </w:tc>
      </w:tr>
      <w:tr w:rsidR="001C1877" w:rsidRPr="00654F9E" w14:paraId="73D476F2" w14:textId="77777777" w:rsidTr="00850B9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73D476EC" w14:textId="7190AC22" w:rsidR="001C1877" w:rsidRPr="00994A94" w:rsidRDefault="00EA4AEB" w:rsidP="00EF13BF">
            <w:pPr>
              <w:keepNext/>
              <w:keepLines/>
              <w:spacing w:after="0"/>
              <w:contextualSpacing/>
              <w:jc w:val="center"/>
              <w:rPr>
                <w:rFonts w:cs="Arial"/>
                <w:b w:val="0"/>
                <w:color w:val="000000" w:themeColor="text1"/>
                <w:lang w:eastAsia="en-AU"/>
              </w:rPr>
            </w:pPr>
            <w:r w:rsidRPr="00994A94">
              <w:rPr>
                <w:rFonts w:cs="Arial"/>
                <w:b w:val="0"/>
                <w:color w:val="000000" w:themeColor="text1"/>
                <w:lang w:eastAsia="en-AU"/>
              </w:rPr>
              <w:t>3</w:t>
            </w:r>
            <w:r w:rsidR="001C1877" w:rsidRPr="00994A94">
              <w:rPr>
                <w:rFonts w:cs="Arial"/>
                <w:b w:val="0"/>
                <w:color w:val="000000" w:themeColor="text1"/>
                <w:lang w:eastAsia="en-AU"/>
              </w:rPr>
              <w:t xml:space="preserve">01 – </w:t>
            </w:r>
            <w:r w:rsidRPr="00994A94">
              <w:rPr>
                <w:rFonts w:cs="Arial"/>
                <w:b w:val="0"/>
                <w:color w:val="000000" w:themeColor="text1"/>
                <w:lang w:eastAsia="en-AU"/>
              </w:rPr>
              <w:t>500</w:t>
            </w:r>
          </w:p>
        </w:tc>
        <w:tc>
          <w:tcPr>
            <w:tcW w:w="0" w:type="pct"/>
            <w:vAlign w:val="center"/>
          </w:tcPr>
          <w:p w14:paraId="73D476ED" w14:textId="562895E7" w:rsidR="001C1877" w:rsidRPr="00850B9D" w:rsidRDefault="00EA4AEB"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4</w:t>
            </w:r>
          </w:p>
        </w:tc>
        <w:tc>
          <w:tcPr>
            <w:tcW w:w="0" w:type="pct"/>
            <w:vAlign w:val="center"/>
          </w:tcPr>
          <w:p w14:paraId="73D476EE" w14:textId="4BDFB29B" w:rsidR="001C1877" w:rsidRPr="00994A94" w:rsidRDefault="00EA4AEB"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994A94">
              <w:rPr>
                <w:rFonts w:cs="Arial"/>
                <w:color w:val="000000" w:themeColor="text1"/>
                <w:lang w:eastAsia="en-AU"/>
              </w:rPr>
              <w:t>1</w:t>
            </w:r>
            <w:r w:rsidR="001C1877" w:rsidRPr="00994A94">
              <w:rPr>
                <w:rFonts w:cs="Arial"/>
                <w:color w:val="000000" w:themeColor="text1"/>
                <w:lang w:eastAsia="en-AU"/>
              </w:rPr>
              <w:t>,</w:t>
            </w:r>
            <w:r w:rsidRPr="00994A94">
              <w:rPr>
                <w:rFonts w:cs="Arial"/>
                <w:color w:val="000000" w:themeColor="text1"/>
                <w:lang w:eastAsia="en-AU"/>
              </w:rPr>
              <w:t>5</w:t>
            </w:r>
            <w:r w:rsidR="001C1877" w:rsidRPr="00994A94">
              <w:rPr>
                <w:rFonts w:cs="Arial"/>
                <w:color w:val="000000" w:themeColor="text1"/>
                <w:lang w:eastAsia="en-AU"/>
              </w:rPr>
              <w:t xml:space="preserve">01 – </w:t>
            </w:r>
            <w:r w:rsidRPr="00994A94">
              <w:rPr>
                <w:rFonts w:cs="Arial"/>
                <w:color w:val="000000" w:themeColor="text1"/>
                <w:lang w:eastAsia="en-AU"/>
              </w:rPr>
              <w:t>1,750</w:t>
            </w:r>
          </w:p>
        </w:tc>
        <w:tc>
          <w:tcPr>
            <w:tcW w:w="0" w:type="pct"/>
            <w:vAlign w:val="center"/>
          </w:tcPr>
          <w:p w14:paraId="73D476EF" w14:textId="5FD3CB42" w:rsidR="001C1877" w:rsidRPr="00850B9D" w:rsidRDefault="00EA4AEB"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9</w:t>
            </w:r>
          </w:p>
        </w:tc>
        <w:tc>
          <w:tcPr>
            <w:tcW w:w="0" w:type="pct"/>
            <w:vAlign w:val="center"/>
          </w:tcPr>
          <w:p w14:paraId="73D476F0" w14:textId="645A75D3" w:rsidR="001C1877" w:rsidRPr="00994A94" w:rsidRDefault="00EA4AEB"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994A94">
              <w:rPr>
                <w:rFonts w:cs="Arial"/>
                <w:color w:val="000000" w:themeColor="text1"/>
                <w:lang w:eastAsia="en-AU"/>
              </w:rPr>
              <w:t>4</w:t>
            </w:r>
            <w:r w:rsidR="001C1877" w:rsidRPr="00994A94">
              <w:rPr>
                <w:rFonts w:cs="Arial"/>
                <w:color w:val="000000" w:themeColor="text1"/>
                <w:lang w:eastAsia="en-AU"/>
              </w:rPr>
              <w:t>,</w:t>
            </w:r>
            <w:r w:rsidRPr="00994A94">
              <w:rPr>
                <w:rFonts w:cs="Arial"/>
                <w:color w:val="000000" w:themeColor="text1"/>
                <w:lang w:eastAsia="en-AU"/>
              </w:rPr>
              <w:t>0</w:t>
            </w:r>
            <w:r w:rsidR="001C1877" w:rsidRPr="00994A94">
              <w:rPr>
                <w:rFonts w:cs="Arial"/>
                <w:color w:val="000000" w:themeColor="text1"/>
                <w:lang w:eastAsia="en-AU"/>
              </w:rPr>
              <w:t xml:space="preserve">01 – </w:t>
            </w:r>
            <w:r w:rsidRPr="00994A94">
              <w:rPr>
                <w:rFonts w:cs="Arial"/>
                <w:color w:val="000000" w:themeColor="text1"/>
                <w:lang w:eastAsia="en-AU"/>
              </w:rPr>
              <w:t>5</w:t>
            </w:r>
            <w:r w:rsidR="001C1877" w:rsidRPr="00994A94">
              <w:rPr>
                <w:rFonts w:cs="Arial"/>
                <w:color w:val="000000" w:themeColor="text1"/>
                <w:lang w:eastAsia="en-AU"/>
              </w:rPr>
              <w:t>,000</w:t>
            </w:r>
          </w:p>
        </w:tc>
        <w:tc>
          <w:tcPr>
            <w:tcW w:w="0" w:type="pct"/>
            <w:vAlign w:val="center"/>
          </w:tcPr>
          <w:p w14:paraId="73D476F1" w14:textId="7D670F4B" w:rsidR="001C1877" w:rsidRPr="00850B9D" w:rsidRDefault="001C187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lang w:eastAsia="en-AU"/>
              </w:rPr>
              <w:t>1</w:t>
            </w:r>
            <w:r w:rsidR="00EA4AEB" w:rsidRPr="00850B9D">
              <w:rPr>
                <w:rFonts w:cs="Arial"/>
                <w:color w:val="000000" w:themeColor="text1"/>
                <w:lang w:eastAsia="en-AU"/>
              </w:rPr>
              <w:t>4</w:t>
            </w:r>
          </w:p>
        </w:tc>
      </w:tr>
      <w:tr w:rsidR="001C1877" w:rsidRPr="00654F9E" w14:paraId="73D476F9" w14:textId="77777777" w:rsidTr="00850B9D">
        <w:trPr>
          <w:cantSplit/>
        </w:trPr>
        <w:tc>
          <w:tcPr>
            <w:cnfStyle w:val="001000000000" w:firstRow="0" w:lastRow="0" w:firstColumn="1" w:lastColumn="0" w:oddVBand="0" w:evenVBand="0" w:oddHBand="0" w:evenHBand="0" w:firstRowFirstColumn="0" w:firstRowLastColumn="0" w:lastRowFirstColumn="0" w:lastRowLastColumn="0"/>
            <w:tcW w:w="0" w:type="pct"/>
            <w:vAlign w:val="center"/>
          </w:tcPr>
          <w:p w14:paraId="73D476F3" w14:textId="25A5CAB5" w:rsidR="001C1877" w:rsidRPr="00994A94" w:rsidRDefault="00EA4AEB" w:rsidP="00EF13BF">
            <w:pPr>
              <w:keepNext/>
              <w:keepLines/>
              <w:spacing w:after="0"/>
              <w:contextualSpacing/>
              <w:jc w:val="center"/>
              <w:rPr>
                <w:rFonts w:cs="Arial"/>
                <w:b w:val="0"/>
                <w:color w:val="000000" w:themeColor="text1"/>
                <w:lang w:eastAsia="en-AU"/>
              </w:rPr>
            </w:pPr>
            <w:r w:rsidRPr="00994A94">
              <w:rPr>
                <w:rFonts w:cs="Arial"/>
                <w:b w:val="0"/>
                <w:color w:val="000000" w:themeColor="text1"/>
                <w:lang w:eastAsia="en-AU"/>
              </w:rPr>
              <w:t>501</w:t>
            </w:r>
            <w:r w:rsidR="001C1877" w:rsidRPr="00994A94">
              <w:rPr>
                <w:rFonts w:cs="Arial"/>
                <w:b w:val="0"/>
                <w:color w:val="000000" w:themeColor="text1"/>
                <w:lang w:eastAsia="en-AU"/>
              </w:rPr>
              <w:t xml:space="preserve"> –</w:t>
            </w:r>
            <w:r w:rsidR="008D531E" w:rsidRPr="00994A94">
              <w:rPr>
                <w:rFonts w:cs="Arial"/>
                <w:b w:val="0"/>
                <w:color w:val="000000" w:themeColor="text1"/>
                <w:lang w:eastAsia="en-AU"/>
              </w:rPr>
              <w:t xml:space="preserve"> </w:t>
            </w:r>
            <w:r w:rsidRPr="00994A94">
              <w:rPr>
                <w:rFonts w:cs="Arial"/>
                <w:b w:val="0"/>
                <w:color w:val="000000" w:themeColor="text1"/>
                <w:lang w:eastAsia="en-AU"/>
              </w:rPr>
              <w:t>750</w:t>
            </w:r>
          </w:p>
        </w:tc>
        <w:tc>
          <w:tcPr>
            <w:tcW w:w="0" w:type="pct"/>
            <w:vAlign w:val="center"/>
          </w:tcPr>
          <w:p w14:paraId="73D476F4" w14:textId="645E3E85" w:rsidR="001C1877" w:rsidRPr="00850B9D" w:rsidRDefault="00EA4AEB" w:rsidP="007411E2">
            <w:pPr>
              <w:keepNext/>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5</w:t>
            </w:r>
          </w:p>
        </w:tc>
        <w:tc>
          <w:tcPr>
            <w:tcW w:w="0" w:type="pct"/>
            <w:vAlign w:val="center"/>
          </w:tcPr>
          <w:p w14:paraId="73D476F5" w14:textId="7B70D29E" w:rsidR="001C1877" w:rsidRPr="00994A94" w:rsidRDefault="00EA4AEB"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994A94">
              <w:rPr>
                <w:rFonts w:cs="Arial"/>
                <w:color w:val="000000" w:themeColor="text1"/>
                <w:lang w:eastAsia="en-AU"/>
              </w:rPr>
              <w:t>1,751</w:t>
            </w:r>
            <w:r w:rsidR="001C1877" w:rsidRPr="00994A94">
              <w:rPr>
                <w:rFonts w:cs="Arial"/>
                <w:color w:val="000000" w:themeColor="text1"/>
                <w:lang w:eastAsia="en-AU"/>
              </w:rPr>
              <w:t xml:space="preserve"> – </w:t>
            </w:r>
            <w:r w:rsidRPr="00994A94">
              <w:rPr>
                <w:rFonts w:cs="Arial"/>
                <w:color w:val="000000" w:themeColor="text1"/>
                <w:lang w:eastAsia="en-AU"/>
              </w:rPr>
              <w:t>2</w:t>
            </w:r>
            <w:r w:rsidR="001C1877" w:rsidRPr="00994A94">
              <w:rPr>
                <w:rFonts w:cs="Arial"/>
                <w:color w:val="000000" w:themeColor="text1"/>
                <w:lang w:eastAsia="en-AU"/>
              </w:rPr>
              <w:t>,000</w:t>
            </w:r>
          </w:p>
        </w:tc>
        <w:tc>
          <w:tcPr>
            <w:tcW w:w="0" w:type="pct"/>
            <w:vAlign w:val="center"/>
          </w:tcPr>
          <w:p w14:paraId="73D476F6" w14:textId="324CF907" w:rsidR="001C1877" w:rsidRPr="00850B9D" w:rsidRDefault="001C187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1</w:t>
            </w:r>
            <w:r w:rsidR="00EA4AEB" w:rsidRPr="00850B9D">
              <w:rPr>
                <w:rFonts w:cs="Arial"/>
                <w:color w:val="000000" w:themeColor="text1"/>
                <w:lang w:eastAsia="en-AU"/>
              </w:rPr>
              <w:t>0</w:t>
            </w:r>
          </w:p>
        </w:tc>
        <w:tc>
          <w:tcPr>
            <w:tcW w:w="0" w:type="pct"/>
            <w:vAlign w:val="center"/>
          </w:tcPr>
          <w:p w14:paraId="73D476F7" w14:textId="1A0B55CA" w:rsidR="001C1877" w:rsidRPr="00994A94" w:rsidRDefault="001C187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994A94">
              <w:rPr>
                <w:rFonts w:cs="Arial"/>
                <w:color w:val="000000" w:themeColor="text1"/>
                <w:lang w:eastAsia="en-AU"/>
              </w:rPr>
              <w:t xml:space="preserve"> </w:t>
            </w:r>
            <w:r w:rsidR="00EA4AEB" w:rsidRPr="00994A94">
              <w:rPr>
                <w:rFonts w:cs="Arial"/>
                <w:color w:val="000000" w:themeColor="text1"/>
                <w:lang w:eastAsia="en-AU"/>
              </w:rPr>
              <w:t>&gt;</w:t>
            </w:r>
            <w:r w:rsidRPr="00994A94">
              <w:rPr>
                <w:rFonts w:cs="Arial"/>
                <w:color w:val="000000" w:themeColor="text1"/>
                <w:lang w:eastAsia="en-AU"/>
              </w:rPr>
              <w:t xml:space="preserve"> </w:t>
            </w:r>
            <w:r w:rsidR="00EA4AEB" w:rsidRPr="00994A94">
              <w:rPr>
                <w:rFonts w:cs="Arial"/>
                <w:color w:val="000000" w:themeColor="text1"/>
                <w:lang w:eastAsia="en-AU"/>
              </w:rPr>
              <w:t>5</w:t>
            </w:r>
            <w:r w:rsidRPr="00994A94">
              <w:rPr>
                <w:rFonts w:cs="Arial"/>
                <w:color w:val="000000" w:themeColor="text1"/>
                <w:lang w:eastAsia="en-AU"/>
              </w:rPr>
              <w:t>,00</w:t>
            </w:r>
            <w:r w:rsidR="006E7DB7">
              <w:rPr>
                <w:rFonts w:cs="Arial"/>
                <w:color w:val="000000" w:themeColor="text1"/>
                <w:lang w:eastAsia="en-AU"/>
              </w:rPr>
              <w:t>0</w:t>
            </w:r>
          </w:p>
        </w:tc>
        <w:tc>
          <w:tcPr>
            <w:tcW w:w="0" w:type="pct"/>
            <w:vAlign w:val="center"/>
          </w:tcPr>
          <w:p w14:paraId="73D476F8" w14:textId="5D9205D7" w:rsidR="001C1877" w:rsidRPr="00850B9D" w:rsidRDefault="001C187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lang w:eastAsia="en-AU"/>
              </w:rPr>
              <w:t>1</w:t>
            </w:r>
            <w:r w:rsidR="00EA4AEB" w:rsidRPr="00850B9D">
              <w:rPr>
                <w:rFonts w:cs="Arial"/>
                <w:color w:val="000000" w:themeColor="text1"/>
                <w:lang w:eastAsia="en-AU"/>
              </w:rPr>
              <w:t>5</w:t>
            </w:r>
          </w:p>
        </w:tc>
      </w:tr>
    </w:tbl>
    <w:p w14:paraId="354C6625" w14:textId="3C610135" w:rsidR="00EF13BF" w:rsidRDefault="00EF13BF" w:rsidP="00436751">
      <w:pPr>
        <w:pStyle w:val="Normal-Style2"/>
      </w:pPr>
      <w:r>
        <w:t xml:space="preserve">The department reserves the right to apply a scaling factor and / or offset both Premises scoring matrix in Tables 5 and 6, if the existing ranges do not result in an adequate scoring differential. For example, if the majority of premises counts all exceed 5,000 for </w:t>
      </w:r>
      <w:r w:rsidR="00AC78A9">
        <w:t>C</w:t>
      </w:r>
      <w:r>
        <w:t>ategory</w:t>
      </w:r>
      <w:r w:rsidR="005C13F9">
        <w:t xml:space="preserve"> </w:t>
      </w:r>
      <w:r>
        <w:t xml:space="preserve">B, the department may apply a factor </w:t>
      </w:r>
      <w:r w:rsidR="00A1062C">
        <w:t>(i.e. ½) to</w:t>
      </w:r>
      <w:r>
        <w:t xml:space="preserve"> increase the scoring range</w:t>
      </w:r>
      <w:r w:rsidR="00E52360">
        <w:t xml:space="preserve"> and better differentiate the scoring of applications</w:t>
      </w:r>
      <w:r>
        <w:t>. When applying a scaling factor or offset, the department will seek to keep relative weighting between Table 5 and 6 consistent, as appropriate.</w:t>
      </w:r>
    </w:p>
    <w:p w14:paraId="54EA8A18" w14:textId="5A70AC1B" w:rsidR="00EA4AEB" w:rsidRDefault="00EA4AEB" w:rsidP="00436751">
      <w:pPr>
        <w:pStyle w:val="Normal-Style2"/>
      </w:pPr>
      <w:r>
        <w:t>For Multi-MNO Proposed Solutions, the points for Premises within the New Improved Handheld Coverage area will be assessed separately for each MNO’s mobile coverage footprint area and then added together into a single score for the respective solution, capped to 15 points.</w:t>
      </w:r>
      <w:r w:rsidR="004A615C">
        <w:t xml:space="preserve"> </w:t>
      </w:r>
      <w:bookmarkStart w:id="167" w:name="_Hlk150432930"/>
      <w:r w:rsidR="004A615C">
        <w:t>Premises rece</w:t>
      </w:r>
      <w:r w:rsidR="006E7DB7">
        <w:t>i</w:t>
      </w:r>
      <w:r w:rsidR="004A615C">
        <w:t>ving both 4G and 5G New Improved Handheld Coverage will only be counted once.</w:t>
      </w:r>
      <w:bookmarkEnd w:id="167"/>
    </w:p>
    <w:p w14:paraId="73D47708" w14:textId="6CB43335" w:rsidR="00EA4293" w:rsidRPr="00CB3318" w:rsidRDefault="00EA4293" w:rsidP="00436751">
      <w:pPr>
        <w:pStyle w:val="Heading3"/>
        <w:spacing w:before="0"/>
        <w:ind w:left="1077" w:hanging="1077"/>
      </w:pPr>
      <w:bookmarkStart w:id="168" w:name="_Toc178085200"/>
      <w:r w:rsidRPr="00CB3318">
        <w:t xml:space="preserve">Criterion </w:t>
      </w:r>
      <w:r w:rsidR="00C9465D">
        <w:t>3</w:t>
      </w:r>
      <w:r w:rsidRPr="00CB3318">
        <w:t>: Cost to the Commonwealth (</w:t>
      </w:r>
      <w:r w:rsidR="008D12C7">
        <w:t>2</w:t>
      </w:r>
      <w:r w:rsidRPr="00CB3318">
        <w:t>0 Points)</w:t>
      </w:r>
      <w:bookmarkEnd w:id="168"/>
    </w:p>
    <w:p w14:paraId="73D47709" w14:textId="0FE97850" w:rsidR="00EA4293" w:rsidRDefault="00EA4293" w:rsidP="00436751">
      <w:pPr>
        <w:pStyle w:val="Normal-Style2"/>
        <w:rPr>
          <w:rFonts w:eastAsia="Calibri"/>
        </w:rPr>
      </w:pPr>
      <w:r w:rsidRPr="00CB3318">
        <w:rPr>
          <w:rFonts w:eastAsia="Calibri"/>
          <w:b/>
        </w:rPr>
        <w:t xml:space="preserve">Cost to </w:t>
      </w:r>
      <w:r w:rsidRPr="0043766F">
        <w:rPr>
          <w:rFonts w:eastAsia="Calibri"/>
          <w:b/>
        </w:rPr>
        <w:t>the</w:t>
      </w:r>
      <w:r w:rsidRPr="00CB3318">
        <w:rPr>
          <w:rFonts w:eastAsia="Calibri"/>
          <w:b/>
        </w:rPr>
        <w:t xml:space="preserve"> Commonwealth </w:t>
      </w:r>
      <w:r w:rsidRPr="006E7DB7">
        <w:rPr>
          <w:rFonts w:eastAsia="Calibri"/>
        </w:rPr>
        <w:t xml:space="preserve">(GST exclusive) </w:t>
      </w:r>
      <w:r w:rsidRPr="00642E27">
        <w:rPr>
          <w:rFonts w:eastAsia="Calibri"/>
        </w:rPr>
        <w:t>refers to the</w:t>
      </w:r>
      <w:r>
        <w:rPr>
          <w:rFonts w:eastAsia="Calibri"/>
        </w:rPr>
        <w:t xml:space="preserve"> GST exclusive</w:t>
      </w:r>
      <w:r w:rsidRPr="00642E27">
        <w:rPr>
          <w:rFonts w:eastAsia="Calibri"/>
        </w:rPr>
        <w:t xml:space="preserve"> Commonwealt</w:t>
      </w:r>
      <w:r>
        <w:rPr>
          <w:rFonts w:eastAsia="Calibri"/>
        </w:rPr>
        <w:t>h portion of the estimated Total Cost</w:t>
      </w:r>
      <w:r w:rsidRPr="00642E27">
        <w:rPr>
          <w:rFonts w:eastAsia="Calibri"/>
        </w:rPr>
        <w:t xml:space="preserve"> for the </w:t>
      </w:r>
      <w:r>
        <w:rPr>
          <w:rFonts w:eastAsia="Calibri"/>
        </w:rPr>
        <w:t>Proposed</w:t>
      </w:r>
      <w:r w:rsidRPr="008E1E1B">
        <w:rPr>
          <w:rFonts w:eastAsia="Calibri"/>
        </w:rPr>
        <w:t xml:space="preserve"> Solution (see section </w:t>
      </w:r>
      <w:r>
        <w:rPr>
          <w:rFonts w:eastAsia="Calibri"/>
        </w:rPr>
        <w:fldChar w:fldCharType="begin"/>
      </w:r>
      <w:r>
        <w:rPr>
          <w:rFonts w:eastAsia="Calibri"/>
        </w:rPr>
        <w:instrText xml:space="preserve"> REF _Ref110515540 \r \h </w:instrText>
      </w:r>
      <w:r w:rsidR="005C4E32">
        <w:rPr>
          <w:rFonts w:eastAsia="Calibri"/>
        </w:rPr>
        <w:instrText xml:space="preserve"> \* MERGEFORMAT </w:instrText>
      </w:r>
      <w:r>
        <w:rPr>
          <w:rFonts w:eastAsia="Calibri"/>
        </w:rPr>
      </w:r>
      <w:r>
        <w:rPr>
          <w:rFonts w:eastAsia="Calibri"/>
        </w:rPr>
        <w:fldChar w:fldCharType="separate"/>
      </w:r>
      <w:r>
        <w:rPr>
          <w:rFonts w:eastAsia="Calibri"/>
        </w:rPr>
        <w:t>5.3.1</w:t>
      </w:r>
      <w:r>
        <w:rPr>
          <w:rFonts w:eastAsia="Calibri"/>
        </w:rPr>
        <w:fldChar w:fldCharType="end"/>
      </w:r>
      <w:r w:rsidRPr="008E1E1B">
        <w:rPr>
          <w:rFonts w:eastAsia="Calibri"/>
        </w:rPr>
        <w:t xml:space="preserve">), </w:t>
      </w:r>
      <w:r w:rsidRPr="00EB5440">
        <w:rPr>
          <w:rFonts w:eastAsia="Calibri"/>
        </w:rPr>
        <w:t>including capitalised Operational Costs</w:t>
      </w:r>
      <w:r w:rsidR="000E23FE">
        <w:rPr>
          <w:rFonts w:eastAsia="Calibri"/>
        </w:rPr>
        <w:t xml:space="preserve"> (Commonwealth Contribution)</w:t>
      </w:r>
      <w:r>
        <w:rPr>
          <w:rFonts w:eastAsia="Calibri"/>
        </w:rPr>
        <w:t>.</w:t>
      </w:r>
      <w:r w:rsidR="00C9465D">
        <w:rPr>
          <w:rFonts w:eastAsia="Calibri"/>
        </w:rPr>
        <w:t xml:space="preserve"> </w:t>
      </w:r>
      <w:r w:rsidR="000E23FE">
        <w:rPr>
          <w:rFonts w:eastAsia="Calibri"/>
        </w:rPr>
        <w:t xml:space="preserve">The assessment </w:t>
      </w:r>
      <w:r w:rsidR="000E23FE" w:rsidRPr="000E23FE">
        <w:rPr>
          <w:rFonts w:eastAsia="Calibri"/>
          <w:b/>
        </w:rPr>
        <w:t>will not</w:t>
      </w:r>
      <w:r w:rsidR="000E23FE">
        <w:rPr>
          <w:rFonts w:eastAsia="Calibri"/>
        </w:rPr>
        <w:t xml:space="preserve"> include the Additional Commonwealth Funding Contribution</w:t>
      </w:r>
      <w:r w:rsidR="00C41294">
        <w:rPr>
          <w:rFonts w:eastAsia="Calibri"/>
        </w:rPr>
        <w:t>.</w:t>
      </w:r>
    </w:p>
    <w:p w14:paraId="73D4770A" w14:textId="06B69DC8" w:rsidR="00EA4293" w:rsidRDefault="00C9465D" w:rsidP="00436751">
      <w:pPr>
        <w:pStyle w:val="Normal-Style2"/>
        <w:rPr>
          <w:rFonts w:eastAsia="Calibri"/>
        </w:rPr>
      </w:pPr>
      <w:r>
        <w:rPr>
          <w:rFonts w:eastAsia="Calibri"/>
        </w:rPr>
        <w:t xml:space="preserve">Up to </w:t>
      </w:r>
      <w:r w:rsidR="008873BE">
        <w:rPr>
          <w:rFonts w:eastAsia="Calibri"/>
        </w:rPr>
        <w:t>20</w:t>
      </w:r>
      <w:r>
        <w:rPr>
          <w:rFonts w:eastAsia="Calibri"/>
        </w:rPr>
        <w:t xml:space="preserve"> points will be awarded to Proposed Solutions</w:t>
      </w:r>
      <w:r w:rsidR="00EA4293">
        <w:rPr>
          <w:rFonts w:eastAsia="Calibri"/>
        </w:rPr>
        <w:t xml:space="preserve"> using the scoring matrix</w:t>
      </w:r>
      <w:r w:rsidR="008D531E">
        <w:rPr>
          <w:rFonts w:eastAsia="Calibri"/>
        </w:rPr>
        <w:t xml:space="preserve"> in Table </w:t>
      </w:r>
      <w:r w:rsidR="0035264F">
        <w:rPr>
          <w:rFonts w:eastAsia="Calibri"/>
        </w:rPr>
        <w:t>7</w:t>
      </w:r>
      <w:r w:rsidR="008D531E">
        <w:rPr>
          <w:rFonts w:eastAsia="Calibri"/>
        </w:rPr>
        <w:t>.</w:t>
      </w:r>
    </w:p>
    <w:p w14:paraId="2FDE040F" w14:textId="5F6E8C20" w:rsidR="0035264F" w:rsidRPr="00850B9D" w:rsidRDefault="0035264F" w:rsidP="00436751">
      <w:pPr>
        <w:pStyle w:val="Tablefigureheading"/>
        <w:spacing w:before="240"/>
      </w:pPr>
      <w:bookmarkStart w:id="169" w:name="_Toc178085256"/>
      <w:bookmarkStart w:id="170" w:name="_Toc178085273"/>
      <w:r w:rsidRPr="00850B9D">
        <w:t xml:space="preserve">Table </w:t>
      </w:r>
      <w:fldSimple w:instr=" SEQ Table \* ARABIC ">
        <w:r>
          <w:rPr>
            <w:noProof/>
          </w:rPr>
          <w:t>7</w:t>
        </w:r>
      </w:fldSimple>
      <w:r w:rsidRPr="00850B9D">
        <w:t>: Cost to the Commonwealth Scoring Matrix</w:t>
      </w:r>
      <w:bookmarkEnd w:id="169"/>
      <w:bookmarkEnd w:id="170"/>
    </w:p>
    <w:tbl>
      <w:tblPr>
        <w:tblStyle w:val="DefaultTable11"/>
        <w:tblW w:w="3964" w:type="pct"/>
        <w:tblInd w:w="993" w:type="dxa"/>
        <w:tblBorders>
          <w:top w:val="single" w:sz="12" w:space="0" w:color="4BB3B5"/>
          <w:left w:val="single" w:sz="12" w:space="0" w:color="4BB3B5"/>
          <w:bottom w:val="single" w:sz="12" w:space="0" w:color="4BB3B5"/>
          <w:right w:val="single" w:sz="12" w:space="0" w:color="4BB3B5"/>
          <w:insideH w:val="single" w:sz="12" w:space="0" w:color="4BB3B5"/>
          <w:insideV w:val="single" w:sz="12" w:space="0" w:color="4BB3B5"/>
        </w:tblBorders>
        <w:tblLayout w:type="fixed"/>
        <w:tblLook w:val="04A0" w:firstRow="1" w:lastRow="0" w:firstColumn="1" w:lastColumn="0" w:noHBand="0" w:noVBand="1"/>
        <w:tblDescription w:val="Table 4: Cost to the Commonwealth Scoring Matrix"/>
      </w:tblPr>
      <w:tblGrid>
        <w:gridCol w:w="2678"/>
        <w:gridCol w:w="851"/>
        <w:gridCol w:w="2833"/>
        <w:gridCol w:w="1126"/>
      </w:tblGrid>
      <w:tr w:rsidR="00994A94" w:rsidRPr="00654F9E" w14:paraId="73D47710" w14:textId="77777777" w:rsidTr="0050431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8" w:type="pct"/>
            <w:vAlign w:val="center"/>
          </w:tcPr>
          <w:p w14:paraId="73D4770C" w14:textId="08416756" w:rsidR="008D12C7" w:rsidRPr="00CB3318" w:rsidRDefault="008D12C7" w:rsidP="00EF13BF">
            <w:pPr>
              <w:pStyle w:val="Tablerowcolumnheadingcentred"/>
              <w:keepNext/>
              <w:keepLines/>
              <w:rPr>
                <w:b/>
              </w:rPr>
            </w:pPr>
            <w:r w:rsidRPr="00CB3318">
              <w:rPr>
                <w:b/>
              </w:rPr>
              <w:t>Cost to the Commonwealth</w:t>
            </w:r>
            <w:r>
              <w:rPr>
                <w:b/>
              </w:rPr>
              <w:t xml:space="preserve"> (GST </w:t>
            </w:r>
            <w:proofErr w:type="spellStart"/>
            <w:r>
              <w:rPr>
                <w:b/>
              </w:rPr>
              <w:t>ex</w:t>
            </w:r>
            <w:r w:rsidR="00C41294">
              <w:rPr>
                <w:b/>
              </w:rPr>
              <w:t>c</w:t>
            </w:r>
            <w:proofErr w:type="spellEnd"/>
            <w:r>
              <w:rPr>
                <w:b/>
              </w:rPr>
              <w:t>) ($000s)</w:t>
            </w:r>
          </w:p>
        </w:tc>
        <w:tc>
          <w:tcPr>
            <w:tcW w:w="568" w:type="pct"/>
            <w:vAlign w:val="center"/>
          </w:tcPr>
          <w:p w14:paraId="73D4770D" w14:textId="77777777" w:rsidR="008D12C7" w:rsidRPr="00CB3318" w:rsidRDefault="008D12C7" w:rsidP="00EF13BF">
            <w:pPr>
              <w:pStyle w:val="Tablerowcolumnheadingcentred"/>
              <w:keepNext/>
              <w:keepLines/>
              <w:cnfStyle w:val="100000000000" w:firstRow="1" w:lastRow="0" w:firstColumn="0" w:lastColumn="0" w:oddVBand="0" w:evenVBand="0" w:oddHBand="0" w:evenHBand="0" w:firstRowFirstColumn="0" w:firstRowLastColumn="0" w:lastRowFirstColumn="0" w:lastRowLastColumn="0"/>
              <w:rPr>
                <w:b/>
              </w:rPr>
            </w:pPr>
            <w:r w:rsidRPr="00CB3318">
              <w:rPr>
                <w:b/>
              </w:rPr>
              <w:t>Points</w:t>
            </w:r>
          </w:p>
        </w:tc>
        <w:tc>
          <w:tcPr>
            <w:tcW w:w="1892" w:type="pct"/>
            <w:vAlign w:val="center"/>
          </w:tcPr>
          <w:p w14:paraId="73D4770E" w14:textId="27370AD1" w:rsidR="008D12C7" w:rsidRPr="00CB3318" w:rsidRDefault="008D12C7" w:rsidP="00EF13BF">
            <w:pPr>
              <w:pStyle w:val="Tablerowcolumnheadingcentred"/>
              <w:keepNext/>
              <w:keepLines/>
              <w:cnfStyle w:val="100000000000" w:firstRow="1" w:lastRow="0" w:firstColumn="0" w:lastColumn="0" w:oddVBand="0" w:evenVBand="0" w:oddHBand="0" w:evenHBand="0" w:firstRowFirstColumn="0" w:firstRowLastColumn="0" w:lastRowFirstColumn="0" w:lastRowLastColumn="0"/>
              <w:rPr>
                <w:b/>
              </w:rPr>
            </w:pPr>
            <w:r w:rsidRPr="00CB3318">
              <w:rPr>
                <w:b/>
              </w:rPr>
              <w:t>Cost to the Commonwealth</w:t>
            </w:r>
            <w:r>
              <w:rPr>
                <w:b/>
              </w:rPr>
              <w:t xml:space="preserve"> (GST </w:t>
            </w:r>
            <w:proofErr w:type="spellStart"/>
            <w:r>
              <w:rPr>
                <w:b/>
              </w:rPr>
              <w:t>ex</w:t>
            </w:r>
            <w:r w:rsidR="00994A94">
              <w:rPr>
                <w:b/>
              </w:rPr>
              <w:t>c</w:t>
            </w:r>
            <w:proofErr w:type="spellEnd"/>
            <w:r>
              <w:rPr>
                <w:b/>
              </w:rPr>
              <w:t>) ($000s)</w:t>
            </w:r>
          </w:p>
        </w:tc>
        <w:tc>
          <w:tcPr>
            <w:tcW w:w="752" w:type="pct"/>
            <w:vAlign w:val="center"/>
          </w:tcPr>
          <w:p w14:paraId="73D4770F" w14:textId="77777777" w:rsidR="008D12C7" w:rsidRPr="00CB3318" w:rsidRDefault="008D12C7" w:rsidP="00EF13BF">
            <w:pPr>
              <w:pStyle w:val="Tablerowcolumnheadingcentred"/>
              <w:keepNext/>
              <w:keepLines/>
              <w:cnfStyle w:val="100000000000" w:firstRow="1" w:lastRow="0" w:firstColumn="0" w:lastColumn="0" w:oddVBand="0" w:evenVBand="0" w:oddHBand="0" w:evenHBand="0" w:firstRowFirstColumn="0" w:firstRowLastColumn="0" w:lastRowFirstColumn="0" w:lastRowLastColumn="0"/>
              <w:rPr>
                <w:b/>
              </w:rPr>
            </w:pPr>
            <w:r w:rsidRPr="00CB3318">
              <w:rPr>
                <w:b/>
              </w:rPr>
              <w:t>Points</w:t>
            </w:r>
          </w:p>
        </w:tc>
      </w:tr>
      <w:tr w:rsidR="00994A94" w:rsidRPr="00994A94" w14:paraId="73D47715" w14:textId="77777777" w:rsidTr="00504312">
        <w:trPr>
          <w:cantSplit/>
        </w:trPr>
        <w:tc>
          <w:tcPr>
            <w:cnfStyle w:val="001000000000" w:firstRow="0" w:lastRow="0" w:firstColumn="1" w:lastColumn="0" w:oddVBand="0" w:evenVBand="0" w:oddHBand="0" w:evenHBand="0" w:firstRowFirstColumn="0" w:firstRowLastColumn="0" w:lastRowFirstColumn="0" w:lastRowLastColumn="0"/>
            <w:tcW w:w="1788" w:type="pct"/>
          </w:tcPr>
          <w:p w14:paraId="73D47711" w14:textId="35FAB7C8" w:rsidR="008D12C7" w:rsidRPr="006E7DB7" w:rsidRDefault="008D12C7" w:rsidP="00EF13BF">
            <w:pPr>
              <w:keepNext/>
              <w:keepLines/>
              <w:spacing w:after="0"/>
              <w:contextualSpacing/>
              <w:jc w:val="center"/>
              <w:rPr>
                <w:rFonts w:cs="Arial"/>
                <w:b w:val="0"/>
                <w:color w:val="000000" w:themeColor="text1"/>
                <w:lang w:eastAsia="en-AU"/>
              </w:rPr>
            </w:pPr>
            <w:r w:rsidRPr="006E7DB7">
              <w:rPr>
                <w:rFonts w:cs="Arial"/>
                <w:b w:val="0"/>
                <w:color w:val="000000" w:themeColor="text1"/>
                <w:szCs w:val="22"/>
                <w:lang w:eastAsia="en-AU"/>
              </w:rPr>
              <w:t>0</w:t>
            </w:r>
            <w:r w:rsidR="00C41294" w:rsidRPr="006E7DB7">
              <w:rPr>
                <w:rFonts w:cs="Arial"/>
                <w:b w:val="0"/>
                <w:color w:val="000000" w:themeColor="text1"/>
                <w:lang w:eastAsia="en-AU"/>
              </w:rPr>
              <w:t xml:space="preserve"> – </w:t>
            </w:r>
            <w:r w:rsidRPr="006E7DB7">
              <w:rPr>
                <w:rFonts w:cs="Arial"/>
                <w:b w:val="0"/>
                <w:color w:val="000000" w:themeColor="text1"/>
                <w:szCs w:val="22"/>
                <w:lang w:eastAsia="en-AU"/>
              </w:rPr>
              <w:t>$99</w:t>
            </w:r>
          </w:p>
        </w:tc>
        <w:tc>
          <w:tcPr>
            <w:tcW w:w="568" w:type="pct"/>
          </w:tcPr>
          <w:p w14:paraId="73D47712" w14:textId="77777777"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20</w:t>
            </w:r>
          </w:p>
        </w:tc>
        <w:tc>
          <w:tcPr>
            <w:tcW w:w="1892" w:type="pct"/>
          </w:tcPr>
          <w:p w14:paraId="73D47713" w14:textId="6E6932BE"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$550</w:t>
            </w:r>
            <w:r w:rsidR="00C41294">
              <w:rPr>
                <w:rFonts w:cs="Arial"/>
                <w:color w:val="000000" w:themeColor="text1"/>
                <w:lang w:eastAsia="en-AU"/>
              </w:rPr>
              <w:t xml:space="preserve"> </w:t>
            </w:r>
            <w:r w:rsidR="00994A94" w:rsidRPr="008C26ED">
              <w:rPr>
                <w:rFonts w:cs="Arial"/>
                <w:color w:val="000000" w:themeColor="text1"/>
                <w:lang w:eastAsia="en-AU"/>
              </w:rPr>
              <w:t xml:space="preserve">– </w:t>
            </w:r>
            <w:r w:rsidRPr="00850B9D">
              <w:rPr>
                <w:rFonts w:cs="Arial"/>
                <w:color w:val="000000" w:themeColor="text1"/>
                <w:szCs w:val="22"/>
                <w:lang w:eastAsia="en-AU"/>
              </w:rPr>
              <w:t>$</w:t>
            </w:r>
            <w:r w:rsidR="005E2062" w:rsidRPr="00850B9D">
              <w:rPr>
                <w:rFonts w:cs="Arial"/>
                <w:color w:val="000000" w:themeColor="text1"/>
                <w:szCs w:val="22"/>
                <w:lang w:eastAsia="en-AU"/>
              </w:rPr>
              <w:t>5</w:t>
            </w:r>
            <w:r w:rsidRPr="00850B9D">
              <w:rPr>
                <w:rFonts w:cs="Arial"/>
                <w:color w:val="000000" w:themeColor="text1"/>
                <w:szCs w:val="22"/>
                <w:lang w:eastAsia="en-AU"/>
              </w:rPr>
              <w:t>99</w:t>
            </w:r>
          </w:p>
        </w:tc>
        <w:tc>
          <w:tcPr>
            <w:tcW w:w="751" w:type="pct"/>
          </w:tcPr>
          <w:p w14:paraId="73D47714" w14:textId="77777777"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10</w:t>
            </w:r>
          </w:p>
        </w:tc>
      </w:tr>
      <w:tr w:rsidR="00994A94" w:rsidRPr="00994A94" w14:paraId="73D4771A" w14:textId="77777777" w:rsidTr="0050431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8" w:type="pct"/>
          </w:tcPr>
          <w:p w14:paraId="73D47716" w14:textId="29D4BF8B" w:rsidR="008D12C7" w:rsidRPr="006E7DB7" w:rsidRDefault="008D12C7" w:rsidP="00EF13BF">
            <w:pPr>
              <w:keepNext/>
              <w:keepLines/>
              <w:spacing w:after="0"/>
              <w:contextualSpacing/>
              <w:jc w:val="center"/>
              <w:rPr>
                <w:rFonts w:cs="Arial"/>
                <w:b w:val="0"/>
                <w:color w:val="000000" w:themeColor="text1"/>
                <w:lang w:eastAsia="en-AU"/>
              </w:rPr>
            </w:pPr>
            <w:r w:rsidRPr="006E7DB7">
              <w:rPr>
                <w:rFonts w:cs="Arial"/>
                <w:b w:val="0"/>
                <w:color w:val="000000" w:themeColor="text1"/>
                <w:szCs w:val="22"/>
                <w:lang w:eastAsia="en-AU"/>
              </w:rPr>
              <w:t>$100</w:t>
            </w:r>
            <w:r w:rsidR="00C41294" w:rsidRPr="006E7DB7">
              <w:rPr>
                <w:rFonts w:cs="Arial"/>
                <w:b w:val="0"/>
                <w:color w:val="000000" w:themeColor="text1"/>
                <w:lang w:eastAsia="en-AU"/>
              </w:rPr>
              <w:t xml:space="preserve"> </w:t>
            </w:r>
            <w:r w:rsidR="00994A94" w:rsidRPr="006E7DB7">
              <w:rPr>
                <w:rFonts w:cs="Arial"/>
                <w:b w:val="0"/>
                <w:color w:val="000000" w:themeColor="text1"/>
                <w:lang w:eastAsia="en-AU"/>
              </w:rPr>
              <w:t xml:space="preserve">– </w:t>
            </w:r>
            <w:r w:rsidRPr="006E7DB7">
              <w:rPr>
                <w:rFonts w:cs="Arial"/>
                <w:b w:val="0"/>
                <w:color w:val="000000" w:themeColor="text1"/>
                <w:szCs w:val="22"/>
                <w:lang w:eastAsia="en-AU"/>
              </w:rPr>
              <w:t>$149</w:t>
            </w:r>
          </w:p>
        </w:tc>
        <w:tc>
          <w:tcPr>
            <w:tcW w:w="568" w:type="pct"/>
          </w:tcPr>
          <w:p w14:paraId="73D47717" w14:textId="77777777"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19</w:t>
            </w:r>
          </w:p>
        </w:tc>
        <w:tc>
          <w:tcPr>
            <w:tcW w:w="1892" w:type="pct"/>
          </w:tcPr>
          <w:p w14:paraId="73D47718" w14:textId="61C4FA41"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$600</w:t>
            </w:r>
            <w:r w:rsidR="00C41294">
              <w:rPr>
                <w:rFonts w:cs="Arial"/>
                <w:color w:val="000000" w:themeColor="text1"/>
                <w:lang w:eastAsia="en-AU"/>
              </w:rPr>
              <w:t xml:space="preserve"> </w:t>
            </w:r>
            <w:r w:rsidR="00994A94" w:rsidRPr="008C26ED">
              <w:rPr>
                <w:rFonts w:cs="Arial"/>
                <w:color w:val="000000" w:themeColor="text1"/>
                <w:lang w:eastAsia="en-AU"/>
              </w:rPr>
              <w:t>–</w:t>
            </w:r>
            <w:r w:rsidR="00C41294">
              <w:rPr>
                <w:rFonts w:cs="Arial"/>
                <w:color w:val="000000" w:themeColor="text1"/>
                <w:lang w:eastAsia="en-AU"/>
              </w:rPr>
              <w:t xml:space="preserve"> </w:t>
            </w:r>
            <w:r w:rsidRPr="00850B9D">
              <w:rPr>
                <w:rFonts w:cs="Arial"/>
                <w:color w:val="000000" w:themeColor="text1"/>
                <w:szCs w:val="22"/>
                <w:lang w:eastAsia="en-AU"/>
              </w:rPr>
              <w:t>$</w:t>
            </w:r>
            <w:r w:rsidR="005E2062" w:rsidRPr="00850B9D">
              <w:rPr>
                <w:rFonts w:cs="Arial"/>
                <w:color w:val="000000" w:themeColor="text1"/>
                <w:szCs w:val="22"/>
                <w:lang w:eastAsia="en-AU"/>
              </w:rPr>
              <w:t>64</w:t>
            </w:r>
            <w:r w:rsidRPr="00850B9D">
              <w:rPr>
                <w:rFonts w:cs="Arial"/>
                <w:color w:val="000000" w:themeColor="text1"/>
                <w:szCs w:val="22"/>
                <w:lang w:eastAsia="en-AU"/>
              </w:rPr>
              <w:t>9</w:t>
            </w:r>
          </w:p>
        </w:tc>
        <w:tc>
          <w:tcPr>
            <w:tcW w:w="751" w:type="pct"/>
          </w:tcPr>
          <w:p w14:paraId="73D47719" w14:textId="77777777"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9</w:t>
            </w:r>
          </w:p>
        </w:tc>
      </w:tr>
      <w:tr w:rsidR="00994A94" w:rsidRPr="00994A94" w14:paraId="73D4771F" w14:textId="77777777" w:rsidTr="00504312">
        <w:trPr>
          <w:cantSplit/>
        </w:trPr>
        <w:tc>
          <w:tcPr>
            <w:cnfStyle w:val="001000000000" w:firstRow="0" w:lastRow="0" w:firstColumn="1" w:lastColumn="0" w:oddVBand="0" w:evenVBand="0" w:oddHBand="0" w:evenHBand="0" w:firstRowFirstColumn="0" w:firstRowLastColumn="0" w:lastRowFirstColumn="0" w:lastRowLastColumn="0"/>
            <w:tcW w:w="1788" w:type="pct"/>
          </w:tcPr>
          <w:p w14:paraId="73D4771B" w14:textId="1CF3AA71" w:rsidR="008D12C7" w:rsidRPr="006E7DB7" w:rsidRDefault="008D12C7" w:rsidP="00EF13BF">
            <w:pPr>
              <w:keepNext/>
              <w:keepLines/>
              <w:spacing w:after="0"/>
              <w:contextualSpacing/>
              <w:jc w:val="center"/>
              <w:rPr>
                <w:rFonts w:cs="Arial"/>
                <w:b w:val="0"/>
                <w:color w:val="000000" w:themeColor="text1"/>
                <w:lang w:eastAsia="en-AU"/>
              </w:rPr>
            </w:pPr>
            <w:r w:rsidRPr="006E7DB7">
              <w:rPr>
                <w:rFonts w:cs="Arial"/>
                <w:b w:val="0"/>
                <w:color w:val="000000" w:themeColor="text1"/>
                <w:szCs w:val="22"/>
                <w:lang w:eastAsia="en-AU"/>
              </w:rPr>
              <w:t>$150</w:t>
            </w:r>
            <w:r w:rsidR="00C41294" w:rsidRPr="006E7DB7">
              <w:rPr>
                <w:rFonts w:cs="Arial"/>
                <w:b w:val="0"/>
                <w:color w:val="000000" w:themeColor="text1"/>
                <w:lang w:eastAsia="en-AU"/>
              </w:rPr>
              <w:t xml:space="preserve"> </w:t>
            </w:r>
            <w:r w:rsidR="00994A94" w:rsidRPr="006E7DB7">
              <w:rPr>
                <w:rFonts w:cs="Arial"/>
                <w:b w:val="0"/>
                <w:color w:val="000000" w:themeColor="text1"/>
                <w:lang w:eastAsia="en-AU"/>
              </w:rPr>
              <w:t xml:space="preserve">– </w:t>
            </w:r>
            <w:r w:rsidRPr="006E7DB7">
              <w:rPr>
                <w:rFonts w:cs="Arial"/>
                <w:b w:val="0"/>
                <w:color w:val="000000" w:themeColor="text1"/>
                <w:szCs w:val="22"/>
                <w:lang w:eastAsia="en-AU"/>
              </w:rPr>
              <w:t>$</w:t>
            </w:r>
            <w:r w:rsidR="009E273E" w:rsidRPr="006E7DB7">
              <w:rPr>
                <w:rFonts w:cs="Arial"/>
                <w:b w:val="0"/>
                <w:color w:val="000000" w:themeColor="text1"/>
                <w:szCs w:val="22"/>
                <w:lang w:eastAsia="en-AU"/>
              </w:rPr>
              <w:t>1</w:t>
            </w:r>
            <w:r w:rsidRPr="006E7DB7">
              <w:rPr>
                <w:rFonts w:cs="Arial"/>
                <w:b w:val="0"/>
                <w:color w:val="000000" w:themeColor="text1"/>
                <w:szCs w:val="22"/>
                <w:lang w:eastAsia="en-AU"/>
              </w:rPr>
              <w:t>99</w:t>
            </w:r>
          </w:p>
        </w:tc>
        <w:tc>
          <w:tcPr>
            <w:tcW w:w="568" w:type="pct"/>
          </w:tcPr>
          <w:p w14:paraId="73D4771C" w14:textId="77777777"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18</w:t>
            </w:r>
          </w:p>
        </w:tc>
        <w:tc>
          <w:tcPr>
            <w:tcW w:w="1892" w:type="pct"/>
          </w:tcPr>
          <w:p w14:paraId="73D4771D" w14:textId="4ADE6A12"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$650</w:t>
            </w:r>
            <w:r w:rsidR="00C41294">
              <w:rPr>
                <w:rFonts w:cs="Arial"/>
                <w:color w:val="000000" w:themeColor="text1"/>
                <w:lang w:eastAsia="en-AU"/>
              </w:rPr>
              <w:t xml:space="preserve"> </w:t>
            </w:r>
            <w:r w:rsidR="00994A94" w:rsidRPr="008C26ED">
              <w:rPr>
                <w:rFonts w:cs="Arial"/>
                <w:color w:val="000000" w:themeColor="text1"/>
                <w:lang w:eastAsia="en-AU"/>
              </w:rPr>
              <w:t>–</w:t>
            </w:r>
            <w:r w:rsidR="00C41294">
              <w:rPr>
                <w:rFonts w:cs="Arial"/>
                <w:color w:val="000000" w:themeColor="text1"/>
                <w:lang w:eastAsia="en-AU"/>
              </w:rPr>
              <w:t xml:space="preserve"> </w:t>
            </w:r>
            <w:r w:rsidRPr="00850B9D">
              <w:rPr>
                <w:rFonts w:cs="Arial"/>
                <w:color w:val="000000" w:themeColor="text1"/>
                <w:szCs w:val="22"/>
                <w:lang w:eastAsia="en-AU"/>
              </w:rPr>
              <w:t>$</w:t>
            </w:r>
            <w:r w:rsidR="005E2062" w:rsidRPr="00850B9D">
              <w:rPr>
                <w:rFonts w:cs="Arial"/>
                <w:color w:val="000000" w:themeColor="text1"/>
                <w:szCs w:val="22"/>
                <w:lang w:eastAsia="en-AU"/>
              </w:rPr>
              <w:t>6</w:t>
            </w:r>
            <w:r w:rsidRPr="00850B9D">
              <w:rPr>
                <w:rFonts w:cs="Arial"/>
                <w:color w:val="000000" w:themeColor="text1"/>
                <w:szCs w:val="22"/>
                <w:lang w:eastAsia="en-AU"/>
              </w:rPr>
              <w:t>99</w:t>
            </w:r>
          </w:p>
        </w:tc>
        <w:tc>
          <w:tcPr>
            <w:tcW w:w="751" w:type="pct"/>
          </w:tcPr>
          <w:p w14:paraId="73D4771E" w14:textId="77777777"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8</w:t>
            </w:r>
          </w:p>
        </w:tc>
      </w:tr>
      <w:tr w:rsidR="00994A94" w:rsidRPr="00994A94" w14:paraId="73D47724" w14:textId="77777777" w:rsidTr="0050431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8" w:type="pct"/>
          </w:tcPr>
          <w:p w14:paraId="73D47720" w14:textId="2134F338" w:rsidR="008D12C7" w:rsidRPr="006E7DB7" w:rsidRDefault="008D12C7" w:rsidP="00EF13BF">
            <w:pPr>
              <w:keepNext/>
              <w:keepLines/>
              <w:spacing w:after="0"/>
              <w:contextualSpacing/>
              <w:jc w:val="center"/>
              <w:rPr>
                <w:rFonts w:cs="Arial"/>
                <w:b w:val="0"/>
                <w:color w:val="000000" w:themeColor="text1"/>
                <w:lang w:eastAsia="en-AU"/>
              </w:rPr>
            </w:pPr>
            <w:r w:rsidRPr="006E7DB7">
              <w:rPr>
                <w:rFonts w:cs="Arial"/>
                <w:b w:val="0"/>
                <w:color w:val="000000" w:themeColor="text1"/>
                <w:szCs w:val="22"/>
                <w:lang w:eastAsia="en-AU"/>
              </w:rPr>
              <w:t>$200</w:t>
            </w:r>
            <w:r w:rsidR="00C41294" w:rsidRPr="006E7DB7">
              <w:rPr>
                <w:rFonts w:cs="Arial"/>
                <w:b w:val="0"/>
                <w:color w:val="000000" w:themeColor="text1"/>
                <w:lang w:eastAsia="en-AU"/>
              </w:rPr>
              <w:t xml:space="preserve"> </w:t>
            </w:r>
            <w:r w:rsidR="00994A94" w:rsidRPr="006E7DB7">
              <w:rPr>
                <w:rFonts w:cs="Arial"/>
                <w:b w:val="0"/>
                <w:color w:val="000000" w:themeColor="text1"/>
                <w:lang w:eastAsia="en-AU"/>
              </w:rPr>
              <w:t xml:space="preserve">– </w:t>
            </w:r>
            <w:r w:rsidRPr="006E7DB7">
              <w:rPr>
                <w:rFonts w:cs="Arial"/>
                <w:b w:val="0"/>
                <w:color w:val="000000" w:themeColor="text1"/>
                <w:szCs w:val="22"/>
                <w:lang w:eastAsia="en-AU"/>
              </w:rPr>
              <w:t>$</w:t>
            </w:r>
            <w:r w:rsidR="005E2062" w:rsidRPr="006E7DB7">
              <w:rPr>
                <w:rFonts w:cs="Arial"/>
                <w:b w:val="0"/>
                <w:color w:val="000000" w:themeColor="text1"/>
                <w:szCs w:val="22"/>
                <w:lang w:eastAsia="en-AU"/>
              </w:rPr>
              <w:t>24</w:t>
            </w:r>
            <w:r w:rsidRPr="006E7DB7">
              <w:rPr>
                <w:rFonts w:cs="Arial"/>
                <w:b w:val="0"/>
                <w:color w:val="000000" w:themeColor="text1"/>
                <w:szCs w:val="22"/>
                <w:lang w:eastAsia="en-AU"/>
              </w:rPr>
              <w:t>9</w:t>
            </w:r>
          </w:p>
        </w:tc>
        <w:tc>
          <w:tcPr>
            <w:tcW w:w="568" w:type="pct"/>
          </w:tcPr>
          <w:p w14:paraId="73D47721" w14:textId="77777777"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17</w:t>
            </w:r>
          </w:p>
        </w:tc>
        <w:tc>
          <w:tcPr>
            <w:tcW w:w="1892" w:type="pct"/>
          </w:tcPr>
          <w:p w14:paraId="73D47722" w14:textId="07638111"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$70</w:t>
            </w:r>
            <w:r w:rsidR="009E273E" w:rsidRPr="00850B9D">
              <w:rPr>
                <w:rFonts w:cs="Arial"/>
                <w:color w:val="000000" w:themeColor="text1"/>
                <w:szCs w:val="22"/>
                <w:lang w:eastAsia="en-AU"/>
              </w:rPr>
              <w:t>0</w:t>
            </w:r>
            <w:r w:rsidR="00C41294">
              <w:rPr>
                <w:rFonts w:cs="Arial"/>
                <w:color w:val="000000" w:themeColor="text1"/>
                <w:lang w:eastAsia="en-AU"/>
              </w:rPr>
              <w:t xml:space="preserve"> </w:t>
            </w:r>
            <w:r w:rsidR="00994A94" w:rsidRPr="008C26ED">
              <w:rPr>
                <w:rFonts w:cs="Arial"/>
                <w:color w:val="000000" w:themeColor="text1"/>
                <w:lang w:eastAsia="en-AU"/>
              </w:rPr>
              <w:t>–</w:t>
            </w:r>
            <w:r w:rsidR="00C41294">
              <w:rPr>
                <w:rFonts w:cs="Arial"/>
                <w:color w:val="000000" w:themeColor="text1"/>
                <w:lang w:eastAsia="en-AU"/>
              </w:rPr>
              <w:t xml:space="preserve"> </w:t>
            </w:r>
            <w:r w:rsidRPr="00850B9D">
              <w:rPr>
                <w:rFonts w:cs="Arial"/>
                <w:color w:val="000000" w:themeColor="text1"/>
                <w:szCs w:val="22"/>
                <w:lang w:eastAsia="en-AU"/>
              </w:rPr>
              <w:t>$</w:t>
            </w:r>
            <w:r w:rsidR="005E2062" w:rsidRPr="00850B9D">
              <w:rPr>
                <w:rFonts w:cs="Arial"/>
                <w:color w:val="000000" w:themeColor="text1"/>
                <w:szCs w:val="22"/>
                <w:lang w:eastAsia="en-AU"/>
              </w:rPr>
              <w:t>74</w:t>
            </w:r>
            <w:r w:rsidRPr="00850B9D">
              <w:rPr>
                <w:rFonts w:cs="Arial"/>
                <w:color w:val="000000" w:themeColor="text1"/>
                <w:szCs w:val="22"/>
                <w:lang w:eastAsia="en-AU"/>
              </w:rPr>
              <w:t>9</w:t>
            </w:r>
          </w:p>
        </w:tc>
        <w:tc>
          <w:tcPr>
            <w:tcW w:w="751" w:type="pct"/>
          </w:tcPr>
          <w:p w14:paraId="73D47723" w14:textId="77777777"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7</w:t>
            </w:r>
          </w:p>
        </w:tc>
      </w:tr>
      <w:tr w:rsidR="00994A94" w:rsidRPr="00994A94" w14:paraId="73D47729" w14:textId="77777777" w:rsidTr="00504312">
        <w:trPr>
          <w:cantSplit/>
        </w:trPr>
        <w:tc>
          <w:tcPr>
            <w:cnfStyle w:val="001000000000" w:firstRow="0" w:lastRow="0" w:firstColumn="1" w:lastColumn="0" w:oddVBand="0" w:evenVBand="0" w:oddHBand="0" w:evenHBand="0" w:firstRowFirstColumn="0" w:firstRowLastColumn="0" w:lastRowFirstColumn="0" w:lastRowLastColumn="0"/>
            <w:tcW w:w="1788" w:type="pct"/>
          </w:tcPr>
          <w:p w14:paraId="73D47725" w14:textId="6BFBADC6" w:rsidR="008D12C7" w:rsidRPr="006E7DB7" w:rsidRDefault="008D12C7" w:rsidP="00EF13BF">
            <w:pPr>
              <w:keepNext/>
              <w:keepLines/>
              <w:spacing w:after="0"/>
              <w:contextualSpacing/>
              <w:jc w:val="center"/>
              <w:rPr>
                <w:rFonts w:cs="Arial"/>
                <w:b w:val="0"/>
                <w:color w:val="000000" w:themeColor="text1"/>
                <w:lang w:eastAsia="en-AU"/>
              </w:rPr>
            </w:pPr>
            <w:r w:rsidRPr="006E7DB7">
              <w:rPr>
                <w:rFonts w:cs="Arial"/>
                <w:b w:val="0"/>
                <w:color w:val="000000" w:themeColor="text1"/>
                <w:szCs w:val="22"/>
                <w:lang w:eastAsia="en-AU"/>
              </w:rPr>
              <w:t>$250</w:t>
            </w:r>
            <w:r w:rsidR="00C41294" w:rsidRPr="006E7DB7">
              <w:rPr>
                <w:rFonts w:cs="Arial"/>
                <w:b w:val="0"/>
                <w:color w:val="000000" w:themeColor="text1"/>
                <w:lang w:eastAsia="en-AU"/>
              </w:rPr>
              <w:t xml:space="preserve"> </w:t>
            </w:r>
            <w:r w:rsidR="00994A94" w:rsidRPr="006E7DB7">
              <w:rPr>
                <w:rFonts w:cs="Arial"/>
                <w:b w:val="0"/>
                <w:color w:val="000000" w:themeColor="text1"/>
                <w:lang w:eastAsia="en-AU"/>
              </w:rPr>
              <w:t xml:space="preserve">– </w:t>
            </w:r>
            <w:r w:rsidRPr="006E7DB7">
              <w:rPr>
                <w:rFonts w:cs="Arial"/>
                <w:b w:val="0"/>
                <w:color w:val="000000" w:themeColor="text1"/>
                <w:szCs w:val="22"/>
                <w:lang w:eastAsia="en-AU"/>
              </w:rPr>
              <w:t>$</w:t>
            </w:r>
            <w:r w:rsidR="005E2062" w:rsidRPr="006E7DB7">
              <w:rPr>
                <w:rFonts w:cs="Arial"/>
                <w:b w:val="0"/>
                <w:color w:val="000000" w:themeColor="text1"/>
                <w:szCs w:val="22"/>
                <w:lang w:eastAsia="en-AU"/>
              </w:rPr>
              <w:t>2</w:t>
            </w:r>
            <w:r w:rsidRPr="006E7DB7">
              <w:rPr>
                <w:rFonts w:cs="Arial"/>
                <w:b w:val="0"/>
                <w:color w:val="000000" w:themeColor="text1"/>
                <w:szCs w:val="22"/>
                <w:lang w:eastAsia="en-AU"/>
              </w:rPr>
              <w:t>99</w:t>
            </w:r>
          </w:p>
        </w:tc>
        <w:tc>
          <w:tcPr>
            <w:tcW w:w="568" w:type="pct"/>
          </w:tcPr>
          <w:p w14:paraId="73D47726" w14:textId="77777777"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16</w:t>
            </w:r>
          </w:p>
        </w:tc>
        <w:tc>
          <w:tcPr>
            <w:tcW w:w="1892" w:type="pct"/>
          </w:tcPr>
          <w:p w14:paraId="73D47727" w14:textId="314665AA"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$750</w:t>
            </w:r>
            <w:r w:rsidR="00994A94">
              <w:rPr>
                <w:rFonts w:cs="Arial"/>
                <w:color w:val="000000" w:themeColor="text1"/>
                <w:lang w:eastAsia="en-AU"/>
              </w:rPr>
              <w:t xml:space="preserve"> </w:t>
            </w:r>
            <w:r w:rsidR="00994A94" w:rsidRPr="008C26ED">
              <w:rPr>
                <w:rFonts w:cs="Arial"/>
                <w:color w:val="000000" w:themeColor="text1"/>
                <w:lang w:eastAsia="en-AU"/>
              </w:rPr>
              <w:t>–</w:t>
            </w:r>
            <w:r w:rsidR="00994A94">
              <w:rPr>
                <w:rFonts w:cs="Arial"/>
                <w:color w:val="000000" w:themeColor="text1"/>
                <w:lang w:eastAsia="en-AU"/>
              </w:rPr>
              <w:t xml:space="preserve"> </w:t>
            </w:r>
            <w:r w:rsidRPr="00850B9D">
              <w:rPr>
                <w:rFonts w:cs="Arial"/>
                <w:color w:val="000000" w:themeColor="text1"/>
                <w:szCs w:val="22"/>
                <w:lang w:eastAsia="en-AU"/>
              </w:rPr>
              <w:t>$</w:t>
            </w:r>
            <w:r w:rsidR="005E2062" w:rsidRPr="00850B9D">
              <w:rPr>
                <w:rFonts w:cs="Arial"/>
                <w:color w:val="000000" w:themeColor="text1"/>
                <w:szCs w:val="22"/>
                <w:lang w:eastAsia="en-AU"/>
              </w:rPr>
              <w:t>7</w:t>
            </w:r>
            <w:r w:rsidRPr="00850B9D">
              <w:rPr>
                <w:rFonts w:cs="Arial"/>
                <w:color w:val="000000" w:themeColor="text1"/>
                <w:szCs w:val="22"/>
                <w:lang w:eastAsia="en-AU"/>
              </w:rPr>
              <w:t>99</w:t>
            </w:r>
          </w:p>
        </w:tc>
        <w:tc>
          <w:tcPr>
            <w:tcW w:w="751" w:type="pct"/>
          </w:tcPr>
          <w:p w14:paraId="73D47728" w14:textId="77777777"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6</w:t>
            </w:r>
          </w:p>
        </w:tc>
      </w:tr>
      <w:tr w:rsidR="00994A94" w:rsidRPr="00994A94" w14:paraId="73D4772E" w14:textId="77777777" w:rsidTr="0050431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8" w:type="pct"/>
          </w:tcPr>
          <w:p w14:paraId="73D4772A" w14:textId="4328666C" w:rsidR="008D12C7" w:rsidRPr="006E7DB7" w:rsidRDefault="008D12C7" w:rsidP="00EF13BF">
            <w:pPr>
              <w:keepNext/>
              <w:keepLines/>
              <w:spacing w:after="0"/>
              <w:contextualSpacing/>
              <w:jc w:val="center"/>
              <w:rPr>
                <w:rFonts w:cs="Arial"/>
                <w:b w:val="0"/>
                <w:color w:val="000000" w:themeColor="text1"/>
                <w:lang w:eastAsia="en-AU"/>
              </w:rPr>
            </w:pPr>
            <w:r w:rsidRPr="006E7DB7">
              <w:rPr>
                <w:rFonts w:cs="Arial"/>
                <w:b w:val="0"/>
                <w:color w:val="000000" w:themeColor="text1"/>
                <w:szCs w:val="22"/>
                <w:lang w:eastAsia="en-AU"/>
              </w:rPr>
              <w:t>$300</w:t>
            </w:r>
            <w:r w:rsidR="00994A94" w:rsidRPr="006E7DB7">
              <w:rPr>
                <w:rFonts w:cs="Arial"/>
                <w:b w:val="0"/>
                <w:color w:val="000000" w:themeColor="text1"/>
                <w:lang w:eastAsia="en-AU"/>
              </w:rPr>
              <w:t xml:space="preserve"> – </w:t>
            </w:r>
            <w:r w:rsidRPr="006E7DB7">
              <w:rPr>
                <w:rFonts w:cs="Arial"/>
                <w:b w:val="0"/>
                <w:color w:val="000000" w:themeColor="text1"/>
                <w:szCs w:val="22"/>
                <w:lang w:eastAsia="en-AU"/>
              </w:rPr>
              <w:t>$</w:t>
            </w:r>
            <w:r w:rsidR="005E2062" w:rsidRPr="006E7DB7">
              <w:rPr>
                <w:rFonts w:cs="Arial"/>
                <w:b w:val="0"/>
                <w:color w:val="000000" w:themeColor="text1"/>
                <w:szCs w:val="22"/>
                <w:lang w:eastAsia="en-AU"/>
              </w:rPr>
              <w:t>34</w:t>
            </w:r>
            <w:r w:rsidRPr="006E7DB7">
              <w:rPr>
                <w:rFonts w:cs="Arial"/>
                <w:b w:val="0"/>
                <w:color w:val="000000" w:themeColor="text1"/>
                <w:szCs w:val="22"/>
                <w:lang w:eastAsia="en-AU"/>
              </w:rPr>
              <w:t>9</w:t>
            </w:r>
          </w:p>
        </w:tc>
        <w:tc>
          <w:tcPr>
            <w:tcW w:w="568" w:type="pct"/>
          </w:tcPr>
          <w:p w14:paraId="73D4772B" w14:textId="77777777"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15</w:t>
            </w:r>
          </w:p>
        </w:tc>
        <w:tc>
          <w:tcPr>
            <w:tcW w:w="1892" w:type="pct"/>
          </w:tcPr>
          <w:p w14:paraId="73D4772C" w14:textId="7FEE13EC"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$800</w:t>
            </w:r>
            <w:r w:rsidR="00994A94">
              <w:rPr>
                <w:rFonts w:cs="Arial"/>
                <w:color w:val="000000" w:themeColor="text1"/>
                <w:lang w:eastAsia="en-AU"/>
              </w:rPr>
              <w:t xml:space="preserve"> </w:t>
            </w:r>
            <w:r w:rsidR="00994A94" w:rsidRPr="008C26ED">
              <w:rPr>
                <w:rFonts w:cs="Arial"/>
                <w:color w:val="000000" w:themeColor="text1"/>
                <w:lang w:eastAsia="en-AU"/>
              </w:rPr>
              <w:t xml:space="preserve">– </w:t>
            </w:r>
            <w:r w:rsidRPr="00850B9D">
              <w:rPr>
                <w:rFonts w:cs="Arial"/>
                <w:color w:val="000000" w:themeColor="text1"/>
                <w:szCs w:val="22"/>
                <w:lang w:eastAsia="en-AU"/>
              </w:rPr>
              <w:t>$</w:t>
            </w:r>
            <w:r w:rsidR="005E2062" w:rsidRPr="00850B9D">
              <w:rPr>
                <w:rFonts w:cs="Arial"/>
                <w:color w:val="000000" w:themeColor="text1"/>
                <w:szCs w:val="22"/>
                <w:lang w:eastAsia="en-AU"/>
              </w:rPr>
              <w:t>84</w:t>
            </w:r>
            <w:r w:rsidRPr="00850B9D">
              <w:rPr>
                <w:rFonts w:cs="Arial"/>
                <w:color w:val="000000" w:themeColor="text1"/>
                <w:szCs w:val="22"/>
                <w:lang w:eastAsia="en-AU"/>
              </w:rPr>
              <w:t>9</w:t>
            </w:r>
          </w:p>
        </w:tc>
        <w:tc>
          <w:tcPr>
            <w:tcW w:w="751" w:type="pct"/>
          </w:tcPr>
          <w:p w14:paraId="73D4772D" w14:textId="77777777"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5</w:t>
            </w:r>
          </w:p>
        </w:tc>
      </w:tr>
      <w:tr w:rsidR="00994A94" w:rsidRPr="00994A94" w14:paraId="73D47733" w14:textId="77777777" w:rsidTr="00504312">
        <w:trPr>
          <w:cantSplit/>
        </w:trPr>
        <w:tc>
          <w:tcPr>
            <w:cnfStyle w:val="001000000000" w:firstRow="0" w:lastRow="0" w:firstColumn="1" w:lastColumn="0" w:oddVBand="0" w:evenVBand="0" w:oddHBand="0" w:evenHBand="0" w:firstRowFirstColumn="0" w:firstRowLastColumn="0" w:lastRowFirstColumn="0" w:lastRowLastColumn="0"/>
            <w:tcW w:w="1788" w:type="pct"/>
          </w:tcPr>
          <w:p w14:paraId="73D4772F" w14:textId="7A7D5494" w:rsidR="008D12C7" w:rsidRPr="006E7DB7" w:rsidRDefault="008D12C7" w:rsidP="00EF13BF">
            <w:pPr>
              <w:keepNext/>
              <w:keepLines/>
              <w:spacing w:after="0"/>
              <w:contextualSpacing/>
              <w:jc w:val="center"/>
              <w:rPr>
                <w:rFonts w:cs="Arial"/>
                <w:b w:val="0"/>
                <w:color w:val="000000" w:themeColor="text1"/>
                <w:lang w:eastAsia="en-AU"/>
              </w:rPr>
            </w:pPr>
            <w:r w:rsidRPr="006E7DB7">
              <w:rPr>
                <w:rFonts w:cs="Arial"/>
                <w:b w:val="0"/>
                <w:color w:val="000000" w:themeColor="text1"/>
                <w:szCs w:val="22"/>
                <w:lang w:eastAsia="en-AU"/>
              </w:rPr>
              <w:t>$350</w:t>
            </w:r>
            <w:r w:rsidR="00994A94" w:rsidRPr="006E7DB7">
              <w:rPr>
                <w:rFonts w:cs="Arial"/>
                <w:b w:val="0"/>
                <w:color w:val="000000" w:themeColor="text1"/>
                <w:lang w:eastAsia="en-AU"/>
              </w:rPr>
              <w:t xml:space="preserve"> – </w:t>
            </w:r>
            <w:r w:rsidRPr="006E7DB7">
              <w:rPr>
                <w:rFonts w:cs="Arial"/>
                <w:b w:val="0"/>
                <w:color w:val="000000" w:themeColor="text1"/>
                <w:szCs w:val="22"/>
                <w:lang w:eastAsia="en-AU"/>
              </w:rPr>
              <w:t>$</w:t>
            </w:r>
            <w:r w:rsidR="005E2062" w:rsidRPr="006E7DB7">
              <w:rPr>
                <w:rFonts w:cs="Arial"/>
                <w:b w:val="0"/>
                <w:color w:val="000000" w:themeColor="text1"/>
                <w:szCs w:val="22"/>
                <w:lang w:eastAsia="en-AU"/>
              </w:rPr>
              <w:t>39</w:t>
            </w:r>
            <w:r w:rsidRPr="006E7DB7">
              <w:rPr>
                <w:rFonts w:cs="Arial"/>
                <w:b w:val="0"/>
                <w:color w:val="000000" w:themeColor="text1"/>
                <w:szCs w:val="22"/>
                <w:lang w:eastAsia="en-AU"/>
              </w:rPr>
              <w:t>9</w:t>
            </w:r>
          </w:p>
        </w:tc>
        <w:tc>
          <w:tcPr>
            <w:tcW w:w="568" w:type="pct"/>
          </w:tcPr>
          <w:p w14:paraId="73D47730" w14:textId="77777777"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14</w:t>
            </w:r>
          </w:p>
        </w:tc>
        <w:tc>
          <w:tcPr>
            <w:tcW w:w="1892" w:type="pct"/>
          </w:tcPr>
          <w:p w14:paraId="73D47731" w14:textId="3522B56A"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$850</w:t>
            </w:r>
            <w:r w:rsidR="00994A94">
              <w:rPr>
                <w:rFonts w:cs="Arial"/>
                <w:color w:val="000000" w:themeColor="text1"/>
                <w:lang w:eastAsia="en-AU"/>
              </w:rPr>
              <w:t xml:space="preserve"> </w:t>
            </w:r>
            <w:r w:rsidR="00994A94" w:rsidRPr="008C26ED">
              <w:rPr>
                <w:rFonts w:cs="Arial"/>
                <w:color w:val="000000" w:themeColor="text1"/>
                <w:lang w:eastAsia="en-AU"/>
              </w:rPr>
              <w:t xml:space="preserve">– </w:t>
            </w:r>
            <w:r w:rsidRPr="00850B9D">
              <w:rPr>
                <w:rFonts w:cs="Arial"/>
                <w:color w:val="000000" w:themeColor="text1"/>
                <w:szCs w:val="22"/>
                <w:lang w:eastAsia="en-AU"/>
              </w:rPr>
              <w:t>$899</w:t>
            </w:r>
          </w:p>
        </w:tc>
        <w:tc>
          <w:tcPr>
            <w:tcW w:w="751" w:type="pct"/>
          </w:tcPr>
          <w:p w14:paraId="73D47732" w14:textId="77777777"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4</w:t>
            </w:r>
          </w:p>
        </w:tc>
      </w:tr>
      <w:tr w:rsidR="00994A94" w:rsidRPr="00994A94" w14:paraId="73D47738" w14:textId="77777777" w:rsidTr="0050431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8" w:type="pct"/>
          </w:tcPr>
          <w:p w14:paraId="73D47734" w14:textId="26756558" w:rsidR="008D12C7" w:rsidRPr="006E7DB7" w:rsidRDefault="008D12C7" w:rsidP="00EF13BF">
            <w:pPr>
              <w:keepNext/>
              <w:keepLines/>
              <w:spacing w:after="0"/>
              <w:contextualSpacing/>
              <w:jc w:val="center"/>
              <w:rPr>
                <w:rFonts w:cs="Arial"/>
                <w:b w:val="0"/>
                <w:color w:val="000000" w:themeColor="text1"/>
                <w:lang w:eastAsia="en-AU"/>
              </w:rPr>
            </w:pPr>
            <w:r w:rsidRPr="006E7DB7">
              <w:rPr>
                <w:rFonts w:cs="Arial"/>
                <w:b w:val="0"/>
                <w:color w:val="000000" w:themeColor="text1"/>
                <w:szCs w:val="22"/>
                <w:lang w:eastAsia="en-AU"/>
              </w:rPr>
              <w:t>$400</w:t>
            </w:r>
            <w:r w:rsidR="00994A94" w:rsidRPr="006E7DB7">
              <w:rPr>
                <w:rFonts w:cs="Arial"/>
                <w:b w:val="0"/>
                <w:color w:val="000000" w:themeColor="text1"/>
                <w:lang w:eastAsia="en-AU"/>
              </w:rPr>
              <w:t xml:space="preserve"> – </w:t>
            </w:r>
            <w:r w:rsidRPr="006E7DB7">
              <w:rPr>
                <w:rFonts w:cs="Arial"/>
                <w:b w:val="0"/>
                <w:color w:val="000000" w:themeColor="text1"/>
                <w:szCs w:val="22"/>
                <w:lang w:eastAsia="en-AU"/>
              </w:rPr>
              <w:t>$</w:t>
            </w:r>
            <w:r w:rsidR="005E2062" w:rsidRPr="006E7DB7">
              <w:rPr>
                <w:rFonts w:cs="Arial"/>
                <w:b w:val="0"/>
                <w:color w:val="000000" w:themeColor="text1"/>
                <w:szCs w:val="22"/>
                <w:lang w:eastAsia="en-AU"/>
              </w:rPr>
              <w:t>44</w:t>
            </w:r>
            <w:r w:rsidRPr="006E7DB7">
              <w:rPr>
                <w:rFonts w:cs="Arial"/>
                <w:b w:val="0"/>
                <w:color w:val="000000" w:themeColor="text1"/>
                <w:szCs w:val="22"/>
                <w:lang w:eastAsia="en-AU"/>
              </w:rPr>
              <w:t>9</w:t>
            </w:r>
          </w:p>
        </w:tc>
        <w:tc>
          <w:tcPr>
            <w:tcW w:w="568" w:type="pct"/>
          </w:tcPr>
          <w:p w14:paraId="73D47735" w14:textId="77777777"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13</w:t>
            </w:r>
          </w:p>
        </w:tc>
        <w:tc>
          <w:tcPr>
            <w:tcW w:w="1892" w:type="pct"/>
          </w:tcPr>
          <w:p w14:paraId="73D47736" w14:textId="00BDB4AB"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$900</w:t>
            </w:r>
            <w:r w:rsidR="00C41294">
              <w:rPr>
                <w:rFonts w:cs="Arial"/>
                <w:color w:val="000000" w:themeColor="text1"/>
                <w:lang w:eastAsia="en-AU"/>
              </w:rPr>
              <w:t xml:space="preserve"> </w:t>
            </w:r>
            <w:r w:rsidR="00994A94" w:rsidRPr="008C26ED">
              <w:rPr>
                <w:rFonts w:cs="Arial"/>
                <w:color w:val="000000" w:themeColor="text1"/>
                <w:lang w:eastAsia="en-AU"/>
              </w:rPr>
              <w:t xml:space="preserve">– </w:t>
            </w:r>
            <w:r w:rsidRPr="00850B9D">
              <w:rPr>
                <w:rFonts w:cs="Arial"/>
                <w:color w:val="000000" w:themeColor="text1"/>
                <w:szCs w:val="22"/>
                <w:lang w:eastAsia="en-AU"/>
              </w:rPr>
              <w:t>$949</w:t>
            </w:r>
          </w:p>
        </w:tc>
        <w:tc>
          <w:tcPr>
            <w:tcW w:w="751" w:type="pct"/>
          </w:tcPr>
          <w:p w14:paraId="73D47737" w14:textId="77777777"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3</w:t>
            </w:r>
          </w:p>
        </w:tc>
      </w:tr>
      <w:tr w:rsidR="00994A94" w:rsidRPr="00994A94" w14:paraId="73D4773D" w14:textId="77777777" w:rsidTr="00504312">
        <w:trPr>
          <w:cantSplit/>
        </w:trPr>
        <w:tc>
          <w:tcPr>
            <w:cnfStyle w:val="001000000000" w:firstRow="0" w:lastRow="0" w:firstColumn="1" w:lastColumn="0" w:oddVBand="0" w:evenVBand="0" w:oddHBand="0" w:evenHBand="0" w:firstRowFirstColumn="0" w:firstRowLastColumn="0" w:lastRowFirstColumn="0" w:lastRowLastColumn="0"/>
            <w:tcW w:w="1788" w:type="pct"/>
          </w:tcPr>
          <w:p w14:paraId="73D47739" w14:textId="1CF75A96" w:rsidR="008D12C7" w:rsidRPr="006E7DB7" w:rsidRDefault="008D12C7" w:rsidP="00EF13BF">
            <w:pPr>
              <w:keepNext/>
              <w:keepLines/>
              <w:spacing w:after="0"/>
              <w:contextualSpacing/>
              <w:jc w:val="center"/>
              <w:rPr>
                <w:rFonts w:cs="Arial"/>
                <w:b w:val="0"/>
                <w:color w:val="000000" w:themeColor="text1"/>
                <w:lang w:eastAsia="en-AU"/>
              </w:rPr>
            </w:pPr>
            <w:r w:rsidRPr="006E7DB7">
              <w:rPr>
                <w:rFonts w:cs="Arial"/>
                <w:b w:val="0"/>
                <w:color w:val="000000" w:themeColor="text1"/>
                <w:szCs w:val="22"/>
                <w:lang w:eastAsia="en-AU"/>
              </w:rPr>
              <w:t>$450</w:t>
            </w:r>
            <w:r w:rsidR="00994A94" w:rsidRPr="006E7DB7">
              <w:rPr>
                <w:rFonts w:cs="Arial"/>
                <w:b w:val="0"/>
                <w:color w:val="000000" w:themeColor="text1"/>
                <w:lang w:eastAsia="en-AU"/>
              </w:rPr>
              <w:t xml:space="preserve"> – </w:t>
            </w:r>
            <w:r w:rsidRPr="006E7DB7">
              <w:rPr>
                <w:rFonts w:cs="Arial"/>
                <w:b w:val="0"/>
                <w:color w:val="000000" w:themeColor="text1"/>
                <w:szCs w:val="22"/>
                <w:lang w:eastAsia="en-AU"/>
              </w:rPr>
              <w:t>$</w:t>
            </w:r>
            <w:r w:rsidR="005E2062" w:rsidRPr="006E7DB7">
              <w:rPr>
                <w:rFonts w:cs="Arial"/>
                <w:b w:val="0"/>
                <w:color w:val="000000" w:themeColor="text1"/>
                <w:szCs w:val="22"/>
                <w:lang w:eastAsia="en-AU"/>
              </w:rPr>
              <w:t>4</w:t>
            </w:r>
            <w:r w:rsidRPr="006E7DB7">
              <w:rPr>
                <w:rFonts w:cs="Arial"/>
                <w:b w:val="0"/>
                <w:color w:val="000000" w:themeColor="text1"/>
                <w:szCs w:val="22"/>
                <w:lang w:eastAsia="en-AU"/>
              </w:rPr>
              <w:t>99</w:t>
            </w:r>
          </w:p>
        </w:tc>
        <w:tc>
          <w:tcPr>
            <w:tcW w:w="568" w:type="pct"/>
          </w:tcPr>
          <w:p w14:paraId="73D4773A" w14:textId="77777777"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12</w:t>
            </w:r>
          </w:p>
        </w:tc>
        <w:tc>
          <w:tcPr>
            <w:tcW w:w="1892" w:type="pct"/>
          </w:tcPr>
          <w:p w14:paraId="73D4773B" w14:textId="585AFA87"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$950</w:t>
            </w:r>
            <w:r w:rsidR="00994A94">
              <w:rPr>
                <w:rFonts w:cs="Arial"/>
                <w:color w:val="000000" w:themeColor="text1"/>
                <w:lang w:eastAsia="en-AU"/>
              </w:rPr>
              <w:t xml:space="preserve"> </w:t>
            </w:r>
            <w:r w:rsidR="00994A94" w:rsidRPr="008C26ED">
              <w:rPr>
                <w:rFonts w:cs="Arial"/>
                <w:color w:val="000000" w:themeColor="text1"/>
                <w:lang w:eastAsia="en-AU"/>
              </w:rPr>
              <w:t xml:space="preserve">– </w:t>
            </w:r>
            <w:r w:rsidRPr="00850B9D">
              <w:rPr>
                <w:rFonts w:cs="Arial"/>
                <w:color w:val="000000" w:themeColor="text1"/>
                <w:szCs w:val="22"/>
                <w:lang w:eastAsia="en-AU"/>
              </w:rPr>
              <w:t>$1,000</w:t>
            </w:r>
          </w:p>
        </w:tc>
        <w:tc>
          <w:tcPr>
            <w:tcW w:w="751" w:type="pct"/>
          </w:tcPr>
          <w:p w14:paraId="73D4773C" w14:textId="77777777" w:rsidR="008D12C7" w:rsidRPr="00850B9D" w:rsidRDefault="008D12C7" w:rsidP="00EF13BF">
            <w:pPr>
              <w:keepNext/>
              <w:keepLines/>
              <w:spacing w:after="0"/>
              <w:contextualSpacing/>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2</w:t>
            </w:r>
          </w:p>
        </w:tc>
      </w:tr>
      <w:tr w:rsidR="00994A94" w:rsidRPr="00994A94" w14:paraId="73D47742" w14:textId="77777777" w:rsidTr="0050431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8" w:type="pct"/>
          </w:tcPr>
          <w:p w14:paraId="73D4773E" w14:textId="727F617E" w:rsidR="008D12C7" w:rsidRPr="006E7DB7" w:rsidRDefault="008D12C7" w:rsidP="007411E2">
            <w:pPr>
              <w:keepLines/>
              <w:spacing w:after="0"/>
              <w:contextualSpacing/>
              <w:jc w:val="center"/>
              <w:rPr>
                <w:rFonts w:cs="Arial"/>
                <w:b w:val="0"/>
                <w:color w:val="000000" w:themeColor="text1"/>
                <w:lang w:eastAsia="en-AU"/>
              </w:rPr>
            </w:pPr>
            <w:r w:rsidRPr="006E7DB7">
              <w:rPr>
                <w:rFonts w:cs="Arial"/>
                <w:b w:val="0"/>
                <w:color w:val="000000" w:themeColor="text1"/>
                <w:szCs w:val="22"/>
                <w:lang w:eastAsia="en-AU"/>
              </w:rPr>
              <w:t>$500</w:t>
            </w:r>
            <w:r w:rsidR="00994A94" w:rsidRPr="006E7DB7">
              <w:rPr>
                <w:rFonts w:cs="Arial"/>
                <w:b w:val="0"/>
                <w:color w:val="000000" w:themeColor="text1"/>
                <w:lang w:eastAsia="en-AU"/>
              </w:rPr>
              <w:t xml:space="preserve"> – </w:t>
            </w:r>
            <w:r w:rsidRPr="006E7DB7">
              <w:rPr>
                <w:rFonts w:cs="Arial"/>
                <w:b w:val="0"/>
                <w:color w:val="000000" w:themeColor="text1"/>
                <w:szCs w:val="22"/>
                <w:lang w:eastAsia="en-AU"/>
              </w:rPr>
              <w:t>$</w:t>
            </w:r>
            <w:r w:rsidR="005E2062" w:rsidRPr="006E7DB7">
              <w:rPr>
                <w:rFonts w:cs="Arial"/>
                <w:b w:val="0"/>
                <w:color w:val="000000" w:themeColor="text1"/>
                <w:szCs w:val="22"/>
                <w:lang w:eastAsia="en-AU"/>
              </w:rPr>
              <w:t>54</w:t>
            </w:r>
            <w:r w:rsidRPr="006E7DB7">
              <w:rPr>
                <w:rFonts w:cs="Arial"/>
                <w:b w:val="0"/>
                <w:color w:val="000000" w:themeColor="text1"/>
                <w:szCs w:val="22"/>
                <w:lang w:eastAsia="en-AU"/>
              </w:rPr>
              <w:t>9</w:t>
            </w:r>
          </w:p>
        </w:tc>
        <w:tc>
          <w:tcPr>
            <w:tcW w:w="568" w:type="pct"/>
          </w:tcPr>
          <w:p w14:paraId="73D4773F" w14:textId="77777777"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11</w:t>
            </w:r>
          </w:p>
        </w:tc>
        <w:tc>
          <w:tcPr>
            <w:tcW w:w="1892" w:type="pct"/>
          </w:tcPr>
          <w:p w14:paraId="73D47740" w14:textId="2CD8CF93" w:rsidR="008D12C7" w:rsidRPr="00850B9D" w:rsidRDefault="00994A94"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Pr>
                <w:rFonts w:cs="Arial"/>
                <w:color w:val="000000" w:themeColor="text1"/>
                <w:lang w:eastAsia="en-AU"/>
              </w:rPr>
              <w:t xml:space="preserve">&gt; </w:t>
            </w:r>
            <w:r w:rsidR="008D12C7" w:rsidRPr="00850B9D">
              <w:rPr>
                <w:rFonts w:cs="Arial"/>
                <w:color w:val="000000" w:themeColor="text1"/>
                <w:szCs w:val="22"/>
                <w:lang w:eastAsia="en-AU"/>
              </w:rPr>
              <w:t>$1,00</w:t>
            </w:r>
            <w:r w:rsidR="006E7DB7">
              <w:rPr>
                <w:rFonts w:cs="Arial"/>
                <w:color w:val="000000" w:themeColor="text1"/>
                <w:szCs w:val="22"/>
                <w:lang w:eastAsia="en-AU"/>
              </w:rPr>
              <w:t>0</w:t>
            </w:r>
          </w:p>
        </w:tc>
        <w:tc>
          <w:tcPr>
            <w:tcW w:w="751" w:type="pct"/>
          </w:tcPr>
          <w:p w14:paraId="73D47741" w14:textId="77777777" w:rsidR="008D12C7" w:rsidRPr="00850B9D" w:rsidRDefault="008D12C7" w:rsidP="00EF13BF">
            <w:pPr>
              <w:keepNext/>
              <w:keepLines/>
              <w:spacing w:after="0"/>
              <w:contextualSpacing/>
              <w:jc w:val="center"/>
              <w:cnfStyle w:val="000000010000" w:firstRow="0" w:lastRow="0" w:firstColumn="0" w:lastColumn="0" w:oddVBand="0" w:evenVBand="0" w:oddHBand="0" w:evenHBand="1" w:firstRowFirstColumn="0" w:firstRowLastColumn="0" w:lastRowFirstColumn="0" w:lastRowLastColumn="0"/>
              <w:rPr>
                <w:rFonts w:cs="Arial"/>
                <w:color w:val="000000" w:themeColor="text1"/>
                <w:lang w:eastAsia="en-AU"/>
              </w:rPr>
            </w:pPr>
            <w:r w:rsidRPr="00850B9D">
              <w:rPr>
                <w:rFonts w:cs="Arial"/>
                <w:color w:val="000000" w:themeColor="text1"/>
                <w:szCs w:val="22"/>
                <w:lang w:eastAsia="en-AU"/>
              </w:rPr>
              <w:t>1</w:t>
            </w:r>
          </w:p>
        </w:tc>
      </w:tr>
    </w:tbl>
    <w:p w14:paraId="73D47743" w14:textId="76A069F6" w:rsidR="00733FF0" w:rsidRPr="00D84EEA" w:rsidRDefault="00733FF0" w:rsidP="00436751">
      <w:pPr>
        <w:pStyle w:val="Heading3"/>
        <w:spacing w:before="240"/>
        <w:ind w:left="1077" w:hanging="1077"/>
      </w:pPr>
      <w:bookmarkStart w:id="171" w:name="_Toc178085201"/>
      <w:bookmarkEnd w:id="145"/>
      <w:bookmarkEnd w:id="154"/>
      <w:r w:rsidRPr="00D84EEA">
        <w:t xml:space="preserve">Criterion </w:t>
      </w:r>
      <w:r w:rsidR="00C9465D">
        <w:t>4</w:t>
      </w:r>
      <w:r w:rsidRPr="00D84EEA">
        <w:t>: Material Coverage Improvement (</w:t>
      </w:r>
      <w:r w:rsidR="005E2062">
        <w:t>2</w:t>
      </w:r>
      <w:r w:rsidRPr="00D84EEA">
        <w:t>0 Points)</w:t>
      </w:r>
      <w:bookmarkEnd w:id="171"/>
    </w:p>
    <w:p w14:paraId="73D47744" w14:textId="62CB7097" w:rsidR="0045229E" w:rsidRDefault="00733FF0" w:rsidP="005C4E32">
      <w:pPr>
        <w:pStyle w:val="Normal-Style2"/>
        <w:rPr>
          <w:rFonts w:eastAsia="Calibri"/>
        </w:rPr>
      </w:pPr>
      <w:r w:rsidRPr="00D84EEA">
        <w:rPr>
          <w:rFonts w:eastAsia="Calibri"/>
          <w:b/>
        </w:rPr>
        <w:t>Material Coverage Improvement</w:t>
      </w:r>
      <w:r w:rsidRPr="00165184">
        <w:rPr>
          <w:rFonts w:eastAsia="Calibri"/>
        </w:rPr>
        <w:t xml:space="preserve"> refers to an improvement to the quality of service expected to be received in a</w:t>
      </w:r>
      <w:r w:rsidR="002D68C3">
        <w:rPr>
          <w:rFonts w:eastAsia="Calibri"/>
        </w:rPr>
        <w:t>n</w:t>
      </w:r>
      <w:r w:rsidR="00C9465D">
        <w:rPr>
          <w:rFonts w:eastAsia="Calibri"/>
        </w:rPr>
        <w:t xml:space="preserve"> </w:t>
      </w:r>
      <w:r w:rsidR="00C536FF">
        <w:rPr>
          <w:rFonts w:eastAsia="Calibri"/>
        </w:rPr>
        <w:t>Eligible L</w:t>
      </w:r>
      <w:r>
        <w:rPr>
          <w:rFonts w:eastAsia="Calibri"/>
        </w:rPr>
        <w:t xml:space="preserve">ocation, excluding the amount of New Improved Handheld Coverage as outlined at section </w:t>
      </w:r>
      <w:r w:rsidR="00D96A98">
        <w:rPr>
          <w:rFonts w:eastAsia="Calibri"/>
        </w:rPr>
        <w:t>6.1.</w:t>
      </w:r>
    </w:p>
    <w:p w14:paraId="73D47745" w14:textId="31AB4B97" w:rsidR="004E4FA9" w:rsidRPr="004E4FA9" w:rsidRDefault="004E4FA9" w:rsidP="005C4E32">
      <w:pPr>
        <w:pStyle w:val="Normal-Style2"/>
        <w:keepLines/>
      </w:pPr>
      <w:r>
        <w:t>For Multi-MNO Proposed Solutions, the points for Material Coverage Improvement will be assessed separately for each MNO and then added together into a single score for the respective solution, capped to 20 points.</w:t>
      </w:r>
    </w:p>
    <w:p w14:paraId="73D47746" w14:textId="137FA791" w:rsidR="00733FF0" w:rsidRPr="008F3813" w:rsidRDefault="00733FF0" w:rsidP="005C4E32">
      <w:pPr>
        <w:pStyle w:val="Normal-Style2"/>
        <w:rPr>
          <w:rFonts w:eastAsia="Calibri"/>
        </w:rPr>
      </w:pPr>
      <w:r w:rsidRPr="008F3813">
        <w:rPr>
          <w:rFonts w:eastAsia="Calibri"/>
        </w:rPr>
        <w:lastRenderedPageBreak/>
        <w:t xml:space="preserve">Points will be awarded based on the extent to which the Proposed Solution will address a quality of service issue for the </w:t>
      </w:r>
      <w:r w:rsidR="00C536FF">
        <w:rPr>
          <w:rFonts w:eastAsia="Calibri"/>
        </w:rPr>
        <w:t>Eligible L</w:t>
      </w:r>
      <w:r w:rsidR="00C9465D">
        <w:rPr>
          <w:rFonts w:eastAsia="Calibri"/>
        </w:rPr>
        <w:t>ocation</w:t>
      </w:r>
      <w:r w:rsidRPr="008F3813">
        <w:rPr>
          <w:rFonts w:eastAsia="Calibri"/>
        </w:rPr>
        <w:t>, using the following scoring matrix</w:t>
      </w:r>
      <w:r w:rsidR="008D531E">
        <w:rPr>
          <w:rFonts w:eastAsia="Calibri"/>
        </w:rPr>
        <w:t xml:space="preserve"> in Table </w:t>
      </w:r>
      <w:r w:rsidR="0035264F">
        <w:rPr>
          <w:rFonts w:eastAsia="Calibri"/>
        </w:rPr>
        <w:t>8</w:t>
      </w:r>
      <w:r w:rsidR="008D531E">
        <w:rPr>
          <w:rFonts w:eastAsia="Calibri"/>
        </w:rPr>
        <w:t>.</w:t>
      </w:r>
    </w:p>
    <w:p w14:paraId="2EC0A11A" w14:textId="6CFA3951" w:rsidR="0035264F" w:rsidRPr="00850B9D" w:rsidRDefault="0035264F" w:rsidP="00CC14C9">
      <w:pPr>
        <w:pStyle w:val="Tablefigureheading"/>
        <w:spacing w:before="120"/>
      </w:pPr>
      <w:bookmarkStart w:id="172" w:name="_Toc178085257"/>
      <w:bookmarkStart w:id="173" w:name="_Toc178085274"/>
      <w:r w:rsidRPr="00850B9D">
        <w:t xml:space="preserve">Table </w:t>
      </w:r>
      <w:fldSimple w:instr=" SEQ Table \* ARABIC ">
        <w:r>
          <w:rPr>
            <w:noProof/>
          </w:rPr>
          <w:t>8</w:t>
        </w:r>
      </w:fldSimple>
      <w:r w:rsidRPr="00850B9D">
        <w:t>: Material Coverage Improvement Scoring Matrix</w:t>
      </w:r>
      <w:bookmarkEnd w:id="172"/>
      <w:bookmarkEnd w:id="173"/>
    </w:p>
    <w:tbl>
      <w:tblPr>
        <w:tblStyle w:val="DefaultTable11"/>
        <w:tblW w:w="4953" w:type="pct"/>
        <w:tblInd w:w="127" w:type="dxa"/>
        <w:tblBorders>
          <w:top w:val="single" w:sz="12" w:space="0" w:color="4BB3B5"/>
          <w:left w:val="single" w:sz="12" w:space="0" w:color="4BB3B5"/>
          <w:bottom w:val="single" w:sz="12" w:space="0" w:color="4BB3B5"/>
          <w:right w:val="single" w:sz="12" w:space="0" w:color="4BB3B5"/>
          <w:insideH w:val="single" w:sz="12" w:space="0" w:color="4BB3B5"/>
          <w:insideV w:val="single" w:sz="12" w:space="0" w:color="4BB3B5"/>
        </w:tblBorders>
        <w:tblLook w:val="0420" w:firstRow="1" w:lastRow="0" w:firstColumn="0" w:lastColumn="0" w:noHBand="0" w:noVBand="1"/>
        <w:tblDescription w:val="Table 5: Material Coverage Improvement Scoring Matrix"/>
      </w:tblPr>
      <w:tblGrid>
        <w:gridCol w:w="1169"/>
        <w:gridCol w:w="801"/>
        <w:gridCol w:w="7386"/>
      </w:tblGrid>
      <w:tr w:rsidR="002254CD" w:rsidRPr="00654F9E" w14:paraId="73D4774B" w14:textId="77777777" w:rsidTr="00436751">
        <w:trPr>
          <w:cnfStyle w:val="100000000000" w:firstRow="1" w:lastRow="0" w:firstColumn="0" w:lastColumn="0" w:oddVBand="0" w:evenVBand="0" w:oddHBand="0" w:evenHBand="0" w:firstRowFirstColumn="0" w:firstRowLastColumn="0" w:lastRowFirstColumn="0" w:lastRowLastColumn="0"/>
          <w:cantSplit/>
        </w:trPr>
        <w:tc>
          <w:tcPr>
            <w:tcW w:w="625" w:type="pct"/>
            <w:tcBorders>
              <w:top w:val="none" w:sz="0" w:space="0" w:color="auto"/>
              <w:bottom w:val="none" w:sz="0" w:space="0" w:color="auto"/>
            </w:tcBorders>
          </w:tcPr>
          <w:p w14:paraId="73D47748" w14:textId="77777777" w:rsidR="002254CD" w:rsidRPr="002254CD" w:rsidRDefault="002254CD" w:rsidP="005C4E32">
            <w:pPr>
              <w:pStyle w:val="Tablerowcolumnheading"/>
              <w:rPr>
                <w:b/>
              </w:rPr>
            </w:pPr>
            <w:r w:rsidRPr="002254CD">
              <w:rPr>
                <w:b/>
              </w:rPr>
              <w:t>Rating</w:t>
            </w:r>
          </w:p>
        </w:tc>
        <w:tc>
          <w:tcPr>
            <w:tcW w:w="428" w:type="pct"/>
            <w:tcBorders>
              <w:top w:val="none" w:sz="0" w:space="0" w:color="auto"/>
              <w:bottom w:val="none" w:sz="0" w:space="0" w:color="auto"/>
            </w:tcBorders>
          </w:tcPr>
          <w:p w14:paraId="73D47749" w14:textId="77777777" w:rsidR="002254CD" w:rsidRPr="002254CD" w:rsidRDefault="002254CD" w:rsidP="00850B9D">
            <w:pPr>
              <w:pStyle w:val="Tablerowcolumnheadingcentred"/>
              <w:jc w:val="left"/>
              <w:rPr>
                <w:b/>
              </w:rPr>
            </w:pPr>
            <w:r w:rsidRPr="002254CD">
              <w:rPr>
                <w:b/>
              </w:rPr>
              <w:t>Score</w:t>
            </w:r>
          </w:p>
        </w:tc>
        <w:tc>
          <w:tcPr>
            <w:tcW w:w="3948" w:type="pct"/>
            <w:tcBorders>
              <w:top w:val="none" w:sz="0" w:space="0" w:color="auto"/>
              <w:bottom w:val="none" w:sz="0" w:space="0" w:color="auto"/>
            </w:tcBorders>
          </w:tcPr>
          <w:p w14:paraId="73D4774A" w14:textId="77777777" w:rsidR="002254CD" w:rsidRPr="002254CD" w:rsidRDefault="002254CD" w:rsidP="005C4E32">
            <w:pPr>
              <w:pStyle w:val="Tablerowcolumnheading"/>
              <w:rPr>
                <w:b/>
              </w:rPr>
            </w:pPr>
            <w:r w:rsidRPr="002254CD">
              <w:rPr>
                <w:b/>
              </w:rPr>
              <w:t>Definition</w:t>
            </w:r>
          </w:p>
        </w:tc>
      </w:tr>
      <w:tr w:rsidR="002254CD" w:rsidRPr="00654F9E" w14:paraId="73D4774F" w14:textId="77777777" w:rsidTr="00436751">
        <w:trPr>
          <w:cantSplit/>
        </w:trPr>
        <w:tc>
          <w:tcPr>
            <w:tcW w:w="625" w:type="pct"/>
          </w:tcPr>
          <w:p w14:paraId="73D4774C" w14:textId="77777777" w:rsidR="002254CD" w:rsidRPr="00495CD5" w:rsidRDefault="002254CD" w:rsidP="005C4E32">
            <w:pPr>
              <w:pStyle w:val="Tabletext"/>
            </w:pPr>
            <w:r w:rsidRPr="00495CD5">
              <w:t>Very Good</w:t>
            </w:r>
          </w:p>
        </w:tc>
        <w:tc>
          <w:tcPr>
            <w:tcW w:w="428" w:type="pct"/>
          </w:tcPr>
          <w:p w14:paraId="73D4774D" w14:textId="77777777" w:rsidR="002254CD" w:rsidRDefault="005E2062" w:rsidP="00850B9D">
            <w:pPr>
              <w:pStyle w:val="Tabletextcentred"/>
              <w:jc w:val="left"/>
              <w:rPr>
                <w:rFonts w:eastAsia="Calibri"/>
              </w:rPr>
            </w:pPr>
            <w:r>
              <w:rPr>
                <w:rFonts w:eastAsia="Calibri"/>
              </w:rPr>
              <w:t>17</w:t>
            </w:r>
            <w:r w:rsidR="00495CD5">
              <w:rPr>
                <w:rFonts w:eastAsia="Calibri"/>
              </w:rPr>
              <w:t>–</w:t>
            </w:r>
            <w:r>
              <w:rPr>
                <w:rFonts w:eastAsia="Calibri"/>
              </w:rPr>
              <w:t>20</w:t>
            </w:r>
          </w:p>
        </w:tc>
        <w:tc>
          <w:tcPr>
            <w:tcW w:w="3948" w:type="pct"/>
          </w:tcPr>
          <w:p w14:paraId="73D4774E" w14:textId="18529F6C" w:rsidR="002254CD" w:rsidRDefault="002254CD" w:rsidP="005C4E32">
            <w:pPr>
              <w:pStyle w:val="Tabletext"/>
              <w:rPr>
                <w:rFonts w:eastAsia="Calibri"/>
              </w:rPr>
            </w:pPr>
            <w:r>
              <w:rPr>
                <w:rFonts w:eastAsia="Calibri"/>
              </w:rPr>
              <w:t>The Proposed Solution fully addresses the quality of service issue and provides a very significant improvement to service quality, which may anticipate future growth in demand. Evidence fully supports the applicant’s claims to a very high degree.</w:t>
            </w:r>
          </w:p>
        </w:tc>
      </w:tr>
      <w:tr w:rsidR="002254CD" w:rsidRPr="00654F9E" w14:paraId="73D47753" w14:textId="77777777" w:rsidTr="00436751">
        <w:trPr>
          <w:cnfStyle w:val="000000010000" w:firstRow="0" w:lastRow="0" w:firstColumn="0" w:lastColumn="0" w:oddVBand="0" w:evenVBand="0" w:oddHBand="0" w:evenHBand="1" w:firstRowFirstColumn="0" w:firstRowLastColumn="0" w:lastRowFirstColumn="0" w:lastRowLastColumn="0"/>
          <w:cantSplit/>
        </w:trPr>
        <w:tc>
          <w:tcPr>
            <w:tcW w:w="625" w:type="pct"/>
          </w:tcPr>
          <w:p w14:paraId="73D47750" w14:textId="77777777" w:rsidR="002254CD" w:rsidRPr="00495CD5" w:rsidRDefault="002254CD" w:rsidP="005C4E32">
            <w:pPr>
              <w:pStyle w:val="Tabletext"/>
            </w:pPr>
            <w:r w:rsidRPr="00495CD5">
              <w:t>Good</w:t>
            </w:r>
          </w:p>
        </w:tc>
        <w:tc>
          <w:tcPr>
            <w:tcW w:w="428" w:type="pct"/>
          </w:tcPr>
          <w:p w14:paraId="73D47751" w14:textId="77777777" w:rsidR="002254CD" w:rsidRDefault="005E2062" w:rsidP="00850B9D">
            <w:pPr>
              <w:pStyle w:val="Tabletextcentred"/>
              <w:jc w:val="left"/>
              <w:rPr>
                <w:rFonts w:eastAsia="Calibri"/>
              </w:rPr>
            </w:pPr>
            <w:r>
              <w:rPr>
                <w:rFonts w:eastAsia="Calibri"/>
              </w:rPr>
              <w:t>13</w:t>
            </w:r>
            <w:r w:rsidR="00495CD5">
              <w:rPr>
                <w:rFonts w:eastAsia="Calibri"/>
              </w:rPr>
              <w:t>–</w:t>
            </w:r>
            <w:r>
              <w:rPr>
                <w:rFonts w:eastAsia="Calibri"/>
              </w:rPr>
              <w:t>16</w:t>
            </w:r>
          </w:p>
        </w:tc>
        <w:tc>
          <w:tcPr>
            <w:tcW w:w="3948" w:type="pct"/>
          </w:tcPr>
          <w:p w14:paraId="73D47752" w14:textId="41766504" w:rsidR="002254CD" w:rsidRDefault="002254CD" w:rsidP="005C4E32">
            <w:pPr>
              <w:pStyle w:val="Tabletext"/>
              <w:rPr>
                <w:rFonts w:eastAsia="Calibri"/>
              </w:rPr>
            </w:pPr>
            <w:r>
              <w:rPr>
                <w:rFonts w:eastAsia="Calibri"/>
              </w:rPr>
              <w:t xml:space="preserve">The Proposed Solution mostly addresses the quality of service issue and provides a significant improvement to service quality, but which may only partially anticipate future growth in demand. Evidence mostly supports the applicant’s claims to a high degree. </w:t>
            </w:r>
          </w:p>
        </w:tc>
      </w:tr>
      <w:tr w:rsidR="002254CD" w:rsidRPr="00654F9E" w14:paraId="73D47757" w14:textId="77777777" w:rsidTr="00436751">
        <w:trPr>
          <w:cantSplit/>
        </w:trPr>
        <w:tc>
          <w:tcPr>
            <w:tcW w:w="625" w:type="pct"/>
          </w:tcPr>
          <w:p w14:paraId="73D47754" w14:textId="77777777" w:rsidR="002254CD" w:rsidRPr="00495CD5" w:rsidRDefault="002254CD" w:rsidP="005C4E32">
            <w:pPr>
              <w:pStyle w:val="Tabletext"/>
            </w:pPr>
            <w:r w:rsidRPr="00495CD5">
              <w:t>Satisfactory</w:t>
            </w:r>
          </w:p>
        </w:tc>
        <w:tc>
          <w:tcPr>
            <w:tcW w:w="428" w:type="pct"/>
          </w:tcPr>
          <w:p w14:paraId="73D47755" w14:textId="77777777" w:rsidR="002254CD" w:rsidRDefault="005E2062" w:rsidP="00850B9D">
            <w:pPr>
              <w:pStyle w:val="Tabletextcentred"/>
              <w:jc w:val="left"/>
              <w:rPr>
                <w:rFonts w:eastAsia="Calibri"/>
              </w:rPr>
            </w:pPr>
            <w:r>
              <w:rPr>
                <w:rFonts w:eastAsia="Calibri"/>
              </w:rPr>
              <w:t>9</w:t>
            </w:r>
            <w:r w:rsidR="00495CD5">
              <w:rPr>
                <w:rFonts w:eastAsia="Calibri"/>
              </w:rPr>
              <w:t>–</w:t>
            </w:r>
            <w:r>
              <w:rPr>
                <w:rFonts w:eastAsia="Calibri"/>
              </w:rPr>
              <w:t>12</w:t>
            </w:r>
          </w:p>
        </w:tc>
        <w:tc>
          <w:tcPr>
            <w:tcW w:w="3948" w:type="pct"/>
          </w:tcPr>
          <w:p w14:paraId="73D47756" w14:textId="77777777" w:rsidR="002254CD" w:rsidRDefault="002254CD" w:rsidP="005C4E32">
            <w:pPr>
              <w:pStyle w:val="Tabletext"/>
              <w:rPr>
                <w:rFonts w:eastAsia="Calibri"/>
              </w:rPr>
            </w:pPr>
            <w:r>
              <w:rPr>
                <w:rFonts w:eastAsia="Calibri"/>
              </w:rPr>
              <w:t>The Proposed Solution generally addresses the quality of service issue and provides some improvement to service quality, but which does not anticipate future growth in demand. Evidence generally supports the applicant’s claims to a satisfactory degree.</w:t>
            </w:r>
          </w:p>
        </w:tc>
      </w:tr>
      <w:tr w:rsidR="002254CD" w:rsidRPr="00654F9E" w14:paraId="73D4775B" w14:textId="77777777" w:rsidTr="00436751">
        <w:trPr>
          <w:cnfStyle w:val="000000010000" w:firstRow="0" w:lastRow="0" w:firstColumn="0" w:lastColumn="0" w:oddVBand="0" w:evenVBand="0" w:oddHBand="0" w:evenHBand="1" w:firstRowFirstColumn="0" w:firstRowLastColumn="0" w:lastRowFirstColumn="0" w:lastRowLastColumn="0"/>
          <w:cantSplit/>
        </w:trPr>
        <w:tc>
          <w:tcPr>
            <w:tcW w:w="625" w:type="pct"/>
          </w:tcPr>
          <w:p w14:paraId="73D47758" w14:textId="77777777" w:rsidR="002254CD" w:rsidRPr="00495CD5" w:rsidRDefault="002254CD" w:rsidP="005C4E32">
            <w:pPr>
              <w:pStyle w:val="Tabletext"/>
            </w:pPr>
            <w:r w:rsidRPr="00495CD5">
              <w:t>Poor</w:t>
            </w:r>
          </w:p>
        </w:tc>
        <w:tc>
          <w:tcPr>
            <w:tcW w:w="428" w:type="pct"/>
          </w:tcPr>
          <w:p w14:paraId="73D47759" w14:textId="77777777" w:rsidR="002254CD" w:rsidRDefault="005E2062" w:rsidP="00850B9D">
            <w:pPr>
              <w:pStyle w:val="Tabletextcentred"/>
              <w:jc w:val="left"/>
              <w:rPr>
                <w:rFonts w:eastAsia="Calibri"/>
              </w:rPr>
            </w:pPr>
            <w:r>
              <w:rPr>
                <w:rFonts w:eastAsia="Calibri"/>
              </w:rPr>
              <w:t>5</w:t>
            </w:r>
            <w:r w:rsidR="00495CD5">
              <w:rPr>
                <w:rFonts w:eastAsia="Calibri"/>
              </w:rPr>
              <w:t>–</w:t>
            </w:r>
            <w:r>
              <w:rPr>
                <w:rFonts w:eastAsia="Calibri"/>
              </w:rPr>
              <w:t>8</w:t>
            </w:r>
          </w:p>
        </w:tc>
        <w:tc>
          <w:tcPr>
            <w:tcW w:w="3948" w:type="pct"/>
          </w:tcPr>
          <w:p w14:paraId="73D4775A" w14:textId="77777777" w:rsidR="002254CD" w:rsidRDefault="002254CD" w:rsidP="005C4E32">
            <w:pPr>
              <w:pStyle w:val="Tabletext"/>
              <w:rPr>
                <w:rFonts w:eastAsia="Calibri"/>
              </w:rPr>
            </w:pPr>
            <w:r>
              <w:rPr>
                <w:rFonts w:eastAsia="Calibri"/>
              </w:rPr>
              <w:t>The Proposed Solution partially addresses the quality of service issue and provides limited improvement to service quality. Evidence is limited and does not support the applicant’s claims to a satisfactory degree.</w:t>
            </w:r>
          </w:p>
        </w:tc>
      </w:tr>
      <w:tr w:rsidR="002254CD" w:rsidRPr="00654F9E" w14:paraId="73D4775F" w14:textId="77777777" w:rsidTr="00436751">
        <w:trPr>
          <w:cantSplit/>
        </w:trPr>
        <w:tc>
          <w:tcPr>
            <w:tcW w:w="625" w:type="pct"/>
          </w:tcPr>
          <w:p w14:paraId="73D4775C" w14:textId="77777777" w:rsidR="002254CD" w:rsidRPr="00495CD5" w:rsidRDefault="002254CD" w:rsidP="005C4E32">
            <w:pPr>
              <w:pStyle w:val="Tabletext"/>
            </w:pPr>
            <w:r w:rsidRPr="00495CD5">
              <w:t>Not Addressed or Very Poor</w:t>
            </w:r>
          </w:p>
        </w:tc>
        <w:tc>
          <w:tcPr>
            <w:tcW w:w="428" w:type="pct"/>
          </w:tcPr>
          <w:p w14:paraId="73D4775D" w14:textId="77777777" w:rsidR="002254CD" w:rsidRDefault="002254CD" w:rsidP="00850B9D">
            <w:pPr>
              <w:pStyle w:val="Tabletextcentred"/>
              <w:jc w:val="left"/>
              <w:rPr>
                <w:rFonts w:eastAsia="Calibri"/>
              </w:rPr>
            </w:pPr>
            <w:r>
              <w:rPr>
                <w:rFonts w:eastAsia="Calibri"/>
              </w:rPr>
              <w:t>0</w:t>
            </w:r>
            <w:r w:rsidR="00495CD5">
              <w:rPr>
                <w:rFonts w:eastAsia="Calibri"/>
              </w:rPr>
              <w:t>–</w:t>
            </w:r>
            <w:r w:rsidR="005E2062">
              <w:rPr>
                <w:rFonts w:eastAsia="Calibri"/>
              </w:rPr>
              <w:t>4</w:t>
            </w:r>
          </w:p>
        </w:tc>
        <w:tc>
          <w:tcPr>
            <w:tcW w:w="3948" w:type="pct"/>
          </w:tcPr>
          <w:p w14:paraId="73D4775E" w14:textId="72171633" w:rsidR="002254CD" w:rsidRDefault="002254CD" w:rsidP="005C4E32">
            <w:pPr>
              <w:pStyle w:val="Tabletext"/>
              <w:rPr>
                <w:rFonts w:eastAsia="Calibri"/>
              </w:rPr>
            </w:pPr>
            <w:r>
              <w:rPr>
                <w:rFonts w:eastAsia="Calibri"/>
              </w:rPr>
              <w:t xml:space="preserve">The Proposed Solution does not address the quality of service issue and provides no or very limited improvement to service quality. </w:t>
            </w:r>
            <w:r w:rsidR="00D96A98">
              <w:rPr>
                <w:rFonts w:eastAsia="Calibri"/>
              </w:rPr>
              <w:t>Little or no e</w:t>
            </w:r>
            <w:r>
              <w:rPr>
                <w:rFonts w:eastAsia="Calibri"/>
              </w:rPr>
              <w:t>vidence is provided to support the applicant’s claims.</w:t>
            </w:r>
          </w:p>
        </w:tc>
      </w:tr>
    </w:tbl>
    <w:p w14:paraId="73D47760" w14:textId="117927BA" w:rsidR="00733FF0" w:rsidRPr="00D84EEA" w:rsidRDefault="00733FF0" w:rsidP="00CC14C9">
      <w:pPr>
        <w:pStyle w:val="Normal-Style2"/>
        <w:keepNext/>
        <w:spacing w:before="240"/>
        <w:rPr>
          <w:rFonts w:eastAsia="Calibri"/>
        </w:rPr>
      </w:pPr>
      <w:r>
        <w:rPr>
          <w:rFonts w:eastAsia="Calibri"/>
        </w:rPr>
        <w:t xml:space="preserve">Applicants should </w:t>
      </w:r>
      <w:r w:rsidRPr="00296659">
        <w:rPr>
          <w:rFonts w:eastAsia="Calibri"/>
        </w:rPr>
        <w:t xml:space="preserve">include </w:t>
      </w:r>
      <w:r>
        <w:rPr>
          <w:rFonts w:eastAsia="Calibri"/>
        </w:rPr>
        <w:t xml:space="preserve">a detailed explanation and relevant </w:t>
      </w:r>
      <w:r w:rsidRPr="00296659">
        <w:rPr>
          <w:rFonts w:eastAsia="Calibri"/>
        </w:rPr>
        <w:t xml:space="preserve">evidence of </w:t>
      </w:r>
      <w:r>
        <w:rPr>
          <w:rFonts w:eastAsia="Calibri"/>
        </w:rPr>
        <w:t>a Material Coverage Improvement to be awarded points against this criterion. This evidence could include, but is not limited to:</w:t>
      </w:r>
    </w:p>
    <w:p w14:paraId="73D47761" w14:textId="5BB28527" w:rsidR="00007834" w:rsidRDefault="00007834" w:rsidP="007411E2">
      <w:pPr>
        <w:pStyle w:val="ListBullet"/>
      </w:pPr>
      <w:r>
        <w:t>Description of the key quality of service issue/s for the participating MNOs in the Eligible Location to be address</w:t>
      </w:r>
      <w:r w:rsidR="00BE750D">
        <w:t>ed</w:t>
      </w:r>
      <w:r>
        <w:t xml:space="preserve"> by the Proposed Solution, such as congestion, coverage black spots, network dominance etc;</w:t>
      </w:r>
    </w:p>
    <w:p w14:paraId="73D47762" w14:textId="77777777" w:rsidR="00733FF0" w:rsidRDefault="00733FF0" w:rsidP="007411E2">
      <w:pPr>
        <w:pStyle w:val="ListBullet"/>
      </w:pPr>
      <w:r>
        <w:t>Graphs or other data demonstrating how an upgrade to backhaul capacity will improve peak congestion for users in a</w:t>
      </w:r>
      <w:r w:rsidR="002E71C8">
        <w:t xml:space="preserve">n Eligible </w:t>
      </w:r>
      <w:r w:rsidR="0072734E">
        <w:t>Location</w:t>
      </w:r>
      <w:r>
        <w:t>;</w:t>
      </w:r>
    </w:p>
    <w:p w14:paraId="73D47763" w14:textId="77777777" w:rsidR="00733FF0" w:rsidRDefault="00733FF0" w:rsidP="007411E2">
      <w:pPr>
        <w:pStyle w:val="ListBullet"/>
      </w:pPr>
      <w:r>
        <w:t>Mapping or other data demonstrating how a new sector will address a localised coverage black spot or provide additional capacity to a</w:t>
      </w:r>
      <w:r w:rsidR="002E71C8">
        <w:t xml:space="preserve">n Eligible </w:t>
      </w:r>
      <w:r w:rsidR="0072734E">
        <w:t>Location</w:t>
      </w:r>
      <w:r>
        <w:t>;</w:t>
      </w:r>
    </w:p>
    <w:p w14:paraId="73D47764" w14:textId="3E622010" w:rsidR="0045229E" w:rsidRDefault="00733FF0" w:rsidP="007411E2">
      <w:pPr>
        <w:pStyle w:val="ListBullet"/>
      </w:pPr>
      <w:r>
        <w:t xml:space="preserve">Diagrams or other data demonstrating how a new base station will address a localised </w:t>
      </w:r>
      <w:bookmarkStart w:id="174" w:name="_Hlk146102407"/>
      <w:r>
        <w:t xml:space="preserve">network dominance issue </w:t>
      </w:r>
      <w:bookmarkEnd w:id="174"/>
      <w:r>
        <w:t>in a</w:t>
      </w:r>
      <w:r w:rsidR="002E71C8">
        <w:t xml:space="preserve">n Eligible </w:t>
      </w:r>
      <w:r w:rsidR="0072734E">
        <w:t>Location</w:t>
      </w:r>
      <w:r w:rsidR="00A37DEA">
        <w:t>;</w:t>
      </w:r>
    </w:p>
    <w:p w14:paraId="73D47765" w14:textId="6AD33748" w:rsidR="00F02B3C" w:rsidRPr="00E83EEF" w:rsidRDefault="005837BF" w:rsidP="007411E2">
      <w:pPr>
        <w:pStyle w:val="ListBullet"/>
      </w:pPr>
      <w:r w:rsidRPr="00E83EEF">
        <w:t xml:space="preserve">Evidence of support from a relevant third party, such as </w:t>
      </w:r>
      <w:r w:rsidR="00A37DEA">
        <w:t>a</w:t>
      </w:r>
      <w:r w:rsidRPr="00E83EEF">
        <w:t xml:space="preserve"> local emergency management organisation, including how the solution would directly benefit the organisation</w:t>
      </w:r>
      <w:r w:rsidR="0057311C">
        <w:t xml:space="preserve">; and </w:t>
      </w:r>
    </w:p>
    <w:p w14:paraId="73D47766" w14:textId="6366FD5E" w:rsidR="00F02B3C" w:rsidRDefault="005837BF" w:rsidP="007411E2">
      <w:pPr>
        <w:pStyle w:val="ListBullet"/>
      </w:pPr>
      <w:r w:rsidRPr="00E83EEF">
        <w:t>E</w:t>
      </w:r>
      <w:r w:rsidR="00F02B3C" w:rsidRPr="00E83EEF">
        <w:t xml:space="preserve">vidence </w:t>
      </w:r>
      <w:r w:rsidRPr="00E83EEF">
        <w:t xml:space="preserve">that </w:t>
      </w:r>
      <w:r w:rsidR="0081793F">
        <w:t xml:space="preserve">the </w:t>
      </w:r>
      <w:r w:rsidR="00C536FF">
        <w:t>Eligible L</w:t>
      </w:r>
      <w:r w:rsidRPr="00E83EEF">
        <w:t xml:space="preserve">ocation to receive the Material Coverage Improvement is at risk of natural </w:t>
      </w:r>
      <w:r w:rsidR="00F02B3C" w:rsidRPr="00E83EEF">
        <w:t>disaster</w:t>
      </w:r>
      <w:r w:rsidRPr="00E83EEF">
        <w:t xml:space="preserve">s, including </w:t>
      </w:r>
      <w:r w:rsidR="007D493F">
        <w:t xml:space="preserve">bushfires, and </w:t>
      </w:r>
      <w:r w:rsidR="00DB7E40">
        <w:t>the severity</w:t>
      </w:r>
      <w:r w:rsidR="00A37DEA">
        <w:t xml:space="preserve"> of th</w:t>
      </w:r>
      <w:r w:rsidR="007D493F">
        <w:t>at</w:t>
      </w:r>
      <w:r w:rsidR="00A37DEA">
        <w:t xml:space="preserve"> risk.</w:t>
      </w:r>
    </w:p>
    <w:p w14:paraId="73D47767" w14:textId="77777777" w:rsidR="00C92BD2" w:rsidRPr="00015459" w:rsidRDefault="00C92BD2" w:rsidP="005C4E32">
      <w:pPr>
        <w:pStyle w:val="Normal-Style2"/>
        <w:keepNext/>
      </w:pPr>
      <w:bookmarkStart w:id="175" w:name="_Hlk138429008"/>
      <w:r w:rsidRPr="00015459">
        <w:t>Where a written explanation is provided this should be limited to no more than 500 words</w:t>
      </w:r>
      <w:r w:rsidR="00015459" w:rsidRPr="00015459">
        <w:t>, where possible</w:t>
      </w:r>
      <w:r w:rsidRPr="00015459">
        <w:t>.</w:t>
      </w:r>
    </w:p>
    <w:p w14:paraId="73D47768" w14:textId="77777777" w:rsidR="00202760" w:rsidRPr="00D84EEA" w:rsidRDefault="00202760" w:rsidP="005C4E32">
      <w:pPr>
        <w:pStyle w:val="Heading3"/>
        <w:ind w:left="1077" w:hanging="1077"/>
      </w:pPr>
      <w:bookmarkStart w:id="176" w:name="_Toc178085202"/>
      <w:bookmarkStart w:id="177" w:name="_Hlk138862755"/>
      <w:bookmarkEnd w:id="175"/>
      <w:r w:rsidRPr="00D84EEA">
        <w:t xml:space="preserve">Criterion </w:t>
      </w:r>
      <w:r>
        <w:t>5</w:t>
      </w:r>
      <w:r w:rsidRPr="00D84EEA">
        <w:t xml:space="preserve">: </w:t>
      </w:r>
      <w:r>
        <w:t>Multi-MNO Solutions –Additional MNO</w:t>
      </w:r>
      <w:r w:rsidR="001267A9">
        <w:t xml:space="preserve"> </w:t>
      </w:r>
      <w:r>
        <w:t xml:space="preserve">service offerings </w:t>
      </w:r>
      <w:r w:rsidRPr="00D84EEA">
        <w:t>(</w:t>
      </w:r>
      <w:r>
        <w:t>2</w:t>
      </w:r>
      <w:r w:rsidRPr="00D84EEA">
        <w:t>0 Points)</w:t>
      </w:r>
      <w:bookmarkEnd w:id="176"/>
    </w:p>
    <w:p w14:paraId="73D47769" w14:textId="13053265" w:rsidR="00202760" w:rsidRPr="00C34048" w:rsidRDefault="001267A9" w:rsidP="005C4E32">
      <w:pPr>
        <w:pStyle w:val="Normal-Style2"/>
        <w:keepNext/>
        <w:rPr>
          <w:rFonts w:eastAsia="Calibri"/>
        </w:rPr>
      </w:pPr>
      <w:r w:rsidRPr="00C34048">
        <w:rPr>
          <w:rFonts w:eastAsia="Calibri"/>
        </w:rPr>
        <w:t xml:space="preserve">A </w:t>
      </w:r>
      <w:r w:rsidR="00202760" w:rsidRPr="00C34048">
        <w:rPr>
          <w:rFonts w:eastAsia="Calibri"/>
        </w:rPr>
        <w:t xml:space="preserve">Proposed </w:t>
      </w:r>
      <w:r w:rsidR="00C34048" w:rsidRPr="00C34048">
        <w:rPr>
          <w:rFonts w:eastAsia="Calibri"/>
        </w:rPr>
        <w:t>S</w:t>
      </w:r>
      <w:r w:rsidR="00202760" w:rsidRPr="00C34048">
        <w:rPr>
          <w:rFonts w:eastAsia="Calibri"/>
        </w:rPr>
        <w:t xml:space="preserve">olution will be awarded points </w:t>
      </w:r>
      <w:r w:rsidR="00703C7F" w:rsidRPr="00C34048">
        <w:rPr>
          <w:rFonts w:eastAsia="Calibri"/>
        </w:rPr>
        <w:t xml:space="preserve">where it will offer </w:t>
      </w:r>
      <w:r w:rsidR="00202760" w:rsidRPr="00C34048">
        <w:rPr>
          <w:rFonts w:eastAsia="Calibri"/>
        </w:rPr>
        <w:t>services</w:t>
      </w:r>
      <w:r w:rsidR="00703C7F" w:rsidRPr="00C34048">
        <w:rPr>
          <w:rFonts w:eastAsia="Calibri"/>
        </w:rPr>
        <w:t>,</w:t>
      </w:r>
      <w:r w:rsidR="00202760" w:rsidRPr="00C34048">
        <w:rPr>
          <w:rFonts w:eastAsia="Calibri"/>
        </w:rPr>
        <w:t xml:space="preserve"> </w:t>
      </w:r>
      <w:r w:rsidRPr="00C34048">
        <w:rPr>
          <w:rFonts w:eastAsia="Calibri"/>
        </w:rPr>
        <w:t xml:space="preserve">that meet the requirements of </w:t>
      </w:r>
      <w:r w:rsidR="00202760" w:rsidRPr="00C34048">
        <w:rPr>
          <w:rFonts w:eastAsia="Calibri"/>
        </w:rPr>
        <w:t xml:space="preserve">section </w:t>
      </w:r>
      <w:r w:rsidR="00BE750D">
        <w:rPr>
          <w:rFonts w:eastAsia="Calibri"/>
        </w:rPr>
        <w:t xml:space="preserve">4.2 </w:t>
      </w:r>
      <w:r w:rsidR="00703C7F" w:rsidRPr="00C34048">
        <w:rPr>
          <w:rFonts w:eastAsia="Calibri"/>
        </w:rPr>
        <w:t xml:space="preserve">from more than one MNO </w:t>
      </w:r>
      <w:r w:rsidR="00202760" w:rsidRPr="00C34048">
        <w:rPr>
          <w:rFonts w:eastAsia="Calibri"/>
        </w:rPr>
        <w:t xml:space="preserve">at the time of application, or </w:t>
      </w:r>
      <w:r w:rsidRPr="00C34048">
        <w:rPr>
          <w:rFonts w:eastAsia="Calibri"/>
        </w:rPr>
        <w:t xml:space="preserve">will </w:t>
      </w:r>
      <w:r w:rsidR="00202760" w:rsidRPr="00C34048">
        <w:rPr>
          <w:rFonts w:eastAsia="Calibri"/>
        </w:rPr>
        <w:t xml:space="preserve">offer </w:t>
      </w:r>
      <w:r w:rsidRPr="00C34048">
        <w:rPr>
          <w:rFonts w:eastAsia="Calibri"/>
        </w:rPr>
        <w:t>services</w:t>
      </w:r>
      <w:r w:rsidR="00202760" w:rsidRPr="00C34048">
        <w:rPr>
          <w:rFonts w:eastAsia="Calibri"/>
        </w:rPr>
        <w:t xml:space="preserve"> from another MNO’s </w:t>
      </w:r>
      <w:r w:rsidRPr="00C34048">
        <w:rPr>
          <w:rFonts w:eastAsia="Calibri"/>
        </w:rPr>
        <w:t>P</w:t>
      </w:r>
      <w:r w:rsidR="00202760" w:rsidRPr="00C34048">
        <w:rPr>
          <w:rFonts w:eastAsia="Calibri"/>
        </w:rPr>
        <w:t>roposed</w:t>
      </w:r>
      <w:r w:rsidR="008D531E">
        <w:rPr>
          <w:rFonts w:eastAsia="Calibri"/>
        </w:rPr>
        <w:t xml:space="preserve"> So</w:t>
      </w:r>
      <w:r w:rsidR="00202760" w:rsidRPr="00C34048">
        <w:rPr>
          <w:rFonts w:eastAsia="Calibri"/>
        </w:rPr>
        <w:t xml:space="preserve">lution </w:t>
      </w:r>
      <w:r w:rsidRPr="00C34048">
        <w:rPr>
          <w:rFonts w:eastAsia="Calibri"/>
        </w:rPr>
        <w:t xml:space="preserve">under </w:t>
      </w:r>
      <w:r w:rsidRPr="00C34048">
        <w:rPr>
          <w:rFonts w:eastAsia="Calibri"/>
        </w:rPr>
        <w:lastRenderedPageBreak/>
        <w:t xml:space="preserve">Round 2 </w:t>
      </w:r>
      <w:r w:rsidR="00E4742C">
        <w:rPr>
          <w:rFonts w:eastAsia="Calibri"/>
        </w:rPr>
        <w:t>of</w:t>
      </w:r>
      <w:r w:rsidR="00202760" w:rsidRPr="00C34048">
        <w:rPr>
          <w:rFonts w:eastAsia="Calibri"/>
        </w:rPr>
        <w:t xml:space="preserve"> the Program. </w:t>
      </w:r>
      <w:r w:rsidR="00202760" w:rsidRPr="00C34048">
        <w:t xml:space="preserve">This is in recognition of the benefits of </w:t>
      </w:r>
      <w:r w:rsidR="00202760" w:rsidRPr="00C34048">
        <w:rPr>
          <w:b/>
        </w:rPr>
        <w:t>Multi-MNO</w:t>
      </w:r>
      <w:r w:rsidR="00202760" w:rsidRPr="00C34048">
        <w:t xml:space="preserve"> </w:t>
      </w:r>
      <w:r w:rsidR="00202760" w:rsidRPr="00C34048">
        <w:rPr>
          <w:b/>
        </w:rPr>
        <w:t>solutions</w:t>
      </w:r>
      <w:r w:rsidR="00202760" w:rsidRPr="00C34048">
        <w:t>.</w:t>
      </w:r>
    </w:p>
    <w:p w14:paraId="73D4776A" w14:textId="2A6AD25A" w:rsidR="00202760" w:rsidRDefault="001267A9" w:rsidP="00B0575A">
      <w:pPr>
        <w:pStyle w:val="ListBullet"/>
        <w:rPr>
          <w:rFonts w:eastAsia="Calibri"/>
        </w:rPr>
      </w:pPr>
      <w:r w:rsidRPr="00C34048">
        <w:rPr>
          <w:rFonts w:eastAsia="Calibri"/>
        </w:rPr>
        <w:t xml:space="preserve">A </w:t>
      </w:r>
      <w:r w:rsidR="00202760" w:rsidRPr="00C34048">
        <w:rPr>
          <w:rFonts w:eastAsia="Calibri"/>
        </w:rPr>
        <w:t xml:space="preserve">Proposed </w:t>
      </w:r>
      <w:r w:rsidRPr="00C34048">
        <w:rPr>
          <w:rFonts w:eastAsia="Calibri"/>
        </w:rPr>
        <w:t>S</w:t>
      </w:r>
      <w:r w:rsidR="00202760" w:rsidRPr="00C34048">
        <w:rPr>
          <w:rFonts w:eastAsia="Calibri"/>
        </w:rPr>
        <w:t xml:space="preserve">olution </w:t>
      </w:r>
      <w:r w:rsidRPr="00C34048">
        <w:rPr>
          <w:rFonts w:eastAsia="Calibri"/>
        </w:rPr>
        <w:t>that will deliver services from t</w:t>
      </w:r>
      <w:r w:rsidR="00E4742C">
        <w:rPr>
          <w:rFonts w:eastAsia="Calibri"/>
        </w:rPr>
        <w:t>hree</w:t>
      </w:r>
      <w:r w:rsidR="00202760" w:rsidRPr="00C34048">
        <w:rPr>
          <w:rFonts w:eastAsia="Calibri"/>
        </w:rPr>
        <w:t xml:space="preserve"> MNO</w:t>
      </w:r>
      <w:r w:rsidRPr="00C34048">
        <w:rPr>
          <w:rFonts w:eastAsia="Calibri"/>
        </w:rPr>
        <w:t>s</w:t>
      </w:r>
      <w:r w:rsidR="00202760" w:rsidRPr="00C34048">
        <w:rPr>
          <w:rFonts w:eastAsia="Calibri"/>
        </w:rPr>
        <w:t xml:space="preserve"> at the time of application will be awarded 20 points.</w:t>
      </w:r>
    </w:p>
    <w:p w14:paraId="6BDB9DB4" w14:textId="752245BC" w:rsidR="00E4742C" w:rsidRPr="00E4742C" w:rsidRDefault="00E4742C" w:rsidP="00B0575A">
      <w:pPr>
        <w:pStyle w:val="ListBullet"/>
        <w:rPr>
          <w:rFonts w:eastAsia="Calibri"/>
        </w:rPr>
      </w:pPr>
      <w:r w:rsidRPr="00C34048">
        <w:rPr>
          <w:rFonts w:eastAsia="Calibri"/>
        </w:rPr>
        <w:t>A Proposed Solution that will deliver services from t</w:t>
      </w:r>
      <w:r>
        <w:rPr>
          <w:rFonts w:eastAsia="Calibri"/>
        </w:rPr>
        <w:t>wo</w:t>
      </w:r>
      <w:r w:rsidRPr="00C34048">
        <w:rPr>
          <w:rFonts w:eastAsia="Calibri"/>
        </w:rPr>
        <w:t xml:space="preserve"> MNOs at the time of application will be awarded </w:t>
      </w:r>
      <w:r>
        <w:rPr>
          <w:rFonts w:eastAsia="Calibri"/>
        </w:rPr>
        <w:t>15</w:t>
      </w:r>
      <w:r w:rsidRPr="00C34048">
        <w:rPr>
          <w:rFonts w:eastAsia="Calibri"/>
        </w:rPr>
        <w:t xml:space="preserve"> points.</w:t>
      </w:r>
    </w:p>
    <w:p w14:paraId="73D4776B" w14:textId="0B4271B9" w:rsidR="00202760" w:rsidRPr="00C34048" w:rsidRDefault="001267A9" w:rsidP="00B0575A">
      <w:pPr>
        <w:pStyle w:val="ListBullet"/>
        <w:rPr>
          <w:rFonts w:eastAsia="Calibri"/>
        </w:rPr>
      </w:pPr>
      <w:r w:rsidRPr="00C34048">
        <w:rPr>
          <w:rFonts w:eastAsia="Calibri"/>
        </w:rPr>
        <w:t xml:space="preserve">A </w:t>
      </w:r>
      <w:r w:rsidR="00202760" w:rsidRPr="00C34048">
        <w:rPr>
          <w:rFonts w:eastAsia="Calibri"/>
        </w:rPr>
        <w:t xml:space="preserve">Proposed </w:t>
      </w:r>
      <w:r w:rsidRPr="00C34048">
        <w:rPr>
          <w:rFonts w:eastAsia="Calibri"/>
        </w:rPr>
        <w:t>S</w:t>
      </w:r>
      <w:r w:rsidR="00202760" w:rsidRPr="00C34048">
        <w:rPr>
          <w:rFonts w:eastAsia="Calibri"/>
        </w:rPr>
        <w:t>olution</w:t>
      </w:r>
      <w:r w:rsidRPr="00C34048">
        <w:rPr>
          <w:rFonts w:eastAsia="Calibri"/>
        </w:rPr>
        <w:t xml:space="preserve"> that will deliver services</w:t>
      </w:r>
      <w:r w:rsidR="00202760" w:rsidRPr="00C34048">
        <w:rPr>
          <w:rFonts w:eastAsia="Calibri"/>
        </w:rPr>
        <w:t xml:space="preserve"> from another applicant’s </w:t>
      </w:r>
      <w:r w:rsidRPr="00C34048">
        <w:rPr>
          <w:rFonts w:eastAsia="Calibri"/>
        </w:rPr>
        <w:t>P</w:t>
      </w:r>
      <w:r w:rsidR="00202760" w:rsidRPr="00C34048">
        <w:rPr>
          <w:rFonts w:eastAsia="Calibri"/>
        </w:rPr>
        <w:t xml:space="preserve">roposed </w:t>
      </w:r>
      <w:r w:rsidRPr="00C34048">
        <w:rPr>
          <w:rFonts w:eastAsia="Calibri"/>
        </w:rPr>
        <w:t>S</w:t>
      </w:r>
      <w:r w:rsidR="00202760" w:rsidRPr="00C34048">
        <w:rPr>
          <w:rFonts w:eastAsia="Calibri"/>
        </w:rPr>
        <w:t xml:space="preserve">olution will be awarded 10 points. </w:t>
      </w:r>
    </w:p>
    <w:p w14:paraId="73D4776C" w14:textId="77777777" w:rsidR="00733FF0" w:rsidRDefault="00733FF0" w:rsidP="00F739AC">
      <w:pPr>
        <w:pStyle w:val="Heading2"/>
      </w:pPr>
      <w:bookmarkStart w:id="178" w:name="_Toc113442186"/>
      <w:bookmarkStart w:id="179" w:name="_Toc113357223"/>
      <w:bookmarkStart w:id="180" w:name="_Toc178085203"/>
      <w:bookmarkStart w:id="181" w:name="_Toc164844283"/>
      <w:bookmarkStart w:id="182" w:name="_Toc383003272"/>
      <w:bookmarkEnd w:id="91"/>
      <w:bookmarkEnd w:id="92"/>
      <w:bookmarkEnd w:id="177"/>
      <w:r w:rsidRPr="00FD47D5">
        <w:t>How to apply</w:t>
      </w:r>
      <w:bookmarkEnd w:id="178"/>
      <w:bookmarkEnd w:id="179"/>
      <w:bookmarkEnd w:id="180"/>
    </w:p>
    <w:p w14:paraId="73D4776D" w14:textId="77777777" w:rsidR="00105838" w:rsidRPr="00B841AA" w:rsidRDefault="00105838" w:rsidP="005C4E32">
      <w:r w:rsidRPr="00B841AA">
        <w:t>Before applying, you must read and understand these Guidelines.</w:t>
      </w:r>
    </w:p>
    <w:p w14:paraId="73D4776E" w14:textId="273EDA58" w:rsidR="00105838" w:rsidRPr="00B841AA" w:rsidRDefault="00105838" w:rsidP="005C4E32">
      <w:r w:rsidRPr="00B841AA">
        <w:t xml:space="preserve">All application documents may be found on </w:t>
      </w:r>
      <w:hyperlink r:id="rId28" w:history="1">
        <w:proofErr w:type="spellStart"/>
        <w:r w:rsidRPr="00B841AA">
          <w:rPr>
            <w:rStyle w:val="Hyperlink"/>
          </w:rPr>
          <w:t>GrantConnect</w:t>
        </w:r>
        <w:proofErr w:type="spellEnd"/>
      </w:hyperlink>
      <w:r w:rsidRPr="00B841AA">
        <w:t>. Any alterations and addenda</w:t>
      </w:r>
      <w:r w:rsidRPr="00B841AA">
        <w:rPr>
          <w:rStyle w:val="FootnoteReference"/>
        </w:rPr>
        <w:footnoteReference w:id="6"/>
      </w:r>
      <w:r w:rsidRPr="00B841AA">
        <w:t xml:space="preserve"> will be published on </w:t>
      </w:r>
      <w:proofErr w:type="spellStart"/>
      <w:r w:rsidRPr="00B841AA">
        <w:t>GrantConnect</w:t>
      </w:r>
      <w:proofErr w:type="spellEnd"/>
      <w:r w:rsidRPr="00B841AA">
        <w:t xml:space="preserve"> and by registering on the </w:t>
      </w:r>
      <w:proofErr w:type="spellStart"/>
      <w:r w:rsidRPr="00B841AA">
        <w:t>GrantConnect</w:t>
      </w:r>
      <w:proofErr w:type="spellEnd"/>
      <w:r w:rsidRPr="00B841AA">
        <w:t xml:space="preserve"> website, you will be automatically notified o</w:t>
      </w:r>
      <w:r w:rsidR="00A37DEA">
        <w:t>f</w:t>
      </w:r>
      <w:r w:rsidRPr="00B841AA">
        <w:t xml:space="preserve"> any changes. </w:t>
      </w:r>
      <w:proofErr w:type="spellStart"/>
      <w:r w:rsidRPr="00B841AA">
        <w:t>GrantConnect</w:t>
      </w:r>
      <w:proofErr w:type="spellEnd"/>
      <w:r w:rsidRPr="00B841AA">
        <w:t xml:space="preserve"> is the authoritative source for grants information.</w:t>
      </w:r>
    </w:p>
    <w:p w14:paraId="73D47770" w14:textId="4DABED1F" w:rsidR="00105838" w:rsidRPr="00B841AA" w:rsidRDefault="00105838" w:rsidP="00B0575A">
      <w:pPr>
        <w:keepNext/>
      </w:pPr>
      <w:r w:rsidRPr="00B841AA">
        <w:t>To apply you must:</w:t>
      </w:r>
    </w:p>
    <w:p w14:paraId="73D47771" w14:textId="77777777" w:rsidR="00105838" w:rsidRPr="00B841AA" w:rsidRDefault="00105838" w:rsidP="005C4E32">
      <w:pPr>
        <w:pStyle w:val="Listparagraphbullets"/>
      </w:pPr>
      <w:r w:rsidRPr="00B841AA">
        <w:t>complete the Grant Opportunity application form;</w:t>
      </w:r>
    </w:p>
    <w:p w14:paraId="73D47772" w14:textId="77777777" w:rsidR="00105838" w:rsidRPr="00B841AA" w:rsidRDefault="00105838" w:rsidP="005C4E32">
      <w:pPr>
        <w:pStyle w:val="Listparagraphbullets"/>
      </w:pPr>
      <w:r w:rsidRPr="00B841AA">
        <w:t>provide all information requested;</w:t>
      </w:r>
    </w:p>
    <w:p w14:paraId="73D47773" w14:textId="77777777" w:rsidR="00105838" w:rsidRPr="00B841AA" w:rsidRDefault="00105838" w:rsidP="005C4E32">
      <w:pPr>
        <w:pStyle w:val="Listparagraphbullets"/>
      </w:pPr>
      <w:r w:rsidRPr="00B841AA">
        <w:t>demonstrate that you meet all Eligibility Criteria;</w:t>
      </w:r>
    </w:p>
    <w:p w14:paraId="73D47774" w14:textId="77777777" w:rsidR="00105838" w:rsidRPr="00B841AA" w:rsidRDefault="00105838" w:rsidP="005C4E32">
      <w:pPr>
        <w:pStyle w:val="Listparagraphbullets"/>
      </w:pPr>
      <w:r w:rsidRPr="00B841AA">
        <w:t>provide responses to the Assessment Criteria;</w:t>
      </w:r>
    </w:p>
    <w:p w14:paraId="73D47775" w14:textId="77777777" w:rsidR="00105838" w:rsidRDefault="00105838" w:rsidP="005C4E32">
      <w:pPr>
        <w:pStyle w:val="Listparagraphbullets"/>
      </w:pPr>
      <w:r w:rsidRPr="00B841AA">
        <w:t>include all necessary attachments; and</w:t>
      </w:r>
    </w:p>
    <w:p w14:paraId="73D47776" w14:textId="77777777" w:rsidR="00105838" w:rsidRPr="00105838" w:rsidRDefault="00105838" w:rsidP="005C4E32">
      <w:pPr>
        <w:pStyle w:val="Listparagraphbullets"/>
      </w:pPr>
      <w:r w:rsidRPr="00B841AA">
        <w:t>submit your application/s before the due date.</w:t>
      </w:r>
    </w:p>
    <w:p w14:paraId="6523AC2C" w14:textId="5F720215" w:rsidR="0035264F" w:rsidRDefault="0035264F" w:rsidP="00B0575A">
      <w:pPr>
        <w:pStyle w:val="Tablefigureheading"/>
      </w:pPr>
      <w:bookmarkStart w:id="183" w:name="_Toc178085258"/>
      <w:bookmarkStart w:id="184" w:name="_Toc178085275"/>
      <w:r w:rsidRPr="00850B9D">
        <w:t xml:space="preserve">Table </w:t>
      </w:r>
      <w:fldSimple w:instr=" SEQ Table \* ARABIC ">
        <w:r w:rsidRPr="00850B9D">
          <w:t>9</w:t>
        </w:r>
      </w:fldSimple>
      <w:r w:rsidRPr="00850B9D">
        <w:t>: Expected timing for this Grant Opportunity</w:t>
      </w:r>
      <w:bookmarkEnd w:id="183"/>
      <w:bookmarkEnd w:id="184"/>
    </w:p>
    <w:tbl>
      <w:tblPr>
        <w:tblStyle w:val="DefaultTable11"/>
        <w:tblW w:w="5000" w:type="pct"/>
        <w:tblInd w:w="127" w:type="dxa"/>
        <w:tblBorders>
          <w:top w:val="single" w:sz="12" w:space="0" w:color="4BB3B5"/>
          <w:left w:val="single" w:sz="12" w:space="0" w:color="4BB3B5"/>
          <w:bottom w:val="single" w:sz="12" w:space="0" w:color="4BB3B5"/>
          <w:right w:val="single" w:sz="12" w:space="0" w:color="4BB3B5"/>
          <w:insideH w:val="single" w:sz="12" w:space="0" w:color="4BB3B5"/>
          <w:insideV w:val="single" w:sz="12" w:space="0" w:color="4BB3B5"/>
        </w:tblBorders>
        <w:tblLook w:val="0420" w:firstRow="1" w:lastRow="0" w:firstColumn="0" w:lastColumn="0" w:noHBand="0" w:noVBand="1"/>
        <w:tblDescription w:val="Table 5: Material Coverage Improvement Scoring Matrix"/>
      </w:tblPr>
      <w:tblGrid>
        <w:gridCol w:w="3827"/>
        <w:gridCol w:w="5618"/>
      </w:tblGrid>
      <w:tr w:rsidR="005A463E" w:rsidRPr="00654F9E" w14:paraId="665E3D99" w14:textId="77777777" w:rsidTr="005A463E">
        <w:trPr>
          <w:cnfStyle w:val="100000000000" w:firstRow="1" w:lastRow="0" w:firstColumn="0" w:lastColumn="0" w:oddVBand="0" w:evenVBand="0" w:oddHBand="0" w:evenHBand="0" w:firstRowFirstColumn="0" w:firstRowLastColumn="0" w:lastRowFirstColumn="0" w:lastRowLastColumn="0"/>
          <w:cantSplit/>
        </w:trPr>
        <w:tc>
          <w:tcPr>
            <w:tcW w:w="2026" w:type="pct"/>
          </w:tcPr>
          <w:p w14:paraId="236037BF" w14:textId="3B7935D5" w:rsidR="005A463E" w:rsidRPr="002254CD" w:rsidRDefault="005A463E" w:rsidP="00865D77">
            <w:pPr>
              <w:pStyle w:val="Tablerowcolumnheading"/>
              <w:rPr>
                <w:b/>
              </w:rPr>
            </w:pPr>
            <w:r>
              <w:rPr>
                <w:b/>
              </w:rPr>
              <w:t>Activity</w:t>
            </w:r>
          </w:p>
        </w:tc>
        <w:tc>
          <w:tcPr>
            <w:tcW w:w="2974" w:type="pct"/>
          </w:tcPr>
          <w:p w14:paraId="74D339D3" w14:textId="7D0A0712" w:rsidR="005A463E" w:rsidRPr="002254CD" w:rsidRDefault="005A463E" w:rsidP="00865D77">
            <w:pPr>
              <w:pStyle w:val="Tablerowcolumnheading"/>
              <w:rPr>
                <w:b/>
              </w:rPr>
            </w:pPr>
            <w:r>
              <w:rPr>
                <w:b/>
              </w:rPr>
              <w:t>Timeframe</w:t>
            </w:r>
          </w:p>
        </w:tc>
      </w:tr>
      <w:tr w:rsidR="005A463E" w:rsidRPr="00654F9E" w14:paraId="6DF2A54D" w14:textId="77777777" w:rsidTr="005A463E">
        <w:trPr>
          <w:cantSplit/>
        </w:trPr>
        <w:tc>
          <w:tcPr>
            <w:tcW w:w="2026" w:type="pct"/>
          </w:tcPr>
          <w:p w14:paraId="486E10CA" w14:textId="2CC39D04" w:rsidR="005A463E" w:rsidRPr="00495CD5" w:rsidRDefault="005A463E" w:rsidP="005A463E">
            <w:pPr>
              <w:pStyle w:val="Tabletext"/>
              <w:keepNext/>
            </w:pPr>
            <w:r w:rsidRPr="00C042BB">
              <w:rPr>
                <w:rFonts w:asciiTheme="minorHAnsi" w:hAnsiTheme="minorHAnsi" w:cstheme="minorHAnsi"/>
              </w:rPr>
              <w:t>Guidelines released and applications open</w:t>
            </w:r>
          </w:p>
        </w:tc>
        <w:tc>
          <w:tcPr>
            <w:tcW w:w="2974" w:type="pct"/>
          </w:tcPr>
          <w:p w14:paraId="720CBE6F" w14:textId="676B7971" w:rsidR="005A463E" w:rsidRDefault="005A463E" w:rsidP="005A463E">
            <w:pPr>
              <w:pStyle w:val="Tabletext"/>
              <w:keepNext/>
              <w:rPr>
                <w:rFonts w:eastAsia="Calibri"/>
              </w:rPr>
            </w:pPr>
            <w:r>
              <w:rPr>
                <w:rFonts w:asciiTheme="minorHAnsi" w:hAnsiTheme="minorHAnsi" w:cstheme="minorHAnsi"/>
              </w:rPr>
              <w:t>18 December 2023</w:t>
            </w:r>
          </w:p>
        </w:tc>
      </w:tr>
      <w:tr w:rsidR="005A463E" w:rsidRPr="00654F9E" w14:paraId="51F12BFE" w14:textId="77777777" w:rsidTr="005A463E">
        <w:trPr>
          <w:cnfStyle w:val="000000010000" w:firstRow="0" w:lastRow="0" w:firstColumn="0" w:lastColumn="0" w:oddVBand="0" w:evenVBand="0" w:oddHBand="0" w:evenHBand="1" w:firstRowFirstColumn="0" w:firstRowLastColumn="0" w:lastRowFirstColumn="0" w:lastRowLastColumn="0"/>
          <w:cantSplit/>
        </w:trPr>
        <w:tc>
          <w:tcPr>
            <w:tcW w:w="2026" w:type="pct"/>
          </w:tcPr>
          <w:p w14:paraId="4CDE595C" w14:textId="2C3195B4" w:rsidR="005A463E" w:rsidRPr="00C042BB" w:rsidRDefault="005A463E" w:rsidP="005A463E">
            <w:pPr>
              <w:pStyle w:val="Tabletext"/>
              <w:rPr>
                <w:rFonts w:asciiTheme="minorHAnsi" w:hAnsiTheme="minorHAnsi" w:cstheme="minorHAnsi"/>
              </w:rPr>
            </w:pPr>
            <w:r w:rsidRPr="00C042BB">
              <w:rPr>
                <w:rFonts w:asciiTheme="minorHAnsi" w:hAnsiTheme="minorHAnsi" w:cstheme="minorHAnsi"/>
              </w:rPr>
              <w:t>Applicant registration and pre-application documentation for applicants</w:t>
            </w:r>
            <w:r>
              <w:rPr>
                <w:rFonts w:asciiTheme="minorHAnsi" w:hAnsiTheme="minorHAnsi" w:cstheme="minorHAnsi"/>
              </w:rPr>
              <w:t xml:space="preserve"> intending to submit proposals under the Program</w:t>
            </w:r>
          </w:p>
        </w:tc>
        <w:tc>
          <w:tcPr>
            <w:tcW w:w="2974" w:type="pct"/>
          </w:tcPr>
          <w:p w14:paraId="0916FCE9" w14:textId="0548D97C" w:rsidR="005A463E" w:rsidRDefault="005A463E" w:rsidP="005A463E">
            <w:pPr>
              <w:pStyle w:val="Tabletext"/>
              <w:keepNext/>
              <w:rPr>
                <w:rFonts w:asciiTheme="minorHAnsi" w:hAnsiTheme="minorHAnsi" w:cstheme="minorHAnsi"/>
              </w:rPr>
            </w:pPr>
            <w:r w:rsidRPr="00ED072E">
              <w:rPr>
                <w:rFonts w:asciiTheme="minorHAnsi" w:hAnsiTheme="minorHAnsi" w:cstheme="minorHAnsi"/>
              </w:rPr>
              <w:t>17</w:t>
            </w:r>
            <w:r>
              <w:rPr>
                <w:rFonts w:asciiTheme="minorHAnsi" w:hAnsiTheme="minorHAnsi" w:cstheme="minorHAnsi"/>
              </w:rPr>
              <w:t>:</w:t>
            </w:r>
            <w:r w:rsidRPr="00ED072E">
              <w:rPr>
                <w:rFonts w:asciiTheme="minorHAnsi" w:hAnsiTheme="minorHAnsi" w:cstheme="minorHAnsi"/>
              </w:rPr>
              <w:t xml:space="preserve">00 </w:t>
            </w:r>
            <w:proofErr w:type="spellStart"/>
            <w:r w:rsidRPr="00ED072E">
              <w:rPr>
                <w:rFonts w:asciiTheme="minorHAnsi" w:hAnsiTheme="minorHAnsi" w:cstheme="minorHAnsi"/>
              </w:rPr>
              <w:t>AE</w:t>
            </w:r>
            <w:r>
              <w:rPr>
                <w:rFonts w:asciiTheme="minorHAnsi" w:hAnsiTheme="minorHAnsi" w:cstheme="minorHAnsi"/>
              </w:rPr>
              <w:t>D</w:t>
            </w:r>
            <w:r w:rsidRPr="00ED072E">
              <w:rPr>
                <w:rFonts w:asciiTheme="minorHAnsi" w:hAnsiTheme="minorHAnsi" w:cstheme="minorHAnsi"/>
              </w:rPr>
              <w:t>T</w:t>
            </w:r>
            <w:proofErr w:type="spellEnd"/>
            <w:r>
              <w:rPr>
                <w:rFonts w:asciiTheme="minorHAnsi" w:hAnsiTheme="minorHAnsi" w:cstheme="minorHAnsi"/>
              </w:rPr>
              <w:t>,</w:t>
            </w:r>
            <w:r w:rsidRPr="00ED072E">
              <w:rPr>
                <w:rFonts w:asciiTheme="minorHAnsi" w:hAnsiTheme="minorHAnsi" w:cstheme="minorHAnsi"/>
              </w:rPr>
              <w:t xml:space="preserve"> </w:t>
            </w:r>
            <w:r>
              <w:rPr>
                <w:rFonts w:asciiTheme="minorHAnsi" w:hAnsiTheme="minorHAnsi" w:cstheme="minorHAnsi"/>
              </w:rPr>
              <w:t>15 January 2024 (4 </w:t>
            </w:r>
            <w:r w:rsidRPr="00C042BB">
              <w:rPr>
                <w:rFonts w:asciiTheme="minorHAnsi" w:hAnsiTheme="minorHAnsi" w:cstheme="minorHAnsi"/>
              </w:rPr>
              <w:t>weeks</w:t>
            </w:r>
            <w:r>
              <w:rPr>
                <w:rFonts w:asciiTheme="minorHAnsi" w:hAnsiTheme="minorHAnsi" w:cstheme="minorHAnsi"/>
              </w:rPr>
              <w:t> </w:t>
            </w:r>
            <w:r w:rsidRPr="00C042BB">
              <w:rPr>
                <w:rFonts w:asciiTheme="minorHAnsi" w:hAnsiTheme="minorHAnsi" w:cstheme="minorHAnsi"/>
              </w:rPr>
              <w:t>afte</w:t>
            </w:r>
            <w:r>
              <w:rPr>
                <w:rFonts w:asciiTheme="minorHAnsi" w:hAnsiTheme="minorHAnsi" w:cstheme="minorHAnsi"/>
              </w:rPr>
              <w:t>r </w:t>
            </w:r>
            <w:r w:rsidRPr="00C042BB">
              <w:rPr>
                <w:rFonts w:asciiTheme="minorHAnsi" w:hAnsiTheme="minorHAnsi" w:cstheme="minorHAnsi"/>
              </w:rPr>
              <w:t>opening)</w:t>
            </w:r>
          </w:p>
        </w:tc>
      </w:tr>
      <w:tr w:rsidR="005A463E" w:rsidRPr="00654F9E" w14:paraId="59C2F5E5" w14:textId="77777777" w:rsidTr="005A463E">
        <w:trPr>
          <w:cantSplit/>
        </w:trPr>
        <w:tc>
          <w:tcPr>
            <w:tcW w:w="2026" w:type="pct"/>
          </w:tcPr>
          <w:p w14:paraId="669D405D" w14:textId="276044C2" w:rsidR="005A463E" w:rsidRPr="00C042BB" w:rsidRDefault="005A463E" w:rsidP="005A463E">
            <w:pPr>
              <w:pStyle w:val="Tabletext"/>
              <w:rPr>
                <w:rFonts w:asciiTheme="minorHAnsi" w:hAnsiTheme="minorHAnsi" w:cstheme="minorHAnsi"/>
              </w:rPr>
            </w:pPr>
            <w:r w:rsidRPr="00C042BB">
              <w:rPr>
                <w:rFonts w:asciiTheme="minorHAnsi" w:hAnsiTheme="minorHAnsi" w:cstheme="minorHAnsi"/>
              </w:rPr>
              <w:t>Submit initial proposal for</w:t>
            </w:r>
            <w:r>
              <w:rPr>
                <w:rFonts w:asciiTheme="minorHAnsi" w:hAnsiTheme="minorHAnsi" w:cstheme="minorHAnsi"/>
              </w:rPr>
              <w:t xml:space="preserve"> Proposed </w:t>
            </w:r>
            <w:r w:rsidRPr="009257F3">
              <w:rPr>
                <w:rFonts w:asciiTheme="minorHAnsi" w:hAnsiTheme="minorHAnsi" w:cstheme="minorHAnsi"/>
              </w:rPr>
              <w:t>S</w:t>
            </w:r>
            <w:r w:rsidRPr="00C042BB">
              <w:rPr>
                <w:rFonts w:asciiTheme="minorHAnsi" w:hAnsiTheme="minorHAnsi" w:cstheme="minorHAnsi"/>
              </w:rPr>
              <w:t>olutions</w:t>
            </w:r>
          </w:p>
        </w:tc>
        <w:tc>
          <w:tcPr>
            <w:tcW w:w="2974" w:type="pct"/>
          </w:tcPr>
          <w:p w14:paraId="39BB1936" w14:textId="333A95E7" w:rsidR="005A463E" w:rsidRPr="00ED072E" w:rsidRDefault="005A463E" w:rsidP="005A463E">
            <w:pPr>
              <w:pStyle w:val="Tabletext"/>
              <w:rPr>
                <w:rFonts w:asciiTheme="minorHAnsi" w:hAnsiTheme="minorHAnsi" w:cstheme="minorHAnsi"/>
              </w:rPr>
            </w:pPr>
            <w:r w:rsidRPr="00ED072E">
              <w:rPr>
                <w:rFonts w:asciiTheme="minorHAnsi" w:hAnsiTheme="minorHAnsi" w:cstheme="minorHAnsi"/>
              </w:rPr>
              <w:t>17</w:t>
            </w:r>
            <w:r>
              <w:rPr>
                <w:rFonts w:asciiTheme="minorHAnsi" w:hAnsiTheme="minorHAnsi" w:cstheme="minorHAnsi"/>
              </w:rPr>
              <w:t>:</w:t>
            </w:r>
            <w:r w:rsidRPr="00ED072E">
              <w:rPr>
                <w:rFonts w:asciiTheme="minorHAnsi" w:hAnsiTheme="minorHAnsi" w:cstheme="minorHAnsi"/>
              </w:rPr>
              <w:t xml:space="preserve">00 </w:t>
            </w:r>
            <w:proofErr w:type="spellStart"/>
            <w:r w:rsidRPr="00ED072E">
              <w:rPr>
                <w:rFonts w:asciiTheme="minorHAnsi" w:hAnsiTheme="minorHAnsi" w:cstheme="minorHAnsi"/>
              </w:rPr>
              <w:t>AE</w:t>
            </w:r>
            <w:r>
              <w:rPr>
                <w:rFonts w:asciiTheme="minorHAnsi" w:hAnsiTheme="minorHAnsi" w:cstheme="minorHAnsi"/>
              </w:rPr>
              <w:t>D</w:t>
            </w:r>
            <w:r w:rsidRPr="00ED072E">
              <w:rPr>
                <w:rFonts w:asciiTheme="minorHAnsi" w:hAnsiTheme="minorHAnsi" w:cstheme="minorHAnsi"/>
              </w:rPr>
              <w:t>T</w:t>
            </w:r>
            <w:proofErr w:type="spellEnd"/>
            <w:r>
              <w:rPr>
                <w:rFonts w:asciiTheme="minorHAnsi" w:hAnsiTheme="minorHAnsi" w:cstheme="minorHAnsi"/>
              </w:rPr>
              <w:t>,</w:t>
            </w:r>
            <w:r w:rsidRPr="00ED072E">
              <w:rPr>
                <w:rFonts w:asciiTheme="minorHAnsi" w:hAnsiTheme="minorHAnsi" w:cstheme="minorHAnsi"/>
              </w:rPr>
              <w:t xml:space="preserve"> </w:t>
            </w:r>
            <w:r>
              <w:rPr>
                <w:rFonts w:asciiTheme="minorHAnsi" w:hAnsiTheme="minorHAnsi" w:cstheme="minorHAnsi"/>
              </w:rPr>
              <w:t xml:space="preserve">29 January </w:t>
            </w:r>
            <w:r w:rsidRPr="00C042BB">
              <w:rPr>
                <w:rFonts w:asciiTheme="minorHAnsi" w:hAnsiTheme="minorHAnsi" w:cstheme="minorHAnsi"/>
              </w:rPr>
              <w:t>202</w:t>
            </w:r>
            <w:r>
              <w:rPr>
                <w:rFonts w:asciiTheme="minorHAnsi" w:hAnsiTheme="minorHAnsi" w:cstheme="minorHAnsi"/>
              </w:rPr>
              <w:t>4</w:t>
            </w:r>
            <w:r w:rsidRPr="00C042BB">
              <w:rPr>
                <w:rFonts w:asciiTheme="minorHAnsi" w:hAnsiTheme="minorHAnsi" w:cstheme="minorHAnsi"/>
              </w:rPr>
              <w:t xml:space="preserve"> (</w:t>
            </w:r>
            <w:r>
              <w:rPr>
                <w:rFonts w:asciiTheme="minorHAnsi" w:hAnsiTheme="minorHAnsi" w:cstheme="minorHAnsi"/>
              </w:rPr>
              <w:t>6 </w:t>
            </w:r>
            <w:r w:rsidRPr="00C042BB">
              <w:rPr>
                <w:rFonts w:asciiTheme="minorHAnsi" w:hAnsiTheme="minorHAnsi" w:cstheme="minorHAnsi"/>
              </w:rPr>
              <w:t>weeks</w:t>
            </w:r>
            <w:r>
              <w:rPr>
                <w:rFonts w:asciiTheme="minorHAnsi" w:hAnsiTheme="minorHAnsi" w:cstheme="minorHAnsi"/>
              </w:rPr>
              <w:t> </w:t>
            </w:r>
            <w:r w:rsidRPr="00C042BB">
              <w:rPr>
                <w:rFonts w:asciiTheme="minorHAnsi" w:hAnsiTheme="minorHAnsi" w:cstheme="minorHAnsi"/>
              </w:rPr>
              <w:t>after</w:t>
            </w:r>
            <w:r>
              <w:rPr>
                <w:rFonts w:asciiTheme="minorHAnsi" w:hAnsiTheme="minorHAnsi" w:cstheme="minorHAnsi"/>
              </w:rPr>
              <w:t> </w:t>
            </w:r>
            <w:r w:rsidRPr="00C042BB">
              <w:rPr>
                <w:rFonts w:asciiTheme="minorHAnsi" w:hAnsiTheme="minorHAnsi" w:cstheme="minorHAnsi"/>
              </w:rPr>
              <w:t>opening)</w:t>
            </w:r>
          </w:p>
        </w:tc>
      </w:tr>
      <w:tr w:rsidR="005A463E" w:rsidRPr="00654F9E" w14:paraId="10E58800" w14:textId="77777777" w:rsidTr="005A463E">
        <w:trPr>
          <w:cnfStyle w:val="000000010000" w:firstRow="0" w:lastRow="0" w:firstColumn="0" w:lastColumn="0" w:oddVBand="0" w:evenVBand="0" w:oddHBand="0" w:evenHBand="1" w:firstRowFirstColumn="0" w:firstRowLastColumn="0" w:lastRowFirstColumn="0" w:lastRowLastColumn="0"/>
          <w:cantSplit/>
        </w:trPr>
        <w:tc>
          <w:tcPr>
            <w:tcW w:w="2026" w:type="pct"/>
          </w:tcPr>
          <w:p w14:paraId="47E518FF" w14:textId="509F2AAF" w:rsidR="005A463E" w:rsidRPr="00C042BB" w:rsidRDefault="005A463E" w:rsidP="005A463E">
            <w:pPr>
              <w:pStyle w:val="Tabletext"/>
              <w:rPr>
                <w:rFonts w:asciiTheme="minorHAnsi" w:hAnsiTheme="minorHAnsi" w:cstheme="minorHAnsi"/>
              </w:rPr>
            </w:pPr>
            <w:r w:rsidRPr="00C042BB">
              <w:rPr>
                <w:rFonts w:asciiTheme="minorHAnsi" w:hAnsiTheme="minorHAnsi" w:cstheme="minorHAnsi"/>
              </w:rPr>
              <w:t>Applications close</w:t>
            </w:r>
          </w:p>
        </w:tc>
        <w:tc>
          <w:tcPr>
            <w:tcW w:w="2974" w:type="pct"/>
          </w:tcPr>
          <w:p w14:paraId="3AFCD789" w14:textId="05356EBE" w:rsidR="005A463E" w:rsidRPr="00ED072E" w:rsidRDefault="005A463E" w:rsidP="005A463E">
            <w:pPr>
              <w:pStyle w:val="Tabletext"/>
              <w:rPr>
                <w:rFonts w:asciiTheme="minorHAnsi" w:hAnsiTheme="minorHAnsi" w:cstheme="minorHAnsi"/>
              </w:rPr>
            </w:pPr>
            <w:r w:rsidRPr="00ED072E">
              <w:rPr>
                <w:rFonts w:asciiTheme="minorHAnsi" w:hAnsiTheme="minorHAnsi" w:cstheme="minorHAnsi"/>
              </w:rPr>
              <w:t>17</w:t>
            </w:r>
            <w:r>
              <w:rPr>
                <w:rFonts w:asciiTheme="minorHAnsi" w:hAnsiTheme="minorHAnsi" w:cstheme="minorHAnsi"/>
              </w:rPr>
              <w:t>:</w:t>
            </w:r>
            <w:r w:rsidRPr="00ED072E">
              <w:rPr>
                <w:rFonts w:asciiTheme="minorHAnsi" w:hAnsiTheme="minorHAnsi" w:cstheme="minorHAnsi"/>
              </w:rPr>
              <w:t xml:space="preserve">00 </w:t>
            </w:r>
            <w:proofErr w:type="spellStart"/>
            <w:r w:rsidRPr="00ED072E">
              <w:rPr>
                <w:rFonts w:asciiTheme="minorHAnsi" w:hAnsiTheme="minorHAnsi" w:cstheme="minorHAnsi"/>
              </w:rPr>
              <w:t>AE</w:t>
            </w:r>
            <w:r>
              <w:rPr>
                <w:rFonts w:asciiTheme="minorHAnsi" w:hAnsiTheme="minorHAnsi" w:cstheme="minorHAnsi"/>
              </w:rPr>
              <w:t>D</w:t>
            </w:r>
            <w:r w:rsidRPr="00ED072E">
              <w:rPr>
                <w:rFonts w:asciiTheme="minorHAnsi" w:hAnsiTheme="minorHAnsi" w:cstheme="minorHAnsi"/>
              </w:rPr>
              <w:t>T</w:t>
            </w:r>
            <w:proofErr w:type="spellEnd"/>
            <w:r>
              <w:rPr>
                <w:rFonts w:asciiTheme="minorHAnsi" w:hAnsiTheme="minorHAnsi" w:cstheme="minorHAnsi"/>
              </w:rPr>
              <w:t xml:space="preserve">, 11 March </w:t>
            </w:r>
            <w:r w:rsidRPr="00C042BB">
              <w:rPr>
                <w:rFonts w:asciiTheme="minorHAnsi" w:hAnsiTheme="minorHAnsi" w:cstheme="minorHAnsi"/>
              </w:rPr>
              <w:t>202</w:t>
            </w:r>
            <w:r>
              <w:rPr>
                <w:rFonts w:asciiTheme="minorHAnsi" w:hAnsiTheme="minorHAnsi" w:cstheme="minorHAnsi"/>
              </w:rPr>
              <w:t>4 (12 </w:t>
            </w:r>
            <w:r w:rsidRPr="00C042BB">
              <w:rPr>
                <w:rFonts w:asciiTheme="minorHAnsi" w:hAnsiTheme="minorHAnsi" w:cstheme="minorHAnsi"/>
              </w:rPr>
              <w:t>weeks</w:t>
            </w:r>
            <w:r>
              <w:rPr>
                <w:rFonts w:asciiTheme="minorHAnsi" w:hAnsiTheme="minorHAnsi" w:cstheme="minorHAnsi"/>
              </w:rPr>
              <w:t> </w:t>
            </w:r>
            <w:r w:rsidRPr="00C042BB">
              <w:rPr>
                <w:rFonts w:asciiTheme="minorHAnsi" w:hAnsiTheme="minorHAnsi" w:cstheme="minorHAnsi"/>
              </w:rPr>
              <w:t>after</w:t>
            </w:r>
            <w:r>
              <w:rPr>
                <w:rFonts w:asciiTheme="minorHAnsi" w:hAnsiTheme="minorHAnsi" w:cstheme="minorHAnsi"/>
              </w:rPr>
              <w:t> </w:t>
            </w:r>
            <w:r w:rsidRPr="00C042BB">
              <w:rPr>
                <w:rFonts w:asciiTheme="minorHAnsi" w:hAnsiTheme="minorHAnsi" w:cstheme="minorHAnsi"/>
              </w:rPr>
              <w:t>opening)</w:t>
            </w:r>
          </w:p>
        </w:tc>
      </w:tr>
      <w:tr w:rsidR="005A463E" w:rsidRPr="00654F9E" w14:paraId="57CCA067" w14:textId="77777777" w:rsidTr="005A463E">
        <w:trPr>
          <w:cantSplit/>
        </w:trPr>
        <w:tc>
          <w:tcPr>
            <w:tcW w:w="2026" w:type="pct"/>
          </w:tcPr>
          <w:p w14:paraId="54129B48" w14:textId="60328401" w:rsidR="005A463E" w:rsidRPr="00C042BB" w:rsidRDefault="005A463E" w:rsidP="005A463E">
            <w:pPr>
              <w:pStyle w:val="Tabletext"/>
              <w:rPr>
                <w:rFonts w:asciiTheme="minorHAnsi" w:hAnsiTheme="minorHAnsi" w:cstheme="minorHAnsi"/>
              </w:rPr>
            </w:pPr>
            <w:r w:rsidRPr="00C042BB">
              <w:rPr>
                <w:rFonts w:asciiTheme="minorHAnsi" w:hAnsiTheme="minorHAnsi" w:cstheme="minorHAnsi"/>
              </w:rPr>
              <w:t>Announcement of Successful Applications</w:t>
            </w:r>
          </w:p>
        </w:tc>
        <w:tc>
          <w:tcPr>
            <w:tcW w:w="2974" w:type="pct"/>
          </w:tcPr>
          <w:p w14:paraId="68DBEAD3" w14:textId="0CFF0C7C" w:rsidR="005A463E" w:rsidRPr="00ED072E" w:rsidRDefault="005A463E" w:rsidP="005A463E">
            <w:pPr>
              <w:pStyle w:val="Tabletext"/>
              <w:rPr>
                <w:rFonts w:asciiTheme="minorHAnsi" w:hAnsiTheme="minorHAnsi" w:cstheme="minorHAnsi"/>
              </w:rPr>
            </w:pPr>
            <w:r w:rsidRPr="00C042BB">
              <w:rPr>
                <w:rFonts w:asciiTheme="minorHAnsi" w:hAnsiTheme="minorHAnsi" w:cstheme="minorHAnsi"/>
              </w:rPr>
              <w:t>To be advised</w:t>
            </w:r>
          </w:p>
        </w:tc>
      </w:tr>
      <w:tr w:rsidR="005A463E" w:rsidRPr="00654F9E" w14:paraId="717EE6D4" w14:textId="77777777" w:rsidTr="005A463E">
        <w:trPr>
          <w:cnfStyle w:val="000000010000" w:firstRow="0" w:lastRow="0" w:firstColumn="0" w:lastColumn="0" w:oddVBand="0" w:evenVBand="0" w:oddHBand="0" w:evenHBand="1" w:firstRowFirstColumn="0" w:firstRowLastColumn="0" w:lastRowFirstColumn="0" w:lastRowLastColumn="0"/>
          <w:cantSplit/>
        </w:trPr>
        <w:tc>
          <w:tcPr>
            <w:tcW w:w="2026" w:type="pct"/>
          </w:tcPr>
          <w:p w14:paraId="29622250" w14:textId="2C6A535F" w:rsidR="005A463E" w:rsidRPr="00C042BB" w:rsidRDefault="005A463E" w:rsidP="005A463E">
            <w:pPr>
              <w:pStyle w:val="Tabletext"/>
              <w:rPr>
                <w:rFonts w:asciiTheme="minorHAnsi" w:hAnsiTheme="minorHAnsi" w:cstheme="minorHAnsi"/>
              </w:rPr>
            </w:pPr>
            <w:r w:rsidRPr="00C042BB">
              <w:rPr>
                <w:rFonts w:asciiTheme="minorHAnsi" w:hAnsiTheme="minorHAnsi" w:cstheme="minorHAnsi"/>
              </w:rPr>
              <w:t>Commencement date of Grant Activity</w:t>
            </w:r>
          </w:p>
        </w:tc>
        <w:tc>
          <w:tcPr>
            <w:tcW w:w="2974" w:type="pct"/>
          </w:tcPr>
          <w:p w14:paraId="34CB2CB5" w14:textId="060D1CD6" w:rsidR="005A463E" w:rsidRPr="00C042BB" w:rsidRDefault="005A463E" w:rsidP="005A463E">
            <w:pPr>
              <w:pStyle w:val="Tabletext"/>
              <w:rPr>
                <w:rFonts w:asciiTheme="minorHAnsi" w:hAnsiTheme="minorHAnsi" w:cstheme="minorHAnsi"/>
              </w:rPr>
            </w:pPr>
            <w:r w:rsidRPr="00C042BB">
              <w:rPr>
                <w:rFonts w:asciiTheme="minorHAnsi" w:hAnsiTheme="minorHAnsi" w:cstheme="minorHAnsi"/>
              </w:rPr>
              <w:t>On Execution of Grant Agreement</w:t>
            </w:r>
          </w:p>
        </w:tc>
      </w:tr>
      <w:tr w:rsidR="005A463E" w:rsidRPr="00654F9E" w14:paraId="00802BC0" w14:textId="77777777" w:rsidTr="005A463E">
        <w:trPr>
          <w:cantSplit/>
        </w:trPr>
        <w:tc>
          <w:tcPr>
            <w:tcW w:w="2026" w:type="pct"/>
          </w:tcPr>
          <w:p w14:paraId="7E2BC65B" w14:textId="501B16BA" w:rsidR="005A463E" w:rsidRPr="00C042BB" w:rsidRDefault="005A463E" w:rsidP="005A463E">
            <w:pPr>
              <w:pStyle w:val="Tabletext"/>
              <w:rPr>
                <w:rFonts w:asciiTheme="minorHAnsi" w:hAnsiTheme="minorHAnsi" w:cstheme="minorHAnsi"/>
              </w:rPr>
            </w:pPr>
            <w:r w:rsidRPr="00C042BB">
              <w:rPr>
                <w:rFonts w:asciiTheme="minorHAnsi" w:hAnsiTheme="minorHAnsi" w:cstheme="minorHAnsi"/>
              </w:rPr>
              <w:t>End date of Grant Activity</w:t>
            </w:r>
          </w:p>
        </w:tc>
        <w:tc>
          <w:tcPr>
            <w:tcW w:w="2974" w:type="pct"/>
          </w:tcPr>
          <w:p w14:paraId="70657D2D" w14:textId="3A43BD55" w:rsidR="005A463E" w:rsidRPr="00C042BB" w:rsidRDefault="005A463E" w:rsidP="005A463E">
            <w:pPr>
              <w:pStyle w:val="Tabletext"/>
              <w:rPr>
                <w:rFonts w:asciiTheme="minorHAnsi" w:hAnsiTheme="minorHAnsi" w:cstheme="minorHAnsi"/>
              </w:rPr>
            </w:pPr>
            <w:r>
              <w:rPr>
                <w:rFonts w:asciiTheme="minorHAnsi" w:hAnsiTheme="minorHAnsi" w:cstheme="minorHAnsi"/>
              </w:rPr>
              <w:t>As specified in the respective Grant Agreement</w:t>
            </w:r>
          </w:p>
        </w:tc>
      </w:tr>
      <w:tr w:rsidR="005A463E" w:rsidRPr="00654F9E" w14:paraId="28CB45BE" w14:textId="77777777" w:rsidTr="005A463E">
        <w:trPr>
          <w:cnfStyle w:val="000000010000" w:firstRow="0" w:lastRow="0" w:firstColumn="0" w:lastColumn="0" w:oddVBand="0" w:evenVBand="0" w:oddHBand="0" w:evenHBand="1" w:firstRowFirstColumn="0" w:firstRowLastColumn="0" w:lastRowFirstColumn="0" w:lastRowLastColumn="0"/>
          <w:cantSplit/>
        </w:trPr>
        <w:tc>
          <w:tcPr>
            <w:tcW w:w="2026" w:type="pct"/>
          </w:tcPr>
          <w:p w14:paraId="64F6E1F0" w14:textId="193F56AE" w:rsidR="005A463E" w:rsidRPr="00C042BB" w:rsidRDefault="005A463E" w:rsidP="005A463E">
            <w:pPr>
              <w:pStyle w:val="Tabletext"/>
              <w:rPr>
                <w:rFonts w:asciiTheme="minorHAnsi" w:hAnsiTheme="minorHAnsi" w:cstheme="minorHAnsi"/>
              </w:rPr>
            </w:pPr>
            <w:r w:rsidRPr="00C042BB">
              <w:rPr>
                <w:rFonts w:asciiTheme="minorHAnsi" w:hAnsiTheme="minorHAnsi" w:cstheme="minorHAnsi"/>
              </w:rPr>
              <w:t>End date of Operational Period</w:t>
            </w:r>
          </w:p>
        </w:tc>
        <w:tc>
          <w:tcPr>
            <w:tcW w:w="2974" w:type="pct"/>
          </w:tcPr>
          <w:p w14:paraId="6E46AF98" w14:textId="2DECFDB8" w:rsidR="005A463E" w:rsidRDefault="005A463E" w:rsidP="005A463E">
            <w:pPr>
              <w:pStyle w:val="Tabletext"/>
              <w:rPr>
                <w:rFonts w:asciiTheme="minorHAnsi" w:hAnsiTheme="minorHAnsi" w:cstheme="minorHAnsi"/>
              </w:rPr>
            </w:pPr>
            <w:r w:rsidRPr="00C042BB">
              <w:rPr>
                <w:rFonts w:asciiTheme="minorHAnsi" w:hAnsiTheme="minorHAnsi" w:cstheme="minorHAnsi"/>
              </w:rPr>
              <w:t>As defined at section 3.</w:t>
            </w:r>
            <w:r>
              <w:rPr>
                <w:rFonts w:asciiTheme="minorHAnsi" w:hAnsiTheme="minorHAnsi" w:cstheme="minorHAnsi"/>
              </w:rPr>
              <w:t>5.</w:t>
            </w:r>
            <w:r w:rsidRPr="00C042BB">
              <w:rPr>
                <w:rFonts w:asciiTheme="minorHAnsi" w:hAnsiTheme="minorHAnsi" w:cstheme="minorHAnsi"/>
              </w:rPr>
              <w:t>2 of these Guidelines</w:t>
            </w:r>
            <w:r>
              <w:rPr>
                <w:rFonts w:asciiTheme="minorHAnsi" w:hAnsiTheme="minorHAnsi" w:cstheme="minorHAnsi"/>
              </w:rPr>
              <w:t xml:space="preserve"> and as specified in the respective Grant Agreement</w:t>
            </w:r>
          </w:p>
        </w:tc>
      </w:tr>
    </w:tbl>
    <w:p w14:paraId="73D47793" w14:textId="77777777" w:rsidR="00733FF0" w:rsidRPr="00852C85" w:rsidRDefault="00733FF0" w:rsidP="005C4E32">
      <w:pPr>
        <w:pStyle w:val="Heading3"/>
        <w:spacing w:before="360"/>
        <w:ind w:left="1077" w:hanging="1077"/>
      </w:pPr>
      <w:bookmarkStart w:id="185" w:name="_Ref110594605"/>
      <w:bookmarkStart w:id="186" w:name="_Toc113442188"/>
      <w:bookmarkStart w:id="187" w:name="_Toc113357225"/>
      <w:bookmarkStart w:id="188" w:name="_Toc178085204"/>
      <w:r w:rsidRPr="00852C85">
        <w:t>Applicant registration</w:t>
      </w:r>
      <w:bookmarkEnd w:id="185"/>
      <w:bookmarkEnd w:id="186"/>
      <w:bookmarkEnd w:id="187"/>
      <w:bookmarkEnd w:id="188"/>
    </w:p>
    <w:p w14:paraId="73D47794" w14:textId="71B5C2A2" w:rsidR="00733FF0" w:rsidRDefault="00733FF0" w:rsidP="005C4E32">
      <w:pPr>
        <w:pStyle w:val="Normal-Style2"/>
      </w:pPr>
      <w:bookmarkStart w:id="189" w:name="_Ref109305581"/>
      <w:r w:rsidRPr="009A4FE9">
        <w:t>Potential applicants must re</w:t>
      </w:r>
      <w:r>
        <w:t>gister their interest with the d</w:t>
      </w:r>
      <w:r w:rsidRPr="009A4FE9">
        <w:t xml:space="preserve">epartment and provide a </w:t>
      </w:r>
      <w:r w:rsidR="00DC6C5F">
        <w:t xml:space="preserve">signed </w:t>
      </w:r>
      <w:r w:rsidRPr="009A4FE9">
        <w:t>Non</w:t>
      </w:r>
      <w:r w:rsidRPr="009A4FE9">
        <w:noBreakHyphen/>
        <w:t>Disclosure Agreement prior to being granted access to the Program documentation.</w:t>
      </w:r>
      <w:bookmarkEnd w:id="189"/>
    </w:p>
    <w:p w14:paraId="73D47795" w14:textId="77777777" w:rsidR="00733FF0" w:rsidRDefault="00733FF0" w:rsidP="005C4E32">
      <w:pPr>
        <w:pStyle w:val="Heading3"/>
        <w:ind w:left="1077" w:hanging="1077"/>
      </w:pPr>
      <w:bookmarkStart w:id="190" w:name="_Ref109305688"/>
      <w:bookmarkStart w:id="191" w:name="_Toc113442189"/>
      <w:bookmarkStart w:id="192" w:name="_Toc113357226"/>
      <w:bookmarkStart w:id="193" w:name="_Toc178085205"/>
      <w:r>
        <w:lastRenderedPageBreak/>
        <w:t>Pre-</w:t>
      </w:r>
      <w:r w:rsidRPr="005767B5">
        <w:t>application</w:t>
      </w:r>
      <w:r>
        <w:t xml:space="preserve"> lodgement</w:t>
      </w:r>
      <w:bookmarkEnd w:id="190"/>
      <w:bookmarkEnd w:id="191"/>
      <w:bookmarkEnd w:id="192"/>
      <w:bookmarkEnd w:id="193"/>
    </w:p>
    <w:p w14:paraId="73D47796" w14:textId="7B9A4BD2" w:rsidR="00C320E0" w:rsidRDefault="00D82D7C" w:rsidP="005C4E32">
      <w:pPr>
        <w:pStyle w:val="Normal-Style2"/>
      </w:pPr>
      <w:bookmarkStart w:id="194" w:name="_Ref109304806"/>
      <w:r>
        <w:t xml:space="preserve">Potential applicants who intend to </w:t>
      </w:r>
      <w:r w:rsidR="00535CF0">
        <w:t>make P</w:t>
      </w:r>
      <w:r>
        <w:t>ropose</w:t>
      </w:r>
      <w:r w:rsidR="00535CF0">
        <w:t>d</w:t>
      </w:r>
      <w:r>
        <w:t xml:space="preserve"> </w:t>
      </w:r>
      <w:r w:rsidR="00535CF0">
        <w:t>S</w:t>
      </w:r>
      <w:r>
        <w:t xml:space="preserve">olutions must register their interest first </w:t>
      </w:r>
      <w:r w:rsidR="009D1C94">
        <w:t xml:space="preserve">with the department and provide a </w:t>
      </w:r>
      <w:r w:rsidR="00DC6C5F">
        <w:t xml:space="preserve">signed </w:t>
      </w:r>
      <w:r w:rsidR="009D1C94">
        <w:t xml:space="preserve">Non-Disclosure Agreement prior to being granted access to the confidential Program Documentation. </w:t>
      </w:r>
    </w:p>
    <w:p w14:paraId="73D47797" w14:textId="4652143A" w:rsidR="00733FF0" w:rsidRDefault="00733FF0" w:rsidP="005C4E32">
      <w:pPr>
        <w:pStyle w:val="Normal-Style2"/>
      </w:pPr>
      <w:r w:rsidRPr="009A4FE9">
        <w:t xml:space="preserve">Upon registering as a potential applicant, MNOs who intend to submit applications for funding, or are partnering with potential applicants, under this Program must first submit their existing </w:t>
      </w:r>
      <w:r w:rsidR="00724CE8">
        <w:t xml:space="preserve">4G and 5G </w:t>
      </w:r>
      <w:r w:rsidRPr="009A4FE9">
        <w:t>handhel</w:t>
      </w:r>
      <w:r w:rsidR="00724CE8">
        <w:t>d</w:t>
      </w:r>
      <w:r w:rsidRPr="009A4FE9">
        <w:t xml:space="preserve"> coverage information, </w:t>
      </w:r>
      <w:r w:rsidR="002A7972">
        <w:t xml:space="preserve">including </w:t>
      </w:r>
      <w:r w:rsidRPr="009A4FE9">
        <w:t xml:space="preserve">the coverage from </w:t>
      </w:r>
      <w:r w:rsidR="002A7972">
        <w:t xml:space="preserve">funded </w:t>
      </w:r>
      <w:r w:rsidRPr="009A4FE9">
        <w:t xml:space="preserve">base stations </w:t>
      </w:r>
      <w:r w:rsidR="002A7972">
        <w:t xml:space="preserve">to be delivered </w:t>
      </w:r>
      <w:r w:rsidRPr="009A4FE9">
        <w:t xml:space="preserve">under </w:t>
      </w:r>
      <w:r w:rsidR="00DC6C5F">
        <w:t xml:space="preserve">Round 1 of the </w:t>
      </w:r>
      <w:r w:rsidR="006B1571">
        <w:t xml:space="preserve">Peri-Urban Mobile Program, the </w:t>
      </w:r>
      <w:r w:rsidRPr="009A4FE9">
        <w:t>Mobile Black Spot Program</w:t>
      </w:r>
      <w:r w:rsidR="006B1571">
        <w:t xml:space="preserve"> </w:t>
      </w:r>
      <w:r w:rsidRPr="009A4FE9">
        <w:t xml:space="preserve">and </w:t>
      </w:r>
      <w:r>
        <w:t xml:space="preserve">the </w:t>
      </w:r>
      <w:r w:rsidRPr="009A4FE9">
        <w:t xml:space="preserve">Regional Connectivity Program and any base station funded under a </w:t>
      </w:r>
      <w:r w:rsidR="007D1B67">
        <w:t>s</w:t>
      </w:r>
      <w:r w:rsidRPr="009A4FE9">
        <w:t xml:space="preserve">tate or </w:t>
      </w:r>
      <w:r w:rsidR="007D1B67">
        <w:t>t</w:t>
      </w:r>
      <w:r w:rsidRPr="009A4FE9">
        <w:t>erritory program, regardless of the stage of construction.</w:t>
      </w:r>
      <w:bookmarkEnd w:id="194"/>
    </w:p>
    <w:p w14:paraId="73D47798" w14:textId="6BF3AC8B" w:rsidR="00733FF0" w:rsidRPr="00852C85" w:rsidRDefault="00733FF0" w:rsidP="005C4E32">
      <w:pPr>
        <w:pStyle w:val="Normal-Style2"/>
      </w:pPr>
      <w:r w:rsidRPr="009868E0">
        <w:t xml:space="preserve">Existing </w:t>
      </w:r>
      <w:r w:rsidR="009868E0">
        <w:t>H</w:t>
      </w:r>
      <w:r w:rsidRPr="009868E0">
        <w:t xml:space="preserve">andheld </w:t>
      </w:r>
      <w:r w:rsidR="009868E0">
        <w:t>C</w:t>
      </w:r>
      <w:r w:rsidRPr="009868E0">
        <w:t>overage</w:t>
      </w:r>
      <w:r w:rsidRPr="009A4FE9">
        <w:t xml:space="preserve"> information required at </w:t>
      </w:r>
      <w:r w:rsidRPr="00852C85">
        <w:t xml:space="preserve">section </w:t>
      </w:r>
      <w:r w:rsidR="00213926">
        <w:t xml:space="preserve">7.2.2 </w:t>
      </w:r>
      <w:r w:rsidRPr="00852C85">
        <w:t xml:space="preserve">must be submitted to the department </w:t>
      </w:r>
      <w:r w:rsidR="00007834">
        <w:t xml:space="preserve">in accordance with the timing set out </w:t>
      </w:r>
      <w:r w:rsidR="00031CC3" w:rsidRPr="00296095">
        <w:t xml:space="preserve">in </w:t>
      </w:r>
      <w:r w:rsidR="001B247F">
        <w:t xml:space="preserve">Table </w:t>
      </w:r>
      <w:r w:rsidR="0035264F">
        <w:t xml:space="preserve">9 </w:t>
      </w:r>
      <w:r w:rsidR="001B247F">
        <w:t>(Expected Timing)</w:t>
      </w:r>
      <w:r w:rsidR="00031CC3" w:rsidRPr="00296095">
        <w:t>.</w:t>
      </w:r>
      <w:r w:rsidR="00031CC3">
        <w:t xml:space="preserve"> </w:t>
      </w:r>
      <w:r w:rsidRPr="00852C85">
        <w:t>The department may, at its absolute discretion, accept mobile coverage information submitted by MNOs after this date.</w:t>
      </w:r>
    </w:p>
    <w:p w14:paraId="73D47799" w14:textId="1CEDE240" w:rsidR="00733FF0" w:rsidRPr="009A4FE9" w:rsidRDefault="00733FF0" w:rsidP="005C4E32">
      <w:pPr>
        <w:pStyle w:val="Normal-Style2"/>
      </w:pPr>
      <w:r w:rsidRPr="009A4FE9">
        <w:t xml:space="preserve">The </w:t>
      </w:r>
      <w:r w:rsidR="009868E0">
        <w:t>E</w:t>
      </w:r>
      <w:r w:rsidRPr="009A4FE9">
        <w:t xml:space="preserve">xisting </w:t>
      </w:r>
      <w:r w:rsidR="009868E0">
        <w:t>H</w:t>
      </w:r>
      <w:r w:rsidRPr="009A4FE9">
        <w:t xml:space="preserve">andheld </w:t>
      </w:r>
      <w:r w:rsidR="009868E0">
        <w:t>Co</w:t>
      </w:r>
      <w:r w:rsidRPr="009A4FE9">
        <w:t>verage information require</w:t>
      </w:r>
      <w:r>
        <w:t xml:space="preserve">d in accordance with section </w:t>
      </w:r>
      <w:r w:rsidR="00213926">
        <w:t>7.2.2</w:t>
      </w:r>
      <w:r>
        <w:t xml:space="preserve"> </w:t>
      </w:r>
      <w:r w:rsidRPr="009A4FE9">
        <w:t>must be supplied as separate layers as follows:</w:t>
      </w:r>
    </w:p>
    <w:p w14:paraId="73D4779A" w14:textId="7671D68E" w:rsidR="00733FF0" w:rsidRPr="00CB3318" w:rsidRDefault="00733FF0" w:rsidP="00B0575A">
      <w:pPr>
        <w:pStyle w:val="ListBullet"/>
      </w:pPr>
      <w:r>
        <w:t>Handheld Coverage Maps: being layer</w:t>
      </w:r>
      <w:r w:rsidR="00E4742C">
        <w:t>s</w:t>
      </w:r>
      <w:r>
        <w:t xml:space="preserve"> modelled to the </w:t>
      </w:r>
      <w:r w:rsidRPr="00B96F3C">
        <w:t>Handheld Coverage</w:t>
      </w:r>
      <w:r>
        <w:t xml:space="preserve"> levels as set out in section</w:t>
      </w:r>
      <w:r w:rsidR="00871C62">
        <w:t xml:space="preserve"> </w:t>
      </w:r>
      <w:r w:rsidR="00AA62AA">
        <w:t>4.2.3</w:t>
      </w:r>
      <w:r>
        <w:t>; and</w:t>
      </w:r>
    </w:p>
    <w:p w14:paraId="73D4779B" w14:textId="2DB5F112" w:rsidR="00733FF0" w:rsidRPr="001F1077" w:rsidRDefault="00733FF0" w:rsidP="00B0575A">
      <w:pPr>
        <w:pStyle w:val="ListBullet"/>
      </w:pPr>
      <w:r>
        <w:t>Existing Public Coverage Maps: being layer</w:t>
      </w:r>
      <w:r w:rsidR="00E4742C">
        <w:t>s</w:t>
      </w:r>
      <w:r>
        <w:t xml:space="preserve"> representing </w:t>
      </w:r>
      <w:r w:rsidRPr="00612371">
        <w:t xml:space="preserve">the predictive </w:t>
      </w:r>
      <w:r>
        <w:t xml:space="preserve">handheld </w:t>
      </w:r>
      <w:r w:rsidRPr="00612371">
        <w:t xml:space="preserve">coverage modelling standards which underpin the publicly available coverage </w:t>
      </w:r>
      <w:r w:rsidRPr="001F1077">
        <w:t>maps on the MNO’s website.</w:t>
      </w:r>
    </w:p>
    <w:p w14:paraId="73D4779C" w14:textId="77777777" w:rsidR="00733FF0" w:rsidRPr="001F1077" w:rsidRDefault="00733FF0" w:rsidP="005C4E32">
      <w:pPr>
        <w:pStyle w:val="Normal-Style2"/>
      </w:pPr>
      <w:r w:rsidRPr="001F1077">
        <w:t>For avoidance of doubt, the Existing Public Coverage Maps are requested for information purposes only. Assessment will only consider the New</w:t>
      </w:r>
      <w:r w:rsidR="0067483E">
        <w:t xml:space="preserve"> </w:t>
      </w:r>
      <w:r w:rsidRPr="001F1077">
        <w:t>Improved Handheld Coverage Maps (i.e. a “like-for-like” comparison).</w:t>
      </w:r>
    </w:p>
    <w:p w14:paraId="73D4779D" w14:textId="1C1311AC" w:rsidR="00733FF0" w:rsidRDefault="00733FF0" w:rsidP="005C4E32">
      <w:pPr>
        <w:pStyle w:val="Normal-Style2"/>
      </w:pPr>
      <w:r w:rsidRPr="00612371">
        <w:t xml:space="preserve">Pre-application information can be submitted by </w:t>
      </w:r>
      <w:r>
        <w:t xml:space="preserve">any </w:t>
      </w:r>
      <w:r w:rsidRPr="00612371">
        <w:t xml:space="preserve">of the methods outlined </w:t>
      </w:r>
      <w:r w:rsidRPr="00363576">
        <w:t xml:space="preserve">at </w:t>
      </w:r>
      <w:r w:rsidRPr="00EE3949">
        <w:t>section </w:t>
      </w:r>
      <w:r>
        <w:fldChar w:fldCharType="begin"/>
      </w:r>
      <w:r>
        <w:instrText xml:space="preserve"> REF _Ref109305461 \r \h </w:instrText>
      </w:r>
      <w:r w:rsidR="005C4E32">
        <w:instrText xml:space="preserve"> \* MERGEFORMAT </w:instrText>
      </w:r>
      <w:r>
        <w:fldChar w:fldCharType="separate"/>
      </w:r>
      <w:r w:rsidR="00711186">
        <w:t>7.4</w:t>
      </w:r>
      <w:r>
        <w:fldChar w:fldCharType="end"/>
      </w:r>
      <w:r w:rsidRPr="003E3B2C">
        <w:t>.</w:t>
      </w:r>
    </w:p>
    <w:p w14:paraId="73D4779E" w14:textId="77777777" w:rsidR="00A06BDB" w:rsidRPr="00E14AD4" w:rsidRDefault="009D1C94" w:rsidP="005C4E32">
      <w:pPr>
        <w:pStyle w:val="Heading3"/>
        <w:ind w:left="1077" w:hanging="1077"/>
      </w:pPr>
      <w:bookmarkStart w:id="195" w:name="_Toc90294838"/>
      <w:bookmarkStart w:id="196" w:name="_Toc178085206"/>
      <w:bookmarkStart w:id="197" w:name="_Ref109304844"/>
      <w:bookmarkStart w:id="198" w:name="_Ref109305461"/>
      <w:bookmarkStart w:id="199" w:name="_Toc113442190"/>
      <w:bookmarkStart w:id="200" w:name="_Toc113357227"/>
      <w:r>
        <w:t xml:space="preserve">Submit </w:t>
      </w:r>
      <w:r w:rsidR="00A06BDB">
        <w:t>initial proposals</w:t>
      </w:r>
      <w:bookmarkEnd w:id="195"/>
      <w:r>
        <w:t xml:space="preserve"> for </w:t>
      </w:r>
      <w:r w:rsidR="004057CB">
        <w:t>Proposed S</w:t>
      </w:r>
      <w:r>
        <w:t>olutions</w:t>
      </w:r>
      <w:bookmarkEnd w:id="196"/>
    </w:p>
    <w:p w14:paraId="73D4779F" w14:textId="1708CCF3" w:rsidR="00A06BDB" w:rsidRPr="009A4FE9" w:rsidRDefault="00A06BDB" w:rsidP="005C4E32">
      <w:pPr>
        <w:pStyle w:val="Normal-Style2"/>
      </w:pPr>
      <w:r w:rsidRPr="009A4FE9">
        <w:t xml:space="preserve">Registered applicants must lodge initial proposals for locations where they are interested in applying for funding under the Program to the </w:t>
      </w:r>
      <w:r w:rsidR="0059134D">
        <w:t>d</w:t>
      </w:r>
      <w:r w:rsidRPr="009A4FE9">
        <w:t xml:space="preserve">epartment by </w:t>
      </w:r>
      <w:r w:rsidR="00007834">
        <w:t xml:space="preserve">the closing date and time in Table </w:t>
      </w:r>
      <w:r w:rsidR="0035264F">
        <w:t>9</w:t>
      </w:r>
      <w:r w:rsidR="00007834">
        <w:t xml:space="preserve"> (Expected Timing)</w:t>
      </w:r>
      <w:r w:rsidRPr="009A4FE9">
        <w:t xml:space="preserve">. The </w:t>
      </w:r>
      <w:r w:rsidR="0059134D">
        <w:t>d</w:t>
      </w:r>
      <w:r w:rsidRPr="009A4FE9">
        <w:t xml:space="preserve">epartment may, at its absolute discretion, accept initial proposals submitted by MNOs </w:t>
      </w:r>
      <w:r w:rsidR="009A5DFF">
        <w:t xml:space="preserve">and </w:t>
      </w:r>
      <w:proofErr w:type="spellStart"/>
      <w:r w:rsidR="009A5DFF">
        <w:t>MNIPs</w:t>
      </w:r>
      <w:proofErr w:type="spellEnd"/>
      <w:r w:rsidR="009A5DFF">
        <w:t xml:space="preserve"> </w:t>
      </w:r>
      <w:r w:rsidRPr="009A4FE9">
        <w:t>after this date.</w:t>
      </w:r>
    </w:p>
    <w:p w14:paraId="73D477A0" w14:textId="77777777" w:rsidR="00A06BDB" w:rsidRPr="009A4FE9" w:rsidRDefault="00A06BDB" w:rsidP="005C4E32">
      <w:pPr>
        <w:pStyle w:val="Normal-Style2"/>
      </w:pPr>
      <w:r w:rsidRPr="009A4FE9">
        <w:t xml:space="preserve">The registered applicants will provide this information using the “Initial Proposals” template provided in the </w:t>
      </w:r>
      <w:r w:rsidRPr="003616E4">
        <w:rPr>
          <w:b/>
        </w:rPr>
        <w:t>Application Pack</w:t>
      </w:r>
      <w:r w:rsidRPr="009A4FE9">
        <w:t>.</w:t>
      </w:r>
    </w:p>
    <w:p w14:paraId="73D477A1" w14:textId="77777777" w:rsidR="00A06BDB" w:rsidRPr="009A4FE9" w:rsidRDefault="00A06BDB" w:rsidP="005C4E32">
      <w:pPr>
        <w:pStyle w:val="Normal-Style2"/>
      </w:pPr>
      <w:r w:rsidRPr="009A4FE9">
        <w:t xml:space="preserve">The </w:t>
      </w:r>
      <w:r w:rsidR="006438E6">
        <w:t>d</w:t>
      </w:r>
      <w:r w:rsidRPr="009A4FE9">
        <w:t>epartment will collate the lists of initial proposal locations and provide a consolidated list to all registered applicants. The consolidated list will include the following information for each initial proposal:</w:t>
      </w:r>
    </w:p>
    <w:p w14:paraId="73D477A2" w14:textId="0D5C6504" w:rsidR="00A06BDB" w:rsidRPr="005541C4" w:rsidRDefault="00A06BDB" w:rsidP="00B0575A">
      <w:pPr>
        <w:pStyle w:val="ListBullet"/>
      </w:pPr>
      <w:r>
        <w:rPr>
          <w:rFonts w:eastAsia="Calibri"/>
        </w:rPr>
        <w:t xml:space="preserve">a </w:t>
      </w:r>
      <w:r w:rsidRPr="00D8353F">
        <w:t>unique</w:t>
      </w:r>
      <w:r>
        <w:rPr>
          <w:rFonts w:eastAsia="Calibri"/>
        </w:rPr>
        <w:t xml:space="preserve"> </w:t>
      </w:r>
      <w:r w:rsidRPr="005541C4">
        <w:t>identifier;</w:t>
      </w:r>
    </w:p>
    <w:p w14:paraId="73D477A3" w14:textId="77777777" w:rsidR="00A06BDB" w:rsidRPr="005541C4" w:rsidRDefault="00A06BDB" w:rsidP="00B0575A">
      <w:pPr>
        <w:pStyle w:val="ListBullet"/>
      </w:pPr>
      <w:r w:rsidRPr="00CE7459">
        <w:t>the location;</w:t>
      </w:r>
      <w:r>
        <w:t xml:space="preserve"> </w:t>
      </w:r>
    </w:p>
    <w:p w14:paraId="73D477A4" w14:textId="77777777" w:rsidR="00A06BDB" w:rsidRPr="005541C4" w:rsidRDefault="00A06BDB" w:rsidP="00B0575A">
      <w:pPr>
        <w:pStyle w:val="ListBullet"/>
      </w:pPr>
      <w:r w:rsidRPr="005541C4">
        <w:t>type of base stations being considered (small cell / macro);</w:t>
      </w:r>
      <w:r>
        <w:t xml:space="preserve"> and</w:t>
      </w:r>
    </w:p>
    <w:p w14:paraId="73D477A5" w14:textId="77777777" w:rsidR="00A06BDB" w:rsidRPr="00E14AD4" w:rsidRDefault="00A06BDB" w:rsidP="00B0575A">
      <w:pPr>
        <w:pStyle w:val="ListBullet"/>
        <w:rPr>
          <w:rFonts w:cs="Arial"/>
        </w:rPr>
      </w:pPr>
      <w:r>
        <w:t>the proponent’s contact details.</w:t>
      </w:r>
    </w:p>
    <w:p w14:paraId="73D477A6" w14:textId="77777777" w:rsidR="0069185F" w:rsidRDefault="0069185F" w:rsidP="005C4E32">
      <w:pPr>
        <w:pStyle w:val="Normal-Style2"/>
      </w:pPr>
      <w:r>
        <w:lastRenderedPageBreak/>
        <w:t xml:space="preserve">The </w:t>
      </w:r>
      <w:r w:rsidR="009A5DFF">
        <w:t>d</w:t>
      </w:r>
      <w:r>
        <w:t xml:space="preserve">epartment will also distribute a contact list of all pre-registered applicants to facilitate discussions regardless of whether a pre-registered applicant has identified potential partnering locations. </w:t>
      </w:r>
    </w:p>
    <w:p w14:paraId="73D477A7" w14:textId="7345DB58" w:rsidR="00A06BDB" w:rsidRPr="00051D72" w:rsidRDefault="00A06BDB" w:rsidP="005C4E32">
      <w:pPr>
        <w:pStyle w:val="Normal-Style2"/>
      </w:pPr>
      <w:r w:rsidRPr="009A4FE9">
        <w:t>Applicants and other interested parties have until closing of the application period to discuss and plan co-development and co-funding opportunities at these sites prior to finalising applications.</w:t>
      </w:r>
      <w:r w:rsidR="00B94F5C">
        <w:t xml:space="preserve"> </w:t>
      </w:r>
      <w:r w:rsidR="00AA62AA">
        <w:t xml:space="preserve">The department strongly encourages applicants </w:t>
      </w:r>
      <w:r w:rsidR="00AA62AA" w:rsidRPr="00964505">
        <w:t xml:space="preserve">to consult with </w:t>
      </w:r>
      <w:r w:rsidR="00AA62AA">
        <w:t>third parties during this period including, but not limited to: s</w:t>
      </w:r>
      <w:r w:rsidR="00AA62AA" w:rsidRPr="00964505">
        <w:t xml:space="preserve">tate, </w:t>
      </w:r>
      <w:r w:rsidR="00AA62AA">
        <w:t>t</w:t>
      </w:r>
      <w:r w:rsidR="00AA62AA" w:rsidRPr="00964505">
        <w:t>erritory and local governments</w:t>
      </w:r>
      <w:r w:rsidR="00AA62AA">
        <w:t>, emergency management organisations</w:t>
      </w:r>
      <w:r w:rsidR="00AA62AA" w:rsidRPr="00964505">
        <w:t xml:space="preserve"> and local communities</w:t>
      </w:r>
      <w:r w:rsidR="00AA62AA">
        <w:t>.</w:t>
      </w:r>
    </w:p>
    <w:p w14:paraId="73D477A8" w14:textId="77777777" w:rsidR="00A06BDB" w:rsidRPr="009A4FE9" w:rsidRDefault="00A06BDB" w:rsidP="005C4E32">
      <w:pPr>
        <w:pStyle w:val="Normal-Style2"/>
      </w:pPr>
      <w:r w:rsidRPr="009A4FE9">
        <w:t xml:space="preserve">The list of locations will be treated as </w:t>
      </w:r>
      <w:r w:rsidRPr="003616E4">
        <w:rPr>
          <w:b/>
        </w:rPr>
        <w:t>Confidential Information</w:t>
      </w:r>
      <w:r w:rsidRPr="009A4FE9">
        <w:t xml:space="preserve"> by the registered applicants in accordance with section 13.</w:t>
      </w:r>
      <w:r w:rsidR="00257842">
        <w:t>5</w:t>
      </w:r>
      <w:r w:rsidRPr="009A4FE9">
        <w:t xml:space="preserve"> and the Non-Disclosure Agreement signed by each applicant. </w:t>
      </w:r>
    </w:p>
    <w:p w14:paraId="73D477A9" w14:textId="77777777" w:rsidR="00A06BDB" w:rsidRPr="00980C0E" w:rsidRDefault="00A06BDB" w:rsidP="005C4E32">
      <w:pPr>
        <w:pStyle w:val="Normal-Style2"/>
      </w:pPr>
      <w:r w:rsidRPr="00980C0E">
        <w:t>Initial proposal information can be submitted by any of the methods outlined at section 7.</w:t>
      </w:r>
      <w:r w:rsidR="009A5DFF">
        <w:t>4</w:t>
      </w:r>
      <w:r w:rsidRPr="00980C0E">
        <w:t>.</w:t>
      </w:r>
    </w:p>
    <w:p w14:paraId="73D477AA" w14:textId="77777777" w:rsidR="00733FF0" w:rsidRDefault="00733FF0" w:rsidP="005C4E32">
      <w:pPr>
        <w:pStyle w:val="Heading3"/>
        <w:ind w:left="1077" w:hanging="1077"/>
      </w:pPr>
      <w:bookmarkStart w:id="201" w:name="_Toc178085207"/>
      <w:r w:rsidRPr="005767B5">
        <w:t>Completing</w:t>
      </w:r>
      <w:r>
        <w:t xml:space="preserve"> and lodging an application</w:t>
      </w:r>
      <w:bookmarkEnd w:id="197"/>
      <w:bookmarkEnd w:id="198"/>
      <w:bookmarkEnd w:id="199"/>
      <w:bookmarkEnd w:id="200"/>
      <w:bookmarkEnd w:id="201"/>
    </w:p>
    <w:p w14:paraId="73D477AB" w14:textId="77777777" w:rsidR="00733FF0" w:rsidRDefault="00733FF0" w:rsidP="005C4E32">
      <w:pPr>
        <w:pStyle w:val="Normal-Style2"/>
      </w:pPr>
      <w:r w:rsidRPr="009A4FE9">
        <w:t>Applications for funding must be lodged using the Application Pack provided following registration.</w:t>
      </w:r>
    </w:p>
    <w:p w14:paraId="73D477AC" w14:textId="77777777" w:rsidR="00733FF0" w:rsidRPr="009A4FE9" w:rsidRDefault="00733FF0" w:rsidP="005C4E32">
      <w:pPr>
        <w:pStyle w:val="Normal-Style2"/>
      </w:pPr>
      <w:bookmarkStart w:id="202" w:name="_Ref109304863"/>
      <w:r w:rsidRPr="009A4FE9">
        <w:t xml:space="preserve">To seek funding for Proposed Solutions, applicants must complete the </w:t>
      </w:r>
      <w:r w:rsidRPr="003616E4">
        <w:rPr>
          <w:b/>
        </w:rPr>
        <w:t>Assessment Tool</w:t>
      </w:r>
      <w:r w:rsidRPr="009A4FE9">
        <w:t xml:space="preserve"> from the Application Pack to provide information for each Proposed Solution for which they are seeking funding</w:t>
      </w:r>
      <w:r w:rsidR="00C95DAF">
        <w:t>. Your application must provid</w:t>
      </w:r>
      <w:r w:rsidR="00D22079">
        <w:t>e, specifying in each case</w:t>
      </w:r>
      <w:r w:rsidRPr="009A4FE9">
        <w:t>:</w:t>
      </w:r>
      <w:bookmarkEnd w:id="202"/>
    </w:p>
    <w:p w14:paraId="73D477AD" w14:textId="77777777" w:rsidR="007A7A61" w:rsidRPr="00D8353F" w:rsidRDefault="00733FF0" w:rsidP="00B0575A">
      <w:pPr>
        <w:pStyle w:val="ListBullet"/>
      </w:pPr>
      <w:r>
        <w:rPr>
          <w:rFonts w:eastAsia="Calibri"/>
        </w:rPr>
        <w:t xml:space="preserve">the </w:t>
      </w:r>
      <w:r w:rsidRPr="00D8353F">
        <w:t>proposed site location (address and coordinates);</w:t>
      </w:r>
      <w:r w:rsidR="007A7A61" w:rsidRPr="00D8353F">
        <w:t xml:space="preserve"> </w:t>
      </w:r>
    </w:p>
    <w:p w14:paraId="73D477AE" w14:textId="66703086" w:rsidR="00733FF0" w:rsidRPr="00D8353F" w:rsidRDefault="00733FF0" w:rsidP="00B0575A">
      <w:pPr>
        <w:pStyle w:val="ListBullet"/>
      </w:pPr>
      <w:r w:rsidRPr="00D8353F">
        <w:t>the total estimated all-up Asset Capital Cost of construction and the Operational Costs (GST inclusive), including, if required, Backhaul and power;</w:t>
      </w:r>
    </w:p>
    <w:p w14:paraId="73D477AF" w14:textId="03B04942" w:rsidR="00733FF0" w:rsidRPr="00D8353F" w:rsidRDefault="00733FF0" w:rsidP="00B0575A">
      <w:pPr>
        <w:pStyle w:val="ListBullet"/>
      </w:pPr>
      <w:r w:rsidRPr="00D8353F">
        <w:t>the amount of co-contribution (GST inclusive) being provided by the applicant</w:t>
      </w:r>
      <w:r w:rsidR="00B37637">
        <w:t>/s</w:t>
      </w:r>
      <w:r w:rsidRPr="00D8353F">
        <w:t>;</w:t>
      </w:r>
    </w:p>
    <w:p w14:paraId="73D477B0" w14:textId="4A48AE14" w:rsidR="00733FF0" w:rsidRPr="00D8353F" w:rsidRDefault="00733FF0" w:rsidP="00B0575A">
      <w:pPr>
        <w:pStyle w:val="ListBullet"/>
      </w:pPr>
      <w:r w:rsidRPr="00D8353F">
        <w:t xml:space="preserve">the amount of Commonwealth co-contribution sought </w:t>
      </w:r>
      <w:r w:rsidR="003F3884">
        <w:t xml:space="preserve">(GST inclusive) </w:t>
      </w:r>
      <w:r w:rsidRPr="00D8353F">
        <w:t>under the Program</w:t>
      </w:r>
      <w:r w:rsidR="00D3278E">
        <w:t>.</w:t>
      </w:r>
      <w:r w:rsidR="00934C8B">
        <w:t xml:space="preserve"> This amount should be consistent with the up to amount specified in section 5.3.1.</w:t>
      </w:r>
      <w:r w:rsidR="00DE2163">
        <w:t xml:space="preserve"> (Commonwealth Contribution).</w:t>
      </w:r>
      <w:r w:rsidR="00934C8B">
        <w:t xml:space="preserve"> </w:t>
      </w:r>
      <w:r w:rsidR="00934C8B" w:rsidRPr="00DE2163">
        <w:rPr>
          <w:b/>
        </w:rPr>
        <w:t>It must not include the Additional Commonwealth Funding Contribution</w:t>
      </w:r>
      <w:r w:rsidR="00934C8B">
        <w:t xml:space="preserve"> (see sections 5.3.</w:t>
      </w:r>
      <w:r w:rsidR="00B37637">
        <w:t>4</w:t>
      </w:r>
      <w:r w:rsidR="00934C8B">
        <w:t>, 5.3.</w:t>
      </w:r>
      <w:r w:rsidR="00B37637">
        <w:t>5</w:t>
      </w:r>
      <w:r w:rsidR="00934C8B">
        <w:t xml:space="preserve"> and Table 1 for eligibility)</w:t>
      </w:r>
      <w:r w:rsidRPr="00D8353F">
        <w:t>;</w:t>
      </w:r>
    </w:p>
    <w:p w14:paraId="73D477B1" w14:textId="77777777" w:rsidR="00B66E1B" w:rsidRPr="00D8353F" w:rsidRDefault="00733FF0" w:rsidP="00B0575A">
      <w:pPr>
        <w:pStyle w:val="ListBullet"/>
      </w:pPr>
      <w:r w:rsidRPr="00D8353F">
        <w:t xml:space="preserve">the amount (if any) of co-contributions (GST inclusive) to be received from third parties </w:t>
      </w:r>
      <w:r w:rsidR="00C95DAF" w:rsidRPr="00D8353F">
        <w:t>including but not limited to s</w:t>
      </w:r>
      <w:r w:rsidRPr="00D8353F">
        <w:t xml:space="preserve">tate, </w:t>
      </w:r>
      <w:r w:rsidR="00C95DAF" w:rsidRPr="00D8353F">
        <w:t>t</w:t>
      </w:r>
      <w:r w:rsidRPr="00D8353F">
        <w:t>erritory or local governments, local communities, or any combination of these, and any specific requirements or conditions tied to the</w:t>
      </w:r>
      <w:r w:rsidR="00C95DAF" w:rsidRPr="00D8353F">
        <w:t xml:space="preserve"> </w:t>
      </w:r>
      <w:r w:rsidRPr="00D8353F">
        <w:t>co-contributions</w:t>
      </w:r>
      <w:r w:rsidR="00C23A0C" w:rsidRPr="00D8353F">
        <w:t xml:space="preserve">; </w:t>
      </w:r>
      <w:r w:rsidRPr="00D8353F">
        <w:t xml:space="preserve"> </w:t>
      </w:r>
    </w:p>
    <w:p w14:paraId="73D477B2" w14:textId="2F7EE16C" w:rsidR="00B66E1B" w:rsidRPr="00D8353F" w:rsidRDefault="00D22079" w:rsidP="00B0575A">
      <w:pPr>
        <w:pStyle w:val="ListBullet"/>
      </w:pPr>
      <w:r w:rsidRPr="00D8353F">
        <w:t xml:space="preserve">where any co-contributions are being received, accompanying </w:t>
      </w:r>
      <w:r w:rsidR="00C52715" w:rsidRPr="00D8353F">
        <w:t>e</w:t>
      </w:r>
      <w:r w:rsidR="00B66E1B" w:rsidRPr="00D8353F">
        <w:t>vidence from all third parties. For example, a letter of support from a suitably senior official from the relevant third party, which outlines the amount of co</w:t>
      </w:r>
      <w:r w:rsidR="00DB6260">
        <w:noBreakHyphen/>
      </w:r>
      <w:r w:rsidR="00B66E1B" w:rsidRPr="00D8353F">
        <w:t>contributions to be received and any conditions attached to the co</w:t>
      </w:r>
      <w:r w:rsidR="00DB6260">
        <w:noBreakHyphen/>
      </w:r>
      <w:r w:rsidR="00B66E1B" w:rsidRPr="00D8353F">
        <w:t>contributions. The department may ask for additional evidence of</w:t>
      </w:r>
      <w:r w:rsidR="007A7A61" w:rsidRPr="00D8353F">
        <w:t xml:space="preserve"> </w:t>
      </w:r>
      <w:r w:rsidR="00B66E1B" w:rsidRPr="00D8353F">
        <w:t>co</w:t>
      </w:r>
      <w:r w:rsidR="007A7A61" w:rsidRPr="00D8353F">
        <w:noBreakHyphen/>
      </w:r>
      <w:r w:rsidR="00B66E1B" w:rsidRPr="00D8353F">
        <w:t>contributions if it considers the evidence you provide is unsatisfactory</w:t>
      </w:r>
      <w:r w:rsidR="00AF7C91" w:rsidRPr="00D8353F">
        <w:t>;</w:t>
      </w:r>
    </w:p>
    <w:p w14:paraId="73D477B3" w14:textId="77777777" w:rsidR="00733FF0" w:rsidRPr="00D8353F" w:rsidRDefault="00733FF0" w:rsidP="00B0575A">
      <w:pPr>
        <w:pStyle w:val="ListBullet"/>
      </w:pPr>
      <w:r w:rsidRPr="00D8353F">
        <w:t xml:space="preserve">the extent to which the Proposed Solution meets the Assessment Criteria in section </w:t>
      </w:r>
      <w:r w:rsidRPr="00D8353F">
        <w:fldChar w:fldCharType="begin"/>
      </w:r>
      <w:r w:rsidRPr="00D8353F">
        <w:instrText xml:space="preserve"> REF _Ref109305520 \r \h </w:instrText>
      </w:r>
      <w:r w:rsidR="005541C4" w:rsidRPr="00D8353F">
        <w:instrText xml:space="preserve"> \* MERGEFORMAT </w:instrText>
      </w:r>
      <w:r w:rsidRPr="00D8353F">
        <w:fldChar w:fldCharType="separate"/>
      </w:r>
      <w:r w:rsidR="00711186" w:rsidRPr="00D8353F">
        <w:t>6</w:t>
      </w:r>
      <w:r w:rsidRPr="00D8353F">
        <w:fldChar w:fldCharType="end"/>
      </w:r>
      <w:r w:rsidRPr="00D8353F">
        <w:t>;</w:t>
      </w:r>
    </w:p>
    <w:p w14:paraId="73D477B4" w14:textId="77777777" w:rsidR="007E495B" w:rsidRPr="00D8353F" w:rsidRDefault="00733FF0" w:rsidP="00B0575A">
      <w:pPr>
        <w:pStyle w:val="ListBullet"/>
      </w:pPr>
      <w:r w:rsidRPr="00D8353F">
        <w:t>whether the Proposed Solution is dependent on the construction of one or more of the applicant’s other Proposed Solutions, and explaining the specific dependencies (for example between individual base stations included in the same Cluster Solution);</w:t>
      </w:r>
    </w:p>
    <w:p w14:paraId="73D477B5" w14:textId="63D51D8C" w:rsidR="00733FF0" w:rsidRPr="00D8353F" w:rsidRDefault="00733FF0" w:rsidP="00B0575A">
      <w:pPr>
        <w:pStyle w:val="ListBullet"/>
      </w:pPr>
      <w:r w:rsidRPr="00D8353F">
        <w:lastRenderedPageBreak/>
        <w:t>predictive coverage mapping data for each Proposed Solution modelled to the New</w:t>
      </w:r>
      <w:r w:rsidR="0067483E">
        <w:t xml:space="preserve"> </w:t>
      </w:r>
      <w:r w:rsidRPr="00D8353F">
        <w:t xml:space="preserve">Improved Handheld Coverage specified at section </w:t>
      </w:r>
      <w:r w:rsidR="00476D28">
        <w:t>4.2.</w:t>
      </w:r>
      <w:r w:rsidR="00E4509A">
        <w:t>3</w:t>
      </w:r>
      <w:r w:rsidRPr="00D8353F">
        <w:t>, and mapping data modelled to the level of coverage the applicant will publicly claim;</w:t>
      </w:r>
    </w:p>
    <w:p w14:paraId="73D477B6" w14:textId="6EFF3B84" w:rsidR="00733FF0" w:rsidRPr="00D8353F" w:rsidRDefault="00733FF0" w:rsidP="00B0575A">
      <w:pPr>
        <w:pStyle w:val="ListBullet"/>
      </w:pPr>
      <w:r w:rsidRPr="00D8353F">
        <w:t xml:space="preserve">written support </w:t>
      </w:r>
      <w:r w:rsidR="004E3001">
        <w:t xml:space="preserve">from </w:t>
      </w:r>
      <w:r w:rsidR="00DB6260">
        <w:t xml:space="preserve">any </w:t>
      </w:r>
      <w:r w:rsidR="004E3001">
        <w:t>consortia members</w:t>
      </w:r>
      <w:r w:rsidR="002D68C3">
        <w:t xml:space="preserve"> or other co-contributors</w:t>
      </w:r>
      <w:r w:rsidR="004E3001">
        <w:t xml:space="preserve"> </w:t>
      </w:r>
      <w:r w:rsidRPr="00D8353F">
        <w:t>(</w:t>
      </w:r>
      <w:r w:rsidR="004E3001">
        <w:t xml:space="preserve">see section </w:t>
      </w:r>
      <w:r w:rsidR="004F7FED">
        <w:t xml:space="preserve">3.3, 3.4 and </w:t>
      </w:r>
      <w:r w:rsidR="004E3001">
        <w:t>7.</w:t>
      </w:r>
      <w:r w:rsidR="00635E59">
        <w:t>6</w:t>
      </w:r>
      <w:r w:rsidRPr="00D8353F">
        <w:t>);</w:t>
      </w:r>
    </w:p>
    <w:p w14:paraId="73D477B7" w14:textId="780F83AB" w:rsidR="00703C7F" w:rsidRPr="00703C7F" w:rsidRDefault="00733FF0" w:rsidP="00B0575A">
      <w:pPr>
        <w:pStyle w:val="ListBullet"/>
        <w:rPr>
          <w:rFonts w:cstheme="minorHAnsi"/>
        </w:rPr>
      </w:pPr>
      <w:r w:rsidRPr="00D8353F">
        <w:t>the number of MNOs confirmed to provide services through the Proposed Solution, and, if more than one, confirmation of the way in which multiple MNOs will provide services (e.g. RAN</w:t>
      </w:r>
      <w:r w:rsidRPr="00A21CD2">
        <w:rPr>
          <w:rFonts w:eastAsia="Calibri"/>
        </w:rPr>
        <w:t xml:space="preserve"> sharing, </w:t>
      </w:r>
      <w:r w:rsidR="00B84A51">
        <w:rPr>
          <w:rFonts w:eastAsia="Calibri"/>
        </w:rPr>
        <w:t>roaming</w:t>
      </w:r>
      <w:r w:rsidRPr="00A21CD2">
        <w:rPr>
          <w:rFonts w:eastAsia="Calibri"/>
        </w:rPr>
        <w:t>, co-location)</w:t>
      </w:r>
      <w:bookmarkStart w:id="203" w:name="_Hlk138865784"/>
      <w:r w:rsidR="00703C7F">
        <w:rPr>
          <w:rFonts w:eastAsia="Calibri"/>
        </w:rPr>
        <w:t>; and</w:t>
      </w:r>
    </w:p>
    <w:p w14:paraId="73D477B8" w14:textId="77777777" w:rsidR="00733FF0" w:rsidRPr="00D713C9" w:rsidRDefault="00703C7F" w:rsidP="00B0575A">
      <w:pPr>
        <w:pStyle w:val="ListBullet"/>
        <w:rPr>
          <w:rFonts w:cstheme="minorHAnsi"/>
        </w:rPr>
      </w:pPr>
      <w:r>
        <w:t xml:space="preserve">any additional connectivity benefits offered by the Proposed Solution to the target area including services offering </w:t>
      </w:r>
      <w:r w:rsidRPr="00703C7F">
        <w:t>from</w:t>
      </w:r>
      <w:r w:rsidR="00685DAC">
        <w:t xml:space="preserve"> a</w:t>
      </w:r>
      <w:r w:rsidRPr="00703C7F">
        <w:t xml:space="preserve"> </w:t>
      </w:r>
      <w:r w:rsidRPr="008F6E3A">
        <w:rPr>
          <w:rFonts w:cstheme="minorHAnsi"/>
          <w:b/>
        </w:rPr>
        <w:t>Non-National Mobile Network Operator</w:t>
      </w:r>
      <w:r w:rsidR="00507038">
        <w:rPr>
          <w:rFonts w:cstheme="minorHAnsi"/>
        </w:rPr>
        <w:t xml:space="preserve"> (if relevant)</w:t>
      </w:r>
      <w:r w:rsidRPr="00703C7F">
        <w:rPr>
          <w:rFonts w:cstheme="minorHAnsi"/>
        </w:rPr>
        <w:t>.</w:t>
      </w:r>
      <w:r>
        <w:t xml:space="preserve"> </w:t>
      </w:r>
    </w:p>
    <w:bookmarkEnd w:id="203"/>
    <w:p w14:paraId="73D477B9" w14:textId="7BFC028C" w:rsidR="00733FF0" w:rsidRPr="00C453E8" w:rsidRDefault="00733FF0" w:rsidP="005C4E32">
      <w:pPr>
        <w:pStyle w:val="Normal-Style2"/>
      </w:pPr>
      <w:r w:rsidRPr="009A4FE9">
        <w:t xml:space="preserve">In </w:t>
      </w:r>
      <w:r w:rsidRPr="00C453E8">
        <w:t xml:space="preserve">addition, applicants must warrant that none of the Proposed Solutions for which </w:t>
      </w:r>
      <w:r w:rsidR="00B73B96" w:rsidRPr="00C453E8">
        <w:t xml:space="preserve">Grant Opportunity </w:t>
      </w:r>
      <w:r w:rsidRPr="00C453E8">
        <w:t xml:space="preserve">funds </w:t>
      </w:r>
      <w:r w:rsidR="00B73B96" w:rsidRPr="00C453E8">
        <w:t xml:space="preserve">are being </w:t>
      </w:r>
      <w:r w:rsidRPr="00C453E8">
        <w:t xml:space="preserve">sought were at any time part of </w:t>
      </w:r>
      <w:r w:rsidR="00415724">
        <w:t>any of the participating MNOs’</w:t>
      </w:r>
      <w:r w:rsidRPr="00C453E8">
        <w:t xml:space="preserve"> forward-build network expansion or upgrade plans </w:t>
      </w:r>
      <w:r w:rsidR="00B73B96" w:rsidRPr="00C453E8">
        <w:t xml:space="preserve">from the period commencing from the Grant Opportunity until 30 June 2027 </w:t>
      </w:r>
      <w:r w:rsidRPr="00C453E8">
        <w:t xml:space="preserve">(see section </w:t>
      </w:r>
      <w:r w:rsidRPr="00C453E8">
        <w:fldChar w:fldCharType="begin"/>
      </w:r>
      <w:r w:rsidRPr="00C453E8">
        <w:instrText xml:space="preserve"> REF _Ref110515500 \r \h </w:instrText>
      </w:r>
      <w:r w:rsidR="00C453E8" w:rsidRPr="00C453E8">
        <w:instrText xml:space="preserve"> \* MERGEFORMAT </w:instrText>
      </w:r>
      <w:r w:rsidRPr="00C453E8">
        <w:fldChar w:fldCharType="separate"/>
      </w:r>
      <w:r w:rsidR="00711186" w:rsidRPr="00C453E8">
        <w:t>5.4.1</w:t>
      </w:r>
      <w:r w:rsidRPr="00C453E8">
        <w:fldChar w:fldCharType="end"/>
      </w:r>
      <w:r w:rsidRPr="00C453E8">
        <w:t>).</w:t>
      </w:r>
    </w:p>
    <w:p w14:paraId="73D477BA" w14:textId="77777777" w:rsidR="00B66E1B" w:rsidRDefault="00B66E1B" w:rsidP="005C4E32">
      <w:pPr>
        <w:pStyle w:val="Normal-Style2"/>
      </w:pPr>
      <w:r>
        <w:t>You must agree that the predictive coverage m</w:t>
      </w:r>
      <w:r w:rsidR="009E1D55">
        <w:t xml:space="preserve">apping data </w:t>
      </w:r>
      <w:r w:rsidR="00D713C9">
        <w:t xml:space="preserve">supplied in the application </w:t>
      </w:r>
      <w:r w:rsidR="009E1D55">
        <w:t>can be used by the d</w:t>
      </w:r>
      <w:r>
        <w:t>epartment to prepare promotional material for the Program or for policy development and advice as needed.</w:t>
      </w:r>
    </w:p>
    <w:p w14:paraId="73D477BB" w14:textId="77777777" w:rsidR="00733FF0" w:rsidRDefault="00733FF0" w:rsidP="005C4E32">
      <w:pPr>
        <w:pStyle w:val="Normal-Style2"/>
      </w:pPr>
      <w:r w:rsidRPr="009A4FE9">
        <w:t>Applicants must indicate their compliance with the draft Grant Agreement (to be provided to registered applicants) at the time of submitting their applications. Where the terms of the draft Grant Agreement are not accepted in full, applicants are required to submit a revision marked version of the draft Grant Agreement reflecting their proposed drafting, their position and their reasons for requesting the change.</w:t>
      </w:r>
    </w:p>
    <w:p w14:paraId="73D477BC" w14:textId="51BFA373" w:rsidR="00733FF0" w:rsidRPr="00852C85" w:rsidRDefault="00733FF0" w:rsidP="005C4E32">
      <w:pPr>
        <w:pStyle w:val="Normal-Style2"/>
      </w:pPr>
      <w:r w:rsidRPr="009A4FE9">
        <w:t xml:space="preserve">Where an applicant has previously agreed a grant agreement with the Commonwealth </w:t>
      </w:r>
      <w:r>
        <w:t xml:space="preserve">under </w:t>
      </w:r>
      <w:r w:rsidR="0016466B">
        <w:t xml:space="preserve">Round 1 of </w:t>
      </w:r>
      <w:r>
        <w:t xml:space="preserve">the </w:t>
      </w:r>
      <w:r w:rsidR="00A06BDB">
        <w:t xml:space="preserve">Peri-Urban Mobile </w:t>
      </w:r>
      <w:r>
        <w:t>Program or</w:t>
      </w:r>
      <w:r w:rsidRPr="009A4FE9">
        <w:t xml:space="preserve"> another similar grant program that is administered by the </w:t>
      </w:r>
      <w:r>
        <w:t>department</w:t>
      </w:r>
      <w:r w:rsidRPr="009A4FE9">
        <w:t xml:space="preserve"> (for example, the </w:t>
      </w:r>
      <w:r w:rsidR="00A06BDB">
        <w:t>Mobile Black Spot Program</w:t>
      </w:r>
      <w:r w:rsidRPr="009A4FE9">
        <w:t>) (</w:t>
      </w:r>
      <w:r w:rsidR="00FE6132">
        <w:t xml:space="preserve">a </w:t>
      </w:r>
      <w:r w:rsidRPr="00850B9D">
        <w:rPr>
          <w:b/>
        </w:rPr>
        <w:t>Previous Grant Agreement</w:t>
      </w:r>
      <w:r w:rsidRPr="009A4FE9">
        <w:t>) the applicant may request the</w:t>
      </w:r>
      <w:r w:rsidR="000F6701">
        <w:t xml:space="preserve"> Commonwealth</w:t>
      </w:r>
      <w:r w:rsidRPr="009A4FE9">
        <w:t xml:space="preserve"> consider using the Previous Grant Agreement as the basis for the Grant Agreement under this </w:t>
      </w:r>
      <w:r w:rsidR="000F6701">
        <w:t>P</w:t>
      </w:r>
      <w:r w:rsidRPr="009A4FE9">
        <w:t xml:space="preserve">rogram. When making a request, the applicant must provide reasons addressing why utilising a Previous </w:t>
      </w:r>
      <w:r w:rsidRPr="00852C85">
        <w:t xml:space="preserve">Grant Agreement would be appropriate. </w:t>
      </w:r>
      <w:r w:rsidR="00B73B96">
        <w:t xml:space="preserve">Applicants must still indicate their ability to comply with the </w:t>
      </w:r>
      <w:r w:rsidR="000F6701">
        <w:t>draft</w:t>
      </w:r>
      <w:r w:rsidR="00B73B96">
        <w:t xml:space="preserve"> Grant Agreement</w:t>
      </w:r>
      <w:r w:rsidR="000F6701">
        <w:t xml:space="preserve"> (see section 7</w:t>
      </w:r>
      <w:r w:rsidR="0016466B">
        <w:t>.4.5</w:t>
      </w:r>
      <w:r w:rsidR="00B73B96">
        <w:t>.</w:t>
      </w:r>
      <w:r w:rsidR="000F6701">
        <w:t>).</w:t>
      </w:r>
      <w:r w:rsidR="00B73B96">
        <w:t xml:space="preserve"> </w:t>
      </w:r>
      <w:r w:rsidRPr="00852C85">
        <w:t>Requests of this nature must be received no later than two weeks before close of applications.</w:t>
      </w:r>
      <w:r w:rsidR="00B73B96">
        <w:t xml:space="preserve"> </w:t>
      </w:r>
    </w:p>
    <w:p w14:paraId="73D477BD" w14:textId="77777777" w:rsidR="00733FF0" w:rsidRDefault="00733FF0" w:rsidP="005C4E32">
      <w:pPr>
        <w:pStyle w:val="Normal-Style2"/>
      </w:pPr>
      <w:r w:rsidRPr="009A4FE9">
        <w:t xml:space="preserve">The </w:t>
      </w:r>
      <w:r w:rsidR="00DE1650">
        <w:t>Commonwealth</w:t>
      </w:r>
      <w:r w:rsidR="00DE1650" w:rsidRPr="009A4FE9">
        <w:t xml:space="preserve"> </w:t>
      </w:r>
      <w:r w:rsidRPr="009A4FE9">
        <w:t xml:space="preserve">may, at its sole and absolute discretion, decide to agree to use the Previous Grant Agreement as the basis for the Grant Agreement. However, the </w:t>
      </w:r>
      <w:r w:rsidR="00DE1650">
        <w:t>Commonwealth</w:t>
      </w:r>
      <w:r w:rsidRPr="009A4FE9">
        <w:t xml:space="preserve"> is under no obligation to agree to any request made by an applicant to utilise a Previous Grant Agreement. Any decision by the </w:t>
      </w:r>
      <w:r w:rsidR="00DE1650">
        <w:t xml:space="preserve">Commonwealth </w:t>
      </w:r>
      <w:r w:rsidRPr="009A4FE9">
        <w:t>will be final.</w:t>
      </w:r>
    </w:p>
    <w:p w14:paraId="73D477BE" w14:textId="77777777" w:rsidR="00733FF0" w:rsidRDefault="00733FF0" w:rsidP="005C4E32">
      <w:pPr>
        <w:pStyle w:val="Normal-Style2"/>
      </w:pPr>
      <w:r w:rsidRPr="009A4FE9">
        <w:t>The applicant should identify any terms in the Previous Grant Agreement the applicant does not fully accept or which in its opinion require adaptation for this Program. At the point of application, the applicant is required to submit a marked</w:t>
      </w:r>
      <w:r w:rsidR="00015459">
        <w:t>-up</w:t>
      </w:r>
      <w:r w:rsidRPr="009A4FE9">
        <w:t xml:space="preserve"> version of the Previous Grant Agreement reflecting its proposed drafting, its position and its reasons for requesting the change.</w:t>
      </w:r>
    </w:p>
    <w:p w14:paraId="73D477BF" w14:textId="34F8AA50" w:rsidR="00733FF0" w:rsidRDefault="00733FF0" w:rsidP="005C4E32">
      <w:pPr>
        <w:pStyle w:val="Normal-Style2"/>
      </w:pPr>
      <w:r w:rsidRPr="009A4FE9">
        <w:t xml:space="preserve">Details for contacting the </w:t>
      </w:r>
      <w:r>
        <w:t>department</w:t>
      </w:r>
      <w:r w:rsidRPr="009A4FE9">
        <w:t xml:space="preserve"> to seek clarification or assistance with any aspects of completing an application are at section </w:t>
      </w:r>
      <w:r w:rsidR="000F6701">
        <w:t>7.10</w:t>
      </w:r>
      <w:r w:rsidRPr="009A4FE9">
        <w:t>.</w:t>
      </w:r>
    </w:p>
    <w:p w14:paraId="73D477C0" w14:textId="772929CE" w:rsidR="0045229E" w:rsidRDefault="00733FF0" w:rsidP="005C4E32">
      <w:pPr>
        <w:pStyle w:val="Normal-Style2"/>
      </w:pPr>
      <w:r w:rsidRPr="009A4FE9">
        <w:lastRenderedPageBreak/>
        <w:t xml:space="preserve">Applications can be lodged using </w:t>
      </w:r>
      <w:proofErr w:type="spellStart"/>
      <w:r w:rsidRPr="009A4FE9">
        <w:t>GovTEAMS</w:t>
      </w:r>
      <w:proofErr w:type="spellEnd"/>
      <w:r w:rsidRPr="009A4FE9">
        <w:t xml:space="preserve">, the Australian Government’s secure online </w:t>
      </w:r>
      <w:r w:rsidRPr="00852C85">
        <w:t xml:space="preserve">document sharing and project management system. Potential applicants will be provided with information about lodging applications using </w:t>
      </w:r>
      <w:proofErr w:type="spellStart"/>
      <w:r w:rsidRPr="00852C85">
        <w:t>GovTEAMS</w:t>
      </w:r>
      <w:proofErr w:type="spellEnd"/>
      <w:r w:rsidRPr="00852C85">
        <w:t xml:space="preserve"> upon registering their interest for the Program (see sectio</w:t>
      </w:r>
      <w:r w:rsidR="000F6701">
        <w:t>n 7.1</w:t>
      </w:r>
      <w:r w:rsidRPr="00852C85">
        <w:t>)</w:t>
      </w:r>
      <w:r w:rsidR="0045229E">
        <w:t>.</w:t>
      </w:r>
    </w:p>
    <w:p w14:paraId="73D477C1" w14:textId="77777777" w:rsidR="00733FF0" w:rsidRPr="00852C85" w:rsidRDefault="00733FF0" w:rsidP="00B0575A">
      <w:pPr>
        <w:pStyle w:val="ListBullet"/>
        <w:rPr>
          <w:rFonts w:eastAsia="Calibri"/>
        </w:rPr>
      </w:pPr>
      <w:r w:rsidRPr="00852C85">
        <w:t xml:space="preserve">Note: Potential applicants may request to use alternative online secure document sharing systems by agreement with the department. Requests can be made by email to </w:t>
      </w:r>
      <w:hyperlink r:id="rId29" w:history="1">
        <w:r w:rsidR="006B39D7" w:rsidRPr="00981CDE">
          <w:rPr>
            <w:rStyle w:val="Hyperlink"/>
          </w:rPr>
          <w:t>PUMP@infrastructure.gov.au</w:t>
        </w:r>
      </w:hyperlink>
      <w:r w:rsidRPr="00852C85">
        <w:t>, and should be received no later than two weeks prior to the closing of the application period.</w:t>
      </w:r>
    </w:p>
    <w:p w14:paraId="73D477C2" w14:textId="77777777" w:rsidR="00733FF0" w:rsidRPr="00852C85" w:rsidRDefault="00733FF0" w:rsidP="005C4E32">
      <w:pPr>
        <w:pStyle w:val="Normal-Style2"/>
      </w:pPr>
      <w:bookmarkStart w:id="204" w:name="_Ref110516217"/>
      <w:r w:rsidRPr="00852C85">
        <w:t xml:space="preserve">All electronic files, regardless of transmission method, should be provided in an appropriate Microsoft compatible format. Geo-spatial information such as maps should be provided in either ESRI Shape; MapInfo TAB or MID/MIF; </w:t>
      </w:r>
      <w:proofErr w:type="spellStart"/>
      <w:r w:rsidRPr="00852C85">
        <w:t>GML</w:t>
      </w:r>
      <w:proofErr w:type="spellEnd"/>
      <w:r w:rsidRPr="00852C85">
        <w:t xml:space="preserve">; or </w:t>
      </w:r>
      <w:proofErr w:type="spellStart"/>
      <w:r w:rsidRPr="00852C85">
        <w:t>KML</w:t>
      </w:r>
      <w:proofErr w:type="spellEnd"/>
      <w:r w:rsidRPr="00852C85">
        <w:t xml:space="preserve"> format.</w:t>
      </w:r>
      <w:bookmarkEnd w:id="204"/>
    </w:p>
    <w:p w14:paraId="73D477C3" w14:textId="77777777" w:rsidR="00733FF0" w:rsidRDefault="00733FF0" w:rsidP="005C4E32">
      <w:pPr>
        <w:pStyle w:val="Normal-Style2"/>
      </w:pPr>
      <w:r w:rsidRPr="00852C85">
        <w:t xml:space="preserve">The department strongly prefers electronic applications. However, the department may also accept applications via hard copy and/or physical electronic media if there is a reason why electronic submission is not feasible. Applicants wishing to make applications through physical means should contact the department by email to </w:t>
      </w:r>
      <w:hyperlink r:id="rId30" w:history="1">
        <w:r w:rsidR="006B39D7" w:rsidRPr="00981CDE">
          <w:rPr>
            <w:rStyle w:val="Hyperlink"/>
          </w:rPr>
          <w:t>PUMP@infrastructure.gov.au</w:t>
        </w:r>
      </w:hyperlink>
      <w:r w:rsidR="006B39D7">
        <w:t xml:space="preserve"> </w:t>
      </w:r>
      <w:r w:rsidRPr="00852C85">
        <w:t>no later than four weeks prior to the closing of the application period.</w:t>
      </w:r>
    </w:p>
    <w:p w14:paraId="73D477C4" w14:textId="77777777" w:rsidR="006A0A34" w:rsidRDefault="00BB6240" w:rsidP="005C4E32">
      <w:pPr>
        <w:pStyle w:val="Normal-Style2"/>
      </w:pPr>
      <w:r>
        <w:t xml:space="preserve">Where physical electronic media is to be provided, the media must be PC formatted. Applicants should include an index of all electronic documents on the physical electronic media. </w:t>
      </w:r>
      <w:r w:rsidR="006A0A34">
        <w:t xml:space="preserve">Applications provided in hard copy and physical electronic formats should be delivered via registered post or by hand prior to the closing date. Applications via post are to be addressed and delivered to: </w:t>
      </w:r>
    </w:p>
    <w:p w14:paraId="73D477C5" w14:textId="77777777" w:rsidR="006A0A34" w:rsidRDefault="006A0A34" w:rsidP="000F6701">
      <w:pPr>
        <w:pStyle w:val="Normal-Style2"/>
        <w:numPr>
          <w:ilvl w:val="0"/>
          <w:numId w:val="0"/>
        </w:numPr>
        <w:ind w:left="2268"/>
        <w:contextualSpacing/>
      </w:pPr>
      <w:r>
        <w:t xml:space="preserve">Director, </w:t>
      </w:r>
      <w:r w:rsidRPr="006A0A34">
        <w:t>M</w:t>
      </w:r>
      <w:r>
        <w:t xml:space="preserve">obile </w:t>
      </w:r>
      <w:r w:rsidR="001C6958">
        <w:t>Coverage – Regional Communities</w:t>
      </w:r>
    </w:p>
    <w:p w14:paraId="73D477C6" w14:textId="77777777" w:rsidR="006A0A34" w:rsidRDefault="006A0A34" w:rsidP="000F6701">
      <w:pPr>
        <w:pStyle w:val="Normal-Style2"/>
        <w:numPr>
          <w:ilvl w:val="0"/>
          <w:numId w:val="0"/>
        </w:numPr>
        <w:ind w:left="2268"/>
        <w:contextualSpacing/>
      </w:pPr>
      <w:r>
        <w:t>Department of Infrastructure, Transport and Regional Development, Communications and the Arts</w:t>
      </w:r>
    </w:p>
    <w:p w14:paraId="73D477C7" w14:textId="77777777" w:rsidR="006A0A34" w:rsidRDefault="006A0A34" w:rsidP="000F6701">
      <w:pPr>
        <w:pStyle w:val="Normal-Style2"/>
        <w:numPr>
          <w:ilvl w:val="0"/>
          <w:numId w:val="0"/>
        </w:numPr>
        <w:ind w:left="2268"/>
        <w:contextualSpacing/>
      </w:pPr>
      <w:r>
        <w:t xml:space="preserve">GPO Box 594 </w:t>
      </w:r>
    </w:p>
    <w:p w14:paraId="73D477C8" w14:textId="77777777" w:rsidR="006A0A34" w:rsidRPr="00852C85" w:rsidRDefault="006A0A34" w:rsidP="000F6701">
      <w:pPr>
        <w:pStyle w:val="Normal-Style2"/>
        <w:numPr>
          <w:ilvl w:val="0"/>
          <w:numId w:val="0"/>
        </w:numPr>
        <w:ind w:left="2268"/>
      </w:pPr>
      <w:r>
        <w:t xml:space="preserve">Canberra ACT 2601 </w:t>
      </w:r>
    </w:p>
    <w:p w14:paraId="73D477C9" w14:textId="77777777" w:rsidR="00733FF0" w:rsidRDefault="00733FF0" w:rsidP="005C4E32">
      <w:pPr>
        <w:pStyle w:val="Normal-Style2"/>
      </w:pPr>
      <w:r w:rsidRPr="00852C85">
        <w:t>The department will acknowledge receipt of all applications by email to the applicant’s nominated contact officer.</w:t>
      </w:r>
    </w:p>
    <w:p w14:paraId="73D477CA" w14:textId="77777777" w:rsidR="00BE2D23" w:rsidRDefault="00BE2D23" w:rsidP="005C4E32">
      <w:pPr>
        <w:pStyle w:val="Normal-Style2"/>
      </w:pPr>
      <w:r>
        <w:t xml:space="preserve">You are responsible for ensuring that your application is complete and accurate. Giving false or misleading information is a serious offense under the </w:t>
      </w:r>
      <w:hyperlink r:id="rId31" w:history="1">
        <w:r w:rsidRPr="00B841AA">
          <w:rPr>
            <w:rStyle w:val="Hyperlink"/>
            <w:i/>
          </w:rPr>
          <w:t>Criminal Code Act 1995 (</w:t>
        </w:r>
        <w:proofErr w:type="spellStart"/>
        <w:r w:rsidRPr="00B841AA">
          <w:rPr>
            <w:rStyle w:val="Hyperlink"/>
            <w:i/>
          </w:rPr>
          <w:t>Cth</w:t>
        </w:r>
        <w:proofErr w:type="spellEnd"/>
        <w:r w:rsidRPr="00B841AA">
          <w:rPr>
            <w:rStyle w:val="Hyperlink"/>
            <w:i/>
          </w:rPr>
          <w:t>)</w:t>
        </w:r>
      </w:hyperlink>
      <w:r w:rsidRPr="00B841AA">
        <w:t>.</w:t>
      </w:r>
      <w:r>
        <w:t xml:space="preserve"> We will investigate any false or misleading information and may exclude your application from further consideration. </w:t>
      </w:r>
    </w:p>
    <w:p w14:paraId="73D477CB" w14:textId="77777777" w:rsidR="009871A6" w:rsidRDefault="009871A6" w:rsidP="005C4E32">
      <w:pPr>
        <w:pStyle w:val="Normal-Style2"/>
      </w:pPr>
      <w:r>
        <w:t>You should keep a copy of your application and any supporting documents.</w:t>
      </w:r>
    </w:p>
    <w:p w14:paraId="50AA2D4F" w14:textId="1A644CFE" w:rsidR="001F3A3E" w:rsidRDefault="001F3A3E" w:rsidP="005C4E32">
      <w:pPr>
        <w:pStyle w:val="Heading3"/>
        <w:ind w:left="1077" w:hanging="1077"/>
      </w:pPr>
      <w:bookmarkStart w:id="205" w:name="_Toc178085208"/>
      <w:bookmarkStart w:id="206" w:name="_Toc50044034"/>
      <w:bookmarkStart w:id="207" w:name="_Toc56425459"/>
      <w:bookmarkStart w:id="208" w:name="_Toc90294840"/>
      <w:bookmarkStart w:id="209" w:name="_Ref109304909"/>
      <w:bookmarkStart w:id="210" w:name="_Toc113442191"/>
      <w:bookmarkStart w:id="211" w:name="_Toc113357228"/>
      <w:r>
        <w:t xml:space="preserve">Costing Arrangements for </w:t>
      </w:r>
      <w:proofErr w:type="spellStart"/>
      <w:r>
        <w:t>MNIP</w:t>
      </w:r>
      <w:proofErr w:type="spellEnd"/>
      <w:r>
        <w:t xml:space="preserve">-led </w:t>
      </w:r>
      <w:r w:rsidR="00CE49C7">
        <w:t>applications</w:t>
      </w:r>
      <w:bookmarkEnd w:id="205"/>
      <w:r w:rsidR="00CE49C7">
        <w:t xml:space="preserve"> </w:t>
      </w:r>
    </w:p>
    <w:p w14:paraId="24CF4A97" w14:textId="2D4FC785" w:rsidR="001F3A3E" w:rsidRDefault="001F3A3E" w:rsidP="001F3A3E">
      <w:pPr>
        <w:pStyle w:val="Normal-Style2"/>
      </w:pPr>
      <w:r>
        <w:t xml:space="preserve">An </w:t>
      </w:r>
      <w:proofErr w:type="spellStart"/>
      <w:r>
        <w:t>MNIP</w:t>
      </w:r>
      <w:proofErr w:type="spellEnd"/>
      <w:r>
        <w:t xml:space="preserve"> should include all relevant capital and operational costs in its application for both itself and the MNOs it is partnering with for a Proposed Solution.</w:t>
      </w:r>
    </w:p>
    <w:p w14:paraId="5E0819C2" w14:textId="1A15CFD6" w:rsidR="001F3A3E" w:rsidRDefault="001F3A3E" w:rsidP="001F3A3E">
      <w:pPr>
        <w:pStyle w:val="Normal-Style2"/>
      </w:pPr>
      <w:r>
        <w:t>Any costs incurred by a</w:t>
      </w:r>
      <w:r w:rsidR="00CE49C7">
        <w:t xml:space="preserve"> participating </w:t>
      </w:r>
      <w:r>
        <w:t xml:space="preserve">MNO arising from its commercial agreement with an </w:t>
      </w:r>
      <w:proofErr w:type="spellStart"/>
      <w:r>
        <w:t>MNIP</w:t>
      </w:r>
      <w:proofErr w:type="spellEnd"/>
      <w:r>
        <w:t xml:space="preserve"> for a Proposed Solution (e.g. site access fees, and other management and operational fees) are expected to be </w:t>
      </w:r>
      <w:r w:rsidR="00CE49C7">
        <w:t>included</w:t>
      </w:r>
      <w:r>
        <w:t xml:space="preserve"> in the MNOs’ costs.</w:t>
      </w:r>
    </w:p>
    <w:p w14:paraId="49404138" w14:textId="66C3C9DD" w:rsidR="00542340" w:rsidRDefault="001F3A3E" w:rsidP="001F3A3E">
      <w:pPr>
        <w:pStyle w:val="Normal-Style2"/>
      </w:pPr>
      <w:r>
        <w:t xml:space="preserve">The </w:t>
      </w:r>
      <w:proofErr w:type="spellStart"/>
      <w:r>
        <w:t>MNIP</w:t>
      </w:r>
      <w:proofErr w:type="spellEnd"/>
      <w:r>
        <w:t xml:space="preserve"> does not need to subtract any shared costs from its costings, except where a</w:t>
      </w:r>
      <w:r w:rsidR="00E30267">
        <w:t xml:space="preserve"> </w:t>
      </w:r>
      <w:r>
        <w:t>cost element has been passed on to (or is be</w:t>
      </w:r>
      <w:r w:rsidR="0052359A">
        <w:t>i</w:t>
      </w:r>
      <w:r>
        <w:t>ng recovered from) the</w:t>
      </w:r>
      <w:r w:rsidR="00CE49C7">
        <w:t xml:space="preserve"> </w:t>
      </w:r>
      <w:r w:rsidR="00CE49C7">
        <w:lastRenderedPageBreak/>
        <w:t xml:space="preserve">participating </w:t>
      </w:r>
      <w:r>
        <w:t>MNO</w:t>
      </w:r>
      <w:r w:rsidR="00CE49C7">
        <w:t>s</w:t>
      </w:r>
      <w:r>
        <w:t xml:space="preserve"> </w:t>
      </w:r>
      <w:r w:rsidR="00542340">
        <w:t>through the commercial agreement, and are reflected in the MNOs’</w:t>
      </w:r>
      <w:r w:rsidR="00635E59">
        <w:t xml:space="preserve"> </w:t>
      </w:r>
      <w:r w:rsidR="00542340">
        <w:t xml:space="preserve">costs. </w:t>
      </w:r>
    </w:p>
    <w:p w14:paraId="68A60F1B" w14:textId="213FEDA3" w:rsidR="001F3A3E" w:rsidRDefault="00542340" w:rsidP="001F3A3E">
      <w:pPr>
        <w:pStyle w:val="Normal-Style2"/>
      </w:pPr>
      <w:r>
        <w:t xml:space="preserve">An </w:t>
      </w:r>
      <w:proofErr w:type="spellStart"/>
      <w:r>
        <w:t>MNIP</w:t>
      </w:r>
      <w:proofErr w:type="spellEnd"/>
      <w:r>
        <w:t xml:space="preserve"> cannot claim any costs that will be covered by MNO fees under the</w:t>
      </w:r>
      <w:r w:rsidR="00635E59">
        <w:t>ir</w:t>
      </w:r>
      <w:r>
        <w:t xml:space="preserve"> commercial agreement. For example, an </w:t>
      </w:r>
      <w:proofErr w:type="spellStart"/>
      <w:r>
        <w:t>MNIP</w:t>
      </w:r>
      <w:proofErr w:type="spellEnd"/>
      <w:r>
        <w:t xml:space="preserve"> cannot claim any portion of the land rental that is included in the MNO</w:t>
      </w:r>
      <w:r w:rsidR="000F6701">
        <w:t>’</w:t>
      </w:r>
      <w:r>
        <w:t>s costs e.g. if the land rental for mobile base station elements total</w:t>
      </w:r>
      <w:r w:rsidR="00635E59">
        <w:t>s</w:t>
      </w:r>
      <w:r>
        <w:t xml:space="preserve"> $10,000 per annum, and the MNO</w:t>
      </w:r>
      <w:r w:rsidR="000F6701">
        <w:t>’s</w:t>
      </w:r>
      <w:r>
        <w:t xml:space="preserve"> commercial agreement only covers $5,000 of this cost, then the </w:t>
      </w:r>
      <w:proofErr w:type="spellStart"/>
      <w:r>
        <w:t>MNIP</w:t>
      </w:r>
      <w:proofErr w:type="spellEnd"/>
      <w:r>
        <w:t xml:space="preserve"> can only include the remaining $5,000 in its operational costs. </w:t>
      </w:r>
    </w:p>
    <w:p w14:paraId="15165B5E" w14:textId="3C5B8452" w:rsidR="00542340" w:rsidRDefault="00542340" w:rsidP="001F3A3E">
      <w:pPr>
        <w:pStyle w:val="Normal-Style2"/>
      </w:pPr>
      <w:r>
        <w:t xml:space="preserve">An </w:t>
      </w:r>
      <w:proofErr w:type="spellStart"/>
      <w:r>
        <w:t>MNIP</w:t>
      </w:r>
      <w:proofErr w:type="spellEnd"/>
      <w:r>
        <w:t xml:space="preserve"> may provide any necessary additional information to explain the cost breakdown between the participants in individual Proposed Solutions.</w:t>
      </w:r>
    </w:p>
    <w:p w14:paraId="1DF01515" w14:textId="0EE02123" w:rsidR="00542340" w:rsidRDefault="00542340" w:rsidP="001F3A3E">
      <w:pPr>
        <w:pStyle w:val="Normal-Style2"/>
      </w:pPr>
      <w:r>
        <w:t xml:space="preserve">In situations where a participating MNO has specific commercially sensitive costing information, and it does not want to share this information with the </w:t>
      </w:r>
      <w:proofErr w:type="spellStart"/>
      <w:r>
        <w:t>MNIP</w:t>
      </w:r>
      <w:proofErr w:type="spellEnd"/>
      <w:r>
        <w:t>, the MNO can, by prior agreement of the Commonwealth, provide the information directly to the Commonwealth before the application period closes.</w:t>
      </w:r>
    </w:p>
    <w:p w14:paraId="476406A5" w14:textId="66307B4A" w:rsidR="00542340" w:rsidRDefault="00542340" w:rsidP="001F3A3E">
      <w:pPr>
        <w:pStyle w:val="Normal-Style2"/>
      </w:pPr>
      <w:r>
        <w:t xml:space="preserve">The MNO must seek the Commonwealth’s agreement to the arrangement </w:t>
      </w:r>
      <w:r w:rsidR="00635E59">
        <w:t>outl</w:t>
      </w:r>
      <w:r w:rsidR="007F21C8">
        <w:t>i</w:t>
      </w:r>
      <w:r w:rsidR="00635E59">
        <w:t>ned</w:t>
      </w:r>
      <w:r>
        <w:t xml:space="preserve"> at section 7.5.6 at least two days prior to the closing of the application period.</w:t>
      </w:r>
    </w:p>
    <w:p w14:paraId="586F97A5" w14:textId="64C786CB" w:rsidR="00542340" w:rsidRDefault="00542340" w:rsidP="001F3A3E">
      <w:pPr>
        <w:pStyle w:val="Normal-Style2"/>
      </w:pPr>
      <w:r>
        <w:t xml:space="preserve">If this approach is taken, the </w:t>
      </w:r>
      <w:proofErr w:type="spellStart"/>
      <w:r w:rsidR="00CE49C7">
        <w:t>MNIP</w:t>
      </w:r>
      <w:proofErr w:type="spellEnd"/>
      <w:r w:rsidR="00CE49C7">
        <w:t xml:space="preserve"> must still include the aggregate (total) costing information for each participating MNO against each individual Proposed Solution.</w:t>
      </w:r>
    </w:p>
    <w:p w14:paraId="558B05CB" w14:textId="262C1B1E" w:rsidR="00CE49C7" w:rsidRDefault="00CE49C7" w:rsidP="001F3A3E">
      <w:pPr>
        <w:pStyle w:val="Normal-Style2"/>
      </w:pPr>
      <w:r>
        <w:t xml:space="preserve">Consistent with section 4.1.5, all payments will be made to the Lead Applicant only (in this case the </w:t>
      </w:r>
      <w:proofErr w:type="spellStart"/>
      <w:r>
        <w:t>MNIP</w:t>
      </w:r>
      <w:proofErr w:type="spellEnd"/>
      <w:r>
        <w:t xml:space="preserve">). The </w:t>
      </w:r>
      <w:proofErr w:type="spellStart"/>
      <w:r>
        <w:t>MNIP</w:t>
      </w:r>
      <w:proofErr w:type="spellEnd"/>
      <w:r>
        <w:t xml:space="preserve"> and participating MNOs must negotiate their own separate payment arrangements between themselves through their commercial agreement.</w:t>
      </w:r>
    </w:p>
    <w:p w14:paraId="543038FF" w14:textId="4F53D430" w:rsidR="00CE49C7" w:rsidRDefault="00CE49C7" w:rsidP="001F3A3E">
      <w:pPr>
        <w:pStyle w:val="Normal-Style2"/>
      </w:pPr>
      <w:r>
        <w:t xml:space="preserve">Where specific cost breakdown information </w:t>
      </w:r>
      <w:r w:rsidR="00635E59">
        <w:t xml:space="preserve">is required </w:t>
      </w:r>
      <w:r>
        <w:t xml:space="preserve">during the rollout period such as to support payment claims or the final true up, this information can be provided separately by the </w:t>
      </w:r>
      <w:proofErr w:type="spellStart"/>
      <w:r>
        <w:t>MNIP</w:t>
      </w:r>
      <w:proofErr w:type="spellEnd"/>
      <w:r>
        <w:t xml:space="preserve"> and</w:t>
      </w:r>
      <w:r w:rsidR="00635E59">
        <w:t xml:space="preserve"> participating</w:t>
      </w:r>
      <w:r>
        <w:t xml:space="preserve"> MNOs to the Commonwealth.</w:t>
      </w:r>
    </w:p>
    <w:p w14:paraId="0519098C" w14:textId="7711BF37" w:rsidR="00CE49C7" w:rsidRPr="001F3A3E" w:rsidRDefault="00CE49C7" w:rsidP="001F3A3E">
      <w:pPr>
        <w:pStyle w:val="Normal-Style2"/>
      </w:pPr>
      <w:r>
        <w:t xml:space="preserve">Applicants must identify in their applications the specific type of information and the situations where this would occur. </w:t>
      </w:r>
    </w:p>
    <w:p w14:paraId="73D477CC" w14:textId="3A9A6890" w:rsidR="002900DB" w:rsidRDefault="002900DB" w:rsidP="005C4E32">
      <w:pPr>
        <w:pStyle w:val="Heading3"/>
        <w:ind w:left="1077" w:hanging="1077"/>
      </w:pPr>
      <w:bookmarkStart w:id="212" w:name="_Toc178085209"/>
      <w:r>
        <w:t>Joint (consortia) applications</w:t>
      </w:r>
      <w:bookmarkEnd w:id="212"/>
      <w:r>
        <w:t xml:space="preserve"> </w:t>
      </w:r>
    </w:p>
    <w:p w14:paraId="73D477CD" w14:textId="0B5E8C34" w:rsidR="00D22079" w:rsidRDefault="002900DB" w:rsidP="005C4E32">
      <w:pPr>
        <w:pStyle w:val="Normal-Style2"/>
      </w:pPr>
      <w:r w:rsidRPr="006F34F7">
        <w:t xml:space="preserve">We recognise that some organisations may want to join together as a group to deliver a Proposed Solution. In these circumstances, you must appoint a </w:t>
      </w:r>
      <w:r w:rsidR="00591A0D">
        <w:t>L</w:t>
      </w:r>
      <w:r w:rsidRPr="006F34F7">
        <w:t xml:space="preserve">ead </w:t>
      </w:r>
      <w:r w:rsidR="00591A0D">
        <w:t>Applicant</w:t>
      </w:r>
      <w:r w:rsidR="005241CC" w:rsidRPr="006F34F7">
        <w:t xml:space="preserve">. Only the </w:t>
      </w:r>
      <w:r w:rsidR="00591A0D">
        <w:t>L</w:t>
      </w:r>
      <w:r w:rsidR="005241CC" w:rsidRPr="006F34F7">
        <w:t xml:space="preserve">ead </w:t>
      </w:r>
      <w:r w:rsidR="009A1CD3">
        <w:t>Applicant</w:t>
      </w:r>
      <w:r w:rsidR="005241CC" w:rsidRPr="006F34F7">
        <w:t xml:space="preserve"> can submit the application form, but the </w:t>
      </w:r>
      <w:r w:rsidR="009A1CD3">
        <w:t>L</w:t>
      </w:r>
      <w:r w:rsidR="005241CC" w:rsidRPr="006F34F7">
        <w:t xml:space="preserve">ead </w:t>
      </w:r>
      <w:r w:rsidR="009A1CD3">
        <w:t>Applicant</w:t>
      </w:r>
      <w:r w:rsidR="005241CC" w:rsidRPr="006F34F7">
        <w:t xml:space="preserve"> will not necessarily be the entity entering into any agreement with the Commonwealth (</w:t>
      </w:r>
      <w:r w:rsidR="007F21C8">
        <w:t xml:space="preserve">see </w:t>
      </w:r>
      <w:r w:rsidR="005241CC" w:rsidRPr="00E4509A">
        <w:t xml:space="preserve">section </w:t>
      </w:r>
      <w:r w:rsidR="00162448" w:rsidRPr="00E4509A">
        <w:t>4.1.5</w:t>
      </w:r>
      <w:r w:rsidR="00EA5E8D" w:rsidRPr="006F34F7">
        <w:t>)</w:t>
      </w:r>
      <w:r w:rsidR="005241CC" w:rsidRPr="006F34F7">
        <w:t xml:space="preserve">. </w:t>
      </w:r>
    </w:p>
    <w:p w14:paraId="73D477CE" w14:textId="6078B684" w:rsidR="002900DB" w:rsidRPr="006F34F7" w:rsidRDefault="005241CC" w:rsidP="005C4E32">
      <w:pPr>
        <w:pStyle w:val="Normal-Style2"/>
      </w:pPr>
      <w:r w:rsidRPr="006F34F7">
        <w:t xml:space="preserve">The </w:t>
      </w:r>
      <w:r w:rsidR="009A1CD3">
        <w:t>Lead A</w:t>
      </w:r>
      <w:r w:rsidRPr="006F34F7">
        <w:t>pplicant must identify all other members of the group (partner organisations) and their role in the Proposed Solution and include</w:t>
      </w:r>
      <w:r w:rsidR="00D22079" w:rsidRPr="00015459">
        <w:t xml:space="preserve">, in addition to the requirements at </w:t>
      </w:r>
      <w:r w:rsidR="00D22079" w:rsidRPr="00E4509A">
        <w:t xml:space="preserve">section 7.4.2, </w:t>
      </w:r>
      <w:r w:rsidRPr="00E4509A">
        <w:t>a letter</w:t>
      </w:r>
      <w:r w:rsidRPr="006F34F7">
        <w:t xml:space="preserve"> of support from each of the partner organisations. Each letter of support should include: </w:t>
      </w:r>
    </w:p>
    <w:p w14:paraId="73D477CF" w14:textId="77777777" w:rsidR="005241CC" w:rsidRDefault="00A9777C" w:rsidP="00B0575A">
      <w:pPr>
        <w:pStyle w:val="ListBullet"/>
      </w:pPr>
      <w:r>
        <w:t>d</w:t>
      </w:r>
      <w:r w:rsidR="005241CC">
        <w:t xml:space="preserve">etails of the partner organisation; </w:t>
      </w:r>
    </w:p>
    <w:p w14:paraId="73D477D0" w14:textId="460AD9F1" w:rsidR="005241CC" w:rsidRDefault="00A9777C" w:rsidP="00B0575A">
      <w:pPr>
        <w:pStyle w:val="ListBullet"/>
      </w:pPr>
      <w:r>
        <w:t>a</w:t>
      </w:r>
      <w:r w:rsidR="005241CC">
        <w:t xml:space="preserve">n overview of how the partner organisation will work with the </w:t>
      </w:r>
      <w:r w:rsidR="009A1CD3">
        <w:t>L</w:t>
      </w:r>
      <w:r w:rsidR="005241CC">
        <w:t xml:space="preserve">ead </w:t>
      </w:r>
      <w:r w:rsidR="009A1CD3">
        <w:t>Applicant</w:t>
      </w:r>
      <w:r w:rsidR="005241CC">
        <w:t>, including financial co-contributor</w:t>
      </w:r>
      <w:r w:rsidR="00647F3B">
        <w:t>s</w:t>
      </w:r>
      <w:r w:rsidR="005241CC">
        <w:t xml:space="preserve"> and any other partner organisations in the group to successfully complete the Proposed Solution; </w:t>
      </w:r>
    </w:p>
    <w:p w14:paraId="73D477D1" w14:textId="0AF59A46" w:rsidR="005241CC" w:rsidRDefault="00A9777C" w:rsidP="00B0575A">
      <w:pPr>
        <w:pStyle w:val="ListBullet"/>
      </w:pPr>
      <w:r>
        <w:t>a</w:t>
      </w:r>
      <w:r w:rsidR="005241CC">
        <w:t xml:space="preserve">n outline of the relevant experience and/or expertise the partner organisation will bring to the group; </w:t>
      </w:r>
    </w:p>
    <w:p w14:paraId="73D477D2" w14:textId="175F2EA1" w:rsidR="005241CC" w:rsidRDefault="00A9777C" w:rsidP="00B0575A">
      <w:pPr>
        <w:pStyle w:val="ListBullet"/>
      </w:pPr>
      <w:r>
        <w:lastRenderedPageBreak/>
        <w:t>t</w:t>
      </w:r>
      <w:r w:rsidR="005241CC">
        <w:t xml:space="preserve">he roles/responsibilities of the partner organisation and the resources they will contribute (if any); and </w:t>
      </w:r>
    </w:p>
    <w:p w14:paraId="73D477D3" w14:textId="77777777" w:rsidR="005241CC" w:rsidRDefault="00A9777C" w:rsidP="00B0575A">
      <w:pPr>
        <w:pStyle w:val="ListBullet"/>
      </w:pPr>
      <w:r>
        <w:t>d</w:t>
      </w:r>
      <w:r w:rsidR="001755A1">
        <w:t xml:space="preserve">etails of a nominated management level contact officer. </w:t>
      </w:r>
    </w:p>
    <w:p w14:paraId="73D477D4" w14:textId="77777777" w:rsidR="001755A1" w:rsidRPr="002900DB" w:rsidRDefault="001755A1" w:rsidP="005C4E32">
      <w:pPr>
        <w:pStyle w:val="Normal-Style2"/>
      </w:pPr>
      <w:r>
        <w:t xml:space="preserve">You must have a formal arrangement in place with all partner organisations prior to </w:t>
      </w:r>
      <w:r w:rsidR="00647F3B">
        <w:t xml:space="preserve">the </w:t>
      </w:r>
      <w:r>
        <w:t xml:space="preserve">execution of the Grant Agreement. </w:t>
      </w:r>
    </w:p>
    <w:p w14:paraId="73D477D5" w14:textId="77777777" w:rsidR="00733FF0" w:rsidRPr="00852C85" w:rsidRDefault="00733FF0" w:rsidP="005C4E32">
      <w:pPr>
        <w:pStyle w:val="Heading3"/>
        <w:ind w:left="1077" w:hanging="1077"/>
      </w:pPr>
      <w:bookmarkStart w:id="213" w:name="_Toc178085210"/>
      <w:r w:rsidRPr="00852C85">
        <w:t>Closing date for funding applications</w:t>
      </w:r>
      <w:bookmarkEnd w:id="206"/>
      <w:bookmarkEnd w:id="207"/>
      <w:bookmarkEnd w:id="208"/>
      <w:bookmarkEnd w:id="209"/>
      <w:bookmarkEnd w:id="210"/>
      <w:bookmarkEnd w:id="211"/>
      <w:bookmarkEnd w:id="213"/>
    </w:p>
    <w:p w14:paraId="73D477D6" w14:textId="01E639B6" w:rsidR="00733FF0" w:rsidRPr="00852C85" w:rsidRDefault="00733FF0" w:rsidP="005C4E32">
      <w:pPr>
        <w:pStyle w:val="Normal-Style2"/>
      </w:pPr>
      <w:r w:rsidRPr="00852C85">
        <w:t xml:space="preserve">The closing date for </w:t>
      </w:r>
      <w:proofErr w:type="gramStart"/>
      <w:r w:rsidRPr="00852C85">
        <w:t>submitting an application</w:t>
      </w:r>
      <w:proofErr w:type="gramEnd"/>
      <w:r w:rsidRPr="00852C85">
        <w:t xml:space="preserve"> for funding under the Program is </w:t>
      </w:r>
      <w:r w:rsidR="004E3001">
        <w:t xml:space="preserve">as at Table </w:t>
      </w:r>
      <w:r w:rsidR="0035264F">
        <w:t>9</w:t>
      </w:r>
      <w:r w:rsidR="004E3001">
        <w:t xml:space="preserve"> (Expected Timing)</w:t>
      </w:r>
      <w:r w:rsidRPr="00852C85">
        <w:t>.</w:t>
      </w:r>
    </w:p>
    <w:p w14:paraId="73D477D7" w14:textId="77777777" w:rsidR="00733FF0" w:rsidRPr="00852C85" w:rsidRDefault="00733FF0" w:rsidP="005C4E32">
      <w:pPr>
        <w:pStyle w:val="Heading3"/>
        <w:ind w:left="1077" w:hanging="1077"/>
      </w:pPr>
      <w:bookmarkStart w:id="214" w:name="_Toc50044035"/>
      <w:bookmarkStart w:id="215" w:name="_Toc56425460"/>
      <w:bookmarkStart w:id="216" w:name="_Toc90294841"/>
      <w:bookmarkStart w:id="217" w:name="_Toc113442192"/>
      <w:bookmarkStart w:id="218" w:name="_Toc113357229"/>
      <w:bookmarkStart w:id="219" w:name="_Toc178085211"/>
      <w:r w:rsidRPr="00852C85">
        <w:t>Late applications</w:t>
      </w:r>
      <w:bookmarkEnd w:id="214"/>
      <w:bookmarkEnd w:id="215"/>
      <w:bookmarkEnd w:id="216"/>
      <w:bookmarkEnd w:id="217"/>
      <w:bookmarkEnd w:id="218"/>
      <w:bookmarkEnd w:id="219"/>
    </w:p>
    <w:p w14:paraId="73D477D8" w14:textId="77777777" w:rsidR="00162448" w:rsidRPr="00B841AA" w:rsidRDefault="00162448" w:rsidP="005C4E32">
      <w:pPr>
        <w:pStyle w:val="Normal-Style2"/>
      </w:pPr>
      <w:r w:rsidRPr="00B841AA">
        <w:t xml:space="preserve">You must </w:t>
      </w:r>
      <w:proofErr w:type="gramStart"/>
      <w:r w:rsidRPr="00B841AA">
        <w:t>submit an application</w:t>
      </w:r>
      <w:proofErr w:type="gramEnd"/>
      <w:r w:rsidRPr="00B841AA">
        <w:t xml:space="preserve"> between the published opening and closing dates. The </w:t>
      </w:r>
      <w:r w:rsidR="00A83B85">
        <w:t>d</w:t>
      </w:r>
      <w:r w:rsidRPr="00B841AA">
        <w:t xml:space="preserve">epartment reserves the right to, in exceptional circumstances, accept a late application to the assessment process at its discretion. Without limiting the </w:t>
      </w:r>
      <w:r w:rsidR="00C9551E">
        <w:t>d</w:t>
      </w:r>
      <w:r w:rsidRPr="00B841AA">
        <w:t>epartment’s discretion, exceptional circumstances may include natural disasters or unforeseen technical issues with application forms or lodgement</w:t>
      </w:r>
      <w:r w:rsidRPr="00B841AA">
        <w:rPr>
          <w:b/>
          <w:bCs/>
          <w:iCs/>
        </w:rPr>
        <w:t xml:space="preserve"> </w:t>
      </w:r>
      <w:r w:rsidRPr="00B841AA">
        <w:t xml:space="preserve">systems. Any decision by the </w:t>
      </w:r>
      <w:r w:rsidR="00C9551E">
        <w:t>d</w:t>
      </w:r>
      <w:r w:rsidRPr="00B841AA">
        <w:t>epartment on whether or not to accept a late application to the assessment process shall be final.</w:t>
      </w:r>
    </w:p>
    <w:p w14:paraId="73D477D9" w14:textId="54CEEAE4" w:rsidR="00162448" w:rsidRPr="009D2F58" w:rsidRDefault="00162448" w:rsidP="005C4E32">
      <w:pPr>
        <w:pStyle w:val="Normal-Style2"/>
      </w:pPr>
      <w:r w:rsidRPr="00B841AA">
        <w:t xml:space="preserve">If you believe there are circumstances which will affect the timely submission of your application, you must contact </w:t>
      </w:r>
      <w:r w:rsidR="007F21C8">
        <w:t>the department</w:t>
      </w:r>
      <w:r w:rsidRPr="00B841AA">
        <w:t xml:space="preserve"> before the application closing date to negotiate an alternative submission due date.</w:t>
      </w:r>
      <w:r>
        <w:t xml:space="preserve"> </w:t>
      </w:r>
      <w:r w:rsidR="00733FF0" w:rsidRPr="009D2F58">
        <w:t xml:space="preserve">Any decision by the </w:t>
      </w:r>
      <w:r w:rsidR="00733FF0">
        <w:t>department</w:t>
      </w:r>
      <w:r w:rsidR="00733FF0" w:rsidRPr="009D2F58">
        <w:t xml:space="preserve"> on whether or not to accept a late application to the assessment process is wholly within the </w:t>
      </w:r>
      <w:r w:rsidR="00733FF0">
        <w:t>department</w:t>
      </w:r>
      <w:r w:rsidR="00733FF0" w:rsidRPr="009D2F58">
        <w:t>’s absolute discretion and shall be final.</w:t>
      </w:r>
    </w:p>
    <w:p w14:paraId="73D477DA" w14:textId="77777777" w:rsidR="00733FF0" w:rsidRDefault="00733FF0" w:rsidP="005C4E32">
      <w:pPr>
        <w:pStyle w:val="Heading3"/>
        <w:ind w:left="1077" w:hanging="1077"/>
      </w:pPr>
      <w:bookmarkStart w:id="220" w:name="_Toc50044036"/>
      <w:bookmarkStart w:id="221" w:name="_Toc56425461"/>
      <w:bookmarkStart w:id="222" w:name="_Toc90294842"/>
      <w:bookmarkStart w:id="223" w:name="_Toc113442193"/>
      <w:bookmarkStart w:id="224" w:name="_Toc113357230"/>
      <w:bookmarkStart w:id="225" w:name="_Toc178085212"/>
      <w:r w:rsidRPr="005767B5">
        <w:t>Further information about the application</w:t>
      </w:r>
      <w:bookmarkEnd w:id="220"/>
      <w:bookmarkEnd w:id="221"/>
      <w:bookmarkEnd w:id="222"/>
      <w:bookmarkEnd w:id="223"/>
      <w:bookmarkEnd w:id="224"/>
      <w:bookmarkEnd w:id="225"/>
    </w:p>
    <w:p w14:paraId="73D477DB" w14:textId="77777777" w:rsidR="00733FF0" w:rsidRPr="009A4FE9" w:rsidRDefault="00733FF0" w:rsidP="005C4E32">
      <w:pPr>
        <w:pStyle w:val="Normal-Style2"/>
      </w:pPr>
      <w:r w:rsidRPr="009A4FE9">
        <w:t xml:space="preserve">At any time during the initial registration, pre-application, application, or assessment processes, the </w:t>
      </w:r>
      <w:r>
        <w:t>department</w:t>
      </w:r>
      <w:r w:rsidRPr="009A4FE9">
        <w:t xml:space="preserve"> may:</w:t>
      </w:r>
    </w:p>
    <w:p w14:paraId="73D477DC" w14:textId="77777777" w:rsidR="00733FF0" w:rsidRPr="000D73F6" w:rsidRDefault="00733FF0" w:rsidP="00B0575A">
      <w:pPr>
        <w:pStyle w:val="ListBullet"/>
      </w:pPr>
      <w:r w:rsidRPr="00CE7459">
        <w:t>contact applicants to check information that may be ambiguous</w:t>
      </w:r>
      <w:r>
        <w:t>, incorrect</w:t>
      </w:r>
      <w:r w:rsidRPr="00CE7459">
        <w:t xml:space="preserve"> or unclear;</w:t>
      </w:r>
    </w:p>
    <w:p w14:paraId="73D477DD" w14:textId="77777777" w:rsidR="00733FF0" w:rsidRPr="000D73F6" w:rsidRDefault="00733FF0" w:rsidP="00B0575A">
      <w:pPr>
        <w:pStyle w:val="ListBullet"/>
      </w:pPr>
      <w:r w:rsidRPr="00CE7459">
        <w:t>seek either additional information or seek clarification of certain information to assist its assessment of applications; and/or</w:t>
      </w:r>
    </w:p>
    <w:p w14:paraId="73D477DE" w14:textId="3F1F31FD" w:rsidR="00733FF0" w:rsidRPr="00852C85" w:rsidRDefault="00733FF0" w:rsidP="00B0575A">
      <w:pPr>
        <w:pStyle w:val="ListBullet"/>
        <w:rPr>
          <w:rFonts w:eastAsia="Calibri"/>
        </w:rPr>
      </w:pPr>
      <w:r w:rsidRPr="00CE7459">
        <w:t>seek</w:t>
      </w:r>
      <w:r w:rsidR="00E37925">
        <w:t xml:space="preserve"> technical</w:t>
      </w:r>
      <w:r w:rsidRPr="00CE7459">
        <w:t xml:space="preserve"> expert advice to </w:t>
      </w:r>
      <w:r w:rsidRPr="00852C85">
        <w:t>verify claims made.</w:t>
      </w:r>
    </w:p>
    <w:p w14:paraId="73D477DF" w14:textId="77777777" w:rsidR="00733FF0" w:rsidRPr="00852C85" w:rsidRDefault="00733FF0" w:rsidP="005C4E32">
      <w:pPr>
        <w:pStyle w:val="Heading3"/>
        <w:ind w:left="1077" w:hanging="1077"/>
      </w:pPr>
      <w:bookmarkStart w:id="226" w:name="_Toc5193521"/>
      <w:bookmarkStart w:id="227" w:name="_Toc5265930"/>
      <w:bookmarkStart w:id="228" w:name="_Toc50044037"/>
      <w:bookmarkStart w:id="229" w:name="_Toc56425462"/>
      <w:bookmarkStart w:id="230" w:name="_Toc90294843"/>
      <w:bookmarkStart w:id="231" w:name="_Ref109305569"/>
      <w:bookmarkStart w:id="232" w:name="_Toc113442194"/>
      <w:bookmarkStart w:id="233" w:name="_Toc113357231"/>
      <w:bookmarkStart w:id="234" w:name="_Toc178085213"/>
      <w:bookmarkStart w:id="235" w:name="_Toc384307739"/>
      <w:bookmarkStart w:id="236" w:name="_Toc384307810"/>
      <w:bookmarkStart w:id="237" w:name="_Toc389141038"/>
      <w:bookmarkStart w:id="238" w:name="_Toc433641171"/>
      <w:bookmarkStart w:id="239" w:name="_Toc467773972"/>
      <w:r w:rsidRPr="00852C85">
        <w:t>Questions during the application process</w:t>
      </w:r>
      <w:bookmarkEnd w:id="226"/>
      <w:bookmarkEnd w:id="227"/>
      <w:bookmarkEnd w:id="228"/>
      <w:bookmarkEnd w:id="229"/>
      <w:bookmarkEnd w:id="230"/>
      <w:bookmarkEnd w:id="231"/>
      <w:bookmarkEnd w:id="232"/>
      <w:bookmarkEnd w:id="233"/>
      <w:bookmarkEnd w:id="234"/>
    </w:p>
    <w:bookmarkEnd w:id="235"/>
    <w:bookmarkEnd w:id="236"/>
    <w:bookmarkEnd w:id="237"/>
    <w:bookmarkEnd w:id="238"/>
    <w:bookmarkEnd w:id="239"/>
    <w:p w14:paraId="73D477E0" w14:textId="77777777" w:rsidR="007C46F7" w:rsidRPr="00B841AA" w:rsidRDefault="007C46F7" w:rsidP="005C4E32">
      <w:pPr>
        <w:pStyle w:val="Normal-Style2"/>
      </w:pPr>
      <w:r w:rsidRPr="00B841AA">
        <w:t xml:space="preserve">All requests for clarification or determination of the meaning of provisions in these Guidelines should be referred to the </w:t>
      </w:r>
      <w:r w:rsidR="00623882">
        <w:t>d</w:t>
      </w:r>
      <w:r w:rsidRPr="00B841AA">
        <w:t xml:space="preserve">epartment by email at </w:t>
      </w:r>
      <w:r w:rsidRPr="00064DA9">
        <w:rPr>
          <w:rStyle w:val="Hyperlink"/>
        </w:rPr>
        <w:t>PUMP@infrastructure.gov.au</w:t>
      </w:r>
      <w:r w:rsidRPr="00B841AA">
        <w:rPr>
          <w:b/>
          <w:bCs/>
          <w:iCs/>
        </w:rPr>
        <w:t xml:space="preserve">. </w:t>
      </w:r>
      <w:r w:rsidRPr="00B841AA">
        <w:t xml:space="preserve">The </w:t>
      </w:r>
      <w:r w:rsidR="00623882">
        <w:t>d</w:t>
      </w:r>
      <w:r w:rsidRPr="00B841AA">
        <w:t>epartment’s written decision on the matter is final.</w:t>
      </w:r>
    </w:p>
    <w:p w14:paraId="73D477E1" w14:textId="77777777" w:rsidR="0045229E" w:rsidRDefault="007C46F7" w:rsidP="005C4E32">
      <w:pPr>
        <w:pStyle w:val="Normal-Style2"/>
      </w:pPr>
      <w:r w:rsidRPr="00B841AA">
        <w:t xml:space="preserve">We will acknowledge and address emailed questions as soon as practicable. Answers to questions will be posted on </w:t>
      </w:r>
      <w:proofErr w:type="spellStart"/>
      <w:r w:rsidRPr="00B841AA">
        <w:t>GrantConnect</w:t>
      </w:r>
      <w:proofErr w:type="spellEnd"/>
      <w:r w:rsidR="0045229E">
        <w:t>.</w:t>
      </w:r>
    </w:p>
    <w:p w14:paraId="73D477E2" w14:textId="77777777" w:rsidR="00733FF0" w:rsidRPr="00852C85" w:rsidRDefault="00733FF0" w:rsidP="005C4E32">
      <w:pPr>
        <w:pStyle w:val="Heading3"/>
        <w:ind w:left="1077" w:hanging="1077"/>
      </w:pPr>
      <w:bookmarkStart w:id="240" w:name="_Toc56425463"/>
      <w:bookmarkStart w:id="241" w:name="_Toc90294844"/>
      <w:bookmarkStart w:id="242" w:name="_Toc113442195"/>
      <w:bookmarkStart w:id="243" w:name="_Toc113357232"/>
      <w:bookmarkStart w:id="244" w:name="_Toc178085214"/>
      <w:r w:rsidRPr="00852C85">
        <w:t>Errors identified in applications</w:t>
      </w:r>
      <w:bookmarkEnd w:id="240"/>
      <w:bookmarkEnd w:id="241"/>
      <w:bookmarkEnd w:id="242"/>
      <w:bookmarkEnd w:id="243"/>
      <w:bookmarkEnd w:id="244"/>
    </w:p>
    <w:p w14:paraId="73D477E3" w14:textId="77777777" w:rsidR="00733FF0" w:rsidRPr="00852C85" w:rsidRDefault="00733FF0" w:rsidP="005C4E32">
      <w:pPr>
        <w:pStyle w:val="Normal-Style2"/>
      </w:pPr>
      <w:r w:rsidRPr="00852C85">
        <w:t xml:space="preserve">If you find an error in your application after submitting it, you should contact the department immediately at </w:t>
      </w:r>
      <w:hyperlink r:id="rId32" w:history="1">
        <w:r w:rsidR="007A7A61" w:rsidRPr="006F1376">
          <w:rPr>
            <w:rStyle w:val="Hyperlink"/>
          </w:rPr>
          <w:t>PUMP@infrastructure.gov.au</w:t>
        </w:r>
      </w:hyperlink>
      <w:r w:rsidRPr="007A7A61">
        <w:t>.</w:t>
      </w:r>
    </w:p>
    <w:p w14:paraId="73D477E4" w14:textId="66CCA996" w:rsidR="00733FF0" w:rsidRDefault="00733FF0" w:rsidP="005C4E32">
      <w:pPr>
        <w:pStyle w:val="Normal-Style2"/>
      </w:pPr>
      <w:r w:rsidRPr="00852C85">
        <w:t>The department may, at its sole discretion, accept additional information from the applicant or a request to correct the error. However, the department is under no obligation to accept any additional information or a request from</w:t>
      </w:r>
      <w:r w:rsidRPr="009A4FE9">
        <w:t xml:space="preserve"> the </w:t>
      </w:r>
      <w:r w:rsidRPr="009A4FE9">
        <w:lastRenderedPageBreak/>
        <w:t xml:space="preserve">applicant to correct any applications after the Closing Date </w:t>
      </w:r>
      <w:r w:rsidR="00B90F04">
        <w:t xml:space="preserve">at Table </w:t>
      </w:r>
      <w:r w:rsidR="0035264F">
        <w:t>9</w:t>
      </w:r>
      <w:r w:rsidR="00B90F04">
        <w:t xml:space="preserve"> (Expected Timing)</w:t>
      </w:r>
      <w:r w:rsidRPr="009A4FE9">
        <w:t>.</w:t>
      </w:r>
    </w:p>
    <w:p w14:paraId="73D477E5" w14:textId="77777777" w:rsidR="00733FF0" w:rsidRDefault="00733FF0" w:rsidP="00F739AC">
      <w:pPr>
        <w:pStyle w:val="Heading2"/>
      </w:pPr>
      <w:bookmarkStart w:id="245" w:name="_Toc113442196"/>
      <w:bookmarkStart w:id="246" w:name="_Toc113357233"/>
      <w:bookmarkStart w:id="247" w:name="_Toc178085215"/>
      <w:r>
        <w:t>The grant selection process</w:t>
      </w:r>
      <w:bookmarkEnd w:id="245"/>
      <w:bookmarkEnd w:id="246"/>
      <w:bookmarkEnd w:id="247"/>
    </w:p>
    <w:p w14:paraId="73D477E6" w14:textId="77777777" w:rsidR="00733FF0" w:rsidRDefault="00733FF0" w:rsidP="005C4E32">
      <w:pPr>
        <w:pStyle w:val="Heading3"/>
        <w:ind w:left="1077" w:hanging="1077"/>
      </w:pPr>
      <w:bookmarkStart w:id="248" w:name="_Toc110514779"/>
      <w:bookmarkStart w:id="249" w:name="_Toc110514886"/>
      <w:bookmarkStart w:id="250" w:name="_Toc110514780"/>
      <w:bookmarkStart w:id="251" w:name="_Toc110514887"/>
      <w:bookmarkStart w:id="252" w:name="_Toc110514781"/>
      <w:bookmarkStart w:id="253" w:name="_Toc110514888"/>
      <w:bookmarkStart w:id="254" w:name="_Toc110514782"/>
      <w:bookmarkStart w:id="255" w:name="_Toc110514889"/>
      <w:bookmarkStart w:id="256" w:name="_Toc110514783"/>
      <w:bookmarkStart w:id="257" w:name="_Toc110514890"/>
      <w:bookmarkStart w:id="258" w:name="_Toc110514784"/>
      <w:bookmarkStart w:id="259" w:name="_Toc110514891"/>
      <w:bookmarkStart w:id="260" w:name="_Toc110514785"/>
      <w:bookmarkStart w:id="261" w:name="_Toc110514892"/>
      <w:bookmarkStart w:id="262" w:name="_Toc110514786"/>
      <w:bookmarkStart w:id="263" w:name="_Toc110514893"/>
      <w:bookmarkStart w:id="264" w:name="_Toc113442197"/>
      <w:bookmarkStart w:id="265" w:name="_Toc113357234"/>
      <w:bookmarkStart w:id="266" w:name="_Toc178085216"/>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t>Assessment of grant applications</w:t>
      </w:r>
      <w:bookmarkEnd w:id="264"/>
      <w:bookmarkEnd w:id="265"/>
      <w:bookmarkEnd w:id="266"/>
    </w:p>
    <w:p w14:paraId="3EE46E60" w14:textId="77777777" w:rsidR="009A1CD3" w:rsidRPr="001D5D17" w:rsidRDefault="009A1CD3" w:rsidP="005C4E32">
      <w:pPr>
        <w:pStyle w:val="Normal-Style2"/>
      </w:pPr>
      <w:r>
        <w:t>The assessment process for the P</w:t>
      </w:r>
      <w:r w:rsidRPr="001D5D17">
        <w:t>rogram will be as follows:</w:t>
      </w:r>
    </w:p>
    <w:p w14:paraId="5C6B200E" w14:textId="77777777" w:rsidR="009A1CD3" w:rsidRPr="00B841AA" w:rsidRDefault="009A1CD3" w:rsidP="00B0575A">
      <w:pPr>
        <w:pStyle w:val="ListBullet"/>
      </w:pPr>
      <w:r>
        <w:t>i</w:t>
      </w:r>
      <w:r w:rsidRPr="00B841AA">
        <w:t>nitial assessment against Eligibility Criteria</w:t>
      </w:r>
      <w:r>
        <w:t xml:space="preserve">; </w:t>
      </w:r>
    </w:p>
    <w:p w14:paraId="39A4D75A" w14:textId="1E451914" w:rsidR="00DE026D" w:rsidRDefault="00DE026D" w:rsidP="00B0575A">
      <w:pPr>
        <w:pStyle w:val="ListBullet"/>
      </w:pPr>
      <w:r>
        <w:t xml:space="preserve">merit based </w:t>
      </w:r>
      <w:r w:rsidR="009A1CD3" w:rsidRPr="00B841AA">
        <w:t xml:space="preserve">assessment </w:t>
      </w:r>
      <w:r>
        <w:t xml:space="preserve">of each Proposed Solution </w:t>
      </w:r>
      <w:r w:rsidR="009A1CD3" w:rsidRPr="00B841AA">
        <w:t xml:space="preserve">against </w:t>
      </w:r>
      <w:r w:rsidR="007F21C8">
        <w:t xml:space="preserve">the </w:t>
      </w:r>
      <w:r w:rsidR="009A1CD3" w:rsidRPr="00B841AA">
        <w:t>Assessment Criteria</w:t>
      </w:r>
      <w:r w:rsidR="009A1CD3">
        <w:t xml:space="preserve">; </w:t>
      </w:r>
    </w:p>
    <w:p w14:paraId="14B9A85B" w14:textId="71941C14" w:rsidR="009A1CD3" w:rsidRPr="00B841AA" w:rsidRDefault="00DE026D" w:rsidP="00B0575A">
      <w:pPr>
        <w:pStyle w:val="ListBullet"/>
      </w:pPr>
      <w:r w:rsidRPr="00DE026D">
        <w:t xml:space="preserve">how </w:t>
      </w:r>
      <w:r>
        <w:t>each Proposed Solution</w:t>
      </w:r>
      <w:r w:rsidRPr="00DE026D">
        <w:t xml:space="preserve"> compares to other </w:t>
      </w:r>
      <w:r>
        <w:t>Proposed Solutions</w:t>
      </w:r>
      <w:r w:rsidRPr="00DE026D">
        <w:t xml:space="preserve"> included in the application and other applications;</w:t>
      </w:r>
    </w:p>
    <w:p w14:paraId="52D32B4F" w14:textId="57849DDB" w:rsidR="009A1CD3" w:rsidRDefault="009A1CD3" w:rsidP="00B0575A">
      <w:pPr>
        <w:pStyle w:val="ListBullet"/>
      </w:pPr>
      <w:r>
        <w:t>v</w:t>
      </w:r>
      <w:r w:rsidRPr="00B841AA">
        <w:t xml:space="preserve">alue </w:t>
      </w:r>
      <w:r w:rsidR="00DE026D">
        <w:t>with relevant</w:t>
      </w:r>
      <w:r w:rsidR="00DE026D" w:rsidRPr="00B841AA">
        <w:t xml:space="preserve"> </w:t>
      </w:r>
      <w:r>
        <w:t>m</w:t>
      </w:r>
      <w:r w:rsidRPr="00B841AA">
        <w:t>oney assessment and consideration of whether the Proposed Solution supports a Government priority as outlined</w:t>
      </w:r>
      <w:r>
        <w:t xml:space="preserve"> </w:t>
      </w:r>
      <w:r w:rsidRPr="00FB0BEC">
        <w:t>in section</w:t>
      </w:r>
      <w:r w:rsidR="005A463E">
        <w:t> </w:t>
      </w:r>
      <w:r w:rsidRPr="00FB0BEC">
        <w:t>8.</w:t>
      </w:r>
      <w:r>
        <w:t>2</w:t>
      </w:r>
      <w:r w:rsidRPr="00B841AA">
        <w:t>.</w:t>
      </w:r>
    </w:p>
    <w:p w14:paraId="73D477E7" w14:textId="70E0278C" w:rsidR="001D5D17" w:rsidRDefault="00733FF0" w:rsidP="005C4E32">
      <w:pPr>
        <w:pStyle w:val="Normal-Style2"/>
      </w:pPr>
      <w:r w:rsidRPr="009A4FE9">
        <w:t xml:space="preserve">Following the closing date for applications, the </w:t>
      </w:r>
      <w:r>
        <w:t>d</w:t>
      </w:r>
      <w:r w:rsidRPr="009A4FE9">
        <w:t xml:space="preserve">epartment will undertake an initial </w:t>
      </w:r>
      <w:r w:rsidR="00495FA5">
        <w:t xml:space="preserve">eligibility </w:t>
      </w:r>
      <w:r w:rsidRPr="009A4FE9">
        <w:t>check to ensure each application is complete, that all necessary supporting documentation has been submitted as part of the application, and that it meets the Eligibilit</w:t>
      </w:r>
      <w:r>
        <w:t xml:space="preserve">y Criteria </w:t>
      </w:r>
      <w:r w:rsidR="00495FA5">
        <w:t xml:space="preserve">included at </w:t>
      </w:r>
      <w:r>
        <w:t>section</w:t>
      </w:r>
      <w:r w:rsidR="00A67C4E">
        <w:t> </w:t>
      </w:r>
      <w:r>
        <w:fldChar w:fldCharType="begin"/>
      </w:r>
      <w:r>
        <w:instrText xml:space="preserve"> REF _Ref109305621 \r \h </w:instrText>
      </w:r>
      <w:r w:rsidR="005C4E32">
        <w:instrText xml:space="preserve"> \* MERGEFORMAT </w:instrText>
      </w:r>
      <w:r>
        <w:fldChar w:fldCharType="separate"/>
      </w:r>
      <w:r w:rsidR="00711186">
        <w:t>4</w:t>
      </w:r>
      <w:r>
        <w:fldChar w:fldCharType="end"/>
      </w:r>
      <w:r w:rsidR="00495FA5">
        <w:t xml:space="preserve"> of these </w:t>
      </w:r>
      <w:r w:rsidR="00DB7E40">
        <w:t>Guidelines</w:t>
      </w:r>
      <w:r w:rsidRPr="009A4FE9">
        <w:t>.</w:t>
      </w:r>
      <w:r w:rsidR="009973BB">
        <w:t xml:space="preserve"> </w:t>
      </w:r>
      <w:r w:rsidR="001D5D17" w:rsidRPr="001D5D17">
        <w:t>We will consider eligible applications through a targeted competitive grant process</w:t>
      </w:r>
      <w:r w:rsidR="00981669">
        <w:t xml:space="preserve"> </w:t>
      </w:r>
      <w:r w:rsidR="00F55D69">
        <w:t>against the Assessment Criteria included at section 6 of these Gui</w:t>
      </w:r>
      <w:r w:rsidR="00FC5F2A">
        <w:t>d</w:t>
      </w:r>
      <w:r w:rsidR="00F55D69">
        <w:t>elines.</w:t>
      </w:r>
    </w:p>
    <w:p w14:paraId="73D477ED" w14:textId="190170D2" w:rsidR="001D5D17" w:rsidRPr="001D5D17" w:rsidRDefault="001D5D17" w:rsidP="005C4E32">
      <w:pPr>
        <w:pStyle w:val="Normal-Style2"/>
      </w:pPr>
      <w:r w:rsidRPr="001D5D17">
        <w:t xml:space="preserve">We may seek advice regarding your Proposed Solution from state or territory government agencies, other Australian Government agencies, independent </w:t>
      </w:r>
      <w:r w:rsidR="00E37925">
        <w:t xml:space="preserve">technical </w:t>
      </w:r>
      <w:r w:rsidRPr="001D5D17">
        <w:t>experts and other external parties. This advice may be taken into consideration when assessing the Proposed Solution.</w:t>
      </w:r>
    </w:p>
    <w:p w14:paraId="73D477EE" w14:textId="77777777" w:rsidR="001D5D17" w:rsidRPr="001D5D17" w:rsidRDefault="001D5D17" w:rsidP="005C4E32">
      <w:pPr>
        <w:pStyle w:val="Normal-Style2"/>
      </w:pPr>
      <w:r w:rsidRPr="001D5D17">
        <w:t>Where the level of information provided in an application is not sufficient for the assessors to make a recommendation they may, but are not obliged to, seek more information from the applicant so long as it does not change the substance of the application. If the assessment process identifies unintentional errors in your application, we may contact you to correct or clarify the errors, but you cannot make any material alteration or addition. It is therefore recommended that you thoroughly address the criteria in your application.</w:t>
      </w:r>
    </w:p>
    <w:p w14:paraId="73D477EF" w14:textId="4B7CAF59" w:rsidR="001D5D17" w:rsidRDefault="001D5D17" w:rsidP="005C4E32">
      <w:pPr>
        <w:pStyle w:val="Normal-Style2"/>
      </w:pPr>
      <w:r w:rsidRPr="00B841AA">
        <w:t xml:space="preserve">An </w:t>
      </w:r>
      <w:r w:rsidR="00BD214F">
        <w:t>assessment</w:t>
      </w:r>
      <w:r w:rsidRPr="00B841AA">
        <w:t xml:space="preserve"> committee </w:t>
      </w:r>
      <w:r w:rsidR="00CD7D72">
        <w:t xml:space="preserve">(see section 8.3) </w:t>
      </w:r>
      <w:r w:rsidRPr="00B841AA">
        <w:t xml:space="preserve">may seek additional information about your application. They may do this from within the Commonwealth, even if the sources are not nominated by you as referees. The </w:t>
      </w:r>
      <w:proofErr w:type="gramStart"/>
      <w:r w:rsidR="00BD214F">
        <w:t xml:space="preserve">assessment </w:t>
      </w:r>
      <w:r w:rsidRPr="00B841AA">
        <w:t xml:space="preserve"> committee</w:t>
      </w:r>
      <w:proofErr w:type="gramEnd"/>
      <w:r w:rsidRPr="00B841AA">
        <w:t xml:space="preserve"> may also consider information about you or your application that is available through the normal course of business.</w:t>
      </w:r>
    </w:p>
    <w:p w14:paraId="41DF0139" w14:textId="2ED5F05F" w:rsidR="00EB4320" w:rsidRDefault="00EB4320" w:rsidP="00EB4320">
      <w:pPr>
        <w:pStyle w:val="Normal-Style2"/>
      </w:pPr>
      <w:r>
        <w:t xml:space="preserve">Based on the recommendations of the Assessment Committee, the department will provide advice to the Decision Maker on recommended eligible Proposed Solutions and details of the assessment of each eligible Proposed Solution. </w:t>
      </w:r>
    </w:p>
    <w:p w14:paraId="3D7B60BC" w14:textId="54D1CE17" w:rsidR="00EB4320" w:rsidRPr="001D5D17" w:rsidRDefault="00EB4320" w:rsidP="00EB4320">
      <w:pPr>
        <w:pStyle w:val="Normal-Style2"/>
      </w:pPr>
      <w:r>
        <w:t>Recommendations to the Decision Maker will be ranked according to the outcomes of the assessment, from highest to lowest ranked, and annotated to identify when available funding has been exhausted.</w:t>
      </w:r>
    </w:p>
    <w:p w14:paraId="73D477F0" w14:textId="5E19CF80" w:rsidR="00733FF0" w:rsidRDefault="00733FF0" w:rsidP="005C4E32">
      <w:pPr>
        <w:pStyle w:val="Heading3"/>
        <w:ind w:left="1077" w:hanging="1077"/>
      </w:pPr>
      <w:bookmarkStart w:id="267" w:name="_Toc56425468"/>
      <w:bookmarkStart w:id="268" w:name="_Ref110515480"/>
      <w:bookmarkStart w:id="269" w:name="_Ref110516144"/>
      <w:bookmarkStart w:id="270" w:name="_Toc113442200"/>
      <w:bookmarkStart w:id="271" w:name="_Toc113357237"/>
      <w:bookmarkStart w:id="272" w:name="_Toc178085217"/>
      <w:r w:rsidRPr="00FD21FB">
        <w:t xml:space="preserve">Value </w:t>
      </w:r>
      <w:r w:rsidR="00DE026D">
        <w:t>with Relevant</w:t>
      </w:r>
      <w:r w:rsidR="00DE026D" w:rsidRPr="00FD21FB">
        <w:t xml:space="preserve"> </w:t>
      </w:r>
      <w:r>
        <w:t>M</w:t>
      </w:r>
      <w:r w:rsidRPr="00FD21FB">
        <w:t>oney</w:t>
      </w:r>
      <w:bookmarkEnd w:id="267"/>
      <w:bookmarkEnd w:id="268"/>
      <w:bookmarkEnd w:id="269"/>
      <w:bookmarkEnd w:id="270"/>
      <w:bookmarkEnd w:id="271"/>
      <w:bookmarkEnd w:id="272"/>
    </w:p>
    <w:p w14:paraId="73D477F1" w14:textId="4155AFA1" w:rsidR="001C520A" w:rsidRPr="00465300" w:rsidRDefault="001C520A" w:rsidP="005C4E32">
      <w:pPr>
        <w:pStyle w:val="Normal-Style2"/>
      </w:pPr>
      <w:r>
        <w:t xml:space="preserve">Following assessment against the Eligibility and Assessment Criteria, an assessment will also be undertaken to consider which of the Proposed Solutions represent the best Value </w:t>
      </w:r>
      <w:r w:rsidR="00DE026D">
        <w:t xml:space="preserve">with Relevant </w:t>
      </w:r>
      <w:r>
        <w:t xml:space="preserve">Money to the Commonwealth and </w:t>
      </w:r>
      <w:r>
        <w:lastRenderedPageBreak/>
        <w:t xml:space="preserve">whether they support a </w:t>
      </w:r>
      <w:r w:rsidR="009973BB">
        <w:t>G</w:t>
      </w:r>
      <w:r>
        <w:t xml:space="preserve">overnment priority. This is to ensure the grant will add value by achieving Program benefits that would not occur without the grant. This assessment will have regard to </w:t>
      </w:r>
      <w:r w:rsidRPr="00465300">
        <w:t xml:space="preserve">the overall Program and Grant Opportunity objectives. </w:t>
      </w:r>
    </w:p>
    <w:p w14:paraId="73D477F2" w14:textId="7C498E1F" w:rsidR="00B3219A" w:rsidRPr="00465300" w:rsidRDefault="001C520A" w:rsidP="005C4E32">
      <w:pPr>
        <w:pStyle w:val="Normal-Style2"/>
      </w:pPr>
      <w:r w:rsidRPr="00465300">
        <w:t>A</w:t>
      </w:r>
      <w:r w:rsidR="008F4A0A">
        <w:t xml:space="preserve"> </w:t>
      </w:r>
      <w:r w:rsidR="00B3219A" w:rsidRPr="00465300">
        <w:t xml:space="preserve">Value </w:t>
      </w:r>
      <w:r w:rsidR="00DE026D">
        <w:t>with Relevant</w:t>
      </w:r>
      <w:r w:rsidR="00DE026D" w:rsidRPr="00465300">
        <w:t xml:space="preserve"> </w:t>
      </w:r>
      <w:r w:rsidR="00B3219A" w:rsidRPr="00465300">
        <w:t xml:space="preserve">Money assessment for each Proposed Solution </w:t>
      </w:r>
      <w:r w:rsidRPr="00465300">
        <w:t xml:space="preserve">will be </w:t>
      </w:r>
      <w:r w:rsidR="00465300" w:rsidRPr="00465300">
        <w:t>undertaken.</w:t>
      </w:r>
      <w:r w:rsidR="004740D5">
        <w:t xml:space="preserve"> </w:t>
      </w:r>
      <w:r w:rsidR="00B3219A" w:rsidRPr="00465300">
        <w:t>Recommendations for funding will use the processes, requirements and Assessment Criteria set out in these Guidelines.</w:t>
      </w:r>
    </w:p>
    <w:p w14:paraId="73D477F3" w14:textId="03EB85ED" w:rsidR="00A96A87" w:rsidRDefault="00B3219A" w:rsidP="005C4E32">
      <w:pPr>
        <w:pStyle w:val="Normal-Style2"/>
      </w:pPr>
      <w:r>
        <w:t xml:space="preserve">Based on the overarching Value </w:t>
      </w:r>
      <w:r w:rsidR="00DE026D">
        <w:t xml:space="preserve">with Relevant </w:t>
      </w:r>
      <w:r>
        <w:t xml:space="preserve">Money assessment, the </w:t>
      </w:r>
      <w:r w:rsidR="00CD6880">
        <w:t>d</w:t>
      </w:r>
      <w:r>
        <w:t xml:space="preserve">epartment reserves the right to recommend funding one or more Proposed Solutions which were lower ranked against the Assessment Criteria than other </w:t>
      </w:r>
      <w:r w:rsidR="00E16648">
        <w:t xml:space="preserve">eligible </w:t>
      </w:r>
      <w:r>
        <w:t>Solutions</w:t>
      </w:r>
      <w:r w:rsidR="00E16648">
        <w:t>.</w:t>
      </w:r>
      <w:r w:rsidR="00F82A5D">
        <w:t xml:space="preserve"> For example</w:t>
      </w:r>
      <w:r w:rsidR="00A96A87">
        <w:t>:</w:t>
      </w:r>
    </w:p>
    <w:p w14:paraId="73D477F4" w14:textId="5F6AF300" w:rsidR="00A32EAF" w:rsidRDefault="00F82A5D" w:rsidP="00B0575A">
      <w:pPr>
        <w:pStyle w:val="ListBullet"/>
      </w:pPr>
      <w:r>
        <w:t xml:space="preserve">a lower ranked solution </w:t>
      </w:r>
      <w:r w:rsidR="00A96A87">
        <w:t xml:space="preserve">that has </w:t>
      </w:r>
      <w:r>
        <w:t xml:space="preserve">been designed </w:t>
      </w:r>
      <w:r w:rsidR="00A32EAF">
        <w:t xml:space="preserve">to target a </w:t>
      </w:r>
      <w:r>
        <w:t>localised coverage issue affecting a community</w:t>
      </w:r>
      <w:r w:rsidR="00A32EAF">
        <w:t>,</w:t>
      </w:r>
      <w:r>
        <w:t xml:space="preserve"> may offer better </w:t>
      </w:r>
      <w:r w:rsidR="00A96A87">
        <w:t>V</w:t>
      </w:r>
      <w:r>
        <w:t xml:space="preserve">alue </w:t>
      </w:r>
      <w:r w:rsidR="00DE026D">
        <w:t xml:space="preserve">with Relevant </w:t>
      </w:r>
      <w:r w:rsidR="00A96A87">
        <w:t>M</w:t>
      </w:r>
      <w:r>
        <w:t xml:space="preserve">oney compared to higher ranked solution that </w:t>
      </w:r>
      <w:r w:rsidR="00A96A87">
        <w:t>predominantly</w:t>
      </w:r>
      <w:r>
        <w:t xml:space="preserve"> </w:t>
      </w:r>
      <w:r w:rsidR="00A96A87">
        <w:t xml:space="preserve">achieves a higher score by providing improved </w:t>
      </w:r>
      <w:r>
        <w:t xml:space="preserve">coverage outcomes </w:t>
      </w:r>
      <w:r w:rsidR="00A96A87">
        <w:t xml:space="preserve">to </w:t>
      </w:r>
      <w:r>
        <w:t>distant hill tops</w:t>
      </w:r>
      <w:r w:rsidR="00A96A87">
        <w:t xml:space="preserve"> in unpopulated areas</w:t>
      </w:r>
      <w:r w:rsidR="00A32EAF">
        <w:t>; or</w:t>
      </w:r>
    </w:p>
    <w:p w14:paraId="73D477F5" w14:textId="77777777" w:rsidR="00B3219A" w:rsidRDefault="00A32EAF" w:rsidP="00B0575A">
      <w:pPr>
        <w:pStyle w:val="ListBullet"/>
      </w:pPr>
      <w:r>
        <w:t>a Proposed Solution may be significantly higher risk to deliver compared to a slightly lower ranked solution.</w:t>
      </w:r>
      <w:r w:rsidR="00F82A5D">
        <w:t xml:space="preserve"> </w:t>
      </w:r>
    </w:p>
    <w:p w14:paraId="73D477F6" w14:textId="190C370B" w:rsidR="00B3219A" w:rsidRDefault="00B3219A" w:rsidP="005C4E32">
      <w:pPr>
        <w:pStyle w:val="Normal-Style2"/>
      </w:pPr>
      <w:r>
        <w:t xml:space="preserve">Based on the Value </w:t>
      </w:r>
      <w:r w:rsidR="00DE026D">
        <w:t xml:space="preserve">with Relevant </w:t>
      </w:r>
      <w:r>
        <w:t xml:space="preserve">Money assessment, the </w:t>
      </w:r>
      <w:r w:rsidR="00F260B1">
        <w:t>d</w:t>
      </w:r>
      <w:r>
        <w:t>epartment also reserves the right to recommend not funding one or more Proposed Solutions which are highly ranked against the Assessment Criteria</w:t>
      </w:r>
      <w:r w:rsidR="00E16648">
        <w:t xml:space="preserve"> based on the Value </w:t>
      </w:r>
      <w:r w:rsidR="00DE026D">
        <w:t xml:space="preserve">with Relevant </w:t>
      </w:r>
      <w:r w:rsidR="00E16648">
        <w:t xml:space="preserve">Money Assessment. </w:t>
      </w:r>
    </w:p>
    <w:p w14:paraId="73D477F7" w14:textId="4F376148" w:rsidR="00B3219A" w:rsidRDefault="00B3219A" w:rsidP="005C4E32">
      <w:pPr>
        <w:pStyle w:val="Normal-Style2"/>
      </w:pPr>
      <w:r>
        <w:t xml:space="preserve">The </w:t>
      </w:r>
      <w:r w:rsidR="00F260B1">
        <w:t>d</w:t>
      </w:r>
      <w:r>
        <w:t>epartment may, at its absolute discretion, recommend increasing the level of Commonwealth funding for one or more Proposed Solutions above the maximum percentage per Proposed Solution as outlined in section 3.1.3</w:t>
      </w:r>
      <w:r w:rsidR="00495FA5">
        <w:t xml:space="preserve"> (Commonwealth Contribution)</w:t>
      </w:r>
      <w:r>
        <w:t xml:space="preserve">, should it be considered of higher Value </w:t>
      </w:r>
      <w:r w:rsidR="00DE026D">
        <w:t xml:space="preserve">with Relevant </w:t>
      </w:r>
      <w:r>
        <w:t>Money.</w:t>
      </w:r>
    </w:p>
    <w:p w14:paraId="73D477F8" w14:textId="3281D0FB" w:rsidR="00B3219A" w:rsidRPr="003F25BB" w:rsidRDefault="00D268BF" w:rsidP="005C4E32">
      <w:pPr>
        <w:pStyle w:val="Normal-Style2"/>
      </w:pPr>
      <w:r w:rsidRPr="003F25BB">
        <w:t xml:space="preserve">Factors that may be considered in the Value </w:t>
      </w:r>
      <w:r w:rsidR="00DE026D">
        <w:t>with Relevant</w:t>
      </w:r>
      <w:r w:rsidR="00DE026D" w:rsidRPr="003F25BB">
        <w:t xml:space="preserve"> </w:t>
      </w:r>
      <w:r w:rsidRPr="003F25BB">
        <w:t xml:space="preserve">Money assessment include, but are not limited to the: </w:t>
      </w:r>
    </w:p>
    <w:p w14:paraId="73D477F9" w14:textId="6BD72D9B" w:rsidR="00A57505" w:rsidRDefault="00A57505" w:rsidP="00B0575A">
      <w:pPr>
        <w:pStyle w:val="ListBullet"/>
      </w:pPr>
      <w:r w:rsidRPr="005541C4">
        <w:t>degree to which mobile services are improved at the location;</w:t>
      </w:r>
    </w:p>
    <w:p w14:paraId="73D477FA" w14:textId="1DA0F7D4" w:rsidR="00A32EAF" w:rsidRDefault="00A32EAF" w:rsidP="00B0575A">
      <w:pPr>
        <w:pStyle w:val="ListBullet"/>
        <w:numPr>
          <w:ilvl w:val="0"/>
          <w:numId w:val="0"/>
        </w:numPr>
        <w:ind w:left="2835"/>
      </w:pPr>
      <w:r>
        <w:t xml:space="preserve">level of </w:t>
      </w:r>
      <w:r w:rsidR="007A7717">
        <w:t xml:space="preserve">support from the </w:t>
      </w:r>
      <w:r>
        <w:t>local community and/or local council;</w:t>
      </w:r>
    </w:p>
    <w:p w14:paraId="406BFB4B" w14:textId="6FF0779C" w:rsidR="007A7717" w:rsidRDefault="007A7717" w:rsidP="00B0575A">
      <w:pPr>
        <w:pStyle w:val="ListBullet"/>
      </w:pPr>
      <w:r>
        <w:t xml:space="preserve">level of </w:t>
      </w:r>
      <w:r w:rsidRPr="00E83EEF">
        <w:t>support from local emergency management organisation</w:t>
      </w:r>
      <w:r w:rsidR="00930581">
        <w:t>s</w:t>
      </w:r>
      <w:r>
        <w:t>;</w:t>
      </w:r>
    </w:p>
    <w:p w14:paraId="73D477FB" w14:textId="7D527118" w:rsidR="00A32EAF" w:rsidRDefault="00A32EAF" w:rsidP="00B0575A">
      <w:pPr>
        <w:pStyle w:val="ListBullet"/>
      </w:pPr>
      <w:r w:rsidRPr="005541C4">
        <w:t>any relevant risk issues</w:t>
      </w:r>
      <w:r w:rsidR="007A7717">
        <w:t>, including the degree to which a location is</w:t>
      </w:r>
      <w:r w:rsidR="00F55D69">
        <w:t xml:space="preserve"> </w:t>
      </w:r>
      <w:r w:rsidR="007A7717">
        <w:t>at risk from natural disasters</w:t>
      </w:r>
      <w:r w:rsidR="00143F6C">
        <w:t>, including bushfires,</w:t>
      </w:r>
      <w:r w:rsidR="007A7717">
        <w:t xml:space="preserve"> based on the relevant state, territory and/or local government frameworks</w:t>
      </w:r>
      <w:r w:rsidRPr="005541C4">
        <w:t>;</w:t>
      </w:r>
    </w:p>
    <w:p w14:paraId="73D477FC" w14:textId="77777777" w:rsidR="003F25BB" w:rsidRPr="005541C4" w:rsidRDefault="003F25BB" w:rsidP="00B0575A">
      <w:pPr>
        <w:pStyle w:val="ListBullet"/>
      </w:pPr>
      <w:r w:rsidRPr="005541C4">
        <w:t xml:space="preserve">length of major rail and/or road transport routes, not limited to those included in the Program as </w:t>
      </w:r>
      <w:r>
        <w:t>Eligible Locations</w:t>
      </w:r>
      <w:r w:rsidRPr="005541C4">
        <w:t xml:space="preserve">, that will receive New </w:t>
      </w:r>
      <w:r w:rsidR="00D10DDC" w:rsidRPr="00007834">
        <w:t xml:space="preserve">Improved </w:t>
      </w:r>
      <w:r w:rsidRPr="00007834">
        <w:t>Handheld Coverage, or coverage that is new for a participating MNO but</w:t>
      </w:r>
      <w:r w:rsidRPr="005541C4">
        <w:t xml:space="preserve"> overlaps with another MNO’s network, from the Proposed Solution; </w:t>
      </w:r>
    </w:p>
    <w:p w14:paraId="73D477FD" w14:textId="109617C4" w:rsidR="00B3219A" w:rsidRPr="005541C4" w:rsidRDefault="00D268BF" w:rsidP="00B0575A">
      <w:pPr>
        <w:pStyle w:val="ListBullet"/>
      </w:pPr>
      <w:r>
        <w:t>extent to which the Proposed Solution would contribute to the Program objectives, including addressing an</w:t>
      </w:r>
      <w:r w:rsidR="00BE0ABA">
        <w:t>y</w:t>
      </w:r>
      <w:r>
        <w:t xml:space="preserve"> identified local priority or </w:t>
      </w:r>
      <w:r w:rsidR="004740D5">
        <w:t>G</w:t>
      </w:r>
      <w:r>
        <w:t>overnment priority</w:t>
      </w:r>
      <w:r w:rsidR="00F260B1">
        <w:t>;</w:t>
      </w:r>
      <w:r w:rsidR="00B3219A" w:rsidRPr="005541C4">
        <w:t xml:space="preserve"> </w:t>
      </w:r>
    </w:p>
    <w:p w14:paraId="73D477FE" w14:textId="512F7C43" w:rsidR="000813F4" w:rsidRDefault="00B3219A" w:rsidP="00B0575A">
      <w:pPr>
        <w:pStyle w:val="ListBullet"/>
      </w:pPr>
      <w:r w:rsidRPr="005541C4">
        <w:t xml:space="preserve">the degree </w:t>
      </w:r>
      <w:r w:rsidR="0093759A">
        <w:t>to</w:t>
      </w:r>
      <w:r w:rsidRPr="005541C4">
        <w:t xml:space="preserve"> which competition is </w:t>
      </w:r>
      <w:r w:rsidR="003F3884" w:rsidRPr="005541C4">
        <w:t xml:space="preserve">provided </w:t>
      </w:r>
      <w:r w:rsidR="003F3884" w:rsidRPr="00C86BFA">
        <w:rPr>
          <w:b/>
          <w:i/>
        </w:rPr>
        <w:t>or enabled</w:t>
      </w:r>
      <w:r w:rsidR="003F3884">
        <w:t xml:space="preserve"> </w:t>
      </w:r>
      <w:r w:rsidR="003F3884" w:rsidRPr="005541C4">
        <w:t>at a single solution, for example from at least two</w:t>
      </w:r>
      <w:r w:rsidR="003F3884">
        <w:t xml:space="preserve"> </w:t>
      </w:r>
      <w:r w:rsidR="003F3884" w:rsidRPr="005541C4">
        <w:t>MNOs</w:t>
      </w:r>
      <w:r w:rsidR="003F3884">
        <w:t xml:space="preserve"> (i.e. delivers </w:t>
      </w:r>
      <w:r w:rsidR="003F3884" w:rsidRPr="003F25BB">
        <w:rPr>
          <w:b/>
        </w:rPr>
        <w:t>Multi-MNO outcomes</w:t>
      </w:r>
      <w:r w:rsidR="003F3884" w:rsidRPr="00C86BFA">
        <w:t>)</w:t>
      </w:r>
      <w:r w:rsidR="003F3884">
        <w:t xml:space="preserve"> </w:t>
      </w:r>
      <w:r w:rsidR="003F3884" w:rsidRPr="003F3884">
        <w:rPr>
          <w:b/>
          <w:i/>
        </w:rPr>
        <w:t xml:space="preserve">or an active sharing solution </w:t>
      </w:r>
      <w:r w:rsidR="003F3884" w:rsidRPr="00942954">
        <w:rPr>
          <w:b/>
          <w:i/>
        </w:rPr>
        <w:t xml:space="preserve">led by an </w:t>
      </w:r>
      <w:proofErr w:type="spellStart"/>
      <w:r w:rsidR="003F3884" w:rsidRPr="00942954">
        <w:rPr>
          <w:b/>
          <w:i/>
        </w:rPr>
        <w:t>MNIP</w:t>
      </w:r>
      <w:proofErr w:type="spellEnd"/>
      <w:r w:rsidR="003F3884" w:rsidRPr="00942954">
        <w:rPr>
          <w:b/>
          <w:i/>
        </w:rPr>
        <w:t xml:space="preserve"> with one or more MNOs</w:t>
      </w:r>
      <w:r w:rsidR="000813F4">
        <w:t>;</w:t>
      </w:r>
    </w:p>
    <w:p w14:paraId="73D477FF" w14:textId="77777777" w:rsidR="000813F4" w:rsidRDefault="000813F4" w:rsidP="00B0575A">
      <w:pPr>
        <w:pStyle w:val="ListBullet"/>
      </w:pPr>
      <w:r>
        <w:t xml:space="preserve">extent to which the Proposed Solution leverages additional partnerships and in-kind contributions; </w:t>
      </w:r>
    </w:p>
    <w:p w14:paraId="73D47800" w14:textId="57CF8DA6" w:rsidR="00B3219A" w:rsidRPr="000813F4" w:rsidRDefault="00A57505" w:rsidP="00B0575A">
      <w:pPr>
        <w:pStyle w:val="ListBullet"/>
      </w:pPr>
      <w:r w:rsidRPr="000813F4">
        <w:lastRenderedPageBreak/>
        <w:t>c</w:t>
      </w:r>
      <w:r w:rsidR="00B3219A" w:rsidRPr="000813F4">
        <w:t>ost to the Commonwealth of the Proposed Solution</w:t>
      </w:r>
      <w:r w:rsidR="00495FA5">
        <w:t xml:space="preserve"> (Commonwealth contribution only)</w:t>
      </w:r>
      <w:r w:rsidR="007D2D69" w:rsidRPr="000813F4">
        <w:t xml:space="preserve">; </w:t>
      </w:r>
    </w:p>
    <w:p w14:paraId="73D47801" w14:textId="4FDA5B85" w:rsidR="00A57505" w:rsidRPr="005541C4" w:rsidRDefault="00A57505" w:rsidP="00B0575A">
      <w:pPr>
        <w:pStyle w:val="ListBullet"/>
      </w:pPr>
      <w:r w:rsidRPr="00C12400">
        <w:t xml:space="preserve">nature of the costs included in the estimated Asset Capital Cost </w:t>
      </w:r>
      <w:r w:rsidR="00930581">
        <w:t>and Operation</w:t>
      </w:r>
      <w:r w:rsidR="0093759A">
        <w:t>al</w:t>
      </w:r>
      <w:r w:rsidR="00930581">
        <w:t xml:space="preserve"> Costs </w:t>
      </w:r>
      <w:r w:rsidRPr="00C12400">
        <w:t xml:space="preserve">for the </w:t>
      </w:r>
      <w:r w:rsidR="00B16950" w:rsidRPr="00C12400">
        <w:t>Proposed</w:t>
      </w:r>
      <w:r w:rsidRPr="00C12400">
        <w:t xml:space="preserve"> Solution</w:t>
      </w:r>
      <w:r w:rsidR="007D2D69">
        <w:t>;</w:t>
      </w:r>
    </w:p>
    <w:p w14:paraId="73D47802" w14:textId="77777777" w:rsidR="00507038" w:rsidRPr="00507038" w:rsidRDefault="007D2D69" w:rsidP="00B0575A">
      <w:pPr>
        <w:pStyle w:val="ListBullet"/>
      </w:pPr>
      <w:r>
        <w:t xml:space="preserve">the applicant’s </w:t>
      </w:r>
      <w:r w:rsidR="00980C0E" w:rsidRPr="005541C4">
        <w:t>track record</w:t>
      </w:r>
      <w:r>
        <w:t xml:space="preserve"> of delivering</w:t>
      </w:r>
      <w:r w:rsidR="00D43C36">
        <w:t xml:space="preserve"> similar</w:t>
      </w:r>
      <w:r>
        <w:t xml:space="preserve"> grants</w:t>
      </w:r>
      <w:r w:rsidR="00D43C36">
        <w:t xml:space="preserve"> projects</w:t>
      </w:r>
      <w:r w:rsidR="00507038">
        <w:t>; and</w:t>
      </w:r>
    </w:p>
    <w:p w14:paraId="73D47803" w14:textId="77777777" w:rsidR="007D2D69" w:rsidRPr="00507038" w:rsidRDefault="00507038" w:rsidP="00B0575A">
      <w:pPr>
        <w:pStyle w:val="ListBullet"/>
        <w:rPr>
          <w:rFonts w:cstheme="minorHAnsi"/>
        </w:rPr>
      </w:pPr>
      <w:r>
        <w:t xml:space="preserve">any additional connectivity benefits offered by the Proposed Solution to the target area including services offering </w:t>
      </w:r>
      <w:r w:rsidRPr="00703C7F">
        <w:t xml:space="preserve">from </w:t>
      </w:r>
      <w:r w:rsidR="00685DAC">
        <w:t xml:space="preserve">a </w:t>
      </w:r>
      <w:r w:rsidRPr="00703C7F">
        <w:rPr>
          <w:rFonts w:cstheme="minorHAnsi"/>
        </w:rPr>
        <w:t>Non-National Mobile Network Operator</w:t>
      </w:r>
      <w:r>
        <w:rPr>
          <w:rFonts w:cstheme="minorHAnsi"/>
        </w:rPr>
        <w:t>.</w:t>
      </w:r>
    </w:p>
    <w:p w14:paraId="3C6073A2" w14:textId="24714CE7" w:rsidR="00FC5F2A" w:rsidRDefault="00FC5F2A" w:rsidP="005C4E32">
      <w:pPr>
        <w:pStyle w:val="Normal-Style2"/>
      </w:pPr>
      <w:r>
        <w:t xml:space="preserve">Where possible, the assessment committee may recommend funding at least one Proposed Solution at each of the Eligible Locations, provided the particular solution achieves Value </w:t>
      </w:r>
      <w:r w:rsidR="00DE026D">
        <w:t xml:space="preserve">with Relevant </w:t>
      </w:r>
      <w:r>
        <w:t>Money.</w:t>
      </w:r>
      <w:r w:rsidR="003F3884">
        <w:t xml:space="preserve"> This is intended to achieve the policy objectives of the program across the range of eligible locations, rather than see outcomes delivered only to the most commercially viable or populous locations.</w:t>
      </w:r>
    </w:p>
    <w:p w14:paraId="73D47804" w14:textId="23596811" w:rsidR="00E83033" w:rsidRPr="009257F3" w:rsidRDefault="00E83033" w:rsidP="005C4E32">
      <w:pPr>
        <w:pStyle w:val="Normal-Style2"/>
      </w:pPr>
      <w:r w:rsidRPr="009257F3">
        <w:t xml:space="preserve">Any other Value </w:t>
      </w:r>
      <w:r w:rsidR="00DE026D">
        <w:t>with Relevant</w:t>
      </w:r>
      <w:r w:rsidR="00DE026D" w:rsidRPr="009257F3">
        <w:t xml:space="preserve"> </w:t>
      </w:r>
      <w:r w:rsidRPr="009257F3">
        <w:t xml:space="preserve">Money considerations </w:t>
      </w:r>
      <w:proofErr w:type="gramStart"/>
      <w:r w:rsidRPr="009257F3">
        <w:t>taken into account</w:t>
      </w:r>
      <w:proofErr w:type="gramEnd"/>
      <w:r w:rsidRPr="009257F3">
        <w:t xml:space="preserve"> by the </w:t>
      </w:r>
      <w:r w:rsidR="00BD214F">
        <w:t>assessment</w:t>
      </w:r>
      <w:r w:rsidRPr="009257F3">
        <w:t xml:space="preserve"> committee will be documented and form part of the advice to the Decision Maker. </w:t>
      </w:r>
    </w:p>
    <w:p w14:paraId="73D47805" w14:textId="6FEEF61E" w:rsidR="00733FF0" w:rsidRDefault="00733FF0" w:rsidP="005C4E32">
      <w:pPr>
        <w:pStyle w:val="Heading3"/>
        <w:ind w:left="1077" w:hanging="1077"/>
      </w:pPr>
      <w:bookmarkStart w:id="273" w:name="_Toc138639138"/>
      <w:bookmarkStart w:id="274" w:name="_Toc110514791"/>
      <w:bookmarkStart w:id="275" w:name="_Toc110514898"/>
      <w:bookmarkStart w:id="276" w:name="_Toc110514792"/>
      <w:bookmarkStart w:id="277" w:name="_Toc110514899"/>
      <w:bookmarkStart w:id="278" w:name="_Ref109304960"/>
      <w:bookmarkStart w:id="279" w:name="_Toc113442202"/>
      <w:bookmarkStart w:id="280" w:name="_Toc113357239"/>
      <w:bookmarkStart w:id="281" w:name="_Toc178085218"/>
      <w:bookmarkEnd w:id="273"/>
      <w:bookmarkEnd w:id="274"/>
      <w:bookmarkEnd w:id="275"/>
      <w:bookmarkEnd w:id="276"/>
      <w:bookmarkEnd w:id="277"/>
      <w:r>
        <w:t>Who will assess applications?</w:t>
      </w:r>
      <w:bookmarkEnd w:id="278"/>
      <w:bookmarkEnd w:id="279"/>
      <w:bookmarkEnd w:id="280"/>
      <w:bookmarkEnd w:id="281"/>
    </w:p>
    <w:p w14:paraId="73D47806" w14:textId="495F30A8" w:rsidR="004746F7" w:rsidRDefault="004746F7" w:rsidP="005C4E32">
      <w:pPr>
        <w:pStyle w:val="Normal-Style2"/>
      </w:pPr>
      <w:r w:rsidRPr="009273AE">
        <w:t xml:space="preserve">The department will establish an </w:t>
      </w:r>
      <w:r w:rsidR="00BD214F">
        <w:t>assessment</w:t>
      </w:r>
      <w:r w:rsidRPr="009273AE">
        <w:t xml:space="preserve"> committee, comprising appropriately skilled officials from the department. Committee members may also be drawn from </w:t>
      </w:r>
      <w:r>
        <w:t xml:space="preserve">other </w:t>
      </w:r>
      <w:r w:rsidRPr="009273AE">
        <w:t>Commonwealth agencies</w:t>
      </w:r>
      <w:r>
        <w:t xml:space="preserve"> and relevant entities</w:t>
      </w:r>
      <w:r w:rsidRPr="009273AE">
        <w:t xml:space="preserve"> such as the National Emergency Management Agency.</w:t>
      </w:r>
    </w:p>
    <w:p w14:paraId="73D47807" w14:textId="0A49A549" w:rsidR="004746F7" w:rsidRDefault="00902C50" w:rsidP="005C4E32">
      <w:pPr>
        <w:pStyle w:val="Normal-Style2"/>
      </w:pPr>
      <w:r>
        <w:t>The</w:t>
      </w:r>
      <w:r w:rsidR="00BD214F">
        <w:t xml:space="preserve"> assessment</w:t>
      </w:r>
      <w:r>
        <w:t xml:space="preserve"> committee will assess each application on its own merits and compare it to other eligible applications before recommending which Proposed Solutions should be awarded a grant (if any).  </w:t>
      </w:r>
    </w:p>
    <w:p w14:paraId="73D47808" w14:textId="617BD9BA" w:rsidR="004746F7" w:rsidRDefault="00902C50" w:rsidP="005C4E32">
      <w:pPr>
        <w:pStyle w:val="Normal-Style2"/>
      </w:pPr>
      <w:r>
        <w:t xml:space="preserve">We may ask external advisors </w:t>
      </w:r>
      <w:r w:rsidR="003B2A3B">
        <w:t xml:space="preserve">(such as technical experts and probity advisors) </w:t>
      </w:r>
      <w:r>
        <w:t xml:space="preserve">to inform the assessment process. Any </w:t>
      </w:r>
      <w:r w:rsidR="004746F7">
        <w:t xml:space="preserve">third party or </w:t>
      </w:r>
      <w:r>
        <w:t xml:space="preserve">advisor who is not a Commonwealth Official will be required to perform their duties in accordance with the </w:t>
      </w:r>
      <w:hyperlink r:id="rId33" w:history="1">
        <w:proofErr w:type="spellStart"/>
        <w:r w:rsidRPr="008567F7">
          <w:rPr>
            <w:rStyle w:val="Hyperlink"/>
          </w:rPr>
          <w:t>CGRGs</w:t>
        </w:r>
        <w:proofErr w:type="spellEnd"/>
      </w:hyperlink>
      <w:r w:rsidR="00E37925">
        <w:t>, and comply with the conflict of interest requirements set out at section 13.3.</w:t>
      </w:r>
    </w:p>
    <w:p w14:paraId="73D4780A" w14:textId="299FFB0A" w:rsidR="00733FF0" w:rsidRDefault="00733FF0" w:rsidP="005C4E32">
      <w:pPr>
        <w:pStyle w:val="Heading3"/>
        <w:ind w:left="1077" w:hanging="1077"/>
      </w:pPr>
      <w:bookmarkStart w:id="282" w:name="_Ref109304967"/>
      <w:bookmarkStart w:id="283" w:name="_Toc113442203"/>
      <w:bookmarkStart w:id="284" w:name="_Toc113357240"/>
      <w:bookmarkStart w:id="285" w:name="_Toc178085219"/>
      <w:r>
        <w:t>Who will approve grants?</w:t>
      </w:r>
      <w:bookmarkEnd w:id="282"/>
      <w:bookmarkEnd w:id="283"/>
      <w:bookmarkEnd w:id="284"/>
      <w:bookmarkEnd w:id="285"/>
    </w:p>
    <w:p w14:paraId="73D4780B" w14:textId="77777777" w:rsidR="009511A9" w:rsidRDefault="00733FF0" w:rsidP="005C4E32">
      <w:pPr>
        <w:pStyle w:val="Normal-Style2"/>
      </w:pPr>
      <w:r w:rsidRPr="009A4FE9">
        <w:t xml:space="preserve">The Decision Maker for the Program is the Minister for Communications. </w:t>
      </w:r>
    </w:p>
    <w:p w14:paraId="73D4780C" w14:textId="6FDECFD9" w:rsidR="009511A9" w:rsidRDefault="009C0417" w:rsidP="005C4E32">
      <w:pPr>
        <w:pStyle w:val="Normal-Style2"/>
      </w:pPr>
      <w:r>
        <w:t xml:space="preserve">The Decision Maker decides which grants to approve, </w:t>
      </w:r>
      <w:proofErr w:type="gramStart"/>
      <w:r>
        <w:t>taking into account</w:t>
      </w:r>
      <w:proofErr w:type="gramEnd"/>
      <w:r>
        <w:t xml:space="preserve"> the recommendation</w:t>
      </w:r>
      <w:r w:rsidR="00F2446C">
        <w:t>s</w:t>
      </w:r>
      <w:r>
        <w:t xml:space="preserve"> of the </w:t>
      </w:r>
      <w:r w:rsidR="00BD214F">
        <w:t xml:space="preserve">assessment </w:t>
      </w:r>
      <w:r>
        <w:t xml:space="preserve">committee and the availability of grant funds for the purposes of the Grant Opportunity. </w:t>
      </w:r>
    </w:p>
    <w:p w14:paraId="73D4780D" w14:textId="77777777" w:rsidR="008E4B24" w:rsidRDefault="00733FF0" w:rsidP="005C4E32">
      <w:pPr>
        <w:pStyle w:val="Normal-Style2"/>
      </w:pPr>
      <w:r w:rsidRPr="009A4FE9">
        <w:t xml:space="preserve">The </w:t>
      </w:r>
      <w:r w:rsidR="009B05C8">
        <w:t>Minister’s decision is final in all matters, including the</w:t>
      </w:r>
      <w:r w:rsidR="007278DE">
        <w:t>:</w:t>
      </w:r>
    </w:p>
    <w:p w14:paraId="73D4780E" w14:textId="77777777" w:rsidR="00733FF0" w:rsidRPr="0081501A" w:rsidRDefault="003753C6" w:rsidP="00B0575A">
      <w:pPr>
        <w:pStyle w:val="ListBullet"/>
      </w:pPr>
      <w:r>
        <w:t>a</w:t>
      </w:r>
      <w:r w:rsidR="00733FF0" w:rsidRPr="000D73F6">
        <w:t>pprov</w:t>
      </w:r>
      <w:r>
        <w:t>al of</w:t>
      </w:r>
      <w:r w:rsidR="00733FF0" w:rsidRPr="0081501A">
        <w:t xml:space="preserve"> recommendations;</w:t>
      </w:r>
    </w:p>
    <w:p w14:paraId="73D4780F" w14:textId="77777777" w:rsidR="00733FF0" w:rsidRDefault="009B05C8" w:rsidP="00B0575A">
      <w:pPr>
        <w:pStyle w:val="ListBullet"/>
      </w:pPr>
      <w:r>
        <w:t xml:space="preserve">amount of grant funding </w:t>
      </w:r>
      <w:r w:rsidR="009511A9">
        <w:t xml:space="preserve">to be </w:t>
      </w:r>
      <w:r>
        <w:t>awarded</w:t>
      </w:r>
      <w:r w:rsidR="00733FF0" w:rsidRPr="000D73F6">
        <w:t>; and</w:t>
      </w:r>
    </w:p>
    <w:p w14:paraId="73D47810" w14:textId="77777777" w:rsidR="007278DE" w:rsidRPr="000D73F6" w:rsidRDefault="007278DE" w:rsidP="00B0575A">
      <w:pPr>
        <w:pStyle w:val="ListBullet"/>
      </w:pPr>
      <w:r w:rsidRPr="007278DE">
        <w:t xml:space="preserve">terms and conditions of </w:t>
      </w:r>
      <w:r w:rsidR="009511A9">
        <w:t xml:space="preserve">grant </w:t>
      </w:r>
      <w:r w:rsidRPr="007278DE">
        <w:t>funding.</w:t>
      </w:r>
    </w:p>
    <w:p w14:paraId="73D47811" w14:textId="3EA4045F" w:rsidR="009B05C8" w:rsidRPr="003753C6" w:rsidRDefault="009B05C8" w:rsidP="005C4E32">
      <w:pPr>
        <w:pStyle w:val="Normal-Style2"/>
      </w:pPr>
      <w:r w:rsidRPr="007278DE">
        <w:t>There is no appeal mechanism for decision to approve or</w:t>
      </w:r>
      <w:r>
        <w:t xml:space="preserve"> not approve a grant. An applicant who is dissatisfied with the outcome may contact the Commonwealth Ombudsman as set out </w:t>
      </w:r>
      <w:r w:rsidRPr="003753C6">
        <w:t>in section 13.</w:t>
      </w:r>
      <w:r w:rsidR="004740D5">
        <w:t>2</w:t>
      </w:r>
      <w:r w:rsidRPr="003753C6">
        <w:t xml:space="preserve">. </w:t>
      </w:r>
    </w:p>
    <w:p w14:paraId="73D47812" w14:textId="77777777" w:rsidR="00733FF0" w:rsidRDefault="00733FF0" w:rsidP="00F739AC">
      <w:pPr>
        <w:pStyle w:val="Heading2"/>
      </w:pPr>
      <w:bookmarkStart w:id="286" w:name="_Toc113442204"/>
      <w:bookmarkStart w:id="287" w:name="_Toc113357241"/>
      <w:bookmarkStart w:id="288" w:name="_Toc178085220"/>
      <w:r>
        <w:lastRenderedPageBreak/>
        <w:t>Notification of application outcomes</w:t>
      </w:r>
      <w:bookmarkEnd w:id="286"/>
      <w:bookmarkEnd w:id="287"/>
      <w:bookmarkEnd w:id="288"/>
    </w:p>
    <w:p w14:paraId="73D47813" w14:textId="77777777" w:rsidR="00733FF0" w:rsidRDefault="00733FF0" w:rsidP="005C4E32">
      <w:pPr>
        <w:pStyle w:val="Heading3"/>
        <w:ind w:left="1077" w:hanging="1077"/>
      </w:pPr>
      <w:bookmarkStart w:id="289" w:name="_Toc56425474"/>
      <w:bookmarkStart w:id="290" w:name="_Toc90294853"/>
      <w:bookmarkStart w:id="291" w:name="_Toc113442205"/>
      <w:bookmarkStart w:id="292" w:name="_Toc113357242"/>
      <w:bookmarkStart w:id="293" w:name="_Toc178085221"/>
      <w:r>
        <w:t>A</w:t>
      </w:r>
      <w:r w:rsidRPr="00FB0C71">
        <w:t>pplication</w:t>
      </w:r>
      <w:r>
        <w:t xml:space="preserve"> outcomes</w:t>
      </w:r>
      <w:bookmarkEnd w:id="289"/>
      <w:bookmarkEnd w:id="290"/>
      <w:bookmarkEnd w:id="291"/>
      <w:bookmarkEnd w:id="292"/>
      <w:bookmarkEnd w:id="293"/>
    </w:p>
    <w:p w14:paraId="73D47814" w14:textId="77777777" w:rsidR="00733FF0" w:rsidRDefault="00282D04" w:rsidP="005C4E32">
      <w:pPr>
        <w:pStyle w:val="Normal-Style2"/>
      </w:pPr>
      <w:r>
        <w:t xml:space="preserve">We will advise you of the outcome of your application in writing. </w:t>
      </w:r>
      <w:r w:rsidR="00D17EA8">
        <w:t xml:space="preserve">If you are successful, we will advise you of any specific conditions attached to the </w:t>
      </w:r>
      <w:r w:rsidR="008118AC">
        <w:t>G</w:t>
      </w:r>
      <w:r w:rsidR="00D17EA8">
        <w:t xml:space="preserve">rant. </w:t>
      </w:r>
    </w:p>
    <w:p w14:paraId="73D47815" w14:textId="77777777" w:rsidR="00733FF0" w:rsidRPr="005D6A76" w:rsidRDefault="00733FF0" w:rsidP="005C4E32">
      <w:pPr>
        <w:pStyle w:val="Heading3"/>
        <w:ind w:left="1077" w:hanging="1077"/>
      </w:pPr>
      <w:bookmarkStart w:id="294" w:name="_Toc50044048"/>
      <w:bookmarkStart w:id="295" w:name="_Toc56425475"/>
      <w:bookmarkStart w:id="296" w:name="_Toc90294854"/>
      <w:bookmarkStart w:id="297" w:name="_Toc113442206"/>
      <w:bookmarkStart w:id="298" w:name="_Toc113357243"/>
      <w:bookmarkStart w:id="299" w:name="_Toc178085222"/>
      <w:r w:rsidRPr="005D6A76">
        <w:t>Feedback on your application</w:t>
      </w:r>
      <w:bookmarkEnd w:id="294"/>
      <w:bookmarkEnd w:id="295"/>
      <w:bookmarkEnd w:id="296"/>
      <w:bookmarkEnd w:id="297"/>
      <w:bookmarkEnd w:id="298"/>
      <w:bookmarkEnd w:id="299"/>
    </w:p>
    <w:p w14:paraId="73D47816" w14:textId="77777777" w:rsidR="00733FF0" w:rsidRPr="005D6A76" w:rsidRDefault="00D17EA8" w:rsidP="005C4E32">
      <w:pPr>
        <w:pStyle w:val="Normal-Style2"/>
      </w:pPr>
      <w:r w:rsidRPr="005D6A76">
        <w:t>If you are unsuccessful in obtaining a grant, you may ask for feedback with</w:t>
      </w:r>
      <w:r w:rsidR="00F2446C" w:rsidRPr="005D6A76">
        <w:t>in</w:t>
      </w:r>
      <w:r w:rsidRPr="005D6A76">
        <w:t xml:space="preserve"> 28 days of being advised of the outcome. We will provide written feedback within one month of your request. </w:t>
      </w:r>
    </w:p>
    <w:p w14:paraId="73D47817" w14:textId="3C8A01F3" w:rsidR="00733FF0" w:rsidRPr="005D6A76" w:rsidRDefault="00733FF0" w:rsidP="005C4E32">
      <w:pPr>
        <w:pStyle w:val="Normal-Style2"/>
        <w:rPr>
          <w:rStyle w:val="highlightedtextChar"/>
          <w:b w:val="0"/>
          <w:color w:val="auto"/>
        </w:rPr>
      </w:pPr>
      <w:r w:rsidRPr="005D6A76">
        <w:rPr>
          <w:rStyle w:val="highlightedtextChar"/>
          <w:b w:val="0"/>
          <w:color w:val="auto"/>
        </w:rPr>
        <w:t>If there are not enough suitable applications to</w:t>
      </w:r>
      <w:r w:rsidR="00993A7B" w:rsidRPr="005D6A76">
        <w:rPr>
          <w:rStyle w:val="highlightedtextChar"/>
          <w:b w:val="0"/>
          <w:color w:val="auto"/>
        </w:rPr>
        <w:t xml:space="preserve"> expend the $20 million (GST exclusive) allocated to the Program, any unallocated funding </w:t>
      </w:r>
      <w:r w:rsidR="00796A10">
        <w:rPr>
          <w:rStyle w:val="highlightedtextChar"/>
          <w:b w:val="0"/>
          <w:color w:val="auto"/>
        </w:rPr>
        <w:t>may</w:t>
      </w:r>
      <w:r w:rsidR="00796A10" w:rsidRPr="005D6A76">
        <w:rPr>
          <w:rStyle w:val="highlightedtextChar"/>
          <w:b w:val="0"/>
          <w:color w:val="auto"/>
        </w:rPr>
        <w:t xml:space="preserve"> </w:t>
      </w:r>
      <w:r w:rsidR="00993A7B" w:rsidRPr="005D6A76">
        <w:rPr>
          <w:rStyle w:val="highlightedtextChar"/>
          <w:b w:val="0"/>
          <w:color w:val="auto"/>
        </w:rPr>
        <w:t xml:space="preserve">be allocated </w:t>
      </w:r>
      <w:r w:rsidR="00890876">
        <w:rPr>
          <w:rStyle w:val="highlightedtextChar"/>
          <w:b w:val="0"/>
          <w:color w:val="auto"/>
        </w:rPr>
        <w:t xml:space="preserve">to </w:t>
      </w:r>
      <w:r w:rsidR="00993A7B" w:rsidRPr="005D6A76">
        <w:rPr>
          <w:rStyle w:val="highlightedtextChar"/>
          <w:b w:val="0"/>
          <w:color w:val="auto"/>
        </w:rPr>
        <w:t>Round 3 of the P</w:t>
      </w:r>
      <w:r w:rsidR="00EF38AE">
        <w:rPr>
          <w:rStyle w:val="highlightedtextChar"/>
          <w:b w:val="0"/>
          <w:color w:val="auto"/>
        </w:rPr>
        <w:t>eri-Urban Mobile Program</w:t>
      </w:r>
      <w:r w:rsidRPr="005D6A76">
        <w:rPr>
          <w:rStyle w:val="highlightedtextChar"/>
          <w:b w:val="0"/>
          <w:color w:val="auto"/>
        </w:rPr>
        <w:t>.</w:t>
      </w:r>
    </w:p>
    <w:p w14:paraId="73D47818" w14:textId="77777777" w:rsidR="00733FF0" w:rsidRDefault="00733FF0" w:rsidP="00F739AC">
      <w:pPr>
        <w:pStyle w:val="Heading2"/>
      </w:pPr>
      <w:bookmarkStart w:id="300" w:name="_Toc113442208"/>
      <w:bookmarkStart w:id="301" w:name="_Toc113357245"/>
      <w:bookmarkStart w:id="302" w:name="_Toc178085223"/>
      <w:bookmarkStart w:id="303" w:name="_Toc164844284"/>
      <w:bookmarkEnd w:id="181"/>
      <w:bookmarkEnd w:id="182"/>
      <w:r>
        <w:t>Successful grant applications</w:t>
      </w:r>
      <w:bookmarkEnd w:id="300"/>
      <w:bookmarkEnd w:id="301"/>
      <w:bookmarkEnd w:id="302"/>
    </w:p>
    <w:p w14:paraId="73D47819" w14:textId="77777777" w:rsidR="00733FF0" w:rsidRDefault="00733FF0" w:rsidP="005C4E32">
      <w:pPr>
        <w:pStyle w:val="Heading3"/>
        <w:ind w:left="1077" w:hanging="1077"/>
      </w:pPr>
      <w:bookmarkStart w:id="304" w:name="_Toc50044050"/>
      <w:bookmarkStart w:id="305" w:name="_Toc56425477"/>
      <w:bookmarkStart w:id="306" w:name="_Toc90294856"/>
      <w:bookmarkStart w:id="307" w:name="_Toc113442209"/>
      <w:bookmarkStart w:id="308" w:name="_Toc113357246"/>
      <w:bookmarkStart w:id="309" w:name="_Toc178085224"/>
      <w:r>
        <w:t xml:space="preserve">The grant </w:t>
      </w:r>
      <w:bookmarkEnd w:id="304"/>
      <w:bookmarkEnd w:id="305"/>
      <w:r>
        <w:t>agreement</w:t>
      </w:r>
      <w:bookmarkEnd w:id="306"/>
      <w:bookmarkEnd w:id="307"/>
      <w:bookmarkEnd w:id="308"/>
      <w:bookmarkEnd w:id="309"/>
    </w:p>
    <w:p w14:paraId="73D4781A" w14:textId="77777777" w:rsidR="004401FD" w:rsidRDefault="0031011E" w:rsidP="005C4E32">
      <w:pPr>
        <w:pStyle w:val="Normal-Style2"/>
      </w:pPr>
      <w:r w:rsidRPr="00B841AA">
        <w:t>Each Grantee will be required to enter into a Grant Agreement with the Commonwealth. Each Grant Agreement will set out the Grantee’s obl</w:t>
      </w:r>
      <w:r w:rsidR="003753C6">
        <w:t>igations in respect of the roll</w:t>
      </w:r>
      <w:r w:rsidRPr="00B841AA">
        <w:t xml:space="preserve">out and service terms for each Funded </w:t>
      </w:r>
      <w:r w:rsidR="0018190F">
        <w:t>Solution</w:t>
      </w:r>
      <w:r w:rsidRPr="00B841AA">
        <w:t>.</w:t>
      </w:r>
    </w:p>
    <w:p w14:paraId="73D4781B" w14:textId="77777777" w:rsidR="0031011E" w:rsidRDefault="004401FD" w:rsidP="005C4E32">
      <w:pPr>
        <w:pStyle w:val="Normal-Style2"/>
      </w:pPr>
      <w:r>
        <w:t xml:space="preserve">In the Grant Agreement, the applicant will be required to commit to operate its Funded </w:t>
      </w:r>
      <w:r w:rsidR="0018190F">
        <w:t>Solution</w:t>
      </w:r>
      <w:r>
        <w:t xml:space="preserve"> infrastructure and deliver Funded </w:t>
      </w:r>
      <w:r w:rsidR="0018190F">
        <w:t>Solution</w:t>
      </w:r>
      <w:r>
        <w:t xml:space="preserve"> benefits over the Operational Period. Applicants may be required to report on the ongoing benefits of the Funded </w:t>
      </w:r>
      <w:r w:rsidR="0018190F">
        <w:t>Solution</w:t>
      </w:r>
      <w:r>
        <w:t>.</w:t>
      </w:r>
    </w:p>
    <w:p w14:paraId="73D4781C" w14:textId="6EC014B0" w:rsidR="0031011E" w:rsidRDefault="0031011E" w:rsidP="005C4E32">
      <w:pPr>
        <w:pStyle w:val="Normal-Style2"/>
      </w:pPr>
      <w:r w:rsidRPr="00B841AA">
        <w:t xml:space="preserve">A sample Grant Agreement for </w:t>
      </w:r>
      <w:r w:rsidR="00890876">
        <w:t>Funded</w:t>
      </w:r>
      <w:r w:rsidR="00535CF0">
        <w:t xml:space="preserve"> </w:t>
      </w:r>
      <w:r w:rsidR="0018190F">
        <w:t>Solution</w:t>
      </w:r>
      <w:r w:rsidR="008E55E2">
        <w:t>s</w:t>
      </w:r>
      <w:r w:rsidR="003753C6">
        <w:t xml:space="preserve"> </w:t>
      </w:r>
      <w:r w:rsidRPr="00B841AA">
        <w:t xml:space="preserve">will be available shortly after the opening of the </w:t>
      </w:r>
      <w:r w:rsidR="00EF38AE">
        <w:t>R</w:t>
      </w:r>
      <w:r w:rsidRPr="00B841AA">
        <w:t xml:space="preserve">ound. </w:t>
      </w:r>
    </w:p>
    <w:p w14:paraId="73D4781D" w14:textId="43957253" w:rsidR="00DE1650" w:rsidRDefault="0031011E" w:rsidP="005C4E32">
      <w:pPr>
        <w:pStyle w:val="Normal-Style2"/>
      </w:pPr>
      <w:r w:rsidRPr="00B841AA">
        <w:t xml:space="preserve">Applicants requesting any changes to the sample Grant Agreement should provide full details of the proposed changes in their application, for consideration by the </w:t>
      </w:r>
      <w:r w:rsidR="001D0A78">
        <w:t>d</w:t>
      </w:r>
      <w:r w:rsidRPr="00B841AA">
        <w:t xml:space="preserve">epartment (see section 7.4). </w:t>
      </w:r>
    </w:p>
    <w:p w14:paraId="73D4781E" w14:textId="7A962272" w:rsidR="00C47C22" w:rsidRDefault="00DE1650" w:rsidP="005C4E32">
      <w:pPr>
        <w:pStyle w:val="Normal-Style2"/>
      </w:pPr>
      <w:r>
        <w:t>A</w:t>
      </w:r>
      <w:r w:rsidR="0031011E" w:rsidRPr="00B841AA">
        <w:t>pplicant</w:t>
      </w:r>
      <w:r>
        <w:t>s requesting to use a P</w:t>
      </w:r>
      <w:r w:rsidR="0031011E" w:rsidRPr="00B841AA">
        <w:t xml:space="preserve">revious </w:t>
      </w:r>
      <w:r w:rsidR="004E305B">
        <w:t xml:space="preserve">Grant </w:t>
      </w:r>
      <w:r w:rsidR="00FE78F8">
        <w:t>Agreement should provide reasons in their application for consideration by the department (</w:t>
      </w:r>
      <w:r w:rsidR="00FE78F8" w:rsidRPr="00B841AA">
        <w:t>see section 7.4</w:t>
      </w:r>
      <w:r w:rsidR="004740D5">
        <w:t>)</w:t>
      </w:r>
      <w:r w:rsidR="00FE78F8">
        <w:t>.</w:t>
      </w:r>
      <w:r w:rsidR="0031011E" w:rsidRPr="00B841AA">
        <w:t xml:space="preserve"> </w:t>
      </w:r>
      <w:r w:rsidR="00C47C22" w:rsidRPr="00C47C22">
        <w:t xml:space="preserve"> </w:t>
      </w:r>
    </w:p>
    <w:p w14:paraId="73D4781F" w14:textId="77777777" w:rsidR="0031011E" w:rsidRDefault="00C47C22" w:rsidP="005C4E32">
      <w:pPr>
        <w:pStyle w:val="Normal-Style2"/>
      </w:pPr>
      <w:r w:rsidRPr="009A4FE9">
        <w:t xml:space="preserve">The </w:t>
      </w:r>
      <w:r>
        <w:t>Commonwealth</w:t>
      </w:r>
      <w:r w:rsidRPr="009A4FE9">
        <w:t xml:space="preserve"> may, at its sole and absolute discretion, agree to use the Previous Grant Agreement as the basis for the Grant Agreement.</w:t>
      </w:r>
    </w:p>
    <w:p w14:paraId="73D47820" w14:textId="77777777" w:rsidR="00DE1650" w:rsidRDefault="00DE1650" w:rsidP="005C4E32">
      <w:pPr>
        <w:pStyle w:val="Normal-Style2"/>
      </w:pPr>
      <w:r w:rsidRPr="009A4FE9">
        <w:t xml:space="preserve">Where the Commonwealth has agreed to use a Previous Grant Agreement as the basis for the Grant Agreement under this Program, prior to commencement of negotiations, the </w:t>
      </w:r>
      <w:r>
        <w:t>department</w:t>
      </w:r>
      <w:r w:rsidRPr="009A4FE9">
        <w:t xml:space="preserve"> will provide the applicant with details of the clauses from the Previous Grant Agreement that the </w:t>
      </w:r>
      <w:r>
        <w:t>department</w:t>
      </w:r>
      <w:r w:rsidRPr="009A4FE9">
        <w:t xml:space="preserve"> considers will need to be amended to reflect the requirements of this Program. These requirements </w:t>
      </w:r>
      <w:r w:rsidR="00412B66">
        <w:t>may</w:t>
      </w:r>
      <w:r w:rsidRPr="009A4FE9">
        <w:t xml:space="preserve"> be drawn from the sample Grant Agreement provided in the Application Pack.</w:t>
      </w:r>
    </w:p>
    <w:p w14:paraId="73D47821" w14:textId="165A1E4C" w:rsidR="00C47C22" w:rsidRDefault="00C47C22" w:rsidP="005C4E32">
      <w:pPr>
        <w:pStyle w:val="Normal-Style2"/>
      </w:pPr>
      <w:r w:rsidRPr="00B841AA">
        <w:t xml:space="preserve">The decision to use an </w:t>
      </w:r>
      <w:r>
        <w:t>u</w:t>
      </w:r>
      <w:r w:rsidRPr="00B841AA">
        <w:t xml:space="preserve">pdated Previous </w:t>
      </w:r>
      <w:r w:rsidR="004E305B">
        <w:t xml:space="preserve">Grant </w:t>
      </w:r>
      <w:r w:rsidRPr="00B841AA">
        <w:t>Agreem</w:t>
      </w:r>
      <w:r>
        <w:t>ent as the basis for the Round 2</w:t>
      </w:r>
      <w:r w:rsidRPr="00B841AA">
        <w:t xml:space="preserve"> Grant Agreement is at the </w:t>
      </w:r>
      <w:r>
        <w:t>sole and absolute</w:t>
      </w:r>
      <w:r w:rsidRPr="00B841AA">
        <w:t xml:space="preserve"> discretion of the Commonwealth.</w:t>
      </w:r>
    </w:p>
    <w:p w14:paraId="73D47822" w14:textId="77777777" w:rsidR="00DE1650" w:rsidRPr="004760ED" w:rsidRDefault="00DE1650" w:rsidP="00B0575A">
      <w:pPr>
        <w:pStyle w:val="ListBullet"/>
        <w:rPr>
          <w:rFonts w:eastAsia="Calibri"/>
        </w:rPr>
      </w:pPr>
      <w:r>
        <w:t xml:space="preserve">Note: </w:t>
      </w:r>
      <w:r w:rsidRPr="004760ED">
        <w:rPr>
          <w:rFonts w:eastAsia="Calibri"/>
        </w:rPr>
        <w:t xml:space="preserve">No </w:t>
      </w:r>
      <w:r w:rsidRPr="00D8353F">
        <w:t>contractual</w:t>
      </w:r>
      <w:r w:rsidRPr="004760ED">
        <w:rPr>
          <w:rFonts w:eastAsia="Calibri"/>
        </w:rPr>
        <w:t xml:space="preserve"> obligations arise for either party until a Grant Agreement satisfactory to the </w:t>
      </w:r>
      <w:r w:rsidRPr="00A06BDB">
        <w:t>Commonwealth</w:t>
      </w:r>
      <w:r w:rsidRPr="004760ED">
        <w:rPr>
          <w:rFonts w:eastAsia="Calibri"/>
        </w:rPr>
        <w:t xml:space="preserve"> is negotiated and signed by the Commonwealth.</w:t>
      </w:r>
    </w:p>
    <w:p w14:paraId="73D47823" w14:textId="33D91BC5" w:rsidR="0031011E" w:rsidRPr="003D140E" w:rsidRDefault="0031011E" w:rsidP="005C4E32">
      <w:pPr>
        <w:pStyle w:val="Normal-Style2"/>
      </w:pPr>
      <w:r w:rsidRPr="00B841AA">
        <w:lastRenderedPageBreak/>
        <w:t xml:space="preserve">We must execute a Grant Agreement with the applicant before we can make any payments. We are not responsible for any of the applicant’s expenditure until a Grant Agreement is executed. </w:t>
      </w:r>
      <w:r>
        <w:t>Applicant</w:t>
      </w:r>
      <w:r w:rsidRPr="00B841AA">
        <w:t xml:space="preserve">s should not start any activities relating to a Funded </w:t>
      </w:r>
      <w:r w:rsidR="0018190F">
        <w:t>Solution</w:t>
      </w:r>
      <w:r w:rsidR="0018190F" w:rsidRPr="00B841AA" w:rsidDel="0018190F">
        <w:t xml:space="preserve"> </w:t>
      </w:r>
      <w:r w:rsidRPr="00B841AA">
        <w:t xml:space="preserve">until a Grant Agreement is executed. The Commonwealth expects Grant Agreement terms to be reached with a successful Grantee within 60 Business days of the proposed Grantee being advised in writing that the Commonwealth is prepared to financially support the Proposed Solution/s. If terms have not been agreed within 60 Business days, and without </w:t>
      </w:r>
      <w:r w:rsidRPr="003D140E">
        <w:t>limiting any other rights or discretions, the Commonwealth reserves the right not to proceed with a Grant Agreement for the Proposed Solution</w:t>
      </w:r>
      <w:r w:rsidR="0018190F">
        <w:t xml:space="preserve"> </w:t>
      </w:r>
      <w:r w:rsidR="0018190F" w:rsidRPr="009257F3">
        <w:t>and</w:t>
      </w:r>
      <w:r w:rsidR="0018190F">
        <w:t xml:space="preserve"> </w:t>
      </w:r>
      <w:r w:rsidR="0018190F" w:rsidRPr="009257F3">
        <w:t>to withdraw any offer of funding</w:t>
      </w:r>
      <w:r w:rsidRPr="003D140E">
        <w:t>.</w:t>
      </w:r>
      <w:r w:rsidRPr="009257F3">
        <w:t xml:space="preserve"> </w:t>
      </w:r>
    </w:p>
    <w:p w14:paraId="73D47824" w14:textId="77777777" w:rsidR="00EC4F8F" w:rsidRPr="003F25BB" w:rsidRDefault="00EC4F8F" w:rsidP="005C4E32">
      <w:pPr>
        <w:pStyle w:val="Heading3"/>
        <w:ind w:left="1077" w:hanging="1077"/>
      </w:pPr>
      <w:bookmarkStart w:id="310" w:name="_Toc178085225"/>
      <w:r w:rsidRPr="003F25BB">
        <w:t>Specific legislation, policies and industry standards</w:t>
      </w:r>
      <w:bookmarkEnd w:id="310"/>
    </w:p>
    <w:p w14:paraId="73D47825" w14:textId="04965070" w:rsidR="00EC4F8F" w:rsidRDefault="00EC4F8F" w:rsidP="005C4E32">
      <w:pPr>
        <w:pStyle w:val="Normal-Style2"/>
      </w:pPr>
      <w:r w:rsidRPr="00EC4F8F">
        <w:t xml:space="preserve">Whilst </w:t>
      </w:r>
      <w:r>
        <w:t>applicants are required to be compliant with all laws and regulations, they may be requested to demonstrate compliance with relevant legislation, policies or industry standard</w:t>
      </w:r>
      <w:r w:rsidR="00D77967">
        <w:t>s</w:t>
      </w:r>
      <w:r>
        <w:t xml:space="preserve">. For example, applicants may be requested to demonstrate compliance with health, safety or security related legislation, policies or industry standards that are in any way applicable to </w:t>
      </w:r>
      <w:r w:rsidR="00EF38AE">
        <w:t>a</w:t>
      </w:r>
      <w:r>
        <w:t xml:space="preserve"> Funded </w:t>
      </w:r>
      <w:r w:rsidR="0018190F">
        <w:t>Solution</w:t>
      </w:r>
      <w:r>
        <w:t xml:space="preserve">. </w:t>
      </w:r>
    </w:p>
    <w:p w14:paraId="73D47826" w14:textId="77777777" w:rsidR="00EC4F8F" w:rsidRDefault="003F28BC" w:rsidP="005C4E32">
      <w:pPr>
        <w:pStyle w:val="Normal-Style2"/>
        <w:rPr>
          <w:rFonts w:ascii="Calibri" w:eastAsia="SimSun" w:hAnsi="Calibri" w:cs="Times New Roman"/>
          <w:b/>
          <w:color w:val="595C6E"/>
          <w:kern w:val="12"/>
          <w:sz w:val="32"/>
          <w:szCs w:val="24"/>
        </w:rPr>
      </w:pPr>
      <w:r w:rsidRPr="00571B97">
        <w:rPr>
          <w:rFonts w:ascii="Calibri" w:eastAsia="SimSun" w:hAnsi="Calibri" w:cs="Times New Roman"/>
          <w:b/>
          <w:color w:val="595C6E"/>
          <w:kern w:val="12"/>
          <w:sz w:val="32"/>
          <w:szCs w:val="24"/>
        </w:rPr>
        <w:t xml:space="preserve">Australian Industry Participation (AIP) Plan </w:t>
      </w:r>
    </w:p>
    <w:p w14:paraId="73D47827" w14:textId="77777777" w:rsidR="003F28BC" w:rsidRPr="00D77967" w:rsidRDefault="00071A2B" w:rsidP="005C4E32">
      <w:pPr>
        <w:pStyle w:val="Normal-Style2"/>
      </w:pPr>
      <w:r w:rsidRPr="00571B97">
        <w:t>Grant applicants should note that funding of $20 million or more</w:t>
      </w:r>
      <w:r>
        <w:t xml:space="preserve">, subject to </w:t>
      </w:r>
      <w:r w:rsidR="00571B97">
        <w:t>advice from the Department of Industry, Science</w:t>
      </w:r>
      <w:r w:rsidR="005D50C0">
        <w:t xml:space="preserve"> and</w:t>
      </w:r>
      <w:r w:rsidR="00571B97">
        <w:t xml:space="preserve"> Resources, the Australian Industry Participant National Framework principles, including an AIP plan</w:t>
      </w:r>
      <w:r w:rsidR="00D77967">
        <w:t xml:space="preserve"> requirement, may apply to the Grant A</w:t>
      </w:r>
      <w:r w:rsidR="00571B97">
        <w:t>greement(s). More information on AIP plan requirements can be found at:</w:t>
      </w:r>
      <w:r w:rsidR="00D77967">
        <w:t xml:space="preserve"> </w:t>
      </w:r>
      <w:hyperlink r:id="rId34" w:history="1">
        <w:r w:rsidR="00D77967" w:rsidRPr="00D77967">
          <w:rPr>
            <w:rStyle w:val="Hyperlink"/>
          </w:rPr>
          <w:t>https://industry.gov.au/aip</w:t>
        </w:r>
      </w:hyperlink>
    </w:p>
    <w:p w14:paraId="73D47828" w14:textId="77777777" w:rsidR="006266B2" w:rsidRDefault="006266B2" w:rsidP="005C4E32">
      <w:pPr>
        <w:pStyle w:val="Normal-Style2"/>
        <w:rPr>
          <w:rFonts w:ascii="Calibri" w:eastAsia="SimSun" w:hAnsi="Calibri" w:cs="Times New Roman"/>
          <w:b/>
          <w:color w:val="595C6E"/>
          <w:kern w:val="12"/>
          <w:sz w:val="32"/>
          <w:szCs w:val="24"/>
        </w:rPr>
      </w:pPr>
      <w:proofErr w:type="spellStart"/>
      <w:r w:rsidRPr="009C2640">
        <w:rPr>
          <w:rFonts w:ascii="Calibri" w:eastAsia="SimSun" w:hAnsi="Calibri" w:cs="Times New Roman"/>
          <w:b/>
          <w:color w:val="595C6E"/>
          <w:kern w:val="12"/>
          <w:sz w:val="32"/>
          <w:szCs w:val="24"/>
        </w:rPr>
        <w:t>WHS</w:t>
      </w:r>
      <w:proofErr w:type="spellEnd"/>
      <w:r w:rsidRPr="009C2640">
        <w:rPr>
          <w:rFonts w:ascii="Calibri" w:eastAsia="SimSun" w:hAnsi="Calibri" w:cs="Times New Roman"/>
          <w:b/>
          <w:color w:val="595C6E"/>
          <w:kern w:val="12"/>
          <w:sz w:val="32"/>
          <w:szCs w:val="24"/>
        </w:rPr>
        <w:t xml:space="preserve"> Accreditation Scheme </w:t>
      </w:r>
    </w:p>
    <w:p w14:paraId="73D47829" w14:textId="12DAE149" w:rsidR="00380C49" w:rsidRDefault="00380C49" w:rsidP="005C4E32">
      <w:pPr>
        <w:pStyle w:val="Normal-Style2"/>
      </w:pPr>
      <w:r w:rsidRPr="009C2640">
        <w:t>Bu</w:t>
      </w:r>
      <w:r>
        <w:t xml:space="preserve">ilding work undertaken as part of the Funded </w:t>
      </w:r>
      <w:r w:rsidR="0018190F">
        <w:t>Solution</w:t>
      </w:r>
      <w:r>
        <w:t>/s under th</w:t>
      </w:r>
      <w:r w:rsidR="00721DC8">
        <w:t>is</w:t>
      </w:r>
      <w:r>
        <w:t xml:space="preserve"> agreement may be covered by the Work Health and Safety Accreditation Scheme (</w:t>
      </w:r>
      <w:proofErr w:type="spellStart"/>
      <w:r>
        <w:t>WHS</w:t>
      </w:r>
      <w:proofErr w:type="spellEnd"/>
      <w:r>
        <w:t xml:space="preserve"> Accreditation Scheme). The </w:t>
      </w:r>
      <w:proofErr w:type="spellStart"/>
      <w:r>
        <w:t>WHS</w:t>
      </w:r>
      <w:proofErr w:type="spellEnd"/>
      <w:r>
        <w:t xml:space="preserve"> Accreditation Scheme is established under the Federal Safety Commissioner A</w:t>
      </w:r>
      <w:r w:rsidR="006C4D89">
        <w:t>ct</w:t>
      </w:r>
      <w:r>
        <w:t xml:space="preserve"> 2022 and specified in the </w:t>
      </w:r>
      <w:r w:rsidRPr="00A9777C">
        <w:t xml:space="preserve">Building and Construction Industry (Improving Productivity) (Accreditation Scheme) Rules 2019. </w:t>
      </w:r>
      <w:r w:rsidRPr="009C2640">
        <w:t xml:space="preserve">The </w:t>
      </w:r>
      <w:proofErr w:type="spellStart"/>
      <w:r w:rsidRPr="009C2640">
        <w:t>WHS</w:t>
      </w:r>
      <w:proofErr w:type="spellEnd"/>
      <w:r w:rsidRPr="009C2640">
        <w:t xml:space="preserve"> </w:t>
      </w:r>
      <w:r w:rsidR="00646690">
        <w:t xml:space="preserve">applies to building work that is </w:t>
      </w:r>
      <w:r w:rsidR="00B50583">
        <w:t>in</w:t>
      </w:r>
      <w:r w:rsidR="00646690">
        <w:t xml:space="preserve">directly funded </w:t>
      </w:r>
      <w:r w:rsidR="00B50583">
        <w:t xml:space="preserve">by the Commonwealth or a corporate </w:t>
      </w:r>
      <w:r w:rsidR="00B50583" w:rsidRPr="003616E4">
        <w:rPr>
          <w:b/>
        </w:rPr>
        <w:t>Commonwealth entity</w:t>
      </w:r>
      <w:r w:rsidR="00B50583">
        <w:t xml:space="preserve"> if it is carried out under a contract with a value of $4 million or more (GST inclusive) and the contribution made to the funding of the project that includes the building work by the Commonwealth or Commonwealth Corporate </w:t>
      </w:r>
      <w:r w:rsidR="00552E2A">
        <w:t xml:space="preserve">entity </w:t>
      </w:r>
      <w:r w:rsidR="00B50583">
        <w:t xml:space="preserve">is at least: </w:t>
      </w:r>
    </w:p>
    <w:p w14:paraId="73D4782A" w14:textId="77777777" w:rsidR="00B50583" w:rsidRDefault="00B50583" w:rsidP="00B0575A">
      <w:pPr>
        <w:pStyle w:val="ListBullet"/>
      </w:pPr>
      <w:r>
        <w:t xml:space="preserve">$6,000,000 (GST inclusive) and represents at least 50% of the total funding; or </w:t>
      </w:r>
    </w:p>
    <w:p w14:paraId="73D4782B" w14:textId="77777777" w:rsidR="00B50583" w:rsidRDefault="00B50583" w:rsidP="00B0575A">
      <w:pPr>
        <w:pStyle w:val="ListBullet"/>
      </w:pPr>
      <w:r>
        <w:t xml:space="preserve">$10,000,000 (GST inclusive). </w:t>
      </w:r>
    </w:p>
    <w:p w14:paraId="73D4782C" w14:textId="77777777" w:rsidR="001D77A6" w:rsidRDefault="00B50583" w:rsidP="005C4E32">
      <w:pPr>
        <w:pStyle w:val="Normal-Style2"/>
      </w:pPr>
      <w:r>
        <w:t xml:space="preserve">A successful applicant who is the builder must comply with all conditions of Scheme accreditation and successful applicants who will be engaging builders to undertake the building work must require </w:t>
      </w:r>
      <w:r w:rsidR="009C2640">
        <w:t>builders to comply with all conditions of Scheme accreditation.</w:t>
      </w:r>
      <w:bookmarkStart w:id="311" w:name="_Toc467773983"/>
      <w:bookmarkStart w:id="312" w:name="_Toc5193530"/>
      <w:bookmarkStart w:id="313" w:name="_Toc5265939"/>
      <w:bookmarkStart w:id="314" w:name="_Toc50044052"/>
      <w:bookmarkStart w:id="315" w:name="_Toc56425479"/>
      <w:bookmarkStart w:id="316" w:name="_Toc90294858"/>
      <w:bookmarkStart w:id="317" w:name="_Toc113442211"/>
      <w:bookmarkStart w:id="318" w:name="_Toc113357248"/>
      <w:bookmarkEnd w:id="311"/>
      <w:bookmarkEnd w:id="312"/>
      <w:bookmarkEnd w:id="313"/>
      <w:bookmarkEnd w:id="314"/>
      <w:bookmarkEnd w:id="315"/>
      <w:bookmarkEnd w:id="316"/>
      <w:bookmarkEnd w:id="317"/>
      <w:bookmarkEnd w:id="318"/>
    </w:p>
    <w:p w14:paraId="73D4782D" w14:textId="77777777" w:rsidR="001D77A6" w:rsidRPr="00134782" w:rsidRDefault="001D77A6" w:rsidP="005C4E32">
      <w:pPr>
        <w:pStyle w:val="Normal-Style2"/>
        <w:rPr>
          <w:rFonts w:ascii="Calibri" w:eastAsia="SimSun" w:hAnsi="Calibri" w:cs="Times New Roman"/>
          <w:b/>
          <w:color w:val="595C6E"/>
          <w:kern w:val="12"/>
          <w:sz w:val="32"/>
          <w:szCs w:val="24"/>
        </w:rPr>
      </w:pPr>
      <w:r w:rsidRPr="00134782">
        <w:rPr>
          <w:rFonts w:ascii="Calibri" w:eastAsia="SimSun" w:hAnsi="Calibri" w:cs="Times New Roman"/>
          <w:b/>
          <w:color w:val="595C6E"/>
          <w:kern w:val="12"/>
          <w:sz w:val="32"/>
          <w:szCs w:val="24"/>
        </w:rPr>
        <w:t xml:space="preserve">Keeping us informed </w:t>
      </w:r>
    </w:p>
    <w:p w14:paraId="73D4782E" w14:textId="10BB0169" w:rsidR="001D77A6" w:rsidRDefault="001D77A6" w:rsidP="005C4E32">
      <w:pPr>
        <w:pStyle w:val="Normal-Style2"/>
      </w:pPr>
      <w:r>
        <w:t xml:space="preserve">Applicants should let us know if anything is likely to </w:t>
      </w:r>
      <w:proofErr w:type="gramStart"/>
      <w:r>
        <w:t>effect</w:t>
      </w:r>
      <w:proofErr w:type="gramEnd"/>
      <w:r>
        <w:t xml:space="preserve"> the Funded </w:t>
      </w:r>
      <w:r w:rsidR="0018190F">
        <w:t xml:space="preserve">Solution </w:t>
      </w:r>
      <w:r>
        <w:t>or organisation. We need to know of any key changes to the applicant’s organisation o</w:t>
      </w:r>
      <w:r w:rsidR="006C4D89">
        <w:t>r</w:t>
      </w:r>
      <w:r>
        <w:t xml:space="preserve"> its business activities which may affect its ability to complete the </w:t>
      </w:r>
      <w:r>
        <w:lastRenderedPageBreak/>
        <w:t xml:space="preserve">Funded </w:t>
      </w:r>
      <w:r w:rsidR="0018190F">
        <w:t>Solution</w:t>
      </w:r>
      <w:r>
        <w:t xml:space="preserve">, carry on business and pay debts due. Applicants must also inform us of any changes to: </w:t>
      </w:r>
    </w:p>
    <w:p w14:paraId="73D4782F" w14:textId="77777777" w:rsidR="001D77A6" w:rsidRDefault="00AD114F" w:rsidP="00B0575A">
      <w:pPr>
        <w:pStyle w:val="ListBullet"/>
      </w:pPr>
      <w:r>
        <w:t>n</w:t>
      </w:r>
      <w:r w:rsidR="001D77A6">
        <w:t xml:space="preserve">ame; </w:t>
      </w:r>
    </w:p>
    <w:p w14:paraId="73D47830" w14:textId="77777777" w:rsidR="001D77A6" w:rsidRDefault="00AD114F" w:rsidP="00B0575A">
      <w:pPr>
        <w:pStyle w:val="ListBullet"/>
      </w:pPr>
      <w:r>
        <w:t>a</w:t>
      </w:r>
      <w:r w:rsidR="001D77A6">
        <w:t>ddresses;</w:t>
      </w:r>
    </w:p>
    <w:p w14:paraId="73D47831" w14:textId="77777777" w:rsidR="001D77A6" w:rsidRDefault="00AD114F" w:rsidP="00B0575A">
      <w:pPr>
        <w:pStyle w:val="ListBullet"/>
      </w:pPr>
      <w:r>
        <w:t>n</w:t>
      </w:r>
      <w:r w:rsidR="001D77A6">
        <w:t>ominated contact details;</w:t>
      </w:r>
      <w:r>
        <w:t xml:space="preserve"> and </w:t>
      </w:r>
    </w:p>
    <w:p w14:paraId="73D47832" w14:textId="77777777" w:rsidR="00A21CD2" w:rsidRDefault="00AD114F" w:rsidP="00B0575A">
      <w:pPr>
        <w:pStyle w:val="ListBullet"/>
      </w:pPr>
      <w:r>
        <w:t xml:space="preserve">bank account details; </w:t>
      </w:r>
    </w:p>
    <w:p w14:paraId="73D47833" w14:textId="77777777" w:rsidR="001D77A6" w:rsidRPr="001D77A6" w:rsidRDefault="00AD114F" w:rsidP="005A463E">
      <w:pPr>
        <w:pStyle w:val="Normal-Style2"/>
        <w:keepLines/>
      </w:pPr>
      <w:r>
        <w:t>If a</w:t>
      </w:r>
      <w:r w:rsidR="00E403E6">
        <w:t>pplicants become aware of a brea</w:t>
      </w:r>
      <w:r>
        <w:t xml:space="preserve">ch of terms and conditions under the Grant Agreement, they must contact us immediately. Applicants must notify us of events and provide an opportunity for the Minister or their representative to attend. </w:t>
      </w:r>
    </w:p>
    <w:p w14:paraId="73D47834" w14:textId="2FEB8493" w:rsidR="008E7BEB" w:rsidRDefault="008E7BEB" w:rsidP="005C4E32">
      <w:pPr>
        <w:pStyle w:val="Heading3"/>
        <w:ind w:left="1077" w:hanging="1077"/>
      </w:pPr>
      <w:bookmarkStart w:id="319" w:name="_Toc178085226"/>
      <w:bookmarkStart w:id="320" w:name="_Toc421777626"/>
      <w:bookmarkStart w:id="321" w:name="_Toc467773987"/>
      <w:bookmarkStart w:id="322" w:name="_Toc5193534"/>
      <w:bookmarkStart w:id="323" w:name="_Toc5265943"/>
      <w:bookmarkStart w:id="324" w:name="_Toc50044056"/>
      <w:bookmarkStart w:id="325" w:name="_Toc56425483"/>
      <w:bookmarkStart w:id="326" w:name="_Toc90294862"/>
      <w:bookmarkStart w:id="327" w:name="_Toc113442215"/>
      <w:bookmarkStart w:id="328" w:name="_Toc113357252"/>
      <w:bookmarkStart w:id="329" w:name="_Toc433641188"/>
      <w:r>
        <w:t>How we pay the grant</w:t>
      </w:r>
      <w:bookmarkEnd w:id="319"/>
    </w:p>
    <w:p w14:paraId="73D47835" w14:textId="77777777" w:rsidR="008E7BEB" w:rsidRDefault="008E7BEB" w:rsidP="005C4E32">
      <w:pPr>
        <w:pStyle w:val="Normal-Style2"/>
      </w:pPr>
      <w:r>
        <w:t xml:space="preserve">The Grant Agreement will state: </w:t>
      </w:r>
    </w:p>
    <w:p w14:paraId="73D47836" w14:textId="77777777" w:rsidR="008E7BEB" w:rsidRPr="00B0575A" w:rsidRDefault="008E7BEB" w:rsidP="00B0575A">
      <w:pPr>
        <w:pStyle w:val="ListBullet"/>
      </w:pPr>
      <w:r w:rsidRPr="00B0575A">
        <w:t xml:space="preserve">the maximum grant amount to be paid; </w:t>
      </w:r>
    </w:p>
    <w:p w14:paraId="73D47837" w14:textId="77777777" w:rsidR="008E7BEB" w:rsidRPr="00B0575A" w:rsidRDefault="008E7BEB" w:rsidP="00B0575A">
      <w:pPr>
        <w:pStyle w:val="ListBullet"/>
      </w:pPr>
      <w:r w:rsidRPr="00B0575A">
        <w:t>the proportion of eligi</w:t>
      </w:r>
      <w:r w:rsidR="00C21180" w:rsidRPr="00B0575A">
        <w:t>ble expenditure covered by the G</w:t>
      </w:r>
      <w:r w:rsidRPr="00B0575A">
        <w:t xml:space="preserve">rant; </w:t>
      </w:r>
    </w:p>
    <w:p w14:paraId="73D47838" w14:textId="77777777" w:rsidR="008E7BEB" w:rsidRPr="00B0575A" w:rsidRDefault="008E7BEB" w:rsidP="00B0575A">
      <w:pPr>
        <w:pStyle w:val="ListBullet"/>
      </w:pPr>
      <w:r w:rsidRPr="00B0575A">
        <w:t xml:space="preserve">any financial contributions provided by you or a third party; </w:t>
      </w:r>
    </w:p>
    <w:p w14:paraId="73D47839" w14:textId="28216C64" w:rsidR="008E7BEB" w:rsidRPr="00B0575A" w:rsidRDefault="008E7BEB" w:rsidP="00B0575A">
      <w:pPr>
        <w:pStyle w:val="ListBullet"/>
      </w:pPr>
      <w:r w:rsidRPr="00B0575A">
        <w:t xml:space="preserve">any in-kind contributions </w:t>
      </w:r>
      <w:r w:rsidR="00EF38AE" w:rsidRPr="00B0575A">
        <w:t xml:space="preserve">provided by </w:t>
      </w:r>
      <w:r w:rsidRPr="00B0575A">
        <w:t xml:space="preserve">you </w:t>
      </w:r>
      <w:r w:rsidR="00EF38AE" w:rsidRPr="00B0575A">
        <w:t>or a third party</w:t>
      </w:r>
      <w:r w:rsidRPr="00B0575A">
        <w:t xml:space="preserve">; and </w:t>
      </w:r>
    </w:p>
    <w:p w14:paraId="73D4783A" w14:textId="77777777" w:rsidR="008E7BEB" w:rsidRPr="00B0575A" w:rsidRDefault="008E7BEB" w:rsidP="00B0575A">
      <w:pPr>
        <w:pStyle w:val="ListBullet"/>
      </w:pPr>
      <w:r w:rsidRPr="00B0575A">
        <w:t xml:space="preserve">any other requirements. </w:t>
      </w:r>
    </w:p>
    <w:p w14:paraId="73D4783B" w14:textId="634710F1" w:rsidR="008E7BEB" w:rsidRDefault="008E7BEB" w:rsidP="005C4E32">
      <w:pPr>
        <w:pStyle w:val="Normal-Style2"/>
      </w:pPr>
      <w:r>
        <w:t xml:space="preserve">We will not exceed the maximum grant amount under any circumstances. If applicants incur extra costs, they must meet them themselves. </w:t>
      </w:r>
      <w:r w:rsidRPr="00BE4604">
        <w:t>We may make an initial payment on execution of the Grant Agreement. We will mak</w:t>
      </w:r>
      <w:r>
        <w:t xml:space="preserve">e subsequent payments as applicants achieve </w:t>
      </w:r>
      <w:r w:rsidR="00BE4604">
        <w:t xml:space="preserve">key milestones (e.g. </w:t>
      </w:r>
      <w:r w:rsidR="005D50C0">
        <w:t>a</w:t>
      </w:r>
      <w:r w:rsidR="00BE4604">
        <w:t xml:space="preserve">chieving necessary approvals to commence construction, </w:t>
      </w:r>
      <w:r w:rsidR="00DC4A49">
        <w:t>a</w:t>
      </w:r>
      <w:r>
        <w:t>sset completion demonstrated by a satisfactory report</w:t>
      </w:r>
      <w:r w:rsidR="00BE4604">
        <w:t>)</w:t>
      </w:r>
      <w:r>
        <w:t xml:space="preserve"> based on the applicant’s eligible expenditure. These payments are subject to satisfactory progress on the Funded </w:t>
      </w:r>
      <w:r w:rsidR="0018190F">
        <w:t>Solution</w:t>
      </w:r>
      <w:r>
        <w:t xml:space="preserve">.  </w:t>
      </w:r>
    </w:p>
    <w:p w14:paraId="73D4783C" w14:textId="77777777" w:rsidR="00733FF0" w:rsidRDefault="00733FF0" w:rsidP="005C4E32">
      <w:pPr>
        <w:pStyle w:val="Heading3"/>
        <w:ind w:left="1077" w:hanging="1077"/>
      </w:pPr>
      <w:bookmarkStart w:id="330" w:name="_Toc178085227"/>
      <w:r w:rsidRPr="000E3F38">
        <w:t>Grant payments</w:t>
      </w:r>
      <w:bookmarkEnd w:id="320"/>
      <w:r w:rsidRPr="000E3F38">
        <w:t xml:space="preserve"> and GST</w:t>
      </w:r>
      <w:bookmarkEnd w:id="321"/>
      <w:bookmarkEnd w:id="322"/>
      <w:bookmarkEnd w:id="323"/>
      <w:bookmarkEnd w:id="324"/>
      <w:bookmarkEnd w:id="325"/>
      <w:bookmarkEnd w:id="326"/>
      <w:bookmarkEnd w:id="327"/>
      <w:bookmarkEnd w:id="328"/>
      <w:bookmarkEnd w:id="329"/>
      <w:bookmarkEnd w:id="330"/>
    </w:p>
    <w:p w14:paraId="73D4783D" w14:textId="0C09BF23" w:rsidR="00733FF0" w:rsidRDefault="00733FF0" w:rsidP="005C4E32">
      <w:pPr>
        <w:pStyle w:val="Normal-Style2"/>
      </w:pPr>
      <w:r w:rsidRPr="00A01492">
        <w:t xml:space="preserve">Payments will be made as set out in the Grant Agreement. If the applicant is registered for GST, where applicable, the </w:t>
      </w:r>
      <w:r>
        <w:t>department</w:t>
      </w:r>
      <w:r w:rsidRPr="00A01492">
        <w:t xml:space="preserve"> will add GST to the grant payment.</w:t>
      </w:r>
    </w:p>
    <w:p w14:paraId="73D4783E" w14:textId="77777777" w:rsidR="000D41E5" w:rsidRDefault="00733FF0" w:rsidP="005C4E32">
      <w:pPr>
        <w:pStyle w:val="Normal-Style2"/>
      </w:pPr>
      <w:r w:rsidRPr="00A01492">
        <w:t xml:space="preserve">Grants are assessable income for taxation purposes, unless exempted by a taxation law. The </w:t>
      </w:r>
      <w:r>
        <w:t>department</w:t>
      </w:r>
      <w:r w:rsidRPr="00A01492">
        <w:t xml:space="preserve"> recommends that Grantees seek independent professional advice on their taxation obligations or seek assistance from the Australian Taxation Office. The </w:t>
      </w:r>
      <w:r>
        <w:t>department</w:t>
      </w:r>
      <w:r w:rsidRPr="00A01492">
        <w:t xml:space="preserve"> does not provide advice on an applicant’s particular taxation circumstances</w:t>
      </w:r>
      <w:r w:rsidR="0045229E">
        <w:t>.</w:t>
      </w:r>
    </w:p>
    <w:p w14:paraId="73D4783F" w14:textId="77777777" w:rsidR="006D29AF" w:rsidRPr="006D29AF" w:rsidRDefault="006D29AF" w:rsidP="005C4E32">
      <w:pPr>
        <w:pStyle w:val="Heading3"/>
        <w:ind w:left="1077" w:hanging="1077"/>
      </w:pPr>
      <w:bookmarkStart w:id="331" w:name="_Toc129956332"/>
      <w:bookmarkStart w:id="332" w:name="_Toc178085228"/>
      <w:r w:rsidRPr="006D29AF">
        <w:t>Amendment to these Guidelines</w:t>
      </w:r>
      <w:bookmarkEnd w:id="331"/>
      <w:bookmarkEnd w:id="332"/>
    </w:p>
    <w:p w14:paraId="73D47840" w14:textId="77777777" w:rsidR="006D29AF" w:rsidRDefault="006D29AF" w:rsidP="005C4E32">
      <w:pPr>
        <w:pStyle w:val="Normal-Style2"/>
      </w:pPr>
      <w:r>
        <w:t xml:space="preserve">The Government reserves the right to terminate or vary the </w:t>
      </w:r>
      <w:r w:rsidR="00C826B2">
        <w:t>P</w:t>
      </w:r>
      <w:r>
        <w:t xml:space="preserve">rogram, (including via variation of these Guidelines) as its discretion, at any time, for any reason, including without limitation, in light of changes to Government policy. Any alterations or addenda to the Program will be published on </w:t>
      </w:r>
      <w:proofErr w:type="spellStart"/>
      <w:r>
        <w:t>GrantConnect</w:t>
      </w:r>
      <w:proofErr w:type="spellEnd"/>
      <w:r>
        <w:t xml:space="preserve"> and by registering on </w:t>
      </w:r>
      <w:r w:rsidRPr="006D29AF">
        <w:t>this website, you will</w:t>
      </w:r>
      <w:r>
        <w:t xml:space="preserve"> be automatically notified on any changes</w:t>
      </w:r>
      <w:r w:rsidR="00C826B2">
        <w:t>.</w:t>
      </w:r>
      <w:r>
        <w:t xml:space="preserve"> </w:t>
      </w:r>
      <w:proofErr w:type="spellStart"/>
      <w:r>
        <w:t>GrantConnect</w:t>
      </w:r>
      <w:proofErr w:type="spellEnd"/>
      <w:r>
        <w:t xml:space="preserve"> is the authoritative source for grants information. </w:t>
      </w:r>
    </w:p>
    <w:p w14:paraId="73D47841" w14:textId="77777777" w:rsidR="006D29AF" w:rsidRDefault="006D29AF" w:rsidP="005C4E32">
      <w:pPr>
        <w:pStyle w:val="Normal-Style2"/>
      </w:pPr>
      <w:r>
        <w:t xml:space="preserve">If the Government determines that these Guidelines require amendment prior to the date for which </w:t>
      </w:r>
      <w:r w:rsidR="00984174">
        <w:t xml:space="preserve">funding applicants are due to be submitted to the department, potential applicants will be advised of the revised or new Guidelines in a timely manner, including any resultant extension that may be applied to the application period. </w:t>
      </w:r>
    </w:p>
    <w:p w14:paraId="73D47842" w14:textId="737D03F1" w:rsidR="00984174" w:rsidRDefault="00984174" w:rsidP="005C4E32">
      <w:pPr>
        <w:pStyle w:val="Normal-Style2"/>
      </w:pPr>
      <w:r>
        <w:lastRenderedPageBreak/>
        <w:t>If the Government determines that these Guidelines require amendment following the date for which funding applications are due to be submitted to the department (for example</w:t>
      </w:r>
      <w:r w:rsidR="00C826B2">
        <w:t>, if the applications received d</w:t>
      </w:r>
      <w:r>
        <w:t>o not achieve the Program objective</w:t>
      </w:r>
      <w:r w:rsidR="00C21180">
        <w:t>s</w:t>
      </w:r>
      <w:r>
        <w:t xml:space="preserve">), the revised or new Guidelines will set out details of the changes, and all existing applicants will be notified of arrangements impacting existing applications. </w:t>
      </w:r>
    </w:p>
    <w:p w14:paraId="73D47843" w14:textId="77777777" w:rsidR="00984174" w:rsidRPr="006E5221" w:rsidRDefault="0011352D" w:rsidP="005C4E32">
      <w:pPr>
        <w:pStyle w:val="Normal-Style2"/>
      </w:pPr>
      <w:r>
        <w:t xml:space="preserve">An </w:t>
      </w:r>
      <w:r w:rsidRPr="00064DA9">
        <w:t xml:space="preserve">organisation </w:t>
      </w:r>
      <w:proofErr w:type="gramStart"/>
      <w:r w:rsidRPr="00064DA9">
        <w:t>submitting an application</w:t>
      </w:r>
      <w:proofErr w:type="gramEnd"/>
      <w:r w:rsidRPr="00064DA9">
        <w:t xml:space="preserve"> acknowledges that neither these Guidelines, nor any </w:t>
      </w:r>
      <w:r w:rsidR="00C21180" w:rsidRPr="00064DA9">
        <w:t>application</w:t>
      </w:r>
      <w:r w:rsidRPr="00064DA9">
        <w:t xml:space="preserve">, give rise to a binding agreement or any other binding legal arrangement or legal relationship between the applicant and the Commonwealth. There is no binding agreement on any party until a Grant Agreement is executed by the Commonwealth and the Grantee. </w:t>
      </w:r>
    </w:p>
    <w:p w14:paraId="73D47844" w14:textId="77777777" w:rsidR="00AD0A7C" w:rsidRPr="006E5221" w:rsidDel="00457E6C" w:rsidRDefault="00AD0A7C" w:rsidP="00F739AC">
      <w:pPr>
        <w:pStyle w:val="Heading2"/>
      </w:pPr>
      <w:bookmarkStart w:id="333" w:name="_Toc485726977"/>
      <w:bookmarkStart w:id="334" w:name="_Toc485736597"/>
      <w:bookmarkStart w:id="335" w:name="_Toc129956333"/>
      <w:bookmarkStart w:id="336" w:name="_Toc178085229"/>
      <w:bookmarkStart w:id="337" w:name="_Toc129956336"/>
      <w:r w:rsidRPr="006E5221" w:rsidDel="00457E6C">
        <w:t>Announcement of grants</w:t>
      </w:r>
      <w:bookmarkEnd w:id="333"/>
      <w:bookmarkEnd w:id="334"/>
      <w:bookmarkEnd w:id="335"/>
      <w:bookmarkEnd w:id="336"/>
    </w:p>
    <w:p w14:paraId="73D47845" w14:textId="77777777" w:rsidR="00AD0A7C" w:rsidRPr="00064DA9" w:rsidRDefault="00AD0A7C" w:rsidP="005C4E32">
      <w:pPr>
        <w:pStyle w:val="Normal-Style2"/>
      </w:pPr>
      <w:r w:rsidRPr="00064DA9" w:rsidDel="00457E6C">
        <w:t xml:space="preserve">If successful, </w:t>
      </w:r>
      <w:r w:rsidRPr="00064DA9">
        <w:t>applicants</w:t>
      </w:r>
      <w:r w:rsidR="007D1B67">
        <w:t>’</w:t>
      </w:r>
      <w:r w:rsidRPr="00064DA9" w:rsidDel="00457E6C">
        <w:t xml:space="preserve"> grant</w:t>
      </w:r>
      <w:r w:rsidRPr="00064DA9">
        <w:t>s</w:t>
      </w:r>
      <w:r w:rsidRPr="006E5221" w:rsidDel="00457E6C">
        <w:t xml:space="preserve"> </w:t>
      </w:r>
      <w:r w:rsidRPr="006E5221" w:rsidDel="0035202F">
        <w:t xml:space="preserve">will be listed </w:t>
      </w:r>
      <w:r w:rsidRPr="006E5221" w:rsidDel="00457E6C">
        <w:t xml:space="preserve">on the </w:t>
      </w:r>
      <w:proofErr w:type="spellStart"/>
      <w:r w:rsidRPr="006E5221" w:rsidDel="00457E6C">
        <w:t>GrantConnect</w:t>
      </w:r>
      <w:proofErr w:type="spellEnd"/>
      <w:r w:rsidRPr="006E5221" w:rsidDel="00457E6C">
        <w:t xml:space="preserve"> website </w:t>
      </w:r>
      <w:r w:rsidRPr="00250AF0">
        <w:t>21</w:t>
      </w:r>
      <w:r w:rsidRPr="00250AF0" w:rsidDel="00457E6C">
        <w:t xml:space="preserve"> </w:t>
      </w:r>
      <w:r w:rsidRPr="00250AF0">
        <w:t xml:space="preserve">calendar </w:t>
      </w:r>
      <w:r w:rsidRPr="00250AF0" w:rsidDel="00457E6C">
        <w:t xml:space="preserve">days after the date of effect as required by Section 5.3 of the </w:t>
      </w:r>
      <w:hyperlink r:id="rId35" w:history="1">
        <w:proofErr w:type="spellStart"/>
        <w:r w:rsidRPr="00064DA9" w:rsidDel="00457E6C">
          <w:rPr>
            <w:rStyle w:val="Hyperlink"/>
          </w:rPr>
          <w:t>CGRGs</w:t>
        </w:r>
        <w:proofErr w:type="spellEnd"/>
      </w:hyperlink>
      <w:r w:rsidRPr="00064DA9" w:rsidDel="00457E6C">
        <w:t xml:space="preserve">. </w:t>
      </w:r>
    </w:p>
    <w:p w14:paraId="73D47846" w14:textId="77777777" w:rsidR="000D41E5" w:rsidRDefault="0071042F" w:rsidP="00F739AC">
      <w:pPr>
        <w:pStyle w:val="Heading2"/>
      </w:pPr>
      <w:bookmarkStart w:id="338" w:name="_Toc178085230"/>
      <w:bookmarkEnd w:id="337"/>
      <w:r>
        <w:t>How we monitor your grant activity</w:t>
      </w:r>
      <w:bookmarkEnd w:id="338"/>
    </w:p>
    <w:p w14:paraId="73D47847" w14:textId="6FB8E62F" w:rsidR="00AD0A7C" w:rsidRPr="00596694" w:rsidRDefault="00AD0A7C" w:rsidP="005C4E32">
      <w:pPr>
        <w:pStyle w:val="Heading3"/>
      </w:pPr>
      <w:bookmarkStart w:id="339" w:name="_Toc178085231"/>
      <w:r w:rsidRPr="00596694">
        <w:t>Keeping us informed</w:t>
      </w:r>
      <w:bookmarkEnd w:id="339"/>
    </w:p>
    <w:p w14:paraId="73D47848" w14:textId="1E015F7D" w:rsidR="000D41E5" w:rsidRPr="00596694" w:rsidRDefault="00BD039A" w:rsidP="005C4E32">
      <w:pPr>
        <w:pStyle w:val="Normal-Style2"/>
      </w:pPr>
      <w:r>
        <w:t>Grantees</w:t>
      </w:r>
      <w:r w:rsidR="00DB7E40">
        <w:t xml:space="preserve"> </w:t>
      </w:r>
      <w:r w:rsidR="000D41E5" w:rsidRPr="00596694">
        <w:t xml:space="preserve">must submit reports in accordance with the Grant Agreement. We will expect </w:t>
      </w:r>
      <w:r w:rsidR="008F2CBC">
        <w:t xml:space="preserve">Grantees </w:t>
      </w:r>
      <w:r w:rsidR="000D41E5" w:rsidRPr="00596694">
        <w:t xml:space="preserve">to report on such matters as: </w:t>
      </w:r>
    </w:p>
    <w:p w14:paraId="73D47849" w14:textId="19EA5BF5" w:rsidR="000D41E5" w:rsidRPr="00B0575A" w:rsidRDefault="000D41E5" w:rsidP="00B0575A">
      <w:pPr>
        <w:pStyle w:val="ListBullet"/>
      </w:pPr>
      <w:r w:rsidRPr="00596694">
        <w:t>progress</w:t>
      </w:r>
      <w:r w:rsidRPr="00B0575A">
        <w:t xml:space="preserve"> against agreed activit</w:t>
      </w:r>
      <w:r w:rsidR="00DC4A49" w:rsidRPr="00B0575A">
        <w:t>ies</w:t>
      </w:r>
      <w:r w:rsidRPr="00B0575A">
        <w:t xml:space="preserve"> and outcomes; </w:t>
      </w:r>
    </w:p>
    <w:p w14:paraId="73D4784A" w14:textId="77777777" w:rsidR="000D41E5" w:rsidRPr="00B0575A" w:rsidRDefault="000D41E5" w:rsidP="00B0575A">
      <w:pPr>
        <w:pStyle w:val="ListBullet"/>
      </w:pPr>
      <w:r w:rsidRPr="00B0575A">
        <w:t xml:space="preserve">contributions of participants directly related to the Funded </w:t>
      </w:r>
      <w:r w:rsidR="0018190F" w:rsidRPr="00B0575A">
        <w:t>Solution</w:t>
      </w:r>
      <w:r w:rsidRPr="00B0575A">
        <w:t xml:space="preserve"> including scheduled co-contributions (if any)</w:t>
      </w:r>
      <w:r w:rsidR="00EE7915" w:rsidRPr="00B0575A">
        <w:t>;</w:t>
      </w:r>
      <w:r w:rsidRPr="00B0575A">
        <w:t xml:space="preserve"> and </w:t>
      </w:r>
    </w:p>
    <w:p w14:paraId="73D4784B" w14:textId="77777777" w:rsidR="000D41E5" w:rsidRPr="00596694" w:rsidRDefault="000D41E5" w:rsidP="00B0575A">
      <w:pPr>
        <w:pStyle w:val="ListBullet"/>
      </w:pPr>
      <w:r w:rsidRPr="00B0575A">
        <w:t xml:space="preserve">expenditure </w:t>
      </w:r>
      <w:r w:rsidRPr="00596694">
        <w:t xml:space="preserve">of the grant. </w:t>
      </w:r>
    </w:p>
    <w:p w14:paraId="73D4784C" w14:textId="3342E67E" w:rsidR="000D41E5" w:rsidRPr="00596694" w:rsidRDefault="000D41E5" w:rsidP="005C4E32">
      <w:pPr>
        <w:pStyle w:val="Normal-Style2"/>
      </w:pPr>
      <w:r w:rsidRPr="00596694">
        <w:t xml:space="preserve">The amount of detail you provide in your reports should be relative to the Funded </w:t>
      </w:r>
      <w:r w:rsidR="0018190F" w:rsidRPr="00596694">
        <w:t>Solution</w:t>
      </w:r>
      <w:r w:rsidRPr="00596694">
        <w:t xml:space="preserve"> size, complexity and grant amount. We will monitor progress by assessing reports</w:t>
      </w:r>
      <w:r w:rsidR="00303F34">
        <w:t xml:space="preserve"> Grantees</w:t>
      </w:r>
      <w:r w:rsidRPr="00596694">
        <w:t xml:space="preserve"> submit and may conduct site visits or request records to confirm details of reports if necessary. Occasionally we may need to re</w:t>
      </w:r>
      <w:r w:rsidR="00303F34">
        <w:noBreakHyphen/>
      </w:r>
      <w:r w:rsidRPr="00596694">
        <w:t xml:space="preserve">examine claims, seek further information or request an independent audit of claims and payments. We may also inspect the records applicants are required to keep under the Grant Agreement. </w:t>
      </w:r>
    </w:p>
    <w:p w14:paraId="73D4784D" w14:textId="520638D7" w:rsidR="00A14947" w:rsidRPr="00596694" w:rsidRDefault="00A14947" w:rsidP="005C4E32">
      <w:pPr>
        <w:pStyle w:val="Heading3"/>
      </w:pPr>
      <w:bookmarkStart w:id="340" w:name="_Toc178085232"/>
      <w:r w:rsidRPr="00596694">
        <w:t>Reporting</w:t>
      </w:r>
      <w:bookmarkEnd w:id="340"/>
      <w:r w:rsidRPr="00596694">
        <w:t xml:space="preserve"> </w:t>
      </w:r>
    </w:p>
    <w:p w14:paraId="73D4784E" w14:textId="3F09392F" w:rsidR="00A14947" w:rsidRPr="00596694" w:rsidRDefault="00DB7E40" w:rsidP="005C4E32">
      <w:pPr>
        <w:pStyle w:val="Normal-Style2"/>
        <w:rPr>
          <w:rFonts w:cstheme="minorHAnsi"/>
        </w:rPr>
      </w:pPr>
      <w:bookmarkStart w:id="341" w:name="_Toc468693655"/>
      <w:bookmarkStart w:id="342" w:name="_Toc509838910"/>
      <w:r>
        <w:rPr>
          <w:rFonts w:cstheme="minorHAnsi"/>
        </w:rPr>
        <w:t>Grantees</w:t>
      </w:r>
      <w:r w:rsidR="00A14947" w:rsidRPr="00596694">
        <w:rPr>
          <w:rFonts w:cstheme="minorHAnsi"/>
        </w:rPr>
        <w:t xml:space="preserve"> </w:t>
      </w:r>
      <w:r w:rsidR="00A14947" w:rsidRPr="00596694">
        <w:t>must</w:t>
      </w:r>
      <w:r w:rsidR="00A14947" w:rsidRPr="00596694">
        <w:rPr>
          <w:rFonts w:cstheme="minorHAnsi"/>
        </w:rPr>
        <w:t xml:space="preserve"> submit reports in accordance with the Grant Agreement. We will expect </w:t>
      </w:r>
      <w:r w:rsidR="00303F34">
        <w:rPr>
          <w:rFonts w:cstheme="minorHAnsi"/>
        </w:rPr>
        <w:t>Grantee</w:t>
      </w:r>
      <w:r w:rsidR="00A14947" w:rsidRPr="00596694">
        <w:rPr>
          <w:rFonts w:cstheme="minorHAnsi"/>
        </w:rPr>
        <w:t>s to report on such matters as:</w:t>
      </w:r>
    </w:p>
    <w:p w14:paraId="73D4784F" w14:textId="5419B5A4" w:rsidR="00A14947" w:rsidRPr="00B0575A" w:rsidRDefault="00A14947" w:rsidP="00B0575A">
      <w:pPr>
        <w:pStyle w:val="ListBullet"/>
      </w:pPr>
      <w:r w:rsidRPr="00596694">
        <w:t>progress a</w:t>
      </w:r>
      <w:r w:rsidRPr="00B0575A">
        <w:t>gainst agreed activity and outcomes;</w:t>
      </w:r>
    </w:p>
    <w:p w14:paraId="73D47850" w14:textId="3B6404DB" w:rsidR="00A14947" w:rsidRPr="00B0575A" w:rsidRDefault="00A14947" w:rsidP="00B0575A">
      <w:pPr>
        <w:pStyle w:val="ListBullet"/>
      </w:pPr>
      <w:r w:rsidRPr="00B0575A">
        <w:t xml:space="preserve">contributions of participants directly related to the Funded </w:t>
      </w:r>
      <w:r w:rsidR="0018190F" w:rsidRPr="00B0575A">
        <w:t>Solution</w:t>
      </w:r>
      <w:r w:rsidRPr="00B0575A">
        <w:t xml:space="preserve"> including scheduled co-contributions (if any); and</w:t>
      </w:r>
    </w:p>
    <w:p w14:paraId="73D47851" w14:textId="071B2505" w:rsidR="00A14947" w:rsidRPr="00596694" w:rsidRDefault="00A14947" w:rsidP="00B0575A">
      <w:pPr>
        <w:pStyle w:val="ListBullet"/>
      </w:pPr>
      <w:r w:rsidRPr="00B0575A">
        <w:t>expenditure of the grant.</w:t>
      </w:r>
    </w:p>
    <w:p w14:paraId="73D47852" w14:textId="77FA13A5" w:rsidR="00A14947" w:rsidRPr="00596694" w:rsidRDefault="00A14947" w:rsidP="005C4E32">
      <w:pPr>
        <w:pStyle w:val="Normal-Style2"/>
        <w:rPr>
          <w:rFonts w:cstheme="minorHAnsi"/>
        </w:rPr>
      </w:pPr>
      <w:r w:rsidRPr="00596694">
        <w:rPr>
          <w:rFonts w:cstheme="minorHAnsi"/>
        </w:rPr>
        <w:t xml:space="preserve">The amount of detail you provide in your reports should be relative to the Funded </w:t>
      </w:r>
      <w:r w:rsidR="0018190F" w:rsidRPr="00596694">
        <w:rPr>
          <w:rFonts w:cstheme="minorHAnsi"/>
        </w:rPr>
        <w:t>Solution</w:t>
      </w:r>
      <w:r w:rsidRPr="00596694">
        <w:rPr>
          <w:rFonts w:cstheme="minorHAnsi"/>
        </w:rPr>
        <w:t xml:space="preserve"> size, complexity and grant amount.</w:t>
      </w:r>
    </w:p>
    <w:p w14:paraId="73D47853" w14:textId="16CCE881" w:rsidR="00A14947" w:rsidRPr="00596694" w:rsidRDefault="00A14947" w:rsidP="005C4E32">
      <w:pPr>
        <w:pStyle w:val="Normal-Style2"/>
        <w:rPr>
          <w:rFonts w:cstheme="minorHAnsi"/>
        </w:rPr>
      </w:pPr>
      <w:r w:rsidRPr="00596694">
        <w:rPr>
          <w:rFonts w:cstheme="minorHAnsi"/>
        </w:rPr>
        <w:t>We will monitor progress by assessing reports applicants submit and may conduct site visits or request records to confirm details of reports if necessary. Occasionally we may need to re-examine claims, seek further information or request an independent audit of claims and payments. We may also inspect the records applicants are required to keep under the Grant Agreement.</w:t>
      </w:r>
      <w:bookmarkEnd w:id="341"/>
      <w:bookmarkEnd w:id="342"/>
    </w:p>
    <w:p w14:paraId="73D47854" w14:textId="77777777" w:rsidR="000D41E5" w:rsidRDefault="001A1E37" w:rsidP="005C4E32">
      <w:pPr>
        <w:pStyle w:val="Heading3"/>
      </w:pPr>
      <w:bookmarkStart w:id="343" w:name="_Toc178085233"/>
      <w:r>
        <w:lastRenderedPageBreak/>
        <w:t>Asset completion report</w:t>
      </w:r>
      <w:bookmarkEnd w:id="343"/>
      <w:r>
        <w:t xml:space="preserve"> </w:t>
      </w:r>
    </w:p>
    <w:p w14:paraId="73D47855" w14:textId="45B46FCD" w:rsidR="001A1E37" w:rsidRDefault="009E2983" w:rsidP="005C4E32">
      <w:pPr>
        <w:pStyle w:val="Normal-Style2"/>
      </w:pPr>
      <w:r w:rsidRPr="009E2983">
        <w:t>For each completed Asset</w:t>
      </w:r>
      <w:r w:rsidR="00303F34">
        <w:t>, Grantee</w:t>
      </w:r>
      <w:r w:rsidRPr="009E2983">
        <w:t>s must submit an asset completio</w:t>
      </w:r>
      <w:r w:rsidR="00193F39">
        <w:t xml:space="preserve">n report as specified in the </w:t>
      </w:r>
      <w:r w:rsidRPr="009E2983">
        <w:t xml:space="preserve">Grant Agreement. Assets will be defined in each </w:t>
      </w:r>
      <w:r w:rsidR="00BD039A">
        <w:t xml:space="preserve">Grantee’s </w:t>
      </w:r>
      <w:r w:rsidRPr="009E2983">
        <w:t>’s G</w:t>
      </w:r>
      <w:r w:rsidRPr="00193F39">
        <w:t xml:space="preserve">rant Agreement with the Commonwealth. </w:t>
      </w:r>
    </w:p>
    <w:p w14:paraId="73D47856" w14:textId="77777777" w:rsidR="006676B1" w:rsidRPr="006676B1" w:rsidRDefault="006676B1" w:rsidP="005C4E32">
      <w:pPr>
        <w:pStyle w:val="Heading3"/>
      </w:pPr>
      <w:bookmarkStart w:id="344" w:name="_Toc178085234"/>
      <w:r w:rsidRPr="006676B1">
        <w:t>Financial declaration or audited financial acquittal reports</w:t>
      </w:r>
      <w:bookmarkEnd w:id="344"/>
      <w:r w:rsidRPr="006676B1">
        <w:t xml:space="preserve"> </w:t>
      </w:r>
    </w:p>
    <w:p w14:paraId="73D47857" w14:textId="37862EDE" w:rsidR="006676B1" w:rsidRPr="002A2C87" w:rsidRDefault="006676B1" w:rsidP="005C4E32">
      <w:pPr>
        <w:pStyle w:val="Normal-Style2"/>
      </w:pPr>
      <w:r w:rsidRPr="002A2C87">
        <w:t xml:space="preserve">We will ask </w:t>
      </w:r>
      <w:proofErr w:type="gramStart"/>
      <w:r w:rsidR="00BD039A">
        <w:t xml:space="preserve">Grantees </w:t>
      </w:r>
      <w:r w:rsidRPr="002A2C87">
        <w:t xml:space="preserve"> to</w:t>
      </w:r>
      <w:proofErr w:type="gramEnd"/>
      <w:r w:rsidRPr="002A2C87">
        <w:t xml:space="preserve"> provide a declaration that the grant money was spent in accordance with the Grant Agreement and to report on any underspends of the grant money. We may need to re-examine claims, seek further information </w:t>
      </w:r>
      <w:r w:rsidRPr="00514617">
        <w:t xml:space="preserve">or request an independent audit of claims and payments. </w:t>
      </w:r>
    </w:p>
    <w:p w14:paraId="73D47858" w14:textId="77777777" w:rsidR="006676B1" w:rsidRPr="006676B1" w:rsidRDefault="006676B1" w:rsidP="005C4E32">
      <w:pPr>
        <w:pStyle w:val="Heading3"/>
      </w:pPr>
      <w:bookmarkStart w:id="345" w:name="_Toc178085235"/>
      <w:r w:rsidRPr="006676B1">
        <w:t>Independent audit report</w:t>
      </w:r>
      <w:bookmarkEnd w:id="345"/>
      <w:r w:rsidRPr="006676B1">
        <w:t xml:space="preserve"> </w:t>
      </w:r>
    </w:p>
    <w:p w14:paraId="73D47859" w14:textId="60A0670A" w:rsidR="006676B1" w:rsidRDefault="006676B1" w:rsidP="005C4E32">
      <w:pPr>
        <w:pStyle w:val="Normal-Style2"/>
      </w:pPr>
      <w:r w:rsidRPr="001E6BC3">
        <w:t xml:space="preserve">The </w:t>
      </w:r>
      <w:r>
        <w:t>d</w:t>
      </w:r>
      <w:r w:rsidRPr="001E6BC3">
        <w:t xml:space="preserve">epartment may request an independently audited financial report for Funded </w:t>
      </w:r>
      <w:r w:rsidR="0018190F">
        <w:t>Solution</w:t>
      </w:r>
      <w:r w:rsidRPr="001E6BC3">
        <w:t xml:space="preserve">s at the </w:t>
      </w:r>
      <w:r w:rsidR="00303F34">
        <w:t>Grantee</w:t>
      </w:r>
      <w:r w:rsidRPr="001E6BC3">
        <w:t xml:space="preserve">’s expense. </w:t>
      </w:r>
      <w:r w:rsidRPr="00A96A87">
        <w:t>For example, where claimed costs at a number of sites significantly diverge from pa</w:t>
      </w:r>
      <w:r>
        <w:t>s</w:t>
      </w:r>
      <w:r w:rsidRPr="00A96A87">
        <w:t>t experience, without a reasonable explanation, or there is concern that costs have been claimed for ineligible activities (see section 5.</w:t>
      </w:r>
      <w:r w:rsidRPr="00723B94">
        <w:t>4</w:t>
      </w:r>
      <w:r w:rsidRPr="00A96A87">
        <w:t>).</w:t>
      </w:r>
    </w:p>
    <w:p w14:paraId="73D4785A" w14:textId="4BE4AA2F" w:rsidR="006676B1" w:rsidRDefault="006676B1" w:rsidP="005C4E32">
      <w:pPr>
        <w:pStyle w:val="Normal-Style2"/>
      </w:pPr>
      <w:r w:rsidRPr="001E6BC3">
        <w:t xml:space="preserve">The financial audit report will verify that </w:t>
      </w:r>
      <w:r w:rsidR="00BD039A">
        <w:t>Grantees</w:t>
      </w:r>
      <w:r w:rsidRPr="001E6BC3">
        <w:t xml:space="preserve"> spent the grant in accordance with the Grant Agreement. We will assess the report and </w:t>
      </w:r>
      <w:r w:rsidRPr="003832C6">
        <w:t xml:space="preserve">may re-examine applicants’ claims or conduct site visits if necessary. </w:t>
      </w:r>
    </w:p>
    <w:p w14:paraId="73D4785B" w14:textId="77777777" w:rsidR="00193F39" w:rsidRDefault="00193F39" w:rsidP="005C4E32">
      <w:pPr>
        <w:pStyle w:val="Heading3"/>
      </w:pPr>
      <w:bookmarkStart w:id="346" w:name="_Toc178085236"/>
      <w:r>
        <w:t>Grant agreement variations</w:t>
      </w:r>
      <w:bookmarkEnd w:id="346"/>
      <w:r>
        <w:t xml:space="preserve"> </w:t>
      </w:r>
    </w:p>
    <w:p w14:paraId="73D4785C" w14:textId="0FED7039" w:rsidR="00224FC4" w:rsidRDefault="00193F39" w:rsidP="005C4E32">
      <w:pPr>
        <w:pStyle w:val="Normal-Style2"/>
      </w:pPr>
      <w:r>
        <w:t xml:space="preserve">We recognise that unexpected events may affect your progress. In these circumstances, you can request a variation to your </w:t>
      </w:r>
      <w:r w:rsidR="00303F34">
        <w:t>G</w:t>
      </w:r>
      <w:r>
        <w:t xml:space="preserve">rant </w:t>
      </w:r>
      <w:r w:rsidR="00303F34">
        <w:t>A</w:t>
      </w:r>
      <w:r>
        <w:t xml:space="preserve">greement. </w:t>
      </w:r>
      <w:r w:rsidR="00303F34">
        <w:t>Grantees</w:t>
      </w:r>
      <w:r>
        <w:t xml:space="preserve"> can request a variation by providing written notice to the department setting out the reasons for the variation and proposing the steps that could be taken to better achieve the purpose or address the risks of the Funded </w:t>
      </w:r>
      <w:r w:rsidR="0018190F">
        <w:t>Solution</w:t>
      </w:r>
      <w:r>
        <w:t xml:space="preserve">s. </w:t>
      </w:r>
    </w:p>
    <w:p w14:paraId="73D4785D" w14:textId="77777777" w:rsidR="00193F39" w:rsidRDefault="00193F39" w:rsidP="005C4E32">
      <w:pPr>
        <w:pStyle w:val="Normal-Style2"/>
      </w:pPr>
      <w:r>
        <w:t xml:space="preserve">You should not assume that a variation request will be successful. We will consider your request based on provisions in the Grant Agreement and the likely impact on achieving outcomes. </w:t>
      </w:r>
    </w:p>
    <w:p w14:paraId="73D4785E" w14:textId="77777777" w:rsidR="003832C6" w:rsidRDefault="003832C6" w:rsidP="005C4E32">
      <w:pPr>
        <w:pStyle w:val="Heading3"/>
        <w:ind w:left="1077" w:hanging="1077"/>
      </w:pPr>
      <w:bookmarkStart w:id="347" w:name="_Toc178085237"/>
      <w:bookmarkStart w:id="348" w:name="_Toc421777629"/>
      <w:bookmarkStart w:id="349" w:name="_Toc467773988"/>
      <w:bookmarkStart w:id="350" w:name="_Toc5193535"/>
      <w:bookmarkStart w:id="351" w:name="_Toc5265944"/>
      <w:bookmarkStart w:id="352" w:name="_Toc50044057"/>
      <w:bookmarkStart w:id="353" w:name="_Toc56425484"/>
      <w:bookmarkStart w:id="354" w:name="_Toc90294863"/>
      <w:bookmarkStart w:id="355" w:name="_Toc113442216"/>
      <w:bookmarkStart w:id="356" w:name="_Toc113357253"/>
      <w:r>
        <w:t>Compliance visits</w:t>
      </w:r>
      <w:bookmarkEnd w:id="347"/>
      <w:r>
        <w:t xml:space="preserve"> </w:t>
      </w:r>
    </w:p>
    <w:p w14:paraId="73D4785F" w14:textId="56F3B730" w:rsidR="00224FC4" w:rsidRDefault="003832C6" w:rsidP="005C4E32">
      <w:pPr>
        <w:pStyle w:val="Normal-Style2"/>
      </w:pPr>
      <w:r w:rsidRPr="003832C6">
        <w:t>The department (including entities acting on our behalf) may visit</w:t>
      </w:r>
      <w:r w:rsidR="00BD039A">
        <w:t xml:space="preserve"> Grantees</w:t>
      </w:r>
      <w:r w:rsidRPr="003832C6">
        <w:t xml:space="preserve"> during the development </w:t>
      </w:r>
      <w:r w:rsidRPr="005A6D03">
        <w:t xml:space="preserve">and construction of the Funded </w:t>
      </w:r>
      <w:r w:rsidR="0018190F">
        <w:t>Solution</w:t>
      </w:r>
      <w:r w:rsidRPr="005A6D03">
        <w:t xml:space="preserve">, or at the completion of the </w:t>
      </w:r>
      <w:r w:rsidRPr="000A0F55">
        <w:t xml:space="preserve">Funded </w:t>
      </w:r>
      <w:r w:rsidR="0018190F">
        <w:t>Solution</w:t>
      </w:r>
      <w:r w:rsidRPr="000A0F55">
        <w:t xml:space="preserve"> to review compliance with the Grant Agreement. </w:t>
      </w:r>
    </w:p>
    <w:p w14:paraId="73D47860" w14:textId="698E341B" w:rsidR="00224FC4" w:rsidRDefault="003832C6" w:rsidP="005C4E32">
      <w:pPr>
        <w:pStyle w:val="Normal-Style2"/>
      </w:pPr>
      <w:r w:rsidRPr="000A0F55">
        <w:t xml:space="preserve">We may also inspect the records </w:t>
      </w:r>
      <w:r w:rsidR="00303F34">
        <w:t>Grantees</w:t>
      </w:r>
      <w:r w:rsidRPr="000A0F55">
        <w:t xml:space="preserve"> are required to keep under the Grant Agreement. For large or complex </w:t>
      </w:r>
      <w:r w:rsidRPr="006108C0">
        <w:t xml:space="preserve">Funded </w:t>
      </w:r>
      <w:r w:rsidR="0018190F">
        <w:t>Solution</w:t>
      </w:r>
      <w:r w:rsidRPr="006108C0">
        <w:t xml:space="preserve">s, we may visit </w:t>
      </w:r>
      <w:r w:rsidR="00303F34">
        <w:t>Grantee</w:t>
      </w:r>
      <w:r w:rsidRPr="006108C0">
        <w:t xml:space="preserve">s after they finish the Funded </w:t>
      </w:r>
      <w:r w:rsidR="0018190F">
        <w:t>Solution</w:t>
      </w:r>
      <w:r w:rsidRPr="006108C0">
        <w:t xml:space="preserve">. </w:t>
      </w:r>
    </w:p>
    <w:p w14:paraId="73D47861" w14:textId="749BBC57" w:rsidR="003832C6" w:rsidRPr="003832C6" w:rsidRDefault="003832C6" w:rsidP="005C4E32">
      <w:pPr>
        <w:pStyle w:val="Normal-Style2"/>
      </w:pPr>
      <w:r w:rsidRPr="009940A6">
        <w:t xml:space="preserve">We will </w:t>
      </w:r>
      <w:r w:rsidRPr="004C2A4B">
        <w:t xml:space="preserve">provide </w:t>
      </w:r>
      <w:r w:rsidR="00303F34">
        <w:t>Grantee</w:t>
      </w:r>
      <w:r w:rsidRPr="004C2A4B">
        <w:t xml:space="preserve">s with reasonable notice of any compliance visit. </w:t>
      </w:r>
    </w:p>
    <w:p w14:paraId="73D47862" w14:textId="77777777" w:rsidR="00733FF0" w:rsidRPr="001E6BC3" w:rsidRDefault="00733FF0" w:rsidP="005C4E32">
      <w:pPr>
        <w:pStyle w:val="Heading3"/>
        <w:ind w:left="1077" w:hanging="1077"/>
      </w:pPr>
      <w:bookmarkStart w:id="357" w:name="_Toc178085238"/>
      <w:r w:rsidRPr="001E6BC3">
        <w:t>Evaluation</w:t>
      </w:r>
      <w:bookmarkEnd w:id="348"/>
      <w:bookmarkEnd w:id="349"/>
      <w:bookmarkEnd w:id="350"/>
      <w:bookmarkEnd w:id="351"/>
      <w:bookmarkEnd w:id="352"/>
      <w:bookmarkEnd w:id="353"/>
      <w:bookmarkEnd w:id="354"/>
      <w:bookmarkEnd w:id="355"/>
      <w:bookmarkEnd w:id="356"/>
      <w:bookmarkEnd w:id="357"/>
    </w:p>
    <w:p w14:paraId="73D47863" w14:textId="162D82E8" w:rsidR="00224FC4" w:rsidRDefault="00C06F90" w:rsidP="005C4E32">
      <w:pPr>
        <w:pStyle w:val="Normal-Style2"/>
      </w:pPr>
      <w:r>
        <w:t xml:space="preserve">We will evaluate the </w:t>
      </w:r>
      <w:r w:rsidR="000A0F55">
        <w:t>G</w:t>
      </w:r>
      <w:r>
        <w:t xml:space="preserve">rant </w:t>
      </w:r>
      <w:r w:rsidR="000A0F55">
        <w:t>Opportunity</w:t>
      </w:r>
      <w:r>
        <w:t xml:space="preserve"> to measure how well the outcomes and objectives have been achieved. We may use information from your application and reports for this purpose. We may also interview </w:t>
      </w:r>
      <w:r w:rsidR="00BD039A">
        <w:t>Grantees</w:t>
      </w:r>
      <w:r>
        <w:t xml:space="preserve">, or ask for more information to help us understand how the grant impacted you and to evaluate how effective the Program was in achieving its outcomes. </w:t>
      </w:r>
    </w:p>
    <w:p w14:paraId="73D47864" w14:textId="7460FE69" w:rsidR="000A0F55" w:rsidRDefault="005A6D03" w:rsidP="005C4E32">
      <w:pPr>
        <w:pStyle w:val="Normal-Style2"/>
      </w:pPr>
      <w:r>
        <w:lastRenderedPageBreak/>
        <w:t xml:space="preserve">Grantees may be required to participate in Program reviews and evaluations. We may contact </w:t>
      </w:r>
      <w:r w:rsidR="00BD039A">
        <w:t>Grantees</w:t>
      </w:r>
      <w:r>
        <w:t xml:space="preserve"> up to one year after the Asset Completion Dates for each Funded </w:t>
      </w:r>
      <w:r w:rsidR="0018190F">
        <w:t>Solution</w:t>
      </w:r>
      <w:r>
        <w:t xml:space="preserve"> for more information to assist with this evaluation.</w:t>
      </w:r>
      <w:bookmarkStart w:id="358" w:name="_Toc467773990"/>
      <w:bookmarkStart w:id="359" w:name="_Toc5193536"/>
      <w:bookmarkStart w:id="360" w:name="_Toc5265945"/>
      <w:bookmarkStart w:id="361" w:name="_Toc50044058"/>
      <w:bookmarkStart w:id="362" w:name="_Toc56425485"/>
      <w:bookmarkStart w:id="363" w:name="_Toc90294864"/>
      <w:bookmarkStart w:id="364" w:name="_Ref109305666"/>
      <w:bookmarkStart w:id="365" w:name="_Toc113442217"/>
      <w:bookmarkStart w:id="366" w:name="_Toc113357254"/>
      <w:bookmarkStart w:id="367" w:name="_Toc421777631"/>
    </w:p>
    <w:p w14:paraId="73D47865" w14:textId="77777777" w:rsidR="006676B1" w:rsidRDefault="006676B1" w:rsidP="005C4E32">
      <w:pPr>
        <w:pStyle w:val="Heading3"/>
        <w:ind w:left="1077" w:hanging="1077"/>
      </w:pPr>
      <w:bookmarkStart w:id="368" w:name="_Toc178085239"/>
      <w:r>
        <w:t>Acknowledgement</w:t>
      </w:r>
      <w:bookmarkEnd w:id="368"/>
    </w:p>
    <w:p w14:paraId="73D47866" w14:textId="77777777" w:rsidR="000A0F55" w:rsidRPr="000A0F55" w:rsidRDefault="000A0F55" w:rsidP="005C4E32">
      <w:pPr>
        <w:pStyle w:val="Normal-Style2"/>
      </w:pPr>
      <w:r w:rsidRPr="000A0F55">
        <w:t xml:space="preserve">The Program logo should be used on all materials related to grants under the Program. Whenever the logo is used, the publication must also acknowledge the Commonwealth as follows: </w:t>
      </w:r>
    </w:p>
    <w:p w14:paraId="73D47867" w14:textId="77777777" w:rsidR="000A0F55" w:rsidRDefault="000A0F55" w:rsidP="00303F34">
      <w:pPr>
        <w:pStyle w:val="Normal-Style2"/>
        <w:numPr>
          <w:ilvl w:val="0"/>
          <w:numId w:val="0"/>
        </w:numPr>
        <w:ind w:left="2268"/>
      </w:pPr>
      <w:r>
        <w:t>“</w:t>
      </w:r>
      <w:r w:rsidR="00AD0A7C">
        <w:t xml:space="preserve">Peri-Urban Mobile Program </w:t>
      </w:r>
      <w:r>
        <w:t xml:space="preserve">– An Australian Government initiative”. </w:t>
      </w:r>
    </w:p>
    <w:p w14:paraId="73D47868" w14:textId="77777777" w:rsidR="000A0F55" w:rsidRDefault="000A0F55" w:rsidP="00303F34">
      <w:pPr>
        <w:pStyle w:val="Normal-Style2"/>
        <w:numPr>
          <w:ilvl w:val="0"/>
          <w:numId w:val="0"/>
        </w:numPr>
        <w:ind w:left="2268"/>
      </w:pPr>
      <w:r>
        <w:t xml:space="preserve">If applicants make a public statement about a Funded </w:t>
      </w:r>
      <w:r w:rsidR="0018190F">
        <w:t xml:space="preserve">Solution </w:t>
      </w:r>
      <w:r>
        <w:t xml:space="preserve">under the Program, we require them to acknowledge the </w:t>
      </w:r>
      <w:r w:rsidR="00244DF3">
        <w:t>G</w:t>
      </w:r>
      <w:r>
        <w:t xml:space="preserve">rant by using the following wording: </w:t>
      </w:r>
    </w:p>
    <w:p w14:paraId="73D47869" w14:textId="77777777" w:rsidR="00AD0A7C" w:rsidRDefault="000A0F55" w:rsidP="00303F34">
      <w:pPr>
        <w:pStyle w:val="Normal-Style2"/>
        <w:numPr>
          <w:ilvl w:val="0"/>
          <w:numId w:val="0"/>
        </w:numPr>
        <w:ind w:left="2215" w:firstLine="53"/>
      </w:pPr>
      <w:r>
        <w:t xml:space="preserve">“This project received funding from the Australian Government.” </w:t>
      </w:r>
    </w:p>
    <w:p w14:paraId="73D4786A" w14:textId="4746A738" w:rsidR="00733FF0" w:rsidRDefault="00733FF0" w:rsidP="00F739AC">
      <w:pPr>
        <w:pStyle w:val="Heading2"/>
      </w:pPr>
      <w:bookmarkStart w:id="369" w:name="_Toc178085240"/>
      <w:r w:rsidRPr="00B72EE8">
        <w:t>P</w:t>
      </w:r>
      <w:r>
        <w:t>robity</w:t>
      </w:r>
      <w:bookmarkEnd w:id="358"/>
      <w:bookmarkEnd w:id="359"/>
      <w:bookmarkEnd w:id="360"/>
      <w:bookmarkEnd w:id="361"/>
      <w:bookmarkEnd w:id="362"/>
      <w:bookmarkEnd w:id="363"/>
      <w:bookmarkEnd w:id="364"/>
      <w:bookmarkEnd w:id="365"/>
      <w:bookmarkEnd w:id="366"/>
      <w:bookmarkEnd w:id="369"/>
    </w:p>
    <w:p w14:paraId="7C89E489" w14:textId="539B4D1D" w:rsidR="00EC5583" w:rsidRPr="00EC5583" w:rsidRDefault="00A42098" w:rsidP="00A42098">
      <w:pPr>
        <w:pStyle w:val="Heading3"/>
        <w:ind w:left="1077" w:hanging="1077"/>
      </w:pPr>
      <w:bookmarkStart w:id="370" w:name="_Toc178085241"/>
      <w:r>
        <w:t>Grant opportunity probity</w:t>
      </w:r>
      <w:bookmarkEnd w:id="370"/>
    </w:p>
    <w:bookmarkEnd w:id="367"/>
    <w:p w14:paraId="73D4786B" w14:textId="302EEC8B" w:rsidR="00AD0A7C" w:rsidRDefault="008C14C7" w:rsidP="005C4E32">
      <w:pPr>
        <w:pStyle w:val="Normal-Style2"/>
      </w:pPr>
      <w:r>
        <w:t>The</w:t>
      </w:r>
      <w:r w:rsidR="000A0F55">
        <w:t xml:space="preserve"> Government will make sure that the Grant Opportunity </w:t>
      </w:r>
      <w:r w:rsidR="006108C0">
        <w:t xml:space="preserve">process </w:t>
      </w:r>
      <w:r w:rsidR="000A0F55">
        <w:t xml:space="preserve">is fair, conducted according to these Guidelines, incorporates </w:t>
      </w:r>
      <w:r w:rsidR="006108C0">
        <w:t xml:space="preserve">appropriate safeguards against fraud, unlawful activities and other inappropriate conduct, and is consistent with the </w:t>
      </w:r>
      <w:hyperlink r:id="rId36" w:history="1">
        <w:proofErr w:type="spellStart"/>
        <w:r w:rsidR="006108C0" w:rsidRPr="008567F7">
          <w:rPr>
            <w:rStyle w:val="Hyperlink"/>
          </w:rPr>
          <w:t>CGRGs</w:t>
        </w:r>
        <w:proofErr w:type="spellEnd"/>
      </w:hyperlink>
      <w:r w:rsidR="006108C0">
        <w:t xml:space="preserve">. </w:t>
      </w:r>
    </w:p>
    <w:p w14:paraId="73D4786C" w14:textId="18E8D90B" w:rsidR="000A0F55" w:rsidRPr="007E01CD" w:rsidRDefault="006108C0" w:rsidP="005C4E32">
      <w:pPr>
        <w:pStyle w:val="Normal-Style2"/>
      </w:pPr>
      <w:r>
        <w:t xml:space="preserve">External advisors </w:t>
      </w:r>
      <w:r w:rsidR="00A03C13">
        <w:t>(such as technical</w:t>
      </w:r>
      <w:r w:rsidR="00407DB2">
        <w:t xml:space="preserve"> experts</w:t>
      </w:r>
      <w:r w:rsidR="00A03C13">
        <w:t xml:space="preserve"> </w:t>
      </w:r>
      <w:r w:rsidR="00407DB2">
        <w:t xml:space="preserve">and </w:t>
      </w:r>
      <w:r w:rsidR="00A03C13">
        <w:t xml:space="preserve">probity advisors) </w:t>
      </w:r>
      <w:r>
        <w:t xml:space="preserve">may also be asked to inform the assessment and evaluation process. All external advisors must comply with the </w:t>
      </w:r>
      <w:hyperlink r:id="rId37" w:history="1">
        <w:proofErr w:type="spellStart"/>
        <w:r w:rsidRPr="008567F7">
          <w:rPr>
            <w:rStyle w:val="Hyperlink"/>
          </w:rPr>
          <w:t>CGRGs</w:t>
        </w:r>
        <w:proofErr w:type="spellEnd"/>
      </w:hyperlink>
      <w:r>
        <w:t xml:space="preserve">. </w:t>
      </w:r>
    </w:p>
    <w:p w14:paraId="73D4786D" w14:textId="77777777" w:rsidR="00134782" w:rsidRDefault="00134782" w:rsidP="005C4E32">
      <w:pPr>
        <w:pStyle w:val="Heading3"/>
        <w:ind w:left="1077" w:hanging="1077"/>
      </w:pPr>
      <w:bookmarkStart w:id="371" w:name="_Toc178085242"/>
      <w:bookmarkStart w:id="372" w:name="_Toc5193538"/>
      <w:bookmarkStart w:id="373" w:name="_Toc5265947"/>
      <w:bookmarkStart w:id="374" w:name="_Toc50044060"/>
      <w:bookmarkStart w:id="375" w:name="_Toc56425487"/>
      <w:bookmarkStart w:id="376" w:name="_Toc90294866"/>
      <w:bookmarkStart w:id="377" w:name="_Toc113442219"/>
      <w:bookmarkStart w:id="378" w:name="_Toc113357256"/>
      <w:r>
        <w:t>Enquiries and feedback</w:t>
      </w:r>
      <w:bookmarkEnd w:id="371"/>
    </w:p>
    <w:p w14:paraId="73D4786E" w14:textId="77777777" w:rsidR="00134782" w:rsidRPr="006108C0" w:rsidRDefault="00134782" w:rsidP="005C4E32">
      <w:pPr>
        <w:pStyle w:val="Normal-Style2"/>
      </w:pPr>
      <w:r w:rsidRPr="006108C0">
        <w:t>T</w:t>
      </w:r>
      <w:r w:rsidRPr="009940A6">
        <w:t xml:space="preserve">he </w:t>
      </w:r>
      <w:r w:rsidR="00B67AAC">
        <w:t>d</w:t>
      </w:r>
      <w:r w:rsidRPr="008C14C7">
        <w:t xml:space="preserve">epartment’s </w:t>
      </w:r>
      <w:hyperlink r:id="rId38" w:history="1">
        <w:r w:rsidRPr="008C14C7">
          <w:rPr>
            <w:rStyle w:val="Hyperlink"/>
          </w:rPr>
          <w:t>Client Service Charter</w:t>
        </w:r>
      </w:hyperlink>
      <w:hyperlink r:id="rId39" w:history="1"/>
      <w:r w:rsidRPr="006108C0">
        <w:t xml:space="preserve"> applies to complaints about this Grant O</w:t>
      </w:r>
      <w:r w:rsidRPr="009940A6">
        <w:t>pportunity. All complaints about a grant process must be provided in writing.</w:t>
      </w:r>
    </w:p>
    <w:p w14:paraId="73D4786F" w14:textId="77777777" w:rsidR="00134782" w:rsidRPr="00244DF3" w:rsidRDefault="00134782" w:rsidP="005C4E32">
      <w:pPr>
        <w:pStyle w:val="Normal-Style2"/>
        <w:rPr>
          <w:color w:val="1F4E79" w:themeColor="accent1" w:themeShade="80"/>
        </w:rPr>
      </w:pPr>
      <w:r w:rsidRPr="009940A6">
        <w:t xml:space="preserve">Any questions you have about grant decisions for this Grant Opportunity should be sent to </w:t>
      </w:r>
      <w:r w:rsidRPr="00244DF3">
        <w:rPr>
          <w:color w:val="1F4E79" w:themeColor="accent1" w:themeShade="80"/>
          <w:u w:val="single"/>
        </w:rPr>
        <w:t>PUMP@infrastructure.gov.au</w:t>
      </w:r>
      <w:r w:rsidR="00244DF3" w:rsidRPr="00244DF3">
        <w:rPr>
          <w:color w:val="1F4E79" w:themeColor="accent1" w:themeShade="80"/>
          <w:u w:val="single"/>
        </w:rPr>
        <w:t>.</w:t>
      </w:r>
    </w:p>
    <w:p w14:paraId="73D47870" w14:textId="77777777" w:rsidR="00134782" w:rsidRPr="009940A6" w:rsidRDefault="00134782" w:rsidP="005C4E32">
      <w:pPr>
        <w:pStyle w:val="Normal-Style2"/>
      </w:pPr>
      <w:r w:rsidRPr="006108C0">
        <w:t xml:space="preserve">If </w:t>
      </w:r>
      <w:r w:rsidRPr="009940A6">
        <w:t xml:space="preserve">an applicant does not agree with the way the department has handled its complaint, they may complain to the </w:t>
      </w:r>
      <w:hyperlink r:id="rId40" w:history="1">
        <w:r w:rsidRPr="009940A6">
          <w:rPr>
            <w:rStyle w:val="Hyperlink"/>
            <w:rFonts w:eastAsia="MS Mincho"/>
          </w:rPr>
          <w:t>Commonwealth Ombudsman</w:t>
        </w:r>
      </w:hyperlink>
      <w:r w:rsidRPr="009940A6">
        <w:t>. The Ombudsman will not usually look into a complaint unless the matter has first been raised directly with the department.</w:t>
      </w:r>
    </w:p>
    <w:p w14:paraId="73D47871" w14:textId="77777777" w:rsidR="00134782" w:rsidRPr="009940A6" w:rsidRDefault="00134782" w:rsidP="00303F34">
      <w:pPr>
        <w:pStyle w:val="Bodynumbered-Level1"/>
        <w:ind w:left="2268" w:firstLine="0"/>
        <w:rPr>
          <w:rFonts w:asciiTheme="minorHAnsi" w:hAnsiTheme="minorHAnsi" w:cstheme="minorHAnsi"/>
        </w:rPr>
      </w:pPr>
      <w:r w:rsidRPr="009940A6">
        <w:rPr>
          <w:rFonts w:asciiTheme="minorHAnsi" w:hAnsiTheme="minorHAnsi" w:cstheme="minorHAnsi"/>
        </w:rPr>
        <w:t>The Commonwealth Ombudsman can be contacted on:</w:t>
      </w:r>
    </w:p>
    <w:p w14:paraId="73D47872" w14:textId="77777777" w:rsidR="00134782" w:rsidRPr="00134782" w:rsidRDefault="00134782" w:rsidP="00303F34">
      <w:pPr>
        <w:pStyle w:val="Bodynumbered-Level1"/>
        <w:spacing w:line="280" w:lineRule="atLeast"/>
        <w:ind w:left="2268" w:firstLine="0"/>
        <w:rPr>
          <w:rFonts w:asciiTheme="minorHAnsi" w:hAnsiTheme="minorHAnsi" w:cstheme="minorHAnsi"/>
        </w:rPr>
      </w:pPr>
      <w:r w:rsidRPr="009940A6">
        <w:rPr>
          <w:rFonts w:asciiTheme="minorHAnsi" w:hAnsiTheme="minorHAnsi" w:cstheme="minorHAnsi"/>
        </w:rPr>
        <w:t>Phone (Toll free): 1300 362 072</w:t>
      </w:r>
      <w:r w:rsidRPr="009940A6">
        <w:rPr>
          <w:rFonts w:asciiTheme="minorHAnsi" w:hAnsiTheme="minorHAnsi" w:cstheme="minorHAnsi"/>
        </w:rPr>
        <w:br/>
        <w:t xml:space="preserve">Email: </w:t>
      </w:r>
      <w:hyperlink r:id="rId41" w:history="1">
        <w:r w:rsidRPr="009940A6">
          <w:rPr>
            <w:rStyle w:val="Hyperlink"/>
            <w:rFonts w:asciiTheme="minorHAnsi" w:hAnsiTheme="minorHAnsi" w:cstheme="minorHAnsi"/>
          </w:rPr>
          <w:t>ombudsman@ombudsman.gov.au</w:t>
        </w:r>
      </w:hyperlink>
      <w:r w:rsidRPr="009940A6">
        <w:rPr>
          <w:rFonts w:asciiTheme="minorHAnsi" w:hAnsiTheme="minorHAnsi" w:cstheme="minorHAnsi"/>
        </w:rPr>
        <w:t xml:space="preserve"> </w:t>
      </w:r>
      <w:r w:rsidRPr="009940A6">
        <w:rPr>
          <w:rFonts w:asciiTheme="minorHAnsi" w:hAnsiTheme="minorHAnsi" w:cstheme="minorHAnsi"/>
        </w:rPr>
        <w:br/>
        <w:t xml:space="preserve">Website: </w:t>
      </w:r>
      <w:hyperlink r:id="rId42" w:history="1">
        <w:r w:rsidRPr="009940A6">
          <w:rPr>
            <w:rStyle w:val="Hyperlink"/>
            <w:rFonts w:asciiTheme="minorHAnsi" w:hAnsiTheme="minorHAnsi" w:cstheme="minorHAnsi"/>
          </w:rPr>
          <w:t>www.ombudsman.gov.au</w:t>
        </w:r>
      </w:hyperlink>
    </w:p>
    <w:p w14:paraId="73D47873" w14:textId="77777777" w:rsidR="00134782" w:rsidRDefault="00134782" w:rsidP="005C4E32">
      <w:pPr>
        <w:pStyle w:val="Heading3"/>
        <w:ind w:left="1077" w:hanging="1077"/>
      </w:pPr>
      <w:bookmarkStart w:id="379" w:name="_Toc178085243"/>
      <w:r>
        <w:t>Conflicts of interest</w:t>
      </w:r>
      <w:bookmarkEnd w:id="379"/>
    </w:p>
    <w:p w14:paraId="73D47874" w14:textId="10B00E54" w:rsidR="00134782" w:rsidRPr="00E66786" w:rsidRDefault="00134782" w:rsidP="005C4E32">
      <w:pPr>
        <w:pStyle w:val="Normal-Style2"/>
      </w:pPr>
      <w:r w:rsidRPr="00E66786">
        <w:t>Any conflicts of interest could affect the performance of the Grant Opportunity</w:t>
      </w:r>
      <w:r>
        <w:t xml:space="preserve"> or Program</w:t>
      </w:r>
      <w:r w:rsidRPr="00E66786">
        <w:t xml:space="preserve">. There may be </w:t>
      </w:r>
      <w:r>
        <w:t>a conflict of interest, or perceived conflict of interest if d</w:t>
      </w:r>
      <w:r w:rsidRPr="00E66786">
        <w:t>epartment staff, any member of a committee</w:t>
      </w:r>
      <w:r w:rsidR="00303F34">
        <w:t>,</w:t>
      </w:r>
      <w:r w:rsidRPr="00E66786">
        <w:t xml:space="preserve"> advisor</w:t>
      </w:r>
      <w:r w:rsidR="00303F34">
        <w:t>,</w:t>
      </w:r>
      <w:r w:rsidRPr="00E66786">
        <w:t xml:space="preserve"> and/or the applicant or any of applicant’s personnel has a:</w:t>
      </w:r>
    </w:p>
    <w:p w14:paraId="73D47875" w14:textId="170AC2AB" w:rsidR="00134782" w:rsidRPr="00B0575A" w:rsidRDefault="00134782" w:rsidP="00B0575A">
      <w:pPr>
        <w:pStyle w:val="ListBullet"/>
      </w:pPr>
      <w:r w:rsidRPr="000D73F6">
        <w:lastRenderedPageBreak/>
        <w:t>prof</w:t>
      </w:r>
      <w:r w:rsidRPr="00B0575A">
        <w:t xml:space="preserve">essional, commercial or personal relationship with a party who is able to influence the application </w:t>
      </w:r>
      <w:r w:rsidR="00BD039A" w:rsidRPr="00B0575A">
        <w:t>s</w:t>
      </w:r>
      <w:r w:rsidRPr="00B0575A">
        <w:t xml:space="preserve">election </w:t>
      </w:r>
      <w:r w:rsidR="00BD039A" w:rsidRPr="00B0575A">
        <w:t>p</w:t>
      </w:r>
      <w:r w:rsidRPr="00B0575A">
        <w:t>rocess, such as an Australian Government officer or an external advisor;</w:t>
      </w:r>
    </w:p>
    <w:p w14:paraId="73D47876" w14:textId="77777777" w:rsidR="00134782" w:rsidRPr="00B0575A" w:rsidRDefault="00134782" w:rsidP="00B0575A">
      <w:pPr>
        <w:pStyle w:val="ListBullet"/>
      </w:pPr>
      <w:r w:rsidRPr="00B0575A">
        <w:t>relationship with or interest in, an organisation, that is likely to interfere with or restrict the applicants from carrying out the proposed activities fairly and independently; or</w:t>
      </w:r>
    </w:p>
    <w:p w14:paraId="73D47877" w14:textId="77777777" w:rsidR="00134782" w:rsidRPr="00957E51" w:rsidRDefault="00134782" w:rsidP="00B0575A">
      <w:pPr>
        <w:pStyle w:val="ListBullet"/>
      </w:pPr>
      <w:r w:rsidRPr="00B0575A">
        <w:t>relationship</w:t>
      </w:r>
      <w:r w:rsidRPr="000D73F6">
        <w:t xml:space="preserve"> with, or interest in, an organisation from which they will receive personal</w:t>
      </w:r>
      <w:r w:rsidRPr="00957E51">
        <w:t xml:space="preserve"> gain because the organisation receives </w:t>
      </w:r>
      <w:r>
        <w:t>a grant under the Program</w:t>
      </w:r>
      <w:r w:rsidRPr="00957E51">
        <w:t>.</w:t>
      </w:r>
    </w:p>
    <w:p w14:paraId="73D47878" w14:textId="77777777" w:rsidR="00134782" w:rsidRDefault="00134782" w:rsidP="005C4E32">
      <w:pPr>
        <w:pStyle w:val="Normal-Style2"/>
      </w:pPr>
      <w:r w:rsidRPr="009A4FE9">
        <w:t xml:space="preserve">Applicants will be asked to declare, as part of </w:t>
      </w:r>
      <w:r>
        <w:t>your</w:t>
      </w:r>
      <w:r w:rsidRPr="009A4FE9">
        <w:t xml:space="preserve"> application, any perceived or existing conflicts of interest or that, to the best of </w:t>
      </w:r>
      <w:r>
        <w:t>your</w:t>
      </w:r>
      <w:r w:rsidRPr="009A4FE9">
        <w:t xml:space="preserve"> knowledge, there is no conflict of interest.</w:t>
      </w:r>
    </w:p>
    <w:p w14:paraId="73D47879" w14:textId="77777777" w:rsidR="00134782" w:rsidRDefault="00134782" w:rsidP="005C4E32">
      <w:pPr>
        <w:pStyle w:val="Normal-Style2"/>
      </w:pPr>
      <w:r w:rsidRPr="009A4FE9">
        <w:t xml:space="preserve">If an applicant later identifies an actual, </w:t>
      </w:r>
      <w:r>
        <w:t>apparent</w:t>
      </w:r>
      <w:r w:rsidRPr="009A4FE9">
        <w:t xml:space="preserve">, or perceived conflict of interest, </w:t>
      </w:r>
      <w:r>
        <w:t>they</w:t>
      </w:r>
      <w:r w:rsidRPr="009A4FE9">
        <w:t xml:space="preserve"> must inform the </w:t>
      </w:r>
      <w:r>
        <w:t>department</w:t>
      </w:r>
      <w:r w:rsidRPr="009A4FE9">
        <w:t xml:space="preserve"> in writing immediately</w:t>
      </w:r>
      <w:r>
        <w:t>.</w:t>
      </w:r>
    </w:p>
    <w:p w14:paraId="73D4787A" w14:textId="1D3B0804" w:rsidR="00134782" w:rsidRPr="00E66786" w:rsidRDefault="00134782" w:rsidP="005C4E32">
      <w:pPr>
        <w:pStyle w:val="Normal-Style2"/>
      </w:pPr>
      <w:r w:rsidRPr="00E66786">
        <w:t xml:space="preserve">Conflicts of interest for Australian Government staff will be handled in accordance with the Australian </w:t>
      </w:r>
      <w:hyperlink r:id="rId43" w:history="1">
        <w:r w:rsidRPr="00E66786">
          <w:t>Public Service Code of Conduct (Section 13(7))</w:t>
        </w:r>
      </w:hyperlink>
      <w:r w:rsidRPr="00E66786">
        <w:t xml:space="preserve"> of the </w:t>
      </w:r>
      <w:hyperlink r:id="rId44" w:history="1">
        <w:r w:rsidRPr="006A530C">
          <w:rPr>
            <w:i/>
          </w:rPr>
          <w:t>Public Service Act 1999</w:t>
        </w:r>
      </w:hyperlink>
      <w:r w:rsidRPr="00E66786">
        <w:t xml:space="preserve"> </w:t>
      </w:r>
      <w:r w:rsidRPr="00A04DC6">
        <w:t>(</w:t>
      </w:r>
      <w:proofErr w:type="spellStart"/>
      <w:r w:rsidRPr="00A04DC6">
        <w:t>Cth</w:t>
      </w:r>
      <w:proofErr w:type="spellEnd"/>
      <w:r w:rsidRPr="00A04DC6">
        <w:t>)</w:t>
      </w:r>
      <w:r w:rsidRPr="00E66786">
        <w:t>. Committee members</w:t>
      </w:r>
      <w:r w:rsidR="00E37925">
        <w:t xml:space="preserve">, other officials including the Decision Maker, and any third parties involved in the assessment process as set out in section </w:t>
      </w:r>
      <w:proofErr w:type="gramStart"/>
      <w:r w:rsidR="00E37925">
        <w:t>8.3</w:t>
      </w:r>
      <w:r w:rsidRPr="00E66786">
        <w:t xml:space="preserve">  must</w:t>
      </w:r>
      <w:proofErr w:type="gramEnd"/>
      <w:r w:rsidRPr="00E66786">
        <w:t xml:space="preserve"> also declare any conflicts of interest</w:t>
      </w:r>
      <w:r>
        <w:t>.</w:t>
      </w:r>
      <w:r w:rsidR="00BE29F7">
        <w:t xml:space="preserve"> Any contractual arrangements between t</w:t>
      </w:r>
      <w:r w:rsidR="00775059">
        <w:t xml:space="preserve">he department </w:t>
      </w:r>
      <w:r w:rsidR="00BE29F7">
        <w:t xml:space="preserve">and third parties involved in the assessment process will have appropriate </w:t>
      </w:r>
      <w:r w:rsidR="00775059">
        <w:t>conflict of interest</w:t>
      </w:r>
      <w:r w:rsidR="00BE29F7">
        <w:t xml:space="preserve"> provisions</w:t>
      </w:r>
      <w:r w:rsidR="00775059">
        <w:t xml:space="preserve">. </w:t>
      </w:r>
    </w:p>
    <w:p w14:paraId="73D4787B" w14:textId="77777777" w:rsidR="008F4A0A" w:rsidRDefault="008F4A0A" w:rsidP="005C4E32">
      <w:pPr>
        <w:pStyle w:val="Heading3"/>
        <w:ind w:left="1077" w:hanging="1077"/>
      </w:pPr>
      <w:bookmarkStart w:id="380" w:name="_Toc178085244"/>
      <w:bookmarkStart w:id="381" w:name="_Toc5193543"/>
      <w:bookmarkStart w:id="382" w:name="_Toc5265952"/>
      <w:bookmarkStart w:id="383" w:name="_Toc50044065"/>
      <w:bookmarkStart w:id="384" w:name="_Toc56425493"/>
      <w:bookmarkStart w:id="385" w:name="_Toc90294872"/>
      <w:bookmarkStart w:id="386" w:name="_Toc113442225"/>
      <w:bookmarkStart w:id="387" w:name="_Toc113357262"/>
      <w:bookmarkStart w:id="388" w:name="_Toc56425488"/>
      <w:bookmarkStart w:id="389" w:name="_Toc90294867"/>
      <w:bookmarkStart w:id="390" w:name="_Toc113442220"/>
      <w:bookmarkStart w:id="391" w:name="_Toc113357257"/>
      <w:bookmarkEnd w:id="372"/>
      <w:bookmarkEnd w:id="373"/>
      <w:bookmarkEnd w:id="374"/>
      <w:bookmarkEnd w:id="375"/>
      <w:bookmarkEnd w:id="376"/>
      <w:bookmarkEnd w:id="377"/>
      <w:bookmarkEnd w:id="378"/>
      <w:r>
        <w:t>Privacy</w:t>
      </w:r>
      <w:bookmarkEnd w:id="380"/>
      <w:r>
        <w:t xml:space="preserve"> </w:t>
      </w:r>
      <w:bookmarkEnd w:id="381"/>
      <w:bookmarkEnd w:id="382"/>
      <w:bookmarkEnd w:id="383"/>
      <w:bookmarkEnd w:id="384"/>
      <w:bookmarkEnd w:id="385"/>
      <w:bookmarkEnd w:id="386"/>
      <w:bookmarkEnd w:id="387"/>
    </w:p>
    <w:p w14:paraId="73D4787C" w14:textId="77777777" w:rsidR="008F4A0A" w:rsidRPr="005F3D9E" w:rsidRDefault="008F4A0A" w:rsidP="005C4E32">
      <w:pPr>
        <w:pStyle w:val="Normal-Style2"/>
      </w:pPr>
      <w:r>
        <w:t xml:space="preserve">We </w:t>
      </w:r>
      <w:r w:rsidRPr="005F3D9E">
        <w:t xml:space="preserve">treat personal information according to the </w:t>
      </w:r>
      <w:hyperlink r:id="rId45" w:history="1">
        <w:r w:rsidRPr="005F3D9E">
          <w:rPr>
            <w:rStyle w:val="Hyperlink"/>
            <w:i/>
          </w:rPr>
          <w:t>Privacy Act 1988</w:t>
        </w:r>
      </w:hyperlink>
      <w:r w:rsidRPr="005F3D9E">
        <w:rPr>
          <w:rStyle w:val="Hyperlink"/>
          <w:i/>
        </w:rPr>
        <w:t xml:space="preserve"> </w:t>
      </w:r>
      <w:r w:rsidRPr="005F3D9E">
        <w:t>(</w:t>
      </w:r>
      <w:proofErr w:type="spellStart"/>
      <w:r w:rsidRPr="005F3D9E">
        <w:t>Cth</w:t>
      </w:r>
      <w:proofErr w:type="spellEnd"/>
      <w:r w:rsidRPr="005F3D9E">
        <w:t xml:space="preserve">) (the Privacy Act) and the </w:t>
      </w:r>
      <w:hyperlink r:id="rId46" w:history="1">
        <w:r w:rsidRPr="005F3D9E">
          <w:rPr>
            <w:rStyle w:val="Hyperlink"/>
          </w:rPr>
          <w:t>Australian Privacy Principles</w:t>
        </w:r>
      </w:hyperlink>
      <w:r w:rsidRPr="005F3D9E">
        <w:rPr>
          <w:rStyle w:val="Hyperlink"/>
        </w:rPr>
        <w:t xml:space="preserve"> </w:t>
      </w:r>
      <w:r w:rsidRPr="005F3D9E">
        <w:t xml:space="preserve">(the </w:t>
      </w:r>
      <w:proofErr w:type="spellStart"/>
      <w:r w:rsidRPr="005F3D9E">
        <w:t>APPs</w:t>
      </w:r>
      <w:proofErr w:type="spellEnd"/>
      <w:r w:rsidRPr="005F3D9E">
        <w:t xml:space="preserve">). This includes letting applicants know: </w:t>
      </w:r>
    </w:p>
    <w:p w14:paraId="73D4787D" w14:textId="77777777" w:rsidR="008F4A0A" w:rsidRPr="00B0575A" w:rsidRDefault="008F4A0A" w:rsidP="00B0575A">
      <w:pPr>
        <w:pStyle w:val="ListBullet"/>
      </w:pPr>
      <w:r>
        <w:t>what</w:t>
      </w:r>
      <w:r w:rsidRPr="00B0575A">
        <w:t xml:space="preserve"> personal information we collect; </w:t>
      </w:r>
    </w:p>
    <w:p w14:paraId="73D4787E" w14:textId="77777777" w:rsidR="008F4A0A" w:rsidRPr="00B0575A" w:rsidRDefault="008F4A0A" w:rsidP="00B0575A">
      <w:pPr>
        <w:pStyle w:val="ListBullet"/>
      </w:pPr>
      <w:r w:rsidRPr="00B0575A">
        <w:t xml:space="preserve">why we collect your personal information; and </w:t>
      </w:r>
    </w:p>
    <w:p w14:paraId="73D4787F" w14:textId="77777777" w:rsidR="008F4A0A" w:rsidRDefault="008F4A0A" w:rsidP="00B0575A">
      <w:pPr>
        <w:pStyle w:val="ListBullet"/>
      </w:pPr>
      <w:r w:rsidRPr="00B0575A">
        <w:t xml:space="preserve">who </w:t>
      </w:r>
      <w:r>
        <w:t>we give your information to.</w:t>
      </w:r>
    </w:p>
    <w:p w14:paraId="73D47880" w14:textId="77777777" w:rsidR="008F4A0A" w:rsidRPr="00C826B2" w:rsidRDefault="008F4A0A" w:rsidP="005C4E32">
      <w:pPr>
        <w:pStyle w:val="Normal-Style2"/>
      </w:pPr>
      <w:r w:rsidRPr="00C826B2">
        <w:t xml:space="preserve">Applicants’ personal information can only be disclosed to someone else for the primary purpose for which it was collected, unless an exemption applies under the </w:t>
      </w:r>
      <w:r w:rsidRPr="00C826B2">
        <w:rPr>
          <w:i/>
        </w:rPr>
        <w:t>Privacy Act 1988</w:t>
      </w:r>
      <w:r w:rsidRPr="00C826B2">
        <w:t xml:space="preserve">. The Australian Government may use and disclose information about grant applicants under this Grant Opportunity. This includes disclosing grant information on </w:t>
      </w:r>
      <w:proofErr w:type="spellStart"/>
      <w:r w:rsidRPr="00C826B2">
        <w:t>GrantConnect</w:t>
      </w:r>
      <w:proofErr w:type="spellEnd"/>
      <w:r w:rsidRPr="00C826B2">
        <w:t xml:space="preserve"> as required for reporting purposes and giving information to the Australian Taxation Office for compliance purposes. </w:t>
      </w:r>
    </w:p>
    <w:p w14:paraId="73D47881" w14:textId="77777777" w:rsidR="008F4A0A" w:rsidRPr="00C826B2" w:rsidRDefault="008F4A0A" w:rsidP="005C4E32">
      <w:pPr>
        <w:pStyle w:val="Normal-Style2"/>
      </w:pPr>
      <w:r w:rsidRPr="00C826B2">
        <w:t xml:space="preserve">We may share the information you give us with other Commonwealth entities for purposes including government administration, research, or service delivery, according to Australian laws. As part of your application, you declare your ability to comply with the </w:t>
      </w:r>
      <w:r w:rsidRPr="00C826B2">
        <w:rPr>
          <w:i/>
        </w:rPr>
        <w:t>Privacy Act 1988</w:t>
      </w:r>
      <w:r w:rsidRPr="00C826B2">
        <w:t xml:space="preserve"> and the Australian Privacy Principles and impose the same privacy obligations on officers, employees, agents and subcontractors that you engage to assist with the eligible Grant Activity, in respect of personal information you collect, use, store, or disclose in connection with the Grant Activity. Accordingly, you must not do anything which if done by the </w:t>
      </w:r>
      <w:r w:rsidR="0006484E">
        <w:t>d</w:t>
      </w:r>
      <w:r w:rsidRPr="00C826B2">
        <w:t xml:space="preserve">epartment would breach an </w:t>
      </w:r>
      <w:hyperlink r:id="rId47" w:history="1">
        <w:r w:rsidRPr="00C826B2">
          <w:rPr>
            <w:rStyle w:val="Hyperlink"/>
            <w:iCs/>
          </w:rPr>
          <w:t>Australian Privacy Principle</w:t>
        </w:r>
      </w:hyperlink>
      <w:r w:rsidRPr="00C826B2">
        <w:t xml:space="preserve"> as defined in the </w:t>
      </w:r>
      <w:r w:rsidRPr="00C826B2">
        <w:rPr>
          <w:i/>
        </w:rPr>
        <w:t>Privacy Act 1988</w:t>
      </w:r>
      <w:r w:rsidRPr="00C826B2">
        <w:t xml:space="preserve">. </w:t>
      </w:r>
    </w:p>
    <w:p w14:paraId="73D47882" w14:textId="77777777" w:rsidR="008F4A0A" w:rsidRPr="00C826B2" w:rsidRDefault="008F4A0A" w:rsidP="005C4E32">
      <w:pPr>
        <w:pStyle w:val="Normal-Style2"/>
      </w:pPr>
      <w:r w:rsidRPr="00C826B2">
        <w:lastRenderedPageBreak/>
        <w:t xml:space="preserve">For further information about our privacy obligations (including in relation how to access or correct personal information or make a complaint) and our contact details for privacy matters, please see our </w:t>
      </w:r>
      <w:hyperlink r:id="rId48" w:history="1">
        <w:r w:rsidRPr="00C826B2">
          <w:rPr>
            <w:rStyle w:val="Hyperlink"/>
            <w:iCs/>
          </w:rPr>
          <w:t>Privacy Policy</w:t>
        </w:r>
      </w:hyperlink>
      <w:r w:rsidRPr="00C826B2">
        <w:rPr>
          <w:iCs/>
        </w:rPr>
        <w:t>.</w:t>
      </w:r>
      <w:r w:rsidRPr="00C826B2">
        <w:t xml:space="preserve"> </w:t>
      </w:r>
    </w:p>
    <w:p w14:paraId="73D47883" w14:textId="77777777" w:rsidR="00733FF0" w:rsidRPr="0069663C" w:rsidRDefault="00733FF0" w:rsidP="005C4E32">
      <w:pPr>
        <w:pStyle w:val="Heading3"/>
        <w:ind w:left="1077" w:hanging="1077"/>
      </w:pPr>
      <w:bookmarkStart w:id="392" w:name="_Toc414983585"/>
      <w:bookmarkStart w:id="393" w:name="_Toc414984002"/>
      <w:bookmarkStart w:id="394" w:name="_Toc414984762"/>
      <w:bookmarkStart w:id="395" w:name="_Toc414984856"/>
      <w:bookmarkStart w:id="396" w:name="_Toc414984960"/>
      <w:bookmarkStart w:id="397" w:name="_Toc414985063"/>
      <w:bookmarkStart w:id="398" w:name="_Toc414985166"/>
      <w:bookmarkStart w:id="399" w:name="_Toc414985268"/>
      <w:bookmarkStart w:id="400" w:name="_Toc5193541"/>
      <w:bookmarkStart w:id="401" w:name="_Toc5265950"/>
      <w:bookmarkStart w:id="402" w:name="_Toc50044063"/>
      <w:bookmarkStart w:id="403" w:name="_Toc56425491"/>
      <w:bookmarkStart w:id="404" w:name="_Toc90294870"/>
      <w:bookmarkStart w:id="405" w:name="_Toc113442223"/>
      <w:bookmarkStart w:id="406" w:name="_Toc113357260"/>
      <w:bookmarkStart w:id="407" w:name="_Toc178085245"/>
      <w:bookmarkStart w:id="408" w:name="_Toc421777632"/>
      <w:bookmarkStart w:id="409" w:name="_Toc467773991"/>
      <w:bookmarkEnd w:id="388"/>
      <w:bookmarkEnd w:id="389"/>
      <w:bookmarkEnd w:id="390"/>
      <w:bookmarkEnd w:id="391"/>
      <w:bookmarkEnd w:id="392"/>
      <w:bookmarkEnd w:id="393"/>
      <w:bookmarkEnd w:id="394"/>
      <w:bookmarkEnd w:id="395"/>
      <w:bookmarkEnd w:id="396"/>
      <w:bookmarkEnd w:id="397"/>
      <w:bookmarkEnd w:id="398"/>
      <w:bookmarkEnd w:id="399"/>
      <w:r w:rsidRPr="0069663C">
        <w:t>Confidential</w:t>
      </w:r>
      <w:bookmarkEnd w:id="400"/>
      <w:bookmarkEnd w:id="401"/>
      <w:bookmarkEnd w:id="402"/>
      <w:bookmarkEnd w:id="403"/>
      <w:bookmarkEnd w:id="404"/>
      <w:bookmarkEnd w:id="405"/>
      <w:bookmarkEnd w:id="406"/>
      <w:r w:rsidR="008F4A0A">
        <w:t xml:space="preserve"> Information</w:t>
      </w:r>
      <w:bookmarkEnd w:id="407"/>
    </w:p>
    <w:p w14:paraId="73D47884" w14:textId="77777777" w:rsidR="00733FF0" w:rsidRDefault="00733FF0" w:rsidP="005C4E32">
      <w:pPr>
        <w:pStyle w:val="Normal-Style2"/>
      </w:pPr>
      <w:r>
        <w:t>The d</w:t>
      </w:r>
      <w:r w:rsidRPr="00E66786">
        <w:t>epartment will treat the applicant’s commercially sensitive information provided in their application as Confidential Information provided that the information is designated as Confidential Information (Applicant Confidential Information).</w:t>
      </w:r>
    </w:p>
    <w:p w14:paraId="73D47885" w14:textId="77777777" w:rsidR="00733FF0" w:rsidRPr="00E66786" w:rsidRDefault="00733FF0" w:rsidP="005C4E32">
      <w:pPr>
        <w:pStyle w:val="Normal-Style2"/>
      </w:pPr>
      <w:r>
        <w:t>The d</w:t>
      </w:r>
      <w:r w:rsidRPr="00E66786">
        <w:t>epartment’s confidentiality obligation does not apply to the extent any Applicant Confidential Information is:</w:t>
      </w:r>
    </w:p>
    <w:p w14:paraId="73D47886" w14:textId="77777777" w:rsidR="00733FF0" w:rsidRPr="00B0575A" w:rsidRDefault="00733FF0" w:rsidP="00B0575A">
      <w:pPr>
        <w:pStyle w:val="ListBullet"/>
      </w:pPr>
      <w:r w:rsidRPr="006B426E">
        <w:t>aut</w:t>
      </w:r>
      <w:r w:rsidRPr="00B0575A">
        <w:t>horised or required by law to be disclosed;</w:t>
      </w:r>
    </w:p>
    <w:p w14:paraId="73D47887" w14:textId="77777777" w:rsidR="00733FF0" w:rsidRPr="00B0575A" w:rsidRDefault="00733FF0" w:rsidP="00B0575A">
      <w:pPr>
        <w:pStyle w:val="ListBullet"/>
      </w:pPr>
      <w:r w:rsidRPr="00B0575A">
        <w:t>disclosed by the department to its advisers, officers, employees, or other agencies’ officers or employees, for the purpose of evaluating the applicant’s application and during any Grant Agreement negotiations;</w:t>
      </w:r>
    </w:p>
    <w:p w14:paraId="73D47888" w14:textId="77777777" w:rsidR="00733FF0" w:rsidRPr="00B0575A" w:rsidRDefault="00733FF0" w:rsidP="00B0575A">
      <w:pPr>
        <w:pStyle w:val="ListBullet"/>
      </w:pPr>
      <w:r w:rsidRPr="00B0575A">
        <w:t>disclosed by the department in response to a request by a house or a committee of the Parliament of Australia, or a house or a committee of the Parliament of a state or territory;</w:t>
      </w:r>
    </w:p>
    <w:p w14:paraId="73D47889" w14:textId="6308F5DE" w:rsidR="00733FF0" w:rsidRPr="00B0575A" w:rsidRDefault="00733FF0" w:rsidP="00B0575A">
      <w:pPr>
        <w:pStyle w:val="ListBullet"/>
      </w:pPr>
      <w:r w:rsidRPr="00B0575A">
        <w:t>disclosed by the department to its responsible Minister and his or her advisors or the Auditor-General and the APS employees assisting the Auditor</w:t>
      </w:r>
      <w:r w:rsidR="00E66220" w:rsidRPr="00B0575A">
        <w:noBreakHyphen/>
      </w:r>
      <w:r w:rsidRPr="00B0575A">
        <w:t>General;</w:t>
      </w:r>
    </w:p>
    <w:p w14:paraId="73D4788A" w14:textId="77777777" w:rsidR="00733FF0" w:rsidRPr="00B0575A" w:rsidRDefault="00733FF0" w:rsidP="00B0575A">
      <w:pPr>
        <w:pStyle w:val="ListBullet"/>
      </w:pPr>
      <w:r w:rsidRPr="00B0575A">
        <w:t>shared by the Commonwealth within the Commonwealth (for example, another Commonwealth agency), where this serves the Commonwealth’s legitimate interests;</w:t>
      </w:r>
    </w:p>
    <w:p w14:paraId="73D4788B" w14:textId="77777777" w:rsidR="00733FF0" w:rsidRPr="00B0575A" w:rsidRDefault="00733FF0" w:rsidP="00B0575A">
      <w:pPr>
        <w:pStyle w:val="ListBullet"/>
      </w:pPr>
      <w:r w:rsidRPr="00B0575A">
        <w:t>disclosed to the department’s officers to enable the effective management or auditing of the Program; or</w:t>
      </w:r>
    </w:p>
    <w:p w14:paraId="73D4788C" w14:textId="77777777" w:rsidR="00733FF0" w:rsidRPr="006B426E" w:rsidRDefault="00733FF0" w:rsidP="00B0575A">
      <w:pPr>
        <w:pStyle w:val="ListBullet"/>
      </w:pPr>
      <w:r w:rsidRPr="00B0575A">
        <w:t>in the public domain ot</w:t>
      </w:r>
      <w:r w:rsidRPr="006B426E">
        <w:t>herwi</w:t>
      </w:r>
      <w:r>
        <w:t>se than due to a breach of the d</w:t>
      </w:r>
      <w:r w:rsidRPr="006B426E">
        <w:t>epartment’s confidentiality obligation</w:t>
      </w:r>
      <w:r>
        <w:t>s</w:t>
      </w:r>
      <w:r w:rsidRPr="006B426E">
        <w:t>.</w:t>
      </w:r>
    </w:p>
    <w:p w14:paraId="73D4788D" w14:textId="77777777" w:rsidR="00733FF0" w:rsidRDefault="00733FF0" w:rsidP="005C4E32">
      <w:pPr>
        <w:pStyle w:val="Normal-Style2"/>
      </w:pPr>
      <w:bookmarkStart w:id="410" w:name="_Ref109305478"/>
      <w:r w:rsidRPr="00E66786">
        <w:t>The applicant will treat a</w:t>
      </w:r>
      <w:r>
        <w:t>ny information provided by the d</w:t>
      </w:r>
      <w:r w:rsidRPr="00E66786">
        <w:t>epartment as Confidential Information provided that the information is designated as Confidential Information. (Commonwealth Confidential Information).</w:t>
      </w:r>
      <w:bookmarkEnd w:id="410"/>
    </w:p>
    <w:p w14:paraId="73D4788E" w14:textId="77777777" w:rsidR="00733FF0" w:rsidRPr="00E66786" w:rsidRDefault="00733FF0" w:rsidP="005C4E32">
      <w:pPr>
        <w:pStyle w:val="Normal-Style2"/>
      </w:pPr>
      <w:r w:rsidRPr="00E66786">
        <w:t>The applicant’s confidentiality obligation does not apply to the extent any Commonwealth Confidential Information is:</w:t>
      </w:r>
    </w:p>
    <w:p w14:paraId="73D4788F" w14:textId="77777777" w:rsidR="00733FF0" w:rsidRPr="00B0575A" w:rsidRDefault="00733FF0" w:rsidP="00B0575A">
      <w:pPr>
        <w:pStyle w:val="ListBullet"/>
      </w:pPr>
      <w:r w:rsidRPr="006B426E">
        <w:t>auth</w:t>
      </w:r>
      <w:r w:rsidRPr="00B0575A">
        <w:t>orised or required by law to be disclosed; or</w:t>
      </w:r>
    </w:p>
    <w:p w14:paraId="73D47890" w14:textId="77777777" w:rsidR="00733FF0" w:rsidRPr="006B426E" w:rsidRDefault="00733FF0" w:rsidP="00B0575A">
      <w:pPr>
        <w:pStyle w:val="ListBullet"/>
      </w:pPr>
      <w:r w:rsidRPr="00B0575A">
        <w:t>in the</w:t>
      </w:r>
      <w:r w:rsidRPr="006B426E">
        <w:t xml:space="preserve"> public domain otherwise than due to a breach of the applicant’s confidentiality obligation.</w:t>
      </w:r>
    </w:p>
    <w:p w14:paraId="73D47891" w14:textId="6EA6AEFB" w:rsidR="00733FF0" w:rsidRPr="00E66786" w:rsidRDefault="00733FF0" w:rsidP="005C4E32">
      <w:pPr>
        <w:pStyle w:val="Normal-Style2"/>
      </w:pPr>
      <w:r>
        <w:t>The d</w:t>
      </w:r>
      <w:r w:rsidRPr="00E66786">
        <w:t xml:space="preserve">epartment may share with </w:t>
      </w:r>
      <w:r w:rsidR="00A2334A">
        <w:t>s</w:t>
      </w:r>
      <w:r w:rsidRPr="00E66786">
        <w:t xml:space="preserve">tate or </w:t>
      </w:r>
      <w:r w:rsidR="00A2334A">
        <w:t>t</w:t>
      </w:r>
      <w:r w:rsidRPr="00E66786">
        <w:t>erritory governments (on a confidential basis) any or all information contained in applications which it considers relevant to the respective jurisdiction based on the location of the Proposed Solution</w:t>
      </w:r>
      <w:r w:rsidR="003616E4">
        <w:t>/</w:t>
      </w:r>
      <w:r w:rsidRPr="00E66786">
        <w:t>s, including costings for Proposed Solutions that are not successful in receiving funding through the Program</w:t>
      </w:r>
      <w:r w:rsidR="00663D67">
        <w:t>.</w:t>
      </w:r>
    </w:p>
    <w:p w14:paraId="73D47892" w14:textId="77777777" w:rsidR="00733FF0" w:rsidRDefault="00733FF0" w:rsidP="005C4E32">
      <w:pPr>
        <w:pStyle w:val="Heading3"/>
        <w:ind w:left="1077" w:hanging="1077"/>
      </w:pPr>
      <w:bookmarkStart w:id="411" w:name="_Toc5193542"/>
      <w:bookmarkStart w:id="412" w:name="_Toc5265951"/>
      <w:bookmarkStart w:id="413" w:name="_Toc50044064"/>
      <w:bookmarkStart w:id="414" w:name="_Toc56425492"/>
      <w:bookmarkStart w:id="415" w:name="_Toc90294871"/>
      <w:bookmarkStart w:id="416" w:name="_Toc113442224"/>
      <w:bookmarkStart w:id="417" w:name="_Toc113357261"/>
      <w:bookmarkStart w:id="418" w:name="_Toc178085246"/>
      <w:r>
        <w:t>Intellectual Property rights</w:t>
      </w:r>
      <w:bookmarkEnd w:id="411"/>
      <w:bookmarkEnd w:id="412"/>
      <w:bookmarkEnd w:id="413"/>
      <w:bookmarkEnd w:id="414"/>
      <w:bookmarkEnd w:id="415"/>
      <w:bookmarkEnd w:id="416"/>
      <w:bookmarkEnd w:id="417"/>
      <w:bookmarkEnd w:id="418"/>
    </w:p>
    <w:p w14:paraId="73D47893" w14:textId="77777777" w:rsidR="00733FF0" w:rsidRPr="00E66786" w:rsidRDefault="00733FF0" w:rsidP="005C4E32">
      <w:pPr>
        <w:pStyle w:val="Normal-Style2"/>
      </w:pPr>
      <w:r w:rsidRPr="00E66786">
        <w:t xml:space="preserve">By </w:t>
      </w:r>
      <w:proofErr w:type="gramStart"/>
      <w:r w:rsidRPr="00E66786">
        <w:t>submitting an application</w:t>
      </w:r>
      <w:proofErr w:type="gramEnd"/>
      <w:r w:rsidRPr="00E66786">
        <w:t xml:space="preserve"> under the Program, to the extent the applicant’s application contains:</w:t>
      </w:r>
    </w:p>
    <w:p w14:paraId="73D47894" w14:textId="77777777" w:rsidR="00733FF0" w:rsidRPr="00B0575A" w:rsidRDefault="00733FF0" w:rsidP="00B0575A">
      <w:pPr>
        <w:pStyle w:val="ListBullet"/>
      </w:pPr>
      <w:r w:rsidRPr="006B426E">
        <w:t>its</w:t>
      </w:r>
      <w:r w:rsidRPr="00B0575A">
        <w:t xml:space="preserve"> </w:t>
      </w:r>
      <w:r w:rsidRPr="00B0575A">
        <w:rPr>
          <w:b/>
        </w:rPr>
        <w:t>Intellectual</w:t>
      </w:r>
      <w:r w:rsidRPr="00B0575A">
        <w:t xml:space="preserve"> </w:t>
      </w:r>
      <w:r w:rsidRPr="00B0575A">
        <w:rPr>
          <w:b/>
        </w:rPr>
        <w:t>Property</w:t>
      </w:r>
      <w:r w:rsidRPr="00B0575A">
        <w:t>; or</w:t>
      </w:r>
    </w:p>
    <w:p w14:paraId="73D47895" w14:textId="77777777" w:rsidR="00733FF0" w:rsidRPr="006B426E" w:rsidRDefault="00733FF0" w:rsidP="00B0575A">
      <w:pPr>
        <w:pStyle w:val="ListBullet"/>
      </w:pPr>
      <w:r w:rsidRPr="00B0575A">
        <w:t xml:space="preserve">a </w:t>
      </w:r>
      <w:r w:rsidRPr="006B426E">
        <w:t>third party’s Intellectual Property,</w:t>
      </w:r>
    </w:p>
    <w:p w14:paraId="73D47896" w14:textId="7F3970F5" w:rsidR="00733FF0" w:rsidRPr="00E66786" w:rsidRDefault="00733FF0" w:rsidP="00E66220">
      <w:pPr>
        <w:ind w:left="2268"/>
      </w:pPr>
      <w:r w:rsidRPr="00E66786">
        <w:lastRenderedPageBreak/>
        <w:t>the applicant grants by the making of its application (or will procure for)</w:t>
      </w:r>
      <w:r w:rsidR="00257842">
        <w:t>,</w:t>
      </w:r>
      <w:r w:rsidRPr="00E66786">
        <w:t xml:space="preserve"> the Commonwealth a permanent, irrevocable, royalty-free, worldwide, non</w:t>
      </w:r>
      <w:r w:rsidR="00E66220">
        <w:noBreakHyphen/>
      </w:r>
      <w:r w:rsidRPr="00E66786">
        <w:t>exclusive licence (including a right of sublicense) to use, reproduce, adapt, and communicate the applicant’s (or third party’s) Intellectual Property contained in its application under the Program provided the use, reproduction, adaptation, or communication is in connection with any assessment processes under, or the evaluation of, or promotion of the Program.</w:t>
      </w:r>
    </w:p>
    <w:p w14:paraId="73D47897" w14:textId="77777777" w:rsidR="00733FF0" w:rsidRPr="00E66786" w:rsidRDefault="00733FF0" w:rsidP="005C4E32">
      <w:pPr>
        <w:pStyle w:val="Normal-Style2"/>
      </w:pPr>
      <w:r w:rsidRPr="00E66786">
        <w:t>Any licence granted to the Commonwealth in relation to Intellectual Property rights does not include a right to exploit the Intellectual Property for commercial purposes.</w:t>
      </w:r>
    </w:p>
    <w:p w14:paraId="73D47899" w14:textId="77777777" w:rsidR="00733FF0" w:rsidRDefault="00733FF0" w:rsidP="005C4E32">
      <w:pPr>
        <w:pStyle w:val="Heading3"/>
        <w:ind w:left="1077" w:hanging="1077"/>
      </w:pPr>
      <w:bookmarkStart w:id="419" w:name="_Toc388963739"/>
      <w:bookmarkStart w:id="420" w:name="_Toc389122777"/>
      <w:bookmarkStart w:id="421" w:name="_Toc388963740"/>
      <w:bookmarkStart w:id="422" w:name="_Toc389122778"/>
      <w:bookmarkStart w:id="423" w:name="_Toc388963741"/>
      <w:bookmarkStart w:id="424" w:name="_Toc389122779"/>
      <w:bookmarkStart w:id="425" w:name="_Toc388963742"/>
      <w:bookmarkStart w:id="426" w:name="_Toc389122780"/>
      <w:bookmarkStart w:id="427" w:name="_Toc388963743"/>
      <w:bookmarkStart w:id="428" w:name="_Toc389122781"/>
      <w:bookmarkStart w:id="429" w:name="_Toc388963744"/>
      <w:bookmarkStart w:id="430" w:name="_Toc389122782"/>
      <w:bookmarkStart w:id="431" w:name="_Toc388963745"/>
      <w:bookmarkStart w:id="432" w:name="_Toc389122783"/>
      <w:bookmarkStart w:id="433" w:name="_Toc388963746"/>
      <w:bookmarkStart w:id="434" w:name="_Toc389122784"/>
      <w:bookmarkStart w:id="435" w:name="_Toc388963747"/>
      <w:bookmarkStart w:id="436" w:name="_Toc389122785"/>
      <w:bookmarkStart w:id="437" w:name="_Toc388963748"/>
      <w:bookmarkStart w:id="438" w:name="_Toc389122786"/>
      <w:bookmarkStart w:id="439" w:name="_Toc388963749"/>
      <w:bookmarkStart w:id="440" w:name="_Toc389122787"/>
      <w:bookmarkStart w:id="441" w:name="_Toc388963750"/>
      <w:bookmarkStart w:id="442" w:name="_Toc389122788"/>
      <w:bookmarkStart w:id="443" w:name="_Toc388963751"/>
      <w:bookmarkStart w:id="444" w:name="_Toc389122789"/>
      <w:bookmarkStart w:id="445" w:name="_Toc388963752"/>
      <w:bookmarkStart w:id="446" w:name="_Toc389122790"/>
      <w:bookmarkStart w:id="447" w:name="_Toc388963753"/>
      <w:bookmarkStart w:id="448" w:name="_Toc389122791"/>
      <w:bookmarkStart w:id="449" w:name="_Toc388963754"/>
      <w:bookmarkStart w:id="450" w:name="_Toc389122792"/>
      <w:bookmarkStart w:id="451" w:name="_Toc56425500"/>
      <w:bookmarkStart w:id="452" w:name="_Toc90294879"/>
      <w:bookmarkStart w:id="453" w:name="_Toc113442232"/>
      <w:bookmarkStart w:id="454" w:name="_Toc113357269"/>
      <w:bookmarkStart w:id="455" w:name="_Toc178085247"/>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t>Freedom of Information</w:t>
      </w:r>
      <w:bookmarkEnd w:id="451"/>
      <w:bookmarkEnd w:id="452"/>
      <w:bookmarkEnd w:id="453"/>
      <w:bookmarkEnd w:id="454"/>
      <w:bookmarkEnd w:id="455"/>
    </w:p>
    <w:p w14:paraId="73D4789A" w14:textId="77777777" w:rsidR="00733FF0" w:rsidRDefault="00733FF0" w:rsidP="005C4E32">
      <w:pPr>
        <w:pStyle w:val="Normal-Style2"/>
      </w:pPr>
      <w:r w:rsidRPr="00E66786">
        <w:t xml:space="preserve">All documents in the possession of the Australian Government, including those about this grant opportunity, are subject to the </w:t>
      </w:r>
      <w:hyperlink r:id="rId49" w:history="1">
        <w:r w:rsidRPr="00163E20">
          <w:rPr>
            <w:i/>
          </w:rPr>
          <w:t>Freedom of Information Act 1982</w:t>
        </w:r>
      </w:hyperlink>
      <w:r w:rsidRPr="00E66786">
        <w:t xml:space="preserve"> </w:t>
      </w:r>
      <w:r w:rsidRPr="00A04DC6">
        <w:t>(</w:t>
      </w:r>
      <w:proofErr w:type="spellStart"/>
      <w:r w:rsidRPr="00A04DC6">
        <w:t>Cth</w:t>
      </w:r>
      <w:proofErr w:type="spellEnd"/>
      <w:r w:rsidRPr="00A04DC6">
        <w:t>)</w:t>
      </w:r>
      <w:r>
        <w:t xml:space="preserve"> (</w:t>
      </w:r>
      <w:r w:rsidRPr="00560CE6">
        <w:rPr>
          <w:b/>
        </w:rPr>
        <w:t>FOI </w:t>
      </w:r>
      <w:r w:rsidRPr="00E66786">
        <w:t>Act).</w:t>
      </w:r>
    </w:p>
    <w:p w14:paraId="73D4789B" w14:textId="77777777" w:rsidR="00733FF0" w:rsidRDefault="00733FF0" w:rsidP="005C4E32">
      <w:pPr>
        <w:pStyle w:val="Normal-Style2"/>
      </w:pPr>
      <w:r w:rsidRPr="00E66786">
        <w:t>The purpose of the FOI Act is to give members of the public rights of access to information held by the Australian Government and its entities. Under the FOI Act, members of the public can seek access to documents held by the Government. This right of access is limited only by the exceptions and exemptions necessary to protect essential public interests and private and business affairs of persons in respect of whom the information relates.</w:t>
      </w:r>
    </w:p>
    <w:p w14:paraId="73D4789C" w14:textId="77777777" w:rsidR="00663D67" w:rsidRDefault="00733FF0" w:rsidP="005C4E32">
      <w:pPr>
        <w:pStyle w:val="Normal-Style2"/>
      </w:pPr>
      <w:r w:rsidRPr="00E66786">
        <w:t xml:space="preserve">All Freedom of Information requests must be referred </w:t>
      </w:r>
      <w:r>
        <w:t>to the d</w:t>
      </w:r>
      <w:r w:rsidRPr="00E66786">
        <w:t>epartment’s Freedom of Information Coordinator in writing at</w:t>
      </w:r>
      <w:r w:rsidR="00663D67">
        <w:t xml:space="preserve">: </w:t>
      </w:r>
    </w:p>
    <w:p w14:paraId="73D4789D" w14:textId="0415337F" w:rsidR="00663D67" w:rsidRDefault="00663D67" w:rsidP="005C4E32">
      <w:pPr>
        <w:pStyle w:val="Normal-Style2"/>
        <w:numPr>
          <w:ilvl w:val="0"/>
          <w:numId w:val="0"/>
        </w:numPr>
        <w:spacing w:after="0"/>
        <w:ind w:left="1506"/>
      </w:pPr>
      <w:r>
        <w:t xml:space="preserve">By mail: </w:t>
      </w:r>
      <w:r w:rsidR="00134782">
        <w:tab/>
      </w:r>
      <w:r w:rsidR="00134782">
        <w:tab/>
      </w:r>
      <w:r>
        <w:t xml:space="preserve">Freedom of Information Coordinator </w:t>
      </w:r>
    </w:p>
    <w:p w14:paraId="73D4789E" w14:textId="77777777" w:rsidR="00663D67" w:rsidRDefault="00663D67" w:rsidP="005C4E32">
      <w:pPr>
        <w:pStyle w:val="Normal-Style2"/>
        <w:numPr>
          <w:ilvl w:val="0"/>
          <w:numId w:val="0"/>
        </w:numPr>
        <w:spacing w:after="0"/>
        <w:ind w:left="2835"/>
      </w:pPr>
      <w:r>
        <w:t xml:space="preserve">Department of Infrastructure, Transport, Regional Development, Communications and the Arts </w:t>
      </w:r>
    </w:p>
    <w:p w14:paraId="73D4789F" w14:textId="77777777" w:rsidR="00663D67" w:rsidRDefault="00663D67" w:rsidP="005C4E32">
      <w:pPr>
        <w:pStyle w:val="Normal-Style2"/>
        <w:numPr>
          <w:ilvl w:val="0"/>
          <w:numId w:val="0"/>
        </w:numPr>
        <w:spacing w:after="0"/>
        <w:ind w:left="2498" w:firstLine="337"/>
      </w:pPr>
      <w:r>
        <w:t xml:space="preserve">GPO Box 594 </w:t>
      </w:r>
    </w:p>
    <w:p w14:paraId="73D478A0" w14:textId="77777777" w:rsidR="00663D67" w:rsidRDefault="00663D67" w:rsidP="005C4E32">
      <w:pPr>
        <w:pStyle w:val="Normal-Style2"/>
        <w:numPr>
          <w:ilvl w:val="0"/>
          <w:numId w:val="0"/>
        </w:numPr>
        <w:spacing w:after="0"/>
        <w:ind w:left="2498" w:firstLine="337"/>
      </w:pPr>
      <w:r>
        <w:t>CANBERRA ACT 2601</w:t>
      </w:r>
    </w:p>
    <w:p w14:paraId="73D478A1" w14:textId="77777777" w:rsidR="00134782" w:rsidRDefault="00134782" w:rsidP="005C4E32">
      <w:pPr>
        <w:pStyle w:val="Normal-Style2"/>
        <w:numPr>
          <w:ilvl w:val="0"/>
          <w:numId w:val="0"/>
        </w:numPr>
        <w:spacing w:after="0"/>
        <w:ind w:left="2498" w:firstLine="337"/>
      </w:pPr>
    </w:p>
    <w:p w14:paraId="73D478A2" w14:textId="77777777" w:rsidR="00733FF0" w:rsidRPr="00E66786" w:rsidRDefault="00663D67" w:rsidP="005C4E32">
      <w:pPr>
        <w:pStyle w:val="Normal-Style2"/>
        <w:numPr>
          <w:ilvl w:val="0"/>
          <w:numId w:val="0"/>
        </w:numPr>
        <w:spacing w:after="0"/>
        <w:ind w:left="1506"/>
      </w:pPr>
      <w:r>
        <w:t>By email:</w:t>
      </w:r>
      <w:r w:rsidR="00733FF0" w:rsidRPr="00E66786">
        <w:t xml:space="preserve"> </w:t>
      </w:r>
      <w:r w:rsidR="00134782">
        <w:tab/>
      </w:r>
      <w:hyperlink r:id="rId50" w:history="1">
        <w:r w:rsidR="00134782" w:rsidRPr="006F1376">
          <w:rPr>
            <w:rStyle w:val="Hyperlink"/>
          </w:rPr>
          <w:t>foi@infrastructure.gov.au</w:t>
        </w:r>
      </w:hyperlink>
      <w:r w:rsidR="00733FF0">
        <w:t>.</w:t>
      </w:r>
    </w:p>
    <w:p w14:paraId="73D478A3" w14:textId="77777777" w:rsidR="00733FF0" w:rsidRDefault="00733FF0" w:rsidP="00F739AC">
      <w:pPr>
        <w:pStyle w:val="Heading2"/>
      </w:pPr>
      <w:bookmarkStart w:id="456" w:name="_Toc421777637"/>
      <w:bookmarkStart w:id="457" w:name="_Toc467773995"/>
      <w:bookmarkStart w:id="458" w:name="_Toc5193550"/>
      <w:bookmarkStart w:id="459" w:name="_Toc5265959"/>
      <w:bookmarkStart w:id="460" w:name="_Toc50044072"/>
      <w:bookmarkStart w:id="461" w:name="_Toc56425501"/>
      <w:bookmarkStart w:id="462" w:name="_Toc90294880"/>
      <w:bookmarkStart w:id="463" w:name="_Toc113442233"/>
      <w:bookmarkStart w:id="464" w:name="_Toc113357270"/>
      <w:bookmarkStart w:id="465" w:name="_Toc178085248"/>
      <w:bookmarkEnd w:id="408"/>
      <w:bookmarkEnd w:id="409"/>
      <w:r w:rsidRPr="00B72EE8">
        <w:t>Consultation</w:t>
      </w:r>
      <w:bookmarkEnd w:id="456"/>
      <w:bookmarkEnd w:id="457"/>
      <w:bookmarkEnd w:id="458"/>
      <w:bookmarkEnd w:id="459"/>
      <w:bookmarkEnd w:id="460"/>
      <w:bookmarkEnd w:id="461"/>
      <w:bookmarkEnd w:id="462"/>
      <w:bookmarkEnd w:id="463"/>
      <w:bookmarkEnd w:id="464"/>
      <w:bookmarkEnd w:id="465"/>
    </w:p>
    <w:p w14:paraId="73D478A4" w14:textId="77777777" w:rsidR="008E2DEB" w:rsidRDefault="004F3D2A" w:rsidP="005C4E32">
      <w:pPr>
        <w:pStyle w:val="Normal-Style2"/>
      </w:pPr>
      <w:r>
        <w:t xml:space="preserve">These Guidelines are informed by the submissions received as part of consultation on the draft Guidelines. </w:t>
      </w:r>
      <w:bookmarkStart w:id="466" w:name="_Toc113442234"/>
      <w:bookmarkStart w:id="467" w:name="_Toc113357271"/>
      <w:bookmarkEnd w:id="303"/>
    </w:p>
    <w:p w14:paraId="73D478A5" w14:textId="51D20FE7" w:rsidR="00733FF0" w:rsidRDefault="00733FF0" w:rsidP="00F739AC">
      <w:pPr>
        <w:pStyle w:val="Heading2"/>
      </w:pPr>
      <w:bookmarkStart w:id="468" w:name="_Toc178085249"/>
      <w:r w:rsidRPr="002D2607">
        <w:t>Glossary</w:t>
      </w:r>
      <w:bookmarkEnd w:id="466"/>
      <w:bookmarkEnd w:id="467"/>
      <w:bookmarkEnd w:id="468"/>
    </w:p>
    <w:p w14:paraId="02B8F16E" w14:textId="579EDBF4" w:rsidR="00B0575A" w:rsidRPr="00B0575A" w:rsidRDefault="00B0575A" w:rsidP="00B0575A">
      <w:pPr>
        <w:pStyle w:val="Tablefigureheading"/>
      </w:pPr>
      <w:bookmarkStart w:id="469" w:name="_Toc178085276"/>
      <w:r>
        <w:t>Glossary</w:t>
      </w:r>
      <w:bookmarkEnd w:id="469"/>
    </w:p>
    <w:tbl>
      <w:tblPr>
        <w:tblStyle w:val="DefaultTable11"/>
        <w:tblW w:w="5000" w:type="pct"/>
        <w:tblLook w:val="04A0" w:firstRow="1" w:lastRow="0" w:firstColumn="1" w:lastColumn="0" w:noHBand="0" w:noVBand="1"/>
        <w:tblDescription w:val="Glossary"/>
      </w:tblPr>
      <w:tblGrid>
        <w:gridCol w:w="3828"/>
        <w:gridCol w:w="5647"/>
      </w:tblGrid>
      <w:tr w:rsidR="004F3BE5" w:rsidRPr="00654F9E" w14:paraId="73D478A8" w14:textId="77777777" w:rsidTr="005A46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8A6" w14:textId="77777777" w:rsidR="004F3BE5" w:rsidRPr="00CB3318" w:rsidRDefault="004F3BE5" w:rsidP="007F60C7">
            <w:pPr>
              <w:pStyle w:val="Tablerowcolumnheading"/>
              <w:spacing w:after="80"/>
              <w:rPr>
                <w:b/>
              </w:rPr>
            </w:pPr>
            <w:r>
              <w:rPr>
                <w:b/>
              </w:rPr>
              <w:t>Term</w:t>
            </w:r>
          </w:p>
        </w:tc>
        <w:tc>
          <w:tcPr>
            <w:tcW w:w="2980" w:type="pct"/>
          </w:tcPr>
          <w:p w14:paraId="73D478A7" w14:textId="77777777" w:rsidR="004F3BE5" w:rsidRPr="00CB3318" w:rsidRDefault="004F3BE5" w:rsidP="007F60C7">
            <w:pPr>
              <w:pStyle w:val="Tablerowcolumnheading"/>
              <w:keepNext/>
              <w:spacing w:after="80"/>
              <w:cnfStyle w:val="100000000000" w:firstRow="1" w:lastRow="0" w:firstColumn="0" w:lastColumn="0" w:oddVBand="0" w:evenVBand="0" w:oddHBand="0" w:evenHBand="0" w:firstRowFirstColumn="0" w:firstRowLastColumn="0" w:lastRowFirstColumn="0" w:lastRowLastColumn="0"/>
              <w:rPr>
                <w:b/>
              </w:rPr>
            </w:pPr>
            <w:r>
              <w:rPr>
                <w:b/>
              </w:rPr>
              <w:t>Definition</w:t>
            </w:r>
          </w:p>
        </w:tc>
      </w:tr>
      <w:tr w:rsidR="004F3BE5" w:rsidRPr="00654F9E" w14:paraId="73D478AB"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8A9" w14:textId="77777777" w:rsidR="002D7B75" w:rsidRPr="00974856" w:rsidRDefault="004F3BE5" w:rsidP="00DB7E40">
            <w:pPr>
              <w:rPr>
                <w:rFonts w:asciiTheme="minorHAnsi" w:hAnsiTheme="minorHAnsi" w:cstheme="minorHAnsi"/>
                <w:b w:val="0"/>
                <w:highlight w:val="yellow"/>
              </w:rPr>
            </w:pPr>
            <w:r w:rsidRPr="00974856">
              <w:rPr>
                <w:rFonts w:asciiTheme="minorHAnsi" w:hAnsiTheme="minorHAnsi" w:cstheme="minorHAnsi"/>
                <w:b w:val="0"/>
              </w:rPr>
              <w:t>4G</w:t>
            </w:r>
          </w:p>
        </w:tc>
        <w:tc>
          <w:tcPr>
            <w:tcW w:w="2980" w:type="pct"/>
          </w:tcPr>
          <w:p w14:paraId="73D478AA" w14:textId="77777777" w:rsidR="004F3BE5" w:rsidRPr="00974856" w:rsidRDefault="004F3BE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74856">
              <w:rPr>
                <w:rFonts w:asciiTheme="minorHAnsi" w:hAnsiTheme="minorHAnsi" w:cstheme="minorHAnsi"/>
              </w:rPr>
              <w:t>Fourth generation mobile telecommunications service.</w:t>
            </w:r>
          </w:p>
        </w:tc>
      </w:tr>
      <w:tr w:rsidR="00E46C98" w:rsidRPr="00654F9E" w14:paraId="3422F79A"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61BBD72E" w14:textId="77777777" w:rsidR="00E46C98" w:rsidRPr="00974856" w:rsidRDefault="00E46C98" w:rsidP="003F3884">
            <w:pPr>
              <w:rPr>
                <w:rFonts w:asciiTheme="minorHAnsi" w:hAnsiTheme="minorHAnsi" w:cstheme="minorHAnsi"/>
                <w:b w:val="0"/>
              </w:rPr>
            </w:pPr>
            <w:r w:rsidRPr="00974856">
              <w:rPr>
                <w:rFonts w:asciiTheme="minorHAnsi" w:hAnsiTheme="minorHAnsi" w:cstheme="minorHAnsi"/>
                <w:b w:val="0"/>
              </w:rPr>
              <w:t>5G</w:t>
            </w:r>
          </w:p>
        </w:tc>
        <w:tc>
          <w:tcPr>
            <w:tcW w:w="2980" w:type="pct"/>
          </w:tcPr>
          <w:p w14:paraId="7E3AE2FD" w14:textId="77777777" w:rsidR="00E46C98" w:rsidRPr="00974856" w:rsidRDefault="00E46C98" w:rsidP="003F388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Fifth generation mobile telecommunications service.</w:t>
            </w:r>
          </w:p>
        </w:tc>
      </w:tr>
      <w:tr w:rsidR="00E46C98" w:rsidRPr="00654F9E" w14:paraId="7C728C1C"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22B95612" w14:textId="77777777" w:rsidR="00E46C98" w:rsidRPr="00974856" w:rsidRDefault="00E46C98" w:rsidP="003F3884">
            <w:pPr>
              <w:rPr>
                <w:rFonts w:asciiTheme="minorHAnsi" w:hAnsiTheme="minorHAnsi" w:cstheme="minorHAnsi"/>
                <w:b w:val="0"/>
              </w:rPr>
            </w:pPr>
            <w:r>
              <w:rPr>
                <w:rFonts w:asciiTheme="minorHAnsi" w:hAnsiTheme="minorHAnsi" w:cstheme="minorHAnsi"/>
                <w:b w:val="0"/>
              </w:rPr>
              <w:t>Additional Commonwealth Funding Contribution</w:t>
            </w:r>
          </w:p>
        </w:tc>
        <w:tc>
          <w:tcPr>
            <w:tcW w:w="2980" w:type="pct"/>
          </w:tcPr>
          <w:p w14:paraId="3B27AF08" w14:textId="19E9CE4B" w:rsidR="00E46C98" w:rsidRPr="00974856" w:rsidRDefault="00E46C98" w:rsidP="003F38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Pr>
                <w:rFonts w:asciiTheme="minorHAnsi" w:hAnsiTheme="minorHAnsi" w:cstheme="minorHAnsi"/>
                <w:lang w:eastAsia="en-AU"/>
              </w:rPr>
              <w:t>A 25 per cent loading calculated based on the Commonwealth Contribution specified at section 5.3.1, for eligible solution types specified in Table 1.</w:t>
            </w:r>
          </w:p>
        </w:tc>
      </w:tr>
      <w:tr w:rsidR="002D7B75" w:rsidRPr="00654F9E" w14:paraId="73D478B1"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8AF" w14:textId="36D7329C" w:rsidR="002D7B75" w:rsidRPr="00974856" w:rsidRDefault="002D7B75" w:rsidP="00DB7E40">
            <w:pPr>
              <w:rPr>
                <w:rFonts w:asciiTheme="minorHAnsi" w:hAnsiTheme="minorHAnsi" w:cstheme="minorHAnsi"/>
                <w:b w:val="0"/>
              </w:rPr>
            </w:pPr>
            <w:proofErr w:type="spellStart"/>
            <w:r>
              <w:rPr>
                <w:rFonts w:asciiTheme="minorHAnsi" w:hAnsiTheme="minorHAnsi" w:cstheme="minorHAnsi"/>
                <w:b w:val="0"/>
              </w:rPr>
              <w:t>AE</w:t>
            </w:r>
            <w:r w:rsidR="00FC3F31">
              <w:rPr>
                <w:rFonts w:asciiTheme="minorHAnsi" w:hAnsiTheme="minorHAnsi" w:cstheme="minorHAnsi"/>
                <w:b w:val="0"/>
              </w:rPr>
              <w:t>DT</w:t>
            </w:r>
            <w:proofErr w:type="spellEnd"/>
          </w:p>
        </w:tc>
        <w:tc>
          <w:tcPr>
            <w:tcW w:w="2980" w:type="pct"/>
          </w:tcPr>
          <w:p w14:paraId="73D478B0" w14:textId="14FC4C54"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 xml:space="preserve">Australian Eastern </w:t>
            </w:r>
            <w:r w:rsidR="00FC3F31">
              <w:rPr>
                <w:rFonts w:asciiTheme="minorHAnsi" w:hAnsiTheme="minorHAnsi" w:cstheme="minorHAnsi"/>
              </w:rPr>
              <w:t>Daylight</w:t>
            </w:r>
            <w:r>
              <w:rPr>
                <w:rFonts w:asciiTheme="minorHAnsi" w:hAnsiTheme="minorHAnsi" w:cstheme="minorHAnsi"/>
              </w:rPr>
              <w:t xml:space="preserve"> Time</w:t>
            </w:r>
            <w:r w:rsidR="008E0B50">
              <w:rPr>
                <w:rFonts w:asciiTheme="minorHAnsi" w:hAnsiTheme="minorHAnsi" w:cstheme="minorHAnsi"/>
              </w:rPr>
              <w:t>.</w:t>
            </w:r>
            <w:r>
              <w:rPr>
                <w:rFonts w:asciiTheme="minorHAnsi" w:hAnsiTheme="minorHAnsi" w:cstheme="minorHAnsi"/>
              </w:rPr>
              <w:t xml:space="preserve"> </w:t>
            </w:r>
          </w:p>
        </w:tc>
      </w:tr>
      <w:tr w:rsidR="002D7B75" w:rsidRPr="00654F9E" w14:paraId="73D478B7"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8B5"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Application Pack</w:t>
            </w:r>
          </w:p>
        </w:tc>
        <w:tc>
          <w:tcPr>
            <w:tcW w:w="2980" w:type="pct"/>
          </w:tcPr>
          <w:p w14:paraId="73D478B6" w14:textId="690C2C63"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74856">
              <w:rPr>
                <w:rFonts w:asciiTheme="minorHAnsi" w:hAnsiTheme="minorHAnsi" w:cstheme="minorHAnsi"/>
                <w:lang w:eastAsia="en-AU"/>
              </w:rPr>
              <w:t>Has the meaning given in section 7.</w:t>
            </w:r>
            <w:r w:rsidR="00815B83">
              <w:rPr>
                <w:rFonts w:asciiTheme="minorHAnsi" w:hAnsiTheme="minorHAnsi" w:cstheme="minorHAnsi"/>
                <w:lang w:eastAsia="en-AU"/>
              </w:rPr>
              <w:t>4</w:t>
            </w:r>
          </w:p>
        </w:tc>
      </w:tr>
      <w:tr w:rsidR="00784E6C" w:rsidRPr="00654F9E" w14:paraId="27232B9F"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18A03EF2" w14:textId="77777777" w:rsidR="00784E6C" w:rsidRPr="00974856" w:rsidRDefault="00784E6C" w:rsidP="003F3884">
            <w:pPr>
              <w:rPr>
                <w:rFonts w:asciiTheme="minorHAnsi" w:hAnsiTheme="minorHAnsi" w:cstheme="minorHAnsi"/>
                <w:b w:val="0"/>
              </w:rPr>
            </w:pPr>
            <w:r w:rsidRPr="00974856">
              <w:rPr>
                <w:rFonts w:asciiTheme="minorHAnsi" w:hAnsiTheme="minorHAnsi" w:cstheme="minorHAnsi"/>
                <w:b w:val="0"/>
              </w:rPr>
              <w:lastRenderedPageBreak/>
              <w:t>Asset Capital Costs (CAPEX)</w:t>
            </w:r>
          </w:p>
        </w:tc>
        <w:tc>
          <w:tcPr>
            <w:tcW w:w="2980" w:type="pct"/>
          </w:tcPr>
          <w:p w14:paraId="569B83FC" w14:textId="77777777" w:rsidR="00784E6C" w:rsidRPr="00974856" w:rsidRDefault="00784E6C" w:rsidP="003F388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en-AU"/>
              </w:rPr>
            </w:pPr>
            <w:r w:rsidRPr="00974856">
              <w:rPr>
                <w:rFonts w:asciiTheme="minorHAnsi" w:hAnsiTheme="minorHAnsi" w:cstheme="minorHAnsi"/>
                <w:lang w:eastAsia="en-AU"/>
              </w:rPr>
              <w:t>The costs to purchase and build physical assets under the Program.</w:t>
            </w:r>
          </w:p>
        </w:tc>
      </w:tr>
      <w:tr w:rsidR="002D7B75" w:rsidRPr="00654F9E" w14:paraId="73D478BA"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8B8"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Assessment Criteria</w:t>
            </w:r>
          </w:p>
        </w:tc>
        <w:tc>
          <w:tcPr>
            <w:tcW w:w="2980" w:type="pct"/>
          </w:tcPr>
          <w:p w14:paraId="73D478B9" w14:textId="77777777"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856">
              <w:rPr>
                <w:rFonts w:asciiTheme="minorHAnsi" w:hAnsiTheme="minorHAnsi" w:cstheme="minorHAnsi"/>
                <w:lang w:eastAsia="en-AU"/>
              </w:rPr>
              <w:t>The specified principles or standards in section 6 against which applications will be assessed. These criteria are also used to assess the merits of proposals and, in the case of a competitive Grant Opportunity, to determine application rankings.</w:t>
            </w:r>
          </w:p>
        </w:tc>
      </w:tr>
      <w:tr w:rsidR="002D7B75" w:rsidRPr="00654F9E" w14:paraId="73D478C0"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8BE" w14:textId="19A57C35" w:rsidR="002D7B75" w:rsidRPr="00974856" w:rsidRDefault="002D7B75" w:rsidP="00DB7E40">
            <w:pPr>
              <w:rPr>
                <w:rFonts w:asciiTheme="minorHAnsi" w:hAnsiTheme="minorHAnsi" w:cstheme="minorHAnsi"/>
                <w:b w:val="0"/>
              </w:rPr>
            </w:pPr>
            <w:bookmarkStart w:id="470" w:name="_Hlk149635993"/>
            <w:r w:rsidRPr="00974856">
              <w:rPr>
                <w:rFonts w:asciiTheme="minorHAnsi" w:hAnsiTheme="minorHAnsi" w:cstheme="minorHAnsi"/>
                <w:b w:val="0"/>
              </w:rPr>
              <w:t>Assessment Tool</w:t>
            </w:r>
            <w:bookmarkEnd w:id="470"/>
          </w:p>
        </w:tc>
        <w:tc>
          <w:tcPr>
            <w:tcW w:w="2980" w:type="pct"/>
          </w:tcPr>
          <w:p w14:paraId="73D478BF" w14:textId="77777777" w:rsidR="002D7B75" w:rsidRPr="00974856" w:rsidRDefault="00FD4A5A"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en-AU"/>
              </w:rPr>
            </w:pPr>
            <w:r>
              <w:rPr>
                <w:rFonts w:cs="Arial"/>
                <w:lang w:eastAsia="en-AU"/>
              </w:rPr>
              <w:t>The Excel spreadsheet that Eligible Applicants must use to make an application. Instructions on how to complete the Assessment Tool are in the Application Pack and in the spreadsheet itself.</w:t>
            </w:r>
            <w:r w:rsidRPr="00974856">
              <w:rPr>
                <w:rFonts w:asciiTheme="minorHAnsi" w:hAnsiTheme="minorHAnsi" w:cstheme="minorHAnsi"/>
              </w:rPr>
              <w:t xml:space="preserve"> </w:t>
            </w:r>
            <w:r w:rsidR="002D7B75" w:rsidRPr="00974856">
              <w:rPr>
                <w:rFonts w:asciiTheme="minorHAnsi" w:hAnsiTheme="minorHAnsi" w:cstheme="minorHAnsi"/>
              </w:rPr>
              <w:t xml:space="preserve">Has the meaning given in </w:t>
            </w:r>
            <w:proofErr w:type="gramStart"/>
            <w:r w:rsidR="002D7B75" w:rsidRPr="00974856">
              <w:rPr>
                <w:rFonts w:asciiTheme="minorHAnsi" w:hAnsiTheme="minorHAnsi" w:cstheme="minorHAnsi"/>
              </w:rPr>
              <w:t>section 7.</w:t>
            </w:r>
            <w:r w:rsidR="002A7972">
              <w:rPr>
                <w:rFonts w:asciiTheme="minorHAnsi" w:hAnsiTheme="minorHAnsi" w:cstheme="minorHAnsi"/>
              </w:rPr>
              <w:t>4</w:t>
            </w:r>
            <w:r w:rsidR="002D7B75" w:rsidRPr="00974856">
              <w:rPr>
                <w:rFonts w:asciiTheme="minorHAnsi" w:hAnsiTheme="minorHAnsi" w:cstheme="minorHAnsi"/>
              </w:rPr>
              <w:t>.2.</w:t>
            </w:r>
            <w:proofErr w:type="gramEnd"/>
          </w:p>
        </w:tc>
      </w:tr>
      <w:tr w:rsidR="002D7B75" w:rsidRPr="00654F9E" w14:paraId="73D478C6"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8C4"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Australian Business Number (ABN)</w:t>
            </w:r>
          </w:p>
        </w:tc>
        <w:tc>
          <w:tcPr>
            <w:tcW w:w="2980" w:type="pct"/>
          </w:tcPr>
          <w:p w14:paraId="73D478C5" w14:textId="44C1C975"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74856">
              <w:rPr>
                <w:rFonts w:asciiTheme="minorHAnsi" w:hAnsiTheme="minorHAnsi" w:cstheme="minorHAnsi"/>
                <w:lang w:eastAsia="en-AU"/>
              </w:rPr>
              <w:t xml:space="preserve">A unique </w:t>
            </w:r>
            <w:proofErr w:type="gramStart"/>
            <w:r w:rsidRPr="00974856">
              <w:rPr>
                <w:rFonts w:asciiTheme="minorHAnsi" w:hAnsiTheme="minorHAnsi" w:cstheme="minorHAnsi"/>
                <w:lang w:eastAsia="en-AU"/>
              </w:rPr>
              <w:t>11 digit</w:t>
            </w:r>
            <w:proofErr w:type="gramEnd"/>
            <w:r w:rsidRPr="00974856">
              <w:rPr>
                <w:rFonts w:asciiTheme="minorHAnsi" w:hAnsiTheme="minorHAnsi" w:cstheme="minorHAnsi"/>
                <w:lang w:eastAsia="en-AU"/>
              </w:rPr>
              <w:t xml:space="preserve"> number that identifies a business to the government and community</w:t>
            </w:r>
            <w:r w:rsidR="001C3862">
              <w:rPr>
                <w:rFonts w:asciiTheme="minorHAnsi" w:hAnsiTheme="minorHAnsi" w:cstheme="minorHAnsi"/>
                <w:lang w:eastAsia="en-AU"/>
              </w:rPr>
              <w:t>.</w:t>
            </w:r>
          </w:p>
        </w:tc>
      </w:tr>
      <w:tr w:rsidR="002D7B75" w:rsidRPr="00654F9E" w14:paraId="73D478C9"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8C7"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Backhaul</w:t>
            </w:r>
          </w:p>
        </w:tc>
        <w:tc>
          <w:tcPr>
            <w:tcW w:w="2980" w:type="pct"/>
          </w:tcPr>
          <w:p w14:paraId="73D478C8"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en-AU"/>
              </w:rPr>
            </w:pPr>
            <w:r w:rsidRPr="00974856">
              <w:rPr>
                <w:rFonts w:asciiTheme="minorHAnsi" w:hAnsiTheme="minorHAnsi" w:cstheme="minorHAnsi"/>
              </w:rPr>
              <w:t>A link between the core or backbone of a network and sub</w:t>
            </w:r>
            <w:r w:rsidRPr="00974856">
              <w:rPr>
                <w:rFonts w:asciiTheme="minorHAnsi" w:hAnsiTheme="minorHAnsi" w:cstheme="minorHAnsi"/>
              </w:rPr>
              <w:noBreakHyphen/>
              <w:t>networks, transporting data from a series of disparate locations to a more centralised location.</w:t>
            </w:r>
          </w:p>
        </w:tc>
      </w:tr>
      <w:tr w:rsidR="002D7B75" w:rsidRPr="00654F9E" w14:paraId="73D478CC"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8CA"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Cluster Solution</w:t>
            </w:r>
          </w:p>
        </w:tc>
        <w:tc>
          <w:tcPr>
            <w:tcW w:w="2980" w:type="pct"/>
          </w:tcPr>
          <w:p w14:paraId="73D478CB" w14:textId="77777777"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856">
              <w:rPr>
                <w:rFonts w:asciiTheme="minorHAnsi" w:hAnsiTheme="minorHAnsi" w:cstheme="minorHAnsi"/>
              </w:rPr>
              <w:t>A Proposed Solution comprising two or more (to a maximum of fifteen) base stations that the applicant is putting forward as a single proposal due to economic and/or network design benefits.</w:t>
            </w:r>
          </w:p>
        </w:tc>
      </w:tr>
      <w:tr w:rsidR="002D7B75" w:rsidRPr="00654F9E" w14:paraId="73D478CF"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8CD"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Co-locating MNO</w:t>
            </w:r>
          </w:p>
        </w:tc>
        <w:tc>
          <w:tcPr>
            <w:tcW w:w="2980" w:type="pct"/>
          </w:tcPr>
          <w:p w14:paraId="73D478CE"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Has the meaning given in section 4.2</w:t>
            </w:r>
            <w:r w:rsidR="002A7972">
              <w:rPr>
                <w:rFonts w:asciiTheme="minorHAnsi" w:hAnsiTheme="minorHAnsi" w:cstheme="minorHAnsi"/>
              </w:rPr>
              <w:t xml:space="preserve"> under </w:t>
            </w:r>
            <w:r w:rsidR="002A7972">
              <w:t xml:space="preserve">Multi-MNO solutions – </w:t>
            </w:r>
            <w:r w:rsidR="006E76F3">
              <w:t xml:space="preserve">Active Sharing, </w:t>
            </w:r>
            <w:r w:rsidR="002A7972">
              <w:t xml:space="preserve">Co-location and </w:t>
            </w:r>
            <w:r w:rsidR="002A7972" w:rsidRPr="00B22949">
              <w:t>co-build</w:t>
            </w:r>
            <w:r w:rsidRPr="00974856">
              <w:rPr>
                <w:rFonts w:asciiTheme="minorHAnsi" w:hAnsiTheme="minorHAnsi" w:cstheme="minorHAnsi"/>
              </w:rPr>
              <w:t>.</w:t>
            </w:r>
          </w:p>
        </w:tc>
      </w:tr>
      <w:tr w:rsidR="00DE2163" w:rsidRPr="00654F9E" w14:paraId="465BD830"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3C9B9767" w14:textId="350C1AB8" w:rsidR="00DE2163" w:rsidRPr="00974856" w:rsidRDefault="00DE2163" w:rsidP="00DB7E40">
            <w:pPr>
              <w:rPr>
                <w:rFonts w:asciiTheme="minorHAnsi" w:hAnsiTheme="minorHAnsi" w:cstheme="minorHAnsi"/>
                <w:b w:val="0"/>
              </w:rPr>
            </w:pPr>
            <w:r>
              <w:rPr>
                <w:rFonts w:asciiTheme="minorHAnsi" w:hAnsiTheme="minorHAnsi" w:cstheme="minorHAnsi"/>
                <w:b w:val="0"/>
              </w:rPr>
              <w:t xml:space="preserve">Commonwealth Contribution </w:t>
            </w:r>
          </w:p>
        </w:tc>
        <w:tc>
          <w:tcPr>
            <w:tcW w:w="2980" w:type="pct"/>
          </w:tcPr>
          <w:p w14:paraId="380C2E60" w14:textId="457EFFAD" w:rsidR="00DE2163" w:rsidRPr="00974856" w:rsidRDefault="00DE2163"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financial contribution to </w:t>
            </w:r>
            <w:r w:rsidR="00D3278E">
              <w:rPr>
                <w:rFonts w:asciiTheme="minorHAnsi" w:hAnsiTheme="minorHAnsi" w:cstheme="minorHAnsi"/>
              </w:rPr>
              <w:t xml:space="preserve">be </w:t>
            </w:r>
            <w:r>
              <w:rPr>
                <w:rFonts w:asciiTheme="minorHAnsi" w:hAnsiTheme="minorHAnsi" w:cstheme="minorHAnsi"/>
              </w:rPr>
              <w:t>made by the Commonwealth for all Proposed Solutions as set out in 5.3.1</w:t>
            </w:r>
          </w:p>
        </w:tc>
      </w:tr>
      <w:tr w:rsidR="002D7B75" w:rsidRPr="00654F9E" w14:paraId="73D478D2"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8D0"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Commonwealth entity</w:t>
            </w:r>
          </w:p>
        </w:tc>
        <w:tc>
          <w:tcPr>
            <w:tcW w:w="2980" w:type="pct"/>
          </w:tcPr>
          <w:p w14:paraId="73D478D1" w14:textId="77777777" w:rsidR="002D7B75" w:rsidRPr="00974856" w:rsidRDefault="00FD4A5A"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cs="Arial"/>
                <w:lang w:eastAsia="en-AU"/>
              </w:rPr>
              <w:t xml:space="preserve">A Department of State, or a Parliamentary Department, or a listed entity or a body corporate established by a law of the Commonwealth. </w:t>
            </w:r>
            <w:r w:rsidR="002D7B75" w:rsidRPr="00974856">
              <w:rPr>
                <w:rFonts w:asciiTheme="minorHAnsi" w:hAnsiTheme="minorHAnsi" w:cstheme="minorHAnsi"/>
                <w:lang w:eastAsia="en-AU"/>
              </w:rPr>
              <w:t xml:space="preserve">See subsections 10(1) and (2) of the </w:t>
            </w:r>
            <w:proofErr w:type="spellStart"/>
            <w:r w:rsidR="002D7B75" w:rsidRPr="00974856">
              <w:rPr>
                <w:rFonts w:asciiTheme="minorHAnsi" w:hAnsiTheme="minorHAnsi" w:cstheme="minorHAnsi"/>
                <w:lang w:eastAsia="en-AU"/>
              </w:rPr>
              <w:t>PGPA</w:t>
            </w:r>
            <w:proofErr w:type="spellEnd"/>
            <w:r w:rsidR="002D7B75" w:rsidRPr="00974856">
              <w:rPr>
                <w:rFonts w:asciiTheme="minorHAnsi" w:hAnsiTheme="minorHAnsi" w:cstheme="minorHAnsi"/>
                <w:lang w:eastAsia="en-AU"/>
              </w:rPr>
              <w:t xml:space="preserve"> Act.</w:t>
            </w:r>
          </w:p>
        </w:tc>
      </w:tr>
      <w:tr w:rsidR="002D7B75" w:rsidRPr="00654F9E" w14:paraId="73D478D5"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8D3" w14:textId="77777777" w:rsidR="002D7B75" w:rsidRPr="00974856" w:rsidRDefault="00192222" w:rsidP="00DB7E40">
            <w:pPr>
              <w:rPr>
                <w:rFonts w:asciiTheme="minorHAnsi" w:hAnsiTheme="minorHAnsi" w:cstheme="minorHAnsi"/>
                <w:b w:val="0"/>
              </w:rPr>
            </w:pPr>
            <w:hyperlink r:id="rId51" w:history="1">
              <w:r w:rsidR="002D7B75" w:rsidRPr="00974856">
                <w:rPr>
                  <w:rStyle w:val="Hyperlink"/>
                  <w:rFonts w:asciiTheme="minorHAnsi" w:hAnsiTheme="minorHAnsi" w:cstheme="minorHAnsi"/>
                  <w:b w:val="0"/>
                </w:rPr>
                <w:t>Commonwealth Grants Rules and Guidelines (</w:t>
              </w:r>
              <w:proofErr w:type="spellStart"/>
              <w:r w:rsidR="002D7B75" w:rsidRPr="00974856">
                <w:rPr>
                  <w:rStyle w:val="Hyperlink"/>
                  <w:rFonts w:asciiTheme="minorHAnsi" w:hAnsiTheme="minorHAnsi" w:cstheme="minorHAnsi"/>
                  <w:b w:val="0"/>
                </w:rPr>
                <w:t>CGRGs</w:t>
              </w:r>
              <w:proofErr w:type="spellEnd"/>
              <w:r w:rsidR="002D7B75" w:rsidRPr="00974856">
                <w:rPr>
                  <w:rStyle w:val="Hyperlink"/>
                  <w:rFonts w:asciiTheme="minorHAnsi" w:hAnsiTheme="minorHAnsi" w:cstheme="minorHAnsi"/>
                  <w:b w:val="0"/>
                </w:rPr>
                <w:t>)</w:t>
              </w:r>
            </w:hyperlink>
            <w:r w:rsidR="002D7B75" w:rsidRPr="00974856">
              <w:rPr>
                <w:rStyle w:val="Hyperlink"/>
                <w:rFonts w:asciiTheme="minorHAnsi" w:hAnsiTheme="minorHAnsi" w:cstheme="minorHAnsi"/>
                <w:b w:val="0"/>
              </w:rPr>
              <w:t xml:space="preserve"> </w:t>
            </w:r>
          </w:p>
        </w:tc>
        <w:tc>
          <w:tcPr>
            <w:tcW w:w="2980" w:type="pct"/>
          </w:tcPr>
          <w:p w14:paraId="73D478D4" w14:textId="4F13B48D"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856">
              <w:rPr>
                <w:rFonts w:asciiTheme="minorHAnsi" w:hAnsiTheme="minorHAnsi" w:cstheme="minorHAnsi"/>
                <w:lang w:eastAsia="en-AU"/>
              </w:rPr>
              <w:t>Rules that establish the overarching Commonwealth grants policy framework and articulate the expectations for all non</w:t>
            </w:r>
            <w:r w:rsidR="00941A65">
              <w:rPr>
                <w:rFonts w:asciiTheme="minorHAnsi" w:hAnsiTheme="minorHAnsi" w:cstheme="minorHAnsi"/>
                <w:lang w:eastAsia="en-AU"/>
              </w:rPr>
              <w:noBreakHyphen/>
            </w:r>
            <w:r w:rsidRPr="00974856">
              <w:rPr>
                <w:rFonts w:asciiTheme="minorHAnsi" w:hAnsiTheme="minorHAnsi" w:cstheme="minorHAnsi"/>
                <w:lang w:eastAsia="en-AU"/>
              </w:rPr>
              <w:t>corporate Commonwealth entities in relation to grants administration. Under this overarching framework, non</w:t>
            </w:r>
            <w:r w:rsidR="00941A65">
              <w:rPr>
                <w:rFonts w:asciiTheme="minorHAnsi" w:hAnsiTheme="minorHAnsi" w:cstheme="minorHAnsi"/>
                <w:lang w:eastAsia="en-AU"/>
              </w:rPr>
              <w:noBreakHyphen/>
            </w:r>
            <w:r w:rsidRPr="00974856">
              <w:rPr>
                <w:rFonts w:asciiTheme="minorHAnsi" w:hAnsiTheme="minorHAnsi" w:cstheme="minorHAnsi"/>
                <w:lang w:eastAsia="en-AU"/>
              </w:rPr>
              <w:t>corporate Commonwealth entities undertake grants administration based on the mandatory requirements and key principles of grants administration. </w:t>
            </w:r>
          </w:p>
        </w:tc>
      </w:tr>
      <w:tr w:rsidR="002D7B75" w:rsidRPr="00654F9E" w14:paraId="73D478D8"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8D6"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Confidential Information</w:t>
            </w:r>
          </w:p>
        </w:tc>
        <w:tc>
          <w:tcPr>
            <w:tcW w:w="2980" w:type="pct"/>
          </w:tcPr>
          <w:p w14:paraId="73D478D7"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Applicant Confidential Information and Commonwealth Confidential Information as defined in section 13.</w:t>
            </w:r>
            <w:r w:rsidR="00224FC4">
              <w:rPr>
                <w:rFonts w:asciiTheme="minorHAnsi" w:hAnsiTheme="minorHAnsi" w:cstheme="minorHAnsi"/>
              </w:rPr>
              <w:t>5.</w:t>
            </w:r>
          </w:p>
        </w:tc>
      </w:tr>
      <w:tr w:rsidR="002D7B75" w:rsidRPr="00654F9E" w14:paraId="73D478DB"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8D9"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Consumer Level Products or Equipment</w:t>
            </w:r>
          </w:p>
        </w:tc>
        <w:tc>
          <w:tcPr>
            <w:tcW w:w="2980" w:type="pct"/>
          </w:tcPr>
          <w:p w14:paraId="73D478DA" w14:textId="77777777"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856">
              <w:rPr>
                <w:rFonts w:asciiTheme="minorHAnsi" w:hAnsiTheme="minorHAnsi" w:cstheme="minorHAnsi"/>
              </w:rPr>
              <w:t>Non-infrastructure telecommunication products purchased for the consumption by a limited number of users.</w:t>
            </w:r>
          </w:p>
        </w:tc>
      </w:tr>
      <w:tr w:rsidR="002D7B75" w:rsidRPr="00654F9E" w14:paraId="73D478DE"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8DC"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Decision Maker</w:t>
            </w:r>
          </w:p>
        </w:tc>
        <w:tc>
          <w:tcPr>
            <w:tcW w:w="2980" w:type="pct"/>
          </w:tcPr>
          <w:p w14:paraId="73D478DD"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cs="Arial"/>
                <w:lang w:eastAsia="en-AU"/>
              </w:rPr>
              <w:t>T</w:t>
            </w:r>
            <w:r w:rsidRPr="00167919">
              <w:rPr>
                <w:rFonts w:cs="Arial"/>
                <w:lang w:eastAsia="en-AU"/>
              </w:rPr>
              <w:t xml:space="preserve">he person who </w:t>
            </w:r>
            <w:proofErr w:type="gramStart"/>
            <w:r w:rsidRPr="00167919">
              <w:rPr>
                <w:rFonts w:cs="Arial"/>
                <w:lang w:eastAsia="en-AU"/>
              </w:rPr>
              <w:t>makes a decision</w:t>
            </w:r>
            <w:proofErr w:type="gramEnd"/>
            <w:r w:rsidRPr="00167919">
              <w:rPr>
                <w:rFonts w:cs="Arial"/>
                <w:lang w:eastAsia="en-AU"/>
              </w:rPr>
              <w:t xml:space="preserve"> to award a gran</w:t>
            </w:r>
            <w:r>
              <w:rPr>
                <w:rFonts w:cs="Arial"/>
                <w:lang w:eastAsia="en-AU"/>
              </w:rPr>
              <w:t xml:space="preserve">t, as set out in </w:t>
            </w:r>
            <w:r w:rsidRPr="005B68B6">
              <w:rPr>
                <w:rFonts w:cs="Arial"/>
                <w:lang w:eastAsia="en-AU"/>
              </w:rPr>
              <w:t>section 8.</w:t>
            </w:r>
            <w:r w:rsidR="00224FC4">
              <w:rPr>
                <w:rFonts w:cs="Arial"/>
                <w:lang w:eastAsia="en-AU"/>
              </w:rPr>
              <w:t>4</w:t>
            </w:r>
            <w:r w:rsidRPr="005B68B6">
              <w:rPr>
                <w:rFonts w:cs="Arial"/>
                <w:lang w:eastAsia="en-AU"/>
              </w:rPr>
              <w:t>.</w:t>
            </w:r>
            <w:r w:rsidRPr="00974856">
              <w:rPr>
                <w:rFonts w:asciiTheme="minorHAnsi" w:hAnsiTheme="minorHAnsi" w:cstheme="minorHAnsi"/>
                <w:lang w:eastAsia="en-AU"/>
              </w:rPr>
              <w:t xml:space="preserve"> </w:t>
            </w:r>
          </w:p>
        </w:tc>
      </w:tr>
      <w:tr w:rsidR="002D7B75" w:rsidRPr="00654F9E" w14:paraId="73D478E1"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8DF"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Department</w:t>
            </w:r>
          </w:p>
        </w:tc>
        <w:tc>
          <w:tcPr>
            <w:tcW w:w="2980" w:type="pct"/>
          </w:tcPr>
          <w:p w14:paraId="73D478E0" w14:textId="0C5E9182"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74856">
              <w:rPr>
                <w:rFonts w:asciiTheme="minorHAnsi" w:hAnsiTheme="minorHAnsi" w:cstheme="minorHAnsi"/>
              </w:rPr>
              <w:t>Department of Infrastructure, Transport, Regional Development, Communications and the Arts</w:t>
            </w:r>
            <w:r w:rsidR="008E0B50">
              <w:rPr>
                <w:rFonts w:asciiTheme="minorHAnsi" w:hAnsiTheme="minorHAnsi" w:cstheme="minorHAnsi"/>
              </w:rPr>
              <w:t>.</w:t>
            </w:r>
          </w:p>
        </w:tc>
      </w:tr>
      <w:tr w:rsidR="002D7B75" w:rsidRPr="00654F9E" w14:paraId="73D478E4"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8E2"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Eligibility Criteria</w:t>
            </w:r>
          </w:p>
        </w:tc>
        <w:tc>
          <w:tcPr>
            <w:tcW w:w="2980" w:type="pct"/>
          </w:tcPr>
          <w:p w14:paraId="73D478E3"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rPr>
            </w:pPr>
            <w:r w:rsidRPr="00974856">
              <w:rPr>
                <w:rFonts w:asciiTheme="minorHAnsi" w:hAnsiTheme="minorHAnsi" w:cstheme="minorHAnsi"/>
                <w:lang w:eastAsia="en-AU"/>
              </w:rPr>
              <w:t>The mandatory criteria which must be met to qualify for a grant. Assessment Criteria may apply in addition to Eligibility Criteria</w:t>
            </w:r>
            <w:r>
              <w:rPr>
                <w:rFonts w:asciiTheme="minorHAnsi" w:hAnsiTheme="minorHAnsi" w:cstheme="minorHAnsi"/>
                <w:lang w:eastAsia="en-AU"/>
              </w:rPr>
              <w:t>. These are set out</w:t>
            </w:r>
            <w:r>
              <w:rPr>
                <w:rFonts w:cs="Arial"/>
                <w:lang w:eastAsia="en-AU"/>
              </w:rPr>
              <w:t xml:space="preserve"> at section </w:t>
            </w:r>
            <w:r w:rsidRPr="005B68B6">
              <w:rPr>
                <w:rFonts w:cs="Arial"/>
                <w:lang w:eastAsia="en-AU"/>
              </w:rPr>
              <w:t>4.1</w:t>
            </w:r>
            <w:r>
              <w:rPr>
                <w:rFonts w:cs="Arial"/>
                <w:lang w:eastAsia="en-AU"/>
              </w:rPr>
              <w:t xml:space="preserve"> of these Guidelines.</w:t>
            </w:r>
          </w:p>
        </w:tc>
      </w:tr>
      <w:tr w:rsidR="002D7B75" w:rsidRPr="00654F9E" w14:paraId="73D478E7"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8E5"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Eligible Location</w:t>
            </w:r>
          </w:p>
        </w:tc>
        <w:tc>
          <w:tcPr>
            <w:tcW w:w="2980" w:type="pct"/>
          </w:tcPr>
          <w:p w14:paraId="73D478E6" w14:textId="77777777"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74856">
              <w:rPr>
                <w:rFonts w:asciiTheme="minorHAnsi" w:hAnsiTheme="minorHAnsi" w:cstheme="minorHAnsi"/>
                <w:lang w:eastAsia="en-AU"/>
              </w:rPr>
              <w:t xml:space="preserve">Has the meaning given in section </w:t>
            </w:r>
            <w:proofErr w:type="gramStart"/>
            <w:r w:rsidRPr="00974856">
              <w:rPr>
                <w:rFonts w:asciiTheme="minorHAnsi" w:hAnsiTheme="minorHAnsi" w:cstheme="minorHAnsi"/>
                <w:lang w:eastAsia="en-AU"/>
              </w:rPr>
              <w:t>5.2.</w:t>
            </w:r>
            <w:proofErr w:type="gramEnd"/>
          </w:p>
        </w:tc>
      </w:tr>
      <w:tr w:rsidR="002D7B75" w:rsidRPr="00654F9E" w14:paraId="73D478ED"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8E8" w14:textId="77777777" w:rsidR="002D7B75" w:rsidRPr="00974856" w:rsidDel="007C10F6" w:rsidRDefault="002D7B75" w:rsidP="00DB7E40">
            <w:pPr>
              <w:rPr>
                <w:rFonts w:asciiTheme="minorHAnsi" w:hAnsiTheme="minorHAnsi" w:cstheme="minorHAnsi"/>
                <w:b w:val="0"/>
                <w:highlight w:val="yellow"/>
              </w:rPr>
            </w:pPr>
            <w:r w:rsidRPr="00974856">
              <w:rPr>
                <w:rFonts w:asciiTheme="minorHAnsi" w:hAnsiTheme="minorHAnsi" w:cstheme="minorHAnsi"/>
                <w:b w:val="0"/>
              </w:rPr>
              <w:lastRenderedPageBreak/>
              <w:t>Existing Handheld Coverage</w:t>
            </w:r>
          </w:p>
        </w:tc>
        <w:tc>
          <w:tcPr>
            <w:tcW w:w="2980" w:type="pct"/>
          </w:tcPr>
          <w:p w14:paraId="73D478E9"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Coverage able to be obtained with a handheld mobile device within the applicant’s mobile network:</w:t>
            </w:r>
          </w:p>
          <w:p w14:paraId="73D478EA" w14:textId="77777777" w:rsidR="002D7B75" w:rsidRPr="00974856" w:rsidRDefault="002D7B75" w:rsidP="007F60C7">
            <w:pPr>
              <w:pStyle w:val="CommentText"/>
              <w:numPr>
                <w:ilvl w:val="0"/>
                <w:numId w:val="17"/>
              </w:numPr>
              <w:spacing w:after="80" w:line="240" w:lineRule="auto"/>
              <w:ind w:left="357" w:hanging="357"/>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that is currently available;</w:t>
            </w:r>
          </w:p>
          <w:p w14:paraId="73D478EB" w14:textId="3C351A61" w:rsidR="002D7B75" w:rsidRPr="00974856" w:rsidRDefault="002D7B75" w:rsidP="007F60C7">
            <w:pPr>
              <w:pStyle w:val="CommentText"/>
              <w:numPr>
                <w:ilvl w:val="0"/>
                <w:numId w:val="17"/>
              </w:numPr>
              <w:spacing w:after="80" w:line="240" w:lineRule="auto"/>
              <w:ind w:left="357" w:hanging="357"/>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that will be provided by any base station that will be delivered by the applicant under a round of the Peri</w:t>
            </w:r>
            <w:r w:rsidR="00941A65">
              <w:rPr>
                <w:rFonts w:asciiTheme="minorHAnsi" w:hAnsiTheme="minorHAnsi" w:cstheme="minorHAnsi"/>
              </w:rPr>
              <w:noBreakHyphen/>
            </w:r>
            <w:r w:rsidRPr="00974856">
              <w:rPr>
                <w:rFonts w:asciiTheme="minorHAnsi" w:hAnsiTheme="minorHAnsi" w:cstheme="minorHAnsi"/>
              </w:rPr>
              <w:t>Urban Mobile Program, Mobile Black Spot Program or other Commonwealth grant program; or</w:t>
            </w:r>
          </w:p>
          <w:p w14:paraId="73D478EC" w14:textId="77777777" w:rsidR="002D7B75" w:rsidRPr="00974856" w:rsidRDefault="002D7B75" w:rsidP="007F60C7">
            <w:pPr>
              <w:pStyle w:val="CommentText"/>
              <w:numPr>
                <w:ilvl w:val="0"/>
                <w:numId w:val="17"/>
              </w:numPr>
              <w:spacing w:after="80" w:line="240" w:lineRule="auto"/>
              <w:ind w:left="357" w:hanging="357"/>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 xml:space="preserve">that will be provided by any applicant base station funded under a </w:t>
            </w:r>
            <w:r w:rsidR="007D1B67">
              <w:rPr>
                <w:rFonts w:asciiTheme="minorHAnsi" w:hAnsiTheme="minorHAnsi" w:cstheme="minorHAnsi"/>
              </w:rPr>
              <w:t>s</w:t>
            </w:r>
            <w:r w:rsidRPr="00974856">
              <w:rPr>
                <w:rFonts w:asciiTheme="minorHAnsi" w:hAnsiTheme="minorHAnsi" w:cstheme="minorHAnsi"/>
              </w:rPr>
              <w:t xml:space="preserve">tate or </w:t>
            </w:r>
            <w:r w:rsidR="007D1B67">
              <w:rPr>
                <w:rFonts w:asciiTheme="minorHAnsi" w:hAnsiTheme="minorHAnsi" w:cstheme="minorHAnsi"/>
              </w:rPr>
              <w:t>t</w:t>
            </w:r>
            <w:r w:rsidRPr="00974856">
              <w:rPr>
                <w:rFonts w:asciiTheme="minorHAnsi" w:hAnsiTheme="minorHAnsi" w:cstheme="minorHAnsi"/>
              </w:rPr>
              <w:t>erritory program.</w:t>
            </w:r>
          </w:p>
        </w:tc>
      </w:tr>
      <w:tr w:rsidR="002D7B75" w:rsidRPr="00654F9E" w14:paraId="73D478F0"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8EE" w14:textId="77777777" w:rsidR="002D7B75" w:rsidRPr="00974856" w:rsidRDefault="002D7B75" w:rsidP="00DB7E40">
            <w:pPr>
              <w:rPr>
                <w:rFonts w:asciiTheme="minorHAnsi" w:hAnsiTheme="minorHAnsi" w:cstheme="minorHAnsi"/>
                <w:b w:val="0"/>
              </w:rPr>
            </w:pPr>
            <w:r>
              <w:rPr>
                <w:rFonts w:asciiTheme="minorHAnsi" w:hAnsiTheme="minorHAnsi" w:cstheme="minorHAnsi"/>
                <w:b w:val="0"/>
              </w:rPr>
              <w:t xml:space="preserve">FOI </w:t>
            </w:r>
          </w:p>
        </w:tc>
        <w:tc>
          <w:tcPr>
            <w:tcW w:w="2980" w:type="pct"/>
          </w:tcPr>
          <w:p w14:paraId="73D478EF" w14:textId="77777777"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Freedom of Information</w:t>
            </w:r>
          </w:p>
        </w:tc>
      </w:tr>
      <w:tr w:rsidR="002D7B75" w:rsidRPr="00654F9E" w14:paraId="73D478F3"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8F1"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Funded Solution</w:t>
            </w:r>
          </w:p>
        </w:tc>
        <w:tc>
          <w:tcPr>
            <w:tcW w:w="2980" w:type="pct"/>
          </w:tcPr>
          <w:p w14:paraId="73D478F2"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Solution selected for funding under the Program.</w:t>
            </w:r>
          </w:p>
        </w:tc>
      </w:tr>
      <w:tr w:rsidR="002D7B75" w:rsidRPr="00654F9E" w14:paraId="73D478F8"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8F4" w14:textId="5806E4A6" w:rsidR="002D7B75" w:rsidRPr="00974856" w:rsidRDefault="002D7B75" w:rsidP="00DB7E40">
            <w:pPr>
              <w:rPr>
                <w:rFonts w:asciiTheme="minorHAnsi" w:hAnsiTheme="minorHAnsi" w:cstheme="minorHAnsi"/>
                <w:b w:val="0"/>
              </w:rPr>
            </w:pPr>
            <w:bookmarkStart w:id="471" w:name="_Hlk149636470"/>
            <w:r>
              <w:rPr>
                <w:rFonts w:asciiTheme="minorHAnsi" w:hAnsiTheme="minorHAnsi" w:cstheme="minorHAnsi"/>
                <w:b w:val="0"/>
              </w:rPr>
              <w:t xml:space="preserve">Grant </w:t>
            </w:r>
            <w:bookmarkEnd w:id="471"/>
          </w:p>
        </w:tc>
        <w:tc>
          <w:tcPr>
            <w:tcW w:w="2980" w:type="pct"/>
          </w:tcPr>
          <w:p w14:paraId="73D478F5" w14:textId="77777777" w:rsidR="002D7B75" w:rsidRPr="00FB39B3" w:rsidRDefault="002D7B75" w:rsidP="007F60C7">
            <w:pPr>
              <w:suppressAutoHyphens/>
              <w:spacing w:before="60"/>
              <w:cnfStyle w:val="000000000000" w:firstRow="0" w:lastRow="0" w:firstColumn="0" w:lastColumn="0" w:oddVBand="0" w:evenVBand="0" w:oddHBand="0" w:evenHBand="0" w:firstRowFirstColumn="0" w:firstRowLastColumn="0" w:lastRowFirstColumn="0" w:lastRowLastColumn="0"/>
              <w:rPr>
                <w:rFonts w:cs="Arial"/>
              </w:rPr>
            </w:pPr>
            <w:r>
              <w:t>F</w:t>
            </w:r>
            <w:r w:rsidRPr="00FB39B3">
              <w:t xml:space="preserve">or the purposes of the </w:t>
            </w:r>
            <w:proofErr w:type="spellStart"/>
            <w:r w:rsidRPr="00FB39B3">
              <w:t>CGRGs</w:t>
            </w:r>
            <w:proofErr w:type="spellEnd"/>
            <w:r w:rsidRPr="00FB39B3">
              <w:t xml:space="preserve">, a ‘grant’ is an arrangement for the provision of financial assistance by the </w:t>
            </w:r>
            <w:r w:rsidRPr="00FB39B3">
              <w:rPr>
                <w:rFonts w:cs="Arial"/>
              </w:rPr>
              <w:t>Commonwealth or on behalf of the Commonwealth:</w:t>
            </w:r>
          </w:p>
          <w:p w14:paraId="73D478F6" w14:textId="5F0335F9" w:rsidR="00FD4A5A" w:rsidRPr="001C09F5" w:rsidRDefault="002D7B75" w:rsidP="00B0575A">
            <w:pPr>
              <w:pStyle w:val="NumberedList2"/>
              <w:numPr>
                <w:ilvl w:val="1"/>
                <w:numId w:val="18"/>
              </w:numPr>
              <w:spacing w:before="60" w:after="80" w:line="240" w:lineRule="auto"/>
              <w:ind w:left="358" w:hanging="283"/>
              <w:cnfStyle w:val="000000000000" w:firstRow="0" w:lastRow="0" w:firstColumn="0" w:lastColumn="0" w:oddVBand="0" w:evenVBand="0" w:oddHBand="0" w:evenHBand="0" w:firstRowFirstColumn="0" w:firstRowLastColumn="0" w:lastRowFirstColumn="0" w:lastRowLastColumn="0"/>
              <w:rPr>
                <w:rFonts w:cstheme="minorHAnsi"/>
              </w:rPr>
            </w:pPr>
            <w:r w:rsidRPr="001C09F5">
              <w:rPr>
                <w:rFonts w:cstheme="minorHAnsi"/>
              </w:rPr>
              <w:t>under which relevant money</w:t>
            </w:r>
            <w:r w:rsidRPr="001C09F5">
              <w:rPr>
                <w:rStyle w:val="FootnoteReference"/>
                <w:rFonts w:cstheme="minorHAnsi"/>
              </w:rPr>
              <w:footnoteReference w:id="7"/>
            </w:r>
            <w:r w:rsidRPr="001C09F5">
              <w:rPr>
                <w:rFonts w:cstheme="minorHAnsi"/>
              </w:rPr>
              <w:t xml:space="preserve"> or other </w:t>
            </w:r>
            <w:hyperlink r:id="rId52" w:anchor=":~:text=A%20fund%20established%20by%20section,forms%20part%20of%20the%20CRF." w:history="1">
              <w:r w:rsidRPr="001C09F5">
                <w:rPr>
                  <w:rStyle w:val="Hyperlink"/>
                  <w:rFonts w:cstheme="minorHAnsi"/>
                </w:rPr>
                <w:t>Consolidated Revenue Fund</w:t>
              </w:r>
            </w:hyperlink>
            <w:r w:rsidRPr="001C09F5">
              <w:rPr>
                <w:rFonts w:cstheme="minorHAnsi"/>
              </w:rPr>
              <w:t xml:space="preserve"> (</w:t>
            </w:r>
            <w:proofErr w:type="spellStart"/>
            <w:r w:rsidRPr="001C09F5">
              <w:rPr>
                <w:rFonts w:cstheme="minorHAnsi"/>
              </w:rPr>
              <w:t>CRF</w:t>
            </w:r>
            <w:proofErr w:type="spellEnd"/>
            <w:r w:rsidRPr="001C09F5">
              <w:rPr>
                <w:rFonts w:cstheme="minorHAnsi"/>
              </w:rPr>
              <w:t>) money</w:t>
            </w:r>
            <w:r w:rsidRPr="001C09F5">
              <w:rPr>
                <w:rStyle w:val="FootnoteReference"/>
                <w:rFonts w:cstheme="minorHAnsi"/>
              </w:rPr>
              <w:footnoteReference w:id="8"/>
            </w:r>
            <w:r w:rsidRPr="001C09F5">
              <w:rPr>
                <w:rFonts w:cstheme="minorHAnsi"/>
              </w:rPr>
              <w:t xml:space="preserve"> is to be paid to a Grantee other than the Commonwealth; and</w:t>
            </w:r>
          </w:p>
          <w:p w14:paraId="73D478F7" w14:textId="77777777" w:rsidR="002D7B75" w:rsidRPr="00FD4A5A" w:rsidRDefault="002D7B75" w:rsidP="00B0575A">
            <w:pPr>
              <w:pStyle w:val="NumberedList2"/>
              <w:numPr>
                <w:ilvl w:val="1"/>
                <w:numId w:val="18"/>
              </w:numPr>
              <w:spacing w:before="60" w:after="80" w:line="240" w:lineRule="auto"/>
              <w:ind w:left="358" w:hanging="283"/>
              <w:cnfStyle w:val="000000000000" w:firstRow="0" w:lastRow="0" w:firstColumn="0" w:lastColumn="0" w:oddVBand="0" w:evenVBand="0" w:oddHBand="0" w:evenHBand="0" w:firstRowFirstColumn="0" w:firstRowLastColumn="0" w:lastRowFirstColumn="0" w:lastRowLastColumn="0"/>
              <w:rPr>
                <w:rFonts w:cstheme="minorHAnsi"/>
              </w:rPr>
            </w:pPr>
            <w:r w:rsidRPr="00FD4A5A">
              <w:t>which is intended to help address one or more of the Australian Government’s policy outcomes while assisting the Grantee achieve its objectives.</w:t>
            </w:r>
          </w:p>
        </w:tc>
      </w:tr>
      <w:tr w:rsidR="00FD4A5A" w:rsidRPr="00654F9E" w14:paraId="73D478FB"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8F9" w14:textId="77777777" w:rsidR="00FD4A5A" w:rsidRPr="00FD4A5A" w:rsidRDefault="00FD4A5A" w:rsidP="00DB7E40">
            <w:pPr>
              <w:rPr>
                <w:rFonts w:asciiTheme="minorHAnsi" w:hAnsiTheme="minorHAnsi" w:cstheme="minorHAnsi"/>
                <w:b w:val="0"/>
              </w:rPr>
            </w:pPr>
            <w:r w:rsidRPr="009257F3">
              <w:rPr>
                <w:b w:val="0"/>
              </w:rPr>
              <w:t>Grant Activity/Activities</w:t>
            </w:r>
          </w:p>
        </w:tc>
        <w:tc>
          <w:tcPr>
            <w:tcW w:w="2980" w:type="pct"/>
          </w:tcPr>
          <w:p w14:paraId="73D478FA" w14:textId="77777777" w:rsidR="00FD4A5A" w:rsidRPr="00974856" w:rsidRDefault="00FD4A5A"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t>Refers to the project/tasks/services that the Grantee is required to undertake.</w:t>
            </w:r>
          </w:p>
        </w:tc>
      </w:tr>
      <w:tr w:rsidR="002D7B75" w:rsidRPr="00654F9E" w14:paraId="73D478FE"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8FC" w14:textId="77777777" w:rsidR="002D7B75" w:rsidRPr="00974856" w:rsidRDefault="002D7B75" w:rsidP="00DB7E40">
            <w:pPr>
              <w:rPr>
                <w:rFonts w:asciiTheme="minorHAnsi" w:hAnsiTheme="minorHAnsi" w:cstheme="minorHAnsi"/>
                <w:b w:val="0"/>
                <w:lang w:eastAsia="en-AU"/>
              </w:rPr>
            </w:pPr>
            <w:r w:rsidRPr="00974856">
              <w:rPr>
                <w:rFonts w:asciiTheme="minorHAnsi" w:hAnsiTheme="minorHAnsi" w:cstheme="minorHAnsi"/>
                <w:b w:val="0"/>
              </w:rPr>
              <w:t>Grant Agreement</w:t>
            </w:r>
          </w:p>
        </w:tc>
        <w:tc>
          <w:tcPr>
            <w:tcW w:w="2980" w:type="pct"/>
          </w:tcPr>
          <w:p w14:paraId="73D478FD" w14:textId="77777777"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74856">
              <w:rPr>
                <w:rFonts w:asciiTheme="minorHAnsi" w:hAnsiTheme="minorHAnsi" w:cstheme="minorHAnsi"/>
              </w:rPr>
              <w:t>The agreement which sets out the relationship between the Commonwealth and the Grantee, and specifies the details of the grant and responsibilities in relation to the grant.</w:t>
            </w:r>
          </w:p>
        </w:tc>
      </w:tr>
      <w:tr w:rsidR="002D7B75" w:rsidRPr="00654F9E" w14:paraId="73D47901"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8FF" w14:textId="77777777" w:rsidR="002D7B75" w:rsidRPr="00974856" w:rsidRDefault="00192222" w:rsidP="00DB7E40">
            <w:pPr>
              <w:rPr>
                <w:rFonts w:asciiTheme="minorHAnsi" w:hAnsiTheme="minorHAnsi" w:cstheme="minorHAnsi"/>
                <w:b w:val="0"/>
              </w:rPr>
            </w:pPr>
            <w:hyperlink r:id="rId53" w:history="1">
              <w:proofErr w:type="spellStart"/>
              <w:r w:rsidR="002D7B75" w:rsidRPr="00974856">
                <w:rPr>
                  <w:rStyle w:val="Hyperlink"/>
                  <w:rFonts w:asciiTheme="minorHAnsi" w:hAnsiTheme="minorHAnsi" w:cstheme="minorHAnsi"/>
                  <w:b w:val="0"/>
                </w:rPr>
                <w:t>GrantConnect</w:t>
              </w:r>
              <w:proofErr w:type="spellEnd"/>
            </w:hyperlink>
          </w:p>
        </w:tc>
        <w:tc>
          <w:tcPr>
            <w:tcW w:w="2980" w:type="pct"/>
          </w:tcPr>
          <w:p w14:paraId="73D47900"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 xml:space="preserve">The Australian Government’s whole-of-government grants information system, which centralises the publication and reporting of Commonwealth grants in accordance with the </w:t>
            </w:r>
            <w:proofErr w:type="spellStart"/>
            <w:r w:rsidRPr="00974856">
              <w:rPr>
                <w:rFonts w:asciiTheme="minorHAnsi" w:hAnsiTheme="minorHAnsi" w:cstheme="minorHAnsi"/>
              </w:rPr>
              <w:t>CGRGs</w:t>
            </w:r>
            <w:proofErr w:type="spellEnd"/>
            <w:r w:rsidRPr="00974856">
              <w:rPr>
                <w:rFonts w:asciiTheme="minorHAnsi" w:hAnsiTheme="minorHAnsi" w:cstheme="minorHAnsi"/>
              </w:rPr>
              <w:t>.</w:t>
            </w:r>
          </w:p>
        </w:tc>
      </w:tr>
      <w:tr w:rsidR="002D7B75" w:rsidRPr="00654F9E" w14:paraId="73D47904"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902"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Grant Opportunity</w:t>
            </w:r>
          </w:p>
        </w:tc>
        <w:tc>
          <w:tcPr>
            <w:tcW w:w="2980" w:type="pct"/>
          </w:tcPr>
          <w:p w14:paraId="73D47903" w14:textId="77777777"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856">
              <w:rPr>
                <w:rFonts w:asciiTheme="minorHAnsi" w:hAnsiTheme="minorHAnsi" w:cstheme="minorHAnsi"/>
              </w:rPr>
              <w:t xml:space="preserve">The specific grant round or process where a Commonwealth grant is made available to potential applicants. Grant Opportunities may be open or targeted, and will reflect the relevant grant </w:t>
            </w:r>
            <w:r w:rsidRPr="008F6E3A">
              <w:rPr>
                <w:rFonts w:asciiTheme="minorHAnsi" w:hAnsiTheme="minorHAnsi" w:cstheme="minorHAnsi"/>
                <w:b/>
              </w:rPr>
              <w:t>Selection Process</w:t>
            </w:r>
            <w:r w:rsidRPr="00974856">
              <w:rPr>
                <w:rFonts w:asciiTheme="minorHAnsi" w:hAnsiTheme="minorHAnsi" w:cstheme="minorHAnsi"/>
              </w:rPr>
              <w:t>.</w:t>
            </w:r>
          </w:p>
        </w:tc>
      </w:tr>
      <w:tr w:rsidR="002D7B75" w:rsidRPr="00654F9E" w14:paraId="73D47907"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905"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Grant Program</w:t>
            </w:r>
          </w:p>
        </w:tc>
        <w:tc>
          <w:tcPr>
            <w:tcW w:w="2980" w:type="pct"/>
          </w:tcPr>
          <w:p w14:paraId="73D47906"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2D7B75" w:rsidRPr="00654F9E" w14:paraId="73D4790A"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908"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Grantee</w:t>
            </w:r>
          </w:p>
        </w:tc>
        <w:tc>
          <w:tcPr>
            <w:tcW w:w="2980" w:type="pct"/>
          </w:tcPr>
          <w:p w14:paraId="73D47909" w14:textId="77777777"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856">
              <w:rPr>
                <w:rFonts w:asciiTheme="minorHAnsi" w:hAnsiTheme="minorHAnsi" w:cstheme="minorHAnsi"/>
              </w:rPr>
              <w:t>The individual/organisation which has been selected to receive a grant.</w:t>
            </w:r>
          </w:p>
        </w:tc>
      </w:tr>
      <w:tr w:rsidR="002D7B75" w:rsidRPr="00654F9E" w14:paraId="73D4790D"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90B" w14:textId="77777777" w:rsidR="002D7B75" w:rsidRPr="00974856" w:rsidRDefault="002D7B75" w:rsidP="00DB7E40">
            <w:pPr>
              <w:rPr>
                <w:rFonts w:asciiTheme="minorHAnsi" w:hAnsiTheme="minorHAnsi" w:cstheme="minorHAnsi"/>
                <w:b w:val="0"/>
              </w:rPr>
            </w:pPr>
            <w:r>
              <w:rPr>
                <w:rFonts w:asciiTheme="minorHAnsi" w:hAnsiTheme="minorHAnsi" w:cstheme="minorHAnsi"/>
                <w:b w:val="0"/>
              </w:rPr>
              <w:t>GST</w:t>
            </w:r>
          </w:p>
        </w:tc>
        <w:tc>
          <w:tcPr>
            <w:tcW w:w="2980" w:type="pct"/>
          </w:tcPr>
          <w:p w14:paraId="73D4790C"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Goods and Service Tax</w:t>
            </w:r>
          </w:p>
        </w:tc>
      </w:tr>
      <w:tr w:rsidR="002D7B75" w:rsidRPr="00654F9E" w14:paraId="73D47910"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90E" w14:textId="77777777" w:rsidR="002D7B75" w:rsidRPr="00326409" w:rsidRDefault="002D7B75" w:rsidP="00DB7E40">
            <w:pPr>
              <w:rPr>
                <w:rFonts w:asciiTheme="minorHAnsi" w:hAnsiTheme="minorHAnsi" w:cstheme="minorHAnsi"/>
                <w:b w:val="0"/>
              </w:rPr>
            </w:pPr>
            <w:r w:rsidRPr="00326409">
              <w:rPr>
                <w:b w:val="0"/>
              </w:rPr>
              <w:t>Guidelines</w:t>
            </w:r>
          </w:p>
        </w:tc>
        <w:tc>
          <w:tcPr>
            <w:tcW w:w="2980" w:type="pct"/>
          </w:tcPr>
          <w:p w14:paraId="73D4790F" w14:textId="7DC63C37" w:rsidR="002D7B75" w:rsidRPr="00326409"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6409">
              <w:t xml:space="preserve">These Guidelines for Round 2 of </w:t>
            </w:r>
            <w:r w:rsidRPr="001D27C2">
              <w:t>the Peri</w:t>
            </w:r>
            <w:r w:rsidR="00941A65">
              <w:t>-</w:t>
            </w:r>
            <w:r w:rsidRPr="001D27C2">
              <w:t xml:space="preserve">Urban Mobile </w:t>
            </w:r>
            <w:r w:rsidRPr="000D6BF2">
              <w:t>P</w:t>
            </w:r>
            <w:r w:rsidRPr="00E10156">
              <w:t>rog</w:t>
            </w:r>
            <w:r w:rsidRPr="009B6072">
              <w:t>ram</w:t>
            </w:r>
            <w:r>
              <w:t>.</w:t>
            </w:r>
          </w:p>
        </w:tc>
      </w:tr>
      <w:tr w:rsidR="002D7B75" w:rsidRPr="00654F9E" w14:paraId="73D47916"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911"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lastRenderedPageBreak/>
              <w:t>Intellectual Property</w:t>
            </w:r>
          </w:p>
        </w:tc>
        <w:tc>
          <w:tcPr>
            <w:tcW w:w="2980" w:type="pct"/>
          </w:tcPr>
          <w:p w14:paraId="73D47912" w14:textId="77777777" w:rsidR="002D7B75" w:rsidRPr="00974856" w:rsidRDefault="002D7B75" w:rsidP="007F60C7">
            <w:pPr>
              <w:pStyle w:val="Tabletext"/>
              <w:spacing w:after="8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Includes:</w:t>
            </w:r>
          </w:p>
          <w:p w14:paraId="73D47913" w14:textId="3890F3D8" w:rsidR="002D7B75" w:rsidRPr="00974856" w:rsidRDefault="002D7B75" w:rsidP="00B0575A">
            <w:pPr>
              <w:pStyle w:val="Tabletext"/>
              <w:spacing w:after="80"/>
              <w:ind w:left="358" w:hanging="35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(a)</w:t>
            </w:r>
            <w:r w:rsidR="00B0575A">
              <w:rPr>
                <w:rFonts w:asciiTheme="minorHAnsi" w:hAnsiTheme="minorHAnsi" w:cstheme="minorHAnsi"/>
              </w:rPr>
              <w:tab/>
            </w:r>
            <w:r w:rsidRPr="00974856">
              <w:rPr>
                <w:rFonts w:asciiTheme="minorHAnsi" w:hAnsiTheme="minorHAnsi" w:cstheme="minorHAnsi"/>
              </w:rPr>
              <w:t>all copyright (including rights in relation to phonograms and broadcasts);</w:t>
            </w:r>
          </w:p>
          <w:p w14:paraId="73D47914" w14:textId="0FA04BD5" w:rsidR="002D7B75" w:rsidRPr="00974856" w:rsidRDefault="002D7B75" w:rsidP="00B0575A">
            <w:pPr>
              <w:pStyle w:val="Tabletext"/>
              <w:spacing w:after="80"/>
              <w:ind w:left="358" w:hanging="35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(b)</w:t>
            </w:r>
            <w:r w:rsidR="00B0575A">
              <w:rPr>
                <w:rFonts w:asciiTheme="minorHAnsi" w:hAnsiTheme="minorHAnsi" w:cstheme="minorHAnsi"/>
              </w:rPr>
              <w:tab/>
            </w:r>
            <w:r w:rsidRPr="00974856">
              <w:rPr>
                <w:rFonts w:asciiTheme="minorHAnsi" w:hAnsiTheme="minorHAnsi" w:cstheme="minorHAnsi"/>
              </w:rPr>
              <w:t>all rights in relation to inventions, plant varieties, trademarks (including service marks), designs, circuit layouts; and</w:t>
            </w:r>
          </w:p>
          <w:p w14:paraId="73D47915" w14:textId="6F6CA7DC" w:rsidR="002D7B75" w:rsidRPr="00974856" w:rsidRDefault="002D7B75" w:rsidP="00B0575A">
            <w:pPr>
              <w:ind w:left="358" w:hanging="35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(c)</w:t>
            </w:r>
            <w:r w:rsidR="00B0575A">
              <w:rPr>
                <w:rFonts w:asciiTheme="minorHAnsi" w:hAnsiTheme="minorHAnsi" w:cstheme="minorHAnsi"/>
              </w:rPr>
              <w:tab/>
            </w:r>
            <w:r w:rsidRPr="00974856">
              <w:rPr>
                <w:rFonts w:asciiTheme="minorHAnsi" w:hAnsiTheme="minorHAnsi" w:cstheme="minorHAnsi"/>
              </w:rPr>
              <w:t>all other rights resulting from intellectual activity in the industrial, scientific, literary or artistic fields.</w:t>
            </w:r>
          </w:p>
        </w:tc>
      </w:tr>
      <w:tr w:rsidR="002D7B75" w:rsidRPr="00654F9E" w14:paraId="73D47919"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917"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Lead Applicant</w:t>
            </w:r>
          </w:p>
        </w:tc>
        <w:tc>
          <w:tcPr>
            <w:tcW w:w="2980" w:type="pct"/>
          </w:tcPr>
          <w:p w14:paraId="73D47918" w14:textId="77777777"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856">
              <w:rPr>
                <w:rFonts w:asciiTheme="minorHAnsi" w:hAnsiTheme="minorHAnsi" w:cstheme="minorHAnsi"/>
              </w:rPr>
              <w:t>The responsible entity for application, funding and reporting purposes.</w:t>
            </w:r>
          </w:p>
        </w:tc>
      </w:tr>
      <w:tr w:rsidR="002D7B75" w:rsidRPr="00654F9E" w14:paraId="73D4791C"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91A" w14:textId="77777777" w:rsidR="002D7B75" w:rsidRPr="00974856" w:rsidRDefault="002D7B75" w:rsidP="00DB7E40">
            <w:pPr>
              <w:rPr>
                <w:rFonts w:asciiTheme="minorHAnsi" w:hAnsiTheme="minorHAnsi" w:cstheme="minorHAnsi"/>
                <w:b w:val="0"/>
              </w:rPr>
            </w:pPr>
            <w:proofErr w:type="spellStart"/>
            <w:r w:rsidRPr="00974856">
              <w:rPr>
                <w:rFonts w:asciiTheme="minorHAnsi" w:hAnsiTheme="minorHAnsi" w:cstheme="minorHAnsi"/>
                <w:b w:val="0"/>
              </w:rPr>
              <w:t>Macrocell</w:t>
            </w:r>
            <w:proofErr w:type="spellEnd"/>
          </w:p>
        </w:tc>
        <w:tc>
          <w:tcPr>
            <w:tcW w:w="2980" w:type="pct"/>
          </w:tcPr>
          <w:p w14:paraId="73D4791B"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 xml:space="preserve">The widest range of cell sizes used in a mobile phone network served by a mobile base station, often used in rural areas and along highways. </w:t>
            </w:r>
            <w:proofErr w:type="spellStart"/>
            <w:r w:rsidRPr="00974856">
              <w:rPr>
                <w:rFonts w:asciiTheme="minorHAnsi" w:hAnsiTheme="minorHAnsi" w:cstheme="minorHAnsi"/>
              </w:rPr>
              <w:t>Macrocells</w:t>
            </w:r>
            <w:proofErr w:type="spellEnd"/>
            <w:r w:rsidRPr="00974856">
              <w:rPr>
                <w:rFonts w:asciiTheme="minorHAnsi" w:hAnsiTheme="minorHAnsi" w:cstheme="minorHAnsi"/>
              </w:rPr>
              <w:t xml:space="preserve"> generally provide larger coverage than small cell base stations or microcells, with a typical power output of tens of watts.</w:t>
            </w:r>
          </w:p>
        </w:tc>
      </w:tr>
      <w:tr w:rsidR="002D7B75" w:rsidRPr="00654F9E" w14:paraId="73D4791F"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91D" w14:textId="77777777" w:rsidR="002D7B75" w:rsidRPr="00B94720" w:rsidRDefault="002D7B75" w:rsidP="00DB7E40">
            <w:pPr>
              <w:rPr>
                <w:rFonts w:asciiTheme="minorHAnsi" w:hAnsiTheme="minorHAnsi" w:cstheme="minorHAnsi"/>
                <w:b w:val="0"/>
              </w:rPr>
            </w:pPr>
            <w:r w:rsidRPr="00B94720">
              <w:rPr>
                <w:rFonts w:asciiTheme="minorHAnsi" w:hAnsiTheme="minorHAnsi" w:cstheme="minorHAnsi"/>
                <w:b w:val="0"/>
              </w:rPr>
              <w:t>Material Coverage Improvement</w:t>
            </w:r>
          </w:p>
        </w:tc>
        <w:tc>
          <w:tcPr>
            <w:tcW w:w="2980" w:type="pct"/>
          </w:tcPr>
          <w:p w14:paraId="73D4791E" w14:textId="6A97DBC7" w:rsidR="002D7B75" w:rsidRPr="00974856" w:rsidRDefault="00474FAE"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eastAsia="Calibri"/>
              </w:rPr>
              <w:t>The</w:t>
            </w:r>
            <w:r w:rsidRPr="00165184">
              <w:rPr>
                <w:rFonts w:eastAsia="Calibri"/>
              </w:rPr>
              <w:t xml:space="preserve"> improvement to the quality of service</w:t>
            </w:r>
            <w:r>
              <w:rPr>
                <w:rFonts w:eastAsia="Calibri"/>
              </w:rPr>
              <w:t xml:space="preserve"> that can be obtained with a handheld mobile device in areas that already receive Existing Handheld Coverage in the applicant’s </w:t>
            </w:r>
            <w:r w:rsidRPr="00D3278E">
              <w:rPr>
                <w:rFonts w:eastAsia="Calibri"/>
              </w:rPr>
              <w:t>network</w:t>
            </w:r>
            <w:r w:rsidRPr="009D61F9">
              <w:rPr>
                <w:rFonts w:asciiTheme="minorHAnsi" w:hAnsiTheme="minorHAnsi" w:cstheme="minorHAnsi"/>
              </w:rPr>
              <w:t>.</w:t>
            </w:r>
          </w:p>
        </w:tc>
      </w:tr>
      <w:tr w:rsidR="002D7B75" w:rsidRPr="00654F9E" w14:paraId="73D47922"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920" w14:textId="1E46B516" w:rsidR="002D7B75" w:rsidRPr="00B94720" w:rsidRDefault="002D7B75" w:rsidP="00DB7E40">
            <w:pPr>
              <w:rPr>
                <w:rFonts w:asciiTheme="minorHAnsi" w:hAnsiTheme="minorHAnsi" w:cstheme="minorHAnsi"/>
                <w:b w:val="0"/>
              </w:rPr>
            </w:pPr>
            <w:proofErr w:type="spellStart"/>
            <w:r w:rsidRPr="00B94720">
              <w:rPr>
                <w:rFonts w:asciiTheme="minorHAnsi" w:hAnsiTheme="minorHAnsi" w:cstheme="minorHAnsi"/>
                <w:b w:val="0"/>
              </w:rPr>
              <w:t>MNIP</w:t>
            </w:r>
            <w:proofErr w:type="spellEnd"/>
          </w:p>
        </w:tc>
        <w:tc>
          <w:tcPr>
            <w:tcW w:w="2980" w:type="pct"/>
          </w:tcPr>
          <w:p w14:paraId="73D47921" w14:textId="6510A94D" w:rsidR="002D7B75" w:rsidRPr="00974856" w:rsidRDefault="00FD4A5A"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t xml:space="preserve">Mobile Network Infrastructure Provider </w:t>
            </w:r>
            <w:r w:rsidR="00941A65">
              <w:t>(</w:t>
            </w:r>
            <w:r>
              <w:t>as described in section 4.1.</w:t>
            </w:r>
            <w:r w:rsidR="00AB27B5">
              <w:t>3</w:t>
            </w:r>
            <w:r>
              <w:t>)</w:t>
            </w:r>
            <w:r w:rsidR="002D7B75" w:rsidRPr="00974856">
              <w:rPr>
                <w:rFonts w:asciiTheme="minorHAnsi" w:hAnsiTheme="minorHAnsi" w:cstheme="minorHAnsi"/>
              </w:rPr>
              <w:t>.</w:t>
            </w:r>
          </w:p>
        </w:tc>
      </w:tr>
      <w:tr w:rsidR="002D7B75" w:rsidRPr="00654F9E" w14:paraId="73D47925"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923" w14:textId="2282E550" w:rsidR="002D7B75" w:rsidRPr="004F7FED" w:rsidRDefault="002D7B75" w:rsidP="00DB7E40">
            <w:pPr>
              <w:rPr>
                <w:rFonts w:asciiTheme="minorHAnsi" w:hAnsiTheme="minorHAnsi" w:cstheme="minorHAnsi"/>
                <w:b w:val="0"/>
              </w:rPr>
            </w:pPr>
            <w:r w:rsidRPr="004F7FED">
              <w:rPr>
                <w:rFonts w:asciiTheme="minorHAnsi" w:hAnsiTheme="minorHAnsi" w:cstheme="minorHAnsi"/>
                <w:b w:val="0"/>
              </w:rPr>
              <w:t>MNO</w:t>
            </w:r>
          </w:p>
        </w:tc>
        <w:tc>
          <w:tcPr>
            <w:tcW w:w="2980" w:type="pct"/>
          </w:tcPr>
          <w:p w14:paraId="73D47924" w14:textId="53A765F8" w:rsidR="002D7B75" w:rsidRPr="00974856" w:rsidRDefault="00DB7E40"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Mobile Network Operator (as described in section 4.1.</w:t>
            </w:r>
            <w:r w:rsidR="00941A65">
              <w:rPr>
                <w:rFonts w:asciiTheme="minorHAnsi" w:hAnsiTheme="minorHAnsi" w:cstheme="minorHAnsi"/>
              </w:rPr>
              <w:t>2).</w:t>
            </w:r>
          </w:p>
        </w:tc>
      </w:tr>
      <w:tr w:rsidR="002D7B75" w:rsidRPr="00654F9E" w14:paraId="73D47929" w14:textId="77777777" w:rsidTr="005A463E">
        <w:trPr>
          <w:cnfStyle w:val="000000010000" w:firstRow="0" w:lastRow="0" w:firstColumn="0" w:lastColumn="0" w:oddVBand="0" w:evenVBand="0" w:oddHBand="0" w:evenHBand="1" w:firstRowFirstColumn="0" w:firstRowLastColumn="0" w:lastRowFirstColumn="0" w:lastRowLastColumn="0"/>
          <w:cantSplit/>
          <w:trHeight w:val="1547"/>
        </w:trPr>
        <w:tc>
          <w:tcPr>
            <w:cnfStyle w:val="001000000000" w:firstRow="0" w:lastRow="0" w:firstColumn="1" w:lastColumn="0" w:oddVBand="0" w:evenVBand="0" w:oddHBand="0" w:evenHBand="0" w:firstRowFirstColumn="0" w:firstRowLastColumn="0" w:lastRowFirstColumn="0" w:lastRowLastColumn="0"/>
            <w:tcW w:w="2020" w:type="pct"/>
          </w:tcPr>
          <w:p w14:paraId="73D47926" w14:textId="77777777" w:rsidR="002D7B75" w:rsidRPr="002D68C3" w:rsidRDefault="002D7B75" w:rsidP="00DB7E40">
            <w:pPr>
              <w:rPr>
                <w:rFonts w:asciiTheme="minorHAnsi" w:hAnsiTheme="minorHAnsi" w:cstheme="minorHAnsi"/>
                <w:b w:val="0"/>
              </w:rPr>
            </w:pPr>
            <w:r w:rsidRPr="002D68C3">
              <w:rPr>
                <w:rFonts w:cs="Arial"/>
                <w:b w:val="0"/>
              </w:rPr>
              <w:t>Natural Disaster</w:t>
            </w:r>
          </w:p>
        </w:tc>
        <w:tc>
          <w:tcPr>
            <w:tcW w:w="2980" w:type="pct"/>
          </w:tcPr>
          <w:p w14:paraId="73D47928" w14:textId="216F9EA5" w:rsidR="002D7B75" w:rsidRPr="00DB7E40" w:rsidRDefault="002D7B75" w:rsidP="007F60C7">
            <w:pPr>
              <w:cnfStyle w:val="000000010000" w:firstRow="0" w:lastRow="0" w:firstColumn="0" w:lastColumn="0" w:oddVBand="0" w:evenVBand="0" w:oddHBand="0" w:evenHBand="1" w:firstRowFirstColumn="0" w:firstRowLastColumn="0" w:lastRowFirstColumn="0" w:lastRowLastColumn="0"/>
            </w:pPr>
            <w:r>
              <w:t xml:space="preserve">A serious disruption of the functioning of a community or a society at any scale due to hazardous events interacting with conditions of exposure, vulnerability and capacity, leading to one or more of the following: human, material, economic or environmental losses and impacts (National Disaster Risk Reduction Framework). As predicated by a </w:t>
            </w:r>
            <w:r w:rsidRPr="00560CE6">
              <w:rPr>
                <w:b/>
              </w:rPr>
              <w:t>Natural Hazard</w:t>
            </w:r>
            <w:r>
              <w:t>.</w:t>
            </w:r>
          </w:p>
        </w:tc>
      </w:tr>
      <w:tr w:rsidR="00F62930" w:rsidRPr="00654F9E" w14:paraId="73D4792C"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92A" w14:textId="77777777" w:rsidR="00F62930" w:rsidRPr="002D68C3" w:rsidRDefault="00F62930" w:rsidP="00DB7E40">
            <w:pPr>
              <w:rPr>
                <w:rFonts w:asciiTheme="minorHAnsi" w:hAnsiTheme="minorHAnsi" w:cstheme="minorHAnsi"/>
                <w:b w:val="0"/>
              </w:rPr>
            </w:pPr>
            <w:r w:rsidRPr="002D68C3">
              <w:rPr>
                <w:rFonts w:cs="Arial"/>
                <w:b w:val="0"/>
              </w:rPr>
              <w:t>Natural Hazard</w:t>
            </w:r>
          </w:p>
        </w:tc>
        <w:tc>
          <w:tcPr>
            <w:tcW w:w="2980" w:type="pct"/>
          </w:tcPr>
          <w:p w14:paraId="73D4792B" w14:textId="77777777" w:rsidR="00F62930" w:rsidRPr="00974856" w:rsidRDefault="00F62930"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A natural process or phenomenon that may cause loss of life, injury or other health impacts, property damage, social and economic disruption or environmental degradation. For example: geological hazards, such as (but not limited to) landslides and earthquakes; and extreme weather, and climate-driven hazards, such as (but not limited to) east coast lows, floods, bushfires and cyclones.</w:t>
            </w:r>
          </w:p>
        </w:tc>
      </w:tr>
      <w:tr w:rsidR="002D7B75" w:rsidRPr="00654F9E" w14:paraId="73D47932"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930" w14:textId="77777777" w:rsidR="002D7B75" w:rsidRPr="00B94720" w:rsidRDefault="002D7B75" w:rsidP="00DB7E40">
            <w:pPr>
              <w:rPr>
                <w:rFonts w:asciiTheme="minorHAnsi" w:hAnsiTheme="minorHAnsi" w:cstheme="minorHAnsi"/>
                <w:b w:val="0"/>
              </w:rPr>
            </w:pPr>
            <w:r w:rsidRPr="00B94720">
              <w:rPr>
                <w:rFonts w:asciiTheme="minorHAnsi" w:hAnsiTheme="minorHAnsi" w:cstheme="minorHAnsi"/>
                <w:b w:val="0"/>
              </w:rPr>
              <w:t>New Improved Handheld Coverage</w:t>
            </w:r>
          </w:p>
        </w:tc>
        <w:tc>
          <w:tcPr>
            <w:tcW w:w="2980" w:type="pct"/>
          </w:tcPr>
          <w:p w14:paraId="73D47931" w14:textId="77777777" w:rsidR="002D7B75" w:rsidRPr="00974856" w:rsidRDefault="002D7B75" w:rsidP="009D61F9">
            <w:pPr>
              <w:pStyle w:val="CommentText"/>
              <w:spacing w:after="8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 xml:space="preserve">Coverage from a </w:t>
            </w:r>
            <w:r w:rsidR="00B16950">
              <w:rPr>
                <w:rFonts w:asciiTheme="minorHAnsi" w:hAnsiTheme="minorHAnsi" w:cstheme="minorHAnsi"/>
              </w:rPr>
              <w:t>Proposed</w:t>
            </w:r>
            <w:r w:rsidRPr="00974856">
              <w:rPr>
                <w:rFonts w:asciiTheme="minorHAnsi" w:hAnsiTheme="minorHAnsi" w:cstheme="minorHAnsi"/>
              </w:rPr>
              <w:t xml:space="preserve"> Solution that will be able to be obtained with a handheld mobile device in areas that do not receive Existing Handheld Coverage in the applicant’s network at the signal levels specified in section 4.2.</w:t>
            </w:r>
            <w:r w:rsidR="00C177FE">
              <w:rPr>
                <w:rFonts w:asciiTheme="minorHAnsi" w:hAnsiTheme="minorHAnsi" w:cstheme="minorHAnsi"/>
              </w:rPr>
              <w:t>3</w:t>
            </w:r>
            <w:r w:rsidRPr="00974856">
              <w:rPr>
                <w:rFonts w:asciiTheme="minorHAnsi" w:hAnsiTheme="minorHAnsi" w:cstheme="minorHAnsi"/>
              </w:rPr>
              <w:t>.</w:t>
            </w:r>
          </w:p>
        </w:tc>
      </w:tr>
      <w:tr w:rsidR="002D7B75" w:rsidRPr="00654F9E" w14:paraId="73D47938"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936" w14:textId="77777777" w:rsidR="002D7B75" w:rsidRPr="00974856" w:rsidRDefault="002D7B75" w:rsidP="00DB7E40">
            <w:pPr>
              <w:rPr>
                <w:rFonts w:asciiTheme="minorHAnsi" w:hAnsiTheme="minorHAnsi" w:cstheme="minorHAnsi"/>
                <w:b w:val="0"/>
                <w:highlight w:val="yellow"/>
              </w:rPr>
            </w:pPr>
            <w:r w:rsidRPr="00974856">
              <w:rPr>
                <w:rFonts w:asciiTheme="minorHAnsi" w:hAnsiTheme="minorHAnsi" w:cstheme="minorHAnsi"/>
                <w:b w:val="0"/>
              </w:rPr>
              <w:t>Operational Period</w:t>
            </w:r>
          </w:p>
        </w:tc>
        <w:tc>
          <w:tcPr>
            <w:tcW w:w="2980" w:type="pct"/>
          </w:tcPr>
          <w:p w14:paraId="73D47937" w14:textId="77777777"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856">
              <w:rPr>
                <w:rFonts w:asciiTheme="minorHAnsi" w:hAnsiTheme="minorHAnsi" w:cstheme="minorHAnsi"/>
              </w:rPr>
              <w:t>The length of time that an asset is required to provide services for which it was funded under the Program</w:t>
            </w:r>
            <w:r w:rsidR="00E166D4">
              <w:rPr>
                <w:rFonts w:asciiTheme="minorHAnsi" w:hAnsiTheme="minorHAnsi" w:cstheme="minorHAnsi"/>
              </w:rPr>
              <w:t xml:space="preserve">, </w:t>
            </w:r>
            <w:r w:rsidR="00FD4A5A">
              <w:rPr>
                <w:rFonts w:asciiTheme="minorHAnsi" w:hAnsiTheme="minorHAnsi" w:cstheme="minorHAnsi"/>
              </w:rPr>
              <w:t>specified</w:t>
            </w:r>
            <w:r w:rsidR="00E166D4">
              <w:rPr>
                <w:rFonts w:asciiTheme="minorHAnsi" w:hAnsiTheme="minorHAnsi" w:cstheme="minorHAnsi"/>
              </w:rPr>
              <w:t xml:space="preserve"> in section 3.5.2</w:t>
            </w:r>
            <w:r w:rsidRPr="00974856">
              <w:rPr>
                <w:rFonts w:asciiTheme="minorHAnsi" w:hAnsiTheme="minorHAnsi" w:cstheme="minorHAnsi"/>
              </w:rPr>
              <w:t>.</w:t>
            </w:r>
          </w:p>
        </w:tc>
      </w:tr>
      <w:tr w:rsidR="002D7B75" w:rsidRPr="00654F9E" w14:paraId="73D4793B"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939"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Previous Grant Agreement</w:t>
            </w:r>
          </w:p>
        </w:tc>
        <w:tc>
          <w:tcPr>
            <w:tcW w:w="2980" w:type="pct"/>
          </w:tcPr>
          <w:p w14:paraId="73D4793A"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 xml:space="preserve">Has the meaning given in </w:t>
            </w:r>
            <w:proofErr w:type="gramStart"/>
            <w:r w:rsidRPr="00974856">
              <w:rPr>
                <w:rFonts w:asciiTheme="minorHAnsi" w:hAnsiTheme="minorHAnsi" w:cstheme="minorHAnsi"/>
              </w:rPr>
              <w:t>section 7.</w:t>
            </w:r>
            <w:r w:rsidR="00FD4A5A">
              <w:rPr>
                <w:rFonts w:asciiTheme="minorHAnsi" w:hAnsiTheme="minorHAnsi" w:cstheme="minorHAnsi"/>
              </w:rPr>
              <w:t>4.6</w:t>
            </w:r>
            <w:r w:rsidRPr="00974856">
              <w:rPr>
                <w:rFonts w:asciiTheme="minorHAnsi" w:hAnsiTheme="minorHAnsi" w:cstheme="minorHAnsi"/>
              </w:rPr>
              <w:t>.</w:t>
            </w:r>
            <w:proofErr w:type="gramEnd"/>
          </w:p>
        </w:tc>
      </w:tr>
      <w:tr w:rsidR="002D7B75" w:rsidRPr="00654F9E" w14:paraId="73D4793E"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93C"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Program</w:t>
            </w:r>
          </w:p>
        </w:tc>
        <w:tc>
          <w:tcPr>
            <w:tcW w:w="2980" w:type="pct"/>
          </w:tcPr>
          <w:p w14:paraId="73D4793D" w14:textId="77777777"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856">
              <w:rPr>
                <w:rFonts w:asciiTheme="minorHAnsi" w:hAnsiTheme="minorHAnsi" w:cstheme="minorHAnsi"/>
              </w:rPr>
              <w:t xml:space="preserve">The </w:t>
            </w:r>
            <w:r>
              <w:rPr>
                <w:rFonts w:asciiTheme="minorHAnsi" w:hAnsiTheme="minorHAnsi" w:cstheme="minorHAnsi"/>
              </w:rPr>
              <w:t>Peri-Urban Mobile Program Round 2.</w:t>
            </w:r>
          </w:p>
        </w:tc>
      </w:tr>
      <w:tr w:rsidR="002D7B75" w:rsidRPr="00654F9E" w14:paraId="73D47941"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93F"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Proposed Solution</w:t>
            </w:r>
          </w:p>
        </w:tc>
        <w:tc>
          <w:tcPr>
            <w:tcW w:w="2980" w:type="pct"/>
          </w:tcPr>
          <w:p w14:paraId="73D47940"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Infrastructure for which an applicant has sought funding under the Program.</w:t>
            </w:r>
          </w:p>
        </w:tc>
      </w:tr>
      <w:tr w:rsidR="002D7B75" w:rsidRPr="00654F9E" w14:paraId="73D47944"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942"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Quality of Service</w:t>
            </w:r>
          </w:p>
        </w:tc>
        <w:tc>
          <w:tcPr>
            <w:tcW w:w="2980" w:type="pct"/>
          </w:tcPr>
          <w:p w14:paraId="73D47943" w14:textId="77777777"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856">
              <w:rPr>
                <w:rFonts w:asciiTheme="minorHAnsi" w:hAnsiTheme="minorHAnsi" w:cstheme="minorHAnsi"/>
              </w:rPr>
              <w:t>In mobile telecommunications, the description or measurement of the overall performance of a service, particularly the performance seen by the users of the network.</w:t>
            </w:r>
          </w:p>
        </w:tc>
      </w:tr>
      <w:tr w:rsidR="002D7B75" w:rsidRPr="00654F9E" w14:paraId="73D47947"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945"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Reference Signal Received Power (</w:t>
            </w:r>
            <w:proofErr w:type="spellStart"/>
            <w:r w:rsidRPr="00974856">
              <w:rPr>
                <w:rFonts w:asciiTheme="minorHAnsi" w:hAnsiTheme="minorHAnsi" w:cstheme="minorHAnsi"/>
                <w:b w:val="0"/>
              </w:rPr>
              <w:t>RSRP</w:t>
            </w:r>
            <w:proofErr w:type="spellEnd"/>
            <w:r w:rsidRPr="00974856">
              <w:rPr>
                <w:rFonts w:asciiTheme="minorHAnsi" w:hAnsiTheme="minorHAnsi" w:cstheme="minorHAnsi"/>
                <w:b w:val="0"/>
              </w:rPr>
              <w:t>)</w:t>
            </w:r>
          </w:p>
        </w:tc>
        <w:tc>
          <w:tcPr>
            <w:tcW w:w="2980" w:type="pct"/>
          </w:tcPr>
          <w:p w14:paraId="73D47946" w14:textId="4629B194" w:rsidR="002D7B75" w:rsidRPr="00974856" w:rsidRDefault="002D7B75" w:rsidP="00DB7E4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The received signal power in a</w:t>
            </w:r>
            <w:r w:rsidR="00C202F1">
              <w:rPr>
                <w:rFonts w:asciiTheme="minorHAnsi" w:hAnsiTheme="minorHAnsi" w:cstheme="minorHAnsi"/>
              </w:rPr>
              <w:t xml:space="preserve"> 4G or 5G </w:t>
            </w:r>
            <w:r w:rsidRPr="00974856">
              <w:rPr>
                <w:rFonts w:asciiTheme="minorHAnsi" w:hAnsiTheme="minorHAnsi" w:cstheme="minorHAnsi"/>
              </w:rPr>
              <w:t xml:space="preserve">network measured in decibels per milliwatt (dBm). </w:t>
            </w:r>
          </w:p>
        </w:tc>
      </w:tr>
      <w:tr w:rsidR="00202760" w:rsidRPr="00654F9E" w14:paraId="73D4794D"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948" w14:textId="77777777" w:rsidR="00202760" w:rsidRPr="00974856" w:rsidRDefault="00202760" w:rsidP="00DB7E40">
            <w:pPr>
              <w:rPr>
                <w:rFonts w:asciiTheme="minorHAnsi" w:hAnsiTheme="minorHAnsi" w:cstheme="minorHAnsi"/>
                <w:b w:val="0"/>
              </w:rPr>
            </w:pPr>
            <w:r>
              <w:rPr>
                <w:rFonts w:asciiTheme="minorHAnsi" w:hAnsiTheme="minorHAnsi" w:cstheme="minorHAnsi"/>
                <w:b w:val="0"/>
              </w:rPr>
              <w:lastRenderedPageBreak/>
              <w:t>Non-National Mobile Network Operator</w:t>
            </w:r>
          </w:p>
        </w:tc>
        <w:tc>
          <w:tcPr>
            <w:tcW w:w="2980" w:type="pct"/>
          </w:tcPr>
          <w:p w14:paraId="73D47949" w14:textId="77777777" w:rsidR="00202760" w:rsidRPr="00202760" w:rsidRDefault="00202760" w:rsidP="001F3A3E">
            <w:pPr>
              <w:cnfStyle w:val="000000000000" w:firstRow="0" w:lastRow="0" w:firstColumn="0" w:lastColumn="0" w:oddVBand="0" w:evenVBand="0" w:oddHBand="0" w:evenHBand="0" w:firstRowFirstColumn="0" w:firstRowLastColumn="0" w:lastRowFirstColumn="0" w:lastRowLastColumn="0"/>
              <w:rPr>
                <w:rFonts w:cstheme="minorHAnsi"/>
              </w:rPr>
            </w:pPr>
            <w:r w:rsidRPr="002D68C3">
              <w:t>For th</w:t>
            </w:r>
            <w:r w:rsidRPr="00007834">
              <w:t xml:space="preserve">e </w:t>
            </w:r>
            <w:r w:rsidRPr="00202760">
              <w:rPr>
                <w:rFonts w:cstheme="minorHAnsi"/>
              </w:rPr>
              <w:t>purposes of the Program, a</w:t>
            </w:r>
            <w:r>
              <w:rPr>
                <w:rFonts w:cstheme="minorHAnsi"/>
              </w:rPr>
              <w:t xml:space="preserve"> Non-National</w:t>
            </w:r>
            <w:r w:rsidRPr="00202760">
              <w:rPr>
                <w:rFonts w:cstheme="minorHAnsi"/>
              </w:rPr>
              <w:t xml:space="preserve"> </w:t>
            </w:r>
            <w:r w:rsidRPr="00187328">
              <w:rPr>
                <w:rFonts w:cstheme="minorHAnsi"/>
                <w:szCs w:val="22"/>
              </w:rPr>
              <w:t xml:space="preserve">MNO </w:t>
            </w:r>
            <w:r w:rsidRPr="00202760">
              <w:rPr>
                <w:rFonts w:cstheme="minorHAnsi"/>
              </w:rPr>
              <w:t>means a company that:</w:t>
            </w:r>
          </w:p>
          <w:p w14:paraId="73D4794A" w14:textId="77777777" w:rsidR="00202760" w:rsidRDefault="00202760" w:rsidP="00B0575A">
            <w:pPr>
              <w:pStyle w:val="ListBullet"/>
              <w:spacing w:line="240" w:lineRule="auto"/>
              <w:ind w:left="642"/>
              <w:cnfStyle w:val="000000000000" w:firstRow="0" w:lastRow="0" w:firstColumn="0" w:lastColumn="0" w:oddVBand="0" w:evenVBand="0" w:oddHBand="0" w:evenHBand="0" w:firstRowFirstColumn="0" w:firstRowLastColumn="0" w:lastRowFirstColumn="0" w:lastRowLastColumn="0"/>
            </w:pPr>
            <w:r w:rsidRPr="00D90B2A">
              <w:rPr>
                <w:rFonts w:eastAsia="Calibri" w:cs="Arial"/>
              </w:rPr>
              <w:t>Supplies</w:t>
            </w:r>
            <w:r w:rsidRPr="00D90B2A">
              <w:t xml:space="preserve"> a public mobile telecommunications service within the meaning of the </w:t>
            </w:r>
            <w:r w:rsidRPr="00D90B2A">
              <w:rPr>
                <w:i/>
              </w:rPr>
              <w:t xml:space="preserve">Telecommunications Act 1997 </w:t>
            </w:r>
            <w:r w:rsidRPr="00D90B2A">
              <w:t>(</w:t>
            </w:r>
            <w:proofErr w:type="spellStart"/>
            <w:r w:rsidRPr="00D90B2A">
              <w:t>Cth</w:t>
            </w:r>
            <w:proofErr w:type="spellEnd"/>
            <w:r w:rsidRPr="00D90B2A">
              <w:t>);</w:t>
            </w:r>
            <w:r>
              <w:t xml:space="preserve"> </w:t>
            </w:r>
          </w:p>
          <w:p w14:paraId="73D4794B" w14:textId="77777777" w:rsidR="00202760" w:rsidRDefault="00202760" w:rsidP="00B0575A">
            <w:pPr>
              <w:pStyle w:val="ListBullet"/>
              <w:spacing w:line="240" w:lineRule="auto"/>
              <w:ind w:left="642"/>
              <w:cnfStyle w:val="000000000000" w:firstRow="0" w:lastRow="0" w:firstColumn="0" w:lastColumn="0" w:oddVBand="0" w:evenVBand="0" w:oddHBand="0" w:evenHBand="0" w:firstRowFirstColumn="0" w:firstRowLastColumn="0" w:lastRowFirstColumn="0" w:lastRowLastColumn="0"/>
            </w:pPr>
            <w:r w:rsidRPr="00202760">
              <w:t xml:space="preserve">Holds an apparatus or a spectrum licence (or both) for the supply of public mobile </w:t>
            </w:r>
            <w:r w:rsidRPr="00202760">
              <w:rPr>
                <w:rFonts w:eastAsia="Calibri" w:cs="Arial"/>
              </w:rPr>
              <w:t>telecommunications</w:t>
            </w:r>
            <w:r w:rsidRPr="00202760">
              <w:t xml:space="preserve"> services under the </w:t>
            </w:r>
            <w:r w:rsidRPr="00202760">
              <w:rPr>
                <w:i/>
              </w:rPr>
              <w:t xml:space="preserve">Radiocommunications Act 1992 </w:t>
            </w:r>
            <w:r w:rsidRPr="00202760">
              <w:t>(</w:t>
            </w:r>
            <w:proofErr w:type="spellStart"/>
            <w:r w:rsidRPr="00202760">
              <w:t>Cth</w:t>
            </w:r>
            <w:proofErr w:type="spellEnd"/>
            <w:r w:rsidRPr="00202760">
              <w:t>);</w:t>
            </w:r>
            <w:r>
              <w:t xml:space="preserve"> and </w:t>
            </w:r>
          </w:p>
          <w:p w14:paraId="73D4794C" w14:textId="77777777" w:rsidR="00202760" w:rsidRPr="00202760" w:rsidRDefault="00202760" w:rsidP="00B0575A">
            <w:pPr>
              <w:pStyle w:val="ListBullet"/>
              <w:spacing w:line="240" w:lineRule="auto"/>
              <w:ind w:left="642"/>
              <w:cnfStyle w:val="000000000000" w:firstRow="0" w:lastRow="0" w:firstColumn="0" w:lastColumn="0" w:oddVBand="0" w:evenVBand="0" w:oddHBand="0" w:evenHBand="0" w:firstRowFirstColumn="0" w:firstRowLastColumn="0" w:lastRowFirstColumn="0" w:lastRowLastColumn="0"/>
            </w:pPr>
            <w:r>
              <w:t>operates a mobile network that provides mobile coverage to less than 80% of the Australian population.</w:t>
            </w:r>
          </w:p>
        </w:tc>
      </w:tr>
      <w:tr w:rsidR="002D7B75" w:rsidRPr="00654F9E" w14:paraId="73D47950"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94E"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Selection Process</w:t>
            </w:r>
          </w:p>
        </w:tc>
        <w:tc>
          <w:tcPr>
            <w:tcW w:w="2980" w:type="pct"/>
          </w:tcPr>
          <w:p w14:paraId="73D4794F" w14:textId="77777777" w:rsidR="002D7B75" w:rsidRPr="00974856" w:rsidRDefault="002D7B75" w:rsidP="001F3A3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74856">
              <w:rPr>
                <w:rFonts w:asciiTheme="minorHAnsi" w:hAnsiTheme="minorHAnsi" w:cstheme="minorHAnsi"/>
              </w:rPr>
              <w:t>The method used to select potential grantees. This process may involve comparative assessment of applications or the assessment of applications against the Eligibility Criteria and/or the Assessment Criteria.</w:t>
            </w:r>
            <w:r>
              <w:rPr>
                <w:rFonts w:asciiTheme="minorHAnsi" w:hAnsiTheme="minorHAnsi" w:cstheme="minorHAnsi"/>
              </w:rPr>
              <w:t xml:space="preserve"> </w:t>
            </w:r>
            <w:r>
              <w:t xml:space="preserve">Has the meaning </w:t>
            </w:r>
            <w:r w:rsidRPr="00C042BB">
              <w:t xml:space="preserve">described at section 8 of these </w:t>
            </w:r>
            <w:proofErr w:type="gramStart"/>
            <w:r w:rsidRPr="00C042BB">
              <w:t>Guidelines</w:t>
            </w:r>
            <w:r>
              <w:t>.</w:t>
            </w:r>
            <w:proofErr w:type="gramEnd"/>
          </w:p>
        </w:tc>
      </w:tr>
      <w:tr w:rsidR="002D7B75" w:rsidRPr="00654F9E" w14:paraId="73D47953"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951" w14:textId="77777777"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Small Cell</w:t>
            </w:r>
          </w:p>
        </w:tc>
        <w:tc>
          <w:tcPr>
            <w:tcW w:w="2980" w:type="pct"/>
          </w:tcPr>
          <w:p w14:paraId="73D47952" w14:textId="77777777" w:rsidR="002D7B75" w:rsidRPr="00974856" w:rsidRDefault="002D7B75" w:rsidP="001F3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856">
              <w:rPr>
                <w:rFonts w:asciiTheme="minorHAnsi" w:hAnsiTheme="minorHAnsi" w:cstheme="minorHAnsi"/>
              </w:rPr>
              <w:t>A ‘small cell’ in a mobile phone network, with a typical range less than two kilometres. Often used to add network capacity in areas of dense population or very remote locations, utilising power control to limit coverage area. These are also known as microcells.</w:t>
            </w:r>
          </w:p>
        </w:tc>
      </w:tr>
      <w:tr w:rsidR="002D7B75" w:rsidRPr="00654F9E" w14:paraId="73D4795C" w14:textId="77777777" w:rsidTr="005A46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20" w:type="pct"/>
          </w:tcPr>
          <w:p w14:paraId="73D47954" w14:textId="07DA1298" w:rsidR="002D7B75" w:rsidRPr="00974856" w:rsidRDefault="002D7B75" w:rsidP="00DB7E40">
            <w:pPr>
              <w:rPr>
                <w:rFonts w:asciiTheme="minorHAnsi" w:hAnsiTheme="minorHAnsi" w:cstheme="minorHAnsi"/>
                <w:b w:val="0"/>
              </w:rPr>
            </w:pPr>
            <w:r w:rsidRPr="00974856">
              <w:rPr>
                <w:rFonts w:asciiTheme="minorHAnsi" w:hAnsiTheme="minorHAnsi" w:cstheme="minorHAnsi"/>
                <w:b w:val="0"/>
              </w:rPr>
              <w:t xml:space="preserve">Value </w:t>
            </w:r>
            <w:r w:rsidR="00DE026D">
              <w:rPr>
                <w:rFonts w:asciiTheme="minorHAnsi" w:hAnsiTheme="minorHAnsi" w:cstheme="minorHAnsi"/>
                <w:b w:val="0"/>
              </w:rPr>
              <w:t>with Relevant</w:t>
            </w:r>
            <w:r w:rsidR="00DE026D" w:rsidRPr="00974856">
              <w:rPr>
                <w:rFonts w:asciiTheme="minorHAnsi" w:hAnsiTheme="minorHAnsi" w:cstheme="minorHAnsi"/>
                <w:b w:val="0"/>
              </w:rPr>
              <w:t xml:space="preserve"> </w:t>
            </w:r>
            <w:r w:rsidRPr="00974856">
              <w:rPr>
                <w:rFonts w:asciiTheme="minorHAnsi" w:hAnsiTheme="minorHAnsi" w:cstheme="minorHAnsi"/>
                <w:b w:val="0"/>
              </w:rPr>
              <w:t>Money</w:t>
            </w:r>
          </w:p>
        </w:tc>
        <w:tc>
          <w:tcPr>
            <w:tcW w:w="2980" w:type="pct"/>
          </w:tcPr>
          <w:p w14:paraId="73D47955" w14:textId="5C1C18B7" w:rsidR="002D7B75" w:rsidRDefault="00941A65" w:rsidP="001F3A3E">
            <w:pPr>
              <w:cnfStyle w:val="000000010000" w:firstRow="0" w:lastRow="0" w:firstColumn="0" w:lastColumn="0" w:oddVBand="0" w:evenVBand="0" w:oddHBand="0" w:evenHBand="1" w:firstRowFirstColumn="0" w:firstRowLastColumn="0" w:lastRowFirstColumn="0" w:lastRowLastColumn="0"/>
            </w:pPr>
            <w:r>
              <w:t>A</w:t>
            </w:r>
            <w:r w:rsidR="002D7B75">
              <w:t xml:space="preserve">chieving ‘value with </w:t>
            </w:r>
            <w:r w:rsidR="002D7B75" w:rsidRPr="00274AE2">
              <w:t>relevant money</w:t>
            </w:r>
            <w:r w:rsidR="002D7B75">
              <w:t xml:space="preserve">’ is a judgement </w:t>
            </w:r>
            <w:r w:rsidR="002D7B75" w:rsidRPr="00274AE2">
              <w:t xml:space="preserve">based on the grant proposal representing an efficient, effective, economical and ethical use of public resources and </w:t>
            </w:r>
            <w:r w:rsidR="002D7B75">
              <w:t>dete</w:t>
            </w:r>
            <w:r w:rsidR="002D7B75" w:rsidRPr="00274AE2">
              <w:t xml:space="preserve">rmined </w:t>
            </w:r>
            <w:r w:rsidR="002D7B75">
              <w:t>from</w:t>
            </w:r>
            <w:r w:rsidR="002D7B75" w:rsidRPr="00274AE2">
              <w:t xml:space="preserve"> a variety of considerations</w:t>
            </w:r>
            <w:r w:rsidR="002D7B75">
              <w:t>.</w:t>
            </w:r>
          </w:p>
          <w:p w14:paraId="73D47956" w14:textId="77777777" w:rsidR="002D7B75" w:rsidRDefault="002D7B75" w:rsidP="009D61F9">
            <w:pPr>
              <w:cnfStyle w:val="000000010000" w:firstRow="0" w:lastRow="0" w:firstColumn="0" w:lastColumn="0" w:oddVBand="0" w:evenVBand="0" w:oddHBand="0" w:evenHBand="1" w:firstRowFirstColumn="0" w:firstRowLastColumn="0" w:lastRowFirstColumn="0" w:lastRowLastColumn="0"/>
            </w:pPr>
            <w:r w:rsidRPr="006F1263">
              <w:t>When administering a grant opportunity, an official should consider the relevant financial and non-financial costs and benefits of each proposal including, but not limited to:</w:t>
            </w:r>
          </w:p>
          <w:p w14:paraId="73D47957" w14:textId="77777777" w:rsidR="002D7B75" w:rsidRDefault="002D7B75" w:rsidP="00B0575A">
            <w:pPr>
              <w:pStyle w:val="ListParagraph"/>
              <w:numPr>
                <w:ilvl w:val="0"/>
                <w:numId w:val="19"/>
              </w:numPr>
              <w:spacing w:before="40"/>
              <w:ind w:left="642" w:hanging="642"/>
              <w:cnfStyle w:val="000000010000" w:firstRow="0" w:lastRow="0" w:firstColumn="0" w:lastColumn="0" w:oddVBand="0" w:evenVBand="0" w:oddHBand="0" w:evenHBand="1" w:firstRowFirstColumn="0" w:firstRowLastColumn="0" w:lastRowFirstColumn="0" w:lastRowLastColumn="0"/>
            </w:pPr>
            <w:r w:rsidRPr="006F1263">
              <w:t>the quality of the project proposal and activities;</w:t>
            </w:r>
          </w:p>
          <w:p w14:paraId="73D47958" w14:textId="0FA2D396" w:rsidR="002D7B75" w:rsidRDefault="002D7B75" w:rsidP="00B0575A">
            <w:pPr>
              <w:pStyle w:val="ListParagraph"/>
              <w:numPr>
                <w:ilvl w:val="0"/>
                <w:numId w:val="19"/>
              </w:numPr>
              <w:spacing w:before="40"/>
              <w:ind w:left="642" w:hanging="642"/>
              <w:cnfStyle w:val="000000010000" w:firstRow="0" w:lastRow="0" w:firstColumn="0" w:lastColumn="0" w:oddVBand="0" w:evenVBand="0" w:oddHBand="0" w:evenHBand="1" w:firstRowFirstColumn="0" w:firstRowLastColumn="0" w:lastRowFirstColumn="0" w:lastRowLastColumn="0"/>
            </w:pPr>
            <w:r w:rsidRPr="006F1263">
              <w:t xml:space="preserve">fitness for purpose of the proposal in contributing to </w:t>
            </w:r>
            <w:r w:rsidR="00941A65">
              <w:t>g</w:t>
            </w:r>
            <w:r w:rsidRPr="006F1263">
              <w:t xml:space="preserve">overnment objectives; </w:t>
            </w:r>
          </w:p>
          <w:p w14:paraId="73D47959" w14:textId="77777777" w:rsidR="002D7B75" w:rsidRDefault="002D7B75" w:rsidP="00B0575A">
            <w:pPr>
              <w:pStyle w:val="ListParagraph"/>
              <w:numPr>
                <w:ilvl w:val="0"/>
                <w:numId w:val="19"/>
              </w:numPr>
              <w:spacing w:before="40"/>
              <w:ind w:left="642" w:hanging="642"/>
              <w:cnfStyle w:val="000000010000" w:firstRow="0" w:lastRow="0" w:firstColumn="0" w:lastColumn="0" w:oddVBand="0" w:evenVBand="0" w:oddHBand="0" w:evenHBand="1" w:firstRowFirstColumn="0" w:firstRowLastColumn="0" w:lastRowFirstColumn="0" w:lastRowLastColumn="0"/>
            </w:pPr>
            <w:r w:rsidRPr="006F1263">
              <w:t xml:space="preserve">that the absence of a grant is likely to prevent the grantee and government’s outcomes being achieved; and </w:t>
            </w:r>
          </w:p>
          <w:p w14:paraId="73D4795A" w14:textId="77777777" w:rsidR="002D7B75" w:rsidRDefault="002D7B75" w:rsidP="00B0575A">
            <w:pPr>
              <w:pStyle w:val="ListParagraph"/>
              <w:numPr>
                <w:ilvl w:val="0"/>
                <w:numId w:val="19"/>
              </w:numPr>
              <w:spacing w:before="40"/>
              <w:ind w:left="642" w:hanging="642"/>
              <w:cnfStyle w:val="000000010000" w:firstRow="0" w:lastRow="0" w:firstColumn="0" w:lastColumn="0" w:oddVBand="0" w:evenVBand="0" w:oddHBand="0" w:evenHBand="1" w:firstRowFirstColumn="0" w:firstRowLastColumn="0" w:lastRowFirstColumn="0" w:lastRowLastColumn="0"/>
            </w:pPr>
            <w:r w:rsidRPr="006F1263">
              <w:t>the potential grantee’s relevant experience and performance histor</w:t>
            </w:r>
            <w:r>
              <w:t>y.</w:t>
            </w:r>
          </w:p>
          <w:p w14:paraId="73D4795B" w14:textId="3A3CB020" w:rsidR="002D7B75" w:rsidRPr="00974856" w:rsidRDefault="002D7B75" w:rsidP="00DB7E4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t xml:space="preserve">As further set out </w:t>
            </w:r>
            <w:r w:rsidRPr="00C042BB">
              <w:t>in section 8.</w:t>
            </w:r>
            <w:r w:rsidR="00941A65">
              <w:t>2</w:t>
            </w:r>
          </w:p>
        </w:tc>
      </w:tr>
      <w:tr w:rsidR="002D7B75" w:rsidRPr="00654F9E" w14:paraId="73D4795F" w14:textId="77777777" w:rsidTr="005A463E">
        <w:trPr>
          <w:cantSplit/>
        </w:trPr>
        <w:tc>
          <w:tcPr>
            <w:cnfStyle w:val="001000000000" w:firstRow="0" w:lastRow="0" w:firstColumn="1" w:lastColumn="0" w:oddVBand="0" w:evenVBand="0" w:oddHBand="0" w:evenHBand="0" w:firstRowFirstColumn="0" w:firstRowLastColumn="0" w:lastRowFirstColumn="0" w:lastRowLastColumn="0"/>
            <w:tcW w:w="2020" w:type="pct"/>
          </w:tcPr>
          <w:p w14:paraId="73D4795D" w14:textId="77777777" w:rsidR="002D7B75" w:rsidRPr="00974856" w:rsidRDefault="002D7B75" w:rsidP="00DB7E40">
            <w:pPr>
              <w:rPr>
                <w:rFonts w:asciiTheme="minorHAnsi" w:hAnsiTheme="minorHAnsi" w:cstheme="minorHAnsi"/>
                <w:b w:val="0"/>
              </w:rPr>
            </w:pPr>
            <w:r>
              <w:rPr>
                <w:rFonts w:asciiTheme="minorHAnsi" w:hAnsiTheme="minorHAnsi" w:cstheme="minorHAnsi"/>
                <w:b w:val="0"/>
              </w:rPr>
              <w:t xml:space="preserve">We/us </w:t>
            </w:r>
          </w:p>
        </w:tc>
        <w:tc>
          <w:tcPr>
            <w:tcW w:w="2980" w:type="pct"/>
          </w:tcPr>
          <w:p w14:paraId="73D4795E" w14:textId="2FB203C5" w:rsidR="002D7B75" w:rsidRDefault="002D7B75" w:rsidP="00DB7E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The Department of Infrastructure, Transport, Regional Development, Communications and the Arts and/or Commonwealth Officials administering the Program</w:t>
            </w:r>
            <w:r w:rsidR="00DB7E40">
              <w:t>.</w:t>
            </w:r>
          </w:p>
        </w:tc>
      </w:tr>
    </w:tbl>
    <w:p w14:paraId="73D47960" w14:textId="77777777" w:rsidR="004F3BE5" w:rsidRDefault="004F3BE5" w:rsidP="00B0575A"/>
    <w:sectPr w:rsidR="004F3BE5" w:rsidSect="00E41B5C">
      <w:footerReference w:type="default" r:id="rId54"/>
      <w:footerReference w:type="first" r:id="rId55"/>
      <w:type w:val="continuous"/>
      <w:pgSz w:w="11906" w:h="16838"/>
      <w:pgMar w:top="0" w:right="991" w:bottom="1134"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FFE1C" w14:textId="77777777" w:rsidR="00865D77" w:rsidRDefault="00865D77" w:rsidP="00FC413F">
      <w:pPr>
        <w:spacing w:after="0"/>
      </w:pPr>
      <w:r>
        <w:separator/>
      </w:r>
    </w:p>
  </w:endnote>
  <w:endnote w:type="continuationSeparator" w:id="0">
    <w:p w14:paraId="0F9A759B" w14:textId="77777777" w:rsidR="00865D77" w:rsidRDefault="00865D77" w:rsidP="00FC413F">
      <w:pPr>
        <w:spacing w:after="0"/>
      </w:pPr>
      <w:r>
        <w:continuationSeparator/>
      </w:r>
    </w:p>
  </w:endnote>
  <w:endnote w:type="continuationNotice" w:id="1">
    <w:p w14:paraId="6054C375" w14:textId="77777777" w:rsidR="00865D77" w:rsidRDefault="00865D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796A" w14:textId="77777777" w:rsidR="00865D77" w:rsidRDefault="00865D77"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Mobile Black Spot Program Improving Mobile Coverage Round Grant Opportunity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3D4796B" w14:textId="77777777" w:rsidR="00865D77" w:rsidRPr="00FC413F" w:rsidRDefault="00865D77" w:rsidP="00953CCD">
    <w:pPr>
      <w:pStyle w:val="Footer"/>
      <w:tabs>
        <w:tab w:val="clear" w:pos="4513"/>
        <w:tab w:val="clear" w:pos="9026"/>
      </w:tabs>
      <w:ind w:left="-1418"/>
      <w:rPr>
        <w:rFonts w:cs="Segoe UI"/>
        <w:szCs w:val="18"/>
      </w:rPr>
    </w:pPr>
    <w:r>
      <w:rPr>
        <w:noProof/>
        <w:lang w:eastAsia="en-AU"/>
      </w:rPr>
      <w:drawing>
        <wp:inline distT="0" distB="0" distL="0" distR="0" wp14:anchorId="73D47973" wp14:editId="73D47974">
          <wp:extent cx="7559650" cy="150641"/>
          <wp:effectExtent l="0" t="0" r="0" b="1905"/>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796C" w14:textId="77777777" w:rsidR="00865D77" w:rsidRPr="00FC413F" w:rsidRDefault="00865D77" w:rsidP="00113A03">
    <w:pPr>
      <w:pStyle w:val="Footer"/>
      <w:tabs>
        <w:tab w:val="clear" w:pos="4513"/>
        <w:tab w:val="clear" w:pos="9026"/>
      </w:tabs>
      <w:ind w:left="-1418"/>
      <w:rPr>
        <w:rFonts w:cs="Segoe UI"/>
        <w:szCs w:val="18"/>
      </w:rPr>
    </w:pPr>
    <w:r>
      <w:rPr>
        <w:noProof/>
        <w:lang w:eastAsia="en-AU"/>
      </w:rPr>
      <w:drawing>
        <wp:inline distT="0" distB="0" distL="0" distR="0" wp14:anchorId="73D47975" wp14:editId="73D47976">
          <wp:extent cx="7562047" cy="2757268"/>
          <wp:effectExtent l="0" t="0" r="1270" b="5080"/>
          <wp:docPr id="8" name="Picture 8"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796F" w14:textId="4457B498" w:rsidR="00865D77" w:rsidRDefault="00865D77" w:rsidP="008A4D7B">
    <w:pPr>
      <w:pStyle w:val="Footer"/>
      <w:tabs>
        <w:tab w:val="clear" w:pos="4513"/>
        <w:tab w:val="clear" w:pos="9026"/>
        <w:tab w:val="center" w:pos="9072"/>
        <w:tab w:val="right" w:pos="14175"/>
      </w:tabs>
      <w:spacing w:after="120"/>
      <w:rPr>
        <w:rFonts w:cs="Segoe UI"/>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92222">
      <w:rPr>
        <w:rFonts w:cs="Segoe UI"/>
        <w:noProof/>
        <w:szCs w:val="18"/>
      </w:rPr>
      <w:t>Peri-Urban Mobile Program Round 2 Grant Opportunity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noProof/>
        <w:szCs w:val="18"/>
      </w:rPr>
      <w:t>19</w:t>
    </w:r>
    <w:r>
      <w:rPr>
        <w:rFonts w:cs="Segoe UI"/>
        <w:szCs w:val="18"/>
      </w:rPr>
      <w:fldChar w:fldCharType="end"/>
    </w:r>
  </w:p>
  <w:p w14:paraId="73D47970" w14:textId="77777777" w:rsidR="00865D77" w:rsidRPr="00FC413F" w:rsidRDefault="00865D77" w:rsidP="00071DEE">
    <w:pPr>
      <w:pStyle w:val="Footer"/>
      <w:tabs>
        <w:tab w:val="clear" w:pos="4513"/>
        <w:tab w:val="clear" w:pos="9026"/>
      </w:tabs>
      <w:ind w:left="-1418"/>
      <w:rPr>
        <w:rFonts w:cs="Segoe UI"/>
        <w:szCs w:val="18"/>
      </w:rPr>
    </w:pPr>
    <w:r>
      <w:rPr>
        <w:noProof/>
        <w:lang w:eastAsia="en-AU"/>
      </w:rPr>
      <w:drawing>
        <wp:inline distT="0" distB="0" distL="0" distR="0" wp14:anchorId="73D47977" wp14:editId="2D4B9288">
          <wp:extent cx="7560000" cy="150276"/>
          <wp:effectExtent l="0" t="0" r="0" b="2540"/>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276"/>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DB1A76AE815A499CA28754CEBFE6359C"/>
      </w:placeholder>
      <w:temporary/>
      <w:showingPlcHdr/>
      <w15:appearance w15:val="hidden"/>
    </w:sdtPr>
    <w:sdtEndPr/>
    <w:sdtContent>
      <w:p w14:paraId="73D47971" w14:textId="77777777" w:rsidR="00865D77" w:rsidRDefault="00865D77">
        <w:pPr>
          <w:pStyle w:val="Footer"/>
        </w:pPr>
        <w:r>
          <w:t>[Type here]</w:t>
        </w:r>
      </w:p>
    </w:sdtContent>
  </w:sdt>
  <w:p w14:paraId="73D47972" w14:textId="77777777" w:rsidR="00865D77" w:rsidRPr="00FC413F" w:rsidRDefault="00865D77"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68C2D" w14:textId="77777777" w:rsidR="00865D77" w:rsidRDefault="00865D77" w:rsidP="00FC413F">
      <w:pPr>
        <w:spacing w:after="0"/>
      </w:pPr>
      <w:r>
        <w:separator/>
      </w:r>
    </w:p>
  </w:footnote>
  <w:footnote w:type="continuationSeparator" w:id="0">
    <w:p w14:paraId="6D1578F4" w14:textId="77777777" w:rsidR="00865D77" w:rsidRDefault="00865D77" w:rsidP="00FC413F">
      <w:pPr>
        <w:spacing w:after="0"/>
      </w:pPr>
      <w:r>
        <w:continuationSeparator/>
      </w:r>
    </w:p>
  </w:footnote>
  <w:footnote w:type="continuationNotice" w:id="1">
    <w:p w14:paraId="5DEDC4A1" w14:textId="77777777" w:rsidR="00865D77" w:rsidRDefault="00865D77">
      <w:pPr>
        <w:spacing w:after="0"/>
      </w:pPr>
    </w:p>
  </w:footnote>
  <w:footnote w:id="2">
    <w:p w14:paraId="73D47979" w14:textId="77777777" w:rsidR="00865D77" w:rsidRPr="008231EA" w:rsidRDefault="00865D77">
      <w:pPr>
        <w:pStyle w:val="FootnoteText"/>
        <w:rPr>
          <w:lang w:val="en-US"/>
        </w:rPr>
      </w:pPr>
      <w:r>
        <w:rPr>
          <w:rStyle w:val="FootnoteReference"/>
        </w:rPr>
        <w:footnoteRef/>
      </w:r>
      <w:r>
        <w:t xml:space="preserve"> </w:t>
      </w:r>
      <w:hyperlink r:id="rId1" w:history="1">
        <w:r w:rsidRPr="00C325B4">
          <w:rPr>
            <w:rStyle w:val="Hyperlink"/>
          </w:rPr>
          <w:t>www.finance.gov.au/sites/default/files/2019-11/commonwealth-grants-rules-and-guidelines.pdf</w:t>
        </w:r>
      </w:hyperlink>
    </w:p>
  </w:footnote>
  <w:footnote w:id="3">
    <w:p w14:paraId="73D4797A" w14:textId="77777777" w:rsidR="00865D77" w:rsidRDefault="00865D77" w:rsidP="00733FF0">
      <w:pPr>
        <w:pStyle w:val="FootnoteText"/>
      </w:pPr>
      <w:r>
        <w:rPr>
          <w:rStyle w:val="FootnoteReference"/>
        </w:rPr>
        <w:footnoteRef/>
      </w:r>
      <w:r>
        <w:t xml:space="preserve"> </w:t>
      </w:r>
      <w:hyperlink r:id="rId2" w:history="1">
        <w:r w:rsidRPr="003E4361">
          <w:rPr>
            <w:rStyle w:val="Hyperlink"/>
          </w:rPr>
          <w:t>www.accc.gov.au/public-registers/telecommunications-registers/s152bcw-access-de</w:t>
        </w:r>
        <w:r w:rsidRPr="00F10034">
          <w:rPr>
            <w:rStyle w:val="Hyperlink"/>
          </w:rPr>
          <w:t>terminations-register/final-access-determination-no-2-of-2020-for-the-domestic-transmission-capacity-service-dtcs</w:t>
        </w:r>
      </w:hyperlink>
    </w:p>
  </w:footnote>
  <w:footnote w:id="4">
    <w:p w14:paraId="1AA211A8" w14:textId="7AD451D2" w:rsidR="00865D77" w:rsidRDefault="00865D77" w:rsidP="00214F6F">
      <w:pPr>
        <w:pStyle w:val="FootnoteText"/>
      </w:pPr>
      <w:r>
        <w:rPr>
          <w:rStyle w:val="FootnoteReference"/>
        </w:rPr>
        <w:footnoteRef/>
      </w:r>
      <w:r>
        <w:t xml:space="preserve"> </w:t>
      </w:r>
      <w:r w:rsidRPr="002E7A47">
        <w:t>Australian Statistical Geography Standard (</w:t>
      </w:r>
      <w:proofErr w:type="spellStart"/>
      <w:r w:rsidRPr="002E7A47">
        <w:t>ASGS</w:t>
      </w:r>
      <w:proofErr w:type="spellEnd"/>
      <w:r w:rsidRPr="002E7A47">
        <w:t xml:space="preserve">): Volume 4 - Significant Urban Areas, Urban Centres and Localities, Section of State, </w:t>
      </w:r>
      <w:r w:rsidRPr="00291B61">
        <w:t>July</w:t>
      </w:r>
      <w:r w:rsidRPr="002E7A47">
        <w:t xml:space="preserve"> </w:t>
      </w:r>
      <w:r>
        <w:t>2021.</w:t>
      </w:r>
    </w:p>
  </w:footnote>
  <w:footnote w:id="5">
    <w:p w14:paraId="73D4797C" w14:textId="77777777" w:rsidR="00865D77" w:rsidRDefault="00865D77" w:rsidP="00214F6F">
      <w:pPr>
        <w:pStyle w:val="FootnoteText"/>
      </w:pPr>
      <w:r>
        <w:rPr>
          <w:rStyle w:val="FootnoteReference"/>
        </w:rPr>
        <w:footnoteRef/>
      </w:r>
      <w:r>
        <w:t xml:space="preserve"> </w:t>
      </w:r>
      <w:hyperlink r:id="rId3" w:history="1">
        <w:r w:rsidRPr="00EF1B84">
          <w:rPr>
            <w:rStyle w:val="Hyperlink"/>
          </w:rPr>
          <w:t>https://investment.infrastructure.gov.au/about/the_national_land_transport_network.aspx</w:t>
        </w:r>
      </w:hyperlink>
      <w:r>
        <w:rPr>
          <w:rStyle w:val="Hyperlink"/>
        </w:rPr>
        <w:t xml:space="preserve"> provides PDFs of the </w:t>
      </w:r>
      <w:proofErr w:type="spellStart"/>
      <w:r>
        <w:rPr>
          <w:rStyle w:val="Hyperlink"/>
        </w:rPr>
        <w:t>NLTN</w:t>
      </w:r>
      <w:proofErr w:type="spellEnd"/>
      <w:r>
        <w:rPr>
          <w:rStyle w:val="Hyperlink"/>
        </w:rPr>
        <w:t xml:space="preserve"> by State/Territory for both road and rail.</w:t>
      </w:r>
    </w:p>
  </w:footnote>
  <w:footnote w:id="6">
    <w:p w14:paraId="73D4797D" w14:textId="77777777" w:rsidR="00865D77" w:rsidRDefault="00865D77" w:rsidP="00105838">
      <w:pPr>
        <w:pStyle w:val="FootnoteText"/>
      </w:pPr>
      <w:r>
        <w:rPr>
          <w:rStyle w:val="FootnoteReference"/>
        </w:rPr>
        <w:footnoteRef/>
      </w:r>
      <w:r>
        <w:t xml:space="preserve"> </w:t>
      </w:r>
      <w:r w:rsidRPr="00DB37BC">
        <w:t>Alterations and addenda include but are not limited to: corrections to currently published documents</w:t>
      </w:r>
      <w:r>
        <w:t>;</w:t>
      </w:r>
      <w:r w:rsidRPr="00DB37BC">
        <w:t xml:space="preserve"> changes to </w:t>
      </w:r>
      <w:r>
        <w:t>closing</w:t>
      </w:r>
      <w:r w:rsidRPr="00DB37BC">
        <w:t xml:space="preserve"> times for applications</w:t>
      </w:r>
      <w:r>
        <w:t>;</w:t>
      </w:r>
      <w:r w:rsidRPr="00DB37BC">
        <w:t xml:space="preserve"> Questions and Answers (Q&amp;A) documents</w:t>
      </w:r>
      <w:r>
        <w:t>;</w:t>
      </w:r>
      <w:r w:rsidRPr="00DB37BC">
        <w:t xml:space="preserve"> and Frequently Asked Questions (FAQ) documents</w:t>
      </w:r>
      <w:r>
        <w:t>.</w:t>
      </w:r>
    </w:p>
  </w:footnote>
  <w:footnote w:id="7">
    <w:p w14:paraId="73D4797E" w14:textId="77777777" w:rsidR="00865D77" w:rsidRPr="007133C2" w:rsidRDefault="00865D77" w:rsidP="00AB233D">
      <w:pPr>
        <w:pStyle w:val="FootnoteText"/>
      </w:pPr>
      <w:r w:rsidRPr="007133C2">
        <w:rPr>
          <w:rStyle w:val="FootnoteReference"/>
        </w:rPr>
        <w:footnoteRef/>
      </w:r>
      <w:r w:rsidRPr="007133C2">
        <w:t xml:space="preserve"> Relevant money is defined in the </w:t>
      </w:r>
      <w:proofErr w:type="spellStart"/>
      <w:r w:rsidRPr="007133C2">
        <w:t>PGPA</w:t>
      </w:r>
      <w:proofErr w:type="spellEnd"/>
      <w:r w:rsidRPr="007133C2">
        <w:t xml:space="preserve"> Act. See section 8, Dictionary</w:t>
      </w:r>
      <w:r>
        <w:t>.</w:t>
      </w:r>
    </w:p>
  </w:footnote>
  <w:footnote w:id="8">
    <w:p w14:paraId="73D4797F" w14:textId="77777777" w:rsidR="00865D77" w:rsidRPr="007133C2" w:rsidRDefault="00865D77" w:rsidP="00AB233D">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7969" w14:textId="77777777" w:rsidR="00865D77" w:rsidRPr="00D56936" w:rsidRDefault="00865D77" w:rsidP="00D56936">
    <w:pPr>
      <w:pStyle w:val="Header"/>
      <w:tabs>
        <w:tab w:val="clear" w:pos="4678"/>
      </w:tabs>
      <w:jc w:val="right"/>
      <w:rPr>
        <w:rFonts w:cs="Segoe UI Light"/>
        <w:color w:val="001C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7A45B6F"/>
    <w:multiLevelType w:val="hybridMultilevel"/>
    <w:tmpl w:val="E4F06440"/>
    <w:lvl w:ilvl="0" w:tplc="0C090005">
      <w:start w:val="1"/>
      <w:numFmt w:val="bullet"/>
      <w:lvlText w:val=""/>
      <w:lvlJc w:val="left"/>
      <w:pPr>
        <w:ind w:left="2575" w:hanging="360"/>
      </w:pPr>
      <w:rPr>
        <w:rFonts w:ascii="Wingdings" w:hAnsi="Wingdings" w:hint="default"/>
      </w:rPr>
    </w:lvl>
    <w:lvl w:ilvl="1" w:tplc="0C090003" w:tentative="1">
      <w:start w:val="1"/>
      <w:numFmt w:val="bullet"/>
      <w:lvlText w:val="o"/>
      <w:lvlJc w:val="left"/>
      <w:pPr>
        <w:ind w:left="3295" w:hanging="360"/>
      </w:pPr>
      <w:rPr>
        <w:rFonts w:ascii="Courier New" w:hAnsi="Courier New" w:cs="Courier New" w:hint="default"/>
      </w:rPr>
    </w:lvl>
    <w:lvl w:ilvl="2" w:tplc="0C090005" w:tentative="1">
      <w:start w:val="1"/>
      <w:numFmt w:val="bullet"/>
      <w:lvlText w:val=""/>
      <w:lvlJc w:val="left"/>
      <w:pPr>
        <w:ind w:left="4015" w:hanging="360"/>
      </w:pPr>
      <w:rPr>
        <w:rFonts w:ascii="Wingdings" w:hAnsi="Wingdings" w:hint="default"/>
      </w:rPr>
    </w:lvl>
    <w:lvl w:ilvl="3" w:tplc="0C090001" w:tentative="1">
      <w:start w:val="1"/>
      <w:numFmt w:val="bullet"/>
      <w:lvlText w:val=""/>
      <w:lvlJc w:val="left"/>
      <w:pPr>
        <w:ind w:left="4735" w:hanging="360"/>
      </w:pPr>
      <w:rPr>
        <w:rFonts w:ascii="Symbol" w:hAnsi="Symbol" w:hint="default"/>
      </w:rPr>
    </w:lvl>
    <w:lvl w:ilvl="4" w:tplc="0C090003" w:tentative="1">
      <w:start w:val="1"/>
      <w:numFmt w:val="bullet"/>
      <w:lvlText w:val="o"/>
      <w:lvlJc w:val="left"/>
      <w:pPr>
        <w:ind w:left="5455" w:hanging="360"/>
      </w:pPr>
      <w:rPr>
        <w:rFonts w:ascii="Courier New" w:hAnsi="Courier New" w:cs="Courier New" w:hint="default"/>
      </w:rPr>
    </w:lvl>
    <w:lvl w:ilvl="5" w:tplc="0C090005" w:tentative="1">
      <w:start w:val="1"/>
      <w:numFmt w:val="bullet"/>
      <w:lvlText w:val=""/>
      <w:lvlJc w:val="left"/>
      <w:pPr>
        <w:ind w:left="6175" w:hanging="360"/>
      </w:pPr>
      <w:rPr>
        <w:rFonts w:ascii="Wingdings" w:hAnsi="Wingdings" w:hint="default"/>
      </w:rPr>
    </w:lvl>
    <w:lvl w:ilvl="6" w:tplc="0C090001" w:tentative="1">
      <w:start w:val="1"/>
      <w:numFmt w:val="bullet"/>
      <w:lvlText w:val=""/>
      <w:lvlJc w:val="left"/>
      <w:pPr>
        <w:ind w:left="6895" w:hanging="360"/>
      </w:pPr>
      <w:rPr>
        <w:rFonts w:ascii="Symbol" w:hAnsi="Symbol" w:hint="default"/>
      </w:rPr>
    </w:lvl>
    <w:lvl w:ilvl="7" w:tplc="0C090003" w:tentative="1">
      <w:start w:val="1"/>
      <w:numFmt w:val="bullet"/>
      <w:lvlText w:val="o"/>
      <w:lvlJc w:val="left"/>
      <w:pPr>
        <w:ind w:left="7615" w:hanging="360"/>
      </w:pPr>
      <w:rPr>
        <w:rFonts w:ascii="Courier New" w:hAnsi="Courier New" w:cs="Courier New" w:hint="default"/>
      </w:rPr>
    </w:lvl>
    <w:lvl w:ilvl="8" w:tplc="0C090005" w:tentative="1">
      <w:start w:val="1"/>
      <w:numFmt w:val="bullet"/>
      <w:lvlText w:val=""/>
      <w:lvlJc w:val="left"/>
      <w:pPr>
        <w:ind w:left="8335" w:hanging="360"/>
      </w:pPr>
      <w:rPr>
        <w:rFonts w:ascii="Wingdings" w:hAnsi="Wingdings" w:hint="default"/>
      </w:rPr>
    </w:lvl>
  </w:abstractNum>
  <w:abstractNum w:abstractNumId="2"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44C6A27"/>
    <w:multiLevelType w:val="multilevel"/>
    <w:tmpl w:val="CA1C188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Normal-Style2"/>
      <w:lvlText w:val="%1.%2.%3."/>
      <w:lvlJc w:val="left"/>
      <w:pPr>
        <w:ind w:left="2215" w:hanging="1080"/>
      </w:pPr>
      <w:rPr>
        <w:rFonts w:hint="default"/>
        <w:b w:val="0"/>
        <w:color w:val="auto"/>
        <w:sz w:val="20"/>
        <w:szCs w:val="20"/>
      </w:rPr>
    </w:lvl>
    <w:lvl w:ilvl="3">
      <w:start w:val="1"/>
      <w:numFmt w:val="bullet"/>
      <w:lvlText w:val=""/>
      <w:lvlJc w:val="left"/>
      <w:pPr>
        <w:ind w:left="1440" w:hanging="306"/>
      </w:pPr>
      <w:rPr>
        <w:rFonts w:ascii="Wingdings" w:hAnsi="Wingdings" w:hint="default"/>
        <w:b w:val="0"/>
        <w:i w:val="0"/>
        <w:color w:val="1F4E79" w:themeColor="accent1" w:themeShade="80"/>
        <w:sz w:val="20"/>
      </w:rPr>
    </w:lvl>
    <w:lvl w:ilvl="4">
      <w:start w:val="1"/>
      <w:numFmt w:val="lowerRoman"/>
      <w:lvlText w:val="%5."/>
      <w:lvlJc w:val="left"/>
      <w:pPr>
        <w:ind w:left="1800" w:hanging="360"/>
      </w:pPr>
      <w:rPr>
        <w:rFonts w:ascii="Arial" w:hAnsi="Arial" w:hint="default"/>
        <w:b w:val="0"/>
        <w:i w:val="0"/>
        <w:sz w:val="20"/>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BD12E7"/>
    <w:multiLevelType w:val="multilevel"/>
    <w:tmpl w:val="9C12045C"/>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decimal"/>
      <w:lvlText w:val="%3."/>
      <w:lvlJc w:val="left"/>
      <w:pPr>
        <w:ind w:left="1080" w:hanging="360"/>
      </w:pPr>
      <w:rPr>
        <w:rFont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decimal"/>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8C4F4C"/>
    <w:multiLevelType w:val="hybridMultilevel"/>
    <w:tmpl w:val="B2FE574E"/>
    <w:lvl w:ilvl="0" w:tplc="0A9EBB4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7C08A6"/>
    <w:multiLevelType w:val="hybridMultilevel"/>
    <w:tmpl w:val="FA44C0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D6F1134"/>
    <w:multiLevelType w:val="hybridMultilevel"/>
    <w:tmpl w:val="347CE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5F3944"/>
    <w:multiLevelType w:val="hybridMultilevel"/>
    <w:tmpl w:val="4FCE1C70"/>
    <w:lvl w:ilvl="0" w:tplc="0C090005">
      <w:start w:val="1"/>
      <w:numFmt w:val="bullet"/>
      <w:lvlText w:val=""/>
      <w:lvlJc w:val="left"/>
      <w:pPr>
        <w:ind w:left="2421" w:hanging="360"/>
      </w:pPr>
      <w:rPr>
        <w:rFonts w:ascii="Wingdings" w:hAnsi="Wingding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5" w15:restartNumberingAfterBreak="0">
    <w:nsid w:val="522F1CDB"/>
    <w:multiLevelType w:val="multilevel"/>
    <w:tmpl w:val="88C0B234"/>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5A14B52"/>
    <w:multiLevelType w:val="hybridMultilevel"/>
    <w:tmpl w:val="EAE0400A"/>
    <w:lvl w:ilvl="0" w:tplc="0C090001">
      <w:start w:val="5"/>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A715828"/>
    <w:multiLevelType w:val="hybridMultilevel"/>
    <w:tmpl w:val="9ADA1BF2"/>
    <w:lvl w:ilvl="0" w:tplc="0C090001">
      <w:start w:val="1"/>
      <w:numFmt w:val="bullet"/>
      <w:lvlText w:val=""/>
      <w:lvlJc w:val="left"/>
      <w:pPr>
        <w:ind w:left="2575" w:hanging="360"/>
      </w:pPr>
      <w:rPr>
        <w:rFonts w:ascii="Symbol" w:hAnsi="Symbol" w:hint="default"/>
      </w:rPr>
    </w:lvl>
    <w:lvl w:ilvl="1" w:tplc="0C090003" w:tentative="1">
      <w:start w:val="1"/>
      <w:numFmt w:val="bullet"/>
      <w:lvlText w:val="o"/>
      <w:lvlJc w:val="left"/>
      <w:pPr>
        <w:ind w:left="3295" w:hanging="360"/>
      </w:pPr>
      <w:rPr>
        <w:rFonts w:ascii="Courier New" w:hAnsi="Courier New" w:cs="Courier New" w:hint="default"/>
      </w:rPr>
    </w:lvl>
    <w:lvl w:ilvl="2" w:tplc="0C090005" w:tentative="1">
      <w:start w:val="1"/>
      <w:numFmt w:val="bullet"/>
      <w:lvlText w:val=""/>
      <w:lvlJc w:val="left"/>
      <w:pPr>
        <w:ind w:left="4015" w:hanging="360"/>
      </w:pPr>
      <w:rPr>
        <w:rFonts w:ascii="Wingdings" w:hAnsi="Wingdings" w:hint="default"/>
      </w:rPr>
    </w:lvl>
    <w:lvl w:ilvl="3" w:tplc="0C090001" w:tentative="1">
      <w:start w:val="1"/>
      <w:numFmt w:val="bullet"/>
      <w:lvlText w:val=""/>
      <w:lvlJc w:val="left"/>
      <w:pPr>
        <w:ind w:left="4735" w:hanging="360"/>
      </w:pPr>
      <w:rPr>
        <w:rFonts w:ascii="Symbol" w:hAnsi="Symbol" w:hint="default"/>
      </w:rPr>
    </w:lvl>
    <w:lvl w:ilvl="4" w:tplc="0C090003" w:tentative="1">
      <w:start w:val="1"/>
      <w:numFmt w:val="bullet"/>
      <w:lvlText w:val="o"/>
      <w:lvlJc w:val="left"/>
      <w:pPr>
        <w:ind w:left="5455" w:hanging="360"/>
      </w:pPr>
      <w:rPr>
        <w:rFonts w:ascii="Courier New" w:hAnsi="Courier New" w:cs="Courier New" w:hint="default"/>
      </w:rPr>
    </w:lvl>
    <w:lvl w:ilvl="5" w:tplc="0C090005" w:tentative="1">
      <w:start w:val="1"/>
      <w:numFmt w:val="bullet"/>
      <w:lvlText w:val=""/>
      <w:lvlJc w:val="left"/>
      <w:pPr>
        <w:ind w:left="6175" w:hanging="360"/>
      </w:pPr>
      <w:rPr>
        <w:rFonts w:ascii="Wingdings" w:hAnsi="Wingdings" w:hint="default"/>
      </w:rPr>
    </w:lvl>
    <w:lvl w:ilvl="6" w:tplc="0C090001" w:tentative="1">
      <w:start w:val="1"/>
      <w:numFmt w:val="bullet"/>
      <w:lvlText w:val=""/>
      <w:lvlJc w:val="left"/>
      <w:pPr>
        <w:ind w:left="6895" w:hanging="360"/>
      </w:pPr>
      <w:rPr>
        <w:rFonts w:ascii="Symbol" w:hAnsi="Symbol" w:hint="default"/>
      </w:rPr>
    </w:lvl>
    <w:lvl w:ilvl="7" w:tplc="0C090003" w:tentative="1">
      <w:start w:val="1"/>
      <w:numFmt w:val="bullet"/>
      <w:lvlText w:val="o"/>
      <w:lvlJc w:val="left"/>
      <w:pPr>
        <w:ind w:left="7615" w:hanging="360"/>
      </w:pPr>
      <w:rPr>
        <w:rFonts w:ascii="Courier New" w:hAnsi="Courier New" w:cs="Courier New" w:hint="default"/>
      </w:rPr>
    </w:lvl>
    <w:lvl w:ilvl="8" w:tplc="0C090005" w:tentative="1">
      <w:start w:val="1"/>
      <w:numFmt w:val="bullet"/>
      <w:lvlText w:val=""/>
      <w:lvlJc w:val="left"/>
      <w:pPr>
        <w:ind w:left="8335" w:hanging="360"/>
      </w:pPr>
      <w:rPr>
        <w:rFonts w:ascii="Wingdings" w:hAnsi="Wingdings" w:hint="default"/>
      </w:rPr>
    </w:lvl>
  </w:abstractNum>
  <w:abstractNum w:abstractNumId="19" w15:restartNumberingAfterBreak="0">
    <w:nsid w:val="61C92B00"/>
    <w:multiLevelType w:val="hybridMultilevel"/>
    <w:tmpl w:val="A806A2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7251089"/>
    <w:multiLevelType w:val="hybridMultilevel"/>
    <w:tmpl w:val="1870E6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C85CB3"/>
    <w:multiLevelType w:val="hybridMultilevel"/>
    <w:tmpl w:val="180A8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0"/>
  </w:num>
  <w:num w:numId="2">
    <w:abstractNumId w:val="6"/>
  </w:num>
  <w:num w:numId="3">
    <w:abstractNumId w:val="13"/>
  </w:num>
  <w:num w:numId="4">
    <w:abstractNumId w:val="27"/>
  </w:num>
  <w:num w:numId="5">
    <w:abstractNumId w:val="21"/>
  </w:num>
  <w:num w:numId="6">
    <w:abstractNumId w:val="10"/>
  </w:num>
  <w:num w:numId="7">
    <w:abstractNumId w:val="12"/>
  </w:num>
  <w:num w:numId="8">
    <w:abstractNumId w:val="25"/>
  </w:num>
  <w:num w:numId="9">
    <w:abstractNumId w:val="23"/>
  </w:num>
  <w:num w:numId="10">
    <w:abstractNumId w:val="5"/>
  </w:num>
  <w:num w:numId="11">
    <w:abstractNumId w:val="2"/>
  </w:num>
  <w:num w:numId="12">
    <w:abstractNumId w:val="4"/>
  </w:num>
  <w:num w:numId="13">
    <w:abstractNumId w:val="0"/>
  </w:num>
  <w:num w:numId="14">
    <w:abstractNumId w:val="22"/>
  </w:num>
  <w:num w:numId="15">
    <w:abstractNumId w:val="17"/>
  </w:num>
  <w:num w:numId="16">
    <w:abstractNumId w:val="3"/>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8"/>
  </w:num>
  <w:num w:numId="21">
    <w:abstractNumId w:val="4"/>
  </w:num>
  <w:num w:numId="22">
    <w:abstractNumId w:val="7"/>
  </w:num>
  <w:num w:numId="23">
    <w:abstractNumId w:val="4"/>
  </w:num>
  <w:num w:numId="24">
    <w:abstractNumId w:val="4"/>
  </w:num>
  <w:num w:numId="25">
    <w:abstractNumId w:val="4"/>
  </w:num>
  <w:num w:numId="26">
    <w:abstractNumId w:val="4"/>
  </w:num>
  <w:num w:numId="27">
    <w:abstractNumId w:val="5"/>
  </w:num>
  <w:num w:numId="28">
    <w:abstractNumId w:val="5"/>
  </w:num>
  <w:num w:numId="29">
    <w:abstractNumId w:val="11"/>
  </w:num>
  <w:num w:numId="30">
    <w:abstractNumId w:val="26"/>
  </w:num>
  <w:num w:numId="31">
    <w:abstractNumId w:val="15"/>
  </w:num>
  <w:num w:numId="32">
    <w:abstractNumId w:val="18"/>
  </w:num>
  <w:num w:numId="33">
    <w:abstractNumId w:val="1"/>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num>
  <w:num w:numId="38">
    <w:abstractNumId w:val="4"/>
  </w:num>
  <w:num w:numId="39">
    <w:abstractNumId w:val="14"/>
  </w:num>
  <w:num w:numId="40">
    <w:abstractNumId w:val="4"/>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52E"/>
    <w:rsid w:val="0000270B"/>
    <w:rsid w:val="000068A9"/>
    <w:rsid w:val="00007834"/>
    <w:rsid w:val="00012D3A"/>
    <w:rsid w:val="000134DC"/>
    <w:rsid w:val="00013C11"/>
    <w:rsid w:val="00015459"/>
    <w:rsid w:val="00016E96"/>
    <w:rsid w:val="00031CC3"/>
    <w:rsid w:val="0003502E"/>
    <w:rsid w:val="00035556"/>
    <w:rsid w:val="00040C53"/>
    <w:rsid w:val="00050126"/>
    <w:rsid w:val="000522EB"/>
    <w:rsid w:val="00054028"/>
    <w:rsid w:val="0005471B"/>
    <w:rsid w:val="0005489E"/>
    <w:rsid w:val="00057519"/>
    <w:rsid w:val="00057990"/>
    <w:rsid w:val="00057C00"/>
    <w:rsid w:val="00062A41"/>
    <w:rsid w:val="00062B8C"/>
    <w:rsid w:val="00062EB0"/>
    <w:rsid w:val="00063152"/>
    <w:rsid w:val="0006484E"/>
    <w:rsid w:val="00064DA9"/>
    <w:rsid w:val="00070A51"/>
    <w:rsid w:val="000719BA"/>
    <w:rsid w:val="00071A2B"/>
    <w:rsid w:val="00071DEE"/>
    <w:rsid w:val="00072195"/>
    <w:rsid w:val="0007353F"/>
    <w:rsid w:val="000740FB"/>
    <w:rsid w:val="0007462F"/>
    <w:rsid w:val="000767AC"/>
    <w:rsid w:val="000813F4"/>
    <w:rsid w:val="00081A79"/>
    <w:rsid w:val="000824A3"/>
    <w:rsid w:val="000844B8"/>
    <w:rsid w:val="0008510A"/>
    <w:rsid w:val="000874C5"/>
    <w:rsid w:val="00090E62"/>
    <w:rsid w:val="00092C94"/>
    <w:rsid w:val="00094BEE"/>
    <w:rsid w:val="00096DBB"/>
    <w:rsid w:val="00096E16"/>
    <w:rsid w:val="00097586"/>
    <w:rsid w:val="000A0F55"/>
    <w:rsid w:val="000A443E"/>
    <w:rsid w:val="000A47D4"/>
    <w:rsid w:val="000A66DE"/>
    <w:rsid w:val="000B0223"/>
    <w:rsid w:val="000B0F27"/>
    <w:rsid w:val="000B1912"/>
    <w:rsid w:val="000B1E86"/>
    <w:rsid w:val="000B7774"/>
    <w:rsid w:val="000C0244"/>
    <w:rsid w:val="000C1503"/>
    <w:rsid w:val="000C2A2E"/>
    <w:rsid w:val="000C2FDF"/>
    <w:rsid w:val="000D1C59"/>
    <w:rsid w:val="000D2FA9"/>
    <w:rsid w:val="000D41E5"/>
    <w:rsid w:val="000D4B3B"/>
    <w:rsid w:val="000D6BF2"/>
    <w:rsid w:val="000D7014"/>
    <w:rsid w:val="000E1CFC"/>
    <w:rsid w:val="000E23FE"/>
    <w:rsid w:val="000E29BE"/>
    <w:rsid w:val="000E5D01"/>
    <w:rsid w:val="000F245E"/>
    <w:rsid w:val="000F3022"/>
    <w:rsid w:val="000F6701"/>
    <w:rsid w:val="00100652"/>
    <w:rsid w:val="00105652"/>
    <w:rsid w:val="00105838"/>
    <w:rsid w:val="00105DA4"/>
    <w:rsid w:val="0011352D"/>
    <w:rsid w:val="00113573"/>
    <w:rsid w:val="00113A03"/>
    <w:rsid w:val="00116A0D"/>
    <w:rsid w:val="0011721D"/>
    <w:rsid w:val="001267A9"/>
    <w:rsid w:val="00127454"/>
    <w:rsid w:val="001325BA"/>
    <w:rsid w:val="00133A45"/>
    <w:rsid w:val="00134782"/>
    <w:rsid w:val="00143894"/>
    <w:rsid w:val="00143F6C"/>
    <w:rsid w:val="00145116"/>
    <w:rsid w:val="001514F2"/>
    <w:rsid w:val="00151B03"/>
    <w:rsid w:val="00160349"/>
    <w:rsid w:val="0016216A"/>
    <w:rsid w:val="00162448"/>
    <w:rsid w:val="00162F96"/>
    <w:rsid w:val="00163E20"/>
    <w:rsid w:val="0016466B"/>
    <w:rsid w:val="00171861"/>
    <w:rsid w:val="001732F5"/>
    <w:rsid w:val="001743CC"/>
    <w:rsid w:val="001755A1"/>
    <w:rsid w:val="00175712"/>
    <w:rsid w:val="0018190F"/>
    <w:rsid w:val="00182C8C"/>
    <w:rsid w:val="001846CE"/>
    <w:rsid w:val="00187328"/>
    <w:rsid w:val="001875E9"/>
    <w:rsid w:val="00190A0C"/>
    <w:rsid w:val="00192222"/>
    <w:rsid w:val="00193F39"/>
    <w:rsid w:val="001A1556"/>
    <w:rsid w:val="001A1E37"/>
    <w:rsid w:val="001A4F4B"/>
    <w:rsid w:val="001A692A"/>
    <w:rsid w:val="001B1421"/>
    <w:rsid w:val="001B247F"/>
    <w:rsid w:val="001B6E56"/>
    <w:rsid w:val="001B7FD2"/>
    <w:rsid w:val="001C09F5"/>
    <w:rsid w:val="001C1877"/>
    <w:rsid w:val="001C2B1A"/>
    <w:rsid w:val="001C33D7"/>
    <w:rsid w:val="001C3862"/>
    <w:rsid w:val="001C3D20"/>
    <w:rsid w:val="001C520A"/>
    <w:rsid w:val="001C6958"/>
    <w:rsid w:val="001D0A78"/>
    <w:rsid w:val="001D27C2"/>
    <w:rsid w:val="001D583B"/>
    <w:rsid w:val="001D5D17"/>
    <w:rsid w:val="001D604A"/>
    <w:rsid w:val="001D77A6"/>
    <w:rsid w:val="001E03B6"/>
    <w:rsid w:val="001E07CE"/>
    <w:rsid w:val="001E1C83"/>
    <w:rsid w:val="001E1F63"/>
    <w:rsid w:val="001E4112"/>
    <w:rsid w:val="001E4471"/>
    <w:rsid w:val="001E6BC3"/>
    <w:rsid w:val="001E7AC4"/>
    <w:rsid w:val="001F0C1D"/>
    <w:rsid w:val="001F3A3E"/>
    <w:rsid w:val="001F3E53"/>
    <w:rsid w:val="001F58E1"/>
    <w:rsid w:val="001F5FE3"/>
    <w:rsid w:val="001F6593"/>
    <w:rsid w:val="001F6A77"/>
    <w:rsid w:val="001F77DC"/>
    <w:rsid w:val="00202760"/>
    <w:rsid w:val="002048CD"/>
    <w:rsid w:val="00204A64"/>
    <w:rsid w:val="002066BE"/>
    <w:rsid w:val="0021250E"/>
    <w:rsid w:val="00213926"/>
    <w:rsid w:val="00214F6F"/>
    <w:rsid w:val="00215416"/>
    <w:rsid w:val="00217C11"/>
    <w:rsid w:val="00224FC4"/>
    <w:rsid w:val="002254CD"/>
    <w:rsid w:val="00225DE6"/>
    <w:rsid w:val="00231763"/>
    <w:rsid w:val="00234115"/>
    <w:rsid w:val="0023574E"/>
    <w:rsid w:val="00236F1B"/>
    <w:rsid w:val="00237BB8"/>
    <w:rsid w:val="00244DF3"/>
    <w:rsid w:val="002469EC"/>
    <w:rsid w:val="00246B0C"/>
    <w:rsid w:val="00250AF0"/>
    <w:rsid w:val="00252A3F"/>
    <w:rsid w:val="00254454"/>
    <w:rsid w:val="00257842"/>
    <w:rsid w:val="00261FFA"/>
    <w:rsid w:val="00263D03"/>
    <w:rsid w:val="002640F4"/>
    <w:rsid w:val="00266988"/>
    <w:rsid w:val="00266CA2"/>
    <w:rsid w:val="00272982"/>
    <w:rsid w:val="00282D04"/>
    <w:rsid w:val="00285E04"/>
    <w:rsid w:val="002874DC"/>
    <w:rsid w:val="00287C7E"/>
    <w:rsid w:val="002900DB"/>
    <w:rsid w:val="00291B61"/>
    <w:rsid w:val="00292F08"/>
    <w:rsid w:val="00295A5B"/>
    <w:rsid w:val="00296095"/>
    <w:rsid w:val="00296AA8"/>
    <w:rsid w:val="002971B4"/>
    <w:rsid w:val="002A2C87"/>
    <w:rsid w:val="002A5AB5"/>
    <w:rsid w:val="002A7972"/>
    <w:rsid w:val="002B2B18"/>
    <w:rsid w:val="002B53F4"/>
    <w:rsid w:val="002C27E9"/>
    <w:rsid w:val="002C7AFC"/>
    <w:rsid w:val="002D3834"/>
    <w:rsid w:val="002D68C3"/>
    <w:rsid w:val="002D7B75"/>
    <w:rsid w:val="002E25D5"/>
    <w:rsid w:val="002E3EEA"/>
    <w:rsid w:val="002E71C8"/>
    <w:rsid w:val="002F00C5"/>
    <w:rsid w:val="002F1A23"/>
    <w:rsid w:val="00300077"/>
    <w:rsid w:val="00301803"/>
    <w:rsid w:val="00303F34"/>
    <w:rsid w:val="00303F55"/>
    <w:rsid w:val="003044DD"/>
    <w:rsid w:val="003049E0"/>
    <w:rsid w:val="003056F6"/>
    <w:rsid w:val="0031011E"/>
    <w:rsid w:val="00310148"/>
    <w:rsid w:val="003137C7"/>
    <w:rsid w:val="003147F9"/>
    <w:rsid w:val="00316162"/>
    <w:rsid w:val="00317643"/>
    <w:rsid w:val="0032225B"/>
    <w:rsid w:val="00323710"/>
    <w:rsid w:val="00323997"/>
    <w:rsid w:val="00324512"/>
    <w:rsid w:val="00326008"/>
    <w:rsid w:val="00326409"/>
    <w:rsid w:val="00327F5D"/>
    <w:rsid w:val="0033391A"/>
    <w:rsid w:val="0034101A"/>
    <w:rsid w:val="00342348"/>
    <w:rsid w:val="00345B8F"/>
    <w:rsid w:val="00346579"/>
    <w:rsid w:val="003508A8"/>
    <w:rsid w:val="0035264F"/>
    <w:rsid w:val="0035432C"/>
    <w:rsid w:val="00360370"/>
    <w:rsid w:val="003616E4"/>
    <w:rsid w:val="00361965"/>
    <w:rsid w:val="003624CE"/>
    <w:rsid w:val="00365CE1"/>
    <w:rsid w:val="00372A71"/>
    <w:rsid w:val="0037340E"/>
    <w:rsid w:val="0037480A"/>
    <w:rsid w:val="003753C6"/>
    <w:rsid w:val="003757EE"/>
    <w:rsid w:val="003764EF"/>
    <w:rsid w:val="003771AB"/>
    <w:rsid w:val="00377A63"/>
    <w:rsid w:val="00377E5C"/>
    <w:rsid w:val="00380C49"/>
    <w:rsid w:val="00381BDA"/>
    <w:rsid w:val="003832C6"/>
    <w:rsid w:val="003848D1"/>
    <w:rsid w:val="003866BF"/>
    <w:rsid w:val="00386ECA"/>
    <w:rsid w:val="003924C9"/>
    <w:rsid w:val="003930BD"/>
    <w:rsid w:val="00393883"/>
    <w:rsid w:val="0039598C"/>
    <w:rsid w:val="00397765"/>
    <w:rsid w:val="003A70A0"/>
    <w:rsid w:val="003A749B"/>
    <w:rsid w:val="003A7A2D"/>
    <w:rsid w:val="003B1BCB"/>
    <w:rsid w:val="003B24C1"/>
    <w:rsid w:val="003B2A3B"/>
    <w:rsid w:val="003B6D01"/>
    <w:rsid w:val="003C1ED9"/>
    <w:rsid w:val="003C40B6"/>
    <w:rsid w:val="003C575A"/>
    <w:rsid w:val="003C6284"/>
    <w:rsid w:val="003D140E"/>
    <w:rsid w:val="003D4399"/>
    <w:rsid w:val="003D5480"/>
    <w:rsid w:val="003D6941"/>
    <w:rsid w:val="003D71C5"/>
    <w:rsid w:val="003E0FF5"/>
    <w:rsid w:val="003E1D43"/>
    <w:rsid w:val="003E4B6E"/>
    <w:rsid w:val="003E682B"/>
    <w:rsid w:val="003E7CA6"/>
    <w:rsid w:val="003F25BB"/>
    <w:rsid w:val="003F28BC"/>
    <w:rsid w:val="003F2C66"/>
    <w:rsid w:val="003F3884"/>
    <w:rsid w:val="003F3CB7"/>
    <w:rsid w:val="0040020D"/>
    <w:rsid w:val="004057CB"/>
    <w:rsid w:val="0040674E"/>
    <w:rsid w:val="00407DB2"/>
    <w:rsid w:val="00412987"/>
    <w:rsid w:val="00412B66"/>
    <w:rsid w:val="00415724"/>
    <w:rsid w:val="00416734"/>
    <w:rsid w:val="004167D9"/>
    <w:rsid w:val="0041779B"/>
    <w:rsid w:val="00417CD1"/>
    <w:rsid w:val="004227D2"/>
    <w:rsid w:val="004308A9"/>
    <w:rsid w:val="00430E8B"/>
    <w:rsid w:val="00431F90"/>
    <w:rsid w:val="0043402E"/>
    <w:rsid w:val="00436751"/>
    <w:rsid w:val="0043766F"/>
    <w:rsid w:val="004401FD"/>
    <w:rsid w:val="00443B30"/>
    <w:rsid w:val="00444DAD"/>
    <w:rsid w:val="00445017"/>
    <w:rsid w:val="0044794D"/>
    <w:rsid w:val="00450A34"/>
    <w:rsid w:val="0045229E"/>
    <w:rsid w:val="004545CE"/>
    <w:rsid w:val="00455A07"/>
    <w:rsid w:val="00465300"/>
    <w:rsid w:val="004736CD"/>
    <w:rsid w:val="00473FFB"/>
    <w:rsid w:val="004740D5"/>
    <w:rsid w:val="004746F7"/>
    <w:rsid w:val="00474FAE"/>
    <w:rsid w:val="00476D28"/>
    <w:rsid w:val="00485B5D"/>
    <w:rsid w:val="0048740C"/>
    <w:rsid w:val="004958E3"/>
    <w:rsid w:val="00495CD5"/>
    <w:rsid w:val="00495FA5"/>
    <w:rsid w:val="004A1A0B"/>
    <w:rsid w:val="004A3207"/>
    <w:rsid w:val="004A37C9"/>
    <w:rsid w:val="004A615C"/>
    <w:rsid w:val="004B3E42"/>
    <w:rsid w:val="004B4D93"/>
    <w:rsid w:val="004C080F"/>
    <w:rsid w:val="004C208E"/>
    <w:rsid w:val="004C2A4B"/>
    <w:rsid w:val="004C2EBB"/>
    <w:rsid w:val="004C3AC1"/>
    <w:rsid w:val="004C421F"/>
    <w:rsid w:val="004C4272"/>
    <w:rsid w:val="004C5A14"/>
    <w:rsid w:val="004C7475"/>
    <w:rsid w:val="004C78F4"/>
    <w:rsid w:val="004E171E"/>
    <w:rsid w:val="004E2B56"/>
    <w:rsid w:val="004E3001"/>
    <w:rsid w:val="004E305B"/>
    <w:rsid w:val="004E4FA9"/>
    <w:rsid w:val="004E6F97"/>
    <w:rsid w:val="004E7221"/>
    <w:rsid w:val="004F3BE5"/>
    <w:rsid w:val="004F3D2A"/>
    <w:rsid w:val="004F43BE"/>
    <w:rsid w:val="004F4888"/>
    <w:rsid w:val="004F5C06"/>
    <w:rsid w:val="004F67F4"/>
    <w:rsid w:val="004F6BD4"/>
    <w:rsid w:val="004F7FED"/>
    <w:rsid w:val="00502ADD"/>
    <w:rsid w:val="00504312"/>
    <w:rsid w:val="00505114"/>
    <w:rsid w:val="00506965"/>
    <w:rsid w:val="00507038"/>
    <w:rsid w:val="00507734"/>
    <w:rsid w:val="00510C53"/>
    <w:rsid w:val="005129F6"/>
    <w:rsid w:val="00514617"/>
    <w:rsid w:val="005153D5"/>
    <w:rsid w:val="00515AFB"/>
    <w:rsid w:val="005166C0"/>
    <w:rsid w:val="00522F89"/>
    <w:rsid w:val="0052359A"/>
    <w:rsid w:val="005241CC"/>
    <w:rsid w:val="00524EE2"/>
    <w:rsid w:val="005304D4"/>
    <w:rsid w:val="00533DD6"/>
    <w:rsid w:val="00535CF0"/>
    <w:rsid w:val="00536F9E"/>
    <w:rsid w:val="005413E7"/>
    <w:rsid w:val="00542340"/>
    <w:rsid w:val="005439CF"/>
    <w:rsid w:val="005500A8"/>
    <w:rsid w:val="00551325"/>
    <w:rsid w:val="00552E2A"/>
    <w:rsid w:val="0055330F"/>
    <w:rsid w:val="005541C4"/>
    <w:rsid w:val="00555603"/>
    <w:rsid w:val="00556360"/>
    <w:rsid w:val="00560CE6"/>
    <w:rsid w:val="00560FAA"/>
    <w:rsid w:val="0056176A"/>
    <w:rsid w:val="0056387E"/>
    <w:rsid w:val="005644B4"/>
    <w:rsid w:val="00564620"/>
    <w:rsid w:val="00565922"/>
    <w:rsid w:val="00571B97"/>
    <w:rsid w:val="005730CF"/>
    <w:rsid w:val="005730D2"/>
    <w:rsid w:val="0057311C"/>
    <w:rsid w:val="0057529D"/>
    <w:rsid w:val="00575E18"/>
    <w:rsid w:val="00580349"/>
    <w:rsid w:val="00581D3D"/>
    <w:rsid w:val="005837BF"/>
    <w:rsid w:val="005848F8"/>
    <w:rsid w:val="005869F3"/>
    <w:rsid w:val="0059134D"/>
    <w:rsid w:val="0059138F"/>
    <w:rsid w:val="00591A0D"/>
    <w:rsid w:val="00591E5B"/>
    <w:rsid w:val="005941FC"/>
    <w:rsid w:val="00595593"/>
    <w:rsid w:val="00596694"/>
    <w:rsid w:val="00597C2A"/>
    <w:rsid w:val="005A2588"/>
    <w:rsid w:val="005A463E"/>
    <w:rsid w:val="005A4D97"/>
    <w:rsid w:val="005A68EC"/>
    <w:rsid w:val="005A6D03"/>
    <w:rsid w:val="005B6389"/>
    <w:rsid w:val="005B68B6"/>
    <w:rsid w:val="005B7524"/>
    <w:rsid w:val="005C0459"/>
    <w:rsid w:val="005C13F9"/>
    <w:rsid w:val="005C2C43"/>
    <w:rsid w:val="005C37D2"/>
    <w:rsid w:val="005C4E32"/>
    <w:rsid w:val="005D038B"/>
    <w:rsid w:val="005D21F0"/>
    <w:rsid w:val="005D29B7"/>
    <w:rsid w:val="005D50C0"/>
    <w:rsid w:val="005D6A76"/>
    <w:rsid w:val="005D7AAA"/>
    <w:rsid w:val="005E0718"/>
    <w:rsid w:val="005E2062"/>
    <w:rsid w:val="005E55BD"/>
    <w:rsid w:val="005E5DB7"/>
    <w:rsid w:val="005E77BA"/>
    <w:rsid w:val="005F0B3B"/>
    <w:rsid w:val="005F3C22"/>
    <w:rsid w:val="005F3D9E"/>
    <w:rsid w:val="005F5F44"/>
    <w:rsid w:val="00602092"/>
    <w:rsid w:val="00606CC3"/>
    <w:rsid w:val="00610225"/>
    <w:rsid w:val="006108C0"/>
    <w:rsid w:val="00610AAA"/>
    <w:rsid w:val="00617624"/>
    <w:rsid w:val="0062243C"/>
    <w:rsid w:val="00623882"/>
    <w:rsid w:val="0062437B"/>
    <w:rsid w:val="00624AEE"/>
    <w:rsid w:val="00625332"/>
    <w:rsid w:val="006266B2"/>
    <w:rsid w:val="00630D43"/>
    <w:rsid w:val="006315EB"/>
    <w:rsid w:val="00635E59"/>
    <w:rsid w:val="006410AB"/>
    <w:rsid w:val="0064208C"/>
    <w:rsid w:val="006438E6"/>
    <w:rsid w:val="006452B1"/>
    <w:rsid w:val="00646690"/>
    <w:rsid w:val="0064741F"/>
    <w:rsid w:val="00647F3B"/>
    <w:rsid w:val="0065144D"/>
    <w:rsid w:val="006542FA"/>
    <w:rsid w:val="00654F9E"/>
    <w:rsid w:val="00656536"/>
    <w:rsid w:val="00656BB6"/>
    <w:rsid w:val="0065742D"/>
    <w:rsid w:val="00661C13"/>
    <w:rsid w:val="00663D67"/>
    <w:rsid w:val="0066552A"/>
    <w:rsid w:val="00666332"/>
    <w:rsid w:val="006676B1"/>
    <w:rsid w:val="0066789B"/>
    <w:rsid w:val="00670726"/>
    <w:rsid w:val="00672BC8"/>
    <w:rsid w:val="0067483E"/>
    <w:rsid w:val="006851AC"/>
    <w:rsid w:val="00685DAC"/>
    <w:rsid w:val="00686223"/>
    <w:rsid w:val="0069121E"/>
    <w:rsid w:val="0069185F"/>
    <w:rsid w:val="00691FA2"/>
    <w:rsid w:val="0069663C"/>
    <w:rsid w:val="006A0A21"/>
    <w:rsid w:val="006A0A34"/>
    <w:rsid w:val="006A14D2"/>
    <w:rsid w:val="006A4476"/>
    <w:rsid w:val="006B08D6"/>
    <w:rsid w:val="006B1571"/>
    <w:rsid w:val="006B2E28"/>
    <w:rsid w:val="006B39D7"/>
    <w:rsid w:val="006B4B34"/>
    <w:rsid w:val="006C2AFA"/>
    <w:rsid w:val="006C342C"/>
    <w:rsid w:val="006C4D89"/>
    <w:rsid w:val="006C6BB9"/>
    <w:rsid w:val="006D0129"/>
    <w:rsid w:val="006D29AF"/>
    <w:rsid w:val="006D3514"/>
    <w:rsid w:val="006D43C7"/>
    <w:rsid w:val="006D5EF7"/>
    <w:rsid w:val="006E139E"/>
    <w:rsid w:val="006E3F8C"/>
    <w:rsid w:val="006E5221"/>
    <w:rsid w:val="006E5952"/>
    <w:rsid w:val="006E5F13"/>
    <w:rsid w:val="006E76F3"/>
    <w:rsid w:val="006E7DB7"/>
    <w:rsid w:val="006E7DF1"/>
    <w:rsid w:val="006F2DE0"/>
    <w:rsid w:val="006F34F7"/>
    <w:rsid w:val="006F4E45"/>
    <w:rsid w:val="00700A36"/>
    <w:rsid w:val="00702E29"/>
    <w:rsid w:val="00703C7F"/>
    <w:rsid w:val="00705F2D"/>
    <w:rsid w:val="00705FC3"/>
    <w:rsid w:val="00706689"/>
    <w:rsid w:val="0071042F"/>
    <w:rsid w:val="00711186"/>
    <w:rsid w:val="00711A9A"/>
    <w:rsid w:val="00714122"/>
    <w:rsid w:val="00714B56"/>
    <w:rsid w:val="0071774A"/>
    <w:rsid w:val="00721DC8"/>
    <w:rsid w:val="007232F6"/>
    <w:rsid w:val="00723801"/>
    <w:rsid w:val="00723B94"/>
    <w:rsid w:val="00724859"/>
    <w:rsid w:val="00724CE8"/>
    <w:rsid w:val="00724DCD"/>
    <w:rsid w:val="0072571D"/>
    <w:rsid w:val="0072734E"/>
    <w:rsid w:val="007278DE"/>
    <w:rsid w:val="00727AD4"/>
    <w:rsid w:val="00730200"/>
    <w:rsid w:val="00731351"/>
    <w:rsid w:val="00733FF0"/>
    <w:rsid w:val="00734ED7"/>
    <w:rsid w:val="00737F63"/>
    <w:rsid w:val="007411E2"/>
    <w:rsid w:val="00742FF4"/>
    <w:rsid w:val="007443E5"/>
    <w:rsid w:val="00744CD2"/>
    <w:rsid w:val="007452E7"/>
    <w:rsid w:val="00747296"/>
    <w:rsid w:val="007522AF"/>
    <w:rsid w:val="00754097"/>
    <w:rsid w:val="00754982"/>
    <w:rsid w:val="00757761"/>
    <w:rsid w:val="00763085"/>
    <w:rsid w:val="0076782D"/>
    <w:rsid w:val="00772C27"/>
    <w:rsid w:val="00774AC4"/>
    <w:rsid w:val="00775059"/>
    <w:rsid w:val="00775435"/>
    <w:rsid w:val="0077786D"/>
    <w:rsid w:val="007833F5"/>
    <w:rsid w:val="00783E8B"/>
    <w:rsid w:val="00784E6C"/>
    <w:rsid w:val="00785183"/>
    <w:rsid w:val="00787359"/>
    <w:rsid w:val="00790F25"/>
    <w:rsid w:val="00793843"/>
    <w:rsid w:val="00796A10"/>
    <w:rsid w:val="0079788A"/>
    <w:rsid w:val="00797971"/>
    <w:rsid w:val="007A1E34"/>
    <w:rsid w:val="007A7717"/>
    <w:rsid w:val="007A7A61"/>
    <w:rsid w:val="007B159F"/>
    <w:rsid w:val="007B2E7E"/>
    <w:rsid w:val="007B4050"/>
    <w:rsid w:val="007B4338"/>
    <w:rsid w:val="007B610E"/>
    <w:rsid w:val="007B68AB"/>
    <w:rsid w:val="007C0FE6"/>
    <w:rsid w:val="007C2932"/>
    <w:rsid w:val="007C2A17"/>
    <w:rsid w:val="007C46F7"/>
    <w:rsid w:val="007C46FD"/>
    <w:rsid w:val="007D1B67"/>
    <w:rsid w:val="007D2D69"/>
    <w:rsid w:val="007D493F"/>
    <w:rsid w:val="007E3AE3"/>
    <w:rsid w:val="007E495B"/>
    <w:rsid w:val="007E58CF"/>
    <w:rsid w:val="007E6E04"/>
    <w:rsid w:val="007F005F"/>
    <w:rsid w:val="007F1144"/>
    <w:rsid w:val="007F143E"/>
    <w:rsid w:val="007F21C8"/>
    <w:rsid w:val="007F2299"/>
    <w:rsid w:val="007F2FAB"/>
    <w:rsid w:val="007F5BF6"/>
    <w:rsid w:val="007F60C7"/>
    <w:rsid w:val="00800D12"/>
    <w:rsid w:val="00802A9F"/>
    <w:rsid w:val="00802B67"/>
    <w:rsid w:val="00805037"/>
    <w:rsid w:val="00806ADE"/>
    <w:rsid w:val="008074B5"/>
    <w:rsid w:val="008115AA"/>
    <w:rsid w:val="008118AC"/>
    <w:rsid w:val="00812935"/>
    <w:rsid w:val="00813028"/>
    <w:rsid w:val="00815B83"/>
    <w:rsid w:val="00816FFA"/>
    <w:rsid w:val="0081793F"/>
    <w:rsid w:val="0082220C"/>
    <w:rsid w:val="00822DBF"/>
    <w:rsid w:val="008231EA"/>
    <w:rsid w:val="008243A9"/>
    <w:rsid w:val="0082578A"/>
    <w:rsid w:val="00831E1F"/>
    <w:rsid w:val="00832CEC"/>
    <w:rsid w:val="00850B9D"/>
    <w:rsid w:val="008567F7"/>
    <w:rsid w:val="00860AF2"/>
    <w:rsid w:val="00862446"/>
    <w:rsid w:val="00862A23"/>
    <w:rsid w:val="00865D77"/>
    <w:rsid w:val="00871C62"/>
    <w:rsid w:val="00875ED0"/>
    <w:rsid w:val="00881373"/>
    <w:rsid w:val="00881E6A"/>
    <w:rsid w:val="00884E2D"/>
    <w:rsid w:val="008873BE"/>
    <w:rsid w:val="00890876"/>
    <w:rsid w:val="00893BCE"/>
    <w:rsid w:val="00894737"/>
    <w:rsid w:val="008A1AB9"/>
    <w:rsid w:val="008A1DB2"/>
    <w:rsid w:val="008A3D57"/>
    <w:rsid w:val="008A4D7B"/>
    <w:rsid w:val="008A7984"/>
    <w:rsid w:val="008A7B93"/>
    <w:rsid w:val="008B7158"/>
    <w:rsid w:val="008C14C7"/>
    <w:rsid w:val="008C4C5F"/>
    <w:rsid w:val="008C6074"/>
    <w:rsid w:val="008C6A8E"/>
    <w:rsid w:val="008D0C78"/>
    <w:rsid w:val="008D12C7"/>
    <w:rsid w:val="008D4156"/>
    <w:rsid w:val="008D4221"/>
    <w:rsid w:val="008D531E"/>
    <w:rsid w:val="008D5799"/>
    <w:rsid w:val="008E0B50"/>
    <w:rsid w:val="008E2B23"/>
    <w:rsid w:val="008E2DEB"/>
    <w:rsid w:val="008E4B24"/>
    <w:rsid w:val="008E534F"/>
    <w:rsid w:val="008E55E2"/>
    <w:rsid w:val="008E7BEB"/>
    <w:rsid w:val="008F24DE"/>
    <w:rsid w:val="008F2CBC"/>
    <w:rsid w:val="008F4A0A"/>
    <w:rsid w:val="008F5213"/>
    <w:rsid w:val="008F5268"/>
    <w:rsid w:val="008F6E3A"/>
    <w:rsid w:val="00902C50"/>
    <w:rsid w:val="00911DEA"/>
    <w:rsid w:val="00912D17"/>
    <w:rsid w:val="00913381"/>
    <w:rsid w:val="00917C84"/>
    <w:rsid w:val="00921A91"/>
    <w:rsid w:val="009257F3"/>
    <w:rsid w:val="009276A3"/>
    <w:rsid w:val="009279AE"/>
    <w:rsid w:val="00930581"/>
    <w:rsid w:val="00934C8B"/>
    <w:rsid w:val="00935A30"/>
    <w:rsid w:val="0093759A"/>
    <w:rsid w:val="00941A65"/>
    <w:rsid w:val="00942954"/>
    <w:rsid w:val="00943C1E"/>
    <w:rsid w:val="00943CFB"/>
    <w:rsid w:val="00944067"/>
    <w:rsid w:val="00944292"/>
    <w:rsid w:val="00947B6E"/>
    <w:rsid w:val="009511A9"/>
    <w:rsid w:val="00952A58"/>
    <w:rsid w:val="00953CCD"/>
    <w:rsid w:val="00966FCA"/>
    <w:rsid w:val="0096747D"/>
    <w:rsid w:val="00972579"/>
    <w:rsid w:val="00974856"/>
    <w:rsid w:val="009748B6"/>
    <w:rsid w:val="00974D7F"/>
    <w:rsid w:val="00980C0E"/>
    <w:rsid w:val="00981669"/>
    <w:rsid w:val="00984174"/>
    <w:rsid w:val="00984BAD"/>
    <w:rsid w:val="00985DD5"/>
    <w:rsid w:val="009868E0"/>
    <w:rsid w:val="009871A0"/>
    <w:rsid w:val="009871A6"/>
    <w:rsid w:val="00993122"/>
    <w:rsid w:val="00993A7B"/>
    <w:rsid w:val="00993DA2"/>
    <w:rsid w:val="009940A6"/>
    <w:rsid w:val="00994A94"/>
    <w:rsid w:val="00995521"/>
    <w:rsid w:val="009973BB"/>
    <w:rsid w:val="009A1666"/>
    <w:rsid w:val="009A1CD3"/>
    <w:rsid w:val="009A32A7"/>
    <w:rsid w:val="009A5DFF"/>
    <w:rsid w:val="009A7577"/>
    <w:rsid w:val="009B05C8"/>
    <w:rsid w:val="009B0757"/>
    <w:rsid w:val="009B3924"/>
    <w:rsid w:val="009B6072"/>
    <w:rsid w:val="009B690C"/>
    <w:rsid w:val="009B7020"/>
    <w:rsid w:val="009B7141"/>
    <w:rsid w:val="009C0417"/>
    <w:rsid w:val="009C156F"/>
    <w:rsid w:val="009C1ECD"/>
    <w:rsid w:val="009C2640"/>
    <w:rsid w:val="009C3372"/>
    <w:rsid w:val="009C7148"/>
    <w:rsid w:val="009D122A"/>
    <w:rsid w:val="009D1C94"/>
    <w:rsid w:val="009D541E"/>
    <w:rsid w:val="009D61F9"/>
    <w:rsid w:val="009D7784"/>
    <w:rsid w:val="009E1D55"/>
    <w:rsid w:val="009E273E"/>
    <w:rsid w:val="009E2783"/>
    <w:rsid w:val="009E2983"/>
    <w:rsid w:val="009E455C"/>
    <w:rsid w:val="009E4D51"/>
    <w:rsid w:val="009E5B72"/>
    <w:rsid w:val="009E6707"/>
    <w:rsid w:val="009F71B1"/>
    <w:rsid w:val="009F7D5B"/>
    <w:rsid w:val="00A00DD7"/>
    <w:rsid w:val="00A03C13"/>
    <w:rsid w:val="00A067FB"/>
    <w:rsid w:val="00A06BDB"/>
    <w:rsid w:val="00A103E4"/>
    <w:rsid w:val="00A1062C"/>
    <w:rsid w:val="00A13A36"/>
    <w:rsid w:val="00A14947"/>
    <w:rsid w:val="00A16A17"/>
    <w:rsid w:val="00A21CD2"/>
    <w:rsid w:val="00A2334A"/>
    <w:rsid w:val="00A23AC4"/>
    <w:rsid w:val="00A24200"/>
    <w:rsid w:val="00A2637F"/>
    <w:rsid w:val="00A32D82"/>
    <w:rsid w:val="00A32EAF"/>
    <w:rsid w:val="00A33875"/>
    <w:rsid w:val="00A370C3"/>
    <w:rsid w:val="00A37DEA"/>
    <w:rsid w:val="00A41387"/>
    <w:rsid w:val="00A42098"/>
    <w:rsid w:val="00A42837"/>
    <w:rsid w:val="00A42E20"/>
    <w:rsid w:val="00A42ED5"/>
    <w:rsid w:val="00A44E4B"/>
    <w:rsid w:val="00A4759C"/>
    <w:rsid w:val="00A50262"/>
    <w:rsid w:val="00A54B25"/>
    <w:rsid w:val="00A5600C"/>
    <w:rsid w:val="00A57505"/>
    <w:rsid w:val="00A605FF"/>
    <w:rsid w:val="00A63390"/>
    <w:rsid w:val="00A6574A"/>
    <w:rsid w:val="00A669A6"/>
    <w:rsid w:val="00A67C4E"/>
    <w:rsid w:val="00A70B69"/>
    <w:rsid w:val="00A733F2"/>
    <w:rsid w:val="00A76D51"/>
    <w:rsid w:val="00A80D41"/>
    <w:rsid w:val="00A82DAF"/>
    <w:rsid w:val="00A837BE"/>
    <w:rsid w:val="00A83B85"/>
    <w:rsid w:val="00A86150"/>
    <w:rsid w:val="00A865CD"/>
    <w:rsid w:val="00A86AF3"/>
    <w:rsid w:val="00A96A87"/>
    <w:rsid w:val="00A9777C"/>
    <w:rsid w:val="00AA0D0B"/>
    <w:rsid w:val="00AA1C47"/>
    <w:rsid w:val="00AA4A50"/>
    <w:rsid w:val="00AA5908"/>
    <w:rsid w:val="00AA62AA"/>
    <w:rsid w:val="00AB233D"/>
    <w:rsid w:val="00AB27B5"/>
    <w:rsid w:val="00AB35E3"/>
    <w:rsid w:val="00AB59E9"/>
    <w:rsid w:val="00AB5CFD"/>
    <w:rsid w:val="00AB75A5"/>
    <w:rsid w:val="00AC6195"/>
    <w:rsid w:val="00AC78A9"/>
    <w:rsid w:val="00AC7CF3"/>
    <w:rsid w:val="00AD049A"/>
    <w:rsid w:val="00AD0A7C"/>
    <w:rsid w:val="00AD114F"/>
    <w:rsid w:val="00AD37BF"/>
    <w:rsid w:val="00AD47C6"/>
    <w:rsid w:val="00AD71D7"/>
    <w:rsid w:val="00AD7B9F"/>
    <w:rsid w:val="00AE03C8"/>
    <w:rsid w:val="00AE0BF2"/>
    <w:rsid w:val="00AE1EB4"/>
    <w:rsid w:val="00AE3600"/>
    <w:rsid w:val="00AE61A6"/>
    <w:rsid w:val="00AE6AFE"/>
    <w:rsid w:val="00AE7314"/>
    <w:rsid w:val="00AF0077"/>
    <w:rsid w:val="00AF691C"/>
    <w:rsid w:val="00AF72E5"/>
    <w:rsid w:val="00AF7C91"/>
    <w:rsid w:val="00B005C4"/>
    <w:rsid w:val="00B023C4"/>
    <w:rsid w:val="00B041CB"/>
    <w:rsid w:val="00B05413"/>
    <w:rsid w:val="00B0575A"/>
    <w:rsid w:val="00B06087"/>
    <w:rsid w:val="00B07E62"/>
    <w:rsid w:val="00B12FC1"/>
    <w:rsid w:val="00B133F3"/>
    <w:rsid w:val="00B16950"/>
    <w:rsid w:val="00B211B8"/>
    <w:rsid w:val="00B222AB"/>
    <w:rsid w:val="00B234C7"/>
    <w:rsid w:val="00B23AC1"/>
    <w:rsid w:val="00B25B64"/>
    <w:rsid w:val="00B26CC6"/>
    <w:rsid w:val="00B3103E"/>
    <w:rsid w:val="00B3219A"/>
    <w:rsid w:val="00B34738"/>
    <w:rsid w:val="00B3546F"/>
    <w:rsid w:val="00B37637"/>
    <w:rsid w:val="00B3785F"/>
    <w:rsid w:val="00B42EE1"/>
    <w:rsid w:val="00B4318E"/>
    <w:rsid w:val="00B43F55"/>
    <w:rsid w:val="00B454F5"/>
    <w:rsid w:val="00B46C58"/>
    <w:rsid w:val="00B4717F"/>
    <w:rsid w:val="00B47476"/>
    <w:rsid w:val="00B50583"/>
    <w:rsid w:val="00B5393D"/>
    <w:rsid w:val="00B551E8"/>
    <w:rsid w:val="00B5743B"/>
    <w:rsid w:val="00B5747D"/>
    <w:rsid w:val="00B57BEC"/>
    <w:rsid w:val="00B604BB"/>
    <w:rsid w:val="00B61B96"/>
    <w:rsid w:val="00B62525"/>
    <w:rsid w:val="00B63CE4"/>
    <w:rsid w:val="00B66E1B"/>
    <w:rsid w:val="00B678C1"/>
    <w:rsid w:val="00B67A77"/>
    <w:rsid w:val="00B67AAC"/>
    <w:rsid w:val="00B72701"/>
    <w:rsid w:val="00B73B96"/>
    <w:rsid w:val="00B74715"/>
    <w:rsid w:val="00B76D03"/>
    <w:rsid w:val="00B84A51"/>
    <w:rsid w:val="00B8689D"/>
    <w:rsid w:val="00B90AB8"/>
    <w:rsid w:val="00B90F04"/>
    <w:rsid w:val="00B93565"/>
    <w:rsid w:val="00B94720"/>
    <w:rsid w:val="00B94F5C"/>
    <w:rsid w:val="00B95324"/>
    <w:rsid w:val="00B96486"/>
    <w:rsid w:val="00BA16E8"/>
    <w:rsid w:val="00BA1C8F"/>
    <w:rsid w:val="00BA2189"/>
    <w:rsid w:val="00BA7497"/>
    <w:rsid w:val="00BB144B"/>
    <w:rsid w:val="00BB3D46"/>
    <w:rsid w:val="00BB6240"/>
    <w:rsid w:val="00BB750D"/>
    <w:rsid w:val="00BC0598"/>
    <w:rsid w:val="00BC1176"/>
    <w:rsid w:val="00BC2ACC"/>
    <w:rsid w:val="00BC3255"/>
    <w:rsid w:val="00BC5F22"/>
    <w:rsid w:val="00BC7562"/>
    <w:rsid w:val="00BD039A"/>
    <w:rsid w:val="00BD214F"/>
    <w:rsid w:val="00BD3E1C"/>
    <w:rsid w:val="00BD42DA"/>
    <w:rsid w:val="00BD730C"/>
    <w:rsid w:val="00BE0ABA"/>
    <w:rsid w:val="00BE29F7"/>
    <w:rsid w:val="00BE2BED"/>
    <w:rsid w:val="00BE2D23"/>
    <w:rsid w:val="00BE4604"/>
    <w:rsid w:val="00BE685E"/>
    <w:rsid w:val="00BE750D"/>
    <w:rsid w:val="00BF229A"/>
    <w:rsid w:val="00BF5FA4"/>
    <w:rsid w:val="00C02452"/>
    <w:rsid w:val="00C02DFC"/>
    <w:rsid w:val="00C042BB"/>
    <w:rsid w:val="00C06F90"/>
    <w:rsid w:val="00C12400"/>
    <w:rsid w:val="00C177FE"/>
    <w:rsid w:val="00C202F1"/>
    <w:rsid w:val="00C21180"/>
    <w:rsid w:val="00C22041"/>
    <w:rsid w:val="00C23A0C"/>
    <w:rsid w:val="00C24D07"/>
    <w:rsid w:val="00C2783F"/>
    <w:rsid w:val="00C320E0"/>
    <w:rsid w:val="00C32353"/>
    <w:rsid w:val="00C325B4"/>
    <w:rsid w:val="00C34048"/>
    <w:rsid w:val="00C365D8"/>
    <w:rsid w:val="00C36E40"/>
    <w:rsid w:val="00C41294"/>
    <w:rsid w:val="00C453E8"/>
    <w:rsid w:val="00C45E5C"/>
    <w:rsid w:val="00C47C22"/>
    <w:rsid w:val="00C50160"/>
    <w:rsid w:val="00C52715"/>
    <w:rsid w:val="00C536FF"/>
    <w:rsid w:val="00C57F47"/>
    <w:rsid w:val="00C62177"/>
    <w:rsid w:val="00C66289"/>
    <w:rsid w:val="00C70ED3"/>
    <w:rsid w:val="00C72EE8"/>
    <w:rsid w:val="00C74F4D"/>
    <w:rsid w:val="00C77754"/>
    <w:rsid w:val="00C826B2"/>
    <w:rsid w:val="00C867EB"/>
    <w:rsid w:val="00C86BFA"/>
    <w:rsid w:val="00C90D8E"/>
    <w:rsid w:val="00C90DB5"/>
    <w:rsid w:val="00C92BD2"/>
    <w:rsid w:val="00C9465D"/>
    <w:rsid w:val="00C9551E"/>
    <w:rsid w:val="00C95DAF"/>
    <w:rsid w:val="00C97ADE"/>
    <w:rsid w:val="00CA1440"/>
    <w:rsid w:val="00CA224F"/>
    <w:rsid w:val="00CA272E"/>
    <w:rsid w:val="00CA30A1"/>
    <w:rsid w:val="00CA4033"/>
    <w:rsid w:val="00CA425A"/>
    <w:rsid w:val="00CA5147"/>
    <w:rsid w:val="00CA5A16"/>
    <w:rsid w:val="00CA68C3"/>
    <w:rsid w:val="00CB1CB6"/>
    <w:rsid w:val="00CB2D5B"/>
    <w:rsid w:val="00CB378D"/>
    <w:rsid w:val="00CB5F10"/>
    <w:rsid w:val="00CC14C9"/>
    <w:rsid w:val="00CC5C1D"/>
    <w:rsid w:val="00CD0046"/>
    <w:rsid w:val="00CD5E67"/>
    <w:rsid w:val="00CD6880"/>
    <w:rsid w:val="00CD7A2A"/>
    <w:rsid w:val="00CD7D72"/>
    <w:rsid w:val="00CE0634"/>
    <w:rsid w:val="00CE32F1"/>
    <w:rsid w:val="00CE49C7"/>
    <w:rsid w:val="00CE61CD"/>
    <w:rsid w:val="00CE7DF0"/>
    <w:rsid w:val="00CF3AA1"/>
    <w:rsid w:val="00CF4EC8"/>
    <w:rsid w:val="00D00094"/>
    <w:rsid w:val="00D105FD"/>
    <w:rsid w:val="00D10DDC"/>
    <w:rsid w:val="00D119D2"/>
    <w:rsid w:val="00D15B51"/>
    <w:rsid w:val="00D17EA8"/>
    <w:rsid w:val="00D21283"/>
    <w:rsid w:val="00D22079"/>
    <w:rsid w:val="00D2342A"/>
    <w:rsid w:val="00D234E9"/>
    <w:rsid w:val="00D268BF"/>
    <w:rsid w:val="00D3278E"/>
    <w:rsid w:val="00D36892"/>
    <w:rsid w:val="00D36B96"/>
    <w:rsid w:val="00D401D5"/>
    <w:rsid w:val="00D43C36"/>
    <w:rsid w:val="00D47BFD"/>
    <w:rsid w:val="00D506BE"/>
    <w:rsid w:val="00D51F16"/>
    <w:rsid w:val="00D558F5"/>
    <w:rsid w:val="00D56936"/>
    <w:rsid w:val="00D64922"/>
    <w:rsid w:val="00D67513"/>
    <w:rsid w:val="00D677EF"/>
    <w:rsid w:val="00D713C9"/>
    <w:rsid w:val="00D74268"/>
    <w:rsid w:val="00D7521C"/>
    <w:rsid w:val="00D7735C"/>
    <w:rsid w:val="00D77967"/>
    <w:rsid w:val="00D8272E"/>
    <w:rsid w:val="00D82D7C"/>
    <w:rsid w:val="00D8353F"/>
    <w:rsid w:val="00D867FA"/>
    <w:rsid w:val="00D90887"/>
    <w:rsid w:val="00D90B2A"/>
    <w:rsid w:val="00D9176C"/>
    <w:rsid w:val="00D91D64"/>
    <w:rsid w:val="00D92C67"/>
    <w:rsid w:val="00D92D00"/>
    <w:rsid w:val="00D9609F"/>
    <w:rsid w:val="00D96A98"/>
    <w:rsid w:val="00DA1CFE"/>
    <w:rsid w:val="00DA3E4E"/>
    <w:rsid w:val="00DA5FCE"/>
    <w:rsid w:val="00DA699A"/>
    <w:rsid w:val="00DB6260"/>
    <w:rsid w:val="00DB65EA"/>
    <w:rsid w:val="00DB7E40"/>
    <w:rsid w:val="00DC36B0"/>
    <w:rsid w:val="00DC4A49"/>
    <w:rsid w:val="00DC5DC8"/>
    <w:rsid w:val="00DC6C5F"/>
    <w:rsid w:val="00DD3E80"/>
    <w:rsid w:val="00DE026D"/>
    <w:rsid w:val="00DE1650"/>
    <w:rsid w:val="00DE2163"/>
    <w:rsid w:val="00DE47B4"/>
    <w:rsid w:val="00DE60AD"/>
    <w:rsid w:val="00DF02DC"/>
    <w:rsid w:val="00DF16C7"/>
    <w:rsid w:val="00DF3E23"/>
    <w:rsid w:val="00DF4A65"/>
    <w:rsid w:val="00DF58FF"/>
    <w:rsid w:val="00E10156"/>
    <w:rsid w:val="00E13744"/>
    <w:rsid w:val="00E14916"/>
    <w:rsid w:val="00E16648"/>
    <w:rsid w:val="00E166D4"/>
    <w:rsid w:val="00E30267"/>
    <w:rsid w:val="00E3216B"/>
    <w:rsid w:val="00E32715"/>
    <w:rsid w:val="00E34199"/>
    <w:rsid w:val="00E34248"/>
    <w:rsid w:val="00E3557B"/>
    <w:rsid w:val="00E37925"/>
    <w:rsid w:val="00E400E6"/>
    <w:rsid w:val="00E403E6"/>
    <w:rsid w:val="00E41B5C"/>
    <w:rsid w:val="00E429D6"/>
    <w:rsid w:val="00E4509A"/>
    <w:rsid w:val="00E46C98"/>
    <w:rsid w:val="00E4742C"/>
    <w:rsid w:val="00E51147"/>
    <w:rsid w:val="00E51C10"/>
    <w:rsid w:val="00E51FF5"/>
    <w:rsid w:val="00E52360"/>
    <w:rsid w:val="00E53A71"/>
    <w:rsid w:val="00E53F89"/>
    <w:rsid w:val="00E5476D"/>
    <w:rsid w:val="00E57C0A"/>
    <w:rsid w:val="00E57D53"/>
    <w:rsid w:val="00E6396A"/>
    <w:rsid w:val="00E66220"/>
    <w:rsid w:val="00E7227D"/>
    <w:rsid w:val="00E766D3"/>
    <w:rsid w:val="00E76BC6"/>
    <w:rsid w:val="00E77BC2"/>
    <w:rsid w:val="00E80E04"/>
    <w:rsid w:val="00E82C43"/>
    <w:rsid w:val="00E83033"/>
    <w:rsid w:val="00E83EEF"/>
    <w:rsid w:val="00E84D35"/>
    <w:rsid w:val="00E853E1"/>
    <w:rsid w:val="00E857C1"/>
    <w:rsid w:val="00E868E8"/>
    <w:rsid w:val="00E9553F"/>
    <w:rsid w:val="00E95E10"/>
    <w:rsid w:val="00E960DD"/>
    <w:rsid w:val="00E977BF"/>
    <w:rsid w:val="00EA116C"/>
    <w:rsid w:val="00EA3535"/>
    <w:rsid w:val="00EA415A"/>
    <w:rsid w:val="00EA427E"/>
    <w:rsid w:val="00EA4293"/>
    <w:rsid w:val="00EA4AEB"/>
    <w:rsid w:val="00EA5669"/>
    <w:rsid w:val="00EA5E8D"/>
    <w:rsid w:val="00EA6A9C"/>
    <w:rsid w:val="00EB16EF"/>
    <w:rsid w:val="00EB4320"/>
    <w:rsid w:val="00EB62C4"/>
    <w:rsid w:val="00EC0457"/>
    <w:rsid w:val="00EC4F8F"/>
    <w:rsid w:val="00EC526D"/>
    <w:rsid w:val="00EC5583"/>
    <w:rsid w:val="00EC7CD3"/>
    <w:rsid w:val="00ED072E"/>
    <w:rsid w:val="00ED6A5A"/>
    <w:rsid w:val="00ED761D"/>
    <w:rsid w:val="00EE0B8D"/>
    <w:rsid w:val="00EE0DA2"/>
    <w:rsid w:val="00EE4E82"/>
    <w:rsid w:val="00EE680E"/>
    <w:rsid w:val="00EE6EE8"/>
    <w:rsid w:val="00EE7915"/>
    <w:rsid w:val="00EF04E0"/>
    <w:rsid w:val="00EF13BF"/>
    <w:rsid w:val="00EF38AE"/>
    <w:rsid w:val="00EF5311"/>
    <w:rsid w:val="00EF5B98"/>
    <w:rsid w:val="00EF73EA"/>
    <w:rsid w:val="00EF78E1"/>
    <w:rsid w:val="00F02B3C"/>
    <w:rsid w:val="00F05F52"/>
    <w:rsid w:val="00F071A8"/>
    <w:rsid w:val="00F07642"/>
    <w:rsid w:val="00F10E3C"/>
    <w:rsid w:val="00F15E6F"/>
    <w:rsid w:val="00F16B57"/>
    <w:rsid w:val="00F1761B"/>
    <w:rsid w:val="00F17A0C"/>
    <w:rsid w:val="00F17C7D"/>
    <w:rsid w:val="00F20EAF"/>
    <w:rsid w:val="00F2401C"/>
    <w:rsid w:val="00F24389"/>
    <w:rsid w:val="00F2446C"/>
    <w:rsid w:val="00F260B1"/>
    <w:rsid w:val="00F31945"/>
    <w:rsid w:val="00F336AC"/>
    <w:rsid w:val="00F34D4A"/>
    <w:rsid w:val="00F35BCE"/>
    <w:rsid w:val="00F36618"/>
    <w:rsid w:val="00F372F5"/>
    <w:rsid w:val="00F37F08"/>
    <w:rsid w:val="00F41576"/>
    <w:rsid w:val="00F4212F"/>
    <w:rsid w:val="00F46D65"/>
    <w:rsid w:val="00F4702E"/>
    <w:rsid w:val="00F51987"/>
    <w:rsid w:val="00F55D69"/>
    <w:rsid w:val="00F562BC"/>
    <w:rsid w:val="00F563F4"/>
    <w:rsid w:val="00F5773B"/>
    <w:rsid w:val="00F615B8"/>
    <w:rsid w:val="00F61DFC"/>
    <w:rsid w:val="00F61FA1"/>
    <w:rsid w:val="00F62930"/>
    <w:rsid w:val="00F62EEE"/>
    <w:rsid w:val="00F634A3"/>
    <w:rsid w:val="00F67A87"/>
    <w:rsid w:val="00F739AC"/>
    <w:rsid w:val="00F7474B"/>
    <w:rsid w:val="00F7482D"/>
    <w:rsid w:val="00F766F6"/>
    <w:rsid w:val="00F76CB5"/>
    <w:rsid w:val="00F77976"/>
    <w:rsid w:val="00F804E0"/>
    <w:rsid w:val="00F814AD"/>
    <w:rsid w:val="00F82A5D"/>
    <w:rsid w:val="00F82AA7"/>
    <w:rsid w:val="00F848B9"/>
    <w:rsid w:val="00F86073"/>
    <w:rsid w:val="00F86590"/>
    <w:rsid w:val="00F86D5D"/>
    <w:rsid w:val="00F8799E"/>
    <w:rsid w:val="00F901D3"/>
    <w:rsid w:val="00F942F4"/>
    <w:rsid w:val="00F943D6"/>
    <w:rsid w:val="00F9598B"/>
    <w:rsid w:val="00F968B7"/>
    <w:rsid w:val="00F97879"/>
    <w:rsid w:val="00FA63F8"/>
    <w:rsid w:val="00FA64C7"/>
    <w:rsid w:val="00FB0BEC"/>
    <w:rsid w:val="00FB1ED8"/>
    <w:rsid w:val="00FB6047"/>
    <w:rsid w:val="00FC0522"/>
    <w:rsid w:val="00FC3D3D"/>
    <w:rsid w:val="00FC3F31"/>
    <w:rsid w:val="00FC413F"/>
    <w:rsid w:val="00FC5F2A"/>
    <w:rsid w:val="00FC7F3A"/>
    <w:rsid w:val="00FD3DAB"/>
    <w:rsid w:val="00FD4A5A"/>
    <w:rsid w:val="00FD6363"/>
    <w:rsid w:val="00FD6A01"/>
    <w:rsid w:val="00FE0606"/>
    <w:rsid w:val="00FE6132"/>
    <w:rsid w:val="00FE666E"/>
    <w:rsid w:val="00FE67E2"/>
    <w:rsid w:val="00FE78F8"/>
    <w:rsid w:val="00FF117F"/>
    <w:rsid w:val="00FF443B"/>
    <w:rsid w:val="00FF4886"/>
    <w:rsid w:val="00FF74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3D47548"/>
  <w15:chartTrackingRefBased/>
  <w15:docId w15:val="{1800764E-6765-47C3-892B-3329897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1E2"/>
    <w:pPr>
      <w:spacing w:line="240" w:lineRule="auto"/>
    </w:pPr>
    <w:rPr>
      <w:rFonts w:ascii="Calibri" w:hAnsi="Calibri"/>
    </w:rPr>
  </w:style>
  <w:style w:type="paragraph" w:styleId="Heading1">
    <w:name w:val="heading 1"/>
    <w:basedOn w:val="Normal"/>
    <w:next w:val="Normal"/>
    <w:link w:val="Heading1Char"/>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nhideWhenUsed/>
    <w:qFormat/>
    <w:rsid w:val="00F739AC"/>
    <w:pPr>
      <w:keepNext/>
      <w:numPr>
        <w:numId w:val="37"/>
      </w:numPr>
      <w:spacing w:before="240" w:after="120" w:line="280" w:lineRule="atLeast"/>
      <w:outlineLvl w:val="1"/>
    </w:pPr>
    <w:rPr>
      <w:rFonts w:eastAsia="SimSun" w:cs="Times New Roman"/>
      <w:color w:val="081E3E"/>
      <w:kern w:val="12"/>
      <w:sz w:val="36"/>
      <w:szCs w:val="26"/>
    </w:rPr>
  </w:style>
  <w:style w:type="paragraph" w:styleId="Heading3">
    <w:name w:val="heading 3"/>
    <w:basedOn w:val="Normal"/>
    <w:next w:val="Normal"/>
    <w:link w:val="Heading3Char"/>
    <w:unhideWhenUsed/>
    <w:qFormat/>
    <w:rsid w:val="001A692A"/>
    <w:pPr>
      <w:keepNext/>
      <w:numPr>
        <w:ilvl w:val="1"/>
        <w:numId w:val="37"/>
      </w:numPr>
      <w:spacing w:before="120" w:after="120" w:line="280" w:lineRule="atLeast"/>
      <w:outlineLvl w:val="2"/>
    </w:pPr>
    <w:rPr>
      <w:rFonts w:eastAsia="SimSun" w:cs="Times New Roman"/>
      <w:b/>
      <w:color w:val="595C6E"/>
      <w:kern w:val="12"/>
      <w:sz w:val="32"/>
      <w:szCs w:val="24"/>
    </w:rPr>
  </w:style>
  <w:style w:type="paragraph" w:styleId="Heading4">
    <w:name w:val="heading 4"/>
    <w:basedOn w:val="Normal"/>
    <w:next w:val="Normal"/>
    <w:link w:val="Heading4Char"/>
    <w:unhideWhenUsed/>
    <w:qFormat/>
    <w:rsid w:val="0045229E"/>
    <w:pPr>
      <w:keepNext/>
      <w:keepLines/>
      <w:suppressAutoHyphens/>
      <w:spacing w:before="120" w:after="120"/>
      <w:outlineLvl w:val="3"/>
    </w:pPr>
    <w:rPr>
      <w:rFonts w:eastAsia="SimSun" w:cs="Times New Roman"/>
      <w:b/>
      <w:iCs/>
      <w:color w:val="595C6E"/>
      <w:kern w:val="12"/>
      <w:sz w:val="26"/>
      <w:szCs w:val="20"/>
    </w:rPr>
  </w:style>
  <w:style w:type="paragraph" w:styleId="Heading5">
    <w:name w:val="heading 5"/>
    <w:basedOn w:val="Normal"/>
    <w:next w:val="Normal"/>
    <w:link w:val="Heading5Char"/>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qFormat/>
    <w:rsid w:val="00733FF0"/>
    <w:pPr>
      <w:spacing w:before="240" w:after="60" w:line="280" w:lineRule="atLeast"/>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 w:val="20"/>
      <w:szCs w:val="20"/>
    </w:rPr>
  </w:style>
  <w:style w:type="paragraph" w:styleId="Header">
    <w:name w:val="header"/>
    <w:basedOn w:val="Normal"/>
    <w:link w:val="HeaderChar"/>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rsid w:val="00F739AC"/>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rsid w:val="001A692A"/>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rsid w:val="004522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Recommendation,List Paragraph1,List Paragraph11,Bullet List,Bullet list,Bulletr List Paragraph,FooterText,List Paragraph2,List Paragraph21,Listeafsnit1,Listenabsatz,Paragraphe de liste1,Parágrafo da Lista1,bullet point list,numbered,リスト段落"/>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uiPriority w:val="12"/>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7411E2"/>
    <w:pPr>
      <w:keepNext/>
      <w:spacing w:before="360"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C24D07"/>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1F3E53"/>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customStyle="1" w:styleId="UnresolvedMention1">
    <w:name w:val="Unresolved Mention1"/>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unhideWhenUsed/>
    <w:qFormat/>
    <w:rsid w:val="00A32D82"/>
    <w:pPr>
      <w:spacing w:after="200"/>
    </w:pPr>
    <w:rPr>
      <w:i/>
      <w:iCs/>
      <w:color w:val="44546A" w:themeColor="text2"/>
      <w:sz w:val="18"/>
      <w:szCs w:val="18"/>
    </w:rPr>
  </w:style>
  <w:style w:type="character" w:customStyle="1" w:styleId="Heading9Char">
    <w:name w:val="Heading 9 Char"/>
    <w:basedOn w:val="DefaultParagraphFont"/>
    <w:link w:val="Heading9"/>
    <w:rsid w:val="00733FF0"/>
    <w:rPr>
      <w:rFonts w:ascii="Arial" w:eastAsia="Times New Roman" w:hAnsi="Arial" w:cs="Arial"/>
      <w:sz w:val="20"/>
    </w:rPr>
  </w:style>
  <w:style w:type="paragraph" w:styleId="ListNumber">
    <w:name w:val="List Number"/>
    <w:basedOn w:val="Normal"/>
    <w:qFormat/>
    <w:rsid w:val="00733FF0"/>
    <w:pPr>
      <w:numPr>
        <w:numId w:val="5"/>
      </w:numPr>
      <w:spacing w:before="40" w:after="120" w:line="280" w:lineRule="atLeast"/>
    </w:pPr>
    <w:rPr>
      <w:rFonts w:ascii="Arial" w:eastAsia="Times New Roman" w:hAnsi="Arial" w:cs="Times New Roman"/>
      <w:sz w:val="20"/>
      <w:szCs w:val="20"/>
    </w:rPr>
  </w:style>
  <w:style w:type="character" w:customStyle="1" w:styleId="FootnoteTextChar1">
    <w:name w:val="Footnote Text Char1"/>
    <w:basedOn w:val="DefaultParagraphFont"/>
    <w:uiPriority w:val="99"/>
    <w:rsid w:val="00733FF0"/>
    <w:rPr>
      <w:sz w:val="16"/>
    </w:rPr>
  </w:style>
  <w:style w:type="paragraph" w:styleId="ListBullet2">
    <w:name w:val="List Bullet 2"/>
    <w:aliases w:val="Dot-dash bullet"/>
    <w:basedOn w:val="ListBullet"/>
    <w:rsid w:val="00733FF0"/>
    <w:pPr>
      <w:numPr>
        <w:numId w:val="6"/>
      </w:numPr>
      <w:spacing w:line="240" w:lineRule="auto"/>
    </w:pPr>
  </w:style>
  <w:style w:type="paragraph" w:styleId="ListBullet3">
    <w:name w:val="List Bullet 3"/>
    <w:aliases w:val="Indent Quote Bullet"/>
    <w:rsid w:val="00733FF0"/>
    <w:pPr>
      <w:numPr>
        <w:numId w:val="7"/>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B0575A"/>
    <w:pPr>
      <w:numPr>
        <w:numId w:val="10"/>
      </w:numPr>
      <w:spacing w:line="280" w:lineRule="atLeast"/>
      <w:ind w:left="2835" w:hanging="567"/>
      <w:contextualSpacing/>
    </w:pPr>
    <w:rPr>
      <w:rFonts w:asciiTheme="minorHAnsi" w:eastAsia="Times New Roman" w:hAnsiTheme="minorHAnsi" w:cs="Times New Roman"/>
      <w:iCs/>
      <w:szCs w:val="20"/>
    </w:rPr>
  </w:style>
  <w:style w:type="paragraph" w:styleId="DocumentMap">
    <w:name w:val="Document Map"/>
    <w:basedOn w:val="Normal"/>
    <w:link w:val="DocumentMapChar"/>
    <w:semiHidden/>
    <w:rsid w:val="00733FF0"/>
    <w:pPr>
      <w:shd w:val="clear" w:color="auto" w:fill="000080"/>
      <w:spacing w:before="40" w:after="120" w:line="280" w:lineRule="atLeas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33FF0"/>
    <w:rPr>
      <w:rFonts w:ascii="Tahoma" w:eastAsia="Times New Roman" w:hAnsi="Tahoma" w:cs="Tahoma"/>
      <w:sz w:val="20"/>
      <w:szCs w:val="20"/>
      <w:shd w:val="clear" w:color="auto" w:fill="000080"/>
    </w:rPr>
  </w:style>
  <w:style w:type="paragraph" w:styleId="ListNumber2">
    <w:name w:val="List Number 2"/>
    <w:basedOn w:val="ListNumber"/>
    <w:rsid w:val="00733FF0"/>
    <w:pPr>
      <w:numPr>
        <w:numId w:val="11"/>
      </w:numPr>
    </w:pPr>
  </w:style>
  <w:style w:type="paragraph" w:styleId="ListNumber3">
    <w:name w:val="List Number 3"/>
    <w:basedOn w:val="ListNumber2"/>
    <w:rsid w:val="00733FF0"/>
    <w:pPr>
      <w:numPr>
        <w:numId w:val="0"/>
      </w:numPr>
      <w:spacing w:before="60" w:after="60"/>
      <w:ind w:left="1080" w:hanging="360"/>
    </w:pPr>
  </w:style>
  <w:style w:type="paragraph" w:customStyle="1" w:styleId="Default">
    <w:name w:val="Default"/>
    <w:rsid w:val="00733FF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rsid w:val="00733FF0"/>
    <w:pPr>
      <w:spacing w:before="40" w:after="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rsid w:val="00733FF0"/>
    <w:rPr>
      <w:rFonts w:ascii="Tahoma" w:eastAsia="Times New Roman" w:hAnsi="Tahoma" w:cs="Tahoma"/>
      <w:sz w:val="16"/>
      <w:szCs w:val="16"/>
    </w:rPr>
  </w:style>
  <w:style w:type="numbering" w:customStyle="1" w:styleId="StyleBulleted">
    <w:name w:val="Style Bulleted"/>
    <w:basedOn w:val="NoList"/>
    <w:rsid w:val="00733FF0"/>
    <w:pPr>
      <w:numPr>
        <w:numId w:val="8"/>
      </w:numPr>
    </w:pPr>
  </w:style>
  <w:style w:type="paragraph" w:customStyle="1" w:styleId="ReferencesText">
    <w:name w:val="References Text"/>
    <w:basedOn w:val="Normal"/>
    <w:rsid w:val="00733FF0"/>
    <w:pPr>
      <w:spacing w:before="40" w:after="120" w:line="320" w:lineRule="atLeast"/>
      <w:ind w:left="567" w:hanging="567"/>
    </w:pPr>
    <w:rPr>
      <w:rFonts w:ascii="Times New Roman" w:eastAsia="Times New Roman" w:hAnsi="Times New Roman" w:cs="Times New Roman"/>
      <w:sz w:val="24"/>
      <w:szCs w:val="20"/>
    </w:rPr>
  </w:style>
  <w:style w:type="paragraph" w:customStyle="1" w:styleId="OtherHeadings">
    <w:name w:val="Other Headings"/>
    <w:basedOn w:val="Heading2"/>
    <w:next w:val="Normal"/>
    <w:rsid w:val="00733FF0"/>
    <w:pPr>
      <w:tabs>
        <w:tab w:val="left" w:pos="1134"/>
      </w:tabs>
    </w:pPr>
    <w:rPr>
      <w:rFonts w:ascii="Verdana" w:eastAsia="Times New Roman" w:hAnsi="Verdana"/>
      <w:b/>
      <w:color w:val="auto"/>
      <w:kern w:val="0"/>
      <w:sz w:val="32"/>
      <w:szCs w:val="20"/>
    </w:rPr>
  </w:style>
  <w:style w:type="numbering" w:customStyle="1" w:styleId="StyleNumbered">
    <w:name w:val="Style Numbered"/>
    <w:basedOn w:val="NoList"/>
    <w:rsid w:val="00733FF0"/>
    <w:pPr>
      <w:numPr>
        <w:numId w:val="9"/>
      </w:numPr>
    </w:pPr>
  </w:style>
  <w:style w:type="table" w:customStyle="1" w:styleId="AusIndustryTable">
    <w:name w:val="AusIndustry Table"/>
    <w:basedOn w:val="TableNormal"/>
    <w:rsid w:val="00733FF0"/>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0"/>
    <w:next w:val="Normal"/>
    <w:rsid w:val="00733FF0"/>
    <w:rPr>
      <w:color w:val="FFFFFF" w:themeColor="background1"/>
    </w:rPr>
  </w:style>
  <w:style w:type="paragraph" w:customStyle="1" w:styleId="DefaultTableText">
    <w:name w:val="Default Table Text"/>
    <w:basedOn w:val="Normal"/>
    <w:rsid w:val="00733FF0"/>
    <w:pPr>
      <w:spacing w:before="80" w:after="80" w:line="280" w:lineRule="atLeast"/>
    </w:pPr>
    <w:rPr>
      <w:rFonts w:ascii="Times New Roman" w:eastAsia="Times New Roman" w:hAnsi="Times New Roman" w:cs="Times New Roman"/>
      <w:sz w:val="20"/>
      <w:szCs w:val="20"/>
    </w:rPr>
  </w:style>
  <w:style w:type="paragraph" w:customStyle="1" w:styleId="IndentQuote">
    <w:name w:val="Indent Quote"/>
    <w:basedOn w:val="Normal"/>
    <w:next w:val="Normal"/>
    <w:rsid w:val="00733FF0"/>
    <w:pPr>
      <w:spacing w:before="40" w:after="120" w:line="320" w:lineRule="atLeast"/>
      <w:ind w:left="567"/>
    </w:pPr>
    <w:rPr>
      <w:rFonts w:ascii="Times New Roman" w:eastAsia="Times New Roman" w:hAnsi="Times New Roman" w:cs="Times New Roman"/>
      <w:sz w:val="20"/>
      <w:szCs w:val="20"/>
    </w:rPr>
  </w:style>
  <w:style w:type="paragraph" w:customStyle="1" w:styleId="NumberedParas">
    <w:name w:val="Numbered Paras"/>
    <w:basedOn w:val="Normal"/>
    <w:rsid w:val="00733FF0"/>
    <w:pPr>
      <w:spacing w:before="40" w:after="0" w:line="280" w:lineRule="atLeast"/>
    </w:pPr>
    <w:rPr>
      <w:rFonts w:ascii="Arial" w:eastAsia="Times New Roman" w:hAnsi="Arial" w:cs="Arial"/>
      <w:b/>
      <w:bCs/>
      <w:sz w:val="20"/>
      <w:szCs w:val="20"/>
    </w:rPr>
  </w:style>
  <w:style w:type="paragraph" w:styleId="BodyText">
    <w:name w:val="Body Text"/>
    <w:basedOn w:val="Default"/>
    <w:next w:val="Default"/>
    <w:link w:val="BodyTextChar"/>
    <w:rsid w:val="00733FF0"/>
    <w:pPr>
      <w:spacing w:before="120" w:after="120"/>
    </w:pPr>
    <w:rPr>
      <w:rFonts w:cs="Times New Roman"/>
      <w:color w:val="auto"/>
      <w:lang w:eastAsia="en-AU"/>
    </w:rPr>
  </w:style>
  <w:style w:type="character" w:customStyle="1" w:styleId="BodyTextChar">
    <w:name w:val="Body Text Char"/>
    <w:basedOn w:val="DefaultParagraphFont"/>
    <w:link w:val="BodyText"/>
    <w:rsid w:val="00733FF0"/>
    <w:rPr>
      <w:rFonts w:ascii="Arial" w:eastAsia="Times New Roman" w:hAnsi="Arial" w:cs="Times New Roman"/>
      <w:sz w:val="24"/>
      <w:szCs w:val="24"/>
      <w:lang w:eastAsia="en-AU"/>
    </w:rPr>
  </w:style>
  <w:style w:type="character" w:styleId="CommentReference">
    <w:name w:val="annotation reference"/>
    <w:uiPriority w:val="99"/>
    <w:rsid w:val="00733FF0"/>
    <w:rPr>
      <w:sz w:val="16"/>
      <w:szCs w:val="16"/>
    </w:rPr>
  </w:style>
  <w:style w:type="paragraph" w:styleId="CommentText">
    <w:name w:val="annotation text"/>
    <w:basedOn w:val="Normal"/>
    <w:link w:val="CommentTextChar"/>
    <w:uiPriority w:val="99"/>
    <w:rsid w:val="00733FF0"/>
    <w:pPr>
      <w:spacing w:before="40" w:after="120" w:line="32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33F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33FF0"/>
    <w:rPr>
      <w:b/>
      <w:bCs/>
    </w:rPr>
  </w:style>
  <w:style w:type="character" w:customStyle="1" w:styleId="CommentSubjectChar">
    <w:name w:val="Comment Subject Char"/>
    <w:basedOn w:val="CommentTextChar"/>
    <w:link w:val="CommentSubject"/>
    <w:rsid w:val="00733FF0"/>
    <w:rPr>
      <w:rFonts w:ascii="Times New Roman" w:eastAsia="Times New Roman" w:hAnsi="Times New Roman" w:cs="Times New Roman"/>
      <w:b/>
      <w:bCs/>
      <w:sz w:val="20"/>
      <w:szCs w:val="20"/>
    </w:rPr>
  </w:style>
  <w:style w:type="character" w:styleId="Emphasis">
    <w:name w:val="Emphasis"/>
    <w:basedOn w:val="DefaultParagraphFont"/>
    <w:uiPriority w:val="20"/>
    <w:rsid w:val="00733FF0"/>
    <w:rPr>
      <w:i/>
      <w:iCs/>
    </w:rPr>
  </w:style>
  <w:style w:type="paragraph" w:customStyle="1" w:styleId="StyleBefore6pt">
    <w:name w:val="Style Before:  6 pt"/>
    <w:basedOn w:val="Normal"/>
    <w:rsid w:val="00733FF0"/>
    <w:pPr>
      <w:suppressAutoHyphens/>
      <w:spacing w:before="40" w:after="60" w:line="320" w:lineRule="atLeast"/>
    </w:pPr>
    <w:rPr>
      <w:rFonts w:ascii="Arial" w:eastAsia="Times New Roman" w:hAnsi="Arial" w:cs="Times New Roman"/>
      <w:sz w:val="20"/>
      <w:szCs w:val="20"/>
      <w:lang w:eastAsia="ar-SA"/>
    </w:rPr>
  </w:style>
  <w:style w:type="paragraph" w:customStyle="1" w:styleId="StyleBoldGreenBefore6pt">
    <w:name w:val="Style Bold Green Before:  6 pt"/>
    <w:basedOn w:val="Normal"/>
    <w:rsid w:val="00733FF0"/>
    <w:pPr>
      <w:suppressAutoHyphens/>
      <w:spacing w:before="60" w:after="120" w:line="320" w:lineRule="atLeast"/>
    </w:pPr>
    <w:rPr>
      <w:rFonts w:ascii="Arial" w:eastAsia="Times New Roman" w:hAnsi="Arial" w:cs="Times New Roman"/>
      <w:b/>
      <w:bCs/>
      <w:color w:val="008000"/>
      <w:sz w:val="20"/>
      <w:szCs w:val="20"/>
      <w:lang w:eastAsia="ar-SA"/>
    </w:rPr>
  </w:style>
  <w:style w:type="character" w:styleId="PageNumber">
    <w:name w:val="page number"/>
    <w:rsid w:val="00733FF0"/>
    <w:rPr>
      <w:rFonts w:cs="Times New Roman"/>
    </w:rPr>
  </w:style>
  <w:style w:type="paragraph" w:customStyle="1" w:styleId="Normal-Style2">
    <w:name w:val="Normal - Style2"/>
    <w:basedOn w:val="NoSpacing"/>
    <w:qFormat/>
    <w:rsid w:val="00F46D65"/>
    <w:pPr>
      <w:numPr>
        <w:ilvl w:val="2"/>
        <w:numId w:val="37"/>
      </w:numPr>
      <w:spacing w:after="160" w:line="280" w:lineRule="atLeast"/>
    </w:pPr>
    <w:rPr>
      <w:rFonts w:asciiTheme="minorHAnsi" w:eastAsia="Times New Roman" w:hAnsiTheme="minorHAnsi" w:cs="Arial"/>
      <w:sz w:val="22"/>
      <w:szCs w:val="20"/>
    </w:rPr>
  </w:style>
  <w:style w:type="paragraph" w:customStyle="1" w:styleId="Normal-Style3bulletpoints">
    <w:name w:val="Normal - Style3 bullet points"/>
    <w:basedOn w:val="Normal-Style2"/>
    <w:qFormat/>
    <w:rsid w:val="00733FF0"/>
    <w:pPr>
      <w:numPr>
        <w:numId w:val="0"/>
      </w:numPr>
      <w:ind w:left="1080" w:hanging="1080"/>
    </w:pPr>
  </w:style>
  <w:style w:type="paragraph" w:customStyle="1" w:styleId="NormalStyle4subbulletpoint">
    <w:name w:val="Normal Style4 sub bullet point"/>
    <w:basedOn w:val="Normal-Style2"/>
    <w:qFormat/>
    <w:rsid w:val="00733FF0"/>
    <w:pPr>
      <w:numPr>
        <w:numId w:val="0"/>
      </w:numPr>
      <w:spacing w:after="0"/>
      <w:ind w:left="1080" w:hanging="1080"/>
    </w:pPr>
  </w:style>
  <w:style w:type="paragraph" w:customStyle="1" w:styleId="Pa5">
    <w:name w:val="Pa5"/>
    <w:basedOn w:val="Default"/>
    <w:next w:val="Default"/>
    <w:uiPriority w:val="99"/>
    <w:rsid w:val="00733FF0"/>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33FF0"/>
    <w:rPr>
      <w:b/>
      <w:bCs/>
    </w:rPr>
  </w:style>
  <w:style w:type="paragraph" w:styleId="Revision">
    <w:name w:val="Revision"/>
    <w:hidden/>
    <w:uiPriority w:val="99"/>
    <w:semiHidden/>
    <w:rsid w:val="00733FF0"/>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733FF0"/>
    <w:pPr>
      <w:keepNext/>
      <w:spacing w:before="40" w:after="120" w:line="280" w:lineRule="atLeast"/>
    </w:pPr>
    <w:rPr>
      <w:rFonts w:ascii="Arial" w:eastAsia="Times New Roman" w:hAnsi="Arial" w:cs="Times New Roman"/>
      <w:b/>
      <w:sz w:val="20"/>
      <w:szCs w:val="20"/>
    </w:rPr>
  </w:style>
  <w:style w:type="paragraph" w:customStyle="1" w:styleId="Heading2Appendix">
    <w:name w:val="Heading 2 Appendix"/>
    <w:basedOn w:val="Heading2"/>
    <w:next w:val="Normal"/>
    <w:qFormat/>
    <w:rsid w:val="00733FF0"/>
    <w:rPr>
      <w:rFonts w:ascii="Arial" w:eastAsia="Times New Roman" w:hAnsi="Arial" w:cstheme="minorHAnsi"/>
      <w:bCs/>
      <w:iCs/>
      <w:color w:val="264F90"/>
      <w:kern w:val="0"/>
      <w:sz w:val="32"/>
      <w:szCs w:val="32"/>
    </w:rPr>
  </w:style>
  <w:style w:type="paragraph" w:customStyle="1" w:styleId="Heading3Appendix">
    <w:name w:val="Heading 3 Appendix"/>
    <w:basedOn w:val="Heading3"/>
    <w:qFormat/>
    <w:rsid w:val="00733FF0"/>
    <w:rPr>
      <w:rFonts w:ascii="Arial" w:eastAsia="Times New Roman" w:hAnsi="Arial" w:cs="Arial"/>
      <w:bCs/>
      <w:iCs/>
      <w:color w:val="264F90"/>
      <w:kern w:val="0"/>
      <w:sz w:val="24"/>
      <w:szCs w:val="32"/>
    </w:rPr>
  </w:style>
  <w:style w:type="character" w:styleId="FollowedHyperlink">
    <w:name w:val="FollowedHyperlink"/>
    <w:basedOn w:val="DefaultParagraphFont"/>
    <w:rsid w:val="00733FF0"/>
    <w:rPr>
      <w:color w:val="954F72" w:themeColor="followedHyperlink"/>
      <w:u w:val="single"/>
    </w:rPr>
  </w:style>
  <w:style w:type="paragraph" w:styleId="TOC5">
    <w:name w:val="toc 5"/>
    <w:basedOn w:val="Normal"/>
    <w:next w:val="Normal"/>
    <w:autoRedefine/>
    <w:uiPriority w:val="39"/>
    <w:rsid w:val="00733FF0"/>
    <w:pPr>
      <w:tabs>
        <w:tab w:val="left" w:pos="1985"/>
        <w:tab w:val="right" w:leader="dot" w:pos="8778"/>
      </w:tabs>
      <w:spacing w:before="40" w:after="120" w:line="280" w:lineRule="atLeast"/>
      <w:ind w:left="1418" w:hanging="284"/>
    </w:pPr>
    <w:rPr>
      <w:rFonts w:ascii="Arial" w:eastAsia="Times New Roman" w:hAnsi="Arial" w:cs="Times New Roman"/>
      <w:sz w:val="20"/>
      <w:szCs w:val="20"/>
    </w:rPr>
  </w:style>
  <w:style w:type="character" w:styleId="PlaceholderText">
    <w:name w:val="Placeholder Text"/>
    <w:basedOn w:val="DefaultParagraphFont"/>
    <w:uiPriority w:val="99"/>
    <w:semiHidden/>
    <w:rsid w:val="00733FF0"/>
    <w:rPr>
      <w:color w:val="808080"/>
    </w:rPr>
  </w:style>
  <w:style w:type="paragraph" w:customStyle="1" w:styleId="Normalheaderrow">
    <w:name w:val="Normal + header row"/>
    <w:basedOn w:val="Normal"/>
    <w:qFormat/>
    <w:rsid w:val="00733FF0"/>
    <w:pPr>
      <w:spacing w:before="40" w:after="120" w:line="280" w:lineRule="atLeast"/>
    </w:pPr>
    <w:rPr>
      <w:rFonts w:ascii="Arial" w:eastAsia="Times New Roman" w:hAnsi="Arial" w:cs="Times New Roman"/>
      <w:color w:val="FFFFFF" w:themeColor="background1"/>
      <w:sz w:val="20"/>
      <w:szCs w:val="20"/>
    </w:rPr>
  </w:style>
  <w:style w:type="paragraph" w:customStyle="1" w:styleId="Heading5appendix">
    <w:name w:val="Heading 5 + appendix"/>
    <w:basedOn w:val="Heading5"/>
    <w:qFormat/>
    <w:rsid w:val="00733FF0"/>
    <w:pPr>
      <w:keepNext w:val="0"/>
      <w:tabs>
        <w:tab w:val="left" w:pos="1985"/>
      </w:tabs>
      <w:suppressAutoHyphens/>
      <w:spacing w:before="180" w:after="60" w:line="280" w:lineRule="atLeast"/>
    </w:pPr>
    <w:rPr>
      <w:rFonts w:ascii="Arial" w:eastAsia="Times New Roman" w:hAnsi="Arial" w:cs="Times New Roman"/>
      <w:b w:val="0"/>
      <w:bCs/>
      <w:iCs/>
      <w:color w:val="auto"/>
      <w:sz w:val="20"/>
      <w:szCs w:val="26"/>
    </w:rPr>
  </w:style>
  <w:style w:type="character" w:customStyle="1" w:styleId="hvr">
    <w:name w:val="hvr"/>
    <w:basedOn w:val="DefaultParagraphFont"/>
    <w:rsid w:val="00733FF0"/>
  </w:style>
  <w:style w:type="paragraph" w:customStyle="1" w:styleId="Heading4appendix">
    <w:name w:val="Heading 4 + appendix"/>
    <w:basedOn w:val="Heading4"/>
    <w:qFormat/>
    <w:rsid w:val="00733FF0"/>
    <w:pPr>
      <w:keepNext w:val="0"/>
      <w:keepLines w:val="0"/>
      <w:spacing w:before="180" w:after="60" w:line="280" w:lineRule="atLeast"/>
    </w:pPr>
    <w:rPr>
      <w:rFonts w:ascii="Arial" w:eastAsia="Times New Roman" w:hAnsi="Arial"/>
      <w:iCs w:val="0"/>
      <w:color w:val="auto"/>
      <w:kern w:val="0"/>
      <w:sz w:val="20"/>
    </w:rPr>
  </w:style>
  <w:style w:type="paragraph" w:customStyle="1" w:styleId="inputcomment">
    <w:name w:val="input comment"/>
    <w:basedOn w:val="Normal"/>
    <w:qFormat/>
    <w:rsid w:val="00733FF0"/>
    <w:pPr>
      <w:suppressAutoHyphens/>
      <w:spacing w:before="180" w:after="60"/>
    </w:pPr>
    <w:rPr>
      <w:rFonts w:asciiTheme="minorHAnsi" w:hAnsiTheme="minorHAnsi"/>
      <w:b/>
      <w:iCs/>
      <w:color w:val="7B7B7B" w:themeColor="accent3" w:themeShade="BF"/>
    </w:rPr>
  </w:style>
  <w:style w:type="paragraph" w:customStyle="1" w:styleId="Boxed2Text">
    <w:name w:val="Boxed 2 Text"/>
    <w:basedOn w:val="Normal"/>
    <w:qFormat/>
    <w:rsid w:val="00733FF0"/>
    <w:pPr>
      <w:numPr>
        <w:numId w:val="13"/>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line="280" w:lineRule="atLeast"/>
      <w:ind w:right="284"/>
    </w:pPr>
    <w:rPr>
      <w:rFonts w:ascii="Arial" w:hAnsi="Arial"/>
      <w:iCs/>
      <w:sz w:val="20"/>
    </w:rPr>
  </w:style>
  <w:style w:type="paragraph" w:customStyle="1" w:styleId="BodyText1">
    <w:name w:val="Body Text1"/>
    <w:basedOn w:val="Normal"/>
    <w:rsid w:val="00733FF0"/>
    <w:pPr>
      <w:spacing w:after="120"/>
    </w:pPr>
    <w:rPr>
      <w:rFonts w:ascii="Cambria" w:eastAsia="Times New Roman" w:hAnsi="Cambria" w:cs="Times New Roman"/>
      <w:iCs/>
      <w:szCs w:val="20"/>
    </w:rPr>
  </w:style>
  <w:style w:type="paragraph" w:styleId="ListBullet4">
    <w:name w:val="List Bullet 4"/>
    <w:basedOn w:val="ListBullet"/>
    <w:unhideWhenUsed/>
    <w:rsid w:val="00733FF0"/>
    <w:pPr>
      <w:shd w:val="clear" w:color="auto" w:fill="DEEAF6" w:themeFill="accent1" w:themeFillTint="33"/>
      <w:ind w:left="641" w:hanging="357"/>
    </w:pPr>
    <w:rPr>
      <w:rFonts w:cstheme="minorHAnsi"/>
    </w:rPr>
  </w:style>
  <w:style w:type="paragraph" w:customStyle="1" w:styleId="highlightedtext">
    <w:name w:val="highlighted text"/>
    <w:basedOn w:val="Normal"/>
    <w:link w:val="highlightedtextChar"/>
    <w:qFormat/>
    <w:rsid w:val="00733FF0"/>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525252" w:themeColor="accent3" w:themeShade="80"/>
    </w:rPr>
  </w:style>
  <w:style w:type="character" w:customStyle="1" w:styleId="highlightedtextChar">
    <w:name w:val="highlighted text Char"/>
    <w:basedOn w:val="DefaultParagraphFont"/>
    <w:link w:val="highlightedtext"/>
    <w:rsid w:val="00733FF0"/>
    <w:rPr>
      <w:b/>
      <w:iCs/>
      <w:color w:val="525252" w:themeColor="accent3" w:themeShade="80"/>
    </w:rPr>
  </w:style>
  <w:style w:type="paragraph" w:customStyle="1" w:styleId="Bullet1">
    <w:name w:val="Bullet 1"/>
    <w:basedOn w:val="Normal"/>
    <w:qFormat/>
    <w:rsid w:val="00733FF0"/>
    <w:pPr>
      <w:numPr>
        <w:numId w:val="14"/>
      </w:numPr>
      <w:suppressAutoHyphens/>
      <w:spacing w:before="120" w:after="60" w:line="280" w:lineRule="atLeast"/>
    </w:pPr>
    <w:rPr>
      <w:rFonts w:asciiTheme="minorHAnsi" w:hAnsiTheme="minorHAnsi"/>
      <w:iCs/>
    </w:rPr>
  </w:style>
  <w:style w:type="paragraph" w:customStyle="1" w:styleId="Bullet2">
    <w:name w:val="Bullet 2"/>
    <w:basedOn w:val="Bullet1"/>
    <w:qFormat/>
    <w:rsid w:val="00733FF0"/>
    <w:pPr>
      <w:numPr>
        <w:ilvl w:val="1"/>
      </w:numPr>
    </w:pPr>
  </w:style>
  <w:style w:type="paragraph" w:customStyle="1" w:styleId="Bullet3">
    <w:name w:val="Bullet 3"/>
    <w:basedOn w:val="Bullet2"/>
    <w:qFormat/>
    <w:rsid w:val="00733FF0"/>
    <w:pPr>
      <w:numPr>
        <w:ilvl w:val="2"/>
      </w:numPr>
    </w:pPr>
  </w:style>
  <w:style w:type="numbering" w:customStyle="1" w:styleId="BulletsList">
    <w:name w:val="Bullets List"/>
    <w:uiPriority w:val="99"/>
    <w:rsid w:val="00733FF0"/>
    <w:pPr>
      <w:numPr>
        <w:numId w:val="14"/>
      </w:numPr>
    </w:pPr>
  </w:style>
  <w:style w:type="numbering" w:customStyle="1" w:styleId="TableHeadingNumbers">
    <w:name w:val="Table Heading Numbers"/>
    <w:uiPriority w:val="99"/>
    <w:rsid w:val="00733FF0"/>
    <w:pPr>
      <w:numPr>
        <w:numId w:val="15"/>
      </w:numPr>
    </w:pPr>
  </w:style>
  <w:style w:type="character" w:customStyle="1" w:styleId="NoSpacingChar">
    <w:name w:val="No Spacing Char"/>
    <w:basedOn w:val="DefaultParagraphFont"/>
    <w:link w:val="NoSpacing"/>
    <w:uiPriority w:val="1"/>
    <w:rsid w:val="00733FF0"/>
    <w:rPr>
      <w:rFonts w:ascii="Segoe UI" w:hAnsi="Segoe UI"/>
      <w:sz w:val="21"/>
    </w:rPr>
  </w:style>
  <w:style w:type="paragraph" w:customStyle="1" w:styleId="Guidelinesbodytext">
    <w:name w:val="Guidelines body text"/>
    <w:basedOn w:val="NoSpacing"/>
    <w:qFormat/>
    <w:rsid w:val="00733FF0"/>
    <w:rPr>
      <w:rFonts w:ascii="Calibri" w:eastAsia="Times New Roman" w:hAnsi="Calibri" w:cs="Times New Roman"/>
      <w:color w:val="000000"/>
      <w:sz w:val="22"/>
      <w:szCs w:val="20"/>
      <w:lang w:val="en-US" w:bidi="en-US"/>
    </w:rPr>
  </w:style>
  <w:style w:type="table" w:customStyle="1" w:styleId="Finance1">
    <w:name w:val="Finance 1"/>
    <w:basedOn w:val="TableNormal"/>
    <w:uiPriority w:val="99"/>
    <w:rsid w:val="00733FF0"/>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0">
    <w:name w:val="Table Text"/>
    <w:basedOn w:val="Normal"/>
    <w:qFormat/>
    <w:rsid w:val="00733FF0"/>
    <w:pPr>
      <w:suppressAutoHyphens/>
      <w:spacing w:before="60" w:after="60" w:line="280" w:lineRule="atLeast"/>
    </w:pPr>
    <w:rPr>
      <w:rFonts w:ascii="Arial" w:hAnsi="Arial"/>
      <w:iCs/>
      <w:sz w:val="20"/>
    </w:rPr>
  </w:style>
  <w:style w:type="table" w:styleId="TableGridLight">
    <w:name w:val="Grid Table Light"/>
    <w:basedOn w:val="TableNormal"/>
    <w:uiPriority w:val="40"/>
    <w:rsid w:val="00733FF0"/>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33FF0"/>
    <w:pPr>
      <w:numPr>
        <w:numId w:val="16"/>
      </w:numPr>
      <w:suppressAutoHyphens/>
      <w:spacing w:before="180" w:after="60" w:line="280" w:lineRule="atLeast"/>
    </w:pPr>
    <w:rPr>
      <w:rFonts w:asciiTheme="minorHAnsi" w:hAnsiTheme="minorHAnsi"/>
    </w:rPr>
  </w:style>
  <w:style w:type="paragraph" w:customStyle="1" w:styleId="NumberedList2">
    <w:name w:val="Numbered List 2"/>
    <w:basedOn w:val="NumberedList1"/>
    <w:qFormat/>
    <w:rsid w:val="00733FF0"/>
    <w:pPr>
      <w:numPr>
        <w:ilvl w:val="1"/>
      </w:numPr>
      <w:spacing w:before="120"/>
    </w:pPr>
  </w:style>
  <w:style w:type="paragraph" w:customStyle="1" w:styleId="NumberedList3">
    <w:name w:val="Numbered List 3"/>
    <w:basedOn w:val="NumberedList2"/>
    <w:qFormat/>
    <w:rsid w:val="00733FF0"/>
    <w:pPr>
      <w:numPr>
        <w:ilvl w:val="2"/>
      </w:numPr>
      <w:ind w:left="851"/>
    </w:pPr>
  </w:style>
  <w:style w:type="numbering" w:customStyle="1" w:styleId="Numberedlist">
    <w:name w:val="Numbered list"/>
    <w:uiPriority w:val="99"/>
    <w:rsid w:val="00733FF0"/>
    <w:pPr>
      <w:numPr>
        <w:numId w:val="16"/>
      </w:numPr>
    </w:pPr>
  </w:style>
  <w:style w:type="table" w:styleId="GridTable1Light">
    <w:name w:val="Grid Table 1 Light"/>
    <w:basedOn w:val="TableNormal"/>
    <w:uiPriority w:val="46"/>
    <w:rsid w:val="00733FF0"/>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numbered-Level1">
    <w:name w:val="Body numbered - Level 1"/>
    <w:basedOn w:val="BodyText"/>
    <w:uiPriority w:val="1"/>
    <w:qFormat/>
    <w:rsid w:val="00733FF0"/>
    <w:pPr>
      <w:autoSpaceDE/>
      <w:autoSpaceDN/>
      <w:adjustRightInd/>
      <w:spacing w:before="240" w:after="240"/>
      <w:ind w:left="720" w:hanging="720"/>
    </w:pPr>
    <w:rPr>
      <w:rFonts w:ascii="Calibri" w:eastAsia="Calibri" w:hAnsi="Calibri"/>
      <w:sz w:val="22"/>
      <w:szCs w:val="22"/>
      <w:lang w:eastAsia="en-US"/>
    </w:rPr>
  </w:style>
  <w:style w:type="character" w:customStyle="1" w:styleId="ListParagraphChar">
    <w:name w:val="List Paragraph Char"/>
    <w:aliases w:val="Recommendation Char,List Paragraph1 Char,List Paragraph11 Char,Bullet List Char,Bullet list Char,Bulletr List Paragraph Char,FooterText Char,List Paragraph2 Char,List Paragraph21 Char,Listeafsnit1 Char,Listenabsatz Char,numbered Char"/>
    <w:basedOn w:val="DefaultParagraphFont"/>
    <w:link w:val="ListParagraph"/>
    <w:uiPriority w:val="34"/>
    <w:qFormat/>
    <w:locked/>
    <w:rsid w:val="001D27C2"/>
    <w:rPr>
      <w:rFonts w:ascii="Calibri" w:hAnsi="Calibri"/>
    </w:rPr>
  </w:style>
  <w:style w:type="character" w:customStyle="1" w:styleId="UnresolvedMention2">
    <w:name w:val="Unresolved Mention2"/>
    <w:basedOn w:val="DefaultParagraphFont"/>
    <w:uiPriority w:val="99"/>
    <w:semiHidden/>
    <w:unhideWhenUsed/>
    <w:rsid w:val="00105838"/>
    <w:rPr>
      <w:color w:val="605E5C"/>
      <w:shd w:val="clear" w:color="auto" w:fill="E1DFDD"/>
    </w:rPr>
  </w:style>
  <w:style w:type="character" w:styleId="UnresolvedMention">
    <w:name w:val="Unresolved Mention"/>
    <w:basedOn w:val="DefaultParagraphFont"/>
    <w:uiPriority w:val="99"/>
    <w:semiHidden/>
    <w:unhideWhenUsed/>
    <w:rsid w:val="00EA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639">
      <w:bodyDiv w:val="1"/>
      <w:marLeft w:val="0"/>
      <w:marRight w:val="0"/>
      <w:marTop w:val="0"/>
      <w:marBottom w:val="0"/>
      <w:divBdr>
        <w:top w:val="none" w:sz="0" w:space="0" w:color="auto"/>
        <w:left w:val="none" w:sz="0" w:space="0" w:color="auto"/>
        <w:bottom w:val="none" w:sz="0" w:space="0" w:color="auto"/>
        <w:right w:val="none" w:sz="0" w:space="0" w:color="auto"/>
      </w:divBdr>
    </w:div>
    <w:div w:id="26294418">
      <w:bodyDiv w:val="1"/>
      <w:marLeft w:val="0"/>
      <w:marRight w:val="0"/>
      <w:marTop w:val="0"/>
      <w:marBottom w:val="0"/>
      <w:divBdr>
        <w:top w:val="none" w:sz="0" w:space="0" w:color="auto"/>
        <w:left w:val="none" w:sz="0" w:space="0" w:color="auto"/>
        <w:bottom w:val="none" w:sz="0" w:space="0" w:color="auto"/>
        <w:right w:val="none" w:sz="0" w:space="0" w:color="auto"/>
      </w:divBdr>
    </w:div>
    <w:div w:id="434323495">
      <w:bodyDiv w:val="1"/>
      <w:marLeft w:val="0"/>
      <w:marRight w:val="0"/>
      <w:marTop w:val="0"/>
      <w:marBottom w:val="0"/>
      <w:divBdr>
        <w:top w:val="none" w:sz="0" w:space="0" w:color="auto"/>
        <w:left w:val="none" w:sz="0" w:space="0" w:color="auto"/>
        <w:bottom w:val="none" w:sz="0" w:space="0" w:color="auto"/>
        <w:right w:val="none" w:sz="0" w:space="0" w:color="auto"/>
      </w:divBdr>
    </w:div>
    <w:div w:id="485515193">
      <w:bodyDiv w:val="1"/>
      <w:marLeft w:val="0"/>
      <w:marRight w:val="0"/>
      <w:marTop w:val="0"/>
      <w:marBottom w:val="0"/>
      <w:divBdr>
        <w:top w:val="none" w:sz="0" w:space="0" w:color="auto"/>
        <w:left w:val="none" w:sz="0" w:space="0" w:color="auto"/>
        <w:bottom w:val="none" w:sz="0" w:space="0" w:color="auto"/>
        <w:right w:val="none" w:sz="0" w:space="0" w:color="auto"/>
      </w:divBdr>
    </w:div>
    <w:div w:id="517549574">
      <w:bodyDiv w:val="1"/>
      <w:marLeft w:val="0"/>
      <w:marRight w:val="0"/>
      <w:marTop w:val="0"/>
      <w:marBottom w:val="0"/>
      <w:divBdr>
        <w:top w:val="none" w:sz="0" w:space="0" w:color="auto"/>
        <w:left w:val="none" w:sz="0" w:space="0" w:color="auto"/>
        <w:bottom w:val="none" w:sz="0" w:space="0" w:color="auto"/>
        <w:right w:val="none" w:sz="0" w:space="0" w:color="auto"/>
      </w:divBdr>
    </w:div>
    <w:div w:id="601182963">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908418992">
      <w:bodyDiv w:val="1"/>
      <w:marLeft w:val="0"/>
      <w:marRight w:val="0"/>
      <w:marTop w:val="0"/>
      <w:marBottom w:val="0"/>
      <w:divBdr>
        <w:top w:val="none" w:sz="0" w:space="0" w:color="auto"/>
        <w:left w:val="none" w:sz="0" w:space="0" w:color="auto"/>
        <w:bottom w:val="none" w:sz="0" w:space="0" w:color="auto"/>
        <w:right w:val="none" w:sz="0" w:space="0" w:color="auto"/>
      </w:divBdr>
    </w:div>
    <w:div w:id="1242981104">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6331180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752048529">
      <w:bodyDiv w:val="1"/>
      <w:marLeft w:val="0"/>
      <w:marRight w:val="0"/>
      <w:marTop w:val="0"/>
      <w:marBottom w:val="0"/>
      <w:divBdr>
        <w:top w:val="none" w:sz="0" w:space="0" w:color="auto"/>
        <w:left w:val="none" w:sz="0" w:space="0" w:color="auto"/>
        <w:bottom w:val="none" w:sz="0" w:space="0" w:color="auto"/>
        <w:right w:val="none" w:sz="0" w:space="0" w:color="auto"/>
      </w:divBdr>
    </w:div>
    <w:div w:id="1820226373">
      <w:bodyDiv w:val="1"/>
      <w:marLeft w:val="0"/>
      <w:marRight w:val="0"/>
      <w:marTop w:val="0"/>
      <w:marBottom w:val="0"/>
      <w:divBdr>
        <w:top w:val="none" w:sz="0" w:space="0" w:color="auto"/>
        <w:left w:val="none" w:sz="0" w:space="0" w:color="auto"/>
        <w:bottom w:val="none" w:sz="0" w:space="0" w:color="auto"/>
        <w:right w:val="none" w:sz="0" w:space="0" w:color="auto"/>
      </w:divBdr>
    </w:div>
    <w:div w:id="1866670031">
      <w:bodyDiv w:val="1"/>
      <w:marLeft w:val="0"/>
      <w:marRight w:val="0"/>
      <w:marTop w:val="0"/>
      <w:marBottom w:val="0"/>
      <w:divBdr>
        <w:top w:val="none" w:sz="0" w:space="0" w:color="auto"/>
        <w:left w:val="none" w:sz="0" w:space="0" w:color="auto"/>
        <w:bottom w:val="none" w:sz="0" w:space="0" w:color="auto"/>
        <w:right w:val="none" w:sz="0" w:space="0" w:color="auto"/>
      </w:divBdr>
    </w:div>
    <w:div w:id="1939092856">
      <w:bodyDiv w:val="1"/>
      <w:marLeft w:val="0"/>
      <w:marRight w:val="0"/>
      <w:marTop w:val="0"/>
      <w:marBottom w:val="0"/>
      <w:divBdr>
        <w:top w:val="none" w:sz="0" w:space="0" w:color="auto"/>
        <w:left w:val="none" w:sz="0" w:space="0" w:color="auto"/>
        <w:bottom w:val="none" w:sz="0" w:space="0" w:color="auto"/>
        <w:right w:val="none" w:sz="0" w:space="0" w:color="auto"/>
      </w:divBdr>
    </w:div>
    <w:div w:id="2076321767">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 w:id="21349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infrastructure.gov.au/" TargetMode="External"/><Relationship Id="rId26" Type="http://schemas.openxmlformats.org/officeDocument/2006/relationships/hyperlink" Target="http://www.infrastructure.gov.au/pump" TargetMode="External"/><Relationship Id="rId39" Type="http://schemas.openxmlformats.org/officeDocument/2006/relationships/hyperlink" Target="https://www.infrastructure.gov.au/department/about/charter.aspx" TargetMode="External"/><Relationship Id="rId21" Type="http://schemas.openxmlformats.org/officeDocument/2006/relationships/hyperlink" Target="mailto:PUMP@infrastructure.gov.au" TargetMode="External"/><Relationship Id="rId34" Type="http://schemas.openxmlformats.org/officeDocument/2006/relationships/hyperlink" Target="https://industry.gov.au/aip" TargetMode="External"/><Relationship Id="rId42" Type="http://schemas.openxmlformats.org/officeDocument/2006/relationships/hyperlink" Target="http://www.ombudsman.gov.au" TargetMode="External"/><Relationship Id="rId47" Type="http://schemas.openxmlformats.org/officeDocument/2006/relationships/hyperlink" Target="https://www.oaic.gov.au/privacy/australian-privacy-principles" TargetMode="External"/><Relationship Id="rId50" Type="http://schemas.openxmlformats.org/officeDocument/2006/relationships/hyperlink" Target="mailto:foi@infrastructure.gov.au" TargetMode="External"/><Relationship Id="rId55"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ublishing@infrastructure.gov.au" TargetMode="External"/><Relationship Id="rId25" Type="http://schemas.openxmlformats.org/officeDocument/2006/relationships/hyperlink" Target="https://www.infrastructure.gov.au/media-communications-arts/phone/mobile-services-and-coverage/peri-urban-mobile-program/peri-urban-mobile-program-round-2-project-noticeboard" TargetMode="External"/><Relationship Id="rId33" Type="http://schemas.openxmlformats.org/officeDocument/2006/relationships/hyperlink" Target="https://www.finance.gov.au/sites/default/files/2019-11/commonwealth-grants-rules-and-guidelines.pdf" TargetMode="External"/><Relationship Id="rId38" Type="http://schemas.openxmlformats.org/officeDocument/2006/relationships/hyperlink" Target="https://www.infrastructure.gov.au/department/about/charter.aspx" TargetMode="External"/><Relationship Id="rId46" Type="http://schemas.openxmlformats.org/officeDocument/2006/relationships/hyperlink" Target="https://www.oaic.gov.au/privacy-law/privacy-act/australian-privacy-principles" TargetMode="Externa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s://help.grants.gov.au/" TargetMode="External"/><Relationship Id="rId29" Type="http://schemas.openxmlformats.org/officeDocument/2006/relationships/hyperlink" Target="mailto:PUMP@infrastructure.gov.au" TargetMode="External"/><Relationship Id="rId41" Type="http://schemas.openxmlformats.org/officeDocument/2006/relationships/hyperlink" Target="mailto:ombudsman@ombudsman.gov.a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islation.gov.au/Details/C2015C00191" TargetMode="External"/><Relationship Id="rId32" Type="http://schemas.openxmlformats.org/officeDocument/2006/relationships/hyperlink" Target="mailto:PUMP@infrastructure.gov.au" TargetMode="External"/><Relationship Id="rId37" Type="http://schemas.openxmlformats.org/officeDocument/2006/relationships/hyperlink" Target="https://www.finance.gov.au/sites/default/files/2019-11/commonwealth-grants-rules-and-guidelines.pdf"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Details/C2021C00452" TargetMode="External"/><Relationship Id="rId53" Type="http://schemas.openxmlformats.org/officeDocument/2006/relationships/hyperlink" Target="http://www.grants.gov.au/"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UMP@infrastructure.gov.au" TargetMode="External"/><Relationship Id="rId23" Type="http://schemas.openxmlformats.org/officeDocument/2006/relationships/hyperlink" Target="https://www.finance.gov.au/sites/default/files/2019-11/commonwealth-grants-rules-and-guidelines.pdf" TargetMode="External"/><Relationship Id="rId28" Type="http://schemas.openxmlformats.org/officeDocument/2006/relationships/hyperlink" Target="https://www.grants.gov.au/" TargetMode="External"/><Relationship Id="rId36" Type="http://schemas.openxmlformats.org/officeDocument/2006/relationships/hyperlink" Target="https://www.finance.gov.au/sites/default/files/2019-11/commonwealth-grants-rules-and-guidelines.pdf" TargetMode="External"/><Relationship Id="rId49" Type="http://schemas.openxmlformats.org/officeDocument/2006/relationships/hyperlink" Target="https://www.legislation.gov.au/Series/C2004A02562" TargetMode="External"/><Relationship Id="rId57"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finance.gov.au/sites/default/files/2019-11/commonwealth-grants-rules-and-guidelines.pdf" TargetMode="External"/><Relationship Id="rId31" Type="http://schemas.openxmlformats.org/officeDocument/2006/relationships/hyperlink" Target="https://www.legislation.gov.au/Series/C2004A04868"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s://www.finance.gov.au/about-us/glossary/pgpa/term-consolidated-revenue-fund-cr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finance.gov.au/sites/default/files/2019-11/commonwealth-grants-rules-and-guidelines.pdf" TargetMode="External"/><Relationship Id="rId27" Type="http://schemas.openxmlformats.org/officeDocument/2006/relationships/hyperlink" Target="http://www.infrastructure.gov.au/PUMPMaps" TargetMode="External"/><Relationship Id="rId30" Type="http://schemas.openxmlformats.org/officeDocument/2006/relationships/hyperlink" Target="mailto:PUMP@infrastructure.gov.au" TargetMode="External"/><Relationship Id="rId35" Type="http://schemas.openxmlformats.org/officeDocument/2006/relationships/hyperlink" Target="https://www.finance.gov.au/sites/default/files/2019-11/commonwealth-grants-rules-and-guidelines.pdf"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www.infrastructure.gov.au/department/privacy-policy"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finance.gov.au/sites/default/files/2019-11/commonwealth-grants-rules-and-guidelines.pdf"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investment.infrastructure.gov.au/about/the_national_land_transport_network.aspx" TargetMode="External"/><Relationship Id="rId2" Type="http://schemas.openxmlformats.org/officeDocument/2006/relationships/hyperlink" Target="http://www.accc.gov.au/public-registers/telecommunications-registers/s152bcw-access-determinations-register/final-access-determination-no-2-of-2020-for-the-domestic-transmission-capacity-service-dtcs" TargetMode="External"/><Relationship Id="rId1" Type="http://schemas.openxmlformats.org/officeDocument/2006/relationships/hyperlink" Target="http://www.finance.gov.au/sites/default/files/2019-11/commonwealth-grants-rules-and-guidelin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1A76AE815A499CA28754CEBFE6359C"/>
        <w:category>
          <w:name w:val="General"/>
          <w:gallery w:val="placeholder"/>
        </w:category>
        <w:types>
          <w:type w:val="bbPlcHdr"/>
        </w:types>
        <w:behaviors>
          <w:behavior w:val="content"/>
        </w:behaviors>
        <w:guid w:val="{26E210A5-2D4F-4E6A-AACD-9D2C1E45F148}"/>
      </w:docPartPr>
      <w:docPartBody>
        <w:p w:rsidR="00131FC9" w:rsidRDefault="00131FC9" w:rsidP="00131FC9">
          <w:pPr>
            <w:pStyle w:val="DB1A76AE815A499CA28754CEBFE6359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C9"/>
    <w:rsid w:val="0000575D"/>
    <w:rsid w:val="00005C95"/>
    <w:rsid w:val="0002770A"/>
    <w:rsid w:val="000A4414"/>
    <w:rsid w:val="000C0E88"/>
    <w:rsid w:val="000F31A2"/>
    <w:rsid w:val="00131FC9"/>
    <w:rsid w:val="001A7406"/>
    <w:rsid w:val="001E01E8"/>
    <w:rsid w:val="001F7001"/>
    <w:rsid w:val="00200A5D"/>
    <w:rsid w:val="00211F4E"/>
    <w:rsid w:val="002859C4"/>
    <w:rsid w:val="0029684A"/>
    <w:rsid w:val="002C2414"/>
    <w:rsid w:val="002D01EB"/>
    <w:rsid w:val="00310336"/>
    <w:rsid w:val="003250DF"/>
    <w:rsid w:val="00330108"/>
    <w:rsid w:val="003551BF"/>
    <w:rsid w:val="003E4081"/>
    <w:rsid w:val="00441952"/>
    <w:rsid w:val="00457B84"/>
    <w:rsid w:val="00513C33"/>
    <w:rsid w:val="00524D1D"/>
    <w:rsid w:val="005567DE"/>
    <w:rsid w:val="0058216C"/>
    <w:rsid w:val="005B479B"/>
    <w:rsid w:val="005F2A94"/>
    <w:rsid w:val="00626045"/>
    <w:rsid w:val="00667C86"/>
    <w:rsid w:val="006C3B17"/>
    <w:rsid w:val="006C7E22"/>
    <w:rsid w:val="006F1DA1"/>
    <w:rsid w:val="00742205"/>
    <w:rsid w:val="007B1F44"/>
    <w:rsid w:val="007D7849"/>
    <w:rsid w:val="008407C9"/>
    <w:rsid w:val="00842092"/>
    <w:rsid w:val="00842802"/>
    <w:rsid w:val="00887B7A"/>
    <w:rsid w:val="008A7CA9"/>
    <w:rsid w:val="008B30FE"/>
    <w:rsid w:val="008C4AC2"/>
    <w:rsid w:val="008D7222"/>
    <w:rsid w:val="00913F11"/>
    <w:rsid w:val="00974EBD"/>
    <w:rsid w:val="009A0368"/>
    <w:rsid w:val="00A31524"/>
    <w:rsid w:val="00A56A8F"/>
    <w:rsid w:val="00AF39E6"/>
    <w:rsid w:val="00B64545"/>
    <w:rsid w:val="00B67484"/>
    <w:rsid w:val="00C14D1E"/>
    <w:rsid w:val="00C67016"/>
    <w:rsid w:val="00CC3106"/>
    <w:rsid w:val="00D21E43"/>
    <w:rsid w:val="00D37B9E"/>
    <w:rsid w:val="00D65A94"/>
    <w:rsid w:val="00E33EF8"/>
    <w:rsid w:val="00E3569B"/>
    <w:rsid w:val="00E4785F"/>
    <w:rsid w:val="00EC5094"/>
    <w:rsid w:val="00ED10E4"/>
    <w:rsid w:val="00EF2272"/>
    <w:rsid w:val="00F60E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1A76AE815A499CA28754CEBFE6359C">
    <w:name w:val="DB1A76AE815A499CA28754CEBFE6359C"/>
    <w:rsid w:val="00131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0540AB8B7FCF4AACD6452221ACE0D3" ma:contentTypeVersion="0" ma:contentTypeDescription="Create a new document." ma:contentTypeScope="" ma:versionID="ec990bb64bec103e5d1868c092acfe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916F5-C336-49FF-8965-9E30743CC96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6FFB770-0903-44D6-92F6-8718035EE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0CF93D-B480-43EA-818C-725A0B9867F4}">
  <ds:schemaRefs>
    <ds:schemaRef ds:uri="http://schemas.microsoft.com/sharepoint/v3/contenttype/forms"/>
  </ds:schemaRefs>
</ds:datastoreItem>
</file>

<file path=customXml/itemProps4.xml><?xml version="1.0" encoding="utf-8"?>
<ds:datastoreItem xmlns:ds="http://schemas.openxmlformats.org/officeDocument/2006/customXml" ds:itemID="{C8552C80-9528-488C-8A13-C17EA6BA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17381</Words>
  <Characters>98033</Characters>
  <Application>Microsoft Office Word</Application>
  <DocSecurity>0</DocSecurity>
  <Lines>14004</Lines>
  <Paragraphs>14426</Paragraphs>
  <ScaleCrop>false</ScaleCrop>
  <HeadingPairs>
    <vt:vector size="2" baseType="variant">
      <vt:variant>
        <vt:lpstr>Title</vt:lpstr>
      </vt:variant>
      <vt:variant>
        <vt:i4>1</vt:i4>
      </vt:variant>
    </vt:vector>
  </HeadingPairs>
  <TitlesOfParts>
    <vt:vector size="1" baseType="lpstr">
      <vt:lpstr>Peri-Urban Mobile Program Round 2 Grant Opportunity Guidelines—December 2023</vt:lpstr>
    </vt:vector>
  </TitlesOfParts>
  <Company>Department of Infrastructure, Transport, Regional Development, Communications and the Arts</Company>
  <LinksUpToDate>false</LinksUpToDate>
  <CharactersWithSpaces>100988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Peri-Urban Mobile Program Round 2 Grant Opportunity Guidelines—December 2023</dc:title>
  <dc:subject/>
  <dc:creator>Department of Infrastructure, Transport, Regional Development, Communications and the Arts</dc:creator>
  <cp:keywords/>
  <dc:description/>
  <cp:lastModifiedBy>Hall, Theresa</cp:lastModifiedBy>
  <cp:revision>2</cp:revision>
  <cp:lastPrinted>2022-11-13T23:49:00Z</cp:lastPrinted>
  <dcterms:created xsi:type="dcterms:W3CDTF">2024-10-01T03:14:00Z</dcterms:created>
  <dcterms:modified xsi:type="dcterms:W3CDTF">2024-10-01T03:14:00Z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0x010100E10540AB8B7FCF4AACD6452221ACE0D3</vt:lpwstr>
  </property>
  <property fmtid="{D5CDD505-2E9C-101B-9397-08002B2CF9AE}" pid="3" name="TaxCatchAll">
    <vt:lpwstr/>
  </property>
  <property fmtid="{D5CDD505-2E9C-101B-9397-08002B2CF9AE}" pid="4" name="dd9c7627a75f4720a6ccce58a35e4d75">
    <vt:lpwstr/>
  </property>
  <property fmtid="{D5CDD505-2E9C-101B-9397-08002B2CF9AE}" pid="5" name="TrimRevisionNumber">
    <vt:i4>7</vt:i4>
  </property>
  <property fmtid="{D5CDD505-2E9C-101B-9397-08002B2CF9AE}" pid="6" name="trimRootDocACLCanViewDocument_List">
    <vt:lpwstr/>
  </property>
</Properties>
</file>