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bookmarkStart w:id="3" w:name="_GoBack"/>
    <w:bookmarkEnd w:id="3"/>
    <w:p w14:paraId="1FA4C0FC" w14:textId="77777777" w:rsidR="001D659E" w:rsidRPr="0069753D" w:rsidRDefault="008E26B7"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7C66D09EF52741AFB7C2DBE311B30C8E"/>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7326">
            <w:rPr>
              <w:shd w:val="clear" w:color="auto" w:fill="auto"/>
            </w:rPr>
            <w:t>OFFICIAL</w:t>
          </w:r>
        </w:sdtContent>
      </w:sdt>
      <w:bookmarkEnd w:id="0"/>
    </w:p>
    <w:bookmarkEnd w:id="1"/>
    <w:p w14:paraId="0E8C51C6" w14:textId="397314ED" w:rsidR="00EA1E92" w:rsidRPr="00BE3AD8" w:rsidRDefault="008E26B7" w:rsidP="00673499">
      <w:pPr>
        <w:pStyle w:val="DocHeading"/>
      </w:pPr>
      <w:sdt>
        <w:sdtPr>
          <w:rPr>
            <w:rFonts w:eastAsia="Times New Roman"/>
            <w:lang w:eastAsia="en-AU"/>
          </w:rPr>
          <w:alias w:val="Title"/>
          <w:tag w:val=""/>
          <w:id w:val="975726233"/>
          <w:placeholder>
            <w:docPart w:val="B52931DAC09342E38AB82B3FD118359D"/>
          </w:placeholder>
          <w:dataBinding w:prefixMappings="xmlns:ns0='http://purl.org/dc/elements/1.1/' xmlns:ns1='http://schemas.openxmlformats.org/package/2006/metadata/core-properties' " w:xpath="/ns1:coreProperties[1]/ns0:title[1]" w:storeItemID="{6C3C8BC8-F283-45AE-878A-BAB7291924A1}"/>
          <w:text/>
        </w:sdtPr>
        <w:sdtEndPr/>
        <w:sdtContent>
          <w:r w:rsidR="0079429A" w:rsidRPr="0079429A">
            <w:rPr>
              <w:rFonts w:eastAsia="Times New Roman"/>
              <w:lang w:eastAsia="en-AU"/>
            </w:rPr>
            <w:t>New Vehicle Efficiency Standard Determination 2024</w:t>
          </w:r>
          <w:r w:rsidR="000A2271">
            <w:rPr>
              <w:rFonts w:eastAsia="Times New Roman"/>
              <w:lang w:eastAsia="en-AU"/>
            </w:rPr>
            <w:t xml:space="preserve"> </w:t>
          </w:r>
          <w:r w:rsidR="0079429A">
            <w:rPr>
              <w:rFonts w:eastAsia="Times New Roman"/>
              <w:lang w:eastAsia="en-AU"/>
            </w:rPr>
            <w:t xml:space="preserve">- </w:t>
          </w:r>
          <w:r w:rsidR="0079429A" w:rsidRPr="0079429A">
            <w:rPr>
              <w:rFonts w:eastAsia="Times New Roman"/>
              <w:lang w:eastAsia="en-AU"/>
            </w:rPr>
            <w:t>Reasons for</w:t>
          </w:r>
          <w:r w:rsidR="00720AA0">
            <w:rPr>
              <w:rFonts w:eastAsia="Times New Roman"/>
              <w:lang w:eastAsia="en-AU"/>
            </w:rPr>
            <w:t xml:space="preserve"> D</w:t>
          </w:r>
          <w:r w:rsidR="0079429A" w:rsidRPr="0079429A">
            <w:rPr>
              <w:rFonts w:eastAsia="Times New Roman"/>
              <w:lang w:eastAsia="en-AU"/>
            </w:rPr>
            <w:t>ecision</w:t>
          </w:r>
        </w:sdtContent>
      </w:sdt>
    </w:p>
    <w:sdt>
      <w:sdtPr>
        <w:alias w:val="Publish Date"/>
        <w:tag w:val=""/>
        <w:id w:val="452527336"/>
        <w:placeholder>
          <w:docPart w:val="7F5E596AF5344CC8B36EC97639BFEF69"/>
        </w:placeholder>
        <w:dataBinding w:prefixMappings="xmlns:ns0='http://schemas.microsoft.com/office/2006/coverPageProps' " w:xpath="/ns0:CoverPageProperties[1]/ns0:PublishDate[1]" w:storeItemID="{55AF091B-3C7A-41E3-B477-F2FDAA23CFDA}"/>
        <w:date w:fullDate="2024-12-06T00:00:00Z">
          <w:dateFormat w:val="MMMM yyyy"/>
          <w:lid w:val="en-AU"/>
          <w:storeMappedDataAs w:val="dateTime"/>
          <w:calendar w:val="gregorian"/>
        </w:date>
      </w:sdtPr>
      <w:sdtEndPr/>
      <w:sdtContent>
        <w:p w14:paraId="3829E4AF" w14:textId="2AAF5BAB" w:rsidR="00DE4FE2" w:rsidRDefault="008216E4" w:rsidP="00B86540">
          <w:pPr>
            <w:pStyle w:val="CoverDate"/>
          </w:pPr>
          <w:r>
            <w:t>December 2024</w:t>
          </w:r>
        </w:p>
      </w:sdtContent>
    </w:sdt>
    <w:p w14:paraId="6764711B" w14:textId="3326A9F6" w:rsidR="001E32E3" w:rsidRDefault="001E32E3" w:rsidP="00F52D55">
      <w:pPr>
        <w:pStyle w:val="Heading2"/>
        <w:spacing w:line="276" w:lineRule="auto"/>
      </w:pPr>
      <w:r>
        <w:t>Background</w:t>
      </w:r>
    </w:p>
    <w:p w14:paraId="79E3416D" w14:textId="30670DCB" w:rsidR="001E32E3" w:rsidRPr="001E32E3" w:rsidRDefault="001E32E3" w:rsidP="001E32E3">
      <w:r>
        <w:t xml:space="preserve">The Minister made the </w:t>
      </w:r>
      <w:r w:rsidRPr="001E32E3">
        <w:rPr>
          <w:i/>
        </w:rPr>
        <w:t>New Vehicle Efficiency Standard Determination 2024</w:t>
      </w:r>
      <w:r>
        <w:rPr>
          <w:i/>
        </w:rPr>
        <w:t xml:space="preserve"> </w:t>
      </w:r>
      <w:r w:rsidRPr="001E32E3">
        <w:t>on</w:t>
      </w:r>
      <w:r>
        <w:rPr>
          <w:i/>
        </w:rPr>
        <w:t xml:space="preserve"> </w:t>
      </w:r>
      <w:r w:rsidR="00264B3B">
        <w:t>6 December 2024</w:t>
      </w:r>
      <w:r w:rsidR="001F4C68">
        <w:rPr>
          <w:i/>
        </w:rPr>
        <w:t xml:space="preserve"> </w:t>
      </w:r>
      <w:r w:rsidR="001F4C68">
        <w:t xml:space="preserve">(the </w:t>
      </w:r>
      <w:r w:rsidR="00B40944">
        <w:t>d</w:t>
      </w:r>
      <w:r w:rsidR="001F4C68">
        <w:t>etermination)</w:t>
      </w:r>
      <w:r>
        <w:rPr>
          <w:i/>
        </w:rPr>
        <w:t xml:space="preserve">. </w:t>
      </w:r>
    </w:p>
    <w:p w14:paraId="208D0DFA" w14:textId="6EBA6573" w:rsidR="001E32E3" w:rsidRPr="001F4C68" w:rsidRDefault="001F4C68" w:rsidP="001F4C68">
      <w:pPr>
        <w:spacing w:line="276" w:lineRule="auto"/>
        <w:rPr>
          <w:rFonts w:asciiTheme="majorHAnsi" w:hAnsiTheme="majorHAnsi" w:cstheme="majorHAnsi"/>
        </w:rPr>
      </w:pPr>
      <w:r>
        <w:rPr>
          <w:rFonts w:asciiTheme="majorHAnsi" w:hAnsiTheme="majorHAnsi" w:cstheme="majorHAnsi"/>
        </w:rPr>
        <w:t xml:space="preserve">The </w:t>
      </w:r>
      <w:r w:rsidR="00B40944">
        <w:rPr>
          <w:rFonts w:asciiTheme="majorHAnsi" w:hAnsiTheme="majorHAnsi" w:cstheme="majorHAnsi"/>
        </w:rPr>
        <w:t>d</w:t>
      </w:r>
      <w:r w:rsidR="001E32E3" w:rsidRPr="001F4C68">
        <w:rPr>
          <w:rFonts w:asciiTheme="majorHAnsi" w:hAnsiTheme="majorHAnsi" w:cstheme="majorHAnsi"/>
        </w:rPr>
        <w:t xml:space="preserve">etermination </w:t>
      </w:r>
      <w:r w:rsidR="001E32E3">
        <w:rPr>
          <w:rFonts w:asciiTheme="majorHAnsi" w:hAnsiTheme="majorHAnsi" w:cstheme="majorHAnsi"/>
        </w:rPr>
        <w:t xml:space="preserve">specifies a class of </w:t>
      </w:r>
      <w:r w:rsidR="001E32E3" w:rsidRPr="001F4C68">
        <w:rPr>
          <w:rFonts w:asciiTheme="majorHAnsi" w:hAnsiTheme="majorHAnsi" w:cstheme="majorHAnsi"/>
        </w:rPr>
        <w:t xml:space="preserve">vehicles </w:t>
      </w:r>
      <w:r>
        <w:rPr>
          <w:rFonts w:asciiTheme="majorHAnsi" w:hAnsiTheme="majorHAnsi" w:cstheme="majorHAnsi"/>
        </w:rPr>
        <w:t xml:space="preserve">that will have a temporary exempt vehicle status for the purposes of the Act, namely vehicles </w:t>
      </w:r>
      <w:r w:rsidR="001E32E3" w:rsidRPr="001F4C68">
        <w:rPr>
          <w:rFonts w:asciiTheme="majorHAnsi" w:hAnsiTheme="majorHAnsi" w:cstheme="majorHAnsi"/>
        </w:rPr>
        <w:t xml:space="preserve">between the 3.5 and 4.5 tonne gross vehicle mass (GVM) which are not currently required to undergo an Australian </w:t>
      </w:r>
      <w:r>
        <w:rPr>
          <w:rFonts w:asciiTheme="majorHAnsi" w:hAnsiTheme="majorHAnsi" w:cstheme="majorHAnsi"/>
        </w:rPr>
        <w:t>carbon dioxide (</w:t>
      </w:r>
      <w:r w:rsidR="001E32E3" w:rsidRPr="001F4C68">
        <w:rPr>
          <w:rFonts w:asciiTheme="majorHAnsi" w:hAnsiTheme="majorHAnsi" w:cstheme="majorHAnsi"/>
        </w:rPr>
        <w:t>CO</w:t>
      </w:r>
      <w:r w:rsidR="001E32E3" w:rsidRPr="001F4C68">
        <w:rPr>
          <w:rFonts w:asciiTheme="majorHAnsi" w:hAnsiTheme="majorHAnsi" w:cstheme="majorHAnsi"/>
          <w:vertAlign w:val="subscript"/>
        </w:rPr>
        <w:t>2</w:t>
      </w:r>
      <w:r w:rsidR="00B40944">
        <w:rPr>
          <w:rFonts w:asciiTheme="majorHAnsi" w:hAnsiTheme="majorHAnsi" w:cstheme="majorHAnsi"/>
        </w:rPr>
        <w:t xml:space="preserve">) </w:t>
      </w:r>
      <w:r w:rsidR="001E32E3" w:rsidRPr="001F4C68">
        <w:rPr>
          <w:rFonts w:asciiTheme="majorHAnsi" w:hAnsiTheme="majorHAnsi" w:cstheme="majorHAnsi"/>
        </w:rPr>
        <w:t>test under the Australian Design Rules (ADR).</w:t>
      </w:r>
    </w:p>
    <w:p w14:paraId="3A36D98D" w14:textId="58EBC153" w:rsidR="005F794B" w:rsidRPr="005F794B" w:rsidRDefault="00B86540" w:rsidP="00F52D55">
      <w:pPr>
        <w:pStyle w:val="Heading2"/>
        <w:spacing w:line="276" w:lineRule="auto"/>
      </w:pPr>
      <w:r>
        <w:t xml:space="preserve">Authority </w:t>
      </w:r>
    </w:p>
    <w:p w14:paraId="4538D835" w14:textId="14D44258" w:rsidR="001E32E3" w:rsidRDefault="00B86540" w:rsidP="00F52D55">
      <w:pPr>
        <w:spacing w:line="276" w:lineRule="auto"/>
      </w:pPr>
      <w:r>
        <w:t xml:space="preserve">Section 34 of the </w:t>
      </w:r>
      <w:r>
        <w:rPr>
          <w:i/>
        </w:rPr>
        <w:t xml:space="preserve">New Vehicle Efficiency Standard Act 2024 </w:t>
      </w:r>
      <w:r>
        <w:t xml:space="preserve">(NVES Act) provides that if the Minister </w:t>
      </w:r>
      <w:proofErr w:type="gramStart"/>
      <w:r>
        <w:t>makes a determination</w:t>
      </w:r>
      <w:proofErr w:type="gramEnd"/>
      <w:r w:rsidR="00720AA0">
        <w:t xml:space="preserve"> </w:t>
      </w:r>
      <w:r w:rsidR="00315D98">
        <w:t>they</w:t>
      </w:r>
      <w:r>
        <w:t xml:space="preserve"> must ensure that a notice is published on the </w:t>
      </w:r>
      <w:r w:rsidR="00720AA0">
        <w:t>d</w:t>
      </w:r>
      <w:r>
        <w:t>epartment’s website that sets out</w:t>
      </w:r>
      <w:r w:rsidR="001E32E3">
        <w:t>:</w:t>
      </w:r>
    </w:p>
    <w:p w14:paraId="4CA72142" w14:textId="6479EA1D" w:rsidR="001E32E3" w:rsidRDefault="00B86540" w:rsidP="001E32E3">
      <w:pPr>
        <w:pStyle w:val="ListParagraph"/>
        <w:numPr>
          <w:ilvl w:val="0"/>
          <w:numId w:val="33"/>
        </w:numPr>
        <w:spacing w:line="276" w:lineRule="auto"/>
      </w:pPr>
      <w:r>
        <w:t>the reasons for the Minister’s decision to make the determination</w:t>
      </w:r>
      <w:r w:rsidR="001E32E3">
        <w:t>; and</w:t>
      </w:r>
    </w:p>
    <w:p w14:paraId="778866B9" w14:textId="1AC31794" w:rsidR="0079429A" w:rsidRDefault="001E32E3" w:rsidP="00673499">
      <w:pPr>
        <w:pStyle w:val="ListParagraph"/>
        <w:numPr>
          <w:ilvl w:val="0"/>
          <w:numId w:val="33"/>
        </w:numPr>
      </w:pPr>
      <w:r>
        <w:t xml:space="preserve">as </w:t>
      </w:r>
      <w:r w:rsidRPr="001E32E3">
        <w:t xml:space="preserve">submissions were made as part of public consultation in response to the notice published under subsection 36(1) in relation to the </w:t>
      </w:r>
      <w:r w:rsidR="00B40944">
        <w:t>d</w:t>
      </w:r>
      <w:r w:rsidRPr="001E32E3">
        <w:t>etermination--which of those submissions (if any) the Minister considered.</w:t>
      </w:r>
    </w:p>
    <w:p w14:paraId="6544D71A" w14:textId="496C59EA" w:rsidR="005F794B" w:rsidRPr="00B86540" w:rsidRDefault="0079429A" w:rsidP="00F52D55">
      <w:pPr>
        <w:spacing w:line="276" w:lineRule="auto"/>
      </w:pPr>
      <w:r>
        <w:t xml:space="preserve">This document sets out </w:t>
      </w:r>
      <w:r w:rsidR="00315D98">
        <w:t>the reasons for</w:t>
      </w:r>
      <w:r>
        <w:t xml:space="preserve"> the determination </w:t>
      </w:r>
      <w:r w:rsidR="001E32E3">
        <w:t xml:space="preserve">in satisfaction of </w:t>
      </w:r>
      <w:r>
        <w:t xml:space="preserve">section </w:t>
      </w:r>
      <w:r w:rsidR="001E32E3">
        <w:t xml:space="preserve">34 </w:t>
      </w:r>
      <w:r>
        <w:t>of the NVES Act.</w:t>
      </w:r>
    </w:p>
    <w:p w14:paraId="1CFCFB55" w14:textId="77777777" w:rsidR="005F794B" w:rsidRDefault="00B86540" w:rsidP="00F52D55">
      <w:pPr>
        <w:pStyle w:val="Heading2"/>
        <w:spacing w:line="276" w:lineRule="auto"/>
      </w:pPr>
      <w:r>
        <w:t xml:space="preserve">Outline of reasons </w:t>
      </w:r>
    </w:p>
    <w:p w14:paraId="06473EFA" w14:textId="757CE7BA" w:rsidR="00DA316A" w:rsidRDefault="00EA1E92" w:rsidP="00F52D55">
      <w:pPr>
        <w:pStyle w:val="ListParagraph"/>
        <w:numPr>
          <w:ilvl w:val="0"/>
          <w:numId w:val="32"/>
        </w:numPr>
        <w:spacing w:line="276" w:lineRule="auto"/>
        <w:rPr>
          <w:rFonts w:asciiTheme="majorHAnsi" w:hAnsiTheme="majorHAnsi" w:cstheme="majorHAnsi"/>
        </w:rPr>
      </w:pPr>
      <w:r>
        <w:rPr>
          <w:rFonts w:asciiTheme="majorHAnsi" w:hAnsiTheme="majorHAnsi" w:cstheme="majorHAnsi"/>
        </w:rPr>
        <w:t>The reasons for this decision</w:t>
      </w:r>
      <w:r w:rsidR="002C0294">
        <w:rPr>
          <w:rFonts w:asciiTheme="majorHAnsi" w:hAnsiTheme="majorHAnsi" w:cstheme="majorHAnsi"/>
        </w:rPr>
        <w:t xml:space="preserve"> </w:t>
      </w:r>
      <w:r w:rsidR="00315D98">
        <w:rPr>
          <w:rFonts w:asciiTheme="majorHAnsi" w:hAnsiTheme="majorHAnsi" w:cstheme="majorHAnsi"/>
        </w:rPr>
        <w:t>are</w:t>
      </w:r>
      <w:r>
        <w:rPr>
          <w:rFonts w:asciiTheme="majorHAnsi" w:hAnsiTheme="majorHAnsi" w:cstheme="majorHAnsi"/>
        </w:rPr>
        <w:t>:</w:t>
      </w:r>
    </w:p>
    <w:p w14:paraId="3513AA8B" w14:textId="54FB98B1" w:rsidR="001F4C68" w:rsidRDefault="000A2271" w:rsidP="00F52D55">
      <w:pPr>
        <w:pStyle w:val="ListParagraph"/>
        <w:numPr>
          <w:ilvl w:val="1"/>
          <w:numId w:val="32"/>
        </w:numPr>
        <w:spacing w:line="276" w:lineRule="auto"/>
        <w:rPr>
          <w:rFonts w:asciiTheme="majorHAnsi" w:hAnsiTheme="majorHAnsi" w:cstheme="majorHAnsi"/>
        </w:rPr>
      </w:pPr>
      <w:r>
        <w:rPr>
          <w:rFonts w:asciiTheme="majorHAnsi" w:hAnsiTheme="majorHAnsi" w:cstheme="majorHAnsi"/>
        </w:rPr>
        <w:t>T</w:t>
      </w:r>
      <w:r w:rsidR="001F4C68">
        <w:rPr>
          <w:rFonts w:asciiTheme="majorHAnsi" w:hAnsiTheme="majorHAnsi" w:cstheme="majorHAnsi"/>
        </w:rPr>
        <w:t xml:space="preserve">he </w:t>
      </w:r>
      <w:r>
        <w:rPr>
          <w:rFonts w:asciiTheme="majorHAnsi" w:hAnsiTheme="majorHAnsi" w:cstheme="majorHAnsi"/>
        </w:rPr>
        <w:t>d</w:t>
      </w:r>
      <w:r w:rsidR="001F4C68">
        <w:rPr>
          <w:rFonts w:asciiTheme="majorHAnsi" w:hAnsiTheme="majorHAnsi" w:cstheme="majorHAnsi"/>
        </w:rPr>
        <w:t>etermination is consistent with the object</w:t>
      </w:r>
      <w:r>
        <w:rPr>
          <w:rFonts w:asciiTheme="majorHAnsi" w:hAnsiTheme="majorHAnsi" w:cstheme="majorHAnsi"/>
        </w:rPr>
        <w:t>s</w:t>
      </w:r>
      <w:r w:rsidR="001F4C68">
        <w:rPr>
          <w:rFonts w:asciiTheme="majorHAnsi" w:hAnsiTheme="majorHAnsi" w:cstheme="majorHAnsi"/>
        </w:rPr>
        <w:t xml:space="preserve"> of the NVES Act</w:t>
      </w:r>
      <w:r>
        <w:rPr>
          <w:rFonts w:asciiTheme="majorHAnsi" w:hAnsiTheme="majorHAnsi" w:cstheme="majorHAnsi"/>
        </w:rPr>
        <w:t>, namely it is consistent with the object of ensuring a transparent and flexible standard that is able to be calibrated over time according to policy needs, and is robust and based on the best available evidence.</w:t>
      </w:r>
      <w:r>
        <w:rPr>
          <w:rStyle w:val="FootnoteReference"/>
          <w:rFonts w:asciiTheme="majorHAnsi" w:hAnsiTheme="majorHAnsi" w:cstheme="majorHAnsi"/>
        </w:rPr>
        <w:footnoteReference w:id="2"/>
      </w:r>
      <w:r>
        <w:rPr>
          <w:rFonts w:asciiTheme="majorHAnsi" w:hAnsiTheme="majorHAnsi" w:cstheme="majorHAnsi"/>
        </w:rPr>
        <w:t xml:space="preserve"> The determination </w:t>
      </w:r>
      <w:r w:rsidR="001F4C68">
        <w:rPr>
          <w:rFonts w:asciiTheme="majorHAnsi" w:hAnsiTheme="majorHAnsi" w:cstheme="majorHAnsi"/>
        </w:rPr>
        <w:t xml:space="preserve">supports </w:t>
      </w:r>
      <w:r>
        <w:rPr>
          <w:rFonts w:asciiTheme="majorHAnsi" w:hAnsiTheme="majorHAnsi" w:cstheme="majorHAnsi"/>
        </w:rPr>
        <w:t>the</w:t>
      </w:r>
      <w:r w:rsidR="001F4C68">
        <w:rPr>
          <w:rFonts w:asciiTheme="majorHAnsi" w:hAnsiTheme="majorHAnsi" w:cstheme="majorHAnsi"/>
        </w:rPr>
        <w:t xml:space="preserve"> operation </w:t>
      </w:r>
      <w:r w:rsidR="00B40944">
        <w:rPr>
          <w:rFonts w:asciiTheme="majorHAnsi" w:hAnsiTheme="majorHAnsi" w:cstheme="majorHAnsi"/>
        </w:rPr>
        <w:t xml:space="preserve">of the NVES Act </w:t>
      </w:r>
      <w:r w:rsidR="001F4C68">
        <w:rPr>
          <w:rFonts w:asciiTheme="majorHAnsi" w:hAnsiTheme="majorHAnsi" w:cstheme="majorHAnsi"/>
        </w:rPr>
        <w:t>in respect o</w:t>
      </w:r>
      <w:r>
        <w:rPr>
          <w:rFonts w:asciiTheme="majorHAnsi" w:hAnsiTheme="majorHAnsi" w:cstheme="majorHAnsi"/>
        </w:rPr>
        <w:t>f ensuring that vehicles that are unable to comply with the NVES Act due to lack of mandated testing procedure are exempt</w:t>
      </w:r>
      <w:r w:rsidR="001F4C68">
        <w:rPr>
          <w:rFonts w:asciiTheme="majorHAnsi" w:hAnsiTheme="majorHAnsi" w:cstheme="majorHAnsi"/>
        </w:rPr>
        <w:t xml:space="preserve">. </w:t>
      </w:r>
    </w:p>
    <w:p w14:paraId="7647B071" w14:textId="5486D00B" w:rsidR="00EA1E92" w:rsidRDefault="00EA1E92" w:rsidP="00F52D55">
      <w:pPr>
        <w:pStyle w:val="ListParagraph"/>
        <w:numPr>
          <w:ilvl w:val="1"/>
          <w:numId w:val="32"/>
        </w:numPr>
        <w:spacing w:line="276" w:lineRule="auto"/>
        <w:rPr>
          <w:rFonts w:asciiTheme="majorHAnsi" w:hAnsiTheme="majorHAnsi" w:cstheme="majorHAnsi"/>
        </w:rPr>
      </w:pPr>
      <w:r>
        <w:rPr>
          <w:rFonts w:asciiTheme="majorHAnsi" w:hAnsiTheme="majorHAnsi" w:cstheme="majorHAnsi"/>
        </w:rPr>
        <w:lastRenderedPageBreak/>
        <w:t xml:space="preserve">It is currently mandatory for vehicles </w:t>
      </w:r>
      <w:r w:rsidR="00BB0A6D">
        <w:rPr>
          <w:rFonts w:asciiTheme="majorHAnsi" w:hAnsiTheme="majorHAnsi" w:cstheme="majorHAnsi"/>
        </w:rPr>
        <w:t xml:space="preserve">under </w:t>
      </w:r>
      <w:r>
        <w:rPr>
          <w:rFonts w:asciiTheme="majorHAnsi" w:hAnsiTheme="majorHAnsi" w:cstheme="majorHAnsi"/>
        </w:rPr>
        <w:t>3.5 tonnes GVM to undergo a CO</w:t>
      </w:r>
      <w:r w:rsidRPr="00801C1C">
        <w:rPr>
          <w:rFonts w:asciiTheme="majorHAnsi" w:hAnsiTheme="majorHAnsi" w:cstheme="majorHAnsi"/>
          <w:vertAlign w:val="subscript"/>
        </w:rPr>
        <w:t>2</w:t>
      </w:r>
      <w:r>
        <w:rPr>
          <w:rFonts w:asciiTheme="majorHAnsi" w:hAnsiTheme="majorHAnsi" w:cstheme="majorHAnsi"/>
        </w:rPr>
        <w:t xml:space="preserve"> test under ADR 81/02. This does not apply to vehicles </w:t>
      </w:r>
      <w:r w:rsidR="00BB0A6D">
        <w:rPr>
          <w:rFonts w:asciiTheme="majorHAnsi" w:hAnsiTheme="majorHAnsi" w:cstheme="majorHAnsi"/>
        </w:rPr>
        <w:t xml:space="preserve">that weigh </w:t>
      </w:r>
      <w:r>
        <w:rPr>
          <w:rFonts w:asciiTheme="majorHAnsi" w:hAnsiTheme="majorHAnsi" w:cstheme="majorHAnsi"/>
        </w:rPr>
        <w:t>above 3.5 tonne GVM.</w:t>
      </w:r>
    </w:p>
    <w:p w14:paraId="04BFE10E" w14:textId="1ADDA704" w:rsidR="00315D98" w:rsidRDefault="00720AA0" w:rsidP="00F52D55">
      <w:pPr>
        <w:pStyle w:val="ListParagraph"/>
        <w:numPr>
          <w:ilvl w:val="1"/>
          <w:numId w:val="32"/>
        </w:numPr>
        <w:spacing w:line="276" w:lineRule="auto"/>
        <w:rPr>
          <w:rFonts w:asciiTheme="majorHAnsi" w:hAnsiTheme="majorHAnsi" w:cstheme="majorHAnsi"/>
        </w:rPr>
      </w:pPr>
      <w:r>
        <w:rPr>
          <w:rFonts w:asciiTheme="majorHAnsi" w:hAnsiTheme="majorHAnsi" w:cstheme="majorHAnsi"/>
        </w:rPr>
        <w:t>T</w:t>
      </w:r>
      <w:r w:rsidR="00315D98">
        <w:rPr>
          <w:rFonts w:asciiTheme="majorHAnsi" w:hAnsiTheme="majorHAnsi" w:cstheme="majorHAnsi"/>
        </w:rPr>
        <w:t>he determination</w:t>
      </w:r>
      <w:r>
        <w:rPr>
          <w:rFonts w:asciiTheme="majorHAnsi" w:hAnsiTheme="majorHAnsi" w:cstheme="majorHAnsi"/>
        </w:rPr>
        <w:t xml:space="preserve"> is necessary to ensure that vehicles </w:t>
      </w:r>
      <w:r w:rsidR="00015C67">
        <w:rPr>
          <w:rFonts w:asciiTheme="majorHAnsi" w:hAnsiTheme="majorHAnsi" w:cstheme="majorHAnsi"/>
        </w:rPr>
        <w:t>(</w:t>
      </w:r>
      <w:r>
        <w:rPr>
          <w:rFonts w:asciiTheme="majorHAnsi" w:hAnsiTheme="majorHAnsi" w:cstheme="majorHAnsi"/>
        </w:rPr>
        <w:t>for which ADR 81/02 doesn’t currently apply</w:t>
      </w:r>
      <w:r w:rsidR="00015C67">
        <w:rPr>
          <w:rFonts w:asciiTheme="majorHAnsi" w:hAnsiTheme="majorHAnsi" w:cstheme="majorHAnsi"/>
        </w:rPr>
        <w:t xml:space="preserve">) </w:t>
      </w:r>
      <w:r>
        <w:rPr>
          <w:rFonts w:asciiTheme="majorHAnsi" w:hAnsiTheme="majorHAnsi" w:cstheme="majorHAnsi"/>
        </w:rPr>
        <w:t>are exempt from complying with the NVES Act, when there is no curren</w:t>
      </w:r>
      <w:r w:rsidR="00673C36">
        <w:rPr>
          <w:rFonts w:asciiTheme="majorHAnsi" w:hAnsiTheme="majorHAnsi" w:cstheme="majorHAnsi"/>
        </w:rPr>
        <w:t>t</w:t>
      </w:r>
      <w:r>
        <w:rPr>
          <w:rFonts w:asciiTheme="majorHAnsi" w:hAnsiTheme="majorHAnsi" w:cstheme="majorHAnsi"/>
        </w:rPr>
        <w:t xml:space="preserve"> way for </w:t>
      </w:r>
      <w:r w:rsidR="00315D98">
        <w:rPr>
          <w:rFonts w:asciiTheme="majorHAnsi" w:hAnsiTheme="majorHAnsi" w:cstheme="majorHAnsi"/>
        </w:rPr>
        <w:t>vehicles between 3.5 and 4.5 tonnes GVM to fulfil th</w:t>
      </w:r>
      <w:r>
        <w:rPr>
          <w:rFonts w:asciiTheme="majorHAnsi" w:hAnsiTheme="majorHAnsi" w:cstheme="majorHAnsi"/>
        </w:rPr>
        <w:t>eir</w:t>
      </w:r>
      <w:r w:rsidR="00315D98">
        <w:rPr>
          <w:rFonts w:asciiTheme="majorHAnsi" w:hAnsiTheme="majorHAnsi" w:cstheme="majorHAnsi"/>
        </w:rPr>
        <w:t xml:space="preserve"> requirements</w:t>
      </w:r>
      <w:r>
        <w:rPr>
          <w:rFonts w:asciiTheme="majorHAnsi" w:hAnsiTheme="majorHAnsi" w:cstheme="majorHAnsi"/>
        </w:rPr>
        <w:t xml:space="preserve"> under the NVES Act</w:t>
      </w:r>
      <w:r w:rsidR="001F4C68">
        <w:rPr>
          <w:rFonts w:asciiTheme="majorHAnsi" w:hAnsiTheme="majorHAnsi" w:cstheme="majorHAnsi"/>
        </w:rPr>
        <w:t>.</w:t>
      </w:r>
    </w:p>
    <w:p w14:paraId="3748E506" w14:textId="47F36FFE" w:rsidR="00EA1E92" w:rsidRPr="00B40944" w:rsidRDefault="00EA1E92" w:rsidP="00F52D55">
      <w:pPr>
        <w:pStyle w:val="ListParagraph"/>
        <w:numPr>
          <w:ilvl w:val="1"/>
          <w:numId w:val="32"/>
        </w:numPr>
        <w:spacing w:line="276" w:lineRule="auto"/>
        <w:rPr>
          <w:rFonts w:asciiTheme="majorHAnsi" w:hAnsiTheme="majorHAnsi" w:cstheme="majorHAnsi"/>
        </w:rPr>
      </w:pPr>
      <w:r>
        <w:rPr>
          <w:rFonts w:asciiTheme="majorHAnsi" w:hAnsiTheme="majorHAnsi" w:cstheme="majorHAnsi"/>
        </w:rPr>
        <w:t xml:space="preserve">The determination allows for </w:t>
      </w:r>
      <w:r w:rsidR="009E6BCD">
        <w:rPr>
          <w:rFonts w:asciiTheme="majorHAnsi" w:hAnsiTheme="majorHAnsi" w:cstheme="majorHAnsi"/>
        </w:rPr>
        <w:t>a class of vehicle to be to be exempt from compliance with NVES Act until such a time that a new or varied ADR is created</w:t>
      </w:r>
      <w:r w:rsidR="0086276F">
        <w:rPr>
          <w:rFonts w:asciiTheme="majorHAnsi" w:hAnsiTheme="majorHAnsi" w:cstheme="majorHAnsi"/>
        </w:rPr>
        <w:t>.</w:t>
      </w:r>
    </w:p>
    <w:p w14:paraId="092EEB48" w14:textId="6BE3F7EC" w:rsidR="00850EF1" w:rsidRDefault="00850EF1" w:rsidP="001F4C68">
      <w:pPr>
        <w:pStyle w:val="ListParagraph"/>
        <w:numPr>
          <w:ilvl w:val="0"/>
          <w:numId w:val="32"/>
        </w:numPr>
        <w:spacing w:line="276" w:lineRule="auto"/>
        <w:rPr>
          <w:rFonts w:asciiTheme="majorHAnsi" w:hAnsiTheme="majorHAnsi" w:cstheme="majorHAnsi"/>
        </w:rPr>
      </w:pPr>
      <w:r>
        <w:rPr>
          <w:rFonts w:asciiTheme="majorHAnsi" w:hAnsiTheme="majorHAnsi" w:cstheme="majorHAnsi"/>
        </w:rPr>
        <w:t xml:space="preserve">The department may consult on a proposed ADR or amendment to an ADR in due course. </w:t>
      </w:r>
    </w:p>
    <w:p w14:paraId="23AB06A8" w14:textId="7BAF4B63" w:rsidR="001F4C68" w:rsidRDefault="00720AA0" w:rsidP="001F4C68">
      <w:pPr>
        <w:pStyle w:val="ListParagraph"/>
        <w:numPr>
          <w:ilvl w:val="0"/>
          <w:numId w:val="32"/>
        </w:numPr>
        <w:spacing w:line="276" w:lineRule="auto"/>
        <w:rPr>
          <w:rFonts w:asciiTheme="majorHAnsi" w:hAnsiTheme="majorHAnsi" w:cstheme="majorHAnsi"/>
        </w:rPr>
      </w:pPr>
      <w:r>
        <w:rPr>
          <w:rFonts w:asciiTheme="majorHAnsi" w:hAnsiTheme="majorHAnsi" w:cstheme="majorHAnsi"/>
        </w:rPr>
        <w:t xml:space="preserve">The determination expires after 31 December 2029. </w:t>
      </w:r>
      <w:r w:rsidR="001C3741">
        <w:rPr>
          <w:rFonts w:asciiTheme="majorHAnsi" w:hAnsiTheme="majorHAnsi" w:cstheme="majorHAnsi"/>
        </w:rPr>
        <w:t xml:space="preserve">This decision was made to ensure that </w:t>
      </w:r>
      <w:r>
        <w:rPr>
          <w:rFonts w:asciiTheme="majorHAnsi" w:hAnsiTheme="majorHAnsi" w:cstheme="majorHAnsi"/>
        </w:rPr>
        <w:t xml:space="preserve">timing of the </w:t>
      </w:r>
      <w:r w:rsidR="001C3741">
        <w:rPr>
          <w:rFonts w:asciiTheme="majorHAnsi" w:hAnsiTheme="majorHAnsi" w:cstheme="majorHAnsi"/>
        </w:rPr>
        <w:t>determination’s</w:t>
      </w:r>
      <w:r>
        <w:rPr>
          <w:rFonts w:asciiTheme="majorHAnsi" w:hAnsiTheme="majorHAnsi" w:cstheme="majorHAnsi"/>
        </w:rPr>
        <w:t xml:space="preserve"> expiry aligns with </w:t>
      </w:r>
      <w:r w:rsidR="001C3741">
        <w:rPr>
          <w:rFonts w:asciiTheme="majorHAnsi" w:hAnsiTheme="majorHAnsi" w:cstheme="majorHAnsi"/>
        </w:rPr>
        <w:t xml:space="preserve">the cessation of the headline limit for 2029. </w:t>
      </w:r>
      <w:r w:rsidR="001C3741" w:rsidRPr="001C3741">
        <w:rPr>
          <w:rFonts w:asciiTheme="majorHAnsi" w:hAnsiTheme="majorHAnsi" w:cstheme="majorHAnsi"/>
        </w:rPr>
        <w:t>After the end of the introductory period (for 2030 and beyond), the headline limits a year will be determined in an instrument made by the Minister</w:t>
      </w:r>
      <w:r w:rsidR="001C3741">
        <w:rPr>
          <w:rFonts w:asciiTheme="majorHAnsi" w:hAnsiTheme="majorHAnsi" w:cstheme="majorHAnsi"/>
        </w:rPr>
        <w:t xml:space="preserve">, or carry forward from the previous year. </w:t>
      </w:r>
    </w:p>
    <w:bookmarkEnd w:id="2"/>
    <w:p w14:paraId="19289C44" w14:textId="4AED0D3E" w:rsidR="000161AE" w:rsidRPr="001F4C68" w:rsidRDefault="001F4C68" w:rsidP="001F4C68">
      <w:pPr>
        <w:pStyle w:val="Heading2"/>
        <w:spacing w:line="276" w:lineRule="auto"/>
      </w:pPr>
      <w:r>
        <w:t xml:space="preserve">The </w:t>
      </w:r>
      <w:r w:rsidRPr="001F4C68">
        <w:t>submissions considered by the Minister</w:t>
      </w:r>
    </w:p>
    <w:p w14:paraId="6D3F9A3E" w14:textId="0CA247DC" w:rsidR="001F4C68" w:rsidRDefault="001F4C68" w:rsidP="001F4C68">
      <w:pPr>
        <w:rPr>
          <w:rFonts w:asciiTheme="majorHAnsi" w:hAnsiTheme="majorHAnsi" w:cstheme="majorHAnsi"/>
        </w:rPr>
      </w:pPr>
      <w:r w:rsidRPr="001F4C68">
        <w:rPr>
          <w:rFonts w:asciiTheme="majorHAnsi" w:hAnsiTheme="majorHAnsi" w:cstheme="majorHAnsi"/>
        </w:rPr>
        <w:t xml:space="preserve">Paragraph 36(2)(b) of the NVES Act provides that the Minister must publicly consult on </w:t>
      </w:r>
      <w:r w:rsidR="000A2271" w:rsidRPr="001F4C68">
        <w:rPr>
          <w:rFonts w:asciiTheme="majorHAnsi" w:hAnsiTheme="majorHAnsi" w:cstheme="majorHAnsi"/>
        </w:rPr>
        <w:t>this determination</w:t>
      </w:r>
      <w:r w:rsidRPr="001F4C68">
        <w:rPr>
          <w:rFonts w:asciiTheme="majorHAnsi" w:hAnsiTheme="majorHAnsi" w:cstheme="majorHAnsi"/>
        </w:rPr>
        <w:t xml:space="preserve"> for at least 60 days. </w:t>
      </w:r>
    </w:p>
    <w:p w14:paraId="6E66EE0F" w14:textId="76B8C3E7" w:rsidR="001F4C68" w:rsidRPr="001F4C68" w:rsidRDefault="001F4C68" w:rsidP="001F4C68">
      <w:pPr>
        <w:rPr>
          <w:rFonts w:asciiTheme="majorHAnsi" w:hAnsiTheme="majorHAnsi" w:cstheme="majorHAnsi"/>
        </w:rPr>
      </w:pPr>
      <w:r>
        <w:rPr>
          <w:rFonts w:asciiTheme="majorHAnsi" w:hAnsiTheme="majorHAnsi" w:cstheme="majorHAnsi"/>
        </w:rPr>
        <w:t xml:space="preserve">The </w:t>
      </w:r>
      <w:r w:rsidRPr="001F4C68">
        <w:rPr>
          <w:rFonts w:asciiTheme="majorHAnsi" w:hAnsiTheme="majorHAnsi" w:cstheme="majorHAnsi"/>
        </w:rPr>
        <w:t xml:space="preserve">Department of Infrastructure, Transport, Regional Development, Communications and the Arts (the department) opened public consultation on 9 </w:t>
      </w:r>
      <w:r w:rsidR="000A2271" w:rsidRPr="001F4C68">
        <w:rPr>
          <w:rFonts w:asciiTheme="majorHAnsi" w:hAnsiTheme="majorHAnsi" w:cstheme="majorHAnsi"/>
        </w:rPr>
        <w:t>August 2024</w:t>
      </w:r>
      <w:r w:rsidRPr="001F4C68">
        <w:rPr>
          <w:rFonts w:asciiTheme="majorHAnsi" w:hAnsiTheme="majorHAnsi" w:cstheme="majorHAnsi"/>
        </w:rPr>
        <w:t xml:space="preserve"> by publishing a notice on the department’s website including a draft of the proposed determination, and closed public consultation on 8 October 2024. The department received 73</w:t>
      </w:r>
      <w:r>
        <w:rPr>
          <w:rFonts w:asciiTheme="majorHAnsi" w:hAnsiTheme="majorHAnsi" w:cstheme="majorHAnsi"/>
        </w:rPr>
        <w:t xml:space="preserve"> </w:t>
      </w:r>
      <w:r w:rsidRPr="001F4C68">
        <w:rPr>
          <w:rFonts w:asciiTheme="majorHAnsi" w:hAnsiTheme="majorHAnsi" w:cstheme="majorHAnsi"/>
        </w:rPr>
        <w:t xml:space="preserve">submissions in total to the consultation on the proposed exemption determination from automotive industry peaks and motoring associations, car manufactures, climate groups, electric vehicle associations, groups representing farming and regional communities, international organisations, government and individuals.   </w:t>
      </w:r>
    </w:p>
    <w:p w14:paraId="46F150D4" w14:textId="3F4DF1DF" w:rsidR="0068557C" w:rsidRPr="00720AA0" w:rsidRDefault="001F4C68" w:rsidP="00720AA0">
      <w:pPr>
        <w:rPr>
          <w:rFonts w:asciiTheme="majorHAnsi" w:hAnsiTheme="majorHAnsi" w:cstheme="majorHAnsi"/>
        </w:rPr>
      </w:pPr>
      <w:r>
        <w:rPr>
          <w:rFonts w:asciiTheme="majorHAnsi" w:hAnsiTheme="majorHAnsi" w:cstheme="majorHAnsi"/>
        </w:rPr>
        <w:t xml:space="preserve">In deciding to make the </w:t>
      </w:r>
      <w:r w:rsidR="00B40944">
        <w:rPr>
          <w:rFonts w:asciiTheme="majorHAnsi" w:hAnsiTheme="majorHAnsi" w:cstheme="majorHAnsi"/>
        </w:rPr>
        <w:t>d</w:t>
      </w:r>
      <w:r>
        <w:rPr>
          <w:rFonts w:asciiTheme="majorHAnsi" w:hAnsiTheme="majorHAnsi" w:cstheme="majorHAnsi"/>
        </w:rPr>
        <w:t xml:space="preserve">etermination the Minister considered </w:t>
      </w:r>
      <w:r w:rsidR="0068557C">
        <w:rPr>
          <w:rFonts w:asciiTheme="majorHAnsi" w:hAnsiTheme="majorHAnsi" w:cstheme="majorHAnsi"/>
        </w:rPr>
        <w:t>all submissions received within the consultation timeframe</w:t>
      </w:r>
      <w:r w:rsidR="00AE3E68">
        <w:rPr>
          <w:rFonts w:asciiTheme="majorHAnsi" w:hAnsiTheme="majorHAnsi" w:cstheme="majorHAnsi"/>
        </w:rPr>
        <w:t xml:space="preserve">. </w:t>
      </w:r>
      <w:r w:rsidR="0001362B">
        <w:rPr>
          <w:rFonts w:asciiTheme="majorHAnsi" w:hAnsiTheme="majorHAnsi" w:cstheme="majorHAnsi"/>
        </w:rPr>
        <w:t xml:space="preserve">These submissions are published on the department’s website. </w:t>
      </w:r>
    </w:p>
    <w:sectPr w:rsidR="0068557C" w:rsidRPr="00720AA0" w:rsidSect="00D2335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0CEA" w14:textId="77777777" w:rsidR="0068557C" w:rsidRDefault="0068557C" w:rsidP="008456D5">
      <w:pPr>
        <w:spacing w:before="0" w:after="0"/>
      </w:pPr>
      <w:r>
        <w:separator/>
      </w:r>
    </w:p>
  </w:endnote>
  <w:endnote w:type="continuationSeparator" w:id="0">
    <w:p w14:paraId="2A927B26" w14:textId="77777777" w:rsidR="0068557C" w:rsidRDefault="0068557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45D7" w14:textId="77777777" w:rsidR="0068557C" w:rsidRDefault="0068557C"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57C8615" w14:textId="77777777" w:rsidR="0068557C" w:rsidRPr="007A05BE" w:rsidRDefault="0068557C"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57C8615" w14:textId="77777777" w:rsidR="0068557C" w:rsidRPr="007A05BE" w:rsidRDefault="0068557C"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7530D0FB" w14:textId="77777777" w:rsidR="0068557C" w:rsidRDefault="006855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6844" w14:textId="4766C812" w:rsidR="0068557C" w:rsidRPr="003C67CE" w:rsidRDefault="008216E4" w:rsidP="00AB3238">
    <w:pPr>
      <w:pStyle w:val="SecurityMarker"/>
    </w:pPr>
    <w:fldSimple w:instr=" STYLEREF  &quot;Security Marker&quot;  \* MERGEFORMAT ">
      <w:r w:rsidR="008E26B7">
        <w:rPr>
          <w:noProof/>
        </w:rPr>
        <w:t>OFFICIAL</w:t>
      </w:r>
    </w:fldSimple>
  </w:p>
  <w:p w14:paraId="5CDADF21" w14:textId="77777777" w:rsidR="0068557C" w:rsidRDefault="0068557C" w:rsidP="00AB3238">
    <w:pPr>
      <w:framePr w:w="11907" w:h="284" w:hSpace="181" w:wrap="around" w:vAnchor="page" w:hAnchor="page" w:yAlign="bottom"/>
      <w:spacing w:before="0" w:after="0"/>
    </w:pPr>
    <w:r>
      <w:rPr>
        <w:noProof/>
      </w:rPr>
      <w:drawing>
        <wp:inline distT="0" distB="0" distL="0" distR="0" wp14:anchorId="77AC9920" wp14:editId="337B5C08">
          <wp:extent cx="7562850" cy="1799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53AEDA71" w14:textId="08F61509" w:rsidR="0068557C" w:rsidRPr="00654E6E" w:rsidRDefault="008E26B7"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264B3B">
          <w:rPr>
            <w:color w:val="auto"/>
            <w:sz w:val="18"/>
            <w:szCs w:val="18"/>
            <w:lang w:val="en-US"/>
          </w:rPr>
          <w:t>New Vehicle Efficiency Standard Determination 2024 - Reasons for Decision</w:t>
        </w:r>
      </w:sdtContent>
    </w:sdt>
    <w:r w:rsidR="0068557C" w:rsidRPr="00654E6E">
      <w:rPr>
        <w:color w:val="auto"/>
        <w:sz w:val="18"/>
        <w:szCs w:val="18"/>
        <w:lang w:val="en-US"/>
      </w:rPr>
      <w:tab/>
      <w:t xml:space="preserve">Page </w:t>
    </w:r>
    <w:r w:rsidR="0068557C" w:rsidRPr="00654E6E">
      <w:rPr>
        <w:color w:val="auto"/>
        <w:sz w:val="18"/>
        <w:szCs w:val="18"/>
        <w:lang w:val="en-US"/>
      </w:rPr>
      <w:fldChar w:fldCharType="begin"/>
    </w:r>
    <w:r w:rsidR="0068557C" w:rsidRPr="00654E6E">
      <w:rPr>
        <w:color w:val="auto"/>
        <w:sz w:val="18"/>
        <w:szCs w:val="18"/>
        <w:lang w:val="en-US"/>
      </w:rPr>
      <w:instrText xml:space="preserve"> PAGE   \* MERGEFORMAT </w:instrText>
    </w:r>
    <w:r w:rsidR="0068557C" w:rsidRPr="00654E6E">
      <w:rPr>
        <w:color w:val="auto"/>
        <w:sz w:val="18"/>
        <w:szCs w:val="18"/>
        <w:lang w:val="en-US"/>
      </w:rPr>
      <w:fldChar w:fldCharType="separate"/>
    </w:r>
    <w:r w:rsidR="0068557C">
      <w:rPr>
        <w:color w:val="auto"/>
        <w:sz w:val="18"/>
        <w:szCs w:val="18"/>
        <w:lang w:val="en-US"/>
      </w:rPr>
      <w:t>3</w:t>
    </w:r>
    <w:r w:rsidR="0068557C" w:rsidRPr="00654E6E">
      <w:rPr>
        <w:noProof/>
        <w:color w:val="auto"/>
        <w:sz w:val="18"/>
        <w:szCs w:val="18"/>
        <w:lang w:val="en-US"/>
      </w:rPr>
      <w:fldChar w:fldCharType="end"/>
    </w:r>
    <w:r w:rsidR="0068557C" w:rsidRPr="00654E6E">
      <w:rPr>
        <w:noProof/>
        <w:color w:val="auto"/>
        <w:sz w:val="18"/>
        <w:szCs w:val="18"/>
        <w:lang w:val="en-US"/>
      </w:rPr>
      <w:t xml:space="preserve"> of </w:t>
    </w:r>
    <w:r w:rsidR="0068557C" w:rsidRPr="00654E6E">
      <w:rPr>
        <w:noProof/>
        <w:color w:val="auto"/>
        <w:sz w:val="18"/>
        <w:szCs w:val="18"/>
        <w:lang w:val="en-US"/>
      </w:rPr>
      <w:fldChar w:fldCharType="begin"/>
    </w:r>
    <w:r w:rsidR="0068557C" w:rsidRPr="00654E6E">
      <w:rPr>
        <w:noProof/>
        <w:color w:val="auto"/>
        <w:sz w:val="18"/>
        <w:szCs w:val="18"/>
        <w:lang w:val="en-US"/>
      </w:rPr>
      <w:instrText xml:space="preserve"> NUMPAGES   \* MERGEFORMAT </w:instrText>
    </w:r>
    <w:r w:rsidR="0068557C" w:rsidRPr="00654E6E">
      <w:rPr>
        <w:noProof/>
        <w:color w:val="auto"/>
        <w:sz w:val="18"/>
        <w:szCs w:val="18"/>
        <w:lang w:val="en-US"/>
      </w:rPr>
      <w:fldChar w:fldCharType="separate"/>
    </w:r>
    <w:r w:rsidR="0068557C">
      <w:rPr>
        <w:noProof/>
        <w:color w:val="auto"/>
        <w:sz w:val="18"/>
        <w:szCs w:val="18"/>
        <w:lang w:val="en-US"/>
      </w:rPr>
      <w:t>9</w:t>
    </w:r>
    <w:r w:rsidR="0068557C"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2B5" w14:textId="5311350A" w:rsidR="0068557C" w:rsidRPr="003C67CE" w:rsidRDefault="008216E4" w:rsidP="001D659E">
    <w:pPr>
      <w:pStyle w:val="SecurityMarker"/>
    </w:pPr>
    <w:fldSimple w:instr=" STYLEREF  &quot;Security Marker&quot;  \* MERGEFORMAT ">
      <w:r w:rsidR="008E26B7">
        <w:rPr>
          <w:noProof/>
        </w:rPr>
        <w:t>OFFICIAL</w:t>
      </w:r>
    </w:fldSimple>
  </w:p>
  <w:p w14:paraId="5627F79A" w14:textId="77777777" w:rsidR="0068557C" w:rsidRDefault="0068557C" w:rsidP="006B1647">
    <w:pPr>
      <w:framePr w:w="11907" w:h="284" w:hSpace="181" w:wrap="around" w:vAnchor="page" w:hAnchor="page" w:yAlign="bottom"/>
      <w:spacing w:before="0" w:after="0"/>
    </w:pPr>
    <w:r>
      <w:rPr>
        <w:noProof/>
      </w:rPr>
      <w:drawing>
        <wp:inline distT="0" distB="0" distL="0" distR="0" wp14:anchorId="32D866A1" wp14:editId="32E5F5F9">
          <wp:extent cx="7562850" cy="17992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5652C495" w14:textId="66DA4906" w:rsidR="0068557C" w:rsidRPr="00654E6E" w:rsidRDefault="008E26B7"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264B3B">
          <w:rPr>
            <w:color w:val="auto"/>
            <w:sz w:val="18"/>
            <w:szCs w:val="18"/>
            <w:lang w:val="en-US"/>
          </w:rPr>
          <w:t>New Vehicle Efficiency Standard Determination 2024 - Reasons for Decision</w:t>
        </w:r>
      </w:sdtContent>
    </w:sdt>
    <w:r w:rsidR="0068557C" w:rsidRPr="00654E6E">
      <w:rPr>
        <w:color w:val="auto"/>
        <w:sz w:val="18"/>
        <w:szCs w:val="18"/>
        <w:lang w:val="en-US"/>
      </w:rPr>
      <w:tab/>
    </w:r>
    <w:r w:rsidR="0068557C" w:rsidRPr="00654E6E">
      <w:rPr>
        <w:color w:val="auto"/>
        <w:sz w:val="18"/>
        <w:szCs w:val="18"/>
        <w:lang w:val="en-US"/>
      </w:rPr>
      <w:tab/>
      <w:t xml:space="preserve">Page </w:t>
    </w:r>
    <w:r w:rsidR="0068557C" w:rsidRPr="00654E6E">
      <w:rPr>
        <w:color w:val="auto"/>
        <w:sz w:val="18"/>
        <w:szCs w:val="18"/>
        <w:lang w:val="en-US"/>
      </w:rPr>
      <w:fldChar w:fldCharType="begin"/>
    </w:r>
    <w:r w:rsidR="0068557C" w:rsidRPr="00654E6E">
      <w:rPr>
        <w:color w:val="auto"/>
        <w:sz w:val="18"/>
        <w:szCs w:val="18"/>
        <w:lang w:val="en-US"/>
      </w:rPr>
      <w:instrText xml:space="preserve"> PAGE   \* MERGEFORMAT </w:instrText>
    </w:r>
    <w:r w:rsidR="0068557C" w:rsidRPr="00654E6E">
      <w:rPr>
        <w:color w:val="auto"/>
        <w:sz w:val="18"/>
        <w:szCs w:val="18"/>
        <w:lang w:val="en-US"/>
      </w:rPr>
      <w:fldChar w:fldCharType="separate"/>
    </w:r>
    <w:r w:rsidR="0068557C">
      <w:rPr>
        <w:color w:val="auto"/>
        <w:sz w:val="18"/>
        <w:szCs w:val="18"/>
        <w:lang w:val="en-US"/>
      </w:rPr>
      <w:t>3</w:t>
    </w:r>
    <w:r w:rsidR="0068557C" w:rsidRPr="00654E6E">
      <w:rPr>
        <w:noProof/>
        <w:color w:val="auto"/>
        <w:sz w:val="18"/>
        <w:szCs w:val="18"/>
        <w:lang w:val="en-US"/>
      </w:rPr>
      <w:fldChar w:fldCharType="end"/>
    </w:r>
    <w:r w:rsidR="0068557C" w:rsidRPr="00654E6E">
      <w:rPr>
        <w:noProof/>
        <w:color w:val="auto"/>
        <w:sz w:val="18"/>
        <w:szCs w:val="18"/>
        <w:lang w:val="en-US"/>
      </w:rPr>
      <w:t xml:space="preserve"> of </w:t>
    </w:r>
    <w:r w:rsidR="0068557C" w:rsidRPr="00654E6E">
      <w:rPr>
        <w:noProof/>
        <w:color w:val="auto"/>
        <w:sz w:val="18"/>
        <w:szCs w:val="18"/>
        <w:lang w:val="en-US"/>
      </w:rPr>
      <w:fldChar w:fldCharType="begin"/>
    </w:r>
    <w:r w:rsidR="0068557C" w:rsidRPr="00654E6E">
      <w:rPr>
        <w:noProof/>
        <w:color w:val="auto"/>
        <w:sz w:val="18"/>
        <w:szCs w:val="18"/>
        <w:lang w:val="en-US"/>
      </w:rPr>
      <w:instrText xml:space="preserve"> NUMPAGES   \* MERGEFORMAT </w:instrText>
    </w:r>
    <w:r w:rsidR="0068557C" w:rsidRPr="00654E6E">
      <w:rPr>
        <w:noProof/>
        <w:color w:val="auto"/>
        <w:sz w:val="18"/>
        <w:szCs w:val="18"/>
        <w:lang w:val="en-US"/>
      </w:rPr>
      <w:fldChar w:fldCharType="separate"/>
    </w:r>
    <w:r w:rsidR="0068557C">
      <w:rPr>
        <w:noProof/>
        <w:color w:val="auto"/>
        <w:sz w:val="18"/>
        <w:szCs w:val="18"/>
        <w:lang w:val="en-US"/>
      </w:rPr>
      <w:t>9</w:t>
    </w:r>
    <w:r w:rsidR="0068557C"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C68B6" w14:textId="77777777" w:rsidR="0068557C" w:rsidRPr="00EF7FF3" w:rsidRDefault="0068557C" w:rsidP="005912BE">
      <w:pPr>
        <w:spacing w:before="300"/>
        <w:rPr>
          <w:color w:val="081E3E" w:themeColor="text2"/>
        </w:rPr>
      </w:pPr>
      <w:r w:rsidRPr="00EF7FF3">
        <w:rPr>
          <w:color w:val="081E3E" w:themeColor="text2"/>
        </w:rPr>
        <w:t>----------</w:t>
      </w:r>
    </w:p>
  </w:footnote>
  <w:footnote w:type="continuationSeparator" w:id="0">
    <w:p w14:paraId="4E59ED20" w14:textId="77777777" w:rsidR="0068557C" w:rsidRDefault="0068557C" w:rsidP="008456D5">
      <w:pPr>
        <w:spacing w:before="0" w:after="0"/>
      </w:pPr>
      <w:r>
        <w:continuationSeparator/>
      </w:r>
    </w:p>
  </w:footnote>
  <w:footnote w:type="continuationNotice" w:id="1">
    <w:p w14:paraId="29A6C987" w14:textId="77777777" w:rsidR="0068557C" w:rsidRDefault="0068557C">
      <w:pPr>
        <w:spacing w:before="0" w:after="0"/>
      </w:pPr>
    </w:p>
  </w:footnote>
  <w:footnote w:id="2">
    <w:p w14:paraId="47D72A84" w14:textId="2EA947DB" w:rsidR="0068557C" w:rsidRDefault="0068557C">
      <w:pPr>
        <w:pStyle w:val="FootnoteText"/>
      </w:pPr>
      <w:r>
        <w:rPr>
          <w:rStyle w:val="FootnoteReference"/>
        </w:rPr>
        <w:footnoteRef/>
      </w:r>
      <w:r>
        <w:t xml:space="preserve"> NVES Act s 3(a)(iii), s 3(a)(iv).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CC54" w14:textId="77777777" w:rsidR="0068557C" w:rsidRDefault="008216E4" w:rsidP="00180B5B">
    <w:pPr>
      <w:pStyle w:val="Header"/>
      <w:spacing w:after="1320"/>
      <w:jc w:val="left"/>
    </w:pPr>
    <w:fldSimple w:instr=" STYLEREF  &quot;Heading 1&quot; \l  \* MERGEFORMAT ">
      <w:r w:rsidR="0068557C">
        <w:rPr>
          <w:noProof/>
        </w:rPr>
        <w:t>Authority</w:t>
      </w:r>
    </w:fldSimple>
  </w:p>
  <w:p w14:paraId="2099B006" w14:textId="77777777" w:rsidR="0068557C" w:rsidRDefault="006855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B326" w14:textId="547BDF22" w:rsidR="0068557C" w:rsidRDefault="008216E4" w:rsidP="001D659E">
    <w:pPr>
      <w:pStyle w:val="SecurityMarker"/>
    </w:pPr>
    <w:fldSimple w:instr=" STYLEREF  &quot;Security Marker&quot;  \* MERGEFORMAT ">
      <w:r w:rsidR="008E26B7">
        <w:rPr>
          <w:noProof/>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9261" w14:textId="77777777" w:rsidR="0068557C" w:rsidRDefault="0068557C" w:rsidP="00D2335F">
    <w:pPr>
      <w:framePr w:w="11907" w:h="3062" w:wrap="around" w:vAnchor="page" w:hAnchor="page" w:x="12" w:yAlign="top" w:anchorLock="1"/>
      <w:spacing w:before="0" w:after="400"/>
    </w:pPr>
    <w:bookmarkStart w:id="4" w:name="_Hlk148680551"/>
    <w:bookmarkStart w:id="5" w:name="_Hlk168414111"/>
    <w:bookmarkStart w:id="6" w:name="_Hlk168414112"/>
    <w:r>
      <w:rPr>
        <w:noProof/>
      </w:rPr>
      <w:drawing>
        <wp:inline distT="0" distB="0" distL="0" distR="0" wp14:anchorId="617FF0D6" wp14:editId="0447306A">
          <wp:extent cx="7553115" cy="19431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4"/>
  <w:p w14:paraId="721D752B" w14:textId="77777777" w:rsidR="0068557C" w:rsidRDefault="0068557C" w:rsidP="00EA1E92">
    <w:pPr>
      <w:framePr w:w="6237" w:h="1134" w:hSpace="181" w:wrap="around" w:vAnchor="page" w:hAnchor="page" w:x="1022" w:y="1135" w:anchorLock="1"/>
      <w:spacing w:after="0"/>
    </w:pPr>
    <w:r>
      <w:rPr>
        <w:noProof/>
      </w:rPr>
      <w:drawing>
        <wp:inline distT="0" distB="0" distL="0" distR="0" wp14:anchorId="3A1910D9" wp14:editId="6EA83377">
          <wp:extent cx="3646800" cy="669600"/>
          <wp:effectExtent l="0" t="0" r="0" b="0"/>
          <wp:docPr id="3" name="Picture 3"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bookmarkEnd w:id="5"/>
  <w:bookmarkEnd w:id="6"/>
  <w:p w14:paraId="6F24DBF8" w14:textId="77777777" w:rsidR="0068557C" w:rsidRPr="0069753D" w:rsidRDefault="0068557C"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20A0462"/>
    <w:multiLevelType w:val="hybridMultilevel"/>
    <w:tmpl w:val="C32C16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A931BF6"/>
    <w:multiLevelType w:val="hybridMultilevel"/>
    <w:tmpl w:val="B15A544C"/>
    <w:lvl w:ilvl="0" w:tplc="DAD25ED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A62CE"/>
    <w:multiLevelType w:val="hybridMultilevel"/>
    <w:tmpl w:val="76565F8E"/>
    <w:lvl w:ilvl="0" w:tplc="CAC46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66354C"/>
    <w:multiLevelType w:val="hybridMultilevel"/>
    <w:tmpl w:val="2E2A8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AA07B6"/>
    <w:multiLevelType w:val="hybridMultilevel"/>
    <w:tmpl w:val="52AADE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22"/>
  </w:num>
  <w:num w:numId="32">
    <w:abstractNumId w:val="12"/>
  </w:num>
  <w:num w:numId="33">
    <w:abstractNumId w:val="1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C"/>
    <w:rsid w:val="0001362B"/>
    <w:rsid w:val="0001430B"/>
    <w:rsid w:val="00015C67"/>
    <w:rsid w:val="000161AE"/>
    <w:rsid w:val="00024E97"/>
    <w:rsid w:val="000341E0"/>
    <w:rsid w:val="00060354"/>
    <w:rsid w:val="00062740"/>
    <w:rsid w:val="00067445"/>
    <w:rsid w:val="00072740"/>
    <w:rsid w:val="0009564F"/>
    <w:rsid w:val="00096E73"/>
    <w:rsid w:val="000A2271"/>
    <w:rsid w:val="000A6491"/>
    <w:rsid w:val="000B08D1"/>
    <w:rsid w:val="000E24BA"/>
    <w:rsid w:val="000E5674"/>
    <w:rsid w:val="000E7E9F"/>
    <w:rsid w:val="00103DB2"/>
    <w:rsid w:val="001109C3"/>
    <w:rsid w:val="00115092"/>
    <w:rsid w:val="001349C6"/>
    <w:rsid w:val="00140888"/>
    <w:rsid w:val="00151BED"/>
    <w:rsid w:val="001606C9"/>
    <w:rsid w:val="001653B4"/>
    <w:rsid w:val="00180B5B"/>
    <w:rsid w:val="0018294F"/>
    <w:rsid w:val="001853FC"/>
    <w:rsid w:val="001C3741"/>
    <w:rsid w:val="001D659E"/>
    <w:rsid w:val="001E1D59"/>
    <w:rsid w:val="001E32E3"/>
    <w:rsid w:val="001E3A50"/>
    <w:rsid w:val="001F4C68"/>
    <w:rsid w:val="00203702"/>
    <w:rsid w:val="002179CC"/>
    <w:rsid w:val="00222611"/>
    <w:rsid w:val="002229F7"/>
    <w:rsid w:val="00224BE3"/>
    <w:rsid w:val="002254D5"/>
    <w:rsid w:val="0022611D"/>
    <w:rsid w:val="00234E65"/>
    <w:rsid w:val="0023793F"/>
    <w:rsid w:val="00251292"/>
    <w:rsid w:val="0026422D"/>
    <w:rsid w:val="00264B3B"/>
    <w:rsid w:val="00266955"/>
    <w:rsid w:val="002773D1"/>
    <w:rsid w:val="00284164"/>
    <w:rsid w:val="002959FB"/>
    <w:rsid w:val="002B3569"/>
    <w:rsid w:val="002B7197"/>
    <w:rsid w:val="002C0294"/>
    <w:rsid w:val="002C7B94"/>
    <w:rsid w:val="002D233D"/>
    <w:rsid w:val="002E1ADA"/>
    <w:rsid w:val="002F7111"/>
    <w:rsid w:val="00315D98"/>
    <w:rsid w:val="003720E9"/>
    <w:rsid w:val="00372DCC"/>
    <w:rsid w:val="0038444F"/>
    <w:rsid w:val="003C260B"/>
    <w:rsid w:val="003C625A"/>
    <w:rsid w:val="003E16B6"/>
    <w:rsid w:val="003F1371"/>
    <w:rsid w:val="003F775D"/>
    <w:rsid w:val="00420F04"/>
    <w:rsid w:val="00427326"/>
    <w:rsid w:val="00430511"/>
    <w:rsid w:val="00436294"/>
    <w:rsid w:val="004460A1"/>
    <w:rsid w:val="00450D0E"/>
    <w:rsid w:val="00454FED"/>
    <w:rsid w:val="00477E77"/>
    <w:rsid w:val="0048292A"/>
    <w:rsid w:val="00483596"/>
    <w:rsid w:val="0049153B"/>
    <w:rsid w:val="004A4EB9"/>
    <w:rsid w:val="004C3600"/>
    <w:rsid w:val="004D0FE9"/>
    <w:rsid w:val="004E1EB0"/>
    <w:rsid w:val="004F77AA"/>
    <w:rsid w:val="00526674"/>
    <w:rsid w:val="00526CD7"/>
    <w:rsid w:val="005322B4"/>
    <w:rsid w:val="00541213"/>
    <w:rsid w:val="00546218"/>
    <w:rsid w:val="005567DE"/>
    <w:rsid w:val="005653A9"/>
    <w:rsid w:val="0057419C"/>
    <w:rsid w:val="00580E6C"/>
    <w:rsid w:val="00582A04"/>
    <w:rsid w:val="00583E37"/>
    <w:rsid w:val="005912BE"/>
    <w:rsid w:val="005D50BC"/>
    <w:rsid w:val="005F794B"/>
    <w:rsid w:val="00611CC1"/>
    <w:rsid w:val="006335BA"/>
    <w:rsid w:val="00642DAF"/>
    <w:rsid w:val="00673499"/>
    <w:rsid w:val="00673C36"/>
    <w:rsid w:val="00680CF5"/>
    <w:rsid w:val="006851B3"/>
    <w:rsid w:val="0068557C"/>
    <w:rsid w:val="00686A7B"/>
    <w:rsid w:val="006A0F8A"/>
    <w:rsid w:val="006A266A"/>
    <w:rsid w:val="006A5551"/>
    <w:rsid w:val="006B1647"/>
    <w:rsid w:val="006E1ECA"/>
    <w:rsid w:val="006E2A0E"/>
    <w:rsid w:val="006F0BEA"/>
    <w:rsid w:val="006F42E5"/>
    <w:rsid w:val="00720AA0"/>
    <w:rsid w:val="00720CD9"/>
    <w:rsid w:val="00781D1C"/>
    <w:rsid w:val="0079429A"/>
    <w:rsid w:val="007977E7"/>
    <w:rsid w:val="007A05BE"/>
    <w:rsid w:val="007A0CD1"/>
    <w:rsid w:val="007D7CD4"/>
    <w:rsid w:val="007E40AE"/>
    <w:rsid w:val="00801C1C"/>
    <w:rsid w:val="0080482C"/>
    <w:rsid w:val="008067A1"/>
    <w:rsid w:val="008216E4"/>
    <w:rsid w:val="00823E03"/>
    <w:rsid w:val="00833543"/>
    <w:rsid w:val="00835773"/>
    <w:rsid w:val="00840953"/>
    <w:rsid w:val="008456D5"/>
    <w:rsid w:val="0084634B"/>
    <w:rsid w:val="008500E4"/>
    <w:rsid w:val="00850EF1"/>
    <w:rsid w:val="0086276F"/>
    <w:rsid w:val="00873F77"/>
    <w:rsid w:val="00876C44"/>
    <w:rsid w:val="00884E68"/>
    <w:rsid w:val="008940D9"/>
    <w:rsid w:val="008A0CD9"/>
    <w:rsid w:val="008A1887"/>
    <w:rsid w:val="008A3E38"/>
    <w:rsid w:val="008B3901"/>
    <w:rsid w:val="008B6A81"/>
    <w:rsid w:val="008E26B7"/>
    <w:rsid w:val="008E2A0D"/>
    <w:rsid w:val="00924CF8"/>
    <w:rsid w:val="00946BCD"/>
    <w:rsid w:val="00981F9A"/>
    <w:rsid w:val="009909EC"/>
    <w:rsid w:val="0099647D"/>
    <w:rsid w:val="00996B8C"/>
    <w:rsid w:val="009B00F2"/>
    <w:rsid w:val="009D6C76"/>
    <w:rsid w:val="009E6BCD"/>
    <w:rsid w:val="009E7E52"/>
    <w:rsid w:val="00A070A2"/>
    <w:rsid w:val="00A103B6"/>
    <w:rsid w:val="00A146EE"/>
    <w:rsid w:val="00A55479"/>
    <w:rsid w:val="00A70111"/>
    <w:rsid w:val="00A75187"/>
    <w:rsid w:val="00A84ADF"/>
    <w:rsid w:val="00A95970"/>
    <w:rsid w:val="00AB3238"/>
    <w:rsid w:val="00AC4537"/>
    <w:rsid w:val="00AD4EF7"/>
    <w:rsid w:val="00AD7703"/>
    <w:rsid w:val="00AE1A3E"/>
    <w:rsid w:val="00AE3E68"/>
    <w:rsid w:val="00AE4F99"/>
    <w:rsid w:val="00AF188A"/>
    <w:rsid w:val="00B0484D"/>
    <w:rsid w:val="00B40944"/>
    <w:rsid w:val="00B42AC2"/>
    <w:rsid w:val="00B666D4"/>
    <w:rsid w:val="00B800E2"/>
    <w:rsid w:val="00B860BF"/>
    <w:rsid w:val="00B86540"/>
    <w:rsid w:val="00B9430D"/>
    <w:rsid w:val="00BB0A6D"/>
    <w:rsid w:val="00BB266D"/>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6739"/>
    <w:rsid w:val="00CE6B9C"/>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316A"/>
    <w:rsid w:val="00DA6576"/>
    <w:rsid w:val="00DD09C2"/>
    <w:rsid w:val="00DD73BD"/>
    <w:rsid w:val="00DE4362"/>
    <w:rsid w:val="00DE4FE2"/>
    <w:rsid w:val="00E00CD9"/>
    <w:rsid w:val="00E04908"/>
    <w:rsid w:val="00E16D1E"/>
    <w:rsid w:val="00E20C87"/>
    <w:rsid w:val="00E2218A"/>
    <w:rsid w:val="00E26A00"/>
    <w:rsid w:val="00E30EB4"/>
    <w:rsid w:val="00E51F03"/>
    <w:rsid w:val="00E5444D"/>
    <w:rsid w:val="00E55BB2"/>
    <w:rsid w:val="00E70F26"/>
    <w:rsid w:val="00E800D9"/>
    <w:rsid w:val="00E94FDD"/>
    <w:rsid w:val="00E95BA5"/>
    <w:rsid w:val="00EA1E92"/>
    <w:rsid w:val="00EF7FF3"/>
    <w:rsid w:val="00F11869"/>
    <w:rsid w:val="00F1428D"/>
    <w:rsid w:val="00F472C5"/>
    <w:rsid w:val="00F52D55"/>
    <w:rsid w:val="00F67CDB"/>
    <w:rsid w:val="00F748F1"/>
    <w:rsid w:val="00FB5D36"/>
    <w:rsid w:val="00FC32B2"/>
    <w:rsid w:val="00FC34AF"/>
    <w:rsid w:val="00FD26E3"/>
    <w:rsid w:val="00FE4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B25A14"/>
  <w15:chartTrackingRefBased/>
  <w15:docId w15:val="{A8BD7035-62C2-4AD8-92FF-C6CB5666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66D09EF52741AFB7C2DBE311B30C8E"/>
        <w:category>
          <w:name w:val="General"/>
          <w:gallery w:val="placeholder"/>
        </w:category>
        <w:types>
          <w:type w:val="bbPlcHdr"/>
        </w:types>
        <w:behaviors>
          <w:behavior w:val="content"/>
        </w:behaviors>
        <w:guid w:val="{AFB9B41E-B363-4885-B7E0-8A8FD0B908E3}"/>
      </w:docPartPr>
      <w:docPartBody>
        <w:p w:rsidR="00E26F95" w:rsidRDefault="00E26F95">
          <w:pPr>
            <w:pStyle w:val="7C66D09EF52741AFB7C2DBE311B30C8E"/>
          </w:pPr>
          <w:r w:rsidRPr="007F2826">
            <w:rPr>
              <w:rStyle w:val="PlaceholderText"/>
            </w:rPr>
            <w:t>Choose an item.</w:t>
          </w:r>
        </w:p>
      </w:docPartBody>
    </w:docPart>
    <w:docPart>
      <w:docPartPr>
        <w:name w:val="B52931DAC09342E38AB82B3FD118359D"/>
        <w:category>
          <w:name w:val="General"/>
          <w:gallery w:val="placeholder"/>
        </w:category>
        <w:types>
          <w:type w:val="bbPlcHdr"/>
        </w:types>
        <w:behaviors>
          <w:behavior w:val="content"/>
        </w:behaviors>
        <w:guid w:val="{1BD83827-D32D-4E2F-885B-DD09BD68BB4B}"/>
      </w:docPartPr>
      <w:docPartBody>
        <w:p w:rsidR="00E26F95" w:rsidRDefault="00E26F95">
          <w:pPr>
            <w:pStyle w:val="B52931DAC09342E38AB82B3FD118359D"/>
          </w:pPr>
          <w:r w:rsidRPr="00EC51DD">
            <w:rPr>
              <w:rStyle w:val="PlaceholderText"/>
            </w:rPr>
            <w:t>[Title]</w:t>
          </w:r>
        </w:p>
      </w:docPartBody>
    </w:docPart>
    <w:docPart>
      <w:docPartPr>
        <w:name w:val="7F5E596AF5344CC8B36EC97639BFEF69"/>
        <w:category>
          <w:name w:val="General"/>
          <w:gallery w:val="placeholder"/>
        </w:category>
        <w:types>
          <w:type w:val="bbPlcHdr"/>
        </w:types>
        <w:behaviors>
          <w:behavior w:val="content"/>
        </w:behaviors>
        <w:guid w:val="{FDE34122-37AF-471A-8A40-F8BFC9538F65}"/>
      </w:docPartPr>
      <w:docPartBody>
        <w:p w:rsidR="00E26F95" w:rsidRDefault="00E26F95">
          <w:pPr>
            <w:pStyle w:val="7F5E596AF5344CC8B36EC97639BFEF69"/>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95"/>
    <w:rsid w:val="001A01D5"/>
    <w:rsid w:val="008970EA"/>
    <w:rsid w:val="00E26F95"/>
    <w:rsid w:val="00F00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0493"/>
    <w:rPr>
      <w:color w:val="808080"/>
    </w:rPr>
  </w:style>
  <w:style w:type="paragraph" w:customStyle="1" w:styleId="7C66D09EF52741AFB7C2DBE311B30C8E">
    <w:name w:val="7C66D09EF52741AFB7C2DBE311B30C8E"/>
  </w:style>
  <w:style w:type="paragraph" w:customStyle="1" w:styleId="B52931DAC09342E38AB82B3FD118359D">
    <w:name w:val="B52931DAC09342E38AB82B3FD118359D"/>
  </w:style>
  <w:style w:type="paragraph" w:customStyle="1" w:styleId="7F5E596AF5344CC8B36EC97639BFEF69">
    <w:name w:val="7F5E596AF5344CC8B36EC97639BFEF69"/>
  </w:style>
  <w:style w:type="paragraph" w:customStyle="1" w:styleId="28EB88101ECE41D0B1050E11BD8444E8">
    <w:name w:val="28EB88101ECE41D0B1050E11BD8444E8"/>
    <w:rsid w:val="00F00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2024-12-06T00:00:00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3E4EC-D043-430B-82BA-E675A1AB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Vehicle Efficiency Standard Determination 2024 - Reasons for Decision</vt:lpstr>
    </vt:vector>
  </TitlesOfParts>
  <Company>Department of Infrastructure &amp; Regional Development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Vehicle Efficiency Standard Determination 2024 - Reasons for Decision</dc:title>
  <dc:subject/>
  <dc:creator>Department of Infrastructure Transport Regional Development Communications and the Arts</dc:creator>
  <cp:keywords/>
  <dc:description/>
  <cp:revision>3</cp:revision>
  <dcterms:created xsi:type="dcterms:W3CDTF">2024-12-04T02:55:00Z</dcterms:created>
  <dcterms:modified xsi:type="dcterms:W3CDTF">2024-12-05T00:32:00Z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