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E05A" w14:textId="13378170" w:rsidR="00FB2245" w:rsidRDefault="00750513" w:rsidP="00FB2245">
      <w:pPr>
        <w:spacing w:after="120"/>
        <w:ind w:left="-993"/>
        <w:sectPr w:rsidR="00FB2245" w:rsidSect="00FB2245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38" w:h="11906" w:orient="landscape" w:code="9"/>
          <w:pgMar w:top="0" w:right="1021" w:bottom="1021" w:left="1021" w:header="510" w:footer="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3E3067FB" wp14:editId="3EC0CA0E">
            <wp:extent cx="10697558" cy="1876508"/>
            <wp:effectExtent l="0" t="0" r="8890" b="9525"/>
            <wp:docPr id="4" name="Picture 4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er-logo--landscape.t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733" cy="18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38AC6" w14:textId="222C7101" w:rsidR="00FB2245" w:rsidRPr="0087083F" w:rsidRDefault="00977979" w:rsidP="0087083F">
      <w:pPr>
        <w:pStyle w:val="Heading1"/>
        <w:spacing w:before="120" w:after="120"/>
      </w:pPr>
      <w:r>
        <w:t xml:space="preserve">Noxious </w:t>
      </w:r>
      <w:r w:rsidR="00A164C9" w:rsidRPr="00A164C9">
        <w:t>Emission Limits for Light Vehicles (</w:t>
      </w:r>
      <w:r w:rsidR="00850B31">
        <w:t xml:space="preserve">up to </w:t>
      </w:r>
      <w:r w:rsidR="00A164C9" w:rsidRPr="00A164C9">
        <w:t xml:space="preserve">3.5 tonnes GVM) at Euro 2 </w:t>
      </w:r>
      <w:r w:rsidR="00A164C9">
        <w:t>to</w:t>
      </w:r>
      <w:r w:rsidR="00A164C9" w:rsidRPr="00A164C9">
        <w:t xml:space="preserve"> 6 levels</w:t>
      </w:r>
    </w:p>
    <w:p w14:paraId="523FC2F8" w14:textId="3A72D9EA" w:rsidR="00FB2245" w:rsidRPr="00B041CB" w:rsidRDefault="00B101F2" w:rsidP="0087083F">
      <w:pPr>
        <w:spacing w:before="120" w:after="0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December 2023</w:t>
      </w:r>
    </w:p>
    <w:p w14:paraId="7327734A" w14:textId="77777777" w:rsidR="00DE4FE2" w:rsidRDefault="00DE4FE2" w:rsidP="00573A05">
      <w:pPr>
        <w:pBdr>
          <w:bottom w:val="single" w:sz="4" w:space="1" w:color="C0D48F" w:themeColor="accent5"/>
        </w:pBdr>
        <w:spacing w:after="0"/>
      </w:pPr>
    </w:p>
    <w:p w14:paraId="71D096B2" w14:textId="77777777" w:rsidR="00AF538C" w:rsidRDefault="005878F1" w:rsidP="0087083F">
      <w:pPr>
        <w:spacing w:after="0"/>
        <w:rPr>
          <w:b/>
        </w:rPr>
      </w:pPr>
      <w:r w:rsidRPr="0092369D">
        <w:rPr>
          <w:b/>
        </w:rPr>
        <w:t>Euro 2</w:t>
      </w:r>
    </w:p>
    <w:p w14:paraId="4B7EDDDC" w14:textId="701CC5C8" w:rsidR="005878F1" w:rsidRDefault="00AF538C" w:rsidP="0087083F">
      <w:pPr>
        <w:spacing w:after="0"/>
        <w:rPr>
          <w:b/>
        </w:rPr>
      </w:pPr>
      <w:r>
        <w:rPr>
          <w:b/>
        </w:rPr>
        <w:t>A</w:t>
      </w:r>
      <w:r w:rsidR="00203E98" w:rsidRPr="0092369D">
        <w:rPr>
          <w:b/>
        </w:rPr>
        <w:t>dopted in ADR 79/00</w:t>
      </w:r>
      <w:r>
        <w:rPr>
          <w:b/>
        </w:rPr>
        <w:t xml:space="preserve"> </w:t>
      </w:r>
      <w:r w:rsidRPr="00AF538C">
        <w:rPr>
          <w:b/>
        </w:rPr>
        <w:t>from 1/1/2003 (for newly approved petrol models) and from 1/1/2004 (for all new petrol vehicles</w:t>
      </w:r>
      <w:r w:rsidR="00203E98" w:rsidRPr="0092369D">
        <w:rPr>
          <w:b/>
        </w:rPr>
        <w:t>)</w:t>
      </w:r>
    </w:p>
    <w:p w14:paraId="234A1953" w14:textId="00CE872E" w:rsidR="00AF538C" w:rsidRDefault="00AF538C" w:rsidP="0087083F">
      <w:pPr>
        <w:spacing w:after="0"/>
        <w:rPr>
          <w:b/>
        </w:rPr>
      </w:pPr>
      <w:r w:rsidRPr="00AF538C">
        <w:rPr>
          <w:b/>
        </w:rPr>
        <w:t>Adopted in ADR 79/00 from 1/1/2002 (for newly approved diesel models) to 1/1/2003 (for all new diesel vehicles)</w:t>
      </w:r>
    </w:p>
    <w:p w14:paraId="0E24AAFC" w14:textId="77777777" w:rsidR="00AF538C" w:rsidRPr="0092369D" w:rsidRDefault="00AF538C" w:rsidP="0087083F">
      <w:pPr>
        <w:spacing w:after="0"/>
        <w:rPr>
          <w:b/>
        </w:rPr>
      </w:pPr>
    </w:p>
    <w:tbl>
      <w:tblPr>
        <w:tblStyle w:val="DefaultTable1"/>
        <w:tblW w:w="5000" w:type="pct"/>
        <w:tblLook w:val="04A0" w:firstRow="1" w:lastRow="0" w:firstColumn="1" w:lastColumn="0" w:noHBand="0" w:noVBand="1"/>
        <w:tblDescription w:val="Euro 2&#10;Adopted in ADR 79/00 from 1/1/2003 (for newly approved petrol models) and from 1/1/2004 (for all new petrol vehicles)&#10;Adopted in ADR 79/00 from 1/1/2002 (for newly approved diesel models) to 1/1/2003 (for all new diesel vehicles)&#10;"/>
      </w:tblPr>
      <w:tblGrid>
        <w:gridCol w:w="1404"/>
        <w:gridCol w:w="2170"/>
        <w:gridCol w:w="1966"/>
        <w:gridCol w:w="1965"/>
        <w:gridCol w:w="2530"/>
        <w:gridCol w:w="2530"/>
        <w:gridCol w:w="2231"/>
      </w:tblGrid>
      <w:tr w:rsidR="00203E98" w14:paraId="72571D9D" w14:textId="77777777" w:rsidTr="00FD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14:paraId="5D12240D" w14:textId="77777777" w:rsidR="00203E98" w:rsidRPr="00D626D6" w:rsidRDefault="00203E98" w:rsidP="00D626D6">
            <w:pPr>
              <w:spacing w:before="60" w:after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733" w:type="pct"/>
          </w:tcPr>
          <w:p w14:paraId="181FF28E" w14:textId="2B5CB1FE" w:rsidR="00203E98" w:rsidRPr="00065891" w:rsidRDefault="00203E98" w:rsidP="008655C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Reference mass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(RW)</w:t>
            </w:r>
            <w:r w:rsidR="00065891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(kg)</w:t>
            </w:r>
          </w:p>
        </w:tc>
        <w:tc>
          <w:tcPr>
            <w:tcW w:w="664" w:type="pct"/>
          </w:tcPr>
          <w:p w14:paraId="1CA8EEA8" w14:textId="77777777" w:rsidR="00203E98" w:rsidRPr="009E232A" w:rsidRDefault="00203E98" w:rsidP="009E232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664" w:type="pct"/>
          </w:tcPr>
          <w:p w14:paraId="17D857EF" w14:textId="77777777" w:rsidR="00203E98" w:rsidRPr="009E232A" w:rsidRDefault="00203E98" w:rsidP="009E232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855" w:type="pct"/>
          </w:tcPr>
          <w:p w14:paraId="61B22871" w14:textId="77777777" w:rsidR="00203E98" w:rsidRPr="009E232A" w:rsidRDefault="00203E98" w:rsidP="009E232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otal hydrocarbons and oxides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THC+NOx</w:t>
            </w:r>
            <w:proofErr w:type="spellEnd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855" w:type="pct"/>
          </w:tcPr>
          <w:p w14:paraId="0AC64EDF" w14:textId="77777777" w:rsidR="00203E98" w:rsidRPr="009E232A" w:rsidRDefault="00203E98" w:rsidP="009E232A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otal hydrocarbons and oxides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THC+NOx</w:t>
            </w:r>
            <w:proofErr w:type="spellEnd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754" w:type="pct"/>
          </w:tcPr>
          <w:p w14:paraId="7E1E7ABA" w14:textId="1E798E74" w:rsidR="00203E98" w:rsidRPr="00E374E2" w:rsidRDefault="00203E98" w:rsidP="00E374E2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 w:rsidR="00E374E2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 w:rsidR="00E374E2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</w:tr>
      <w:tr w:rsidR="00203E98" w14:paraId="284CC456" w14:textId="77777777" w:rsidTr="00FD1A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14:paraId="13180D8B" w14:textId="04351B1C" w:rsidR="00203E98" w:rsidRPr="00D626D6" w:rsidRDefault="00070486" w:rsidP="00D626D6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Engine</w:t>
            </w:r>
            <w:r w:rsidR="00DC4F9A">
              <w:rPr>
                <w:rStyle w:val="FootnoteReference"/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footnoteReference w:id="1"/>
            </w:r>
          </w:p>
        </w:tc>
        <w:tc>
          <w:tcPr>
            <w:tcW w:w="733" w:type="pct"/>
          </w:tcPr>
          <w:p w14:paraId="1CCC4A91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664" w:type="pct"/>
          </w:tcPr>
          <w:p w14:paraId="64555193" w14:textId="77777777" w:rsidR="00203E98" w:rsidRDefault="00203E98" w:rsidP="009E23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664" w:type="pct"/>
          </w:tcPr>
          <w:p w14:paraId="38275762" w14:textId="77777777" w:rsidR="00203E98" w:rsidRDefault="00203E98" w:rsidP="009E23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855" w:type="pct"/>
          </w:tcPr>
          <w:p w14:paraId="5850226B" w14:textId="77777777" w:rsidR="00203E98" w:rsidRDefault="00203E98" w:rsidP="009E23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855" w:type="pct"/>
          </w:tcPr>
          <w:p w14:paraId="15453838" w14:textId="77777777" w:rsidR="00203E98" w:rsidRDefault="00203E98" w:rsidP="009E232A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754" w:type="pct"/>
          </w:tcPr>
          <w:p w14:paraId="1B8A6B8D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</w:tr>
      <w:tr w:rsidR="00203E98" w14:paraId="44B1171E" w14:textId="77777777" w:rsidTr="00070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14:paraId="2414CEFE" w14:textId="77777777" w:rsidR="00203E98" w:rsidRPr="00D626D6" w:rsidRDefault="00203E98" w:rsidP="00D626D6">
            <w:pPr>
              <w:spacing w:before="60" w:after="60"/>
              <w:ind w:left="-373" w:firstLine="373"/>
              <w:jc w:val="center"/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M</w:t>
            </w:r>
            <w:r w:rsidRPr="009E232A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733" w:type="pct"/>
          </w:tcPr>
          <w:p w14:paraId="4D559F25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All</w:t>
            </w:r>
            <w:r>
              <w:rPr>
                <w:rStyle w:val="FootnoteReference"/>
                <w:rFonts w:cstheme="minorHAnsi"/>
                <w:b/>
                <w:bCs/>
                <w:spacing w:val="-2"/>
                <w:sz w:val="20"/>
                <w:szCs w:val="20"/>
                <w:lang w:val="en-GB"/>
              </w:rPr>
              <w:footnoteReference w:id="2"/>
            </w:r>
          </w:p>
        </w:tc>
        <w:tc>
          <w:tcPr>
            <w:tcW w:w="664" w:type="pct"/>
            <w:vAlign w:val="center"/>
          </w:tcPr>
          <w:p w14:paraId="68C7231C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2.2</w:t>
            </w:r>
          </w:p>
        </w:tc>
        <w:tc>
          <w:tcPr>
            <w:tcW w:w="664" w:type="pct"/>
            <w:vAlign w:val="center"/>
          </w:tcPr>
          <w:p w14:paraId="3A9ACCC1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1.0</w:t>
            </w:r>
          </w:p>
        </w:tc>
        <w:tc>
          <w:tcPr>
            <w:tcW w:w="855" w:type="pct"/>
            <w:vAlign w:val="center"/>
          </w:tcPr>
          <w:p w14:paraId="5FADCAF3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5" w:type="pct"/>
            <w:vAlign w:val="center"/>
          </w:tcPr>
          <w:p w14:paraId="294FA704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0.7</w:t>
            </w:r>
          </w:p>
        </w:tc>
        <w:tc>
          <w:tcPr>
            <w:tcW w:w="754" w:type="pct"/>
            <w:vAlign w:val="center"/>
          </w:tcPr>
          <w:p w14:paraId="6FC71D04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0.08</w:t>
            </w:r>
          </w:p>
        </w:tc>
      </w:tr>
      <w:tr w:rsidR="00203E98" w14:paraId="24DD609F" w14:textId="77777777" w:rsidTr="0007048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14:paraId="58D0ACB1" w14:textId="77777777" w:rsidR="00203E98" w:rsidRPr="00D626D6" w:rsidRDefault="00203E98" w:rsidP="00D626D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733" w:type="pct"/>
          </w:tcPr>
          <w:p w14:paraId="587DF77D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RW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1250</w:t>
            </w:r>
          </w:p>
        </w:tc>
        <w:tc>
          <w:tcPr>
            <w:tcW w:w="664" w:type="pct"/>
            <w:vAlign w:val="center"/>
          </w:tcPr>
          <w:p w14:paraId="738C538B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2.2</w:t>
            </w:r>
          </w:p>
        </w:tc>
        <w:tc>
          <w:tcPr>
            <w:tcW w:w="664" w:type="pct"/>
            <w:vAlign w:val="center"/>
          </w:tcPr>
          <w:p w14:paraId="696DF33B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1.0</w:t>
            </w:r>
          </w:p>
        </w:tc>
        <w:tc>
          <w:tcPr>
            <w:tcW w:w="855" w:type="pct"/>
            <w:vAlign w:val="center"/>
          </w:tcPr>
          <w:p w14:paraId="3A190277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5" w:type="pct"/>
            <w:vAlign w:val="center"/>
          </w:tcPr>
          <w:p w14:paraId="6C805583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0.7</w:t>
            </w:r>
          </w:p>
        </w:tc>
        <w:tc>
          <w:tcPr>
            <w:tcW w:w="754" w:type="pct"/>
            <w:vAlign w:val="center"/>
          </w:tcPr>
          <w:p w14:paraId="125D6AF8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0.08</w:t>
            </w:r>
          </w:p>
        </w:tc>
      </w:tr>
      <w:tr w:rsidR="00203E98" w14:paraId="22BDA06B" w14:textId="77777777" w:rsidTr="00070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14:paraId="5BD073E6" w14:textId="77777777" w:rsidR="00203E98" w:rsidRPr="00D626D6" w:rsidRDefault="00203E98" w:rsidP="00D626D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733" w:type="pct"/>
          </w:tcPr>
          <w:p w14:paraId="66FB2AF9" w14:textId="72E54F87" w:rsidR="00203E98" w:rsidRPr="00D626D6" w:rsidRDefault="00DC4F9A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&gt;</w:t>
            </w:r>
            <w:r w:rsidR="00203E98"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1250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but</w:t>
            </w:r>
            <w:r w:rsidR="00203E98"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="00203E98"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 w:rsidR="00203E98"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1700</w:t>
            </w:r>
          </w:p>
        </w:tc>
        <w:tc>
          <w:tcPr>
            <w:tcW w:w="664" w:type="pct"/>
            <w:vAlign w:val="center"/>
          </w:tcPr>
          <w:p w14:paraId="4CAC8C4A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4.0</w:t>
            </w:r>
          </w:p>
        </w:tc>
        <w:tc>
          <w:tcPr>
            <w:tcW w:w="664" w:type="pct"/>
            <w:vAlign w:val="center"/>
          </w:tcPr>
          <w:p w14:paraId="128EDA10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1.25</w:t>
            </w:r>
          </w:p>
        </w:tc>
        <w:tc>
          <w:tcPr>
            <w:tcW w:w="855" w:type="pct"/>
            <w:vAlign w:val="center"/>
          </w:tcPr>
          <w:p w14:paraId="0D504FDD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0.6</w:t>
            </w:r>
          </w:p>
        </w:tc>
        <w:tc>
          <w:tcPr>
            <w:tcW w:w="855" w:type="pct"/>
            <w:vAlign w:val="center"/>
          </w:tcPr>
          <w:p w14:paraId="5D147FAA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1.0</w:t>
            </w:r>
          </w:p>
        </w:tc>
        <w:tc>
          <w:tcPr>
            <w:tcW w:w="754" w:type="pct"/>
            <w:vAlign w:val="center"/>
          </w:tcPr>
          <w:p w14:paraId="7672874E" w14:textId="77777777" w:rsidR="00203E98" w:rsidRPr="00D626D6" w:rsidRDefault="00203E98" w:rsidP="00D626D6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0.12</w:t>
            </w:r>
          </w:p>
        </w:tc>
      </w:tr>
      <w:tr w:rsidR="00203E98" w14:paraId="1E46E053" w14:textId="77777777" w:rsidTr="0007048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" w:type="pct"/>
          </w:tcPr>
          <w:p w14:paraId="5FBFDDB2" w14:textId="77777777" w:rsidR="00203E98" w:rsidRPr="00D626D6" w:rsidRDefault="00203E98" w:rsidP="00D626D6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733" w:type="pct"/>
          </w:tcPr>
          <w:p w14:paraId="5EA8D1AD" w14:textId="0B14B9FA" w:rsidR="00203E98" w:rsidRPr="00D626D6" w:rsidRDefault="00DC4F9A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&gt;</w:t>
            </w:r>
            <w:r w:rsidR="00203E98"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1700</w:t>
            </w:r>
          </w:p>
        </w:tc>
        <w:tc>
          <w:tcPr>
            <w:tcW w:w="664" w:type="pct"/>
            <w:vAlign w:val="center"/>
          </w:tcPr>
          <w:p w14:paraId="0D80B5CA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5.0</w:t>
            </w:r>
          </w:p>
        </w:tc>
        <w:tc>
          <w:tcPr>
            <w:tcW w:w="664" w:type="pct"/>
            <w:vAlign w:val="center"/>
          </w:tcPr>
          <w:p w14:paraId="1DCAB4FE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1.5</w:t>
            </w:r>
          </w:p>
        </w:tc>
        <w:tc>
          <w:tcPr>
            <w:tcW w:w="855" w:type="pct"/>
            <w:vAlign w:val="center"/>
          </w:tcPr>
          <w:p w14:paraId="048E2701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0.7</w:t>
            </w:r>
          </w:p>
        </w:tc>
        <w:tc>
          <w:tcPr>
            <w:tcW w:w="855" w:type="pct"/>
            <w:vAlign w:val="center"/>
          </w:tcPr>
          <w:p w14:paraId="5C7B03B7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1.2</w:t>
            </w:r>
          </w:p>
        </w:tc>
        <w:tc>
          <w:tcPr>
            <w:tcW w:w="754" w:type="pct"/>
            <w:vAlign w:val="center"/>
          </w:tcPr>
          <w:p w14:paraId="764A5FB7" w14:textId="77777777" w:rsidR="00203E98" w:rsidRPr="00D626D6" w:rsidRDefault="00203E98" w:rsidP="00D626D6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0.17</w:t>
            </w:r>
          </w:p>
        </w:tc>
      </w:tr>
    </w:tbl>
    <w:p w14:paraId="48634A94" w14:textId="623A4175" w:rsidR="00AF538C" w:rsidRPr="0092369D" w:rsidRDefault="005878F1" w:rsidP="00B101F2">
      <w:pPr>
        <w:keepNext/>
        <w:keepLines/>
        <w:suppressAutoHyphens w:val="0"/>
        <w:spacing w:before="160" w:after="80"/>
        <w:rPr>
          <w:b/>
        </w:rPr>
      </w:pPr>
      <w:r w:rsidRPr="0092369D">
        <w:rPr>
          <w:b/>
        </w:rPr>
        <w:lastRenderedPageBreak/>
        <w:t xml:space="preserve">Euro 3 </w:t>
      </w:r>
      <w:r w:rsidR="00AF538C">
        <w:rPr>
          <w:b/>
        </w:rPr>
        <w:br/>
        <w:t>A</w:t>
      </w:r>
      <w:r w:rsidR="00203E98" w:rsidRPr="0092369D">
        <w:rPr>
          <w:b/>
        </w:rPr>
        <w:t>dopted in ADR 79/01 for petrol vehicles</w:t>
      </w:r>
      <w:r w:rsidR="00AF538C">
        <w:rPr>
          <w:b/>
        </w:rPr>
        <w:t xml:space="preserve"> </w:t>
      </w:r>
      <w:r w:rsidR="00AF538C" w:rsidRPr="00AF538C">
        <w:rPr>
          <w:b/>
        </w:rPr>
        <w:t>from 1/1/2005 (for newly approved models) and from 1/1/2006 (for all new vehicles)</w:t>
      </w:r>
      <w:r w:rsidR="00203E98" w:rsidRPr="0092369D">
        <w:rPr>
          <w:b/>
        </w:rPr>
        <w:t>)</w:t>
      </w:r>
      <w:r w:rsidR="00AF538C">
        <w:rPr>
          <w:b/>
        </w:rPr>
        <w:br/>
      </w:r>
    </w:p>
    <w:tbl>
      <w:tblPr>
        <w:tblStyle w:val="DefaultTable1"/>
        <w:tblW w:w="5000" w:type="pct"/>
        <w:tblLook w:val="04A0" w:firstRow="1" w:lastRow="0" w:firstColumn="1" w:lastColumn="0" w:noHBand="0" w:noVBand="1"/>
        <w:tblDescription w:val="Euro 3 &#10;Adopted in ADR 79/01 for petrol vehicles from 1/1/2005 (for newly approved models) and from 1/1/2006 (for all new vehicles))&#10;&#10;"/>
      </w:tblPr>
      <w:tblGrid>
        <w:gridCol w:w="1134"/>
        <w:gridCol w:w="1765"/>
        <w:gridCol w:w="1592"/>
        <w:gridCol w:w="1592"/>
        <w:gridCol w:w="2054"/>
        <w:gridCol w:w="1400"/>
        <w:gridCol w:w="1400"/>
        <w:gridCol w:w="2051"/>
        <w:gridCol w:w="1808"/>
      </w:tblGrid>
      <w:tr w:rsidR="00203E98" w14:paraId="6848C065" w14:textId="77777777" w:rsidTr="00FD1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14:paraId="527E3C3B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596" w:type="pct"/>
          </w:tcPr>
          <w:p w14:paraId="3E98467C" w14:textId="568AC4F2" w:rsidR="00203E98" w:rsidRPr="008655C8" w:rsidRDefault="00203E98" w:rsidP="008655C8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Reference mass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(RW)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(kg)</w:t>
            </w:r>
          </w:p>
        </w:tc>
        <w:tc>
          <w:tcPr>
            <w:tcW w:w="538" w:type="pct"/>
          </w:tcPr>
          <w:p w14:paraId="72D4DED5" w14:textId="77777777" w:rsidR="00203E98" w:rsidRPr="009E232A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538" w:type="pct"/>
          </w:tcPr>
          <w:p w14:paraId="6B757EC6" w14:textId="77777777" w:rsidR="00203E98" w:rsidRPr="009E232A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694" w:type="pct"/>
          </w:tcPr>
          <w:p w14:paraId="158D5344" w14:textId="77777777" w:rsidR="00203E98" w:rsidRPr="009E232A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Total H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ydrocarbons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HC)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473" w:type="pct"/>
          </w:tcPr>
          <w:p w14:paraId="69C00961" w14:textId="77777777" w:rsidR="00203E98" w:rsidRPr="009E232A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473" w:type="pct"/>
          </w:tcPr>
          <w:p w14:paraId="0734B87E" w14:textId="77777777" w:rsidR="00203E98" w:rsidRPr="009E232A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693" w:type="pct"/>
          </w:tcPr>
          <w:p w14:paraId="0C965C9E" w14:textId="77777777" w:rsidR="00203E98" w:rsidRPr="009E232A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otal hydrocarbons and oxides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THC+NOx</w:t>
            </w:r>
            <w:proofErr w:type="spellEnd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611" w:type="pct"/>
          </w:tcPr>
          <w:p w14:paraId="7F6BDEA1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 w:rsidR="0007048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 w:rsidR="0007048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="00070486">
              <w:rPr>
                <w:rFonts w:asciiTheme="majorHAnsi" w:hAnsiTheme="majorHAnsi" w:cstheme="majorHAnsi"/>
                <w:sz w:val="18"/>
                <w:szCs w:val="18"/>
              </w:rPr>
              <w:t>(g/km)</w:t>
            </w:r>
          </w:p>
        </w:tc>
      </w:tr>
      <w:tr w:rsidR="00203E98" w14:paraId="7949046A" w14:textId="77777777" w:rsidTr="00FD1A6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14:paraId="4A09D0E9" w14:textId="2470C3C7" w:rsidR="00203E98" w:rsidRPr="00D626D6" w:rsidRDefault="00070486" w:rsidP="00B101F2">
            <w:pPr>
              <w:keepNext/>
              <w:keepLines/>
              <w:spacing w:before="60" w:after="60"/>
              <w:jc w:val="center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Engine</w:t>
            </w:r>
            <w:r w:rsidR="00DC4F9A">
              <w:rPr>
                <w:rStyle w:val="FootnoteReference"/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footnoteReference w:id="3"/>
            </w:r>
          </w:p>
        </w:tc>
        <w:tc>
          <w:tcPr>
            <w:tcW w:w="596" w:type="pct"/>
          </w:tcPr>
          <w:p w14:paraId="75A05BE6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538" w:type="pct"/>
          </w:tcPr>
          <w:p w14:paraId="23F27DEB" w14:textId="77777777" w:rsidR="00203E98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538" w:type="pct"/>
          </w:tcPr>
          <w:p w14:paraId="28D5617C" w14:textId="77777777" w:rsidR="00203E98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694" w:type="pct"/>
          </w:tcPr>
          <w:p w14:paraId="1D09A5F8" w14:textId="77777777" w:rsidR="00203E98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473" w:type="pct"/>
          </w:tcPr>
          <w:p w14:paraId="1630DF5B" w14:textId="77777777" w:rsidR="00203E98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473" w:type="pct"/>
          </w:tcPr>
          <w:p w14:paraId="6BF56BBD" w14:textId="77777777" w:rsidR="00203E98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693" w:type="pct"/>
          </w:tcPr>
          <w:p w14:paraId="41332F04" w14:textId="77777777" w:rsidR="00203E98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611" w:type="pct"/>
          </w:tcPr>
          <w:p w14:paraId="639F81F2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</w:tr>
      <w:tr w:rsidR="00203E98" w14:paraId="23D2EE39" w14:textId="77777777" w:rsidTr="00070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14:paraId="013B5F1B" w14:textId="77777777" w:rsidR="00203E98" w:rsidRPr="00D626D6" w:rsidRDefault="00203E98" w:rsidP="00B101F2">
            <w:pPr>
              <w:keepNext/>
              <w:keepLines/>
              <w:spacing w:before="60" w:after="60"/>
              <w:ind w:left="-373" w:firstLine="373"/>
              <w:jc w:val="center"/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M</w:t>
            </w:r>
            <w:r w:rsidRPr="009E232A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596" w:type="pct"/>
          </w:tcPr>
          <w:p w14:paraId="5DBC4761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All</w:t>
            </w:r>
            <w:r>
              <w:rPr>
                <w:rStyle w:val="FootnoteReference"/>
                <w:rFonts w:cstheme="minorHAnsi"/>
                <w:b/>
                <w:bCs/>
                <w:spacing w:val="-2"/>
                <w:sz w:val="20"/>
                <w:szCs w:val="20"/>
                <w:lang w:val="en-GB"/>
              </w:rPr>
              <w:footnoteReference w:id="4"/>
            </w:r>
          </w:p>
        </w:tc>
        <w:tc>
          <w:tcPr>
            <w:tcW w:w="538" w:type="pct"/>
            <w:vAlign w:val="center"/>
          </w:tcPr>
          <w:p w14:paraId="1B0B3367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2.3</w:t>
            </w:r>
          </w:p>
        </w:tc>
        <w:tc>
          <w:tcPr>
            <w:tcW w:w="538" w:type="pct"/>
            <w:vAlign w:val="center"/>
          </w:tcPr>
          <w:p w14:paraId="17BFA939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0.64</w:t>
            </w:r>
          </w:p>
        </w:tc>
        <w:tc>
          <w:tcPr>
            <w:tcW w:w="694" w:type="pct"/>
            <w:vAlign w:val="center"/>
          </w:tcPr>
          <w:p w14:paraId="2ECBA907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0.20</w:t>
            </w:r>
          </w:p>
        </w:tc>
        <w:tc>
          <w:tcPr>
            <w:tcW w:w="473" w:type="pct"/>
            <w:vAlign w:val="center"/>
          </w:tcPr>
          <w:p w14:paraId="562049A8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0.15</w:t>
            </w:r>
          </w:p>
        </w:tc>
        <w:tc>
          <w:tcPr>
            <w:tcW w:w="473" w:type="pct"/>
            <w:vAlign w:val="center"/>
          </w:tcPr>
          <w:p w14:paraId="2FB6A340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0.50</w:t>
            </w:r>
          </w:p>
        </w:tc>
        <w:tc>
          <w:tcPr>
            <w:tcW w:w="693" w:type="pct"/>
            <w:vAlign w:val="center"/>
          </w:tcPr>
          <w:p w14:paraId="0CA19356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0.56</w:t>
            </w:r>
          </w:p>
        </w:tc>
        <w:tc>
          <w:tcPr>
            <w:tcW w:w="611" w:type="pct"/>
            <w:vAlign w:val="center"/>
          </w:tcPr>
          <w:p w14:paraId="2D9E0FDA" w14:textId="77777777" w:rsidR="00203E98" w:rsidRPr="00D626D6" w:rsidRDefault="00203E98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0.05</w:t>
            </w:r>
          </w:p>
        </w:tc>
      </w:tr>
      <w:tr w:rsidR="00B84FEC" w14:paraId="0AD21F51" w14:textId="77777777" w:rsidTr="0007048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14:paraId="6E09B3E1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596" w:type="pct"/>
          </w:tcPr>
          <w:p w14:paraId="0546C144" w14:textId="35D6825B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1305</w:t>
            </w:r>
          </w:p>
        </w:tc>
        <w:tc>
          <w:tcPr>
            <w:tcW w:w="538" w:type="pct"/>
            <w:vAlign w:val="center"/>
          </w:tcPr>
          <w:p w14:paraId="0671115E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2.3</w:t>
            </w:r>
          </w:p>
        </w:tc>
        <w:tc>
          <w:tcPr>
            <w:tcW w:w="538" w:type="pct"/>
            <w:vAlign w:val="center"/>
          </w:tcPr>
          <w:p w14:paraId="3AB3F773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0.64</w:t>
            </w:r>
          </w:p>
        </w:tc>
        <w:tc>
          <w:tcPr>
            <w:tcW w:w="694" w:type="pct"/>
            <w:vAlign w:val="center"/>
          </w:tcPr>
          <w:p w14:paraId="2528C860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0.20</w:t>
            </w:r>
          </w:p>
        </w:tc>
        <w:tc>
          <w:tcPr>
            <w:tcW w:w="473" w:type="pct"/>
            <w:vAlign w:val="center"/>
          </w:tcPr>
          <w:p w14:paraId="289BDD4C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0.15</w:t>
            </w:r>
          </w:p>
        </w:tc>
        <w:tc>
          <w:tcPr>
            <w:tcW w:w="473" w:type="pct"/>
            <w:vAlign w:val="center"/>
          </w:tcPr>
          <w:p w14:paraId="7E857EF4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0.50</w:t>
            </w:r>
          </w:p>
        </w:tc>
        <w:tc>
          <w:tcPr>
            <w:tcW w:w="693" w:type="pct"/>
            <w:vAlign w:val="center"/>
          </w:tcPr>
          <w:p w14:paraId="62644861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0.56</w:t>
            </w:r>
          </w:p>
        </w:tc>
        <w:tc>
          <w:tcPr>
            <w:tcW w:w="611" w:type="pct"/>
            <w:vAlign w:val="center"/>
          </w:tcPr>
          <w:p w14:paraId="3C39A740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0.05</w:t>
            </w:r>
          </w:p>
        </w:tc>
      </w:tr>
      <w:tr w:rsidR="00B84FEC" w14:paraId="028F1E5A" w14:textId="77777777" w:rsidTr="000704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14:paraId="3A080A78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596" w:type="pct"/>
          </w:tcPr>
          <w:p w14:paraId="61865F3B" w14:textId="02C4D0EE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&gt;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1305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but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1760</w:t>
            </w:r>
          </w:p>
        </w:tc>
        <w:tc>
          <w:tcPr>
            <w:tcW w:w="538" w:type="pct"/>
            <w:vAlign w:val="center"/>
          </w:tcPr>
          <w:p w14:paraId="7B0038C4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4.17</w:t>
            </w:r>
          </w:p>
        </w:tc>
        <w:tc>
          <w:tcPr>
            <w:tcW w:w="538" w:type="pct"/>
            <w:vAlign w:val="center"/>
          </w:tcPr>
          <w:p w14:paraId="528EAB57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0.80</w:t>
            </w:r>
          </w:p>
        </w:tc>
        <w:tc>
          <w:tcPr>
            <w:tcW w:w="694" w:type="pct"/>
            <w:vAlign w:val="center"/>
          </w:tcPr>
          <w:p w14:paraId="4650176D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0.25</w:t>
            </w:r>
          </w:p>
        </w:tc>
        <w:tc>
          <w:tcPr>
            <w:tcW w:w="473" w:type="pct"/>
            <w:vAlign w:val="center"/>
          </w:tcPr>
          <w:p w14:paraId="099F7CE1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0.18</w:t>
            </w:r>
          </w:p>
        </w:tc>
        <w:tc>
          <w:tcPr>
            <w:tcW w:w="473" w:type="pct"/>
            <w:vAlign w:val="center"/>
          </w:tcPr>
          <w:p w14:paraId="468673C4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0.65</w:t>
            </w:r>
          </w:p>
        </w:tc>
        <w:tc>
          <w:tcPr>
            <w:tcW w:w="693" w:type="pct"/>
            <w:vAlign w:val="center"/>
          </w:tcPr>
          <w:p w14:paraId="2F14109A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0.72</w:t>
            </w:r>
          </w:p>
        </w:tc>
        <w:tc>
          <w:tcPr>
            <w:tcW w:w="611" w:type="pct"/>
            <w:vAlign w:val="center"/>
          </w:tcPr>
          <w:p w14:paraId="2FCDBB17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0.07</w:t>
            </w:r>
          </w:p>
        </w:tc>
      </w:tr>
      <w:tr w:rsidR="00B84FEC" w14:paraId="1A3CCF48" w14:textId="77777777" w:rsidTr="0007048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" w:type="pct"/>
          </w:tcPr>
          <w:p w14:paraId="478C10A0" w14:textId="77777777" w:rsidR="00B84FEC" w:rsidRPr="00D626D6" w:rsidRDefault="00B84FEC" w:rsidP="00B101F2">
            <w:pPr>
              <w:keepNext/>
              <w:keepLines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596" w:type="pct"/>
          </w:tcPr>
          <w:p w14:paraId="6366B13A" w14:textId="53EA0A62" w:rsidR="00B84FEC" w:rsidRPr="00D626D6" w:rsidRDefault="00B84FEC" w:rsidP="00B101F2">
            <w:pPr>
              <w:keepNext/>
              <w:keepLines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&gt;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1760 </w:t>
            </w:r>
          </w:p>
        </w:tc>
        <w:tc>
          <w:tcPr>
            <w:tcW w:w="538" w:type="pct"/>
            <w:vAlign w:val="center"/>
          </w:tcPr>
          <w:p w14:paraId="75A9EC83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5.22</w:t>
            </w:r>
          </w:p>
        </w:tc>
        <w:tc>
          <w:tcPr>
            <w:tcW w:w="538" w:type="pct"/>
            <w:vAlign w:val="center"/>
          </w:tcPr>
          <w:p w14:paraId="12E353C1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0.95</w:t>
            </w:r>
          </w:p>
        </w:tc>
        <w:tc>
          <w:tcPr>
            <w:tcW w:w="694" w:type="pct"/>
            <w:vAlign w:val="center"/>
          </w:tcPr>
          <w:p w14:paraId="3610D7D3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0.29</w:t>
            </w:r>
          </w:p>
        </w:tc>
        <w:tc>
          <w:tcPr>
            <w:tcW w:w="473" w:type="pct"/>
            <w:vAlign w:val="center"/>
          </w:tcPr>
          <w:p w14:paraId="3F3482C8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0.21</w:t>
            </w:r>
          </w:p>
        </w:tc>
        <w:tc>
          <w:tcPr>
            <w:tcW w:w="473" w:type="pct"/>
            <w:vAlign w:val="center"/>
          </w:tcPr>
          <w:p w14:paraId="5C8A1749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0.78</w:t>
            </w:r>
          </w:p>
        </w:tc>
        <w:tc>
          <w:tcPr>
            <w:tcW w:w="693" w:type="pct"/>
            <w:vAlign w:val="center"/>
          </w:tcPr>
          <w:p w14:paraId="38AC2330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0.86</w:t>
            </w:r>
          </w:p>
        </w:tc>
        <w:tc>
          <w:tcPr>
            <w:tcW w:w="611" w:type="pct"/>
            <w:vAlign w:val="center"/>
          </w:tcPr>
          <w:p w14:paraId="3ECEAFD8" w14:textId="77777777" w:rsidR="00B84FEC" w:rsidRPr="00D626D6" w:rsidRDefault="00B84FEC" w:rsidP="00B101F2">
            <w:pPr>
              <w:keepNext/>
              <w:keepLines/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0.10</w:t>
            </w:r>
          </w:p>
        </w:tc>
      </w:tr>
    </w:tbl>
    <w:p w14:paraId="4444512F" w14:textId="77777777" w:rsidR="00AF538C" w:rsidRDefault="00AF538C">
      <w:pPr>
        <w:suppressAutoHyphens w:val="0"/>
        <w:spacing w:before="160" w:after="80"/>
      </w:pPr>
      <w:r>
        <w:br w:type="page"/>
      </w:r>
    </w:p>
    <w:p w14:paraId="612E6D1B" w14:textId="0FE0BB41" w:rsidR="008C2C2B" w:rsidRDefault="005878F1" w:rsidP="008C2C2B">
      <w:pPr>
        <w:keepNext/>
        <w:spacing w:after="0"/>
        <w:rPr>
          <w:b/>
        </w:rPr>
      </w:pPr>
      <w:r w:rsidRPr="0092369D">
        <w:rPr>
          <w:b/>
        </w:rPr>
        <w:lastRenderedPageBreak/>
        <w:t>Euro 4</w:t>
      </w:r>
    </w:p>
    <w:p w14:paraId="137C0F84" w14:textId="026C20E8" w:rsidR="00AF538C" w:rsidRDefault="00AF538C" w:rsidP="008C2C2B">
      <w:pPr>
        <w:keepNext/>
        <w:spacing w:after="0"/>
        <w:rPr>
          <w:b/>
        </w:rPr>
      </w:pPr>
      <w:r>
        <w:rPr>
          <w:b/>
        </w:rPr>
        <w:t>A</w:t>
      </w:r>
      <w:r w:rsidRPr="00AF538C">
        <w:rPr>
          <w:b/>
        </w:rPr>
        <w:t xml:space="preserve">dopted in ADR 79/01 from 1/1/2006 (for newly approved </w:t>
      </w:r>
      <w:r>
        <w:rPr>
          <w:b/>
        </w:rPr>
        <w:t xml:space="preserve">diesel </w:t>
      </w:r>
      <w:r w:rsidRPr="00AF538C">
        <w:rPr>
          <w:b/>
        </w:rPr>
        <w:t xml:space="preserve">models) to 1/1/2007 (for all new </w:t>
      </w:r>
      <w:r>
        <w:rPr>
          <w:b/>
        </w:rPr>
        <w:t xml:space="preserve">diesel </w:t>
      </w:r>
      <w:r w:rsidRPr="00AF538C">
        <w:rPr>
          <w:b/>
        </w:rPr>
        <w:t>vehicles)</w:t>
      </w:r>
    </w:p>
    <w:p w14:paraId="3B7C6F13" w14:textId="7D15F16D" w:rsidR="00AF538C" w:rsidRDefault="00AF538C" w:rsidP="008C2C2B">
      <w:pPr>
        <w:keepNext/>
        <w:spacing w:after="0"/>
        <w:rPr>
          <w:b/>
        </w:rPr>
      </w:pPr>
      <w:r>
        <w:rPr>
          <w:b/>
        </w:rPr>
        <w:t>A</w:t>
      </w:r>
      <w:r w:rsidRPr="00AF538C">
        <w:rPr>
          <w:b/>
        </w:rPr>
        <w:t>dopted in ADR 79/02 from 1/7/2008 (for newly approved models) and from 1/7/2010 (for all new vehicles)</w:t>
      </w:r>
    </w:p>
    <w:p w14:paraId="4DDBEBE7" w14:textId="77777777" w:rsidR="00AF538C" w:rsidRPr="0092369D" w:rsidRDefault="00AF538C" w:rsidP="008C2C2B">
      <w:pPr>
        <w:keepNext/>
        <w:spacing w:after="0"/>
        <w:rPr>
          <w:b/>
        </w:rPr>
      </w:pPr>
    </w:p>
    <w:tbl>
      <w:tblPr>
        <w:tblStyle w:val="DefaultTable1"/>
        <w:tblW w:w="5000" w:type="pct"/>
        <w:tblLook w:val="04A0" w:firstRow="1" w:lastRow="0" w:firstColumn="1" w:lastColumn="0" w:noHBand="0" w:noVBand="1"/>
        <w:tblDescription w:val="Euro 4&#10;Adopted in ADR 79/01 from 1/1/2006 (for newly approved diesel models) to 1/1/2007 (for all new diesel vehicles)&#10;Adopted in ADR 79/02 from 1/7/2008 (for newly approved models) and from 1/7/2010 (for all new vehicles)&#10;"/>
      </w:tblPr>
      <w:tblGrid>
        <w:gridCol w:w="972"/>
        <w:gridCol w:w="1820"/>
        <w:gridCol w:w="1607"/>
        <w:gridCol w:w="1607"/>
        <w:gridCol w:w="2071"/>
        <w:gridCol w:w="1414"/>
        <w:gridCol w:w="1414"/>
        <w:gridCol w:w="2071"/>
        <w:gridCol w:w="1820"/>
      </w:tblGrid>
      <w:tr w:rsidR="00FD1A62" w:rsidRPr="009E232A" w14:paraId="129F1A50" w14:textId="77777777" w:rsidTr="00FF2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5A6FA9C0" w14:textId="77777777" w:rsidR="00FD1A62" w:rsidRPr="00D626D6" w:rsidRDefault="00FD1A62" w:rsidP="005878F1">
            <w:pPr>
              <w:spacing w:before="60" w:after="6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615" w:type="pct"/>
          </w:tcPr>
          <w:p w14:paraId="1C6908D0" w14:textId="79668943" w:rsidR="00FD1A62" w:rsidRPr="008655C8" w:rsidRDefault="00FD1A62" w:rsidP="008655C8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Reference mass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(RW)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(kg)</w:t>
            </w:r>
          </w:p>
        </w:tc>
        <w:tc>
          <w:tcPr>
            <w:tcW w:w="543" w:type="pct"/>
          </w:tcPr>
          <w:p w14:paraId="0483DC66" w14:textId="77777777" w:rsidR="00FD1A62" w:rsidRPr="009E232A" w:rsidRDefault="00FD1A62" w:rsidP="005878F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543" w:type="pct"/>
          </w:tcPr>
          <w:p w14:paraId="51AAD772" w14:textId="77777777" w:rsidR="00FD1A62" w:rsidRPr="009E232A" w:rsidRDefault="00FD1A62" w:rsidP="005878F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700" w:type="pct"/>
          </w:tcPr>
          <w:p w14:paraId="22181891" w14:textId="77777777" w:rsidR="00FD1A62" w:rsidRPr="009E232A" w:rsidRDefault="00FD1A62" w:rsidP="005878F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Total H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ydrocarbons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HC)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 </w:t>
            </w:r>
          </w:p>
        </w:tc>
        <w:tc>
          <w:tcPr>
            <w:tcW w:w="478" w:type="pct"/>
          </w:tcPr>
          <w:p w14:paraId="11733896" w14:textId="77777777" w:rsidR="00FD1A62" w:rsidRPr="009E232A" w:rsidRDefault="00FD1A62" w:rsidP="005878F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478" w:type="pct"/>
          </w:tcPr>
          <w:p w14:paraId="0C4E9807" w14:textId="77777777" w:rsidR="00FD1A62" w:rsidRPr="009E232A" w:rsidRDefault="00FD1A62" w:rsidP="005878F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700" w:type="pct"/>
          </w:tcPr>
          <w:p w14:paraId="3E2B0D99" w14:textId="77777777" w:rsidR="00FD1A62" w:rsidRPr="009E232A" w:rsidRDefault="00FD1A62" w:rsidP="005878F1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otal hydrocarbons and oxides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THC+NOx</w:t>
            </w:r>
            <w:proofErr w:type="spellEnd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  <w:tc>
          <w:tcPr>
            <w:tcW w:w="615" w:type="pct"/>
          </w:tcPr>
          <w:p w14:paraId="14B5843F" w14:textId="77777777" w:rsidR="00FD1A62" w:rsidRPr="00D626D6" w:rsidRDefault="00FD1A62" w:rsidP="0007048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(g/km)</w:t>
            </w:r>
          </w:p>
        </w:tc>
      </w:tr>
      <w:tr w:rsidR="00FD1A62" w:rsidRPr="00D626D6" w14:paraId="5BB05ABE" w14:textId="77777777" w:rsidTr="00FF265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1B45180E" w14:textId="4A6220FE" w:rsidR="00FD1A62" w:rsidRPr="00D626D6" w:rsidRDefault="00DC4F9A" w:rsidP="005878F1">
            <w:pPr>
              <w:spacing w:before="60" w:after="60"/>
              <w:jc w:val="center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Engine</w:t>
            </w:r>
            <w:r>
              <w:rPr>
                <w:rStyle w:val="FootnoteReference"/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footnoteReference w:id="5"/>
            </w:r>
          </w:p>
        </w:tc>
        <w:tc>
          <w:tcPr>
            <w:tcW w:w="615" w:type="pct"/>
          </w:tcPr>
          <w:p w14:paraId="44B882C3" w14:textId="77777777" w:rsidR="00FD1A62" w:rsidRPr="00D626D6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543" w:type="pct"/>
          </w:tcPr>
          <w:p w14:paraId="757D5D16" w14:textId="77777777" w:rsidR="00FD1A62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543" w:type="pct"/>
          </w:tcPr>
          <w:p w14:paraId="6569048F" w14:textId="77777777" w:rsidR="00FD1A62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700" w:type="pct"/>
          </w:tcPr>
          <w:p w14:paraId="08E0CDA0" w14:textId="77777777" w:rsidR="00FD1A62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478" w:type="pct"/>
          </w:tcPr>
          <w:p w14:paraId="333D2747" w14:textId="77777777" w:rsidR="00FD1A62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478" w:type="pct"/>
          </w:tcPr>
          <w:p w14:paraId="4C189274" w14:textId="77777777" w:rsidR="00FD1A62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700" w:type="pct"/>
          </w:tcPr>
          <w:p w14:paraId="65B746CD" w14:textId="77777777" w:rsidR="00FD1A62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615" w:type="pct"/>
          </w:tcPr>
          <w:p w14:paraId="43241E6F" w14:textId="77777777" w:rsidR="00FD1A62" w:rsidRPr="00D626D6" w:rsidRDefault="00FD1A62" w:rsidP="005878F1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</w:tr>
      <w:tr w:rsidR="00FD1A62" w14:paraId="2FB3FBF0" w14:textId="77777777" w:rsidTr="00FF2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75E5AEAC" w14:textId="77777777" w:rsidR="00FD1A62" w:rsidRPr="00D626D6" w:rsidRDefault="00FD1A62" w:rsidP="00573A05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M</w:t>
            </w:r>
            <w:r w:rsidRPr="009E232A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15" w:type="pct"/>
          </w:tcPr>
          <w:p w14:paraId="076AF25A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All</w:t>
            </w:r>
            <w:r>
              <w:rPr>
                <w:rStyle w:val="FootnoteReference"/>
                <w:rFonts w:cstheme="minorHAnsi"/>
                <w:b/>
                <w:bCs/>
                <w:spacing w:val="-2"/>
                <w:sz w:val="20"/>
                <w:szCs w:val="20"/>
                <w:lang w:val="en-GB"/>
              </w:rPr>
              <w:footnoteReference w:id="6"/>
            </w:r>
          </w:p>
        </w:tc>
        <w:tc>
          <w:tcPr>
            <w:tcW w:w="543" w:type="pct"/>
            <w:vAlign w:val="center"/>
          </w:tcPr>
          <w:p w14:paraId="2CE00F88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1.0</w:t>
            </w:r>
          </w:p>
        </w:tc>
        <w:tc>
          <w:tcPr>
            <w:tcW w:w="543" w:type="pct"/>
            <w:vAlign w:val="center"/>
          </w:tcPr>
          <w:p w14:paraId="2AC0AE06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0.50</w:t>
            </w:r>
          </w:p>
        </w:tc>
        <w:tc>
          <w:tcPr>
            <w:tcW w:w="700" w:type="pct"/>
            <w:vAlign w:val="center"/>
          </w:tcPr>
          <w:p w14:paraId="3CE0D8F2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0.10</w:t>
            </w:r>
          </w:p>
        </w:tc>
        <w:tc>
          <w:tcPr>
            <w:tcW w:w="478" w:type="pct"/>
            <w:vAlign w:val="center"/>
          </w:tcPr>
          <w:p w14:paraId="18EFA1AB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0.08</w:t>
            </w:r>
          </w:p>
        </w:tc>
        <w:tc>
          <w:tcPr>
            <w:tcW w:w="478" w:type="pct"/>
            <w:vAlign w:val="center"/>
          </w:tcPr>
          <w:p w14:paraId="3C19EA39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0.25</w:t>
            </w:r>
          </w:p>
        </w:tc>
        <w:tc>
          <w:tcPr>
            <w:tcW w:w="700" w:type="pct"/>
            <w:vAlign w:val="center"/>
          </w:tcPr>
          <w:p w14:paraId="493B6306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0.30</w:t>
            </w:r>
          </w:p>
        </w:tc>
        <w:tc>
          <w:tcPr>
            <w:tcW w:w="615" w:type="pct"/>
            <w:vAlign w:val="center"/>
          </w:tcPr>
          <w:p w14:paraId="0652C09D" w14:textId="77777777" w:rsidR="00FD1A62" w:rsidRPr="00D626D6" w:rsidRDefault="00FD1A62" w:rsidP="00573A05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0.025</w:t>
            </w:r>
          </w:p>
        </w:tc>
      </w:tr>
      <w:tr w:rsidR="00B84FEC" w14:paraId="45F55A50" w14:textId="77777777" w:rsidTr="00FF265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500DD0A7" w14:textId="77777777" w:rsidR="00B84FEC" w:rsidRPr="00D626D6" w:rsidRDefault="00B84FEC" w:rsidP="00B84FEC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15" w:type="pct"/>
          </w:tcPr>
          <w:p w14:paraId="3D0A6C03" w14:textId="155EB293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1305</w:t>
            </w:r>
          </w:p>
        </w:tc>
        <w:tc>
          <w:tcPr>
            <w:tcW w:w="543" w:type="pct"/>
            <w:vAlign w:val="center"/>
          </w:tcPr>
          <w:p w14:paraId="53DE84A8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1.0</w:t>
            </w:r>
          </w:p>
        </w:tc>
        <w:tc>
          <w:tcPr>
            <w:tcW w:w="543" w:type="pct"/>
            <w:vAlign w:val="center"/>
          </w:tcPr>
          <w:p w14:paraId="1A940B82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0.50</w:t>
            </w:r>
          </w:p>
        </w:tc>
        <w:tc>
          <w:tcPr>
            <w:tcW w:w="700" w:type="pct"/>
            <w:vAlign w:val="center"/>
          </w:tcPr>
          <w:p w14:paraId="3C8A31F9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0.10</w:t>
            </w:r>
          </w:p>
        </w:tc>
        <w:tc>
          <w:tcPr>
            <w:tcW w:w="478" w:type="pct"/>
            <w:vAlign w:val="center"/>
          </w:tcPr>
          <w:p w14:paraId="1CABFCB2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0.08</w:t>
            </w:r>
          </w:p>
        </w:tc>
        <w:tc>
          <w:tcPr>
            <w:tcW w:w="478" w:type="pct"/>
            <w:vAlign w:val="center"/>
          </w:tcPr>
          <w:p w14:paraId="0D09E6F9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0.25</w:t>
            </w:r>
          </w:p>
        </w:tc>
        <w:tc>
          <w:tcPr>
            <w:tcW w:w="700" w:type="pct"/>
            <w:vAlign w:val="center"/>
          </w:tcPr>
          <w:p w14:paraId="4FEE9BAC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0.30</w:t>
            </w:r>
          </w:p>
        </w:tc>
        <w:tc>
          <w:tcPr>
            <w:tcW w:w="615" w:type="pct"/>
            <w:vAlign w:val="center"/>
          </w:tcPr>
          <w:p w14:paraId="0FD6FEB0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0.025</w:t>
            </w:r>
          </w:p>
        </w:tc>
      </w:tr>
      <w:tr w:rsidR="00B84FEC" w14:paraId="5670B346" w14:textId="77777777" w:rsidTr="00FF2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59DDF9C9" w14:textId="77777777" w:rsidR="00B84FEC" w:rsidRPr="00D626D6" w:rsidRDefault="00B84FEC" w:rsidP="00B84FEC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15" w:type="pct"/>
          </w:tcPr>
          <w:p w14:paraId="33C48D2E" w14:textId="204DD955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&gt;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1305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but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1760</w:t>
            </w:r>
          </w:p>
        </w:tc>
        <w:tc>
          <w:tcPr>
            <w:tcW w:w="543" w:type="pct"/>
            <w:vAlign w:val="center"/>
          </w:tcPr>
          <w:p w14:paraId="1668EC8A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1.81</w:t>
            </w:r>
          </w:p>
        </w:tc>
        <w:tc>
          <w:tcPr>
            <w:tcW w:w="543" w:type="pct"/>
            <w:vAlign w:val="center"/>
          </w:tcPr>
          <w:p w14:paraId="524720E8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0.63</w:t>
            </w:r>
          </w:p>
        </w:tc>
        <w:tc>
          <w:tcPr>
            <w:tcW w:w="700" w:type="pct"/>
            <w:vAlign w:val="center"/>
          </w:tcPr>
          <w:p w14:paraId="0DC635A8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0.13</w:t>
            </w:r>
          </w:p>
        </w:tc>
        <w:tc>
          <w:tcPr>
            <w:tcW w:w="478" w:type="pct"/>
            <w:vAlign w:val="center"/>
          </w:tcPr>
          <w:p w14:paraId="08052B8D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0.10</w:t>
            </w:r>
          </w:p>
        </w:tc>
        <w:tc>
          <w:tcPr>
            <w:tcW w:w="478" w:type="pct"/>
            <w:vAlign w:val="center"/>
          </w:tcPr>
          <w:p w14:paraId="49647892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0.33</w:t>
            </w:r>
          </w:p>
        </w:tc>
        <w:tc>
          <w:tcPr>
            <w:tcW w:w="700" w:type="pct"/>
            <w:vAlign w:val="center"/>
          </w:tcPr>
          <w:p w14:paraId="2E72434B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0.39</w:t>
            </w:r>
          </w:p>
        </w:tc>
        <w:tc>
          <w:tcPr>
            <w:tcW w:w="615" w:type="pct"/>
            <w:vAlign w:val="center"/>
          </w:tcPr>
          <w:p w14:paraId="708C6E4F" w14:textId="77777777" w:rsidR="00B84FEC" w:rsidRPr="00D626D6" w:rsidRDefault="00B84FEC" w:rsidP="00B84FEC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0.04</w:t>
            </w:r>
          </w:p>
        </w:tc>
      </w:tr>
      <w:tr w:rsidR="00B84FEC" w14:paraId="39077684" w14:textId="77777777" w:rsidTr="00FF265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0CF66283" w14:textId="77777777" w:rsidR="00B84FEC" w:rsidRPr="00D626D6" w:rsidRDefault="00B84FEC" w:rsidP="00B84FEC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15" w:type="pct"/>
          </w:tcPr>
          <w:p w14:paraId="632DF8A8" w14:textId="7769446F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&gt;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1760 </w:t>
            </w:r>
          </w:p>
        </w:tc>
        <w:tc>
          <w:tcPr>
            <w:tcW w:w="543" w:type="pct"/>
            <w:vAlign w:val="center"/>
          </w:tcPr>
          <w:p w14:paraId="75A9204A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2.27</w:t>
            </w:r>
          </w:p>
        </w:tc>
        <w:tc>
          <w:tcPr>
            <w:tcW w:w="543" w:type="pct"/>
            <w:vAlign w:val="center"/>
          </w:tcPr>
          <w:p w14:paraId="7448C039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0.74</w:t>
            </w:r>
          </w:p>
        </w:tc>
        <w:tc>
          <w:tcPr>
            <w:tcW w:w="700" w:type="pct"/>
            <w:vAlign w:val="center"/>
          </w:tcPr>
          <w:p w14:paraId="260348F7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0.16</w:t>
            </w:r>
          </w:p>
        </w:tc>
        <w:tc>
          <w:tcPr>
            <w:tcW w:w="478" w:type="pct"/>
            <w:vAlign w:val="center"/>
          </w:tcPr>
          <w:p w14:paraId="6712E1C0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0.11</w:t>
            </w:r>
          </w:p>
        </w:tc>
        <w:tc>
          <w:tcPr>
            <w:tcW w:w="478" w:type="pct"/>
            <w:vAlign w:val="center"/>
          </w:tcPr>
          <w:p w14:paraId="5A6B8187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0.39</w:t>
            </w:r>
          </w:p>
        </w:tc>
        <w:tc>
          <w:tcPr>
            <w:tcW w:w="700" w:type="pct"/>
            <w:vAlign w:val="center"/>
          </w:tcPr>
          <w:p w14:paraId="6954FEC4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0.46</w:t>
            </w:r>
          </w:p>
        </w:tc>
        <w:tc>
          <w:tcPr>
            <w:tcW w:w="615" w:type="pct"/>
            <w:vAlign w:val="center"/>
          </w:tcPr>
          <w:p w14:paraId="7CBEA687" w14:textId="77777777" w:rsidR="00B84FEC" w:rsidRPr="00D626D6" w:rsidRDefault="00B84FEC" w:rsidP="00B84FEC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0.06</w:t>
            </w:r>
          </w:p>
        </w:tc>
      </w:tr>
    </w:tbl>
    <w:p w14:paraId="5DC08C8C" w14:textId="77777777" w:rsidR="008655C8" w:rsidRDefault="008655C8">
      <w:pPr>
        <w:suppressAutoHyphens w:val="0"/>
        <w:spacing w:before="160" w:after="80"/>
        <w:rPr>
          <w:b/>
        </w:rPr>
      </w:pPr>
      <w:r>
        <w:rPr>
          <w:b/>
        </w:rPr>
        <w:br w:type="page"/>
      </w:r>
    </w:p>
    <w:p w14:paraId="5122054A" w14:textId="294C2D96" w:rsidR="00AF538C" w:rsidRDefault="00203E98" w:rsidP="008C2C2B">
      <w:pPr>
        <w:keepNext/>
        <w:rPr>
          <w:b/>
        </w:rPr>
      </w:pPr>
      <w:r>
        <w:rPr>
          <w:b/>
        </w:rPr>
        <w:lastRenderedPageBreak/>
        <w:t xml:space="preserve">Euro 5 </w:t>
      </w:r>
      <w:r w:rsidR="00AF538C">
        <w:rPr>
          <w:b/>
        </w:rPr>
        <w:br/>
        <w:t>A</w:t>
      </w:r>
      <w:r w:rsidR="00AF538C" w:rsidRPr="00AF538C">
        <w:rPr>
          <w:b/>
        </w:rPr>
        <w:t xml:space="preserve">dopted in ADR </w:t>
      </w:r>
      <w:r w:rsidR="00AF538C">
        <w:rPr>
          <w:b/>
        </w:rPr>
        <w:t>79/03</w:t>
      </w:r>
      <w:r w:rsidR="00AF538C">
        <w:rPr>
          <w:rStyle w:val="FootnoteReference"/>
          <w:b/>
        </w:rPr>
        <w:footnoteReference w:id="7"/>
      </w:r>
      <w:r w:rsidR="00AF538C">
        <w:rPr>
          <w:b/>
        </w:rPr>
        <w:t xml:space="preserve"> </w:t>
      </w:r>
      <w:r w:rsidR="00AF538C" w:rsidRPr="00AF538C">
        <w:rPr>
          <w:b/>
        </w:rPr>
        <w:t xml:space="preserve">from 1/11/2013 </w:t>
      </w:r>
      <w:r w:rsidR="00AF538C">
        <w:rPr>
          <w:b/>
        </w:rPr>
        <w:t>(</w:t>
      </w:r>
      <w:r w:rsidR="00AF538C" w:rsidRPr="00AF538C">
        <w:rPr>
          <w:b/>
        </w:rPr>
        <w:t>for newly approved models</w:t>
      </w:r>
      <w:r w:rsidR="00AF538C">
        <w:rPr>
          <w:b/>
        </w:rPr>
        <w:t>)</w:t>
      </w:r>
      <w:r w:rsidR="00AF538C" w:rsidRPr="00AF538C">
        <w:rPr>
          <w:b/>
        </w:rPr>
        <w:t xml:space="preserve"> and ADR 79/04 from 1/11/2016 (for all new vehicles</w:t>
      </w:r>
      <w:r w:rsidR="00AF538C">
        <w:rPr>
          <w:b/>
        </w:rPr>
        <w:t>)</w:t>
      </w:r>
      <w:r w:rsidR="00AF538C">
        <w:rPr>
          <w:b/>
        </w:rPr>
        <w:br/>
      </w:r>
    </w:p>
    <w:tbl>
      <w:tblPr>
        <w:tblStyle w:val="DefaultTable1"/>
        <w:tblW w:w="5000" w:type="pct"/>
        <w:tblLook w:val="04A0" w:firstRow="1" w:lastRow="0" w:firstColumn="1" w:lastColumn="0" w:noHBand="0" w:noVBand="1"/>
        <w:tblDescription w:val="Euro 5 &#10;Adopted in ADR 79/03  79/03 from 1/11/2013 (for newly approved models) and ADR 79/04 from 1/11/2016 (for all new vehicles)&#10;&#10;"/>
      </w:tblPr>
      <w:tblGrid>
        <w:gridCol w:w="830"/>
        <w:gridCol w:w="1842"/>
        <w:gridCol w:w="1133"/>
        <w:gridCol w:w="1027"/>
        <w:gridCol w:w="1471"/>
        <w:gridCol w:w="1400"/>
        <w:gridCol w:w="1056"/>
        <w:gridCol w:w="962"/>
        <w:gridCol w:w="1323"/>
        <w:gridCol w:w="1320"/>
        <w:gridCol w:w="1231"/>
        <w:gridCol w:w="1201"/>
      </w:tblGrid>
      <w:tr w:rsidR="00FF2659" w:rsidRPr="00D626D6" w14:paraId="6811DF4F" w14:textId="77777777" w:rsidTr="00FF2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</w:tcPr>
          <w:p w14:paraId="7332D7E5" w14:textId="77777777" w:rsidR="00FF2659" w:rsidRPr="00D626D6" w:rsidRDefault="00FF2659" w:rsidP="005A170A">
            <w:pPr>
              <w:spacing w:before="20" w:after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622" w:type="pct"/>
          </w:tcPr>
          <w:p w14:paraId="00916BCC" w14:textId="77777777" w:rsidR="00FF2659" w:rsidRPr="008655C8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Reference mass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(RW)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(k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g)</w:t>
            </w:r>
          </w:p>
        </w:tc>
        <w:tc>
          <w:tcPr>
            <w:tcW w:w="383" w:type="pct"/>
          </w:tcPr>
          <w:p w14:paraId="65E13179" w14:textId="77777777" w:rsidR="00FF2659" w:rsidRPr="0007048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(mg/km)</w:t>
            </w:r>
          </w:p>
        </w:tc>
        <w:tc>
          <w:tcPr>
            <w:tcW w:w="347" w:type="pct"/>
          </w:tcPr>
          <w:p w14:paraId="0B33C9ED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</w:p>
          <w:p w14:paraId="5CD6354E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m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g/km)</w:t>
            </w:r>
          </w:p>
          <w:p w14:paraId="20C7D19F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497" w:type="pct"/>
          </w:tcPr>
          <w:p w14:paraId="2CC183E6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Total 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H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ydrocarbons (THC)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(mg/km)</w:t>
            </w:r>
          </w:p>
        </w:tc>
        <w:tc>
          <w:tcPr>
            <w:tcW w:w="473" w:type="pct"/>
          </w:tcPr>
          <w:p w14:paraId="16EDDECE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Non-methane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H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ydrocarbons</w:t>
            </w:r>
          </w:p>
          <w:p w14:paraId="3E894CEB" w14:textId="77777777" w:rsidR="00FF2659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(NMHC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</w:p>
          <w:p w14:paraId="3458A32C" w14:textId="77777777" w:rsidR="00FF2659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(mg/km)</w:t>
            </w:r>
          </w:p>
        </w:tc>
        <w:tc>
          <w:tcPr>
            <w:tcW w:w="357" w:type="pct"/>
          </w:tcPr>
          <w:p w14:paraId="4778939E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325" w:type="pct"/>
          </w:tcPr>
          <w:p w14:paraId="77C3FCEC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</w:p>
          <w:p w14:paraId="34CAD27C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(mg/km)</w:t>
            </w:r>
          </w:p>
        </w:tc>
        <w:tc>
          <w:tcPr>
            <w:tcW w:w="447" w:type="pct"/>
          </w:tcPr>
          <w:p w14:paraId="63F9B67C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Combined mass of total hydrocarbons and oxides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THC+NOx</w:t>
            </w:r>
            <w:proofErr w:type="spellEnd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446" w:type="pct"/>
          </w:tcPr>
          <w:p w14:paraId="7DDAB246" w14:textId="77777777" w:rsidR="00FF2659" w:rsidRPr="008C2C2B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416" w:type="pct"/>
          </w:tcPr>
          <w:p w14:paraId="49F6119A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  <w:p w14:paraId="000E29A0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06" w:type="pct"/>
          </w:tcPr>
          <w:p w14:paraId="3A5F8916" w14:textId="77777777" w:rsidR="00FF2659" w:rsidRPr="00D626D6" w:rsidRDefault="00FF2659" w:rsidP="005A170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Number of Particles (#/km)</w:t>
            </w:r>
          </w:p>
          <w:p w14:paraId="7E1AE00A" w14:textId="77777777" w:rsidR="00FF2659" w:rsidRPr="00D626D6" w:rsidRDefault="00FF2659" w:rsidP="005A170A">
            <w:pPr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2659" w:rsidRPr="00D626D6" w14:paraId="0C53346D" w14:textId="77777777" w:rsidTr="00FF265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  <w:vAlign w:val="center"/>
          </w:tcPr>
          <w:p w14:paraId="10B0C753" w14:textId="77777777" w:rsidR="00FF2659" w:rsidRPr="00D626D6" w:rsidRDefault="00FF2659" w:rsidP="005A170A">
            <w:pPr>
              <w:spacing w:before="20" w:after="20"/>
              <w:jc w:val="center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Engine</w:t>
            </w:r>
            <w:r>
              <w:rPr>
                <w:rStyle w:val="FootnoteReference"/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footnoteReference w:id="8"/>
            </w:r>
          </w:p>
        </w:tc>
        <w:tc>
          <w:tcPr>
            <w:tcW w:w="622" w:type="pct"/>
            <w:vAlign w:val="center"/>
          </w:tcPr>
          <w:p w14:paraId="68DB64A9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383" w:type="pct"/>
            <w:vAlign w:val="center"/>
          </w:tcPr>
          <w:p w14:paraId="43B1995C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347" w:type="pct"/>
            <w:vAlign w:val="center"/>
          </w:tcPr>
          <w:p w14:paraId="0F5542D4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497" w:type="pct"/>
            <w:vAlign w:val="center"/>
          </w:tcPr>
          <w:p w14:paraId="54F181C7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I</w:t>
            </w:r>
          </w:p>
        </w:tc>
        <w:tc>
          <w:tcPr>
            <w:tcW w:w="473" w:type="pct"/>
          </w:tcPr>
          <w:p w14:paraId="500C8310" w14:textId="77777777" w:rsidR="00FF2659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357" w:type="pct"/>
            <w:vAlign w:val="center"/>
          </w:tcPr>
          <w:p w14:paraId="0B0CD981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325" w:type="pct"/>
            <w:vAlign w:val="center"/>
          </w:tcPr>
          <w:p w14:paraId="0700D16E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447" w:type="pct"/>
            <w:vAlign w:val="center"/>
          </w:tcPr>
          <w:p w14:paraId="456F18D7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446" w:type="pct"/>
            <w:vAlign w:val="center"/>
          </w:tcPr>
          <w:p w14:paraId="5218CC91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  <w:r>
              <w:rPr>
                <w:rStyle w:val="FootnoteReference"/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footnoteReference w:id="9"/>
            </w:r>
          </w:p>
        </w:tc>
        <w:tc>
          <w:tcPr>
            <w:tcW w:w="416" w:type="pct"/>
            <w:vAlign w:val="center"/>
          </w:tcPr>
          <w:p w14:paraId="1C6CB610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  <w:tc>
          <w:tcPr>
            <w:tcW w:w="406" w:type="pct"/>
            <w:vAlign w:val="center"/>
          </w:tcPr>
          <w:p w14:paraId="1191400F" w14:textId="77777777" w:rsidR="00FF2659" w:rsidRPr="00D626D6" w:rsidRDefault="00FF2659" w:rsidP="005A170A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CI</w:t>
            </w:r>
          </w:p>
        </w:tc>
      </w:tr>
      <w:tr w:rsidR="00FF2659" w:rsidRPr="00D626D6" w14:paraId="6AD5E6F0" w14:textId="77777777" w:rsidTr="00FF2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</w:tcPr>
          <w:p w14:paraId="180B7A11" w14:textId="24A9A2C3" w:rsidR="00FF2659" w:rsidRPr="00D626D6" w:rsidRDefault="00FF2659" w:rsidP="00FF2659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M</w:t>
            </w:r>
            <w:r w:rsidRPr="009E232A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22" w:type="pct"/>
          </w:tcPr>
          <w:p w14:paraId="0B56A6DC" w14:textId="5B4B76E4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All</w:t>
            </w:r>
            <w:r>
              <w:rPr>
                <w:rStyle w:val="FootnoteReference"/>
                <w:rFonts w:cstheme="minorHAnsi"/>
                <w:spacing w:val="-2"/>
                <w:sz w:val="20"/>
                <w:szCs w:val="20"/>
                <w:lang w:val="en-GB"/>
              </w:rPr>
              <w:footnoteReference w:id="10"/>
            </w:r>
          </w:p>
        </w:tc>
        <w:tc>
          <w:tcPr>
            <w:tcW w:w="383" w:type="pct"/>
          </w:tcPr>
          <w:p w14:paraId="164C00BE" w14:textId="0731CF0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,000</w:t>
            </w:r>
          </w:p>
        </w:tc>
        <w:tc>
          <w:tcPr>
            <w:tcW w:w="347" w:type="pct"/>
          </w:tcPr>
          <w:p w14:paraId="7CC5430D" w14:textId="559AA293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500</w:t>
            </w:r>
          </w:p>
        </w:tc>
        <w:tc>
          <w:tcPr>
            <w:tcW w:w="497" w:type="pct"/>
          </w:tcPr>
          <w:p w14:paraId="36AA353F" w14:textId="644772E1" w:rsidR="00FF2659" w:rsidRPr="00D626D6" w:rsidRDefault="00FF2659" w:rsidP="00FF2659">
            <w:pPr>
              <w:spacing w:before="20" w:after="20"/>
              <w:ind w:left="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10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73" w:type="pct"/>
          </w:tcPr>
          <w:p w14:paraId="3AC97E8A" w14:textId="726539EE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68</w:t>
            </w:r>
          </w:p>
        </w:tc>
        <w:tc>
          <w:tcPr>
            <w:tcW w:w="357" w:type="pct"/>
          </w:tcPr>
          <w:p w14:paraId="5F084700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25" w:type="pct"/>
          </w:tcPr>
          <w:p w14:paraId="5B98C728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18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47" w:type="pct"/>
          </w:tcPr>
          <w:p w14:paraId="0F1D228D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23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46" w:type="pct"/>
          </w:tcPr>
          <w:p w14:paraId="6BC3269B" w14:textId="77777777" w:rsidR="00FF2659" w:rsidRPr="00D626D6" w:rsidRDefault="00FF2659" w:rsidP="00FF2659">
            <w:pPr>
              <w:spacing w:before="20" w:after="20"/>
              <w:ind w:left="13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16" w:type="pct"/>
          </w:tcPr>
          <w:p w14:paraId="38ACE8AB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06" w:type="pct"/>
          </w:tcPr>
          <w:p w14:paraId="5C66B260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07048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  <w:tr w:rsidR="00FF2659" w:rsidRPr="00D626D6" w14:paraId="651B310B" w14:textId="77777777" w:rsidTr="00FF265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</w:tcPr>
          <w:p w14:paraId="31F36E1E" w14:textId="6648F4EF" w:rsidR="00FF2659" w:rsidRPr="00D626D6" w:rsidRDefault="00FF2659" w:rsidP="00FF2659">
            <w:pPr>
              <w:spacing w:before="20" w:after="20"/>
              <w:jc w:val="center"/>
              <w:rPr>
                <w:rFonts w:cstheme="minorHAnsi"/>
                <w:bCs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22" w:type="pct"/>
          </w:tcPr>
          <w:p w14:paraId="62D43F27" w14:textId="17E954BC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1305</w:t>
            </w:r>
          </w:p>
        </w:tc>
        <w:tc>
          <w:tcPr>
            <w:tcW w:w="383" w:type="pct"/>
          </w:tcPr>
          <w:p w14:paraId="0387953C" w14:textId="6D6476F4" w:rsidR="00FF2659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1,000</w:t>
            </w:r>
          </w:p>
        </w:tc>
        <w:tc>
          <w:tcPr>
            <w:tcW w:w="347" w:type="pct"/>
          </w:tcPr>
          <w:p w14:paraId="0374DF04" w14:textId="4234537F" w:rsidR="00FF2659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500</w:t>
            </w:r>
          </w:p>
        </w:tc>
        <w:tc>
          <w:tcPr>
            <w:tcW w:w="497" w:type="pct"/>
          </w:tcPr>
          <w:p w14:paraId="359C431E" w14:textId="6C73F57E" w:rsidR="00FF2659" w:rsidRPr="00D626D6" w:rsidRDefault="00FF2659" w:rsidP="00FF2659">
            <w:pPr>
              <w:spacing w:before="20" w:after="20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10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73" w:type="pct"/>
          </w:tcPr>
          <w:p w14:paraId="46C7A53F" w14:textId="379DD21E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68</w:t>
            </w:r>
          </w:p>
        </w:tc>
        <w:tc>
          <w:tcPr>
            <w:tcW w:w="357" w:type="pct"/>
          </w:tcPr>
          <w:p w14:paraId="741B496F" w14:textId="3C929FBE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25" w:type="pct"/>
          </w:tcPr>
          <w:p w14:paraId="55DD2893" w14:textId="60070381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18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47" w:type="pct"/>
          </w:tcPr>
          <w:p w14:paraId="206A75FB" w14:textId="081E50A5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23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46" w:type="pct"/>
          </w:tcPr>
          <w:p w14:paraId="2F3CEB36" w14:textId="0E08892F" w:rsidR="00FF2659" w:rsidRPr="00521AB9" w:rsidRDefault="00FF2659" w:rsidP="00FF2659">
            <w:pPr>
              <w:spacing w:before="20" w:after="20"/>
              <w:ind w:lef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16" w:type="pct"/>
          </w:tcPr>
          <w:p w14:paraId="4F1845F7" w14:textId="78838F3C" w:rsidR="00FF2659" w:rsidRPr="00521AB9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06" w:type="pct"/>
          </w:tcPr>
          <w:p w14:paraId="7140FC47" w14:textId="6A1AF5B8" w:rsidR="00FF2659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07048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  <w:tr w:rsidR="00FF2659" w:rsidRPr="00D626D6" w14:paraId="71B6AE28" w14:textId="77777777" w:rsidTr="00FF26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</w:tcPr>
          <w:p w14:paraId="2B096BC4" w14:textId="77777777" w:rsidR="00FF2659" w:rsidRPr="00D626D6" w:rsidRDefault="00FF2659" w:rsidP="00FF2659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22" w:type="pct"/>
          </w:tcPr>
          <w:p w14:paraId="23780B4E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&gt;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1305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but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1760</w:t>
            </w:r>
          </w:p>
        </w:tc>
        <w:tc>
          <w:tcPr>
            <w:tcW w:w="383" w:type="pct"/>
          </w:tcPr>
          <w:p w14:paraId="4F5685A7" w14:textId="5EF0E540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,8</w:t>
            </w:r>
            <w:r w:rsidR="00E51801"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47" w:type="pct"/>
          </w:tcPr>
          <w:p w14:paraId="45523B19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63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97" w:type="pct"/>
          </w:tcPr>
          <w:p w14:paraId="7EB20957" w14:textId="77777777" w:rsidR="00FF2659" w:rsidRPr="00D626D6" w:rsidRDefault="00FF2659" w:rsidP="00FF2659">
            <w:pPr>
              <w:spacing w:before="20" w:after="20"/>
              <w:ind w:left="3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13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73" w:type="pct"/>
          </w:tcPr>
          <w:p w14:paraId="0F1D57F4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9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57" w:type="pct"/>
          </w:tcPr>
          <w:p w14:paraId="73C3DD2A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75</w:t>
            </w:r>
          </w:p>
        </w:tc>
        <w:tc>
          <w:tcPr>
            <w:tcW w:w="325" w:type="pct"/>
          </w:tcPr>
          <w:p w14:paraId="3C0896EF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235</w:t>
            </w:r>
          </w:p>
        </w:tc>
        <w:tc>
          <w:tcPr>
            <w:tcW w:w="447" w:type="pct"/>
          </w:tcPr>
          <w:p w14:paraId="30932046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295</w:t>
            </w:r>
          </w:p>
        </w:tc>
        <w:tc>
          <w:tcPr>
            <w:tcW w:w="446" w:type="pct"/>
          </w:tcPr>
          <w:p w14:paraId="1749E1EB" w14:textId="77777777" w:rsidR="00FF2659" w:rsidRPr="00D626D6" w:rsidRDefault="00FF2659" w:rsidP="00FF2659">
            <w:pPr>
              <w:spacing w:before="20" w:after="20"/>
              <w:ind w:left="139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16" w:type="pct"/>
          </w:tcPr>
          <w:p w14:paraId="086CA89A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06" w:type="pct"/>
          </w:tcPr>
          <w:p w14:paraId="4B8CC036" w14:textId="77777777" w:rsidR="00FF2659" w:rsidRPr="00D626D6" w:rsidRDefault="00FF2659" w:rsidP="00FF2659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07048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  <w:tr w:rsidR="00FF2659" w:rsidRPr="00D626D6" w14:paraId="76154686" w14:textId="77777777" w:rsidTr="00FF265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" w:type="pct"/>
          </w:tcPr>
          <w:p w14:paraId="08442CDF" w14:textId="77777777" w:rsidR="00FF2659" w:rsidRPr="00D626D6" w:rsidRDefault="00FF2659" w:rsidP="00FF2659">
            <w:pPr>
              <w:spacing w:before="20" w:after="2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622" w:type="pct"/>
          </w:tcPr>
          <w:p w14:paraId="3A7A0FB3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&gt;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1760 </w:t>
            </w:r>
          </w:p>
        </w:tc>
        <w:tc>
          <w:tcPr>
            <w:tcW w:w="383" w:type="pct"/>
          </w:tcPr>
          <w:p w14:paraId="77B911B4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,270</w:t>
            </w:r>
          </w:p>
        </w:tc>
        <w:tc>
          <w:tcPr>
            <w:tcW w:w="347" w:type="pct"/>
          </w:tcPr>
          <w:p w14:paraId="11E911C4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74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97" w:type="pct"/>
          </w:tcPr>
          <w:p w14:paraId="355B4AEB" w14:textId="77777777" w:rsidR="00FF2659" w:rsidRPr="00D626D6" w:rsidRDefault="00FF2659" w:rsidP="00FF2659">
            <w:pPr>
              <w:spacing w:before="20" w:after="20"/>
              <w:ind w:lef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16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73" w:type="pct"/>
          </w:tcPr>
          <w:p w14:paraId="0A55F47D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108</w:t>
            </w:r>
          </w:p>
        </w:tc>
        <w:tc>
          <w:tcPr>
            <w:tcW w:w="357" w:type="pct"/>
          </w:tcPr>
          <w:p w14:paraId="1E910E18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82</w:t>
            </w:r>
          </w:p>
        </w:tc>
        <w:tc>
          <w:tcPr>
            <w:tcW w:w="325" w:type="pct"/>
          </w:tcPr>
          <w:p w14:paraId="3DD6686A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28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47" w:type="pct"/>
          </w:tcPr>
          <w:p w14:paraId="65707F1A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35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46" w:type="pct"/>
          </w:tcPr>
          <w:p w14:paraId="27C8E50F" w14:textId="77777777" w:rsidR="00FF2659" w:rsidRPr="00D626D6" w:rsidRDefault="00FF2659" w:rsidP="00FF2659">
            <w:pPr>
              <w:spacing w:before="20" w:after="20"/>
              <w:ind w:left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16" w:type="pct"/>
          </w:tcPr>
          <w:p w14:paraId="61083768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06" w:type="pct"/>
          </w:tcPr>
          <w:p w14:paraId="13426B26" w14:textId="77777777" w:rsidR="00FF2659" w:rsidRPr="00D626D6" w:rsidRDefault="00FF2659" w:rsidP="00FF2659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07048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</w:tbl>
    <w:p w14:paraId="4D89CACC" w14:textId="2DCCB13B" w:rsidR="00AF538C" w:rsidRDefault="008C2C2B" w:rsidP="00AF538C">
      <w:pPr>
        <w:pStyle w:val="NoSpacing"/>
        <w:keepNext/>
        <w:rPr>
          <w:b/>
        </w:rPr>
      </w:pPr>
      <w:r w:rsidRPr="008C2C2B">
        <w:rPr>
          <w:b/>
        </w:rPr>
        <w:lastRenderedPageBreak/>
        <w:t>Euro 6</w:t>
      </w:r>
      <w:r>
        <w:rPr>
          <w:b/>
        </w:rPr>
        <w:t xml:space="preserve"> </w:t>
      </w:r>
      <w:r w:rsidR="00AF538C">
        <w:rPr>
          <w:b/>
        </w:rPr>
        <w:br/>
        <w:t>A</w:t>
      </w:r>
      <w:r w:rsidR="0092369D">
        <w:rPr>
          <w:b/>
        </w:rPr>
        <w:t xml:space="preserve">dopted in </w:t>
      </w:r>
      <w:r>
        <w:rPr>
          <w:b/>
        </w:rPr>
        <w:t>ADR</w:t>
      </w:r>
      <w:r w:rsidR="0092369D">
        <w:rPr>
          <w:b/>
        </w:rPr>
        <w:t>s</w:t>
      </w:r>
      <w:r>
        <w:rPr>
          <w:b/>
        </w:rPr>
        <w:t xml:space="preserve"> </w:t>
      </w:r>
      <w:r w:rsidR="00B101F2">
        <w:rPr>
          <w:b/>
        </w:rPr>
        <w:t xml:space="preserve">79/05, </w:t>
      </w:r>
      <w:r>
        <w:rPr>
          <w:b/>
        </w:rPr>
        <w:t>111/00</w:t>
      </w:r>
      <w:r w:rsidR="0092369D">
        <w:rPr>
          <w:rStyle w:val="FootnoteReference"/>
          <w:b/>
        </w:rPr>
        <w:footnoteReference w:id="11"/>
      </w:r>
      <w:r w:rsidR="00B101F2">
        <w:rPr>
          <w:b/>
        </w:rPr>
        <w:t xml:space="preserve"> and</w:t>
      </w:r>
      <w:r w:rsidR="0092369D">
        <w:rPr>
          <w:b/>
        </w:rPr>
        <w:t xml:space="preserve"> 112/00</w:t>
      </w:r>
      <w:r w:rsidR="0092369D">
        <w:rPr>
          <w:rStyle w:val="FootnoteReference"/>
          <w:b/>
        </w:rPr>
        <w:footnoteReference w:id="12"/>
      </w:r>
      <w:r w:rsidR="00AF538C">
        <w:rPr>
          <w:b/>
        </w:rPr>
        <w:t xml:space="preserve"> </w:t>
      </w:r>
      <w:r w:rsidR="00AF538C" w:rsidRPr="00AF538C">
        <w:rPr>
          <w:b/>
        </w:rPr>
        <w:t>from 1/12/2025 (for newly approved models) and from 1/7/2028 (for all new vehicles)</w:t>
      </w:r>
    </w:p>
    <w:p w14:paraId="4191D9B4" w14:textId="77777777" w:rsidR="00AF538C" w:rsidRPr="00AF538C" w:rsidRDefault="00AF538C" w:rsidP="00AF538C">
      <w:pPr>
        <w:pStyle w:val="NoSpacing"/>
        <w:keepNext/>
        <w:rPr>
          <w:rFonts w:cstheme="minorHAnsi"/>
        </w:rPr>
      </w:pPr>
    </w:p>
    <w:tbl>
      <w:tblPr>
        <w:tblStyle w:val="DefaultTable1"/>
        <w:tblW w:w="5000" w:type="pct"/>
        <w:tblLook w:val="04A0" w:firstRow="1" w:lastRow="0" w:firstColumn="1" w:lastColumn="0" w:noHBand="0" w:noVBand="1"/>
        <w:tblDescription w:val="Euro 6 &#10;Adopted in ADRs 79/05, 111/00  and 112/00  from 1/12/2025 (for newly approved models) and from 1/7/2028 (for all new vehicles)&#10;"/>
      </w:tblPr>
      <w:tblGrid>
        <w:gridCol w:w="827"/>
        <w:gridCol w:w="1251"/>
        <w:gridCol w:w="1109"/>
        <w:gridCol w:w="1106"/>
        <w:gridCol w:w="1431"/>
        <w:gridCol w:w="1239"/>
        <w:gridCol w:w="967"/>
        <w:gridCol w:w="970"/>
        <w:gridCol w:w="1431"/>
        <w:gridCol w:w="1263"/>
        <w:gridCol w:w="1263"/>
        <w:gridCol w:w="971"/>
        <w:gridCol w:w="968"/>
      </w:tblGrid>
      <w:tr w:rsidR="008655C8" w14:paraId="5D06C474" w14:textId="77777777" w:rsidTr="00DC4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</w:tcPr>
          <w:p w14:paraId="79E7D84C" w14:textId="77777777" w:rsidR="00DC4F9A" w:rsidRPr="00D626D6" w:rsidRDefault="00DC4F9A" w:rsidP="008C2C2B">
            <w:pPr>
              <w:spacing w:before="20" w:after="2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Class</w:t>
            </w:r>
          </w:p>
        </w:tc>
        <w:tc>
          <w:tcPr>
            <w:tcW w:w="424" w:type="pct"/>
          </w:tcPr>
          <w:p w14:paraId="55BDDD8D" w14:textId="3BF0CE11" w:rsidR="00DC4F9A" w:rsidRPr="008655C8" w:rsidRDefault="00DC4F9A" w:rsidP="008655C8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Reference mass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(RW)</w:t>
            </w:r>
            <w:r w:rsidR="008655C8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(kg)</w:t>
            </w:r>
          </w:p>
        </w:tc>
        <w:tc>
          <w:tcPr>
            <w:tcW w:w="376" w:type="pct"/>
          </w:tcPr>
          <w:p w14:paraId="6FE95D16" w14:textId="77777777" w:rsidR="00DC4F9A" w:rsidRPr="00070486" w:rsidRDefault="00DC4F9A" w:rsidP="008C2C2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(mg/km)</w:t>
            </w:r>
          </w:p>
        </w:tc>
        <w:tc>
          <w:tcPr>
            <w:tcW w:w="375" w:type="pct"/>
          </w:tcPr>
          <w:p w14:paraId="69A8B3A2" w14:textId="5FF8B22B" w:rsidR="00DC4F9A" w:rsidRPr="0092369D" w:rsidRDefault="00DC4F9A" w:rsidP="008655C8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arbon monoxide</w:t>
            </w:r>
            <w:r w:rsidR="008655C8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(CO)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 xml:space="preserve"> (</w:t>
            </w: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m</w:t>
            </w:r>
            <w:r w:rsidRPr="00D626D6"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g/km)</w:t>
            </w:r>
          </w:p>
        </w:tc>
        <w:tc>
          <w:tcPr>
            <w:tcW w:w="485" w:type="pct"/>
          </w:tcPr>
          <w:p w14:paraId="0E970292" w14:textId="2E5A3596" w:rsidR="00DC4F9A" w:rsidRPr="00D626D6" w:rsidRDefault="00DC4F9A" w:rsidP="008655C8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Total H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ydrocarbons</w:t>
            </w:r>
            <w:r w:rsidR="008655C8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(THC)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(mg/km)</w:t>
            </w:r>
          </w:p>
        </w:tc>
        <w:tc>
          <w:tcPr>
            <w:tcW w:w="419" w:type="pct"/>
          </w:tcPr>
          <w:p w14:paraId="76885993" w14:textId="7CC8A230" w:rsidR="00DC4F9A" w:rsidRDefault="00DC4F9A" w:rsidP="008655C8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Non-methane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H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ydrocarbons</w:t>
            </w:r>
            <w:r w:rsidR="008655C8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(NMHC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 w:rsidR="008655C8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(mg/km)</w:t>
            </w:r>
          </w:p>
        </w:tc>
        <w:tc>
          <w:tcPr>
            <w:tcW w:w="329" w:type="pct"/>
          </w:tcPr>
          <w:p w14:paraId="524A6165" w14:textId="56D9A47E" w:rsidR="00DC4F9A" w:rsidRPr="00D626D6" w:rsidRDefault="00DC4F9A" w:rsidP="008C2C2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329" w:type="pct"/>
          </w:tcPr>
          <w:p w14:paraId="0A874F0A" w14:textId="77777777" w:rsidR="00DC4F9A" w:rsidRPr="00D626D6" w:rsidRDefault="00DC4F9A" w:rsidP="008C2C2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O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(NOx)</w:t>
            </w:r>
          </w:p>
          <w:p w14:paraId="03EFE2F7" w14:textId="77777777" w:rsidR="00DC4F9A" w:rsidRPr="00D626D6" w:rsidRDefault="00DC4F9A" w:rsidP="008C2C2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(mg/km)</w:t>
            </w:r>
          </w:p>
        </w:tc>
        <w:tc>
          <w:tcPr>
            <w:tcW w:w="485" w:type="pct"/>
          </w:tcPr>
          <w:p w14:paraId="24E2D747" w14:textId="77777777" w:rsidR="00DC4F9A" w:rsidRPr="00D626D6" w:rsidRDefault="00DC4F9A" w:rsidP="008C2C2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Combined mass of total hydrocarbons and oxides of nitrogen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</w:t>
            </w:r>
            <w:proofErr w:type="spellStart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THC+NOx</w:t>
            </w:r>
            <w:proofErr w:type="spellEnd"/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428" w:type="pct"/>
          </w:tcPr>
          <w:p w14:paraId="2D698574" w14:textId="77777777" w:rsidR="00DC4F9A" w:rsidRPr="008C2C2B" w:rsidRDefault="00DC4F9A" w:rsidP="008C2C2B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428" w:type="pct"/>
          </w:tcPr>
          <w:p w14:paraId="37E11A0F" w14:textId="7886FB0E" w:rsidR="00DC4F9A" w:rsidRPr="00DC4F9A" w:rsidRDefault="00DC4F9A" w:rsidP="00DC4F9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Mass of particulates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(PM)</w:t>
            </w:r>
            <w:r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 xml:space="preserve"> (mg/km)</w:t>
            </w:r>
          </w:p>
        </w:tc>
        <w:tc>
          <w:tcPr>
            <w:tcW w:w="329" w:type="pct"/>
          </w:tcPr>
          <w:p w14:paraId="245BBA7F" w14:textId="4D8A6AB6" w:rsidR="00DC4F9A" w:rsidRPr="00DC4F9A" w:rsidRDefault="00DC4F9A" w:rsidP="00DC4F9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Number of Particles (#/km)</w:t>
            </w:r>
          </w:p>
        </w:tc>
        <w:tc>
          <w:tcPr>
            <w:tcW w:w="328" w:type="pct"/>
          </w:tcPr>
          <w:p w14:paraId="36906887" w14:textId="5B1D065A" w:rsidR="00DC4F9A" w:rsidRPr="00DC4F9A" w:rsidRDefault="00DC4F9A" w:rsidP="00DC4F9A">
            <w:pPr>
              <w:spacing w:before="2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Number of Particles (#/km)</w:t>
            </w:r>
          </w:p>
        </w:tc>
      </w:tr>
      <w:tr w:rsidR="008655C8" w14:paraId="30D09EE5" w14:textId="77777777" w:rsidTr="00850B3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14:paraId="67AB85EE" w14:textId="65D32CB6" w:rsidR="00DC4F9A" w:rsidRPr="00D626D6" w:rsidRDefault="00DC4F9A" w:rsidP="008C2C2B">
            <w:pPr>
              <w:spacing w:before="80" w:after="80"/>
              <w:ind w:left="-373" w:firstLine="373"/>
              <w:jc w:val="center"/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t>Engine</w:t>
            </w:r>
            <w:r>
              <w:rPr>
                <w:rStyle w:val="FootnoteReference"/>
                <w:rFonts w:asciiTheme="majorHAnsi" w:hAnsiTheme="majorHAnsi" w:cstheme="majorHAnsi"/>
                <w:bCs/>
                <w:spacing w:val="-2"/>
                <w:sz w:val="18"/>
                <w:szCs w:val="18"/>
                <w:lang w:val="en-GB"/>
              </w:rPr>
              <w:footnoteReference w:id="13"/>
            </w:r>
          </w:p>
        </w:tc>
        <w:tc>
          <w:tcPr>
            <w:tcW w:w="424" w:type="pct"/>
            <w:vAlign w:val="center"/>
          </w:tcPr>
          <w:p w14:paraId="3A3DFBF7" w14:textId="77777777" w:rsidR="00DC4F9A" w:rsidRPr="00D626D6" w:rsidRDefault="00DC4F9A" w:rsidP="00850B3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376" w:type="pct"/>
            <w:vAlign w:val="center"/>
          </w:tcPr>
          <w:p w14:paraId="76F7F9E9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PI</w:t>
            </w:r>
          </w:p>
        </w:tc>
        <w:tc>
          <w:tcPr>
            <w:tcW w:w="375" w:type="pct"/>
            <w:vAlign w:val="center"/>
          </w:tcPr>
          <w:p w14:paraId="223B4EEA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asciiTheme="majorHAnsi" w:hAnsiTheme="majorHAnsi" w:cstheme="majorHAnsi"/>
                <w:spacing w:val="-2"/>
                <w:sz w:val="18"/>
                <w:szCs w:val="18"/>
                <w:lang w:val="en-GB"/>
              </w:rPr>
              <w:t>C</w:t>
            </w:r>
          </w:p>
        </w:tc>
        <w:tc>
          <w:tcPr>
            <w:tcW w:w="485" w:type="pct"/>
            <w:vAlign w:val="center"/>
          </w:tcPr>
          <w:p w14:paraId="584F36CE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PI</w:t>
            </w:r>
          </w:p>
        </w:tc>
        <w:tc>
          <w:tcPr>
            <w:tcW w:w="419" w:type="pct"/>
            <w:vAlign w:val="center"/>
          </w:tcPr>
          <w:p w14:paraId="179BC6D8" w14:textId="505442B2" w:rsidR="00DC4F9A" w:rsidRDefault="00850B31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PI</w:t>
            </w:r>
          </w:p>
        </w:tc>
        <w:tc>
          <w:tcPr>
            <w:tcW w:w="329" w:type="pct"/>
            <w:vAlign w:val="center"/>
          </w:tcPr>
          <w:p w14:paraId="71F667D5" w14:textId="5618FC81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PI</w:t>
            </w:r>
          </w:p>
        </w:tc>
        <w:tc>
          <w:tcPr>
            <w:tcW w:w="329" w:type="pct"/>
            <w:vAlign w:val="center"/>
          </w:tcPr>
          <w:p w14:paraId="14FA3EE8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CI</w:t>
            </w:r>
          </w:p>
        </w:tc>
        <w:tc>
          <w:tcPr>
            <w:tcW w:w="485" w:type="pct"/>
            <w:vAlign w:val="center"/>
          </w:tcPr>
          <w:p w14:paraId="5F4C0CBE" w14:textId="77777777" w:rsidR="00DC4F9A" w:rsidRPr="00D626D6" w:rsidRDefault="00DC4F9A" w:rsidP="00850B31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CI</w:t>
            </w:r>
          </w:p>
        </w:tc>
        <w:tc>
          <w:tcPr>
            <w:tcW w:w="428" w:type="pct"/>
            <w:vAlign w:val="center"/>
          </w:tcPr>
          <w:p w14:paraId="0391B34A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PI</w:t>
            </w:r>
            <w:r>
              <w:rPr>
                <w:rStyle w:val="FootnoteReference"/>
                <w:rFonts w:cstheme="minorHAnsi"/>
                <w:spacing w:val="-2"/>
                <w:sz w:val="20"/>
                <w:szCs w:val="20"/>
                <w:lang w:val="en-GB"/>
              </w:rPr>
              <w:footnoteReference w:id="14"/>
            </w:r>
          </w:p>
        </w:tc>
        <w:tc>
          <w:tcPr>
            <w:tcW w:w="428" w:type="pct"/>
            <w:vAlign w:val="center"/>
          </w:tcPr>
          <w:p w14:paraId="0797BE55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CI</w:t>
            </w:r>
          </w:p>
        </w:tc>
        <w:tc>
          <w:tcPr>
            <w:tcW w:w="329" w:type="pct"/>
            <w:vAlign w:val="center"/>
          </w:tcPr>
          <w:p w14:paraId="636D68F1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PI</w:t>
            </w:r>
            <w:r>
              <w:rPr>
                <w:rStyle w:val="FootnoteReference"/>
                <w:rFonts w:cstheme="minorHAnsi"/>
                <w:spacing w:val="-2"/>
                <w:sz w:val="20"/>
                <w:szCs w:val="20"/>
                <w:lang w:val="en-GB"/>
              </w:rPr>
              <w:footnoteReference w:id="15"/>
            </w:r>
          </w:p>
        </w:tc>
        <w:tc>
          <w:tcPr>
            <w:tcW w:w="328" w:type="pct"/>
            <w:vAlign w:val="center"/>
          </w:tcPr>
          <w:p w14:paraId="775FC9E0" w14:textId="77777777" w:rsidR="00DC4F9A" w:rsidRPr="00D626D6" w:rsidRDefault="00DC4F9A" w:rsidP="00850B31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CI</w:t>
            </w:r>
          </w:p>
        </w:tc>
      </w:tr>
      <w:tr w:rsidR="008655C8" w14:paraId="0D09EFB9" w14:textId="77777777" w:rsidTr="00923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14:paraId="4E6C8F3B" w14:textId="77777777" w:rsidR="00DC4F9A" w:rsidRPr="00D626D6" w:rsidRDefault="00DC4F9A" w:rsidP="0092369D">
            <w:pPr>
              <w:spacing w:before="80" w:after="80"/>
              <w:ind w:left="-373" w:firstLine="373"/>
              <w:jc w:val="center"/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M</w:t>
            </w:r>
          </w:p>
        </w:tc>
        <w:tc>
          <w:tcPr>
            <w:tcW w:w="424" w:type="pct"/>
            <w:vAlign w:val="center"/>
          </w:tcPr>
          <w:p w14:paraId="35BFB4AF" w14:textId="7D88892D" w:rsidR="00DC4F9A" w:rsidRPr="00D626D6" w:rsidRDefault="00DC4F9A" w:rsidP="0092369D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All</w:t>
            </w:r>
          </w:p>
        </w:tc>
        <w:tc>
          <w:tcPr>
            <w:tcW w:w="376" w:type="pct"/>
            <w:vAlign w:val="center"/>
          </w:tcPr>
          <w:p w14:paraId="168366C8" w14:textId="68ABBCDD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,000</w:t>
            </w:r>
          </w:p>
        </w:tc>
        <w:tc>
          <w:tcPr>
            <w:tcW w:w="375" w:type="pct"/>
            <w:vAlign w:val="center"/>
          </w:tcPr>
          <w:p w14:paraId="4A0ACBE4" w14:textId="0B3CE588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500</w:t>
            </w:r>
          </w:p>
        </w:tc>
        <w:tc>
          <w:tcPr>
            <w:tcW w:w="485" w:type="pct"/>
            <w:vAlign w:val="center"/>
          </w:tcPr>
          <w:p w14:paraId="0439D3A9" w14:textId="034512AE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10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19" w:type="pct"/>
            <w:vAlign w:val="center"/>
          </w:tcPr>
          <w:p w14:paraId="50DE7194" w14:textId="0BEA5B68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68</w:t>
            </w:r>
          </w:p>
        </w:tc>
        <w:tc>
          <w:tcPr>
            <w:tcW w:w="329" w:type="pct"/>
            <w:vAlign w:val="center"/>
          </w:tcPr>
          <w:p w14:paraId="3979AE52" w14:textId="6B05146B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60</w:t>
            </w:r>
          </w:p>
        </w:tc>
        <w:tc>
          <w:tcPr>
            <w:tcW w:w="329" w:type="pct"/>
            <w:vAlign w:val="center"/>
          </w:tcPr>
          <w:p w14:paraId="0C2154E9" w14:textId="70008127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80</w:t>
            </w:r>
          </w:p>
        </w:tc>
        <w:tc>
          <w:tcPr>
            <w:tcW w:w="485" w:type="pct"/>
            <w:vAlign w:val="center"/>
          </w:tcPr>
          <w:p w14:paraId="75C32F4E" w14:textId="3843AE2E" w:rsidR="00DC4F9A" w:rsidRPr="00D626D6" w:rsidRDefault="0092369D" w:rsidP="0092369D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170</w:t>
            </w:r>
          </w:p>
        </w:tc>
        <w:tc>
          <w:tcPr>
            <w:tcW w:w="428" w:type="pct"/>
            <w:vAlign w:val="center"/>
          </w:tcPr>
          <w:p w14:paraId="5BFABA2C" w14:textId="250FB52A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28" w:type="pct"/>
            <w:vAlign w:val="center"/>
          </w:tcPr>
          <w:p w14:paraId="3CC5071F" w14:textId="0276C16B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329" w:type="pct"/>
            <w:vAlign w:val="center"/>
          </w:tcPr>
          <w:p w14:paraId="6DAF01A2" w14:textId="77777777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  <w:tc>
          <w:tcPr>
            <w:tcW w:w="328" w:type="pct"/>
            <w:vAlign w:val="center"/>
          </w:tcPr>
          <w:p w14:paraId="6DDE87BA" w14:textId="77777777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  <w:tr w:rsidR="008655C8" w14:paraId="4C00F82C" w14:textId="77777777" w:rsidTr="009236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14:paraId="513E3724" w14:textId="77777777" w:rsidR="00DC4F9A" w:rsidRPr="00D626D6" w:rsidRDefault="00DC4F9A" w:rsidP="0092369D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424" w:type="pct"/>
            <w:vAlign w:val="center"/>
          </w:tcPr>
          <w:p w14:paraId="5AD63CFD" w14:textId="46718055" w:rsidR="00DC4F9A" w:rsidRPr="00D626D6" w:rsidRDefault="00DC4F9A" w:rsidP="0092369D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1305</w:t>
            </w:r>
          </w:p>
        </w:tc>
        <w:tc>
          <w:tcPr>
            <w:tcW w:w="376" w:type="pct"/>
            <w:vAlign w:val="center"/>
          </w:tcPr>
          <w:p w14:paraId="67EE98BD" w14:textId="7396678B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1,000</w:t>
            </w:r>
          </w:p>
        </w:tc>
        <w:tc>
          <w:tcPr>
            <w:tcW w:w="375" w:type="pct"/>
            <w:vAlign w:val="center"/>
          </w:tcPr>
          <w:p w14:paraId="47667AE7" w14:textId="20A9A0BD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500</w:t>
            </w:r>
          </w:p>
        </w:tc>
        <w:tc>
          <w:tcPr>
            <w:tcW w:w="485" w:type="pct"/>
            <w:vAlign w:val="center"/>
          </w:tcPr>
          <w:p w14:paraId="4529A2AF" w14:textId="52BB40E6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10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19" w:type="pct"/>
            <w:vAlign w:val="center"/>
          </w:tcPr>
          <w:p w14:paraId="5922351D" w14:textId="74B5A46C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68</w:t>
            </w:r>
          </w:p>
        </w:tc>
        <w:tc>
          <w:tcPr>
            <w:tcW w:w="329" w:type="pct"/>
            <w:vAlign w:val="center"/>
          </w:tcPr>
          <w:p w14:paraId="6952DEBA" w14:textId="61F35667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29" w:type="pct"/>
            <w:vAlign w:val="center"/>
          </w:tcPr>
          <w:p w14:paraId="2B376687" w14:textId="0C06B24A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80</w:t>
            </w:r>
          </w:p>
        </w:tc>
        <w:tc>
          <w:tcPr>
            <w:tcW w:w="485" w:type="pct"/>
            <w:vAlign w:val="center"/>
          </w:tcPr>
          <w:p w14:paraId="07652489" w14:textId="31EDA886" w:rsidR="00DC4F9A" w:rsidRPr="00D626D6" w:rsidRDefault="0092369D" w:rsidP="0092369D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170</w:t>
            </w:r>
          </w:p>
        </w:tc>
        <w:tc>
          <w:tcPr>
            <w:tcW w:w="428" w:type="pct"/>
            <w:vAlign w:val="center"/>
          </w:tcPr>
          <w:p w14:paraId="4E3746ED" w14:textId="51E54BC0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28" w:type="pct"/>
            <w:vAlign w:val="center"/>
          </w:tcPr>
          <w:p w14:paraId="39A8E3EA" w14:textId="304EC385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329" w:type="pct"/>
            <w:vAlign w:val="center"/>
          </w:tcPr>
          <w:p w14:paraId="1F3C5E7A" w14:textId="77777777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  <w:tc>
          <w:tcPr>
            <w:tcW w:w="328" w:type="pct"/>
            <w:vAlign w:val="center"/>
          </w:tcPr>
          <w:p w14:paraId="6A013952" w14:textId="77777777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  <w:tr w:rsidR="008655C8" w14:paraId="4B5600DF" w14:textId="77777777" w:rsidTr="009236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14:paraId="5C3D93B6" w14:textId="77777777" w:rsidR="00DC4F9A" w:rsidRPr="00D626D6" w:rsidRDefault="00DC4F9A" w:rsidP="0092369D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424" w:type="pct"/>
            <w:vAlign w:val="center"/>
          </w:tcPr>
          <w:p w14:paraId="4158A441" w14:textId="5CA87335" w:rsidR="00DC4F9A" w:rsidRPr="00D626D6" w:rsidRDefault="00DC4F9A" w:rsidP="0092369D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&gt;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1305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but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sym w:font="Symbol" w:char="F0A3"/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1760</w:t>
            </w:r>
          </w:p>
        </w:tc>
        <w:tc>
          <w:tcPr>
            <w:tcW w:w="376" w:type="pct"/>
            <w:vAlign w:val="center"/>
          </w:tcPr>
          <w:p w14:paraId="00A2241D" w14:textId="7224AAE9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,8</w:t>
            </w:r>
            <w:r w:rsidR="00E51801"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75" w:type="pct"/>
            <w:vAlign w:val="center"/>
          </w:tcPr>
          <w:p w14:paraId="67501F7C" w14:textId="3F0C428B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63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85" w:type="pct"/>
            <w:vAlign w:val="center"/>
          </w:tcPr>
          <w:p w14:paraId="08B00C76" w14:textId="4297B080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13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19" w:type="pct"/>
            <w:vAlign w:val="center"/>
          </w:tcPr>
          <w:p w14:paraId="22E540B4" w14:textId="505AEBE6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9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329" w:type="pct"/>
            <w:vAlign w:val="center"/>
          </w:tcPr>
          <w:p w14:paraId="64DACE73" w14:textId="10DA1A56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75</w:t>
            </w:r>
          </w:p>
        </w:tc>
        <w:tc>
          <w:tcPr>
            <w:tcW w:w="329" w:type="pct"/>
            <w:vAlign w:val="center"/>
          </w:tcPr>
          <w:p w14:paraId="392F0BD6" w14:textId="6211E9C2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 w:rsidR="007D10C1">
              <w:rPr>
                <w:rFonts w:cstheme="minorHAnsi"/>
                <w:spacing w:val="-2"/>
                <w:sz w:val="20"/>
                <w:szCs w:val="20"/>
                <w:lang w:val="en-GB"/>
              </w:rPr>
              <w:t>05</w:t>
            </w:r>
          </w:p>
        </w:tc>
        <w:tc>
          <w:tcPr>
            <w:tcW w:w="485" w:type="pct"/>
            <w:vAlign w:val="center"/>
          </w:tcPr>
          <w:p w14:paraId="5CE5E675" w14:textId="0F0FF811" w:rsidR="00DC4F9A" w:rsidRPr="00D626D6" w:rsidRDefault="0092369D" w:rsidP="0092369D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195</w:t>
            </w:r>
          </w:p>
        </w:tc>
        <w:tc>
          <w:tcPr>
            <w:tcW w:w="428" w:type="pct"/>
            <w:vAlign w:val="center"/>
          </w:tcPr>
          <w:p w14:paraId="7AC70EE9" w14:textId="6528EB50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28" w:type="pct"/>
            <w:vAlign w:val="center"/>
          </w:tcPr>
          <w:p w14:paraId="4193FCE0" w14:textId="1D19B3C1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329" w:type="pct"/>
            <w:vAlign w:val="center"/>
          </w:tcPr>
          <w:p w14:paraId="6558FD82" w14:textId="77777777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  <w:tc>
          <w:tcPr>
            <w:tcW w:w="328" w:type="pct"/>
            <w:vAlign w:val="center"/>
          </w:tcPr>
          <w:p w14:paraId="22023FCB" w14:textId="77777777" w:rsidR="00DC4F9A" w:rsidRPr="00D626D6" w:rsidRDefault="00DC4F9A" w:rsidP="0092369D">
            <w:pPr>
              <w:spacing w:before="20" w:after="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  <w:tr w:rsidR="008655C8" w14:paraId="0ED19973" w14:textId="77777777" w:rsidTr="0092369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pct"/>
            <w:vAlign w:val="center"/>
          </w:tcPr>
          <w:p w14:paraId="3D6C58B5" w14:textId="77777777" w:rsidR="00DC4F9A" w:rsidRPr="00D626D6" w:rsidRDefault="00DC4F9A" w:rsidP="0092369D">
            <w:pPr>
              <w:spacing w:before="80" w:after="80"/>
              <w:jc w:val="center"/>
              <w:rPr>
                <w:rFonts w:cstheme="minorHAnsi"/>
                <w:sz w:val="20"/>
                <w:szCs w:val="20"/>
              </w:rPr>
            </w:pP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lang w:val="en-GB"/>
              </w:rPr>
              <w:t>N</w:t>
            </w:r>
            <w:r w:rsidRPr="00D626D6">
              <w:rPr>
                <w:rFonts w:cstheme="minorHAnsi"/>
                <w:b w:val="0"/>
                <w:bCs/>
                <w:spacing w:val="-2"/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424" w:type="pct"/>
            <w:vAlign w:val="center"/>
          </w:tcPr>
          <w:p w14:paraId="0093EE9A" w14:textId="1B7A3404" w:rsidR="00DC4F9A" w:rsidRPr="00D626D6" w:rsidRDefault="00DC4F9A" w:rsidP="0092369D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 xml:space="preserve">&gt; </w:t>
            </w: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1760</w:t>
            </w:r>
          </w:p>
        </w:tc>
        <w:tc>
          <w:tcPr>
            <w:tcW w:w="376" w:type="pct"/>
            <w:vAlign w:val="center"/>
          </w:tcPr>
          <w:p w14:paraId="46352B10" w14:textId="66986778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2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,270</w:t>
            </w:r>
          </w:p>
        </w:tc>
        <w:tc>
          <w:tcPr>
            <w:tcW w:w="375" w:type="pct"/>
            <w:vAlign w:val="center"/>
          </w:tcPr>
          <w:p w14:paraId="00C1E999" w14:textId="783A5F19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74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85" w:type="pct"/>
            <w:vAlign w:val="center"/>
          </w:tcPr>
          <w:p w14:paraId="56E6D93F" w14:textId="4BCF38A5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16</w:t>
            </w: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0</w:t>
            </w:r>
          </w:p>
        </w:tc>
        <w:tc>
          <w:tcPr>
            <w:tcW w:w="419" w:type="pct"/>
            <w:vAlign w:val="center"/>
          </w:tcPr>
          <w:p w14:paraId="65EF320E" w14:textId="67BCF213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108</w:t>
            </w:r>
          </w:p>
        </w:tc>
        <w:tc>
          <w:tcPr>
            <w:tcW w:w="329" w:type="pct"/>
            <w:vAlign w:val="center"/>
          </w:tcPr>
          <w:p w14:paraId="71291F3C" w14:textId="448F13B9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82</w:t>
            </w:r>
          </w:p>
        </w:tc>
        <w:tc>
          <w:tcPr>
            <w:tcW w:w="329" w:type="pct"/>
            <w:vAlign w:val="center"/>
          </w:tcPr>
          <w:p w14:paraId="51A0451F" w14:textId="6ED5266B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1</w:t>
            </w:r>
            <w:r w:rsidR="007D10C1">
              <w:rPr>
                <w:rFonts w:cstheme="minorHAnsi"/>
                <w:spacing w:val="-2"/>
                <w:sz w:val="20"/>
                <w:szCs w:val="20"/>
                <w:lang w:val="en-GB"/>
              </w:rPr>
              <w:t>25</w:t>
            </w:r>
            <w:bookmarkStart w:id="0" w:name="_GoBack"/>
            <w:bookmarkEnd w:id="0"/>
          </w:p>
        </w:tc>
        <w:tc>
          <w:tcPr>
            <w:tcW w:w="485" w:type="pct"/>
            <w:vAlign w:val="center"/>
          </w:tcPr>
          <w:p w14:paraId="0C8887B6" w14:textId="176F0D8D" w:rsidR="00DC4F9A" w:rsidRPr="00D626D6" w:rsidRDefault="0092369D" w:rsidP="0092369D">
            <w:pPr>
              <w:spacing w:before="80"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>
              <w:rPr>
                <w:rFonts w:cstheme="minorHAnsi"/>
                <w:spacing w:val="-2"/>
                <w:sz w:val="20"/>
                <w:szCs w:val="20"/>
                <w:lang w:val="en-GB"/>
              </w:rPr>
              <w:t>215</w:t>
            </w:r>
          </w:p>
        </w:tc>
        <w:tc>
          <w:tcPr>
            <w:tcW w:w="428" w:type="pct"/>
            <w:vAlign w:val="center"/>
          </w:tcPr>
          <w:p w14:paraId="6CCB1599" w14:textId="06647E34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428" w:type="pct"/>
            <w:vAlign w:val="center"/>
          </w:tcPr>
          <w:p w14:paraId="46088F89" w14:textId="347E1833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521AB9">
              <w:rPr>
                <w:rFonts w:cstheme="minorHAnsi"/>
                <w:spacing w:val="-2"/>
                <w:sz w:val="20"/>
                <w:szCs w:val="20"/>
                <w:lang w:val="en-GB"/>
              </w:rPr>
              <w:t>4.5</w:t>
            </w:r>
          </w:p>
        </w:tc>
        <w:tc>
          <w:tcPr>
            <w:tcW w:w="329" w:type="pct"/>
            <w:vAlign w:val="center"/>
          </w:tcPr>
          <w:p w14:paraId="51774579" w14:textId="77777777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  <w:tc>
          <w:tcPr>
            <w:tcW w:w="328" w:type="pct"/>
            <w:vAlign w:val="center"/>
          </w:tcPr>
          <w:p w14:paraId="67B11077" w14:textId="77777777" w:rsidR="00DC4F9A" w:rsidRPr="00D626D6" w:rsidRDefault="00DC4F9A" w:rsidP="0092369D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pacing w:val="-2"/>
                <w:sz w:val="20"/>
                <w:szCs w:val="20"/>
                <w:lang w:val="en-GB"/>
              </w:rPr>
            </w:pPr>
            <w:r w:rsidRPr="00D626D6">
              <w:rPr>
                <w:rFonts w:cstheme="minorHAnsi"/>
                <w:spacing w:val="-2"/>
                <w:sz w:val="20"/>
                <w:szCs w:val="20"/>
                <w:lang w:val="en-GB"/>
              </w:rPr>
              <w:t>6x10</w:t>
            </w:r>
            <w:r w:rsidRPr="00D626D6">
              <w:rPr>
                <w:rFonts w:cstheme="minorHAnsi"/>
                <w:spacing w:val="-2"/>
                <w:sz w:val="20"/>
                <w:szCs w:val="20"/>
                <w:vertAlign w:val="superscript"/>
                <w:lang w:val="en-GB"/>
              </w:rPr>
              <w:t>11</w:t>
            </w:r>
          </w:p>
        </w:tc>
      </w:tr>
    </w:tbl>
    <w:p w14:paraId="3253F839" w14:textId="1024A5B1" w:rsidR="00573A05" w:rsidRPr="00573A05" w:rsidRDefault="00573A05" w:rsidP="00E374E2">
      <w:pPr>
        <w:pStyle w:val="NoSpacing"/>
      </w:pPr>
    </w:p>
    <w:sectPr w:rsidR="00573A05" w:rsidRPr="00573A05" w:rsidSect="000D5234">
      <w:headerReference w:type="default" r:id="rId17"/>
      <w:type w:val="continuous"/>
      <w:pgSz w:w="16838" w:h="11906" w:orient="landscape" w:code="9"/>
      <w:pgMar w:top="1021" w:right="1021" w:bottom="1021" w:left="102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1A0A7" w14:textId="77777777" w:rsidR="0092369D" w:rsidRDefault="0092369D" w:rsidP="008456D5">
      <w:pPr>
        <w:spacing w:after="0"/>
      </w:pPr>
      <w:r>
        <w:separator/>
      </w:r>
    </w:p>
  </w:endnote>
  <w:endnote w:type="continuationSeparator" w:id="0">
    <w:p w14:paraId="53706B12" w14:textId="77777777" w:rsidR="0092369D" w:rsidRDefault="0092369D" w:rsidP="008456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DF76" w14:textId="77777777" w:rsidR="0092369D" w:rsidRDefault="0092369D" w:rsidP="002B4107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7388" w14:textId="61739867" w:rsidR="0092369D" w:rsidRDefault="00977979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t xml:space="preserve">Noxious </w:t>
    </w:r>
    <w:r w:rsidR="00850B31">
      <w:rPr>
        <w:rFonts w:cs="Segoe UI"/>
        <w:noProof/>
        <w:szCs w:val="18"/>
      </w:rPr>
      <w:t>Emission Limits for Light Vehicles (up to 3.5 tonnes GVM)</w:t>
    </w:r>
    <w:r w:rsidR="0092369D">
      <w:rPr>
        <w:rFonts w:cs="Segoe UI"/>
        <w:szCs w:val="18"/>
      </w:rPr>
      <w:tab/>
    </w:r>
    <w:r w:rsidR="0092369D">
      <w:rPr>
        <w:rFonts w:cs="Segoe UI"/>
        <w:szCs w:val="18"/>
      </w:rPr>
      <w:fldChar w:fldCharType="begin"/>
    </w:r>
    <w:r w:rsidR="0092369D">
      <w:rPr>
        <w:rFonts w:cs="Segoe UI"/>
        <w:szCs w:val="18"/>
      </w:rPr>
      <w:instrText xml:space="preserve"> PAGE  \* Arabic  \* MERGEFORMAT </w:instrText>
    </w:r>
    <w:r w:rsidR="0092369D">
      <w:rPr>
        <w:rFonts w:cs="Segoe UI"/>
        <w:szCs w:val="18"/>
      </w:rPr>
      <w:fldChar w:fldCharType="separate"/>
    </w:r>
    <w:r w:rsidR="0092369D">
      <w:rPr>
        <w:rFonts w:cs="Segoe UI"/>
        <w:szCs w:val="18"/>
      </w:rPr>
      <w:t>1</w:t>
    </w:r>
    <w:r w:rsidR="0092369D">
      <w:rPr>
        <w:rFonts w:cs="Segoe UI"/>
        <w:szCs w:val="18"/>
      </w:rPr>
      <w:fldChar w:fldCharType="end"/>
    </w:r>
  </w:p>
  <w:p w14:paraId="640CF1C2" w14:textId="77777777" w:rsidR="0092369D" w:rsidRDefault="0092369D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1BD42E4A" wp14:editId="36009C62">
          <wp:extent cx="10692000" cy="183240"/>
          <wp:effectExtent l="0" t="0" r="0" b="7620"/>
          <wp:docPr id="38" name="Picture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1D365" w14:textId="6CCCE633" w:rsidR="0092369D" w:rsidRDefault="0092369D" w:rsidP="00FB2245">
    <w:pPr>
      <w:pStyle w:val="Footer"/>
      <w:tabs>
        <w:tab w:val="clear" w:pos="4513"/>
        <w:tab w:val="clear" w:pos="9026"/>
        <w:tab w:val="right" w:pos="14742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7D10C1">
      <w:rPr>
        <w:rFonts w:cs="Segoe UI"/>
        <w:noProof/>
        <w:szCs w:val="18"/>
      </w:rPr>
      <w:t>Noxious Emission Limits for Light Vehicles (up to 3.5 tonnes GVM) at Euro 2 to 6 levels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14:paraId="6C879238" w14:textId="77777777" w:rsidR="0092369D" w:rsidRDefault="0092369D" w:rsidP="00FB2245">
    <w:pPr>
      <w:pStyle w:val="Footer"/>
      <w:spacing w:before="120"/>
      <w:ind w:left="-993"/>
    </w:pPr>
    <w:r>
      <w:rPr>
        <w:noProof/>
        <w:lang w:eastAsia="en-AU"/>
      </w:rPr>
      <w:drawing>
        <wp:inline distT="0" distB="0" distL="0" distR="0" wp14:anchorId="507C2ABA" wp14:editId="467FF437">
          <wp:extent cx="10692000" cy="183240"/>
          <wp:effectExtent l="0" t="0" r="0" b="7620"/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62C1" w14:textId="77777777" w:rsidR="0092369D" w:rsidRPr="005912BE" w:rsidRDefault="0092369D" w:rsidP="005912BE">
      <w:pPr>
        <w:spacing w:before="300"/>
        <w:rPr>
          <w:color w:val="008089" w:themeColor="accent2"/>
        </w:rPr>
      </w:pPr>
      <w:r w:rsidRPr="00BB0CD1">
        <w:rPr>
          <w:color w:val="004044" w:themeColor="accent2" w:themeShade="80"/>
        </w:rPr>
        <w:t>----------</w:t>
      </w:r>
    </w:p>
  </w:footnote>
  <w:footnote w:type="continuationSeparator" w:id="0">
    <w:p w14:paraId="2E26B7BC" w14:textId="77777777" w:rsidR="0092369D" w:rsidRDefault="0092369D" w:rsidP="008456D5">
      <w:pPr>
        <w:spacing w:after="0"/>
      </w:pPr>
      <w:r>
        <w:continuationSeparator/>
      </w:r>
    </w:p>
  </w:footnote>
  <w:footnote w:id="1">
    <w:p w14:paraId="045DB34E" w14:textId="7BB4613D" w:rsidR="0092369D" w:rsidRPr="00DC4F9A" w:rsidRDefault="009236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PI – Positive Ignition (Petrol and LPG), CI – Compression Ignition (Diesel)</w:t>
      </w:r>
    </w:p>
  </w:footnote>
  <w:footnote w:id="2">
    <w:p w14:paraId="35C8C93C" w14:textId="116CAA6F" w:rsidR="0092369D" w:rsidRPr="009E232A" w:rsidRDefault="0092369D" w:rsidP="00AF538C">
      <w:pPr>
        <w:pStyle w:val="Sourcenotes"/>
        <w:spacing w:before="20" w:after="2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14CF">
        <w:t xml:space="preserve">Except Category M vehicles </w:t>
      </w:r>
      <w:r>
        <w:rPr>
          <w:lang w:val="en-US"/>
        </w:rPr>
        <w:t>with a</w:t>
      </w:r>
      <w:r w:rsidRPr="00FD14CF">
        <w:t xml:space="preserve"> maximum mass </w:t>
      </w:r>
      <w:r>
        <w:rPr>
          <w:lang w:val="en-US"/>
        </w:rPr>
        <w:t>over</w:t>
      </w:r>
      <w:r w:rsidRPr="00FD14CF">
        <w:t xml:space="preserve"> 2,500 kg</w:t>
      </w:r>
      <w:r>
        <w:rPr>
          <w:lang w:val="en-US"/>
        </w:rPr>
        <w:t xml:space="preserve"> and</w:t>
      </w:r>
      <w:r w:rsidRPr="00FD14CF">
        <w:t xml:space="preserve"> category M vehicles with more than 6 seats</w:t>
      </w:r>
      <w:r>
        <w:rPr>
          <w:lang w:val="en-US"/>
        </w:rPr>
        <w:t>, which were subject to</w:t>
      </w:r>
      <w:r w:rsidRPr="00FD14CF">
        <w:t xml:space="preserve"> N category</w:t>
      </w:r>
      <w:r>
        <w:rPr>
          <w:lang w:val="en-US"/>
        </w:rPr>
        <w:t xml:space="preserve"> limits.</w:t>
      </w:r>
    </w:p>
  </w:footnote>
  <w:footnote w:id="3">
    <w:p w14:paraId="151377AC" w14:textId="11EDC071" w:rsidR="0092369D" w:rsidRPr="00DC4F9A" w:rsidRDefault="009236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PI – Positive Ignition (Petrol and LPG), CI – Compression Ignition (Diesel)</w:t>
      </w:r>
    </w:p>
  </w:footnote>
  <w:footnote w:id="4">
    <w:p w14:paraId="72DCC1CF" w14:textId="137A1511" w:rsidR="0092369D" w:rsidRPr="009E232A" w:rsidRDefault="0092369D" w:rsidP="005878F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14CF">
        <w:t xml:space="preserve">Except Category M vehicles </w:t>
      </w:r>
      <w:r>
        <w:t>with a</w:t>
      </w:r>
      <w:r w:rsidRPr="00FD14CF">
        <w:t xml:space="preserve"> maximum mass </w:t>
      </w:r>
      <w:r>
        <w:t>over</w:t>
      </w:r>
      <w:r w:rsidRPr="00FD14CF">
        <w:t xml:space="preserve"> 2,500 kg</w:t>
      </w:r>
      <w:r>
        <w:rPr>
          <w:lang w:val="en-US"/>
        </w:rPr>
        <w:t>, which were subject to</w:t>
      </w:r>
      <w:r w:rsidRPr="00FD14CF">
        <w:t xml:space="preserve"> N category</w:t>
      </w:r>
      <w:r>
        <w:rPr>
          <w:lang w:val="en-US"/>
        </w:rPr>
        <w:t xml:space="preserve"> limits.</w:t>
      </w:r>
    </w:p>
  </w:footnote>
  <w:footnote w:id="5">
    <w:p w14:paraId="3198998D" w14:textId="7508F351" w:rsidR="0092369D" w:rsidRPr="00DC4F9A" w:rsidRDefault="009236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PI – Positive Ignition (Petrol and LPG), CI – Compression Ignition (Diesel)</w:t>
      </w:r>
    </w:p>
  </w:footnote>
  <w:footnote w:id="6">
    <w:p w14:paraId="1A041930" w14:textId="4223AA0B" w:rsidR="0092369D" w:rsidRPr="009E232A" w:rsidRDefault="0092369D" w:rsidP="009E232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14CF">
        <w:t xml:space="preserve">Except Category M vehicles </w:t>
      </w:r>
      <w:r>
        <w:t>with a</w:t>
      </w:r>
      <w:r w:rsidRPr="00FD14CF">
        <w:t xml:space="preserve"> maximum mass </w:t>
      </w:r>
      <w:r>
        <w:t>over</w:t>
      </w:r>
      <w:r w:rsidRPr="00FD14CF">
        <w:t xml:space="preserve"> 2,500 kg</w:t>
      </w:r>
      <w:r>
        <w:rPr>
          <w:lang w:val="en-US"/>
        </w:rPr>
        <w:t>, which were subject to</w:t>
      </w:r>
      <w:r w:rsidRPr="00FD14CF">
        <w:t xml:space="preserve"> N category</w:t>
      </w:r>
      <w:r>
        <w:rPr>
          <w:lang w:val="en-US"/>
        </w:rPr>
        <w:t xml:space="preserve"> limits.</w:t>
      </w:r>
    </w:p>
  </w:footnote>
  <w:footnote w:id="7">
    <w:p w14:paraId="5B9BCA7B" w14:textId="77777777" w:rsidR="00AF538C" w:rsidRPr="00DC4F9A" w:rsidRDefault="00AF538C" w:rsidP="00AF538C">
      <w:pPr>
        <w:pStyle w:val="Sourcenotes"/>
      </w:pPr>
      <w:r w:rsidRPr="00DC4F9A">
        <w:rPr>
          <w:vertAlign w:val="superscript"/>
        </w:rPr>
        <w:footnoteRef/>
      </w:r>
      <w:r w:rsidRPr="00DC4F9A">
        <w:rPr>
          <w:vertAlign w:val="superscript"/>
        </w:rPr>
        <w:t xml:space="preserve"> </w:t>
      </w:r>
      <w:r w:rsidRPr="00DC4F9A">
        <w:t>ADR</w:t>
      </w:r>
      <w:r>
        <w:rPr>
          <w:lang w:val="en-US"/>
        </w:rPr>
        <w:t xml:space="preserve"> </w:t>
      </w:r>
      <w:r w:rsidRPr="00DC4F9A">
        <w:t>79/03 require</w:t>
      </w:r>
      <w:r>
        <w:rPr>
          <w:lang w:val="en-US"/>
        </w:rPr>
        <w:t>d</w:t>
      </w:r>
      <w:r w:rsidRPr="00DC4F9A">
        <w:t xml:space="preserve"> compliance with the</w:t>
      </w:r>
      <w:r>
        <w:rPr>
          <w:lang w:val="en-US"/>
        </w:rPr>
        <w:t xml:space="preserve"> </w:t>
      </w:r>
      <w:r w:rsidRPr="00DC4F9A">
        <w:t>“core” Euro 5 technical requirements of UN Regulation 83/06</w:t>
      </w:r>
      <w:r>
        <w:rPr>
          <w:lang w:val="en-US"/>
        </w:rPr>
        <w:t>, but</w:t>
      </w:r>
      <w:r w:rsidRPr="00DC4F9A">
        <w:t>:</w:t>
      </w:r>
    </w:p>
    <w:p w14:paraId="02B3B757" w14:textId="77777777" w:rsidR="00AF538C" w:rsidRPr="00DC4F9A" w:rsidRDefault="00AF538C" w:rsidP="00AF538C">
      <w:pPr>
        <w:pStyle w:val="Sourcenotes"/>
        <w:numPr>
          <w:ilvl w:val="0"/>
          <w:numId w:val="32"/>
        </w:numPr>
      </w:pPr>
      <w:r w:rsidRPr="00DC4F9A">
        <w:t>allow</w:t>
      </w:r>
      <w:r>
        <w:rPr>
          <w:lang w:val="en-US"/>
        </w:rPr>
        <w:t>ed</w:t>
      </w:r>
      <w:r w:rsidRPr="00DC4F9A">
        <w:t xml:space="preserve"> the provision of PM mass emissions data based on the previous UN R83/05 (Annex 4) Type I test procedure (with a PM mass emissions limit of 0.005g/km) in lieu of data collected under the revised test procedure (Annex 4a of UN R83/06) which specifies a limit of 0.0045g/km); </w:t>
      </w:r>
    </w:p>
    <w:p w14:paraId="438D323D" w14:textId="77777777" w:rsidR="00AF538C" w:rsidRPr="00DC4F9A" w:rsidRDefault="00AF538C" w:rsidP="00AF538C">
      <w:pPr>
        <w:pStyle w:val="Sourcenotes"/>
        <w:numPr>
          <w:ilvl w:val="0"/>
          <w:numId w:val="32"/>
        </w:numPr>
      </w:pPr>
      <w:r w:rsidRPr="00DC4F9A">
        <w:t>accept</w:t>
      </w:r>
      <w:r>
        <w:rPr>
          <w:lang w:val="en-US"/>
        </w:rPr>
        <w:t>ed</w:t>
      </w:r>
      <w:r w:rsidRPr="00DC4F9A">
        <w:t xml:space="preserve"> a relaxed OBD threshold limit (80mg/km) for PM mass for M and N category vehicles of reference mass &gt;1760kg; </w:t>
      </w:r>
    </w:p>
    <w:p w14:paraId="1ACD1965" w14:textId="77777777" w:rsidR="00AF538C" w:rsidRPr="00DC4F9A" w:rsidRDefault="00AF538C" w:rsidP="00AF538C">
      <w:pPr>
        <w:pStyle w:val="Sourcenotes"/>
        <w:numPr>
          <w:ilvl w:val="0"/>
          <w:numId w:val="32"/>
        </w:numPr>
      </w:pPr>
      <w:r w:rsidRPr="00DC4F9A">
        <w:t>d</w:t>
      </w:r>
      <w:r>
        <w:rPr>
          <w:lang w:val="en-US"/>
        </w:rPr>
        <w:t>id</w:t>
      </w:r>
      <w:r w:rsidRPr="00DC4F9A">
        <w:t xml:space="preserve"> not require compliance with the PM number limit specified for diesel vehicles in UN R83/06;</w:t>
      </w:r>
    </w:p>
    <w:p w14:paraId="4953E9E5" w14:textId="77777777" w:rsidR="00AF538C" w:rsidRPr="00DC4F9A" w:rsidRDefault="00AF538C" w:rsidP="00AF538C">
      <w:pPr>
        <w:pStyle w:val="Sourcenotes"/>
        <w:numPr>
          <w:ilvl w:val="0"/>
          <w:numId w:val="32"/>
        </w:numPr>
      </w:pPr>
      <w:r w:rsidRPr="00DC4F9A">
        <w:t>d</w:t>
      </w:r>
      <w:r>
        <w:rPr>
          <w:lang w:val="en-US"/>
        </w:rPr>
        <w:t>id</w:t>
      </w:r>
      <w:r w:rsidRPr="00DC4F9A">
        <w:t xml:space="preserve"> not require compliance with the In Use Performance Ratio for OBD systems in UN R83/06;</w:t>
      </w:r>
    </w:p>
    <w:p w14:paraId="3340C47E" w14:textId="77777777" w:rsidR="00AF538C" w:rsidRPr="00DC4F9A" w:rsidRDefault="00AF538C" w:rsidP="00AF538C">
      <w:pPr>
        <w:pStyle w:val="Sourcenotes"/>
        <w:numPr>
          <w:ilvl w:val="0"/>
          <w:numId w:val="32"/>
        </w:numPr>
      </w:pPr>
      <w:r w:rsidRPr="00DC4F9A">
        <w:t>d</w:t>
      </w:r>
      <w:r>
        <w:rPr>
          <w:lang w:val="en-US"/>
        </w:rPr>
        <w:t>id</w:t>
      </w:r>
      <w:r w:rsidRPr="00DC4F9A">
        <w:t xml:space="preserve"> not require the NOx monitoring for petrol vehicles specified in UN R83/06; and </w:t>
      </w:r>
    </w:p>
    <w:p w14:paraId="56BEE87E" w14:textId="77777777" w:rsidR="00AF538C" w:rsidRPr="00DC4F9A" w:rsidRDefault="00AF538C" w:rsidP="00AF538C">
      <w:pPr>
        <w:pStyle w:val="Sourcenotes"/>
        <w:numPr>
          <w:ilvl w:val="0"/>
          <w:numId w:val="32"/>
        </w:numPr>
        <w:rPr>
          <w:lang w:val="en-US"/>
        </w:rPr>
      </w:pPr>
      <w:r w:rsidRPr="00DC4F9A">
        <w:t>only require</w:t>
      </w:r>
      <w:r>
        <w:rPr>
          <w:lang w:val="en-US"/>
        </w:rPr>
        <w:t>d</w:t>
      </w:r>
      <w:r w:rsidRPr="00DC4F9A">
        <w:t xml:space="preserve"> flex fuel vehicles to meet the Type VI </w:t>
      </w:r>
      <w:r>
        <w:rPr>
          <w:lang w:val="en-US"/>
        </w:rPr>
        <w:t xml:space="preserve">(low temperature) </w:t>
      </w:r>
      <w:r w:rsidRPr="00DC4F9A">
        <w:t>test when tested on petrol.</w:t>
      </w:r>
    </w:p>
  </w:footnote>
  <w:footnote w:id="8">
    <w:p w14:paraId="6F0EFD2E" w14:textId="77777777" w:rsidR="00FF2659" w:rsidRPr="00DC4F9A" w:rsidRDefault="00FF2659" w:rsidP="00FF2659">
      <w:pPr>
        <w:pStyle w:val="Sourcenotes"/>
        <w:spacing w:before="20" w:after="20"/>
        <w:rPr>
          <w:lang w:val="en-US"/>
        </w:rPr>
      </w:pPr>
      <w:r>
        <w:rPr>
          <w:rStyle w:val="FootnoteReference"/>
        </w:rPr>
        <w:footnoteRef/>
      </w:r>
      <w:r>
        <w:t xml:space="preserve"> PI – Positive Ignition (Petrol and LPG), CI – Compression Ignition (Diesel)</w:t>
      </w:r>
    </w:p>
  </w:footnote>
  <w:footnote w:id="9">
    <w:p w14:paraId="2D13C7C5" w14:textId="77777777" w:rsidR="00FF2659" w:rsidRPr="008C2C2B" w:rsidRDefault="00FF2659" w:rsidP="00FF2659">
      <w:pPr>
        <w:pStyle w:val="Sourcenotes"/>
        <w:spacing w:before="20" w:after="20"/>
        <w:rPr>
          <w:lang w:val="en-US"/>
        </w:rPr>
      </w:pPr>
      <w:r>
        <w:rPr>
          <w:rStyle w:val="FootnoteReference"/>
        </w:rPr>
        <w:footnoteRef/>
      </w:r>
      <w:r>
        <w:t xml:space="preserve"> Direct injection petrol vehicles only</w:t>
      </w:r>
    </w:p>
  </w:footnote>
  <w:footnote w:id="10">
    <w:p w14:paraId="791CEDD4" w14:textId="77777777" w:rsidR="00FF2659" w:rsidRPr="00FD14CF" w:rsidRDefault="00FF2659" w:rsidP="00B84FEC">
      <w:pPr>
        <w:pStyle w:val="Sourcenotes"/>
        <w:spacing w:before="20" w:after="20"/>
      </w:pPr>
      <w:r>
        <w:rPr>
          <w:rStyle w:val="FootnoteReference"/>
        </w:rPr>
        <w:footnoteRef/>
      </w:r>
      <w:r>
        <w:t xml:space="preserve"> </w:t>
      </w:r>
      <w:r w:rsidRPr="00FD14CF">
        <w:t xml:space="preserve">Except Category M vehicles </w:t>
      </w:r>
      <w:r>
        <w:rPr>
          <w:lang w:val="en-US"/>
        </w:rPr>
        <w:t xml:space="preserve">designated as special social purpose vehicles </w:t>
      </w:r>
    </w:p>
    <w:p w14:paraId="65DCD885" w14:textId="77777777" w:rsidR="00FF2659" w:rsidRPr="00FD1A62" w:rsidRDefault="00FF2659" w:rsidP="00B84FEC">
      <w:pPr>
        <w:pStyle w:val="FootnoteText"/>
        <w:rPr>
          <w:lang w:val="en-US"/>
        </w:rPr>
      </w:pPr>
    </w:p>
  </w:footnote>
  <w:footnote w:id="11">
    <w:p w14:paraId="0B8A001C" w14:textId="7F0C6057" w:rsidR="0092369D" w:rsidRPr="0092369D" w:rsidRDefault="0092369D" w:rsidP="00B101F2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101F2">
        <w:t>ADR 111/00 adopts the Euro 6d laboratory tests for exhaust emissions, evaporative emissions, durability and on-board diagnostics adopted in UN Regulation 154</w:t>
      </w:r>
    </w:p>
  </w:footnote>
  <w:footnote w:id="12">
    <w:p w14:paraId="413B2D93" w14:textId="63590237" w:rsidR="0092369D" w:rsidRPr="0092369D" w:rsidRDefault="0092369D" w:rsidP="00B101F2">
      <w:pPr>
        <w:pStyle w:val="FootnoteText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101F2">
        <w:t>ADR 112/00 adopts the Euro 6d on-road emissions testing requirements adopted in UN Regulation 168</w:t>
      </w:r>
    </w:p>
  </w:footnote>
  <w:footnote w:id="13">
    <w:p w14:paraId="71671C54" w14:textId="2FB3875A" w:rsidR="0092369D" w:rsidRPr="00DC4F9A" w:rsidRDefault="0092369D" w:rsidP="00DC4F9A">
      <w:pPr>
        <w:pStyle w:val="Sourcenotes"/>
        <w:rPr>
          <w:lang w:val="en-US"/>
        </w:rPr>
      </w:pPr>
      <w:r>
        <w:rPr>
          <w:rStyle w:val="FootnoteReference"/>
        </w:rPr>
        <w:footnoteRef/>
      </w:r>
      <w:r>
        <w:t xml:space="preserve"> PI – Positive Ignition (Petrol and LPG), CI – Compression Ignition (Diesel)</w:t>
      </w:r>
    </w:p>
  </w:footnote>
  <w:footnote w:id="14">
    <w:p w14:paraId="027DBA33" w14:textId="3E2EE7CE" w:rsidR="0092369D" w:rsidRPr="008C2C2B" w:rsidRDefault="0092369D" w:rsidP="00DC4F9A">
      <w:pPr>
        <w:pStyle w:val="Sourcenotes"/>
        <w:spacing w:before="20" w:after="20"/>
        <w:rPr>
          <w:lang w:val="en-US"/>
        </w:rPr>
      </w:pPr>
      <w:r>
        <w:rPr>
          <w:rStyle w:val="FootnoteReference"/>
        </w:rPr>
        <w:footnoteRef/>
      </w:r>
      <w:r>
        <w:t xml:space="preserve"> Direct injection petrol vehicles only</w:t>
      </w:r>
    </w:p>
  </w:footnote>
  <w:footnote w:id="15">
    <w:p w14:paraId="2C5CD6AC" w14:textId="3D4FA997" w:rsidR="0092369D" w:rsidRPr="008C2C2B" w:rsidRDefault="0092369D" w:rsidP="00AF538C">
      <w:pPr>
        <w:pStyle w:val="Sourcenotes"/>
        <w:spacing w:before="20" w:after="20"/>
        <w:rPr>
          <w:lang w:val="en-US"/>
        </w:rPr>
      </w:pPr>
      <w:r>
        <w:rPr>
          <w:rStyle w:val="FootnoteReference"/>
        </w:rPr>
        <w:footnoteRef/>
      </w:r>
      <w:r>
        <w:t xml:space="preserve"> Direct injection petrol vehicles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0D0" w14:textId="77777777" w:rsidR="0092369D" w:rsidRDefault="00E51801" w:rsidP="002B4107">
    <w:pPr>
      <w:pStyle w:val="Header"/>
      <w:spacing w:after="1320"/>
    </w:pPr>
    <w:fldSimple w:instr=" STYLEREF  &quot;Heading 1&quot; \l  \* MERGEFORMAT ">
      <w:r w:rsidR="0092369D">
        <w:rPr>
          <w:noProof/>
        </w:rPr>
        <w:t>Heading 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93601" w14:textId="0436B6F7" w:rsidR="0092369D" w:rsidRDefault="00E51801" w:rsidP="00FB2245">
    <w:pPr>
      <w:pStyle w:val="Header"/>
      <w:spacing w:after="480"/>
    </w:pPr>
    <w:fldSimple w:instr=" STYLEREF  &quot;Heading 2&quot;  \* MERGEFORMAT ">
      <w:r w:rsidR="00850B31" w:rsidRPr="00850B31">
        <w:rPr>
          <w:b/>
          <w:bCs/>
          <w:noProof/>
          <w:lang w:val="en-US"/>
        </w:rPr>
        <w:t>Timetable for adoption of Euro noxious emissions standards</w:t>
      </w:r>
      <w:r w:rsidR="00850B31">
        <w:rPr>
          <w:noProof/>
        </w:rPr>
        <w:t xml:space="preserve"> in the ADRs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C3C8E" w14:textId="00164415" w:rsidR="00850B31" w:rsidRDefault="00850B31" w:rsidP="00977979">
    <w:pPr>
      <w:pStyle w:val="Header"/>
      <w:spacing w:after="4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7425C7"/>
    <w:multiLevelType w:val="hybridMultilevel"/>
    <w:tmpl w:val="A6BAA1F8"/>
    <w:lvl w:ilvl="0" w:tplc="6A8A9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E4DEF"/>
    <w:multiLevelType w:val="multilevel"/>
    <w:tmpl w:val="B3C2D10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3AA51938"/>
    <w:multiLevelType w:val="multilevel"/>
    <w:tmpl w:val="298C34E4"/>
    <w:numStyleLink w:val="AppendixNumbers"/>
  </w:abstractNum>
  <w:abstractNum w:abstractNumId="16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9951B80"/>
    <w:multiLevelType w:val="hybridMultilevel"/>
    <w:tmpl w:val="5ABEA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47C24"/>
    <w:multiLevelType w:val="multilevel"/>
    <w:tmpl w:val="B3C2D10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52FA1230"/>
    <w:multiLevelType w:val="hybridMultilevel"/>
    <w:tmpl w:val="FF30A048"/>
    <w:lvl w:ilvl="0" w:tplc="D444B186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0"/>
  </w:num>
  <w:num w:numId="29">
    <w:abstractNumId w:val="14"/>
  </w:num>
  <w:num w:numId="30">
    <w:abstractNumId w:val="19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45"/>
    <w:rsid w:val="0000505E"/>
    <w:rsid w:val="00012B85"/>
    <w:rsid w:val="0001430B"/>
    <w:rsid w:val="00036364"/>
    <w:rsid w:val="00065891"/>
    <w:rsid w:val="00070486"/>
    <w:rsid w:val="00096359"/>
    <w:rsid w:val="000C5567"/>
    <w:rsid w:val="000D5234"/>
    <w:rsid w:val="000D6660"/>
    <w:rsid w:val="000E24BA"/>
    <w:rsid w:val="000E5674"/>
    <w:rsid w:val="0011047D"/>
    <w:rsid w:val="001349C6"/>
    <w:rsid w:val="001856A9"/>
    <w:rsid w:val="001F39F3"/>
    <w:rsid w:val="00203E98"/>
    <w:rsid w:val="002254D5"/>
    <w:rsid w:val="00225671"/>
    <w:rsid w:val="0022611D"/>
    <w:rsid w:val="002424F9"/>
    <w:rsid w:val="002508EC"/>
    <w:rsid w:val="0026422D"/>
    <w:rsid w:val="00284164"/>
    <w:rsid w:val="002B3569"/>
    <w:rsid w:val="002B4107"/>
    <w:rsid w:val="002B7197"/>
    <w:rsid w:val="002E1ADA"/>
    <w:rsid w:val="002E34A7"/>
    <w:rsid w:val="00330271"/>
    <w:rsid w:val="00356DED"/>
    <w:rsid w:val="003720E9"/>
    <w:rsid w:val="003A75DC"/>
    <w:rsid w:val="003C625A"/>
    <w:rsid w:val="003F5221"/>
    <w:rsid w:val="003F775D"/>
    <w:rsid w:val="00420F04"/>
    <w:rsid w:val="00450D0E"/>
    <w:rsid w:val="00477E77"/>
    <w:rsid w:val="004A4A63"/>
    <w:rsid w:val="004B581E"/>
    <w:rsid w:val="004D62D1"/>
    <w:rsid w:val="004E199D"/>
    <w:rsid w:val="00541213"/>
    <w:rsid w:val="00546218"/>
    <w:rsid w:val="00573A05"/>
    <w:rsid w:val="0058341D"/>
    <w:rsid w:val="005878F1"/>
    <w:rsid w:val="005912BE"/>
    <w:rsid w:val="005F794B"/>
    <w:rsid w:val="006A266A"/>
    <w:rsid w:val="006E1ECA"/>
    <w:rsid w:val="00750513"/>
    <w:rsid w:val="0079170F"/>
    <w:rsid w:val="007A05BE"/>
    <w:rsid w:val="007C4361"/>
    <w:rsid w:val="007C53C4"/>
    <w:rsid w:val="007D10C1"/>
    <w:rsid w:val="008067A1"/>
    <w:rsid w:val="008108C6"/>
    <w:rsid w:val="008456D5"/>
    <w:rsid w:val="0084634B"/>
    <w:rsid w:val="0084637E"/>
    <w:rsid w:val="00850B31"/>
    <w:rsid w:val="008523EE"/>
    <w:rsid w:val="008633FE"/>
    <w:rsid w:val="008655C8"/>
    <w:rsid w:val="0087083F"/>
    <w:rsid w:val="008A1887"/>
    <w:rsid w:val="008B6A81"/>
    <w:rsid w:val="008C2C2B"/>
    <w:rsid w:val="008C3033"/>
    <w:rsid w:val="008D388B"/>
    <w:rsid w:val="008E2A0D"/>
    <w:rsid w:val="00913D7C"/>
    <w:rsid w:val="0092369D"/>
    <w:rsid w:val="00957558"/>
    <w:rsid w:val="00977979"/>
    <w:rsid w:val="009B00F2"/>
    <w:rsid w:val="009E232A"/>
    <w:rsid w:val="00A070A2"/>
    <w:rsid w:val="00A164C9"/>
    <w:rsid w:val="00A20A3B"/>
    <w:rsid w:val="00A241C3"/>
    <w:rsid w:val="00A92249"/>
    <w:rsid w:val="00A95970"/>
    <w:rsid w:val="00AD7703"/>
    <w:rsid w:val="00AF538C"/>
    <w:rsid w:val="00B05C09"/>
    <w:rsid w:val="00B0783C"/>
    <w:rsid w:val="00B101F2"/>
    <w:rsid w:val="00B42AC2"/>
    <w:rsid w:val="00B84FEC"/>
    <w:rsid w:val="00BB0CD1"/>
    <w:rsid w:val="00BB3AAC"/>
    <w:rsid w:val="00C6646A"/>
    <w:rsid w:val="00CA51BA"/>
    <w:rsid w:val="00CD233E"/>
    <w:rsid w:val="00CE4EA9"/>
    <w:rsid w:val="00CF0DE2"/>
    <w:rsid w:val="00CF6CFD"/>
    <w:rsid w:val="00D02062"/>
    <w:rsid w:val="00D43C92"/>
    <w:rsid w:val="00D5655E"/>
    <w:rsid w:val="00D626D6"/>
    <w:rsid w:val="00D71395"/>
    <w:rsid w:val="00D835BE"/>
    <w:rsid w:val="00D95B24"/>
    <w:rsid w:val="00DC4F9A"/>
    <w:rsid w:val="00DE4362"/>
    <w:rsid w:val="00DE4FE2"/>
    <w:rsid w:val="00DE7EDE"/>
    <w:rsid w:val="00E04908"/>
    <w:rsid w:val="00E3470A"/>
    <w:rsid w:val="00E374E2"/>
    <w:rsid w:val="00E51801"/>
    <w:rsid w:val="00EC3543"/>
    <w:rsid w:val="00EE741C"/>
    <w:rsid w:val="00F02958"/>
    <w:rsid w:val="00F11869"/>
    <w:rsid w:val="00F1428D"/>
    <w:rsid w:val="00F50D1C"/>
    <w:rsid w:val="00F67CDB"/>
    <w:rsid w:val="00FB2245"/>
    <w:rsid w:val="00FC32B2"/>
    <w:rsid w:val="00FC34AF"/>
    <w:rsid w:val="00FD1A62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E0B3D16"/>
  <w15:chartTrackingRefBased/>
  <w15:docId w15:val="{E8830C56-7664-4F76-98F6-93080729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A05"/>
    <w:pPr>
      <w:suppressAutoHyphens/>
      <w:spacing w:before="0"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083F"/>
    <w:pPr>
      <w:keepNext/>
      <w:keepLines/>
      <w:spacing w:before="24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0CD1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9224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3A75DC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3A75DC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A20A3B"/>
    <w:pPr>
      <w:numPr>
        <w:ilvl w:val="1"/>
      </w:numPr>
      <w:spacing w:before="24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A20A3B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/>
      <w:outlineLvl w:val="1"/>
    </w:pPr>
    <w:rPr>
      <w:b/>
      <w:lang w:val="x-none"/>
    </w:rPr>
  </w:style>
  <w:style w:type="character" w:styleId="Hyperlink">
    <w:name w:val="Hyperlink"/>
    <w:basedOn w:val="DefaultParagraphFont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912BE"/>
    <w:pPr>
      <w:spacing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7083F"/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A20A3B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BB0CD1"/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224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573A05"/>
    <w:pPr>
      <w:spacing w:after="0"/>
    </w:pPr>
    <w:rPr>
      <w:sz w:val="18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7C53C4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7C53C4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7C53C4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12B85"/>
    <w:pPr>
      <w:pBdr>
        <w:left w:val="single" w:sz="48" w:space="22" w:color="4BB3B5"/>
      </w:pBdr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B85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E3470A"/>
    <w:pPr>
      <w:keepLines/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BB0CD1"/>
    <w:pPr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7C53C4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7C53C4"/>
    <w:pPr>
      <w:numPr>
        <w:numId w:val="2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F0DE2"/>
    <w:rPr>
      <w:color w:val="0046FF" w:themeColor="followedHyperlink"/>
      <w:u w:val="single"/>
    </w:rPr>
  </w:style>
  <w:style w:type="character" w:styleId="Strong">
    <w:name w:val="Strong"/>
    <w:uiPriority w:val="22"/>
    <w:qFormat/>
    <w:rsid w:val="00FB2245"/>
    <w:rPr>
      <w:b/>
      <w:bCs/>
    </w:rPr>
  </w:style>
  <w:style w:type="character" w:styleId="EndnoteReference">
    <w:name w:val="endnote reference"/>
    <w:basedOn w:val="DefaultParagraphFont"/>
    <w:rsid w:val="00FB2245"/>
    <w:rPr>
      <w:vertAlign w:val="superscript"/>
    </w:rPr>
  </w:style>
  <w:style w:type="paragraph" w:styleId="EndnoteText">
    <w:name w:val="endnote text"/>
    <w:basedOn w:val="Normal"/>
    <w:link w:val="EndnoteTextChar"/>
    <w:rsid w:val="00FB2245"/>
    <w:pPr>
      <w:suppressAutoHyphens w:val="0"/>
      <w:spacing w:after="0"/>
    </w:pPr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B2245"/>
    <w:rPr>
      <w:rFonts w:ascii="Calibri" w:eastAsia="Times New Roman" w:hAnsi="Calibri" w:cs="Times New Roman"/>
      <w:color w:val="auto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B2245"/>
    <w:pPr>
      <w:suppressAutoHyphens w:val="0"/>
      <w:spacing w:after="0"/>
      <w:ind w:left="720"/>
      <w:contextualSpacing/>
    </w:pPr>
    <w:rPr>
      <w:rFonts w:ascii="Calibri" w:eastAsia="Times New Roman" w:hAnsi="Calibri" w:cs="Times New Roman"/>
      <w:color w:val="auto"/>
      <w:sz w:val="24"/>
      <w:szCs w:val="20"/>
      <w:lang w:eastAsia="en-AU"/>
    </w:rPr>
  </w:style>
  <w:style w:type="paragraph" w:customStyle="1" w:styleId="Confidence">
    <w:name w:val="Confidence"/>
    <w:basedOn w:val="Normal"/>
    <w:next w:val="Normal"/>
    <w:rsid w:val="00A164C9"/>
    <w:pPr>
      <w:suppressAutoHyphens w:val="0"/>
      <w:spacing w:before="360" w:after="120"/>
      <w:jc w:val="center"/>
    </w:pPr>
    <w:rPr>
      <w:rFonts w:ascii="Times New Roman" w:eastAsia="MS Mincho" w:hAnsi="Times New Roman" w:cs="Times New Roman"/>
      <w:color w:val="auto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3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ti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Month Year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D65DAF9CD7E45B0FE536DF851B909" ma:contentTypeVersion="5" ma:contentTypeDescription="Create a new document." ma:contentTypeScope="" ma:versionID="9dd05a4757a4fa939559cff561d1910c">
  <xsd:schema xmlns:xsd="http://www.w3.org/2001/XMLSchema" xmlns:xs="http://www.w3.org/2001/XMLSchema" xmlns:p="http://schemas.microsoft.com/office/2006/metadata/properties" xmlns:ns2="d9273ffb-13bc-4359-86db-ffbd6a6f0068" targetNamespace="http://schemas.microsoft.com/office/2006/metadata/properties" ma:root="true" ma:fieldsID="db3ae60ae12a1840a50299a3fdd1bddc" ns2:_="">
    <xsd:import namespace="d9273ffb-13bc-4359-86db-ffbd6a6f0068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b2ca142b749a4e99973a60fa4596d57f" minOccurs="0"/>
                <xsd:element ref="ns2:TaxCatchAll" minOccurs="0"/>
                <xsd:element ref="ns2:TaxCatchAllLabel" minOccurs="0"/>
                <xsd:element ref="ns2:pcc6eb66bf4b43a8953760b2e81c01a4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73ffb-13bc-4359-86db-ffbd6a6f0068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b2ca142b749a4e99973a60fa4596d57f" ma:index="9" ma:taxonomy="true" ma:internalName="b2ca142b749a4e99973a60fa4596d57f" ma:taxonomyFieldName="Security_x0020_Classification" ma:displayName="Security Classification" ma:readOnly="false" ma:default="1;#OFFICIAL|66ee57a8-59d0-46bc-a5fc-78440ee0cf81" ma:fieldId="{b2ca142b-749a-4e99-973a-60fa4596d57f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54b63f3-8672-4e53-b325-05221e90d34d}" ma:internalName="TaxCatchAll" ma:showField="CatchAllData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54b63f3-8672-4e53-b325-05221e90d34d}" ma:internalName="TaxCatchAllLabel" ma:readOnly="true" ma:showField="CatchAllDataLabel" ma:web="d9273ffb-13bc-4359-86db-ffbd6a6f0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c6eb66bf4b43a8953760b2e81c01a4" ma:index="13" nillable="true" ma:taxonomy="true" ma:internalName="pcc6eb66bf4b43a8953760b2e81c01a4" ma:taxonomyFieldName="Information_x0020_Management_x0020_Marker" ma:displayName="Information Management Marker" ma:default="" ma:fieldId="{9cc6eb66-bf4b-43a8-9537-60b2e81c01a4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3FC63-A7FF-44E6-88ED-7EC89B106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9571C-427C-4C22-95F3-540CA1F93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73ffb-13bc-4359-86db-ffbd6a6f0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9F42F9-3D64-407C-9586-C2147951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 landscape.dotx</Template>
  <TotalTime>1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Noxious Emission Limits for Light Vehicles (up to 3.5 tonnes GVM) at Euro 2 to 6 levels</vt:lpstr>
    </vt:vector>
  </TitlesOfParts>
  <Company>Department of Infrastructure, Transport, Regional Development, Communications and the Arts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Noxious Emission Limits for Light Vehicles (up to 3.5 tonnes GVM) at Euro 2 to 6 levels</dc:title>
  <dc:subject/>
  <dc:creator>Department of Infrastructure, Transport, Regional Development, Communications and the Arts</dc:creator>
  <cp:keywords/>
  <dc:description/>
  <cp:lastModifiedBy>COX Matthew</cp:lastModifiedBy>
  <cp:revision>2</cp:revision>
  <dcterms:created xsi:type="dcterms:W3CDTF">2024-05-23T03:13:00Z</dcterms:created>
  <dcterms:modified xsi:type="dcterms:W3CDTF">2024-05-23T03:13:00Z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0x010100665D65DAF9CD7E45B0FE536DF851B909</vt:lpwstr>
  </property>
</Properties>
</file>