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023D5E">
      <w:pPr>
        <w:spacing w:after="960"/>
      </w:pPr>
      <w:bookmarkStart w:id="0" w:name="_GoBack"/>
      <w:bookmarkEnd w:id="0"/>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rsidR="00B041CB" w:rsidRPr="00B041CB" w:rsidRDefault="00023D5E" w:rsidP="00023D5E">
      <w:pPr>
        <w:pStyle w:val="Heading1"/>
      </w:pPr>
      <w:r>
        <w:t>Mobile Network Hardening Program:</w:t>
      </w:r>
      <w:r w:rsidRPr="00023D5E">
        <w:t xml:space="preserve"> </w:t>
      </w:r>
      <w:r>
        <w:t>Yarramalong Resilience Upgrade</w:t>
      </w:r>
      <w:r>
        <w:br/>
      </w:r>
      <w:r w:rsidRPr="00C836BC">
        <w:t>G</w:t>
      </w:r>
      <w:r>
        <w:t>rant Opportunity G</w:t>
      </w:r>
      <w:r w:rsidRPr="00C836BC">
        <w:t>uidelines</w:t>
      </w: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Details of Grant Opportunity"/>
        <w:tblDescription w:val="Basic details of Grant Opportunity "/>
      </w:tblPr>
      <w:tblGrid>
        <w:gridCol w:w="2977"/>
        <w:gridCol w:w="6404"/>
      </w:tblGrid>
      <w:tr w:rsidR="00D17FAB" w:rsidRPr="00D17FAB" w:rsidTr="008C17DA">
        <w:trPr>
          <w:tblHeader/>
        </w:trPr>
        <w:tc>
          <w:tcPr>
            <w:tcW w:w="2977" w:type="dxa"/>
          </w:tcPr>
          <w:p w:rsidR="00D17FAB" w:rsidRPr="00D17FAB" w:rsidRDefault="00D17FAB" w:rsidP="00D17FAB">
            <w:pPr>
              <w:rPr>
                <w:b/>
                <w:sz w:val="22"/>
                <w:szCs w:val="22"/>
              </w:rPr>
            </w:pPr>
            <w:r w:rsidRPr="00D17FAB">
              <w:rPr>
                <w:b/>
                <w:sz w:val="22"/>
                <w:szCs w:val="22"/>
              </w:rPr>
              <w:t>Commonwealth policy entity:</w:t>
            </w:r>
          </w:p>
        </w:tc>
        <w:tc>
          <w:tcPr>
            <w:tcW w:w="6404" w:type="dxa"/>
            <w:shd w:val="clear" w:color="auto" w:fill="auto"/>
          </w:tcPr>
          <w:p w:rsidR="00D17FAB" w:rsidRPr="00D17FAB" w:rsidRDefault="00D17FAB" w:rsidP="00D17FAB">
            <w:pPr>
              <w:rPr>
                <w:sz w:val="22"/>
                <w:szCs w:val="22"/>
              </w:rPr>
            </w:pPr>
            <w:r w:rsidRPr="00D17FAB">
              <w:rPr>
                <w:sz w:val="22"/>
                <w:szCs w:val="22"/>
              </w:rPr>
              <w:t>Department of Infrastructure, Transport, Regional Development, Communications and the Arts</w:t>
            </w:r>
          </w:p>
        </w:tc>
      </w:tr>
      <w:tr w:rsidR="00D17FAB" w:rsidRPr="00D17FAB" w:rsidTr="008C17DA">
        <w:trPr>
          <w:tblHeader/>
        </w:trPr>
        <w:tc>
          <w:tcPr>
            <w:tcW w:w="2977" w:type="dxa"/>
          </w:tcPr>
          <w:p w:rsidR="00D17FAB" w:rsidRPr="00D17FAB" w:rsidRDefault="00D17FAB" w:rsidP="00D17FAB">
            <w:pPr>
              <w:rPr>
                <w:b/>
                <w:sz w:val="22"/>
                <w:szCs w:val="22"/>
              </w:rPr>
            </w:pPr>
            <w:r w:rsidRPr="00D17FAB">
              <w:rPr>
                <w:b/>
                <w:sz w:val="22"/>
                <w:szCs w:val="22"/>
              </w:rPr>
              <w:t>Enquiries:</w:t>
            </w:r>
          </w:p>
        </w:tc>
        <w:tc>
          <w:tcPr>
            <w:tcW w:w="6404" w:type="dxa"/>
            <w:shd w:val="clear" w:color="auto" w:fill="auto"/>
          </w:tcPr>
          <w:p w:rsidR="00D17FAB" w:rsidRPr="00D17FAB" w:rsidRDefault="00D17FAB" w:rsidP="00D17FAB">
            <w:pPr>
              <w:rPr>
                <w:sz w:val="22"/>
                <w:szCs w:val="22"/>
              </w:rPr>
            </w:pPr>
            <w:r w:rsidRPr="00D17FAB">
              <w:rPr>
                <w:sz w:val="22"/>
                <w:szCs w:val="22"/>
              </w:rPr>
              <w:t xml:space="preserve">If you have any questions, please contact </w:t>
            </w:r>
            <w:hyperlink r:id="rId12" w:history="1">
              <w:r w:rsidRPr="00D17FAB">
                <w:rPr>
                  <w:rStyle w:val="Hyperlink"/>
                  <w:sz w:val="22"/>
                  <w:szCs w:val="22"/>
                </w:rPr>
                <w:t>MBSP@infrastructure.gov.au</w:t>
              </w:r>
            </w:hyperlink>
          </w:p>
          <w:p w:rsidR="00D17FAB" w:rsidRPr="00D17FAB" w:rsidRDefault="00D17FAB" w:rsidP="00D17FAB">
            <w:pPr>
              <w:rPr>
                <w:sz w:val="22"/>
                <w:szCs w:val="22"/>
              </w:rPr>
            </w:pPr>
            <w:r w:rsidRPr="00D17FAB">
              <w:rPr>
                <w:sz w:val="22"/>
                <w:szCs w:val="22"/>
              </w:rPr>
              <w:t>Questions should be sent no later than</w:t>
            </w:r>
            <w:r w:rsidR="0081260E">
              <w:rPr>
                <w:sz w:val="22"/>
                <w:szCs w:val="22"/>
              </w:rPr>
              <w:t xml:space="preserve"> 15</w:t>
            </w:r>
            <w:r w:rsidRPr="00D17FAB">
              <w:rPr>
                <w:sz w:val="22"/>
                <w:szCs w:val="22"/>
              </w:rPr>
              <w:t xml:space="preserve"> November 2023</w:t>
            </w:r>
          </w:p>
        </w:tc>
      </w:tr>
      <w:tr w:rsidR="00D17FAB" w:rsidRPr="00D17FAB" w:rsidTr="008C17DA">
        <w:trPr>
          <w:tblHeader/>
        </w:trPr>
        <w:tc>
          <w:tcPr>
            <w:tcW w:w="2977" w:type="dxa"/>
          </w:tcPr>
          <w:p w:rsidR="00D17FAB" w:rsidRPr="00D17FAB" w:rsidRDefault="00D17FAB" w:rsidP="00D17FAB">
            <w:pPr>
              <w:rPr>
                <w:b/>
                <w:sz w:val="22"/>
                <w:szCs w:val="22"/>
              </w:rPr>
            </w:pPr>
            <w:r w:rsidRPr="00D17FAB">
              <w:rPr>
                <w:b/>
                <w:sz w:val="22"/>
                <w:szCs w:val="22"/>
              </w:rPr>
              <w:t>Date guidelines released:</w:t>
            </w:r>
          </w:p>
        </w:tc>
        <w:tc>
          <w:tcPr>
            <w:tcW w:w="6404" w:type="dxa"/>
            <w:shd w:val="clear" w:color="auto" w:fill="auto"/>
          </w:tcPr>
          <w:p w:rsidR="00D17FAB" w:rsidRPr="00D17FAB" w:rsidRDefault="008C17DA" w:rsidP="00D17FAB">
            <w:pPr>
              <w:rPr>
                <w:sz w:val="22"/>
                <w:szCs w:val="22"/>
              </w:rPr>
            </w:pPr>
            <w:r w:rsidRPr="00D17FAB">
              <w:rPr>
                <w:sz w:val="22"/>
                <w:szCs w:val="22"/>
              </w:rPr>
              <w:t>1 November</w:t>
            </w:r>
            <w:r w:rsidR="00D17FAB" w:rsidRPr="00D17FAB">
              <w:rPr>
                <w:sz w:val="22"/>
                <w:szCs w:val="22"/>
              </w:rPr>
              <w:t xml:space="preserve"> 2023</w:t>
            </w:r>
          </w:p>
        </w:tc>
      </w:tr>
      <w:tr w:rsidR="00D17FAB" w:rsidRPr="00D17FAB" w:rsidTr="008C17DA">
        <w:trPr>
          <w:tblHeader/>
        </w:trPr>
        <w:tc>
          <w:tcPr>
            <w:tcW w:w="2977" w:type="dxa"/>
          </w:tcPr>
          <w:p w:rsidR="00D17FAB" w:rsidRPr="00D17FAB" w:rsidRDefault="00D17FAB" w:rsidP="00D17FAB">
            <w:pPr>
              <w:rPr>
                <w:b/>
                <w:sz w:val="22"/>
                <w:szCs w:val="22"/>
              </w:rPr>
            </w:pPr>
            <w:r w:rsidRPr="00D17FAB">
              <w:rPr>
                <w:b/>
                <w:sz w:val="22"/>
                <w:szCs w:val="22"/>
              </w:rPr>
              <w:t>Date applications close:</w:t>
            </w:r>
          </w:p>
        </w:tc>
        <w:tc>
          <w:tcPr>
            <w:tcW w:w="6404" w:type="dxa"/>
            <w:shd w:val="clear" w:color="auto" w:fill="auto"/>
          </w:tcPr>
          <w:p w:rsidR="00D17FAB" w:rsidRPr="00D17FAB" w:rsidRDefault="008C17DA" w:rsidP="00D17FAB">
            <w:pPr>
              <w:rPr>
                <w:sz w:val="22"/>
                <w:szCs w:val="22"/>
              </w:rPr>
            </w:pPr>
            <w:r>
              <w:rPr>
                <w:sz w:val="22"/>
                <w:szCs w:val="22"/>
              </w:rPr>
              <w:t>29</w:t>
            </w:r>
            <w:r w:rsidR="00D17FAB" w:rsidRPr="00D17FAB">
              <w:rPr>
                <w:sz w:val="22"/>
                <w:szCs w:val="22"/>
              </w:rPr>
              <w:t xml:space="preserve"> November 2023</w:t>
            </w:r>
          </w:p>
        </w:tc>
      </w:tr>
      <w:tr w:rsidR="00D17FAB" w:rsidRPr="00D17FAB" w:rsidTr="008C17DA">
        <w:trPr>
          <w:tblHeader/>
        </w:trPr>
        <w:tc>
          <w:tcPr>
            <w:tcW w:w="2977" w:type="dxa"/>
          </w:tcPr>
          <w:p w:rsidR="00D17FAB" w:rsidRPr="00D17FAB" w:rsidRDefault="00D17FAB" w:rsidP="00D17FAB">
            <w:pPr>
              <w:rPr>
                <w:b/>
                <w:sz w:val="22"/>
                <w:szCs w:val="22"/>
              </w:rPr>
            </w:pPr>
            <w:r w:rsidRPr="00D17FAB">
              <w:rPr>
                <w:b/>
                <w:sz w:val="22"/>
                <w:szCs w:val="22"/>
              </w:rPr>
              <w:t>Type of grant opportunity:</w:t>
            </w:r>
          </w:p>
        </w:tc>
        <w:tc>
          <w:tcPr>
            <w:tcW w:w="6404" w:type="dxa"/>
            <w:shd w:val="clear" w:color="auto" w:fill="auto"/>
          </w:tcPr>
          <w:p w:rsidR="00D17FAB" w:rsidRPr="00D17FAB" w:rsidRDefault="00D17FAB" w:rsidP="00D17FAB">
            <w:pPr>
              <w:rPr>
                <w:sz w:val="22"/>
                <w:szCs w:val="22"/>
              </w:rPr>
            </w:pPr>
            <w:r w:rsidRPr="00D17FAB">
              <w:rPr>
                <w:sz w:val="22"/>
                <w:szCs w:val="22"/>
              </w:rPr>
              <w:t>One-off ad-hoc</w:t>
            </w:r>
          </w:p>
        </w:tc>
      </w:tr>
    </w:tbl>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3803B4" w:rsidRDefault="006E5952">
      <w:pPr>
        <w:pStyle w:val="TOC1"/>
        <w:rPr>
          <w:rFonts w:asciiTheme="minorHAnsi" w:eastAsiaTheme="minorEastAsia" w:hAnsiTheme="minorHAnsi"/>
          <w:b w:val="0"/>
          <w:noProof/>
          <w:color w:val="auto"/>
          <w:lang w:eastAsia="zh-CN"/>
        </w:rPr>
      </w:pPr>
      <w:r>
        <w:fldChar w:fldCharType="begin"/>
      </w:r>
      <w:r>
        <w:instrText xml:space="preserve"> TOC \h \z \t "Heading 2,1,Heading 3,2,Heading 4,3" </w:instrText>
      </w:r>
      <w:r>
        <w:fldChar w:fldCharType="separate"/>
      </w:r>
      <w:hyperlink w:anchor="_Toc149657384" w:history="1">
        <w:r w:rsidR="003803B4" w:rsidRPr="00852D74">
          <w:rPr>
            <w:rStyle w:val="Hyperlink"/>
            <w:noProof/>
          </w:rPr>
          <w:t>1.</w:t>
        </w:r>
        <w:r w:rsidR="003803B4">
          <w:rPr>
            <w:rFonts w:asciiTheme="minorHAnsi" w:eastAsiaTheme="minorEastAsia" w:hAnsiTheme="minorHAnsi"/>
            <w:b w:val="0"/>
            <w:noProof/>
            <w:color w:val="auto"/>
            <w:lang w:eastAsia="zh-CN"/>
          </w:rPr>
          <w:tab/>
        </w:r>
        <w:r w:rsidR="003803B4" w:rsidRPr="00852D74">
          <w:rPr>
            <w:rStyle w:val="Hyperlink"/>
            <w:noProof/>
          </w:rPr>
          <w:t>About the grant</w:t>
        </w:r>
        <w:r w:rsidR="003803B4">
          <w:rPr>
            <w:noProof/>
            <w:webHidden/>
          </w:rPr>
          <w:tab/>
        </w:r>
        <w:r w:rsidR="003803B4">
          <w:rPr>
            <w:noProof/>
            <w:webHidden/>
          </w:rPr>
          <w:fldChar w:fldCharType="begin"/>
        </w:r>
        <w:r w:rsidR="003803B4">
          <w:rPr>
            <w:noProof/>
            <w:webHidden/>
          </w:rPr>
          <w:instrText xml:space="preserve"> PAGEREF _Toc149657384 \h </w:instrText>
        </w:r>
        <w:r w:rsidR="003803B4">
          <w:rPr>
            <w:noProof/>
            <w:webHidden/>
          </w:rPr>
        </w:r>
        <w:r w:rsidR="003803B4">
          <w:rPr>
            <w:noProof/>
            <w:webHidden/>
          </w:rPr>
          <w:fldChar w:fldCharType="separate"/>
        </w:r>
        <w:r w:rsidR="003803B4">
          <w:rPr>
            <w:noProof/>
            <w:webHidden/>
          </w:rPr>
          <w:t>3</w:t>
        </w:r>
        <w:r w:rsidR="003803B4">
          <w:rPr>
            <w:noProof/>
            <w:webHidden/>
          </w:rPr>
          <w:fldChar w:fldCharType="end"/>
        </w:r>
      </w:hyperlink>
    </w:p>
    <w:p w:rsidR="003803B4" w:rsidRDefault="001360DE">
      <w:pPr>
        <w:pStyle w:val="TOC1"/>
        <w:rPr>
          <w:rFonts w:asciiTheme="minorHAnsi" w:eastAsiaTheme="minorEastAsia" w:hAnsiTheme="minorHAnsi"/>
          <w:b w:val="0"/>
          <w:noProof/>
          <w:color w:val="auto"/>
          <w:lang w:eastAsia="zh-CN"/>
        </w:rPr>
      </w:pPr>
      <w:hyperlink w:anchor="_Toc149657385" w:history="1">
        <w:r w:rsidR="003803B4" w:rsidRPr="00852D74">
          <w:rPr>
            <w:rStyle w:val="Hyperlink"/>
            <w:noProof/>
          </w:rPr>
          <w:t>2.</w:t>
        </w:r>
        <w:r w:rsidR="003803B4">
          <w:rPr>
            <w:rFonts w:asciiTheme="minorHAnsi" w:eastAsiaTheme="minorEastAsia" w:hAnsiTheme="minorHAnsi"/>
            <w:b w:val="0"/>
            <w:noProof/>
            <w:color w:val="auto"/>
            <w:lang w:eastAsia="zh-CN"/>
          </w:rPr>
          <w:tab/>
        </w:r>
        <w:r w:rsidR="003803B4" w:rsidRPr="00852D74">
          <w:rPr>
            <w:rStyle w:val="Hyperlink"/>
            <w:noProof/>
          </w:rPr>
          <w:t>Grant amount and grant period</w:t>
        </w:r>
        <w:r w:rsidR="003803B4">
          <w:rPr>
            <w:noProof/>
            <w:webHidden/>
          </w:rPr>
          <w:tab/>
        </w:r>
        <w:r w:rsidR="003803B4">
          <w:rPr>
            <w:noProof/>
            <w:webHidden/>
          </w:rPr>
          <w:fldChar w:fldCharType="begin"/>
        </w:r>
        <w:r w:rsidR="003803B4">
          <w:rPr>
            <w:noProof/>
            <w:webHidden/>
          </w:rPr>
          <w:instrText xml:space="preserve"> PAGEREF _Toc149657385 \h </w:instrText>
        </w:r>
        <w:r w:rsidR="003803B4">
          <w:rPr>
            <w:noProof/>
            <w:webHidden/>
          </w:rPr>
        </w:r>
        <w:r w:rsidR="003803B4">
          <w:rPr>
            <w:noProof/>
            <w:webHidden/>
          </w:rPr>
          <w:fldChar w:fldCharType="separate"/>
        </w:r>
        <w:r w:rsidR="003803B4">
          <w:rPr>
            <w:noProof/>
            <w:webHidden/>
          </w:rPr>
          <w:t>3</w:t>
        </w:r>
        <w:r w:rsidR="003803B4">
          <w:rPr>
            <w:noProof/>
            <w:webHidden/>
          </w:rPr>
          <w:fldChar w:fldCharType="end"/>
        </w:r>
      </w:hyperlink>
    </w:p>
    <w:p w:rsidR="003803B4" w:rsidRDefault="001360DE">
      <w:pPr>
        <w:pStyle w:val="TOC1"/>
        <w:rPr>
          <w:rFonts w:asciiTheme="minorHAnsi" w:eastAsiaTheme="minorEastAsia" w:hAnsiTheme="minorHAnsi"/>
          <w:b w:val="0"/>
          <w:noProof/>
          <w:color w:val="auto"/>
          <w:lang w:eastAsia="zh-CN"/>
        </w:rPr>
      </w:pPr>
      <w:hyperlink w:anchor="_Toc149657386" w:history="1">
        <w:r w:rsidR="003803B4" w:rsidRPr="00852D74">
          <w:rPr>
            <w:rStyle w:val="Hyperlink"/>
            <w:noProof/>
          </w:rPr>
          <w:t>3.</w:t>
        </w:r>
        <w:r w:rsidR="003803B4">
          <w:rPr>
            <w:rFonts w:asciiTheme="minorHAnsi" w:eastAsiaTheme="minorEastAsia" w:hAnsiTheme="minorHAnsi"/>
            <w:b w:val="0"/>
            <w:noProof/>
            <w:color w:val="auto"/>
            <w:lang w:eastAsia="zh-CN"/>
          </w:rPr>
          <w:tab/>
        </w:r>
        <w:r w:rsidR="003803B4" w:rsidRPr="00852D74">
          <w:rPr>
            <w:rStyle w:val="Hyperlink"/>
            <w:noProof/>
          </w:rPr>
          <w:t>The grant selection process</w:t>
        </w:r>
        <w:r w:rsidR="003803B4">
          <w:rPr>
            <w:noProof/>
            <w:webHidden/>
          </w:rPr>
          <w:tab/>
        </w:r>
        <w:r w:rsidR="003803B4">
          <w:rPr>
            <w:noProof/>
            <w:webHidden/>
          </w:rPr>
          <w:fldChar w:fldCharType="begin"/>
        </w:r>
        <w:r w:rsidR="003803B4">
          <w:rPr>
            <w:noProof/>
            <w:webHidden/>
          </w:rPr>
          <w:instrText xml:space="preserve"> PAGEREF _Toc149657386 \h </w:instrText>
        </w:r>
        <w:r w:rsidR="003803B4">
          <w:rPr>
            <w:noProof/>
            <w:webHidden/>
          </w:rPr>
        </w:r>
        <w:r w:rsidR="003803B4">
          <w:rPr>
            <w:noProof/>
            <w:webHidden/>
          </w:rPr>
          <w:fldChar w:fldCharType="separate"/>
        </w:r>
        <w:r w:rsidR="003803B4">
          <w:rPr>
            <w:noProof/>
            <w:webHidden/>
          </w:rPr>
          <w:t>3</w:t>
        </w:r>
        <w:r w:rsidR="003803B4">
          <w:rPr>
            <w:noProof/>
            <w:webHidden/>
          </w:rPr>
          <w:fldChar w:fldCharType="end"/>
        </w:r>
      </w:hyperlink>
    </w:p>
    <w:p w:rsidR="003803B4" w:rsidRDefault="001360DE">
      <w:pPr>
        <w:pStyle w:val="TOC2"/>
        <w:rPr>
          <w:rFonts w:asciiTheme="minorHAnsi" w:eastAsiaTheme="minorEastAsia" w:hAnsiTheme="minorHAnsi"/>
          <w:noProof/>
          <w:sz w:val="22"/>
          <w:lang w:eastAsia="zh-CN"/>
        </w:rPr>
      </w:pPr>
      <w:hyperlink w:anchor="_Toc149657387" w:history="1">
        <w:r w:rsidR="003803B4" w:rsidRPr="00852D74">
          <w:rPr>
            <w:rStyle w:val="Hyperlink"/>
            <w:noProof/>
          </w:rPr>
          <w:t>3.2</w:t>
        </w:r>
        <w:r w:rsidR="003803B4">
          <w:rPr>
            <w:rFonts w:asciiTheme="minorHAnsi" w:eastAsiaTheme="minorEastAsia" w:hAnsiTheme="minorHAnsi"/>
            <w:noProof/>
            <w:sz w:val="22"/>
            <w:lang w:eastAsia="zh-CN"/>
          </w:rPr>
          <w:tab/>
        </w:r>
        <w:r w:rsidR="003803B4" w:rsidRPr="00852D74">
          <w:rPr>
            <w:rStyle w:val="Hyperlink"/>
            <w:noProof/>
          </w:rPr>
          <w:t>Eligible grant activities</w:t>
        </w:r>
        <w:r w:rsidR="003803B4">
          <w:rPr>
            <w:noProof/>
            <w:webHidden/>
          </w:rPr>
          <w:tab/>
        </w:r>
        <w:r w:rsidR="003803B4">
          <w:rPr>
            <w:noProof/>
            <w:webHidden/>
          </w:rPr>
          <w:fldChar w:fldCharType="begin"/>
        </w:r>
        <w:r w:rsidR="003803B4">
          <w:rPr>
            <w:noProof/>
            <w:webHidden/>
          </w:rPr>
          <w:instrText xml:space="preserve"> PAGEREF _Toc149657387 \h </w:instrText>
        </w:r>
        <w:r w:rsidR="003803B4">
          <w:rPr>
            <w:noProof/>
            <w:webHidden/>
          </w:rPr>
        </w:r>
        <w:r w:rsidR="003803B4">
          <w:rPr>
            <w:noProof/>
            <w:webHidden/>
          </w:rPr>
          <w:fldChar w:fldCharType="separate"/>
        </w:r>
        <w:r w:rsidR="003803B4">
          <w:rPr>
            <w:noProof/>
            <w:webHidden/>
          </w:rPr>
          <w:t>4</w:t>
        </w:r>
        <w:r w:rsidR="003803B4">
          <w:rPr>
            <w:noProof/>
            <w:webHidden/>
          </w:rPr>
          <w:fldChar w:fldCharType="end"/>
        </w:r>
      </w:hyperlink>
    </w:p>
    <w:p w:rsidR="003803B4" w:rsidRDefault="001360DE">
      <w:pPr>
        <w:pStyle w:val="TOC2"/>
        <w:rPr>
          <w:rFonts w:asciiTheme="minorHAnsi" w:eastAsiaTheme="minorEastAsia" w:hAnsiTheme="minorHAnsi"/>
          <w:noProof/>
          <w:sz w:val="22"/>
          <w:lang w:eastAsia="zh-CN"/>
        </w:rPr>
      </w:pPr>
      <w:hyperlink w:anchor="_Toc149657388" w:history="1">
        <w:r w:rsidR="003803B4" w:rsidRPr="00852D74">
          <w:rPr>
            <w:rStyle w:val="Hyperlink"/>
            <w:noProof/>
          </w:rPr>
          <w:t>3.3</w:t>
        </w:r>
        <w:r w:rsidR="003803B4">
          <w:rPr>
            <w:rFonts w:asciiTheme="minorHAnsi" w:eastAsiaTheme="minorEastAsia" w:hAnsiTheme="minorHAnsi"/>
            <w:noProof/>
            <w:sz w:val="22"/>
            <w:lang w:eastAsia="zh-CN"/>
          </w:rPr>
          <w:tab/>
        </w:r>
        <w:r w:rsidR="003803B4" w:rsidRPr="00852D74">
          <w:rPr>
            <w:rStyle w:val="Hyperlink"/>
            <w:noProof/>
          </w:rPr>
          <w:t>Ineligible grant activities</w:t>
        </w:r>
        <w:r w:rsidR="003803B4">
          <w:rPr>
            <w:noProof/>
            <w:webHidden/>
          </w:rPr>
          <w:tab/>
        </w:r>
        <w:r w:rsidR="003803B4">
          <w:rPr>
            <w:noProof/>
            <w:webHidden/>
          </w:rPr>
          <w:fldChar w:fldCharType="begin"/>
        </w:r>
        <w:r w:rsidR="003803B4">
          <w:rPr>
            <w:noProof/>
            <w:webHidden/>
          </w:rPr>
          <w:instrText xml:space="preserve"> PAGEREF _Toc149657388 \h </w:instrText>
        </w:r>
        <w:r w:rsidR="003803B4">
          <w:rPr>
            <w:noProof/>
            <w:webHidden/>
          </w:rPr>
        </w:r>
        <w:r w:rsidR="003803B4">
          <w:rPr>
            <w:noProof/>
            <w:webHidden/>
          </w:rPr>
          <w:fldChar w:fldCharType="separate"/>
        </w:r>
        <w:r w:rsidR="003803B4">
          <w:rPr>
            <w:noProof/>
            <w:webHidden/>
          </w:rPr>
          <w:t>4</w:t>
        </w:r>
        <w:r w:rsidR="003803B4">
          <w:rPr>
            <w:noProof/>
            <w:webHidden/>
          </w:rPr>
          <w:fldChar w:fldCharType="end"/>
        </w:r>
      </w:hyperlink>
    </w:p>
    <w:p w:rsidR="003803B4" w:rsidRDefault="001360DE">
      <w:pPr>
        <w:pStyle w:val="TOC2"/>
        <w:rPr>
          <w:rFonts w:asciiTheme="minorHAnsi" w:eastAsiaTheme="minorEastAsia" w:hAnsiTheme="minorHAnsi"/>
          <w:noProof/>
          <w:sz w:val="22"/>
          <w:lang w:eastAsia="zh-CN"/>
        </w:rPr>
      </w:pPr>
      <w:hyperlink w:anchor="_Toc149657389" w:history="1">
        <w:r w:rsidR="003803B4" w:rsidRPr="00852D74">
          <w:rPr>
            <w:rStyle w:val="Hyperlink"/>
            <w:noProof/>
          </w:rPr>
          <w:t>3.4</w:t>
        </w:r>
        <w:r w:rsidR="003803B4">
          <w:rPr>
            <w:rFonts w:asciiTheme="minorHAnsi" w:eastAsiaTheme="minorEastAsia" w:hAnsiTheme="minorHAnsi"/>
            <w:noProof/>
            <w:sz w:val="22"/>
            <w:lang w:eastAsia="zh-CN"/>
          </w:rPr>
          <w:tab/>
        </w:r>
        <w:r w:rsidR="003803B4" w:rsidRPr="00852D74">
          <w:rPr>
            <w:rStyle w:val="Hyperlink"/>
            <w:noProof/>
          </w:rPr>
          <w:t>Grant assessment</w:t>
        </w:r>
        <w:r w:rsidR="003803B4">
          <w:rPr>
            <w:noProof/>
            <w:webHidden/>
          </w:rPr>
          <w:tab/>
        </w:r>
        <w:r w:rsidR="003803B4">
          <w:rPr>
            <w:noProof/>
            <w:webHidden/>
          </w:rPr>
          <w:fldChar w:fldCharType="begin"/>
        </w:r>
        <w:r w:rsidR="003803B4">
          <w:rPr>
            <w:noProof/>
            <w:webHidden/>
          </w:rPr>
          <w:instrText xml:space="preserve"> PAGEREF _Toc149657389 \h </w:instrText>
        </w:r>
        <w:r w:rsidR="003803B4">
          <w:rPr>
            <w:noProof/>
            <w:webHidden/>
          </w:rPr>
        </w:r>
        <w:r w:rsidR="003803B4">
          <w:rPr>
            <w:noProof/>
            <w:webHidden/>
          </w:rPr>
          <w:fldChar w:fldCharType="separate"/>
        </w:r>
        <w:r w:rsidR="003803B4">
          <w:rPr>
            <w:noProof/>
            <w:webHidden/>
          </w:rPr>
          <w:t>4</w:t>
        </w:r>
        <w:r w:rsidR="003803B4">
          <w:rPr>
            <w:noProof/>
            <w:webHidden/>
          </w:rPr>
          <w:fldChar w:fldCharType="end"/>
        </w:r>
      </w:hyperlink>
    </w:p>
    <w:p w:rsidR="003803B4" w:rsidRDefault="001360DE">
      <w:pPr>
        <w:pStyle w:val="TOC1"/>
        <w:rPr>
          <w:rFonts w:asciiTheme="minorHAnsi" w:eastAsiaTheme="minorEastAsia" w:hAnsiTheme="minorHAnsi"/>
          <w:b w:val="0"/>
          <w:noProof/>
          <w:color w:val="auto"/>
          <w:lang w:eastAsia="zh-CN"/>
        </w:rPr>
      </w:pPr>
      <w:hyperlink w:anchor="_Toc149657390" w:history="1">
        <w:r w:rsidR="003803B4" w:rsidRPr="00852D74">
          <w:rPr>
            <w:rStyle w:val="Hyperlink"/>
            <w:noProof/>
          </w:rPr>
          <w:t>4.</w:t>
        </w:r>
        <w:r w:rsidR="003803B4">
          <w:rPr>
            <w:rFonts w:asciiTheme="minorHAnsi" w:eastAsiaTheme="minorEastAsia" w:hAnsiTheme="minorHAnsi"/>
            <w:b w:val="0"/>
            <w:noProof/>
            <w:color w:val="auto"/>
            <w:lang w:eastAsia="zh-CN"/>
          </w:rPr>
          <w:tab/>
        </w:r>
        <w:r w:rsidR="003803B4" w:rsidRPr="00852D74">
          <w:rPr>
            <w:rStyle w:val="Hyperlink"/>
            <w:noProof/>
          </w:rPr>
          <w:t>Who will approve the grant?</w:t>
        </w:r>
        <w:r w:rsidR="003803B4">
          <w:rPr>
            <w:noProof/>
            <w:webHidden/>
          </w:rPr>
          <w:tab/>
        </w:r>
        <w:r w:rsidR="003803B4">
          <w:rPr>
            <w:noProof/>
            <w:webHidden/>
          </w:rPr>
          <w:fldChar w:fldCharType="begin"/>
        </w:r>
        <w:r w:rsidR="003803B4">
          <w:rPr>
            <w:noProof/>
            <w:webHidden/>
          </w:rPr>
          <w:instrText xml:space="preserve"> PAGEREF _Toc149657390 \h </w:instrText>
        </w:r>
        <w:r w:rsidR="003803B4">
          <w:rPr>
            <w:noProof/>
            <w:webHidden/>
          </w:rPr>
        </w:r>
        <w:r w:rsidR="003803B4">
          <w:rPr>
            <w:noProof/>
            <w:webHidden/>
          </w:rPr>
          <w:fldChar w:fldCharType="separate"/>
        </w:r>
        <w:r w:rsidR="003803B4">
          <w:rPr>
            <w:noProof/>
            <w:webHidden/>
          </w:rPr>
          <w:t>5</w:t>
        </w:r>
        <w:r w:rsidR="003803B4">
          <w:rPr>
            <w:noProof/>
            <w:webHidden/>
          </w:rPr>
          <w:fldChar w:fldCharType="end"/>
        </w:r>
      </w:hyperlink>
    </w:p>
    <w:p w:rsidR="003803B4" w:rsidRDefault="001360DE">
      <w:pPr>
        <w:pStyle w:val="TOC1"/>
        <w:rPr>
          <w:rFonts w:asciiTheme="minorHAnsi" w:eastAsiaTheme="minorEastAsia" w:hAnsiTheme="minorHAnsi"/>
          <w:b w:val="0"/>
          <w:noProof/>
          <w:color w:val="auto"/>
          <w:lang w:eastAsia="zh-CN"/>
        </w:rPr>
      </w:pPr>
      <w:hyperlink w:anchor="_Toc149657391" w:history="1">
        <w:r w:rsidR="003803B4" w:rsidRPr="00852D74">
          <w:rPr>
            <w:rStyle w:val="Hyperlink"/>
            <w:noProof/>
          </w:rPr>
          <w:t>5.</w:t>
        </w:r>
        <w:r w:rsidR="003803B4">
          <w:rPr>
            <w:rFonts w:asciiTheme="minorHAnsi" w:eastAsiaTheme="minorEastAsia" w:hAnsiTheme="minorHAnsi"/>
            <w:b w:val="0"/>
            <w:noProof/>
            <w:color w:val="auto"/>
            <w:lang w:eastAsia="zh-CN"/>
          </w:rPr>
          <w:tab/>
        </w:r>
        <w:r w:rsidR="003803B4" w:rsidRPr="00852D74">
          <w:rPr>
            <w:rStyle w:val="Hyperlink"/>
            <w:noProof/>
          </w:rPr>
          <w:t>Notification of the grant</w:t>
        </w:r>
        <w:r w:rsidR="003803B4">
          <w:rPr>
            <w:noProof/>
            <w:webHidden/>
          </w:rPr>
          <w:tab/>
        </w:r>
        <w:r w:rsidR="003803B4">
          <w:rPr>
            <w:noProof/>
            <w:webHidden/>
          </w:rPr>
          <w:fldChar w:fldCharType="begin"/>
        </w:r>
        <w:r w:rsidR="003803B4">
          <w:rPr>
            <w:noProof/>
            <w:webHidden/>
          </w:rPr>
          <w:instrText xml:space="preserve"> PAGEREF _Toc149657391 \h </w:instrText>
        </w:r>
        <w:r w:rsidR="003803B4">
          <w:rPr>
            <w:noProof/>
            <w:webHidden/>
          </w:rPr>
        </w:r>
        <w:r w:rsidR="003803B4">
          <w:rPr>
            <w:noProof/>
            <w:webHidden/>
          </w:rPr>
          <w:fldChar w:fldCharType="separate"/>
        </w:r>
        <w:r w:rsidR="003803B4">
          <w:rPr>
            <w:noProof/>
            <w:webHidden/>
          </w:rPr>
          <w:t>6</w:t>
        </w:r>
        <w:r w:rsidR="003803B4">
          <w:rPr>
            <w:noProof/>
            <w:webHidden/>
          </w:rPr>
          <w:fldChar w:fldCharType="end"/>
        </w:r>
      </w:hyperlink>
    </w:p>
    <w:p w:rsidR="003803B4" w:rsidRDefault="001360DE">
      <w:pPr>
        <w:pStyle w:val="TOC2"/>
        <w:rPr>
          <w:rFonts w:asciiTheme="minorHAnsi" w:eastAsiaTheme="minorEastAsia" w:hAnsiTheme="minorHAnsi"/>
          <w:noProof/>
          <w:sz w:val="22"/>
          <w:lang w:eastAsia="zh-CN"/>
        </w:rPr>
      </w:pPr>
      <w:hyperlink w:anchor="_Toc149657392" w:history="1">
        <w:r w:rsidR="003803B4" w:rsidRPr="00852D74">
          <w:rPr>
            <w:rStyle w:val="Hyperlink"/>
            <w:noProof/>
          </w:rPr>
          <w:t>5.2</w:t>
        </w:r>
        <w:r w:rsidR="003803B4">
          <w:rPr>
            <w:rFonts w:asciiTheme="minorHAnsi" w:eastAsiaTheme="minorEastAsia" w:hAnsiTheme="minorHAnsi"/>
            <w:noProof/>
            <w:sz w:val="22"/>
            <w:lang w:eastAsia="zh-CN"/>
          </w:rPr>
          <w:tab/>
        </w:r>
        <w:r w:rsidR="003803B4" w:rsidRPr="00852D74">
          <w:rPr>
            <w:rStyle w:val="Hyperlink"/>
            <w:noProof/>
          </w:rPr>
          <w:t>The grant agreement/Payment of the grant</w:t>
        </w:r>
        <w:r w:rsidR="003803B4">
          <w:rPr>
            <w:noProof/>
            <w:webHidden/>
          </w:rPr>
          <w:tab/>
        </w:r>
        <w:r w:rsidR="003803B4">
          <w:rPr>
            <w:noProof/>
            <w:webHidden/>
          </w:rPr>
          <w:fldChar w:fldCharType="begin"/>
        </w:r>
        <w:r w:rsidR="003803B4">
          <w:rPr>
            <w:noProof/>
            <w:webHidden/>
          </w:rPr>
          <w:instrText xml:space="preserve"> PAGEREF _Toc149657392 \h </w:instrText>
        </w:r>
        <w:r w:rsidR="003803B4">
          <w:rPr>
            <w:noProof/>
            <w:webHidden/>
          </w:rPr>
        </w:r>
        <w:r w:rsidR="003803B4">
          <w:rPr>
            <w:noProof/>
            <w:webHidden/>
          </w:rPr>
          <w:fldChar w:fldCharType="separate"/>
        </w:r>
        <w:r w:rsidR="003803B4">
          <w:rPr>
            <w:noProof/>
            <w:webHidden/>
          </w:rPr>
          <w:t>6</w:t>
        </w:r>
        <w:r w:rsidR="003803B4">
          <w:rPr>
            <w:noProof/>
            <w:webHidden/>
          </w:rPr>
          <w:fldChar w:fldCharType="end"/>
        </w:r>
      </w:hyperlink>
    </w:p>
    <w:p w:rsidR="003803B4" w:rsidRDefault="001360DE">
      <w:pPr>
        <w:pStyle w:val="TOC2"/>
        <w:rPr>
          <w:rFonts w:asciiTheme="minorHAnsi" w:eastAsiaTheme="minorEastAsia" w:hAnsiTheme="minorHAnsi"/>
          <w:noProof/>
          <w:sz w:val="22"/>
          <w:lang w:eastAsia="zh-CN"/>
        </w:rPr>
      </w:pPr>
      <w:hyperlink w:anchor="_Toc149657393" w:history="1">
        <w:r w:rsidR="003803B4" w:rsidRPr="00852D74">
          <w:rPr>
            <w:rStyle w:val="Hyperlink"/>
            <w:noProof/>
          </w:rPr>
          <w:t>5.3</w:t>
        </w:r>
        <w:r w:rsidR="003803B4">
          <w:rPr>
            <w:rFonts w:asciiTheme="minorHAnsi" w:eastAsiaTheme="minorEastAsia" w:hAnsiTheme="minorHAnsi"/>
            <w:noProof/>
            <w:sz w:val="22"/>
            <w:lang w:eastAsia="zh-CN"/>
          </w:rPr>
          <w:tab/>
        </w:r>
        <w:r w:rsidR="003803B4" w:rsidRPr="00852D74">
          <w:rPr>
            <w:rStyle w:val="Hyperlink"/>
            <w:noProof/>
          </w:rPr>
          <w:t>Grant acquittal and reporting</w:t>
        </w:r>
        <w:r w:rsidR="003803B4">
          <w:rPr>
            <w:noProof/>
            <w:webHidden/>
          </w:rPr>
          <w:tab/>
        </w:r>
        <w:r w:rsidR="003803B4">
          <w:rPr>
            <w:noProof/>
            <w:webHidden/>
          </w:rPr>
          <w:fldChar w:fldCharType="begin"/>
        </w:r>
        <w:r w:rsidR="003803B4">
          <w:rPr>
            <w:noProof/>
            <w:webHidden/>
          </w:rPr>
          <w:instrText xml:space="preserve"> PAGEREF _Toc149657393 \h </w:instrText>
        </w:r>
        <w:r w:rsidR="003803B4">
          <w:rPr>
            <w:noProof/>
            <w:webHidden/>
          </w:rPr>
        </w:r>
        <w:r w:rsidR="003803B4">
          <w:rPr>
            <w:noProof/>
            <w:webHidden/>
          </w:rPr>
          <w:fldChar w:fldCharType="separate"/>
        </w:r>
        <w:r w:rsidR="003803B4">
          <w:rPr>
            <w:noProof/>
            <w:webHidden/>
          </w:rPr>
          <w:t>6</w:t>
        </w:r>
        <w:r w:rsidR="003803B4">
          <w:rPr>
            <w:noProof/>
            <w:webHidden/>
          </w:rPr>
          <w:fldChar w:fldCharType="end"/>
        </w:r>
      </w:hyperlink>
    </w:p>
    <w:p w:rsidR="003803B4" w:rsidRDefault="001360DE">
      <w:pPr>
        <w:pStyle w:val="TOC1"/>
        <w:rPr>
          <w:rFonts w:asciiTheme="minorHAnsi" w:eastAsiaTheme="minorEastAsia" w:hAnsiTheme="minorHAnsi"/>
          <w:b w:val="0"/>
          <w:noProof/>
          <w:color w:val="auto"/>
          <w:lang w:eastAsia="zh-CN"/>
        </w:rPr>
      </w:pPr>
      <w:hyperlink w:anchor="_Toc149657394" w:history="1">
        <w:r w:rsidR="003803B4" w:rsidRPr="00852D74">
          <w:rPr>
            <w:rStyle w:val="Hyperlink"/>
            <w:noProof/>
          </w:rPr>
          <w:t>6.</w:t>
        </w:r>
        <w:r w:rsidR="003803B4">
          <w:rPr>
            <w:rFonts w:asciiTheme="minorHAnsi" w:eastAsiaTheme="minorEastAsia" w:hAnsiTheme="minorHAnsi"/>
            <w:b w:val="0"/>
            <w:noProof/>
            <w:color w:val="auto"/>
            <w:lang w:eastAsia="zh-CN"/>
          </w:rPr>
          <w:tab/>
        </w:r>
        <w:r w:rsidR="003803B4" w:rsidRPr="00852D74">
          <w:rPr>
            <w:rStyle w:val="Hyperlink"/>
            <w:noProof/>
          </w:rPr>
          <w:t>Announcement of the grant</w:t>
        </w:r>
        <w:r w:rsidR="003803B4">
          <w:rPr>
            <w:noProof/>
            <w:webHidden/>
          </w:rPr>
          <w:tab/>
        </w:r>
        <w:r w:rsidR="003803B4">
          <w:rPr>
            <w:noProof/>
            <w:webHidden/>
          </w:rPr>
          <w:fldChar w:fldCharType="begin"/>
        </w:r>
        <w:r w:rsidR="003803B4">
          <w:rPr>
            <w:noProof/>
            <w:webHidden/>
          </w:rPr>
          <w:instrText xml:space="preserve"> PAGEREF _Toc149657394 \h </w:instrText>
        </w:r>
        <w:r w:rsidR="003803B4">
          <w:rPr>
            <w:noProof/>
            <w:webHidden/>
          </w:rPr>
        </w:r>
        <w:r w:rsidR="003803B4">
          <w:rPr>
            <w:noProof/>
            <w:webHidden/>
          </w:rPr>
          <w:fldChar w:fldCharType="separate"/>
        </w:r>
        <w:r w:rsidR="003803B4">
          <w:rPr>
            <w:noProof/>
            <w:webHidden/>
          </w:rPr>
          <w:t>6</w:t>
        </w:r>
        <w:r w:rsidR="003803B4">
          <w:rPr>
            <w:noProof/>
            <w:webHidden/>
          </w:rPr>
          <w:fldChar w:fldCharType="end"/>
        </w:r>
      </w:hyperlink>
    </w:p>
    <w:p w:rsidR="003803B4" w:rsidRDefault="001360DE">
      <w:pPr>
        <w:pStyle w:val="TOC1"/>
        <w:rPr>
          <w:rFonts w:asciiTheme="minorHAnsi" w:eastAsiaTheme="minorEastAsia" w:hAnsiTheme="minorHAnsi"/>
          <w:b w:val="0"/>
          <w:noProof/>
          <w:color w:val="auto"/>
          <w:lang w:eastAsia="zh-CN"/>
        </w:rPr>
      </w:pPr>
      <w:hyperlink w:anchor="_Toc149657395" w:history="1">
        <w:r w:rsidR="003803B4" w:rsidRPr="00852D74">
          <w:rPr>
            <w:rStyle w:val="Hyperlink"/>
            <w:noProof/>
          </w:rPr>
          <w:t>7.</w:t>
        </w:r>
        <w:r w:rsidR="003803B4">
          <w:rPr>
            <w:rFonts w:asciiTheme="minorHAnsi" w:eastAsiaTheme="minorEastAsia" w:hAnsiTheme="minorHAnsi"/>
            <w:b w:val="0"/>
            <w:noProof/>
            <w:color w:val="auto"/>
            <w:lang w:eastAsia="zh-CN"/>
          </w:rPr>
          <w:tab/>
        </w:r>
        <w:r w:rsidR="003803B4" w:rsidRPr="00852D74">
          <w:rPr>
            <w:rStyle w:val="Hyperlink"/>
            <w:noProof/>
          </w:rPr>
          <w:t>Grant evaluation</w:t>
        </w:r>
        <w:r w:rsidR="003803B4">
          <w:rPr>
            <w:noProof/>
            <w:webHidden/>
          </w:rPr>
          <w:tab/>
        </w:r>
        <w:r w:rsidR="003803B4">
          <w:rPr>
            <w:noProof/>
            <w:webHidden/>
          </w:rPr>
          <w:fldChar w:fldCharType="begin"/>
        </w:r>
        <w:r w:rsidR="003803B4">
          <w:rPr>
            <w:noProof/>
            <w:webHidden/>
          </w:rPr>
          <w:instrText xml:space="preserve"> PAGEREF _Toc149657395 \h </w:instrText>
        </w:r>
        <w:r w:rsidR="003803B4">
          <w:rPr>
            <w:noProof/>
            <w:webHidden/>
          </w:rPr>
        </w:r>
        <w:r w:rsidR="003803B4">
          <w:rPr>
            <w:noProof/>
            <w:webHidden/>
          </w:rPr>
          <w:fldChar w:fldCharType="separate"/>
        </w:r>
        <w:r w:rsidR="003803B4">
          <w:rPr>
            <w:noProof/>
            <w:webHidden/>
          </w:rPr>
          <w:t>6</w:t>
        </w:r>
        <w:r w:rsidR="003803B4">
          <w:rPr>
            <w:noProof/>
            <w:webHidden/>
          </w:rPr>
          <w:fldChar w:fldCharType="end"/>
        </w:r>
      </w:hyperlink>
    </w:p>
    <w:p w:rsidR="00BF5FA4" w:rsidRPr="005F794B" w:rsidRDefault="006E5952" w:rsidP="00E40643">
      <w:pPr>
        <w:suppressAutoHyphens/>
        <w:rPr>
          <w:lang w:val="x-none"/>
        </w:rPr>
      </w:pPr>
      <w:r>
        <w:rPr>
          <w:b/>
          <w:color w:val="000000" w:themeColor="text1"/>
          <w:u w:val="single" w:color="4BB3B5"/>
        </w:rPr>
        <w:fldChar w:fldCharType="end"/>
      </w:r>
    </w:p>
    <w:p w:rsidR="00796AB4" w:rsidRDefault="00796AB4">
      <w:pPr>
        <w:spacing w:line="259" w:lineRule="auto"/>
        <w:sectPr w:rsidR="00796AB4" w:rsidSect="000E29BE">
          <w:footerReference w:type="default" r:id="rId13"/>
          <w:type w:val="continuous"/>
          <w:pgSz w:w="11906" w:h="16838"/>
          <w:pgMar w:top="1276" w:right="991" w:bottom="1276" w:left="1440" w:header="567" w:footer="0" w:gutter="0"/>
          <w:cols w:space="708"/>
          <w:titlePg/>
          <w:docGrid w:linePitch="360"/>
        </w:sectPr>
      </w:pPr>
    </w:p>
    <w:p w:rsidR="00D17FAB" w:rsidRPr="00EC3385" w:rsidRDefault="00D17FAB" w:rsidP="00743554">
      <w:pPr>
        <w:pStyle w:val="Heading2"/>
      </w:pPr>
      <w:bookmarkStart w:id="1" w:name="_Toc119075804"/>
      <w:bookmarkStart w:id="2" w:name="_Toc149657384"/>
      <w:r w:rsidRPr="00EC3385">
        <w:lastRenderedPageBreak/>
        <w:t>About the grant</w:t>
      </w:r>
      <w:bookmarkEnd w:id="1"/>
      <w:bookmarkEnd w:id="2"/>
    </w:p>
    <w:p w:rsidR="00BC1652" w:rsidRPr="009B1DF0" w:rsidRDefault="00BC1652" w:rsidP="00BC1652">
      <w:pPr>
        <w:pStyle w:val="ListParagraph"/>
        <w:numPr>
          <w:ilvl w:val="2"/>
          <w:numId w:val="20"/>
        </w:numPr>
        <w:spacing w:after="120" w:line="276" w:lineRule="auto"/>
        <w:contextualSpacing w:val="0"/>
        <w:rPr>
          <w:rFonts w:asciiTheme="minorHAnsi" w:hAnsiTheme="minorHAnsi" w:cstheme="minorHAnsi"/>
        </w:rPr>
      </w:pPr>
      <w:bookmarkStart w:id="3" w:name="_Toc421777592"/>
      <w:bookmarkStart w:id="4" w:name="_Ref421785111"/>
      <w:r>
        <w:rPr>
          <w:rFonts w:asciiTheme="minorHAnsi" w:hAnsiTheme="minorHAnsi" w:cstheme="minorHAnsi"/>
        </w:rPr>
        <w:t>During the 2022 Federal Election, the Australian Government committed up to $140,000 (GST exclusive)</w:t>
      </w:r>
      <w:r w:rsidRPr="009B1DF0">
        <w:rPr>
          <w:rFonts w:asciiTheme="minorHAnsi" w:hAnsiTheme="minorHAnsi" w:cstheme="minorHAnsi"/>
        </w:rPr>
        <w:t xml:space="preserve"> to improve mobile network resilience in the community of Yarramalong, NSW against the impacts of power outages, including during or after natural disasters. </w:t>
      </w:r>
    </w:p>
    <w:p w:rsidR="00BC1652" w:rsidRPr="009B1DF0" w:rsidRDefault="00BC1652" w:rsidP="00BC1652">
      <w:pPr>
        <w:pStyle w:val="ListParagraph"/>
        <w:numPr>
          <w:ilvl w:val="2"/>
          <w:numId w:val="20"/>
        </w:numPr>
        <w:spacing w:after="120" w:line="276" w:lineRule="auto"/>
        <w:contextualSpacing w:val="0"/>
        <w:rPr>
          <w:rFonts w:asciiTheme="minorHAnsi" w:hAnsiTheme="minorHAnsi" w:cstheme="minorHAnsi"/>
        </w:rPr>
      </w:pPr>
      <w:r w:rsidRPr="009B1DF0">
        <w:rPr>
          <w:rFonts w:asciiTheme="minorHAnsi" w:hAnsiTheme="minorHAnsi" w:cstheme="minorHAnsi"/>
        </w:rPr>
        <w:t>The objective of the grant is to co-fund the deployment of a</w:t>
      </w:r>
      <w:r>
        <w:rPr>
          <w:rFonts w:asciiTheme="minorHAnsi" w:hAnsiTheme="minorHAnsi" w:cstheme="minorHAnsi"/>
        </w:rPr>
        <w:t xml:space="preserve"> permanent, </w:t>
      </w:r>
      <w:r w:rsidRPr="009B1DF0">
        <w:rPr>
          <w:rFonts w:asciiTheme="minorHAnsi" w:hAnsiTheme="minorHAnsi" w:cstheme="minorHAnsi"/>
        </w:rPr>
        <w:t>on-site generator</w:t>
      </w:r>
      <w:r>
        <w:rPr>
          <w:rFonts w:asciiTheme="minorHAnsi" w:hAnsiTheme="minorHAnsi" w:cstheme="minorHAnsi"/>
        </w:rPr>
        <w:t xml:space="preserve"> (the </w:t>
      </w:r>
      <w:r w:rsidRPr="00311F86">
        <w:rPr>
          <w:rFonts w:asciiTheme="minorHAnsi" w:hAnsiTheme="minorHAnsi" w:cstheme="minorHAnsi"/>
          <w:b/>
        </w:rPr>
        <w:t>Resilience Upgrade</w:t>
      </w:r>
      <w:r>
        <w:rPr>
          <w:rFonts w:asciiTheme="minorHAnsi" w:hAnsiTheme="minorHAnsi" w:cstheme="minorHAnsi"/>
        </w:rPr>
        <w:t>)</w:t>
      </w:r>
      <w:r w:rsidRPr="009B1DF0">
        <w:rPr>
          <w:rFonts w:asciiTheme="minorHAnsi" w:hAnsiTheme="minorHAnsi" w:cstheme="minorHAnsi"/>
        </w:rPr>
        <w:t xml:space="preserve"> at the Telstra mobile base station in Yarramalong to provide at least 24 hours of back-up power supply to the site.</w:t>
      </w:r>
    </w:p>
    <w:p w:rsidR="00BC1652" w:rsidRPr="009B1DF0" w:rsidRDefault="00BC1652" w:rsidP="00BC1652">
      <w:pPr>
        <w:pStyle w:val="ListParagraph"/>
        <w:numPr>
          <w:ilvl w:val="2"/>
          <w:numId w:val="20"/>
        </w:numPr>
        <w:spacing w:after="120" w:line="276" w:lineRule="auto"/>
        <w:contextualSpacing w:val="0"/>
        <w:rPr>
          <w:rFonts w:asciiTheme="minorHAnsi" w:hAnsiTheme="minorHAnsi" w:cstheme="minorHAnsi"/>
        </w:rPr>
      </w:pPr>
      <w:r w:rsidRPr="009B1DF0">
        <w:rPr>
          <w:rFonts w:asciiTheme="minorHAnsi" w:hAnsiTheme="minorHAnsi" w:cstheme="minorHAnsi"/>
        </w:rPr>
        <w:t xml:space="preserve">The intended outcome of the grant is to ensure the continuity of Telstra mobile services to the community </w:t>
      </w:r>
      <w:r w:rsidRPr="008E1F18">
        <w:rPr>
          <w:rFonts w:asciiTheme="minorHAnsi" w:hAnsiTheme="minorHAnsi" w:cstheme="minorHAnsi"/>
        </w:rPr>
        <w:t>of Yarramalong for a minimum of 24 hours in the</w:t>
      </w:r>
      <w:r w:rsidRPr="009B1DF0">
        <w:rPr>
          <w:rFonts w:asciiTheme="minorHAnsi" w:hAnsiTheme="minorHAnsi" w:cstheme="minorHAnsi"/>
        </w:rPr>
        <w:t xml:space="preserve"> event of a </w:t>
      </w:r>
      <w:r>
        <w:rPr>
          <w:rFonts w:asciiTheme="minorHAnsi" w:hAnsiTheme="minorHAnsi" w:cstheme="minorHAnsi"/>
        </w:rPr>
        <w:t xml:space="preserve">mains </w:t>
      </w:r>
      <w:r w:rsidRPr="009B1DF0">
        <w:rPr>
          <w:rFonts w:asciiTheme="minorHAnsi" w:hAnsiTheme="minorHAnsi" w:cstheme="minorHAnsi"/>
        </w:rPr>
        <w:t>power outage to support public safety communications and access to essential digital services.</w:t>
      </w:r>
    </w:p>
    <w:p w:rsidR="00BC1652" w:rsidRPr="009B1DF0" w:rsidRDefault="00BC1652" w:rsidP="00BC1652">
      <w:pPr>
        <w:pStyle w:val="ListParagraph"/>
        <w:numPr>
          <w:ilvl w:val="2"/>
          <w:numId w:val="20"/>
        </w:numPr>
        <w:spacing w:after="120" w:line="276" w:lineRule="auto"/>
        <w:contextualSpacing w:val="0"/>
        <w:rPr>
          <w:rFonts w:asciiTheme="minorHAnsi" w:hAnsiTheme="minorHAnsi" w:cstheme="minorHAnsi"/>
        </w:rPr>
      </w:pPr>
      <w:r w:rsidRPr="009B1DF0">
        <w:rPr>
          <w:rFonts w:asciiTheme="minorHAnsi" w:hAnsiTheme="minorHAnsi" w:cstheme="minorHAnsi"/>
        </w:rPr>
        <w:t xml:space="preserve">This grant will be administered by the </w:t>
      </w:r>
      <w:r>
        <w:rPr>
          <w:rFonts w:asciiTheme="minorHAnsi" w:hAnsiTheme="minorHAnsi" w:cstheme="minorHAnsi"/>
        </w:rPr>
        <w:t>D</w:t>
      </w:r>
      <w:r w:rsidRPr="009B1DF0">
        <w:rPr>
          <w:rFonts w:asciiTheme="minorHAnsi" w:hAnsiTheme="minorHAnsi" w:cstheme="minorHAnsi"/>
        </w:rPr>
        <w:t>epartment</w:t>
      </w:r>
      <w:r>
        <w:rPr>
          <w:rFonts w:asciiTheme="minorHAnsi" w:hAnsiTheme="minorHAnsi" w:cstheme="minorHAnsi"/>
        </w:rPr>
        <w:t xml:space="preserve"> of Infrastructure, Transport, Regional Development, Communications and the Arts (the </w:t>
      </w:r>
      <w:r>
        <w:rPr>
          <w:rFonts w:asciiTheme="minorHAnsi" w:hAnsiTheme="minorHAnsi" w:cstheme="minorHAnsi"/>
          <w:b/>
        </w:rPr>
        <w:t>department</w:t>
      </w:r>
      <w:r>
        <w:rPr>
          <w:rFonts w:asciiTheme="minorHAnsi" w:hAnsiTheme="minorHAnsi" w:cstheme="minorHAnsi"/>
        </w:rPr>
        <w:t>)</w:t>
      </w:r>
      <w:r w:rsidRPr="009B1DF0">
        <w:rPr>
          <w:rFonts w:asciiTheme="minorHAnsi" w:hAnsiTheme="minorHAnsi" w:cstheme="minorHAnsi"/>
        </w:rPr>
        <w:t xml:space="preserve"> on behalf of the Australian Government</w:t>
      </w:r>
      <w:r>
        <w:rPr>
          <w:rFonts w:asciiTheme="minorHAnsi" w:hAnsiTheme="minorHAnsi" w:cstheme="minorHAnsi"/>
        </w:rPr>
        <w:t xml:space="preserve"> and forms part of the Mobile Network Hardening Program (</w:t>
      </w:r>
      <w:r w:rsidRPr="00D15492">
        <w:rPr>
          <w:rFonts w:asciiTheme="minorHAnsi" w:hAnsiTheme="minorHAnsi" w:cstheme="minorHAnsi"/>
          <w:b/>
        </w:rPr>
        <w:t>MNHP</w:t>
      </w:r>
      <w:r>
        <w:rPr>
          <w:rFonts w:asciiTheme="minorHAnsi" w:hAnsiTheme="minorHAnsi" w:cstheme="minorHAnsi"/>
        </w:rPr>
        <w:t>) within the Strengthening Telecommunications Against Natural Disasters (</w:t>
      </w:r>
      <w:r w:rsidRPr="00D15492">
        <w:rPr>
          <w:rFonts w:asciiTheme="minorHAnsi" w:hAnsiTheme="minorHAnsi" w:cstheme="minorHAnsi"/>
          <w:b/>
        </w:rPr>
        <w:t>STAND</w:t>
      </w:r>
      <w:r>
        <w:rPr>
          <w:rFonts w:asciiTheme="minorHAnsi" w:hAnsiTheme="minorHAnsi" w:cstheme="minorHAnsi"/>
        </w:rPr>
        <w:t>) Package.</w:t>
      </w:r>
      <w:r>
        <w:rPr>
          <w:rStyle w:val="FootnoteReference"/>
          <w:rFonts w:asciiTheme="minorHAnsi" w:hAnsiTheme="minorHAnsi" w:cstheme="minorHAnsi"/>
        </w:rPr>
        <w:footnoteReference w:id="1"/>
      </w:r>
      <w:r>
        <w:rPr>
          <w:rFonts w:asciiTheme="minorHAnsi" w:hAnsiTheme="minorHAnsi" w:cstheme="minorHAnsi"/>
        </w:rPr>
        <w:t xml:space="preserve"> </w:t>
      </w:r>
      <w:r w:rsidRPr="009B1DF0">
        <w:rPr>
          <w:rFonts w:asciiTheme="minorHAnsi" w:hAnsiTheme="minorHAnsi" w:cstheme="minorHAnsi"/>
        </w:rPr>
        <w:t>It contributes to the achievement of the department’s Outcome 5.</w:t>
      </w:r>
    </w:p>
    <w:p w:rsidR="00A74E9C" w:rsidRPr="009B1DF0" w:rsidRDefault="00BC1652" w:rsidP="00BC1652">
      <w:pPr>
        <w:pStyle w:val="ListParagraph"/>
        <w:numPr>
          <w:ilvl w:val="2"/>
          <w:numId w:val="20"/>
        </w:numPr>
        <w:spacing w:after="120" w:line="276" w:lineRule="auto"/>
        <w:ind w:left="709" w:hanging="709"/>
        <w:contextualSpacing w:val="0"/>
        <w:rPr>
          <w:rFonts w:asciiTheme="minorHAnsi" w:hAnsiTheme="minorHAnsi" w:cstheme="minorHAnsi"/>
        </w:rPr>
      </w:pPr>
      <w:r w:rsidRPr="009B1DF0">
        <w:rPr>
          <w:rFonts w:asciiTheme="minorHAnsi" w:hAnsiTheme="minorHAnsi" w:cstheme="minorHAnsi"/>
        </w:rPr>
        <w:t>The grant is to be undertaken in accordance with the</w:t>
      </w:r>
      <w:r w:rsidR="00A74E9C">
        <w:rPr>
          <w:rFonts w:asciiTheme="minorHAnsi" w:hAnsiTheme="minorHAnsi" w:cstheme="minorHAnsi"/>
        </w:rPr>
        <w:t xml:space="preserve"> </w:t>
      </w:r>
      <w:hyperlink r:id="rId14" w:history="1">
        <w:r w:rsidR="00A74E9C" w:rsidRPr="00A74E9C">
          <w:rPr>
            <w:rStyle w:val="Hyperlink"/>
            <w:rFonts w:asciiTheme="minorHAnsi" w:hAnsiTheme="minorHAnsi" w:cstheme="minorHAnsi"/>
          </w:rPr>
          <w:t>Commonwealth Grants Rules and Guidelines (CGRGs)</w:t>
        </w:r>
      </w:hyperlink>
      <w:r w:rsidR="00A74E9C">
        <w:rPr>
          <w:rFonts w:asciiTheme="minorHAnsi" w:hAnsiTheme="minorHAnsi" w:cstheme="minorHAnsi"/>
        </w:rPr>
        <w:t>.</w:t>
      </w:r>
      <w:r w:rsidR="00A74E9C">
        <w:rPr>
          <w:rStyle w:val="FootnoteReference"/>
          <w:rFonts w:asciiTheme="minorHAnsi" w:hAnsiTheme="minorHAnsi" w:cstheme="minorHAnsi"/>
        </w:rPr>
        <w:footnoteReference w:id="2"/>
      </w:r>
    </w:p>
    <w:p w:rsidR="00D17FAB" w:rsidRPr="00F87720" w:rsidRDefault="00D17FAB" w:rsidP="00743554">
      <w:pPr>
        <w:pStyle w:val="Heading2"/>
      </w:pPr>
      <w:bookmarkStart w:id="5" w:name="_Toc464643011"/>
      <w:bookmarkStart w:id="6" w:name="_Toc119075805"/>
      <w:bookmarkStart w:id="7" w:name="_Toc149657385"/>
      <w:r w:rsidRPr="00F87720">
        <w:t xml:space="preserve">Grant </w:t>
      </w:r>
      <w:bookmarkEnd w:id="3"/>
      <w:bookmarkEnd w:id="4"/>
      <w:bookmarkEnd w:id="5"/>
      <w:r w:rsidRPr="00F87720">
        <w:t>amount and grant period</w:t>
      </w:r>
      <w:bookmarkEnd w:id="6"/>
      <w:bookmarkEnd w:id="7"/>
    </w:p>
    <w:p w:rsidR="00BC1652" w:rsidRDefault="00D17FAB" w:rsidP="00BC1652">
      <w:pPr>
        <w:ind w:left="709" w:hanging="709"/>
      </w:pPr>
      <w:bookmarkStart w:id="8" w:name="_Toc421777594"/>
      <w:bookmarkStart w:id="9" w:name="_Ref428266971"/>
      <w:bookmarkStart w:id="10" w:name="_Toc464643012"/>
      <w:r>
        <w:t>2.1.1.</w:t>
      </w:r>
      <w:r>
        <w:tab/>
      </w:r>
      <w:r w:rsidR="00BC1652">
        <w:t xml:space="preserve">Up to $140,000 (GST exclusive) is available in 2023-24 for the grant opportunity. </w:t>
      </w:r>
    </w:p>
    <w:p w:rsidR="00BC1652" w:rsidRDefault="00BC1652" w:rsidP="00BC1652">
      <w:pPr>
        <w:ind w:left="709" w:hanging="709"/>
      </w:pPr>
      <w:r>
        <w:t>2.1.2.</w:t>
      </w:r>
      <w:r>
        <w:tab/>
        <w:t>The Grantee is encouraged to provide a financial (cash) co-contribution to the cost of the Resilience Upgrade. The Grantee is also encouraged (but not required) to seek financial and/or in-kind co-contributions from third</w:t>
      </w:r>
      <w:r>
        <w:noBreakHyphen/>
      </w:r>
      <w:r w:rsidRPr="008E1F18">
        <w:t>parties, for example state governments, local emergency service or community organisations</w:t>
      </w:r>
      <w:bookmarkStart w:id="11" w:name="_Hlk134542852"/>
      <w:r w:rsidRPr="008E1F18">
        <w:t xml:space="preserve">. </w:t>
      </w:r>
      <w:bookmarkEnd w:id="11"/>
      <w:r w:rsidRPr="008E1F18">
        <w:t>There is no limit to contributions from third-parties.</w:t>
      </w:r>
    </w:p>
    <w:p w:rsidR="00BC1652" w:rsidRDefault="00BC1652" w:rsidP="00BC1652">
      <w:pPr>
        <w:ind w:left="709" w:hanging="709"/>
      </w:pPr>
      <w:r>
        <w:t>2.1.3.</w:t>
      </w:r>
      <w:r>
        <w:tab/>
        <w:t>The Resilience Upgrade must be completed by no later than 30 June 2024, unless otherwise agreed by the department (see section 5.2.).</w:t>
      </w:r>
    </w:p>
    <w:p w:rsidR="00D17FAB" w:rsidRDefault="00BC1652" w:rsidP="00BC1652">
      <w:pPr>
        <w:ind w:left="709" w:hanging="851"/>
      </w:pPr>
      <w:r>
        <w:t>2.1.4.</w:t>
      </w:r>
      <w:r>
        <w:tab/>
        <w:t xml:space="preserve">The Resilience Upgrade should remain operational and in-use at the Yarramalong base station by the grantee for at least 10 years following the date on which the department confirms with the grantee that it accepts the upgrade works have been completed (the </w:t>
      </w:r>
      <w:r w:rsidRPr="00311F86">
        <w:rPr>
          <w:b/>
        </w:rPr>
        <w:t>Operational Period</w:t>
      </w:r>
      <w:r>
        <w:t>).</w:t>
      </w:r>
    </w:p>
    <w:p w:rsidR="00D17FAB" w:rsidRPr="006542D9" w:rsidRDefault="00D17FAB" w:rsidP="00743554">
      <w:pPr>
        <w:pStyle w:val="Heading2"/>
      </w:pPr>
      <w:bookmarkStart w:id="12" w:name="_Toc119075806"/>
      <w:bookmarkStart w:id="13" w:name="_Toc149657386"/>
      <w:bookmarkEnd w:id="8"/>
      <w:bookmarkEnd w:id="9"/>
      <w:bookmarkEnd w:id="10"/>
      <w:r w:rsidRPr="006542D9">
        <w:t>The grant selection process</w:t>
      </w:r>
      <w:bookmarkEnd w:id="12"/>
      <w:bookmarkEnd w:id="13"/>
    </w:p>
    <w:p w:rsidR="00BC1652" w:rsidRDefault="00D17FAB" w:rsidP="00BC1652">
      <w:pPr>
        <w:ind w:left="709" w:hanging="709"/>
      </w:pPr>
      <w:r>
        <w:t>3.1.1.</w:t>
      </w:r>
      <w:r>
        <w:tab/>
      </w:r>
      <w:r w:rsidR="00BC1652" w:rsidRPr="0005693C">
        <w:t>Th</w:t>
      </w:r>
      <w:r w:rsidR="00BC1652">
        <w:t>is grant opportunity has been established as a one-off ad-hoc grant. The department</w:t>
      </w:r>
      <w:r w:rsidR="00BC1652" w:rsidRPr="006542D9">
        <w:t xml:space="preserve"> </w:t>
      </w:r>
      <w:r w:rsidR="00BC1652">
        <w:t xml:space="preserve">considers that this is an </w:t>
      </w:r>
      <w:r w:rsidR="00BC1652" w:rsidRPr="0005693C">
        <w:t>appropriate type of selection process</w:t>
      </w:r>
      <w:r w:rsidR="00BC1652">
        <w:t xml:space="preserve"> considering the nature of the election commitment is specifically dependent on the installation of an on-site generator at the existing mobile base station site in Yarramalong.</w:t>
      </w:r>
    </w:p>
    <w:p w:rsidR="00D17FAB" w:rsidRPr="009B1DF0" w:rsidRDefault="00BC1652" w:rsidP="00BC1652">
      <w:pPr>
        <w:ind w:left="709" w:hanging="709"/>
      </w:pPr>
      <w:r>
        <w:t>3.1.2.</w:t>
      </w:r>
      <w:r>
        <w:tab/>
        <w:t xml:space="preserve">Telstra (the </w:t>
      </w:r>
      <w:r w:rsidRPr="00311F86">
        <w:rPr>
          <w:b/>
        </w:rPr>
        <w:t>Grantee</w:t>
      </w:r>
      <w:r>
        <w:t>) has been identified as the appropriate recipient because the existing mobile base station site in Yarramalong is owned and operated by Telstra</w:t>
      </w:r>
      <w:r w:rsidRPr="00911122">
        <w:t>.</w:t>
      </w:r>
      <w:r>
        <w:t xml:space="preserve"> Telstra is the only entity that is capable of undertaking the grant activity.</w:t>
      </w:r>
    </w:p>
    <w:p w:rsidR="00D17FAB" w:rsidRPr="0037755B" w:rsidRDefault="00E84EB1" w:rsidP="00E84EB1">
      <w:pPr>
        <w:pStyle w:val="Heading3"/>
      </w:pPr>
      <w:bookmarkStart w:id="14" w:name="_Toc464643013"/>
      <w:bookmarkStart w:id="15" w:name="_Toc119075807"/>
      <w:bookmarkStart w:id="16" w:name="_Toc149657387"/>
      <w:r>
        <w:lastRenderedPageBreak/>
        <w:t>3.2</w:t>
      </w:r>
      <w:r>
        <w:tab/>
      </w:r>
      <w:r w:rsidR="00D17FAB" w:rsidRPr="0037755B">
        <w:t>Eligible grant activities</w:t>
      </w:r>
      <w:bookmarkEnd w:id="14"/>
      <w:bookmarkEnd w:id="15"/>
      <w:bookmarkEnd w:id="16"/>
    </w:p>
    <w:p w:rsidR="00D17FAB" w:rsidRPr="00911122" w:rsidRDefault="00D17FAB" w:rsidP="00743554">
      <w:pPr>
        <w:ind w:left="851" w:hanging="851"/>
      </w:pPr>
      <w:r>
        <w:t>3.2.1</w:t>
      </w:r>
      <w:r>
        <w:tab/>
        <w:t xml:space="preserve">To be eligible your grant activity must: </w:t>
      </w:r>
      <w:r w:rsidRPr="00B72EE8">
        <w:t xml:space="preserve"> </w:t>
      </w:r>
    </w:p>
    <w:p w:rsidR="00D17FAB" w:rsidRDefault="00BC1652" w:rsidP="00743554">
      <w:pPr>
        <w:pStyle w:val="Bullet1"/>
      </w:pPr>
      <w:r>
        <w:t>Construct, deploy and/or install the Resilience Upgrade (including any required power system upgrade) to the existing Telstra mobile base station site located at 1698 Yarramalong Road, Yarramalong NSW (ACMA Site ID: 10009053); and</w:t>
      </w:r>
    </w:p>
    <w:p w:rsidR="00D17FAB" w:rsidRPr="00374392" w:rsidRDefault="00BC1652" w:rsidP="00BC1652">
      <w:pPr>
        <w:pStyle w:val="Bullet1"/>
        <w:spacing w:after="120"/>
      </w:pPr>
      <w:r>
        <w:t>Provide a minimum of 24 hours total back-up supply to this site, including the existing battery back-up of 12 hours installed at the site under Stage 1 of the Mobile Network Hardening Program.</w:t>
      </w:r>
    </w:p>
    <w:p w:rsidR="00D17FAB" w:rsidRDefault="00D17FAB" w:rsidP="00743554">
      <w:pPr>
        <w:ind w:left="851" w:hanging="851"/>
      </w:pPr>
      <w:r>
        <w:t>3.2.2.</w:t>
      </w:r>
      <w:r>
        <w:tab/>
        <w:t xml:space="preserve">Costs that the </w:t>
      </w:r>
      <w:r w:rsidRPr="00B72EE8">
        <w:t xml:space="preserve">grant </w:t>
      </w:r>
      <w:r>
        <w:t>can be used for are</w:t>
      </w:r>
      <w:r w:rsidRPr="00B72EE8">
        <w:t xml:space="preserve">: </w:t>
      </w:r>
    </w:p>
    <w:p w:rsidR="00D17FAB" w:rsidRDefault="00BC1652" w:rsidP="00743554">
      <w:pPr>
        <w:pStyle w:val="Bullet1"/>
      </w:pPr>
      <w:r>
        <w:t>Capital costs directly incurred by the Grantee for the purchase, installation and/or construction of the Resilience Upgrade. This may include purchasing equipment and supplies, project management and payment of employees or contractors to carry out the works.</w:t>
      </w:r>
    </w:p>
    <w:p w:rsidR="00D17FAB" w:rsidRPr="00311F86" w:rsidRDefault="00D17FAB" w:rsidP="00743554">
      <w:pPr>
        <w:ind w:left="851" w:hanging="851"/>
      </w:pPr>
      <w:r>
        <w:t>3.2.3.</w:t>
      </w:r>
      <w:r>
        <w:tab/>
      </w:r>
      <w:r w:rsidR="00BC1652">
        <w:t>The Grantee will be responsible for any actual capital costs that exceed estimated costs or the grant amount (see section 2.1.1). All operating costs related to the Resilience Upgrade will be the responsibility of the Grantee.</w:t>
      </w:r>
    </w:p>
    <w:p w:rsidR="00D17FAB" w:rsidRPr="00B02159" w:rsidRDefault="00E84EB1" w:rsidP="00776147">
      <w:pPr>
        <w:pStyle w:val="Heading3"/>
      </w:pPr>
      <w:bookmarkStart w:id="17" w:name="_Toc119075808"/>
      <w:bookmarkStart w:id="18" w:name="_Toc149657388"/>
      <w:r>
        <w:t>3.3</w:t>
      </w:r>
      <w:r>
        <w:tab/>
      </w:r>
      <w:r w:rsidR="00D17FAB" w:rsidRPr="00B02159">
        <w:t>Ineligible grant activities</w:t>
      </w:r>
      <w:bookmarkEnd w:id="17"/>
      <w:bookmarkEnd w:id="18"/>
    </w:p>
    <w:p w:rsidR="00D17FAB" w:rsidRDefault="00D17FAB" w:rsidP="00776147">
      <w:pPr>
        <w:ind w:left="851" w:hanging="851"/>
      </w:pPr>
      <w:r>
        <w:t>3.3.1.</w:t>
      </w:r>
      <w:r>
        <w:tab/>
        <w:t>The following are ineligible activities and/or costs:</w:t>
      </w:r>
    </w:p>
    <w:p w:rsidR="00BC1652" w:rsidRPr="00BC1652" w:rsidRDefault="00BC1652" w:rsidP="00BC1652">
      <w:pPr>
        <w:pStyle w:val="Bullet1"/>
      </w:pPr>
      <w:r>
        <w:t>operational and/</w:t>
      </w:r>
      <w:r w:rsidRPr="00BC1652">
        <w:t>or maintenance costs incurred as a result of the Resilience Upgrade funded through this grant opportunity;</w:t>
      </w:r>
    </w:p>
    <w:p w:rsidR="00BC1652" w:rsidRPr="00BC1652" w:rsidRDefault="00BC1652" w:rsidP="00BC1652">
      <w:pPr>
        <w:pStyle w:val="Bullet1"/>
      </w:pPr>
      <w:r w:rsidRPr="00BC1652">
        <w:t>any work, not directly related to the installation of the Resilience Upgrade, that is a requirement of or under any federal, state or local government laws, such as the establishment, maintenance, certification or registration of asset protection zones, fire trails or access roads, or hazard reduction works, for example mandatory work required to comply with changes to planning requirements;</w:t>
      </w:r>
    </w:p>
    <w:p w:rsidR="00BC1652" w:rsidRPr="00BC1652" w:rsidRDefault="00BC1652" w:rsidP="00BC1652">
      <w:pPr>
        <w:pStyle w:val="Bullet1"/>
      </w:pPr>
      <w:r w:rsidRPr="00BC1652">
        <w:t>Business as Usual (BAU) operational and maintenance or remedial work. This includes maintenance of existing clearings or control of vegetation around a site, and general repair or maintenance work to structures; or</w:t>
      </w:r>
    </w:p>
    <w:p w:rsidR="00D17FAB" w:rsidRDefault="00BC1652" w:rsidP="00BC1652">
      <w:pPr>
        <w:pStyle w:val="Bullet1"/>
      </w:pPr>
      <w:r w:rsidRPr="00BC1652">
        <w:t xml:space="preserve">any cost for </w:t>
      </w:r>
      <w:r w:rsidRPr="00673D8C">
        <w:t xml:space="preserve">which </w:t>
      </w:r>
      <w:r>
        <w:t>the Grantee</w:t>
      </w:r>
      <w:r w:rsidRPr="00673D8C">
        <w:t xml:space="preserve"> is already receiving funding from the Commonwealth, or which is to be covered by its own contributions or other third</w:t>
      </w:r>
      <w:r>
        <w:noBreakHyphen/>
      </w:r>
      <w:r w:rsidRPr="00673D8C">
        <w:t>party contributions, under a Commonwealth funding agreement</w:t>
      </w:r>
      <w:r>
        <w:t>.</w:t>
      </w:r>
    </w:p>
    <w:p w:rsidR="00D17FAB" w:rsidRPr="0037755B" w:rsidRDefault="00E84EB1" w:rsidP="00776147">
      <w:pPr>
        <w:pStyle w:val="Heading3"/>
      </w:pPr>
      <w:bookmarkStart w:id="19" w:name="_Toc119075809"/>
      <w:bookmarkStart w:id="20" w:name="_Toc149657389"/>
      <w:r>
        <w:t>3.4</w:t>
      </w:r>
      <w:r>
        <w:tab/>
      </w:r>
      <w:r w:rsidR="00D17FAB" w:rsidRPr="0037755B">
        <w:t>Grant assessment</w:t>
      </w:r>
      <w:bookmarkEnd w:id="19"/>
      <w:bookmarkEnd w:id="20"/>
    </w:p>
    <w:p w:rsidR="00D17FAB" w:rsidRPr="008364AE" w:rsidRDefault="00D17FAB" w:rsidP="00776147">
      <w:pPr>
        <w:ind w:left="851" w:hanging="851"/>
        <w:rPr>
          <w:b/>
        </w:rPr>
      </w:pPr>
      <w:r>
        <w:t>3.4.1.</w:t>
      </w:r>
      <w:r>
        <w:tab/>
      </w:r>
      <w:r w:rsidR="00BC1652" w:rsidRPr="008364AE">
        <w:t xml:space="preserve">The </w:t>
      </w:r>
      <w:r w:rsidR="00BC1652">
        <w:t>Grantee</w:t>
      </w:r>
      <w:r w:rsidR="00BC1652" w:rsidRPr="008364AE">
        <w:t xml:space="preserve"> </w:t>
      </w:r>
      <w:r w:rsidR="00BC1652">
        <w:t xml:space="preserve">is </w:t>
      </w:r>
      <w:r w:rsidR="00BC1652" w:rsidRPr="008364AE">
        <w:t>required to provide</w:t>
      </w:r>
      <w:r w:rsidR="00BC1652">
        <w:t>, in a format of its choice, a document setting out</w:t>
      </w:r>
      <w:r w:rsidR="00BC1652" w:rsidRPr="008364AE">
        <w:t>:</w:t>
      </w:r>
    </w:p>
    <w:p w:rsidR="00BC1652" w:rsidRPr="00BC1652" w:rsidRDefault="00BC1652" w:rsidP="00BC1652">
      <w:pPr>
        <w:pStyle w:val="Bullet1"/>
      </w:pPr>
      <w:r>
        <w:t>The latitu</w:t>
      </w:r>
      <w:r w:rsidRPr="00BC1652">
        <w:t>de and longitude (GDA94) of the Resilience Upgrade;</w:t>
      </w:r>
    </w:p>
    <w:p w:rsidR="00BC1652" w:rsidRPr="00BC1652" w:rsidRDefault="00BC1652" w:rsidP="00BC1652">
      <w:pPr>
        <w:pStyle w:val="Bullet1"/>
      </w:pPr>
      <w:r w:rsidRPr="00BC1652">
        <w:t>A description of the Resilience Upgrade and any power system upgrade required for the operation of the Resilience Upgrade;</w:t>
      </w:r>
    </w:p>
    <w:p w:rsidR="00BC1652" w:rsidRPr="00BC1652" w:rsidRDefault="00BC1652" w:rsidP="00BC1652">
      <w:pPr>
        <w:pStyle w:val="Bullet1"/>
      </w:pPr>
      <w:r w:rsidRPr="00BC1652">
        <w:t>The current and proposed Design Reserve (in hours) of the site;</w:t>
      </w:r>
    </w:p>
    <w:p w:rsidR="00BC1652" w:rsidRPr="00BC1652" w:rsidRDefault="00BC1652" w:rsidP="00BC1652">
      <w:pPr>
        <w:pStyle w:val="Bullet1"/>
      </w:pPr>
      <w:r w:rsidRPr="00BC1652">
        <w:t>The increased back-up power capacity (in hours) provided by the Resilience Upgrade;</w:t>
      </w:r>
    </w:p>
    <w:p w:rsidR="00BC1652" w:rsidRPr="00BC1652" w:rsidRDefault="00BC1652" w:rsidP="00BC1652">
      <w:pPr>
        <w:pStyle w:val="Bullet1"/>
      </w:pPr>
      <w:r w:rsidRPr="00BC1652">
        <w:t>The total cost (GST exclusive) of the Resilience Upgrade;</w:t>
      </w:r>
    </w:p>
    <w:p w:rsidR="00BC1652" w:rsidRPr="00BC1652" w:rsidRDefault="00BC1652" w:rsidP="00BC1652">
      <w:pPr>
        <w:pStyle w:val="Bullet1"/>
      </w:pPr>
      <w:r w:rsidRPr="00BC1652">
        <w:t>The cost to the Commonwealth (GST exclusive) of the Resilience Upgrade;</w:t>
      </w:r>
    </w:p>
    <w:p w:rsidR="00BC1652" w:rsidRPr="00BC1652" w:rsidRDefault="00BC1652" w:rsidP="00BC1652">
      <w:pPr>
        <w:pStyle w:val="Bullet1"/>
      </w:pPr>
      <w:r w:rsidRPr="00BC1652">
        <w:lastRenderedPageBreak/>
        <w:t>The cost to the Grantee (GST exclusive) of the Resilience Upgrade;</w:t>
      </w:r>
    </w:p>
    <w:p w:rsidR="00BC1652" w:rsidRPr="00BC1652" w:rsidRDefault="00BC1652" w:rsidP="00BC1652">
      <w:pPr>
        <w:pStyle w:val="Bullet1"/>
      </w:pPr>
      <w:r w:rsidRPr="00BC1652">
        <w:t>The cost to any third</w:t>
      </w:r>
      <w:r w:rsidRPr="00BC1652">
        <w:noBreakHyphen/>
        <w:t>parties (GST exclusive) of the Resilience Upgrade; and</w:t>
      </w:r>
    </w:p>
    <w:p w:rsidR="00BC1652" w:rsidRDefault="00BC1652" w:rsidP="00BC1652">
      <w:pPr>
        <w:pStyle w:val="Bullet1"/>
      </w:pPr>
      <w:r w:rsidRPr="00BC1652">
        <w:t>A budget and project timeline for the</w:t>
      </w:r>
      <w:r>
        <w:t xml:space="preserve"> delivery of the Resilience Upgrade.</w:t>
      </w:r>
    </w:p>
    <w:p w:rsidR="00D17FAB" w:rsidRDefault="00D17FAB" w:rsidP="00776147">
      <w:pPr>
        <w:pStyle w:val="inputcomment"/>
        <w:ind w:left="851" w:hanging="851"/>
        <w:rPr>
          <w:b w:val="0"/>
          <w:color w:val="auto"/>
          <w:kern w:val="24"/>
          <w:szCs w:val="24"/>
        </w:rPr>
      </w:pPr>
      <w:r>
        <w:rPr>
          <w:b w:val="0"/>
          <w:color w:val="auto"/>
          <w:kern w:val="24"/>
          <w:szCs w:val="24"/>
        </w:rPr>
        <w:t>3.4.2.</w:t>
      </w:r>
      <w:r>
        <w:rPr>
          <w:b w:val="0"/>
          <w:color w:val="auto"/>
          <w:kern w:val="24"/>
          <w:szCs w:val="24"/>
        </w:rPr>
        <w:tab/>
      </w:r>
      <w:r w:rsidR="0095576D">
        <w:rPr>
          <w:b w:val="0"/>
          <w:color w:val="auto"/>
          <w:kern w:val="24"/>
          <w:szCs w:val="24"/>
        </w:rPr>
        <w:t>The department reserves the right to use information previously supplied by the Grantee as part of its applications for funding under Stages 1 of the MNHP and Round 1 of the Mobile Black Spot Program (MBSP) to assess the Resilience Upgrade. The Grantee should inform the department of any material updates to this information as part of its proposal under this grant opportunity</w:t>
      </w:r>
      <w:r>
        <w:rPr>
          <w:b w:val="0"/>
          <w:color w:val="auto"/>
          <w:kern w:val="24"/>
          <w:szCs w:val="24"/>
        </w:rPr>
        <w:t>.</w:t>
      </w:r>
    </w:p>
    <w:p w:rsidR="00D17FAB" w:rsidRPr="00D105DA" w:rsidRDefault="00D17FAB" w:rsidP="00776147">
      <w:pPr>
        <w:pStyle w:val="inputcomment"/>
        <w:ind w:left="851"/>
        <w:rPr>
          <w:b w:val="0"/>
          <w:color w:val="auto"/>
          <w:kern w:val="24"/>
          <w:szCs w:val="24"/>
        </w:rPr>
      </w:pPr>
      <w:r>
        <w:rPr>
          <w:b w:val="0"/>
          <w:color w:val="auto"/>
          <w:kern w:val="24"/>
          <w:szCs w:val="24"/>
        </w:rPr>
        <w:t>Note, Yarramalong site was funded under Round 1 of MBSP and its battery backup system was upgraded to at least 12 hours under Stage 1 of MNHP.</w:t>
      </w:r>
    </w:p>
    <w:p w:rsidR="00D17FAB" w:rsidRPr="008E1F18" w:rsidRDefault="00D17FAB" w:rsidP="00776147">
      <w:pPr>
        <w:ind w:left="851" w:hanging="851"/>
        <w:rPr>
          <w:rFonts w:cstheme="minorHAnsi"/>
        </w:rPr>
      </w:pPr>
      <w:r>
        <w:rPr>
          <w:rFonts w:cstheme="minorHAnsi"/>
        </w:rPr>
        <w:t>3.4.3.</w:t>
      </w:r>
      <w:r>
        <w:rPr>
          <w:rFonts w:cstheme="minorHAnsi"/>
        </w:rPr>
        <w:tab/>
      </w:r>
      <w:r w:rsidRPr="008E1F18">
        <w:rPr>
          <w:rFonts w:cstheme="minorHAnsi"/>
        </w:rPr>
        <w:t>The proposal will be assessed by officers within the department.</w:t>
      </w:r>
    </w:p>
    <w:p w:rsidR="00D17FAB" w:rsidRPr="008E1F18" w:rsidRDefault="00D17FAB" w:rsidP="00776147">
      <w:pPr>
        <w:ind w:left="851" w:hanging="851"/>
        <w:rPr>
          <w:rFonts w:cstheme="minorHAnsi"/>
        </w:rPr>
      </w:pPr>
      <w:r w:rsidRPr="008E1F18">
        <w:rPr>
          <w:rFonts w:cstheme="minorHAnsi"/>
        </w:rPr>
        <w:t>3.4.4.</w:t>
      </w:r>
      <w:r w:rsidRPr="008E1F18">
        <w:rPr>
          <w:rFonts w:cstheme="minorHAnsi"/>
        </w:rPr>
        <w:tab/>
        <w:t>The proposal is required to provide sufficient information to allow the following assessment criteria to be evaluated:</w:t>
      </w:r>
    </w:p>
    <w:p w:rsidR="00D17FAB" w:rsidRPr="008E1F18" w:rsidRDefault="00D17FAB" w:rsidP="00776147">
      <w:pPr>
        <w:tabs>
          <w:tab w:val="left" w:pos="2127"/>
        </w:tabs>
        <w:ind w:left="2127" w:hanging="1276"/>
        <w:rPr>
          <w:rFonts w:cstheme="minorHAnsi"/>
        </w:rPr>
      </w:pPr>
      <w:r w:rsidRPr="008E1F18">
        <w:rPr>
          <w:rFonts w:cstheme="minorHAnsi"/>
        </w:rPr>
        <w:t>Criterion 1:</w:t>
      </w:r>
      <w:r w:rsidR="00776147">
        <w:rPr>
          <w:rFonts w:cstheme="minorHAnsi"/>
        </w:rPr>
        <w:tab/>
      </w:r>
      <w:r w:rsidR="00562192" w:rsidRPr="008E1F18">
        <w:rPr>
          <w:rFonts w:cstheme="minorHAnsi"/>
        </w:rPr>
        <w:t>Will this proposal achieve a Resilience Upgrade to provide continuity in the event of a mains power outage for a minimum of 24 hours total back-up supply, including the existing battery back-up of 12 hours?</w:t>
      </w:r>
    </w:p>
    <w:p w:rsidR="00D17FAB" w:rsidRPr="008E1F18" w:rsidRDefault="00D17FAB" w:rsidP="00776147">
      <w:pPr>
        <w:tabs>
          <w:tab w:val="left" w:pos="2127"/>
        </w:tabs>
        <w:ind w:left="2127" w:hanging="1276"/>
        <w:rPr>
          <w:rFonts w:cstheme="minorHAnsi"/>
        </w:rPr>
      </w:pPr>
      <w:r w:rsidRPr="008E1F18">
        <w:rPr>
          <w:rFonts w:cstheme="minorHAnsi"/>
        </w:rPr>
        <w:t>Criterion 2:</w:t>
      </w:r>
      <w:r w:rsidR="00776147">
        <w:rPr>
          <w:rFonts w:cstheme="minorHAnsi"/>
        </w:rPr>
        <w:tab/>
      </w:r>
      <w:r w:rsidRPr="008E1F18">
        <w:rPr>
          <w:rFonts w:cstheme="minorHAnsi"/>
        </w:rPr>
        <w:t>Will the proposal provide a Resilience Upgrade to the Yarramalong base station?</w:t>
      </w:r>
    </w:p>
    <w:p w:rsidR="00D17FAB" w:rsidRPr="008E1F18" w:rsidRDefault="00D17FAB" w:rsidP="00776147">
      <w:pPr>
        <w:tabs>
          <w:tab w:val="left" w:pos="2127"/>
        </w:tabs>
        <w:ind w:left="2127" w:hanging="1276"/>
        <w:rPr>
          <w:rFonts w:cstheme="minorHAnsi"/>
        </w:rPr>
      </w:pPr>
      <w:r w:rsidRPr="008E1F18">
        <w:rPr>
          <w:rFonts w:cstheme="minorHAnsi"/>
        </w:rPr>
        <w:t>Criterion 3:</w:t>
      </w:r>
      <w:r w:rsidR="00776147">
        <w:rPr>
          <w:rFonts w:cstheme="minorHAnsi"/>
        </w:rPr>
        <w:tab/>
      </w:r>
      <w:r w:rsidRPr="008E1F18">
        <w:rPr>
          <w:rFonts w:cstheme="minorHAnsi"/>
        </w:rPr>
        <w:t>Is the total cost of the proposed Resilience Upgrade to the Commonwealth within the total value of the grant opportunity?</w:t>
      </w:r>
    </w:p>
    <w:p w:rsidR="00D17FAB" w:rsidRPr="008E1F18" w:rsidRDefault="00D17FAB" w:rsidP="00AA53C4">
      <w:pPr>
        <w:pStyle w:val="Bullet1"/>
        <w:numPr>
          <w:ilvl w:val="0"/>
          <w:numId w:val="0"/>
        </w:numPr>
        <w:ind w:left="851" w:hanging="851"/>
        <w:rPr>
          <w:rFonts w:cstheme="minorHAnsi"/>
        </w:rPr>
      </w:pPr>
      <w:r w:rsidRPr="008E1F18">
        <w:rPr>
          <w:rFonts w:cstheme="minorHAnsi"/>
        </w:rPr>
        <w:t>3.4.5.</w:t>
      </w:r>
      <w:r w:rsidRPr="008E1F18">
        <w:rPr>
          <w:rFonts w:cstheme="minorHAnsi"/>
        </w:rPr>
        <w:tab/>
        <w:t>In addition to the above criteria, the assessment of the proposal will consider the following items to assess whether the proposal represents value with relevant money:</w:t>
      </w:r>
    </w:p>
    <w:p w:rsidR="00562192" w:rsidRPr="00562192" w:rsidRDefault="00562192" w:rsidP="00562192">
      <w:pPr>
        <w:pStyle w:val="Bullet1"/>
      </w:pPr>
      <w:r w:rsidRPr="008E1F18">
        <w:t>the Grantee’s tot</w:t>
      </w:r>
      <w:r w:rsidRPr="00562192">
        <w:t>al contribution and any other third-party contributions to the total cost of the proposed Resilience Upgrade;</w:t>
      </w:r>
    </w:p>
    <w:p w:rsidR="00562192" w:rsidRPr="00562192" w:rsidRDefault="00562192" w:rsidP="00562192">
      <w:pPr>
        <w:pStyle w:val="Bullet1"/>
      </w:pPr>
      <w:r w:rsidRPr="00562192">
        <w:t>that the proposed Resilience Upgrade can be delivered on time and to budget (as identified in supporting documents);</w:t>
      </w:r>
    </w:p>
    <w:p w:rsidR="00562192" w:rsidRPr="00562192" w:rsidRDefault="00562192" w:rsidP="00562192">
      <w:pPr>
        <w:pStyle w:val="Bullet1"/>
      </w:pPr>
      <w:r w:rsidRPr="00562192">
        <w:t>that the proposed Resilience Upgrade has been appropriately costed (the level and detail of the costing should be commensurate with the value of the project);</w:t>
      </w:r>
    </w:p>
    <w:p w:rsidR="00562192" w:rsidRPr="00562192" w:rsidRDefault="00562192" w:rsidP="00562192">
      <w:pPr>
        <w:pStyle w:val="Bullet1"/>
      </w:pPr>
      <w:r w:rsidRPr="00562192">
        <w:t>that the level of risk associated with the proposal and its implementation is manageable and/or acceptable;</w:t>
      </w:r>
    </w:p>
    <w:p w:rsidR="00D17FAB" w:rsidRPr="00D217B0" w:rsidRDefault="00562192" w:rsidP="00562192">
      <w:pPr>
        <w:pStyle w:val="Bullet1"/>
      </w:pPr>
      <w:r w:rsidRPr="00D217B0">
        <w:rPr>
          <w:rFonts w:cstheme="minorHAnsi"/>
        </w:rPr>
        <w:t xml:space="preserve">that required approvals are in place, applied for, or otherwise expected to be received in the necessary timeframe to complete the </w:t>
      </w:r>
      <w:r>
        <w:rPr>
          <w:rFonts w:cstheme="minorHAnsi"/>
        </w:rPr>
        <w:t>proposed Resilience Upgrade</w:t>
      </w:r>
      <w:r w:rsidRPr="00D217B0">
        <w:rPr>
          <w:rFonts w:cstheme="minorHAnsi"/>
        </w:rPr>
        <w:t>.</w:t>
      </w:r>
    </w:p>
    <w:p w:rsidR="00D17FAB" w:rsidRPr="009B1E1A" w:rsidRDefault="00D17FAB" w:rsidP="00776147">
      <w:pPr>
        <w:pStyle w:val="Heading2"/>
      </w:pPr>
      <w:bookmarkStart w:id="21" w:name="_Toc414983554"/>
      <w:bookmarkStart w:id="22" w:name="_Toc414983971"/>
      <w:bookmarkStart w:id="23" w:name="_Toc414984731"/>
      <w:bookmarkStart w:id="24" w:name="_Toc414984825"/>
      <w:bookmarkStart w:id="25" w:name="_Toc414984929"/>
      <w:bookmarkStart w:id="26" w:name="_Toc414985033"/>
      <w:bookmarkStart w:id="27" w:name="_Toc414985136"/>
      <w:bookmarkStart w:id="28" w:name="_Toc414985238"/>
      <w:bookmarkStart w:id="29" w:name="_Toc464643016"/>
      <w:bookmarkStart w:id="30" w:name="_Toc119075810"/>
      <w:bookmarkStart w:id="31" w:name="_Toc149657390"/>
      <w:bookmarkStart w:id="32" w:name="_Toc421777611"/>
      <w:bookmarkStart w:id="33" w:name="_Toc421777601"/>
      <w:bookmarkEnd w:id="21"/>
      <w:bookmarkEnd w:id="22"/>
      <w:bookmarkEnd w:id="23"/>
      <w:bookmarkEnd w:id="24"/>
      <w:bookmarkEnd w:id="25"/>
      <w:bookmarkEnd w:id="26"/>
      <w:bookmarkEnd w:id="27"/>
      <w:bookmarkEnd w:id="28"/>
      <w:r w:rsidRPr="009B1E1A">
        <w:t>Who will approve the grant?</w:t>
      </w:r>
      <w:bookmarkEnd w:id="29"/>
      <w:bookmarkEnd w:id="30"/>
      <w:bookmarkEnd w:id="31"/>
      <w:r w:rsidRPr="009B1E1A">
        <w:t xml:space="preserve"> </w:t>
      </w:r>
    </w:p>
    <w:p w:rsidR="00D17FAB" w:rsidRDefault="00D17FAB" w:rsidP="00776147">
      <w:pPr>
        <w:ind w:left="851" w:hanging="851"/>
      </w:pPr>
      <w:r>
        <w:t>4.1.1.</w:t>
      </w:r>
      <w:r>
        <w:tab/>
        <w:t xml:space="preserve">The Minister for Communications (the </w:t>
      </w:r>
      <w:r>
        <w:rPr>
          <w:b/>
        </w:rPr>
        <w:t>Decision Maker</w:t>
      </w:r>
      <w:r>
        <w:t>)</w:t>
      </w:r>
      <w:r w:rsidRPr="00052CC0">
        <w:t xml:space="preserve"> will</w:t>
      </w:r>
      <w:r w:rsidRPr="009F1BCC">
        <w:t xml:space="preserve"> make the final decision to approve a grant.</w:t>
      </w:r>
    </w:p>
    <w:p w:rsidR="00D17FAB" w:rsidRPr="006C3F11" w:rsidRDefault="00D17FAB" w:rsidP="00776147">
      <w:pPr>
        <w:ind w:left="851" w:hanging="851"/>
      </w:pPr>
      <w:r>
        <w:t>4.1.2.</w:t>
      </w:r>
      <w:r>
        <w:tab/>
      </w:r>
      <w:r w:rsidRPr="009F6660">
        <w:t xml:space="preserve">The </w:t>
      </w:r>
      <w:r>
        <w:t>Decision Maker</w:t>
      </w:r>
      <w:r w:rsidRPr="009F6660">
        <w:t xml:space="preserve">’s </w:t>
      </w:r>
      <w:r w:rsidRPr="006C3F11">
        <w:t>decision is final in all matters, including:</w:t>
      </w:r>
    </w:p>
    <w:p w:rsidR="00D17FAB" w:rsidRPr="00776147" w:rsidRDefault="00D17FAB" w:rsidP="00776147">
      <w:pPr>
        <w:pStyle w:val="Bullet1"/>
      </w:pPr>
      <w:r w:rsidRPr="00776147">
        <w:t>the approval of the grant;</w:t>
      </w:r>
    </w:p>
    <w:p w:rsidR="00D17FAB" w:rsidRPr="00776147" w:rsidRDefault="00D17FAB" w:rsidP="00776147">
      <w:pPr>
        <w:pStyle w:val="Bullet1"/>
      </w:pPr>
      <w:r w:rsidRPr="00776147">
        <w:t>the grant amount to be awarded; and</w:t>
      </w:r>
    </w:p>
    <w:p w:rsidR="00D17FAB" w:rsidRPr="008E31BC" w:rsidRDefault="00D17FAB" w:rsidP="00776147">
      <w:pPr>
        <w:pStyle w:val="Bullet1"/>
      </w:pPr>
      <w:r w:rsidRPr="00776147">
        <w:t>th</w:t>
      </w:r>
      <w:r w:rsidRPr="008E31BC">
        <w:t xml:space="preserve">e terms and conditions of the grant. </w:t>
      </w:r>
    </w:p>
    <w:p w:rsidR="00D17FAB" w:rsidRPr="006542D9" w:rsidRDefault="00D17FAB" w:rsidP="00776147">
      <w:pPr>
        <w:pStyle w:val="Heading2"/>
      </w:pPr>
      <w:bookmarkStart w:id="34" w:name="_Toc453237030"/>
      <w:bookmarkStart w:id="35" w:name="_Toc464643018"/>
      <w:bookmarkStart w:id="36" w:name="_Toc119075811"/>
      <w:bookmarkStart w:id="37" w:name="_Toc149657391"/>
      <w:bookmarkStart w:id="38" w:name="_Toc421777622"/>
      <w:bookmarkStart w:id="39" w:name="_Toc433641183"/>
      <w:bookmarkEnd w:id="32"/>
      <w:bookmarkEnd w:id="33"/>
      <w:r w:rsidRPr="006542D9">
        <w:lastRenderedPageBreak/>
        <w:t xml:space="preserve">Notification </w:t>
      </w:r>
      <w:bookmarkEnd w:id="34"/>
      <w:bookmarkEnd w:id="35"/>
      <w:r>
        <w:t>of the grant</w:t>
      </w:r>
      <w:bookmarkEnd w:id="36"/>
      <w:bookmarkEnd w:id="37"/>
    </w:p>
    <w:p w:rsidR="00D17FAB" w:rsidRDefault="00D17FAB" w:rsidP="001210B1">
      <w:pPr>
        <w:ind w:left="851" w:hanging="851"/>
      </w:pPr>
      <w:bookmarkStart w:id="40" w:name="_Toc466898121"/>
      <w:r>
        <w:t>5.1.1.</w:t>
      </w:r>
      <w:r>
        <w:tab/>
        <w:t>We will advise you of the outcome</w:t>
      </w:r>
      <w:r w:rsidRPr="00B72EE8">
        <w:t xml:space="preserve"> </w:t>
      </w:r>
      <w:r w:rsidRPr="006542D9">
        <w:t>in writing</w:t>
      </w:r>
      <w:r w:rsidRPr="009F6660">
        <w:t xml:space="preserve">, </w:t>
      </w:r>
      <w:r w:rsidRPr="00B72EE8">
        <w:t xml:space="preserve">following a </w:t>
      </w:r>
      <w:r>
        <w:t>d</w:t>
      </w:r>
      <w:r w:rsidRPr="00B72EE8">
        <w:t xml:space="preserve">ecision </w:t>
      </w:r>
      <w:r w:rsidRPr="00D217B0">
        <w:t xml:space="preserve">by the </w:t>
      </w:r>
      <w:r>
        <w:t>Decision Maker.</w:t>
      </w:r>
      <w:r w:rsidRPr="006542D9">
        <w:t xml:space="preserve"> </w:t>
      </w:r>
      <w:r>
        <w:t xml:space="preserve">We will advise you of </w:t>
      </w:r>
      <w:r w:rsidRPr="00B72EE8">
        <w:t xml:space="preserve">any specific conditions attached to the </w:t>
      </w:r>
      <w:r>
        <w:t>grant</w:t>
      </w:r>
      <w:r w:rsidRPr="00B72EE8">
        <w:t xml:space="preserve">. </w:t>
      </w:r>
    </w:p>
    <w:p w:rsidR="00D17FAB" w:rsidRPr="0037755B" w:rsidRDefault="001210B1" w:rsidP="00776147">
      <w:pPr>
        <w:pStyle w:val="Heading3"/>
      </w:pPr>
      <w:bookmarkStart w:id="41" w:name="_Toc119075812"/>
      <w:bookmarkStart w:id="42" w:name="_Toc149657392"/>
      <w:r>
        <w:t>5.2</w:t>
      </w:r>
      <w:r>
        <w:tab/>
      </w:r>
      <w:r w:rsidR="00D17FAB" w:rsidRPr="0037755B">
        <w:t>The grant agreement/Payment of the grant</w:t>
      </w:r>
      <w:bookmarkEnd w:id="41"/>
      <w:bookmarkEnd w:id="42"/>
    </w:p>
    <w:p w:rsidR="00D17FAB" w:rsidRDefault="00D17FAB" w:rsidP="00776147">
      <w:pPr>
        <w:ind w:left="851" w:hanging="851"/>
      </w:pPr>
      <w:r>
        <w:t>5.2.1.</w:t>
      </w:r>
      <w:r>
        <w:tab/>
      </w:r>
      <w:r w:rsidR="00562192">
        <w:t>The department will issue the Grantee with a draft variation to its MNHP Stage 2 f</w:t>
      </w:r>
      <w:r w:rsidR="00562192" w:rsidRPr="008E31BC">
        <w:t xml:space="preserve">unding </w:t>
      </w:r>
      <w:r w:rsidR="00562192">
        <w:t>a</w:t>
      </w:r>
      <w:r w:rsidR="00562192" w:rsidRPr="008E31BC">
        <w:t>greement</w:t>
      </w:r>
      <w:r w:rsidR="00562192">
        <w:t xml:space="preserve"> (the </w:t>
      </w:r>
      <w:r w:rsidR="00562192">
        <w:rPr>
          <w:b/>
        </w:rPr>
        <w:t xml:space="preserve">Funding </w:t>
      </w:r>
      <w:r w:rsidR="00562192" w:rsidRPr="008E31BC">
        <w:rPr>
          <w:b/>
        </w:rPr>
        <w:t>Agreement</w:t>
      </w:r>
      <w:r w:rsidR="00562192">
        <w:t xml:space="preserve">) </w:t>
      </w:r>
      <w:r w:rsidR="00562192" w:rsidRPr="008E31BC">
        <w:t>to</w:t>
      </w:r>
      <w:r w:rsidR="00562192">
        <w:t xml:space="preserve"> give effect to the Decision Maker’s decision</w:t>
      </w:r>
      <w:r>
        <w:t>.</w:t>
      </w:r>
    </w:p>
    <w:p w:rsidR="00D17FAB" w:rsidRDefault="00D17FAB" w:rsidP="00776147">
      <w:pPr>
        <w:ind w:left="851" w:hanging="851"/>
      </w:pPr>
      <w:r>
        <w:t>5.2.2.</w:t>
      </w:r>
      <w:r>
        <w:tab/>
      </w:r>
      <w:r w:rsidR="00562192">
        <w:t>The Grantee may request amendments to the terms of the draft variation. Where the department does not consider a requested amendment acceptable, it will negotiate with the Grantee</w:t>
      </w:r>
      <w:r>
        <w:t>.</w:t>
      </w:r>
    </w:p>
    <w:p w:rsidR="00D17FAB" w:rsidRDefault="00D17FAB" w:rsidP="00776147">
      <w:pPr>
        <w:ind w:left="851" w:hanging="851"/>
      </w:pPr>
      <w:r>
        <w:t>5.2.3.</w:t>
      </w:r>
      <w:r>
        <w:tab/>
      </w:r>
      <w:r w:rsidR="00562192">
        <w:t>The variation must be executed before the department can make any payments to the Grantee.</w:t>
      </w:r>
      <w:r w:rsidR="00562192" w:rsidRPr="00AA402F">
        <w:t xml:space="preserve"> </w:t>
      </w:r>
      <w:r w:rsidR="00562192">
        <w:t>If the Grantee chooses to start the grant activity before the variation is executed, it does so at its own risk</w:t>
      </w:r>
    </w:p>
    <w:p w:rsidR="00D17FAB" w:rsidRDefault="00D17FAB" w:rsidP="00776147">
      <w:pPr>
        <w:ind w:left="851" w:hanging="851"/>
      </w:pPr>
      <w:r>
        <w:t>5.2.4.</w:t>
      </w:r>
      <w:r>
        <w:tab/>
      </w:r>
      <w:r w:rsidR="00562192">
        <w:t>The department intends for the grant activity to commence as soon as possible following the Decision Maker’s decision and will seek to promptly negotiate and arrange to execute the variation</w:t>
      </w:r>
      <w:r>
        <w:t xml:space="preserve">. </w:t>
      </w:r>
    </w:p>
    <w:p w:rsidR="00D17FAB" w:rsidRPr="003813B5" w:rsidRDefault="00D17FAB" w:rsidP="00776147">
      <w:pPr>
        <w:ind w:left="851" w:hanging="851"/>
        <w:rPr>
          <w:rFonts w:cstheme="minorHAnsi"/>
        </w:rPr>
      </w:pPr>
      <w:r w:rsidRPr="003813B5">
        <w:rPr>
          <w:rFonts w:cstheme="minorHAnsi"/>
        </w:rPr>
        <w:t>5.2.5.</w:t>
      </w:r>
      <w:r w:rsidRPr="003813B5">
        <w:rPr>
          <w:rFonts w:cstheme="minorHAnsi"/>
        </w:rPr>
        <w:tab/>
      </w:r>
      <w:r w:rsidR="00562192" w:rsidRPr="003813B5">
        <w:rPr>
          <w:rFonts w:cstheme="minorHAnsi"/>
        </w:rPr>
        <w:t>The Funding Agreement, as varied to include the additional grant funding provided through this grant opportunity, will state the</w:t>
      </w:r>
      <w:r w:rsidRPr="003813B5">
        <w:rPr>
          <w:rFonts w:cstheme="minorHAnsi"/>
        </w:rPr>
        <w:t>:</w:t>
      </w:r>
    </w:p>
    <w:p w:rsidR="00562192" w:rsidRPr="00562192" w:rsidRDefault="00562192" w:rsidP="00562192">
      <w:pPr>
        <w:pStyle w:val="Bullet1"/>
      </w:pPr>
      <w:r w:rsidRPr="003813B5">
        <w:t>maximum additional grant amount to</w:t>
      </w:r>
      <w:r w:rsidRPr="00562192">
        <w:t xml:space="preserve"> be paid for the Resilience Upgrade;</w:t>
      </w:r>
    </w:p>
    <w:p w:rsidR="00562192" w:rsidRPr="00562192" w:rsidRDefault="00562192" w:rsidP="00562192">
      <w:pPr>
        <w:pStyle w:val="Bullet1"/>
      </w:pPr>
      <w:r w:rsidRPr="00562192">
        <w:t>any additional financial contributions the Grantee and/or third</w:t>
      </w:r>
      <w:r w:rsidRPr="00562192">
        <w:noBreakHyphen/>
        <w:t>parties propose to make for the Resilience Upgrade;</w:t>
      </w:r>
    </w:p>
    <w:p w:rsidR="00562192" w:rsidRPr="00562192" w:rsidRDefault="00562192" w:rsidP="00562192">
      <w:pPr>
        <w:pStyle w:val="Bullet1"/>
      </w:pPr>
      <w:r w:rsidRPr="00562192">
        <w:t>details of the Resilience Upgrade, including the location, type of solution, proposed design reserve, intended use, estimated cost and proposed rollout schedule; and</w:t>
      </w:r>
    </w:p>
    <w:p w:rsidR="00D17FAB" w:rsidRDefault="00562192" w:rsidP="00562192">
      <w:pPr>
        <w:pStyle w:val="Bullet1"/>
        <w:spacing w:after="240"/>
      </w:pPr>
      <w:r w:rsidRPr="00562192">
        <w:t>payment milestones and timeframe</w:t>
      </w:r>
      <w:r w:rsidRPr="003813B5">
        <w:t>s for the additional grant funding.</w:t>
      </w:r>
    </w:p>
    <w:p w:rsidR="00D17FAB" w:rsidRDefault="00D17FAB" w:rsidP="00776147">
      <w:pPr>
        <w:ind w:left="851" w:hanging="851"/>
        <w:rPr>
          <w:rFonts w:cstheme="minorHAnsi"/>
        </w:rPr>
      </w:pPr>
      <w:r>
        <w:rPr>
          <w:rFonts w:cstheme="minorHAnsi"/>
        </w:rPr>
        <w:t>5.2.6.</w:t>
      </w:r>
      <w:r>
        <w:rPr>
          <w:rFonts w:cstheme="minorHAnsi"/>
        </w:rPr>
        <w:tab/>
      </w:r>
      <w:r w:rsidR="00562192">
        <w:rPr>
          <w:rFonts w:cstheme="minorHAnsi"/>
        </w:rPr>
        <w:t>The department will make payments according to the payment milestones and timeframes set out in the Funding Agreement as varied</w:t>
      </w:r>
      <w:r>
        <w:rPr>
          <w:rFonts w:cstheme="minorHAnsi"/>
        </w:rPr>
        <w:t>.</w:t>
      </w:r>
    </w:p>
    <w:p w:rsidR="00D17FAB" w:rsidRPr="003813B5" w:rsidRDefault="00D17FAB" w:rsidP="00776147">
      <w:pPr>
        <w:ind w:left="851" w:hanging="851"/>
        <w:rPr>
          <w:rFonts w:cstheme="minorHAnsi"/>
        </w:rPr>
      </w:pPr>
      <w:r>
        <w:rPr>
          <w:rFonts w:cstheme="minorHAnsi"/>
        </w:rPr>
        <w:t>5.2.7.</w:t>
      </w:r>
      <w:r>
        <w:rPr>
          <w:rFonts w:cstheme="minorHAnsi"/>
        </w:rPr>
        <w:tab/>
        <w:t>Payments will be GST inclusive, as set out in the variation.</w:t>
      </w:r>
    </w:p>
    <w:p w:rsidR="00D17FAB" w:rsidRPr="0037755B" w:rsidDel="00D505A5" w:rsidRDefault="001210B1" w:rsidP="00776147">
      <w:pPr>
        <w:pStyle w:val="Heading3"/>
      </w:pPr>
      <w:bookmarkStart w:id="43" w:name="_Toc464643020"/>
      <w:bookmarkStart w:id="44" w:name="_Toc119075813"/>
      <w:bookmarkStart w:id="45" w:name="_Toc149657393"/>
      <w:r>
        <w:t>5.3</w:t>
      </w:r>
      <w:r>
        <w:tab/>
      </w:r>
      <w:r w:rsidR="00D17FAB" w:rsidRPr="0037755B">
        <w:t>Grant acquittal and reporting</w:t>
      </w:r>
      <w:bookmarkEnd w:id="43"/>
      <w:bookmarkEnd w:id="44"/>
      <w:bookmarkEnd w:id="45"/>
    </w:p>
    <w:p w:rsidR="001210B1" w:rsidRPr="003813B5" w:rsidRDefault="001210B1" w:rsidP="001210B1">
      <w:pPr>
        <w:ind w:left="851" w:hanging="851"/>
        <w:rPr>
          <w:rFonts w:cstheme="minorHAnsi"/>
        </w:rPr>
      </w:pPr>
      <w:r>
        <w:rPr>
          <w:rFonts w:cstheme="minorHAnsi"/>
        </w:rPr>
        <w:t>5.3.1</w:t>
      </w:r>
      <w:r>
        <w:rPr>
          <w:rFonts w:cstheme="minorHAnsi"/>
        </w:rPr>
        <w:tab/>
      </w:r>
      <w:r w:rsidR="00562192">
        <w:rPr>
          <w:rFonts w:cstheme="minorHAnsi"/>
        </w:rPr>
        <w:t>The variation to the Funding Agreement will include provisions requiring that the Grantee submit reports in line with the timeframes and requirements in the Funding Agreement as varied</w:t>
      </w:r>
      <w:r w:rsidR="00D17FAB">
        <w:rPr>
          <w:rFonts w:cstheme="minorHAnsi"/>
        </w:rPr>
        <w:t>.</w:t>
      </w:r>
      <w:bookmarkStart w:id="46" w:name="_Toc453237031"/>
      <w:bookmarkStart w:id="47" w:name="_Toc464643019"/>
      <w:bookmarkStart w:id="48" w:name="_Toc119075814"/>
      <w:bookmarkStart w:id="49" w:name="_Toc421777623"/>
      <w:bookmarkEnd w:id="38"/>
      <w:bookmarkEnd w:id="39"/>
      <w:bookmarkEnd w:id="40"/>
    </w:p>
    <w:p w:rsidR="00D17FAB" w:rsidRPr="006542D9" w:rsidRDefault="00D17FAB" w:rsidP="001210B1">
      <w:pPr>
        <w:pStyle w:val="Heading2"/>
      </w:pPr>
      <w:bookmarkStart w:id="50" w:name="_Toc149657394"/>
      <w:r w:rsidRPr="006542D9">
        <w:t xml:space="preserve">Announcement of </w:t>
      </w:r>
      <w:r>
        <w:t xml:space="preserve">the </w:t>
      </w:r>
      <w:r w:rsidRPr="006542D9">
        <w:t>grant</w:t>
      </w:r>
      <w:bookmarkEnd w:id="46"/>
      <w:bookmarkEnd w:id="47"/>
      <w:bookmarkEnd w:id="48"/>
      <w:bookmarkEnd w:id="50"/>
    </w:p>
    <w:p w:rsidR="00D17FAB" w:rsidRPr="006542D9" w:rsidRDefault="00D17FAB" w:rsidP="00776147">
      <w:pPr>
        <w:spacing w:before="60"/>
        <w:ind w:left="851" w:hanging="851"/>
      </w:pPr>
      <w:r>
        <w:t>6.1.1.</w:t>
      </w:r>
      <w:r>
        <w:tab/>
        <w:t>Your grant will be listed</w:t>
      </w:r>
      <w:r w:rsidRPr="00B72EE8">
        <w:t xml:space="preserve"> on</w:t>
      </w:r>
      <w:r>
        <w:t xml:space="preserve"> the </w:t>
      </w:r>
      <w:hyperlink r:id="rId15" w:history="1">
        <w:proofErr w:type="spellStart"/>
        <w:r w:rsidRPr="00D02449">
          <w:rPr>
            <w:rStyle w:val="Hyperlink"/>
          </w:rPr>
          <w:t>GrantConnect</w:t>
        </w:r>
        <w:proofErr w:type="spellEnd"/>
      </w:hyperlink>
      <w:r w:rsidRPr="000A572F">
        <w:t xml:space="preserve"> website</w:t>
      </w:r>
      <w:r>
        <w:t>, no later than 21 d</w:t>
      </w:r>
      <w:r w:rsidRPr="000A572F">
        <w:t xml:space="preserve">ays </w:t>
      </w:r>
      <w:r>
        <w:t>after</w:t>
      </w:r>
      <w:r w:rsidRPr="000A572F">
        <w:t xml:space="preserve"> </w:t>
      </w:r>
      <w:r>
        <w:t xml:space="preserve">the date of effect as required by Section 5.3 of the </w:t>
      </w:r>
      <w:r w:rsidRPr="00050D75">
        <w:t>CGRGs</w:t>
      </w:r>
      <w:r w:rsidRPr="006542D9">
        <w:t>.</w:t>
      </w:r>
    </w:p>
    <w:p w:rsidR="00D17FAB" w:rsidRPr="00F00023" w:rsidDel="00D505A5" w:rsidRDefault="00D17FAB" w:rsidP="00776147">
      <w:pPr>
        <w:pStyle w:val="Heading2"/>
      </w:pPr>
      <w:bookmarkStart w:id="51" w:name="_Toc119075815"/>
      <w:bookmarkStart w:id="52" w:name="_Toc149657395"/>
      <w:r w:rsidRPr="00F00023">
        <w:t>Grant evaluation</w:t>
      </w:r>
      <w:bookmarkEnd w:id="51"/>
      <w:bookmarkEnd w:id="52"/>
    </w:p>
    <w:p w:rsidR="00D17FAB" w:rsidRPr="008E31BC" w:rsidRDefault="00D17FAB" w:rsidP="00776147">
      <w:pPr>
        <w:pStyle w:val="Bullet1"/>
        <w:numPr>
          <w:ilvl w:val="0"/>
          <w:numId w:val="0"/>
        </w:numPr>
        <w:ind w:left="851" w:hanging="851"/>
      </w:pPr>
      <w:r>
        <w:t>7.1.1.</w:t>
      </w:r>
      <w:r>
        <w:tab/>
      </w:r>
      <w:r w:rsidR="00562192">
        <w:t>The</w:t>
      </w:r>
      <w:r w:rsidR="00562192" w:rsidRPr="00726710">
        <w:rPr>
          <w:b/>
          <w:color w:val="525252" w:themeColor="accent3" w:themeShade="80"/>
        </w:rPr>
        <w:t xml:space="preserve"> </w:t>
      </w:r>
      <w:r w:rsidR="00562192">
        <w:t>department</w:t>
      </w:r>
      <w:r w:rsidR="00562192" w:rsidRPr="006542D9">
        <w:t xml:space="preserve"> </w:t>
      </w:r>
      <w:r w:rsidR="00562192">
        <w:t xml:space="preserve">may </w:t>
      </w:r>
      <w:r w:rsidR="00562192" w:rsidRPr="00B72EE8">
        <w:t>evaluat</w:t>
      </w:r>
      <w:r w:rsidR="00562192">
        <w:t>e</w:t>
      </w:r>
      <w:r w:rsidR="00562192" w:rsidRPr="00B72EE8">
        <w:t xml:space="preserve"> </w:t>
      </w:r>
      <w:r w:rsidR="00562192">
        <w:t>this grant</w:t>
      </w:r>
      <w:r w:rsidR="00562192" w:rsidRPr="00726710">
        <w:rPr>
          <w:color w:val="525252" w:themeColor="accent3" w:themeShade="80"/>
        </w:rPr>
        <w:t xml:space="preserve"> </w:t>
      </w:r>
      <w:r w:rsidR="00562192" w:rsidRPr="00B72EE8">
        <w:t>to</w:t>
      </w:r>
      <w:r w:rsidR="00562192">
        <w:t xml:space="preserve"> measure how well </w:t>
      </w:r>
      <w:r w:rsidR="00562192" w:rsidRPr="00B72EE8">
        <w:t>the outcomes and</w:t>
      </w:r>
      <w:r w:rsidR="00562192">
        <w:t xml:space="preserve"> objectives have been achieved and may use information from the proposal, the Grantee’s MNHP Stage 1 application and reports for this purpose</w:t>
      </w:r>
      <w:r>
        <w:t>.</w:t>
      </w:r>
      <w:bookmarkEnd w:id="49"/>
    </w:p>
    <w:sectPr w:rsidR="00D17FAB" w:rsidRPr="008E31BC" w:rsidSect="00796AB4">
      <w:headerReference w:type="default" r:id="rId16"/>
      <w:headerReference w:type="first" r:id="rId17"/>
      <w:footerReference w:type="first" r:id="rId18"/>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C5" w:rsidRDefault="00D17EC5" w:rsidP="00FC413F">
      <w:pPr>
        <w:spacing w:after="0"/>
      </w:pPr>
      <w:r>
        <w:separator/>
      </w:r>
    </w:p>
  </w:endnote>
  <w:endnote w:type="continuationSeparator" w:id="0">
    <w:p w:rsidR="00D17EC5" w:rsidRDefault="00D17EC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useoSans-5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FC413F" w:rsidRDefault="00C76811"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360DE">
      <w:rPr>
        <w:rFonts w:cs="Segoe UI"/>
        <w:noProof/>
        <w:szCs w:val="18"/>
      </w:rPr>
      <w:t>Mobile Network Hardening Program: Yarramalong Resilience Upgrade</w:t>
    </w:r>
    <w:r w:rsidR="001360DE">
      <w:rPr>
        <w:rFonts w:cs="Segoe UI"/>
        <w:noProof/>
        <w:szCs w:val="18"/>
      </w:rPr>
      <w:br/>
      <w:t>Grant Opportunity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360DE">
      <w:rPr>
        <w:rFonts w:cs="Segoe UI"/>
        <w:noProof/>
        <w:szCs w:val="18"/>
      </w:rPr>
      <w:t>Mobile Network Hardening Program: Yarramalong Resilience Upgrade</w:t>
    </w:r>
    <w:r w:rsidR="001360DE">
      <w:rPr>
        <w:rFonts w:cs="Segoe UI"/>
        <w:noProof/>
        <w:szCs w:val="18"/>
      </w:rPr>
      <w:br/>
      <w:t>Grant Opportunity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C76811" w:rsidRPr="00FC413F" w:rsidRDefault="00C76811"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C5" w:rsidRDefault="00D17EC5" w:rsidP="00FC413F">
      <w:pPr>
        <w:spacing w:after="0"/>
      </w:pPr>
      <w:r>
        <w:separator/>
      </w:r>
    </w:p>
  </w:footnote>
  <w:footnote w:type="continuationSeparator" w:id="0">
    <w:p w:rsidR="00D17EC5" w:rsidRDefault="00D17EC5" w:rsidP="00FC413F">
      <w:pPr>
        <w:spacing w:after="0"/>
      </w:pPr>
      <w:r>
        <w:continuationSeparator/>
      </w:r>
    </w:p>
  </w:footnote>
  <w:footnote w:id="1">
    <w:p w:rsidR="00BC1652" w:rsidRPr="00CB575E" w:rsidRDefault="00BC1652" w:rsidP="00BC1652">
      <w:pPr>
        <w:pStyle w:val="FootnoteText"/>
        <w:rPr>
          <w:lang w:val="en-US"/>
        </w:rPr>
      </w:pPr>
      <w:r w:rsidRPr="00CB575E">
        <w:rPr>
          <w:rStyle w:val="FootnoteReference"/>
        </w:rPr>
        <w:footnoteRef/>
      </w:r>
      <w:r w:rsidRPr="00CB575E">
        <w:t xml:space="preserve"> See </w:t>
      </w:r>
      <w:r w:rsidRPr="00CB575E">
        <w:rPr>
          <w:u w:val="single" w:color="0070C0"/>
        </w:rPr>
        <w:t>www.infrastructure.gov.au/media-communications-arts/phone/improving-resilience-australias-telco-networks</w:t>
      </w:r>
      <w:r w:rsidRPr="00CB575E">
        <w:t xml:space="preserve"> </w:t>
      </w:r>
    </w:p>
  </w:footnote>
  <w:footnote w:id="2">
    <w:p w:rsidR="00A74E9C" w:rsidRPr="00A74E9C" w:rsidRDefault="00A74E9C" w:rsidP="00A74E9C">
      <w:pPr>
        <w:pStyle w:val="FootnoteText"/>
        <w:rPr>
          <w:lang w:val="en-US"/>
        </w:rPr>
      </w:pPr>
      <w:r>
        <w:rPr>
          <w:rStyle w:val="FootnoteReference"/>
        </w:rPr>
        <w:footnoteRef/>
      </w:r>
      <w:r>
        <w:t xml:space="preserve"> </w:t>
      </w:r>
      <w:r w:rsidRPr="00CB575E">
        <w:t>See</w:t>
      </w:r>
      <w:r w:rsidRPr="00A74E9C">
        <w:t xml:space="preserve"> </w:t>
      </w:r>
      <w:hyperlink r:id="rId1" w:history="1">
        <w:r w:rsidRPr="00A74E9C">
          <w:rPr>
            <w:rStyle w:val="Hyperlink"/>
            <w:rFonts w:asciiTheme="minorHAnsi" w:hAnsiTheme="minorHAnsi" w:cs="MuseoSans-500"/>
          </w:rPr>
          <w:t>www.finance.gov.au/sites/default/files/commonwealth-grants-rules-and-guidelines.pdf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1360DE">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1360DE">
      <w:rPr>
        <w:rFonts w:cs="Segoe UI Light"/>
        <w:noProof/>
        <w:color w:val="001C40"/>
        <w:sz w:val="20"/>
        <w:szCs w:val="20"/>
      </w:rPr>
      <w:t>The grant selection process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360DE">
      <w:rPr>
        <w:rFonts w:cs="Segoe UI Light"/>
        <w:noProof/>
        <w:color w:val="001C40"/>
        <w:sz w:val="20"/>
        <w:szCs w:val="20"/>
      </w:rPr>
      <w:t>About the grant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F07FB"/>
    <w:multiLevelType w:val="multilevel"/>
    <w:tmpl w:val="8F2C2C8E"/>
    <w:lvl w:ilvl="0">
      <w:start w:val="3"/>
      <w:numFmt w:val="decimal"/>
      <w:lvlText w:val="%1."/>
      <w:lvlJc w:val="left"/>
      <w:pPr>
        <w:ind w:left="576" w:hanging="57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489008EA"/>
    <w:multiLevelType w:val="multilevel"/>
    <w:tmpl w:val="204EBB8E"/>
    <w:lvl w:ilvl="0">
      <w:start w:val="1"/>
      <w:numFmt w:val="decimal"/>
      <w:pStyle w:val="Heading2"/>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FD708D"/>
    <w:multiLevelType w:val="multilevel"/>
    <w:tmpl w:val="2364201E"/>
    <w:lvl w:ilvl="0">
      <w:start w:val="3"/>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8"/>
  </w:num>
  <w:num w:numId="19">
    <w:abstractNumId w:val="13"/>
  </w:num>
  <w:num w:numId="20">
    <w:abstractNumId w:val="14"/>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3D5E"/>
    <w:rsid w:val="0003502E"/>
    <w:rsid w:val="000522EB"/>
    <w:rsid w:val="00072195"/>
    <w:rsid w:val="000740FB"/>
    <w:rsid w:val="00090E62"/>
    <w:rsid w:val="000B1E86"/>
    <w:rsid w:val="000C0244"/>
    <w:rsid w:val="000D4B3B"/>
    <w:rsid w:val="000D6FE4"/>
    <w:rsid w:val="000E29BE"/>
    <w:rsid w:val="00105DA4"/>
    <w:rsid w:val="00113A03"/>
    <w:rsid w:val="001210B1"/>
    <w:rsid w:val="00133645"/>
    <w:rsid w:val="00133A45"/>
    <w:rsid w:val="001360DE"/>
    <w:rsid w:val="00143894"/>
    <w:rsid w:val="00190A0C"/>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03B4"/>
    <w:rsid w:val="00381BDA"/>
    <w:rsid w:val="003B2799"/>
    <w:rsid w:val="003B4139"/>
    <w:rsid w:val="003B6D01"/>
    <w:rsid w:val="003C575A"/>
    <w:rsid w:val="003D71C5"/>
    <w:rsid w:val="003F3CB7"/>
    <w:rsid w:val="00416734"/>
    <w:rsid w:val="00436898"/>
    <w:rsid w:val="00445017"/>
    <w:rsid w:val="004729CA"/>
    <w:rsid w:val="00496F2D"/>
    <w:rsid w:val="004A3207"/>
    <w:rsid w:val="00521544"/>
    <w:rsid w:val="005413E7"/>
    <w:rsid w:val="00562192"/>
    <w:rsid w:val="005941FC"/>
    <w:rsid w:val="005B52D6"/>
    <w:rsid w:val="005C0459"/>
    <w:rsid w:val="005C37D2"/>
    <w:rsid w:val="005D038B"/>
    <w:rsid w:val="005E55BD"/>
    <w:rsid w:val="005E7929"/>
    <w:rsid w:val="00610225"/>
    <w:rsid w:val="00630D43"/>
    <w:rsid w:val="006452B1"/>
    <w:rsid w:val="006542FA"/>
    <w:rsid w:val="00654F9E"/>
    <w:rsid w:val="00670726"/>
    <w:rsid w:val="00691FA2"/>
    <w:rsid w:val="006D43C7"/>
    <w:rsid w:val="006E139E"/>
    <w:rsid w:val="006E5952"/>
    <w:rsid w:val="00731351"/>
    <w:rsid w:val="007367BB"/>
    <w:rsid w:val="00743554"/>
    <w:rsid w:val="00744CD2"/>
    <w:rsid w:val="00772C27"/>
    <w:rsid w:val="00776147"/>
    <w:rsid w:val="00790F25"/>
    <w:rsid w:val="00793843"/>
    <w:rsid w:val="00796AB4"/>
    <w:rsid w:val="0079788A"/>
    <w:rsid w:val="007B68AB"/>
    <w:rsid w:val="0081260E"/>
    <w:rsid w:val="00822DBF"/>
    <w:rsid w:val="008A7B93"/>
    <w:rsid w:val="008B7158"/>
    <w:rsid w:val="008C17DA"/>
    <w:rsid w:val="008D4156"/>
    <w:rsid w:val="008E534F"/>
    <w:rsid w:val="008F24DE"/>
    <w:rsid w:val="00912D17"/>
    <w:rsid w:val="009276A3"/>
    <w:rsid w:val="009279AE"/>
    <w:rsid w:val="00935A30"/>
    <w:rsid w:val="00944067"/>
    <w:rsid w:val="00953CCD"/>
    <w:rsid w:val="0095576D"/>
    <w:rsid w:val="00985DD5"/>
    <w:rsid w:val="009C1ECD"/>
    <w:rsid w:val="009E5B72"/>
    <w:rsid w:val="00A24200"/>
    <w:rsid w:val="00A32D82"/>
    <w:rsid w:val="00A42FF2"/>
    <w:rsid w:val="00A44E4B"/>
    <w:rsid w:val="00A4759C"/>
    <w:rsid w:val="00A5600C"/>
    <w:rsid w:val="00A63390"/>
    <w:rsid w:val="00A74E9C"/>
    <w:rsid w:val="00A82DAF"/>
    <w:rsid w:val="00A86AF3"/>
    <w:rsid w:val="00AA53C4"/>
    <w:rsid w:val="00AC6195"/>
    <w:rsid w:val="00AE61A6"/>
    <w:rsid w:val="00B041CB"/>
    <w:rsid w:val="00B12FC1"/>
    <w:rsid w:val="00B3785F"/>
    <w:rsid w:val="00B43F55"/>
    <w:rsid w:val="00B5393D"/>
    <w:rsid w:val="00B74715"/>
    <w:rsid w:val="00B75995"/>
    <w:rsid w:val="00B76D03"/>
    <w:rsid w:val="00BB3D46"/>
    <w:rsid w:val="00BC0598"/>
    <w:rsid w:val="00BC1652"/>
    <w:rsid w:val="00BF5FA4"/>
    <w:rsid w:val="00C02452"/>
    <w:rsid w:val="00C17479"/>
    <w:rsid w:val="00C32353"/>
    <w:rsid w:val="00C36E40"/>
    <w:rsid w:val="00C62177"/>
    <w:rsid w:val="00C76811"/>
    <w:rsid w:val="00C817A5"/>
    <w:rsid w:val="00CA5147"/>
    <w:rsid w:val="00CD0046"/>
    <w:rsid w:val="00D17EC5"/>
    <w:rsid w:val="00D17FAB"/>
    <w:rsid w:val="00D36B96"/>
    <w:rsid w:val="00D47BFD"/>
    <w:rsid w:val="00D56936"/>
    <w:rsid w:val="00D64922"/>
    <w:rsid w:val="00D85DEB"/>
    <w:rsid w:val="00DC5DC8"/>
    <w:rsid w:val="00E40643"/>
    <w:rsid w:val="00E7227D"/>
    <w:rsid w:val="00E76BC6"/>
    <w:rsid w:val="00E80E04"/>
    <w:rsid w:val="00E84EB1"/>
    <w:rsid w:val="00EA415A"/>
    <w:rsid w:val="00ED761D"/>
    <w:rsid w:val="00EE6EE8"/>
    <w:rsid w:val="00EF5B98"/>
    <w:rsid w:val="00F41576"/>
    <w:rsid w:val="00F60041"/>
    <w:rsid w:val="00F61FA1"/>
    <w:rsid w:val="00F76F3D"/>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D17FAB"/>
    <w:pPr>
      <w:numPr>
        <w:ilvl w:val="1"/>
      </w:numPr>
      <w:suppressAutoHyphens/>
      <w:spacing w:before="240" w:after="720"/>
      <w:ind w:left="1134"/>
      <w:jc w:val="right"/>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743554"/>
    <w:pPr>
      <w:keepNext/>
      <w:keepLines/>
      <w:numPr>
        <w:numId w:val="20"/>
      </w:numPr>
      <w:suppressAutoHyphens/>
      <w:spacing w:before="240"/>
      <w:ind w:left="851" w:hanging="851"/>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E84EB1"/>
    <w:pPr>
      <w:keepNext/>
      <w:keepLines/>
      <w:suppressAutoHyphens/>
      <w:spacing w:before="120"/>
      <w:ind w:left="851" w:hanging="851"/>
      <w:outlineLvl w:val="2"/>
    </w:pPr>
    <w:rPr>
      <w:rFonts w:eastAsia="SimSun" w:cs="Times New Roman"/>
      <w:b/>
      <w:color w:val="595C6E"/>
      <w:kern w:val="12"/>
      <w:sz w:val="28"/>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D17FA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743554"/>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E84EB1"/>
    <w:rPr>
      <w:rFonts w:ascii="Calibri" w:eastAsia="SimSun" w:hAnsi="Calibri" w:cs="Times New Roman"/>
      <w:b/>
      <w:color w:val="595C6E"/>
      <w:kern w:val="12"/>
      <w:sz w:val="28"/>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Recommendation,List Paragraph1,List Paragraph11"/>
    <w:basedOn w:val="Normal"/>
    <w:link w:val="ListParagraphChar"/>
    <w:uiPriority w:val="34"/>
    <w:qFormat/>
    <w:rsid w:val="00743554"/>
    <w:pPr>
      <w:numPr>
        <w:numId w:val="3"/>
      </w:numPr>
      <w:ind w:left="851" w:hanging="851"/>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E40643"/>
    <w:pPr>
      <w:keepNext/>
      <w:tabs>
        <w:tab w:val="right" w:leader="dot" w:pos="9072"/>
      </w:tabs>
      <w:spacing w:before="120" w:after="0"/>
      <w:ind w:left="567" w:right="567" w:hanging="567"/>
    </w:pPr>
    <w:rPr>
      <w:b/>
      <w:color w:val="000000" w:themeColor="text1"/>
      <w:u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9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customStyle="1" w:styleId="Bullet1">
    <w:name w:val="Bullet 1"/>
    <w:basedOn w:val="Normal"/>
    <w:qFormat/>
    <w:rsid w:val="00743554"/>
    <w:pPr>
      <w:numPr>
        <w:numId w:val="18"/>
      </w:numPr>
      <w:suppressAutoHyphens/>
      <w:spacing w:before="120" w:after="60" w:line="280" w:lineRule="atLeast"/>
      <w:ind w:left="1418" w:hanging="567"/>
    </w:pPr>
    <w:rPr>
      <w:rFonts w:asciiTheme="minorHAnsi" w:hAnsiTheme="minorHAnsi"/>
    </w:rPr>
  </w:style>
  <w:style w:type="paragraph" w:customStyle="1" w:styleId="Bullet2">
    <w:name w:val="Bullet 2"/>
    <w:basedOn w:val="Bullet1"/>
    <w:qFormat/>
    <w:rsid w:val="00D17FAB"/>
    <w:pPr>
      <w:numPr>
        <w:ilvl w:val="1"/>
      </w:numPr>
    </w:pPr>
  </w:style>
  <w:style w:type="paragraph" w:customStyle="1" w:styleId="Bullet3">
    <w:name w:val="Bullet 3"/>
    <w:basedOn w:val="Bullet2"/>
    <w:qFormat/>
    <w:rsid w:val="00D17FAB"/>
    <w:pPr>
      <w:numPr>
        <w:ilvl w:val="2"/>
      </w:numPr>
    </w:pPr>
  </w:style>
  <w:style w:type="paragraph" w:customStyle="1" w:styleId="Heading1Numbered">
    <w:name w:val="Heading 1 Numbered"/>
    <w:basedOn w:val="Heading1"/>
    <w:next w:val="Normal"/>
    <w:qFormat/>
    <w:rsid w:val="00D17FAB"/>
    <w:pPr>
      <w:keepNext/>
      <w:keepLines/>
      <w:numPr>
        <w:ilvl w:val="0"/>
        <w:numId w:val="19"/>
      </w:numPr>
      <w:spacing w:before="360" w:after="120" w:line="460" w:lineRule="atLeast"/>
      <w:contextualSpacing/>
      <w:jc w:val="left"/>
    </w:pPr>
    <w:rPr>
      <w:rFonts w:asciiTheme="majorHAnsi" w:eastAsiaTheme="majorEastAsia" w:hAnsiTheme="majorHAnsi" w:cstheme="majorBidi"/>
      <w:b w:val="0"/>
      <w:bCs/>
      <w:color w:val="44546A" w:themeColor="text2"/>
      <w:kern w:val="0"/>
      <w:sz w:val="40"/>
      <w:szCs w:val="28"/>
    </w:rPr>
  </w:style>
  <w:style w:type="paragraph" w:customStyle="1" w:styleId="Heading2Numbered">
    <w:name w:val="Heading 2 Numbered"/>
    <w:basedOn w:val="Heading2"/>
    <w:next w:val="Normal"/>
    <w:qFormat/>
    <w:rsid w:val="00D17FAB"/>
    <w:pPr>
      <w:numPr>
        <w:ilvl w:val="1"/>
        <w:numId w:val="19"/>
      </w:numPr>
      <w:spacing w:before="360" w:after="120" w:line="400" w:lineRule="atLeast"/>
      <w:contextualSpacing/>
    </w:pPr>
    <w:rPr>
      <w:rFonts w:asciiTheme="majorHAnsi" w:eastAsiaTheme="majorEastAsia" w:hAnsiTheme="majorHAnsi" w:cstheme="majorBidi"/>
      <w:bCs/>
      <w:color w:val="44546A" w:themeColor="text2"/>
      <w:kern w:val="0"/>
      <w:sz w:val="34"/>
    </w:rPr>
  </w:style>
  <w:style w:type="paragraph" w:customStyle="1" w:styleId="Heading3Numbered">
    <w:name w:val="Heading 3 Numbered"/>
    <w:basedOn w:val="Heading3"/>
    <w:next w:val="Normal"/>
    <w:qFormat/>
    <w:rsid w:val="00D17FAB"/>
    <w:pPr>
      <w:numPr>
        <w:ilvl w:val="2"/>
        <w:numId w:val="19"/>
      </w:numPr>
      <w:spacing w:before="360" w:after="120" w:line="340" w:lineRule="atLeast"/>
      <w:contextualSpacing/>
    </w:pPr>
    <w:rPr>
      <w:rFonts w:asciiTheme="majorHAnsi" w:eastAsiaTheme="majorEastAsia" w:hAnsiTheme="majorHAnsi" w:cstheme="majorBidi"/>
      <w:b w:val="0"/>
      <w:bCs/>
      <w:color w:val="44546A" w:themeColor="text2"/>
      <w:kern w:val="0"/>
      <w:sz w:val="30"/>
      <w:szCs w:val="22"/>
    </w:rPr>
  </w:style>
  <w:style w:type="numbering" w:customStyle="1" w:styleId="BulletsList">
    <w:name w:val="Bullets List"/>
    <w:uiPriority w:val="99"/>
    <w:rsid w:val="00D17FAB"/>
    <w:pPr>
      <w:numPr>
        <w:numId w:val="18"/>
      </w:numPr>
    </w:pPr>
  </w:style>
  <w:style w:type="numbering" w:customStyle="1" w:styleId="HeadingsList">
    <w:name w:val="Headings List"/>
    <w:uiPriority w:val="99"/>
    <w:rsid w:val="00D17FAB"/>
    <w:pPr>
      <w:numPr>
        <w:numId w:val="19"/>
      </w:numPr>
    </w:pPr>
  </w:style>
  <w:style w:type="paragraph" w:customStyle="1" w:styleId="inputcomment">
    <w:name w:val="input comment"/>
    <w:basedOn w:val="Normal"/>
    <w:qFormat/>
    <w:rsid w:val="00D17FAB"/>
    <w:pPr>
      <w:suppressAutoHyphens/>
      <w:spacing w:before="180" w:after="60"/>
    </w:pPr>
    <w:rPr>
      <w:rFonts w:asciiTheme="minorHAnsi" w:hAnsiTheme="minorHAnsi"/>
      <w:b/>
      <w:color w:val="7B7B7B" w:themeColor="accent3" w:themeShade="BF"/>
    </w:rPr>
  </w:style>
  <w:style w:type="character" w:customStyle="1" w:styleId="ListParagraphChar">
    <w:name w:val="List Paragraph Char"/>
    <w:aliases w:val="Recommendation Char,List Paragraph1 Char,List Paragraph11 Char"/>
    <w:basedOn w:val="DefaultParagraphFont"/>
    <w:link w:val="ListParagraph"/>
    <w:uiPriority w:val="34"/>
    <w:locked/>
    <w:rsid w:val="00743554"/>
    <w:rPr>
      <w:rFonts w:ascii="Calibri" w:hAnsi="Calibri"/>
    </w:rPr>
  </w:style>
  <w:style w:type="paragraph" w:styleId="EndnoteText">
    <w:name w:val="endnote text"/>
    <w:basedOn w:val="Normal"/>
    <w:link w:val="EndnoteTextChar"/>
    <w:uiPriority w:val="99"/>
    <w:semiHidden/>
    <w:unhideWhenUsed/>
    <w:rsid w:val="00A74E9C"/>
    <w:pPr>
      <w:spacing w:after="0"/>
    </w:pPr>
    <w:rPr>
      <w:sz w:val="20"/>
      <w:szCs w:val="20"/>
    </w:rPr>
  </w:style>
  <w:style w:type="character" w:customStyle="1" w:styleId="EndnoteTextChar">
    <w:name w:val="Endnote Text Char"/>
    <w:basedOn w:val="DefaultParagraphFont"/>
    <w:link w:val="EndnoteText"/>
    <w:uiPriority w:val="99"/>
    <w:semiHidden/>
    <w:rsid w:val="00A74E9C"/>
    <w:rPr>
      <w:rFonts w:ascii="Calibri" w:hAnsi="Calibri"/>
      <w:sz w:val="20"/>
      <w:szCs w:val="20"/>
    </w:rPr>
  </w:style>
  <w:style w:type="character" w:styleId="EndnoteReference">
    <w:name w:val="endnote reference"/>
    <w:basedOn w:val="DefaultParagraphFont"/>
    <w:uiPriority w:val="99"/>
    <w:semiHidden/>
    <w:unhideWhenUsed/>
    <w:rsid w:val="00A74E9C"/>
    <w:rPr>
      <w:vertAlign w:val="superscript"/>
    </w:rPr>
  </w:style>
  <w:style w:type="table" w:styleId="TableGridLight">
    <w:name w:val="Grid Table Light"/>
    <w:basedOn w:val="TableNormal"/>
    <w:uiPriority w:val="40"/>
    <w:rsid w:val="00BC16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SP@infrastructure.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ants.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inance.gov.au/sites/default/files/commonwealth-grants-rules-and-guidelin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sites/default/files/commonwealth-grants-rules-and-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E9BE-0836-4C85-BE8A-898F96DE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1842</Words>
  <Characters>10503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Mobile Network Hardening Program: Yarramalong Resilience Upgrade—Grant Opportunity Guidelines</vt:lpstr>
    </vt:vector>
  </TitlesOfParts>
  <Company>Department of Infrastructure, Transport, Regional Development, Communications and the Arts</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Network Hardening Program: Yarramalong Resilience Upgrade—Grant Opportunity Guidelines</dc:title>
  <dc:subject/>
  <dc:creator>Department of Infrastructure, Transport, Regional Development, Communications and the Arts</dc:creator>
  <cp:keywords/>
  <dc:description>4 July 2023</dc:description>
  <cp:lastModifiedBy>HALL Theresa</cp:lastModifiedBy>
  <cp:revision>2</cp:revision>
  <dcterms:created xsi:type="dcterms:W3CDTF">2023-10-31T06:03:00Z</dcterms:created>
  <dcterms:modified xsi:type="dcterms:W3CDTF">2023-10-31T06:03:00Z</dcterms:modified>
</cp:coreProperties>
</file>