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51E" w:rsidRDefault="009D151E" w:rsidP="00900C3A">
      <w:pPr>
        <w:spacing w:after="0"/>
        <w:jc w:val="center"/>
      </w:pPr>
      <w:r>
        <w:rPr>
          <w:noProof/>
          <w:lang w:eastAsia="en-AU"/>
        </w:rPr>
        <w:drawing>
          <wp:inline distT="0" distB="0" distL="0" distR="0" wp14:anchorId="38D58092">
            <wp:extent cx="2002155" cy="1301750"/>
            <wp:effectExtent l="0" t="0" r="0" b="0"/>
            <wp:docPr id="3" name="Picture 3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960218">
          <w:headerReference w:type="default" r:id="rId9"/>
          <w:footerReference w:type="default" r:id="rId10"/>
          <w:footerReference w:type="first" r:id="rId11"/>
          <w:pgSz w:w="11906" w:h="16838"/>
          <w:pgMar w:top="709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900C3A" w:rsidP="009D151E">
      <w:pPr>
        <w:pStyle w:val="Heading1"/>
      </w:pPr>
      <w:r w:rsidRPr="002B5BDF">
        <w:t>Mobile</w:t>
      </w:r>
      <w:r>
        <w:t xml:space="preserve"> </w:t>
      </w:r>
      <w:r w:rsidRPr="002B5BDF">
        <w:t>Network</w:t>
      </w:r>
      <w:r>
        <w:t xml:space="preserve"> </w:t>
      </w:r>
      <w:r w:rsidRPr="002B5BDF">
        <w:t>Hardening</w:t>
      </w:r>
      <w:r>
        <w:t xml:space="preserve"> </w:t>
      </w:r>
      <w:r w:rsidRPr="002B5BDF">
        <w:t>Program</w:t>
      </w:r>
      <w:r>
        <w:t>—</w:t>
      </w:r>
      <w:r w:rsidRPr="002B5BDF">
        <w:t>Round</w:t>
      </w:r>
      <w:r>
        <w:t xml:space="preserve"> </w:t>
      </w:r>
      <w:r w:rsidRPr="002B5BDF">
        <w:t>2</w:t>
      </w:r>
      <w:r>
        <w:t xml:space="preserve"> </w:t>
      </w:r>
      <w:bookmarkStart w:id="0" w:name="_GoBack"/>
      <w:bookmarkEnd w:id="0"/>
      <w:r w:rsidRPr="002B5BDF">
        <w:t>funded</w:t>
      </w:r>
      <w:r>
        <w:t xml:space="preserve"> </w:t>
      </w:r>
      <w:r w:rsidRPr="002B5BDF">
        <w:t>sites</w:t>
      </w:r>
    </w:p>
    <w:p w:rsidR="00906533" w:rsidRPr="00B041CB" w:rsidRDefault="00960218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May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7E598F"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9D151E" w:rsidRDefault="009D151E" w:rsidP="009D151E">
      <w:pPr>
        <w:pStyle w:val="Heading2"/>
      </w:pPr>
      <w:r w:rsidRPr="007B1F95">
        <w:rPr>
          <w:lang w:eastAsia="en-AU"/>
        </w:rPr>
        <w:t>New South Wales</w:t>
      </w:r>
      <w:r>
        <w:rPr>
          <w:lang w:eastAsia="en-AU"/>
        </w:rPr>
        <w:t>—</w:t>
      </w:r>
      <w:r w:rsidRPr="007B1F95">
        <w:rPr>
          <w:lang w:eastAsia="en-AU"/>
        </w:rPr>
        <w:t>$</w:t>
      </w:r>
      <w:r>
        <w:rPr>
          <w:lang w:eastAsia="en-AU"/>
        </w:rPr>
        <w:t>2,260,824.96</w:t>
      </w:r>
      <w:r w:rsidRPr="007B1F95">
        <w:rPr>
          <w:lang w:eastAsia="en-AU"/>
        </w:rPr>
        <w:t xml:space="preserve"> in </w:t>
      </w:r>
      <w:r>
        <w:rPr>
          <w:lang w:eastAsia="en-AU"/>
        </w:rPr>
        <w:t xml:space="preserve">grant </w:t>
      </w:r>
      <w:r w:rsidRPr="007B1F95">
        <w:rPr>
          <w:lang w:eastAsia="en-AU"/>
        </w:rPr>
        <w:t>funding</w:t>
      </w:r>
      <w:r>
        <w:rPr>
          <w:lang w:eastAsia="en-AU"/>
        </w:rPr>
        <w:t xml:space="preserve"> for 82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9D151E" w:rsidRPr="00654F9E" w:rsidTr="009D1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9D151E" w:rsidRDefault="009D151E" w:rsidP="009D151E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9D151E" w:rsidRPr="009D151E" w:rsidRDefault="009D151E" w:rsidP="009D151E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9D151E" w:rsidRPr="009D151E" w:rsidRDefault="009D151E" w:rsidP="009D151E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Galore Old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Binnaway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Arthur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Narrabri West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Byron View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Main Arm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Buckombil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Woodburn South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Woodburn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Evans Head Town Nth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Evans Head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Evans Head Town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Casino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Woodburn Central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Doonbah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Pimlico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or</w:t>
            </w: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th Casino/Bentley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Casino North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South Gundurimba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Rock Valley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Goolmangar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Kyogle N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or</w:t>
            </w: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th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Kyogle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Eastern Hill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Albury (Edna)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Holbrook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Holbrook Town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Cromer Hills Holbrook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Kyeamba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Tarcutta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Batlow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Little Billabong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Tumbarumba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Keajura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Kilgowla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Rosewood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Wagga Wagga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North Wagga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Wagga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Alfred Town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Burra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Bongalong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Yass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Yass Interchange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Yello Creek Rd - Yass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Berremangra Hill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Black Trig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Mundoonen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Gundagai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Gundagai Town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Mount Mooney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Jugiong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Murrumbateman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Oakhurst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Tumut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Tumut Town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Tumbalong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Tuckerbox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Adelong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Mt Mary</w:t>
            </w:r>
          </w:p>
        </w:tc>
        <w:tc>
          <w:tcPr>
            <w:tcW w:w="1401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Optus</w:t>
            </w:r>
          </w:p>
        </w:tc>
        <w:tc>
          <w:tcPr>
            <w:tcW w:w="1933" w:type="pct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BF44A2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 xml:space="preserve">Olympic Highway 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Greenethorpe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Woodstock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Noonbinna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Cowra C</w:t>
            </w:r>
            <w:r>
              <w:t>BD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424EEC" w:rsidRDefault="009D151E" w:rsidP="009D151E">
            <w:pPr>
              <w:spacing w:after="0"/>
            </w:pPr>
            <w:r w:rsidRPr="00424EEC">
              <w:t>Cowra</w:t>
            </w:r>
          </w:p>
        </w:tc>
        <w:tc>
          <w:tcPr>
            <w:tcW w:w="1401" w:type="pct"/>
          </w:tcPr>
          <w:p w:rsidR="009D151E" w:rsidRPr="00424EEC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424EEC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Mount Mc</w:t>
            </w:r>
            <w:r>
              <w:t>D</w:t>
            </w:r>
            <w:r w:rsidRPr="00424EEC">
              <w:t>onald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Billimaria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lastRenderedPageBreak/>
              <w:t>Wyangala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Cultowa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Boorowa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BF44A2" w:rsidRDefault="009D151E" w:rsidP="009D151E">
            <w:pPr>
              <w:spacing w:after="0"/>
            </w:pPr>
            <w:r w:rsidRPr="00424EEC">
              <w:t>Godfreys Creek East</w:t>
            </w:r>
          </w:p>
        </w:tc>
        <w:tc>
          <w:tcPr>
            <w:tcW w:w="1401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Optus</w:t>
            </w:r>
          </w:p>
        </w:tc>
        <w:tc>
          <w:tcPr>
            <w:tcW w:w="1933" w:type="pct"/>
          </w:tcPr>
          <w:p w:rsidR="009D151E" w:rsidRPr="00BF44A2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4EEC">
              <w:t>Microwave and Router Upgrade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Lake Cargelligo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"/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Lightning Ridge (NTL)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Lightning Ridge Exchange Bg 1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"/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A3118E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 xml:space="preserve">Brewarrina SCAX </w:t>
            </w:r>
          </w:p>
        </w:tc>
        <w:tc>
          <w:tcPr>
            <w:tcW w:w="1401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A3118E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Merriwagga Exchange</w:t>
            </w:r>
          </w:p>
        </w:tc>
        <w:tc>
          <w:tcPr>
            <w:tcW w:w="1401" w:type="pct"/>
            <w:vAlign w:val="center"/>
          </w:tcPr>
          <w:p w:rsidR="009D151E" w:rsidRPr="00A3118E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A3118E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A3118E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Euabalong SCAX 1</w:t>
            </w:r>
          </w:p>
        </w:tc>
        <w:tc>
          <w:tcPr>
            <w:tcW w:w="1401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A3118E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Gwabegar Exchange</w:t>
            </w:r>
          </w:p>
        </w:tc>
        <w:tc>
          <w:tcPr>
            <w:tcW w:w="1401" w:type="pct"/>
            <w:vAlign w:val="center"/>
          </w:tcPr>
          <w:p w:rsidR="009D151E" w:rsidRPr="00A3118E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A3118E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A3118E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Palinyewah Exchange</w:t>
            </w:r>
          </w:p>
        </w:tc>
        <w:tc>
          <w:tcPr>
            <w:tcW w:w="1401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9D151E" w:rsidRPr="00A3118E" w:rsidRDefault="009D151E" w:rsidP="009D15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A3118E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9D151E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9D151E" w:rsidRPr="002B5BDF" w:rsidRDefault="009D151E" w:rsidP="009D151E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Disaster Recovery Skid - Sydney</w:t>
            </w:r>
          </w:p>
        </w:tc>
        <w:tc>
          <w:tcPr>
            <w:tcW w:w="1401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Indara</w:t>
            </w:r>
          </w:p>
        </w:tc>
        <w:tc>
          <w:tcPr>
            <w:tcW w:w="1933" w:type="pct"/>
            <w:vAlign w:val="center"/>
          </w:tcPr>
          <w:p w:rsidR="009D151E" w:rsidRPr="002B5BDF" w:rsidRDefault="009D151E" w:rsidP="009D151E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Disaster Recovery Skid</w:t>
            </w:r>
          </w:p>
        </w:tc>
      </w:tr>
    </w:tbl>
    <w:p w:rsidR="009D151E" w:rsidRPr="0047642C" w:rsidRDefault="0047642C" w:rsidP="0047642C">
      <w:pPr>
        <w:pStyle w:val="Heading2"/>
      </w:pPr>
      <w:r w:rsidRPr="0047642C">
        <w:t>Northern Territory</w:t>
      </w:r>
      <w:r>
        <w:rPr>
          <w:lang w:eastAsia="en-AU"/>
        </w:rPr>
        <w:t>—</w:t>
      </w:r>
      <w:r w:rsidRPr="0047642C">
        <w:t>$1,321,655.33 in grant funding for 18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9D151E" w:rsidRPr="00654F9E" w:rsidTr="009D1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9D151E" w:rsidRPr="009D151E" w:rsidRDefault="009D151E" w:rsidP="009D151E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9D151E" w:rsidRPr="009D151E" w:rsidRDefault="009D151E" w:rsidP="009D151E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9D151E" w:rsidRPr="009D151E" w:rsidRDefault="009D151E" w:rsidP="009D151E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Gemco Mine (Angurugu)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Three Ways O/F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3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Ti Tree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Daly </w:t>
            </w:r>
            <w:r w:rsidRPr="00C238A4">
              <w:rPr>
                <w:rFonts w:eastAsia="Times New Roman" w:cs="Calibri"/>
                <w:bCs/>
                <w:szCs w:val="21"/>
                <w:lang w:eastAsia="en-AU"/>
              </w:rPr>
              <w:t>River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4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Ali Curung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Ngukurr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Yulara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9D15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Gorrie North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8F03F7">
              <w:t xml:space="preserve">Papunya Radio 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8F03F7">
              <w:t>Telstra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8F03F7"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8F03F7" w:rsidRDefault="0047642C" w:rsidP="0047642C">
            <w:pPr>
              <w:spacing w:after="0"/>
            </w:pPr>
            <w:r w:rsidRPr="004F1CAF">
              <w:t>Kalkaringi</w:t>
            </w:r>
          </w:p>
        </w:tc>
        <w:tc>
          <w:tcPr>
            <w:tcW w:w="1401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Telstra</w:t>
            </w:r>
          </w:p>
        </w:tc>
        <w:tc>
          <w:tcPr>
            <w:tcW w:w="1933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8F03F7" w:rsidRDefault="0047642C" w:rsidP="0047642C">
            <w:pPr>
              <w:spacing w:after="0"/>
            </w:pPr>
            <w:r w:rsidRPr="004F1CAF">
              <w:t>Yirrkala</w:t>
            </w:r>
          </w:p>
        </w:tc>
        <w:tc>
          <w:tcPr>
            <w:tcW w:w="1401" w:type="pct"/>
          </w:tcPr>
          <w:p w:rsidR="0047642C" w:rsidRPr="008F03F7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CAF">
              <w:t>Telstra</w:t>
            </w:r>
          </w:p>
        </w:tc>
        <w:tc>
          <w:tcPr>
            <w:tcW w:w="1933" w:type="pct"/>
          </w:tcPr>
          <w:p w:rsidR="0047642C" w:rsidRPr="008F03F7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CAF"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8F03F7" w:rsidRDefault="0047642C" w:rsidP="0047642C">
            <w:pPr>
              <w:spacing w:after="0"/>
            </w:pPr>
            <w:r w:rsidRPr="004F1CAF">
              <w:t>Alice Springs Regenerator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1401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Telstra</w:t>
            </w:r>
          </w:p>
        </w:tc>
        <w:tc>
          <w:tcPr>
            <w:tcW w:w="1933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8F03F7" w:rsidRDefault="0047642C" w:rsidP="0047642C">
            <w:pPr>
              <w:spacing w:after="0"/>
            </w:pPr>
            <w:r w:rsidRPr="004F1CAF">
              <w:t>Batchelor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1401" w:type="pct"/>
          </w:tcPr>
          <w:p w:rsidR="0047642C" w:rsidRPr="008F03F7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CAF">
              <w:t>Telstra</w:t>
            </w:r>
          </w:p>
        </w:tc>
        <w:tc>
          <w:tcPr>
            <w:tcW w:w="1933" w:type="pct"/>
          </w:tcPr>
          <w:p w:rsidR="0047642C" w:rsidRPr="008F03F7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CAF"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8F03F7" w:rsidRDefault="0047642C" w:rsidP="0047642C">
            <w:pPr>
              <w:spacing w:after="0"/>
            </w:pPr>
            <w:r w:rsidRPr="004F1CAF">
              <w:t>Yuendumu</w:t>
            </w:r>
          </w:p>
        </w:tc>
        <w:tc>
          <w:tcPr>
            <w:tcW w:w="1401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Telstra</w:t>
            </w:r>
          </w:p>
        </w:tc>
        <w:tc>
          <w:tcPr>
            <w:tcW w:w="1933" w:type="pct"/>
          </w:tcPr>
          <w:p w:rsidR="0047642C" w:rsidRPr="008F03F7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F1CAF">
              <w:t>Battery upgrade (12 hours)</w:t>
            </w:r>
          </w:p>
        </w:tc>
      </w:tr>
    </w:tbl>
    <w:p w:rsidR="0047642C" w:rsidRPr="0047642C" w:rsidRDefault="0047642C" w:rsidP="0047642C">
      <w:pPr>
        <w:pStyle w:val="Heading2"/>
      </w:pPr>
      <w:r w:rsidRPr="0047642C">
        <w:lastRenderedPageBreak/>
        <w:t>Queensland—$1,606,973.63 in grant funding for 40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Toowoomba North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Toowoomba South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Roma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Mt Stradbroke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Esk Town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Fernvale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Walloon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Somerset Dam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Lowood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Minden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Plainlands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Harlin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Coominya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Laidley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Laidley</w:t>
            </w:r>
            <w:r>
              <w:t xml:space="preserve"> West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Laidley South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Laidley Central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Lockyer Waters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Woodford West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Jimna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Toogoolawah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Kilcoy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Gatton South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Gatton West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Mt Sylvia Rd Lh Branch Rd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50D1F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Wyandra Township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Disney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Tambo Exchange and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Nandowrie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Bloomfield Exchange and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Bogantungan Optical Fibre and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Roddas Lookout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Yuleba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7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Cracow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Cracow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Guluguba SCAX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Injune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Broadsound Range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Isaac River SCAX &amp;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</w:tbl>
    <w:p w:rsidR="0047642C" w:rsidRPr="0047642C" w:rsidRDefault="0047642C" w:rsidP="0047642C">
      <w:pPr>
        <w:pStyle w:val="Heading2"/>
      </w:pPr>
      <w:r w:rsidRPr="005A47F9">
        <w:rPr>
          <w:rFonts w:eastAsia="Times New Roman" w:cs="Calibri"/>
          <w:b w:val="0"/>
          <w:bCs/>
          <w:szCs w:val="21"/>
          <w:lang w:eastAsia="en-AU"/>
        </w:rPr>
        <w:t>South Australia</w:t>
      </w:r>
      <w:r>
        <w:rPr>
          <w:lang w:eastAsia="en-AU"/>
        </w:rPr>
        <w:t>—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>$</w:t>
      </w:r>
      <w:r>
        <w:rPr>
          <w:rFonts w:eastAsia="Times New Roman" w:cs="Calibri"/>
          <w:b w:val="0"/>
          <w:bCs/>
          <w:szCs w:val="21"/>
          <w:lang w:eastAsia="en-AU"/>
        </w:rPr>
        <w:t>1,162,791.68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 xml:space="preserve"> in </w:t>
      </w:r>
      <w:r>
        <w:rPr>
          <w:rFonts w:eastAsia="Times New Roman" w:cs="Calibri"/>
          <w:b w:val="0"/>
          <w:bCs/>
          <w:szCs w:val="21"/>
          <w:lang w:eastAsia="en-AU"/>
        </w:rPr>
        <w:t xml:space="preserve">grant 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>funding</w:t>
      </w:r>
      <w:r>
        <w:rPr>
          <w:rFonts w:eastAsia="Times New Roman" w:cs="Calibri"/>
          <w:b w:val="0"/>
          <w:bCs/>
          <w:szCs w:val="21"/>
          <w:lang w:eastAsia="en-AU"/>
        </w:rPr>
        <w:t xml:space="preserve"> for 56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Berri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Berri CBD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Binnies Lookout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Tilley Swamp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Peebinga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Meningie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Salt Creek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Marama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Mindarie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185DD6">
              <w:rPr>
                <w:rFonts w:eastAsia="Times New Roman" w:cs="Calibri"/>
                <w:bCs/>
                <w:szCs w:val="21"/>
                <w:lang w:eastAsia="en-AU"/>
              </w:rPr>
              <w:t>Yumali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8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Ashville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Cooke Plains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Talinga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Coorong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Lameroo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Karoonda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Pinnaroo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Sandalwood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Ettrick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Wynarka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Wellington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The Bend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Optus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CC2A99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Murray Bridge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Blanchetown Township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Blanchetown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Nildottie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Berri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Barmera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Mannum Township</w:t>
            </w:r>
            <w:r>
              <w:rPr>
                <w:rStyle w:val="FootnoteReference"/>
              </w:rPr>
              <w:footnoteReference w:id="9"/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Waikerie Township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Waikerie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Morgan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Cadell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Mypolonga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lastRenderedPageBreak/>
              <w:t>Bow Hill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Sedan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Wigley Flat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Monarto South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Callington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Woodchester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 xml:space="preserve">Mannum 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Swan Reach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Black Hill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Truro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Truro Township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CC2A99" w:rsidRDefault="0047642C" w:rsidP="0047642C">
            <w:pPr>
              <w:spacing w:after="0"/>
            </w:pPr>
            <w:r w:rsidRPr="00367A02">
              <w:t>Yinkanie</w:t>
            </w:r>
          </w:p>
        </w:tc>
        <w:tc>
          <w:tcPr>
            <w:tcW w:w="1401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Optus</w:t>
            </w:r>
          </w:p>
        </w:tc>
        <w:tc>
          <w:tcPr>
            <w:tcW w:w="1933" w:type="pct"/>
          </w:tcPr>
          <w:p w:rsidR="0047642C" w:rsidRPr="00CC2A99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67A02"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Mount Hope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Sheringa Hill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Telstra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Ernabella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Telstra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5160A7"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DD1BEB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Poochera Exchange (SCAX)</w:t>
            </w:r>
          </w:p>
        </w:tc>
        <w:tc>
          <w:tcPr>
            <w:tcW w:w="1401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DD1BEB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Wudinna Town Mobiles</w:t>
            </w:r>
          </w:p>
        </w:tc>
        <w:tc>
          <w:tcPr>
            <w:tcW w:w="1401" w:type="pct"/>
            <w:vAlign w:val="center"/>
          </w:tcPr>
          <w:p w:rsidR="0047642C" w:rsidRPr="00DD1BEB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DD1BEB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DD1BEB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Karkoo Exchange</w:t>
            </w:r>
          </w:p>
        </w:tc>
        <w:tc>
          <w:tcPr>
            <w:tcW w:w="1401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DD1BEB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Lipson Exchange</w:t>
            </w:r>
          </w:p>
        </w:tc>
        <w:tc>
          <w:tcPr>
            <w:tcW w:w="1401" w:type="pct"/>
            <w:vAlign w:val="center"/>
          </w:tcPr>
          <w:p w:rsidR="0047642C" w:rsidRPr="00DD1BEB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DD1BEB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DD1BEB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Coobowie Exchange (SCAX)</w:t>
            </w:r>
          </w:p>
        </w:tc>
        <w:tc>
          <w:tcPr>
            <w:tcW w:w="1401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DD1BEB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DD1BEB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</w:tbl>
    <w:p w:rsidR="0047642C" w:rsidRPr="0047642C" w:rsidRDefault="0047642C" w:rsidP="0047642C">
      <w:pPr>
        <w:pStyle w:val="Heading2"/>
      </w:pPr>
      <w:r>
        <w:rPr>
          <w:lang w:eastAsia="en-AU"/>
        </w:rPr>
        <w:t>Tasmania—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>$</w:t>
      </w:r>
      <w:r>
        <w:rPr>
          <w:rFonts w:eastAsia="Times New Roman" w:cs="Calibri"/>
          <w:b w:val="0"/>
          <w:bCs/>
          <w:szCs w:val="21"/>
          <w:lang w:eastAsia="en-AU"/>
        </w:rPr>
        <w:t>844,762.88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 xml:space="preserve"> in </w:t>
      </w:r>
      <w:r>
        <w:rPr>
          <w:rFonts w:eastAsia="Times New Roman" w:cs="Calibri"/>
          <w:b w:val="0"/>
          <w:bCs/>
          <w:szCs w:val="21"/>
          <w:lang w:eastAsia="en-AU"/>
        </w:rPr>
        <w:t xml:space="preserve">grant </w:t>
      </w:r>
      <w:r w:rsidRPr="007B1F95">
        <w:rPr>
          <w:rFonts w:eastAsia="Times New Roman" w:cs="Calibri"/>
          <w:b w:val="0"/>
          <w:bCs/>
          <w:szCs w:val="21"/>
          <w:lang w:eastAsia="en-AU"/>
        </w:rPr>
        <w:t>funding</w:t>
      </w:r>
      <w:r>
        <w:rPr>
          <w:rFonts w:eastAsia="Times New Roman" w:cs="Calibri"/>
          <w:b w:val="0"/>
          <w:bCs/>
          <w:szCs w:val="21"/>
          <w:lang w:eastAsia="en-AU"/>
        </w:rPr>
        <w:t xml:space="preserve"> for 47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Chimney Pot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Devonport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Alonnah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Nubeena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Dover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Herringback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Opossum Bay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Port Arthur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Huonville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Tinderbox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Geeveston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Cradoc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Guy Fawkes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Dodges Ferry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Dunalley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Abels Hill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Blackwall South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Legana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Blackwood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Beechford/Lefroy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Tunbridge Tier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Carrick - Agfest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Miena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Deloraine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Deloraine Central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Mole Creek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Hadspen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Westbury Central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Chimney Pot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Snug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Kettering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Lauderdale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Murdanna East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Eaglehawk Neck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Woodbridge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Symmons Plains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Dicks Bank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Westbury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Oatlands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Kingston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Firthside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Longford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Cressy North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Augusta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Vincent 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Hill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Coles Bay Exchange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Telstra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Marrawah Exchange</w:t>
            </w:r>
          </w:p>
        </w:tc>
        <w:tc>
          <w:tcPr>
            <w:tcW w:w="1401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Telstra</w:t>
            </w:r>
          </w:p>
        </w:tc>
        <w:tc>
          <w:tcPr>
            <w:tcW w:w="1933" w:type="pct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051309">
              <w:t>Battery upgrade (12 hours)</w:t>
            </w:r>
          </w:p>
        </w:tc>
      </w:tr>
    </w:tbl>
    <w:p w:rsidR="0047642C" w:rsidRPr="0047642C" w:rsidRDefault="0047642C" w:rsidP="0047642C">
      <w:pPr>
        <w:pStyle w:val="Heading2"/>
      </w:pPr>
      <w:r w:rsidRPr="0047642C">
        <w:t>Victoria—$897,369.55 in grant funding for 48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Meredith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Durdidwarrah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Dales Creek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Forrest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Mortlake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Panmure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Nirranda South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Wendouree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Warrenheip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Gordon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Smythesdale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Creswick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Ballan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Clunes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Newlyn North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Novotel Creswick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Smeaton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Tutye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Meredith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Winchelsea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Dixie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Peterborough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Murrayville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Cressy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Camperdown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Warncoot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Teesdale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Mt Moriac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Terang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Inverleigh Town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Inverleigh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Bannockburn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Rokewood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Ingliston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Winchelsea Town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Mt Big Ben 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–</w:t>
            </w: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 Vodafone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Bonegilla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Dederang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Tallangatta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Baranduda Range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Corryong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Corryong Town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Microwave and Router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Casterton Exchange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Cavendish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Hordern Vale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St Arnaud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Wombelano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Disaster Recovery Skid - Melbourne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Indara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Disaster Recovery Skid</w:t>
            </w:r>
          </w:p>
        </w:tc>
      </w:tr>
    </w:tbl>
    <w:p w:rsidR="0047642C" w:rsidRPr="0047642C" w:rsidRDefault="0047642C" w:rsidP="0047642C">
      <w:pPr>
        <w:pStyle w:val="Heading2"/>
      </w:pPr>
      <w:r w:rsidRPr="0043272F">
        <w:rPr>
          <w:rFonts w:eastAsia="Times New Roman" w:cs="Calibri"/>
          <w:b w:val="0"/>
          <w:bCs/>
          <w:szCs w:val="21"/>
          <w:lang w:eastAsia="en-AU"/>
        </w:rPr>
        <w:t>Western Australia</w:t>
      </w:r>
      <w:r>
        <w:rPr>
          <w:lang w:eastAsia="en-AU"/>
        </w:rPr>
        <w:t>—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>$</w:t>
      </w:r>
      <w:r>
        <w:rPr>
          <w:rFonts w:eastAsia="Times New Roman" w:cs="Calibri"/>
          <w:b w:val="0"/>
          <w:bCs/>
          <w:szCs w:val="21"/>
          <w:lang w:eastAsia="en-AU"/>
        </w:rPr>
        <w:t>6,045,374.18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 xml:space="preserve"> in grant funding for </w:t>
      </w:r>
      <w:r>
        <w:rPr>
          <w:rFonts w:eastAsia="Times New Roman" w:cs="Calibri"/>
          <w:b w:val="0"/>
          <w:bCs/>
          <w:szCs w:val="21"/>
          <w:lang w:eastAsia="en-AU"/>
        </w:rPr>
        <w:t>92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 xml:space="preserve">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Karratha Central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Optus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Permanent Generator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South Hedland Exchange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Beagle Bay Mission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Welcome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Denham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307EA5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ED6161">
              <w:rPr>
                <w:rFonts w:eastAsia="Times New Roman" w:cs="Calibri"/>
                <w:bCs/>
                <w:szCs w:val="21"/>
                <w:lang w:eastAsia="en-AU"/>
              </w:rPr>
              <w:t>Fitzroy Crossing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0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Halls Creek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Jameson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Lake Argyle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Lake Grace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Bardoc R/T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1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Madden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2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Varley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Warakurna Community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Wingellina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Menzies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3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Hardman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307EA5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highlight w:val="yellow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Arrino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4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 xml:space="preserve">Blackstone R/T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Camballin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Nungarin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Kondinin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Marble Bar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Ajana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5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Bodallin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Naraling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Naraling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Norseman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Pithara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Tarin Rock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Wagoe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/T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6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Kalbarri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7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Marchagee East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Beaumont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Borden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8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Mount Merivale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Nabawa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Ongerup North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Powder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Sandford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Speddingup East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Wodgina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MCP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Yerangatup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Yuna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Coorow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Esperance North (SCAX)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19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Grass Patch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Grass Patch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Holt Rock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0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Hyden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ED6161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ED6161">
              <w:rPr>
                <w:rFonts w:eastAsia="Times New Roman" w:cs="Calibri"/>
                <w:bCs/>
                <w:szCs w:val="21"/>
                <w:lang w:eastAsia="en-AU"/>
              </w:rPr>
              <w:t>Kalannie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1"/>
            </w:r>
          </w:p>
        </w:tc>
        <w:tc>
          <w:tcPr>
            <w:tcW w:w="1401" w:type="pct"/>
            <w:vAlign w:val="center"/>
          </w:tcPr>
          <w:p w:rsidR="0047642C" w:rsidRPr="00ED6161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ED6161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ED6161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ED6161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Mendels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Andrew Road Radio Terminal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Bencubbin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Boucher Road R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/T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2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Bruce Rock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Bruce Rock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Carnamah East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Carnamah R/T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3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Coorow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Jacup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Jacup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Kununoppin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Kununoppin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lastRenderedPageBreak/>
              <w:t>Menai Hills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Newdegate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Red Lake R/T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Scaddan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Morawa South Exchange (SCAX)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Nokaning Exchange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Dumbleyung Exchange</w:t>
            </w:r>
            <w:r>
              <w:rPr>
                <w:rStyle w:val="FootnoteReference"/>
                <w:rFonts w:eastAsia="Times New Roman" w:cs="Calibri"/>
                <w:bCs/>
                <w:szCs w:val="21"/>
                <w:lang w:eastAsia="en-AU"/>
              </w:rPr>
              <w:footnoteReference w:id="24"/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Battery upgrade (12 hours)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Spinefex Ridge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Telstra Solar Upgrade</w:t>
            </w:r>
          </w:p>
        </w:tc>
      </w:tr>
    </w:tbl>
    <w:p w:rsidR="0047642C" w:rsidRPr="0047642C" w:rsidRDefault="0047642C" w:rsidP="0047642C">
      <w:pPr>
        <w:pStyle w:val="Heading2"/>
      </w:pPr>
      <w:r>
        <w:rPr>
          <w:rFonts w:eastAsia="Times New Roman" w:cs="Calibri"/>
          <w:b w:val="0"/>
          <w:bCs/>
          <w:szCs w:val="21"/>
          <w:lang w:eastAsia="en-AU"/>
        </w:rPr>
        <w:t>External territories</w:t>
      </w:r>
      <w:r>
        <w:rPr>
          <w:lang w:eastAsia="en-AU"/>
        </w:rPr>
        <w:t>—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>$</w:t>
      </w:r>
      <w:r>
        <w:rPr>
          <w:rFonts w:eastAsia="Times New Roman" w:cs="Calibri"/>
          <w:b w:val="0"/>
          <w:bCs/>
          <w:szCs w:val="21"/>
          <w:lang w:eastAsia="en-AU"/>
        </w:rPr>
        <w:t>81,654.54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 xml:space="preserve"> in grant funding for </w:t>
      </w:r>
      <w:r>
        <w:rPr>
          <w:rFonts w:eastAsia="Times New Roman" w:cs="Calibri"/>
          <w:b w:val="0"/>
          <w:bCs/>
          <w:szCs w:val="21"/>
          <w:lang w:eastAsia="en-AU"/>
        </w:rPr>
        <w:t>3</w:t>
      </w:r>
      <w:r w:rsidRPr="0043272F">
        <w:rPr>
          <w:rFonts w:eastAsia="Times New Roman" w:cs="Calibri"/>
          <w:b w:val="0"/>
          <w:bCs/>
          <w:szCs w:val="21"/>
          <w:lang w:eastAsia="en-AU"/>
        </w:rPr>
        <w:t xml:space="preserve"> projects</w:t>
      </w:r>
    </w:p>
    <w:tbl>
      <w:tblPr>
        <w:tblStyle w:val="DefaultTable11"/>
        <w:tblW w:w="5000" w:type="pct"/>
        <w:tblLook w:val="04A0" w:firstRow="1" w:lastRow="0" w:firstColumn="1" w:lastColumn="0" w:noHBand="0" w:noVBand="1"/>
      </w:tblPr>
      <w:tblGrid>
        <w:gridCol w:w="3157"/>
        <w:gridCol w:w="2655"/>
        <w:gridCol w:w="3663"/>
      </w:tblGrid>
      <w:tr w:rsidR="0047642C" w:rsidRPr="00654F9E" w:rsidTr="004764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:rsidR="0047642C" w:rsidRPr="009D151E" w:rsidRDefault="0047642C" w:rsidP="0047642C">
            <w:pPr>
              <w:pStyle w:val="Tablerowcolumnheading"/>
              <w:keepNext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Site name</w:t>
            </w:r>
          </w:p>
        </w:tc>
        <w:tc>
          <w:tcPr>
            <w:tcW w:w="1401" w:type="pct"/>
          </w:tcPr>
          <w:p w:rsidR="0047642C" w:rsidRPr="009D151E" w:rsidRDefault="0047642C" w:rsidP="0047642C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Applicant</w:t>
            </w:r>
          </w:p>
        </w:tc>
        <w:tc>
          <w:tcPr>
            <w:tcW w:w="1933" w:type="pct"/>
          </w:tcPr>
          <w:p w:rsidR="0047642C" w:rsidRPr="009D151E" w:rsidRDefault="0047642C" w:rsidP="0047642C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151E">
              <w:rPr>
                <w:b/>
                <w:sz w:val="24"/>
                <w:szCs w:val="24"/>
              </w:rPr>
              <w:t>Type of upgrade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TOTM Astraeus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[</w:t>
            </w:r>
            <w:r w:rsidR="004C7436">
              <w:rPr>
                <w:rFonts w:eastAsia="Times New Roman" w:cs="Calibri"/>
                <w:bCs/>
                <w:szCs w:val="21"/>
                <w:lang w:eastAsia="en-AU"/>
              </w:rPr>
              <w:t xml:space="preserve">Christmas 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Island]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CiFi Pty Ltd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Redundant Backhaul</w:t>
            </w:r>
          </w:p>
        </w:tc>
      </w:tr>
      <w:tr w:rsidR="0047642C" w:rsidRPr="00654F9E" w:rsidTr="004764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TOTM Bia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[</w:t>
            </w:r>
            <w:r w:rsidR="00F64388">
              <w:rPr>
                <w:rFonts w:eastAsia="Times New Roman" w:cs="Calibri"/>
                <w:bCs/>
                <w:szCs w:val="21"/>
                <w:lang w:eastAsia="en-AU"/>
              </w:rPr>
              <w:t xml:space="preserve">Norfolk Island and 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>Christmas Island]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CiFi Pty Ltd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Power Hardening</w:t>
            </w:r>
          </w:p>
        </w:tc>
      </w:tr>
      <w:tr w:rsidR="0047642C" w:rsidRPr="00654F9E" w:rsidTr="0047642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47642C" w:rsidRPr="002B5BDF" w:rsidRDefault="0047642C" w:rsidP="0047642C">
            <w:pPr>
              <w:spacing w:after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TOTM Titan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 [</w:t>
            </w:r>
            <w:r w:rsidR="004C7436">
              <w:rPr>
                <w:rFonts w:eastAsia="Times New Roman" w:cs="Calibri"/>
                <w:bCs/>
                <w:szCs w:val="21"/>
                <w:lang w:eastAsia="en-AU"/>
              </w:rPr>
              <w:t xml:space="preserve">Norfolk </w:t>
            </w:r>
            <w:r w:rsidR="00F4106A">
              <w:rPr>
                <w:rFonts w:eastAsia="Times New Roman" w:cs="Calibri"/>
                <w:bCs/>
                <w:szCs w:val="21"/>
                <w:lang w:eastAsia="en-AU"/>
              </w:rPr>
              <w:t xml:space="preserve">Island </w:t>
            </w:r>
            <w:r w:rsidR="004C7436">
              <w:rPr>
                <w:rFonts w:eastAsia="Times New Roman" w:cs="Calibri"/>
                <w:bCs/>
                <w:szCs w:val="21"/>
                <w:lang w:eastAsia="en-AU"/>
              </w:rPr>
              <w:t xml:space="preserve">and </w:t>
            </w:r>
            <w:r>
              <w:rPr>
                <w:rFonts w:eastAsia="Times New Roman" w:cs="Calibri"/>
                <w:bCs/>
                <w:szCs w:val="21"/>
                <w:lang w:eastAsia="en-AU"/>
              </w:rPr>
              <w:t xml:space="preserve">Christmas Island] </w:t>
            </w:r>
          </w:p>
        </w:tc>
        <w:tc>
          <w:tcPr>
            <w:tcW w:w="1401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CiFi Pty Ltd</w:t>
            </w:r>
          </w:p>
        </w:tc>
        <w:tc>
          <w:tcPr>
            <w:tcW w:w="1933" w:type="pct"/>
            <w:vAlign w:val="center"/>
          </w:tcPr>
          <w:p w:rsidR="0047642C" w:rsidRPr="002B5BDF" w:rsidRDefault="0047642C" w:rsidP="0047642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Cs/>
                <w:szCs w:val="21"/>
                <w:lang w:eastAsia="en-AU"/>
              </w:rPr>
            </w:pPr>
            <w:r w:rsidRPr="002B5BDF">
              <w:rPr>
                <w:rFonts w:eastAsia="Times New Roman" w:cs="Calibri"/>
                <w:bCs/>
                <w:szCs w:val="21"/>
                <w:lang w:eastAsia="en-AU"/>
              </w:rPr>
              <w:t>Portable Trailer Generator</w:t>
            </w:r>
          </w:p>
        </w:tc>
      </w:tr>
    </w:tbl>
    <w:p w:rsidR="009D151E" w:rsidRDefault="009D151E" w:rsidP="00906533"/>
    <w:sectPr w:rsidR="009D151E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5E" w:rsidRDefault="00867C5E" w:rsidP="00FC413F">
      <w:pPr>
        <w:spacing w:after="0"/>
      </w:pPr>
      <w:r>
        <w:separator/>
      </w:r>
    </w:p>
  </w:endnote>
  <w:endnote w:type="continuationSeparator" w:id="0">
    <w:p w:rsidR="00867C5E" w:rsidRDefault="00867C5E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2C" w:rsidRDefault="0047642C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F118B">
      <w:rPr>
        <w:rFonts w:cs="Segoe UI"/>
        <w:noProof/>
        <w:szCs w:val="18"/>
      </w:rPr>
      <w:t>Mobile Network Hardening Program—Round 2 funded sites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47642C" w:rsidRPr="00FC413F" w:rsidRDefault="0047642C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5" name="Picture 1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2C" w:rsidRDefault="0047642C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DF118B">
      <w:rPr>
        <w:rFonts w:cs="Segoe UI"/>
        <w:noProof/>
        <w:szCs w:val="18"/>
      </w:rPr>
      <w:t>Mobile Network Hardening Program—Round 2 funded sites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47642C" w:rsidRPr="00FC413F" w:rsidRDefault="0047642C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16" name="Picture 1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5E" w:rsidRDefault="00867C5E" w:rsidP="00FC413F">
      <w:pPr>
        <w:spacing w:after="0"/>
      </w:pPr>
      <w:r>
        <w:separator/>
      </w:r>
    </w:p>
  </w:footnote>
  <w:footnote w:type="continuationSeparator" w:id="0">
    <w:p w:rsidR="00867C5E" w:rsidRDefault="00867C5E" w:rsidP="00FC413F">
      <w:pPr>
        <w:spacing w:after="0"/>
      </w:pPr>
      <w:r>
        <w:continuationSeparator/>
      </w:r>
    </w:p>
  </w:footnote>
  <w:footnote w:id="1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3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4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5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6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7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8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9">
    <w:p w:rsidR="0047642C" w:rsidRPr="00F7006B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0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</w:t>
      </w:r>
      <w:r>
        <w:rPr>
          <w:rFonts w:eastAsia="Times New Roman" w:cs="Calibri"/>
          <w:bCs/>
          <w:szCs w:val="21"/>
          <w:lang w:eastAsia="en-AU"/>
        </w:rPr>
        <w:t>four</w:t>
      </w:r>
      <w:r w:rsidRPr="00026DA9">
        <w:rPr>
          <w:rFonts w:eastAsia="Times New Roman" w:cs="Calibri"/>
          <w:bCs/>
          <w:szCs w:val="21"/>
          <w:lang w:eastAsia="en-AU"/>
        </w:rPr>
        <w:t xml:space="preserve">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1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2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3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</w:t>
      </w:r>
      <w:r>
        <w:rPr>
          <w:rFonts w:eastAsia="Times New Roman" w:cs="Calibri"/>
          <w:bCs/>
          <w:szCs w:val="21"/>
          <w:lang w:eastAsia="en-AU"/>
        </w:rPr>
        <w:t>hree</w:t>
      </w:r>
      <w:r w:rsidRPr="00026DA9">
        <w:rPr>
          <w:rFonts w:eastAsia="Times New Roman" w:cs="Calibri"/>
          <w:bCs/>
          <w:szCs w:val="21"/>
          <w:lang w:eastAsia="en-AU"/>
        </w:rPr>
        <w:t xml:space="preserve">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4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5">
    <w:p w:rsidR="0047642C" w:rsidRPr="00307EA5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6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7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8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19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0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1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</w:t>
      </w:r>
      <w:r>
        <w:rPr>
          <w:rFonts w:eastAsia="Times New Roman" w:cs="Calibri"/>
          <w:bCs/>
          <w:szCs w:val="21"/>
          <w:lang w:eastAsia="en-AU"/>
        </w:rPr>
        <w:t>four</w:t>
      </w:r>
      <w:r w:rsidRPr="00026DA9">
        <w:rPr>
          <w:rFonts w:eastAsia="Times New Roman" w:cs="Calibri"/>
          <w:bCs/>
          <w:szCs w:val="21"/>
          <w:lang w:eastAsia="en-AU"/>
        </w:rPr>
        <w:t xml:space="preserve">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2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3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  <w:footnote w:id="24">
    <w:p w:rsidR="0047642C" w:rsidRPr="00BE0ACA" w:rsidRDefault="0047642C" w:rsidP="009D151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6DA9">
        <w:rPr>
          <w:rFonts w:eastAsia="Times New Roman" w:cs="Calibri"/>
          <w:bCs/>
          <w:szCs w:val="21"/>
          <w:lang w:eastAsia="en-AU"/>
        </w:rPr>
        <w:t xml:space="preserve">There </w:t>
      </w:r>
      <w:r>
        <w:rPr>
          <w:rFonts w:eastAsia="Times New Roman" w:cs="Calibri"/>
          <w:bCs/>
          <w:szCs w:val="21"/>
          <w:lang w:eastAsia="en-AU"/>
        </w:rPr>
        <w:t>are</w:t>
      </w:r>
      <w:r w:rsidRPr="00026DA9">
        <w:rPr>
          <w:rFonts w:eastAsia="Times New Roman" w:cs="Calibri"/>
          <w:bCs/>
          <w:szCs w:val="21"/>
          <w:lang w:eastAsia="en-AU"/>
        </w:rPr>
        <w:t xml:space="preserve"> two projects being funded at this site location</w:t>
      </w:r>
      <w:r>
        <w:rPr>
          <w:rFonts w:eastAsia="Times New Roman" w:cs="Calibri"/>
          <w:bCs/>
          <w:szCs w:val="21"/>
          <w:lang w:eastAsia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2C" w:rsidRPr="00D56936" w:rsidRDefault="0047642C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DF118B">
      <w:rPr>
        <w:rFonts w:cs="Segoe UI Light"/>
        <w:noProof/>
        <w:color w:val="001C40"/>
        <w:sz w:val="20"/>
        <w:szCs w:val="20"/>
      </w:rPr>
      <w:t>Northern Territory—$1,321,655.33 in grant funding for 18 projects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66B74"/>
    <w:rsid w:val="00072195"/>
    <w:rsid w:val="000740FB"/>
    <w:rsid w:val="00090E62"/>
    <w:rsid w:val="000B1E86"/>
    <w:rsid w:val="000B6FF7"/>
    <w:rsid w:val="000C0244"/>
    <w:rsid w:val="000D4B3B"/>
    <w:rsid w:val="000F6C06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01B43"/>
    <w:rsid w:val="00416734"/>
    <w:rsid w:val="00445017"/>
    <w:rsid w:val="0047642C"/>
    <w:rsid w:val="004A3207"/>
    <w:rsid w:val="004C7436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7E598F"/>
    <w:rsid w:val="00822DBF"/>
    <w:rsid w:val="00844881"/>
    <w:rsid w:val="00867C5E"/>
    <w:rsid w:val="008A7B93"/>
    <w:rsid w:val="008B7158"/>
    <w:rsid w:val="008C6CB9"/>
    <w:rsid w:val="008D4156"/>
    <w:rsid w:val="008E534F"/>
    <w:rsid w:val="008F24DE"/>
    <w:rsid w:val="00900C3A"/>
    <w:rsid w:val="00906533"/>
    <w:rsid w:val="00912D17"/>
    <w:rsid w:val="009276A3"/>
    <w:rsid w:val="009279AE"/>
    <w:rsid w:val="00935A30"/>
    <w:rsid w:val="00953CCD"/>
    <w:rsid w:val="00960218"/>
    <w:rsid w:val="00985DD5"/>
    <w:rsid w:val="009C3D4E"/>
    <w:rsid w:val="009D151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AF0992"/>
    <w:rsid w:val="00B041CB"/>
    <w:rsid w:val="00B12FC1"/>
    <w:rsid w:val="00B3785F"/>
    <w:rsid w:val="00B43F55"/>
    <w:rsid w:val="00B5393D"/>
    <w:rsid w:val="00B74715"/>
    <w:rsid w:val="00B76D03"/>
    <w:rsid w:val="00B8311B"/>
    <w:rsid w:val="00B86B45"/>
    <w:rsid w:val="00BB3D46"/>
    <w:rsid w:val="00BC0598"/>
    <w:rsid w:val="00BE6F35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DF118B"/>
    <w:rsid w:val="00E7227D"/>
    <w:rsid w:val="00E76BC6"/>
    <w:rsid w:val="00E80E04"/>
    <w:rsid w:val="00EA415A"/>
    <w:rsid w:val="00EE6EE8"/>
    <w:rsid w:val="00EF3D43"/>
    <w:rsid w:val="00EF5B98"/>
    <w:rsid w:val="00F005AF"/>
    <w:rsid w:val="00F4106A"/>
    <w:rsid w:val="00F41576"/>
    <w:rsid w:val="00F61FA1"/>
    <w:rsid w:val="00F64388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51E"/>
    <w:pPr>
      <w:keepNext/>
      <w:keepLines/>
      <w:suppressAutoHyphens/>
      <w:spacing w:before="3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51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1E"/>
    <w:rPr>
      <w:rFonts w:ascii="Segoe UI" w:hAnsi="Segoe UI" w:cs="Segoe UI"/>
      <w:sz w:val="18"/>
      <w:szCs w:val="18"/>
    </w:rPr>
  </w:style>
  <w:style w:type="paragraph" w:customStyle="1" w:styleId="AttachmentHeading1">
    <w:name w:val="Attachment Heading 1"/>
    <w:basedOn w:val="Heading1"/>
    <w:uiPriority w:val="11"/>
    <w:qFormat/>
    <w:rsid w:val="009D151E"/>
    <w:pPr>
      <w:keepNext/>
      <w:keepLines/>
      <w:numPr>
        <w:ilvl w:val="0"/>
      </w:numPr>
      <w:spacing w:before="480"/>
      <w:contextualSpacing/>
    </w:pPr>
    <w:rPr>
      <w:rFonts w:asciiTheme="majorHAnsi" w:eastAsiaTheme="majorEastAsia" w:hAnsiTheme="majorHAnsi" w:cstheme="majorBidi"/>
      <w:b w:val="0"/>
      <w:color w:val="44546A" w:themeColor="text2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77729-F169-4B0F-83E9-AEC5F9C3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2591</Words>
  <Characters>15888</Characters>
  <Application>Microsoft Office Word</Application>
  <DocSecurity>4</DocSecurity>
  <Lines>1134</Lines>
  <Paragraphs>1231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Hardening Program—Round 2 funded sites—May 2024</vt:lpstr>
    </vt:vector>
  </TitlesOfParts>
  <Company>Department of Infrastructure, Transport, Regional Development, Communications and the Arts</Company>
  <LinksUpToDate>false</LinksUpToDate>
  <CharactersWithSpaces>17248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Hardening Program—Round 2 funded sites—May 2024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2</cp:revision>
  <dcterms:created xsi:type="dcterms:W3CDTF">2024-07-10T06:50:00Z</dcterms:created>
  <dcterms:modified xsi:type="dcterms:W3CDTF">2024-07-10T06:50:00Z</dcterms:modified>
</cp:coreProperties>
</file>