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4BBC4" w14:textId="77777777" w:rsidR="00133A45" w:rsidRDefault="000E29BE" w:rsidP="000E29BE">
      <w:pPr>
        <w:spacing w:after="720"/>
        <w:sectPr w:rsidR="00133A45" w:rsidSect="000E29BE">
          <w:headerReference w:type="default" r:id="rId11"/>
          <w:footerReference w:type="default" r:id="rId12"/>
          <w:headerReference w:type="first" r:id="rId13"/>
          <w:footerReference w:type="first" r:id="rId14"/>
          <w:pgSz w:w="11906" w:h="16838"/>
          <w:pgMar w:top="1135" w:right="991" w:bottom="1276" w:left="1440" w:header="0" w:footer="113" w:gutter="0"/>
          <w:cols w:space="708"/>
          <w:titlePg/>
          <w:docGrid w:linePitch="360"/>
        </w:sectPr>
      </w:pPr>
      <w:bookmarkStart w:id="0" w:name="_GoBack"/>
      <w:bookmarkEnd w:id="0"/>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365B507B" w14:textId="77777777" w:rsidR="00B041CB" w:rsidRPr="00BC16FC" w:rsidRDefault="00B90AB8" w:rsidP="000E29BE">
      <w:pPr>
        <w:pStyle w:val="Heading1"/>
        <w:ind w:left="567"/>
      </w:pPr>
      <w:r w:rsidRPr="00BC16FC">
        <w:t>Mobile Black Spot Program Improving Mobile Coverage Round Grant Opportunity Guidelines</w:t>
      </w:r>
    </w:p>
    <w:p w14:paraId="682B56B9" w14:textId="20D37600" w:rsidR="00B041CB" w:rsidRPr="00BC16FC" w:rsidRDefault="00FB2B90" w:rsidP="000E29BE">
      <w:pPr>
        <w:suppressAutoHyphens/>
        <w:spacing w:before="160" w:after="80"/>
        <w:ind w:left="567"/>
        <w:rPr>
          <w:rFonts w:eastAsia="Calibri" w:cs="Times New Roman"/>
          <w:b/>
          <w:color w:val="081E3E"/>
          <w:kern w:val="12"/>
          <w:sz w:val="20"/>
          <w:szCs w:val="20"/>
        </w:rPr>
      </w:pPr>
      <w:r w:rsidRPr="00BC16FC">
        <w:rPr>
          <w:rFonts w:eastAsia="Calibri" w:cs="Times New Roman"/>
          <w:b/>
          <w:color w:val="081E3E"/>
          <w:kern w:val="12"/>
          <w:sz w:val="20"/>
          <w:szCs w:val="20"/>
        </w:rPr>
        <w:t>January</w:t>
      </w:r>
      <w:r w:rsidR="004D4AC0" w:rsidRPr="00BC16FC">
        <w:rPr>
          <w:rFonts w:eastAsia="Calibri" w:cs="Times New Roman"/>
          <w:b/>
          <w:color w:val="081E3E"/>
          <w:kern w:val="12"/>
          <w:sz w:val="20"/>
          <w:szCs w:val="20"/>
        </w:rPr>
        <w:t xml:space="preserve"> </w:t>
      </w:r>
      <w:r w:rsidR="00B041CB" w:rsidRPr="00BC16FC">
        <w:rPr>
          <w:rFonts w:eastAsia="Calibri" w:cs="Times New Roman"/>
          <w:b/>
          <w:color w:val="081E3E"/>
          <w:kern w:val="12"/>
          <w:sz w:val="20"/>
          <w:szCs w:val="20"/>
        </w:rPr>
        <w:t>202</w:t>
      </w:r>
      <w:r w:rsidR="009F3479" w:rsidRPr="00BC16FC">
        <w:rPr>
          <w:rFonts w:eastAsia="Calibri" w:cs="Times New Roman"/>
          <w:b/>
          <w:color w:val="081E3E"/>
          <w:kern w:val="12"/>
          <w:sz w:val="20"/>
          <w:szCs w:val="20"/>
        </w:rPr>
        <w:t>3</w:t>
      </w:r>
    </w:p>
    <w:p w14:paraId="61AAE174" w14:textId="77777777" w:rsidR="009C1ECD" w:rsidRPr="00BC16FC" w:rsidRDefault="009C1ECD" w:rsidP="009C1ECD">
      <w:pPr>
        <w:jc w:val="right"/>
        <w:rPr>
          <w:rFonts w:eastAsia="Calibri" w:cs="Times New Roman"/>
          <w:color w:val="000000"/>
          <w:kern w:val="12"/>
          <w:sz w:val="20"/>
          <w:szCs w:val="2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8"/>
        <w:gridCol w:w="5941"/>
      </w:tblGrid>
      <w:tr w:rsidR="00B90AB8" w:rsidRPr="00BC16FC" w14:paraId="61014D3D" w14:textId="77777777" w:rsidTr="00733F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tcPr>
          <w:p w14:paraId="73980EB5" w14:textId="77777777" w:rsidR="00B90AB8" w:rsidRPr="00BC16FC" w:rsidRDefault="00B90AB8" w:rsidP="00733FF0">
            <w:pPr>
              <w:rPr>
                <w:color w:val="264F90"/>
              </w:rPr>
            </w:pPr>
            <w:r w:rsidRPr="00BC16FC">
              <w:rPr>
                <w:color w:val="264F90"/>
              </w:rPr>
              <w:t>Opening date:</w:t>
            </w:r>
          </w:p>
        </w:tc>
        <w:tc>
          <w:tcPr>
            <w:tcW w:w="5941" w:type="dxa"/>
          </w:tcPr>
          <w:p w14:paraId="2B79215A" w14:textId="49116B4A" w:rsidR="00B90AB8" w:rsidRPr="00BC16FC" w:rsidRDefault="00327CA5" w:rsidP="00733FF0">
            <w:pPr>
              <w:cnfStyle w:val="100000000000" w:firstRow="1" w:lastRow="0" w:firstColumn="0" w:lastColumn="0" w:oddVBand="0" w:evenVBand="0" w:oddHBand="0" w:evenHBand="0" w:firstRowFirstColumn="0" w:firstRowLastColumn="0" w:lastRowFirstColumn="0" w:lastRowLastColumn="0"/>
              <w:rPr>
                <w:b w:val="0"/>
              </w:rPr>
            </w:pPr>
            <w:r w:rsidRPr="00BC16FC">
              <w:t>2 February 2023</w:t>
            </w:r>
          </w:p>
        </w:tc>
      </w:tr>
      <w:tr w:rsidR="00B90AB8" w:rsidRPr="00BC16FC" w14:paraId="7557943E" w14:textId="77777777" w:rsidTr="00733F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09FD0B4F" w14:textId="77777777" w:rsidR="00B90AB8" w:rsidRPr="00BC16FC" w:rsidRDefault="00B90AB8" w:rsidP="00733FF0">
            <w:pPr>
              <w:rPr>
                <w:color w:val="264F90"/>
              </w:rPr>
            </w:pPr>
            <w:r w:rsidRPr="00BC16FC">
              <w:rPr>
                <w:color w:val="264F90"/>
              </w:rPr>
              <w:t>Closing date and time:</w:t>
            </w:r>
          </w:p>
        </w:tc>
        <w:tc>
          <w:tcPr>
            <w:tcW w:w="5941" w:type="dxa"/>
            <w:shd w:val="clear" w:color="auto" w:fill="auto"/>
          </w:tcPr>
          <w:p w14:paraId="4BA789A0" w14:textId="3F4DA0F9" w:rsidR="00B90AB8" w:rsidRPr="00BC16FC" w:rsidRDefault="00327CA5" w:rsidP="00733FF0">
            <w:pPr>
              <w:cnfStyle w:val="100000000000" w:firstRow="1" w:lastRow="0" w:firstColumn="0" w:lastColumn="0" w:oddVBand="0" w:evenVBand="0" w:oddHBand="0" w:evenHBand="0" w:firstRowFirstColumn="0" w:firstRowLastColumn="0" w:lastRowFirstColumn="0" w:lastRowLastColumn="0"/>
            </w:pPr>
            <w:r w:rsidRPr="00BC16FC">
              <w:t>17</w:t>
            </w:r>
            <w:r w:rsidR="00B90AB8" w:rsidRPr="00BC16FC">
              <w:t xml:space="preserve">.00 AEST on </w:t>
            </w:r>
            <w:r w:rsidRPr="00BC16FC">
              <w:t>13 April 2023</w:t>
            </w:r>
          </w:p>
        </w:tc>
      </w:tr>
      <w:tr w:rsidR="00B90AB8" w:rsidRPr="00BC16FC" w14:paraId="68345385" w14:textId="77777777" w:rsidTr="00733F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3BDEF58D" w14:textId="77777777" w:rsidR="00B90AB8" w:rsidRPr="00BC16FC" w:rsidRDefault="00B90AB8" w:rsidP="00733FF0">
            <w:pPr>
              <w:rPr>
                <w:color w:val="264F90"/>
              </w:rPr>
            </w:pPr>
            <w:r w:rsidRPr="00BC16FC">
              <w:rPr>
                <w:color w:val="264F90"/>
              </w:rPr>
              <w:t>Commonwealth policy entity:</w:t>
            </w:r>
          </w:p>
        </w:tc>
        <w:tc>
          <w:tcPr>
            <w:tcW w:w="5941" w:type="dxa"/>
            <w:shd w:val="clear" w:color="auto" w:fill="auto"/>
          </w:tcPr>
          <w:p w14:paraId="737EF2C5" w14:textId="77777777" w:rsidR="00B90AB8" w:rsidRPr="00BC16FC" w:rsidRDefault="00B90AB8" w:rsidP="00733FF0">
            <w:pPr>
              <w:cnfStyle w:val="100000000000" w:firstRow="1" w:lastRow="0" w:firstColumn="0" w:lastColumn="0" w:oddVBand="0" w:evenVBand="0" w:oddHBand="0" w:evenHBand="0" w:firstRowFirstColumn="0" w:firstRowLastColumn="0" w:lastRowFirstColumn="0" w:lastRowLastColumn="0"/>
            </w:pPr>
            <w:r w:rsidRPr="00BC16FC">
              <w:t>Department of Infrastructure, Transport, Regional Development, Communications and the Arts</w:t>
            </w:r>
          </w:p>
        </w:tc>
      </w:tr>
      <w:tr w:rsidR="00B90AB8" w:rsidRPr="00BC16FC" w14:paraId="438B4165" w14:textId="77777777" w:rsidTr="00733F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3A74FB25" w14:textId="77777777" w:rsidR="00B90AB8" w:rsidRPr="00BC16FC" w:rsidRDefault="00B90AB8" w:rsidP="00733FF0">
            <w:pPr>
              <w:rPr>
                <w:color w:val="264F90"/>
              </w:rPr>
            </w:pPr>
            <w:r w:rsidRPr="00BC16FC">
              <w:rPr>
                <w:color w:val="264F90"/>
              </w:rPr>
              <w:t>Enquiries:</w:t>
            </w:r>
          </w:p>
        </w:tc>
        <w:tc>
          <w:tcPr>
            <w:tcW w:w="5941" w:type="dxa"/>
            <w:shd w:val="clear" w:color="auto" w:fill="auto"/>
          </w:tcPr>
          <w:p w14:paraId="34D38E83" w14:textId="77777777" w:rsidR="007E495B" w:rsidRPr="00BC16FC" w:rsidRDefault="00B90AB8" w:rsidP="00733FF0">
            <w:pPr>
              <w:cnfStyle w:val="100000000000" w:firstRow="1" w:lastRow="0" w:firstColumn="0" w:lastColumn="0" w:oddVBand="0" w:evenVBand="0" w:oddHBand="0" w:evenHBand="0" w:firstRowFirstColumn="0" w:firstRowLastColumn="0" w:lastRowFirstColumn="0" w:lastRowLastColumn="0"/>
            </w:pPr>
            <w:r w:rsidRPr="00BC16FC">
              <w:t>If you have any questions, contact</w:t>
            </w:r>
          </w:p>
          <w:p w14:paraId="330F09CA" w14:textId="22827627" w:rsidR="00B90AB8" w:rsidRPr="00BC16FC" w:rsidRDefault="00697328" w:rsidP="00733FF0">
            <w:pPr>
              <w:cnfStyle w:val="100000000000" w:firstRow="1" w:lastRow="0" w:firstColumn="0" w:lastColumn="0" w:oddVBand="0" w:evenVBand="0" w:oddHBand="0" w:evenHBand="0" w:firstRowFirstColumn="0" w:firstRowLastColumn="0" w:lastRowFirstColumn="0" w:lastRowLastColumn="0"/>
            </w:pPr>
            <w:hyperlink r:id="rId16" w:history="1">
              <w:r w:rsidR="004D4AC0" w:rsidRPr="00BC16FC">
                <w:rPr>
                  <w:rStyle w:val="Hyperlink"/>
                </w:rPr>
                <w:t>MBSP@infrastructure.gov.au</w:t>
              </w:r>
            </w:hyperlink>
            <w:r w:rsidR="004D4AC0" w:rsidRPr="00BC16FC">
              <w:t xml:space="preserve"> </w:t>
            </w:r>
          </w:p>
          <w:p w14:paraId="62F747D2" w14:textId="18DC5CE6" w:rsidR="00B90AB8" w:rsidRPr="00BC16FC" w:rsidRDefault="00B90AB8" w:rsidP="00733FF0">
            <w:pPr>
              <w:cnfStyle w:val="100000000000" w:firstRow="1" w:lastRow="0" w:firstColumn="0" w:lastColumn="0" w:oddVBand="0" w:evenVBand="0" w:oddHBand="0" w:evenHBand="0" w:firstRowFirstColumn="0" w:firstRowLastColumn="0" w:lastRowFirstColumn="0" w:lastRowLastColumn="0"/>
            </w:pPr>
            <w:r w:rsidRPr="00BC16FC">
              <w:t xml:space="preserve">Questions should be sent no later than </w:t>
            </w:r>
            <w:r w:rsidR="00327CA5" w:rsidRPr="00BC16FC">
              <w:t>30 March 2023</w:t>
            </w:r>
          </w:p>
        </w:tc>
      </w:tr>
      <w:tr w:rsidR="00B90AB8" w:rsidRPr="00BC16FC" w14:paraId="21213763" w14:textId="77777777" w:rsidTr="00733F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50588E11" w14:textId="77777777" w:rsidR="00B90AB8" w:rsidRPr="00BC16FC" w:rsidRDefault="00B90AB8" w:rsidP="00733FF0">
            <w:pPr>
              <w:rPr>
                <w:color w:val="264F90"/>
              </w:rPr>
            </w:pPr>
            <w:r w:rsidRPr="00BC16FC">
              <w:rPr>
                <w:color w:val="264F90"/>
              </w:rPr>
              <w:t>Date guidelines released:</w:t>
            </w:r>
          </w:p>
        </w:tc>
        <w:tc>
          <w:tcPr>
            <w:tcW w:w="5941" w:type="dxa"/>
            <w:shd w:val="clear" w:color="auto" w:fill="auto"/>
          </w:tcPr>
          <w:p w14:paraId="704EFBDD" w14:textId="5EA09A07" w:rsidR="00B90AB8" w:rsidRPr="00BC16FC" w:rsidRDefault="00327CA5" w:rsidP="00733FF0">
            <w:pPr>
              <w:cnfStyle w:val="100000000000" w:firstRow="1" w:lastRow="0" w:firstColumn="0" w:lastColumn="0" w:oddVBand="0" w:evenVBand="0" w:oddHBand="0" w:evenHBand="0" w:firstRowFirstColumn="0" w:firstRowLastColumn="0" w:lastRowFirstColumn="0" w:lastRowLastColumn="0"/>
            </w:pPr>
            <w:r w:rsidRPr="00BC16FC">
              <w:t>2 February 2023</w:t>
            </w:r>
          </w:p>
        </w:tc>
      </w:tr>
      <w:tr w:rsidR="00B90AB8" w:rsidRPr="00BC16FC" w14:paraId="6D73FB39" w14:textId="77777777" w:rsidTr="00733F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12568C3C" w14:textId="77777777" w:rsidR="00B90AB8" w:rsidRPr="00BC16FC" w:rsidRDefault="00B90AB8" w:rsidP="00733FF0">
            <w:pPr>
              <w:rPr>
                <w:color w:val="264F90"/>
              </w:rPr>
            </w:pPr>
            <w:r w:rsidRPr="00BC16FC">
              <w:rPr>
                <w:color w:val="264F90"/>
              </w:rPr>
              <w:t>Type of grant opportunity:</w:t>
            </w:r>
          </w:p>
        </w:tc>
        <w:tc>
          <w:tcPr>
            <w:tcW w:w="5941" w:type="dxa"/>
            <w:shd w:val="clear" w:color="auto" w:fill="auto"/>
          </w:tcPr>
          <w:p w14:paraId="0910CD89" w14:textId="77777777" w:rsidR="00B90AB8" w:rsidRDefault="00B90AB8" w:rsidP="00733FF0">
            <w:pPr>
              <w:cnfStyle w:val="100000000000" w:firstRow="1" w:lastRow="0" w:firstColumn="0" w:lastColumn="0" w:oddVBand="0" w:evenVBand="0" w:oddHBand="0" w:evenHBand="0" w:firstRowFirstColumn="0" w:firstRowLastColumn="0" w:lastRowFirstColumn="0" w:lastRowLastColumn="0"/>
              <w:rPr>
                <w:b w:val="0"/>
                <w:bCs w:val="0"/>
              </w:rPr>
            </w:pPr>
            <w:r w:rsidRPr="00BC16FC">
              <w:t>Targeted competitive</w:t>
            </w:r>
          </w:p>
          <w:p w14:paraId="1D4EA746" w14:textId="2F6321B4" w:rsidR="008C7B0F" w:rsidRPr="008C7B0F" w:rsidRDefault="008C7B0F" w:rsidP="00733FF0">
            <w:pPr>
              <w:cnfStyle w:val="100000000000" w:firstRow="1" w:lastRow="0" w:firstColumn="0" w:lastColumn="0" w:oddVBand="0" w:evenVBand="0" w:oddHBand="0" w:evenHBand="0" w:firstRowFirstColumn="0" w:firstRowLastColumn="0" w:lastRowFirstColumn="0" w:lastRowLastColumn="0"/>
              <w:rPr>
                <w:sz w:val="2"/>
              </w:rPr>
            </w:pPr>
          </w:p>
        </w:tc>
      </w:tr>
    </w:tbl>
    <w:p w14:paraId="1579AEE6" w14:textId="77777777" w:rsidR="009C1ECD" w:rsidRPr="00BC16FC" w:rsidRDefault="009C1ECD">
      <w:pPr>
        <w:spacing w:line="259" w:lineRule="auto"/>
        <w:rPr>
          <w:rFonts w:eastAsia="Calibri" w:cs="Times New Roman"/>
          <w:color w:val="000000"/>
          <w:kern w:val="12"/>
          <w:sz w:val="20"/>
          <w:szCs w:val="20"/>
        </w:rPr>
      </w:pPr>
      <w:r w:rsidRPr="00BC16FC">
        <w:rPr>
          <w:rFonts w:eastAsia="Calibri" w:cs="Times New Roman"/>
          <w:color w:val="000000"/>
          <w:kern w:val="12"/>
          <w:sz w:val="20"/>
          <w:szCs w:val="20"/>
        </w:rPr>
        <w:br w:type="page"/>
      </w:r>
    </w:p>
    <w:p w14:paraId="78376453" w14:textId="0360E36A" w:rsidR="009C1ECD" w:rsidRPr="00BC16FC" w:rsidRDefault="009C1ECD" w:rsidP="009C1ECD">
      <w:pPr>
        <w:suppressAutoHyphens/>
        <w:spacing w:before="120" w:after="80"/>
        <w:contextualSpacing/>
        <w:rPr>
          <w:rFonts w:eastAsia="Calibri" w:cs="Times New Roman"/>
          <w:color w:val="000000"/>
          <w:kern w:val="12"/>
          <w:sz w:val="20"/>
          <w:szCs w:val="20"/>
        </w:rPr>
      </w:pPr>
      <w:r w:rsidRPr="00BC16FC">
        <w:rPr>
          <w:rFonts w:eastAsia="Calibri" w:cs="Times New Roman"/>
          <w:color w:val="000000"/>
          <w:kern w:val="12"/>
          <w:sz w:val="20"/>
          <w:szCs w:val="20"/>
        </w:rPr>
        <w:lastRenderedPageBreak/>
        <w:t>© Commonwealth of Australia</w:t>
      </w:r>
      <w:r w:rsidR="00536F9E" w:rsidRPr="00BC16FC">
        <w:rPr>
          <w:rFonts w:eastAsia="Calibri" w:cs="Times New Roman"/>
          <w:color w:val="000000"/>
          <w:kern w:val="12"/>
          <w:sz w:val="20"/>
          <w:szCs w:val="20"/>
        </w:rPr>
        <w:t xml:space="preserve"> </w:t>
      </w:r>
      <w:r w:rsidR="00327CA5" w:rsidRPr="00BC16FC">
        <w:rPr>
          <w:rFonts w:eastAsia="Calibri" w:cs="Times New Roman"/>
          <w:color w:val="000000"/>
          <w:kern w:val="12"/>
          <w:sz w:val="20"/>
          <w:szCs w:val="20"/>
        </w:rPr>
        <w:t>January</w:t>
      </w:r>
      <w:r w:rsidR="009F3479" w:rsidRPr="00BC16FC">
        <w:rPr>
          <w:rFonts w:eastAsia="Calibri" w:cs="Times New Roman"/>
          <w:color w:val="000000"/>
          <w:kern w:val="12"/>
          <w:sz w:val="20"/>
          <w:szCs w:val="20"/>
        </w:rPr>
        <w:t xml:space="preserve"> </w:t>
      </w:r>
      <w:r w:rsidRPr="00BC16FC">
        <w:rPr>
          <w:rFonts w:eastAsia="Calibri" w:cs="Times New Roman"/>
          <w:color w:val="000000"/>
          <w:kern w:val="12"/>
          <w:sz w:val="20"/>
          <w:szCs w:val="20"/>
        </w:rPr>
        <w:t>202</w:t>
      </w:r>
      <w:r w:rsidR="009F3479" w:rsidRPr="00BC16FC">
        <w:rPr>
          <w:rFonts w:eastAsia="Calibri" w:cs="Times New Roman"/>
          <w:color w:val="000000"/>
          <w:kern w:val="12"/>
          <w:sz w:val="20"/>
          <w:szCs w:val="20"/>
        </w:rPr>
        <w:t>3</w:t>
      </w:r>
    </w:p>
    <w:p w14:paraId="1D04D77F" w14:textId="77777777" w:rsidR="009C1ECD" w:rsidRPr="00BC16FC" w:rsidRDefault="009C1ECD" w:rsidP="009C1ECD">
      <w:pPr>
        <w:pStyle w:val="Heading2notshowing"/>
      </w:pPr>
      <w:r w:rsidRPr="00BC16FC">
        <w:t>Ownership of intellectual property rights in this publication</w:t>
      </w:r>
    </w:p>
    <w:p w14:paraId="5DCBE96B" w14:textId="77777777" w:rsidR="009C1ECD" w:rsidRPr="00BC16FC" w:rsidRDefault="009C1ECD" w:rsidP="009C1ECD">
      <w:r w:rsidRPr="00BC16FC">
        <w:t>Unless otherwise noted, copyright (and any other intellectual property rights, if any) in this publication is owned by the</w:t>
      </w:r>
      <w:r w:rsidRPr="00BC16FC">
        <w:rPr>
          <w:lang w:val="en-US"/>
        </w:rPr>
        <w:t xml:space="preserve"> </w:t>
      </w:r>
      <w:r w:rsidRPr="00BC16FC">
        <w:t>Commonwealth of Australia (referred to below as the Commonwealth).</w:t>
      </w:r>
    </w:p>
    <w:p w14:paraId="72C6A3E1" w14:textId="77777777" w:rsidR="009C1ECD" w:rsidRPr="00BC16FC" w:rsidRDefault="009C1ECD" w:rsidP="009C1ECD">
      <w:pPr>
        <w:pStyle w:val="Heading2notshowing"/>
      </w:pPr>
      <w:r w:rsidRPr="00BC16FC">
        <w:t>Use of the Coat of Arms</w:t>
      </w:r>
    </w:p>
    <w:p w14:paraId="4989F22A" w14:textId="77777777" w:rsidR="009C1ECD" w:rsidRPr="009C1ECD" w:rsidRDefault="009C1ECD" w:rsidP="009C1ECD">
      <w:r w:rsidRPr="00BC16FC">
        <w:t>The Department of the Prime Minister and Cabinet sets the terms under which the Coat of Arms is used. Please refer to</w:t>
      </w:r>
      <w:r w:rsidRPr="00BC16FC">
        <w:rPr>
          <w:lang w:val="en-US"/>
        </w:rPr>
        <w:t xml:space="preserve"> </w:t>
      </w:r>
      <w:r w:rsidRPr="00BC16FC">
        <w:t>the Commonwealth</w:t>
      </w:r>
      <w:r w:rsidRPr="009C1ECD">
        <w:t xml:space="preserve"> Coat of Arms - Information and Guidelines publication available at </w:t>
      </w:r>
      <w:hyperlink r:id="rId17" w:tooltip="Department of Prime Minister and Cabinet website" w:history="1">
        <w:r w:rsidRPr="009C1ECD">
          <w:rPr>
            <w:color w:val="0046FF"/>
            <w:u w:val="single"/>
          </w:rPr>
          <w:t>http://www.pmc.gov.au</w:t>
        </w:r>
      </w:hyperlink>
      <w:r w:rsidRPr="009C1ECD">
        <w:t>.</w:t>
      </w:r>
    </w:p>
    <w:p w14:paraId="4C1BFFD0" w14:textId="77777777" w:rsidR="009C1ECD" w:rsidRPr="009C1ECD" w:rsidRDefault="009C1ECD" w:rsidP="009C1ECD">
      <w:pPr>
        <w:pStyle w:val="Heading2notshowing"/>
      </w:pPr>
      <w:r w:rsidRPr="009C1ECD">
        <w:t>Contact us</w:t>
      </w:r>
    </w:p>
    <w:p w14:paraId="69319E22" w14:textId="77777777" w:rsidR="009C1ECD" w:rsidRPr="009C1ECD" w:rsidRDefault="009C1ECD" w:rsidP="009C1ECD">
      <w:r w:rsidRPr="009C1ECD">
        <w:t xml:space="preserve">This publication is available in </w:t>
      </w:r>
      <w:r w:rsidR="00FF4886">
        <w:t>Word</w:t>
      </w:r>
      <w:r w:rsidRPr="009C1ECD">
        <w:t xml:space="preserve"> or PDF format. All other rights are reserved, including in relation to any</w:t>
      </w:r>
      <w:r w:rsidRPr="009C1ECD">
        <w:rPr>
          <w:lang w:val="en-US"/>
        </w:rPr>
        <w:t xml:space="preserve"> departmental</w:t>
      </w:r>
      <w:r w:rsidRPr="009C1ECD">
        <w:t xml:space="preserve"> logos or trade marks which may exist. For enquiries regarding the licence and any use of this publication,</w:t>
      </w:r>
      <w:r w:rsidRPr="009C1ECD">
        <w:rPr>
          <w:lang w:val="en-US"/>
        </w:rPr>
        <w:t xml:space="preserve"> </w:t>
      </w:r>
      <w:r w:rsidRPr="009C1ECD">
        <w:t>please contact:</w:t>
      </w:r>
    </w:p>
    <w:p w14:paraId="2F8C7ACF" w14:textId="123822E6"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4D4AC0">
        <w:t>, Communications and the Arts</w:t>
      </w:r>
      <w:r>
        <w:br/>
      </w:r>
      <w:r w:rsidRPr="009C1ECD">
        <w:t>GPO Box 594</w:t>
      </w:r>
      <w:r>
        <w:br/>
      </w:r>
      <w:r w:rsidRPr="009C1ECD">
        <w:t>Canberra ACT 2601</w:t>
      </w:r>
      <w:r>
        <w:br/>
      </w:r>
      <w:r w:rsidRPr="009C1ECD">
        <w:t>Australia</w:t>
      </w:r>
    </w:p>
    <w:p w14:paraId="3B5025BA" w14:textId="77777777" w:rsidR="009C1ECD" w:rsidRDefault="009C1ECD" w:rsidP="009C1ECD">
      <w:r w:rsidRPr="009C1ECD">
        <w:t xml:space="preserve">Email: </w:t>
      </w:r>
      <w:hyperlink r:id="rId18" w:tooltip="Email the Publishing team at the Department of Infrastructure, Transport, Regional Development and Communications" w:history="1">
        <w:r w:rsidRPr="009C1ECD">
          <w:rPr>
            <w:color w:val="0046FF"/>
            <w:u w:val="single"/>
          </w:rPr>
          <w:t>publishing@infrastructure.gov.au</w:t>
        </w:r>
      </w:hyperlink>
      <w:r>
        <w:rPr>
          <w:color w:val="0046FF"/>
          <w:u w:val="single"/>
        </w:rPr>
        <w:br/>
      </w:r>
      <w:r w:rsidRPr="009C1ECD">
        <w:t xml:space="preserve">Website: </w:t>
      </w:r>
      <w:hyperlink r:id="rId19" w:tooltip="Department of Infrastructure, Transport, Regional Development and Communications website" w:history="1">
        <w:r w:rsidRPr="009C1ECD">
          <w:rPr>
            <w:color w:val="0046FF"/>
            <w:u w:val="single"/>
          </w:rPr>
          <w:t>www.infrastructure.gov.au</w:t>
        </w:r>
      </w:hyperlink>
      <w:r>
        <w:br w:type="page"/>
      </w:r>
    </w:p>
    <w:p w14:paraId="0CC411D6" w14:textId="77777777" w:rsidR="00670726" w:rsidRPr="00670726" w:rsidRDefault="00670726" w:rsidP="00670726">
      <w:pPr>
        <w:numPr>
          <w:ilvl w:val="1"/>
          <w:numId w:val="0"/>
        </w:numPr>
        <w:suppressAutoHyphens/>
        <w:outlineLvl w:val="0"/>
        <w:rPr>
          <w:rFonts w:eastAsia="SimSun" w:cs="Times New Roman"/>
          <w:b/>
          <w:color w:val="000000"/>
          <w:kern w:val="12"/>
          <w:sz w:val="60"/>
          <w:szCs w:val="60"/>
        </w:rPr>
      </w:pPr>
      <w:r w:rsidRPr="00670726">
        <w:rPr>
          <w:rFonts w:eastAsia="SimSun" w:cs="Times New Roman"/>
          <w:b/>
          <w:color w:val="000000"/>
          <w:kern w:val="12"/>
          <w:sz w:val="60"/>
          <w:szCs w:val="60"/>
        </w:rPr>
        <w:lastRenderedPageBreak/>
        <w:t>Table of contents</w:t>
      </w:r>
    </w:p>
    <w:p w14:paraId="742A0C02" w14:textId="1A67EFFB" w:rsidR="00326AA2"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57704938" w:history="1">
        <w:r w:rsidR="00326AA2" w:rsidRPr="00AB0B90">
          <w:rPr>
            <w:rStyle w:val="Hyperlink"/>
            <w:noProof/>
          </w:rPr>
          <w:t>1.</w:t>
        </w:r>
        <w:r w:rsidR="00326AA2">
          <w:rPr>
            <w:rFonts w:asciiTheme="minorHAnsi" w:eastAsiaTheme="minorEastAsia" w:hAnsiTheme="minorHAnsi"/>
            <w:b w:val="0"/>
            <w:noProof/>
            <w:color w:val="auto"/>
            <w:u w:val="none"/>
            <w:lang w:eastAsia="en-AU"/>
          </w:rPr>
          <w:tab/>
        </w:r>
        <w:r w:rsidR="00326AA2" w:rsidRPr="00AB0B90">
          <w:rPr>
            <w:rStyle w:val="Hyperlink"/>
            <w:noProof/>
          </w:rPr>
          <w:t>Improving Mobile Coverage Round: processes</w:t>
        </w:r>
        <w:r w:rsidR="00326AA2">
          <w:rPr>
            <w:noProof/>
            <w:webHidden/>
          </w:rPr>
          <w:tab/>
        </w:r>
        <w:r w:rsidR="00326AA2">
          <w:rPr>
            <w:noProof/>
            <w:webHidden/>
          </w:rPr>
          <w:fldChar w:fldCharType="begin"/>
        </w:r>
        <w:r w:rsidR="00326AA2">
          <w:rPr>
            <w:noProof/>
            <w:webHidden/>
          </w:rPr>
          <w:instrText xml:space="preserve"> PAGEREF _Toc157704938 \h </w:instrText>
        </w:r>
        <w:r w:rsidR="00326AA2">
          <w:rPr>
            <w:noProof/>
            <w:webHidden/>
          </w:rPr>
        </w:r>
        <w:r w:rsidR="00326AA2">
          <w:rPr>
            <w:noProof/>
            <w:webHidden/>
          </w:rPr>
          <w:fldChar w:fldCharType="separate"/>
        </w:r>
        <w:r w:rsidR="00326AA2">
          <w:rPr>
            <w:noProof/>
            <w:webHidden/>
          </w:rPr>
          <w:t>5</w:t>
        </w:r>
        <w:r w:rsidR="00326AA2">
          <w:rPr>
            <w:noProof/>
            <w:webHidden/>
          </w:rPr>
          <w:fldChar w:fldCharType="end"/>
        </w:r>
      </w:hyperlink>
    </w:p>
    <w:p w14:paraId="0C1BA7CF" w14:textId="5BE6781E" w:rsidR="00326AA2" w:rsidRDefault="00697328">
      <w:pPr>
        <w:pStyle w:val="TOC2"/>
        <w:rPr>
          <w:rFonts w:asciiTheme="minorHAnsi" w:eastAsiaTheme="minorEastAsia" w:hAnsiTheme="minorHAnsi"/>
          <w:noProof/>
          <w:sz w:val="22"/>
          <w:lang w:eastAsia="en-AU"/>
        </w:rPr>
      </w:pPr>
      <w:hyperlink w:anchor="_Toc157704939" w:history="1">
        <w:r w:rsidR="00326AA2" w:rsidRPr="00AB0B90">
          <w:rPr>
            <w:rStyle w:val="Hyperlink"/>
            <w:noProof/>
          </w:rPr>
          <w:t>1.1.</w:t>
        </w:r>
        <w:r w:rsidR="00326AA2">
          <w:rPr>
            <w:rFonts w:asciiTheme="minorHAnsi" w:eastAsiaTheme="minorEastAsia" w:hAnsiTheme="minorHAnsi"/>
            <w:noProof/>
            <w:sz w:val="22"/>
            <w:lang w:eastAsia="en-AU"/>
          </w:rPr>
          <w:tab/>
        </w:r>
        <w:r w:rsidR="00326AA2" w:rsidRPr="00AB0B90">
          <w:rPr>
            <w:rStyle w:val="Hyperlink"/>
            <w:noProof/>
          </w:rPr>
          <w:t>Introduction</w:t>
        </w:r>
        <w:r w:rsidR="00326AA2">
          <w:rPr>
            <w:noProof/>
            <w:webHidden/>
          </w:rPr>
          <w:tab/>
        </w:r>
        <w:r w:rsidR="00326AA2">
          <w:rPr>
            <w:noProof/>
            <w:webHidden/>
          </w:rPr>
          <w:fldChar w:fldCharType="begin"/>
        </w:r>
        <w:r w:rsidR="00326AA2">
          <w:rPr>
            <w:noProof/>
            <w:webHidden/>
          </w:rPr>
          <w:instrText xml:space="preserve"> PAGEREF _Toc157704939 \h </w:instrText>
        </w:r>
        <w:r w:rsidR="00326AA2">
          <w:rPr>
            <w:noProof/>
            <w:webHidden/>
          </w:rPr>
        </w:r>
        <w:r w:rsidR="00326AA2">
          <w:rPr>
            <w:noProof/>
            <w:webHidden/>
          </w:rPr>
          <w:fldChar w:fldCharType="separate"/>
        </w:r>
        <w:r w:rsidR="00326AA2">
          <w:rPr>
            <w:noProof/>
            <w:webHidden/>
          </w:rPr>
          <w:t>7</w:t>
        </w:r>
        <w:r w:rsidR="00326AA2">
          <w:rPr>
            <w:noProof/>
            <w:webHidden/>
          </w:rPr>
          <w:fldChar w:fldCharType="end"/>
        </w:r>
      </w:hyperlink>
    </w:p>
    <w:p w14:paraId="1C016613" w14:textId="47B07ACD" w:rsidR="00326AA2" w:rsidRDefault="00697328">
      <w:pPr>
        <w:pStyle w:val="TOC1"/>
        <w:rPr>
          <w:rFonts w:asciiTheme="minorHAnsi" w:eastAsiaTheme="minorEastAsia" w:hAnsiTheme="minorHAnsi"/>
          <w:b w:val="0"/>
          <w:noProof/>
          <w:color w:val="auto"/>
          <w:u w:val="none"/>
          <w:lang w:eastAsia="en-AU"/>
        </w:rPr>
      </w:pPr>
      <w:hyperlink w:anchor="_Toc157704940" w:history="1">
        <w:r w:rsidR="00326AA2" w:rsidRPr="00AB0B90">
          <w:rPr>
            <w:rStyle w:val="Hyperlink"/>
            <w:noProof/>
          </w:rPr>
          <w:t>2.</w:t>
        </w:r>
        <w:r w:rsidR="00326AA2">
          <w:rPr>
            <w:rFonts w:asciiTheme="minorHAnsi" w:eastAsiaTheme="minorEastAsia" w:hAnsiTheme="minorHAnsi"/>
            <w:b w:val="0"/>
            <w:noProof/>
            <w:color w:val="auto"/>
            <w:u w:val="none"/>
            <w:lang w:eastAsia="en-AU"/>
          </w:rPr>
          <w:tab/>
        </w:r>
        <w:r w:rsidR="00326AA2" w:rsidRPr="00AB0B90">
          <w:rPr>
            <w:rStyle w:val="Hyperlink"/>
            <w:noProof/>
          </w:rPr>
          <w:t>About the grant program</w:t>
        </w:r>
        <w:r w:rsidR="00326AA2">
          <w:rPr>
            <w:noProof/>
            <w:webHidden/>
          </w:rPr>
          <w:tab/>
        </w:r>
        <w:r w:rsidR="00326AA2">
          <w:rPr>
            <w:noProof/>
            <w:webHidden/>
          </w:rPr>
          <w:fldChar w:fldCharType="begin"/>
        </w:r>
        <w:r w:rsidR="00326AA2">
          <w:rPr>
            <w:noProof/>
            <w:webHidden/>
          </w:rPr>
          <w:instrText xml:space="preserve"> PAGEREF _Toc157704940 \h </w:instrText>
        </w:r>
        <w:r w:rsidR="00326AA2">
          <w:rPr>
            <w:noProof/>
            <w:webHidden/>
          </w:rPr>
        </w:r>
        <w:r w:rsidR="00326AA2">
          <w:rPr>
            <w:noProof/>
            <w:webHidden/>
          </w:rPr>
          <w:fldChar w:fldCharType="separate"/>
        </w:r>
        <w:r w:rsidR="00326AA2">
          <w:rPr>
            <w:noProof/>
            <w:webHidden/>
          </w:rPr>
          <w:t>7</w:t>
        </w:r>
        <w:r w:rsidR="00326AA2">
          <w:rPr>
            <w:noProof/>
            <w:webHidden/>
          </w:rPr>
          <w:fldChar w:fldCharType="end"/>
        </w:r>
      </w:hyperlink>
    </w:p>
    <w:p w14:paraId="7CB5B161" w14:textId="1A2DC01C" w:rsidR="00326AA2" w:rsidRDefault="00697328">
      <w:pPr>
        <w:pStyle w:val="TOC2"/>
        <w:rPr>
          <w:rFonts w:asciiTheme="minorHAnsi" w:eastAsiaTheme="minorEastAsia" w:hAnsiTheme="minorHAnsi"/>
          <w:noProof/>
          <w:sz w:val="22"/>
          <w:lang w:eastAsia="en-AU"/>
        </w:rPr>
      </w:pPr>
      <w:hyperlink w:anchor="_Toc157704941" w:history="1">
        <w:r w:rsidR="00326AA2" w:rsidRPr="00AB0B90">
          <w:rPr>
            <w:rStyle w:val="Hyperlink"/>
            <w:noProof/>
          </w:rPr>
          <w:t>2.1.</w:t>
        </w:r>
        <w:r w:rsidR="00326AA2">
          <w:rPr>
            <w:rFonts w:asciiTheme="minorHAnsi" w:eastAsiaTheme="minorEastAsia" w:hAnsiTheme="minorHAnsi"/>
            <w:noProof/>
            <w:sz w:val="22"/>
            <w:lang w:eastAsia="en-AU"/>
          </w:rPr>
          <w:tab/>
        </w:r>
        <w:r w:rsidR="00326AA2" w:rsidRPr="00AB0B90">
          <w:rPr>
            <w:rStyle w:val="Hyperlink"/>
            <w:noProof/>
          </w:rPr>
          <w:t>About the Program</w:t>
        </w:r>
        <w:r w:rsidR="00326AA2">
          <w:rPr>
            <w:noProof/>
            <w:webHidden/>
          </w:rPr>
          <w:tab/>
        </w:r>
        <w:r w:rsidR="00326AA2">
          <w:rPr>
            <w:noProof/>
            <w:webHidden/>
          </w:rPr>
          <w:fldChar w:fldCharType="begin"/>
        </w:r>
        <w:r w:rsidR="00326AA2">
          <w:rPr>
            <w:noProof/>
            <w:webHidden/>
          </w:rPr>
          <w:instrText xml:space="preserve"> PAGEREF _Toc157704941 \h </w:instrText>
        </w:r>
        <w:r w:rsidR="00326AA2">
          <w:rPr>
            <w:noProof/>
            <w:webHidden/>
          </w:rPr>
        </w:r>
        <w:r w:rsidR="00326AA2">
          <w:rPr>
            <w:noProof/>
            <w:webHidden/>
          </w:rPr>
          <w:fldChar w:fldCharType="separate"/>
        </w:r>
        <w:r w:rsidR="00326AA2">
          <w:rPr>
            <w:noProof/>
            <w:webHidden/>
          </w:rPr>
          <w:t>7</w:t>
        </w:r>
        <w:r w:rsidR="00326AA2">
          <w:rPr>
            <w:noProof/>
            <w:webHidden/>
          </w:rPr>
          <w:fldChar w:fldCharType="end"/>
        </w:r>
      </w:hyperlink>
    </w:p>
    <w:p w14:paraId="6162C535" w14:textId="75B5E508" w:rsidR="00326AA2" w:rsidRDefault="00697328">
      <w:pPr>
        <w:pStyle w:val="TOC2"/>
        <w:rPr>
          <w:rFonts w:asciiTheme="minorHAnsi" w:eastAsiaTheme="minorEastAsia" w:hAnsiTheme="minorHAnsi"/>
          <w:noProof/>
          <w:sz w:val="22"/>
          <w:lang w:eastAsia="en-AU"/>
        </w:rPr>
      </w:pPr>
      <w:hyperlink w:anchor="_Toc157704942" w:history="1">
        <w:r w:rsidR="00326AA2" w:rsidRPr="00AB0B90">
          <w:rPr>
            <w:rStyle w:val="Hyperlink"/>
            <w:noProof/>
          </w:rPr>
          <w:t>2.2.</w:t>
        </w:r>
        <w:r w:rsidR="00326AA2">
          <w:rPr>
            <w:rFonts w:asciiTheme="minorHAnsi" w:eastAsiaTheme="minorEastAsia" w:hAnsiTheme="minorHAnsi"/>
            <w:noProof/>
            <w:sz w:val="22"/>
            <w:lang w:eastAsia="en-AU"/>
          </w:rPr>
          <w:tab/>
        </w:r>
        <w:r w:rsidR="00326AA2" w:rsidRPr="00AB0B90">
          <w:rPr>
            <w:rStyle w:val="Hyperlink"/>
            <w:noProof/>
          </w:rPr>
          <w:t>About the Improving Mobile Coverage Round grant opportunity</w:t>
        </w:r>
        <w:r w:rsidR="00326AA2">
          <w:rPr>
            <w:noProof/>
            <w:webHidden/>
          </w:rPr>
          <w:tab/>
        </w:r>
        <w:r w:rsidR="00326AA2">
          <w:rPr>
            <w:noProof/>
            <w:webHidden/>
          </w:rPr>
          <w:fldChar w:fldCharType="begin"/>
        </w:r>
        <w:r w:rsidR="00326AA2">
          <w:rPr>
            <w:noProof/>
            <w:webHidden/>
          </w:rPr>
          <w:instrText xml:space="preserve"> PAGEREF _Toc157704942 \h </w:instrText>
        </w:r>
        <w:r w:rsidR="00326AA2">
          <w:rPr>
            <w:noProof/>
            <w:webHidden/>
          </w:rPr>
        </w:r>
        <w:r w:rsidR="00326AA2">
          <w:rPr>
            <w:noProof/>
            <w:webHidden/>
          </w:rPr>
          <w:fldChar w:fldCharType="separate"/>
        </w:r>
        <w:r w:rsidR="00326AA2">
          <w:rPr>
            <w:noProof/>
            <w:webHidden/>
          </w:rPr>
          <w:t>7</w:t>
        </w:r>
        <w:r w:rsidR="00326AA2">
          <w:rPr>
            <w:noProof/>
            <w:webHidden/>
          </w:rPr>
          <w:fldChar w:fldCharType="end"/>
        </w:r>
      </w:hyperlink>
    </w:p>
    <w:p w14:paraId="25345C8B" w14:textId="06F50FC0" w:rsidR="00326AA2" w:rsidRDefault="00697328">
      <w:pPr>
        <w:pStyle w:val="TOC1"/>
        <w:rPr>
          <w:rFonts w:asciiTheme="minorHAnsi" w:eastAsiaTheme="minorEastAsia" w:hAnsiTheme="minorHAnsi"/>
          <w:b w:val="0"/>
          <w:noProof/>
          <w:color w:val="auto"/>
          <w:u w:val="none"/>
          <w:lang w:eastAsia="en-AU"/>
        </w:rPr>
      </w:pPr>
      <w:hyperlink w:anchor="_Toc157704943" w:history="1">
        <w:r w:rsidR="00326AA2" w:rsidRPr="00AB0B90">
          <w:rPr>
            <w:rStyle w:val="Hyperlink"/>
            <w:noProof/>
          </w:rPr>
          <w:t>3.</w:t>
        </w:r>
        <w:r w:rsidR="00326AA2">
          <w:rPr>
            <w:rFonts w:asciiTheme="minorHAnsi" w:eastAsiaTheme="minorEastAsia" w:hAnsiTheme="minorHAnsi"/>
            <w:b w:val="0"/>
            <w:noProof/>
            <w:color w:val="auto"/>
            <w:u w:val="none"/>
            <w:lang w:eastAsia="en-AU"/>
          </w:rPr>
          <w:tab/>
        </w:r>
        <w:r w:rsidR="00326AA2" w:rsidRPr="00AB0B90">
          <w:rPr>
            <w:rStyle w:val="Hyperlink"/>
            <w:noProof/>
          </w:rPr>
          <w:t>Grant amount and grant period</w:t>
        </w:r>
        <w:r w:rsidR="00326AA2">
          <w:rPr>
            <w:noProof/>
            <w:webHidden/>
          </w:rPr>
          <w:tab/>
        </w:r>
        <w:r w:rsidR="00326AA2">
          <w:rPr>
            <w:noProof/>
            <w:webHidden/>
          </w:rPr>
          <w:fldChar w:fldCharType="begin"/>
        </w:r>
        <w:r w:rsidR="00326AA2">
          <w:rPr>
            <w:noProof/>
            <w:webHidden/>
          </w:rPr>
          <w:instrText xml:space="preserve"> PAGEREF _Toc157704943 \h </w:instrText>
        </w:r>
        <w:r w:rsidR="00326AA2">
          <w:rPr>
            <w:noProof/>
            <w:webHidden/>
          </w:rPr>
        </w:r>
        <w:r w:rsidR="00326AA2">
          <w:rPr>
            <w:noProof/>
            <w:webHidden/>
          </w:rPr>
          <w:fldChar w:fldCharType="separate"/>
        </w:r>
        <w:r w:rsidR="00326AA2">
          <w:rPr>
            <w:noProof/>
            <w:webHidden/>
          </w:rPr>
          <w:t>8</w:t>
        </w:r>
        <w:r w:rsidR="00326AA2">
          <w:rPr>
            <w:noProof/>
            <w:webHidden/>
          </w:rPr>
          <w:fldChar w:fldCharType="end"/>
        </w:r>
      </w:hyperlink>
    </w:p>
    <w:p w14:paraId="64CF159D" w14:textId="53FE6287" w:rsidR="00326AA2" w:rsidRDefault="00697328">
      <w:pPr>
        <w:pStyle w:val="TOC2"/>
        <w:rPr>
          <w:rFonts w:asciiTheme="minorHAnsi" w:eastAsiaTheme="minorEastAsia" w:hAnsiTheme="minorHAnsi"/>
          <w:noProof/>
          <w:sz w:val="22"/>
          <w:lang w:eastAsia="en-AU"/>
        </w:rPr>
      </w:pPr>
      <w:hyperlink w:anchor="_Toc157704944" w:history="1">
        <w:r w:rsidR="00326AA2" w:rsidRPr="00AB0B90">
          <w:rPr>
            <w:rStyle w:val="Hyperlink"/>
            <w:noProof/>
          </w:rPr>
          <w:t>3.1.</w:t>
        </w:r>
        <w:r w:rsidR="00326AA2">
          <w:rPr>
            <w:rFonts w:asciiTheme="minorHAnsi" w:eastAsiaTheme="minorEastAsia" w:hAnsiTheme="minorHAnsi"/>
            <w:noProof/>
            <w:sz w:val="22"/>
            <w:lang w:eastAsia="en-AU"/>
          </w:rPr>
          <w:tab/>
        </w:r>
        <w:r w:rsidR="00326AA2" w:rsidRPr="00AB0B90">
          <w:rPr>
            <w:rStyle w:val="Hyperlink"/>
            <w:noProof/>
          </w:rPr>
          <w:t>Grants available</w:t>
        </w:r>
        <w:r w:rsidR="00326AA2">
          <w:rPr>
            <w:noProof/>
            <w:webHidden/>
          </w:rPr>
          <w:tab/>
        </w:r>
        <w:r w:rsidR="00326AA2">
          <w:rPr>
            <w:noProof/>
            <w:webHidden/>
          </w:rPr>
          <w:fldChar w:fldCharType="begin"/>
        </w:r>
        <w:r w:rsidR="00326AA2">
          <w:rPr>
            <w:noProof/>
            <w:webHidden/>
          </w:rPr>
          <w:instrText xml:space="preserve"> PAGEREF _Toc157704944 \h </w:instrText>
        </w:r>
        <w:r w:rsidR="00326AA2">
          <w:rPr>
            <w:noProof/>
            <w:webHidden/>
          </w:rPr>
        </w:r>
        <w:r w:rsidR="00326AA2">
          <w:rPr>
            <w:noProof/>
            <w:webHidden/>
          </w:rPr>
          <w:fldChar w:fldCharType="separate"/>
        </w:r>
        <w:r w:rsidR="00326AA2">
          <w:rPr>
            <w:noProof/>
            <w:webHidden/>
          </w:rPr>
          <w:t>8</w:t>
        </w:r>
        <w:r w:rsidR="00326AA2">
          <w:rPr>
            <w:noProof/>
            <w:webHidden/>
          </w:rPr>
          <w:fldChar w:fldCharType="end"/>
        </w:r>
      </w:hyperlink>
    </w:p>
    <w:p w14:paraId="777D0F0F" w14:textId="22BE2D39" w:rsidR="00326AA2" w:rsidRDefault="00697328">
      <w:pPr>
        <w:pStyle w:val="TOC2"/>
        <w:rPr>
          <w:rFonts w:asciiTheme="minorHAnsi" w:eastAsiaTheme="minorEastAsia" w:hAnsiTheme="minorHAnsi"/>
          <w:noProof/>
          <w:sz w:val="22"/>
          <w:lang w:eastAsia="en-AU"/>
        </w:rPr>
      </w:pPr>
      <w:hyperlink w:anchor="_Toc157704945" w:history="1">
        <w:r w:rsidR="00326AA2" w:rsidRPr="00AB0B90">
          <w:rPr>
            <w:rStyle w:val="Hyperlink"/>
            <w:noProof/>
          </w:rPr>
          <w:t>3.2.</w:t>
        </w:r>
        <w:r w:rsidR="00326AA2">
          <w:rPr>
            <w:rFonts w:asciiTheme="minorHAnsi" w:eastAsiaTheme="minorEastAsia" w:hAnsiTheme="minorHAnsi"/>
            <w:noProof/>
            <w:sz w:val="22"/>
            <w:lang w:eastAsia="en-AU"/>
          </w:rPr>
          <w:tab/>
        </w:r>
        <w:r w:rsidR="00326AA2" w:rsidRPr="00AB0B90">
          <w:rPr>
            <w:rStyle w:val="Hyperlink"/>
            <w:noProof/>
          </w:rPr>
          <w:t>Applicant co-contribution</w:t>
        </w:r>
        <w:r w:rsidR="00326AA2">
          <w:rPr>
            <w:noProof/>
            <w:webHidden/>
          </w:rPr>
          <w:tab/>
        </w:r>
        <w:r w:rsidR="00326AA2">
          <w:rPr>
            <w:noProof/>
            <w:webHidden/>
          </w:rPr>
          <w:fldChar w:fldCharType="begin"/>
        </w:r>
        <w:r w:rsidR="00326AA2">
          <w:rPr>
            <w:noProof/>
            <w:webHidden/>
          </w:rPr>
          <w:instrText xml:space="preserve"> PAGEREF _Toc157704945 \h </w:instrText>
        </w:r>
        <w:r w:rsidR="00326AA2">
          <w:rPr>
            <w:noProof/>
            <w:webHidden/>
          </w:rPr>
        </w:r>
        <w:r w:rsidR="00326AA2">
          <w:rPr>
            <w:noProof/>
            <w:webHidden/>
          </w:rPr>
          <w:fldChar w:fldCharType="separate"/>
        </w:r>
        <w:r w:rsidR="00326AA2">
          <w:rPr>
            <w:noProof/>
            <w:webHidden/>
          </w:rPr>
          <w:t>9</w:t>
        </w:r>
        <w:r w:rsidR="00326AA2">
          <w:rPr>
            <w:noProof/>
            <w:webHidden/>
          </w:rPr>
          <w:fldChar w:fldCharType="end"/>
        </w:r>
      </w:hyperlink>
    </w:p>
    <w:p w14:paraId="13B7A94A" w14:textId="07E9A603" w:rsidR="00326AA2" w:rsidRDefault="00697328">
      <w:pPr>
        <w:pStyle w:val="TOC2"/>
        <w:rPr>
          <w:rFonts w:asciiTheme="minorHAnsi" w:eastAsiaTheme="minorEastAsia" w:hAnsiTheme="minorHAnsi"/>
          <w:noProof/>
          <w:sz w:val="22"/>
          <w:lang w:eastAsia="en-AU"/>
        </w:rPr>
      </w:pPr>
      <w:hyperlink w:anchor="_Toc157704946" w:history="1">
        <w:r w:rsidR="00326AA2" w:rsidRPr="00AB0B90">
          <w:rPr>
            <w:rStyle w:val="Hyperlink"/>
            <w:noProof/>
          </w:rPr>
          <w:t>3.3.</w:t>
        </w:r>
        <w:r w:rsidR="00326AA2">
          <w:rPr>
            <w:rFonts w:asciiTheme="minorHAnsi" w:eastAsiaTheme="minorEastAsia" w:hAnsiTheme="minorHAnsi"/>
            <w:noProof/>
            <w:sz w:val="22"/>
            <w:lang w:eastAsia="en-AU"/>
          </w:rPr>
          <w:tab/>
        </w:r>
        <w:r w:rsidR="00326AA2" w:rsidRPr="00AB0B90">
          <w:rPr>
            <w:rStyle w:val="Hyperlink"/>
            <w:noProof/>
          </w:rPr>
          <w:t>Third Party funding co-contributions</w:t>
        </w:r>
        <w:r w:rsidR="00326AA2">
          <w:rPr>
            <w:noProof/>
            <w:webHidden/>
          </w:rPr>
          <w:tab/>
        </w:r>
        <w:r w:rsidR="00326AA2">
          <w:rPr>
            <w:noProof/>
            <w:webHidden/>
          </w:rPr>
          <w:fldChar w:fldCharType="begin"/>
        </w:r>
        <w:r w:rsidR="00326AA2">
          <w:rPr>
            <w:noProof/>
            <w:webHidden/>
          </w:rPr>
          <w:instrText xml:space="preserve"> PAGEREF _Toc157704946 \h </w:instrText>
        </w:r>
        <w:r w:rsidR="00326AA2">
          <w:rPr>
            <w:noProof/>
            <w:webHidden/>
          </w:rPr>
        </w:r>
        <w:r w:rsidR="00326AA2">
          <w:rPr>
            <w:noProof/>
            <w:webHidden/>
          </w:rPr>
          <w:fldChar w:fldCharType="separate"/>
        </w:r>
        <w:r w:rsidR="00326AA2">
          <w:rPr>
            <w:noProof/>
            <w:webHidden/>
          </w:rPr>
          <w:t>9</w:t>
        </w:r>
        <w:r w:rsidR="00326AA2">
          <w:rPr>
            <w:noProof/>
            <w:webHidden/>
          </w:rPr>
          <w:fldChar w:fldCharType="end"/>
        </w:r>
      </w:hyperlink>
    </w:p>
    <w:p w14:paraId="07E632A9" w14:textId="2525B4B9" w:rsidR="00326AA2" w:rsidRDefault="00697328">
      <w:pPr>
        <w:pStyle w:val="TOC2"/>
        <w:rPr>
          <w:rFonts w:asciiTheme="minorHAnsi" w:eastAsiaTheme="minorEastAsia" w:hAnsiTheme="minorHAnsi"/>
          <w:noProof/>
          <w:sz w:val="22"/>
          <w:lang w:eastAsia="en-AU"/>
        </w:rPr>
      </w:pPr>
      <w:hyperlink w:anchor="_Toc157704947" w:history="1">
        <w:r w:rsidR="00326AA2" w:rsidRPr="00AB0B90">
          <w:rPr>
            <w:rStyle w:val="Hyperlink"/>
            <w:noProof/>
          </w:rPr>
          <w:t>3.4.</w:t>
        </w:r>
        <w:r w:rsidR="00326AA2">
          <w:rPr>
            <w:rFonts w:asciiTheme="minorHAnsi" w:eastAsiaTheme="minorEastAsia" w:hAnsiTheme="minorHAnsi"/>
            <w:noProof/>
            <w:sz w:val="22"/>
            <w:lang w:eastAsia="en-AU"/>
          </w:rPr>
          <w:tab/>
        </w:r>
        <w:r w:rsidR="00326AA2" w:rsidRPr="00AB0B90">
          <w:rPr>
            <w:rStyle w:val="Hyperlink"/>
            <w:noProof/>
          </w:rPr>
          <w:t>In-kind co-contributions</w:t>
        </w:r>
        <w:r w:rsidR="00326AA2">
          <w:rPr>
            <w:noProof/>
            <w:webHidden/>
          </w:rPr>
          <w:tab/>
        </w:r>
        <w:r w:rsidR="00326AA2">
          <w:rPr>
            <w:noProof/>
            <w:webHidden/>
          </w:rPr>
          <w:fldChar w:fldCharType="begin"/>
        </w:r>
        <w:r w:rsidR="00326AA2">
          <w:rPr>
            <w:noProof/>
            <w:webHidden/>
          </w:rPr>
          <w:instrText xml:space="preserve"> PAGEREF _Toc157704947 \h </w:instrText>
        </w:r>
        <w:r w:rsidR="00326AA2">
          <w:rPr>
            <w:noProof/>
            <w:webHidden/>
          </w:rPr>
        </w:r>
        <w:r w:rsidR="00326AA2">
          <w:rPr>
            <w:noProof/>
            <w:webHidden/>
          </w:rPr>
          <w:fldChar w:fldCharType="separate"/>
        </w:r>
        <w:r w:rsidR="00326AA2">
          <w:rPr>
            <w:noProof/>
            <w:webHidden/>
          </w:rPr>
          <w:t>10</w:t>
        </w:r>
        <w:r w:rsidR="00326AA2">
          <w:rPr>
            <w:noProof/>
            <w:webHidden/>
          </w:rPr>
          <w:fldChar w:fldCharType="end"/>
        </w:r>
      </w:hyperlink>
    </w:p>
    <w:p w14:paraId="25322868" w14:textId="37987984" w:rsidR="00326AA2" w:rsidRDefault="00697328">
      <w:pPr>
        <w:pStyle w:val="TOC2"/>
        <w:rPr>
          <w:rFonts w:asciiTheme="minorHAnsi" w:eastAsiaTheme="minorEastAsia" w:hAnsiTheme="minorHAnsi"/>
          <w:noProof/>
          <w:sz w:val="22"/>
          <w:lang w:eastAsia="en-AU"/>
        </w:rPr>
      </w:pPr>
      <w:hyperlink w:anchor="_Toc157704948" w:history="1">
        <w:r w:rsidR="00326AA2" w:rsidRPr="00AB0B90">
          <w:rPr>
            <w:rStyle w:val="Hyperlink"/>
            <w:noProof/>
          </w:rPr>
          <w:t>3.5.</w:t>
        </w:r>
        <w:r w:rsidR="00326AA2">
          <w:rPr>
            <w:rFonts w:asciiTheme="minorHAnsi" w:eastAsiaTheme="minorEastAsia" w:hAnsiTheme="minorHAnsi"/>
            <w:noProof/>
            <w:sz w:val="22"/>
            <w:lang w:eastAsia="en-AU"/>
          </w:rPr>
          <w:tab/>
        </w:r>
        <w:r w:rsidR="00326AA2" w:rsidRPr="00AB0B90">
          <w:rPr>
            <w:rStyle w:val="Hyperlink"/>
            <w:noProof/>
          </w:rPr>
          <w:t>Grant period</w:t>
        </w:r>
        <w:r w:rsidR="00326AA2">
          <w:rPr>
            <w:noProof/>
            <w:webHidden/>
          </w:rPr>
          <w:tab/>
        </w:r>
        <w:r w:rsidR="00326AA2">
          <w:rPr>
            <w:noProof/>
            <w:webHidden/>
          </w:rPr>
          <w:fldChar w:fldCharType="begin"/>
        </w:r>
        <w:r w:rsidR="00326AA2">
          <w:rPr>
            <w:noProof/>
            <w:webHidden/>
          </w:rPr>
          <w:instrText xml:space="preserve"> PAGEREF _Toc157704948 \h </w:instrText>
        </w:r>
        <w:r w:rsidR="00326AA2">
          <w:rPr>
            <w:noProof/>
            <w:webHidden/>
          </w:rPr>
        </w:r>
        <w:r w:rsidR="00326AA2">
          <w:rPr>
            <w:noProof/>
            <w:webHidden/>
          </w:rPr>
          <w:fldChar w:fldCharType="separate"/>
        </w:r>
        <w:r w:rsidR="00326AA2">
          <w:rPr>
            <w:noProof/>
            <w:webHidden/>
          </w:rPr>
          <w:t>10</w:t>
        </w:r>
        <w:r w:rsidR="00326AA2">
          <w:rPr>
            <w:noProof/>
            <w:webHidden/>
          </w:rPr>
          <w:fldChar w:fldCharType="end"/>
        </w:r>
      </w:hyperlink>
    </w:p>
    <w:p w14:paraId="1044DB4D" w14:textId="562612B3" w:rsidR="00326AA2" w:rsidRDefault="00697328">
      <w:pPr>
        <w:pStyle w:val="TOC1"/>
        <w:rPr>
          <w:rFonts w:asciiTheme="minorHAnsi" w:eastAsiaTheme="minorEastAsia" w:hAnsiTheme="minorHAnsi"/>
          <w:b w:val="0"/>
          <w:noProof/>
          <w:color w:val="auto"/>
          <w:u w:val="none"/>
          <w:lang w:eastAsia="en-AU"/>
        </w:rPr>
      </w:pPr>
      <w:hyperlink w:anchor="_Toc157704949" w:history="1">
        <w:r w:rsidR="00326AA2" w:rsidRPr="00AB0B90">
          <w:rPr>
            <w:rStyle w:val="Hyperlink"/>
            <w:noProof/>
          </w:rPr>
          <w:t>4.</w:t>
        </w:r>
        <w:r w:rsidR="00326AA2">
          <w:rPr>
            <w:rFonts w:asciiTheme="minorHAnsi" w:eastAsiaTheme="minorEastAsia" w:hAnsiTheme="minorHAnsi"/>
            <w:b w:val="0"/>
            <w:noProof/>
            <w:color w:val="auto"/>
            <w:u w:val="none"/>
            <w:lang w:eastAsia="en-AU"/>
          </w:rPr>
          <w:tab/>
        </w:r>
        <w:r w:rsidR="00326AA2" w:rsidRPr="00AB0B90">
          <w:rPr>
            <w:rStyle w:val="Hyperlink"/>
            <w:noProof/>
          </w:rPr>
          <w:t>Eligibility criteria</w:t>
        </w:r>
        <w:r w:rsidR="00326AA2">
          <w:rPr>
            <w:noProof/>
            <w:webHidden/>
          </w:rPr>
          <w:tab/>
        </w:r>
        <w:r w:rsidR="00326AA2">
          <w:rPr>
            <w:noProof/>
            <w:webHidden/>
          </w:rPr>
          <w:fldChar w:fldCharType="begin"/>
        </w:r>
        <w:r w:rsidR="00326AA2">
          <w:rPr>
            <w:noProof/>
            <w:webHidden/>
          </w:rPr>
          <w:instrText xml:space="preserve"> PAGEREF _Toc157704949 \h </w:instrText>
        </w:r>
        <w:r w:rsidR="00326AA2">
          <w:rPr>
            <w:noProof/>
            <w:webHidden/>
          </w:rPr>
        </w:r>
        <w:r w:rsidR="00326AA2">
          <w:rPr>
            <w:noProof/>
            <w:webHidden/>
          </w:rPr>
          <w:fldChar w:fldCharType="separate"/>
        </w:r>
        <w:r w:rsidR="00326AA2">
          <w:rPr>
            <w:noProof/>
            <w:webHidden/>
          </w:rPr>
          <w:t>10</w:t>
        </w:r>
        <w:r w:rsidR="00326AA2">
          <w:rPr>
            <w:noProof/>
            <w:webHidden/>
          </w:rPr>
          <w:fldChar w:fldCharType="end"/>
        </w:r>
      </w:hyperlink>
    </w:p>
    <w:p w14:paraId="3C9DD152" w14:textId="5C85B4FA" w:rsidR="00326AA2" w:rsidRDefault="00697328">
      <w:pPr>
        <w:pStyle w:val="TOC2"/>
        <w:rPr>
          <w:rFonts w:asciiTheme="minorHAnsi" w:eastAsiaTheme="minorEastAsia" w:hAnsiTheme="minorHAnsi"/>
          <w:noProof/>
          <w:sz w:val="22"/>
          <w:lang w:eastAsia="en-AU"/>
        </w:rPr>
      </w:pPr>
      <w:hyperlink w:anchor="_Toc157704950" w:history="1">
        <w:r w:rsidR="00326AA2" w:rsidRPr="00AB0B90">
          <w:rPr>
            <w:rStyle w:val="Hyperlink"/>
            <w:noProof/>
          </w:rPr>
          <w:t>4.1.</w:t>
        </w:r>
        <w:r w:rsidR="00326AA2">
          <w:rPr>
            <w:rFonts w:asciiTheme="minorHAnsi" w:eastAsiaTheme="minorEastAsia" w:hAnsiTheme="minorHAnsi"/>
            <w:noProof/>
            <w:sz w:val="22"/>
            <w:lang w:eastAsia="en-AU"/>
          </w:rPr>
          <w:tab/>
        </w:r>
        <w:r w:rsidR="00326AA2" w:rsidRPr="00AB0B90">
          <w:rPr>
            <w:rStyle w:val="Hyperlink"/>
            <w:noProof/>
          </w:rPr>
          <w:t>Who is eligible to apply for a grant?</w:t>
        </w:r>
        <w:r w:rsidR="00326AA2">
          <w:rPr>
            <w:noProof/>
            <w:webHidden/>
          </w:rPr>
          <w:tab/>
        </w:r>
        <w:r w:rsidR="00326AA2">
          <w:rPr>
            <w:noProof/>
            <w:webHidden/>
          </w:rPr>
          <w:fldChar w:fldCharType="begin"/>
        </w:r>
        <w:r w:rsidR="00326AA2">
          <w:rPr>
            <w:noProof/>
            <w:webHidden/>
          </w:rPr>
          <w:instrText xml:space="preserve"> PAGEREF _Toc157704950 \h </w:instrText>
        </w:r>
        <w:r w:rsidR="00326AA2">
          <w:rPr>
            <w:noProof/>
            <w:webHidden/>
          </w:rPr>
        </w:r>
        <w:r w:rsidR="00326AA2">
          <w:rPr>
            <w:noProof/>
            <w:webHidden/>
          </w:rPr>
          <w:fldChar w:fldCharType="separate"/>
        </w:r>
        <w:r w:rsidR="00326AA2">
          <w:rPr>
            <w:noProof/>
            <w:webHidden/>
          </w:rPr>
          <w:t>10</w:t>
        </w:r>
        <w:r w:rsidR="00326AA2">
          <w:rPr>
            <w:noProof/>
            <w:webHidden/>
          </w:rPr>
          <w:fldChar w:fldCharType="end"/>
        </w:r>
      </w:hyperlink>
    </w:p>
    <w:p w14:paraId="0D74010C" w14:textId="61B05E3D" w:rsidR="00326AA2" w:rsidRDefault="00697328">
      <w:pPr>
        <w:pStyle w:val="TOC2"/>
        <w:rPr>
          <w:rFonts w:asciiTheme="minorHAnsi" w:eastAsiaTheme="minorEastAsia" w:hAnsiTheme="minorHAnsi"/>
          <w:noProof/>
          <w:sz w:val="22"/>
          <w:lang w:eastAsia="en-AU"/>
        </w:rPr>
      </w:pPr>
      <w:hyperlink w:anchor="_Toc157704951" w:history="1">
        <w:r w:rsidR="00326AA2" w:rsidRPr="00AB0B90">
          <w:rPr>
            <w:rStyle w:val="Hyperlink"/>
            <w:noProof/>
          </w:rPr>
          <w:t>4.2.</w:t>
        </w:r>
        <w:r w:rsidR="00326AA2">
          <w:rPr>
            <w:rFonts w:asciiTheme="minorHAnsi" w:eastAsiaTheme="minorEastAsia" w:hAnsiTheme="minorHAnsi"/>
            <w:noProof/>
            <w:sz w:val="22"/>
            <w:lang w:eastAsia="en-AU"/>
          </w:rPr>
          <w:tab/>
        </w:r>
        <w:r w:rsidR="00326AA2" w:rsidRPr="00AB0B90">
          <w:rPr>
            <w:rStyle w:val="Hyperlink"/>
            <w:noProof/>
          </w:rPr>
          <w:t>Minimum requirements</w:t>
        </w:r>
        <w:r w:rsidR="00326AA2">
          <w:rPr>
            <w:noProof/>
            <w:webHidden/>
          </w:rPr>
          <w:tab/>
        </w:r>
        <w:r w:rsidR="00326AA2">
          <w:rPr>
            <w:noProof/>
            <w:webHidden/>
          </w:rPr>
          <w:fldChar w:fldCharType="begin"/>
        </w:r>
        <w:r w:rsidR="00326AA2">
          <w:rPr>
            <w:noProof/>
            <w:webHidden/>
          </w:rPr>
          <w:instrText xml:space="preserve"> PAGEREF _Toc157704951 \h </w:instrText>
        </w:r>
        <w:r w:rsidR="00326AA2">
          <w:rPr>
            <w:noProof/>
            <w:webHidden/>
          </w:rPr>
        </w:r>
        <w:r w:rsidR="00326AA2">
          <w:rPr>
            <w:noProof/>
            <w:webHidden/>
          </w:rPr>
          <w:fldChar w:fldCharType="separate"/>
        </w:r>
        <w:r w:rsidR="00326AA2">
          <w:rPr>
            <w:noProof/>
            <w:webHidden/>
          </w:rPr>
          <w:t>11</w:t>
        </w:r>
        <w:r w:rsidR="00326AA2">
          <w:rPr>
            <w:noProof/>
            <w:webHidden/>
          </w:rPr>
          <w:fldChar w:fldCharType="end"/>
        </w:r>
      </w:hyperlink>
    </w:p>
    <w:p w14:paraId="3658DD10" w14:textId="3F1B656D" w:rsidR="00326AA2" w:rsidRDefault="00697328">
      <w:pPr>
        <w:pStyle w:val="TOC3"/>
        <w:rPr>
          <w:rFonts w:asciiTheme="minorHAnsi" w:eastAsiaTheme="minorEastAsia" w:hAnsiTheme="minorHAnsi"/>
          <w:noProof/>
          <w:sz w:val="22"/>
          <w:lang w:eastAsia="en-AU"/>
        </w:rPr>
      </w:pPr>
      <w:hyperlink w:anchor="_Toc157704952" w:history="1">
        <w:r w:rsidR="00326AA2" w:rsidRPr="00AB0B90">
          <w:rPr>
            <w:rStyle w:val="Hyperlink"/>
            <w:noProof/>
          </w:rPr>
          <w:t>Services required</w:t>
        </w:r>
        <w:r w:rsidR="00326AA2">
          <w:rPr>
            <w:noProof/>
            <w:webHidden/>
          </w:rPr>
          <w:tab/>
        </w:r>
        <w:r w:rsidR="00326AA2">
          <w:rPr>
            <w:noProof/>
            <w:webHidden/>
          </w:rPr>
          <w:fldChar w:fldCharType="begin"/>
        </w:r>
        <w:r w:rsidR="00326AA2">
          <w:rPr>
            <w:noProof/>
            <w:webHidden/>
          </w:rPr>
          <w:instrText xml:space="preserve"> PAGEREF _Toc157704952 \h </w:instrText>
        </w:r>
        <w:r w:rsidR="00326AA2">
          <w:rPr>
            <w:noProof/>
            <w:webHidden/>
          </w:rPr>
        </w:r>
        <w:r w:rsidR="00326AA2">
          <w:rPr>
            <w:noProof/>
            <w:webHidden/>
          </w:rPr>
          <w:fldChar w:fldCharType="separate"/>
        </w:r>
        <w:r w:rsidR="00326AA2">
          <w:rPr>
            <w:noProof/>
            <w:webHidden/>
          </w:rPr>
          <w:t>11</w:t>
        </w:r>
        <w:r w:rsidR="00326AA2">
          <w:rPr>
            <w:noProof/>
            <w:webHidden/>
          </w:rPr>
          <w:fldChar w:fldCharType="end"/>
        </w:r>
      </w:hyperlink>
    </w:p>
    <w:p w14:paraId="0A256F08" w14:textId="49A35498" w:rsidR="00326AA2" w:rsidRDefault="00697328">
      <w:pPr>
        <w:pStyle w:val="TOC3"/>
        <w:rPr>
          <w:rFonts w:asciiTheme="minorHAnsi" w:eastAsiaTheme="minorEastAsia" w:hAnsiTheme="minorHAnsi"/>
          <w:noProof/>
          <w:sz w:val="22"/>
          <w:lang w:eastAsia="en-AU"/>
        </w:rPr>
      </w:pPr>
      <w:hyperlink w:anchor="_Toc157704953" w:history="1">
        <w:r w:rsidR="00326AA2" w:rsidRPr="00AB0B90">
          <w:rPr>
            <w:rStyle w:val="Hyperlink"/>
            <w:noProof/>
          </w:rPr>
          <w:t>Back-up Power</w:t>
        </w:r>
        <w:r w:rsidR="00326AA2">
          <w:rPr>
            <w:noProof/>
            <w:webHidden/>
          </w:rPr>
          <w:tab/>
        </w:r>
        <w:r w:rsidR="00326AA2">
          <w:rPr>
            <w:noProof/>
            <w:webHidden/>
          </w:rPr>
          <w:fldChar w:fldCharType="begin"/>
        </w:r>
        <w:r w:rsidR="00326AA2">
          <w:rPr>
            <w:noProof/>
            <w:webHidden/>
          </w:rPr>
          <w:instrText xml:space="preserve"> PAGEREF _Toc157704953 \h </w:instrText>
        </w:r>
        <w:r w:rsidR="00326AA2">
          <w:rPr>
            <w:noProof/>
            <w:webHidden/>
          </w:rPr>
        </w:r>
        <w:r w:rsidR="00326AA2">
          <w:rPr>
            <w:noProof/>
            <w:webHidden/>
          </w:rPr>
          <w:fldChar w:fldCharType="separate"/>
        </w:r>
        <w:r w:rsidR="00326AA2">
          <w:rPr>
            <w:noProof/>
            <w:webHidden/>
          </w:rPr>
          <w:t>12</w:t>
        </w:r>
        <w:r w:rsidR="00326AA2">
          <w:rPr>
            <w:noProof/>
            <w:webHidden/>
          </w:rPr>
          <w:fldChar w:fldCharType="end"/>
        </w:r>
      </w:hyperlink>
    </w:p>
    <w:p w14:paraId="59212C91" w14:textId="21242B44" w:rsidR="00326AA2" w:rsidRDefault="00697328">
      <w:pPr>
        <w:pStyle w:val="TOC3"/>
        <w:rPr>
          <w:rFonts w:asciiTheme="minorHAnsi" w:eastAsiaTheme="minorEastAsia" w:hAnsiTheme="minorHAnsi"/>
          <w:noProof/>
          <w:sz w:val="22"/>
          <w:lang w:eastAsia="en-AU"/>
        </w:rPr>
      </w:pPr>
      <w:hyperlink w:anchor="_Toc157704954" w:history="1">
        <w:r w:rsidR="00326AA2" w:rsidRPr="00AB0B90">
          <w:rPr>
            <w:rStyle w:val="Hyperlink"/>
            <w:noProof/>
          </w:rPr>
          <w:t>Multi-provider outcomes and co-build</w:t>
        </w:r>
        <w:r w:rsidR="00326AA2">
          <w:rPr>
            <w:noProof/>
            <w:webHidden/>
          </w:rPr>
          <w:tab/>
        </w:r>
        <w:r w:rsidR="00326AA2">
          <w:rPr>
            <w:noProof/>
            <w:webHidden/>
          </w:rPr>
          <w:fldChar w:fldCharType="begin"/>
        </w:r>
        <w:r w:rsidR="00326AA2">
          <w:rPr>
            <w:noProof/>
            <w:webHidden/>
          </w:rPr>
          <w:instrText xml:space="preserve"> PAGEREF _Toc157704954 \h </w:instrText>
        </w:r>
        <w:r w:rsidR="00326AA2">
          <w:rPr>
            <w:noProof/>
            <w:webHidden/>
          </w:rPr>
        </w:r>
        <w:r w:rsidR="00326AA2">
          <w:rPr>
            <w:noProof/>
            <w:webHidden/>
          </w:rPr>
          <w:fldChar w:fldCharType="separate"/>
        </w:r>
        <w:r w:rsidR="00326AA2">
          <w:rPr>
            <w:noProof/>
            <w:webHidden/>
          </w:rPr>
          <w:t>12</w:t>
        </w:r>
        <w:r w:rsidR="00326AA2">
          <w:rPr>
            <w:noProof/>
            <w:webHidden/>
          </w:rPr>
          <w:fldChar w:fldCharType="end"/>
        </w:r>
      </w:hyperlink>
    </w:p>
    <w:p w14:paraId="68B7AC63" w14:textId="037D8548" w:rsidR="00326AA2" w:rsidRDefault="00697328">
      <w:pPr>
        <w:pStyle w:val="TOC3"/>
        <w:rPr>
          <w:rFonts w:asciiTheme="minorHAnsi" w:eastAsiaTheme="minorEastAsia" w:hAnsiTheme="minorHAnsi"/>
          <w:noProof/>
          <w:sz w:val="22"/>
          <w:lang w:eastAsia="en-AU"/>
        </w:rPr>
      </w:pPr>
      <w:hyperlink w:anchor="_Toc157704955" w:history="1">
        <w:r w:rsidR="00326AA2" w:rsidRPr="00AB0B90">
          <w:rPr>
            <w:rStyle w:val="Hyperlink"/>
            <w:noProof/>
          </w:rPr>
          <w:t>Backhaul access and pricing</w:t>
        </w:r>
        <w:r w:rsidR="00326AA2">
          <w:rPr>
            <w:noProof/>
            <w:webHidden/>
          </w:rPr>
          <w:tab/>
        </w:r>
        <w:r w:rsidR="00326AA2">
          <w:rPr>
            <w:noProof/>
            <w:webHidden/>
          </w:rPr>
          <w:fldChar w:fldCharType="begin"/>
        </w:r>
        <w:r w:rsidR="00326AA2">
          <w:rPr>
            <w:noProof/>
            <w:webHidden/>
          </w:rPr>
          <w:instrText xml:space="preserve"> PAGEREF _Toc157704955 \h </w:instrText>
        </w:r>
        <w:r w:rsidR="00326AA2">
          <w:rPr>
            <w:noProof/>
            <w:webHidden/>
          </w:rPr>
        </w:r>
        <w:r w:rsidR="00326AA2">
          <w:rPr>
            <w:noProof/>
            <w:webHidden/>
          </w:rPr>
          <w:fldChar w:fldCharType="separate"/>
        </w:r>
        <w:r w:rsidR="00326AA2">
          <w:rPr>
            <w:noProof/>
            <w:webHidden/>
          </w:rPr>
          <w:t>14</w:t>
        </w:r>
        <w:r w:rsidR="00326AA2">
          <w:rPr>
            <w:noProof/>
            <w:webHidden/>
          </w:rPr>
          <w:fldChar w:fldCharType="end"/>
        </w:r>
      </w:hyperlink>
    </w:p>
    <w:p w14:paraId="695D3983" w14:textId="5A5E0227" w:rsidR="00326AA2" w:rsidRDefault="00697328">
      <w:pPr>
        <w:pStyle w:val="TOC3"/>
        <w:rPr>
          <w:rFonts w:asciiTheme="minorHAnsi" w:eastAsiaTheme="minorEastAsia" w:hAnsiTheme="minorHAnsi"/>
          <w:noProof/>
          <w:sz w:val="22"/>
          <w:lang w:eastAsia="en-AU"/>
        </w:rPr>
      </w:pPr>
      <w:hyperlink w:anchor="_Toc157704956" w:history="1">
        <w:r w:rsidR="00326AA2" w:rsidRPr="00AB0B90">
          <w:rPr>
            <w:rStyle w:val="Hyperlink"/>
            <w:noProof/>
          </w:rPr>
          <w:t>Dispute resolution</w:t>
        </w:r>
        <w:r w:rsidR="00326AA2">
          <w:rPr>
            <w:noProof/>
            <w:webHidden/>
          </w:rPr>
          <w:tab/>
        </w:r>
        <w:r w:rsidR="00326AA2">
          <w:rPr>
            <w:noProof/>
            <w:webHidden/>
          </w:rPr>
          <w:fldChar w:fldCharType="begin"/>
        </w:r>
        <w:r w:rsidR="00326AA2">
          <w:rPr>
            <w:noProof/>
            <w:webHidden/>
          </w:rPr>
          <w:instrText xml:space="preserve"> PAGEREF _Toc157704956 \h </w:instrText>
        </w:r>
        <w:r w:rsidR="00326AA2">
          <w:rPr>
            <w:noProof/>
            <w:webHidden/>
          </w:rPr>
        </w:r>
        <w:r w:rsidR="00326AA2">
          <w:rPr>
            <w:noProof/>
            <w:webHidden/>
          </w:rPr>
          <w:fldChar w:fldCharType="separate"/>
        </w:r>
        <w:r w:rsidR="00326AA2">
          <w:rPr>
            <w:noProof/>
            <w:webHidden/>
          </w:rPr>
          <w:t>14</w:t>
        </w:r>
        <w:r w:rsidR="00326AA2">
          <w:rPr>
            <w:noProof/>
            <w:webHidden/>
          </w:rPr>
          <w:fldChar w:fldCharType="end"/>
        </w:r>
      </w:hyperlink>
    </w:p>
    <w:p w14:paraId="387457D8" w14:textId="39A6C2B0" w:rsidR="00326AA2" w:rsidRDefault="00697328">
      <w:pPr>
        <w:pStyle w:val="TOC1"/>
        <w:rPr>
          <w:rFonts w:asciiTheme="minorHAnsi" w:eastAsiaTheme="minorEastAsia" w:hAnsiTheme="minorHAnsi"/>
          <w:b w:val="0"/>
          <w:noProof/>
          <w:color w:val="auto"/>
          <w:u w:val="none"/>
          <w:lang w:eastAsia="en-AU"/>
        </w:rPr>
      </w:pPr>
      <w:hyperlink w:anchor="_Toc157704957" w:history="1">
        <w:r w:rsidR="00326AA2" w:rsidRPr="00AB0B90">
          <w:rPr>
            <w:rStyle w:val="Hyperlink"/>
            <w:noProof/>
          </w:rPr>
          <w:t>5.</w:t>
        </w:r>
        <w:r w:rsidR="00326AA2">
          <w:rPr>
            <w:rFonts w:asciiTheme="minorHAnsi" w:eastAsiaTheme="minorEastAsia" w:hAnsiTheme="minorHAnsi"/>
            <w:b w:val="0"/>
            <w:noProof/>
            <w:color w:val="auto"/>
            <w:u w:val="none"/>
            <w:lang w:eastAsia="en-AU"/>
          </w:rPr>
          <w:tab/>
        </w:r>
        <w:r w:rsidR="00326AA2" w:rsidRPr="00AB0B90">
          <w:rPr>
            <w:rStyle w:val="Hyperlink"/>
            <w:noProof/>
          </w:rPr>
          <w:t>What the grant money can be used for</w:t>
        </w:r>
        <w:r w:rsidR="00326AA2">
          <w:rPr>
            <w:noProof/>
            <w:webHidden/>
          </w:rPr>
          <w:tab/>
        </w:r>
        <w:r w:rsidR="00326AA2">
          <w:rPr>
            <w:noProof/>
            <w:webHidden/>
          </w:rPr>
          <w:fldChar w:fldCharType="begin"/>
        </w:r>
        <w:r w:rsidR="00326AA2">
          <w:rPr>
            <w:noProof/>
            <w:webHidden/>
          </w:rPr>
          <w:instrText xml:space="preserve"> PAGEREF _Toc157704957 \h </w:instrText>
        </w:r>
        <w:r w:rsidR="00326AA2">
          <w:rPr>
            <w:noProof/>
            <w:webHidden/>
          </w:rPr>
        </w:r>
        <w:r w:rsidR="00326AA2">
          <w:rPr>
            <w:noProof/>
            <w:webHidden/>
          </w:rPr>
          <w:fldChar w:fldCharType="separate"/>
        </w:r>
        <w:r w:rsidR="00326AA2">
          <w:rPr>
            <w:noProof/>
            <w:webHidden/>
          </w:rPr>
          <w:t>15</w:t>
        </w:r>
        <w:r w:rsidR="00326AA2">
          <w:rPr>
            <w:noProof/>
            <w:webHidden/>
          </w:rPr>
          <w:fldChar w:fldCharType="end"/>
        </w:r>
      </w:hyperlink>
    </w:p>
    <w:p w14:paraId="625AB99B" w14:textId="4218514A" w:rsidR="00326AA2" w:rsidRDefault="00697328">
      <w:pPr>
        <w:pStyle w:val="TOC2"/>
        <w:rPr>
          <w:rFonts w:asciiTheme="minorHAnsi" w:eastAsiaTheme="minorEastAsia" w:hAnsiTheme="minorHAnsi"/>
          <w:noProof/>
          <w:sz w:val="22"/>
          <w:lang w:eastAsia="en-AU"/>
        </w:rPr>
      </w:pPr>
      <w:hyperlink w:anchor="_Toc157704958" w:history="1">
        <w:r w:rsidR="00326AA2" w:rsidRPr="00AB0B90">
          <w:rPr>
            <w:rStyle w:val="Hyperlink"/>
            <w:noProof/>
          </w:rPr>
          <w:t>5.1.</w:t>
        </w:r>
        <w:r w:rsidR="00326AA2">
          <w:rPr>
            <w:rFonts w:asciiTheme="minorHAnsi" w:eastAsiaTheme="minorEastAsia" w:hAnsiTheme="minorHAnsi"/>
            <w:noProof/>
            <w:sz w:val="22"/>
            <w:lang w:eastAsia="en-AU"/>
          </w:rPr>
          <w:tab/>
        </w:r>
        <w:r w:rsidR="00326AA2" w:rsidRPr="00AB0B90">
          <w:rPr>
            <w:rStyle w:val="Hyperlink"/>
            <w:noProof/>
          </w:rPr>
          <w:t>Eligible grant activities</w:t>
        </w:r>
        <w:r w:rsidR="00326AA2">
          <w:rPr>
            <w:noProof/>
            <w:webHidden/>
          </w:rPr>
          <w:tab/>
        </w:r>
        <w:r w:rsidR="00326AA2">
          <w:rPr>
            <w:noProof/>
            <w:webHidden/>
          </w:rPr>
          <w:fldChar w:fldCharType="begin"/>
        </w:r>
        <w:r w:rsidR="00326AA2">
          <w:rPr>
            <w:noProof/>
            <w:webHidden/>
          </w:rPr>
          <w:instrText xml:space="preserve"> PAGEREF _Toc157704958 \h </w:instrText>
        </w:r>
        <w:r w:rsidR="00326AA2">
          <w:rPr>
            <w:noProof/>
            <w:webHidden/>
          </w:rPr>
        </w:r>
        <w:r w:rsidR="00326AA2">
          <w:rPr>
            <w:noProof/>
            <w:webHidden/>
          </w:rPr>
          <w:fldChar w:fldCharType="separate"/>
        </w:r>
        <w:r w:rsidR="00326AA2">
          <w:rPr>
            <w:noProof/>
            <w:webHidden/>
          </w:rPr>
          <w:t>15</w:t>
        </w:r>
        <w:r w:rsidR="00326AA2">
          <w:rPr>
            <w:noProof/>
            <w:webHidden/>
          </w:rPr>
          <w:fldChar w:fldCharType="end"/>
        </w:r>
      </w:hyperlink>
    </w:p>
    <w:p w14:paraId="4D8F5BBB" w14:textId="0D327EF5" w:rsidR="00326AA2" w:rsidRDefault="00697328">
      <w:pPr>
        <w:pStyle w:val="TOC2"/>
        <w:rPr>
          <w:rFonts w:asciiTheme="minorHAnsi" w:eastAsiaTheme="minorEastAsia" w:hAnsiTheme="minorHAnsi"/>
          <w:noProof/>
          <w:sz w:val="22"/>
          <w:lang w:eastAsia="en-AU"/>
        </w:rPr>
      </w:pPr>
      <w:hyperlink w:anchor="_Toc157704959" w:history="1">
        <w:r w:rsidR="00326AA2" w:rsidRPr="00AB0B90">
          <w:rPr>
            <w:rStyle w:val="Hyperlink"/>
            <w:noProof/>
          </w:rPr>
          <w:t>5.2.</w:t>
        </w:r>
        <w:r w:rsidR="00326AA2">
          <w:rPr>
            <w:rFonts w:asciiTheme="minorHAnsi" w:eastAsiaTheme="minorEastAsia" w:hAnsiTheme="minorHAnsi"/>
            <w:noProof/>
            <w:sz w:val="22"/>
            <w:lang w:eastAsia="en-AU"/>
          </w:rPr>
          <w:tab/>
        </w:r>
        <w:r w:rsidR="00326AA2" w:rsidRPr="00AB0B90">
          <w:rPr>
            <w:rStyle w:val="Hyperlink"/>
            <w:noProof/>
          </w:rPr>
          <w:t>Eligible locations</w:t>
        </w:r>
        <w:r w:rsidR="00326AA2">
          <w:rPr>
            <w:noProof/>
            <w:webHidden/>
          </w:rPr>
          <w:tab/>
        </w:r>
        <w:r w:rsidR="00326AA2">
          <w:rPr>
            <w:noProof/>
            <w:webHidden/>
          </w:rPr>
          <w:fldChar w:fldCharType="begin"/>
        </w:r>
        <w:r w:rsidR="00326AA2">
          <w:rPr>
            <w:noProof/>
            <w:webHidden/>
          </w:rPr>
          <w:instrText xml:space="preserve"> PAGEREF _Toc157704959 \h </w:instrText>
        </w:r>
        <w:r w:rsidR="00326AA2">
          <w:rPr>
            <w:noProof/>
            <w:webHidden/>
          </w:rPr>
        </w:r>
        <w:r w:rsidR="00326AA2">
          <w:rPr>
            <w:noProof/>
            <w:webHidden/>
          </w:rPr>
          <w:fldChar w:fldCharType="separate"/>
        </w:r>
        <w:r w:rsidR="00326AA2">
          <w:rPr>
            <w:noProof/>
            <w:webHidden/>
          </w:rPr>
          <w:t>15</w:t>
        </w:r>
        <w:r w:rsidR="00326AA2">
          <w:rPr>
            <w:noProof/>
            <w:webHidden/>
          </w:rPr>
          <w:fldChar w:fldCharType="end"/>
        </w:r>
      </w:hyperlink>
    </w:p>
    <w:p w14:paraId="0FBEE868" w14:textId="40DA6C15" w:rsidR="00326AA2" w:rsidRDefault="00697328">
      <w:pPr>
        <w:pStyle w:val="TOC2"/>
        <w:rPr>
          <w:rFonts w:asciiTheme="minorHAnsi" w:eastAsiaTheme="minorEastAsia" w:hAnsiTheme="minorHAnsi"/>
          <w:noProof/>
          <w:sz w:val="22"/>
          <w:lang w:eastAsia="en-AU"/>
        </w:rPr>
      </w:pPr>
      <w:hyperlink w:anchor="_Toc157704960" w:history="1">
        <w:r w:rsidR="00326AA2" w:rsidRPr="00AB0B90">
          <w:rPr>
            <w:rStyle w:val="Hyperlink"/>
            <w:noProof/>
          </w:rPr>
          <w:t>5.3.</w:t>
        </w:r>
        <w:r w:rsidR="00326AA2">
          <w:rPr>
            <w:rFonts w:asciiTheme="minorHAnsi" w:eastAsiaTheme="minorEastAsia" w:hAnsiTheme="minorHAnsi"/>
            <w:noProof/>
            <w:sz w:val="22"/>
            <w:lang w:eastAsia="en-AU"/>
          </w:rPr>
          <w:tab/>
        </w:r>
        <w:r w:rsidR="00326AA2" w:rsidRPr="00AB0B90">
          <w:rPr>
            <w:rStyle w:val="Hyperlink"/>
            <w:noProof/>
          </w:rPr>
          <w:t>Eligible expenditure</w:t>
        </w:r>
        <w:r w:rsidR="00326AA2">
          <w:rPr>
            <w:noProof/>
            <w:webHidden/>
          </w:rPr>
          <w:tab/>
        </w:r>
        <w:r w:rsidR="00326AA2">
          <w:rPr>
            <w:noProof/>
            <w:webHidden/>
          </w:rPr>
          <w:fldChar w:fldCharType="begin"/>
        </w:r>
        <w:r w:rsidR="00326AA2">
          <w:rPr>
            <w:noProof/>
            <w:webHidden/>
          </w:rPr>
          <w:instrText xml:space="preserve"> PAGEREF _Toc157704960 \h </w:instrText>
        </w:r>
        <w:r w:rsidR="00326AA2">
          <w:rPr>
            <w:noProof/>
            <w:webHidden/>
          </w:rPr>
        </w:r>
        <w:r w:rsidR="00326AA2">
          <w:rPr>
            <w:noProof/>
            <w:webHidden/>
          </w:rPr>
          <w:fldChar w:fldCharType="separate"/>
        </w:r>
        <w:r w:rsidR="00326AA2">
          <w:rPr>
            <w:noProof/>
            <w:webHidden/>
          </w:rPr>
          <w:t>15</w:t>
        </w:r>
        <w:r w:rsidR="00326AA2">
          <w:rPr>
            <w:noProof/>
            <w:webHidden/>
          </w:rPr>
          <w:fldChar w:fldCharType="end"/>
        </w:r>
      </w:hyperlink>
    </w:p>
    <w:p w14:paraId="29E69E99" w14:textId="4A6081A3" w:rsidR="00326AA2" w:rsidRDefault="00697328">
      <w:pPr>
        <w:pStyle w:val="TOC2"/>
        <w:rPr>
          <w:rFonts w:asciiTheme="minorHAnsi" w:eastAsiaTheme="minorEastAsia" w:hAnsiTheme="minorHAnsi"/>
          <w:noProof/>
          <w:sz w:val="22"/>
          <w:lang w:eastAsia="en-AU"/>
        </w:rPr>
      </w:pPr>
      <w:hyperlink w:anchor="_Toc157704961" w:history="1">
        <w:r w:rsidR="00326AA2" w:rsidRPr="00AB0B90">
          <w:rPr>
            <w:rStyle w:val="Hyperlink"/>
            <w:noProof/>
          </w:rPr>
          <w:t>5.4.</w:t>
        </w:r>
        <w:r w:rsidR="00326AA2">
          <w:rPr>
            <w:rFonts w:asciiTheme="minorHAnsi" w:eastAsiaTheme="minorEastAsia" w:hAnsiTheme="minorHAnsi"/>
            <w:noProof/>
            <w:sz w:val="22"/>
            <w:lang w:eastAsia="en-AU"/>
          </w:rPr>
          <w:tab/>
        </w:r>
        <w:r w:rsidR="00326AA2" w:rsidRPr="00AB0B90">
          <w:rPr>
            <w:rStyle w:val="Hyperlink"/>
            <w:noProof/>
          </w:rPr>
          <w:t>What the grant money cannot be used for</w:t>
        </w:r>
        <w:r w:rsidR="00326AA2">
          <w:rPr>
            <w:noProof/>
            <w:webHidden/>
          </w:rPr>
          <w:tab/>
        </w:r>
        <w:r w:rsidR="00326AA2">
          <w:rPr>
            <w:noProof/>
            <w:webHidden/>
          </w:rPr>
          <w:fldChar w:fldCharType="begin"/>
        </w:r>
        <w:r w:rsidR="00326AA2">
          <w:rPr>
            <w:noProof/>
            <w:webHidden/>
          </w:rPr>
          <w:instrText xml:space="preserve"> PAGEREF _Toc157704961 \h </w:instrText>
        </w:r>
        <w:r w:rsidR="00326AA2">
          <w:rPr>
            <w:noProof/>
            <w:webHidden/>
          </w:rPr>
        </w:r>
        <w:r w:rsidR="00326AA2">
          <w:rPr>
            <w:noProof/>
            <w:webHidden/>
          </w:rPr>
          <w:fldChar w:fldCharType="separate"/>
        </w:r>
        <w:r w:rsidR="00326AA2">
          <w:rPr>
            <w:noProof/>
            <w:webHidden/>
          </w:rPr>
          <w:t>15</w:t>
        </w:r>
        <w:r w:rsidR="00326AA2">
          <w:rPr>
            <w:noProof/>
            <w:webHidden/>
          </w:rPr>
          <w:fldChar w:fldCharType="end"/>
        </w:r>
      </w:hyperlink>
    </w:p>
    <w:p w14:paraId="0F5F0BA2" w14:textId="62C3DDF6" w:rsidR="00326AA2" w:rsidRDefault="00697328">
      <w:pPr>
        <w:pStyle w:val="TOC1"/>
        <w:rPr>
          <w:rFonts w:asciiTheme="minorHAnsi" w:eastAsiaTheme="minorEastAsia" w:hAnsiTheme="minorHAnsi"/>
          <w:b w:val="0"/>
          <w:noProof/>
          <w:color w:val="auto"/>
          <w:u w:val="none"/>
          <w:lang w:eastAsia="en-AU"/>
        </w:rPr>
      </w:pPr>
      <w:hyperlink w:anchor="_Toc157704962" w:history="1">
        <w:r w:rsidR="00326AA2" w:rsidRPr="00AB0B90">
          <w:rPr>
            <w:rStyle w:val="Hyperlink"/>
            <w:noProof/>
          </w:rPr>
          <w:t>6.</w:t>
        </w:r>
        <w:r w:rsidR="00326AA2">
          <w:rPr>
            <w:rFonts w:asciiTheme="minorHAnsi" w:eastAsiaTheme="minorEastAsia" w:hAnsiTheme="minorHAnsi"/>
            <w:b w:val="0"/>
            <w:noProof/>
            <w:color w:val="auto"/>
            <w:u w:val="none"/>
            <w:lang w:eastAsia="en-AU"/>
          </w:rPr>
          <w:tab/>
        </w:r>
        <w:r w:rsidR="00326AA2" w:rsidRPr="00AB0B90">
          <w:rPr>
            <w:rStyle w:val="Hyperlink"/>
            <w:noProof/>
          </w:rPr>
          <w:t>The assessment criteria</w:t>
        </w:r>
        <w:r w:rsidR="00326AA2">
          <w:rPr>
            <w:noProof/>
            <w:webHidden/>
          </w:rPr>
          <w:tab/>
        </w:r>
        <w:r w:rsidR="00326AA2">
          <w:rPr>
            <w:noProof/>
            <w:webHidden/>
          </w:rPr>
          <w:fldChar w:fldCharType="begin"/>
        </w:r>
        <w:r w:rsidR="00326AA2">
          <w:rPr>
            <w:noProof/>
            <w:webHidden/>
          </w:rPr>
          <w:instrText xml:space="preserve"> PAGEREF _Toc157704962 \h </w:instrText>
        </w:r>
        <w:r w:rsidR="00326AA2">
          <w:rPr>
            <w:noProof/>
            <w:webHidden/>
          </w:rPr>
        </w:r>
        <w:r w:rsidR="00326AA2">
          <w:rPr>
            <w:noProof/>
            <w:webHidden/>
          </w:rPr>
          <w:fldChar w:fldCharType="separate"/>
        </w:r>
        <w:r w:rsidR="00326AA2">
          <w:rPr>
            <w:noProof/>
            <w:webHidden/>
          </w:rPr>
          <w:t>16</w:t>
        </w:r>
        <w:r w:rsidR="00326AA2">
          <w:rPr>
            <w:noProof/>
            <w:webHidden/>
          </w:rPr>
          <w:fldChar w:fldCharType="end"/>
        </w:r>
      </w:hyperlink>
    </w:p>
    <w:p w14:paraId="4C4DF43B" w14:textId="38230B46" w:rsidR="00326AA2" w:rsidRDefault="00697328">
      <w:pPr>
        <w:pStyle w:val="TOC2"/>
        <w:rPr>
          <w:rFonts w:asciiTheme="minorHAnsi" w:eastAsiaTheme="minorEastAsia" w:hAnsiTheme="minorHAnsi"/>
          <w:noProof/>
          <w:sz w:val="22"/>
          <w:lang w:eastAsia="en-AU"/>
        </w:rPr>
      </w:pPr>
      <w:hyperlink w:anchor="_Toc157704963" w:history="1">
        <w:r w:rsidR="00326AA2" w:rsidRPr="00AB0B90">
          <w:rPr>
            <w:rStyle w:val="Hyperlink"/>
            <w:noProof/>
          </w:rPr>
          <w:t>6.1.</w:t>
        </w:r>
        <w:r w:rsidR="00326AA2">
          <w:rPr>
            <w:rFonts w:asciiTheme="minorHAnsi" w:eastAsiaTheme="minorEastAsia" w:hAnsiTheme="minorHAnsi"/>
            <w:noProof/>
            <w:sz w:val="22"/>
            <w:lang w:eastAsia="en-AU"/>
          </w:rPr>
          <w:tab/>
        </w:r>
        <w:r w:rsidR="00326AA2" w:rsidRPr="00AB0B90">
          <w:rPr>
            <w:rStyle w:val="Hyperlink"/>
            <w:noProof/>
          </w:rPr>
          <w:t>Assessment Criteria for New Coverage Solutions</w:t>
        </w:r>
        <w:r w:rsidR="00326AA2">
          <w:rPr>
            <w:noProof/>
            <w:webHidden/>
          </w:rPr>
          <w:tab/>
        </w:r>
        <w:r w:rsidR="00326AA2">
          <w:rPr>
            <w:noProof/>
            <w:webHidden/>
          </w:rPr>
          <w:fldChar w:fldCharType="begin"/>
        </w:r>
        <w:r w:rsidR="00326AA2">
          <w:rPr>
            <w:noProof/>
            <w:webHidden/>
          </w:rPr>
          <w:instrText xml:space="preserve"> PAGEREF _Toc157704963 \h </w:instrText>
        </w:r>
        <w:r w:rsidR="00326AA2">
          <w:rPr>
            <w:noProof/>
            <w:webHidden/>
          </w:rPr>
        </w:r>
        <w:r w:rsidR="00326AA2">
          <w:rPr>
            <w:noProof/>
            <w:webHidden/>
          </w:rPr>
          <w:fldChar w:fldCharType="separate"/>
        </w:r>
        <w:r w:rsidR="00326AA2">
          <w:rPr>
            <w:noProof/>
            <w:webHidden/>
          </w:rPr>
          <w:t>16</w:t>
        </w:r>
        <w:r w:rsidR="00326AA2">
          <w:rPr>
            <w:noProof/>
            <w:webHidden/>
          </w:rPr>
          <w:fldChar w:fldCharType="end"/>
        </w:r>
      </w:hyperlink>
    </w:p>
    <w:p w14:paraId="659F65FB" w14:textId="06867693" w:rsidR="00326AA2" w:rsidRDefault="00697328">
      <w:pPr>
        <w:pStyle w:val="TOC2"/>
        <w:rPr>
          <w:rFonts w:asciiTheme="minorHAnsi" w:eastAsiaTheme="minorEastAsia" w:hAnsiTheme="minorHAnsi"/>
          <w:noProof/>
          <w:sz w:val="22"/>
          <w:lang w:eastAsia="en-AU"/>
        </w:rPr>
      </w:pPr>
      <w:hyperlink w:anchor="_Toc157704964" w:history="1">
        <w:r w:rsidR="00326AA2" w:rsidRPr="00AB0B90">
          <w:rPr>
            <w:rStyle w:val="Hyperlink"/>
            <w:noProof/>
          </w:rPr>
          <w:t>6.2.</w:t>
        </w:r>
        <w:r w:rsidR="00326AA2">
          <w:rPr>
            <w:rFonts w:asciiTheme="minorHAnsi" w:eastAsiaTheme="minorEastAsia" w:hAnsiTheme="minorHAnsi"/>
            <w:noProof/>
            <w:sz w:val="22"/>
            <w:lang w:eastAsia="en-AU"/>
          </w:rPr>
          <w:tab/>
        </w:r>
        <w:r w:rsidR="00326AA2" w:rsidRPr="00AB0B90">
          <w:rPr>
            <w:rStyle w:val="Hyperlink"/>
            <w:noProof/>
          </w:rPr>
          <w:t>Assessment Criteria for New Highway Coverage Solutions</w:t>
        </w:r>
        <w:r w:rsidR="00326AA2">
          <w:rPr>
            <w:noProof/>
            <w:webHidden/>
          </w:rPr>
          <w:tab/>
        </w:r>
        <w:r w:rsidR="00326AA2">
          <w:rPr>
            <w:noProof/>
            <w:webHidden/>
          </w:rPr>
          <w:fldChar w:fldCharType="begin"/>
        </w:r>
        <w:r w:rsidR="00326AA2">
          <w:rPr>
            <w:noProof/>
            <w:webHidden/>
          </w:rPr>
          <w:instrText xml:space="preserve"> PAGEREF _Toc157704964 \h </w:instrText>
        </w:r>
        <w:r w:rsidR="00326AA2">
          <w:rPr>
            <w:noProof/>
            <w:webHidden/>
          </w:rPr>
        </w:r>
        <w:r w:rsidR="00326AA2">
          <w:rPr>
            <w:noProof/>
            <w:webHidden/>
          </w:rPr>
          <w:fldChar w:fldCharType="separate"/>
        </w:r>
        <w:r w:rsidR="00326AA2">
          <w:rPr>
            <w:noProof/>
            <w:webHidden/>
          </w:rPr>
          <w:t>17</w:t>
        </w:r>
        <w:r w:rsidR="00326AA2">
          <w:rPr>
            <w:noProof/>
            <w:webHidden/>
          </w:rPr>
          <w:fldChar w:fldCharType="end"/>
        </w:r>
      </w:hyperlink>
    </w:p>
    <w:p w14:paraId="2F183343" w14:textId="7537449E" w:rsidR="00326AA2" w:rsidRDefault="00697328">
      <w:pPr>
        <w:pStyle w:val="TOC2"/>
        <w:rPr>
          <w:rFonts w:asciiTheme="minorHAnsi" w:eastAsiaTheme="minorEastAsia" w:hAnsiTheme="minorHAnsi"/>
          <w:noProof/>
          <w:sz w:val="22"/>
          <w:lang w:eastAsia="en-AU"/>
        </w:rPr>
      </w:pPr>
      <w:hyperlink w:anchor="_Toc157704965" w:history="1">
        <w:r w:rsidR="00326AA2" w:rsidRPr="00AB0B90">
          <w:rPr>
            <w:rStyle w:val="Hyperlink"/>
            <w:noProof/>
          </w:rPr>
          <w:t>6.3.</w:t>
        </w:r>
        <w:r w:rsidR="00326AA2">
          <w:rPr>
            <w:rFonts w:asciiTheme="minorHAnsi" w:eastAsiaTheme="minorEastAsia" w:hAnsiTheme="minorHAnsi"/>
            <w:noProof/>
            <w:sz w:val="22"/>
            <w:lang w:eastAsia="en-AU"/>
          </w:rPr>
          <w:tab/>
        </w:r>
        <w:r w:rsidR="00326AA2" w:rsidRPr="00AB0B90">
          <w:rPr>
            <w:rStyle w:val="Hyperlink"/>
            <w:noProof/>
          </w:rPr>
          <w:t>Assessment Criteria for Improved Coverage Solutions</w:t>
        </w:r>
        <w:r w:rsidR="00326AA2">
          <w:rPr>
            <w:noProof/>
            <w:webHidden/>
          </w:rPr>
          <w:tab/>
        </w:r>
        <w:r w:rsidR="00326AA2">
          <w:rPr>
            <w:noProof/>
            <w:webHidden/>
          </w:rPr>
          <w:fldChar w:fldCharType="begin"/>
        </w:r>
        <w:r w:rsidR="00326AA2">
          <w:rPr>
            <w:noProof/>
            <w:webHidden/>
          </w:rPr>
          <w:instrText xml:space="preserve"> PAGEREF _Toc157704965 \h </w:instrText>
        </w:r>
        <w:r w:rsidR="00326AA2">
          <w:rPr>
            <w:noProof/>
            <w:webHidden/>
          </w:rPr>
        </w:r>
        <w:r w:rsidR="00326AA2">
          <w:rPr>
            <w:noProof/>
            <w:webHidden/>
          </w:rPr>
          <w:fldChar w:fldCharType="separate"/>
        </w:r>
        <w:r w:rsidR="00326AA2">
          <w:rPr>
            <w:noProof/>
            <w:webHidden/>
          </w:rPr>
          <w:t>17</w:t>
        </w:r>
        <w:r w:rsidR="00326AA2">
          <w:rPr>
            <w:noProof/>
            <w:webHidden/>
          </w:rPr>
          <w:fldChar w:fldCharType="end"/>
        </w:r>
      </w:hyperlink>
    </w:p>
    <w:p w14:paraId="4E736C74" w14:textId="6418C921" w:rsidR="00326AA2" w:rsidRDefault="00697328">
      <w:pPr>
        <w:pStyle w:val="TOC3"/>
        <w:rPr>
          <w:rFonts w:asciiTheme="minorHAnsi" w:eastAsiaTheme="minorEastAsia" w:hAnsiTheme="minorHAnsi"/>
          <w:noProof/>
          <w:sz w:val="22"/>
          <w:lang w:eastAsia="en-AU"/>
        </w:rPr>
      </w:pPr>
      <w:hyperlink w:anchor="_Toc157704966" w:history="1">
        <w:r w:rsidR="00326AA2" w:rsidRPr="00AB0B90">
          <w:rPr>
            <w:rStyle w:val="Hyperlink"/>
            <w:noProof/>
          </w:rPr>
          <w:t>Criterion 1: New Improved Handheld Coverage (10 Points)</w:t>
        </w:r>
        <w:r w:rsidR="00326AA2">
          <w:rPr>
            <w:noProof/>
            <w:webHidden/>
          </w:rPr>
          <w:tab/>
        </w:r>
        <w:r w:rsidR="00326AA2">
          <w:rPr>
            <w:noProof/>
            <w:webHidden/>
          </w:rPr>
          <w:fldChar w:fldCharType="begin"/>
        </w:r>
        <w:r w:rsidR="00326AA2">
          <w:rPr>
            <w:noProof/>
            <w:webHidden/>
          </w:rPr>
          <w:instrText xml:space="preserve"> PAGEREF _Toc157704966 \h </w:instrText>
        </w:r>
        <w:r w:rsidR="00326AA2">
          <w:rPr>
            <w:noProof/>
            <w:webHidden/>
          </w:rPr>
        </w:r>
        <w:r w:rsidR="00326AA2">
          <w:rPr>
            <w:noProof/>
            <w:webHidden/>
          </w:rPr>
          <w:fldChar w:fldCharType="separate"/>
        </w:r>
        <w:r w:rsidR="00326AA2">
          <w:rPr>
            <w:noProof/>
            <w:webHidden/>
          </w:rPr>
          <w:t>17</w:t>
        </w:r>
        <w:r w:rsidR="00326AA2">
          <w:rPr>
            <w:noProof/>
            <w:webHidden/>
          </w:rPr>
          <w:fldChar w:fldCharType="end"/>
        </w:r>
      </w:hyperlink>
    </w:p>
    <w:p w14:paraId="3D14732F" w14:textId="73791012" w:rsidR="00326AA2" w:rsidRDefault="00697328">
      <w:pPr>
        <w:pStyle w:val="TOC3"/>
        <w:rPr>
          <w:rFonts w:asciiTheme="minorHAnsi" w:eastAsiaTheme="minorEastAsia" w:hAnsiTheme="minorHAnsi"/>
          <w:noProof/>
          <w:sz w:val="22"/>
          <w:lang w:eastAsia="en-AU"/>
        </w:rPr>
      </w:pPr>
      <w:hyperlink w:anchor="_Toc157704967" w:history="1">
        <w:r w:rsidR="00326AA2" w:rsidRPr="00AB0B90">
          <w:rPr>
            <w:rStyle w:val="Hyperlink"/>
            <w:noProof/>
          </w:rPr>
          <w:t>Criterion 2: Material Coverage Improvement (10 Points)</w:t>
        </w:r>
        <w:r w:rsidR="00326AA2">
          <w:rPr>
            <w:noProof/>
            <w:webHidden/>
          </w:rPr>
          <w:tab/>
        </w:r>
        <w:r w:rsidR="00326AA2">
          <w:rPr>
            <w:noProof/>
            <w:webHidden/>
          </w:rPr>
          <w:fldChar w:fldCharType="begin"/>
        </w:r>
        <w:r w:rsidR="00326AA2">
          <w:rPr>
            <w:noProof/>
            <w:webHidden/>
          </w:rPr>
          <w:instrText xml:space="preserve"> PAGEREF _Toc157704967 \h </w:instrText>
        </w:r>
        <w:r w:rsidR="00326AA2">
          <w:rPr>
            <w:noProof/>
            <w:webHidden/>
          </w:rPr>
        </w:r>
        <w:r w:rsidR="00326AA2">
          <w:rPr>
            <w:noProof/>
            <w:webHidden/>
          </w:rPr>
          <w:fldChar w:fldCharType="separate"/>
        </w:r>
        <w:r w:rsidR="00326AA2">
          <w:rPr>
            <w:noProof/>
            <w:webHidden/>
          </w:rPr>
          <w:t>17</w:t>
        </w:r>
        <w:r w:rsidR="00326AA2">
          <w:rPr>
            <w:noProof/>
            <w:webHidden/>
          </w:rPr>
          <w:fldChar w:fldCharType="end"/>
        </w:r>
      </w:hyperlink>
    </w:p>
    <w:p w14:paraId="5493B222" w14:textId="6594D240" w:rsidR="00326AA2" w:rsidRDefault="00697328">
      <w:pPr>
        <w:pStyle w:val="TOC3"/>
        <w:rPr>
          <w:rFonts w:asciiTheme="minorHAnsi" w:eastAsiaTheme="minorEastAsia" w:hAnsiTheme="minorHAnsi"/>
          <w:noProof/>
          <w:sz w:val="22"/>
          <w:lang w:eastAsia="en-AU"/>
        </w:rPr>
      </w:pPr>
      <w:hyperlink w:anchor="_Toc157704968" w:history="1">
        <w:r w:rsidR="00326AA2" w:rsidRPr="00AB0B90">
          <w:rPr>
            <w:rStyle w:val="Hyperlink"/>
            <w:noProof/>
          </w:rPr>
          <w:t>Criterion 3: Cost to the Commonwealth (10 Points)</w:t>
        </w:r>
        <w:r w:rsidR="00326AA2">
          <w:rPr>
            <w:noProof/>
            <w:webHidden/>
          </w:rPr>
          <w:tab/>
        </w:r>
        <w:r w:rsidR="00326AA2">
          <w:rPr>
            <w:noProof/>
            <w:webHidden/>
          </w:rPr>
          <w:fldChar w:fldCharType="begin"/>
        </w:r>
        <w:r w:rsidR="00326AA2">
          <w:rPr>
            <w:noProof/>
            <w:webHidden/>
          </w:rPr>
          <w:instrText xml:space="preserve"> PAGEREF _Toc157704968 \h </w:instrText>
        </w:r>
        <w:r w:rsidR="00326AA2">
          <w:rPr>
            <w:noProof/>
            <w:webHidden/>
          </w:rPr>
        </w:r>
        <w:r w:rsidR="00326AA2">
          <w:rPr>
            <w:noProof/>
            <w:webHidden/>
          </w:rPr>
          <w:fldChar w:fldCharType="separate"/>
        </w:r>
        <w:r w:rsidR="00326AA2">
          <w:rPr>
            <w:noProof/>
            <w:webHidden/>
          </w:rPr>
          <w:t>18</w:t>
        </w:r>
        <w:r w:rsidR="00326AA2">
          <w:rPr>
            <w:noProof/>
            <w:webHidden/>
          </w:rPr>
          <w:fldChar w:fldCharType="end"/>
        </w:r>
      </w:hyperlink>
    </w:p>
    <w:p w14:paraId="412596F2" w14:textId="4A8F062A" w:rsidR="00326AA2" w:rsidRDefault="00697328">
      <w:pPr>
        <w:pStyle w:val="TOC1"/>
        <w:rPr>
          <w:rFonts w:asciiTheme="minorHAnsi" w:eastAsiaTheme="minorEastAsia" w:hAnsiTheme="minorHAnsi"/>
          <w:b w:val="0"/>
          <w:noProof/>
          <w:color w:val="auto"/>
          <w:u w:val="none"/>
          <w:lang w:eastAsia="en-AU"/>
        </w:rPr>
      </w:pPr>
      <w:hyperlink w:anchor="_Toc157704969" w:history="1">
        <w:r w:rsidR="00326AA2" w:rsidRPr="00AB0B90">
          <w:rPr>
            <w:rStyle w:val="Hyperlink"/>
            <w:noProof/>
          </w:rPr>
          <w:t>7.</w:t>
        </w:r>
        <w:r w:rsidR="00326AA2">
          <w:rPr>
            <w:rFonts w:asciiTheme="minorHAnsi" w:eastAsiaTheme="minorEastAsia" w:hAnsiTheme="minorHAnsi"/>
            <w:b w:val="0"/>
            <w:noProof/>
            <w:color w:val="auto"/>
            <w:u w:val="none"/>
            <w:lang w:eastAsia="en-AU"/>
          </w:rPr>
          <w:tab/>
        </w:r>
        <w:r w:rsidR="00326AA2" w:rsidRPr="00AB0B90">
          <w:rPr>
            <w:rStyle w:val="Hyperlink"/>
            <w:noProof/>
          </w:rPr>
          <w:t>How to apply</w:t>
        </w:r>
        <w:r w:rsidR="00326AA2">
          <w:rPr>
            <w:noProof/>
            <w:webHidden/>
          </w:rPr>
          <w:tab/>
        </w:r>
        <w:r w:rsidR="00326AA2">
          <w:rPr>
            <w:noProof/>
            <w:webHidden/>
          </w:rPr>
          <w:fldChar w:fldCharType="begin"/>
        </w:r>
        <w:r w:rsidR="00326AA2">
          <w:rPr>
            <w:noProof/>
            <w:webHidden/>
          </w:rPr>
          <w:instrText xml:space="preserve"> PAGEREF _Toc157704969 \h </w:instrText>
        </w:r>
        <w:r w:rsidR="00326AA2">
          <w:rPr>
            <w:noProof/>
            <w:webHidden/>
          </w:rPr>
        </w:r>
        <w:r w:rsidR="00326AA2">
          <w:rPr>
            <w:noProof/>
            <w:webHidden/>
          </w:rPr>
          <w:fldChar w:fldCharType="separate"/>
        </w:r>
        <w:r w:rsidR="00326AA2">
          <w:rPr>
            <w:noProof/>
            <w:webHidden/>
          </w:rPr>
          <w:t>19</w:t>
        </w:r>
        <w:r w:rsidR="00326AA2">
          <w:rPr>
            <w:noProof/>
            <w:webHidden/>
          </w:rPr>
          <w:fldChar w:fldCharType="end"/>
        </w:r>
      </w:hyperlink>
    </w:p>
    <w:p w14:paraId="5A1C9E86" w14:textId="20EE8F4B" w:rsidR="00326AA2" w:rsidRDefault="00697328">
      <w:pPr>
        <w:pStyle w:val="TOC2"/>
        <w:rPr>
          <w:rFonts w:asciiTheme="minorHAnsi" w:eastAsiaTheme="minorEastAsia" w:hAnsiTheme="minorHAnsi"/>
          <w:noProof/>
          <w:sz w:val="22"/>
          <w:lang w:eastAsia="en-AU"/>
        </w:rPr>
      </w:pPr>
      <w:hyperlink w:anchor="_Toc157704970" w:history="1">
        <w:r w:rsidR="00326AA2" w:rsidRPr="00AB0B90">
          <w:rPr>
            <w:rStyle w:val="Hyperlink"/>
            <w:noProof/>
          </w:rPr>
          <w:t>7.1.</w:t>
        </w:r>
        <w:r w:rsidR="00326AA2">
          <w:rPr>
            <w:rFonts w:asciiTheme="minorHAnsi" w:eastAsiaTheme="minorEastAsia" w:hAnsiTheme="minorHAnsi"/>
            <w:noProof/>
            <w:sz w:val="22"/>
            <w:lang w:eastAsia="en-AU"/>
          </w:rPr>
          <w:tab/>
        </w:r>
        <w:r w:rsidR="00326AA2" w:rsidRPr="00AB0B90">
          <w:rPr>
            <w:rStyle w:val="Hyperlink"/>
            <w:noProof/>
          </w:rPr>
          <w:t>Timing of grant opportunity processes</w:t>
        </w:r>
        <w:r w:rsidR="00326AA2">
          <w:rPr>
            <w:noProof/>
            <w:webHidden/>
          </w:rPr>
          <w:tab/>
        </w:r>
        <w:r w:rsidR="00326AA2">
          <w:rPr>
            <w:noProof/>
            <w:webHidden/>
          </w:rPr>
          <w:fldChar w:fldCharType="begin"/>
        </w:r>
        <w:r w:rsidR="00326AA2">
          <w:rPr>
            <w:noProof/>
            <w:webHidden/>
          </w:rPr>
          <w:instrText xml:space="preserve"> PAGEREF _Toc157704970 \h </w:instrText>
        </w:r>
        <w:r w:rsidR="00326AA2">
          <w:rPr>
            <w:noProof/>
            <w:webHidden/>
          </w:rPr>
        </w:r>
        <w:r w:rsidR="00326AA2">
          <w:rPr>
            <w:noProof/>
            <w:webHidden/>
          </w:rPr>
          <w:fldChar w:fldCharType="separate"/>
        </w:r>
        <w:r w:rsidR="00326AA2">
          <w:rPr>
            <w:noProof/>
            <w:webHidden/>
          </w:rPr>
          <w:t>19</w:t>
        </w:r>
        <w:r w:rsidR="00326AA2">
          <w:rPr>
            <w:noProof/>
            <w:webHidden/>
          </w:rPr>
          <w:fldChar w:fldCharType="end"/>
        </w:r>
      </w:hyperlink>
    </w:p>
    <w:p w14:paraId="16FA6801" w14:textId="595ADCC7" w:rsidR="00326AA2" w:rsidRDefault="00697328">
      <w:pPr>
        <w:pStyle w:val="TOC2"/>
        <w:rPr>
          <w:rFonts w:asciiTheme="minorHAnsi" w:eastAsiaTheme="minorEastAsia" w:hAnsiTheme="minorHAnsi"/>
          <w:noProof/>
          <w:sz w:val="22"/>
          <w:lang w:eastAsia="en-AU"/>
        </w:rPr>
      </w:pPr>
      <w:hyperlink w:anchor="_Toc157704971" w:history="1">
        <w:r w:rsidR="00326AA2" w:rsidRPr="00AB0B90">
          <w:rPr>
            <w:rStyle w:val="Hyperlink"/>
            <w:noProof/>
          </w:rPr>
          <w:t>7.2.</w:t>
        </w:r>
        <w:r w:rsidR="00326AA2">
          <w:rPr>
            <w:rFonts w:asciiTheme="minorHAnsi" w:eastAsiaTheme="minorEastAsia" w:hAnsiTheme="minorHAnsi"/>
            <w:noProof/>
            <w:sz w:val="22"/>
            <w:lang w:eastAsia="en-AU"/>
          </w:rPr>
          <w:tab/>
        </w:r>
        <w:r w:rsidR="00326AA2" w:rsidRPr="00AB0B90">
          <w:rPr>
            <w:rStyle w:val="Hyperlink"/>
            <w:noProof/>
          </w:rPr>
          <w:t>Applicant registration</w:t>
        </w:r>
        <w:r w:rsidR="00326AA2">
          <w:rPr>
            <w:noProof/>
            <w:webHidden/>
          </w:rPr>
          <w:tab/>
        </w:r>
        <w:r w:rsidR="00326AA2">
          <w:rPr>
            <w:noProof/>
            <w:webHidden/>
          </w:rPr>
          <w:fldChar w:fldCharType="begin"/>
        </w:r>
        <w:r w:rsidR="00326AA2">
          <w:rPr>
            <w:noProof/>
            <w:webHidden/>
          </w:rPr>
          <w:instrText xml:space="preserve"> PAGEREF _Toc157704971 \h </w:instrText>
        </w:r>
        <w:r w:rsidR="00326AA2">
          <w:rPr>
            <w:noProof/>
            <w:webHidden/>
          </w:rPr>
        </w:r>
        <w:r w:rsidR="00326AA2">
          <w:rPr>
            <w:noProof/>
            <w:webHidden/>
          </w:rPr>
          <w:fldChar w:fldCharType="separate"/>
        </w:r>
        <w:r w:rsidR="00326AA2">
          <w:rPr>
            <w:noProof/>
            <w:webHidden/>
          </w:rPr>
          <w:t>19</w:t>
        </w:r>
        <w:r w:rsidR="00326AA2">
          <w:rPr>
            <w:noProof/>
            <w:webHidden/>
          </w:rPr>
          <w:fldChar w:fldCharType="end"/>
        </w:r>
      </w:hyperlink>
    </w:p>
    <w:p w14:paraId="1F74A25E" w14:textId="26CA0CA1" w:rsidR="00326AA2" w:rsidRDefault="00697328">
      <w:pPr>
        <w:pStyle w:val="TOC2"/>
        <w:rPr>
          <w:rFonts w:asciiTheme="minorHAnsi" w:eastAsiaTheme="minorEastAsia" w:hAnsiTheme="minorHAnsi"/>
          <w:noProof/>
          <w:sz w:val="22"/>
          <w:lang w:eastAsia="en-AU"/>
        </w:rPr>
      </w:pPr>
      <w:hyperlink w:anchor="_Toc157704972" w:history="1">
        <w:r w:rsidR="00326AA2" w:rsidRPr="00AB0B90">
          <w:rPr>
            <w:rStyle w:val="Hyperlink"/>
            <w:noProof/>
          </w:rPr>
          <w:t>7.3.</w:t>
        </w:r>
        <w:r w:rsidR="00326AA2">
          <w:rPr>
            <w:rFonts w:asciiTheme="minorHAnsi" w:eastAsiaTheme="minorEastAsia" w:hAnsiTheme="minorHAnsi"/>
            <w:noProof/>
            <w:sz w:val="22"/>
            <w:lang w:eastAsia="en-AU"/>
          </w:rPr>
          <w:tab/>
        </w:r>
        <w:r w:rsidR="00326AA2" w:rsidRPr="00AB0B90">
          <w:rPr>
            <w:rStyle w:val="Hyperlink"/>
            <w:noProof/>
          </w:rPr>
          <w:t>Pre-application lodgement</w:t>
        </w:r>
        <w:r w:rsidR="00326AA2">
          <w:rPr>
            <w:noProof/>
            <w:webHidden/>
          </w:rPr>
          <w:tab/>
        </w:r>
        <w:r w:rsidR="00326AA2">
          <w:rPr>
            <w:noProof/>
            <w:webHidden/>
          </w:rPr>
          <w:fldChar w:fldCharType="begin"/>
        </w:r>
        <w:r w:rsidR="00326AA2">
          <w:rPr>
            <w:noProof/>
            <w:webHidden/>
          </w:rPr>
          <w:instrText xml:space="preserve"> PAGEREF _Toc157704972 \h </w:instrText>
        </w:r>
        <w:r w:rsidR="00326AA2">
          <w:rPr>
            <w:noProof/>
            <w:webHidden/>
          </w:rPr>
        </w:r>
        <w:r w:rsidR="00326AA2">
          <w:rPr>
            <w:noProof/>
            <w:webHidden/>
          </w:rPr>
          <w:fldChar w:fldCharType="separate"/>
        </w:r>
        <w:r w:rsidR="00326AA2">
          <w:rPr>
            <w:noProof/>
            <w:webHidden/>
          </w:rPr>
          <w:t>20</w:t>
        </w:r>
        <w:r w:rsidR="00326AA2">
          <w:rPr>
            <w:noProof/>
            <w:webHidden/>
          </w:rPr>
          <w:fldChar w:fldCharType="end"/>
        </w:r>
      </w:hyperlink>
    </w:p>
    <w:p w14:paraId="5885A5DF" w14:textId="1A6EA57B" w:rsidR="00326AA2" w:rsidRDefault="00697328">
      <w:pPr>
        <w:pStyle w:val="TOC2"/>
        <w:rPr>
          <w:rFonts w:asciiTheme="minorHAnsi" w:eastAsiaTheme="minorEastAsia" w:hAnsiTheme="minorHAnsi"/>
          <w:noProof/>
          <w:sz w:val="22"/>
          <w:lang w:eastAsia="en-AU"/>
        </w:rPr>
      </w:pPr>
      <w:hyperlink w:anchor="_Toc157704973" w:history="1">
        <w:r w:rsidR="00326AA2" w:rsidRPr="00AB0B90">
          <w:rPr>
            <w:rStyle w:val="Hyperlink"/>
            <w:noProof/>
          </w:rPr>
          <w:t>7.4.</w:t>
        </w:r>
        <w:r w:rsidR="00326AA2">
          <w:rPr>
            <w:rFonts w:asciiTheme="minorHAnsi" w:eastAsiaTheme="minorEastAsia" w:hAnsiTheme="minorHAnsi"/>
            <w:noProof/>
            <w:sz w:val="22"/>
            <w:lang w:eastAsia="en-AU"/>
          </w:rPr>
          <w:tab/>
        </w:r>
        <w:r w:rsidR="00326AA2" w:rsidRPr="00AB0B90">
          <w:rPr>
            <w:rStyle w:val="Hyperlink"/>
            <w:noProof/>
          </w:rPr>
          <w:t>Completing and lodging an application</w:t>
        </w:r>
        <w:r w:rsidR="00326AA2">
          <w:rPr>
            <w:noProof/>
            <w:webHidden/>
          </w:rPr>
          <w:tab/>
        </w:r>
        <w:r w:rsidR="00326AA2">
          <w:rPr>
            <w:noProof/>
            <w:webHidden/>
          </w:rPr>
          <w:fldChar w:fldCharType="begin"/>
        </w:r>
        <w:r w:rsidR="00326AA2">
          <w:rPr>
            <w:noProof/>
            <w:webHidden/>
          </w:rPr>
          <w:instrText xml:space="preserve"> PAGEREF _Toc157704973 \h </w:instrText>
        </w:r>
        <w:r w:rsidR="00326AA2">
          <w:rPr>
            <w:noProof/>
            <w:webHidden/>
          </w:rPr>
        </w:r>
        <w:r w:rsidR="00326AA2">
          <w:rPr>
            <w:noProof/>
            <w:webHidden/>
          </w:rPr>
          <w:fldChar w:fldCharType="separate"/>
        </w:r>
        <w:r w:rsidR="00326AA2">
          <w:rPr>
            <w:noProof/>
            <w:webHidden/>
          </w:rPr>
          <w:t>20</w:t>
        </w:r>
        <w:r w:rsidR="00326AA2">
          <w:rPr>
            <w:noProof/>
            <w:webHidden/>
          </w:rPr>
          <w:fldChar w:fldCharType="end"/>
        </w:r>
      </w:hyperlink>
    </w:p>
    <w:p w14:paraId="1A393EEB" w14:textId="1883F984" w:rsidR="00326AA2" w:rsidRDefault="00697328">
      <w:pPr>
        <w:pStyle w:val="TOC2"/>
        <w:rPr>
          <w:rFonts w:asciiTheme="minorHAnsi" w:eastAsiaTheme="minorEastAsia" w:hAnsiTheme="minorHAnsi"/>
          <w:noProof/>
          <w:sz w:val="22"/>
          <w:lang w:eastAsia="en-AU"/>
        </w:rPr>
      </w:pPr>
      <w:hyperlink w:anchor="_Toc157704974" w:history="1">
        <w:r w:rsidR="00326AA2" w:rsidRPr="00AB0B90">
          <w:rPr>
            <w:rStyle w:val="Hyperlink"/>
            <w:noProof/>
          </w:rPr>
          <w:t>7.5.</w:t>
        </w:r>
        <w:r w:rsidR="00326AA2">
          <w:rPr>
            <w:rFonts w:asciiTheme="minorHAnsi" w:eastAsiaTheme="minorEastAsia" w:hAnsiTheme="minorHAnsi"/>
            <w:noProof/>
            <w:sz w:val="22"/>
            <w:lang w:eastAsia="en-AU"/>
          </w:rPr>
          <w:tab/>
        </w:r>
        <w:r w:rsidR="00326AA2" w:rsidRPr="00AB0B90">
          <w:rPr>
            <w:rStyle w:val="Hyperlink"/>
            <w:noProof/>
          </w:rPr>
          <w:t>Closing date for funding applications</w:t>
        </w:r>
        <w:r w:rsidR="00326AA2">
          <w:rPr>
            <w:noProof/>
            <w:webHidden/>
          </w:rPr>
          <w:tab/>
        </w:r>
        <w:r w:rsidR="00326AA2">
          <w:rPr>
            <w:noProof/>
            <w:webHidden/>
          </w:rPr>
          <w:fldChar w:fldCharType="begin"/>
        </w:r>
        <w:r w:rsidR="00326AA2">
          <w:rPr>
            <w:noProof/>
            <w:webHidden/>
          </w:rPr>
          <w:instrText xml:space="preserve"> PAGEREF _Toc157704974 \h </w:instrText>
        </w:r>
        <w:r w:rsidR="00326AA2">
          <w:rPr>
            <w:noProof/>
            <w:webHidden/>
          </w:rPr>
        </w:r>
        <w:r w:rsidR="00326AA2">
          <w:rPr>
            <w:noProof/>
            <w:webHidden/>
          </w:rPr>
          <w:fldChar w:fldCharType="separate"/>
        </w:r>
        <w:r w:rsidR="00326AA2">
          <w:rPr>
            <w:noProof/>
            <w:webHidden/>
          </w:rPr>
          <w:t>22</w:t>
        </w:r>
        <w:r w:rsidR="00326AA2">
          <w:rPr>
            <w:noProof/>
            <w:webHidden/>
          </w:rPr>
          <w:fldChar w:fldCharType="end"/>
        </w:r>
      </w:hyperlink>
    </w:p>
    <w:p w14:paraId="212F8E39" w14:textId="012606E1" w:rsidR="00326AA2" w:rsidRDefault="00697328">
      <w:pPr>
        <w:pStyle w:val="TOC2"/>
        <w:rPr>
          <w:rFonts w:asciiTheme="minorHAnsi" w:eastAsiaTheme="minorEastAsia" w:hAnsiTheme="minorHAnsi"/>
          <w:noProof/>
          <w:sz w:val="22"/>
          <w:lang w:eastAsia="en-AU"/>
        </w:rPr>
      </w:pPr>
      <w:hyperlink w:anchor="_Toc157704975" w:history="1">
        <w:r w:rsidR="00326AA2" w:rsidRPr="00AB0B90">
          <w:rPr>
            <w:rStyle w:val="Hyperlink"/>
            <w:noProof/>
          </w:rPr>
          <w:t>7.6.</w:t>
        </w:r>
        <w:r w:rsidR="00326AA2">
          <w:rPr>
            <w:rFonts w:asciiTheme="minorHAnsi" w:eastAsiaTheme="minorEastAsia" w:hAnsiTheme="minorHAnsi"/>
            <w:noProof/>
            <w:sz w:val="22"/>
            <w:lang w:eastAsia="en-AU"/>
          </w:rPr>
          <w:tab/>
        </w:r>
        <w:r w:rsidR="00326AA2" w:rsidRPr="00AB0B90">
          <w:rPr>
            <w:rStyle w:val="Hyperlink"/>
            <w:noProof/>
          </w:rPr>
          <w:t>Late applications</w:t>
        </w:r>
        <w:r w:rsidR="00326AA2">
          <w:rPr>
            <w:noProof/>
            <w:webHidden/>
          </w:rPr>
          <w:tab/>
        </w:r>
        <w:r w:rsidR="00326AA2">
          <w:rPr>
            <w:noProof/>
            <w:webHidden/>
          </w:rPr>
          <w:fldChar w:fldCharType="begin"/>
        </w:r>
        <w:r w:rsidR="00326AA2">
          <w:rPr>
            <w:noProof/>
            <w:webHidden/>
          </w:rPr>
          <w:instrText xml:space="preserve"> PAGEREF _Toc157704975 \h </w:instrText>
        </w:r>
        <w:r w:rsidR="00326AA2">
          <w:rPr>
            <w:noProof/>
            <w:webHidden/>
          </w:rPr>
        </w:r>
        <w:r w:rsidR="00326AA2">
          <w:rPr>
            <w:noProof/>
            <w:webHidden/>
          </w:rPr>
          <w:fldChar w:fldCharType="separate"/>
        </w:r>
        <w:r w:rsidR="00326AA2">
          <w:rPr>
            <w:noProof/>
            <w:webHidden/>
          </w:rPr>
          <w:t>22</w:t>
        </w:r>
        <w:r w:rsidR="00326AA2">
          <w:rPr>
            <w:noProof/>
            <w:webHidden/>
          </w:rPr>
          <w:fldChar w:fldCharType="end"/>
        </w:r>
      </w:hyperlink>
    </w:p>
    <w:p w14:paraId="386FD3CF" w14:textId="3EF0AD15" w:rsidR="00326AA2" w:rsidRDefault="00697328">
      <w:pPr>
        <w:pStyle w:val="TOC2"/>
        <w:rPr>
          <w:rFonts w:asciiTheme="minorHAnsi" w:eastAsiaTheme="minorEastAsia" w:hAnsiTheme="minorHAnsi"/>
          <w:noProof/>
          <w:sz w:val="22"/>
          <w:lang w:eastAsia="en-AU"/>
        </w:rPr>
      </w:pPr>
      <w:hyperlink w:anchor="_Toc157704976" w:history="1">
        <w:r w:rsidR="00326AA2" w:rsidRPr="00AB0B90">
          <w:rPr>
            <w:rStyle w:val="Hyperlink"/>
            <w:noProof/>
          </w:rPr>
          <w:t>7.7.</w:t>
        </w:r>
        <w:r w:rsidR="00326AA2">
          <w:rPr>
            <w:rFonts w:asciiTheme="minorHAnsi" w:eastAsiaTheme="minorEastAsia" w:hAnsiTheme="minorHAnsi"/>
            <w:noProof/>
            <w:sz w:val="22"/>
            <w:lang w:eastAsia="en-AU"/>
          </w:rPr>
          <w:tab/>
        </w:r>
        <w:r w:rsidR="00326AA2" w:rsidRPr="00AB0B90">
          <w:rPr>
            <w:rStyle w:val="Hyperlink"/>
            <w:noProof/>
          </w:rPr>
          <w:t>Further information about the application</w:t>
        </w:r>
        <w:r w:rsidR="00326AA2">
          <w:rPr>
            <w:noProof/>
            <w:webHidden/>
          </w:rPr>
          <w:tab/>
        </w:r>
        <w:r w:rsidR="00326AA2">
          <w:rPr>
            <w:noProof/>
            <w:webHidden/>
          </w:rPr>
          <w:fldChar w:fldCharType="begin"/>
        </w:r>
        <w:r w:rsidR="00326AA2">
          <w:rPr>
            <w:noProof/>
            <w:webHidden/>
          </w:rPr>
          <w:instrText xml:space="preserve"> PAGEREF _Toc157704976 \h </w:instrText>
        </w:r>
        <w:r w:rsidR="00326AA2">
          <w:rPr>
            <w:noProof/>
            <w:webHidden/>
          </w:rPr>
        </w:r>
        <w:r w:rsidR="00326AA2">
          <w:rPr>
            <w:noProof/>
            <w:webHidden/>
          </w:rPr>
          <w:fldChar w:fldCharType="separate"/>
        </w:r>
        <w:r w:rsidR="00326AA2">
          <w:rPr>
            <w:noProof/>
            <w:webHidden/>
          </w:rPr>
          <w:t>23</w:t>
        </w:r>
        <w:r w:rsidR="00326AA2">
          <w:rPr>
            <w:noProof/>
            <w:webHidden/>
          </w:rPr>
          <w:fldChar w:fldCharType="end"/>
        </w:r>
      </w:hyperlink>
    </w:p>
    <w:p w14:paraId="351D8165" w14:textId="16F2D1A1" w:rsidR="00326AA2" w:rsidRDefault="00697328">
      <w:pPr>
        <w:pStyle w:val="TOC2"/>
        <w:rPr>
          <w:rFonts w:asciiTheme="minorHAnsi" w:eastAsiaTheme="minorEastAsia" w:hAnsiTheme="minorHAnsi"/>
          <w:noProof/>
          <w:sz w:val="22"/>
          <w:lang w:eastAsia="en-AU"/>
        </w:rPr>
      </w:pPr>
      <w:hyperlink w:anchor="_Toc157704977" w:history="1">
        <w:r w:rsidR="00326AA2" w:rsidRPr="00AB0B90">
          <w:rPr>
            <w:rStyle w:val="Hyperlink"/>
            <w:noProof/>
          </w:rPr>
          <w:t>7.8.</w:t>
        </w:r>
        <w:r w:rsidR="00326AA2">
          <w:rPr>
            <w:rFonts w:asciiTheme="minorHAnsi" w:eastAsiaTheme="minorEastAsia" w:hAnsiTheme="minorHAnsi"/>
            <w:noProof/>
            <w:sz w:val="22"/>
            <w:lang w:eastAsia="en-AU"/>
          </w:rPr>
          <w:tab/>
        </w:r>
        <w:r w:rsidR="00326AA2" w:rsidRPr="00AB0B90">
          <w:rPr>
            <w:rStyle w:val="Hyperlink"/>
            <w:noProof/>
          </w:rPr>
          <w:t>Questions during the application process</w:t>
        </w:r>
        <w:r w:rsidR="00326AA2">
          <w:rPr>
            <w:noProof/>
            <w:webHidden/>
          </w:rPr>
          <w:tab/>
        </w:r>
        <w:r w:rsidR="00326AA2">
          <w:rPr>
            <w:noProof/>
            <w:webHidden/>
          </w:rPr>
          <w:fldChar w:fldCharType="begin"/>
        </w:r>
        <w:r w:rsidR="00326AA2">
          <w:rPr>
            <w:noProof/>
            <w:webHidden/>
          </w:rPr>
          <w:instrText xml:space="preserve"> PAGEREF _Toc157704977 \h </w:instrText>
        </w:r>
        <w:r w:rsidR="00326AA2">
          <w:rPr>
            <w:noProof/>
            <w:webHidden/>
          </w:rPr>
        </w:r>
        <w:r w:rsidR="00326AA2">
          <w:rPr>
            <w:noProof/>
            <w:webHidden/>
          </w:rPr>
          <w:fldChar w:fldCharType="separate"/>
        </w:r>
        <w:r w:rsidR="00326AA2">
          <w:rPr>
            <w:noProof/>
            <w:webHidden/>
          </w:rPr>
          <w:t>23</w:t>
        </w:r>
        <w:r w:rsidR="00326AA2">
          <w:rPr>
            <w:noProof/>
            <w:webHidden/>
          </w:rPr>
          <w:fldChar w:fldCharType="end"/>
        </w:r>
      </w:hyperlink>
    </w:p>
    <w:p w14:paraId="47F9C753" w14:textId="59CEECC5" w:rsidR="00326AA2" w:rsidRDefault="00697328">
      <w:pPr>
        <w:pStyle w:val="TOC2"/>
        <w:rPr>
          <w:rFonts w:asciiTheme="minorHAnsi" w:eastAsiaTheme="minorEastAsia" w:hAnsiTheme="minorHAnsi"/>
          <w:noProof/>
          <w:sz w:val="22"/>
          <w:lang w:eastAsia="en-AU"/>
        </w:rPr>
      </w:pPr>
      <w:hyperlink w:anchor="_Toc157704978" w:history="1">
        <w:r w:rsidR="00326AA2" w:rsidRPr="00AB0B90">
          <w:rPr>
            <w:rStyle w:val="Hyperlink"/>
            <w:noProof/>
          </w:rPr>
          <w:t>7.9.</w:t>
        </w:r>
        <w:r w:rsidR="00326AA2">
          <w:rPr>
            <w:rFonts w:asciiTheme="minorHAnsi" w:eastAsiaTheme="minorEastAsia" w:hAnsiTheme="minorHAnsi"/>
            <w:noProof/>
            <w:sz w:val="22"/>
            <w:lang w:eastAsia="en-AU"/>
          </w:rPr>
          <w:tab/>
        </w:r>
        <w:r w:rsidR="00326AA2" w:rsidRPr="00AB0B90">
          <w:rPr>
            <w:rStyle w:val="Hyperlink"/>
            <w:noProof/>
          </w:rPr>
          <w:t>Errors identified in applications</w:t>
        </w:r>
        <w:r w:rsidR="00326AA2">
          <w:rPr>
            <w:noProof/>
            <w:webHidden/>
          </w:rPr>
          <w:tab/>
        </w:r>
        <w:r w:rsidR="00326AA2">
          <w:rPr>
            <w:noProof/>
            <w:webHidden/>
          </w:rPr>
          <w:fldChar w:fldCharType="begin"/>
        </w:r>
        <w:r w:rsidR="00326AA2">
          <w:rPr>
            <w:noProof/>
            <w:webHidden/>
          </w:rPr>
          <w:instrText xml:space="preserve"> PAGEREF _Toc157704978 \h </w:instrText>
        </w:r>
        <w:r w:rsidR="00326AA2">
          <w:rPr>
            <w:noProof/>
            <w:webHidden/>
          </w:rPr>
        </w:r>
        <w:r w:rsidR="00326AA2">
          <w:rPr>
            <w:noProof/>
            <w:webHidden/>
          </w:rPr>
          <w:fldChar w:fldCharType="separate"/>
        </w:r>
        <w:r w:rsidR="00326AA2">
          <w:rPr>
            <w:noProof/>
            <w:webHidden/>
          </w:rPr>
          <w:t>23</w:t>
        </w:r>
        <w:r w:rsidR="00326AA2">
          <w:rPr>
            <w:noProof/>
            <w:webHidden/>
          </w:rPr>
          <w:fldChar w:fldCharType="end"/>
        </w:r>
      </w:hyperlink>
    </w:p>
    <w:p w14:paraId="54608781" w14:textId="76225F28" w:rsidR="00326AA2" w:rsidRDefault="00697328">
      <w:pPr>
        <w:pStyle w:val="TOC1"/>
        <w:rPr>
          <w:rFonts w:asciiTheme="minorHAnsi" w:eastAsiaTheme="minorEastAsia" w:hAnsiTheme="minorHAnsi"/>
          <w:b w:val="0"/>
          <w:noProof/>
          <w:color w:val="auto"/>
          <w:u w:val="none"/>
          <w:lang w:eastAsia="en-AU"/>
        </w:rPr>
      </w:pPr>
      <w:hyperlink w:anchor="_Toc157704979" w:history="1">
        <w:r w:rsidR="00326AA2" w:rsidRPr="00AB0B90">
          <w:rPr>
            <w:rStyle w:val="Hyperlink"/>
            <w:noProof/>
          </w:rPr>
          <w:t>8.</w:t>
        </w:r>
        <w:r w:rsidR="00326AA2">
          <w:rPr>
            <w:rFonts w:asciiTheme="minorHAnsi" w:eastAsiaTheme="minorEastAsia" w:hAnsiTheme="minorHAnsi"/>
            <w:b w:val="0"/>
            <w:noProof/>
            <w:color w:val="auto"/>
            <w:u w:val="none"/>
            <w:lang w:eastAsia="en-AU"/>
          </w:rPr>
          <w:tab/>
        </w:r>
        <w:r w:rsidR="00326AA2" w:rsidRPr="00AB0B90">
          <w:rPr>
            <w:rStyle w:val="Hyperlink"/>
            <w:noProof/>
          </w:rPr>
          <w:t>The grant selection process</w:t>
        </w:r>
        <w:r w:rsidR="00326AA2">
          <w:rPr>
            <w:noProof/>
            <w:webHidden/>
          </w:rPr>
          <w:tab/>
        </w:r>
        <w:r w:rsidR="00326AA2">
          <w:rPr>
            <w:noProof/>
            <w:webHidden/>
          </w:rPr>
          <w:fldChar w:fldCharType="begin"/>
        </w:r>
        <w:r w:rsidR="00326AA2">
          <w:rPr>
            <w:noProof/>
            <w:webHidden/>
          </w:rPr>
          <w:instrText xml:space="preserve"> PAGEREF _Toc157704979 \h </w:instrText>
        </w:r>
        <w:r w:rsidR="00326AA2">
          <w:rPr>
            <w:noProof/>
            <w:webHidden/>
          </w:rPr>
        </w:r>
        <w:r w:rsidR="00326AA2">
          <w:rPr>
            <w:noProof/>
            <w:webHidden/>
          </w:rPr>
          <w:fldChar w:fldCharType="separate"/>
        </w:r>
        <w:r w:rsidR="00326AA2">
          <w:rPr>
            <w:noProof/>
            <w:webHidden/>
          </w:rPr>
          <w:t>23</w:t>
        </w:r>
        <w:r w:rsidR="00326AA2">
          <w:rPr>
            <w:noProof/>
            <w:webHidden/>
          </w:rPr>
          <w:fldChar w:fldCharType="end"/>
        </w:r>
      </w:hyperlink>
    </w:p>
    <w:p w14:paraId="163B3D3A" w14:textId="251ADB50" w:rsidR="00326AA2" w:rsidRDefault="00697328">
      <w:pPr>
        <w:pStyle w:val="TOC2"/>
        <w:rPr>
          <w:rFonts w:asciiTheme="minorHAnsi" w:eastAsiaTheme="minorEastAsia" w:hAnsiTheme="minorHAnsi"/>
          <w:noProof/>
          <w:sz w:val="22"/>
          <w:lang w:eastAsia="en-AU"/>
        </w:rPr>
      </w:pPr>
      <w:hyperlink w:anchor="_Toc157704980" w:history="1">
        <w:r w:rsidR="00326AA2" w:rsidRPr="00AB0B90">
          <w:rPr>
            <w:rStyle w:val="Hyperlink"/>
            <w:noProof/>
          </w:rPr>
          <w:t>8.1.</w:t>
        </w:r>
        <w:r w:rsidR="00326AA2">
          <w:rPr>
            <w:rFonts w:asciiTheme="minorHAnsi" w:eastAsiaTheme="minorEastAsia" w:hAnsiTheme="minorHAnsi"/>
            <w:noProof/>
            <w:sz w:val="22"/>
            <w:lang w:eastAsia="en-AU"/>
          </w:rPr>
          <w:tab/>
        </w:r>
        <w:r w:rsidR="00326AA2" w:rsidRPr="00AB0B90">
          <w:rPr>
            <w:rStyle w:val="Hyperlink"/>
            <w:noProof/>
          </w:rPr>
          <w:t>Assessment of grant applications</w:t>
        </w:r>
        <w:r w:rsidR="00326AA2">
          <w:rPr>
            <w:noProof/>
            <w:webHidden/>
          </w:rPr>
          <w:tab/>
        </w:r>
        <w:r w:rsidR="00326AA2">
          <w:rPr>
            <w:noProof/>
            <w:webHidden/>
          </w:rPr>
          <w:fldChar w:fldCharType="begin"/>
        </w:r>
        <w:r w:rsidR="00326AA2">
          <w:rPr>
            <w:noProof/>
            <w:webHidden/>
          </w:rPr>
          <w:instrText xml:space="preserve"> PAGEREF _Toc157704980 \h </w:instrText>
        </w:r>
        <w:r w:rsidR="00326AA2">
          <w:rPr>
            <w:noProof/>
            <w:webHidden/>
          </w:rPr>
        </w:r>
        <w:r w:rsidR="00326AA2">
          <w:rPr>
            <w:noProof/>
            <w:webHidden/>
          </w:rPr>
          <w:fldChar w:fldCharType="separate"/>
        </w:r>
        <w:r w:rsidR="00326AA2">
          <w:rPr>
            <w:noProof/>
            <w:webHidden/>
          </w:rPr>
          <w:t>23</w:t>
        </w:r>
        <w:r w:rsidR="00326AA2">
          <w:rPr>
            <w:noProof/>
            <w:webHidden/>
          </w:rPr>
          <w:fldChar w:fldCharType="end"/>
        </w:r>
      </w:hyperlink>
    </w:p>
    <w:p w14:paraId="79A899FB" w14:textId="18417CCB" w:rsidR="00326AA2" w:rsidRDefault="00697328">
      <w:pPr>
        <w:pStyle w:val="TOC2"/>
        <w:rPr>
          <w:rFonts w:asciiTheme="minorHAnsi" w:eastAsiaTheme="minorEastAsia" w:hAnsiTheme="minorHAnsi"/>
          <w:noProof/>
          <w:sz w:val="22"/>
          <w:lang w:eastAsia="en-AU"/>
        </w:rPr>
      </w:pPr>
      <w:hyperlink w:anchor="_Toc157704981" w:history="1">
        <w:r w:rsidR="00326AA2" w:rsidRPr="00AB0B90">
          <w:rPr>
            <w:rStyle w:val="Hyperlink"/>
            <w:noProof/>
          </w:rPr>
          <w:t>8.2.</w:t>
        </w:r>
        <w:r w:rsidR="00326AA2">
          <w:rPr>
            <w:rFonts w:asciiTheme="minorHAnsi" w:eastAsiaTheme="minorEastAsia" w:hAnsiTheme="minorHAnsi"/>
            <w:noProof/>
            <w:sz w:val="22"/>
            <w:lang w:eastAsia="en-AU"/>
          </w:rPr>
          <w:tab/>
        </w:r>
        <w:r w:rsidR="00326AA2" w:rsidRPr="00AB0B90">
          <w:rPr>
            <w:rStyle w:val="Hyperlink"/>
            <w:noProof/>
          </w:rPr>
          <w:t>Risk assessment</w:t>
        </w:r>
        <w:r w:rsidR="00326AA2">
          <w:rPr>
            <w:noProof/>
            <w:webHidden/>
          </w:rPr>
          <w:tab/>
        </w:r>
        <w:r w:rsidR="00326AA2">
          <w:rPr>
            <w:noProof/>
            <w:webHidden/>
          </w:rPr>
          <w:fldChar w:fldCharType="begin"/>
        </w:r>
        <w:r w:rsidR="00326AA2">
          <w:rPr>
            <w:noProof/>
            <w:webHidden/>
          </w:rPr>
          <w:instrText xml:space="preserve"> PAGEREF _Toc157704981 \h </w:instrText>
        </w:r>
        <w:r w:rsidR="00326AA2">
          <w:rPr>
            <w:noProof/>
            <w:webHidden/>
          </w:rPr>
        </w:r>
        <w:r w:rsidR="00326AA2">
          <w:rPr>
            <w:noProof/>
            <w:webHidden/>
          </w:rPr>
          <w:fldChar w:fldCharType="separate"/>
        </w:r>
        <w:r w:rsidR="00326AA2">
          <w:rPr>
            <w:noProof/>
            <w:webHidden/>
          </w:rPr>
          <w:t>23</w:t>
        </w:r>
        <w:r w:rsidR="00326AA2">
          <w:rPr>
            <w:noProof/>
            <w:webHidden/>
          </w:rPr>
          <w:fldChar w:fldCharType="end"/>
        </w:r>
      </w:hyperlink>
    </w:p>
    <w:p w14:paraId="54283010" w14:textId="2075BD50" w:rsidR="00326AA2" w:rsidRDefault="00697328">
      <w:pPr>
        <w:pStyle w:val="TOC2"/>
        <w:rPr>
          <w:rFonts w:asciiTheme="minorHAnsi" w:eastAsiaTheme="minorEastAsia" w:hAnsiTheme="minorHAnsi"/>
          <w:noProof/>
          <w:sz w:val="22"/>
          <w:lang w:eastAsia="en-AU"/>
        </w:rPr>
      </w:pPr>
      <w:hyperlink w:anchor="_Toc157704982" w:history="1">
        <w:r w:rsidR="00326AA2" w:rsidRPr="00AB0B90">
          <w:rPr>
            <w:rStyle w:val="Hyperlink"/>
            <w:noProof/>
          </w:rPr>
          <w:t>8.3.</w:t>
        </w:r>
        <w:r w:rsidR="00326AA2">
          <w:rPr>
            <w:rFonts w:asciiTheme="minorHAnsi" w:eastAsiaTheme="minorEastAsia" w:hAnsiTheme="minorHAnsi"/>
            <w:noProof/>
            <w:sz w:val="22"/>
            <w:lang w:eastAsia="en-AU"/>
          </w:rPr>
          <w:tab/>
        </w:r>
        <w:r w:rsidR="00326AA2" w:rsidRPr="00AB0B90">
          <w:rPr>
            <w:rStyle w:val="Hyperlink"/>
            <w:noProof/>
          </w:rPr>
          <w:t>Evaluation and assessment</w:t>
        </w:r>
        <w:r w:rsidR="00326AA2">
          <w:rPr>
            <w:noProof/>
            <w:webHidden/>
          </w:rPr>
          <w:tab/>
        </w:r>
        <w:r w:rsidR="00326AA2">
          <w:rPr>
            <w:noProof/>
            <w:webHidden/>
          </w:rPr>
          <w:fldChar w:fldCharType="begin"/>
        </w:r>
        <w:r w:rsidR="00326AA2">
          <w:rPr>
            <w:noProof/>
            <w:webHidden/>
          </w:rPr>
          <w:instrText xml:space="preserve"> PAGEREF _Toc157704982 \h </w:instrText>
        </w:r>
        <w:r w:rsidR="00326AA2">
          <w:rPr>
            <w:noProof/>
            <w:webHidden/>
          </w:rPr>
        </w:r>
        <w:r w:rsidR="00326AA2">
          <w:rPr>
            <w:noProof/>
            <w:webHidden/>
          </w:rPr>
          <w:fldChar w:fldCharType="separate"/>
        </w:r>
        <w:r w:rsidR="00326AA2">
          <w:rPr>
            <w:noProof/>
            <w:webHidden/>
          </w:rPr>
          <w:t>23</w:t>
        </w:r>
        <w:r w:rsidR="00326AA2">
          <w:rPr>
            <w:noProof/>
            <w:webHidden/>
          </w:rPr>
          <w:fldChar w:fldCharType="end"/>
        </w:r>
      </w:hyperlink>
    </w:p>
    <w:p w14:paraId="24C8B5A6" w14:textId="0E38DFA4" w:rsidR="00326AA2" w:rsidRDefault="00697328">
      <w:pPr>
        <w:pStyle w:val="TOC2"/>
        <w:rPr>
          <w:rFonts w:asciiTheme="minorHAnsi" w:eastAsiaTheme="minorEastAsia" w:hAnsiTheme="minorHAnsi"/>
          <w:noProof/>
          <w:sz w:val="22"/>
          <w:lang w:eastAsia="en-AU"/>
        </w:rPr>
      </w:pPr>
      <w:hyperlink w:anchor="_Toc157704983" w:history="1">
        <w:r w:rsidR="00326AA2" w:rsidRPr="00AB0B90">
          <w:rPr>
            <w:rStyle w:val="Hyperlink"/>
            <w:noProof/>
          </w:rPr>
          <w:t>8.4.</w:t>
        </w:r>
        <w:r w:rsidR="00326AA2">
          <w:rPr>
            <w:rFonts w:asciiTheme="minorHAnsi" w:eastAsiaTheme="minorEastAsia" w:hAnsiTheme="minorHAnsi"/>
            <w:noProof/>
            <w:sz w:val="22"/>
            <w:lang w:eastAsia="en-AU"/>
          </w:rPr>
          <w:tab/>
        </w:r>
        <w:r w:rsidR="00326AA2" w:rsidRPr="00AB0B90">
          <w:rPr>
            <w:rStyle w:val="Hyperlink"/>
            <w:noProof/>
          </w:rPr>
          <w:t>Value for Money</w:t>
        </w:r>
        <w:r w:rsidR="00326AA2">
          <w:rPr>
            <w:noProof/>
            <w:webHidden/>
          </w:rPr>
          <w:tab/>
        </w:r>
        <w:r w:rsidR="00326AA2">
          <w:rPr>
            <w:noProof/>
            <w:webHidden/>
          </w:rPr>
          <w:fldChar w:fldCharType="begin"/>
        </w:r>
        <w:r w:rsidR="00326AA2">
          <w:rPr>
            <w:noProof/>
            <w:webHidden/>
          </w:rPr>
          <w:instrText xml:space="preserve"> PAGEREF _Toc157704983 \h </w:instrText>
        </w:r>
        <w:r w:rsidR="00326AA2">
          <w:rPr>
            <w:noProof/>
            <w:webHidden/>
          </w:rPr>
        </w:r>
        <w:r w:rsidR="00326AA2">
          <w:rPr>
            <w:noProof/>
            <w:webHidden/>
          </w:rPr>
          <w:fldChar w:fldCharType="separate"/>
        </w:r>
        <w:r w:rsidR="00326AA2">
          <w:rPr>
            <w:noProof/>
            <w:webHidden/>
          </w:rPr>
          <w:t>24</w:t>
        </w:r>
        <w:r w:rsidR="00326AA2">
          <w:rPr>
            <w:noProof/>
            <w:webHidden/>
          </w:rPr>
          <w:fldChar w:fldCharType="end"/>
        </w:r>
      </w:hyperlink>
    </w:p>
    <w:p w14:paraId="42ED60FE" w14:textId="58D34AF1" w:rsidR="00326AA2" w:rsidRDefault="00697328">
      <w:pPr>
        <w:pStyle w:val="TOC3"/>
        <w:rPr>
          <w:rFonts w:asciiTheme="minorHAnsi" w:eastAsiaTheme="minorEastAsia" w:hAnsiTheme="minorHAnsi"/>
          <w:noProof/>
          <w:sz w:val="22"/>
          <w:lang w:eastAsia="en-AU"/>
        </w:rPr>
      </w:pPr>
      <w:hyperlink w:anchor="_Toc157704984" w:history="1">
        <w:r w:rsidR="00326AA2" w:rsidRPr="00AB0B90">
          <w:rPr>
            <w:rStyle w:val="Hyperlink"/>
            <w:noProof/>
          </w:rPr>
          <w:t>Value for Money for New Coverage Solutions and New Highway Coverage Solutions</w:t>
        </w:r>
        <w:r w:rsidR="00326AA2">
          <w:rPr>
            <w:noProof/>
            <w:webHidden/>
          </w:rPr>
          <w:tab/>
        </w:r>
        <w:r w:rsidR="00326AA2">
          <w:rPr>
            <w:noProof/>
            <w:webHidden/>
          </w:rPr>
          <w:fldChar w:fldCharType="begin"/>
        </w:r>
        <w:r w:rsidR="00326AA2">
          <w:rPr>
            <w:noProof/>
            <w:webHidden/>
          </w:rPr>
          <w:instrText xml:space="preserve"> PAGEREF _Toc157704984 \h </w:instrText>
        </w:r>
        <w:r w:rsidR="00326AA2">
          <w:rPr>
            <w:noProof/>
            <w:webHidden/>
          </w:rPr>
        </w:r>
        <w:r w:rsidR="00326AA2">
          <w:rPr>
            <w:noProof/>
            <w:webHidden/>
          </w:rPr>
          <w:fldChar w:fldCharType="separate"/>
        </w:r>
        <w:r w:rsidR="00326AA2">
          <w:rPr>
            <w:noProof/>
            <w:webHidden/>
          </w:rPr>
          <w:t>24</w:t>
        </w:r>
        <w:r w:rsidR="00326AA2">
          <w:rPr>
            <w:noProof/>
            <w:webHidden/>
          </w:rPr>
          <w:fldChar w:fldCharType="end"/>
        </w:r>
      </w:hyperlink>
    </w:p>
    <w:p w14:paraId="27AED940" w14:textId="5B13FE98" w:rsidR="00326AA2" w:rsidRDefault="00697328">
      <w:pPr>
        <w:pStyle w:val="TOC3"/>
        <w:rPr>
          <w:rFonts w:asciiTheme="minorHAnsi" w:eastAsiaTheme="minorEastAsia" w:hAnsiTheme="minorHAnsi"/>
          <w:noProof/>
          <w:sz w:val="22"/>
          <w:lang w:eastAsia="en-AU"/>
        </w:rPr>
      </w:pPr>
      <w:hyperlink w:anchor="_Toc157704985" w:history="1">
        <w:r w:rsidR="00326AA2" w:rsidRPr="00AB0B90">
          <w:rPr>
            <w:rStyle w:val="Hyperlink"/>
            <w:noProof/>
          </w:rPr>
          <w:t>Value for Money for Improved Coverage Solutions</w:t>
        </w:r>
        <w:r w:rsidR="00326AA2">
          <w:rPr>
            <w:noProof/>
            <w:webHidden/>
          </w:rPr>
          <w:tab/>
        </w:r>
        <w:r w:rsidR="00326AA2">
          <w:rPr>
            <w:noProof/>
            <w:webHidden/>
          </w:rPr>
          <w:fldChar w:fldCharType="begin"/>
        </w:r>
        <w:r w:rsidR="00326AA2">
          <w:rPr>
            <w:noProof/>
            <w:webHidden/>
          </w:rPr>
          <w:instrText xml:space="preserve"> PAGEREF _Toc157704985 \h </w:instrText>
        </w:r>
        <w:r w:rsidR="00326AA2">
          <w:rPr>
            <w:noProof/>
            <w:webHidden/>
          </w:rPr>
        </w:r>
        <w:r w:rsidR="00326AA2">
          <w:rPr>
            <w:noProof/>
            <w:webHidden/>
          </w:rPr>
          <w:fldChar w:fldCharType="separate"/>
        </w:r>
        <w:r w:rsidR="00326AA2">
          <w:rPr>
            <w:noProof/>
            <w:webHidden/>
          </w:rPr>
          <w:t>25</w:t>
        </w:r>
        <w:r w:rsidR="00326AA2">
          <w:rPr>
            <w:noProof/>
            <w:webHidden/>
          </w:rPr>
          <w:fldChar w:fldCharType="end"/>
        </w:r>
      </w:hyperlink>
    </w:p>
    <w:p w14:paraId="79D13214" w14:textId="5832CE53" w:rsidR="00326AA2" w:rsidRDefault="00697328">
      <w:pPr>
        <w:pStyle w:val="TOC2"/>
        <w:rPr>
          <w:rFonts w:asciiTheme="minorHAnsi" w:eastAsiaTheme="minorEastAsia" w:hAnsiTheme="minorHAnsi"/>
          <w:noProof/>
          <w:sz w:val="22"/>
          <w:lang w:eastAsia="en-AU"/>
        </w:rPr>
      </w:pPr>
      <w:hyperlink w:anchor="_Toc157704986" w:history="1">
        <w:r w:rsidR="00326AA2" w:rsidRPr="00AB0B90">
          <w:rPr>
            <w:rStyle w:val="Hyperlink"/>
            <w:noProof/>
          </w:rPr>
          <w:t>8.5.</w:t>
        </w:r>
        <w:r w:rsidR="00326AA2">
          <w:rPr>
            <w:rFonts w:asciiTheme="minorHAnsi" w:eastAsiaTheme="minorEastAsia" w:hAnsiTheme="minorHAnsi"/>
            <w:noProof/>
            <w:sz w:val="22"/>
            <w:lang w:eastAsia="en-AU"/>
          </w:rPr>
          <w:tab/>
        </w:r>
        <w:r w:rsidR="00326AA2" w:rsidRPr="00AB0B90">
          <w:rPr>
            <w:rStyle w:val="Hyperlink"/>
            <w:noProof/>
          </w:rPr>
          <w:t>Merit List</w:t>
        </w:r>
        <w:r w:rsidR="00326AA2">
          <w:rPr>
            <w:noProof/>
            <w:webHidden/>
          </w:rPr>
          <w:tab/>
        </w:r>
        <w:r w:rsidR="00326AA2">
          <w:rPr>
            <w:noProof/>
            <w:webHidden/>
          </w:rPr>
          <w:fldChar w:fldCharType="begin"/>
        </w:r>
        <w:r w:rsidR="00326AA2">
          <w:rPr>
            <w:noProof/>
            <w:webHidden/>
          </w:rPr>
          <w:instrText xml:space="preserve"> PAGEREF _Toc157704986 \h </w:instrText>
        </w:r>
        <w:r w:rsidR="00326AA2">
          <w:rPr>
            <w:noProof/>
            <w:webHidden/>
          </w:rPr>
        </w:r>
        <w:r w:rsidR="00326AA2">
          <w:rPr>
            <w:noProof/>
            <w:webHidden/>
          </w:rPr>
          <w:fldChar w:fldCharType="separate"/>
        </w:r>
        <w:r w:rsidR="00326AA2">
          <w:rPr>
            <w:noProof/>
            <w:webHidden/>
          </w:rPr>
          <w:t>25</w:t>
        </w:r>
        <w:r w:rsidR="00326AA2">
          <w:rPr>
            <w:noProof/>
            <w:webHidden/>
          </w:rPr>
          <w:fldChar w:fldCharType="end"/>
        </w:r>
      </w:hyperlink>
    </w:p>
    <w:p w14:paraId="697B348E" w14:textId="16830883" w:rsidR="00326AA2" w:rsidRDefault="00697328">
      <w:pPr>
        <w:pStyle w:val="TOC2"/>
        <w:rPr>
          <w:rFonts w:asciiTheme="minorHAnsi" w:eastAsiaTheme="minorEastAsia" w:hAnsiTheme="minorHAnsi"/>
          <w:noProof/>
          <w:sz w:val="22"/>
          <w:lang w:eastAsia="en-AU"/>
        </w:rPr>
      </w:pPr>
      <w:hyperlink w:anchor="_Toc157704987" w:history="1">
        <w:r w:rsidR="00326AA2" w:rsidRPr="00AB0B90">
          <w:rPr>
            <w:rStyle w:val="Hyperlink"/>
            <w:noProof/>
          </w:rPr>
          <w:t>8.6.</w:t>
        </w:r>
        <w:r w:rsidR="00326AA2">
          <w:rPr>
            <w:rFonts w:asciiTheme="minorHAnsi" w:eastAsiaTheme="minorEastAsia" w:hAnsiTheme="minorHAnsi"/>
            <w:noProof/>
            <w:sz w:val="22"/>
            <w:lang w:eastAsia="en-AU"/>
          </w:rPr>
          <w:tab/>
        </w:r>
        <w:r w:rsidR="00326AA2" w:rsidRPr="00AB0B90">
          <w:rPr>
            <w:rStyle w:val="Hyperlink"/>
            <w:noProof/>
          </w:rPr>
          <w:t>Who will assess and evaluate applications?</w:t>
        </w:r>
        <w:r w:rsidR="00326AA2">
          <w:rPr>
            <w:noProof/>
            <w:webHidden/>
          </w:rPr>
          <w:tab/>
        </w:r>
        <w:r w:rsidR="00326AA2">
          <w:rPr>
            <w:noProof/>
            <w:webHidden/>
          </w:rPr>
          <w:fldChar w:fldCharType="begin"/>
        </w:r>
        <w:r w:rsidR="00326AA2">
          <w:rPr>
            <w:noProof/>
            <w:webHidden/>
          </w:rPr>
          <w:instrText xml:space="preserve"> PAGEREF _Toc157704987 \h </w:instrText>
        </w:r>
        <w:r w:rsidR="00326AA2">
          <w:rPr>
            <w:noProof/>
            <w:webHidden/>
          </w:rPr>
        </w:r>
        <w:r w:rsidR="00326AA2">
          <w:rPr>
            <w:noProof/>
            <w:webHidden/>
          </w:rPr>
          <w:fldChar w:fldCharType="separate"/>
        </w:r>
        <w:r w:rsidR="00326AA2">
          <w:rPr>
            <w:noProof/>
            <w:webHidden/>
          </w:rPr>
          <w:t>25</w:t>
        </w:r>
        <w:r w:rsidR="00326AA2">
          <w:rPr>
            <w:noProof/>
            <w:webHidden/>
          </w:rPr>
          <w:fldChar w:fldCharType="end"/>
        </w:r>
      </w:hyperlink>
    </w:p>
    <w:p w14:paraId="369C1F34" w14:textId="71AF6EA6" w:rsidR="00326AA2" w:rsidRDefault="00697328">
      <w:pPr>
        <w:pStyle w:val="TOC2"/>
        <w:rPr>
          <w:rFonts w:asciiTheme="minorHAnsi" w:eastAsiaTheme="minorEastAsia" w:hAnsiTheme="minorHAnsi"/>
          <w:noProof/>
          <w:sz w:val="22"/>
          <w:lang w:eastAsia="en-AU"/>
        </w:rPr>
      </w:pPr>
      <w:hyperlink w:anchor="_Toc157704988" w:history="1">
        <w:r w:rsidR="00326AA2" w:rsidRPr="00AB0B90">
          <w:rPr>
            <w:rStyle w:val="Hyperlink"/>
            <w:noProof/>
          </w:rPr>
          <w:t>8.7.</w:t>
        </w:r>
        <w:r w:rsidR="00326AA2">
          <w:rPr>
            <w:rFonts w:asciiTheme="minorHAnsi" w:eastAsiaTheme="minorEastAsia" w:hAnsiTheme="minorHAnsi"/>
            <w:noProof/>
            <w:sz w:val="22"/>
            <w:lang w:eastAsia="en-AU"/>
          </w:rPr>
          <w:tab/>
        </w:r>
        <w:r w:rsidR="00326AA2" w:rsidRPr="00AB0B90">
          <w:rPr>
            <w:rStyle w:val="Hyperlink"/>
            <w:noProof/>
          </w:rPr>
          <w:t>Who will approve grants?</w:t>
        </w:r>
        <w:r w:rsidR="00326AA2">
          <w:rPr>
            <w:noProof/>
            <w:webHidden/>
          </w:rPr>
          <w:tab/>
        </w:r>
        <w:r w:rsidR="00326AA2">
          <w:rPr>
            <w:noProof/>
            <w:webHidden/>
          </w:rPr>
          <w:fldChar w:fldCharType="begin"/>
        </w:r>
        <w:r w:rsidR="00326AA2">
          <w:rPr>
            <w:noProof/>
            <w:webHidden/>
          </w:rPr>
          <w:instrText xml:space="preserve"> PAGEREF _Toc157704988 \h </w:instrText>
        </w:r>
        <w:r w:rsidR="00326AA2">
          <w:rPr>
            <w:noProof/>
            <w:webHidden/>
          </w:rPr>
        </w:r>
        <w:r w:rsidR="00326AA2">
          <w:rPr>
            <w:noProof/>
            <w:webHidden/>
          </w:rPr>
          <w:fldChar w:fldCharType="separate"/>
        </w:r>
        <w:r w:rsidR="00326AA2">
          <w:rPr>
            <w:noProof/>
            <w:webHidden/>
          </w:rPr>
          <w:t>26</w:t>
        </w:r>
        <w:r w:rsidR="00326AA2">
          <w:rPr>
            <w:noProof/>
            <w:webHidden/>
          </w:rPr>
          <w:fldChar w:fldCharType="end"/>
        </w:r>
      </w:hyperlink>
    </w:p>
    <w:p w14:paraId="1E65CBC9" w14:textId="4F46CFA1" w:rsidR="00326AA2" w:rsidRDefault="00697328">
      <w:pPr>
        <w:pStyle w:val="TOC1"/>
        <w:rPr>
          <w:rFonts w:asciiTheme="minorHAnsi" w:eastAsiaTheme="minorEastAsia" w:hAnsiTheme="minorHAnsi"/>
          <w:b w:val="0"/>
          <w:noProof/>
          <w:color w:val="auto"/>
          <w:u w:val="none"/>
          <w:lang w:eastAsia="en-AU"/>
        </w:rPr>
      </w:pPr>
      <w:hyperlink w:anchor="_Toc157704989" w:history="1">
        <w:r w:rsidR="00326AA2" w:rsidRPr="00AB0B90">
          <w:rPr>
            <w:rStyle w:val="Hyperlink"/>
            <w:noProof/>
          </w:rPr>
          <w:t>9.</w:t>
        </w:r>
        <w:r w:rsidR="00326AA2">
          <w:rPr>
            <w:rFonts w:asciiTheme="minorHAnsi" w:eastAsiaTheme="minorEastAsia" w:hAnsiTheme="minorHAnsi"/>
            <w:b w:val="0"/>
            <w:noProof/>
            <w:color w:val="auto"/>
            <w:u w:val="none"/>
            <w:lang w:eastAsia="en-AU"/>
          </w:rPr>
          <w:tab/>
        </w:r>
        <w:r w:rsidR="00326AA2" w:rsidRPr="00AB0B90">
          <w:rPr>
            <w:rStyle w:val="Hyperlink"/>
            <w:noProof/>
          </w:rPr>
          <w:t>Notification of application outcomes</w:t>
        </w:r>
        <w:r w:rsidR="00326AA2">
          <w:rPr>
            <w:noProof/>
            <w:webHidden/>
          </w:rPr>
          <w:tab/>
        </w:r>
        <w:r w:rsidR="00326AA2">
          <w:rPr>
            <w:noProof/>
            <w:webHidden/>
          </w:rPr>
          <w:fldChar w:fldCharType="begin"/>
        </w:r>
        <w:r w:rsidR="00326AA2">
          <w:rPr>
            <w:noProof/>
            <w:webHidden/>
          </w:rPr>
          <w:instrText xml:space="preserve"> PAGEREF _Toc157704989 \h </w:instrText>
        </w:r>
        <w:r w:rsidR="00326AA2">
          <w:rPr>
            <w:noProof/>
            <w:webHidden/>
          </w:rPr>
        </w:r>
        <w:r w:rsidR="00326AA2">
          <w:rPr>
            <w:noProof/>
            <w:webHidden/>
          </w:rPr>
          <w:fldChar w:fldCharType="separate"/>
        </w:r>
        <w:r w:rsidR="00326AA2">
          <w:rPr>
            <w:noProof/>
            <w:webHidden/>
          </w:rPr>
          <w:t>26</w:t>
        </w:r>
        <w:r w:rsidR="00326AA2">
          <w:rPr>
            <w:noProof/>
            <w:webHidden/>
          </w:rPr>
          <w:fldChar w:fldCharType="end"/>
        </w:r>
      </w:hyperlink>
    </w:p>
    <w:p w14:paraId="424792D8" w14:textId="2F60AE5A" w:rsidR="00326AA2" w:rsidRDefault="00697328">
      <w:pPr>
        <w:pStyle w:val="TOC2"/>
        <w:rPr>
          <w:rFonts w:asciiTheme="minorHAnsi" w:eastAsiaTheme="minorEastAsia" w:hAnsiTheme="minorHAnsi"/>
          <w:noProof/>
          <w:sz w:val="22"/>
          <w:lang w:eastAsia="en-AU"/>
        </w:rPr>
      </w:pPr>
      <w:hyperlink w:anchor="_Toc157704990" w:history="1">
        <w:r w:rsidR="00326AA2" w:rsidRPr="00AB0B90">
          <w:rPr>
            <w:rStyle w:val="Hyperlink"/>
            <w:noProof/>
          </w:rPr>
          <w:t>9.1.</w:t>
        </w:r>
        <w:r w:rsidR="00326AA2">
          <w:rPr>
            <w:rFonts w:asciiTheme="minorHAnsi" w:eastAsiaTheme="minorEastAsia" w:hAnsiTheme="minorHAnsi"/>
            <w:noProof/>
            <w:sz w:val="22"/>
            <w:lang w:eastAsia="en-AU"/>
          </w:rPr>
          <w:tab/>
        </w:r>
        <w:r w:rsidR="00326AA2" w:rsidRPr="00AB0B90">
          <w:rPr>
            <w:rStyle w:val="Hyperlink"/>
            <w:noProof/>
          </w:rPr>
          <w:t>Application outcomes</w:t>
        </w:r>
        <w:r w:rsidR="00326AA2">
          <w:rPr>
            <w:noProof/>
            <w:webHidden/>
          </w:rPr>
          <w:tab/>
        </w:r>
        <w:r w:rsidR="00326AA2">
          <w:rPr>
            <w:noProof/>
            <w:webHidden/>
          </w:rPr>
          <w:fldChar w:fldCharType="begin"/>
        </w:r>
        <w:r w:rsidR="00326AA2">
          <w:rPr>
            <w:noProof/>
            <w:webHidden/>
          </w:rPr>
          <w:instrText xml:space="preserve"> PAGEREF _Toc157704990 \h </w:instrText>
        </w:r>
        <w:r w:rsidR="00326AA2">
          <w:rPr>
            <w:noProof/>
            <w:webHidden/>
          </w:rPr>
        </w:r>
        <w:r w:rsidR="00326AA2">
          <w:rPr>
            <w:noProof/>
            <w:webHidden/>
          </w:rPr>
          <w:fldChar w:fldCharType="separate"/>
        </w:r>
        <w:r w:rsidR="00326AA2">
          <w:rPr>
            <w:noProof/>
            <w:webHidden/>
          </w:rPr>
          <w:t>26</w:t>
        </w:r>
        <w:r w:rsidR="00326AA2">
          <w:rPr>
            <w:noProof/>
            <w:webHidden/>
          </w:rPr>
          <w:fldChar w:fldCharType="end"/>
        </w:r>
      </w:hyperlink>
    </w:p>
    <w:p w14:paraId="4ED9447B" w14:textId="2A953505" w:rsidR="00326AA2" w:rsidRDefault="00697328">
      <w:pPr>
        <w:pStyle w:val="TOC2"/>
        <w:rPr>
          <w:rFonts w:asciiTheme="minorHAnsi" w:eastAsiaTheme="minorEastAsia" w:hAnsiTheme="minorHAnsi"/>
          <w:noProof/>
          <w:sz w:val="22"/>
          <w:lang w:eastAsia="en-AU"/>
        </w:rPr>
      </w:pPr>
      <w:hyperlink w:anchor="_Toc157704991" w:history="1">
        <w:r w:rsidR="00326AA2" w:rsidRPr="00AB0B90">
          <w:rPr>
            <w:rStyle w:val="Hyperlink"/>
            <w:noProof/>
          </w:rPr>
          <w:t>9.2.</w:t>
        </w:r>
        <w:r w:rsidR="00326AA2">
          <w:rPr>
            <w:rFonts w:asciiTheme="minorHAnsi" w:eastAsiaTheme="minorEastAsia" w:hAnsiTheme="minorHAnsi"/>
            <w:noProof/>
            <w:sz w:val="22"/>
            <w:lang w:eastAsia="en-AU"/>
          </w:rPr>
          <w:tab/>
        </w:r>
        <w:r w:rsidR="00326AA2" w:rsidRPr="00AB0B90">
          <w:rPr>
            <w:rStyle w:val="Hyperlink"/>
            <w:noProof/>
          </w:rPr>
          <w:t>Feedback on your application</w:t>
        </w:r>
        <w:r w:rsidR="00326AA2">
          <w:rPr>
            <w:noProof/>
            <w:webHidden/>
          </w:rPr>
          <w:tab/>
        </w:r>
        <w:r w:rsidR="00326AA2">
          <w:rPr>
            <w:noProof/>
            <w:webHidden/>
          </w:rPr>
          <w:fldChar w:fldCharType="begin"/>
        </w:r>
        <w:r w:rsidR="00326AA2">
          <w:rPr>
            <w:noProof/>
            <w:webHidden/>
          </w:rPr>
          <w:instrText xml:space="preserve"> PAGEREF _Toc157704991 \h </w:instrText>
        </w:r>
        <w:r w:rsidR="00326AA2">
          <w:rPr>
            <w:noProof/>
            <w:webHidden/>
          </w:rPr>
        </w:r>
        <w:r w:rsidR="00326AA2">
          <w:rPr>
            <w:noProof/>
            <w:webHidden/>
          </w:rPr>
          <w:fldChar w:fldCharType="separate"/>
        </w:r>
        <w:r w:rsidR="00326AA2">
          <w:rPr>
            <w:noProof/>
            <w:webHidden/>
          </w:rPr>
          <w:t>26</w:t>
        </w:r>
        <w:r w:rsidR="00326AA2">
          <w:rPr>
            <w:noProof/>
            <w:webHidden/>
          </w:rPr>
          <w:fldChar w:fldCharType="end"/>
        </w:r>
      </w:hyperlink>
    </w:p>
    <w:p w14:paraId="0024FEA0" w14:textId="0EB12093" w:rsidR="00326AA2" w:rsidRDefault="00697328">
      <w:pPr>
        <w:pStyle w:val="TOC2"/>
        <w:rPr>
          <w:rFonts w:asciiTheme="minorHAnsi" w:eastAsiaTheme="minorEastAsia" w:hAnsiTheme="minorHAnsi"/>
          <w:noProof/>
          <w:sz w:val="22"/>
          <w:lang w:eastAsia="en-AU"/>
        </w:rPr>
      </w:pPr>
      <w:hyperlink w:anchor="_Toc157704992" w:history="1">
        <w:r w:rsidR="00326AA2" w:rsidRPr="00AB0B90">
          <w:rPr>
            <w:rStyle w:val="Hyperlink"/>
            <w:noProof/>
          </w:rPr>
          <w:t>9.3.</w:t>
        </w:r>
        <w:r w:rsidR="00326AA2">
          <w:rPr>
            <w:rFonts w:asciiTheme="minorHAnsi" w:eastAsiaTheme="minorEastAsia" w:hAnsiTheme="minorHAnsi"/>
            <w:noProof/>
            <w:sz w:val="22"/>
            <w:lang w:eastAsia="en-AU"/>
          </w:rPr>
          <w:tab/>
        </w:r>
        <w:r w:rsidR="00326AA2" w:rsidRPr="00AB0B90">
          <w:rPr>
            <w:rStyle w:val="Hyperlink"/>
            <w:noProof/>
          </w:rPr>
          <w:t>Further grant opportunities</w:t>
        </w:r>
        <w:r w:rsidR="00326AA2">
          <w:rPr>
            <w:noProof/>
            <w:webHidden/>
          </w:rPr>
          <w:tab/>
        </w:r>
        <w:r w:rsidR="00326AA2">
          <w:rPr>
            <w:noProof/>
            <w:webHidden/>
          </w:rPr>
          <w:fldChar w:fldCharType="begin"/>
        </w:r>
        <w:r w:rsidR="00326AA2">
          <w:rPr>
            <w:noProof/>
            <w:webHidden/>
          </w:rPr>
          <w:instrText xml:space="preserve"> PAGEREF _Toc157704992 \h </w:instrText>
        </w:r>
        <w:r w:rsidR="00326AA2">
          <w:rPr>
            <w:noProof/>
            <w:webHidden/>
          </w:rPr>
        </w:r>
        <w:r w:rsidR="00326AA2">
          <w:rPr>
            <w:noProof/>
            <w:webHidden/>
          </w:rPr>
          <w:fldChar w:fldCharType="separate"/>
        </w:r>
        <w:r w:rsidR="00326AA2">
          <w:rPr>
            <w:noProof/>
            <w:webHidden/>
          </w:rPr>
          <w:t>26</w:t>
        </w:r>
        <w:r w:rsidR="00326AA2">
          <w:rPr>
            <w:noProof/>
            <w:webHidden/>
          </w:rPr>
          <w:fldChar w:fldCharType="end"/>
        </w:r>
      </w:hyperlink>
    </w:p>
    <w:p w14:paraId="2648EEBB" w14:textId="436FEEF6" w:rsidR="00326AA2" w:rsidRDefault="00697328">
      <w:pPr>
        <w:pStyle w:val="TOC1"/>
        <w:rPr>
          <w:rFonts w:asciiTheme="minorHAnsi" w:eastAsiaTheme="minorEastAsia" w:hAnsiTheme="minorHAnsi"/>
          <w:b w:val="0"/>
          <w:noProof/>
          <w:color w:val="auto"/>
          <w:u w:val="none"/>
          <w:lang w:eastAsia="en-AU"/>
        </w:rPr>
      </w:pPr>
      <w:hyperlink w:anchor="_Toc157704993" w:history="1">
        <w:r w:rsidR="00326AA2" w:rsidRPr="00AB0B90">
          <w:rPr>
            <w:rStyle w:val="Hyperlink"/>
            <w:noProof/>
          </w:rPr>
          <w:t>10.</w:t>
        </w:r>
        <w:r w:rsidR="00326AA2">
          <w:rPr>
            <w:rFonts w:asciiTheme="minorHAnsi" w:eastAsiaTheme="minorEastAsia" w:hAnsiTheme="minorHAnsi"/>
            <w:b w:val="0"/>
            <w:noProof/>
            <w:color w:val="auto"/>
            <w:u w:val="none"/>
            <w:lang w:eastAsia="en-AU"/>
          </w:rPr>
          <w:tab/>
        </w:r>
        <w:r w:rsidR="00326AA2" w:rsidRPr="00AB0B90">
          <w:rPr>
            <w:rStyle w:val="Hyperlink"/>
            <w:noProof/>
          </w:rPr>
          <w:t>Successful grant applications</w:t>
        </w:r>
        <w:r w:rsidR="00326AA2">
          <w:rPr>
            <w:noProof/>
            <w:webHidden/>
          </w:rPr>
          <w:tab/>
        </w:r>
        <w:r w:rsidR="00326AA2">
          <w:rPr>
            <w:noProof/>
            <w:webHidden/>
          </w:rPr>
          <w:fldChar w:fldCharType="begin"/>
        </w:r>
        <w:r w:rsidR="00326AA2">
          <w:rPr>
            <w:noProof/>
            <w:webHidden/>
          </w:rPr>
          <w:instrText xml:space="preserve"> PAGEREF _Toc157704993 \h </w:instrText>
        </w:r>
        <w:r w:rsidR="00326AA2">
          <w:rPr>
            <w:noProof/>
            <w:webHidden/>
          </w:rPr>
        </w:r>
        <w:r w:rsidR="00326AA2">
          <w:rPr>
            <w:noProof/>
            <w:webHidden/>
          </w:rPr>
          <w:fldChar w:fldCharType="separate"/>
        </w:r>
        <w:r w:rsidR="00326AA2">
          <w:rPr>
            <w:noProof/>
            <w:webHidden/>
          </w:rPr>
          <w:t>26</w:t>
        </w:r>
        <w:r w:rsidR="00326AA2">
          <w:rPr>
            <w:noProof/>
            <w:webHidden/>
          </w:rPr>
          <w:fldChar w:fldCharType="end"/>
        </w:r>
      </w:hyperlink>
    </w:p>
    <w:p w14:paraId="56FB5506" w14:textId="502CB6D5" w:rsidR="00326AA2" w:rsidRDefault="00697328">
      <w:pPr>
        <w:pStyle w:val="TOC2"/>
        <w:rPr>
          <w:rFonts w:asciiTheme="minorHAnsi" w:eastAsiaTheme="minorEastAsia" w:hAnsiTheme="minorHAnsi"/>
          <w:noProof/>
          <w:sz w:val="22"/>
          <w:lang w:eastAsia="en-AU"/>
        </w:rPr>
      </w:pPr>
      <w:hyperlink w:anchor="_Toc157704994" w:history="1">
        <w:r w:rsidR="00326AA2" w:rsidRPr="00AB0B90">
          <w:rPr>
            <w:rStyle w:val="Hyperlink"/>
            <w:noProof/>
          </w:rPr>
          <w:t>10.1.</w:t>
        </w:r>
        <w:r w:rsidR="00326AA2">
          <w:rPr>
            <w:rFonts w:asciiTheme="minorHAnsi" w:eastAsiaTheme="minorEastAsia" w:hAnsiTheme="minorHAnsi"/>
            <w:noProof/>
            <w:sz w:val="22"/>
            <w:lang w:eastAsia="en-AU"/>
          </w:rPr>
          <w:tab/>
        </w:r>
        <w:r w:rsidR="00326AA2" w:rsidRPr="00AB0B90">
          <w:rPr>
            <w:rStyle w:val="Hyperlink"/>
            <w:noProof/>
          </w:rPr>
          <w:t>The grant agreement</w:t>
        </w:r>
        <w:r w:rsidR="00326AA2">
          <w:rPr>
            <w:noProof/>
            <w:webHidden/>
          </w:rPr>
          <w:tab/>
        </w:r>
        <w:r w:rsidR="00326AA2">
          <w:rPr>
            <w:noProof/>
            <w:webHidden/>
          </w:rPr>
          <w:fldChar w:fldCharType="begin"/>
        </w:r>
        <w:r w:rsidR="00326AA2">
          <w:rPr>
            <w:noProof/>
            <w:webHidden/>
          </w:rPr>
          <w:instrText xml:space="preserve"> PAGEREF _Toc157704994 \h </w:instrText>
        </w:r>
        <w:r w:rsidR="00326AA2">
          <w:rPr>
            <w:noProof/>
            <w:webHidden/>
          </w:rPr>
        </w:r>
        <w:r w:rsidR="00326AA2">
          <w:rPr>
            <w:noProof/>
            <w:webHidden/>
          </w:rPr>
          <w:fldChar w:fldCharType="separate"/>
        </w:r>
        <w:r w:rsidR="00326AA2">
          <w:rPr>
            <w:noProof/>
            <w:webHidden/>
          </w:rPr>
          <w:t>26</w:t>
        </w:r>
        <w:r w:rsidR="00326AA2">
          <w:rPr>
            <w:noProof/>
            <w:webHidden/>
          </w:rPr>
          <w:fldChar w:fldCharType="end"/>
        </w:r>
      </w:hyperlink>
    </w:p>
    <w:p w14:paraId="02F9AE49" w14:textId="4BF137FF" w:rsidR="00326AA2" w:rsidRDefault="00697328">
      <w:pPr>
        <w:pStyle w:val="TOC2"/>
        <w:rPr>
          <w:rFonts w:asciiTheme="minorHAnsi" w:eastAsiaTheme="minorEastAsia" w:hAnsiTheme="minorHAnsi"/>
          <w:noProof/>
          <w:sz w:val="22"/>
          <w:lang w:eastAsia="en-AU"/>
        </w:rPr>
      </w:pPr>
      <w:hyperlink w:anchor="_Toc157704995" w:history="1">
        <w:r w:rsidR="00326AA2" w:rsidRPr="00AB0B90">
          <w:rPr>
            <w:rStyle w:val="Hyperlink"/>
            <w:noProof/>
          </w:rPr>
          <w:t>10.2.</w:t>
        </w:r>
        <w:r w:rsidR="00326AA2">
          <w:rPr>
            <w:rFonts w:asciiTheme="minorHAnsi" w:eastAsiaTheme="minorEastAsia" w:hAnsiTheme="minorHAnsi"/>
            <w:noProof/>
            <w:sz w:val="22"/>
            <w:lang w:eastAsia="en-AU"/>
          </w:rPr>
          <w:tab/>
        </w:r>
        <w:r w:rsidR="00326AA2" w:rsidRPr="00AB0B90">
          <w:rPr>
            <w:rStyle w:val="Hyperlink"/>
            <w:noProof/>
          </w:rPr>
          <w:t>Termination, variation or amendment</w:t>
        </w:r>
        <w:r w:rsidR="00326AA2">
          <w:rPr>
            <w:noProof/>
            <w:webHidden/>
          </w:rPr>
          <w:tab/>
        </w:r>
        <w:r w:rsidR="00326AA2">
          <w:rPr>
            <w:noProof/>
            <w:webHidden/>
          </w:rPr>
          <w:fldChar w:fldCharType="begin"/>
        </w:r>
        <w:r w:rsidR="00326AA2">
          <w:rPr>
            <w:noProof/>
            <w:webHidden/>
          </w:rPr>
          <w:instrText xml:space="preserve"> PAGEREF _Toc157704995 \h </w:instrText>
        </w:r>
        <w:r w:rsidR="00326AA2">
          <w:rPr>
            <w:noProof/>
            <w:webHidden/>
          </w:rPr>
        </w:r>
        <w:r w:rsidR="00326AA2">
          <w:rPr>
            <w:noProof/>
            <w:webHidden/>
          </w:rPr>
          <w:fldChar w:fldCharType="separate"/>
        </w:r>
        <w:r w:rsidR="00326AA2">
          <w:rPr>
            <w:noProof/>
            <w:webHidden/>
          </w:rPr>
          <w:t>26</w:t>
        </w:r>
        <w:r w:rsidR="00326AA2">
          <w:rPr>
            <w:noProof/>
            <w:webHidden/>
          </w:rPr>
          <w:fldChar w:fldCharType="end"/>
        </w:r>
      </w:hyperlink>
    </w:p>
    <w:p w14:paraId="3F9FD799" w14:textId="258AFD14" w:rsidR="00326AA2" w:rsidRDefault="00697328">
      <w:pPr>
        <w:pStyle w:val="TOC1"/>
        <w:rPr>
          <w:rFonts w:asciiTheme="minorHAnsi" w:eastAsiaTheme="minorEastAsia" w:hAnsiTheme="minorHAnsi"/>
          <w:b w:val="0"/>
          <w:noProof/>
          <w:color w:val="auto"/>
          <w:u w:val="none"/>
          <w:lang w:eastAsia="en-AU"/>
        </w:rPr>
      </w:pPr>
      <w:hyperlink w:anchor="_Toc157704996" w:history="1">
        <w:r w:rsidR="00326AA2" w:rsidRPr="00AB0B90">
          <w:rPr>
            <w:rStyle w:val="Hyperlink"/>
            <w:noProof/>
          </w:rPr>
          <w:t>11.</w:t>
        </w:r>
        <w:r w:rsidR="00326AA2">
          <w:rPr>
            <w:rFonts w:asciiTheme="minorHAnsi" w:eastAsiaTheme="minorEastAsia" w:hAnsiTheme="minorHAnsi"/>
            <w:b w:val="0"/>
            <w:noProof/>
            <w:color w:val="auto"/>
            <w:u w:val="none"/>
            <w:lang w:eastAsia="en-AU"/>
          </w:rPr>
          <w:tab/>
        </w:r>
        <w:r w:rsidR="00326AA2" w:rsidRPr="00AB0B90">
          <w:rPr>
            <w:rStyle w:val="Hyperlink"/>
            <w:noProof/>
          </w:rPr>
          <w:t>Announcement of grants</w:t>
        </w:r>
        <w:r w:rsidR="00326AA2">
          <w:rPr>
            <w:noProof/>
            <w:webHidden/>
          </w:rPr>
          <w:tab/>
        </w:r>
        <w:r w:rsidR="00326AA2">
          <w:rPr>
            <w:noProof/>
            <w:webHidden/>
          </w:rPr>
          <w:fldChar w:fldCharType="begin"/>
        </w:r>
        <w:r w:rsidR="00326AA2">
          <w:rPr>
            <w:noProof/>
            <w:webHidden/>
          </w:rPr>
          <w:instrText xml:space="preserve"> PAGEREF _Toc157704996 \h </w:instrText>
        </w:r>
        <w:r w:rsidR="00326AA2">
          <w:rPr>
            <w:noProof/>
            <w:webHidden/>
          </w:rPr>
        </w:r>
        <w:r w:rsidR="00326AA2">
          <w:rPr>
            <w:noProof/>
            <w:webHidden/>
          </w:rPr>
          <w:fldChar w:fldCharType="separate"/>
        </w:r>
        <w:r w:rsidR="00326AA2">
          <w:rPr>
            <w:noProof/>
            <w:webHidden/>
          </w:rPr>
          <w:t>27</w:t>
        </w:r>
        <w:r w:rsidR="00326AA2">
          <w:rPr>
            <w:noProof/>
            <w:webHidden/>
          </w:rPr>
          <w:fldChar w:fldCharType="end"/>
        </w:r>
      </w:hyperlink>
    </w:p>
    <w:p w14:paraId="721EE172" w14:textId="2F72D69D" w:rsidR="00326AA2" w:rsidRDefault="00697328">
      <w:pPr>
        <w:pStyle w:val="TOC1"/>
        <w:rPr>
          <w:rFonts w:asciiTheme="minorHAnsi" w:eastAsiaTheme="minorEastAsia" w:hAnsiTheme="minorHAnsi"/>
          <w:b w:val="0"/>
          <w:noProof/>
          <w:color w:val="auto"/>
          <w:u w:val="none"/>
          <w:lang w:eastAsia="en-AU"/>
        </w:rPr>
      </w:pPr>
      <w:hyperlink w:anchor="_Toc157704997" w:history="1">
        <w:r w:rsidR="00326AA2" w:rsidRPr="00AB0B90">
          <w:rPr>
            <w:rStyle w:val="Hyperlink"/>
            <w:noProof/>
          </w:rPr>
          <w:t>12.</w:t>
        </w:r>
        <w:r w:rsidR="00326AA2">
          <w:rPr>
            <w:rFonts w:asciiTheme="minorHAnsi" w:eastAsiaTheme="minorEastAsia" w:hAnsiTheme="minorHAnsi"/>
            <w:b w:val="0"/>
            <w:noProof/>
            <w:color w:val="auto"/>
            <w:u w:val="none"/>
            <w:lang w:eastAsia="en-AU"/>
          </w:rPr>
          <w:tab/>
        </w:r>
        <w:r w:rsidR="00326AA2" w:rsidRPr="00AB0B90">
          <w:rPr>
            <w:rStyle w:val="Hyperlink"/>
            <w:noProof/>
          </w:rPr>
          <w:t>How we monitor your grant activity</w:t>
        </w:r>
        <w:r w:rsidR="00326AA2">
          <w:rPr>
            <w:noProof/>
            <w:webHidden/>
          </w:rPr>
          <w:tab/>
        </w:r>
        <w:r w:rsidR="00326AA2">
          <w:rPr>
            <w:noProof/>
            <w:webHidden/>
          </w:rPr>
          <w:fldChar w:fldCharType="begin"/>
        </w:r>
        <w:r w:rsidR="00326AA2">
          <w:rPr>
            <w:noProof/>
            <w:webHidden/>
          </w:rPr>
          <w:instrText xml:space="preserve"> PAGEREF _Toc157704997 \h </w:instrText>
        </w:r>
        <w:r w:rsidR="00326AA2">
          <w:rPr>
            <w:noProof/>
            <w:webHidden/>
          </w:rPr>
        </w:r>
        <w:r w:rsidR="00326AA2">
          <w:rPr>
            <w:noProof/>
            <w:webHidden/>
          </w:rPr>
          <w:fldChar w:fldCharType="separate"/>
        </w:r>
        <w:r w:rsidR="00326AA2">
          <w:rPr>
            <w:noProof/>
            <w:webHidden/>
          </w:rPr>
          <w:t>27</w:t>
        </w:r>
        <w:r w:rsidR="00326AA2">
          <w:rPr>
            <w:noProof/>
            <w:webHidden/>
          </w:rPr>
          <w:fldChar w:fldCharType="end"/>
        </w:r>
      </w:hyperlink>
    </w:p>
    <w:p w14:paraId="25BBD398" w14:textId="1FE592A2" w:rsidR="00326AA2" w:rsidRDefault="00697328">
      <w:pPr>
        <w:pStyle w:val="TOC2"/>
        <w:rPr>
          <w:rFonts w:asciiTheme="minorHAnsi" w:eastAsiaTheme="minorEastAsia" w:hAnsiTheme="minorHAnsi"/>
          <w:noProof/>
          <w:sz w:val="22"/>
          <w:lang w:eastAsia="en-AU"/>
        </w:rPr>
      </w:pPr>
      <w:hyperlink w:anchor="_Toc157704998" w:history="1">
        <w:r w:rsidR="00326AA2" w:rsidRPr="00AB0B90">
          <w:rPr>
            <w:rStyle w:val="Hyperlink"/>
            <w:noProof/>
          </w:rPr>
          <w:t>12.1.</w:t>
        </w:r>
        <w:r w:rsidR="00326AA2">
          <w:rPr>
            <w:rFonts w:asciiTheme="minorHAnsi" w:eastAsiaTheme="minorEastAsia" w:hAnsiTheme="minorHAnsi"/>
            <w:noProof/>
            <w:sz w:val="22"/>
            <w:lang w:eastAsia="en-AU"/>
          </w:rPr>
          <w:tab/>
        </w:r>
        <w:r w:rsidR="00326AA2" w:rsidRPr="00AB0B90">
          <w:rPr>
            <w:rStyle w:val="Hyperlink"/>
            <w:noProof/>
          </w:rPr>
          <w:t>The Grantee’s responsibilities</w:t>
        </w:r>
        <w:r w:rsidR="00326AA2">
          <w:rPr>
            <w:noProof/>
            <w:webHidden/>
          </w:rPr>
          <w:tab/>
        </w:r>
        <w:r w:rsidR="00326AA2">
          <w:rPr>
            <w:noProof/>
            <w:webHidden/>
          </w:rPr>
          <w:fldChar w:fldCharType="begin"/>
        </w:r>
        <w:r w:rsidR="00326AA2">
          <w:rPr>
            <w:noProof/>
            <w:webHidden/>
          </w:rPr>
          <w:instrText xml:space="preserve"> PAGEREF _Toc157704998 \h </w:instrText>
        </w:r>
        <w:r w:rsidR="00326AA2">
          <w:rPr>
            <w:noProof/>
            <w:webHidden/>
          </w:rPr>
        </w:r>
        <w:r w:rsidR="00326AA2">
          <w:rPr>
            <w:noProof/>
            <w:webHidden/>
          </w:rPr>
          <w:fldChar w:fldCharType="separate"/>
        </w:r>
        <w:r w:rsidR="00326AA2">
          <w:rPr>
            <w:noProof/>
            <w:webHidden/>
          </w:rPr>
          <w:t>27</w:t>
        </w:r>
        <w:r w:rsidR="00326AA2">
          <w:rPr>
            <w:noProof/>
            <w:webHidden/>
          </w:rPr>
          <w:fldChar w:fldCharType="end"/>
        </w:r>
      </w:hyperlink>
    </w:p>
    <w:p w14:paraId="31B12764" w14:textId="1A25D462" w:rsidR="00326AA2" w:rsidRDefault="00697328">
      <w:pPr>
        <w:pStyle w:val="TOC2"/>
        <w:rPr>
          <w:rFonts w:asciiTheme="minorHAnsi" w:eastAsiaTheme="minorEastAsia" w:hAnsiTheme="minorHAnsi"/>
          <w:noProof/>
          <w:sz w:val="22"/>
          <w:lang w:eastAsia="en-AU"/>
        </w:rPr>
      </w:pPr>
      <w:hyperlink w:anchor="_Toc157704999" w:history="1">
        <w:r w:rsidR="00326AA2" w:rsidRPr="00AB0B90">
          <w:rPr>
            <w:rStyle w:val="Hyperlink"/>
            <w:noProof/>
          </w:rPr>
          <w:t>12.2.</w:t>
        </w:r>
        <w:r w:rsidR="00326AA2">
          <w:rPr>
            <w:rFonts w:asciiTheme="minorHAnsi" w:eastAsiaTheme="minorEastAsia" w:hAnsiTheme="minorHAnsi"/>
            <w:noProof/>
            <w:sz w:val="22"/>
            <w:lang w:eastAsia="en-AU"/>
          </w:rPr>
          <w:tab/>
        </w:r>
        <w:r w:rsidR="00326AA2" w:rsidRPr="00AB0B90">
          <w:rPr>
            <w:rStyle w:val="Hyperlink"/>
            <w:noProof/>
          </w:rPr>
          <w:t>The department’s responsibilities</w:t>
        </w:r>
        <w:r w:rsidR="00326AA2">
          <w:rPr>
            <w:noProof/>
            <w:webHidden/>
          </w:rPr>
          <w:tab/>
        </w:r>
        <w:r w:rsidR="00326AA2">
          <w:rPr>
            <w:noProof/>
            <w:webHidden/>
          </w:rPr>
          <w:fldChar w:fldCharType="begin"/>
        </w:r>
        <w:r w:rsidR="00326AA2">
          <w:rPr>
            <w:noProof/>
            <w:webHidden/>
          </w:rPr>
          <w:instrText xml:space="preserve"> PAGEREF _Toc157704999 \h </w:instrText>
        </w:r>
        <w:r w:rsidR="00326AA2">
          <w:rPr>
            <w:noProof/>
            <w:webHidden/>
          </w:rPr>
        </w:r>
        <w:r w:rsidR="00326AA2">
          <w:rPr>
            <w:noProof/>
            <w:webHidden/>
          </w:rPr>
          <w:fldChar w:fldCharType="separate"/>
        </w:r>
        <w:r w:rsidR="00326AA2">
          <w:rPr>
            <w:noProof/>
            <w:webHidden/>
          </w:rPr>
          <w:t>28</w:t>
        </w:r>
        <w:r w:rsidR="00326AA2">
          <w:rPr>
            <w:noProof/>
            <w:webHidden/>
          </w:rPr>
          <w:fldChar w:fldCharType="end"/>
        </w:r>
      </w:hyperlink>
    </w:p>
    <w:p w14:paraId="7440F181" w14:textId="76DBCF0D" w:rsidR="00326AA2" w:rsidRDefault="00697328">
      <w:pPr>
        <w:pStyle w:val="TOC2"/>
        <w:rPr>
          <w:rFonts w:asciiTheme="minorHAnsi" w:eastAsiaTheme="minorEastAsia" w:hAnsiTheme="minorHAnsi"/>
          <w:noProof/>
          <w:sz w:val="22"/>
          <w:lang w:eastAsia="en-AU"/>
        </w:rPr>
      </w:pPr>
      <w:hyperlink w:anchor="_Toc157705000" w:history="1">
        <w:r w:rsidR="00326AA2" w:rsidRPr="00AB0B90">
          <w:rPr>
            <w:rStyle w:val="Hyperlink"/>
            <w:noProof/>
          </w:rPr>
          <w:t>12.3.</w:t>
        </w:r>
        <w:r w:rsidR="00326AA2">
          <w:rPr>
            <w:rFonts w:asciiTheme="minorHAnsi" w:eastAsiaTheme="minorEastAsia" w:hAnsiTheme="minorHAnsi"/>
            <w:noProof/>
            <w:sz w:val="22"/>
            <w:lang w:eastAsia="en-AU"/>
          </w:rPr>
          <w:tab/>
        </w:r>
        <w:r w:rsidR="00326AA2" w:rsidRPr="00AB0B90">
          <w:rPr>
            <w:rStyle w:val="Hyperlink"/>
            <w:noProof/>
          </w:rPr>
          <w:t>Grant payments and GST</w:t>
        </w:r>
        <w:r w:rsidR="00326AA2">
          <w:rPr>
            <w:noProof/>
            <w:webHidden/>
          </w:rPr>
          <w:tab/>
        </w:r>
        <w:r w:rsidR="00326AA2">
          <w:rPr>
            <w:noProof/>
            <w:webHidden/>
          </w:rPr>
          <w:fldChar w:fldCharType="begin"/>
        </w:r>
        <w:r w:rsidR="00326AA2">
          <w:rPr>
            <w:noProof/>
            <w:webHidden/>
          </w:rPr>
          <w:instrText xml:space="preserve"> PAGEREF _Toc157705000 \h </w:instrText>
        </w:r>
        <w:r w:rsidR="00326AA2">
          <w:rPr>
            <w:noProof/>
            <w:webHidden/>
          </w:rPr>
        </w:r>
        <w:r w:rsidR="00326AA2">
          <w:rPr>
            <w:noProof/>
            <w:webHidden/>
          </w:rPr>
          <w:fldChar w:fldCharType="separate"/>
        </w:r>
        <w:r w:rsidR="00326AA2">
          <w:rPr>
            <w:noProof/>
            <w:webHidden/>
          </w:rPr>
          <w:t>28</w:t>
        </w:r>
        <w:r w:rsidR="00326AA2">
          <w:rPr>
            <w:noProof/>
            <w:webHidden/>
          </w:rPr>
          <w:fldChar w:fldCharType="end"/>
        </w:r>
      </w:hyperlink>
    </w:p>
    <w:p w14:paraId="7A7DDB52" w14:textId="426ECB93" w:rsidR="00326AA2" w:rsidRDefault="00697328">
      <w:pPr>
        <w:pStyle w:val="TOC2"/>
        <w:rPr>
          <w:rFonts w:asciiTheme="minorHAnsi" w:eastAsiaTheme="minorEastAsia" w:hAnsiTheme="minorHAnsi"/>
          <w:noProof/>
          <w:sz w:val="22"/>
          <w:lang w:eastAsia="en-AU"/>
        </w:rPr>
      </w:pPr>
      <w:hyperlink w:anchor="_Toc157705001" w:history="1">
        <w:r w:rsidR="00326AA2" w:rsidRPr="00AB0B90">
          <w:rPr>
            <w:rStyle w:val="Hyperlink"/>
            <w:noProof/>
          </w:rPr>
          <w:t>12.4.</w:t>
        </w:r>
        <w:r w:rsidR="00326AA2">
          <w:rPr>
            <w:rFonts w:asciiTheme="minorHAnsi" w:eastAsiaTheme="minorEastAsia" w:hAnsiTheme="minorHAnsi"/>
            <w:noProof/>
            <w:sz w:val="22"/>
            <w:lang w:eastAsia="en-AU"/>
          </w:rPr>
          <w:tab/>
        </w:r>
        <w:r w:rsidR="00326AA2" w:rsidRPr="00AB0B90">
          <w:rPr>
            <w:rStyle w:val="Hyperlink"/>
            <w:noProof/>
          </w:rPr>
          <w:t>Evaluation</w:t>
        </w:r>
        <w:r w:rsidR="00326AA2">
          <w:rPr>
            <w:noProof/>
            <w:webHidden/>
          </w:rPr>
          <w:tab/>
        </w:r>
        <w:r w:rsidR="00326AA2">
          <w:rPr>
            <w:noProof/>
            <w:webHidden/>
          </w:rPr>
          <w:fldChar w:fldCharType="begin"/>
        </w:r>
        <w:r w:rsidR="00326AA2">
          <w:rPr>
            <w:noProof/>
            <w:webHidden/>
          </w:rPr>
          <w:instrText xml:space="preserve"> PAGEREF _Toc157705001 \h </w:instrText>
        </w:r>
        <w:r w:rsidR="00326AA2">
          <w:rPr>
            <w:noProof/>
            <w:webHidden/>
          </w:rPr>
        </w:r>
        <w:r w:rsidR="00326AA2">
          <w:rPr>
            <w:noProof/>
            <w:webHidden/>
          </w:rPr>
          <w:fldChar w:fldCharType="separate"/>
        </w:r>
        <w:r w:rsidR="00326AA2">
          <w:rPr>
            <w:noProof/>
            <w:webHidden/>
          </w:rPr>
          <w:t>28</w:t>
        </w:r>
        <w:r w:rsidR="00326AA2">
          <w:rPr>
            <w:noProof/>
            <w:webHidden/>
          </w:rPr>
          <w:fldChar w:fldCharType="end"/>
        </w:r>
      </w:hyperlink>
    </w:p>
    <w:p w14:paraId="4953C390" w14:textId="0C9AFE24" w:rsidR="00326AA2" w:rsidRDefault="00697328">
      <w:pPr>
        <w:pStyle w:val="TOC1"/>
        <w:rPr>
          <w:rFonts w:asciiTheme="minorHAnsi" w:eastAsiaTheme="minorEastAsia" w:hAnsiTheme="minorHAnsi"/>
          <w:b w:val="0"/>
          <w:noProof/>
          <w:color w:val="auto"/>
          <w:u w:val="none"/>
          <w:lang w:eastAsia="en-AU"/>
        </w:rPr>
      </w:pPr>
      <w:hyperlink w:anchor="_Toc157705002" w:history="1">
        <w:r w:rsidR="00326AA2" w:rsidRPr="00AB0B90">
          <w:rPr>
            <w:rStyle w:val="Hyperlink"/>
            <w:noProof/>
          </w:rPr>
          <w:t>13.</w:t>
        </w:r>
        <w:r w:rsidR="00326AA2">
          <w:rPr>
            <w:rFonts w:asciiTheme="minorHAnsi" w:eastAsiaTheme="minorEastAsia" w:hAnsiTheme="minorHAnsi"/>
            <w:b w:val="0"/>
            <w:noProof/>
            <w:color w:val="auto"/>
            <w:u w:val="none"/>
            <w:lang w:eastAsia="en-AU"/>
          </w:rPr>
          <w:tab/>
        </w:r>
        <w:r w:rsidR="00326AA2" w:rsidRPr="00AB0B90">
          <w:rPr>
            <w:rStyle w:val="Hyperlink"/>
            <w:noProof/>
          </w:rPr>
          <w:t>Probity</w:t>
        </w:r>
        <w:r w:rsidR="00326AA2">
          <w:rPr>
            <w:noProof/>
            <w:webHidden/>
          </w:rPr>
          <w:tab/>
        </w:r>
        <w:r w:rsidR="00326AA2">
          <w:rPr>
            <w:noProof/>
            <w:webHidden/>
          </w:rPr>
          <w:fldChar w:fldCharType="begin"/>
        </w:r>
        <w:r w:rsidR="00326AA2">
          <w:rPr>
            <w:noProof/>
            <w:webHidden/>
          </w:rPr>
          <w:instrText xml:space="preserve"> PAGEREF _Toc157705002 \h </w:instrText>
        </w:r>
        <w:r w:rsidR="00326AA2">
          <w:rPr>
            <w:noProof/>
            <w:webHidden/>
          </w:rPr>
        </w:r>
        <w:r w:rsidR="00326AA2">
          <w:rPr>
            <w:noProof/>
            <w:webHidden/>
          </w:rPr>
          <w:fldChar w:fldCharType="separate"/>
        </w:r>
        <w:r w:rsidR="00326AA2">
          <w:rPr>
            <w:noProof/>
            <w:webHidden/>
          </w:rPr>
          <w:t>28</w:t>
        </w:r>
        <w:r w:rsidR="00326AA2">
          <w:rPr>
            <w:noProof/>
            <w:webHidden/>
          </w:rPr>
          <w:fldChar w:fldCharType="end"/>
        </w:r>
      </w:hyperlink>
    </w:p>
    <w:p w14:paraId="2D823F02" w14:textId="2F4BAA5C" w:rsidR="00326AA2" w:rsidRDefault="00697328">
      <w:pPr>
        <w:pStyle w:val="TOC2"/>
        <w:rPr>
          <w:rFonts w:asciiTheme="minorHAnsi" w:eastAsiaTheme="minorEastAsia" w:hAnsiTheme="minorHAnsi"/>
          <w:noProof/>
          <w:sz w:val="22"/>
          <w:lang w:eastAsia="en-AU"/>
        </w:rPr>
      </w:pPr>
      <w:hyperlink w:anchor="_Toc157705003" w:history="1">
        <w:r w:rsidR="00326AA2" w:rsidRPr="00AB0B90">
          <w:rPr>
            <w:rStyle w:val="Hyperlink"/>
            <w:noProof/>
          </w:rPr>
          <w:t>13.1.</w:t>
        </w:r>
        <w:r w:rsidR="00326AA2">
          <w:rPr>
            <w:rFonts w:asciiTheme="minorHAnsi" w:eastAsiaTheme="minorEastAsia" w:hAnsiTheme="minorHAnsi"/>
            <w:noProof/>
            <w:sz w:val="22"/>
            <w:lang w:eastAsia="en-AU"/>
          </w:rPr>
          <w:tab/>
        </w:r>
        <w:r w:rsidR="00326AA2" w:rsidRPr="00AB0B90">
          <w:rPr>
            <w:rStyle w:val="Hyperlink"/>
            <w:noProof/>
          </w:rPr>
          <w:t>Accountability and probity</w:t>
        </w:r>
        <w:r w:rsidR="00326AA2">
          <w:rPr>
            <w:noProof/>
            <w:webHidden/>
          </w:rPr>
          <w:tab/>
        </w:r>
        <w:r w:rsidR="00326AA2">
          <w:rPr>
            <w:noProof/>
            <w:webHidden/>
          </w:rPr>
          <w:fldChar w:fldCharType="begin"/>
        </w:r>
        <w:r w:rsidR="00326AA2">
          <w:rPr>
            <w:noProof/>
            <w:webHidden/>
          </w:rPr>
          <w:instrText xml:space="preserve"> PAGEREF _Toc157705003 \h </w:instrText>
        </w:r>
        <w:r w:rsidR="00326AA2">
          <w:rPr>
            <w:noProof/>
            <w:webHidden/>
          </w:rPr>
        </w:r>
        <w:r w:rsidR="00326AA2">
          <w:rPr>
            <w:noProof/>
            <w:webHidden/>
          </w:rPr>
          <w:fldChar w:fldCharType="separate"/>
        </w:r>
        <w:r w:rsidR="00326AA2">
          <w:rPr>
            <w:noProof/>
            <w:webHidden/>
          </w:rPr>
          <w:t>28</w:t>
        </w:r>
        <w:r w:rsidR="00326AA2">
          <w:rPr>
            <w:noProof/>
            <w:webHidden/>
          </w:rPr>
          <w:fldChar w:fldCharType="end"/>
        </w:r>
      </w:hyperlink>
    </w:p>
    <w:p w14:paraId="78B80571" w14:textId="3D58D2BC" w:rsidR="00326AA2" w:rsidRDefault="00697328">
      <w:pPr>
        <w:pStyle w:val="TOC2"/>
        <w:rPr>
          <w:rFonts w:asciiTheme="minorHAnsi" w:eastAsiaTheme="minorEastAsia" w:hAnsiTheme="minorHAnsi"/>
          <w:noProof/>
          <w:sz w:val="22"/>
          <w:lang w:eastAsia="en-AU"/>
        </w:rPr>
      </w:pPr>
      <w:hyperlink w:anchor="_Toc157705004" w:history="1">
        <w:r w:rsidR="00326AA2" w:rsidRPr="00AB0B90">
          <w:rPr>
            <w:rStyle w:val="Hyperlink"/>
            <w:noProof/>
          </w:rPr>
          <w:t>13.2.</w:t>
        </w:r>
        <w:r w:rsidR="00326AA2">
          <w:rPr>
            <w:rFonts w:asciiTheme="minorHAnsi" w:eastAsiaTheme="minorEastAsia" w:hAnsiTheme="minorHAnsi"/>
            <w:noProof/>
            <w:sz w:val="22"/>
            <w:lang w:eastAsia="en-AU"/>
          </w:rPr>
          <w:tab/>
        </w:r>
        <w:r w:rsidR="00326AA2" w:rsidRPr="00AB0B90">
          <w:rPr>
            <w:rStyle w:val="Hyperlink"/>
            <w:noProof/>
          </w:rPr>
          <w:t>Enquiries and feedback</w:t>
        </w:r>
        <w:r w:rsidR="00326AA2">
          <w:rPr>
            <w:noProof/>
            <w:webHidden/>
          </w:rPr>
          <w:tab/>
        </w:r>
        <w:r w:rsidR="00326AA2">
          <w:rPr>
            <w:noProof/>
            <w:webHidden/>
          </w:rPr>
          <w:fldChar w:fldCharType="begin"/>
        </w:r>
        <w:r w:rsidR="00326AA2">
          <w:rPr>
            <w:noProof/>
            <w:webHidden/>
          </w:rPr>
          <w:instrText xml:space="preserve"> PAGEREF _Toc157705004 \h </w:instrText>
        </w:r>
        <w:r w:rsidR="00326AA2">
          <w:rPr>
            <w:noProof/>
            <w:webHidden/>
          </w:rPr>
        </w:r>
        <w:r w:rsidR="00326AA2">
          <w:rPr>
            <w:noProof/>
            <w:webHidden/>
          </w:rPr>
          <w:fldChar w:fldCharType="separate"/>
        </w:r>
        <w:r w:rsidR="00326AA2">
          <w:rPr>
            <w:noProof/>
            <w:webHidden/>
          </w:rPr>
          <w:t>29</w:t>
        </w:r>
        <w:r w:rsidR="00326AA2">
          <w:rPr>
            <w:noProof/>
            <w:webHidden/>
          </w:rPr>
          <w:fldChar w:fldCharType="end"/>
        </w:r>
      </w:hyperlink>
    </w:p>
    <w:p w14:paraId="46B5B876" w14:textId="73268B01" w:rsidR="00326AA2" w:rsidRDefault="00697328">
      <w:pPr>
        <w:pStyle w:val="TOC2"/>
        <w:rPr>
          <w:rFonts w:asciiTheme="minorHAnsi" w:eastAsiaTheme="minorEastAsia" w:hAnsiTheme="minorHAnsi"/>
          <w:noProof/>
          <w:sz w:val="22"/>
          <w:lang w:eastAsia="en-AU"/>
        </w:rPr>
      </w:pPr>
      <w:hyperlink w:anchor="_Toc157705005" w:history="1">
        <w:r w:rsidR="00326AA2" w:rsidRPr="00AB0B90">
          <w:rPr>
            <w:rStyle w:val="Hyperlink"/>
            <w:noProof/>
          </w:rPr>
          <w:t>13.3.</w:t>
        </w:r>
        <w:r w:rsidR="00326AA2">
          <w:rPr>
            <w:rFonts w:asciiTheme="minorHAnsi" w:eastAsiaTheme="minorEastAsia" w:hAnsiTheme="minorHAnsi"/>
            <w:noProof/>
            <w:sz w:val="22"/>
            <w:lang w:eastAsia="en-AU"/>
          </w:rPr>
          <w:tab/>
        </w:r>
        <w:r w:rsidR="00326AA2" w:rsidRPr="00AB0B90">
          <w:rPr>
            <w:rStyle w:val="Hyperlink"/>
            <w:noProof/>
          </w:rPr>
          <w:t>Conflicts of interest</w:t>
        </w:r>
        <w:r w:rsidR="00326AA2">
          <w:rPr>
            <w:noProof/>
            <w:webHidden/>
          </w:rPr>
          <w:tab/>
        </w:r>
        <w:r w:rsidR="00326AA2">
          <w:rPr>
            <w:noProof/>
            <w:webHidden/>
          </w:rPr>
          <w:fldChar w:fldCharType="begin"/>
        </w:r>
        <w:r w:rsidR="00326AA2">
          <w:rPr>
            <w:noProof/>
            <w:webHidden/>
          </w:rPr>
          <w:instrText xml:space="preserve"> PAGEREF _Toc157705005 \h </w:instrText>
        </w:r>
        <w:r w:rsidR="00326AA2">
          <w:rPr>
            <w:noProof/>
            <w:webHidden/>
          </w:rPr>
        </w:r>
        <w:r w:rsidR="00326AA2">
          <w:rPr>
            <w:noProof/>
            <w:webHidden/>
          </w:rPr>
          <w:fldChar w:fldCharType="separate"/>
        </w:r>
        <w:r w:rsidR="00326AA2">
          <w:rPr>
            <w:noProof/>
            <w:webHidden/>
          </w:rPr>
          <w:t>29</w:t>
        </w:r>
        <w:r w:rsidR="00326AA2">
          <w:rPr>
            <w:noProof/>
            <w:webHidden/>
          </w:rPr>
          <w:fldChar w:fldCharType="end"/>
        </w:r>
      </w:hyperlink>
    </w:p>
    <w:p w14:paraId="44725CCF" w14:textId="71140967" w:rsidR="00326AA2" w:rsidRDefault="00697328">
      <w:pPr>
        <w:pStyle w:val="TOC2"/>
        <w:rPr>
          <w:rFonts w:asciiTheme="minorHAnsi" w:eastAsiaTheme="minorEastAsia" w:hAnsiTheme="minorHAnsi"/>
          <w:noProof/>
          <w:sz w:val="22"/>
          <w:lang w:eastAsia="en-AU"/>
        </w:rPr>
      </w:pPr>
      <w:hyperlink w:anchor="_Toc157705006" w:history="1">
        <w:r w:rsidR="00326AA2" w:rsidRPr="00AB0B90">
          <w:rPr>
            <w:rStyle w:val="Hyperlink"/>
            <w:noProof/>
          </w:rPr>
          <w:t>13.4.</w:t>
        </w:r>
        <w:r w:rsidR="00326AA2">
          <w:rPr>
            <w:rFonts w:asciiTheme="minorHAnsi" w:eastAsiaTheme="minorEastAsia" w:hAnsiTheme="minorHAnsi"/>
            <w:noProof/>
            <w:sz w:val="22"/>
            <w:lang w:eastAsia="en-AU"/>
          </w:rPr>
          <w:tab/>
        </w:r>
        <w:r w:rsidR="00326AA2" w:rsidRPr="00AB0B90">
          <w:rPr>
            <w:rStyle w:val="Hyperlink"/>
            <w:noProof/>
          </w:rPr>
          <w:t>Costs</w:t>
        </w:r>
        <w:r w:rsidR="00326AA2">
          <w:rPr>
            <w:noProof/>
            <w:webHidden/>
          </w:rPr>
          <w:tab/>
        </w:r>
        <w:r w:rsidR="00326AA2">
          <w:rPr>
            <w:noProof/>
            <w:webHidden/>
          </w:rPr>
          <w:fldChar w:fldCharType="begin"/>
        </w:r>
        <w:r w:rsidR="00326AA2">
          <w:rPr>
            <w:noProof/>
            <w:webHidden/>
          </w:rPr>
          <w:instrText xml:space="preserve"> PAGEREF _Toc157705006 \h </w:instrText>
        </w:r>
        <w:r w:rsidR="00326AA2">
          <w:rPr>
            <w:noProof/>
            <w:webHidden/>
          </w:rPr>
        </w:r>
        <w:r w:rsidR="00326AA2">
          <w:rPr>
            <w:noProof/>
            <w:webHidden/>
          </w:rPr>
          <w:fldChar w:fldCharType="separate"/>
        </w:r>
        <w:r w:rsidR="00326AA2">
          <w:rPr>
            <w:noProof/>
            <w:webHidden/>
          </w:rPr>
          <w:t>30</w:t>
        </w:r>
        <w:r w:rsidR="00326AA2">
          <w:rPr>
            <w:noProof/>
            <w:webHidden/>
          </w:rPr>
          <w:fldChar w:fldCharType="end"/>
        </w:r>
      </w:hyperlink>
    </w:p>
    <w:p w14:paraId="725F5826" w14:textId="040ADC5D" w:rsidR="00326AA2" w:rsidRDefault="00697328">
      <w:pPr>
        <w:pStyle w:val="TOC2"/>
        <w:rPr>
          <w:rFonts w:asciiTheme="minorHAnsi" w:eastAsiaTheme="minorEastAsia" w:hAnsiTheme="minorHAnsi"/>
          <w:noProof/>
          <w:sz w:val="22"/>
          <w:lang w:eastAsia="en-AU"/>
        </w:rPr>
      </w:pPr>
      <w:hyperlink w:anchor="_Toc157705007" w:history="1">
        <w:r w:rsidR="00326AA2" w:rsidRPr="00AB0B90">
          <w:rPr>
            <w:rStyle w:val="Hyperlink"/>
            <w:noProof/>
          </w:rPr>
          <w:t>13.5.</w:t>
        </w:r>
        <w:r w:rsidR="00326AA2">
          <w:rPr>
            <w:rFonts w:asciiTheme="minorHAnsi" w:eastAsiaTheme="minorEastAsia" w:hAnsiTheme="minorHAnsi"/>
            <w:noProof/>
            <w:sz w:val="22"/>
            <w:lang w:eastAsia="en-AU"/>
          </w:rPr>
          <w:tab/>
        </w:r>
        <w:r w:rsidR="00326AA2" w:rsidRPr="00AB0B90">
          <w:rPr>
            <w:rStyle w:val="Hyperlink"/>
            <w:noProof/>
          </w:rPr>
          <w:t>Background checks</w:t>
        </w:r>
        <w:r w:rsidR="00326AA2">
          <w:rPr>
            <w:noProof/>
            <w:webHidden/>
          </w:rPr>
          <w:tab/>
        </w:r>
        <w:r w:rsidR="00326AA2">
          <w:rPr>
            <w:noProof/>
            <w:webHidden/>
          </w:rPr>
          <w:fldChar w:fldCharType="begin"/>
        </w:r>
        <w:r w:rsidR="00326AA2">
          <w:rPr>
            <w:noProof/>
            <w:webHidden/>
          </w:rPr>
          <w:instrText xml:space="preserve"> PAGEREF _Toc157705007 \h </w:instrText>
        </w:r>
        <w:r w:rsidR="00326AA2">
          <w:rPr>
            <w:noProof/>
            <w:webHidden/>
          </w:rPr>
        </w:r>
        <w:r w:rsidR="00326AA2">
          <w:rPr>
            <w:noProof/>
            <w:webHidden/>
          </w:rPr>
          <w:fldChar w:fldCharType="separate"/>
        </w:r>
        <w:r w:rsidR="00326AA2">
          <w:rPr>
            <w:noProof/>
            <w:webHidden/>
          </w:rPr>
          <w:t>30</w:t>
        </w:r>
        <w:r w:rsidR="00326AA2">
          <w:rPr>
            <w:noProof/>
            <w:webHidden/>
          </w:rPr>
          <w:fldChar w:fldCharType="end"/>
        </w:r>
      </w:hyperlink>
    </w:p>
    <w:p w14:paraId="4EC599AC" w14:textId="0AB204CD" w:rsidR="00326AA2" w:rsidRDefault="00697328">
      <w:pPr>
        <w:pStyle w:val="TOC2"/>
        <w:rPr>
          <w:rFonts w:asciiTheme="minorHAnsi" w:eastAsiaTheme="minorEastAsia" w:hAnsiTheme="minorHAnsi"/>
          <w:noProof/>
          <w:sz w:val="22"/>
          <w:lang w:eastAsia="en-AU"/>
        </w:rPr>
      </w:pPr>
      <w:hyperlink w:anchor="_Toc157705008" w:history="1">
        <w:r w:rsidR="00326AA2" w:rsidRPr="00AB0B90">
          <w:rPr>
            <w:rStyle w:val="Hyperlink"/>
            <w:noProof/>
          </w:rPr>
          <w:t>13.6.</w:t>
        </w:r>
        <w:r w:rsidR="00326AA2">
          <w:rPr>
            <w:rFonts w:asciiTheme="minorHAnsi" w:eastAsiaTheme="minorEastAsia" w:hAnsiTheme="minorHAnsi"/>
            <w:noProof/>
            <w:sz w:val="22"/>
            <w:lang w:eastAsia="en-AU"/>
          </w:rPr>
          <w:tab/>
        </w:r>
        <w:r w:rsidR="00326AA2" w:rsidRPr="00AB0B90">
          <w:rPr>
            <w:rStyle w:val="Hyperlink"/>
            <w:noProof/>
          </w:rPr>
          <w:t>Confidentiality</w:t>
        </w:r>
        <w:r w:rsidR="00326AA2">
          <w:rPr>
            <w:noProof/>
            <w:webHidden/>
          </w:rPr>
          <w:tab/>
        </w:r>
        <w:r w:rsidR="00326AA2">
          <w:rPr>
            <w:noProof/>
            <w:webHidden/>
          </w:rPr>
          <w:fldChar w:fldCharType="begin"/>
        </w:r>
        <w:r w:rsidR="00326AA2">
          <w:rPr>
            <w:noProof/>
            <w:webHidden/>
          </w:rPr>
          <w:instrText xml:space="preserve"> PAGEREF _Toc157705008 \h </w:instrText>
        </w:r>
        <w:r w:rsidR="00326AA2">
          <w:rPr>
            <w:noProof/>
            <w:webHidden/>
          </w:rPr>
        </w:r>
        <w:r w:rsidR="00326AA2">
          <w:rPr>
            <w:noProof/>
            <w:webHidden/>
          </w:rPr>
          <w:fldChar w:fldCharType="separate"/>
        </w:r>
        <w:r w:rsidR="00326AA2">
          <w:rPr>
            <w:noProof/>
            <w:webHidden/>
          </w:rPr>
          <w:t>30</w:t>
        </w:r>
        <w:r w:rsidR="00326AA2">
          <w:rPr>
            <w:noProof/>
            <w:webHidden/>
          </w:rPr>
          <w:fldChar w:fldCharType="end"/>
        </w:r>
      </w:hyperlink>
    </w:p>
    <w:p w14:paraId="0DA53CAB" w14:textId="534563F7" w:rsidR="00326AA2" w:rsidRDefault="00697328">
      <w:pPr>
        <w:pStyle w:val="TOC2"/>
        <w:rPr>
          <w:rFonts w:asciiTheme="minorHAnsi" w:eastAsiaTheme="minorEastAsia" w:hAnsiTheme="minorHAnsi"/>
          <w:noProof/>
          <w:sz w:val="22"/>
          <w:lang w:eastAsia="en-AU"/>
        </w:rPr>
      </w:pPr>
      <w:hyperlink w:anchor="_Toc157705009" w:history="1">
        <w:r w:rsidR="00326AA2" w:rsidRPr="00AB0B90">
          <w:rPr>
            <w:rStyle w:val="Hyperlink"/>
            <w:noProof/>
          </w:rPr>
          <w:t>13.7.</w:t>
        </w:r>
        <w:r w:rsidR="00326AA2">
          <w:rPr>
            <w:rFonts w:asciiTheme="minorHAnsi" w:eastAsiaTheme="minorEastAsia" w:hAnsiTheme="minorHAnsi"/>
            <w:noProof/>
            <w:sz w:val="22"/>
            <w:lang w:eastAsia="en-AU"/>
          </w:rPr>
          <w:tab/>
        </w:r>
        <w:r w:rsidR="00326AA2" w:rsidRPr="00AB0B90">
          <w:rPr>
            <w:rStyle w:val="Hyperlink"/>
            <w:noProof/>
          </w:rPr>
          <w:t>Intellectual Property rights</w:t>
        </w:r>
        <w:r w:rsidR="00326AA2">
          <w:rPr>
            <w:noProof/>
            <w:webHidden/>
          </w:rPr>
          <w:tab/>
        </w:r>
        <w:r w:rsidR="00326AA2">
          <w:rPr>
            <w:noProof/>
            <w:webHidden/>
          </w:rPr>
          <w:fldChar w:fldCharType="begin"/>
        </w:r>
        <w:r w:rsidR="00326AA2">
          <w:rPr>
            <w:noProof/>
            <w:webHidden/>
          </w:rPr>
          <w:instrText xml:space="preserve"> PAGEREF _Toc157705009 \h </w:instrText>
        </w:r>
        <w:r w:rsidR="00326AA2">
          <w:rPr>
            <w:noProof/>
            <w:webHidden/>
          </w:rPr>
        </w:r>
        <w:r w:rsidR="00326AA2">
          <w:rPr>
            <w:noProof/>
            <w:webHidden/>
          </w:rPr>
          <w:fldChar w:fldCharType="separate"/>
        </w:r>
        <w:r w:rsidR="00326AA2">
          <w:rPr>
            <w:noProof/>
            <w:webHidden/>
          </w:rPr>
          <w:t>31</w:t>
        </w:r>
        <w:r w:rsidR="00326AA2">
          <w:rPr>
            <w:noProof/>
            <w:webHidden/>
          </w:rPr>
          <w:fldChar w:fldCharType="end"/>
        </w:r>
      </w:hyperlink>
    </w:p>
    <w:p w14:paraId="17153627" w14:textId="0CB4D8B5" w:rsidR="00326AA2" w:rsidRDefault="00697328">
      <w:pPr>
        <w:pStyle w:val="TOC2"/>
        <w:rPr>
          <w:rFonts w:asciiTheme="minorHAnsi" w:eastAsiaTheme="minorEastAsia" w:hAnsiTheme="minorHAnsi"/>
          <w:noProof/>
          <w:sz w:val="22"/>
          <w:lang w:eastAsia="en-AU"/>
        </w:rPr>
      </w:pPr>
      <w:hyperlink w:anchor="_Toc157705010" w:history="1">
        <w:r w:rsidR="00326AA2" w:rsidRPr="00AB0B90">
          <w:rPr>
            <w:rStyle w:val="Hyperlink"/>
            <w:noProof/>
          </w:rPr>
          <w:t>13.8.</w:t>
        </w:r>
        <w:r w:rsidR="00326AA2">
          <w:rPr>
            <w:rFonts w:asciiTheme="minorHAnsi" w:eastAsiaTheme="minorEastAsia" w:hAnsiTheme="minorHAnsi"/>
            <w:noProof/>
            <w:sz w:val="22"/>
            <w:lang w:eastAsia="en-AU"/>
          </w:rPr>
          <w:tab/>
        </w:r>
        <w:r w:rsidR="00326AA2" w:rsidRPr="00AB0B90">
          <w:rPr>
            <w:rStyle w:val="Hyperlink"/>
            <w:noProof/>
          </w:rPr>
          <w:t>Privacy of individuals</w:t>
        </w:r>
        <w:r w:rsidR="00326AA2">
          <w:rPr>
            <w:noProof/>
            <w:webHidden/>
          </w:rPr>
          <w:tab/>
        </w:r>
        <w:r w:rsidR="00326AA2">
          <w:rPr>
            <w:noProof/>
            <w:webHidden/>
          </w:rPr>
          <w:fldChar w:fldCharType="begin"/>
        </w:r>
        <w:r w:rsidR="00326AA2">
          <w:rPr>
            <w:noProof/>
            <w:webHidden/>
          </w:rPr>
          <w:instrText xml:space="preserve"> PAGEREF _Toc157705010 \h </w:instrText>
        </w:r>
        <w:r w:rsidR="00326AA2">
          <w:rPr>
            <w:noProof/>
            <w:webHidden/>
          </w:rPr>
        </w:r>
        <w:r w:rsidR="00326AA2">
          <w:rPr>
            <w:noProof/>
            <w:webHidden/>
          </w:rPr>
          <w:fldChar w:fldCharType="separate"/>
        </w:r>
        <w:r w:rsidR="00326AA2">
          <w:rPr>
            <w:noProof/>
            <w:webHidden/>
          </w:rPr>
          <w:t>31</w:t>
        </w:r>
        <w:r w:rsidR="00326AA2">
          <w:rPr>
            <w:noProof/>
            <w:webHidden/>
          </w:rPr>
          <w:fldChar w:fldCharType="end"/>
        </w:r>
      </w:hyperlink>
    </w:p>
    <w:p w14:paraId="23CB3B54" w14:textId="4995473E" w:rsidR="00326AA2" w:rsidRDefault="00697328">
      <w:pPr>
        <w:pStyle w:val="TOC2"/>
        <w:rPr>
          <w:rFonts w:asciiTheme="minorHAnsi" w:eastAsiaTheme="minorEastAsia" w:hAnsiTheme="minorHAnsi"/>
          <w:noProof/>
          <w:sz w:val="22"/>
          <w:lang w:eastAsia="en-AU"/>
        </w:rPr>
      </w:pPr>
      <w:hyperlink w:anchor="_Toc157705011" w:history="1">
        <w:r w:rsidR="00326AA2" w:rsidRPr="00AB0B90">
          <w:rPr>
            <w:rStyle w:val="Hyperlink"/>
            <w:noProof/>
          </w:rPr>
          <w:t>13.9.</w:t>
        </w:r>
        <w:r w:rsidR="00326AA2">
          <w:rPr>
            <w:rFonts w:asciiTheme="minorHAnsi" w:eastAsiaTheme="minorEastAsia" w:hAnsiTheme="minorHAnsi"/>
            <w:noProof/>
            <w:sz w:val="22"/>
            <w:lang w:eastAsia="en-AU"/>
          </w:rPr>
          <w:tab/>
        </w:r>
        <w:r w:rsidR="00326AA2" w:rsidRPr="00AB0B90">
          <w:rPr>
            <w:rStyle w:val="Hyperlink"/>
            <w:noProof/>
          </w:rPr>
          <w:t>Personal information to be collected by the department</w:t>
        </w:r>
        <w:r w:rsidR="00326AA2">
          <w:rPr>
            <w:noProof/>
            <w:webHidden/>
          </w:rPr>
          <w:tab/>
        </w:r>
        <w:r w:rsidR="00326AA2">
          <w:rPr>
            <w:noProof/>
            <w:webHidden/>
          </w:rPr>
          <w:fldChar w:fldCharType="begin"/>
        </w:r>
        <w:r w:rsidR="00326AA2">
          <w:rPr>
            <w:noProof/>
            <w:webHidden/>
          </w:rPr>
          <w:instrText xml:space="preserve"> PAGEREF _Toc157705011 \h </w:instrText>
        </w:r>
        <w:r w:rsidR="00326AA2">
          <w:rPr>
            <w:noProof/>
            <w:webHidden/>
          </w:rPr>
        </w:r>
        <w:r w:rsidR="00326AA2">
          <w:rPr>
            <w:noProof/>
            <w:webHidden/>
          </w:rPr>
          <w:fldChar w:fldCharType="separate"/>
        </w:r>
        <w:r w:rsidR="00326AA2">
          <w:rPr>
            <w:noProof/>
            <w:webHidden/>
          </w:rPr>
          <w:t>31</w:t>
        </w:r>
        <w:r w:rsidR="00326AA2">
          <w:rPr>
            <w:noProof/>
            <w:webHidden/>
          </w:rPr>
          <w:fldChar w:fldCharType="end"/>
        </w:r>
      </w:hyperlink>
    </w:p>
    <w:p w14:paraId="46AFD218" w14:textId="1AD286FB" w:rsidR="00326AA2" w:rsidRDefault="00697328">
      <w:pPr>
        <w:pStyle w:val="TOC2"/>
        <w:rPr>
          <w:rFonts w:asciiTheme="minorHAnsi" w:eastAsiaTheme="minorEastAsia" w:hAnsiTheme="minorHAnsi"/>
          <w:noProof/>
          <w:sz w:val="22"/>
          <w:lang w:eastAsia="en-AU"/>
        </w:rPr>
      </w:pPr>
      <w:hyperlink w:anchor="_Toc157705012" w:history="1">
        <w:r w:rsidR="00326AA2" w:rsidRPr="00AB0B90">
          <w:rPr>
            <w:rStyle w:val="Hyperlink"/>
            <w:noProof/>
          </w:rPr>
          <w:t>13.10.</w:t>
        </w:r>
        <w:r w:rsidR="00326AA2">
          <w:rPr>
            <w:rFonts w:asciiTheme="minorHAnsi" w:eastAsiaTheme="minorEastAsia" w:hAnsiTheme="minorHAnsi"/>
            <w:noProof/>
            <w:sz w:val="22"/>
            <w:lang w:eastAsia="en-AU"/>
          </w:rPr>
          <w:tab/>
        </w:r>
        <w:r w:rsidR="00326AA2" w:rsidRPr="00AB0B90">
          <w:rPr>
            <w:rStyle w:val="Hyperlink"/>
            <w:noProof/>
          </w:rPr>
          <w:t>Purpose for which the department will use and disclose personal information</w:t>
        </w:r>
        <w:r w:rsidR="00326AA2">
          <w:rPr>
            <w:noProof/>
            <w:webHidden/>
          </w:rPr>
          <w:tab/>
        </w:r>
        <w:r w:rsidR="00326AA2">
          <w:rPr>
            <w:noProof/>
            <w:webHidden/>
          </w:rPr>
          <w:fldChar w:fldCharType="begin"/>
        </w:r>
        <w:r w:rsidR="00326AA2">
          <w:rPr>
            <w:noProof/>
            <w:webHidden/>
          </w:rPr>
          <w:instrText xml:space="preserve"> PAGEREF _Toc157705012 \h </w:instrText>
        </w:r>
        <w:r w:rsidR="00326AA2">
          <w:rPr>
            <w:noProof/>
            <w:webHidden/>
          </w:rPr>
        </w:r>
        <w:r w:rsidR="00326AA2">
          <w:rPr>
            <w:noProof/>
            <w:webHidden/>
          </w:rPr>
          <w:fldChar w:fldCharType="separate"/>
        </w:r>
        <w:r w:rsidR="00326AA2">
          <w:rPr>
            <w:noProof/>
            <w:webHidden/>
          </w:rPr>
          <w:t>32</w:t>
        </w:r>
        <w:r w:rsidR="00326AA2">
          <w:rPr>
            <w:noProof/>
            <w:webHidden/>
          </w:rPr>
          <w:fldChar w:fldCharType="end"/>
        </w:r>
      </w:hyperlink>
    </w:p>
    <w:p w14:paraId="621BAE9F" w14:textId="1114EDB3" w:rsidR="00326AA2" w:rsidRDefault="00697328">
      <w:pPr>
        <w:pStyle w:val="TOC2"/>
        <w:rPr>
          <w:rFonts w:asciiTheme="minorHAnsi" w:eastAsiaTheme="minorEastAsia" w:hAnsiTheme="minorHAnsi"/>
          <w:noProof/>
          <w:sz w:val="22"/>
          <w:lang w:eastAsia="en-AU"/>
        </w:rPr>
      </w:pPr>
      <w:hyperlink w:anchor="_Toc157705013" w:history="1">
        <w:r w:rsidR="00326AA2" w:rsidRPr="00AB0B90">
          <w:rPr>
            <w:rStyle w:val="Hyperlink"/>
            <w:noProof/>
          </w:rPr>
          <w:t>13.11.</w:t>
        </w:r>
        <w:r w:rsidR="00326AA2">
          <w:rPr>
            <w:rFonts w:asciiTheme="minorHAnsi" w:eastAsiaTheme="minorEastAsia" w:hAnsiTheme="minorHAnsi"/>
            <w:noProof/>
            <w:sz w:val="22"/>
            <w:lang w:eastAsia="en-AU"/>
          </w:rPr>
          <w:tab/>
        </w:r>
        <w:r w:rsidR="00326AA2" w:rsidRPr="00AB0B90">
          <w:rPr>
            <w:rStyle w:val="Hyperlink"/>
            <w:noProof/>
          </w:rPr>
          <w:t>The department’s contact point for privacy matters</w:t>
        </w:r>
        <w:r w:rsidR="00326AA2">
          <w:rPr>
            <w:noProof/>
            <w:webHidden/>
          </w:rPr>
          <w:tab/>
        </w:r>
        <w:r w:rsidR="00326AA2">
          <w:rPr>
            <w:noProof/>
            <w:webHidden/>
          </w:rPr>
          <w:fldChar w:fldCharType="begin"/>
        </w:r>
        <w:r w:rsidR="00326AA2">
          <w:rPr>
            <w:noProof/>
            <w:webHidden/>
          </w:rPr>
          <w:instrText xml:space="preserve"> PAGEREF _Toc157705013 \h </w:instrText>
        </w:r>
        <w:r w:rsidR="00326AA2">
          <w:rPr>
            <w:noProof/>
            <w:webHidden/>
          </w:rPr>
        </w:r>
        <w:r w:rsidR="00326AA2">
          <w:rPr>
            <w:noProof/>
            <w:webHidden/>
          </w:rPr>
          <w:fldChar w:fldCharType="separate"/>
        </w:r>
        <w:r w:rsidR="00326AA2">
          <w:rPr>
            <w:noProof/>
            <w:webHidden/>
          </w:rPr>
          <w:t>32</w:t>
        </w:r>
        <w:r w:rsidR="00326AA2">
          <w:rPr>
            <w:noProof/>
            <w:webHidden/>
          </w:rPr>
          <w:fldChar w:fldCharType="end"/>
        </w:r>
      </w:hyperlink>
    </w:p>
    <w:p w14:paraId="5B06E3AD" w14:textId="1D5A8AA2" w:rsidR="00326AA2" w:rsidRDefault="00697328">
      <w:pPr>
        <w:pStyle w:val="TOC2"/>
        <w:rPr>
          <w:rFonts w:asciiTheme="minorHAnsi" w:eastAsiaTheme="minorEastAsia" w:hAnsiTheme="minorHAnsi"/>
          <w:noProof/>
          <w:sz w:val="22"/>
          <w:lang w:eastAsia="en-AU"/>
        </w:rPr>
      </w:pPr>
      <w:hyperlink w:anchor="_Toc157705014" w:history="1">
        <w:r w:rsidR="00326AA2" w:rsidRPr="00AB0B90">
          <w:rPr>
            <w:rStyle w:val="Hyperlink"/>
            <w:noProof/>
          </w:rPr>
          <w:t>13.12.</w:t>
        </w:r>
        <w:r w:rsidR="00326AA2">
          <w:rPr>
            <w:rFonts w:asciiTheme="minorHAnsi" w:eastAsiaTheme="minorEastAsia" w:hAnsiTheme="minorHAnsi"/>
            <w:noProof/>
            <w:sz w:val="22"/>
            <w:lang w:eastAsia="en-AU"/>
          </w:rPr>
          <w:tab/>
        </w:r>
        <w:r w:rsidR="00326AA2" w:rsidRPr="00AB0B90">
          <w:rPr>
            <w:rStyle w:val="Hyperlink"/>
            <w:noProof/>
          </w:rPr>
          <w:t>Exclusion of liabilities</w:t>
        </w:r>
        <w:r w:rsidR="00326AA2">
          <w:rPr>
            <w:noProof/>
            <w:webHidden/>
          </w:rPr>
          <w:tab/>
        </w:r>
        <w:r w:rsidR="00326AA2">
          <w:rPr>
            <w:noProof/>
            <w:webHidden/>
          </w:rPr>
          <w:fldChar w:fldCharType="begin"/>
        </w:r>
        <w:r w:rsidR="00326AA2">
          <w:rPr>
            <w:noProof/>
            <w:webHidden/>
          </w:rPr>
          <w:instrText xml:space="preserve"> PAGEREF _Toc157705014 \h </w:instrText>
        </w:r>
        <w:r w:rsidR="00326AA2">
          <w:rPr>
            <w:noProof/>
            <w:webHidden/>
          </w:rPr>
        </w:r>
        <w:r w:rsidR="00326AA2">
          <w:rPr>
            <w:noProof/>
            <w:webHidden/>
          </w:rPr>
          <w:fldChar w:fldCharType="separate"/>
        </w:r>
        <w:r w:rsidR="00326AA2">
          <w:rPr>
            <w:noProof/>
            <w:webHidden/>
          </w:rPr>
          <w:t>33</w:t>
        </w:r>
        <w:r w:rsidR="00326AA2">
          <w:rPr>
            <w:noProof/>
            <w:webHidden/>
          </w:rPr>
          <w:fldChar w:fldCharType="end"/>
        </w:r>
      </w:hyperlink>
    </w:p>
    <w:p w14:paraId="32593C7D" w14:textId="5036BEE0" w:rsidR="00326AA2" w:rsidRDefault="00697328">
      <w:pPr>
        <w:pStyle w:val="TOC2"/>
        <w:rPr>
          <w:rFonts w:asciiTheme="minorHAnsi" w:eastAsiaTheme="minorEastAsia" w:hAnsiTheme="minorHAnsi"/>
          <w:noProof/>
          <w:sz w:val="22"/>
          <w:lang w:eastAsia="en-AU"/>
        </w:rPr>
      </w:pPr>
      <w:hyperlink w:anchor="_Toc157705015" w:history="1">
        <w:r w:rsidR="00326AA2" w:rsidRPr="00AB0B90">
          <w:rPr>
            <w:rStyle w:val="Hyperlink"/>
            <w:noProof/>
          </w:rPr>
          <w:t>13.13.</w:t>
        </w:r>
        <w:r w:rsidR="00326AA2">
          <w:rPr>
            <w:rFonts w:asciiTheme="minorHAnsi" w:eastAsiaTheme="minorEastAsia" w:hAnsiTheme="minorHAnsi"/>
            <w:noProof/>
            <w:sz w:val="22"/>
            <w:lang w:eastAsia="en-AU"/>
          </w:rPr>
          <w:tab/>
        </w:r>
        <w:r w:rsidR="00326AA2" w:rsidRPr="00AB0B90">
          <w:rPr>
            <w:rStyle w:val="Hyperlink"/>
            <w:noProof/>
          </w:rPr>
          <w:t>Disclaimer</w:t>
        </w:r>
        <w:r w:rsidR="00326AA2">
          <w:rPr>
            <w:noProof/>
            <w:webHidden/>
          </w:rPr>
          <w:tab/>
        </w:r>
        <w:r w:rsidR="00326AA2">
          <w:rPr>
            <w:noProof/>
            <w:webHidden/>
          </w:rPr>
          <w:fldChar w:fldCharType="begin"/>
        </w:r>
        <w:r w:rsidR="00326AA2">
          <w:rPr>
            <w:noProof/>
            <w:webHidden/>
          </w:rPr>
          <w:instrText xml:space="preserve"> PAGEREF _Toc157705015 \h </w:instrText>
        </w:r>
        <w:r w:rsidR="00326AA2">
          <w:rPr>
            <w:noProof/>
            <w:webHidden/>
          </w:rPr>
        </w:r>
        <w:r w:rsidR="00326AA2">
          <w:rPr>
            <w:noProof/>
            <w:webHidden/>
          </w:rPr>
          <w:fldChar w:fldCharType="separate"/>
        </w:r>
        <w:r w:rsidR="00326AA2">
          <w:rPr>
            <w:noProof/>
            <w:webHidden/>
          </w:rPr>
          <w:t>33</w:t>
        </w:r>
        <w:r w:rsidR="00326AA2">
          <w:rPr>
            <w:noProof/>
            <w:webHidden/>
          </w:rPr>
          <w:fldChar w:fldCharType="end"/>
        </w:r>
      </w:hyperlink>
    </w:p>
    <w:p w14:paraId="24725CAE" w14:textId="0AFA87DC" w:rsidR="00326AA2" w:rsidRDefault="00697328">
      <w:pPr>
        <w:pStyle w:val="TOC2"/>
        <w:rPr>
          <w:rFonts w:asciiTheme="minorHAnsi" w:eastAsiaTheme="minorEastAsia" w:hAnsiTheme="minorHAnsi"/>
          <w:noProof/>
          <w:sz w:val="22"/>
          <w:lang w:eastAsia="en-AU"/>
        </w:rPr>
      </w:pPr>
      <w:hyperlink w:anchor="_Toc157705016" w:history="1">
        <w:r w:rsidR="00326AA2" w:rsidRPr="00AB0B90">
          <w:rPr>
            <w:rStyle w:val="Hyperlink"/>
            <w:noProof/>
          </w:rPr>
          <w:t>13.14.</w:t>
        </w:r>
        <w:r w:rsidR="00326AA2">
          <w:rPr>
            <w:rFonts w:asciiTheme="minorHAnsi" w:eastAsiaTheme="minorEastAsia" w:hAnsiTheme="minorHAnsi"/>
            <w:noProof/>
            <w:sz w:val="22"/>
            <w:lang w:eastAsia="en-AU"/>
          </w:rPr>
          <w:tab/>
        </w:r>
        <w:r w:rsidR="00326AA2" w:rsidRPr="00AB0B90">
          <w:rPr>
            <w:rStyle w:val="Hyperlink"/>
            <w:noProof/>
          </w:rPr>
          <w:t>Fraud prevention</w:t>
        </w:r>
        <w:r w:rsidR="00326AA2">
          <w:rPr>
            <w:noProof/>
            <w:webHidden/>
          </w:rPr>
          <w:tab/>
        </w:r>
        <w:r w:rsidR="00326AA2">
          <w:rPr>
            <w:noProof/>
            <w:webHidden/>
          </w:rPr>
          <w:fldChar w:fldCharType="begin"/>
        </w:r>
        <w:r w:rsidR="00326AA2">
          <w:rPr>
            <w:noProof/>
            <w:webHidden/>
          </w:rPr>
          <w:instrText xml:space="preserve"> PAGEREF _Toc157705016 \h </w:instrText>
        </w:r>
        <w:r w:rsidR="00326AA2">
          <w:rPr>
            <w:noProof/>
            <w:webHidden/>
          </w:rPr>
        </w:r>
        <w:r w:rsidR="00326AA2">
          <w:rPr>
            <w:noProof/>
            <w:webHidden/>
          </w:rPr>
          <w:fldChar w:fldCharType="separate"/>
        </w:r>
        <w:r w:rsidR="00326AA2">
          <w:rPr>
            <w:noProof/>
            <w:webHidden/>
          </w:rPr>
          <w:t>33</w:t>
        </w:r>
        <w:r w:rsidR="00326AA2">
          <w:rPr>
            <w:noProof/>
            <w:webHidden/>
          </w:rPr>
          <w:fldChar w:fldCharType="end"/>
        </w:r>
      </w:hyperlink>
    </w:p>
    <w:p w14:paraId="525A4DCF" w14:textId="4BF7155A" w:rsidR="00326AA2" w:rsidRDefault="00697328">
      <w:pPr>
        <w:pStyle w:val="TOC2"/>
        <w:rPr>
          <w:rFonts w:asciiTheme="minorHAnsi" w:eastAsiaTheme="minorEastAsia" w:hAnsiTheme="minorHAnsi"/>
          <w:noProof/>
          <w:sz w:val="22"/>
          <w:lang w:eastAsia="en-AU"/>
        </w:rPr>
      </w:pPr>
      <w:hyperlink w:anchor="_Toc157705017" w:history="1">
        <w:r w:rsidR="00326AA2" w:rsidRPr="00AB0B90">
          <w:rPr>
            <w:rStyle w:val="Hyperlink"/>
            <w:noProof/>
          </w:rPr>
          <w:t>13.15.</w:t>
        </w:r>
        <w:r w:rsidR="00326AA2">
          <w:rPr>
            <w:rFonts w:asciiTheme="minorHAnsi" w:eastAsiaTheme="minorEastAsia" w:hAnsiTheme="minorHAnsi"/>
            <w:noProof/>
            <w:sz w:val="22"/>
            <w:lang w:eastAsia="en-AU"/>
          </w:rPr>
          <w:tab/>
        </w:r>
        <w:r w:rsidR="00326AA2" w:rsidRPr="00AB0B90">
          <w:rPr>
            <w:rStyle w:val="Hyperlink"/>
            <w:noProof/>
          </w:rPr>
          <w:t>Freedom of Information</w:t>
        </w:r>
        <w:r w:rsidR="00326AA2">
          <w:rPr>
            <w:noProof/>
            <w:webHidden/>
          </w:rPr>
          <w:tab/>
        </w:r>
        <w:r w:rsidR="00326AA2">
          <w:rPr>
            <w:noProof/>
            <w:webHidden/>
          </w:rPr>
          <w:fldChar w:fldCharType="begin"/>
        </w:r>
        <w:r w:rsidR="00326AA2">
          <w:rPr>
            <w:noProof/>
            <w:webHidden/>
          </w:rPr>
          <w:instrText xml:space="preserve"> PAGEREF _Toc157705017 \h </w:instrText>
        </w:r>
        <w:r w:rsidR="00326AA2">
          <w:rPr>
            <w:noProof/>
            <w:webHidden/>
          </w:rPr>
        </w:r>
        <w:r w:rsidR="00326AA2">
          <w:rPr>
            <w:noProof/>
            <w:webHidden/>
          </w:rPr>
          <w:fldChar w:fldCharType="separate"/>
        </w:r>
        <w:r w:rsidR="00326AA2">
          <w:rPr>
            <w:noProof/>
            <w:webHidden/>
          </w:rPr>
          <w:t>33</w:t>
        </w:r>
        <w:r w:rsidR="00326AA2">
          <w:rPr>
            <w:noProof/>
            <w:webHidden/>
          </w:rPr>
          <w:fldChar w:fldCharType="end"/>
        </w:r>
      </w:hyperlink>
    </w:p>
    <w:p w14:paraId="6D67ECCA" w14:textId="7BC4C55B" w:rsidR="00326AA2" w:rsidRDefault="00697328">
      <w:pPr>
        <w:pStyle w:val="TOC1"/>
        <w:rPr>
          <w:rFonts w:asciiTheme="minorHAnsi" w:eastAsiaTheme="minorEastAsia" w:hAnsiTheme="minorHAnsi"/>
          <w:b w:val="0"/>
          <w:noProof/>
          <w:color w:val="auto"/>
          <w:u w:val="none"/>
          <w:lang w:eastAsia="en-AU"/>
        </w:rPr>
      </w:pPr>
      <w:hyperlink w:anchor="_Toc157705018" w:history="1">
        <w:r w:rsidR="00326AA2" w:rsidRPr="00AB0B90">
          <w:rPr>
            <w:rStyle w:val="Hyperlink"/>
            <w:noProof/>
          </w:rPr>
          <w:t>14.</w:t>
        </w:r>
        <w:r w:rsidR="00326AA2">
          <w:rPr>
            <w:rFonts w:asciiTheme="minorHAnsi" w:eastAsiaTheme="minorEastAsia" w:hAnsiTheme="minorHAnsi"/>
            <w:b w:val="0"/>
            <w:noProof/>
            <w:color w:val="auto"/>
            <w:u w:val="none"/>
            <w:lang w:eastAsia="en-AU"/>
          </w:rPr>
          <w:tab/>
        </w:r>
        <w:r w:rsidR="00326AA2" w:rsidRPr="00AB0B90">
          <w:rPr>
            <w:rStyle w:val="Hyperlink"/>
            <w:noProof/>
          </w:rPr>
          <w:t>Consultation</w:t>
        </w:r>
        <w:r w:rsidR="00326AA2">
          <w:rPr>
            <w:noProof/>
            <w:webHidden/>
          </w:rPr>
          <w:tab/>
        </w:r>
        <w:r w:rsidR="00326AA2">
          <w:rPr>
            <w:noProof/>
            <w:webHidden/>
          </w:rPr>
          <w:fldChar w:fldCharType="begin"/>
        </w:r>
        <w:r w:rsidR="00326AA2">
          <w:rPr>
            <w:noProof/>
            <w:webHidden/>
          </w:rPr>
          <w:instrText xml:space="preserve"> PAGEREF _Toc157705018 \h </w:instrText>
        </w:r>
        <w:r w:rsidR="00326AA2">
          <w:rPr>
            <w:noProof/>
            <w:webHidden/>
          </w:rPr>
        </w:r>
        <w:r w:rsidR="00326AA2">
          <w:rPr>
            <w:noProof/>
            <w:webHidden/>
          </w:rPr>
          <w:fldChar w:fldCharType="separate"/>
        </w:r>
        <w:r w:rsidR="00326AA2">
          <w:rPr>
            <w:noProof/>
            <w:webHidden/>
          </w:rPr>
          <w:t>34</w:t>
        </w:r>
        <w:r w:rsidR="00326AA2">
          <w:rPr>
            <w:noProof/>
            <w:webHidden/>
          </w:rPr>
          <w:fldChar w:fldCharType="end"/>
        </w:r>
      </w:hyperlink>
    </w:p>
    <w:p w14:paraId="46F4057B" w14:textId="1438A242" w:rsidR="00326AA2" w:rsidRDefault="00697328">
      <w:pPr>
        <w:pStyle w:val="TOC1"/>
        <w:rPr>
          <w:rFonts w:asciiTheme="minorHAnsi" w:eastAsiaTheme="minorEastAsia" w:hAnsiTheme="minorHAnsi"/>
          <w:b w:val="0"/>
          <w:noProof/>
          <w:color w:val="auto"/>
          <w:u w:val="none"/>
          <w:lang w:eastAsia="en-AU"/>
        </w:rPr>
      </w:pPr>
      <w:hyperlink w:anchor="_Toc157705019" w:history="1">
        <w:r w:rsidR="00326AA2" w:rsidRPr="00AB0B90">
          <w:rPr>
            <w:rStyle w:val="Hyperlink"/>
            <w:noProof/>
          </w:rPr>
          <w:t>15.</w:t>
        </w:r>
        <w:r w:rsidR="00326AA2">
          <w:rPr>
            <w:rFonts w:asciiTheme="minorHAnsi" w:eastAsiaTheme="minorEastAsia" w:hAnsiTheme="minorHAnsi"/>
            <w:b w:val="0"/>
            <w:noProof/>
            <w:color w:val="auto"/>
            <w:u w:val="none"/>
            <w:lang w:eastAsia="en-AU"/>
          </w:rPr>
          <w:tab/>
        </w:r>
        <w:r w:rsidR="00326AA2" w:rsidRPr="00AB0B90">
          <w:rPr>
            <w:rStyle w:val="Hyperlink"/>
            <w:noProof/>
          </w:rPr>
          <w:t>Glossary</w:t>
        </w:r>
        <w:r w:rsidR="00326AA2">
          <w:rPr>
            <w:noProof/>
            <w:webHidden/>
          </w:rPr>
          <w:tab/>
        </w:r>
        <w:r w:rsidR="00326AA2">
          <w:rPr>
            <w:noProof/>
            <w:webHidden/>
          </w:rPr>
          <w:fldChar w:fldCharType="begin"/>
        </w:r>
        <w:r w:rsidR="00326AA2">
          <w:rPr>
            <w:noProof/>
            <w:webHidden/>
          </w:rPr>
          <w:instrText xml:space="preserve"> PAGEREF _Toc157705019 \h </w:instrText>
        </w:r>
        <w:r w:rsidR="00326AA2">
          <w:rPr>
            <w:noProof/>
            <w:webHidden/>
          </w:rPr>
        </w:r>
        <w:r w:rsidR="00326AA2">
          <w:rPr>
            <w:noProof/>
            <w:webHidden/>
          </w:rPr>
          <w:fldChar w:fldCharType="separate"/>
        </w:r>
        <w:r w:rsidR="00326AA2">
          <w:rPr>
            <w:noProof/>
            <w:webHidden/>
          </w:rPr>
          <w:t>34</w:t>
        </w:r>
        <w:r w:rsidR="00326AA2">
          <w:rPr>
            <w:noProof/>
            <w:webHidden/>
          </w:rPr>
          <w:fldChar w:fldCharType="end"/>
        </w:r>
      </w:hyperlink>
    </w:p>
    <w:p w14:paraId="1A832284" w14:textId="5ADEE7EB" w:rsidR="00326AA2" w:rsidRDefault="00697328">
      <w:pPr>
        <w:pStyle w:val="TOC1"/>
        <w:rPr>
          <w:rFonts w:asciiTheme="minorHAnsi" w:eastAsiaTheme="minorEastAsia" w:hAnsiTheme="minorHAnsi"/>
          <w:b w:val="0"/>
          <w:noProof/>
          <w:color w:val="auto"/>
          <w:u w:val="none"/>
          <w:lang w:eastAsia="en-AU"/>
        </w:rPr>
      </w:pPr>
      <w:hyperlink w:anchor="_Toc157705020" w:history="1">
        <w:r w:rsidR="00326AA2" w:rsidRPr="00AB0B90">
          <w:rPr>
            <w:rStyle w:val="Hyperlink"/>
            <w:noProof/>
          </w:rPr>
          <w:t>Appendix A. – Target Locations</w:t>
        </w:r>
        <w:r w:rsidR="00326AA2">
          <w:rPr>
            <w:noProof/>
            <w:webHidden/>
          </w:rPr>
          <w:tab/>
        </w:r>
        <w:r w:rsidR="00326AA2">
          <w:rPr>
            <w:noProof/>
            <w:webHidden/>
          </w:rPr>
          <w:fldChar w:fldCharType="begin"/>
        </w:r>
        <w:r w:rsidR="00326AA2">
          <w:rPr>
            <w:noProof/>
            <w:webHidden/>
          </w:rPr>
          <w:instrText xml:space="preserve"> PAGEREF _Toc157705020 \h </w:instrText>
        </w:r>
        <w:r w:rsidR="00326AA2">
          <w:rPr>
            <w:noProof/>
            <w:webHidden/>
          </w:rPr>
        </w:r>
        <w:r w:rsidR="00326AA2">
          <w:rPr>
            <w:noProof/>
            <w:webHidden/>
          </w:rPr>
          <w:fldChar w:fldCharType="separate"/>
        </w:r>
        <w:r w:rsidR="00326AA2">
          <w:rPr>
            <w:noProof/>
            <w:webHidden/>
          </w:rPr>
          <w:t>38</w:t>
        </w:r>
        <w:r w:rsidR="00326AA2">
          <w:rPr>
            <w:noProof/>
            <w:webHidden/>
          </w:rPr>
          <w:fldChar w:fldCharType="end"/>
        </w:r>
      </w:hyperlink>
    </w:p>
    <w:p w14:paraId="33CFEBD5" w14:textId="30BF805A" w:rsidR="00326AA2" w:rsidRDefault="00697328">
      <w:pPr>
        <w:pStyle w:val="TOC2"/>
        <w:rPr>
          <w:rFonts w:asciiTheme="minorHAnsi" w:eastAsiaTheme="minorEastAsia" w:hAnsiTheme="minorHAnsi"/>
          <w:noProof/>
          <w:sz w:val="22"/>
          <w:lang w:eastAsia="en-AU"/>
        </w:rPr>
      </w:pPr>
      <w:hyperlink w:anchor="_Toc157705021" w:history="1">
        <w:r w:rsidR="00326AA2" w:rsidRPr="00AB0B90">
          <w:rPr>
            <w:rStyle w:val="Hyperlink"/>
            <w:noProof/>
          </w:rPr>
          <w:t>Appendix A – Target Locations and Issue Descriptions</w:t>
        </w:r>
        <w:r w:rsidR="00326AA2">
          <w:rPr>
            <w:noProof/>
            <w:webHidden/>
          </w:rPr>
          <w:tab/>
        </w:r>
        <w:r w:rsidR="00326AA2">
          <w:rPr>
            <w:noProof/>
            <w:webHidden/>
          </w:rPr>
          <w:fldChar w:fldCharType="begin"/>
        </w:r>
        <w:r w:rsidR="00326AA2">
          <w:rPr>
            <w:noProof/>
            <w:webHidden/>
          </w:rPr>
          <w:instrText xml:space="preserve"> PAGEREF _Toc157705021 \h </w:instrText>
        </w:r>
        <w:r w:rsidR="00326AA2">
          <w:rPr>
            <w:noProof/>
            <w:webHidden/>
          </w:rPr>
        </w:r>
        <w:r w:rsidR="00326AA2">
          <w:rPr>
            <w:noProof/>
            <w:webHidden/>
          </w:rPr>
          <w:fldChar w:fldCharType="separate"/>
        </w:r>
        <w:r w:rsidR="00326AA2">
          <w:rPr>
            <w:noProof/>
            <w:webHidden/>
          </w:rPr>
          <w:t>39</w:t>
        </w:r>
        <w:r w:rsidR="00326AA2">
          <w:rPr>
            <w:noProof/>
            <w:webHidden/>
          </w:rPr>
          <w:fldChar w:fldCharType="end"/>
        </w:r>
      </w:hyperlink>
    </w:p>
    <w:p w14:paraId="26A3AC7D" w14:textId="435377DC"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701CF094" w14:textId="77777777" w:rsidR="00670726" w:rsidRPr="00670726" w:rsidRDefault="00670726" w:rsidP="00670726">
      <w:pPr>
        <w:numPr>
          <w:ilvl w:val="1"/>
          <w:numId w:val="0"/>
        </w:numPr>
        <w:suppressAutoHyphens/>
        <w:outlineLvl w:val="0"/>
        <w:rPr>
          <w:rFonts w:eastAsia="SimSun" w:cs="Times New Roman"/>
          <w:b/>
          <w:color w:val="000000"/>
          <w:kern w:val="12"/>
          <w:sz w:val="60"/>
          <w:szCs w:val="60"/>
        </w:rPr>
      </w:pPr>
      <w:r w:rsidRPr="00670726">
        <w:rPr>
          <w:rFonts w:eastAsia="SimSun" w:cs="Times New Roman"/>
          <w:b/>
          <w:color w:val="000000"/>
          <w:kern w:val="12"/>
          <w:sz w:val="60"/>
          <w:szCs w:val="60"/>
        </w:rPr>
        <w:t>List of figures and tables</w:t>
      </w:r>
    </w:p>
    <w:p w14:paraId="0DF814E4" w14:textId="701B4F71" w:rsidR="00326AA2" w:rsidRDefault="009E5B72">
      <w:pPr>
        <w:pStyle w:val="TableofFigures"/>
        <w:rPr>
          <w:rFonts w:eastAsiaTheme="minorEastAsia"/>
          <w:noProof/>
          <w:color w:val="auto"/>
          <w:kern w:val="0"/>
          <w:szCs w:val="22"/>
          <w:lang w:eastAsia="en-AU"/>
        </w:rPr>
      </w:pPr>
      <w:r>
        <w:fldChar w:fldCharType="begin"/>
      </w:r>
      <w:r>
        <w:instrText xml:space="preserve"> TOC \h \z \t "Table/figure heading" \c </w:instrText>
      </w:r>
      <w:r>
        <w:fldChar w:fldCharType="separate"/>
      </w:r>
      <w:hyperlink w:anchor="_Toc157705022" w:history="1">
        <w:r w:rsidR="00326AA2" w:rsidRPr="00120BA2">
          <w:rPr>
            <w:rStyle w:val="Hyperlink"/>
            <w:noProof/>
          </w:rPr>
          <w:t>Table 1: Minimum specification configurations for co-location of multiple MNOs</w:t>
        </w:r>
        <w:r w:rsidR="00326AA2">
          <w:rPr>
            <w:noProof/>
            <w:webHidden/>
          </w:rPr>
          <w:tab/>
        </w:r>
        <w:r w:rsidR="00326AA2">
          <w:rPr>
            <w:noProof/>
            <w:webHidden/>
          </w:rPr>
          <w:fldChar w:fldCharType="begin"/>
        </w:r>
        <w:r w:rsidR="00326AA2">
          <w:rPr>
            <w:noProof/>
            <w:webHidden/>
          </w:rPr>
          <w:instrText xml:space="preserve"> PAGEREF _Toc157705022 \h </w:instrText>
        </w:r>
        <w:r w:rsidR="00326AA2">
          <w:rPr>
            <w:noProof/>
            <w:webHidden/>
          </w:rPr>
        </w:r>
        <w:r w:rsidR="00326AA2">
          <w:rPr>
            <w:noProof/>
            <w:webHidden/>
          </w:rPr>
          <w:fldChar w:fldCharType="separate"/>
        </w:r>
        <w:r w:rsidR="00326AA2">
          <w:rPr>
            <w:noProof/>
            <w:webHidden/>
          </w:rPr>
          <w:t>13</w:t>
        </w:r>
        <w:r w:rsidR="00326AA2">
          <w:rPr>
            <w:noProof/>
            <w:webHidden/>
          </w:rPr>
          <w:fldChar w:fldCharType="end"/>
        </w:r>
      </w:hyperlink>
    </w:p>
    <w:p w14:paraId="01463783" w14:textId="0AA290DD" w:rsidR="00326AA2" w:rsidRDefault="00697328">
      <w:pPr>
        <w:pStyle w:val="TableofFigures"/>
        <w:rPr>
          <w:rFonts w:eastAsiaTheme="minorEastAsia"/>
          <w:noProof/>
          <w:color w:val="auto"/>
          <w:kern w:val="0"/>
          <w:szCs w:val="22"/>
          <w:lang w:eastAsia="en-AU"/>
        </w:rPr>
      </w:pPr>
      <w:hyperlink w:anchor="_Toc157705023" w:history="1">
        <w:r w:rsidR="00326AA2" w:rsidRPr="00120BA2">
          <w:rPr>
            <w:rStyle w:val="Hyperlink"/>
            <w:noProof/>
          </w:rPr>
          <w:t>Table 2: New Improved Handheld Coverage Scoring Matrix</w:t>
        </w:r>
        <w:r w:rsidR="00326AA2">
          <w:rPr>
            <w:noProof/>
            <w:webHidden/>
          </w:rPr>
          <w:tab/>
        </w:r>
        <w:r w:rsidR="00326AA2">
          <w:rPr>
            <w:noProof/>
            <w:webHidden/>
          </w:rPr>
          <w:fldChar w:fldCharType="begin"/>
        </w:r>
        <w:r w:rsidR="00326AA2">
          <w:rPr>
            <w:noProof/>
            <w:webHidden/>
          </w:rPr>
          <w:instrText xml:space="preserve"> PAGEREF _Toc157705023 \h </w:instrText>
        </w:r>
        <w:r w:rsidR="00326AA2">
          <w:rPr>
            <w:noProof/>
            <w:webHidden/>
          </w:rPr>
        </w:r>
        <w:r w:rsidR="00326AA2">
          <w:rPr>
            <w:noProof/>
            <w:webHidden/>
          </w:rPr>
          <w:fldChar w:fldCharType="separate"/>
        </w:r>
        <w:r w:rsidR="00326AA2">
          <w:rPr>
            <w:noProof/>
            <w:webHidden/>
          </w:rPr>
          <w:t>17</w:t>
        </w:r>
        <w:r w:rsidR="00326AA2">
          <w:rPr>
            <w:noProof/>
            <w:webHidden/>
          </w:rPr>
          <w:fldChar w:fldCharType="end"/>
        </w:r>
      </w:hyperlink>
    </w:p>
    <w:p w14:paraId="7DCC5768" w14:textId="6BF999AF" w:rsidR="00326AA2" w:rsidRDefault="00697328">
      <w:pPr>
        <w:pStyle w:val="TableofFigures"/>
        <w:rPr>
          <w:rFonts w:eastAsiaTheme="minorEastAsia"/>
          <w:noProof/>
          <w:color w:val="auto"/>
          <w:kern w:val="0"/>
          <w:szCs w:val="22"/>
          <w:lang w:eastAsia="en-AU"/>
        </w:rPr>
      </w:pPr>
      <w:hyperlink w:anchor="_Toc157705024" w:history="1">
        <w:r w:rsidR="00326AA2" w:rsidRPr="00120BA2">
          <w:rPr>
            <w:rStyle w:val="Hyperlink"/>
            <w:noProof/>
          </w:rPr>
          <w:t>Table 3: Material Coverage Improvement Scoring Matrix</w:t>
        </w:r>
        <w:r w:rsidR="00326AA2">
          <w:rPr>
            <w:noProof/>
            <w:webHidden/>
          </w:rPr>
          <w:tab/>
        </w:r>
        <w:r w:rsidR="00326AA2">
          <w:rPr>
            <w:noProof/>
            <w:webHidden/>
          </w:rPr>
          <w:fldChar w:fldCharType="begin"/>
        </w:r>
        <w:r w:rsidR="00326AA2">
          <w:rPr>
            <w:noProof/>
            <w:webHidden/>
          </w:rPr>
          <w:instrText xml:space="preserve"> PAGEREF _Toc157705024 \h </w:instrText>
        </w:r>
        <w:r w:rsidR="00326AA2">
          <w:rPr>
            <w:noProof/>
            <w:webHidden/>
          </w:rPr>
        </w:r>
        <w:r w:rsidR="00326AA2">
          <w:rPr>
            <w:noProof/>
            <w:webHidden/>
          </w:rPr>
          <w:fldChar w:fldCharType="separate"/>
        </w:r>
        <w:r w:rsidR="00326AA2">
          <w:rPr>
            <w:noProof/>
            <w:webHidden/>
          </w:rPr>
          <w:t>18</w:t>
        </w:r>
        <w:r w:rsidR="00326AA2">
          <w:rPr>
            <w:noProof/>
            <w:webHidden/>
          </w:rPr>
          <w:fldChar w:fldCharType="end"/>
        </w:r>
      </w:hyperlink>
    </w:p>
    <w:p w14:paraId="2342212D" w14:textId="71C13AE2" w:rsidR="00326AA2" w:rsidRDefault="00697328">
      <w:pPr>
        <w:pStyle w:val="TableofFigures"/>
        <w:rPr>
          <w:rFonts w:eastAsiaTheme="minorEastAsia"/>
          <w:noProof/>
          <w:color w:val="auto"/>
          <w:kern w:val="0"/>
          <w:szCs w:val="22"/>
          <w:lang w:eastAsia="en-AU"/>
        </w:rPr>
      </w:pPr>
      <w:hyperlink w:anchor="_Toc157705025" w:history="1">
        <w:r w:rsidR="00326AA2" w:rsidRPr="00120BA2">
          <w:rPr>
            <w:rStyle w:val="Hyperlink"/>
            <w:noProof/>
          </w:rPr>
          <w:t>Table 4: Cost to the Commonwealth Scoring Matrix</w:t>
        </w:r>
        <w:r w:rsidR="00326AA2">
          <w:rPr>
            <w:noProof/>
            <w:webHidden/>
          </w:rPr>
          <w:tab/>
        </w:r>
        <w:r w:rsidR="00326AA2">
          <w:rPr>
            <w:noProof/>
            <w:webHidden/>
          </w:rPr>
          <w:fldChar w:fldCharType="begin"/>
        </w:r>
        <w:r w:rsidR="00326AA2">
          <w:rPr>
            <w:noProof/>
            <w:webHidden/>
          </w:rPr>
          <w:instrText xml:space="preserve"> PAGEREF _Toc157705025 \h </w:instrText>
        </w:r>
        <w:r w:rsidR="00326AA2">
          <w:rPr>
            <w:noProof/>
            <w:webHidden/>
          </w:rPr>
        </w:r>
        <w:r w:rsidR="00326AA2">
          <w:rPr>
            <w:noProof/>
            <w:webHidden/>
          </w:rPr>
          <w:fldChar w:fldCharType="separate"/>
        </w:r>
        <w:r w:rsidR="00326AA2">
          <w:rPr>
            <w:noProof/>
            <w:webHidden/>
          </w:rPr>
          <w:t>19</w:t>
        </w:r>
        <w:r w:rsidR="00326AA2">
          <w:rPr>
            <w:noProof/>
            <w:webHidden/>
          </w:rPr>
          <w:fldChar w:fldCharType="end"/>
        </w:r>
      </w:hyperlink>
    </w:p>
    <w:p w14:paraId="3AFF8C0C" w14:textId="03A9BD70" w:rsidR="00326AA2" w:rsidRDefault="00697328">
      <w:pPr>
        <w:pStyle w:val="TableofFigures"/>
        <w:rPr>
          <w:rFonts w:eastAsiaTheme="minorEastAsia"/>
          <w:noProof/>
          <w:color w:val="auto"/>
          <w:kern w:val="0"/>
          <w:szCs w:val="22"/>
          <w:lang w:eastAsia="en-AU"/>
        </w:rPr>
      </w:pPr>
      <w:hyperlink w:anchor="_Toc157705026" w:history="1">
        <w:r w:rsidR="00326AA2" w:rsidRPr="00120BA2">
          <w:rPr>
            <w:rStyle w:val="Hyperlink"/>
            <w:noProof/>
          </w:rPr>
          <w:t>Table 5: Expected timing for this Grant Opportunity</w:t>
        </w:r>
        <w:r w:rsidR="00326AA2">
          <w:rPr>
            <w:noProof/>
            <w:webHidden/>
          </w:rPr>
          <w:tab/>
        </w:r>
        <w:r w:rsidR="00326AA2">
          <w:rPr>
            <w:noProof/>
            <w:webHidden/>
          </w:rPr>
          <w:fldChar w:fldCharType="begin"/>
        </w:r>
        <w:r w:rsidR="00326AA2">
          <w:rPr>
            <w:noProof/>
            <w:webHidden/>
          </w:rPr>
          <w:instrText xml:space="preserve"> PAGEREF _Toc157705026 \h </w:instrText>
        </w:r>
        <w:r w:rsidR="00326AA2">
          <w:rPr>
            <w:noProof/>
            <w:webHidden/>
          </w:rPr>
        </w:r>
        <w:r w:rsidR="00326AA2">
          <w:rPr>
            <w:noProof/>
            <w:webHidden/>
          </w:rPr>
          <w:fldChar w:fldCharType="separate"/>
        </w:r>
        <w:r w:rsidR="00326AA2">
          <w:rPr>
            <w:noProof/>
            <w:webHidden/>
          </w:rPr>
          <w:t>19</w:t>
        </w:r>
        <w:r w:rsidR="00326AA2">
          <w:rPr>
            <w:noProof/>
            <w:webHidden/>
          </w:rPr>
          <w:fldChar w:fldCharType="end"/>
        </w:r>
      </w:hyperlink>
    </w:p>
    <w:p w14:paraId="2E12BE22" w14:textId="2EDDCC6C" w:rsidR="00BF5FA4" w:rsidRDefault="009E5B72" w:rsidP="006E5952">
      <w:r>
        <w:fldChar w:fldCharType="end"/>
      </w:r>
    </w:p>
    <w:p w14:paraId="2014DB7F" w14:textId="77777777" w:rsidR="00733FF0" w:rsidRPr="00733FF0" w:rsidRDefault="00BF5FA4" w:rsidP="00917C84">
      <w:pPr>
        <w:pStyle w:val="Heading2"/>
      </w:pPr>
      <w:r>
        <w:br w:type="page"/>
      </w:r>
      <w:bookmarkStart w:id="1" w:name="_Toc458420391"/>
      <w:bookmarkStart w:id="2" w:name="_Toc462824846"/>
      <w:bookmarkStart w:id="3" w:name="_Toc113442163"/>
      <w:bookmarkStart w:id="4" w:name="_Toc113357200"/>
      <w:bookmarkStart w:id="5" w:name="_Toc157704938"/>
      <w:r w:rsidR="00733FF0" w:rsidRPr="00733FF0">
        <w:t>Improving Mobile Coverage Round: processes</w:t>
      </w:r>
      <w:bookmarkEnd w:id="1"/>
      <w:bookmarkEnd w:id="2"/>
      <w:bookmarkEnd w:id="3"/>
      <w:bookmarkEnd w:id="4"/>
      <w:bookmarkEnd w:id="5"/>
    </w:p>
    <w:p w14:paraId="5B355301" w14:textId="77777777" w:rsidR="007E495B" w:rsidRDefault="00733FF0" w:rsidP="00733FF0">
      <w:pPr>
        <w:pBdr>
          <w:top w:val="single" w:sz="4" w:space="1" w:color="auto"/>
          <w:left w:val="single" w:sz="4" w:space="4" w:color="auto"/>
          <w:bottom w:val="single" w:sz="4" w:space="1" w:color="auto"/>
          <w:right w:val="single" w:sz="4" w:space="4" w:color="auto"/>
        </w:pBdr>
        <w:spacing w:after="0"/>
        <w:jc w:val="center"/>
        <w:rPr>
          <w:b/>
        </w:rPr>
      </w:pPr>
      <w:r>
        <w:rPr>
          <w:b/>
        </w:rPr>
        <w:t xml:space="preserve">The Program </w:t>
      </w:r>
      <w:r w:rsidRPr="00F40BDA">
        <w:rPr>
          <w:b/>
        </w:rPr>
        <w:t>is</w:t>
      </w:r>
      <w:r>
        <w:rPr>
          <w:b/>
        </w:rPr>
        <w:t xml:space="preserve"> </w:t>
      </w:r>
      <w:r w:rsidRPr="00F40BDA">
        <w:rPr>
          <w:b/>
        </w:rPr>
        <w:t xml:space="preserve">designed to </w:t>
      </w:r>
      <w:r>
        <w:rPr>
          <w:b/>
        </w:rPr>
        <w:t>achieve</w:t>
      </w:r>
      <w:r w:rsidRPr="00F40BDA">
        <w:rPr>
          <w:b/>
        </w:rPr>
        <w:t xml:space="preserve"> Australian Government </w:t>
      </w:r>
      <w:r>
        <w:rPr>
          <w:b/>
        </w:rPr>
        <w:t>objectives</w:t>
      </w:r>
    </w:p>
    <w:p w14:paraId="27BE2C39" w14:textId="77777777" w:rsidR="00733FF0" w:rsidRPr="009E6FF4" w:rsidRDefault="00733FF0" w:rsidP="00733FF0">
      <w:pPr>
        <w:pBdr>
          <w:top w:val="single" w:sz="4" w:space="1" w:color="auto"/>
          <w:left w:val="single" w:sz="4" w:space="4" w:color="auto"/>
          <w:bottom w:val="single" w:sz="4" w:space="1" w:color="auto"/>
          <w:right w:val="single" w:sz="4" w:space="4" w:color="auto"/>
        </w:pBdr>
        <w:spacing w:after="0"/>
        <w:jc w:val="center"/>
      </w:pPr>
      <w:r>
        <w:t>This grant opportunity i</w:t>
      </w:r>
      <w:r w:rsidRPr="00D164B1">
        <w:t xml:space="preserve">s part of the </w:t>
      </w:r>
      <w:r>
        <w:t>Mobile Black Spot Program,</w:t>
      </w:r>
      <w:r w:rsidRPr="00D164B1">
        <w:t xml:space="preserve"> which contributes to </w:t>
      </w:r>
      <w:r>
        <w:t>the Department of Infrastructure, Transport, Regional Development, Communications and the Arts’</w:t>
      </w:r>
      <w:r w:rsidRPr="00D164B1">
        <w:t xml:space="preserve"> Outcome </w:t>
      </w:r>
      <w:r>
        <w:t>5</w:t>
      </w:r>
      <w:r w:rsidRPr="00D164B1">
        <w:t xml:space="preserve">. The </w:t>
      </w:r>
      <w:r>
        <w:t xml:space="preserve">department works with stakeholders to plan and design the grant program according to the </w:t>
      </w:r>
      <w:hyperlink r:id="rId20" w:history="1">
        <w:r w:rsidRPr="006F145A">
          <w:rPr>
            <w:rStyle w:val="Hyperlink"/>
            <w:i/>
          </w:rPr>
          <w:t>Commonwealth Grants Rules and Guidelines</w:t>
        </w:r>
        <w:r w:rsidRPr="00B359CF">
          <w:rPr>
            <w:rStyle w:val="Hyperlink"/>
            <w:i/>
          </w:rPr>
          <w:t xml:space="preserve"> (CGRGs)</w:t>
        </w:r>
        <w:r w:rsidRPr="006F145A">
          <w:rPr>
            <w:rStyle w:val="Hyperlink"/>
            <w:i/>
          </w:rPr>
          <w:t>.</w:t>
        </w:r>
      </w:hyperlink>
    </w:p>
    <w:p w14:paraId="45B35EE6" w14:textId="77777777" w:rsidR="00733FF0" w:rsidRPr="009E6FF4" w:rsidRDefault="00733FF0" w:rsidP="00733FF0">
      <w:pPr>
        <w:spacing w:after="0"/>
        <w:jc w:val="center"/>
        <w:rPr>
          <w:rFonts w:ascii="Wingdings" w:hAnsi="Wingdings"/>
        </w:rPr>
      </w:pPr>
      <w:r w:rsidRPr="00F40BDA">
        <w:rPr>
          <w:rFonts w:ascii="Wingdings" w:hAnsi="Wingdings"/>
        </w:rPr>
        <w:t></w:t>
      </w:r>
    </w:p>
    <w:p w14:paraId="0D4C6F61" w14:textId="77777777" w:rsidR="00733FF0" w:rsidRDefault="00733FF0" w:rsidP="00733FF0">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r>
        <w:rPr>
          <w:b/>
        </w:rPr>
        <w:t xml:space="preserve"> – Release of Guidelines and call for applications</w:t>
      </w:r>
    </w:p>
    <w:p w14:paraId="48599D33" w14:textId="4AA98F26" w:rsidR="00733FF0" w:rsidRPr="00BC16FC" w:rsidRDefault="00733FF0" w:rsidP="00733FF0">
      <w:pPr>
        <w:pBdr>
          <w:top w:val="single" w:sz="2" w:space="1" w:color="auto"/>
          <w:left w:val="single" w:sz="2" w:space="4" w:color="auto"/>
          <w:bottom w:val="single" w:sz="2" w:space="0" w:color="auto"/>
          <w:right w:val="single" w:sz="2" w:space="4" w:color="auto"/>
        </w:pBdr>
        <w:spacing w:after="0"/>
        <w:jc w:val="center"/>
      </w:pPr>
      <w:r w:rsidRPr="00BC16FC">
        <w:t xml:space="preserve">Timing: Guidelines released on </w:t>
      </w:r>
      <w:r w:rsidR="00327CA5" w:rsidRPr="00BC16FC">
        <w:t>2 February 2023</w:t>
      </w:r>
    </w:p>
    <w:p w14:paraId="30F099E0" w14:textId="79EA37DB" w:rsidR="00733FF0" w:rsidRPr="00BC16FC" w:rsidRDefault="00733FF0" w:rsidP="00733FF0">
      <w:pPr>
        <w:pBdr>
          <w:top w:val="single" w:sz="2" w:space="1" w:color="auto"/>
          <w:left w:val="single" w:sz="2" w:space="4" w:color="auto"/>
          <w:bottom w:val="single" w:sz="2" w:space="0" w:color="auto"/>
          <w:right w:val="single" w:sz="2" w:space="4" w:color="auto"/>
        </w:pBdr>
        <w:spacing w:after="0"/>
        <w:jc w:val="center"/>
        <w:rPr>
          <w:b/>
        </w:rPr>
      </w:pPr>
      <w:r w:rsidRPr="00BC16FC">
        <w:t xml:space="preserve">We publish the grant guidelines on </w:t>
      </w:r>
      <w:hyperlink r:id="rId21" w:history="1">
        <w:r w:rsidRPr="00BC16FC">
          <w:rPr>
            <w:rStyle w:val="Hyperlink"/>
          </w:rPr>
          <w:t>GrantConnect</w:t>
        </w:r>
      </w:hyperlink>
      <w:r w:rsidRPr="00BC16FC">
        <w:t xml:space="preserve">. At the same time, we issue a call for applications from eligible applicants for funding under the Program. For applicant eligibility, see section </w:t>
      </w:r>
      <w:r w:rsidRPr="00BC16FC">
        <w:fldChar w:fldCharType="begin"/>
      </w:r>
      <w:r w:rsidRPr="00BC16FC">
        <w:instrText xml:space="preserve"> REF _Ref437348317 \r \h  \* MERGEFORMAT </w:instrText>
      </w:r>
      <w:r w:rsidRPr="00BC16FC">
        <w:fldChar w:fldCharType="separate"/>
      </w:r>
      <w:r w:rsidR="000A6058" w:rsidRPr="00BC16FC">
        <w:t>4.1</w:t>
      </w:r>
      <w:r w:rsidRPr="00BC16FC">
        <w:fldChar w:fldCharType="end"/>
      </w:r>
      <w:r w:rsidRPr="00BC16FC">
        <w:t>.</w:t>
      </w:r>
    </w:p>
    <w:p w14:paraId="194BF2E1" w14:textId="77777777" w:rsidR="00733FF0" w:rsidRPr="00BC16FC" w:rsidRDefault="00733FF0" w:rsidP="00733FF0">
      <w:pPr>
        <w:spacing w:after="0"/>
        <w:jc w:val="center"/>
        <w:rPr>
          <w:rFonts w:ascii="Wingdings" w:hAnsi="Wingdings"/>
        </w:rPr>
      </w:pPr>
      <w:r w:rsidRPr="00BC16FC">
        <w:rPr>
          <w:rFonts w:ascii="Wingdings" w:hAnsi="Wingdings"/>
        </w:rPr>
        <w:t></w:t>
      </w:r>
    </w:p>
    <w:p w14:paraId="11B166AD" w14:textId="77777777" w:rsidR="00733FF0" w:rsidRPr="00BC16FC" w:rsidRDefault="00733FF0" w:rsidP="00733FF0">
      <w:pPr>
        <w:pBdr>
          <w:top w:val="single" w:sz="2" w:space="1" w:color="auto"/>
          <w:left w:val="single" w:sz="2" w:space="4" w:color="auto"/>
          <w:bottom w:val="single" w:sz="2" w:space="1" w:color="auto"/>
          <w:right w:val="single" w:sz="2" w:space="4" w:color="auto"/>
        </w:pBdr>
        <w:spacing w:after="0"/>
        <w:jc w:val="center"/>
        <w:rPr>
          <w:b/>
        </w:rPr>
      </w:pPr>
      <w:r w:rsidRPr="00BC16FC">
        <w:rPr>
          <w:b/>
        </w:rPr>
        <w:t>Applicant registration and pre-application documentation</w:t>
      </w:r>
    </w:p>
    <w:p w14:paraId="5DBCB285" w14:textId="19BD76AD" w:rsidR="00733FF0" w:rsidRPr="00BC16FC" w:rsidRDefault="00733FF0" w:rsidP="00733FF0">
      <w:pPr>
        <w:pBdr>
          <w:top w:val="single" w:sz="2" w:space="1" w:color="auto"/>
          <w:left w:val="single" w:sz="2" w:space="4" w:color="auto"/>
          <w:bottom w:val="single" w:sz="2" w:space="1" w:color="auto"/>
          <w:right w:val="single" w:sz="2" w:space="4" w:color="auto"/>
        </w:pBdr>
        <w:spacing w:after="0"/>
        <w:jc w:val="center"/>
        <w:rPr>
          <w:i/>
        </w:rPr>
      </w:pPr>
      <w:r w:rsidRPr="00BC16FC">
        <w:t xml:space="preserve">Timing: Registration due by </w:t>
      </w:r>
      <w:r w:rsidR="00327CA5" w:rsidRPr="00BC16FC">
        <w:t>2 March 2023</w:t>
      </w:r>
      <w:r w:rsidRPr="00BC16FC">
        <w:rPr>
          <w:i/>
        </w:rPr>
        <w:t xml:space="preserve"> (4 weeks after opening)</w:t>
      </w:r>
    </w:p>
    <w:p w14:paraId="2B197095" w14:textId="6D897C42" w:rsidR="00733FF0" w:rsidRPr="00BC16FC" w:rsidRDefault="00733FF0" w:rsidP="00733FF0">
      <w:pPr>
        <w:pBdr>
          <w:top w:val="single" w:sz="2" w:space="1" w:color="auto"/>
          <w:left w:val="single" w:sz="2" w:space="4" w:color="auto"/>
          <w:bottom w:val="single" w:sz="2" w:space="1" w:color="auto"/>
          <w:right w:val="single" w:sz="2" w:space="4" w:color="auto"/>
        </w:pBdr>
        <w:spacing w:after="0"/>
        <w:jc w:val="center"/>
      </w:pPr>
      <w:r w:rsidRPr="00BC16FC">
        <w:t xml:space="preserve">Organisations wishing to apply for funding under the Program must contact the department to register as potential applicants within four weeks following release of these Guidelines in order to obtain access to the application documentation. At this time, applicants must submit their coverage maps as outlined in section </w:t>
      </w:r>
      <w:r w:rsidRPr="00BC16FC">
        <w:fldChar w:fldCharType="begin"/>
      </w:r>
      <w:r w:rsidRPr="00BC16FC">
        <w:instrText xml:space="preserve"> REF _Ref109304806 \r \h  \* MERGEFORMAT </w:instrText>
      </w:r>
      <w:r w:rsidRPr="00BC16FC">
        <w:fldChar w:fldCharType="separate"/>
      </w:r>
      <w:r w:rsidR="000F75FD" w:rsidRPr="00BC16FC">
        <w:t>7.3.1</w:t>
      </w:r>
      <w:r w:rsidRPr="00BC16FC">
        <w:fldChar w:fldCharType="end"/>
      </w:r>
      <w:r w:rsidRPr="00BC16FC">
        <w:t>.</w:t>
      </w:r>
    </w:p>
    <w:p w14:paraId="0A00DCEC" w14:textId="77777777" w:rsidR="00733FF0" w:rsidRPr="00BC16FC" w:rsidRDefault="00733FF0" w:rsidP="00733FF0">
      <w:pPr>
        <w:pBdr>
          <w:top w:val="single" w:sz="2" w:space="1" w:color="auto"/>
          <w:left w:val="single" w:sz="2" w:space="4" w:color="auto"/>
          <w:bottom w:val="single" w:sz="2" w:space="1" w:color="auto"/>
          <w:right w:val="single" w:sz="2" w:space="4" w:color="auto"/>
        </w:pBdr>
        <w:spacing w:after="0"/>
        <w:jc w:val="center"/>
      </w:pPr>
      <w:r w:rsidRPr="00BC16FC">
        <w:t>The application documentation outlines the requirements on potential applicants prior to submitting an application for funding.</w:t>
      </w:r>
    </w:p>
    <w:p w14:paraId="5E280693" w14:textId="61395BC2" w:rsidR="00733FF0" w:rsidRPr="00BC16FC" w:rsidRDefault="00733FF0" w:rsidP="00733FF0">
      <w:pPr>
        <w:pBdr>
          <w:top w:val="single" w:sz="2" w:space="1" w:color="auto"/>
          <w:left w:val="single" w:sz="2" w:space="4" w:color="auto"/>
          <w:bottom w:val="single" w:sz="2" w:space="1" w:color="auto"/>
          <w:right w:val="single" w:sz="2" w:space="4" w:color="auto"/>
        </w:pBdr>
        <w:spacing w:after="0"/>
        <w:jc w:val="center"/>
      </w:pPr>
      <w:r w:rsidRPr="00BC16FC">
        <w:t xml:space="preserve">Organisations can register their interest with the department by emailing </w:t>
      </w:r>
      <w:hyperlink r:id="rId22" w:history="1">
        <w:r w:rsidR="00F67A87" w:rsidRPr="00BC16FC">
          <w:rPr>
            <w:rStyle w:val="Hyperlink"/>
          </w:rPr>
          <w:t>MBSP@infrastructure.gov.au</w:t>
        </w:r>
      </w:hyperlink>
      <w:r w:rsidR="00F67A87" w:rsidRPr="00BC16FC">
        <w:t xml:space="preserve"> </w:t>
      </w:r>
      <w:r w:rsidRPr="00BC16FC">
        <w:t>and providing the following information:</w:t>
      </w:r>
    </w:p>
    <w:p w14:paraId="40912220" w14:textId="77777777" w:rsidR="00733FF0" w:rsidRPr="00BC16FC" w:rsidRDefault="00733FF0" w:rsidP="00733FF0">
      <w:pPr>
        <w:pBdr>
          <w:top w:val="single" w:sz="2" w:space="1" w:color="auto"/>
          <w:left w:val="single" w:sz="2" w:space="4" w:color="auto"/>
          <w:bottom w:val="single" w:sz="2" w:space="1" w:color="auto"/>
          <w:right w:val="single" w:sz="2" w:space="4" w:color="auto"/>
        </w:pBdr>
        <w:tabs>
          <w:tab w:val="left" w:pos="567"/>
          <w:tab w:val="left" w:pos="1134"/>
        </w:tabs>
        <w:spacing w:after="0"/>
        <w:ind w:firstLine="720"/>
      </w:pPr>
      <w:r w:rsidRPr="00BC16FC">
        <w:t xml:space="preserve"> </w:t>
      </w:r>
      <w:r w:rsidRPr="00BC16FC">
        <w:tab/>
        <w:t>(a)</w:t>
      </w:r>
      <w:r w:rsidRPr="00BC16FC">
        <w:tab/>
        <w:t>Organisation name;</w:t>
      </w:r>
    </w:p>
    <w:p w14:paraId="1AD6EE9C" w14:textId="77777777" w:rsidR="00733FF0" w:rsidRPr="00BC16FC" w:rsidRDefault="00733FF0" w:rsidP="00733FF0">
      <w:pPr>
        <w:pBdr>
          <w:top w:val="single" w:sz="2" w:space="1" w:color="auto"/>
          <w:left w:val="single" w:sz="2" w:space="4" w:color="auto"/>
          <w:bottom w:val="single" w:sz="2" w:space="1" w:color="auto"/>
          <w:right w:val="single" w:sz="2" w:space="4" w:color="auto"/>
        </w:pBdr>
        <w:tabs>
          <w:tab w:val="left" w:pos="567"/>
          <w:tab w:val="left" w:pos="1134"/>
        </w:tabs>
        <w:spacing w:after="0"/>
        <w:ind w:firstLine="720"/>
      </w:pPr>
      <w:r w:rsidRPr="00BC16FC">
        <w:t xml:space="preserve"> </w:t>
      </w:r>
      <w:r w:rsidRPr="00BC16FC">
        <w:tab/>
        <w:t>(b)</w:t>
      </w:r>
      <w:r w:rsidRPr="00BC16FC">
        <w:tab/>
        <w:t>Contact name;</w:t>
      </w:r>
    </w:p>
    <w:p w14:paraId="428C8700" w14:textId="77777777" w:rsidR="00733FF0" w:rsidRPr="00BC16FC" w:rsidRDefault="00733FF0" w:rsidP="00733FF0">
      <w:pPr>
        <w:pBdr>
          <w:top w:val="single" w:sz="2" w:space="1" w:color="auto"/>
          <w:left w:val="single" w:sz="2" w:space="4" w:color="auto"/>
          <w:bottom w:val="single" w:sz="2" w:space="1" w:color="auto"/>
          <w:right w:val="single" w:sz="2" w:space="4" w:color="auto"/>
        </w:pBdr>
        <w:tabs>
          <w:tab w:val="left" w:pos="567"/>
          <w:tab w:val="left" w:pos="1134"/>
        </w:tabs>
        <w:spacing w:after="0"/>
        <w:ind w:firstLine="720"/>
      </w:pPr>
      <w:r w:rsidRPr="00BC16FC">
        <w:t xml:space="preserve"> </w:t>
      </w:r>
      <w:r w:rsidRPr="00BC16FC">
        <w:tab/>
        <w:t>(c)</w:t>
      </w:r>
      <w:r w:rsidRPr="00BC16FC">
        <w:tab/>
        <w:t>Contact phone number; and</w:t>
      </w:r>
    </w:p>
    <w:p w14:paraId="2423EAE9" w14:textId="77777777" w:rsidR="00733FF0" w:rsidRPr="00BC16FC" w:rsidRDefault="00733FF0" w:rsidP="00733FF0">
      <w:pPr>
        <w:pBdr>
          <w:top w:val="single" w:sz="2" w:space="1" w:color="auto"/>
          <w:left w:val="single" w:sz="2" w:space="4" w:color="auto"/>
          <w:bottom w:val="single" w:sz="2" w:space="1" w:color="auto"/>
          <w:right w:val="single" w:sz="2" w:space="4" w:color="auto"/>
        </w:pBdr>
        <w:tabs>
          <w:tab w:val="left" w:pos="567"/>
          <w:tab w:val="left" w:pos="1134"/>
        </w:tabs>
        <w:spacing w:after="0"/>
        <w:ind w:firstLine="720"/>
      </w:pPr>
      <w:r w:rsidRPr="00BC16FC">
        <w:t xml:space="preserve"> </w:t>
      </w:r>
      <w:r w:rsidRPr="00BC16FC">
        <w:tab/>
        <w:t>(d)</w:t>
      </w:r>
      <w:r w:rsidRPr="00BC16FC">
        <w:tab/>
        <w:t>Contact email address.</w:t>
      </w:r>
    </w:p>
    <w:p w14:paraId="10F7B34E" w14:textId="77777777" w:rsidR="00733FF0" w:rsidRPr="00BC16FC" w:rsidRDefault="00733FF0" w:rsidP="00733FF0">
      <w:pPr>
        <w:spacing w:after="0"/>
        <w:jc w:val="center"/>
        <w:rPr>
          <w:rFonts w:ascii="Wingdings" w:hAnsi="Wingdings"/>
        </w:rPr>
      </w:pPr>
      <w:r w:rsidRPr="00BC16FC">
        <w:rPr>
          <w:rFonts w:ascii="Wingdings" w:hAnsi="Wingdings"/>
        </w:rPr>
        <w:t></w:t>
      </w:r>
    </w:p>
    <w:p w14:paraId="09A675D4" w14:textId="77777777" w:rsidR="00733FF0" w:rsidRPr="00BC16FC" w:rsidRDefault="00733FF0" w:rsidP="00733FF0">
      <w:pPr>
        <w:pBdr>
          <w:top w:val="single" w:sz="2" w:space="1" w:color="auto"/>
          <w:left w:val="single" w:sz="2" w:space="4" w:color="auto"/>
          <w:bottom w:val="single" w:sz="2" w:space="1" w:color="auto"/>
          <w:right w:val="single" w:sz="2" w:space="4" w:color="auto"/>
        </w:pBdr>
        <w:spacing w:after="0"/>
        <w:jc w:val="center"/>
        <w:rPr>
          <w:b/>
        </w:rPr>
      </w:pPr>
      <w:r w:rsidRPr="00BC16FC">
        <w:rPr>
          <w:b/>
        </w:rPr>
        <w:t>Submitting final applications</w:t>
      </w:r>
    </w:p>
    <w:p w14:paraId="52030C39" w14:textId="66E0CB10" w:rsidR="00733FF0" w:rsidRPr="00BC16FC" w:rsidRDefault="00733FF0" w:rsidP="00733FF0">
      <w:pPr>
        <w:pBdr>
          <w:top w:val="single" w:sz="2" w:space="1" w:color="auto"/>
          <w:left w:val="single" w:sz="2" w:space="4" w:color="auto"/>
          <w:bottom w:val="single" w:sz="2" w:space="1" w:color="auto"/>
          <w:right w:val="single" w:sz="2" w:space="4" w:color="auto"/>
        </w:pBdr>
        <w:spacing w:after="0"/>
        <w:jc w:val="center"/>
        <w:rPr>
          <w:i/>
        </w:rPr>
      </w:pPr>
      <w:r w:rsidRPr="00BC16FC">
        <w:t xml:space="preserve">Timing: Applications due by </w:t>
      </w:r>
      <w:r w:rsidR="00327CA5" w:rsidRPr="00BC16FC">
        <w:t>13 April 2023</w:t>
      </w:r>
      <w:r w:rsidRPr="00BC16FC">
        <w:rPr>
          <w:i/>
        </w:rPr>
        <w:t xml:space="preserve"> (10 weeks after opening)</w:t>
      </w:r>
    </w:p>
    <w:p w14:paraId="59F8C81D" w14:textId="77777777" w:rsidR="00733FF0" w:rsidRPr="00BC16FC" w:rsidRDefault="00733FF0" w:rsidP="00733FF0">
      <w:pPr>
        <w:pBdr>
          <w:top w:val="single" w:sz="2" w:space="1" w:color="auto"/>
          <w:left w:val="single" w:sz="2" w:space="4" w:color="auto"/>
          <w:bottom w:val="single" w:sz="2" w:space="1" w:color="auto"/>
          <w:right w:val="single" w:sz="2" w:space="4" w:color="auto"/>
        </w:pBdr>
        <w:spacing w:after="0"/>
        <w:jc w:val="center"/>
        <w:rPr>
          <w:i/>
        </w:rPr>
      </w:pPr>
      <w:r w:rsidRPr="00BC16FC">
        <w:rPr>
          <w:i/>
        </w:rPr>
        <w:t>Proposals for individual base stations or clusters can be submitted at any time during this period i.e. it is not necessary to submit an applicant’s entire application as a single package.</w:t>
      </w:r>
    </w:p>
    <w:p w14:paraId="3821DF78" w14:textId="31CF9664" w:rsidR="00733FF0" w:rsidRPr="00BC16FC" w:rsidRDefault="00733FF0" w:rsidP="00733FF0">
      <w:pPr>
        <w:pBdr>
          <w:top w:val="single" w:sz="2" w:space="1" w:color="auto"/>
          <w:left w:val="single" w:sz="2" w:space="4" w:color="auto"/>
          <w:bottom w:val="single" w:sz="2" w:space="1" w:color="auto"/>
          <w:right w:val="single" w:sz="2" w:space="4" w:color="auto"/>
        </w:pBdr>
        <w:spacing w:after="0"/>
        <w:jc w:val="center"/>
      </w:pPr>
      <w:r w:rsidRPr="00BC16FC">
        <w:t>Applicants and other interested parties are encouraged to discuss and plan co</w:t>
      </w:r>
      <w:r w:rsidRPr="00BC16FC">
        <w:noBreakHyphen/>
        <w:t>development and co-funding opportunities prior to finalising applications. This could include discussions with states</w:t>
      </w:r>
      <w:r w:rsidR="009F3479" w:rsidRPr="00BC16FC">
        <w:t>, local government or other industry entities</w:t>
      </w:r>
      <w:r w:rsidRPr="00BC16FC">
        <w:t>. It is expected that potential applicants may engage in discussions on possible multi</w:t>
      </w:r>
      <w:r w:rsidRPr="00BC16FC">
        <w:noBreakHyphen/>
        <w:t>Mobile Network Operator (MNO) solutions in areas of mutual interest.</w:t>
      </w:r>
      <w:r w:rsidRPr="00BC16FC">
        <w:rPr>
          <w:rStyle w:val="FootnoteReference"/>
        </w:rPr>
        <w:footnoteReference w:id="2"/>
      </w:r>
    </w:p>
    <w:p w14:paraId="3ED6CD43" w14:textId="399CBB9C" w:rsidR="00733FF0" w:rsidRPr="00BC16FC" w:rsidRDefault="00733FF0" w:rsidP="00733FF0">
      <w:pPr>
        <w:pBdr>
          <w:top w:val="single" w:sz="2" w:space="1" w:color="auto"/>
          <w:left w:val="single" w:sz="2" w:space="4" w:color="auto"/>
          <w:bottom w:val="single" w:sz="2" w:space="1" w:color="auto"/>
          <w:right w:val="single" w:sz="2" w:space="4" w:color="auto"/>
        </w:pBdr>
        <w:spacing w:after="0"/>
        <w:jc w:val="center"/>
      </w:pPr>
      <w:r w:rsidRPr="00BC16FC">
        <w:t>At final application stage, each applicant must complete all required documentation, as set out in section </w:t>
      </w:r>
      <w:r w:rsidRPr="00BC16FC">
        <w:fldChar w:fldCharType="begin"/>
      </w:r>
      <w:r w:rsidRPr="00BC16FC">
        <w:instrText xml:space="preserve"> REF _Ref109304844 \r \h </w:instrText>
      </w:r>
      <w:r w:rsidR="00BC16FC">
        <w:instrText xml:space="preserve"> \* MERGEFORMAT </w:instrText>
      </w:r>
      <w:r w:rsidRPr="00BC16FC">
        <w:fldChar w:fldCharType="separate"/>
      </w:r>
      <w:r w:rsidR="000F75FD" w:rsidRPr="00BC16FC">
        <w:t>7.4</w:t>
      </w:r>
      <w:r w:rsidRPr="00BC16FC">
        <w:fldChar w:fldCharType="end"/>
      </w:r>
      <w:r w:rsidRPr="00BC16FC">
        <w:t>.</w:t>
      </w:r>
    </w:p>
    <w:p w14:paraId="518D6C2A" w14:textId="4CD62949" w:rsidR="00733FF0" w:rsidRPr="00BC16FC" w:rsidRDefault="00733FF0" w:rsidP="00733FF0">
      <w:pPr>
        <w:pBdr>
          <w:top w:val="single" w:sz="2" w:space="1" w:color="auto"/>
          <w:left w:val="single" w:sz="2" w:space="4" w:color="auto"/>
          <w:bottom w:val="single" w:sz="2" w:space="1" w:color="auto"/>
          <w:right w:val="single" w:sz="2" w:space="4" w:color="auto"/>
        </w:pBdr>
        <w:spacing w:after="0"/>
        <w:jc w:val="center"/>
      </w:pPr>
      <w:r w:rsidRPr="00BC16FC">
        <w:t xml:space="preserve">This includes the Application Pack, including the Assessment Tool and Application Form, for each Proposed Solution for which it is seeking funding, specifying in each case the information set out in section </w:t>
      </w:r>
      <w:r w:rsidRPr="00BC16FC">
        <w:fldChar w:fldCharType="begin"/>
      </w:r>
      <w:r w:rsidRPr="00BC16FC">
        <w:instrText xml:space="preserve"> REF _Ref109304863 \r \h </w:instrText>
      </w:r>
      <w:r w:rsidR="00BC16FC">
        <w:instrText xml:space="preserve"> \* MERGEFORMAT </w:instrText>
      </w:r>
      <w:r w:rsidRPr="00BC16FC">
        <w:fldChar w:fldCharType="separate"/>
      </w:r>
      <w:r w:rsidR="000F75FD" w:rsidRPr="00BC16FC">
        <w:t>7.4.2</w:t>
      </w:r>
      <w:r w:rsidRPr="00BC16FC">
        <w:fldChar w:fldCharType="end"/>
      </w:r>
      <w:r w:rsidRPr="00BC16FC">
        <w:t>.</w:t>
      </w:r>
    </w:p>
    <w:p w14:paraId="397B6585" w14:textId="4EFAB8A6" w:rsidR="00733FF0" w:rsidRPr="00BC16FC" w:rsidDel="00C71016" w:rsidRDefault="00733FF0" w:rsidP="00733FF0">
      <w:pPr>
        <w:pBdr>
          <w:top w:val="single" w:sz="2" w:space="1" w:color="auto"/>
          <w:left w:val="single" w:sz="2" w:space="4" w:color="auto"/>
          <w:bottom w:val="single" w:sz="2" w:space="1" w:color="auto"/>
          <w:right w:val="single" w:sz="2" w:space="4" w:color="auto"/>
        </w:pBdr>
        <w:spacing w:after="0"/>
        <w:jc w:val="center"/>
      </w:pPr>
      <w:r w:rsidRPr="00BC16FC" w:rsidDel="00C71016">
        <w:t>The completed Assessment Tool must include data on the level of</w:t>
      </w:r>
      <w:r w:rsidRPr="00BC16FC">
        <w:t xml:space="preserve"> New Handheld Coverage or Improved</w:t>
      </w:r>
      <w:r w:rsidRPr="00BC16FC" w:rsidDel="00C71016">
        <w:t xml:space="preserve"> </w:t>
      </w:r>
      <w:r w:rsidRPr="00BC16FC">
        <w:t>Handheld C</w:t>
      </w:r>
      <w:r w:rsidRPr="00BC16FC" w:rsidDel="00C71016">
        <w:t xml:space="preserve">overage </w:t>
      </w:r>
      <w:r w:rsidRPr="00BC16FC">
        <w:t xml:space="preserve">(as relevant) </w:t>
      </w:r>
      <w:r w:rsidRPr="00BC16FC" w:rsidDel="00C71016">
        <w:t xml:space="preserve">that each </w:t>
      </w:r>
      <w:r w:rsidRPr="00BC16FC">
        <w:t xml:space="preserve">Proposed </w:t>
      </w:r>
      <w:r w:rsidRPr="00BC16FC" w:rsidDel="00C71016">
        <w:t>Solution wil</w:t>
      </w:r>
      <w:r w:rsidRPr="00BC16FC">
        <w:t>l achieve. M</w:t>
      </w:r>
      <w:r w:rsidRPr="00BC16FC" w:rsidDel="00C71016">
        <w:t xml:space="preserve">apping data must indicate the area to be covered by </w:t>
      </w:r>
      <w:r w:rsidRPr="00BC16FC">
        <w:t>New Handheld Coverage or Improved H</w:t>
      </w:r>
      <w:r w:rsidRPr="00BC16FC" w:rsidDel="00C71016">
        <w:t xml:space="preserve">andheld </w:t>
      </w:r>
      <w:r w:rsidRPr="00BC16FC">
        <w:t>C</w:t>
      </w:r>
      <w:r w:rsidRPr="00BC16FC" w:rsidDel="00C71016">
        <w:t>overage</w:t>
      </w:r>
      <w:r w:rsidRPr="00BC16FC">
        <w:t>,</w:t>
      </w:r>
      <w:r w:rsidRPr="00BC16FC" w:rsidDel="00C71016">
        <w:t xml:space="preserve"> </w:t>
      </w:r>
      <w:r w:rsidR="009F3479" w:rsidRPr="00BC16FC">
        <w:t>calculated using</w:t>
      </w:r>
      <w:r w:rsidRPr="00BC16FC" w:rsidDel="00C71016">
        <w:t xml:space="preserve"> the required service standards set out at section </w:t>
      </w:r>
      <w:r w:rsidRPr="00BC16FC">
        <w:fldChar w:fldCharType="begin"/>
      </w:r>
      <w:r w:rsidRPr="00BC16FC">
        <w:instrText xml:space="preserve"> REF _Ref109304876 \r \h </w:instrText>
      </w:r>
      <w:r w:rsidR="00BC16FC">
        <w:instrText xml:space="preserve"> \* MERGEFORMAT </w:instrText>
      </w:r>
      <w:r w:rsidRPr="00BC16FC">
        <w:fldChar w:fldCharType="separate"/>
      </w:r>
      <w:r w:rsidR="000F75FD" w:rsidRPr="00BC16FC">
        <w:t>4.2</w:t>
      </w:r>
      <w:r w:rsidRPr="00BC16FC">
        <w:fldChar w:fldCharType="end"/>
      </w:r>
      <w:r w:rsidRPr="00BC16FC" w:rsidDel="00C71016">
        <w:t>.</w:t>
      </w:r>
    </w:p>
    <w:p w14:paraId="4DF26620" w14:textId="77777777" w:rsidR="00733FF0" w:rsidRPr="00BC16FC" w:rsidRDefault="00733FF0" w:rsidP="00733FF0">
      <w:pPr>
        <w:keepLines/>
        <w:pBdr>
          <w:top w:val="single" w:sz="2" w:space="1" w:color="auto"/>
          <w:left w:val="single" w:sz="2" w:space="4" w:color="auto"/>
          <w:bottom w:val="single" w:sz="2" w:space="1" w:color="auto"/>
          <w:right w:val="single" w:sz="2" w:space="4" w:color="auto"/>
        </w:pBdr>
        <w:spacing w:after="0"/>
        <w:jc w:val="center"/>
      </w:pPr>
      <w:r w:rsidRPr="00BC16FC">
        <w:t>Applications for Proposed Solutions through which more than one MNO will provide mobile coverage and connectivity must be accompanied by written evidence of intent from any of those MNOs that is not an applicant for the purposes of the application, including confirmation of how they intend to provide services through the Proposed Solution (e.g. Radio Access Network (RAN) sharing, co-location).</w:t>
      </w:r>
    </w:p>
    <w:p w14:paraId="6744A60D" w14:textId="77777777" w:rsidR="00733FF0" w:rsidRPr="00BC16FC" w:rsidRDefault="00733FF0" w:rsidP="00733FF0">
      <w:pPr>
        <w:spacing w:after="0"/>
        <w:jc w:val="center"/>
        <w:rPr>
          <w:rFonts w:ascii="Wingdings" w:hAnsi="Wingdings"/>
        </w:rPr>
      </w:pPr>
      <w:r w:rsidRPr="00BC16FC">
        <w:rPr>
          <w:rFonts w:ascii="Wingdings" w:hAnsi="Wingdings"/>
        </w:rPr>
        <w:t></w:t>
      </w:r>
    </w:p>
    <w:p w14:paraId="4FA3250D" w14:textId="77777777" w:rsidR="00733FF0" w:rsidRPr="00BC16FC" w:rsidRDefault="00733FF0" w:rsidP="00733FF0">
      <w:pPr>
        <w:pBdr>
          <w:top w:val="single" w:sz="2" w:space="1" w:color="auto"/>
          <w:left w:val="single" w:sz="2" w:space="4" w:color="auto"/>
          <w:bottom w:val="single" w:sz="2" w:space="1" w:color="auto"/>
          <w:right w:val="single" w:sz="2" w:space="4" w:color="auto"/>
        </w:pBdr>
        <w:spacing w:after="0"/>
        <w:jc w:val="center"/>
        <w:rPr>
          <w:b/>
        </w:rPr>
      </w:pPr>
      <w:r w:rsidRPr="00BC16FC">
        <w:rPr>
          <w:b/>
        </w:rPr>
        <w:t>Assessment of final applications</w:t>
      </w:r>
    </w:p>
    <w:p w14:paraId="40D145E1" w14:textId="50CFEE58" w:rsidR="00733FF0" w:rsidRPr="00BC16FC" w:rsidRDefault="00733FF0" w:rsidP="00733FF0">
      <w:pPr>
        <w:pBdr>
          <w:top w:val="single" w:sz="2" w:space="1" w:color="auto"/>
          <w:left w:val="single" w:sz="2" w:space="4" w:color="auto"/>
          <w:bottom w:val="single" w:sz="2" w:space="1" w:color="auto"/>
          <w:right w:val="single" w:sz="2" w:space="4" w:color="auto"/>
        </w:pBdr>
        <w:spacing w:after="0"/>
        <w:jc w:val="center"/>
        <w:rPr>
          <w:i/>
        </w:rPr>
      </w:pPr>
      <w:r w:rsidRPr="00BC16FC">
        <w:t xml:space="preserve">Timing: </w:t>
      </w:r>
      <w:r w:rsidR="00327CA5" w:rsidRPr="00BC16FC">
        <w:t>April 2023</w:t>
      </w:r>
      <w:r w:rsidRPr="00BC16FC">
        <w:t xml:space="preserve"> to </w:t>
      </w:r>
      <w:r w:rsidR="00327CA5" w:rsidRPr="00BC16FC">
        <w:t>June 2023</w:t>
      </w:r>
      <w:r w:rsidRPr="00BC16FC">
        <w:rPr>
          <w:i/>
        </w:rPr>
        <w:t xml:space="preserve"> (10 weeks)</w:t>
      </w:r>
    </w:p>
    <w:p w14:paraId="3772A0A1" w14:textId="2BDD618B" w:rsidR="0045229E" w:rsidRPr="00BC16FC" w:rsidRDefault="00733FF0" w:rsidP="00733FF0">
      <w:pPr>
        <w:pBdr>
          <w:top w:val="single" w:sz="2" w:space="1" w:color="auto"/>
          <w:left w:val="single" w:sz="2" w:space="4" w:color="auto"/>
          <w:bottom w:val="single" w:sz="2" w:space="1" w:color="auto"/>
          <w:right w:val="single" w:sz="2" w:space="4" w:color="auto"/>
        </w:pBdr>
        <w:spacing w:after="0"/>
        <w:jc w:val="center"/>
      </w:pPr>
      <w:r w:rsidRPr="00BC16FC">
        <w:t xml:space="preserve">The department will assess all eligible applications received by the closing date and time (see section </w:t>
      </w:r>
      <w:r w:rsidRPr="00BC16FC">
        <w:fldChar w:fldCharType="begin"/>
      </w:r>
      <w:r w:rsidRPr="00BC16FC">
        <w:instrText xml:space="preserve"> REF _Ref109304909 \r \h </w:instrText>
      </w:r>
      <w:r w:rsidR="00BC16FC">
        <w:instrText xml:space="preserve"> \* MERGEFORMAT </w:instrText>
      </w:r>
      <w:r w:rsidRPr="00BC16FC">
        <w:fldChar w:fldCharType="separate"/>
      </w:r>
      <w:r w:rsidR="001A1CA8" w:rsidRPr="00BC16FC">
        <w:t>7.5</w:t>
      </w:r>
      <w:r w:rsidRPr="00BC16FC">
        <w:fldChar w:fldCharType="end"/>
      </w:r>
      <w:r w:rsidRPr="00BC16FC">
        <w:t xml:space="preserve">) to determine which Proposed Solutions are to be recommended for Program funding using the Assessment Criteria in section </w:t>
      </w:r>
      <w:r w:rsidR="001A1CA8" w:rsidRPr="00BC16FC">
        <w:fldChar w:fldCharType="begin"/>
      </w:r>
      <w:r w:rsidR="001A1CA8" w:rsidRPr="00BC16FC">
        <w:instrText xml:space="preserve"> REF _Ref110515467 \r \h </w:instrText>
      </w:r>
      <w:r w:rsidR="00BC16FC">
        <w:instrText xml:space="preserve"> \* MERGEFORMAT </w:instrText>
      </w:r>
      <w:r w:rsidR="001A1CA8" w:rsidRPr="00BC16FC">
        <w:fldChar w:fldCharType="separate"/>
      </w:r>
      <w:r w:rsidR="001A1CA8" w:rsidRPr="00BC16FC">
        <w:t>6</w:t>
      </w:r>
      <w:r w:rsidR="001A1CA8" w:rsidRPr="00BC16FC">
        <w:fldChar w:fldCharType="end"/>
      </w:r>
      <w:r w:rsidRPr="00BC16FC">
        <w:t xml:space="preserve"> and the processes outlined in section </w:t>
      </w:r>
      <w:r w:rsidR="001A1CA8" w:rsidRPr="00BC16FC">
        <w:fldChar w:fldCharType="begin"/>
      </w:r>
      <w:r w:rsidR="001A1CA8" w:rsidRPr="00BC16FC">
        <w:instrText xml:space="preserve"> REF _Ref121920719 \r \h </w:instrText>
      </w:r>
      <w:r w:rsidR="00BC16FC">
        <w:instrText xml:space="preserve"> \* MERGEFORMAT </w:instrText>
      </w:r>
      <w:r w:rsidR="001A1CA8" w:rsidRPr="00BC16FC">
        <w:fldChar w:fldCharType="separate"/>
      </w:r>
      <w:r w:rsidR="001A1CA8" w:rsidRPr="00BC16FC">
        <w:t>8</w:t>
      </w:r>
      <w:r w:rsidR="001A1CA8" w:rsidRPr="00BC16FC">
        <w:fldChar w:fldCharType="end"/>
      </w:r>
      <w:r w:rsidR="0045229E" w:rsidRPr="00BC16FC">
        <w:t>.</w:t>
      </w:r>
    </w:p>
    <w:p w14:paraId="43891CCD" w14:textId="77777777" w:rsidR="00733FF0" w:rsidRPr="00BC16FC" w:rsidRDefault="00733FF0" w:rsidP="00733FF0">
      <w:pPr>
        <w:pBdr>
          <w:top w:val="single" w:sz="2" w:space="1" w:color="auto"/>
          <w:left w:val="single" w:sz="2" w:space="4" w:color="auto"/>
          <w:bottom w:val="single" w:sz="2" w:space="1" w:color="auto"/>
          <w:right w:val="single" w:sz="2" w:space="4" w:color="auto"/>
        </w:pBdr>
        <w:spacing w:after="0"/>
        <w:jc w:val="center"/>
      </w:pPr>
      <w:r w:rsidRPr="00BC16FC">
        <w:t>An expert engineering firm in the mobile telecommunications industry, as appointed by the department, may test coverage claims at the department’s discretion.</w:t>
      </w:r>
    </w:p>
    <w:p w14:paraId="7E22B5EB" w14:textId="77777777" w:rsidR="00733FF0" w:rsidRPr="00BC16FC" w:rsidRDefault="00733FF0" w:rsidP="00733FF0">
      <w:pPr>
        <w:spacing w:after="0"/>
        <w:jc w:val="center"/>
        <w:rPr>
          <w:rFonts w:ascii="Wingdings" w:hAnsi="Wingdings"/>
        </w:rPr>
      </w:pPr>
      <w:r w:rsidRPr="00BC16FC">
        <w:rPr>
          <w:rFonts w:ascii="Wingdings" w:hAnsi="Wingdings"/>
        </w:rPr>
        <w:t></w:t>
      </w:r>
    </w:p>
    <w:p w14:paraId="14A9E339" w14:textId="77777777" w:rsidR="00733FF0" w:rsidRPr="00BC16FC" w:rsidRDefault="00733FF0" w:rsidP="00733FF0">
      <w:pPr>
        <w:pBdr>
          <w:top w:val="single" w:sz="2" w:space="1" w:color="auto"/>
          <w:left w:val="single" w:sz="2" w:space="4" w:color="auto"/>
          <w:bottom w:val="single" w:sz="2" w:space="1" w:color="auto"/>
          <w:right w:val="single" w:sz="2" w:space="4" w:color="auto"/>
        </w:pBdr>
        <w:spacing w:after="0"/>
        <w:jc w:val="center"/>
        <w:rPr>
          <w:b/>
        </w:rPr>
      </w:pPr>
      <w:r w:rsidRPr="00BC16FC">
        <w:rPr>
          <w:b/>
        </w:rPr>
        <w:t>We make grant recommendations</w:t>
      </w:r>
    </w:p>
    <w:p w14:paraId="547EB615" w14:textId="66F3CE90" w:rsidR="0045229E" w:rsidRPr="00BC16FC" w:rsidRDefault="00733FF0" w:rsidP="00733FF0">
      <w:pPr>
        <w:pBdr>
          <w:top w:val="single" w:sz="2" w:space="1" w:color="auto"/>
          <w:left w:val="single" w:sz="2" w:space="4" w:color="auto"/>
          <w:bottom w:val="single" w:sz="2" w:space="1" w:color="auto"/>
          <w:right w:val="single" w:sz="2" w:space="4" w:color="auto"/>
        </w:pBdr>
        <w:spacing w:after="0"/>
        <w:jc w:val="center"/>
      </w:pPr>
      <w:r w:rsidRPr="00BC16FC">
        <w:t xml:space="preserve">We provide a Merit List of the Proposed Solutions recommended for funding through the assessment process to the Decision Maker (see sections </w:t>
      </w:r>
      <w:r w:rsidRPr="00BC16FC">
        <w:fldChar w:fldCharType="begin"/>
      </w:r>
      <w:r w:rsidRPr="00BC16FC">
        <w:instrText xml:space="preserve"> REF _Ref109304960 \r \h </w:instrText>
      </w:r>
      <w:r w:rsidR="00BC16FC">
        <w:instrText xml:space="preserve"> \* MERGEFORMAT </w:instrText>
      </w:r>
      <w:r w:rsidRPr="00BC16FC">
        <w:fldChar w:fldCharType="separate"/>
      </w:r>
      <w:r w:rsidR="001A1CA8" w:rsidRPr="00BC16FC">
        <w:t>8.6</w:t>
      </w:r>
      <w:r w:rsidRPr="00BC16FC">
        <w:fldChar w:fldCharType="end"/>
      </w:r>
      <w:r w:rsidRPr="00BC16FC">
        <w:t xml:space="preserve"> and </w:t>
      </w:r>
      <w:r w:rsidRPr="00BC16FC">
        <w:fldChar w:fldCharType="begin"/>
      </w:r>
      <w:r w:rsidRPr="00BC16FC">
        <w:instrText xml:space="preserve"> REF _Ref109304967 \r \h  \* MERGEFORMAT </w:instrText>
      </w:r>
      <w:r w:rsidRPr="00BC16FC">
        <w:fldChar w:fldCharType="separate"/>
      </w:r>
      <w:r w:rsidR="001A1CA8" w:rsidRPr="00BC16FC">
        <w:t>8.7</w:t>
      </w:r>
      <w:r w:rsidRPr="00BC16FC">
        <w:fldChar w:fldCharType="end"/>
      </w:r>
      <w:r w:rsidRPr="00BC16FC">
        <w:t>)</w:t>
      </w:r>
      <w:r w:rsidR="0045229E" w:rsidRPr="00BC16FC">
        <w:t>.</w:t>
      </w:r>
    </w:p>
    <w:p w14:paraId="1C1C1C32" w14:textId="77777777" w:rsidR="00733FF0" w:rsidRPr="00BC16FC" w:rsidRDefault="00733FF0" w:rsidP="00733FF0">
      <w:pPr>
        <w:spacing w:after="0"/>
        <w:jc w:val="center"/>
        <w:rPr>
          <w:rFonts w:ascii="Wingdings" w:hAnsi="Wingdings"/>
        </w:rPr>
      </w:pPr>
      <w:r w:rsidRPr="00BC16FC">
        <w:rPr>
          <w:rFonts w:ascii="Wingdings" w:hAnsi="Wingdings"/>
        </w:rPr>
        <w:t></w:t>
      </w:r>
    </w:p>
    <w:p w14:paraId="7D727876" w14:textId="77777777" w:rsidR="00733FF0" w:rsidRPr="00BC16FC" w:rsidRDefault="00733FF0" w:rsidP="00733FF0">
      <w:pPr>
        <w:pBdr>
          <w:top w:val="single" w:sz="2" w:space="1" w:color="auto"/>
          <w:left w:val="single" w:sz="2" w:space="4" w:color="auto"/>
          <w:bottom w:val="single" w:sz="2" w:space="1" w:color="auto"/>
          <w:right w:val="single" w:sz="2" w:space="4" w:color="auto"/>
        </w:pBdr>
        <w:spacing w:after="0"/>
        <w:jc w:val="center"/>
        <w:rPr>
          <w:b/>
        </w:rPr>
      </w:pPr>
      <w:r w:rsidRPr="00BC16FC">
        <w:rPr>
          <w:b/>
        </w:rPr>
        <w:t>Grant decisions are made</w:t>
      </w:r>
    </w:p>
    <w:p w14:paraId="2B843FF4" w14:textId="77777777" w:rsidR="00733FF0" w:rsidRPr="00BC16FC" w:rsidRDefault="00733FF0" w:rsidP="00733FF0">
      <w:pPr>
        <w:pBdr>
          <w:top w:val="single" w:sz="2" w:space="1" w:color="auto"/>
          <w:left w:val="single" w:sz="2" w:space="4" w:color="auto"/>
          <w:bottom w:val="single" w:sz="2" w:space="1" w:color="auto"/>
          <w:right w:val="single" w:sz="2" w:space="4" w:color="auto"/>
        </w:pBdr>
        <w:spacing w:after="0"/>
        <w:jc w:val="center"/>
      </w:pPr>
      <w:r w:rsidRPr="00BC16FC">
        <w:t>The Decision Maker decides which applications are successful.</w:t>
      </w:r>
    </w:p>
    <w:p w14:paraId="0B963B80" w14:textId="77777777" w:rsidR="00733FF0" w:rsidRPr="00BC16FC" w:rsidRDefault="00733FF0" w:rsidP="00733FF0">
      <w:pPr>
        <w:spacing w:after="0"/>
        <w:jc w:val="center"/>
        <w:rPr>
          <w:rFonts w:ascii="Wingdings" w:hAnsi="Wingdings"/>
        </w:rPr>
      </w:pPr>
      <w:r w:rsidRPr="00BC16FC">
        <w:rPr>
          <w:rFonts w:ascii="Wingdings" w:hAnsi="Wingdings"/>
        </w:rPr>
        <w:t></w:t>
      </w:r>
    </w:p>
    <w:p w14:paraId="1D755865" w14:textId="77777777" w:rsidR="00733FF0" w:rsidRPr="00BC16FC" w:rsidRDefault="00733FF0" w:rsidP="00733FF0">
      <w:pPr>
        <w:pBdr>
          <w:top w:val="single" w:sz="2" w:space="1" w:color="auto"/>
          <w:left w:val="single" w:sz="2" w:space="4" w:color="auto"/>
          <w:bottom w:val="single" w:sz="2" w:space="1" w:color="auto"/>
          <w:right w:val="single" w:sz="2" w:space="4" w:color="auto"/>
        </w:pBdr>
        <w:spacing w:after="0"/>
        <w:jc w:val="center"/>
        <w:rPr>
          <w:b/>
        </w:rPr>
      </w:pPr>
      <w:r w:rsidRPr="00BC16FC">
        <w:rPr>
          <w:b/>
        </w:rPr>
        <w:t>We notify you of the outcome</w:t>
      </w:r>
    </w:p>
    <w:p w14:paraId="39CCEBB1" w14:textId="77777777" w:rsidR="00733FF0" w:rsidRPr="00C659C4" w:rsidRDefault="00733FF0" w:rsidP="00733FF0">
      <w:pPr>
        <w:pBdr>
          <w:top w:val="single" w:sz="2" w:space="1" w:color="auto"/>
          <w:left w:val="single" w:sz="2" w:space="4" w:color="auto"/>
          <w:bottom w:val="single" w:sz="2" w:space="1" w:color="auto"/>
          <w:right w:val="single" w:sz="2" w:space="4" w:color="auto"/>
        </w:pBdr>
        <w:spacing w:after="0"/>
        <w:jc w:val="center"/>
      </w:pPr>
      <w:r w:rsidRPr="00BC16FC">
        <w:t>We advise you of the outcome of your application. We may not notify unsuccessful applicants until Grant Agreements have been executed</w:t>
      </w:r>
      <w:r w:rsidRPr="00C659C4">
        <w:t xml:space="preserve"> with successful applicants.</w:t>
      </w:r>
    </w:p>
    <w:p w14:paraId="057AA658" w14:textId="77777777" w:rsidR="00733FF0" w:rsidRPr="00C659C4" w:rsidRDefault="00733FF0" w:rsidP="00733FF0">
      <w:pPr>
        <w:spacing w:after="0"/>
        <w:jc w:val="center"/>
        <w:rPr>
          <w:rFonts w:ascii="Wingdings" w:hAnsi="Wingdings"/>
        </w:rPr>
      </w:pPr>
      <w:r w:rsidRPr="00C659C4">
        <w:rPr>
          <w:rFonts w:ascii="Wingdings" w:hAnsi="Wingdings"/>
        </w:rPr>
        <w:t></w:t>
      </w:r>
    </w:p>
    <w:p w14:paraId="4D4C248E" w14:textId="77777777" w:rsidR="00733FF0" w:rsidRPr="00C659C4" w:rsidRDefault="00733FF0" w:rsidP="00733FF0">
      <w:pPr>
        <w:pBdr>
          <w:top w:val="single" w:sz="2" w:space="1" w:color="auto"/>
          <w:left w:val="single" w:sz="2" w:space="4" w:color="auto"/>
          <w:bottom w:val="single" w:sz="2" w:space="1" w:color="auto"/>
          <w:right w:val="single" w:sz="2" w:space="4" w:color="auto"/>
        </w:pBdr>
        <w:spacing w:after="0"/>
        <w:jc w:val="center"/>
        <w:rPr>
          <w:b/>
        </w:rPr>
      </w:pPr>
      <w:r>
        <w:rPr>
          <w:b/>
        </w:rPr>
        <w:t>We enter into a Grant A</w:t>
      </w:r>
      <w:r w:rsidRPr="00C659C4">
        <w:rPr>
          <w:b/>
        </w:rPr>
        <w:t>greement</w:t>
      </w:r>
    </w:p>
    <w:p w14:paraId="7D234A54" w14:textId="77777777" w:rsidR="00733FF0" w:rsidRPr="00C835D8" w:rsidRDefault="00733FF0" w:rsidP="00733FF0">
      <w:pPr>
        <w:pBdr>
          <w:top w:val="single" w:sz="2" w:space="1" w:color="auto"/>
          <w:left w:val="single" w:sz="2" w:space="4" w:color="auto"/>
          <w:bottom w:val="single" w:sz="2" w:space="1" w:color="auto"/>
          <w:right w:val="single" w:sz="2" w:space="4" w:color="auto"/>
        </w:pBdr>
        <w:spacing w:after="0"/>
        <w:jc w:val="center"/>
      </w:pPr>
      <w:r>
        <w:t>We will enter into a Grant A</w:t>
      </w:r>
      <w:r w:rsidRPr="00C659C4">
        <w:t>greement with</w:t>
      </w:r>
      <w:r>
        <w:t xml:space="preserve"> you if successful. The type of Grant A</w:t>
      </w:r>
      <w:r w:rsidRPr="00C659C4">
        <w:t>greement is based on the nature of the grant and</w:t>
      </w:r>
      <w:r>
        <w:t xml:space="preserve"> will be</w:t>
      </w:r>
      <w:r w:rsidRPr="00C659C4">
        <w:t xml:space="preserve"> proportional to the risks involved.</w:t>
      </w:r>
    </w:p>
    <w:p w14:paraId="4DE76430" w14:textId="77777777" w:rsidR="00733FF0" w:rsidRPr="00D52898" w:rsidRDefault="00733FF0" w:rsidP="00733FF0">
      <w:pPr>
        <w:spacing w:after="0"/>
        <w:jc w:val="center"/>
        <w:rPr>
          <w:rFonts w:ascii="Wingdings" w:hAnsi="Wingdings"/>
        </w:rPr>
      </w:pPr>
      <w:r w:rsidRPr="00C659C4">
        <w:rPr>
          <w:rFonts w:ascii="Wingdings" w:hAnsi="Wingdings"/>
        </w:rPr>
        <w:t></w:t>
      </w:r>
    </w:p>
    <w:p w14:paraId="40FB6007" w14:textId="4B23A353" w:rsidR="00733FF0" w:rsidRPr="00D52898" w:rsidRDefault="00405F53" w:rsidP="00733FF0">
      <w:pPr>
        <w:pBdr>
          <w:top w:val="single" w:sz="2" w:space="1" w:color="auto"/>
          <w:left w:val="single" w:sz="2" w:space="4" w:color="auto"/>
          <w:bottom w:val="single" w:sz="2" w:space="1" w:color="auto"/>
          <w:right w:val="single" w:sz="2" w:space="4" w:color="auto"/>
        </w:pBdr>
        <w:spacing w:after="0"/>
        <w:jc w:val="center"/>
        <w:rPr>
          <w:b/>
        </w:rPr>
      </w:pPr>
      <w:r>
        <w:rPr>
          <w:b/>
        </w:rPr>
        <w:t>Sharing</w:t>
      </w:r>
      <w:r w:rsidR="00733FF0" w:rsidRPr="00D52898">
        <w:rPr>
          <w:b/>
        </w:rPr>
        <w:t xml:space="preserve"> negotiations</w:t>
      </w:r>
    </w:p>
    <w:p w14:paraId="069FB72D" w14:textId="387A9874" w:rsidR="00733FF0" w:rsidRDefault="00733FF0" w:rsidP="00733FF0">
      <w:pPr>
        <w:pBdr>
          <w:top w:val="single" w:sz="2" w:space="1" w:color="auto"/>
          <w:left w:val="single" w:sz="2" w:space="4" w:color="auto"/>
          <w:bottom w:val="single" w:sz="2" w:space="1" w:color="auto"/>
          <w:right w:val="single" w:sz="2" w:space="4" w:color="auto"/>
        </w:pBdr>
        <w:spacing w:after="0"/>
        <w:jc w:val="center"/>
      </w:pPr>
      <w:r>
        <w:t xml:space="preserve">Grantees will notify MNOs </w:t>
      </w:r>
      <w:r w:rsidRPr="00492784">
        <w:t xml:space="preserve">that have not already confirmed their intention to provide services through Funded Solutions (whether through </w:t>
      </w:r>
      <w:r w:rsidR="00405F53">
        <w:t xml:space="preserve">active sharing, </w:t>
      </w:r>
      <w:r w:rsidRPr="00492784">
        <w:t xml:space="preserve">co-location or otherwise) </w:t>
      </w:r>
      <w:r>
        <w:t xml:space="preserve">of the opportunity to </w:t>
      </w:r>
      <w:r w:rsidR="00405F53">
        <w:t xml:space="preserve">offer services from those </w:t>
      </w:r>
      <w:r>
        <w:t xml:space="preserve"> Funded Solutions</w:t>
      </w:r>
      <w:r w:rsidR="00405F53">
        <w:t xml:space="preserve"> (via active sharing if offered, or co-location)</w:t>
      </w:r>
      <w:r>
        <w:t xml:space="preserve">, and to participate in the detailed design phase using the process set out in sections </w:t>
      </w:r>
      <w:r w:rsidRPr="004D522F">
        <w:fldChar w:fldCharType="begin"/>
      </w:r>
      <w:r w:rsidRPr="004D522F">
        <w:instrText xml:space="preserve"> REF _Ref109304994 \r \h </w:instrText>
      </w:r>
      <w:r>
        <w:instrText xml:space="preserve"> \* MERGEFORMAT </w:instrText>
      </w:r>
      <w:r w:rsidRPr="004D522F">
        <w:fldChar w:fldCharType="separate"/>
      </w:r>
      <w:r w:rsidR="001A1CA8">
        <w:t>4.2.12</w:t>
      </w:r>
      <w:r w:rsidRPr="004D522F">
        <w:fldChar w:fldCharType="end"/>
      </w:r>
      <w:r w:rsidRPr="004D522F">
        <w:t xml:space="preserve"> to </w:t>
      </w:r>
      <w:r>
        <w:fldChar w:fldCharType="begin"/>
      </w:r>
      <w:r>
        <w:instrText xml:space="preserve"> REF _Ref109305790 \r \h </w:instrText>
      </w:r>
      <w:r>
        <w:fldChar w:fldCharType="separate"/>
      </w:r>
      <w:r w:rsidR="001A1CA8">
        <w:t>4.2.16</w:t>
      </w:r>
      <w:r>
        <w:fldChar w:fldCharType="end"/>
      </w:r>
      <w:r w:rsidRPr="004D522F">
        <w:t>.</w:t>
      </w:r>
    </w:p>
    <w:p w14:paraId="3842E987" w14:textId="77777777" w:rsidR="00733FF0" w:rsidRDefault="00733FF0" w:rsidP="00733FF0">
      <w:pPr>
        <w:spacing w:after="0"/>
        <w:jc w:val="center"/>
        <w:rPr>
          <w:rFonts w:ascii="Wingdings" w:hAnsi="Wingdings"/>
        </w:rPr>
      </w:pPr>
      <w:r w:rsidRPr="00C659C4">
        <w:rPr>
          <w:rFonts w:ascii="Wingdings" w:hAnsi="Wingdings"/>
        </w:rPr>
        <w:t></w:t>
      </w:r>
    </w:p>
    <w:p w14:paraId="7A05B203" w14:textId="77777777" w:rsidR="00733FF0" w:rsidRPr="00C659C4" w:rsidRDefault="00733FF0" w:rsidP="00733FF0">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478B125A" w14:textId="77777777" w:rsidR="00733FF0" w:rsidRPr="00C659C4" w:rsidRDefault="00733FF0" w:rsidP="00733FF0">
      <w:pPr>
        <w:pBdr>
          <w:top w:val="single" w:sz="2" w:space="1" w:color="auto"/>
          <w:left w:val="single" w:sz="2" w:space="4" w:color="auto"/>
          <w:bottom w:val="single" w:sz="2" w:space="1" w:color="auto"/>
          <w:right w:val="single" w:sz="2" w:space="4" w:color="auto"/>
        </w:pBdr>
        <w:spacing w:after="0"/>
        <w:jc w:val="center"/>
        <w:rPr>
          <w:bCs/>
        </w:rPr>
      </w:pPr>
      <w:r w:rsidRPr="00C659C4">
        <w:rPr>
          <w:bCs/>
        </w:rPr>
        <w:t>You undertake the gra</w:t>
      </w:r>
      <w:r>
        <w:rPr>
          <w:bCs/>
        </w:rPr>
        <w:t>nt activity as set out in your Grant A</w:t>
      </w:r>
      <w:r w:rsidRPr="00C659C4">
        <w:rPr>
          <w:bCs/>
        </w:rPr>
        <w:t>greement. We manage the grant by working with you, monitoring your progress and making payments.</w:t>
      </w:r>
    </w:p>
    <w:p w14:paraId="3D4BEAE0" w14:textId="77777777" w:rsidR="00733FF0" w:rsidRPr="00C659C4" w:rsidRDefault="00733FF0" w:rsidP="00733FF0">
      <w:pPr>
        <w:spacing w:after="0"/>
        <w:jc w:val="center"/>
        <w:rPr>
          <w:rFonts w:ascii="Wingdings" w:hAnsi="Wingdings"/>
        </w:rPr>
      </w:pPr>
      <w:r w:rsidRPr="00C659C4">
        <w:rPr>
          <w:rFonts w:ascii="Wingdings" w:hAnsi="Wingdings"/>
        </w:rPr>
        <w:t></w:t>
      </w:r>
    </w:p>
    <w:p w14:paraId="247E6799" w14:textId="77777777" w:rsidR="00733FF0" w:rsidRDefault="00733FF0" w:rsidP="00733FF0">
      <w:pPr>
        <w:pBdr>
          <w:top w:val="single" w:sz="2" w:space="1" w:color="auto"/>
          <w:left w:val="single" w:sz="2" w:space="4" w:color="auto"/>
          <w:bottom w:val="single" w:sz="2" w:space="1" w:color="auto"/>
          <w:right w:val="single" w:sz="2" w:space="4" w:color="auto"/>
        </w:pBdr>
        <w:spacing w:after="0"/>
        <w:jc w:val="center"/>
        <w:rPr>
          <w:rFonts w:asciiTheme="minorHAnsi" w:hAnsiTheme="minorHAnsi"/>
          <w:b/>
        </w:rPr>
      </w:pPr>
      <w:r w:rsidRPr="008010B2">
        <w:rPr>
          <w:b/>
        </w:rPr>
        <w:t>Date of Rollout Completion</w:t>
      </w:r>
    </w:p>
    <w:p w14:paraId="2059125B" w14:textId="77777777" w:rsidR="00733FF0" w:rsidRPr="007B08A6" w:rsidRDefault="00733FF0" w:rsidP="00733FF0">
      <w:pPr>
        <w:pBdr>
          <w:top w:val="single" w:sz="2" w:space="1" w:color="auto"/>
          <w:left w:val="single" w:sz="2" w:space="4" w:color="auto"/>
          <w:bottom w:val="single" w:sz="2" w:space="1" w:color="auto"/>
          <w:right w:val="single" w:sz="2" w:space="4" w:color="auto"/>
        </w:pBdr>
        <w:spacing w:after="0"/>
        <w:jc w:val="center"/>
      </w:pPr>
      <w:r w:rsidRPr="007B08A6">
        <w:t xml:space="preserve">Timing: </w:t>
      </w:r>
      <w:r w:rsidRPr="00A01492">
        <w:t xml:space="preserve">30 </w:t>
      </w:r>
      <w:r>
        <w:t>June</w:t>
      </w:r>
      <w:r w:rsidRPr="00D827FF">
        <w:t xml:space="preserve"> </w:t>
      </w:r>
      <w:r w:rsidRPr="007919D0">
        <w:t>202</w:t>
      </w:r>
      <w:r>
        <w:t>5</w:t>
      </w:r>
    </w:p>
    <w:p w14:paraId="1421E243" w14:textId="0EC965C8" w:rsidR="00733FF0" w:rsidRDefault="00733FF0" w:rsidP="00733FF0">
      <w:pPr>
        <w:pBdr>
          <w:top w:val="single" w:sz="2" w:space="1" w:color="auto"/>
          <w:left w:val="single" w:sz="2" w:space="4" w:color="auto"/>
          <w:bottom w:val="single" w:sz="2" w:space="1" w:color="auto"/>
          <w:right w:val="single" w:sz="2" w:space="4" w:color="auto"/>
        </w:pBdr>
        <w:spacing w:after="0"/>
        <w:jc w:val="center"/>
      </w:pPr>
      <w:r>
        <w:t xml:space="preserve">Grantees will be expected to complete the rollout of all Funded Solutions by </w:t>
      </w:r>
      <w:r w:rsidRPr="00A01492">
        <w:t xml:space="preserve">30 </w:t>
      </w:r>
      <w:r>
        <w:t xml:space="preserve">June </w:t>
      </w:r>
      <w:r w:rsidRPr="007919D0">
        <w:t>202</w:t>
      </w:r>
      <w:r>
        <w:t xml:space="preserve">5 (Date of Rollout Completion). The </w:t>
      </w:r>
      <w:r w:rsidR="009F3479">
        <w:t xml:space="preserve">agreed </w:t>
      </w:r>
      <w:r>
        <w:t xml:space="preserve">Date of Rollout Completion will be </w:t>
      </w:r>
      <w:r w:rsidR="009F3479">
        <w:t>set out</w:t>
      </w:r>
      <w:r>
        <w:t xml:space="preserve"> in the Grant Agreement.</w:t>
      </w:r>
    </w:p>
    <w:p w14:paraId="72F1D677" w14:textId="77777777" w:rsidR="00733FF0" w:rsidRDefault="00733FF0" w:rsidP="00733FF0">
      <w:pPr>
        <w:spacing w:after="0"/>
      </w:pPr>
      <w:r>
        <w:br w:type="page"/>
      </w:r>
    </w:p>
    <w:p w14:paraId="42BD80ED" w14:textId="77777777" w:rsidR="00733FF0" w:rsidRDefault="00733FF0" w:rsidP="00733FF0">
      <w:pPr>
        <w:pStyle w:val="Heading3"/>
      </w:pPr>
      <w:bookmarkStart w:id="6" w:name="_Toc113442164"/>
      <w:bookmarkStart w:id="7" w:name="_Toc113357201"/>
      <w:bookmarkStart w:id="8" w:name="_Toc157704939"/>
      <w:r w:rsidRPr="00B24CA0">
        <w:t>Introduction</w:t>
      </w:r>
      <w:bookmarkEnd w:id="6"/>
      <w:bookmarkEnd w:id="7"/>
      <w:bookmarkEnd w:id="8"/>
    </w:p>
    <w:p w14:paraId="7B07DAF0" w14:textId="77777777" w:rsidR="00733FF0" w:rsidRPr="00B24CA0" w:rsidRDefault="00733FF0" w:rsidP="00733FF0">
      <w:pPr>
        <w:pStyle w:val="Normal-Style2"/>
      </w:pPr>
      <w:r>
        <w:fldChar w:fldCharType="begin"/>
      </w:r>
      <w:r>
        <w:instrText xml:space="preserve"> DISPLAYNFC \l 0 </w:instrText>
      </w:r>
      <w:r>
        <w:fldChar w:fldCharType="end"/>
      </w:r>
      <w:r w:rsidRPr="00B24CA0">
        <w:t xml:space="preserve">These Grant Opportunity Guidelines (Guidelines) contain information for the </w:t>
      </w:r>
      <w:r>
        <w:t>Improving Mobile Coverage Round (the Round) of the Mobile Black Spot</w:t>
      </w:r>
      <w:r w:rsidRPr="00B24CA0">
        <w:t xml:space="preserve"> Program (the Program).</w:t>
      </w:r>
      <w:r>
        <w:t xml:space="preserve"> </w:t>
      </w:r>
      <w:r w:rsidRPr="00E00BAF">
        <w:t>This document sets out:</w:t>
      </w:r>
    </w:p>
    <w:p w14:paraId="77671708" w14:textId="77777777" w:rsidR="00733FF0" w:rsidRPr="000C2FDF" w:rsidRDefault="00733FF0" w:rsidP="000C2FDF">
      <w:pPr>
        <w:pStyle w:val="ListBullet"/>
        <w:spacing w:after="80" w:line="240" w:lineRule="auto"/>
        <w:contextualSpacing w:val="0"/>
        <w:rPr>
          <w:rStyle w:val="highlightedtextChar"/>
          <w:rFonts w:cs="Arial"/>
          <w:b w:val="0"/>
          <w:color w:val="auto"/>
        </w:rPr>
      </w:pPr>
      <w:r w:rsidRPr="000C2FDF">
        <w:rPr>
          <w:rStyle w:val="highlightedtextChar"/>
          <w:rFonts w:cs="Arial"/>
          <w:b w:val="0"/>
          <w:color w:val="auto"/>
        </w:rPr>
        <w:t>the purpose of the grant program</w:t>
      </w:r>
    </w:p>
    <w:p w14:paraId="48EB72D6" w14:textId="77777777" w:rsidR="00733FF0" w:rsidRPr="000C2FDF" w:rsidRDefault="00733FF0" w:rsidP="000C2FDF">
      <w:pPr>
        <w:pStyle w:val="ListBullet"/>
        <w:spacing w:after="80" w:line="240" w:lineRule="auto"/>
        <w:contextualSpacing w:val="0"/>
        <w:rPr>
          <w:rStyle w:val="highlightedtextChar"/>
          <w:rFonts w:cs="Arial"/>
          <w:b w:val="0"/>
          <w:color w:val="auto"/>
        </w:rPr>
      </w:pPr>
      <w:r w:rsidRPr="000C2FDF">
        <w:rPr>
          <w:rStyle w:val="highlightedtextChar"/>
          <w:rFonts w:cs="Arial"/>
          <w:b w:val="0"/>
          <w:color w:val="auto"/>
        </w:rPr>
        <w:t>the eligibility and assessment criteria</w:t>
      </w:r>
    </w:p>
    <w:p w14:paraId="0BA148FF" w14:textId="77777777" w:rsidR="00733FF0" w:rsidRPr="000C2FDF" w:rsidRDefault="00733FF0" w:rsidP="000C2FDF">
      <w:pPr>
        <w:pStyle w:val="ListBullet"/>
        <w:spacing w:after="80" w:line="240" w:lineRule="auto"/>
        <w:contextualSpacing w:val="0"/>
        <w:rPr>
          <w:rStyle w:val="highlightedtextChar"/>
          <w:rFonts w:cs="Arial"/>
          <w:b w:val="0"/>
          <w:color w:val="auto"/>
        </w:rPr>
      </w:pPr>
      <w:r w:rsidRPr="000C2FDF">
        <w:rPr>
          <w:rStyle w:val="highlightedtextChar"/>
          <w:rFonts w:cs="Arial"/>
          <w:b w:val="0"/>
          <w:color w:val="auto"/>
        </w:rPr>
        <w:t>how grant applications are considered and selected</w:t>
      </w:r>
    </w:p>
    <w:p w14:paraId="457A1C87" w14:textId="77777777" w:rsidR="00733FF0" w:rsidRPr="000C2FDF" w:rsidRDefault="00733FF0" w:rsidP="000C2FDF">
      <w:pPr>
        <w:pStyle w:val="ListBullet"/>
        <w:spacing w:after="80" w:line="240" w:lineRule="auto"/>
        <w:contextualSpacing w:val="0"/>
        <w:rPr>
          <w:rStyle w:val="highlightedtextChar"/>
          <w:rFonts w:cs="Arial"/>
          <w:b w:val="0"/>
          <w:color w:val="auto"/>
        </w:rPr>
      </w:pPr>
      <w:r w:rsidRPr="000C2FDF">
        <w:rPr>
          <w:rStyle w:val="highlightedtextChar"/>
          <w:rFonts w:cs="Arial"/>
          <w:b w:val="0"/>
          <w:color w:val="auto"/>
        </w:rPr>
        <w:t>how grantees are notified and receive grant payments</w:t>
      </w:r>
    </w:p>
    <w:p w14:paraId="78A5423A" w14:textId="77777777" w:rsidR="00733FF0" w:rsidRPr="000C2FDF" w:rsidRDefault="00733FF0" w:rsidP="000C2FDF">
      <w:pPr>
        <w:pStyle w:val="ListBullet"/>
        <w:spacing w:after="80" w:line="240" w:lineRule="auto"/>
        <w:contextualSpacing w:val="0"/>
        <w:rPr>
          <w:rStyle w:val="highlightedtextChar"/>
          <w:rFonts w:cs="Arial"/>
          <w:b w:val="0"/>
          <w:color w:val="auto"/>
        </w:rPr>
      </w:pPr>
      <w:r w:rsidRPr="000C2FDF">
        <w:rPr>
          <w:rStyle w:val="highlightedtextChar"/>
          <w:rFonts w:cs="Arial"/>
          <w:b w:val="0"/>
          <w:color w:val="auto"/>
        </w:rPr>
        <w:t>how grantees will be monitored and evaluated</w:t>
      </w:r>
    </w:p>
    <w:p w14:paraId="76EAAD71" w14:textId="77777777" w:rsidR="0045229E" w:rsidRPr="000C2FDF" w:rsidRDefault="00733FF0" w:rsidP="000C2FDF">
      <w:pPr>
        <w:pStyle w:val="ListBullet"/>
        <w:spacing w:after="80" w:line="240" w:lineRule="auto"/>
        <w:contextualSpacing w:val="0"/>
        <w:rPr>
          <w:rStyle w:val="highlightedtextChar"/>
          <w:rFonts w:cs="Arial"/>
          <w:color w:val="auto"/>
        </w:rPr>
      </w:pPr>
      <w:r w:rsidRPr="000C2FDF">
        <w:rPr>
          <w:rStyle w:val="highlightedtextChar"/>
          <w:rFonts w:cs="Arial"/>
          <w:b w:val="0"/>
          <w:color w:val="auto"/>
        </w:rPr>
        <w:t>responsibilities and expectations in relation to the opportunity</w:t>
      </w:r>
      <w:r w:rsidR="0045229E" w:rsidRPr="000C2FDF">
        <w:rPr>
          <w:rStyle w:val="highlightedtextChar"/>
          <w:rFonts w:cs="Arial"/>
          <w:color w:val="auto"/>
        </w:rPr>
        <w:t>.</w:t>
      </w:r>
    </w:p>
    <w:p w14:paraId="240CCA5A" w14:textId="77777777" w:rsidR="0045229E" w:rsidRDefault="00733FF0" w:rsidP="00733FF0">
      <w:pPr>
        <w:pStyle w:val="Normal-Style2"/>
      </w:pPr>
      <w:r w:rsidRPr="00B24CA0">
        <w:t>You must read these guidelines before filling out an application</w:t>
      </w:r>
      <w:r w:rsidR="0045229E">
        <w:t>.</w:t>
      </w:r>
    </w:p>
    <w:p w14:paraId="19BBB3BE" w14:textId="77777777" w:rsidR="00733FF0" w:rsidRPr="00F40BDA" w:rsidRDefault="00733FF0" w:rsidP="00733FF0">
      <w:pPr>
        <w:pStyle w:val="Heading2"/>
      </w:pPr>
      <w:bookmarkStart w:id="9" w:name="_Ref109304581"/>
      <w:bookmarkStart w:id="10" w:name="_Toc113442165"/>
      <w:bookmarkStart w:id="11" w:name="_Toc113357202"/>
      <w:bookmarkStart w:id="12" w:name="_Toc157704940"/>
      <w:r>
        <w:t>About the grant program</w:t>
      </w:r>
      <w:bookmarkEnd w:id="9"/>
      <w:bookmarkEnd w:id="10"/>
      <w:bookmarkEnd w:id="11"/>
      <w:bookmarkEnd w:id="12"/>
    </w:p>
    <w:p w14:paraId="50EB39B8" w14:textId="77777777" w:rsidR="00733FF0" w:rsidRPr="002873DD" w:rsidRDefault="00733FF0" w:rsidP="00733FF0">
      <w:pPr>
        <w:pStyle w:val="Heading3"/>
      </w:pPr>
      <w:bookmarkStart w:id="13" w:name="_Toc50044010"/>
      <w:bookmarkStart w:id="14" w:name="_Toc88037072"/>
      <w:bookmarkStart w:id="15" w:name="_Toc95910909"/>
      <w:bookmarkStart w:id="16" w:name="_Toc113442166"/>
      <w:bookmarkStart w:id="17" w:name="_Toc113357203"/>
      <w:bookmarkStart w:id="18" w:name="_Toc157704941"/>
      <w:r w:rsidRPr="002873DD">
        <w:t>About the Program</w:t>
      </w:r>
      <w:bookmarkEnd w:id="13"/>
      <w:bookmarkEnd w:id="14"/>
      <w:bookmarkEnd w:id="15"/>
      <w:bookmarkEnd w:id="16"/>
      <w:bookmarkEnd w:id="17"/>
      <w:bookmarkEnd w:id="18"/>
    </w:p>
    <w:p w14:paraId="6B121C6F" w14:textId="77777777" w:rsidR="00733FF0" w:rsidRPr="000C2FDF" w:rsidRDefault="00733FF0" w:rsidP="00733FF0">
      <w:pPr>
        <w:pStyle w:val="Normal-Style2"/>
      </w:pPr>
      <w:r w:rsidRPr="000C2FDF">
        <w:t>The objectives of the Program are to extend and improve mobile phone coverage and competition in regional and remote Australia, by co-funding new or upgraded telecommunications infrastructure.</w:t>
      </w:r>
    </w:p>
    <w:p w14:paraId="30D9D14D" w14:textId="77777777" w:rsidR="00733FF0" w:rsidRPr="000C2FDF" w:rsidRDefault="00733FF0" w:rsidP="00733FF0">
      <w:pPr>
        <w:pStyle w:val="Normal-Style2"/>
      </w:pPr>
      <w:r w:rsidRPr="000C2FDF">
        <w:t>The intended outcomes of the Program are to provide mobile telecommunications users in regional and remote Australia with:</w:t>
      </w:r>
    </w:p>
    <w:p w14:paraId="2F3F3DEE" w14:textId="77777777" w:rsidR="00733FF0" w:rsidRPr="000C2FDF" w:rsidRDefault="00733FF0" w:rsidP="001C2B1A">
      <w:pPr>
        <w:pStyle w:val="ListBullet"/>
        <w:spacing w:after="80" w:line="240" w:lineRule="auto"/>
        <w:contextualSpacing w:val="0"/>
      </w:pPr>
      <w:r w:rsidRPr="000C2FDF">
        <w:t>access to new and improved handheld mobile coverage</w:t>
      </w:r>
    </w:p>
    <w:p w14:paraId="2837ADD4" w14:textId="77777777" w:rsidR="00733FF0" w:rsidRPr="000C2FDF" w:rsidRDefault="00733FF0" w:rsidP="001C2B1A">
      <w:pPr>
        <w:pStyle w:val="ListBullet"/>
        <w:spacing w:after="80" w:line="240" w:lineRule="auto"/>
        <w:contextualSpacing w:val="0"/>
      </w:pPr>
      <w:r w:rsidRPr="000C2FDF">
        <w:t>greater choice of mobile network.</w:t>
      </w:r>
    </w:p>
    <w:p w14:paraId="7B1453BC" w14:textId="77777777" w:rsidR="00733FF0" w:rsidRPr="000C2FDF" w:rsidRDefault="00733FF0" w:rsidP="00733FF0">
      <w:pPr>
        <w:pStyle w:val="Normal-Style2"/>
      </w:pPr>
      <w:bookmarkStart w:id="19" w:name="_Hlk54953432"/>
      <w:r w:rsidRPr="000C2FDF">
        <w:t>Over the previous rounds of the Program, 1,296 base stations have received funding:</w:t>
      </w:r>
      <w:r w:rsidRPr="000C2FDF">
        <w:rPr>
          <w:rStyle w:val="FootnoteReference"/>
        </w:rPr>
        <w:footnoteReference w:id="3"/>
      </w:r>
    </w:p>
    <w:p w14:paraId="2834F786" w14:textId="77777777" w:rsidR="00733FF0" w:rsidRPr="000C2FDF" w:rsidRDefault="00733FF0" w:rsidP="001C2B1A">
      <w:pPr>
        <w:pStyle w:val="ListBullet"/>
        <w:spacing w:after="80" w:line="240" w:lineRule="auto"/>
        <w:contextualSpacing w:val="0"/>
      </w:pPr>
      <w:bookmarkStart w:id="20" w:name="_Hlk110436079"/>
      <w:r w:rsidRPr="000C2FDF">
        <w:t>Round 1: 499 base stations, announced in June 2015.</w:t>
      </w:r>
    </w:p>
    <w:bookmarkEnd w:id="20"/>
    <w:p w14:paraId="1308A926" w14:textId="77777777" w:rsidR="00733FF0" w:rsidRPr="000C2FDF" w:rsidRDefault="00733FF0" w:rsidP="001C2B1A">
      <w:pPr>
        <w:pStyle w:val="ListBullet"/>
        <w:spacing w:after="80" w:line="240" w:lineRule="auto"/>
        <w:contextualSpacing w:val="0"/>
      </w:pPr>
      <w:r w:rsidRPr="000C2FDF">
        <w:t>Round 2: 266 base stations, announced in December 2016.</w:t>
      </w:r>
    </w:p>
    <w:p w14:paraId="4E4DC5A2" w14:textId="77777777" w:rsidR="00733FF0" w:rsidRPr="000C2FDF" w:rsidRDefault="00733FF0" w:rsidP="001C2B1A">
      <w:pPr>
        <w:pStyle w:val="ListBullet"/>
        <w:spacing w:after="80" w:line="240" w:lineRule="auto"/>
        <w:contextualSpacing w:val="0"/>
      </w:pPr>
      <w:r w:rsidRPr="000C2FDF">
        <w:t>Round 3: 102 base stations, announced March 2018.</w:t>
      </w:r>
    </w:p>
    <w:p w14:paraId="18A3C5D9" w14:textId="77777777" w:rsidR="00733FF0" w:rsidRPr="000C2FDF" w:rsidRDefault="00733FF0" w:rsidP="001C2B1A">
      <w:pPr>
        <w:pStyle w:val="ListBullet"/>
        <w:spacing w:after="80" w:line="240" w:lineRule="auto"/>
        <w:contextualSpacing w:val="0"/>
      </w:pPr>
      <w:r w:rsidRPr="000C2FDF">
        <w:t>Round 4: 180 base stations, announced March 2019.</w:t>
      </w:r>
    </w:p>
    <w:p w14:paraId="5DE9E22F" w14:textId="77777777" w:rsidR="00733FF0" w:rsidRPr="000C2FDF" w:rsidRDefault="00733FF0" w:rsidP="001C2B1A">
      <w:pPr>
        <w:pStyle w:val="ListBullet"/>
        <w:spacing w:after="80" w:line="240" w:lineRule="auto"/>
        <w:contextualSpacing w:val="0"/>
      </w:pPr>
      <w:r w:rsidRPr="000C2FDF">
        <w:t>Round 5: 182 base stations, announced April 2020.</w:t>
      </w:r>
    </w:p>
    <w:p w14:paraId="7097026F" w14:textId="77777777" w:rsidR="00733FF0" w:rsidRPr="000C2FDF" w:rsidRDefault="00733FF0" w:rsidP="001C2B1A">
      <w:pPr>
        <w:pStyle w:val="ListBullet"/>
        <w:spacing w:after="80" w:line="240" w:lineRule="auto"/>
        <w:contextualSpacing w:val="0"/>
      </w:pPr>
      <w:r w:rsidRPr="000C2FDF">
        <w:t>Round 5A: 67 base stations, announced July 2021.</w:t>
      </w:r>
    </w:p>
    <w:p w14:paraId="6C454299" w14:textId="77777777" w:rsidR="00733FF0" w:rsidRPr="000C2FDF" w:rsidRDefault="00733FF0" w:rsidP="00733FF0">
      <w:pPr>
        <w:pStyle w:val="Normal-Style2"/>
      </w:pPr>
      <w:r w:rsidRPr="000C2FDF">
        <w:t>The department is responsible for administering the Program on behalf of the Australian Government.</w:t>
      </w:r>
      <w:bookmarkEnd w:id="19"/>
    </w:p>
    <w:p w14:paraId="3818E58A" w14:textId="77777777" w:rsidR="00733FF0" w:rsidRPr="002F5090" w:rsidRDefault="00733FF0" w:rsidP="00733FF0">
      <w:pPr>
        <w:pStyle w:val="Normal-Style2"/>
      </w:pPr>
      <w:r>
        <w:t>We administer the program according</w:t>
      </w:r>
      <w:r w:rsidRPr="00CA63CF">
        <w:t xml:space="preserve"> to the</w:t>
      </w:r>
      <w:r w:rsidRPr="002F5090">
        <w:rPr>
          <w:i/>
          <w:u w:val="single"/>
        </w:rPr>
        <w:t xml:space="preserve"> </w:t>
      </w:r>
      <w:hyperlink r:id="rId23" w:history="1">
        <w:r w:rsidRPr="002F5090">
          <w:rPr>
            <w:rStyle w:val="Hyperlink"/>
            <w:i/>
          </w:rPr>
          <w:t>Commonwealth Grants Rules and Guidelines</w:t>
        </w:r>
      </w:hyperlink>
      <w:r w:rsidRPr="00CA63CF">
        <w:t xml:space="preserve"> (CGRGs)</w:t>
      </w:r>
      <w:r w:rsidRPr="00CA63CF">
        <w:rPr>
          <w:i/>
          <w:vertAlign w:val="superscript"/>
        </w:rPr>
        <w:footnoteReference w:id="4"/>
      </w:r>
      <w:r w:rsidRPr="002F5090">
        <w:rPr>
          <w:i/>
        </w:rPr>
        <w:t>.</w:t>
      </w:r>
    </w:p>
    <w:p w14:paraId="343B65D8" w14:textId="77777777" w:rsidR="00733FF0" w:rsidRPr="002873DD" w:rsidRDefault="00733FF0" w:rsidP="00733FF0">
      <w:pPr>
        <w:pStyle w:val="Heading3"/>
      </w:pPr>
      <w:bookmarkStart w:id="21" w:name="_Ref485199086"/>
      <w:bookmarkStart w:id="22" w:name="_Ref485200398"/>
      <w:bookmarkStart w:id="23" w:name="_Toc95910910"/>
      <w:bookmarkStart w:id="24" w:name="_Toc113442167"/>
      <w:bookmarkStart w:id="25" w:name="_Toc113357204"/>
      <w:bookmarkStart w:id="26" w:name="_Ref121921795"/>
      <w:bookmarkStart w:id="27" w:name="_Toc157704942"/>
      <w:r w:rsidRPr="002873DD">
        <w:t xml:space="preserve">About </w:t>
      </w:r>
      <w:bookmarkEnd w:id="21"/>
      <w:bookmarkEnd w:id="22"/>
      <w:r w:rsidRPr="002873DD">
        <w:t xml:space="preserve">the </w:t>
      </w:r>
      <w:r>
        <w:t>Improving Mobile Coverage Round</w:t>
      </w:r>
      <w:r w:rsidRPr="002873DD">
        <w:t xml:space="preserve"> grant opportunity</w:t>
      </w:r>
      <w:bookmarkEnd w:id="23"/>
      <w:bookmarkEnd w:id="24"/>
      <w:bookmarkEnd w:id="25"/>
      <w:bookmarkEnd w:id="26"/>
      <w:bookmarkEnd w:id="27"/>
    </w:p>
    <w:p w14:paraId="65BECE55" w14:textId="29411AFD" w:rsidR="00733FF0" w:rsidRPr="001C2B1A" w:rsidRDefault="00733FF0" w:rsidP="00733FF0">
      <w:pPr>
        <w:pStyle w:val="Normal-Style2"/>
      </w:pPr>
      <w:r w:rsidRPr="001C2B1A">
        <w:t xml:space="preserve">The Round was announced as part of the </w:t>
      </w:r>
      <w:hyperlink r:id="rId24" w:history="1">
        <w:r w:rsidRPr="001A1CA8">
          <w:rPr>
            <w:rStyle w:val="Hyperlink"/>
          </w:rPr>
          <w:t>2022-23 Federal Budget</w:t>
        </w:r>
      </w:hyperlink>
      <w:r w:rsidR="00DD5568">
        <w:rPr>
          <w:rStyle w:val="FootnoteReference"/>
          <w:iCs/>
        </w:rPr>
        <w:footnoteReference w:id="5"/>
      </w:r>
      <w:r w:rsidRPr="001A1CA8">
        <w:rPr>
          <w:rStyle w:val="highlightedtextChar"/>
          <w:b w:val="0"/>
          <w:color w:val="auto"/>
        </w:rPr>
        <w:t xml:space="preserve"> in October 2022.</w:t>
      </w:r>
    </w:p>
    <w:p w14:paraId="63FE7BED" w14:textId="45082067" w:rsidR="0045229E" w:rsidRPr="001C2B1A" w:rsidRDefault="00733FF0" w:rsidP="00733FF0">
      <w:pPr>
        <w:pStyle w:val="Normal-Style2"/>
      </w:pPr>
      <w:r w:rsidRPr="001C2B1A">
        <w:t>The grant opportunity will focus on addressing identified mobile coverage and quality of service issues at 54 Target Locations</w:t>
      </w:r>
      <w:r w:rsidR="00E941AF">
        <w:rPr>
          <w:rStyle w:val="FootnoteReference"/>
        </w:rPr>
        <w:footnoteReference w:id="6"/>
      </w:r>
      <w:r w:rsidRPr="001C2B1A">
        <w:t xml:space="preserve"> across regional Australia, including several major road transport corridors</w:t>
      </w:r>
      <w:r w:rsidR="0045229E" w:rsidRPr="001C2B1A">
        <w:t>.</w:t>
      </w:r>
    </w:p>
    <w:p w14:paraId="34E52643" w14:textId="77777777" w:rsidR="00733FF0" w:rsidRDefault="00733FF0" w:rsidP="00733FF0">
      <w:pPr>
        <w:pStyle w:val="Normal-Style2"/>
      </w:pPr>
      <w:bookmarkStart w:id="28" w:name="_Ref110515229"/>
      <w:r>
        <w:t>The department has undertaken a detailed analysis of the Target Locations and has categorised each location into one of three categories based on the most appropriate type of infrastructure solution for the service issue at each location:</w:t>
      </w:r>
      <w:bookmarkEnd w:id="28"/>
    </w:p>
    <w:p w14:paraId="55F9B925" w14:textId="77777777" w:rsidR="00733FF0" w:rsidRDefault="00733FF0" w:rsidP="00733FF0">
      <w:pPr>
        <w:pStyle w:val="Normal-Style2"/>
        <w:numPr>
          <w:ilvl w:val="3"/>
          <w:numId w:val="25"/>
        </w:numPr>
        <w:ind w:left="1418" w:hanging="567"/>
      </w:pPr>
      <w:r>
        <w:rPr>
          <w:b/>
        </w:rPr>
        <w:t>New Coverage Solutions:</w:t>
      </w:r>
      <w:r>
        <w:t xml:space="preserve"> solutions that deliver New Handheld Coverage at Target Locations with limited existing coverage;</w:t>
      </w:r>
    </w:p>
    <w:p w14:paraId="6840B45A" w14:textId="77777777" w:rsidR="00733FF0" w:rsidRDefault="00733FF0" w:rsidP="00733FF0">
      <w:pPr>
        <w:pStyle w:val="Normal-Style2"/>
        <w:numPr>
          <w:ilvl w:val="3"/>
          <w:numId w:val="25"/>
        </w:numPr>
        <w:ind w:left="1418" w:hanging="567"/>
      </w:pPr>
      <w:r>
        <w:rPr>
          <w:b/>
        </w:rPr>
        <w:t>New Highway Coverage</w:t>
      </w:r>
      <w:r>
        <w:t xml:space="preserve"> </w:t>
      </w:r>
      <w:r>
        <w:rPr>
          <w:b/>
        </w:rPr>
        <w:t>Solutions:</w:t>
      </w:r>
      <w:r>
        <w:t xml:space="preserve"> solutions that deliver New Handheld Coverage along a defined section of highway with limited existing coverage which has been identified as a Target Location;</w:t>
      </w:r>
    </w:p>
    <w:p w14:paraId="1553E0D3" w14:textId="77777777" w:rsidR="00733FF0" w:rsidRDefault="00733FF0" w:rsidP="00733FF0">
      <w:pPr>
        <w:pStyle w:val="Normal-Style2"/>
        <w:numPr>
          <w:ilvl w:val="3"/>
          <w:numId w:val="25"/>
        </w:numPr>
        <w:ind w:left="1418" w:hanging="567"/>
      </w:pPr>
      <w:r>
        <w:rPr>
          <w:b/>
        </w:rPr>
        <w:t xml:space="preserve">Improved Coverage Solutions: </w:t>
      </w:r>
      <w:r>
        <w:t>solutions that provide Improved Handheld Coverage and address quality of service (e.g. capacity, congestion, indoor coverage) issues in Target Locations with good indicative levels of Existing Handheld Coverage from one or more MNOs.</w:t>
      </w:r>
    </w:p>
    <w:p w14:paraId="4DE4C95B" w14:textId="2FE30A5F" w:rsidR="00733FF0" w:rsidRPr="002F5090" w:rsidRDefault="00733FF0" w:rsidP="0045229E">
      <w:pPr>
        <w:pStyle w:val="Normal-Style2"/>
        <w:numPr>
          <w:ilvl w:val="0"/>
          <w:numId w:val="0"/>
        </w:numPr>
        <w:ind w:left="1418"/>
      </w:pPr>
      <w:r>
        <w:t xml:space="preserve">The categorised list of Target Locations is at </w:t>
      </w:r>
      <w:hyperlink w:anchor="_Appendix_A.1._–" w:history="1">
        <w:r w:rsidR="00013C11">
          <w:rPr>
            <w:rStyle w:val="Hyperlink"/>
          </w:rPr>
          <w:t>Appendix A</w:t>
        </w:r>
      </w:hyperlink>
      <w:r w:rsidRPr="00191297">
        <w:t>.</w:t>
      </w:r>
    </w:p>
    <w:p w14:paraId="5D0D8591" w14:textId="77777777" w:rsidR="00733FF0" w:rsidRDefault="00733FF0" w:rsidP="00733FF0">
      <w:pPr>
        <w:pStyle w:val="Heading2"/>
      </w:pPr>
      <w:bookmarkStart w:id="29" w:name="_Toc113442168"/>
      <w:bookmarkStart w:id="30" w:name="_Toc113357205"/>
      <w:bookmarkStart w:id="31" w:name="_Toc157704943"/>
      <w:r>
        <w:t>Grant amount and grant period</w:t>
      </w:r>
      <w:bookmarkEnd w:id="29"/>
      <w:bookmarkEnd w:id="30"/>
      <w:bookmarkEnd w:id="31"/>
    </w:p>
    <w:p w14:paraId="6AC9FFE3" w14:textId="77777777" w:rsidR="00733FF0" w:rsidRDefault="00733FF0" w:rsidP="00733FF0">
      <w:pPr>
        <w:pStyle w:val="Heading3"/>
      </w:pPr>
      <w:bookmarkStart w:id="32" w:name="_Ref109305501"/>
      <w:bookmarkStart w:id="33" w:name="_Toc113442169"/>
      <w:bookmarkStart w:id="34" w:name="_Toc113357206"/>
      <w:bookmarkStart w:id="35" w:name="_Toc157704944"/>
      <w:r>
        <w:t>Grants available</w:t>
      </w:r>
      <w:bookmarkEnd w:id="32"/>
      <w:bookmarkEnd w:id="33"/>
      <w:bookmarkEnd w:id="34"/>
      <w:bookmarkEnd w:id="35"/>
    </w:p>
    <w:p w14:paraId="626A9D1A" w14:textId="77777777" w:rsidR="00733FF0" w:rsidRDefault="00733FF0" w:rsidP="00733FF0">
      <w:pPr>
        <w:pStyle w:val="Normal-Style2"/>
      </w:pPr>
      <w:r>
        <w:t>The Australian Government has committed a total of $40 million (GST exclusive) over three years for the grant opportunity from 2022</w:t>
      </w:r>
      <w:r w:rsidR="0045229E">
        <w:t>–</w:t>
      </w:r>
      <w:r>
        <w:t>23 to 2024</w:t>
      </w:r>
      <w:r w:rsidR="0045229E">
        <w:t>–</w:t>
      </w:r>
      <w:r>
        <w:t>25.</w:t>
      </w:r>
    </w:p>
    <w:p w14:paraId="7AFBD1F9" w14:textId="5DD7877A" w:rsidR="007975F5" w:rsidRDefault="00733FF0" w:rsidP="00733FF0">
      <w:pPr>
        <w:pStyle w:val="Normal-Style2"/>
      </w:pPr>
      <w:bookmarkStart w:id="36" w:name="_Ref110516243"/>
      <w:r w:rsidRPr="001C2B1A">
        <w:t>The Government has determined a</w:t>
      </w:r>
      <w:r w:rsidR="001235C9">
        <w:t xml:space="preserve"> nominal </w:t>
      </w:r>
      <w:r w:rsidR="00CE7992">
        <w:t xml:space="preserve">funding cap </w:t>
      </w:r>
      <w:r w:rsidRPr="001C2B1A">
        <w:t xml:space="preserve">(the Cap) available for each </w:t>
      </w:r>
      <w:r w:rsidR="00CE7992">
        <w:t>base station</w:t>
      </w:r>
      <w:r w:rsidR="007975F5">
        <w:t xml:space="preserve"> type as follows:</w:t>
      </w:r>
    </w:p>
    <w:p w14:paraId="3155260C" w14:textId="795EC126" w:rsidR="007975F5" w:rsidRDefault="007975F5" w:rsidP="007975F5">
      <w:pPr>
        <w:pStyle w:val="Normal-Style2"/>
        <w:numPr>
          <w:ilvl w:val="3"/>
          <w:numId w:val="25"/>
        </w:numPr>
      </w:pPr>
      <w:r>
        <w:t>$6</w:t>
      </w:r>
      <w:r w:rsidR="000B63D7">
        <w:t>8</w:t>
      </w:r>
      <w:r>
        <w:t xml:space="preserve">0,000 (GST exclusive) for a single macro cell </w:t>
      </w:r>
      <w:r w:rsidR="00CE7992">
        <w:t>base station</w:t>
      </w:r>
      <w:r>
        <w:t>; and</w:t>
      </w:r>
    </w:p>
    <w:p w14:paraId="004F0705" w14:textId="4085D910" w:rsidR="007975F5" w:rsidRDefault="007975F5" w:rsidP="007975F5">
      <w:pPr>
        <w:pStyle w:val="Normal-Style2"/>
        <w:numPr>
          <w:ilvl w:val="3"/>
          <w:numId w:val="25"/>
        </w:numPr>
      </w:pPr>
      <w:r>
        <w:t xml:space="preserve">$250,000 (GST exclusive) for a single small cell </w:t>
      </w:r>
      <w:r w:rsidR="00CE7992">
        <w:t>base station</w:t>
      </w:r>
      <w:r>
        <w:t>.</w:t>
      </w:r>
    </w:p>
    <w:p w14:paraId="2F19CF2E" w14:textId="18306ADB" w:rsidR="00733FF0" w:rsidRPr="00D84EEA" w:rsidRDefault="007975F5" w:rsidP="00B36CCD">
      <w:pPr>
        <w:pStyle w:val="Normal-Style2"/>
      </w:pPr>
      <w:r>
        <w:t xml:space="preserve">For </w:t>
      </w:r>
      <w:r>
        <w:rPr>
          <w:b/>
        </w:rPr>
        <w:t>New Highway Coverage</w:t>
      </w:r>
      <w:r>
        <w:t xml:space="preserve"> </w:t>
      </w:r>
      <w:r w:rsidR="00CE7992">
        <w:rPr>
          <w:b/>
        </w:rPr>
        <w:t>Solutions,</w:t>
      </w:r>
      <w:r>
        <w:t xml:space="preserve"> it is expect</w:t>
      </w:r>
      <w:r w:rsidR="00CE7992">
        <w:t>ed</w:t>
      </w:r>
      <w:r>
        <w:t xml:space="preserve"> the proposal may include one or more macro and /</w:t>
      </w:r>
      <w:r w:rsidR="00BD300A">
        <w:t xml:space="preserve"> or</w:t>
      </w:r>
      <w:r>
        <w:t xml:space="preserve"> small cell </w:t>
      </w:r>
      <w:r w:rsidR="00CE7992">
        <w:t>base stations</w:t>
      </w:r>
      <w:r>
        <w:t>.</w:t>
      </w:r>
      <w:r w:rsidR="00CE7992">
        <w:t xml:space="preserve"> For other solution types, except where indicated in Appendix A, </w:t>
      </w:r>
      <w:r w:rsidR="00BD300A">
        <w:t>i</w:t>
      </w:r>
      <w:r w:rsidR="00CE7992">
        <w:t>t is expected a proposed solution will comprise either a single macro cell base station or several small cell base stations.</w:t>
      </w:r>
      <w:bookmarkEnd w:id="36"/>
    </w:p>
    <w:p w14:paraId="0C2DDE4C" w14:textId="0BC516F0" w:rsidR="00733FF0" w:rsidRPr="001C2B1A" w:rsidRDefault="00733FF0" w:rsidP="00733FF0">
      <w:pPr>
        <w:pStyle w:val="Normal-Style2"/>
        <w:rPr>
          <w:rFonts w:eastAsiaTheme="minorHAnsi"/>
        </w:rPr>
      </w:pPr>
      <w:bookmarkStart w:id="37" w:name="_Ref121996335"/>
      <w:r w:rsidRPr="001C2B1A">
        <w:t xml:space="preserve">As a first principle, the department will recommend funding at least one Proposed Solution for each Target Location where there is a Proposed Solution that offers Value for Money and is within the Cap for the given </w:t>
      </w:r>
      <w:r w:rsidR="00CE7992">
        <w:t>base station</w:t>
      </w:r>
      <w:r w:rsidR="007975F5">
        <w:t xml:space="preserve"> type</w:t>
      </w:r>
      <w:r w:rsidR="00CE7992">
        <w:t>(s)</w:t>
      </w:r>
      <w:r w:rsidRPr="001C2B1A">
        <w:t>.</w:t>
      </w:r>
      <w:bookmarkEnd w:id="37"/>
    </w:p>
    <w:p w14:paraId="56B5C121" w14:textId="77777777" w:rsidR="00733FF0" w:rsidRPr="001C2B1A" w:rsidRDefault="00733FF0" w:rsidP="00733FF0">
      <w:pPr>
        <w:pStyle w:val="Normal-Style2"/>
        <w:rPr>
          <w:rFonts w:eastAsiaTheme="minorHAnsi"/>
          <w:b/>
        </w:rPr>
      </w:pPr>
      <w:r w:rsidRPr="001C2B1A">
        <w:rPr>
          <w:rStyle w:val="highlightedtextChar"/>
          <w:b w:val="0"/>
          <w:color w:val="auto"/>
        </w:rPr>
        <w:t>Subject to the availability of funds, the Government reserves the right to fund multiple solutions at a given Target Location where it considers these address the mobile coverage or quality of service issues for that Target Location and represent Value for Money.</w:t>
      </w:r>
    </w:p>
    <w:p w14:paraId="15BEFFAF" w14:textId="280AC4D1" w:rsidR="00733FF0" w:rsidRPr="00D84EEA" w:rsidRDefault="00733FF0" w:rsidP="00733FF0">
      <w:pPr>
        <w:pStyle w:val="Normal-Style2"/>
        <w:rPr>
          <w:szCs w:val="32"/>
        </w:rPr>
      </w:pPr>
      <w:bookmarkStart w:id="38" w:name="_Ref121996341"/>
      <w:r w:rsidRPr="00D84EEA">
        <w:rPr>
          <w:rFonts w:eastAsiaTheme="minorHAnsi"/>
        </w:rPr>
        <w:t xml:space="preserve">The </w:t>
      </w:r>
      <w:r w:rsidRPr="00D84EEA">
        <w:rPr>
          <w:rFonts w:eastAsia="Calibri"/>
        </w:rPr>
        <w:t>department</w:t>
      </w:r>
      <w:r w:rsidRPr="00D84EEA">
        <w:rPr>
          <w:rFonts w:eastAsiaTheme="minorHAnsi"/>
        </w:rPr>
        <w:t xml:space="preserve"> may, at its absolute discretion and subject to the availability of funding, also recommend increasing the level of Commonwealth funding for one or more Proposed Solutions above the Cap should it be considered Value for Money (see section </w:t>
      </w:r>
      <w:r w:rsidR="001A1CA8">
        <w:rPr>
          <w:rFonts w:eastAsiaTheme="minorHAnsi"/>
        </w:rPr>
        <w:fldChar w:fldCharType="begin"/>
      </w:r>
      <w:r w:rsidR="001A1CA8">
        <w:rPr>
          <w:rFonts w:eastAsiaTheme="minorHAnsi"/>
        </w:rPr>
        <w:instrText xml:space="preserve"> REF _Ref121920866 \r \h </w:instrText>
      </w:r>
      <w:r w:rsidR="001A1CA8">
        <w:rPr>
          <w:rFonts w:eastAsiaTheme="minorHAnsi"/>
        </w:rPr>
      </w:r>
      <w:r w:rsidR="001A1CA8">
        <w:rPr>
          <w:rFonts w:eastAsiaTheme="minorHAnsi"/>
        </w:rPr>
        <w:fldChar w:fldCharType="separate"/>
      </w:r>
      <w:r w:rsidR="001A1CA8">
        <w:rPr>
          <w:rFonts w:eastAsiaTheme="minorHAnsi"/>
        </w:rPr>
        <w:t>8.4</w:t>
      </w:r>
      <w:r w:rsidR="001A1CA8">
        <w:rPr>
          <w:rFonts w:eastAsiaTheme="minorHAnsi"/>
        </w:rPr>
        <w:fldChar w:fldCharType="end"/>
      </w:r>
      <w:r w:rsidRPr="00D84EEA">
        <w:rPr>
          <w:rFonts w:eastAsiaTheme="minorHAnsi"/>
        </w:rPr>
        <w:t>).</w:t>
      </w:r>
      <w:bookmarkEnd w:id="38"/>
    </w:p>
    <w:p w14:paraId="5B63973E" w14:textId="77777777" w:rsidR="00733FF0" w:rsidRDefault="00733FF0" w:rsidP="00733FF0">
      <w:pPr>
        <w:pStyle w:val="Heading3"/>
      </w:pPr>
      <w:bookmarkStart w:id="39" w:name="_Toc90294818"/>
      <w:bookmarkStart w:id="40" w:name="_Toc113442170"/>
      <w:bookmarkStart w:id="41" w:name="_Toc113357207"/>
      <w:bookmarkStart w:id="42" w:name="_Toc157704945"/>
      <w:r>
        <w:t>Applicant co-contribution</w:t>
      </w:r>
      <w:bookmarkEnd w:id="39"/>
      <w:bookmarkEnd w:id="40"/>
      <w:bookmarkEnd w:id="41"/>
      <w:bookmarkEnd w:id="42"/>
    </w:p>
    <w:p w14:paraId="16AE07FB" w14:textId="172E0C14" w:rsidR="00733FF0" w:rsidRDefault="00733FF0" w:rsidP="00733FF0">
      <w:pPr>
        <w:pStyle w:val="Normal-Style2"/>
      </w:pPr>
      <w:r>
        <w:t xml:space="preserve">All Grantees will be expected to make a financial (cash) co-contribution to the capital costs of building or installing each Funded Solution, as well as ongoing operational expenses over the service period specified at section </w:t>
      </w:r>
      <w:r w:rsidR="001A1CA8">
        <w:fldChar w:fldCharType="begin"/>
      </w:r>
      <w:r w:rsidR="001A1CA8">
        <w:instrText xml:space="preserve"> REF _Ref121920886 \r \h </w:instrText>
      </w:r>
      <w:r w:rsidR="001A1CA8">
        <w:fldChar w:fldCharType="separate"/>
      </w:r>
      <w:r w:rsidR="001A1CA8">
        <w:t>3.5.2</w:t>
      </w:r>
      <w:r w:rsidR="001A1CA8">
        <w:fldChar w:fldCharType="end"/>
      </w:r>
      <w:r>
        <w:t>.</w:t>
      </w:r>
    </w:p>
    <w:p w14:paraId="2D74F596" w14:textId="484FEAFD" w:rsidR="00733FF0" w:rsidRPr="00A9458B" w:rsidRDefault="00733FF0" w:rsidP="00733FF0">
      <w:pPr>
        <w:pStyle w:val="Normal-Style2"/>
      </w:pPr>
      <w:r w:rsidRPr="00A9458B">
        <w:t xml:space="preserve">Financial co-contributions made by other MNOs that are confirmed to provide mobile coverage through a Proposed Solution at the time of application, but are not an applicant for the purposes of the application, will be considered in the same manner as other third-party co-contributions, as specified in section </w:t>
      </w:r>
      <w:r>
        <w:fldChar w:fldCharType="begin"/>
      </w:r>
      <w:r>
        <w:instrText xml:space="preserve"> REF _Ref109305041 \r \h </w:instrText>
      </w:r>
      <w:r>
        <w:fldChar w:fldCharType="separate"/>
      </w:r>
      <w:r w:rsidR="001A1CA8">
        <w:t>3.3</w:t>
      </w:r>
      <w:r>
        <w:fldChar w:fldCharType="end"/>
      </w:r>
      <w:r w:rsidRPr="00A9458B">
        <w:t>.</w:t>
      </w:r>
    </w:p>
    <w:p w14:paraId="7AFE4751" w14:textId="77777777" w:rsidR="00733FF0" w:rsidRDefault="00733FF0" w:rsidP="00733FF0">
      <w:pPr>
        <w:pStyle w:val="Heading3"/>
      </w:pPr>
      <w:bookmarkStart w:id="43" w:name="_Toc90294819"/>
      <w:bookmarkStart w:id="44" w:name="_Ref109305041"/>
      <w:bookmarkStart w:id="45" w:name="_Toc113442171"/>
      <w:bookmarkStart w:id="46" w:name="_Toc113357208"/>
      <w:bookmarkStart w:id="47" w:name="_Toc157704946"/>
      <w:r>
        <w:t>Third Party funding co-contributions</w:t>
      </w:r>
      <w:bookmarkEnd w:id="43"/>
      <w:bookmarkEnd w:id="44"/>
      <w:bookmarkEnd w:id="45"/>
      <w:bookmarkEnd w:id="46"/>
      <w:bookmarkEnd w:id="47"/>
    </w:p>
    <w:p w14:paraId="0802E7BD" w14:textId="77777777" w:rsidR="00733FF0" w:rsidRDefault="00733FF0" w:rsidP="00733FF0">
      <w:pPr>
        <w:pStyle w:val="Normal-Style2"/>
      </w:pPr>
      <w:r w:rsidRPr="00964505">
        <w:t>To increase the reach of the Program, applicants are encouraged</w:t>
      </w:r>
      <w:r>
        <w:t xml:space="preserve"> (but not required)</w:t>
      </w:r>
      <w:r w:rsidRPr="00964505">
        <w:t xml:space="preserve"> to seek financial </w:t>
      </w:r>
      <w:r>
        <w:t xml:space="preserve">(cash) and in-kind </w:t>
      </w:r>
      <w:r w:rsidRPr="00964505">
        <w:t>co-contributions from State, Territory or local governments, local communities and/or other third parties.</w:t>
      </w:r>
      <w:r w:rsidRPr="008D51B5">
        <w:t xml:space="preserve"> </w:t>
      </w:r>
      <w:r w:rsidRPr="00D255B0">
        <w:t xml:space="preserve">Interested third parties are also encouraged to contact applicants directly in relation </w:t>
      </w:r>
      <w:r>
        <w:t>to potential co-contributions.</w:t>
      </w:r>
    </w:p>
    <w:p w14:paraId="7280F421" w14:textId="77777777" w:rsidR="0045229E" w:rsidRDefault="00733FF0" w:rsidP="00733FF0">
      <w:pPr>
        <w:pStyle w:val="Normal-Style2"/>
      </w:pPr>
      <w:r w:rsidRPr="00964505">
        <w:t>During the application period</w:t>
      </w:r>
      <w:r>
        <w:t xml:space="preserve">, </w:t>
      </w:r>
      <w:r w:rsidRPr="00964505">
        <w:t>applicants are strongly encouraged to consult with State, Territory and local governments and local communities regarding the locations for which they intend to build Proposed Solutions. These consultations should include any specific areas identified within the location that would be considered desirable to be covered by the Proposed Solution</w:t>
      </w:r>
      <w:r w:rsidR="0045229E">
        <w:t>.</w:t>
      </w:r>
    </w:p>
    <w:p w14:paraId="58229836" w14:textId="77777777" w:rsidR="00733FF0" w:rsidRDefault="00733FF0" w:rsidP="00733FF0">
      <w:pPr>
        <w:pStyle w:val="Normal-Style2"/>
      </w:pPr>
      <w:r w:rsidRPr="00964505">
        <w:t>Where applicants can confirm the level of co</w:t>
      </w:r>
      <w:r w:rsidRPr="00964505">
        <w:noBreakHyphen/>
        <w:t>contributions that State, Territory or local governments or other third</w:t>
      </w:r>
      <w:r w:rsidRPr="00964505">
        <w:noBreakHyphen/>
        <w:t>parties propose to make, applicants should include this in their application in respect of the relevant Proposed Solution.</w:t>
      </w:r>
    </w:p>
    <w:p w14:paraId="42364422" w14:textId="77777777" w:rsidR="00733FF0" w:rsidRDefault="00733FF0" w:rsidP="00733FF0">
      <w:pPr>
        <w:pStyle w:val="Normal-Style2"/>
      </w:pPr>
      <w:r w:rsidRPr="00F53C18">
        <w:t xml:space="preserve">On request, the </w:t>
      </w:r>
      <w:r>
        <w:t>department</w:t>
      </w:r>
      <w:r w:rsidRPr="00F53C18">
        <w:t xml:space="preserve"> will provide State, Territory and </w:t>
      </w:r>
      <w:r>
        <w:t>l</w:t>
      </w:r>
      <w:r w:rsidRPr="00F53C18">
        <w:t xml:space="preserve">ocal </w:t>
      </w:r>
      <w:r>
        <w:t>g</w:t>
      </w:r>
      <w:r w:rsidRPr="00F53C18">
        <w:t xml:space="preserve">overnment contact details to organisations that have registered as eligible applicants for funding </w:t>
      </w:r>
      <w:r>
        <w:t>under the Program</w:t>
      </w:r>
      <w:r w:rsidRPr="00F53C18">
        <w:t xml:space="preserve">. </w:t>
      </w:r>
      <w:r w:rsidRPr="00964505">
        <w:t>Applicants are solely responsible for forming relationships and negotiating contributions with any relevant</w:t>
      </w:r>
      <w:r>
        <w:t xml:space="preserve"> third</w:t>
      </w:r>
      <w:r w:rsidRPr="00964505">
        <w:t xml:space="preserve"> parties, and for testing </w:t>
      </w:r>
      <w:r>
        <w:t>and/</w:t>
      </w:r>
      <w:r w:rsidRPr="00964505">
        <w:t>or verifying any advice received from these parties.</w:t>
      </w:r>
    </w:p>
    <w:p w14:paraId="36E09123" w14:textId="77777777" w:rsidR="0045229E" w:rsidRDefault="00733FF0" w:rsidP="00733FF0">
      <w:pPr>
        <w:pStyle w:val="Normal-Style2"/>
      </w:pPr>
      <w:r w:rsidRPr="00964505">
        <w:t>For Funded Solutions that include a co-contribution from a State or Territory government</w:t>
      </w:r>
      <w:r>
        <w:t xml:space="preserve">, </w:t>
      </w:r>
      <w:r w:rsidRPr="00964505">
        <w:t xml:space="preserve">the </w:t>
      </w:r>
      <w:r>
        <w:t>department</w:t>
      </w:r>
      <w:r w:rsidRPr="00964505">
        <w:t xml:space="preserve"> expects that Grantees will enter into a Grant Agreement with the Commonwealth and a separate agreement with the respective State or Territory government</w:t>
      </w:r>
      <w:r w:rsidR="0045229E">
        <w:t>.</w:t>
      </w:r>
    </w:p>
    <w:p w14:paraId="602CBBD0" w14:textId="77777777" w:rsidR="00733FF0" w:rsidRDefault="00733FF0" w:rsidP="00733FF0">
      <w:pPr>
        <w:pStyle w:val="Normal-Style2"/>
      </w:pPr>
      <w:r w:rsidRPr="00964505">
        <w:t>State, Territory and local governments may own infrastructure in location</w:t>
      </w:r>
      <w:r>
        <w:t>s</w:t>
      </w:r>
      <w:r w:rsidRPr="00964505">
        <w:t xml:space="preserve"> that could potentially be used for Funded Solutions. These governments may have specific requirements that will need to be reflected in the applications put forward by applicants for each Proposed Solution.</w:t>
      </w:r>
    </w:p>
    <w:p w14:paraId="2F2DFB12" w14:textId="77777777" w:rsidR="0045229E" w:rsidRDefault="00733FF0" w:rsidP="00733FF0">
      <w:pPr>
        <w:pStyle w:val="Normal-Style2"/>
      </w:pPr>
      <w:r w:rsidRPr="00964505">
        <w:t>For Proposed Solutions that include co-contributions from third parties, a copy of the terms of the third parties’ commitment to the applicant is to be attached to the application for funding</w:t>
      </w:r>
      <w:r w:rsidR="0045229E">
        <w:t>.</w:t>
      </w:r>
    </w:p>
    <w:p w14:paraId="1205B995" w14:textId="77777777" w:rsidR="00733FF0" w:rsidRDefault="00733FF0" w:rsidP="00733FF0">
      <w:pPr>
        <w:pStyle w:val="Normal-Style2"/>
      </w:pPr>
      <w:r>
        <w:t xml:space="preserve">In the event that a </w:t>
      </w:r>
      <w:r w:rsidRPr="00964505">
        <w:t>Funded Solution include</w:t>
      </w:r>
      <w:r>
        <w:t>s</w:t>
      </w:r>
      <w:r w:rsidRPr="00964505">
        <w:t xml:space="preserve"> </w:t>
      </w:r>
      <w:r>
        <w:t xml:space="preserve">a </w:t>
      </w:r>
      <w:r w:rsidRPr="00964505">
        <w:t xml:space="preserve">co-contribution from </w:t>
      </w:r>
      <w:r>
        <w:t xml:space="preserve">a third party, </w:t>
      </w:r>
      <w:r w:rsidRPr="00964505">
        <w:t xml:space="preserve">the </w:t>
      </w:r>
      <w:r>
        <w:t>Commonwealth will not be liable for any costs that may arise in relation to that co</w:t>
      </w:r>
      <w:r>
        <w:noBreakHyphen/>
        <w:t>contribution. For example, if the third party’s funding is not secured following execution of the Grant Agreement between the Commonwealth and the Grantee, the Grantee will cover the third party’s funding.</w:t>
      </w:r>
    </w:p>
    <w:p w14:paraId="00AD4D05" w14:textId="77777777" w:rsidR="00733FF0" w:rsidRDefault="00733FF0" w:rsidP="00733FF0">
      <w:pPr>
        <w:pStyle w:val="Heading3"/>
      </w:pPr>
      <w:bookmarkStart w:id="48" w:name="_Toc90294820"/>
      <w:bookmarkStart w:id="49" w:name="_Toc113442172"/>
      <w:bookmarkStart w:id="50" w:name="_Toc113357209"/>
      <w:bookmarkStart w:id="51" w:name="_Toc157704947"/>
      <w:r>
        <w:t>In-kind co-contributions</w:t>
      </w:r>
      <w:bookmarkEnd w:id="48"/>
      <w:bookmarkEnd w:id="49"/>
      <w:bookmarkEnd w:id="50"/>
      <w:bookmarkEnd w:id="51"/>
    </w:p>
    <w:p w14:paraId="13705BA9" w14:textId="6805A657" w:rsidR="0045229E" w:rsidRDefault="00733FF0" w:rsidP="00733FF0">
      <w:pPr>
        <w:pStyle w:val="Normal-Style2"/>
      </w:pPr>
      <w:r w:rsidRPr="00D255B0">
        <w:t>A third party may wish to provide an incentive for applicants to include a location in their funding applications. Third party incentives may include in</w:t>
      </w:r>
      <w:r w:rsidRPr="00D255B0">
        <w:noBreakHyphen/>
        <w:t>kind co</w:t>
      </w:r>
      <w:r w:rsidRPr="00D255B0">
        <w:noBreakHyphen/>
        <w:t>contributions towards the construction of a Proposed Solution such as the co-co</w:t>
      </w:r>
      <w:r>
        <w:t>ntributions outlined in section </w:t>
      </w:r>
      <w:r>
        <w:fldChar w:fldCharType="begin"/>
      </w:r>
      <w:r>
        <w:instrText xml:space="preserve"> REF _Ref109305063 \r \h </w:instrText>
      </w:r>
      <w:r>
        <w:fldChar w:fldCharType="separate"/>
      </w:r>
      <w:r w:rsidR="001A1CA8">
        <w:t>3.4.2</w:t>
      </w:r>
      <w:r>
        <w:fldChar w:fldCharType="end"/>
      </w:r>
      <w:r w:rsidR="0045229E">
        <w:t>.</w:t>
      </w:r>
    </w:p>
    <w:p w14:paraId="587927A1" w14:textId="77777777" w:rsidR="00733FF0" w:rsidRDefault="00733FF0" w:rsidP="00733FF0">
      <w:pPr>
        <w:pStyle w:val="Normal-Style2"/>
      </w:pPr>
      <w:bookmarkStart w:id="52" w:name="_Ref109305063"/>
      <w:bookmarkStart w:id="53" w:name="_Hlk54955087"/>
      <w:r w:rsidRPr="00D255B0">
        <w:t>In-kind co-contributions could include:</w:t>
      </w:r>
      <w:bookmarkEnd w:id="52"/>
    </w:p>
    <w:p w14:paraId="3AF22A89" w14:textId="77777777" w:rsidR="00733FF0" w:rsidRPr="00256043" w:rsidRDefault="00733FF0" w:rsidP="00733FF0">
      <w:pPr>
        <w:pStyle w:val="ListBullet"/>
      </w:pPr>
      <w:r w:rsidRPr="00256043">
        <w:t>assistance with identifying and consulting with the local community on a suitable site;</w:t>
      </w:r>
    </w:p>
    <w:p w14:paraId="7756A03C" w14:textId="77777777" w:rsidR="00733FF0" w:rsidRDefault="00733FF0" w:rsidP="00733FF0">
      <w:pPr>
        <w:pStyle w:val="ListBullet"/>
      </w:pPr>
      <w:r>
        <w:t>securing the necessary planning and site approvals;</w:t>
      </w:r>
    </w:p>
    <w:p w14:paraId="514E0F2A" w14:textId="77777777" w:rsidR="00733FF0" w:rsidRDefault="00733FF0" w:rsidP="00733FF0">
      <w:pPr>
        <w:pStyle w:val="ListBullet"/>
      </w:pPr>
      <w:r>
        <w:t>lease arrangements;</w:t>
      </w:r>
    </w:p>
    <w:p w14:paraId="3AA8915B" w14:textId="77777777" w:rsidR="00733FF0" w:rsidRDefault="00733FF0" w:rsidP="00733FF0">
      <w:pPr>
        <w:pStyle w:val="ListBullet"/>
      </w:pPr>
      <w:r>
        <w:t>civil works required for access to the site;</w:t>
      </w:r>
    </w:p>
    <w:p w14:paraId="6FDD1464" w14:textId="77777777" w:rsidR="00733FF0" w:rsidRDefault="00733FF0" w:rsidP="00733FF0">
      <w:pPr>
        <w:pStyle w:val="ListBullet"/>
      </w:pPr>
      <w:r>
        <w:t>assistance with coordinating power to the site; or</w:t>
      </w:r>
    </w:p>
    <w:p w14:paraId="0F643359" w14:textId="77777777" w:rsidR="00733FF0" w:rsidRPr="00256043" w:rsidRDefault="00733FF0" w:rsidP="00733FF0">
      <w:pPr>
        <w:pStyle w:val="ListBullet"/>
      </w:pPr>
      <w:r>
        <w:t>facilitating access to existing infrastructure.</w:t>
      </w:r>
    </w:p>
    <w:bookmarkEnd w:id="53"/>
    <w:p w14:paraId="121289EB" w14:textId="77777777" w:rsidR="0045229E" w:rsidRDefault="00733FF0" w:rsidP="0045229E">
      <w:pPr>
        <w:pStyle w:val="Normal-Style2"/>
        <w:keepLines/>
      </w:pPr>
      <w:r w:rsidRPr="00D255B0">
        <w:t xml:space="preserve">Third party </w:t>
      </w:r>
      <w:r>
        <w:t>in-kind co-</w:t>
      </w:r>
      <w:r w:rsidRPr="00D255B0">
        <w:t>contributions are the responsibility of the applicant, and can be reflected in a reduction in the amount of funding the applicant seeks for a Proposed Solution</w:t>
      </w:r>
      <w:r w:rsidR="0045229E">
        <w:t>.</w:t>
      </w:r>
    </w:p>
    <w:p w14:paraId="6C41B2C4" w14:textId="77777777" w:rsidR="00733FF0" w:rsidRDefault="00733FF0" w:rsidP="0045229E">
      <w:pPr>
        <w:pStyle w:val="Normal-Style2"/>
        <w:keepLines/>
      </w:pPr>
      <w:r w:rsidRPr="00D255B0">
        <w:t xml:space="preserve">Applicants are responsible for forming relationships and negotiating contributions with any relevant parties, and for testing </w:t>
      </w:r>
      <w:r>
        <w:t>and/</w:t>
      </w:r>
      <w:r w:rsidRPr="00D255B0">
        <w:t>or verifying any advice received from these parties.</w:t>
      </w:r>
    </w:p>
    <w:p w14:paraId="2F740476" w14:textId="77777777" w:rsidR="00733FF0" w:rsidRDefault="00733FF0" w:rsidP="00733FF0">
      <w:pPr>
        <w:pStyle w:val="Heading3"/>
      </w:pPr>
      <w:bookmarkStart w:id="54" w:name="_Toc113442173"/>
      <w:bookmarkStart w:id="55" w:name="_Toc113357210"/>
      <w:bookmarkStart w:id="56" w:name="_Toc157704948"/>
      <w:r>
        <w:t>Grant period</w:t>
      </w:r>
      <w:bookmarkEnd w:id="54"/>
      <w:bookmarkEnd w:id="55"/>
      <w:bookmarkEnd w:id="56"/>
    </w:p>
    <w:p w14:paraId="10DBF511" w14:textId="77777777" w:rsidR="00733FF0" w:rsidRDefault="00733FF0" w:rsidP="00733FF0">
      <w:pPr>
        <w:pStyle w:val="Normal-Style2"/>
      </w:pPr>
      <w:r>
        <w:t>All Funded Solutions must be completed by the date specified in the respective Grant Agreement.</w:t>
      </w:r>
    </w:p>
    <w:p w14:paraId="61554A9E" w14:textId="29F3D4BD" w:rsidR="00733FF0" w:rsidRDefault="00733FF0" w:rsidP="00733FF0">
      <w:pPr>
        <w:pStyle w:val="Normal-Style2"/>
      </w:pPr>
      <w:bookmarkStart w:id="57" w:name="_Ref121920886"/>
      <w:r>
        <w:t xml:space="preserve">Funded Solutions must remain operational, and provide the required services outlined in section </w:t>
      </w:r>
      <w:r>
        <w:fldChar w:fldCharType="begin"/>
      </w:r>
      <w:r>
        <w:instrText xml:space="preserve"> REF _Ref109305080 \r \h </w:instrText>
      </w:r>
      <w:r>
        <w:fldChar w:fldCharType="separate"/>
      </w:r>
      <w:r w:rsidR="001A1CA8">
        <w:t>4.2</w:t>
      </w:r>
      <w:r>
        <w:fldChar w:fldCharType="end"/>
      </w:r>
      <w:r>
        <w:t xml:space="preserve"> to the target coverage areas on a commercial basis, for at least 10 years following the date on which the Grantee confirms that the required services are able to be provided from each Funded Solution in accordance with the Grant Agreement.</w:t>
      </w:r>
      <w:bookmarkEnd w:id="57"/>
    </w:p>
    <w:p w14:paraId="201C6724" w14:textId="77777777" w:rsidR="00733FF0" w:rsidRPr="00DF637B" w:rsidRDefault="00733FF0" w:rsidP="00733FF0">
      <w:pPr>
        <w:pStyle w:val="Heading2"/>
      </w:pPr>
      <w:bookmarkStart w:id="58" w:name="_Ref109305621"/>
      <w:bookmarkStart w:id="59" w:name="_Toc113442174"/>
      <w:bookmarkStart w:id="60" w:name="_Toc113357211"/>
      <w:bookmarkStart w:id="61" w:name="_Toc157704949"/>
      <w:r>
        <w:t>Eligibility criteria</w:t>
      </w:r>
      <w:bookmarkEnd w:id="58"/>
      <w:bookmarkEnd w:id="59"/>
      <w:bookmarkEnd w:id="60"/>
      <w:bookmarkEnd w:id="61"/>
    </w:p>
    <w:p w14:paraId="7CAD9E73" w14:textId="77777777" w:rsidR="00733FF0" w:rsidRDefault="00733FF0" w:rsidP="00733FF0">
      <w:pPr>
        <w:pStyle w:val="Heading3"/>
      </w:pPr>
      <w:bookmarkStart w:id="62" w:name="_Ref437348317"/>
      <w:bookmarkStart w:id="63" w:name="_Ref437348323"/>
      <w:bookmarkStart w:id="64" w:name="_Ref437349175"/>
      <w:bookmarkStart w:id="65" w:name="_Ref485202969"/>
      <w:bookmarkStart w:id="66" w:name="_Toc113442175"/>
      <w:bookmarkStart w:id="67" w:name="_Toc113357212"/>
      <w:bookmarkStart w:id="68" w:name="_Toc157704950"/>
      <w:r>
        <w:t>Who is eligible to apply for a grant?</w:t>
      </w:r>
      <w:bookmarkEnd w:id="62"/>
      <w:bookmarkEnd w:id="63"/>
      <w:bookmarkEnd w:id="64"/>
      <w:bookmarkEnd w:id="65"/>
      <w:bookmarkEnd w:id="66"/>
      <w:bookmarkEnd w:id="67"/>
      <w:bookmarkEnd w:id="68"/>
    </w:p>
    <w:p w14:paraId="2BA4A1D5" w14:textId="77777777" w:rsidR="00733FF0" w:rsidRPr="00694DF9" w:rsidRDefault="00733FF0" w:rsidP="00733FF0">
      <w:pPr>
        <w:pStyle w:val="Normal-Style2"/>
      </w:pPr>
      <w:r w:rsidRPr="00694DF9">
        <w:t xml:space="preserve">To be eligible </w:t>
      </w:r>
      <w:r>
        <w:t xml:space="preserve">to apply for funding under the Program </w:t>
      </w:r>
      <w:r w:rsidRPr="00694DF9">
        <w:t>you must:</w:t>
      </w:r>
    </w:p>
    <w:p w14:paraId="65E12C30" w14:textId="77777777" w:rsidR="00733FF0" w:rsidRPr="000A271A" w:rsidRDefault="00733FF0" w:rsidP="00733FF0">
      <w:pPr>
        <w:pStyle w:val="ListBullet"/>
      </w:pPr>
      <w:r w:rsidRPr="000A271A">
        <w:t>have an Australian Business Number (ABN)</w:t>
      </w:r>
    </w:p>
    <w:p w14:paraId="0A69160A" w14:textId="77777777" w:rsidR="00733FF0" w:rsidRPr="000A271A" w:rsidRDefault="00733FF0" w:rsidP="00733FF0">
      <w:pPr>
        <w:pStyle w:val="ListBullet"/>
      </w:pPr>
      <w:r w:rsidRPr="000A271A">
        <w:t xml:space="preserve">be registered for the purposes of </w:t>
      </w:r>
      <w:r>
        <w:t xml:space="preserve">the </w:t>
      </w:r>
      <w:r w:rsidRPr="000A271A">
        <w:t>G</w:t>
      </w:r>
      <w:r>
        <w:t xml:space="preserve">oods and </w:t>
      </w:r>
      <w:r w:rsidRPr="000A271A">
        <w:t>S</w:t>
      </w:r>
      <w:r>
        <w:t xml:space="preserve">ervices </w:t>
      </w:r>
      <w:r w:rsidRPr="000A271A">
        <w:t>T</w:t>
      </w:r>
      <w:r>
        <w:t>ax (GST)</w:t>
      </w:r>
    </w:p>
    <w:p w14:paraId="7C7F46FC" w14:textId="77777777" w:rsidR="00733FF0" w:rsidRPr="000A271A" w:rsidRDefault="00733FF0" w:rsidP="0045229E">
      <w:pPr>
        <w:ind w:left="851"/>
      </w:pPr>
      <w:r>
        <w:t xml:space="preserve">and </w:t>
      </w:r>
      <w:r w:rsidRPr="000A271A">
        <w:t xml:space="preserve">be one </w:t>
      </w:r>
      <w:r>
        <w:t>of the following entity types:</w:t>
      </w:r>
    </w:p>
    <w:p w14:paraId="39D32B15" w14:textId="77777777" w:rsidR="00733FF0" w:rsidRDefault="00733FF0" w:rsidP="00733FF0">
      <w:pPr>
        <w:pStyle w:val="ListBullet"/>
      </w:pPr>
      <w:r w:rsidRPr="000A271A">
        <w:t xml:space="preserve">a </w:t>
      </w:r>
      <w:r w:rsidRPr="001C2B1A">
        <w:rPr>
          <w:b/>
        </w:rPr>
        <w:t>Mobile Network Operator</w:t>
      </w:r>
      <w:r>
        <w:t xml:space="preserve"> (MNO); or</w:t>
      </w:r>
    </w:p>
    <w:p w14:paraId="75289014" w14:textId="77777777" w:rsidR="00733FF0" w:rsidRDefault="00733FF0" w:rsidP="00733FF0">
      <w:pPr>
        <w:pStyle w:val="ListBullet"/>
      </w:pPr>
      <w:r>
        <w:t xml:space="preserve">a </w:t>
      </w:r>
      <w:r w:rsidRPr="001C2B1A">
        <w:rPr>
          <w:b/>
        </w:rPr>
        <w:t>Mobile Network Infrastructure Provider</w:t>
      </w:r>
      <w:r>
        <w:t xml:space="preserve"> (MNIP)</w:t>
      </w:r>
    </w:p>
    <w:p w14:paraId="302C4C19" w14:textId="77777777" w:rsidR="00733FF0" w:rsidRDefault="00733FF0" w:rsidP="00733FF0">
      <w:pPr>
        <w:pStyle w:val="Normal-Style2"/>
      </w:pPr>
      <w:bookmarkStart w:id="69" w:name="_Ref121922285"/>
      <w:r>
        <w:t xml:space="preserve">For the purposes of the Program, </w:t>
      </w:r>
      <w:r>
        <w:rPr>
          <w:b/>
        </w:rPr>
        <w:t xml:space="preserve">MNO </w:t>
      </w:r>
      <w:r>
        <w:t>means a company that:</w:t>
      </w:r>
      <w:bookmarkEnd w:id="69"/>
    </w:p>
    <w:p w14:paraId="2E70263D" w14:textId="1FDD166E" w:rsidR="00733FF0" w:rsidRDefault="00733FF0" w:rsidP="00733FF0">
      <w:pPr>
        <w:pStyle w:val="ListBullet"/>
      </w:pPr>
      <w:r>
        <w:t xml:space="preserve">Supplies a public mobile telecommunications service within the meaning of the </w:t>
      </w:r>
      <w:hyperlink r:id="rId25" w:history="1">
        <w:r w:rsidRPr="00DD5568">
          <w:rPr>
            <w:rStyle w:val="Hyperlink"/>
            <w:i/>
          </w:rPr>
          <w:t xml:space="preserve">Telecommunications Act 1997 </w:t>
        </w:r>
        <w:r w:rsidRPr="00DD5568">
          <w:rPr>
            <w:rStyle w:val="Hyperlink"/>
          </w:rPr>
          <w:t>(Cth)</w:t>
        </w:r>
      </w:hyperlink>
      <w:r w:rsidR="00DD5568">
        <w:rPr>
          <w:rStyle w:val="FootnoteReference"/>
          <w:i/>
        </w:rPr>
        <w:footnoteReference w:id="7"/>
      </w:r>
      <w:r>
        <w:t>; and</w:t>
      </w:r>
    </w:p>
    <w:p w14:paraId="1F77ACC2" w14:textId="182A66F1" w:rsidR="00733FF0" w:rsidRDefault="00733FF0" w:rsidP="00733FF0">
      <w:pPr>
        <w:pStyle w:val="ListBullet"/>
      </w:pPr>
      <w:r>
        <w:t xml:space="preserve">Holds an apparatus or a spectrum licence (or both) for the supply of public mobile telecommunications services under the </w:t>
      </w:r>
      <w:hyperlink r:id="rId26" w:history="1">
        <w:r w:rsidRPr="00DD5568">
          <w:rPr>
            <w:rStyle w:val="Hyperlink"/>
            <w:i/>
          </w:rPr>
          <w:t xml:space="preserve">Radiocommunications Act 1992 </w:t>
        </w:r>
        <w:r w:rsidRPr="00DD5568">
          <w:rPr>
            <w:rStyle w:val="Hyperlink"/>
          </w:rPr>
          <w:t>(Cth)</w:t>
        </w:r>
      </w:hyperlink>
      <w:r w:rsidR="00DD5568">
        <w:rPr>
          <w:rStyle w:val="FootnoteReference"/>
          <w:i/>
        </w:rPr>
        <w:footnoteReference w:id="8"/>
      </w:r>
      <w:r>
        <w:t>.</w:t>
      </w:r>
    </w:p>
    <w:p w14:paraId="4D2B439A" w14:textId="77777777" w:rsidR="00733FF0" w:rsidRDefault="00733FF0" w:rsidP="00733FF0">
      <w:pPr>
        <w:pStyle w:val="Normal-Style2"/>
      </w:pPr>
      <w:bookmarkStart w:id="70" w:name="_Ref121922281"/>
      <w:r>
        <w:t xml:space="preserve">For the purposes of the Program, </w:t>
      </w:r>
      <w:r>
        <w:rPr>
          <w:b/>
        </w:rPr>
        <w:t>MNIP</w:t>
      </w:r>
      <w:r>
        <w:t xml:space="preserve"> means a company, other than an MNO, that provides communications infrastructure in Australia or overseas, including the installation and operation of infrastructure to be used by one or more MNOs to provide public mobile telecommunications services.</w:t>
      </w:r>
      <w:bookmarkEnd w:id="70"/>
    </w:p>
    <w:p w14:paraId="0FCD3C78" w14:textId="5D4F3E22" w:rsidR="00733FF0" w:rsidRDefault="00733FF0" w:rsidP="00733FF0">
      <w:pPr>
        <w:pStyle w:val="Normal-Style2"/>
      </w:pPr>
      <w:r>
        <w:t xml:space="preserve">MNIP applications must be accompanied by written evidence of intent from at least one MNO to enter into a commercially binding commitment to use the infrastructure to deliver mobile services as described at section </w:t>
      </w:r>
      <w:r>
        <w:fldChar w:fldCharType="begin"/>
      </w:r>
      <w:r>
        <w:instrText xml:space="preserve"> REF _Ref109304876 \r \h </w:instrText>
      </w:r>
      <w:r>
        <w:fldChar w:fldCharType="separate"/>
      </w:r>
      <w:r w:rsidR="001A1CA8">
        <w:t>4.2</w:t>
      </w:r>
      <w:r>
        <w:fldChar w:fldCharType="end"/>
      </w:r>
      <w:r>
        <w:t xml:space="preserve"> for the Operational Period of the Proposed Solution. Funding may be awarded to eligible MNIPs on the condition that the MNIP and relevant MNO(s) enter into a binding commercial commitment prior to the finalisation of the Grant Agreement.</w:t>
      </w:r>
    </w:p>
    <w:p w14:paraId="4F95930C" w14:textId="77777777" w:rsidR="00733FF0" w:rsidRPr="000A271A" w:rsidRDefault="00733FF0" w:rsidP="00733FF0">
      <w:pPr>
        <w:pStyle w:val="Normal-Style2"/>
      </w:pPr>
      <w:r w:rsidRPr="00416653">
        <w:t xml:space="preserve">MNOs and MNIPs may also apply jointly for funding through the Program. Joint applications must be underpinned by commercially binding arrangements or the clear intention to enter into such arrangements should the application be successful. </w:t>
      </w:r>
      <w:r w:rsidRPr="00182CEB">
        <w:t xml:space="preserve">A grant may only be awarded to eligible </w:t>
      </w:r>
      <w:r>
        <w:t>joint applicants</w:t>
      </w:r>
      <w:r w:rsidRPr="00182CEB">
        <w:t xml:space="preserve"> on the condition that the MNIP and relevant MNO enter into a binding commercial commitment prior to the finalisation of the Grant Agreement</w:t>
      </w:r>
      <w:r>
        <w:t>. The Commonwealth will only enter into a Grant Agreement with one of the joint applicants, being the Lead Applicant.</w:t>
      </w:r>
    </w:p>
    <w:p w14:paraId="383709D4" w14:textId="77777777" w:rsidR="00733FF0" w:rsidRPr="00C204DC" w:rsidRDefault="00733FF0" w:rsidP="00733FF0">
      <w:pPr>
        <w:pStyle w:val="Heading3"/>
      </w:pPr>
      <w:bookmarkStart w:id="71" w:name="_Toc494290495"/>
      <w:bookmarkStart w:id="72" w:name="_Ref109304876"/>
      <w:bookmarkStart w:id="73" w:name="_Ref109305080"/>
      <w:bookmarkStart w:id="74" w:name="_Ref109305126"/>
      <w:bookmarkStart w:id="75" w:name="_Ref109305391"/>
      <w:bookmarkStart w:id="76" w:name="_Toc113442176"/>
      <w:bookmarkStart w:id="77" w:name="_Toc113357213"/>
      <w:bookmarkStart w:id="78" w:name="_Toc157704951"/>
      <w:bookmarkEnd w:id="71"/>
      <w:r>
        <w:t>Minimum requirements</w:t>
      </w:r>
      <w:bookmarkEnd w:id="72"/>
      <w:bookmarkEnd w:id="73"/>
      <w:bookmarkEnd w:id="74"/>
      <w:bookmarkEnd w:id="75"/>
      <w:bookmarkEnd w:id="76"/>
      <w:bookmarkEnd w:id="77"/>
      <w:bookmarkEnd w:id="78"/>
    </w:p>
    <w:p w14:paraId="3280D505" w14:textId="5F2C19A1" w:rsidR="00733FF0" w:rsidRDefault="00733FF0" w:rsidP="0045229E">
      <w:pPr>
        <w:pStyle w:val="Normal-Style2"/>
        <w:keepLines/>
      </w:pPr>
      <w:r w:rsidRPr="00D656ED">
        <w:t xml:space="preserve">Unless indicated otherwise in these Guidelines, this section </w:t>
      </w:r>
      <w:r>
        <w:fldChar w:fldCharType="begin"/>
      </w:r>
      <w:r>
        <w:instrText xml:space="preserve"> REF _Ref109305126 \r \h </w:instrText>
      </w:r>
      <w:r>
        <w:fldChar w:fldCharType="separate"/>
      </w:r>
      <w:r w:rsidR="001A1CA8">
        <w:t>4.2</w:t>
      </w:r>
      <w:r>
        <w:fldChar w:fldCharType="end"/>
      </w:r>
      <w:r>
        <w:t xml:space="preserve"> </w:t>
      </w:r>
      <w:r w:rsidRPr="00D656ED">
        <w:t xml:space="preserve">sets out the minimum requirements that Grantees will need to comply with if their application is successful. These requirements will be included as schedules to the Grant Agreements. Under section </w:t>
      </w:r>
      <w:r>
        <w:fldChar w:fldCharType="begin"/>
      </w:r>
      <w:r>
        <w:instrText xml:space="preserve"> REF _Ref110515292 \r \h </w:instrText>
      </w:r>
      <w:r>
        <w:fldChar w:fldCharType="separate"/>
      </w:r>
      <w:r w:rsidR="001A1CA8">
        <w:t>8.3</w:t>
      </w:r>
      <w:r>
        <w:fldChar w:fldCharType="end"/>
      </w:r>
      <w:r w:rsidRPr="00D656ED">
        <w:t xml:space="preserve">, Proposed Solutions that do not meet the minimum requirements may be excluded from further consideration, at the </w:t>
      </w:r>
      <w:r>
        <w:t>department</w:t>
      </w:r>
      <w:r w:rsidRPr="00D656ED">
        <w:t>’s absolute discretion.</w:t>
      </w:r>
    </w:p>
    <w:p w14:paraId="1378F3D7" w14:textId="77777777" w:rsidR="00733FF0" w:rsidRPr="00CB3318" w:rsidRDefault="00733FF0" w:rsidP="0045229E">
      <w:pPr>
        <w:pStyle w:val="Heading4"/>
      </w:pPr>
      <w:bookmarkStart w:id="79" w:name="_Toc157704952"/>
      <w:r w:rsidRPr="00CB3318">
        <w:t>Services required</w:t>
      </w:r>
      <w:bookmarkEnd w:id="79"/>
    </w:p>
    <w:p w14:paraId="19CE734C" w14:textId="5B4305D6" w:rsidR="009F3479" w:rsidRDefault="00733FF0" w:rsidP="009F3479">
      <w:pPr>
        <w:pStyle w:val="Normal-Style2"/>
      </w:pPr>
      <w:r w:rsidRPr="00002067">
        <w:t xml:space="preserve">All </w:t>
      </w:r>
      <w:r>
        <w:t>New Coverage Solutions and New Highway Coverage Solutions</w:t>
      </w:r>
      <w:r w:rsidRPr="00002067">
        <w:t xml:space="preserve"> </w:t>
      </w:r>
      <w:r>
        <w:t xml:space="preserve">must </w:t>
      </w:r>
      <w:r w:rsidRPr="00002067">
        <w:t xml:space="preserve">deliver </w:t>
      </w:r>
      <w:r>
        <w:t>New Handheld C</w:t>
      </w:r>
      <w:r w:rsidRPr="00002067">
        <w:t>overage</w:t>
      </w:r>
      <w:r>
        <w:t xml:space="preserve"> to a relevant Target Location as outlined in </w:t>
      </w:r>
      <w:hyperlink w:anchor="_Appendix_A.1._–" w:history="1">
        <w:r w:rsidR="00881E6A">
          <w:rPr>
            <w:rStyle w:val="Hyperlink"/>
          </w:rPr>
          <w:t>Appendix A</w:t>
        </w:r>
      </w:hyperlink>
      <w:r>
        <w:t>.</w:t>
      </w:r>
      <w:r w:rsidR="009F3479">
        <w:t xml:space="preserve"> </w:t>
      </w:r>
    </w:p>
    <w:p w14:paraId="74D34422" w14:textId="77FF578B" w:rsidR="00DF37EE" w:rsidRDefault="00DF37EE" w:rsidP="009F3479">
      <w:pPr>
        <w:pStyle w:val="Normal-Style2"/>
        <w:numPr>
          <w:ilvl w:val="0"/>
          <w:numId w:val="0"/>
        </w:numPr>
        <w:ind w:left="851"/>
      </w:pPr>
      <w:r>
        <w:t xml:space="preserve">It is not necessary for all individual base stations included in a Cluster Solution to provide New Handheld Coverage if all of the base stations are necessary to meet the objectives of the solution. The Cluster Solution will be assessed as a whole as per section </w:t>
      </w:r>
      <w:r w:rsidR="001A1CA8">
        <w:fldChar w:fldCharType="begin"/>
      </w:r>
      <w:r w:rsidR="001A1CA8">
        <w:instrText xml:space="preserve"> REF _Ref110515467 \r \h </w:instrText>
      </w:r>
      <w:r w:rsidR="001A1CA8">
        <w:fldChar w:fldCharType="separate"/>
      </w:r>
      <w:r w:rsidR="001A1CA8">
        <w:t>6</w:t>
      </w:r>
      <w:r w:rsidR="001A1CA8">
        <w:fldChar w:fldCharType="end"/>
      </w:r>
      <w:r>
        <w:t>.</w:t>
      </w:r>
    </w:p>
    <w:p w14:paraId="092FBEBC" w14:textId="1D2640E1" w:rsidR="00733FF0" w:rsidRDefault="00733FF0" w:rsidP="00733FF0">
      <w:pPr>
        <w:pStyle w:val="Normal-Style2"/>
      </w:pPr>
      <w:bookmarkStart w:id="80" w:name="_Ref121921540"/>
      <w:r w:rsidRPr="00002067">
        <w:t xml:space="preserve">All </w:t>
      </w:r>
      <w:r>
        <w:t>Improved Coverage Solutions</w:t>
      </w:r>
      <w:r w:rsidRPr="00002067">
        <w:t xml:space="preserve"> </w:t>
      </w:r>
      <w:r>
        <w:t xml:space="preserve">must </w:t>
      </w:r>
      <w:r w:rsidRPr="00002067">
        <w:t xml:space="preserve">deliver </w:t>
      </w:r>
      <w:r>
        <w:t>Improved Handheld</w:t>
      </w:r>
      <w:r w:rsidRPr="00002067">
        <w:t xml:space="preserve"> </w:t>
      </w:r>
      <w:r>
        <w:t>C</w:t>
      </w:r>
      <w:r w:rsidRPr="00002067">
        <w:t>overage</w:t>
      </w:r>
      <w:r>
        <w:t xml:space="preserve"> and/or a Material Coverage Improvement to a relevant Target Location as outlined in </w:t>
      </w:r>
      <w:hyperlink w:anchor="_Appendix_A.1._–" w:history="1">
        <w:r w:rsidR="00881E6A">
          <w:rPr>
            <w:rStyle w:val="Hyperlink"/>
          </w:rPr>
          <w:t>Appendix A</w:t>
        </w:r>
      </w:hyperlink>
      <w:r w:rsidRPr="00E31970">
        <w:t>.</w:t>
      </w:r>
      <w:bookmarkEnd w:id="80"/>
    </w:p>
    <w:p w14:paraId="07B4DE6F" w14:textId="77777777" w:rsidR="00733FF0" w:rsidRPr="00D656ED" w:rsidRDefault="00733FF0" w:rsidP="00733FF0">
      <w:pPr>
        <w:pStyle w:val="Normal-Style2"/>
      </w:pPr>
      <w:bookmarkStart w:id="81" w:name="_Ref109305451"/>
      <w:r w:rsidRPr="00D656ED">
        <w:t>The Government’s expectation is that Proposed Solutions will enable consumers to perform a range of functions using mobile devices, such as making and receiving phone calls, sending emails and text messages, browsing the internet, accessing online services, downloading files, using mobile apps, and accessing emergency communications services. To meet this expectation all Proposed Solutions must:</w:t>
      </w:r>
      <w:bookmarkEnd w:id="81"/>
    </w:p>
    <w:p w14:paraId="40C5FB47" w14:textId="2D2005CB" w:rsidR="00733FF0" w:rsidRPr="00B705B9" w:rsidRDefault="00733FF0" w:rsidP="00733FF0">
      <w:pPr>
        <w:pStyle w:val="ListBullet"/>
      </w:pPr>
      <w:bookmarkStart w:id="82" w:name="_Hlk112247960"/>
      <w:r w:rsidRPr="00FC5001">
        <w:t xml:space="preserve">deliver </w:t>
      </w:r>
      <w:r>
        <w:t xml:space="preserve">at least 4G </w:t>
      </w:r>
      <w:r w:rsidR="00BC45D9">
        <w:t xml:space="preserve">mobile </w:t>
      </w:r>
      <w:r>
        <w:t>broadband data services and a voice service</w:t>
      </w:r>
      <w:r w:rsidRPr="00FC5001">
        <w:t>;</w:t>
      </w:r>
      <w:r>
        <w:t xml:space="preserve"> and</w:t>
      </w:r>
    </w:p>
    <w:bookmarkEnd w:id="82"/>
    <w:p w14:paraId="06459A0E" w14:textId="77777777" w:rsidR="00733FF0" w:rsidRDefault="00733FF0" w:rsidP="00733FF0">
      <w:pPr>
        <w:pStyle w:val="ListBullet"/>
      </w:pPr>
      <w:r>
        <w:t>provide c</w:t>
      </w:r>
      <w:r w:rsidRPr="00B705B9">
        <w:t xml:space="preserve">overage modelling based on </w:t>
      </w:r>
      <w:r>
        <w:t xml:space="preserve">a </w:t>
      </w:r>
      <w:r w:rsidRPr="001F1077">
        <w:t>New/Improved</w:t>
      </w:r>
      <w:r>
        <w:t xml:space="preserve"> Handheld Coverage</w:t>
      </w:r>
      <w:r w:rsidRPr="00B705B9">
        <w:t xml:space="preserve"> </w:t>
      </w:r>
      <w:r>
        <w:t>level with a Reference</w:t>
      </w:r>
      <w:r w:rsidRPr="00B705B9">
        <w:t xml:space="preserve"> Signal </w:t>
      </w:r>
      <w:r>
        <w:t xml:space="preserve">Received </w:t>
      </w:r>
      <w:r w:rsidRPr="00B705B9">
        <w:t>Power (RS</w:t>
      </w:r>
      <w:r>
        <w:t>R</w:t>
      </w:r>
      <w:r w:rsidRPr="00B705B9">
        <w:t xml:space="preserve">P) </w:t>
      </w:r>
      <w:r>
        <w:t xml:space="preserve">of </w:t>
      </w:r>
      <w:r w:rsidRPr="00CB3318">
        <w:rPr>
          <w:b/>
        </w:rPr>
        <w:t>-85dBm</w:t>
      </w:r>
      <w:r>
        <w:t xml:space="preserve"> </w:t>
      </w:r>
      <w:r w:rsidRPr="00B705B9">
        <w:t>at a 90 per cent confidence level for the cell area</w:t>
      </w:r>
      <w:r>
        <w:t>.</w:t>
      </w:r>
    </w:p>
    <w:p w14:paraId="3733B499" w14:textId="430D3C13" w:rsidR="00733FF0" w:rsidRPr="00B705B9" w:rsidRDefault="00733FF0" w:rsidP="00733FF0">
      <w:pPr>
        <w:pStyle w:val="Normal-Style2"/>
      </w:pPr>
      <w:r>
        <w:t xml:space="preserve">Where an applicant has existing 5G handheld coverage in (or adjacent to) a Target Location, it is expected that they will also offer 5G </w:t>
      </w:r>
      <w:r w:rsidR="00BC45D9">
        <w:t xml:space="preserve">mobile </w:t>
      </w:r>
      <w:r>
        <w:t>broadband data services to the Target Location through the Proposed Solution.</w:t>
      </w:r>
    </w:p>
    <w:p w14:paraId="55A41D2F" w14:textId="77777777" w:rsidR="00733FF0" w:rsidRDefault="00733FF0" w:rsidP="0045229E">
      <w:pPr>
        <w:pStyle w:val="Heading4"/>
      </w:pPr>
      <w:bookmarkStart w:id="83" w:name="_Toc157704953"/>
      <w:r>
        <w:t>Back-up Power</w:t>
      </w:r>
      <w:bookmarkEnd w:id="83"/>
    </w:p>
    <w:p w14:paraId="1400787B" w14:textId="77777777" w:rsidR="00733FF0" w:rsidRDefault="00733FF0" w:rsidP="00733FF0">
      <w:pPr>
        <w:pStyle w:val="Normal-Style2"/>
      </w:pPr>
      <w:r>
        <w:t>A</w:t>
      </w:r>
      <w:r w:rsidRPr="008C4C1D">
        <w:t xml:space="preserve">ll </w:t>
      </w:r>
      <w:r>
        <w:t xml:space="preserve">Macrocell base stations in </w:t>
      </w:r>
      <w:r w:rsidRPr="008C4C1D">
        <w:t xml:space="preserve">Funded </w:t>
      </w:r>
      <w:r>
        <w:t xml:space="preserve">Solutions </w:t>
      </w:r>
      <w:r w:rsidRPr="008C4C1D">
        <w:t>must have an auxiliary back-up power supply which provides back</w:t>
      </w:r>
      <w:r>
        <w:t>-</w:t>
      </w:r>
      <w:r w:rsidRPr="008C4C1D">
        <w:t>up power for a minimum of 12 hours in the event of the loss of external power to the site.</w:t>
      </w:r>
    </w:p>
    <w:p w14:paraId="2BAEEE2F" w14:textId="253C0EC4" w:rsidR="00733FF0" w:rsidRPr="00CB3318" w:rsidRDefault="00733FF0" w:rsidP="009F3479">
      <w:pPr>
        <w:pStyle w:val="Normal-Style2"/>
      </w:pPr>
      <w:r>
        <w:t>O</w:t>
      </w:r>
      <w:r w:rsidRPr="00112FEE">
        <w:t xml:space="preserve">ther base stations </w:t>
      </w:r>
      <w:r>
        <w:t xml:space="preserve">(e.g. Small Cells) </w:t>
      </w:r>
      <w:r w:rsidRPr="00112FEE">
        <w:t xml:space="preserve">in </w:t>
      </w:r>
      <w:r>
        <w:t>Funded</w:t>
      </w:r>
      <w:r w:rsidRPr="00112FEE">
        <w:t xml:space="preserve"> Solutions must have an auxiliary back</w:t>
      </w:r>
      <w:r w:rsidRPr="00112FEE">
        <w:noBreakHyphen/>
        <w:t xml:space="preserve">up power supply which provides back-up power for a minimum of </w:t>
      </w:r>
      <w:r>
        <w:t>12</w:t>
      </w:r>
      <w:r w:rsidRPr="00112FEE">
        <w:t xml:space="preserve"> hours in the ev</w:t>
      </w:r>
      <w:r w:rsidRPr="009B732C">
        <w:t xml:space="preserve">ent of the loss of external power to the site, </w:t>
      </w:r>
      <w:r w:rsidRPr="00505AA4">
        <w:t>unless (to the satisfaction of the department) it is not feasible to do so.</w:t>
      </w:r>
      <w:r w:rsidR="009F3479">
        <w:t xml:space="preserve"> </w:t>
      </w:r>
      <w:r>
        <w:t>Applicants should provide sufficient justification for Funded Solutions where it is not feasible to provide a minimum of 12 hours back-up power supply.</w:t>
      </w:r>
    </w:p>
    <w:p w14:paraId="70F45DE8" w14:textId="6196AC52" w:rsidR="00733FF0" w:rsidRDefault="00401346" w:rsidP="0045229E">
      <w:pPr>
        <w:pStyle w:val="Heading4"/>
      </w:pPr>
      <w:bookmarkStart w:id="84" w:name="_Toc157704954"/>
      <w:r>
        <w:t>Multi-provider outcomes</w:t>
      </w:r>
      <w:r w:rsidR="00733FF0">
        <w:t xml:space="preserve"> and </w:t>
      </w:r>
      <w:r w:rsidR="00733FF0" w:rsidRPr="00B22949">
        <w:t>co-build</w:t>
      </w:r>
      <w:bookmarkEnd w:id="84"/>
    </w:p>
    <w:p w14:paraId="69C38F81" w14:textId="0B7DA0BF" w:rsidR="00733FF0" w:rsidRDefault="00733FF0" w:rsidP="00733FF0">
      <w:pPr>
        <w:pStyle w:val="Normal-Style2"/>
      </w:pPr>
      <w:bookmarkStart w:id="85" w:name="_Ref109305308"/>
      <w:r>
        <w:t>Applicants and MNOs/other interested parties are encouraged to work together to develop multi-MNO solutions</w:t>
      </w:r>
      <w:r w:rsidR="00AA3E6B">
        <w:t>, including (but not limited to)</w:t>
      </w:r>
      <w:r w:rsidR="00405F53">
        <w:t xml:space="preserve"> active sharing or</w:t>
      </w:r>
      <w:r w:rsidR="00AA3E6B">
        <w:t xml:space="preserve"> co-location</w:t>
      </w:r>
      <w:r>
        <w:t xml:space="preserve">. </w:t>
      </w:r>
      <w:r w:rsidRPr="00964505">
        <w:t xml:space="preserve">Applicants are solely responsible for forming relationships and </w:t>
      </w:r>
      <w:r>
        <w:t>discussions</w:t>
      </w:r>
      <w:r w:rsidRPr="00964505">
        <w:t xml:space="preserve"> with any relevant</w:t>
      </w:r>
      <w:r>
        <w:t xml:space="preserve"> third</w:t>
      </w:r>
      <w:r w:rsidRPr="00964505">
        <w:t xml:space="preserve"> parties.</w:t>
      </w:r>
      <w:bookmarkEnd w:id="85"/>
    </w:p>
    <w:p w14:paraId="242B1A21" w14:textId="0362DD8D" w:rsidR="004D4AC0" w:rsidRDefault="004D4AC0" w:rsidP="00733FF0">
      <w:pPr>
        <w:pStyle w:val="Normal-Style2"/>
      </w:pPr>
      <w:r w:rsidRPr="004D4AC0">
        <w:t xml:space="preserve">If you put forward a Proposal Solution that </w:t>
      </w:r>
      <w:r w:rsidR="002A184C">
        <w:t>offers services from</w:t>
      </w:r>
      <w:r w:rsidR="002A184C" w:rsidRPr="004D4AC0">
        <w:t xml:space="preserve"> </w:t>
      </w:r>
      <w:r w:rsidRPr="004D4AC0">
        <w:t>on</w:t>
      </w:r>
      <w:r>
        <w:t>e</w:t>
      </w:r>
      <w:r w:rsidRPr="004D4AC0">
        <w:t xml:space="preserve"> or more MNOs, you may include the eligible expenditure </w:t>
      </w:r>
      <w:r>
        <w:t xml:space="preserve">(see </w:t>
      </w:r>
      <w:r w:rsidRPr="004D4AC0">
        <w:t xml:space="preserve">section </w:t>
      </w:r>
      <w:r w:rsidR="001A1CA8">
        <w:fldChar w:fldCharType="begin"/>
      </w:r>
      <w:r w:rsidR="001A1CA8">
        <w:instrText xml:space="preserve"> REF _Ref121921190 \r \h </w:instrText>
      </w:r>
      <w:r w:rsidR="001A1CA8">
        <w:fldChar w:fldCharType="separate"/>
      </w:r>
      <w:r w:rsidR="001A1CA8">
        <w:t>5.3</w:t>
      </w:r>
      <w:r w:rsidR="001A1CA8">
        <w:fldChar w:fldCharType="end"/>
      </w:r>
      <w:r>
        <w:t>)</w:t>
      </w:r>
      <w:r w:rsidRPr="004D4AC0">
        <w:t xml:space="preserve"> for </w:t>
      </w:r>
      <w:r w:rsidR="002A184C">
        <w:t xml:space="preserve">all of the MNOs offering services from the Proposed Solution </w:t>
      </w:r>
      <w:r w:rsidRPr="004D4AC0">
        <w:t>in the proposal. However, the department will only enter into an agreement with you as the lead applicant if the Proposed Solution is successful. All payments</w:t>
      </w:r>
      <w:r>
        <w:t>,</w:t>
      </w:r>
      <w:r w:rsidRPr="004D4AC0">
        <w:t xml:space="preserve"> including any components for the </w:t>
      </w:r>
      <w:r w:rsidR="00401346">
        <w:t>other</w:t>
      </w:r>
      <w:r w:rsidRPr="004D4AC0">
        <w:t xml:space="preserve"> part</w:t>
      </w:r>
      <w:r w:rsidR="00401346">
        <w:t>ies</w:t>
      </w:r>
      <w:r>
        <w:t>,</w:t>
      </w:r>
      <w:r w:rsidRPr="004D4AC0">
        <w:t xml:space="preserve"> will be made to the lead applicant only.</w:t>
      </w:r>
    </w:p>
    <w:p w14:paraId="0E653C61" w14:textId="2E430815" w:rsidR="00733FF0" w:rsidRDefault="00733FF0" w:rsidP="00733FF0">
      <w:pPr>
        <w:pStyle w:val="Normal-Style2"/>
      </w:pPr>
      <w:r>
        <w:t>In addition to any</w:t>
      </w:r>
      <w:r w:rsidRPr="00492784">
        <w:t xml:space="preserve"> arrangements negotiated with an MNO confirmed at the time of the application to provide services through the </w:t>
      </w:r>
      <w:r>
        <w:t xml:space="preserve">Proposed </w:t>
      </w:r>
      <w:r w:rsidRPr="00492784">
        <w:t xml:space="preserve">Solution, each </w:t>
      </w:r>
      <w:r>
        <w:t xml:space="preserve">Proposed </w:t>
      </w:r>
      <w:r w:rsidRPr="00830A83">
        <w:t xml:space="preserve">Solution must offer </w:t>
      </w:r>
      <w:r w:rsidR="00627C2D">
        <w:t xml:space="preserve">the option of </w:t>
      </w:r>
      <w:r w:rsidRPr="00830A83">
        <w:t>co</w:t>
      </w:r>
      <w:r>
        <w:noBreakHyphen/>
      </w:r>
      <w:r w:rsidRPr="00830A83">
        <w:t>location</w:t>
      </w:r>
      <w:r>
        <w:t xml:space="preserve"> to other MNOs</w:t>
      </w:r>
      <w:r w:rsidRPr="00830A83">
        <w:t xml:space="preserve">, or the applicant must provide evidence (as per section </w:t>
      </w:r>
      <w:r>
        <w:fldChar w:fldCharType="begin"/>
      </w:r>
      <w:r>
        <w:instrText xml:space="preserve"> REF _Ref109305249 \r \h </w:instrText>
      </w:r>
      <w:r>
        <w:fldChar w:fldCharType="separate"/>
      </w:r>
      <w:r w:rsidR="001A1CA8">
        <w:t>4.2.11</w:t>
      </w:r>
      <w:r>
        <w:fldChar w:fldCharType="end"/>
      </w:r>
      <w:r w:rsidRPr="009410FC">
        <w:t>)</w:t>
      </w:r>
      <w:r w:rsidRPr="00830A83">
        <w:t xml:space="preserve"> that the </w:t>
      </w:r>
      <w:r>
        <w:t xml:space="preserve">Proposed </w:t>
      </w:r>
      <w:r w:rsidRPr="00830A83">
        <w:t>Solution is unable to support an additional MNO</w:t>
      </w:r>
      <w:r>
        <w:t xml:space="preserve"> for technical or other reasons (for example because the applicant does not own or control the site)</w:t>
      </w:r>
      <w:r w:rsidRPr="00830A83">
        <w:t>.</w:t>
      </w:r>
      <w:r w:rsidR="00325C3B">
        <w:t xml:space="preserve"> If active sharing is provided at the Proposed Solution, the applicant is encourage</w:t>
      </w:r>
      <w:r w:rsidR="00B36CCD">
        <w:t>d</w:t>
      </w:r>
      <w:r w:rsidR="00325C3B">
        <w:t xml:space="preserve"> to offer access to other MNOs on commercial terms.</w:t>
      </w:r>
    </w:p>
    <w:p w14:paraId="5CCA1A05" w14:textId="38F2FAEF" w:rsidR="00733FF0" w:rsidRDefault="00733FF0" w:rsidP="003E0FF5">
      <w:pPr>
        <w:pStyle w:val="Normal-Style2"/>
        <w:spacing w:after="120"/>
      </w:pPr>
      <w:bookmarkStart w:id="86" w:name="_Ref109305249"/>
      <w:r>
        <w:t>If a Proposed Solution is unable to support an additional MNO other than those already participating or is not capable of supporting co-location, applicants must provide a detailed explanation of why it is not technically feasible to reconfigure the Proposed Solution to support an additional MNO at incremental cost to the Co-locating MNO, or why it is not otherwise possible to offer co-location at the site. The department’s technical advisor may review any technical advice from the applicant. If the department’s view is that co</w:t>
      </w:r>
      <w:r>
        <w:noBreakHyphen/>
        <w:t xml:space="preserve">location is technically possible, then the applicant must be prepared to offer </w:t>
      </w:r>
      <w:r w:rsidR="00AA3E6B">
        <w:t xml:space="preserve">the option of </w:t>
      </w:r>
      <w:r>
        <w:t>co-location at incremental cost to an MNO seeking to co-locate on the</w:t>
      </w:r>
      <w:r w:rsidRPr="00A76C75">
        <w:rPr>
          <w:rFonts w:cstheme="minorHAnsi"/>
        </w:rPr>
        <w:t xml:space="preserve"> </w:t>
      </w:r>
      <w:r w:rsidRPr="000F0174">
        <w:t xml:space="preserve">Proposed </w:t>
      </w:r>
      <w:r>
        <w:t>Solution, or the department may remove the Proposed Solution from the assessment process.</w:t>
      </w:r>
      <w:bookmarkEnd w:id="86"/>
    </w:p>
    <w:p w14:paraId="50552847" w14:textId="721936C9" w:rsidR="00733FF0" w:rsidRDefault="00733FF0" w:rsidP="00E51C10">
      <w:pPr>
        <w:pStyle w:val="Normal-Style2"/>
        <w:spacing w:after="120"/>
      </w:pPr>
      <w:bookmarkStart w:id="87" w:name="_Ref109304994"/>
      <w:r>
        <w:t>Once an applicant is selected to build a Proposed Solution</w:t>
      </w:r>
      <w:r w:rsidR="00AA3E6B">
        <w:t xml:space="preserve"> and if other parties express interest</w:t>
      </w:r>
      <w:r>
        <w:t xml:space="preserve">, it must give any other MNO(s) not already participating in the solution the opportunity to co-locate and to participate in the detailed design phase for that Funded Solution using the process set out in this section </w:t>
      </w:r>
      <w:r>
        <w:fldChar w:fldCharType="begin"/>
      </w:r>
      <w:r>
        <w:instrText xml:space="preserve"> REF _Ref109304994 \r \h </w:instrText>
      </w:r>
      <w:r>
        <w:fldChar w:fldCharType="separate"/>
      </w:r>
      <w:r w:rsidR="001A1CA8">
        <w:t>4.2.12</w:t>
      </w:r>
      <w:r>
        <w:fldChar w:fldCharType="end"/>
      </w:r>
      <w:r>
        <w:t xml:space="preserve">, noting section </w:t>
      </w:r>
      <w:r>
        <w:fldChar w:fldCharType="begin"/>
      </w:r>
      <w:r>
        <w:instrText xml:space="preserve"> REF _Ref109305249 \r \h </w:instrText>
      </w:r>
      <w:r>
        <w:fldChar w:fldCharType="separate"/>
      </w:r>
      <w:r w:rsidR="001A1CA8">
        <w:t>4.2.11</w:t>
      </w:r>
      <w:r>
        <w:fldChar w:fldCharType="end"/>
      </w:r>
      <w:r>
        <w:t>.</w:t>
      </w:r>
      <w:bookmarkEnd w:id="87"/>
      <w:r w:rsidR="00AA3E6B">
        <w:t xml:space="preserve"> </w:t>
      </w:r>
    </w:p>
    <w:p w14:paraId="6DF70C4C" w14:textId="0182B17A" w:rsidR="00733FF0" w:rsidRDefault="00AA3E6B" w:rsidP="001C2B1A">
      <w:pPr>
        <w:pStyle w:val="ListBullet"/>
        <w:spacing w:after="120" w:line="240" w:lineRule="auto"/>
        <w:contextualSpacing w:val="0"/>
      </w:pPr>
      <w:r>
        <w:t xml:space="preserve">MNOs who are not included in the Proposed Solution as submitted in your application will be responsible for meeting their own expenses for </w:t>
      </w:r>
      <w:r w:rsidR="00101CA4">
        <w:t xml:space="preserve">active sharing or </w:t>
      </w:r>
      <w:r>
        <w:t xml:space="preserve">co-locating at the site. </w:t>
      </w:r>
      <w:r w:rsidR="00733FF0">
        <w:t>The incremental cost for a Funded Solution to support an additional MNO will be provided to the other participating MNOs to allow for greater transparency in co</w:t>
      </w:r>
      <w:r w:rsidR="00733FF0">
        <w:noBreakHyphen/>
        <w:t>location negotiations.</w:t>
      </w:r>
    </w:p>
    <w:p w14:paraId="399FBE04" w14:textId="77777777" w:rsidR="00733FF0" w:rsidRDefault="00733FF0" w:rsidP="001C2B1A">
      <w:pPr>
        <w:pStyle w:val="ListBullet"/>
        <w:spacing w:after="120" w:line="240" w:lineRule="auto"/>
        <w:contextualSpacing w:val="0"/>
      </w:pPr>
      <w:r>
        <w:t>For Funded Solutions where other MNOs are interested in co</w:t>
      </w:r>
      <w:r>
        <w:noBreakHyphen/>
        <w:t>locating, the costs can be shared more broadly and efficiencies achieved if the interested MNOs can participate in the design and build phases, which should ensure that their reasonable specifications are accommodated in the design and construction of the Funded Solution. This opportunity relates to all the requirements necessary for co-location to efficiently occur, including (but not limited to) the height and robustness of the Funded Solution, as well as site space for housing equipment and providing access to power and Backhaul.</w:t>
      </w:r>
    </w:p>
    <w:p w14:paraId="4049636A" w14:textId="77777777" w:rsidR="00733FF0" w:rsidRDefault="00733FF0" w:rsidP="001C2B1A">
      <w:pPr>
        <w:pStyle w:val="ListBullet"/>
        <w:spacing w:after="120" w:line="240" w:lineRule="auto"/>
        <w:contextualSpacing w:val="0"/>
      </w:pPr>
      <w:r>
        <w:t>The Government is supportive of Grantees offering other MNOs the opportunity to co</w:t>
      </w:r>
      <w:r>
        <w:noBreakHyphen/>
        <w:t>invest in Funded Solutions including (but not limited to) provision of Backhaul.</w:t>
      </w:r>
    </w:p>
    <w:p w14:paraId="5A77A9AE" w14:textId="77777777" w:rsidR="00733FF0" w:rsidRDefault="00733FF0" w:rsidP="00E51C10">
      <w:pPr>
        <w:pStyle w:val="Normal-Style2"/>
        <w:spacing w:after="120"/>
      </w:pPr>
      <w:bookmarkStart w:id="88" w:name="_Ref109305274"/>
      <w:r>
        <w:t>For the purpose of providing the incremental cost of supporting an additional MNO, a Funded Solution must meet the following minimum specifications to be considered capable of supporting two or three MNOs:</w:t>
      </w:r>
      <w:bookmarkEnd w:id="88"/>
    </w:p>
    <w:p w14:paraId="3BB55FB0" w14:textId="77777777" w:rsidR="00733FF0" w:rsidRPr="00D656ED" w:rsidRDefault="00733FF0" w:rsidP="00733FF0">
      <w:pPr>
        <w:pStyle w:val="ListBullet"/>
      </w:pPr>
      <w:r w:rsidRPr="000D0FDC">
        <w:t>The structure is based on one of the following configurations:</w:t>
      </w:r>
    </w:p>
    <w:p w14:paraId="3824B6DC" w14:textId="77777777" w:rsidR="00733FF0" w:rsidRDefault="00733FF0" w:rsidP="00F34D4A">
      <w:pPr>
        <w:pStyle w:val="Tablefigureheading"/>
      </w:pPr>
      <w:bookmarkStart w:id="89" w:name="_Toc157705022"/>
      <w:r w:rsidRPr="0054078D">
        <w:t xml:space="preserve">Table </w:t>
      </w:r>
      <w:r w:rsidR="00FF4886">
        <w:t>1</w:t>
      </w:r>
      <w:r w:rsidRPr="00852C85">
        <w:t>: Minimum specification configurations for co</w:t>
      </w:r>
      <w:r w:rsidRPr="009C7EDC">
        <w:t xml:space="preserve">-location </w:t>
      </w:r>
      <w:r w:rsidRPr="009410FC">
        <w:t xml:space="preserve">of </w:t>
      </w:r>
      <w:r w:rsidRPr="009C7EDC">
        <w:t>multiple MNOs</w:t>
      </w:r>
      <w:bookmarkEnd w:id="89"/>
    </w:p>
    <w:tbl>
      <w:tblPr>
        <w:tblStyle w:val="DefaultTable11"/>
        <w:tblW w:w="5000" w:type="pct"/>
        <w:tblLook w:val="04A0" w:firstRow="1" w:lastRow="0" w:firstColumn="1" w:lastColumn="0" w:noHBand="0" w:noVBand="1"/>
        <w:tblDescription w:val="Table 2: Minimum specification configurations for co-location of multiple MNOs"/>
      </w:tblPr>
      <w:tblGrid>
        <w:gridCol w:w="3157"/>
        <w:gridCol w:w="3159"/>
        <w:gridCol w:w="3159"/>
      </w:tblGrid>
      <w:tr w:rsidR="00F34D4A" w:rsidRPr="00654F9E" w14:paraId="5709C7C1" w14:textId="77777777" w:rsidTr="008243A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14:paraId="7387DA2E" w14:textId="77777777" w:rsidR="00F34D4A" w:rsidRPr="00F34D4A" w:rsidRDefault="00F34D4A" w:rsidP="00F34D4A">
            <w:pPr>
              <w:pStyle w:val="Tablerowcolumnheading"/>
              <w:rPr>
                <w:b/>
              </w:rPr>
            </w:pPr>
            <w:r w:rsidRPr="00F34D4A">
              <w:rPr>
                <w:b/>
                <w:lang w:eastAsia="en-AU"/>
              </w:rPr>
              <w:t>Configuration 1</w:t>
            </w:r>
          </w:p>
        </w:tc>
        <w:tc>
          <w:tcPr>
            <w:tcW w:w="1667" w:type="pct"/>
          </w:tcPr>
          <w:p w14:paraId="3DCA02C2" w14:textId="77777777" w:rsidR="00F34D4A" w:rsidRPr="00F34D4A" w:rsidRDefault="00F34D4A" w:rsidP="00F34D4A">
            <w:pPr>
              <w:pStyle w:val="Tablerowcolumnheading"/>
              <w:cnfStyle w:val="100000000000" w:firstRow="1" w:lastRow="0" w:firstColumn="0" w:lastColumn="0" w:oddVBand="0" w:evenVBand="0" w:oddHBand="0" w:evenHBand="0" w:firstRowFirstColumn="0" w:firstRowLastColumn="0" w:lastRowFirstColumn="0" w:lastRowLastColumn="0"/>
              <w:rPr>
                <w:b/>
              </w:rPr>
            </w:pPr>
            <w:r w:rsidRPr="00F34D4A">
              <w:rPr>
                <w:b/>
                <w:lang w:eastAsia="en-AU"/>
              </w:rPr>
              <w:t>Configuration 2</w:t>
            </w:r>
          </w:p>
        </w:tc>
        <w:tc>
          <w:tcPr>
            <w:tcW w:w="1667" w:type="pct"/>
          </w:tcPr>
          <w:p w14:paraId="09D8A39F" w14:textId="77777777" w:rsidR="00F34D4A" w:rsidRPr="00F34D4A" w:rsidRDefault="00F34D4A" w:rsidP="00F34D4A">
            <w:pPr>
              <w:pStyle w:val="Tablerowcolumnheading"/>
              <w:cnfStyle w:val="100000000000" w:firstRow="1" w:lastRow="0" w:firstColumn="0" w:lastColumn="0" w:oddVBand="0" w:evenVBand="0" w:oddHBand="0" w:evenHBand="0" w:firstRowFirstColumn="0" w:firstRowLastColumn="0" w:lastRowFirstColumn="0" w:lastRowLastColumn="0"/>
              <w:rPr>
                <w:b/>
              </w:rPr>
            </w:pPr>
            <w:r w:rsidRPr="00F34D4A">
              <w:rPr>
                <w:b/>
                <w:lang w:eastAsia="en-AU"/>
              </w:rPr>
              <w:t>Configuration 3</w:t>
            </w:r>
          </w:p>
        </w:tc>
      </w:tr>
      <w:tr w:rsidR="00F34D4A" w:rsidRPr="00654F9E" w14:paraId="02BE015D" w14:textId="77777777" w:rsidTr="008243A9">
        <w:trPr>
          <w:cantSplit/>
        </w:trPr>
        <w:tc>
          <w:tcPr>
            <w:cnfStyle w:val="001000000000" w:firstRow="0" w:lastRow="0" w:firstColumn="1" w:lastColumn="0" w:oddVBand="0" w:evenVBand="0" w:oddHBand="0" w:evenHBand="0" w:firstRowFirstColumn="0" w:firstRowLastColumn="0" w:lastRowFirstColumn="0" w:lastRowLastColumn="0"/>
            <w:tcW w:w="1666" w:type="pct"/>
          </w:tcPr>
          <w:p w14:paraId="2D410B69" w14:textId="77777777" w:rsidR="00F34D4A" w:rsidRPr="007E495B" w:rsidRDefault="00F34D4A" w:rsidP="007E495B">
            <w:pPr>
              <w:pStyle w:val="Tabletext"/>
              <w:rPr>
                <w:b w:val="0"/>
              </w:rPr>
            </w:pPr>
            <w:r w:rsidRPr="007E495B">
              <w:rPr>
                <w:b w:val="0"/>
                <w:lang w:val="en-US" w:eastAsia="en-AU"/>
              </w:rPr>
              <w:t>3 x 1 panel antenna on a standalone headframe (Dimensions: 2533mm (h) x 353mm (w) x 209mm (d), Weight 32kg); or equivalent load</w:t>
            </w:r>
          </w:p>
        </w:tc>
        <w:tc>
          <w:tcPr>
            <w:tcW w:w="1667" w:type="pct"/>
          </w:tcPr>
          <w:p w14:paraId="335F7BE2" w14:textId="77777777" w:rsidR="00F34D4A" w:rsidRPr="007E495B" w:rsidRDefault="00F34D4A" w:rsidP="007E495B">
            <w:pPr>
              <w:pStyle w:val="Tabletext"/>
              <w:cnfStyle w:val="000000000000" w:firstRow="0" w:lastRow="0" w:firstColumn="0" w:lastColumn="0" w:oddVBand="0" w:evenVBand="0" w:oddHBand="0" w:evenHBand="0" w:firstRowFirstColumn="0" w:firstRowLastColumn="0" w:lastRowFirstColumn="0" w:lastRowLastColumn="0"/>
            </w:pPr>
            <w:r w:rsidRPr="007E495B">
              <w:rPr>
                <w:lang w:val="en-US" w:eastAsia="en-AU"/>
              </w:rPr>
              <w:t>3 x 6 port antenna on a standalone headframe (Dimensions: 2680mm (h) x 300mm (w) x 146mm (d), Weight: 39.5kg)</w:t>
            </w:r>
          </w:p>
        </w:tc>
        <w:tc>
          <w:tcPr>
            <w:tcW w:w="1667" w:type="pct"/>
          </w:tcPr>
          <w:p w14:paraId="7120648A" w14:textId="77777777" w:rsidR="00F34D4A" w:rsidRPr="007E495B" w:rsidRDefault="00F34D4A" w:rsidP="007E495B">
            <w:pPr>
              <w:pStyle w:val="Tabletext"/>
              <w:cnfStyle w:val="000000000000" w:firstRow="0" w:lastRow="0" w:firstColumn="0" w:lastColumn="0" w:oddVBand="0" w:evenVBand="0" w:oddHBand="0" w:evenHBand="0" w:firstRowFirstColumn="0" w:firstRowLastColumn="0" w:lastRowFirstColumn="0" w:lastRowLastColumn="0"/>
            </w:pPr>
            <w:r w:rsidRPr="007E495B">
              <w:rPr>
                <w:lang w:val="en-US" w:eastAsia="en-AU"/>
              </w:rPr>
              <w:t>3 x 10 port antenna on a standalone headframe (Dimensions: 2688mm (h) x 349mm (w) x 166mm (d), Weight 36.5kg)</w:t>
            </w:r>
          </w:p>
        </w:tc>
      </w:tr>
      <w:tr w:rsidR="00F34D4A" w:rsidRPr="00654F9E" w14:paraId="0A04F9D1" w14:textId="77777777" w:rsidTr="008243A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14:paraId="4E4710BF" w14:textId="77777777" w:rsidR="00F34D4A" w:rsidRPr="007E495B" w:rsidRDefault="00F34D4A" w:rsidP="007E495B">
            <w:pPr>
              <w:pStyle w:val="Tabletext"/>
              <w:rPr>
                <w:b w:val="0"/>
              </w:rPr>
            </w:pPr>
            <w:r w:rsidRPr="007E495B">
              <w:rPr>
                <w:b w:val="0"/>
                <w:lang w:val="en-US" w:eastAsia="en-AU"/>
              </w:rPr>
              <w:t>3 x Tower Mounted Amplifiers Dimensions: (457mm (h) x 275mm (w) x 208mm (d), Weight 25kg); or equivalent load</w:t>
            </w:r>
          </w:p>
        </w:tc>
        <w:tc>
          <w:tcPr>
            <w:tcW w:w="1667" w:type="pct"/>
          </w:tcPr>
          <w:p w14:paraId="175A3F91" w14:textId="77777777" w:rsidR="00F34D4A" w:rsidRPr="007E495B" w:rsidRDefault="00F34D4A" w:rsidP="007E495B">
            <w:pPr>
              <w:pStyle w:val="Tabletext"/>
              <w:cnfStyle w:val="000000010000" w:firstRow="0" w:lastRow="0" w:firstColumn="0" w:lastColumn="0" w:oddVBand="0" w:evenVBand="0" w:oddHBand="0" w:evenHBand="1" w:firstRowFirstColumn="0" w:firstRowLastColumn="0" w:lastRowFirstColumn="0" w:lastRowLastColumn="0"/>
            </w:pPr>
            <w:r w:rsidRPr="007E495B">
              <w:rPr>
                <w:lang w:val="en-US" w:eastAsia="en-AU"/>
              </w:rPr>
              <w:t>6 x RRUs (Dimensions:400mm (h) x 300mm (w) x 150mm (d), Weight 20kg)</w:t>
            </w:r>
          </w:p>
        </w:tc>
        <w:tc>
          <w:tcPr>
            <w:tcW w:w="1667" w:type="pct"/>
          </w:tcPr>
          <w:p w14:paraId="7C454F6D" w14:textId="77777777" w:rsidR="00F34D4A" w:rsidRPr="007E495B" w:rsidRDefault="00F34D4A" w:rsidP="007E495B">
            <w:pPr>
              <w:pStyle w:val="Tabletext"/>
              <w:cnfStyle w:val="000000010000" w:firstRow="0" w:lastRow="0" w:firstColumn="0" w:lastColumn="0" w:oddVBand="0" w:evenVBand="0" w:oddHBand="0" w:evenHBand="1" w:firstRowFirstColumn="0" w:firstRowLastColumn="0" w:lastRowFirstColumn="0" w:lastRowLastColumn="0"/>
            </w:pPr>
            <w:r w:rsidRPr="007E495B">
              <w:rPr>
                <w:lang w:val="en-US" w:eastAsia="en-AU"/>
              </w:rPr>
              <w:t>6 x RRUs (Dimensions: 400mm (h) x 300mm (w) x 100mm (d), Weight 13.5kg)</w:t>
            </w:r>
          </w:p>
        </w:tc>
      </w:tr>
      <w:tr w:rsidR="00F34D4A" w:rsidRPr="00654F9E" w14:paraId="62C4C734" w14:textId="77777777" w:rsidTr="008243A9">
        <w:trPr>
          <w:cantSplit/>
        </w:trPr>
        <w:tc>
          <w:tcPr>
            <w:cnfStyle w:val="001000000000" w:firstRow="0" w:lastRow="0" w:firstColumn="1" w:lastColumn="0" w:oddVBand="0" w:evenVBand="0" w:oddHBand="0" w:evenHBand="0" w:firstRowFirstColumn="0" w:firstRowLastColumn="0" w:lastRowFirstColumn="0" w:lastRowLastColumn="0"/>
            <w:tcW w:w="1666" w:type="pct"/>
          </w:tcPr>
          <w:p w14:paraId="7BF08C15" w14:textId="77777777" w:rsidR="00F34D4A" w:rsidRPr="007E495B" w:rsidRDefault="00F34D4A" w:rsidP="007E495B">
            <w:pPr>
              <w:pStyle w:val="Tabletext"/>
              <w:rPr>
                <w:b w:val="0"/>
              </w:rPr>
            </w:pPr>
            <w:r w:rsidRPr="007E495B">
              <w:rPr>
                <w:b w:val="0"/>
                <w:lang w:val="en-US" w:eastAsia="en-AU"/>
              </w:rPr>
              <w:t>6 x feeders + 300mm cable gantry for monopole structure type sites</w:t>
            </w:r>
          </w:p>
        </w:tc>
        <w:tc>
          <w:tcPr>
            <w:tcW w:w="1667" w:type="pct"/>
          </w:tcPr>
          <w:p w14:paraId="563AF491" w14:textId="77777777" w:rsidR="00F34D4A" w:rsidRPr="007E495B" w:rsidRDefault="00F34D4A" w:rsidP="007E495B">
            <w:pPr>
              <w:pStyle w:val="Tabletext"/>
              <w:cnfStyle w:val="000000000000" w:firstRow="0" w:lastRow="0" w:firstColumn="0" w:lastColumn="0" w:oddVBand="0" w:evenVBand="0" w:oddHBand="0" w:evenHBand="0" w:firstRowFirstColumn="0" w:firstRowLastColumn="0" w:lastRowFirstColumn="0" w:lastRowLastColumn="0"/>
            </w:pPr>
            <w:r w:rsidRPr="007E495B">
              <w:rPr>
                <w:lang w:val="en-US" w:eastAsia="en-AU"/>
              </w:rPr>
              <w:t>6 x combiners (Dimensions: 330mm (h) x 200mm (w) x 130mm (d), Weight 3.2kg)</w:t>
            </w:r>
          </w:p>
        </w:tc>
        <w:tc>
          <w:tcPr>
            <w:tcW w:w="1667" w:type="pct"/>
          </w:tcPr>
          <w:p w14:paraId="2EC55118" w14:textId="77777777" w:rsidR="00F34D4A" w:rsidRPr="007E495B" w:rsidRDefault="00F34D4A" w:rsidP="007E495B">
            <w:pPr>
              <w:pStyle w:val="Tabletext"/>
              <w:cnfStyle w:val="000000000000" w:firstRow="0" w:lastRow="0" w:firstColumn="0" w:lastColumn="0" w:oddVBand="0" w:evenVBand="0" w:oddHBand="0" w:evenHBand="0" w:firstRowFirstColumn="0" w:firstRowLastColumn="0" w:lastRowFirstColumn="0" w:lastRowLastColumn="0"/>
            </w:pPr>
            <w:r w:rsidRPr="007E495B">
              <w:rPr>
                <w:lang w:val="en-US" w:eastAsia="en-AU"/>
              </w:rPr>
              <w:t>2 x 600mm fixed link dishes; or equivalent load</w:t>
            </w:r>
          </w:p>
        </w:tc>
      </w:tr>
      <w:tr w:rsidR="00F34D4A" w:rsidRPr="00654F9E" w14:paraId="302FF086" w14:textId="77777777" w:rsidTr="008243A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14:paraId="321B0CA7" w14:textId="77777777" w:rsidR="00F34D4A" w:rsidRPr="007E495B" w:rsidRDefault="00F34D4A" w:rsidP="007E495B">
            <w:pPr>
              <w:pStyle w:val="Tabletext"/>
              <w:rPr>
                <w:b w:val="0"/>
              </w:rPr>
            </w:pPr>
            <w:r w:rsidRPr="007E495B">
              <w:rPr>
                <w:b w:val="0"/>
                <w:lang w:val="en-US" w:eastAsia="en-AU"/>
              </w:rPr>
              <w:t>2 x 600mm fixed link dishes; or equivalent load</w:t>
            </w:r>
          </w:p>
        </w:tc>
        <w:tc>
          <w:tcPr>
            <w:tcW w:w="1667" w:type="pct"/>
          </w:tcPr>
          <w:p w14:paraId="52C138AF" w14:textId="77777777" w:rsidR="00F34D4A" w:rsidRPr="007E495B" w:rsidRDefault="00F34D4A" w:rsidP="007E495B">
            <w:pPr>
              <w:pStyle w:val="Tabletext"/>
              <w:cnfStyle w:val="000000010000" w:firstRow="0" w:lastRow="0" w:firstColumn="0" w:lastColumn="0" w:oddVBand="0" w:evenVBand="0" w:oddHBand="0" w:evenHBand="1" w:firstRowFirstColumn="0" w:firstRowLastColumn="0" w:lastRowFirstColumn="0" w:lastRowLastColumn="0"/>
            </w:pPr>
            <w:r w:rsidRPr="007E495B">
              <w:rPr>
                <w:lang w:val="en-US" w:eastAsia="en-AU"/>
              </w:rPr>
              <w:t>2 x 600mm transmission dishes; or equivalent load</w:t>
            </w:r>
          </w:p>
        </w:tc>
        <w:tc>
          <w:tcPr>
            <w:tcW w:w="1667" w:type="pct"/>
          </w:tcPr>
          <w:p w14:paraId="59A87F7E" w14:textId="77777777" w:rsidR="00F34D4A" w:rsidRPr="007E495B" w:rsidRDefault="00F34D4A" w:rsidP="007E495B">
            <w:pPr>
              <w:pStyle w:val="Tabletext"/>
              <w:cnfStyle w:val="000000010000" w:firstRow="0" w:lastRow="0" w:firstColumn="0" w:lastColumn="0" w:oddVBand="0" w:evenVBand="0" w:oddHBand="0" w:evenHBand="1" w:firstRowFirstColumn="0" w:firstRowLastColumn="0" w:lastRowFirstColumn="0" w:lastRowLastColumn="0"/>
            </w:pPr>
          </w:p>
        </w:tc>
      </w:tr>
      <w:tr w:rsidR="00F34D4A" w:rsidRPr="00654F9E" w14:paraId="44434910" w14:textId="77777777" w:rsidTr="008243A9">
        <w:trPr>
          <w:cantSplit/>
        </w:trPr>
        <w:tc>
          <w:tcPr>
            <w:cnfStyle w:val="001000000000" w:firstRow="0" w:lastRow="0" w:firstColumn="1" w:lastColumn="0" w:oddVBand="0" w:evenVBand="0" w:oddHBand="0" w:evenHBand="0" w:firstRowFirstColumn="0" w:firstRowLastColumn="0" w:lastRowFirstColumn="0" w:lastRowLastColumn="0"/>
            <w:tcW w:w="1666" w:type="pct"/>
          </w:tcPr>
          <w:p w14:paraId="3A2AFFCC" w14:textId="77777777" w:rsidR="00F34D4A" w:rsidRPr="007E495B" w:rsidRDefault="00F34D4A" w:rsidP="007E495B">
            <w:pPr>
              <w:pStyle w:val="Tabletext"/>
              <w:rPr>
                <w:b w:val="0"/>
              </w:rPr>
            </w:pPr>
          </w:p>
        </w:tc>
        <w:tc>
          <w:tcPr>
            <w:tcW w:w="1667" w:type="pct"/>
          </w:tcPr>
          <w:p w14:paraId="1EA41B04" w14:textId="77777777" w:rsidR="00F34D4A" w:rsidRPr="007E495B" w:rsidRDefault="00F34D4A" w:rsidP="007E495B">
            <w:pPr>
              <w:pStyle w:val="Tabletext"/>
              <w:cnfStyle w:val="000000000000" w:firstRow="0" w:lastRow="0" w:firstColumn="0" w:lastColumn="0" w:oddVBand="0" w:evenVBand="0" w:oddHBand="0" w:evenHBand="0" w:firstRowFirstColumn="0" w:firstRowLastColumn="0" w:lastRowFirstColumn="0" w:lastRowLastColumn="0"/>
            </w:pPr>
            <w:r w:rsidRPr="007E495B">
              <w:rPr>
                <w:lang w:val="en-US" w:eastAsia="en-AU"/>
              </w:rPr>
              <w:t>Other DC Cables and Junction Boxes</w:t>
            </w:r>
          </w:p>
        </w:tc>
        <w:tc>
          <w:tcPr>
            <w:tcW w:w="1667" w:type="pct"/>
          </w:tcPr>
          <w:p w14:paraId="18AD1D21" w14:textId="77777777" w:rsidR="00F34D4A" w:rsidRPr="007E495B" w:rsidRDefault="00F34D4A" w:rsidP="007E495B">
            <w:pPr>
              <w:pStyle w:val="Tabletext"/>
              <w:cnfStyle w:val="000000000000" w:firstRow="0" w:lastRow="0" w:firstColumn="0" w:lastColumn="0" w:oddVBand="0" w:evenVBand="0" w:oddHBand="0" w:evenHBand="0" w:firstRowFirstColumn="0" w:firstRowLastColumn="0" w:lastRowFirstColumn="0" w:lastRowLastColumn="0"/>
            </w:pPr>
          </w:p>
        </w:tc>
      </w:tr>
    </w:tbl>
    <w:p w14:paraId="6456CEFD" w14:textId="1F49BEBB" w:rsidR="00733FF0" w:rsidRDefault="00733FF0" w:rsidP="001C2B1A">
      <w:pPr>
        <w:pStyle w:val="ListBullet"/>
        <w:keepLines/>
        <w:spacing w:before="240" w:after="120" w:line="240" w:lineRule="auto"/>
        <w:contextualSpacing w:val="0"/>
      </w:pPr>
      <w:r w:rsidRPr="00CC21B8">
        <w:t xml:space="preserve">There is sufficient mains AC power provision to support the requirements of additional MNO equipment. This section </w:t>
      </w:r>
      <w:r>
        <w:fldChar w:fldCharType="begin"/>
      </w:r>
      <w:r>
        <w:instrText xml:space="preserve"> REF _Ref109305274 \r \h </w:instrText>
      </w:r>
      <w:r>
        <w:fldChar w:fldCharType="separate"/>
      </w:r>
      <w:r w:rsidR="001A1CA8">
        <w:t>4.2.13</w:t>
      </w:r>
      <w:r>
        <w:fldChar w:fldCharType="end"/>
      </w:r>
      <w:r>
        <w:t xml:space="preserve"> </w:t>
      </w:r>
      <w:r w:rsidRPr="00CC21B8">
        <w:t>does not apply to solar powered sites, however, solar powered sites must have sufficient space for the additional MNO</w:t>
      </w:r>
      <w:r>
        <w:t>(</w:t>
      </w:r>
      <w:r w:rsidRPr="00CC21B8">
        <w:t>s</w:t>
      </w:r>
      <w:r>
        <w:t>)</w:t>
      </w:r>
      <w:r w:rsidRPr="00CC21B8">
        <w:t xml:space="preserve"> to install additional solar panels.</w:t>
      </w:r>
    </w:p>
    <w:p w14:paraId="714FBA7D" w14:textId="77777777" w:rsidR="00733FF0" w:rsidRDefault="00733FF0" w:rsidP="001C2B1A">
      <w:pPr>
        <w:pStyle w:val="ListBullet"/>
        <w:spacing w:after="120" w:line="240" w:lineRule="auto"/>
        <w:contextualSpacing w:val="0"/>
      </w:pPr>
      <w:r>
        <w:t>There is a communications hut of sufficient size (or space available on the site for further huts) to accommodate additional MNO equipment.</w:t>
      </w:r>
    </w:p>
    <w:p w14:paraId="1AB253E9" w14:textId="77777777" w:rsidR="00733FF0" w:rsidRPr="00CB3318" w:rsidRDefault="00733FF0" w:rsidP="001C2B1A">
      <w:pPr>
        <w:pStyle w:val="ListBullet"/>
        <w:spacing w:after="120" w:line="240" w:lineRule="auto"/>
        <w:contextualSpacing w:val="0"/>
      </w:pPr>
      <w:r>
        <w:t>There is</w:t>
      </w:r>
      <w:r w:rsidRPr="001D3759">
        <w:t xml:space="preserve"> sufficient space </w:t>
      </w:r>
      <w:r>
        <w:t>is available to allow</w:t>
      </w:r>
      <w:r w:rsidRPr="001D3759">
        <w:t xml:space="preserve"> any participating MNOs to install </w:t>
      </w:r>
      <w:r>
        <w:t>auxiliary back-up</w:t>
      </w:r>
      <w:r w:rsidRPr="001D3759">
        <w:t xml:space="preserve"> power </w:t>
      </w:r>
      <w:r>
        <w:t xml:space="preserve">supply </w:t>
      </w:r>
      <w:r w:rsidRPr="008C4C1D">
        <w:t>which provides back</w:t>
      </w:r>
      <w:r>
        <w:t>-</w:t>
      </w:r>
      <w:r w:rsidRPr="008C4C1D">
        <w:t>up power in the event of the loss of external power to the site</w:t>
      </w:r>
      <w:r w:rsidRPr="001D3759">
        <w:t xml:space="preserve"> </w:t>
      </w:r>
      <w:r>
        <w:t xml:space="preserve">up to </w:t>
      </w:r>
      <w:r w:rsidRPr="001D3759">
        <w:t xml:space="preserve">the </w:t>
      </w:r>
      <w:r>
        <w:t xml:space="preserve">Program’s </w:t>
      </w:r>
      <w:r w:rsidRPr="001D3759">
        <w:t xml:space="preserve">minimum 12 hours </w:t>
      </w:r>
      <w:r>
        <w:t>standard.</w:t>
      </w:r>
      <w:r w:rsidRPr="001D3759">
        <w:t xml:space="preserve"> </w:t>
      </w:r>
      <w:r>
        <w:t>Justification should be provided for Funded Solutions (e.g. Small Cells) where it is not feasible to provide a minimum of 12 hours back-up power supply.</w:t>
      </w:r>
    </w:p>
    <w:p w14:paraId="4649C6EB" w14:textId="77777777" w:rsidR="00733FF0" w:rsidRDefault="00733FF0" w:rsidP="00733FF0">
      <w:pPr>
        <w:pStyle w:val="Normal-Style2"/>
      </w:pPr>
      <w:bookmarkStart w:id="90" w:name="_Ref109305316"/>
      <w:r>
        <w:t>MNOs interested in co-locating on a Funded Solution (i.e. the MNO expresses an interest in co-locating on Funded Solutions after funding has been awarded) will be required to express interest prior to the start of the detailed design stage for that Funded Solution. All parties will be required to negotiate in good faith with each other in relation to the Funded Solution access and price terms, and enter into commercial arrangements. The capital contribution to be made by the co-locating parties in respect of a Funded Solution must, at least, equal the incremental cost incurred by reason of provisioning co-location for that Funded Solution.</w:t>
      </w:r>
      <w:bookmarkEnd w:id="90"/>
    </w:p>
    <w:p w14:paraId="176104D5" w14:textId="593AAE36" w:rsidR="00733FF0" w:rsidRDefault="00733FF0" w:rsidP="00733FF0">
      <w:pPr>
        <w:pStyle w:val="Normal-Style2"/>
      </w:pPr>
      <w:r>
        <w:t xml:space="preserve">In accordance with the dispute resolution process outlined at </w:t>
      </w:r>
      <w:r w:rsidRPr="00A23788">
        <w:t xml:space="preserve">sections </w:t>
      </w:r>
      <w:r>
        <w:fldChar w:fldCharType="begin"/>
      </w:r>
      <w:r>
        <w:instrText xml:space="preserve"> REF _Ref109305289 \r \h </w:instrText>
      </w:r>
      <w:r>
        <w:fldChar w:fldCharType="separate"/>
      </w:r>
      <w:r w:rsidR="001A1CA8">
        <w:t>4.2.23</w:t>
      </w:r>
      <w:r>
        <w:fldChar w:fldCharType="end"/>
      </w:r>
      <w:r>
        <w:t xml:space="preserve"> </w:t>
      </w:r>
      <w:r w:rsidRPr="00251548">
        <w:t xml:space="preserve">and </w:t>
      </w:r>
      <w:r>
        <w:fldChar w:fldCharType="begin"/>
      </w:r>
      <w:r>
        <w:instrText xml:space="preserve"> REF _Ref109305296 \r \h </w:instrText>
      </w:r>
      <w:r>
        <w:fldChar w:fldCharType="separate"/>
      </w:r>
      <w:r w:rsidR="001A1CA8">
        <w:t>4.2.24</w:t>
      </w:r>
      <w:r>
        <w:fldChar w:fldCharType="end"/>
      </w:r>
      <w:r>
        <w:t>, any disagreements regarding co-location matters will be determined by an independent third party, to be appointed at the MNOs’/MNIPs’ shared cost, and in accordance with the dispute resolution process.</w:t>
      </w:r>
    </w:p>
    <w:p w14:paraId="00032298" w14:textId="2310919C" w:rsidR="00733FF0" w:rsidRDefault="00733FF0" w:rsidP="00733FF0">
      <w:pPr>
        <w:pStyle w:val="Normal-Style2"/>
      </w:pPr>
      <w:bookmarkStart w:id="91" w:name="_Ref109305790"/>
      <w:r>
        <w:t xml:space="preserve">Following the process set out </w:t>
      </w:r>
      <w:r w:rsidRPr="00EA627E">
        <w:t xml:space="preserve">in sections </w:t>
      </w:r>
      <w:r>
        <w:fldChar w:fldCharType="begin"/>
      </w:r>
      <w:r>
        <w:instrText xml:space="preserve"> REF _Ref109305308 \r \h </w:instrText>
      </w:r>
      <w:r>
        <w:fldChar w:fldCharType="separate"/>
      </w:r>
      <w:r w:rsidR="001A1CA8">
        <w:t>4.2.8</w:t>
      </w:r>
      <w:r>
        <w:fldChar w:fldCharType="end"/>
      </w:r>
      <w:r>
        <w:t xml:space="preserve"> </w:t>
      </w:r>
      <w:r w:rsidRPr="00EA627E">
        <w:t xml:space="preserve">to </w:t>
      </w:r>
      <w:r>
        <w:fldChar w:fldCharType="begin"/>
      </w:r>
      <w:r>
        <w:instrText xml:space="preserve"> REF _Ref109305316 \r \h </w:instrText>
      </w:r>
      <w:r>
        <w:fldChar w:fldCharType="separate"/>
      </w:r>
      <w:r w:rsidR="001A1CA8">
        <w:t>4.2.14</w:t>
      </w:r>
      <w:r>
        <w:fldChar w:fldCharType="end"/>
      </w:r>
      <w:r w:rsidRPr="00EA627E">
        <w:t>,</w:t>
      </w:r>
      <w:r>
        <w:t xml:space="preserve"> if it is ascertained that there is no interest in co-location from another MNO, the Grantee will not be required to design or build the site to allow for co-location.</w:t>
      </w:r>
      <w:bookmarkEnd w:id="91"/>
    </w:p>
    <w:p w14:paraId="1352D213" w14:textId="77777777" w:rsidR="00733FF0" w:rsidRPr="00F82558" w:rsidRDefault="00733FF0" w:rsidP="00412987">
      <w:pPr>
        <w:pStyle w:val="Heading4"/>
      </w:pPr>
      <w:bookmarkStart w:id="92" w:name="_Toc157704955"/>
      <w:r w:rsidRPr="00F82558">
        <w:t>Backhaul access and pricing</w:t>
      </w:r>
      <w:bookmarkEnd w:id="92"/>
    </w:p>
    <w:p w14:paraId="6B51E6DD" w14:textId="1EF6F7BC" w:rsidR="00733FF0" w:rsidRDefault="00733FF0" w:rsidP="00733FF0">
      <w:pPr>
        <w:pStyle w:val="Normal-Style2"/>
      </w:pPr>
      <w:bookmarkStart w:id="93" w:name="_Ref109305374"/>
      <w:r>
        <w:t xml:space="preserve">Where a Grantee selected to build a Funded Solution reaches an agreement under sections </w:t>
      </w:r>
      <w:r>
        <w:fldChar w:fldCharType="begin"/>
      </w:r>
      <w:r>
        <w:instrText xml:space="preserve"> REF _Ref109305308 \r \h </w:instrText>
      </w:r>
      <w:r>
        <w:fldChar w:fldCharType="separate"/>
      </w:r>
      <w:r w:rsidR="001A1CA8">
        <w:t>4.2.8</w:t>
      </w:r>
      <w:r>
        <w:fldChar w:fldCharType="end"/>
      </w:r>
      <w:r>
        <w:t xml:space="preserve"> </w:t>
      </w:r>
      <w:r w:rsidRPr="00EA627E">
        <w:t xml:space="preserve">to </w:t>
      </w:r>
      <w:r>
        <w:fldChar w:fldCharType="begin"/>
      </w:r>
      <w:r>
        <w:instrText xml:space="preserve"> REF _Ref109305316 \r \h </w:instrText>
      </w:r>
      <w:r>
        <w:fldChar w:fldCharType="separate"/>
      </w:r>
      <w:r w:rsidR="001A1CA8">
        <w:t>4.2.14</w:t>
      </w:r>
      <w:r>
        <w:fldChar w:fldCharType="end"/>
      </w:r>
      <w:r>
        <w:t xml:space="preserve"> </w:t>
      </w:r>
      <w:r w:rsidRPr="006B7869">
        <w:t xml:space="preserve">for an MNO </w:t>
      </w:r>
      <w:r>
        <w:t xml:space="preserve">not already participating in the Funded Solution </w:t>
      </w:r>
      <w:r w:rsidRPr="006B7869">
        <w:t>(the Co</w:t>
      </w:r>
      <w:r w:rsidRPr="006B7869">
        <w:noBreakHyphen/>
        <w:t xml:space="preserve">locating MNO) to co-locate on the </w:t>
      </w:r>
      <w:r>
        <w:t>F</w:t>
      </w:r>
      <w:r w:rsidRPr="006B7869">
        <w:t xml:space="preserve">unded Solution, </w:t>
      </w:r>
      <w:r>
        <w:t xml:space="preserve">and subject to section </w:t>
      </w:r>
      <w:r>
        <w:fldChar w:fldCharType="begin"/>
      </w:r>
      <w:r>
        <w:instrText xml:space="preserve"> REF _Ref109305343 \r \h </w:instrText>
      </w:r>
      <w:r>
        <w:fldChar w:fldCharType="separate"/>
      </w:r>
      <w:r w:rsidR="001A1CA8">
        <w:t>4.2.21</w:t>
      </w:r>
      <w:r>
        <w:fldChar w:fldCharType="end"/>
      </w:r>
      <w:r w:rsidRPr="00EA627E">
        <w:t>, the Grantee must offer Backhaul to the Co-locating MNO if the Grantee is in a position to do so (see section</w:t>
      </w:r>
      <w:r w:rsidR="007E495B">
        <w:t> </w:t>
      </w:r>
      <w:r>
        <w:fldChar w:fldCharType="begin"/>
      </w:r>
      <w:r>
        <w:instrText xml:space="preserve"> REF _Ref109305356 \r \h </w:instrText>
      </w:r>
      <w:r>
        <w:fldChar w:fldCharType="separate"/>
      </w:r>
      <w:r w:rsidR="001A1CA8">
        <w:t>4.2.18</w:t>
      </w:r>
      <w:r>
        <w:fldChar w:fldCharType="end"/>
      </w:r>
      <w:r w:rsidRPr="00EA627E">
        <w:t>).</w:t>
      </w:r>
      <w:bookmarkEnd w:id="93"/>
    </w:p>
    <w:p w14:paraId="40128A48" w14:textId="77777777" w:rsidR="00733FF0" w:rsidRDefault="00733FF0" w:rsidP="00733FF0">
      <w:pPr>
        <w:pStyle w:val="Normal-Style2"/>
      </w:pPr>
      <w:bookmarkStart w:id="94" w:name="_Ref109305356"/>
      <w:r>
        <w:t>The Grantee will be taken to be in a position to offer Backhaul to the Co</w:t>
      </w:r>
      <w:r>
        <w:noBreakHyphen/>
        <w:t>locating MNO if the Grantee owns or controls an optical fibre or microwave link which connects the Funded Solution to the Grantee’s network.</w:t>
      </w:r>
      <w:bookmarkEnd w:id="94"/>
    </w:p>
    <w:p w14:paraId="224FD43C" w14:textId="77777777" w:rsidR="00733FF0" w:rsidRDefault="00733FF0" w:rsidP="00733FF0">
      <w:pPr>
        <w:pStyle w:val="Normal-Style2"/>
      </w:pPr>
      <w:r>
        <w:t>The price at which the Grantee offers Backhaul to the Co-locating MNO must be more favourable than the regulated prices set under the Australian Competition and Consumer Commission (ACCC) Domestic Transmission Capacity Service Final Access Determination (DTCS FAD), for example, by offering a defined rent-free period or other discounting mechanism.</w:t>
      </w:r>
    </w:p>
    <w:p w14:paraId="6B8DC0BC" w14:textId="77777777" w:rsidR="00733FF0" w:rsidRDefault="00733FF0" w:rsidP="00733FF0">
      <w:pPr>
        <w:pStyle w:val="ListBullet"/>
      </w:pPr>
      <w:r>
        <w:t>The ACCC has released the DTCS FAD 2020</w:t>
      </w:r>
      <w:r>
        <w:rPr>
          <w:rStyle w:val="FootnoteReference"/>
        </w:rPr>
        <w:footnoteReference w:id="9"/>
      </w:r>
      <w:r>
        <w:t>, including a DTCS pricing calculator that may assist interested parties to calculate the regulated price for Backhaul.</w:t>
      </w:r>
    </w:p>
    <w:p w14:paraId="6C3BD82E" w14:textId="77777777" w:rsidR="0045229E" w:rsidRDefault="00733FF0" w:rsidP="00412987">
      <w:pPr>
        <w:pStyle w:val="Normal-Style2"/>
        <w:keepLines/>
      </w:pPr>
      <w:r w:rsidRPr="005E0E67">
        <w:t xml:space="preserve">Where a Grantee chooses to provide Backhaul to a </w:t>
      </w:r>
      <w:r>
        <w:t>F</w:t>
      </w:r>
      <w:r w:rsidRPr="005E0E67">
        <w:t>unded Solution using an optical fibre connection, it must ensure that it provides sufficient Backhaul capacity, transmission and interfacing equipment to meet the Backhaul requirements of any Co</w:t>
      </w:r>
      <w:r w:rsidRPr="005E0E67">
        <w:noBreakHyphen/>
        <w:t xml:space="preserve">locating MNO on the </w:t>
      </w:r>
      <w:r>
        <w:t>F</w:t>
      </w:r>
      <w:r w:rsidRPr="005E0E67">
        <w:t>unded Solution</w:t>
      </w:r>
      <w:r w:rsidR="0045229E">
        <w:t>.</w:t>
      </w:r>
    </w:p>
    <w:p w14:paraId="4EE144DC" w14:textId="77777777" w:rsidR="00733FF0" w:rsidRDefault="00733FF0" w:rsidP="00733FF0">
      <w:pPr>
        <w:pStyle w:val="Normal-Style2"/>
      </w:pPr>
      <w:bookmarkStart w:id="95" w:name="_Ref109305343"/>
      <w:r>
        <w:t>Where a Grantee chooses to provide Backhaul to a Funded</w:t>
      </w:r>
      <w:r w:rsidRPr="008C2847">
        <w:t xml:space="preserve"> </w:t>
      </w:r>
      <w:r>
        <w:t>Solution using a microwave connection, the Grantee must provide Backhaul services to a Co</w:t>
      </w:r>
      <w:r>
        <w:noBreakHyphen/>
        <w:t>locating MNO over that microwave connection, unless:</w:t>
      </w:r>
      <w:bookmarkEnd w:id="95"/>
    </w:p>
    <w:p w14:paraId="331B9858" w14:textId="77777777" w:rsidR="00733FF0" w:rsidRDefault="00733FF0" w:rsidP="00733FF0">
      <w:pPr>
        <w:pStyle w:val="ListBullet"/>
      </w:pPr>
      <w:r w:rsidRPr="00CC21B8">
        <w:t xml:space="preserve">the </w:t>
      </w:r>
      <w:r>
        <w:t>F</w:t>
      </w:r>
      <w:r w:rsidRPr="00CC21B8">
        <w:t>unded</w:t>
      </w:r>
      <w:r w:rsidRPr="008C2847">
        <w:t xml:space="preserve"> </w:t>
      </w:r>
      <w:r w:rsidRPr="00CC21B8">
        <w:t xml:space="preserve">Solution is designed and built to allow the Co-locating MNO to install, operate and maintain its own microwave Backhaul equipment on the </w:t>
      </w:r>
      <w:r>
        <w:t>F</w:t>
      </w:r>
      <w:r w:rsidRPr="00CC21B8">
        <w:t>unded Solution; and</w:t>
      </w:r>
    </w:p>
    <w:p w14:paraId="44B03B70" w14:textId="77777777" w:rsidR="00733FF0" w:rsidRPr="00CC21B8" w:rsidRDefault="00733FF0" w:rsidP="00733FF0">
      <w:pPr>
        <w:pStyle w:val="ListBullet"/>
      </w:pPr>
      <w:r w:rsidRPr="00CC21B8">
        <w:t xml:space="preserve">the Co-locating MNO is permitted to install, operate and maintain its own microwave Backhaul equipment on the </w:t>
      </w:r>
      <w:r>
        <w:t>F</w:t>
      </w:r>
      <w:r w:rsidRPr="00CC21B8">
        <w:t>unded Solution.</w:t>
      </w:r>
    </w:p>
    <w:p w14:paraId="37E51EDD" w14:textId="12595A6D" w:rsidR="00733FF0" w:rsidRPr="00A76C75" w:rsidRDefault="00733FF0" w:rsidP="00733FF0">
      <w:pPr>
        <w:pStyle w:val="Normal-Style2"/>
      </w:pPr>
      <w:r>
        <w:t>The terms and pricing of Backhaul services provided by a Grantee to a Co</w:t>
      </w:r>
      <w:r>
        <w:noBreakHyphen/>
        <w:t>locating MNO must be negotiated commercially between the Grantee and Co</w:t>
      </w:r>
      <w:r>
        <w:noBreakHyphen/>
        <w:t xml:space="preserve">locating MNO in accordance with the principles set out in </w:t>
      </w:r>
      <w:r w:rsidRPr="006B7869">
        <w:t xml:space="preserve">sections </w:t>
      </w:r>
      <w:r>
        <w:fldChar w:fldCharType="begin"/>
      </w:r>
      <w:r>
        <w:instrText xml:space="preserve"> REF _Ref109305374 \r \h </w:instrText>
      </w:r>
      <w:r>
        <w:fldChar w:fldCharType="separate"/>
      </w:r>
      <w:r w:rsidR="001A1CA8">
        <w:t>4.2.17</w:t>
      </w:r>
      <w:r>
        <w:fldChar w:fldCharType="end"/>
      </w:r>
      <w:r>
        <w:t xml:space="preserve"> </w:t>
      </w:r>
      <w:r w:rsidRPr="00D36B6D">
        <w:t xml:space="preserve">to </w:t>
      </w:r>
      <w:r>
        <w:fldChar w:fldCharType="begin"/>
      </w:r>
      <w:r>
        <w:instrText xml:space="preserve"> REF _Ref109305343 \r \h </w:instrText>
      </w:r>
      <w:r>
        <w:fldChar w:fldCharType="separate"/>
      </w:r>
      <w:r w:rsidR="001A1CA8">
        <w:t>4.2.21</w:t>
      </w:r>
      <w:r>
        <w:fldChar w:fldCharType="end"/>
      </w:r>
      <w:r w:rsidRPr="006B7869">
        <w:t>.</w:t>
      </w:r>
    </w:p>
    <w:p w14:paraId="6BDDE2B1" w14:textId="77777777" w:rsidR="00733FF0" w:rsidRPr="007A6384" w:rsidRDefault="00733FF0" w:rsidP="00412987">
      <w:pPr>
        <w:pStyle w:val="Heading4"/>
      </w:pPr>
      <w:bookmarkStart w:id="96" w:name="_Toc157704956"/>
      <w:r w:rsidRPr="007A6384">
        <w:t>Dispute resolution</w:t>
      </w:r>
      <w:bookmarkEnd w:id="96"/>
    </w:p>
    <w:p w14:paraId="3A4E9B69" w14:textId="2DE5CFBB" w:rsidR="00733FF0" w:rsidRDefault="00733FF0" w:rsidP="00733FF0">
      <w:pPr>
        <w:pStyle w:val="Normal-Style2"/>
      </w:pPr>
      <w:bookmarkStart w:id="97" w:name="_Ref109305289"/>
      <w:r>
        <w:t>D</w:t>
      </w:r>
      <w:r w:rsidRPr="007A6384">
        <w:t xml:space="preserve">isputes </w:t>
      </w:r>
      <w:r>
        <w:t xml:space="preserve">between parties </w:t>
      </w:r>
      <w:r w:rsidRPr="007A6384">
        <w:t xml:space="preserve">in relation to </w:t>
      </w:r>
      <w:r w:rsidR="00101CA4">
        <w:t xml:space="preserve">active sharing, </w:t>
      </w:r>
      <w:r>
        <w:t>c</w:t>
      </w:r>
      <w:r w:rsidRPr="007A6384">
        <w:t xml:space="preserve">o-location and Backhaul for a </w:t>
      </w:r>
      <w:r>
        <w:t>F</w:t>
      </w:r>
      <w:r w:rsidRPr="007A6384">
        <w:t>unded Solution will be referred for determination to an independent third-party expert</w:t>
      </w:r>
      <w:r>
        <w:t>, at the parties’ own shared cost</w:t>
      </w:r>
      <w:r w:rsidRPr="007A6384">
        <w:t>.</w:t>
      </w:r>
      <w:bookmarkEnd w:id="97"/>
    </w:p>
    <w:p w14:paraId="74ACCF67" w14:textId="77777777" w:rsidR="0045229E" w:rsidRDefault="00733FF0" w:rsidP="00733FF0">
      <w:pPr>
        <w:pStyle w:val="Normal-Style2"/>
      </w:pPr>
      <w:bookmarkStart w:id="98" w:name="_Ref109305296"/>
      <w:r w:rsidRPr="007A6384">
        <w:t xml:space="preserve">The </w:t>
      </w:r>
      <w:r>
        <w:t>Grantee</w:t>
      </w:r>
      <w:r w:rsidRPr="007A6384">
        <w:t xml:space="preserve"> and Co-locating MNO will be bound by the determination made by the independent third-party expert</w:t>
      </w:r>
      <w:bookmarkEnd w:id="98"/>
      <w:r w:rsidR="0045229E">
        <w:t>.</w:t>
      </w:r>
    </w:p>
    <w:p w14:paraId="249D8E77" w14:textId="77777777" w:rsidR="00733FF0" w:rsidRDefault="00733FF0" w:rsidP="00733FF0">
      <w:pPr>
        <w:pStyle w:val="Heading2"/>
      </w:pPr>
      <w:bookmarkStart w:id="99" w:name="_Toc113442177"/>
      <w:bookmarkStart w:id="100" w:name="_Toc113357214"/>
      <w:bookmarkStart w:id="101" w:name="_Toc157704957"/>
      <w:r>
        <w:t>What the grant money can be used for</w:t>
      </w:r>
      <w:bookmarkEnd w:id="99"/>
      <w:bookmarkEnd w:id="100"/>
      <w:bookmarkEnd w:id="101"/>
    </w:p>
    <w:p w14:paraId="4B6F425F" w14:textId="77777777" w:rsidR="00733FF0" w:rsidRDefault="00733FF0" w:rsidP="00733FF0">
      <w:pPr>
        <w:pStyle w:val="Heading3"/>
      </w:pPr>
      <w:bookmarkStart w:id="102" w:name="_Toc113442178"/>
      <w:bookmarkStart w:id="103" w:name="_Toc113357215"/>
      <w:bookmarkStart w:id="104" w:name="_Ref121997918"/>
      <w:bookmarkStart w:id="105" w:name="_Toc157704958"/>
      <w:r w:rsidRPr="005E1F31">
        <w:t xml:space="preserve">Eligible </w:t>
      </w:r>
      <w:r>
        <w:t>g</w:t>
      </w:r>
      <w:r w:rsidRPr="005E1F31">
        <w:t xml:space="preserve">rant </w:t>
      </w:r>
      <w:r>
        <w:t>a</w:t>
      </w:r>
      <w:r w:rsidRPr="005E1F31">
        <w:t>ctivities</w:t>
      </w:r>
      <w:bookmarkEnd w:id="102"/>
      <w:bookmarkEnd w:id="103"/>
      <w:bookmarkEnd w:id="104"/>
      <w:bookmarkEnd w:id="105"/>
    </w:p>
    <w:p w14:paraId="065219DF" w14:textId="77777777" w:rsidR="00733FF0" w:rsidRPr="00F562BC" w:rsidRDefault="00733FF0" w:rsidP="00733FF0">
      <w:pPr>
        <w:pStyle w:val="Normal-Style2"/>
        <w:rPr>
          <w:rStyle w:val="highlightedtextChar"/>
          <w:b w:val="0"/>
          <w:color w:val="auto"/>
        </w:rPr>
      </w:pPr>
      <w:bookmarkStart w:id="106" w:name="_Ref468355814"/>
      <w:bookmarkStart w:id="107" w:name="_Toc383003258"/>
      <w:bookmarkStart w:id="108" w:name="_Toc164844265"/>
      <w:r w:rsidRPr="00F562BC">
        <w:rPr>
          <w:rStyle w:val="highlightedtextChar"/>
          <w:b w:val="0"/>
          <w:color w:val="auto"/>
        </w:rPr>
        <w:t>To be eligible for funding under the Program, each Proposed Solution must:</w:t>
      </w:r>
    </w:p>
    <w:p w14:paraId="16B72DF2" w14:textId="15FD1DFC" w:rsidR="00733FF0" w:rsidRPr="00F562BC" w:rsidRDefault="00733FF0" w:rsidP="003D4399">
      <w:pPr>
        <w:pStyle w:val="Normal-Style2"/>
        <w:numPr>
          <w:ilvl w:val="3"/>
          <w:numId w:val="25"/>
        </w:numPr>
        <w:ind w:left="1418" w:hanging="567"/>
        <w:rPr>
          <w:rStyle w:val="highlightedtextChar"/>
          <w:b w:val="0"/>
          <w:color w:val="auto"/>
        </w:rPr>
      </w:pPr>
      <w:r w:rsidRPr="00F562BC">
        <w:rPr>
          <w:rStyle w:val="highlightedtextChar"/>
          <w:b w:val="0"/>
          <w:color w:val="auto"/>
        </w:rPr>
        <w:t xml:space="preserve">For </w:t>
      </w:r>
      <w:r w:rsidRPr="00F562BC">
        <w:rPr>
          <w:rStyle w:val="highlightedtextChar"/>
          <w:color w:val="auto"/>
        </w:rPr>
        <w:t>New Coverage Solutions</w:t>
      </w:r>
      <w:r w:rsidRPr="00F562BC">
        <w:rPr>
          <w:rStyle w:val="highlightedtextChar"/>
          <w:b w:val="0"/>
          <w:color w:val="auto"/>
        </w:rPr>
        <w:t xml:space="preserve">, provide New Handheld Coverage (at or above the relevant minimum requirements at section </w:t>
      </w:r>
      <w:r w:rsidRPr="00F562BC">
        <w:rPr>
          <w:rStyle w:val="highlightedtextChar"/>
          <w:b w:val="0"/>
          <w:color w:val="auto"/>
        </w:rPr>
        <w:fldChar w:fldCharType="begin"/>
      </w:r>
      <w:r w:rsidRPr="00F562BC">
        <w:rPr>
          <w:rStyle w:val="highlightedtextChar"/>
          <w:b w:val="0"/>
          <w:color w:val="auto"/>
        </w:rPr>
        <w:instrText xml:space="preserve"> REF _Ref109305451 \r \h  \* MERGEFORMAT </w:instrText>
      </w:r>
      <w:r w:rsidRPr="00F562BC">
        <w:rPr>
          <w:rStyle w:val="highlightedtextChar"/>
          <w:b w:val="0"/>
          <w:color w:val="auto"/>
        </w:rPr>
      </w:r>
      <w:r w:rsidRPr="00F562BC">
        <w:rPr>
          <w:rStyle w:val="highlightedtextChar"/>
          <w:b w:val="0"/>
          <w:color w:val="auto"/>
        </w:rPr>
        <w:fldChar w:fldCharType="separate"/>
      </w:r>
      <w:r w:rsidR="001A1CA8">
        <w:rPr>
          <w:rStyle w:val="highlightedtextChar"/>
          <w:b w:val="0"/>
          <w:color w:val="auto"/>
        </w:rPr>
        <w:t>4.2.4</w:t>
      </w:r>
      <w:r w:rsidRPr="00F562BC">
        <w:rPr>
          <w:rStyle w:val="highlightedtextChar"/>
          <w:b w:val="0"/>
          <w:color w:val="auto"/>
        </w:rPr>
        <w:fldChar w:fldCharType="end"/>
      </w:r>
      <w:r w:rsidRPr="00F562BC">
        <w:rPr>
          <w:rStyle w:val="highlightedtextChar"/>
          <w:b w:val="0"/>
          <w:color w:val="auto"/>
        </w:rPr>
        <w:t xml:space="preserve">) to a Target Location as set out at </w:t>
      </w:r>
      <w:hyperlink w:anchor="_Appendix_A.1._–" w:history="1">
        <w:r w:rsidR="00EE0B8D">
          <w:rPr>
            <w:rStyle w:val="Hyperlink"/>
          </w:rPr>
          <w:t>Appendix A</w:t>
        </w:r>
      </w:hyperlink>
      <w:r w:rsidRPr="00F562BC">
        <w:rPr>
          <w:rStyle w:val="highlightedtextChar"/>
          <w:b w:val="0"/>
          <w:color w:val="auto"/>
        </w:rPr>
        <w:t>;</w:t>
      </w:r>
    </w:p>
    <w:p w14:paraId="0C6A5DA8" w14:textId="15B3D686" w:rsidR="00733FF0" w:rsidRPr="00F562BC" w:rsidRDefault="00733FF0" w:rsidP="003D4399">
      <w:pPr>
        <w:pStyle w:val="Normal-Style2"/>
        <w:numPr>
          <w:ilvl w:val="3"/>
          <w:numId w:val="25"/>
        </w:numPr>
        <w:ind w:left="1418" w:hanging="567"/>
        <w:rPr>
          <w:rStyle w:val="highlightedtextChar"/>
          <w:b w:val="0"/>
          <w:color w:val="auto"/>
        </w:rPr>
      </w:pPr>
      <w:r w:rsidRPr="00F562BC">
        <w:rPr>
          <w:rStyle w:val="highlightedtextChar"/>
          <w:b w:val="0"/>
          <w:color w:val="auto"/>
        </w:rPr>
        <w:t xml:space="preserve">For </w:t>
      </w:r>
      <w:r w:rsidRPr="00F562BC">
        <w:rPr>
          <w:rStyle w:val="highlightedtextChar"/>
          <w:color w:val="auto"/>
        </w:rPr>
        <w:t>New Highway Coverage Solutions</w:t>
      </w:r>
      <w:r w:rsidRPr="00F562BC">
        <w:rPr>
          <w:rStyle w:val="highlightedtextChar"/>
          <w:b w:val="0"/>
          <w:color w:val="auto"/>
        </w:rPr>
        <w:t xml:space="preserve">, provide New Handheld Coverage (at or above the relevant minimum requirements at section </w:t>
      </w:r>
      <w:r w:rsidRPr="00F562BC">
        <w:rPr>
          <w:rStyle w:val="highlightedtextChar"/>
          <w:b w:val="0"/>
          <w:color w:val="auto"/>
        </w:rPr>
        <w:fldChar w:fldCharType="begin"/>
      </w:r>
      <w:r w:rsidRPr="00F562BC">
        <w:rPr>
          <w:rStyle w:val="highlightedtextChar"/>
          <w:b w:val="0"/>
          <w:color w:val="auto"/>
        </w:rPr>
        <w:instrText xml:space="preserve"> REF _Ref109305451 \r \h  \* MERGEFORMAT </w:instrText>
      </w:r>
      <w:r w:rsidRPr="00F562BC">
        <w:rPr>
          <w:rStyle w:val="highlightedtextChar"/>
          <w:b w:val="0"/>
          <w:color w:val="auto"/>
        </w:rPr>
      </w:r>
      <w:r w:rsidRPr="00F562BC">
        <w:rPr>
          <w:rStyle w:val="highlightedtextChar"/>
          <w:b w:val="0"/>
          <w:color w:val="auto"/>
        </w:rPr>
        <w:fldChar w:fldCharType="separate"/>
      </w:r>
      <w:r w:rsidR="001A1CA8">
        <w:rPr>
          <w:rStyle w:val="highlightedtextChar"/>
          <w:b w:val="0"/>
          <w:color w:val="auto"/>
        </w:rPr>
        <w:t>4.2.4</w:t>
      </w:r>
      <w:r w:rsidRPr="00F562BC">
        <w:rPr>
          <w:rStyle w:val="highlightedtextChar"/>
          <w:b w:val="0"/>
          <w:color w:val="auto"/>
        </w:rPr>
        <w:fldChar w:fldCharType="end"/>
      </w:r>
      <w:r w:rsidRPr="00F562BC">
        <w:rPr>
          <w:rStyle w:val="highlightedtextChar"/>
          <w:b w:val="0"/>
          <w:color w:val="auto"/>
        </w:rPr>
        <w:t xml:space="preserve">) to a defined section of highway identified as a Target Location as set out at </w:t>
      </w:r>
      <w:hyperlink w:anchor="_Appendix_A.1._–" w:history="1">
        <w:r w:rsidR="00EE0B8D">
          <w:rPr>
            <w:rStyle w:val="Hyperlink"/>
          </w:rPr>
          <w:t>Appendix A</w:t>
        </w:r>
      </w:hyperlink>
      <w:r w:rsidRPr="00F562BC">
        <w:rPr>
          <w:rStyle w:val="highlightedtextChar"/>
          <w:b w:val="0"/>
          <w:color w:val="auto"/>
        </w:rPr>
        <w:t>;</w:t>
      </w:r>
      <w:r w:rsidR="00B36CCD">
        <w:rPr>
          <w:rStyle w:val="highlightedtextChar"/>
          <w:b w:val="0"/>
          <w:color w:val="auto"/>
        </w:rPr>
        <w:t xml:space="preserve"> or</w:t>
      </w:r>
    </w:p>
    <w:p w14:paraId="6797A71B" w14:textId="5AEB9037" w:rsidR="00733FF0" w:rsidRPr="00F562BC" w:rsidRDefault="00733FF0" w:rsidP="003D4399">
      <w:pPr>
        <w:pStyle w:val="Normal-Style2"/>
        <w:numPr>
          <w:ilvl w:val="3"/>
          <w:numId w:val="25"/>
        </w:numPr>
        <w:ind w:left="1418" w:hanging="567"/>
        <w:rPr>
          <w:rStyle w:val="highlightedtextChar"/>
          <w:b w:val="0"/>
          <w:color w:val="auto"/>
        </w:rPr>
      </w:pPr>
      <w:r w:rsidRPr="00F562BC">
        <w:rPr>
          <w:rStyle w:val="highlightedtextChar"/>
          <w:b w:val="0"/>
          <w:color w:val="auto"/>
        </w:rPr>
        <w:t xml:space="preserve">For </w:t>
      </w:r>
      <w:r w:rsidRPr="00F562BC">
        <w:rPr>
          <w:rStyle w:val="highlightedtextChar"/>
          <w:color w:val="auto"/>
        </w:rPr>
        <w:t>Improved Coverage Solutions</w:t>
      </w:r>
      <w:r w:rsidRPr="00F562BC">
        <w:rPr>
          <w:rStyle w:val="highlightedtextChar"/>
          <w:b w:val="0"/>
          <w:color w:val="auto"/>
        </w:rPr>
        <w:t xml:space="preserve">, provide Improved Handheld Coverage </w:t>
      </w:r>
      <w:r w:rsidR="001A1CA8" w:rsidRPr="00F562BC">
        <w:rPr>
          <w:rStyle w:val="highlightedtextChar"/>
          <w:b w:val="0"/>
          <w:color w:val="auto"/>
        </w:rPr>
        <w:t xml:space="preserve">(at or above the relevant minimum requirements at section </w:t>
      </w:r>
      <w:r w:rsidR="001A1CA8" w:rsidRPr="00F562BC">
        <w:rPr>
          <w:rStyle w:val="highlightedtextChar"/>
          <w:b w:val="0"/>
          <w:color w:val="auto"/>
        </w:rPr>
        <w:fldChar w:fldCharType="begin"/>
      </w:r>
      <w:r w:rsidR="001A1CA8" w:rsidRPr="00F562BC">
        <w:rPr>
          <w:rStyle w:val="highlightedtextChar"/>
          <w:b w:val="0"/>
          <w:color w:val="auto"/>
        </w:rPr>
        <w:instrText xml:space="preserve"> REF _Ref109305451 \r \h  \* MERGEFORMAT </w:instrText>
      </w:r>
      <w:r w:rsidR="001A1CA8" w:rsidRPr="00F562BC">
        <w:rPr>
          <w:rStyle w:val="highlightedtextChar"/>
          <w:b w:val="0"/>
          <w:color w:val="auto"/>
        </w:rPr>
      </w:r>
      <w:r w:rsidR="001A1CA8" w:rsidRPr="00F562BC">
        <w:rPr>
          <w:rStyle w:val="highlightedtextChar"/>
          <w:b w:val="0"/>
          <w:color w:val="auto"/>
        </w:rPr>
        <w:fldChar w:fldCharType="separate"/>
      </w:r>
      <w:r w:rsidR="001A1CA8">
        <w:rPr>
          <w:rStyle w:val="highlightedtextChar"/>
          <w:b w:val="0"/>
          <w:color w:val="auto"/>
        </w:rPr>
        <w:t>4.2.4</w:t>
      </w:r>
      <w:r w:rsidR="001A1CA8" w:rsidRPr="00F562BC">
        <w:rPr>
          <w:rStyle w:val="highlightedtextChar"/>
          <w:b w:val="0"/>
          <w:color w:val="auto"/>
        </w:rPr>
        <w:fldChar w:fldCharType="end"/>
      </w:r>
      <w:r w:rsidR="001A1CA8">
        <w:rPr>
          <w:rStyle w:val="highlightedtextChar"/>
          <w:b w:val="0"/>
          <w:color w:val="auto"/>
        </w:rPr>
        <w:t xml:space="preserve">) </w:t>
      </w:r>
      <w:r w:rsidRPr="00F562BC">
        <w:rPr>
          <w:rStyle w:val="highlightedtextChar"/>
          <w:b w:val="0"/>
          <w:color w:val="auto"/>
        </w:rPr>
        <w:t xml:space="preserve">and/or a Material Coverage Improvement at a Target Location as set out at </w:t>
      </w:r>
      <w:hyperlink w:anchor="_Appendix_A.1._–" w:history="1">
        <w:r w:rsidR="00EE0B8D">
          <w:rPr>
            <w:rStyle w:val="Hyperlink"/>
          </w:rPr>
          <w:t>Appendix A</w:t>
        </w:r>
      </w:hyperlink>
      <w:r w:rsidRPr="00F562BC">
        <w:rPr>
          <w:rStyle w:val="highlightedtextChar"/>
          <w:b w:val="0"/>
          <w:color w:val="auto"/>
        </w:rPr>
        <w:t>.</w:t>
      </w:r>
    </w:p>
    <w:p w14:paraId="3FF2B60A" w14:textId="3814AEA1" w:rsidR="0045229E" w:rsidRDefault="00733FF0" w:rsidP="00733FF0">
      <w:pPr>
        <w:pStyle w:val="Normal-Style2"/>
        <w:rPr>
          <w:rFonts w:eastAsiaTheme="minorHAnsi"/>
        </w:rPr>
      </w:pPr>
      <w:r w:rsidRPr="005B2993">
        <w:rPr>
          <w:rFonts w:eastAsiaTheme="minorHAnsi"/>
        </w:rPr>
        <w:t xml:space="preserve">Applicants may propose any infrastructure </w:t>
      </w:r>
      <w:r w:rsidRPr="004F3C3C">
        <w:rPr>
          <w:rFonts w:eastAsiaTheme="minorHAnsi"/>
        </w:rPr>
        <w:t>solution or combination of solutions</w:t>
      </w:r>
      <w:r>
        <w:rPr>
          <w:rFonts w:eastAsiaTheme="minorHAnsi"/>
        </w:rPr>
        <w:t xml:space="preserve"> (</w:t>
      </w:r>
      <w:r w:rsidRPr="00E1071F">
        <w:rPr>
          <w:rFonts w:eastAsiaTheme="minorHAnsi"/>
          <w:b/>
        </w:rPr>
        <w:t>Cluster</w:t>
      </w:r>
      <w:r>
        <w:rPr>
          <w:rFonts w:eastAsiaTheme="minorHAnsi"/>
          <w:b/>
        </w:rPr>
        <w:t xml:space="preserve"> Solution</w:t>
      </w:r>
      <w:r>
        <w:rPr>
          <w:rFonts w:eastAsiaTheme="minorHAnsi"/>
        </w:rPr>
        <w:t xml:space="preserve">) </w:t>
      </w:r>
      <w:r w:rsidRPr="00E1071F">
        <w:rPr>
          <w:rFonts w:eastAsiaTheme="minorHAnsi"/>
        </w:rPr>
        <w:t>that</w:t>
      </w:r>
      <w:r>
        <w:rPr>
          <w:rFonts w:eastAsiaTheme="minorHAnsi"/>
        </w:rPr>
        <w:t xml:space="preserve"> addresses the identified mobile coverage</w:t>
      </w:r>
      <w:r w:rsidRPr="005B2993">
        <w:rPr>
          <w:rFonts w:eastAsiaTheme="minorHAnsi"/>
        </w:rPr>
        <w:t xml:space="preserve"> </w:t>
      </w:r>
      <w:r>
        <w:rPr>
          <w:rFonts w:eastAsiaTheme="minorHAnsi"/>
        </w:rPr>
        <w:t xml:space="preserve">or quality of service </w:t>
      </w:r>
      <w:r w:rsidRPr="005B2993">
        <w:rPr>
          <w:rFonts w:eastAsiaTheme="minorHAnsi"/>
        </w:rPr>
        <w:t>issue</w:t>
      </w:r>
      <w:r>
        <w:rPr>
          <w:rFonts w:eastAsiaTheme="minorHAnsi"/>
        </w:rPr>
        <w:t>s at a Target Location,</w:t>
      </w:r>
      <w:r w:rsidRPr="005B2993">
        <w:rPr>
          <w:rFonts w:eastAsiaTheme="minorHAnsi"/>
        </w:rPr>
        <w:t xml:space="preserve"> </w:t>
      </w:r>
      <w:r>
        <w:rPr>
          <w:rFonts w:eastAsiaTheme="minorHAnsi"/>
        </w:rPr>
        <w:t>so </w:t>
      </w:r>
      <w:r w:rsidRPr="005B2993">
        <w:rPr>
          <w:rFonts w:eastAsiaTheme="minorHAnsi"/>
        </w:rPr>
        <w:t xml:space="preserve">long as it delivers the </w:t>
      </w:r>
      <w:r>
        <w:rPr>
          <w:rFonts w:eastAsiaTheme="minorHAnsi"/>
        </w:rPr>
        <w:t xml:space="preserve">relevant </w:t>
      </w:r>
      <w:r w:rsidRPr="005B2993">
        <w:rPr>
          <w:rFonts w:eastAsiaTheme="minorHAnsi"/>
        </w:rPr>
        <w:t xml:space="preserve">minimum standards specified at section </w:t>
      </w:r>
      <w:r>
        <w:rPr>
          <w:rFonts w:eastAsiaTheme="minorHAnsi"/>
        </w:rPr>
        <w:fldChar w:fldCharType="begin"/>
      </w:r>
      <w:r>
        <w:rPr>
          <w:rFonts w:eastAsiaTheme="minorHAnsi"/>
        </w:rPr>
        <w:instrText xml:space="preserve"> REF _Ref109305391 \r \h </w:instrText>
      </w:r>
      <w:r>
        <w:rPr>
          <w:rFonts w:eastAsiaTheme="minorHAnsi"/>
        </w:rPr>
      </w:r>
      <w:r>
        <w:rPr>
          <w:rFonts w:eastAsiaTheme="minorHAnsi"/>
        </w:rPr>
        <w:fldChar w:fldCharType="separate"/>
      </w:r>
      <w:r w:rsidR="001A1CA8">
        <w:rPr>
          <w:rFonts w:eastAsiaTheme="minorHAnsi"/>
        </w:rPr>
        <w:t>4.2</w:t>
      </w:r>
      <w:r>
        <w:rPr>
          <w:rFonts w:eastAsiaTheme="minorHAnsi"/>
        </w:rPr>
        <w:fldChar w:fldCharType="end"/>
      </w:r>
      <w:r w:rsidR="0045229E">
        <w:rPr>
          <w:rFonts w:eastAsiaTheme="minorHAnsi"/>
        </w:rPr>
        <w:t>.</w:t>
      </w:r>
    </w:p>
    <w:p w14:paraId="5D3E6171" w14:textId="77777777" w:rsidR="00733FF0" w:rsidRDefault="00733FF0" w:rsidP="00733FF0">
      <w:pPr>
        <w:pStyle w:val="Heading3"/>
      </w:pPr>
      <w:bookmarkStart w:id="109" w:name="_Toc506537727"/>
      <w:bookmarkStart w:id="110" w:name="_Toc506537728"/>
      <w:bookmarkStart w:id="111" w:name="_Toc506537729"/>
      <w:bookmarkStart w:id="112" w:name="_Toc506537730"/>
      <w:bookmarkStart w:id="113" w:name="_Toc506537731"/>
      <w:bookmarkStart w:id="114" w:name="_Toc506537732"/>
      <w:bookmarkStart w:id="115" w:name="_Toc506537733"/>
      <w:bookmarkStart w:id="116" w:name="_Toc506537734"/>
      <w:bookmarkStart w:id="117" w:name="_Toc506537735"/>
      <w:bookmarkStart w:id="118" w:name="_Toc506537736"/>
      <w:bookmarkStart w:id="119" w:name="_Toc506537737"/>
      <w:bookmarkStart w:id="120" w:name="_Toc506537738"/>
      <w:bookmarkStart w:id="121" w:name="_Toc506537739"/>
      <w:bookmarkStart w:id="122" w:name="_Toc506537740"/>
      <w:bookmarkStart w:id="123" w:name="_Toc506537741"/>
      <w:bookmarkStart w:id="124" w:name="_Toc506537742"/>
      <w:bookmarkStart w:id="125" w:name="_Ref109304814"/>
      <w:bookmarkStart w:id="126" w:name="_Toc113442179"/>
      <w:bookmarkStart w:id="127" w:name="_Toc113357216"/>
      <w:bookmarkStart w:id="128" w:name="_Toc157704959"/>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t>Eligible locations</w:t>
      </w:r>
      <w:bookmarkEnd w:id="125"/>
      <w:bookmarkEnd w:id="126"/>
      <w:bookmarkEnd w:id="127"/>
      <w:bookmarkEnd w:id="128"/>
    </w:p>
    <w:p w14:paraId="3D2D14A7" w14:textId="4269C951" w:rsidR="0045229E" w:rsidRDefault="00733FF0" w:rsidP="00733FF0">
      <w:pPr>
        <w:pStyle w:val="Normal-Style2"/>
        <w:rPr>
          <w:rFonts w:eastAsia="Calibri"/>
        </w:rPr>
      </w:pPr>
      <w:r w:rsidRPr="004F3C3C">
        <w:rPr>
          <w:rFonts w:eastAsia="Calibri"/>
        </w:rPr>
        <w:t xml:space="preserve">Eligible locations under the Program are the Target Locations set out at </w:t>
      </w:r>
      <w:hyperlink w:anchor="_Appendix_A._–" w:history="1">
        <w:r w:rsidRPr="00EE0B8D">
          <w:rPr>
            <w:rStyle w:val="Hyperlink"/>
            <w:rFonts w:eastAsia="Calibri"/>
          </w:rPr>
          <w:t>Appendix A</w:t>
        </w:r>
      </w:hyperlink>
      <w:r w:rsidR="0045229E">
        <w:rPr>
          <w:rFonts w:eastAsia="Calibri"/>
        </w:rPr>
        <w:t>.</w:t>
      </w:r>
    </w:p>
    <w:p w14:paraId="057E1407" w14:textId="4D6C3CF5" w:rsidR="00733FF0" w:rsidRDefault="00733FF0" w:rsidP="00733FF0">
      <w:pPr>
        <w:pStyle w:val="Normal-Style2"/>
      </w:pPr>
      <w:r>
        <w:t xml:space="preserve">Subject to network requirements, Proposed Solutions may be located in an area adjacent to a Target Location providing they deliver the relevant minimum requirements (see section </w:t>
      </w:r>
      <w:r>
        <w:rPr>
          <w:rFonts w:eastAsiaTheme="minorHAnsi"/>
        </w:rPr>
        <w:fldChar w:fldCharType="begin"/>
      </w:r>
      <w:r>
        <w:rPr>
          <w:rFonts w:eastAsiaTheme="minorHAnsi"/>
        </w:rPr>
        <w:instrText xml:space="preserve"> REF _Ref109305391 \r \h </w:instrText>
      </w:r>
      <w:r>
        <w:rPr>
          <w:rFonts w:eastAsiaTheme="minorHAnsi"/>
        </w:rPr>
      </w:r>
      <w:r>
        <w:rPr>
          <w:rFonts w:eastAsiaTheme="minorHAnsi"/>
        </w:rPr>
        <w:fldChar w:fldCharType="separate"/>
      </w:r>
      <w:r w:rsidR="001A1CA8">
        <w:rPr>
          <w:rFonts w:eastAsiaTheme="minorHAnsi"/>
        </w:rPr>
        <w:t>4.2</w:t>
      </w:r>
      <w:r>
        <w:rPr>
          <w:rFonts w:eastAsiaTheme="minorHAnsi"/>
        </w:rPr>
        <w:fldChar w:fldCharType="end"/>
      </w:r>
      <w:r>
        <w:t>) to the Target Location.</w:t>
      </w:r>
    </w:p>
    <w:p w14:paraId="50D2FD59" w14:textId="77777777" w:rsidR="00733FF0" w:rsidRDefault="00733FF0" w:rsidP="00733FF0">
      <w:pPr>
        <w:pStyle w:val="Heading3"/>
      </w:pPr>
      <w:bookmarkStart w:id="129" w:name="_Toc113442180"/>
      <w:bookmarkStart w:id="130" w:name="_Toc113357217"/>
      <w:bookmarkStart w:id="131" w:name="_Ref121921190"/>
      <w:bookmarkStart w:id="132" w:name="_Toc157704960"/>
      <w:r>
        <w:t>Eligible expenditure</w:t>
      </w:r>
      <w:bookmarkEnd w:id="129"/>
      <w:bookmarkEnd w:id="130"/>
      <w:bookmarkEnd w:id="131"/>
      <w:bookmarkEnd w:id="132"/>
    </w:p>
    <w:p w14:paraId="494E30FF" w14:textId="77777777" w:rsidR="00733FF0" w:rsidRDefault="00733FF0" w:rsidP="00733FF0">
      <w:pPr>
        <w:pStyle w:val="Normal-Style2"/>
      </w:pPr>
      <w:bookmarkStart w:id="133" w:name="_Toc506537745"/>
      <w:bookmarkStart w:id="134" w:name="_Toc506537746"/>
      <w:bookmarkStart w:id="135" w:name="_Toc506537747"/>
      <w:bookmarkStart w:id="136" w:name="_Toc506537748"/>
      <w:bookmarkStart w:id="137" w:name="_Toc506537749"/>
      <w:bookmarkStart w:id="138" w:name="_Toc506537751"/>
      <w:bookmarkStart w:id="139" w:name="_Toc506537752"/>
      <w:bookmarkStart w:id="140" w:name="_Toc506537753"/>
      <w:bookmarkStart w:id="141" w:name="_Toc506537754"/>
      <w:bookmarkStart w:id="142" w:name="_Toc506537755"/>
      <w:bookmarkStart w:id="143" w:name="_Toc506537756"/>
      <w:bookmarkStart w:id="144" w:name="_Toc506537757"/>
      <w:bookmarkStart w:id="145" w:name="_Ref110515540"/>
      <w:bookmarkEnd w:id="106"/>
      <w:bookmarkEnd w:id="133"/>
      <w:bookmarkEnd w:id="134"/>
      <w:bookmarkEnd w:id="135"/>
      <w:bookmarkEnd w:id="136"/>
      <w:bookmarkEnd w:id="137"/>
      <w:bookmarkEnd w:id="138"/>
      <w:bookmarkEnd w:id="139"/>
      <w:bookmarkEnd w:id="140"/>
      <w:bookmarkEnd w:id="141"/>
      <w:bookmarkEnd w:id="142"/>
      <w:bookmarkEnd w:id="143"/>
      <w:bookmarkEnd w:id="144"/>
      <w:r w:rsidRPr="004003DE">
        <w:t xml:space="preserve">Commonwealth funding under the Program will be available for </w:t>
      </w:r>
      <w:r>
        <w:t>the:</w:t>
      </w:r>
      <w:bookmarkEnd w:id="145"/>
    </w:p>
    <w:p w14:paraId="57BA9588" w14:textId="77777777" w:rsidR="00733FF0" w:rsidRDefault="00733FF0" w:rsidP="00F562BC">
      <w:pPr>
        <w:pStyle w:val="ListBullet"/>
        <w:spacing w:after="120" w:line="240" w:lineRule="auto"/>
        <w:contextualSpacing w:val="0"/>
      </w:pPr>
      <w:r w:rsidRPr="004003DE">
        <w:t>estimated Asset Capital Costs of building or installing Funded Solutions</w:t>
      </w:r>
      <w:r>
        <w:t xml:space="preserve">; </w:t>
      </w:r>
      <w:r w:rsidRPr="004003DE">
        <w:t>and</w:t>
      </w:r>
    </w:p>
    <w:p w14:paraId="2C0755A7" w14:textId="5A9C6B24" w:rsidR="00733FF0" w:rsidRPr="004003DE" w:rsidRDefault="00733FF0" w:rsidP="00F562BC">
      <w:pPr>
        <w:pStyle w:val="ListBullet"/>
        <w:spacing w:after="120" w:line="240" w:lineRule="auto"/>
        <w:contextualSpacing w:val="0"/>
      </w:pPr>
      <w:r w:rsidRPr="004003DE">
        <w:t>the capitalised net present value (using a discount rate equivalent to the 10-year Treasury Bond Rate applied at the date of the application) of Operational Costs over the minimum Operational Period of a Funded Solution</w:t>
      </w:r>
      <w:r w:rsidR="007E495B">
        <w:t xml:space="preserve"> </w:t>
      </w:r>
      <w:r>
        <w:t xml:space="preserve">up to the available funding Cap for each </w:t>
      </w:r>
      <w:r w:rsidR="00904965">
        <w:t>base station</w:t>
      </w:r>
      <w:r w:rsidR="007975F5">
        <w:t xml:space="preserve"> type</w:t>
      </w:r>
      <w:r>
        <w:t>.</w:t>
      </w:r>
    </w:p>
    <w:p w14:paraId="306DB9F1" w14:textId="146EBA7B" w:rsidR="00733FF0" w:rsidRPr="004003DE" w:rsidRDefault="00733FF0" w:rsidP="00733FF0">
      <w:pPr>
        <w:pStyle w:val="Normal-Style2"/>
      </w:pPr>
      <w:r w:rsidRPr="004003DE">
        <w:t xml:space="preserve">Asset Capital Costs and Operational Costs must be clearly identified separately in the application, and will be considered as part of both the assessment against the Assessment Criteria (section </w:t>
      </w:r>
      <w:r>
        <w:fldChar w:fldCharType="begin"/>
      </w:r>
      <w:r>
        <w:instrText xml:space="preserve"> REF _Ref110515467 \r \h </w:instrText>
      </w:r>
      <w:r>
        <w:fldChar w:fldCharType="separate"/>
      </w:r>
      <w:r w:rsidR="001A1CA8">
        <w:t>6</w:t>
      </w:r>
      <w:r>
        <w:fldChar w:fldCharType="end"/>
      </w:r>
      <w:r w:rsidRPr="004003DE">
        <w:t>)</w:t>
      </w:r>
      <w:r>
        <w:t xml:space="preserve"> </w:t>
      </w:r>
      <w:r w:rsidRPr="004003DE">
        <w:t xml:space="preserve">and Value for Money assessment (section </w:t>
      </w:r>
      <w:r>
        <w:fldChar w:fldCharType="begin"/>
      </w:r>
      <w:r>
        <w:instrText xml:space="preserve"> REF _Ref110515480 \r \h </w:instrText>
      </w:r>
      <w:r>
        <w:fldChar w:fldCharType="separate"/>
      </w:r>
      <w:r w:rsidR="001A1CA8">
        <w:t>8.4</w:t>
      </w:r>
      <w:r>
        <w:fldChar w:fldCharType="end"/>
      </w:r>
      <w:r>
        <w:t>).</w:t>
      </w:r>
    </w:p>
    <w:p w14:paraId="7C8316F5" w14:textId="77777777" w:rsidR="00733FF0" w:rsidRDefault="00733FF0" w:rsidP="00733FF0">
      <w:pPr>
        <w:pStyle w:val="Normal-Style2"/>
      </w:pPr>
      <w:r w:rsidRPr="004003DE">
        <w:t>Grantees will be responsible for any actual Asset Capital Costs and/or Operational Costs that exceed estimated costs.</w:t>
      </w:r>
    </w:p>
    <w:p w14:paraId="4C14AEFD" w14:textId="77777777" w:rsidR="00733FF0" w:rsidRPr="00C330AE" w:rsidRDefault="00733FF0" w:rsidP="00733FF0">
      <w:pPr>
        <w:pStyle w:val="Heading3"/>
      </w:pPr>
      <w:bookmarkStart w:id="146" w:name="_Toc113442181"/>
      <w:bookmarkStart w:id="147" w:name="_Toc113357218"/>
      <w:bookmarkStart w:id="148" w:name="_Toc157704961"/>
      <w:r>
        <w:t>What the grant money cannot be used for</w:t>
      </w:r>
      <w:bookmarkEnd w:id="146"/>
      <w:bookmarkEnd w:id="147"/>
      <w:bookmarkEnd w:id="148"/>
    </w:p>
    <w:p w14:paraId="5089EEA9" w14:textId="77777777" w:rsidR="00733FF0" w:rsidRPr="00642E27" w:rsidRDefault="00733FF0" w:rsidP="00733FF0">
      <w:pPr>
        <w:pStyle w:val="Normal-Style2"/>
        <w:rPr>
          <w:rFonts w:eastAsia="Calibri"/>
        </w:rPr>
      </w:pPr>
      <w:bookmarkStart w:id="149" w:name="_Toc494290504"/>
      <w:bookmarkStart w:id="150" w:name="_Toc494290505"/>
      <w:bookmarkStart w:id="151" w:name="_Toc494290506"/>
      <w:bookmarkStart w:id="152" w:name="_Toc494290507"/>
      <w:bookmarkStart w:id="153" w:name="_Toc494290508"/>
      <w:bookmarkStart w:id="154" w:name="_Toc494290509"/>
      <w:bookmarkStart w:id="155" w:name="_Toc494290510"/>
      <w:bookmarkStart w:id="156" w:name="_Toc494290511"/>
      <w:bookmarkStart w:id="157" w:name="_Ref109305409"/>
      <w:bookmarkStart w:id="158" w:name="_Ref485221187"/>
      <w:bookmarkEnd w:id="149"/>
      <w:bookmarkEnd w:id="150"/>
      <w:bookmarkEnd w:id="151"/>
      <w:bookmarkEnd w:id="152"/>
      <w:bookmarkEnd w:id="153"/>
      <w:bookmarkEnd w:id="154"/>
      <w:bookmarkEnd w:id="155"/>
      <w:bookmarkEnd w:id="156"/>
      <w:r w:rsidRPr="00CC21B8">
        <w:rPr>
          <w:rFonts w:eastAsia="Calibri"/>
        </w:rPr>
        <w:t xml:space="preserve">Applicants must not seek Commonwealth funding for Proposed Solutions where they have already planned to invest commercially. All applicants must certify </w:t>
      </w:r>
      <w:r>
        <w:rPr>
          <w:rFonts w:eastAsia="Calibri"/>
        </w:rPr>
        <w:t xml:space="preserve">through the provision of a statutory declaration </w:t>
      </w:r>
      <w:r w:rsidRPr="00CC21B8">
        <w:rPr>
          <w:rFonts w:eastAsia="Calibri"/>
        </w:rPr>
        <w:t xml:space="preserve">that any Proposed Solutions for which </w:t>
      </w:r>
      <w:r w:rsidRPr="008A0C27">
        <w:rPr>
          <w:rFonts w:eastAsia="Calibri"/>
        </w:rPr>
        <w:t xml:space="preserve">Commonwealth funds are being sought were not, at any time, part of </w:t>
      </w:r>
      <w:r>
        <w:rPr>
          <w:rFonts w:eastAsia="Calibri"/>
        </w:rPr>
        <w:t>their 2022-23</w:t>
      </w:r>
      <w:r w:rsidRPr="008C6DEB">
        <w:rPr>
          <w:rFonts w:eastAsia="Calibri"/>
        </w:rPr>
        <w:t xml:space="preserve"> to 202</w:t>
      </w:r>
      <w:r>
        <w:rPr>
          <w:rFonts w:eastAsia="Calibri"/>
        </w:rPr>
        <w:t>6</w:t>
      </w:r>
      <w:r w:rsidRPr="008C6DEB">
        <w:rPr>
          <w:rFonts w:eastAsia="Calibri"/>
        </w:rPr>
        <w:t>-2</w:t>
      </w:r>
      <w:r>
        <w:rPr>
          <w:rFonts w:eastAsia="Calibri"/>
        </w:rPr>
        <w:t>7</w:t>
      </w:r>
      <w:r w:rsidRPr="008A0C27">
        <w:rPr>
          <w:rFonts w:eastAsia="Calibri"/>
        </w:rPr>
        <w:t xml:space="preserve"> forward</w:t>
      </w:r>
      <w:r w:rsidRPr="008A0C27">
        <w:rPr>
          <w:rFonts w:eastAsia="Calibri"/>
        </w:rPr>
        <w:noBreakHyphen/>
        <w:t>build plans.</w:t>
      </w:r>
      <w:bookmarkStart w:id="159" w:name="_Ref110515500"/>
      <w:bookmarkEnd w:id="157"/>
    </w:p>
    <w:bookmarkEnd w:id="159"/>
    <w:p w14:paraId="56959F90" w14:textId="5E2BAD01" w:rsidR="00733FF0" w:rsidRPr="00642E27" w:rsidRDefault="00733FF0" w:rsidP="00733FF0">
      <w:pPr>
        <w:pStyle w:val="Normal-Style2"/>
        <w:rPr>
          <w:rFonts w:eastAsia="Calibri"/>
        </w:rPr>
      </w:pPr>
      <w:r w:rsidRPr="00631E6D">
        <w:rPr>
          <w:rFonts w:eastAsia="Calibri"/>
        </w:rPr>
        <w:t xml:space="preserve">The </w:t>
      </w:r>
      <w:r>
        <w:rPr>
          <w:rFonts w:eastAsia="Calibri"/>
        </w:rPr>
        <w:t>department</w:t>
      </w:r>
      <w:r w:rsidRPr="00631E6D">
        <w:rPr>
          <w:rFonts w:eastAsia="Calibri"/>
        </w:rPr>
        <w:t xml:space="preserve"> may audit a Grantee’s compliance with section </w:t>
      </w:r>
      <w:r>
        <w:rPr>
          <w:rFonts w:eastAsia="Calibri"/>
        </w:rPr>
        <w:fldChar w:fldCharType="begin"/>
      </w:r>
      <w:r>
        <w:rPr>
          <w:rFonts w:eastAsia="Calibri"/>
        </w:rPr>
        <w:instrText xml:space="preserve"> REF _Ref110515500 \r \h </w:instrText>
      </w:r>
      <w:r>
        <w:rPr>
          <w:rFonts w:eastAsia="Calibri"/>
        </w:rPr>
      </w:r>
      <w:r>
        <w:rPr>
          <w:rFonts w:eastAsia="Calibri"/>
        </w:rPr>
        <w:fldChar w:fldCharType="separate"/>
      </w:r>
      <w:r w:rsidR="001A1CA8">
        <w:rPr>
          <w:rFonts w:eastAsia="Calibri"/>
        </w:rPr>
        <w:t>5.4.1</w:t>
      </w:r>
      <w:r>
        <w:rPr>
          <w:rFonts w:eastAsia="Calibri"/>
        </w:rPr>
        <w:fldChar w:fldCharType="end"/>
      </w:r>
      <w:r w:rsidRPr="00631E6D">
        <w:rPr>
          <w:rFonts w:eastAsia="Calibri"/>
        </w:rPr>
        <w:t>.</w:t>
      </w:r>
    </w:p>
    <w:p w14:paraId="45172CCE" w14:textId="77777777" w:rsidR="00733FF0" w:rsidRDefault="00733FF0" w:rsidP="00733FF0">
      <w:pPr>
        <w:pStyle w:val="Normal-Style2"/>
        <w:rPr>
          <w:rFonts w:eastAsia="Calibri"/>
        </w:rPr>
      </w:pPr>
      <w:r w:rsidRPr="00631E6D">
        <w:rPr>
          <w:rFonts w:eastAsia="Calibri"/>
        </w:rPr>
        <w:t xml:space="preserve">Proposed </w:t>
      </w:r>
      <w:r>
        <w:rPr>
          <w:rFonts w:eastAsia="Calibri"/>
        </w:rPr>
        <w:t>S</w:t>
      </w:r>
      <w:r w:rsidRPr="00631E6D">
        <w:rPr>
          <w:rFonts w:eastAsia="Calibri"/>
        </w:rPr>
        <w:t>olutions must be infrastructure projects and cannot consist of Consumer Level Products or Equipment.</w:t>
      </w:r>
    </w:p>
    <w:p w14:paraId="251EBE58" w14:textId="77777777" w:rsidR="00733FF0" w:rsidRPr="00642E27" w:rsidRDefault="00733FF0" w:rsidP="00733FF0">
      <w:pPr>
        <w:pStyle w:val="Heading2"/>
      </w:pPr>
      <w:bookmarkStart w:id="160" w:name="_The_assessment_criteria"/>
      <w:bookmarkStart w:id="161" w:name="_Ref110515467"/>
      <w:bookmarkStart w:id="162" w:name="_Ref110516168"/>
      <w:bookmarkStart w:id="163" w:name="_Ref110516226"/>
      <w:bookmarkStart w:id="164" w:name="_Toc113442182"/>
      <w:bookmarkStart w:id="165" w:name="_Toc113357219"/>
      <w:bookmarkStart w:id="166" w:name="_Toc157704962"/>
      <w:bookmarkStart w:id="167" w:name="_Ref109305520"/>
      <w:bookmarkEnd w:id="160"/>
      <w:r>
        <w:t>The assessment criteria</w:t>
      </w:r>
      <w:bookmarkEnd w:id="161"/>
      <w:bookmarkEnd w:id="162"/>
      <w:bookmarkEnd w:id="163"/>
      <w:bookmarkEnd w:id="164"/>
      <w:bookmarkEnd w:id="165"/>
      <w:bookmarkEnd w:id="166"/>
    </w:p>
    <w:p w14:paraId="2778F1D7" w14:textId="77777777" w:rsidR="007E495B" w:rsidRDefault="00733FF0" w:rsidP="00733FF0">
      <w:pPr>
        <w:pStyle w:val="Heading3"/>
      </w:pPr>
      <w:bookmarkStart w:id="168" w:name="_Toc113442183"/>
      <w:bookmarkStart w:id="169" w:name="_Toc113357220"/>
      <w:bookmarkStart w:id="170" w:name="_Toc157704963"/>
      <w:r>
        <w:t>Assessment Criteria for New Coverage Solutions</w:t>
      </w:r>
      <w:bookmarkEnd w:id="168"/>
      <w:bookmarkEnd w:id="169"/>
      <w:bookmarkEnd w:id="170"/>
    </w:p>
    <w:p w14:paraId="65E27D99" w14:textId="37E3C953" w:rsidR="00733FF0" w:rsidRPr="003D4399" w:rsidRDefault="00733FF0" w:rsidP="00733FF0">
      <w:pPr>
        <w:pStyle w:val="Normal-Style2"/>
        <w:rPr>
          <w:sz w:val="24"/>
        </w:rPr>
      </w:pPr>
      <w:r>
        <w:rPr>
          <w:rFonts w:eastAsia="Calibri"/>
        </w:rPr>
        <w:t>New Coverage Solutions</w:t>
      </w:r>
      <w:r w:rsidRPr="00CB3318">
        <w:rPr>
          <w:rFonts w:eastAsia="Calibri"/>
        </w:rPr>
        <w:t xml:space="preserve"> will be assessed against the </w:t>
      </w:r>
      <w:r w:rsidRPr="00CB3318">
        <w:rPr>
          <w:rFonts w:eastAsia="Calibri"/>
          <w:b/>
        </w:rPr>
        <w:t>New Coverage Assessment Formula</w:t>
      </w:r>
      <w:r w:rsidRPr="00CB3318">
        <w:rPr>
          <w:rFonts w:eastAsia="Calibri"/>
        </w:rPr>
        <w:t xml:space="preserve"> to derive the cost to the Commonwealth per weighted square kilometre of New Handheld Coverage, and coverage that is new </w:t>
      </w:r>
      <w:r>
        <w:rPr>
          <w:rFonts w:eastAsia="Calibri"/>
        </w:rPr>
        <w:t xml:space="preserve">for the applicant (or, if the applicant is a MNIP, the relevant MNO(s)) </w:t>
      </w:r>
      <w:r w:rsidRPr="00CB3318">
        <w:rPr>
          <w:rFonts w:eastAsia="Calibri"/>
        </w:rPr>
        <w:t xml:space="preserve">but overlaps with another MNO’s network. </w:t>
      </w:r>
      <w:r w:rsidR="009F3479">
        <w:rPr>
          <w:rFonts w:eastAsia="Calibri"/>
        </w:rPr>
        <w:t>All other factors being equal, s</w:t>
      </w:r>
      <w:r w:rsidRPr="00CB3318">
        <w:rPr>
          <w:rFonts w:eastAsia="Calibri"/>
        </w:rPr>
        <w:t>olutions with a lower cost per square kilometre will rank higher than solutions with a high cost per square kilometre.</w:t>
      </w:r>
    </w:p>
    <w:p w14:paraId="3CF95523" w14:textId="042A1643" w:rsidR="00733FF0" w:rsidRPr="0073717F" w:rsidRDefault="00733FF0" w:rsidP="00733FF0">
      <w:pPr>
        <w:pStyle w:val="Normal-Style2"/>
        <w:rPr>
          <w:sz w:val="24"/>
        </w:rPr>
      </w:pPr>
      <w:bookmarkStart w:id="171" w:name="_Ref110594734"/>
      <w:r w:rsidRPr="003D4399">
        <w:t>The New Coverage Assessment Formula is:</w:t>
      </w:r>
      <w:bookmarkEnd w:id="171"/>
    </w:p>
    <w:p w14:paraId="4443F189" w14:textId="77777777" w:rsidR="00733FF0" w:rsidRPr="00AF3BCF" w:rsidRDefault="00733FF0" w:rsidP="00B4717F">
      <w:pPr>
        <w:spacing w:before="240" w:after="0"/>
        <w:jc w:val="center"/>
        <w:rPr>
          <w:rFonts w:eastAsia="Calibri" w:cs="Arial"/>
        </w:rPr>
      </w:pPr>
      <w:r w:rsidRPr="00AF3BCF">
        <w:rPr>
          <w:rFonts w:eastAsia="Calibri" w:cs="Arial"/>
        </w:rPr>
        <w:t>Cost to the Commonwealth ($)</w:t>
      </w:r>
    </w:p>
    <w:p w14:paraId="7D95FC18" w14:textId="77777777" w:rsidR="00B133F3" w:rsidRDefault="00733FF0" w:rsidP="00B4717F">
      <w:pPr>
        <w:spacing w:after="120"/>
        <w:jc w:val="center"/>
        <w:rPr>
          <w:rFonts w:eastAsia="Calibri" w:cs="Arial"/>
        </w:rPr>
      </w:pPr>
      <w:r w:rsidRPr="00AF3BCF">
        <w:rPr>
          <w:rFonts w:eastAsia="Calibri" w:cs="Arial"/>
          <w:noProof/>
          <w:lang w:eastAsia="en-AU"/>
        </w:rPr>
        <mc:AlternateContent>
          <mc:Choice Requires="wps">
            <w:drawing>
              <wp:inline distT="0" distB="0" distL="0" distR="0" wp14:anchorId="30C56D6F" wp14:editId="64BD15BC">
                <wp:extent cx="2400300" cy="0"/>
                <wp:effectExtent l="0" t="0" r="0" b="0"/>
                <wp:docPr id="2" name="Straight Connector 2" descr="Horizontal line / divider."/>
                <wp:cNvGraphicFramePr/>
                <a:graphic xmlns:a="http://schemas.openxmlformats.org/drawingml/2006/main">
                  <a:graphicData uri="http://schemas.microsoft.com/office/word/2010/wordprocessingShape">
                    <wps:wsp>
                      <wps:cNvCnPr/>
                      <wps:spPr>
                        <a:xfrm flipV="1">
                          <a:off x="0" y="0"/>
                          <a:ext cx="24003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9055C11" id="Straight Connector 2" o:spid="_x0000_s1026" alt="Horizontal line / divider." style="flip:y;visibility:visible;mso-wrap-style:square;mso-left-percent:-10001;mso-top-percent:-10001;mso-position-horizontal:absolute;mso-position-horizontal-relative:char;mso-position-vertical:absolute;mso-position-vertical-relative:line;mso-left-percent:-10001;mso-top-percent:-10001"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WL7AEAALUDAAAOAAAAZHJzL2Uyb0RvYy54bWysU8Fu2zAMvQ/YPwi6L3bTrSiCOD0k6HYY&#10;tgDtdmcl2RYgiYKoxcm+fpScBtl2G+aDQIriI/n4vH44eicOJpHF0MmbRSuFCQq1DUMnvz0/vruX&#10;gjIEDQ6D6eTJkHzYvH2znuLKLHFEp00SDBJoNcVOjjnHVdOQGo0HWmA0gYM9Jg+Z3TQ0OsHE6N41&#10;y7a9ayZMOiZUhohvd3NQbip+3xuVv/Y9mSxcJ7m3XM9Uz5dyNps1rIYEcbTq3Ab8QxcebOCiF6gd&#10;ZBA/kv0LyluVkLDPC4W+wb63ytQZeJqb9o9pnkaIps7C5FC80ET/D1Z9OeyTsLqTSykCeF7RU05g&#10;hzGLLYbABGISHNOGFPP2CZP9iSGDE84GIxqh7cHyDheFyinSihG3YZ/OHsV9Krwc++RF72z8ziqp&#10;TPHs4lgXcboswhyzUHy5fN+2ty3vS73GmhmiQMVE+aNBL4rRydJGBYTDZ8pclp++PinPAz5a5+qe&#10;XRBTJ+9uPxRkYLX1DjKbPvL8FAYpwA0sY5VTRSR0VpfsgkMn2rokDsBKYgFqnJ65XSkcUOYAz1C/&#10;QgN38FtqaWcHNM7JNTQLz9vM6nfWd/L+OtuFUtFU/Z6HKtTOZBbrBfWpctwUj7VRi551XMR37bN9&#10;/bdtfgEAAP//AwBQSwMEFAAGAAgAAAAhAMoBupXYAAAAAgEAAA8AAABkcnMvZG93bnJldi54bWxM&#10;j8FKw0AQhu+C77CM4M1uqqAlZlNEkd4UoxV7m2bHbDA7G7KbNvXpnXrRy8DHP/zzTbGcfKd2NMQ2&#10;sIH5LANFXAfbcmPg7fXxYgEqJmSLXWAycKAIy/L0pMDchj2/0K5KjZISjjkacCn1udaxduQxzkJP&#10;LNlnGDwmwaHRdsC9lPtOX2bZtfbYslxw2NO9o/qrGr2BzZNbrXAzrqfn98P8+0N3VfuwNub8bLq7&#10;BZVoSn/LcNQXdSjFaRtGtlF1BuSR9Dslu7pZCG6PqMtC/1cvfwAAAP//AwBQSwECLQAUAAYACAAA&#10;ACEAtoM4kv4AAADhAQAAEwAAAAAAAAAAAAAAAAAAAAAAW0NvbnRlbnRfVHlwZXNdLnhtbFBLAQIt&#10;ABQABgAIAAAAIQA4/SH/1gAAAJQBAAALAAAAAAAAAAAAAAAAAC8BAABfcmVscy8ucmVsc1BLAQIt&#10;ABQABgAIAAAAIQDFNMWL7AEAALUDAAAOAAAAAAAAAAAAAAAAAC4CAABkcnMvZTJvRG9jLnhtbFBL&#10;AQItABQABgAIAAAAIQDKAbqV2AAAAAIBAAAPAAAAAAAAAAAAAAAAAEYEAABkcnMvZG93bnJldi54&#10;bWxQSwUGAAAAAAQABADzAAAASwUAAAAA&#10;" strokecolor="windowText" strokeweight=".5pt">
                <v:stroke joinstyle="miter"/>
                <w10:anchorlock/>
              </v:line>
            </w:pict>
          </mc:Fallback>
        </mc:AlternateContent>
      </w:r>
    </w:p>
    <w:p w14:paraId="7DF51110" w14:textId="77777777" w:rsidR="00733FF0" w:rsidRDefault="00733FF0" w:rsidP="00B4717F">
      <w:pPr>
        <w:spacing w:after="240"/>
        <w:jc w:val="center"/>
        <w:rPr>
          <w:rFonts w:eastAsia="Calibri" w:cs="Arial"/>
        </w:rPr>
      </w:pPr>
      <w:r>
        <w:rPr>
          <w:rFonts w:eastAsia="Calibri" w:cs="Arial"/>
        </w:rPr>
        <w:t>N</w:t>
      </w:r>
      <w:r w:rsidRPr="00AF3BCF">
        <w:rPr>
          <w:rFonts w:eastAsia="Calibri" w:cs="Arial"/>
        </w:rPr>
        <w:t xml:space="preserve">ew </w:t>
      </w:r>
      <w:r>
        <w:rPr>
          <w:rFonts w:eastAsia="Calibri" w:cs="Arial"/>
        </w:rPr>
        <w:t>H</w:t>
      </w:r>
      <w:r w:rsidRPr="00AF3BCF">
        <w:rPr>
          <w:rFonts w:eastAsia="Calibri" w:cs="Arial"/>
        </w:rPr>
        <w:t xml:space="preserve">andheld </w:t>
      </w:r>
      <w:r>
        <w:rPr>
          <w:rFonts w:eastAsia="Calibri" w:cs="Arial"/>
        </w:rPr>
        <w:t>C</w:t>
      </w:r>
      <w:r w:rsidRPr="00AF3BCF">
        <w:rPr>
          <w:rFonts w:eastAsia="Calibri" w:cs="Arial"/>
        </w:rPr>
        <w:t>overage (km</w:t>
      </w:r>
      <w:r w:rsidRPr="00EB5440">
        <w:rPr>
          <w:rFonts w:eastAsia="Calibri" w:cs="Arial"/>
          <w:vertAlign w:val="superscript"/>
        </w:rPr>
        <w:t>2</w:t>
      </w:r>
      <w:r w:rsidRPr="00AF3BCF">
        <w:rPr>
          <w:rFonts w:eastAsia="Calibri" w:cs="Arial"/>
        </w:rPr>
        <w:t>) + (</w:t>
      </w:r>
      <w:r>
        <w:rPr>
          <w:rFonts w:eastAsia="Calibri" w:cs="Arial"/>
        </w:rPr>
        <w:t>O</w:t>
      </w:r>
      <w:r w:rsidRPr="00AF3BCF">
        <w:rPr>
          <w:rFonts w:eastAsia="Calibri" w:cs="Arial"/>
        </w:rPr>
        <w:t>verlapping</w:t>
      </w:r>
      <w:r>
        <w:rPr>
          <w:rFonts w:eastAsia="Calibri" w:cs="Arial"/>
        </w:rPr>
        <w:t xml:space="preserve"> C</w:t>
      </w:r>
      <w:r w:rsidRPr="00AF3BCF">
        <w:rPr>
          <w:rFonts w:eastAsia="Calibri" w:cs="Arial"/>
        </w:rPr>
        <w:t>overage (km</w:t>
      </w:r>
      <w:r w:rsidRPr="00EB5440">
        <w:rPr>
          <w:rFonts w:eastAsia="Calibri" w:cs="Arial"/>
          <w:vertAlign w:val="superscript"/>
        </w:rPr>
        <w:t>2</w:t>
      </w:r>
      <w:r w:rsidRPr="00AF3BCF">
        <w:rPr>
          <w:rFonts w:eastAsia="Calibri" w:cs="Arial"/>
        </w:rPr>
        <w:t xml:space="preserve">) / </w:t>
      </w:r>
      <w:r>
        <w:rPr>
          <w:rFonts w:eastAsia="Calibri" w:cs="Arial"/>
        </w:rPr>
        <w:t>2</w:t>
      </w:r>
      <w:r w:rsidRPr="00AF3BCF">
        <w:rPr>
          <w:rFonts w:eastAsia="Calibri" w:cs="Arial"/>
        </w:rPr>
        <w:t>)</w:t>
      </w:r>
    </w:p>
    <w:p w14:paraId="3D9C85D4" w14:textId="77777777" w:rsidR="007C2932" w:rsidRDefault="007C2932" w:rsidP="007C2932">
      <w:pPr>
        <w:spacing w:after="0"/>
        <w:jc w:val="center"/>
        <w:rPr>
          <w:rFonts w:cs="Arial"/>
        </w:rPr>
      </w:pPr>
    </w:p>
    <w:p w14:paraId="38C6E8F6" w14:textId="77777777" w:rsidR="00733FF0" w:rsidRPr="00CB3318" w:rsidRDefault="00733FF0" w:rsidP="00733FF0">
      <w:pPr>
        <w:pStyle w:val="Normal-Style2"/>
        <w:rPr>
          <w:rFonts w:eastAsia="Calibri"/>
        </w:rPr>
      </w:pPr>
      <w:r w:rsidRPr="00642E27">
        <w:t xml:space="preserve">The </w:t>
      </w:r>
      <w:r>
        <w:t xml:space="preserve">New Coverage </w:t>
      </w:r>
      <w:r w:rsidRPr="00642E27">
        <w:t>Assessment Formula is based on the following components:</w:t>
      </w:r>
    </w:p>
    <w:p w14:paraId="41E40221" w14:textId="3AE86EAD" w:rsidR="0045229E" w:rsidRDefault="00733FF0" w:rsidP="003D4399">
      <w:pPr>
        <w:pStyle w:val="Normal-Style2"/>
        <w:numPr>
          <w:ilvl w:val="3"/>
          <w:numId w:val="25"/>
        </w:numPr>
        <w:ind w:left="1418" w:hanging="567"/>
        <w:rPr>
          <w:rFonts w:eastAsia="Calibri"/>
        </w:rPr>
      </w:pPr>
      <w:r w:rsidRPr="00CB3318">
        <w:rPr>
          <w:rFonts w:eastAsia="Calibri"/>
          <w:b/>
        </w:rPr>
        <w:t>Cost to the Commonwealth ($)</w:t>
      </w:r>
      <w:r w:rsidRPr="00642E27">
        <w:rPr>
          <w:rFonts w:eastAsia="Calibri"/>
        </w:rPr>
        <w:t xml:space="preserve"> refers to the Commonwealt</w:t>
      </w:r>
      <w:r>
        <w:rPr>
          <w:rFonts w:eastAsia="Calibri"/>
        </w:rPr>
        <w:t>h portion of the estimated Total Cost</w:t>
      </w:r>
      <w:r w:rsidRPr="00642E27">
        <w:rPr>
          <w:rFonts w:eastAsia="Calibri"/>
        </w:rPr>
        <w:t xml:space="preserve"> for the </w:t>
      </w:r>
      <w:r>
        <w:rPr>
          <w:rFonts w:eastAsia="Calibri"/>
        </w:rPr>
        <w:t>Proposed</w:t>
      </w:r>
      <w:r w:rsidRPr="008E1E1B">
        <w:rPr>
          <w:rFonts w:eastAsia="Calibri"/>
        </w:rPr>
        <w:t xml:space="preserve"> Solution (see section </w:t>
      </w:r>
      <w:r>
        <w:rPr>
          <w:rFonts w:eastAsia="Calibri"/>
        </w:rPr>
        <w:fldChar w:fldCharType="begin"/>
      </w:r>
      <w:r>
        <w:rPr>
          <w:rFonts w:eastAsia="Calibri"/>
        </w:rPr>
        <w:instrText xml:space="preserve"> REF _Ref110515540 \r \h </w:instrText>
      </w:r>
      <w:r>
        <w:rPr>
          <w:rFonts w:eastAsia="Calibri"/>
        </w:rPr>
      </w:r>
      <w:r>
        <w:rPr>
          <w:rFonts w:eastAsia="Calibri"/>
        </w:rPr>
        <w:fldChar w:fldCharType="separate"/>
      </w:r>
      <w:r w:rsidR="001A1CA8">
        <w:rPr>
          <w:rFonts w:eastAsia="Calibri"/>
        </w:rPr>
        <w:t>5.3.1</w:t>
      </w:r>
      <w:r>
        <w:rPr>
          <w:rFonts w:eastAsia="Calibri"/>
        </w:rPr>
        <w:fldChar w:fldCharType="end"/>
      </w:r>
      <w:r w:rsidRPr="008E1E1B">
        <w:rPr>
          <w:rFonts w:eastAsia="Calibri"/>
        </w:rPr>
        <w:t xml:space="preserve">), </w:t>
      </w:r>
      <w:r w:rsidRPr="00EB5440">
        <w:rPr>
          <w:rFonts w:eastAsia="Calibri"/>
        </w:rPr>
        <w:t>including capitalised Operational Costs</w:t>
      </w:r>
      <w:r w:rsidR="0045229E">
        <w:rPr>
          <w:rFonts w:eastAsia="Calibri"/>
        </w:rPr>
        <w:t>.</w:t>
      </w:r>
    </w:p>
    <w:p w14:paraId="633280E1" w14:textId="77777777" w:rsidR="00733FF0" w:rsidRPr="008E1E1B" w:rsidRDefault="00733FF0" w:rsidP="007E495B">
      <w:pPr>
        <w:pStyle w:val="Normal-Style2"/>
        <w:numPr>
          <w:ilvl w:val="3"/>
          <w:numId w:val="25"/>
        </w:numPr>
        <w:spacing w:after="0"/>
        <w:ind w:left="1418" w:hanging="567"/>
        <w:rPr>
          <w:rFonts w:eastAsia="Calibri"/>
        </w:rPr>
      </w:pPr>
      <w:r w:rsidRPr="00EB5440">
        <w:rPr>
          <w:rFonts w:eastAsia="Calibri"/>
          <w:b/>
        </w:rPr>
        <w:t>New Handheld Coverage (km</w:t>
      </w:r>
      <w:r w:rsidRPr="00EB5440">
        <w:rPr>
          <w:rFonts w:eastAsia="Calibri"/>
          <w:b/>
          <w:vertAlign w:val="superscript"/>
        </w:rPr>
        <w:t>2</w:t>
      </w:r>
      <w:r w:rsidRPr="00EB5440">
        <w:rPr>
          <w:rFonts w:eastAsia="Calibri"/>
          <w:b/>
        </w:rPr>
        <w:t>)</w:t>
      </w:r>
      <w:r w:rsidRPr="00EB5440">
        <w:rPr>
          <w:rFonts w:eastAsia="Calibri"/>
        </w:rPr>
        <w:t xml:space="preserve"> </w:t>
      </w:r>
      <w:bookmarkStart w:id="172" w:name="_Hlk110594841"/>
      <w:r w:rsidRPr="00EB5440">
        <w:rPr>
          <w:rFonts w:eastAsia="Calibri"/>
        </w:rPr>
        <w:t>refers to the size (in square kilometres</w:t>
      </w:r>
      <w:r w:rsidRPr="00642E27">
        <w:rPr>
          <w:rFonts w:eastAsia="Calibri"/>
        </w:rPr>
        <w:t>) of the mobile coverage footprint area which will receive handheld mobile coverage where there is no Existing H</w:t>
      </w:r>
      <w:r w:rsidRPr="008E1E1B">
        <w:rPr>
          <w:rFonts w:eastAsia="Calibri"/>
        </w:rPr>
        <w:t>andheld Coverage.</w:t>
      </w:r>
    </w:p>
    <w:bookmarkEnd w:id="172"/>
    <w:p w14:paraId="2387303A" w14:textId="77777777" w:rsidR="00733FF0" w:rsidRPr="00D92A95" w:rsidRDefault="00733FF0" w:rsidP="007E495B">
      <w:pPr>
        <w:pStyle w:val="ListBullet"/>
        <w:keepLines/>
        <w:ind w:left="1985"/>
        <w:rPr>
          <w:rFonts w:eastAsia="Calibri"/>
        </w:rPr>
      </w:pPr>
      <w:r>
        <w:t>Where a Proposed Solution provides New Handheld Coverage from more than one participating MNO, each participating MNO’s New Handheld Coverage will be counted cumulatively, regardless of whether the New Handheld Coverage areas overlap.</w:t>
      </w:r>
    </w:p>
    <w:p w14:paraId="1451D78C" w14:textId="77777777" w:rsidR="00733FF0" w:rsidRDefault="00733FF0" w:rsidP="007833F5">
      <w:pPr>
        <w:pStyle w:val="ListBullet"/>
        <w:ind w:left="1985"/>
        <w:contextualSpacing w:val="0"/>
        <w:rPr>
          <w:rFonts w:eastAsia="Calibri"/>
        </w:rPr>
      </w:pPr>
      <w:r>
        <w:t>This is in recognition of the benefits of multi-MNO solutions, and to ensure that these solutions are not disadvantaged in the assessment process due to the higher costs that may be incurred for these solutions.</w:t>
      </w:r>
    </w:p>
    <w:p w14:paraId="22C6CB5C" w14:textId="77777777" w:rsidR="00733FF0" w:rsidRPr="00A14A92" w:rsidRDefault="00733FF0" w:rsidP="003D4399">
      <w:pPr>
        <w:pStyle w:val="ListBullet"/>
        <w:numPr>
          <w:ilvl w:val="3"/>
          <w:numId w:val="25"/>
        </w:numPr>
        <w:ind w:left="1418" w:hanging="567"/>
        <w:rPr>
          <w:rFonts w:eastAsia="Calibri"/>
        </w:rPr>
      </w:pPr>
      <w:r w:rsidRPr="00A7637D">
        <w:rPr>
          <w:rFonts w:eastAsia="Calibri"/>
          <w:b/>
        </w:rPr>
        <w:t>Overlap</w:t>
      </w:r>
      <w:r>
        <w:rPr>
          <w:rFonts w:eastAsia="Calibri"/>
          <w:b/>
        </w:rPr>
        <w:t xml:space="preserve">ping Coverage </w:t>
      </w:r>
      <w:r w:rsidRPr="00A7637D">
        <w:rPr>
          <w:rFonts w:eastAsia="Calibri"/>
          <w:b/>
        </w:rPr>
        <w:t>(km</w:t>
      </w:r>
      <w:r w:rsidRPr="00A7637D">
        <w:rPr>
          <w:rFonts w:eastAsia="Calibri"/>
          <w:b/>
          <w:vertAlign w:val="superscript"/>
        </w:rPr>
        <w:t>2</w:t>
      </w:r>
      <w:r w:rsidRPr="00A7637D">
        <w:rPr>
          <w:rFonts w:eastAsia="Calibri"/>
          <w:b/>
        </w:rPr>
        <w:t xml:space="preserve">) </w:t>
      </w:r>
      <w:r>
        <w:rPr>
          <w:rFonts w:eastAsia="Calibri"/>
          <w:b/>
        </w:rPr>
        <w:t>/ 2)</w:t>
      </w:r>
      <w:r w:rsidRPr="00A7637D">
        <w:rPr>
          <w:rFonts w:eastAsia="Calibri"/>
        </w:rPr>
        <w:t xml:space="preserve"> refers to the size (in square kilometres) of the mobile coverage footprint area which will receive </w:t>
      </w:r>
      <w:r>
        <w:rPr>
          <w:rFonts w:eastAsia="Calibri"/>
        </w:rPr>
        <w:t>h</w:t>
      </w:r>
      <w:r w:rsidRPr="00A7637D">
        <w:rPr>
          <w:rFonts w:eastAsia="Calibri"/>
        </w:rPr>
        <w:t xml:space="preserve">andheld </w:t>
      </w:r>
      <w:r>
        <w:rPr>
          <w:rFonts w:eastAsia="Calibri"/>
        </w:rPr>
        <w:t>c</w:t>
      </w:r>
      <w:r w:rsidRPr="00A7637D">
        <w:rPr>
          <w:rFonts w:eastAsia="Calibri"/>
        </w:rPr>
        <w:t xml:space="preserve">overage </w:t>
      </w:r>
      <w:r>
        <w:rPr>
          <w:rFonts w:eastAsia="Calibri"/>
        </w:rPr>
        <w:t>that is new for the applicant (or, if the applicant is a MNIP, the relevant MNO(s)) but overlaps with Existing Handheld Coverage from another MNO, divided by a weighting factor of 2.</w:t>
      </w:r>
    </w:p>
    <w:p w14:paraId="3F74566C" w14:textId="77777777" w:rsidR="00733FF0" w:rsidRDefault="00733FF0" w:rsidP="007833F5">
      <w:pPr>
        <w:pStyle w:val="ListBullet"/>
        <w:ind w:left="1985"/>
        <w:rPr>
          <w:rFonts w:eastAsia="Calibri"/>
        </w:rPr>
      </w:pPr>
      <w:bookmarkStart w:id="173" w:name="_Hlk110506429"/>
      <w:r w:rsidRPr="00A14A92">
        <w:rPr>
          <w:rFonts w:eastAsia="Calibri"/>
        </w:rPr>
        <w:t xml:space="preserve">For each </w:t>
      </w:r>
      <w:r>
        <w:t>Proposed</w:t>
      </w:r>
      <w:r w:rsidRPr="00A14A92">
        <w:rPr>
          <w:rFonts w:eastAsia="Calibri"/>
        </w:rPr>
        <w:t xml:space="preserve"> Solution with confirmed involvement of a single MNO, overlapping coverage with the MNO’s own existing network is not eligible for assessment.</w:t>
      </w:r>
    </w:p>
    <w:bookmarkEnd w:id="173"/>
    <w:p w14:paraId="6D244A71" w14:textId="14EB6830" w:rsidR="00733FF0" w:rsidRPr="00A14A92" w:rsidRDefault="00733FF0" w:rsidP="007833F5">
      <w:pPr>
        <w:pStyle w:val="ListBullet"/>
        <w:ind w:left="1985"/>
        <w:rPr>
          <w:rFonts w:eastAsia="Calibri"/>
        </w:rPr>
      </w:pPr>
      <w:r w:rsidRPr="00A14A92">
        <w:rPr>
          <w:rFonts w:eastAsia="Calibri"/>
        </w:rPr>
        <w:t xml:space="preserve">For each </w:t>
      </w:r>
      <w:r>
        <w:t xml:space="preserve">Proposed </w:t>
      </w:r>
      <w:r w:rsidRPr="00A14A92">
        <w:rPr>
          <w:rFonts w:eastAsia="Calibri"/>
        </w:rPr>
        <w:t>Solution with confirmed involvement</w:t>
      </w:r>
      <w:r>
        <w:rPr>
          <w:rFonts w:eastAsia="Calibri"/>
        </w:rPr>
        <w:t xml:space="preserve"> (e.g. </w:t>
      </w:r>
      <w:r w:rsidR="00101CA4">
        <w:rPr>
          <w:rFonts w:eastAsia="Calibri"/>
        </w:rPr>
        <w:t>active sharing</w:t>
      </w:r>
      <w:r>
        <w:rPr>
          <w:rFonts w:eastAsia="Calibri"/>
        </w:rPr>
        <w:t>)</w:t>
      </w:r>
      <w:r w:rsidRPr="00A14A92">
        <w:rPr>
          <w:rFonts w:eastAsia="Calibri"/>
        </w:rPr>
        <w:t xml:space="preserve"> of two or more MNOs, overlapping coverage that is new for at least one participating MNO is eligible for assessment, but counted only once. </w:t>
      </w:r>
      <w:r>
        <w:rPr>
          <w:rFonts w:eastAsia="Calibri"/>
        </w:rPr>
        <w:t>C</w:t>
      </w:r>
      <w:r w:rsidRPr="00A14A92">
        <w:rPr>
          <w:rFonts w:eastAsia="Calibri"/>
        </w:rPr>
        <w:t xml:space="preserve">overage located in an area within the existing network of all </w:t>
      </w:r>
      <w:r>
        <w:rPr>
          <w:rFonts w:eastAsia="Calibri"/>
        </w:rPr>
        <w:t xml:space="preserve">participating </w:t>
      </w:r>
      <w:r w:rsidRPr="00A14A92">
        <w:rPr>
          <w:rFonts w:eastAsia="Calibri"/>
        </w:rPr>
        <w:t>MNOs will not be eligible for assessment</w:t>
      </w:r>
      <w:r>
        <w:rPr>
          <w:rFonts w:eastAsia="Calibri"/>
        </w:rPr>
        <w:t>.</w:t>
      </w:r>
    </w:p>
    <w:p w14:paraId="2448CFC2" w14:textId="69D9C676" w:rsidR="0045229E" w:rsidRDefault="00733FF0" w:rsidP="00733FF0">
      <w:pPr>
        <w:pStyle w:val="Normal-Style2"/>
      </w:pPr>
      <w:r w:rsidRPr="00642E27">
        <w:rPr>
          <w:rFonts w:eastAsia="Calibri"/>
        </w:rPr>
        <w:t xml:space="preserve">New </w:t>
      </w:r>
      <w:r w:rsidRPr="008E1E1B">
        <w:rPr>
          <w:rFonts w:eastAsia="Calibri"/>
        </w:rPr>
        <w:t xml:space="preserve">Handheld Coverage and </w:t>
      </w:r>
      <w:r>
        <w:rPr>
          <w:rFonts w:eastAsia="Calibri"/>
        </w:rPr>
        <w:t>O</w:t>
      </w:r>
      <w:r w:rsidRPr="008E1E1B">
        <w:rPr>
          <w:rFonts w:eastAsia="Calibri"/>
        </w:rPr>
        <w:t xml:space="preserve">verlapping </w:t>
      </w:r>
      <w:r>
        <w:rPr>
          <w:rFonts w:eastAsia="Calibri"/>
        </w:rPr>
        <w:t>C</w:t>
      </w:r>
      <w:r w:rsidRPr="008E1E1B">
        <w:rPr>
          <w:rFonts w:eastAsia="Calibri"/>
        </w:rPr>
        <w:t>overage will be measured by comparing the 4G handheld coverage provided by the solution against</w:t>
      </w:r>
      <w:r>
        <w:rPr>
          <w:rFonts w:eastAsia="Calibri"/>
        </w:rPr>
        <w:t xml:space="preserve"> </w:t>
      </w:r>
      <w:r w:rsidRPr="00190E2B">
        <w:rPr>
          <w:rFonts w:eastAsia="Calibri"/>
        </w:rPr>
        <w:t>existing</w:t>
      </w:r>
      <w:r>
        <w:rPr>
          <w:rFonts w:eastAsia="Calibri"/>
        </w:rPr>
        <w:t xml:space="preserve"> </w:t>
      </w:r>
      <w:r w:rsidRPr="00190E2B">
        <w:rPr>
          <w:rFonts w:eastAsia="Calibri"/>
        </w:rPr>
        <w:t>4G</w:t>
      </w:r>
      <w:r>
        <w:rPr>
          <w:rFonts w:eastAsia="Calibri"/>
        </w:rPr>
        <w:t> </w:t>
      </w:r>
      <w:r w:rsidRPr="00190E2B">
        <w:rPr>
          <w:rFonts w:eastAsia="Calibri"/>
        </w:rPr>
        <w:t>handheld coverage</w:t>
      </w:r>
      <w:r>
        <w:rPr>
          <w:rFonts w:eastAsia="Calibri"/>
        </w:rPr>
        <w:t xml:space="preserve"> (including as-yet unbuilt base stations funded under other Commonwealth and/or state government programs)</w:t>
      </w:r>
      <w:r w:rsidRPr="00190E2B">
        <w:rPr>
          <w:rFonts w:eastAsia="Calibri"/>
        </w:rPr>
        <w:t>, as per</w:t>
      </w:r>
      <w:r>
        <w:t xml:space="preserve"> the MNOs’ submitted coverage maps at the handh</w:t>
      </w:r>
      <w:r w:rsidR="00A70D60">
        <w:t>e</w:t>
      </w:r>
      <w:r>
        <w:t xml:space="preserve">ld coverage levels set out in section </w:t>
      </w:r>
      <w:r>
        <w:fldChar w:fldCharType="begin"/>
      </w:r>
      <w:r>
        <w:instrText xml:space="preserve"> REF _Ref109305451 \r \h </w:instrText>
      </w:r>
      <w:r>
        <w:fldChar w:fldCharType="separate"/>
      </w:r>
      <w:r w:rsidR="001A1CA8">
        <w:t>4.2.4</w:t>
      </w:r>
      <w:r>
        <w:fldChar w:fldCharType="end"/>
      </w:r>
      <w:bookmarkEnd w:id="158"/>
      <w:bookmarkEnd w:id="167"/>
      <w:r w:rsidR="0045229E">
        <w:t>.</w:t>
      </w:r>
    </w:p>
    <w:p w14:paraId="1856FEF3" w14:textId="77777777" w:rsidR="00733FF0" w:rsidRDefault="00733FF0" w:rsidP="00733FF0">
      <w:pPr>
        <w:pStyle w:val="Heading3"/>
      </w:pPr>
      <w:bookmarkStart w:id="174" w:name="_Toc113442184"/>
      <w:bookmarkStart w:id="175" w:name="_Toc113357221"/>
      <w:bookmarkStart w:id="176" w:name="_Toc157704964"/>
      <w:r>
        <w:t>Assessment Criteria for New Highway Coverage Solutions</w:t>
      </w:r>
      <w:bookmarkEnd w:id="174"/>
      <w:bookmarkEnd w:id="175"/>
      <w:bookmarkEnd w:id="176"/>
    </w:p>
    <w:p w14:paraId="5C7F6FF7" w14:textId="53EA9447" w:rsidR="0045229E" w:rsidRDefault="00733FF0" w:rsidP="00733FF0">
      <w:pPr>
        <w:pStyle w:val="Normal-Style2"/>
      </w:pPr>
      <w:bookmarkStart w:id="177" w:name="_Ref121921519"/>
      <w:r>
        <w:t xml:space="preserve">New Highway Coverage Solutions will be assessed using a variation on the New Coverage Assessment Formula at section </w:t>
      </w:r>
      <w:r>
        <w:fldChar w:fldCharType="begin"/>
      </w:r>
      <w:r>
        <w:instrText xml:space="preserve"> REF _Ref110594734 \r \h </w:instrText>
      </w:r>
      <w:r>
        <w:fldChar w:fldCharType="separate"/>
      </w:r>
      <w:r w:rsidR="001A1CA8">
        <w:t>6.1.2</w:t>
      </w:r>
      <w:r>
        <w:fldChar w:fldCharType="end"/>
      </w:r>
      <w:r>
        <w:t xml:space="preserve">, where New Handheld Coverage </w:t>
      </w:r>
      <w:r w:rsidRPr="009425B5">
        <w:t xml:space="preserve">refers to the size (in </w:t>
      </w:r>
      <w:r>
        <w:t>linear</w:t>
      </w:r>
      <w:r w:rsidRPr="009425B5">
        <w:t xml:space="preserve"> kilometres) of the mobile coverage footprint area </w:t>
      </w:r>
      <w:r>
        <w:t xml:space="preserve">along the defined section of highway identified as a Target Location </w:t>
      </w:r>
      <w:r w:rsidRPr="009425B5">
        <w:t>which will receive handheld mobile coverage where there is no Existing Handheld Coverage</w:t>
      </w:r>
      <w:r w:rsidR="0045229E">
        <w:t>.</w:t>
      </w:r>
      <w:bookmarkEnd w:id="177"/>
    </w:p>
    <w:p w14:paraId="1FF73FB5" w14:textId="1308097B" w:rsidR="00733FF0" w:rsidRDefault="00733FF0" w:rsidP="00733FF0">
      <w:pPr>
        <w:pStyle w:val="Normal-Style2"/>
      </w:pPr>
      <w:r>
        <w:t xml:space="preserve">For New Highway Coverage Solutions, similar to section </w:t>
      </w:r>
      <w:r w:rsidR="001A1CA8">
        <w:fldChar w:fldCharType="begin"/>
      </w:r>
      <w:r w:rsidR="001A1CA8">
        <w:instrText xml:space="preserve"> REF _Ref121921519 \r \h </w:instrText>
      </w:r>
      <w:r w:rsidR="001A1CA8">
        <w:fldChar w:fldCharType="separate"/>
      </w:r>
      <w:r w:rsidR="001A1CA8">
        <w:t>6.2.1</w:t>
      </w:r>
      <w:r w:rsidR="001A1CA8">
        <w:fldChar w:fldCharType="end"/>
      </w:r>
      <w:r>
        <w:t xml:space="preserve">, Overlapping Coverage refers to the </w:t>
      </w:r>
      <w:r w:rsidRPr="009425B5">
        <w:t xml:space="preserve">size (in </w:t>
      </w:r>
      <w:r>
        <w:t>linear</w:t>
      </w:r>
      <w:r w:rsidRPr="009425B5">
        <w:t xml:space="preserve"> kilometres)</w:t>
      </w:r>
      <w:r>
        <w:t xml:space="preserve"> of overlapping coverage along the defined section of highway.</w:t>
      </w:r>
    </w:p>
    <w:p w14:paraId="6B53C896" w14:textId="77777777" w:rsidR="00733FF0" w:rsidRPr="0047658A" w:rsidRDefault="00733FF0" w:rsidP="00733FF0">
      <w:pPr>
        <w:pStyle w:val="Heading3"/>
      </w:pPr>
      <w:bookmarkStart w:id="178" w:name="_Toc113442185"/>
      <w:bookmarkStart w:id="179" w:name="_Toc113357222"/>
      <w:bookmarkStart w:id="180" w:name="_Ref121998629"/>
      <w:bookmarkStart w:id="181" w:name="_Toc157704965"/>
      <w:r>
        <w:t>Assessment Criteria for Improved Coverage Solutions</w:t>
      </w:r>
      <w:bookmarkEnd w:id="178"/>
      <w:bookmarkEnd w:id="179"/>
      <w:bookmarkEnd w:id="180"/>
      <w:bookmarkEnd w:id="181"/>
    </w:p>
    <w:p w14:paraId="0843076D" w14:textId="77777777" w:rsidR="00733FF0" w:rsidRPr="008B2CDF" w:rsidRDefault="00733FF0" w:rsidP="00733FF0">
      <w:pPr>
        <w:pStyle w:val="Normal-Style2"/>
      </w:pPr>
      <w:bookmarkStart w:id="182" w:name="_Ref110515689"/>
      <w:r>
        <w:t>Improved Coverage Solutions</w:t>
      </w:r>
      <w:r w:rsidRPr="00165184">
        <w:t xml:space="preserve"> will be assessed for the level of Improved Handheld Coverage </w:t>
      </w:r>
      <w:r>
        <w:t xml:space="preserve">and Material Coverage Improvement </w:t>
      </w:r>
      <w:r w:rsidRPr="00165184">
        <w:t xml:space="preserve">to be provided in </w:t>
      </w:r>
      <w:r>
        <w:t>the eligible Target Location, as well as the cost to the Commonwealth</w:t>
      </w:r>
      <w:r w:rsidRPr="00165184">
        <w:t xml:space="preserve">. The assessment will consider three factors awarding up to </w:t>
      </w:r>
      <w:r w:rsidRPr="001F1077">
        <w:t>30 points:</w:t>
      </w:r>
      <w:bookmarkEnd w:id="182"/>
    </w:p>
    <w:p w14:paraId="0E80877D" w14:textId="77777777" w:rsidR="00733FF0" w:rsidRPr="00CB3318" w:rsidRDefault="00733FF0" w:rsidP="007833F5">
      <w:pPr>
        <w:pStyle w:val="Heading4"/>
      </w:pPr>
      <w:bookmarkStart w:id="183" w:name="_Toc157704966"/>
      <w:r w:rsidRPr="00CB3318">
        <w:t xml:space="preserve">Criterion 1: </w:t>
      </w:r>
      <w:r w:rsidRPr="00D84EEA">
        <w:t xml:space="preserve">New </w:t>
      </w:r>
      <w:r w:rsidRPr="00CB3318">
        <w:t>Improved Handheld Coverage</w:t>
      </w:r>
      <w:r w:rsidRPr="00D84EEA">
        <w:t xml:space="preserve"> (</w:t>
      </w:r>
      <w:r>
        <w:t>1</w:t>
      </w:r>
      <w:r w:rsidRPr="00D84EEA">
        <w:t>0 Points)</w:t>
      </w:r>
      <w:bookmarkEnd w:id="183"/>
    </w:p>
    <w:p w14:paraId="73DA844C" w14:textId="1F33512A" w:rsidR="00733FF0" w:rsidRDefault="00733FF0" w:rsidP="00733FF0">
      <w:pPr>
        <w:pStyle w:val="Normal-Style2"/>
        <w:rPr>
          <w:rFonts w:eastAsia="Calibri"/>
        </w:rPr>
      </w:pPr>
      <w:r w:rsidRPr="00D84EEA">
        <w:rPr>
          <w:rFonts w:eastAsia="Calibri"/>
          <w:b/>
        </w:rPr>
        <w:t>New Improved Handheld Coverage</w:t>
      </w:r>
      <w:r w:rsidRPr="00165184">
        <w:rPr>
          <w:rFonts w:eastAsia="Calibri"/>
        </w:rPr>
        <w:t xml:space="preserve"> refers to the size (in square kilometres) of the mobile coverage footprint area</w:t>
      </w:r>
      <w:r>
        <w:rPr>
          <w:rFonts w:eastAsia="Calibri"/>
        </w:rPr>
        <w:t xml:space="preserve"> </w:t>
      </w:r>
      <w:r w:rsidRPr="00165184">
        <w:rPr>
          <w:rFonts w:eastAsia="Calibri"/>
        </w:rPr>
        <w:t>which will receive Improved Handheld Coverage where there is no Existing Handheld Coverage in the applicant’s network</w:t>
      </w:r>
      <w:r>
        <w:rPr>
          <w:rFonts w:eastAsia="Calibri"/>
        </w:rPr>
        <w:t xml:space="preserve"> at the signal levels specified in section</w:t>
      </w:r>
      <w:r w:rsidR="007833F5">
        <w:rPr>
          <w:rFonts w:eastAsia="Calibri"/>
        </w:rPr>
        <w:t> </w:t>
      </w:r>
      <w:r w:rsidR="001A1CA8">
        <w:rPr>
          <w:rFonts w:eastAsia="Calibri"/>
        </w:rPr>
        <w:fldChar w:fldCharType="begin"/>
      </w:r>
      <w:r w:rsidR="001A1CA8">
        <w:rPr>
          <w:rFonts w:eastAsia="Calibri"/>
        </w:rPr>
        <w:instrText xml:space="preserve"> REF _Ref109305451 \r \h </w:instrText>
      </w:r>
      <w:r w:rsidR="001A1CA8">
        <w:rPr>
          <w:rFonts w:eastAsia="Calibri"/>
        </w:rPr>
      </w:r>
      <w:r w:rsidR="001A1CA8">
        <w:rPr>
          <w:rFonts w:eastAsia="Calibri"/>
        </w:rPr>
        <w:fldChar w:fldCharType="separate"/>
      </w:r>
      <w:r w:rsidR="001A1CA8">
        <w:rPr>
          <w:rFonts w:eastAsia="Calibri"/>
        </w:rPr>
        <w:t>4.2.4</w:t>
      </w:r>
      <w:r w:rsidR="001A1CA8">
        <w:rPr>
          <w:rFonts w:eastAsia="Calibri"/>
        </w:rPr>
        <w:fldChar w:fldCharType="end"/>
      </w:r>
      <w:r w:rsidRPr="00165184">
        <w:rPr>
          <w:rFonts w:eastAsia="Calibri"/>
        </w:rPr>
        <w:t>.</w:t>
      </w:r>
    </w:p>
    <w:p w14:paraId="2112592A" w14:textId="77777777" w:rsidR="00733FF0" w:rsidRPr="007833F5" w:rsidRDefault="00733FF0" w:rsidP="007B4338">
      <w:pPr>
        <w:pStyle w:val="Normal-Style2"/>
        <w:keepLines/>
      </w:pPr>
      <w:r>
        <w:t xml:space="preserve">Points will be awarded based on the </w:t>
      </w:r>
      <w:r w:rsidRPr="008C6DEB">
        <w:t xml:space="preserve">amount of New Improved Handheld Coverage delivered by the Proposed Solution within the applicant’s network in the </w:t>
      </w:r>
      <w:r>
        <w:t>eligible Target Location</w:t>
      </w:r>
      <w:r w:rsidRPr="008C6DEB">
        <w:t xml:space="preserve">. Proposed </w:t>
      </w:r>
      <w:r>
        <w:t>S</w:t>
      </w:r>
      <w:r w:rsidRPr="008C6DEB">
        <w:t xml:space="preserve">olutions </w:t>
      </w:r>
      <w:r>
        <w:t>will be awarded up to 10 points according to the following scoring matrix</w:t>
      </w:r>
      <w:r w:rsidRPr="008C6DEB">
        <w:t xml:space="preserve"> </w:t>
      </w:r>
      <w:r>
        <w:t>based on</w:t>
      </w:r>
      <w:r w:rsidRPr="008C6DEB">
        <w:t xml:space="preserve"> the amount of New Improved Handheld Coverage in square kilometres</w:t>
      </w:r>
      <w:r>
        <w:t xml:space="preserve"> (km</w:t>
      </w:r>
      <w:r w:rsidRPr="008B2CDF">
        <w:rPr>
          <w:vertAlign w:val="superscript"/>
        </w:rPr>
        <w:t>2</w:t>
      </w:r>
      <w:r>
        <w:t>)</w:t>
      </w:r>
    </w:p>
    <w:p w14:paraId="57F355FB" w14:textId="77777777" w:rsidR="00733FF0" w:rsidRDefault="00733FF0" w:rsidP="002254CD">
      <w:pPr>
        <w:pStyle w:val="Tablefigureheading"/>
        <w:ind w:left="851"/>
      </w:pPr>
      <w:bookmarkStart w:id="184" w:name="_Toc157705023"/>
      <w:r w:rsidRPr="0054078D">
        <w:t xml:space="preserve">Table </w:t>
      </w:r>
      <w:r w:rsidR="00FF4886">
        <w:t>2</w:t>
      </w:r>
      <w:r w:rsidRPr="0054078D">
        <w:t xml:space="preserve">: </w:t>
      </w:r>
      <w:r>
        <w:t>New Improved Handheld Coverage Scoring Matrix</w:t>
      </w:r>
      <w:bookmarkEnd w:id="184"/>
    </w:p>
    <w:tbl>
      <w:tblPr>
        <w:tblStyle w:val="DefaultTable11"/>
        <w:tblW w:w="3507" w:type="pct"/>
        <w:tblInd w:w="851" w:type="dxa"/>
        <w:tblLook w:val="04A0" w:firstRow="1" w:lastRow="0" w:firstColumn="1" w:lastColumn="0" w:noHBand="0" w:noVBand="1"/>
        <w:tblDescription w:val="Table 4: New Improved Handheld Coverage Scoring Matrix"/>
      </w:tblPr>
      <w:tblGrid>
        <w:gridCol w:w="1702"/>
        <w:gridCol w:w="1558"/>
        <w:gridCol w:w="1844"/>
        <w:gridCol w:w="1542"/>
      </w:tblGrid>
      <w:tr w:rsidR="002254CD" w:rsidRPr="00654F9E" w14:paraId="1CE2613F" w14:textId="77777777" w:rsidTr="002254C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2D366117" w14:textId="77777777" w:rsidR="002254CD" w:rsidRPr="002254CD" w:rsidRDefault="002254CD" w:rsidP="002254CD">
            <w:pPr>
              <w:pStyle w:val="Tablerowcolumnheadingcentred"/>
              <w:rPr>
                <w:b/>
              </w:rPr>
            </w:pPr>
            <w:r w:rsidRPr="002254CD">
              <w:rPr>
                <w:b/>
              </w:rPr>
              <w:t>New Improved Handheld coverage range (km2)</w:t>
            </w:r>
          </w:p>
        </w:tc>
        <w:tc>
          <w:tcPr>
            <w:tcW w:w="1172" w:type="pct"/>
            <w:tcBorders>
              <w:bottom w:val="single" w:sz="4" w:space="0" w:color="4BB3B5"/>
              <w:right w:val="single" w:sz="18" w:space="0" w:color="4BB3B5"/>
            </w:tcBorders>
            <w:vAlign w:val="center"/>
          </w:tcPr>
          <w:p w14:paraId="1A378035" w14:textId="77777777" w:rsidR="002254CD" w:rsidRPr="002254CD" w:rsidRDefault="002254CD" w:rsidP="002254CD">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2254CD">
              <w:rPr>
                <w:b/>
              </w:rPr>
              <w:t>Points</w:t>
            </w:r>
          </w:p>
        </w:tc>
        <w:tc>
          <w:tcPr>
            <w:tcW w:w="1387" w:type="pct"/>
            <w:tcBorders>
              <w:left w:val="single" w:sz="18" w:space="0" w:color="4BB3B5"/>
              <w:bottom w:val="single" w:sz="4" w:space="0" w:color="4BB3B5"/>
            </w:tcBorders>
            <w:vAlign w:val="center"/>
          </w:tcPr>
          <w:p w14:paraId="5E3E245A" w14:textId="77777777" w:rsidR="002254CD" w:rsidRPr="002254CD" w:rsidRDefault="002254CD" w:rsidP="002254CD">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2254CD">
              <w:rPr>
                <w:b/>
              </w:rPr>
              <w:t>New Improved Handheld coverage range (km2)</w:t>
            </w:r>
          </w:p>
        </w:tc>
        <w:tc>
          <w:tcPr>
            <w:tcW w:w="1160" w:type="pct"/>
            <w:vAlign w:val="center"/>
          </w:tcPr>
          <w:p w14:paraId="11058C41" w14:textId="77777777" w:rsidR="002254CD" w:rsidRPr="002254CD" w:rsidRDefault="002254CD" w:rsidP="002254CD">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2254CD">
              <w:rPr>
                <w:b/>
              </w:rPr>
              <w:t>Points</w:t>
            </w:r>
          </w:p>
        </w:tc>
      </w:tr>
      <w:tr w:rsidR="002254CD" w:rsidRPr="00654F9E" w14:paraId="1B936501" w14:textId="77777777" w:rsidTr="002254CD">
        <w:trPr>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33B97A3D" w14:textId="6D55C6AC" w:rsidR="002254CD" w:rsidRPr="002254CD" w:rsidRDefault="00D33396" w:rsidP="002254CD">
            <w:pPr>
              <w:spacing w:after="0"/>
              <w:jc w:val="center"/>
              <w:rPr>
                <w:rFonts w:cs="Arial"/>
                <w:b w:val="0"/>
                <w:color w:val="000000" w:themeColor="text1"/>
                <w:lang w:eastAsia="en-AU"/>
              </w:rPr>
            </w:pPr>
            <w:r>
              <w:rPr>
                <w:rFonts w:cs="Arial"/>
                <w:b w:val="0"/>
                <w:color w:val="000000" w:themeColor="text1"/>
                <w:lang w:eastAsia="en-AU"/>
              </w:rPr>
              <w:t>&gt;</w:t>
            </w:r>
            <w:r w:rsidR="002254CD" w:rsidRPr="002254CD">
              <w:rPr>
                <w:rFonts w:cs="Arial"/>
                <w:b w:val="0"/>
                <w:color w:val="000000" w:themeColor="text1"/>
                <w:lang w:eastAsia="en-AU"/>
              </w:rPr>
              <w:t>0 x &lt;1.0</w:t>
            </w:r>
          </w:p>
        </w:tc>
        <w:tc>
          <w:tcPr>
            <w:tcW w:w="1172" w:type="pct"/>
            <w:tcBorders>
              <w:right w:val="single" w:sz="18" w:space="0" w:color="4BB3B5"/>
            </w:tcBorders>
            <w:vAlign w:val="center"/>
          </w:tcPr>
          <w:p w14:paraId="6D935385" w14:textId="77777777" w:rsidR="002254CD" w:rsidRPr="00D84EEA" w:rsidRDefault="002254CD" w:rsidP="002254CD">
            <w:pPr>
              <w:spacing w:after="0"/>
              <w:jc w:val="center"/>
              <w:cnfStyle w:val="000000000000" w:firstRow="0" w:lastRow="0" w:firstColumn="0" w:lastColumn="0" w:oddVBand="0" w:evenVBand="0" w:oddHBand="0" w:evenHBand="0" w:firstRowFirstColumn="0" w:firstRowLastColumn="0" w:lastRowFirstColumn="0" w:lastRowLastColumn="0"/>
              <w:rPr>
                <w:rFonts w:cs="Arial"/>
                <w:b/>
                <w:color w:val="000000" w:themeColor="text1"/>
                <w:lang w:eastAsia="en-AU"/>
              </w:rPr>
            </w:pPr>
            <w:r w:rsidRPr="00D84EEA">
              <w:rPr>
                <w:rFonts w:cs="Arial"/>
                <w:b/>
                <w:color w:val="000000" w:themeColor="text1"/>
                <w:lang w:eastAsia="en-AU"/>
              </w:rPr>
              <w:t>0.5</w:t>
            </w:r>
          </w:p>
        </w:tc>
        <w:tc>
          <w:tcPr>
            <w:tcW w:w="1387" w:type="pct"/>
            <w:tcBorders>
              <w:left w:val="single" w:sz="18" w:space="0" w:color="4BB3B5"/>
            </w:tcBorders>
            <w:vAlign w:val="center"/>
          </w:tcPr>
          <w:p w14:paraId="47F7FB98" w14:textId="77777777" w:rsidR="002254CD" w:rsidRPr="00703395" w:rsidRDefault="002254CD" w:rsidP="002254CD">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703395">
              <w:rPr>
                <w:rFonts w:cs="Arial"/>
                <w:color w:val="000000" w:themeColor="text1"/>
                <w:lang w:eastAsia="en-AU"/>
              </w:rPr>
              <w:t>3.5</w:t>
            </w:r>
          </w:p>
        </w:tc>
        <w:tc>
          <w:tcPr>
            <w:tcW w:w="1160" w:type="pct"/>
            <w:vAlign w:val="center"/>
          </w:tcPr>
          <w:p w14:paraId="0F7BCDD0" w14:textId="77777777" w:rsidR="002254CD" w:rsidRPr="00D84EEA" w:rsidRDefault="002254CD" w:rsidP="002254CD">
            <w:pPr>
              <w:spacing w:after="0"/>
              <w:jc w:val="center"/>
              <w:cnfStyle w:val="000000000000" w:firstRow="0" w:lastRow="0" w:firstColumn="0" w:lastColumn="0" w:oddVBand="0" w:evenVBand="0" w:oddHBand="0" w:evenHBand="0" w:firstRowFirstColumn="0" w:firstRowLastColumn="0" w:lastRowFirstColumn="0" w:lastRowLastColumn="0"/>
              <w:rPr>
                <w:rFonts w:cs="Arial"/>
                <w:b/>
                <w:color w:val="000000" w:themeColor="text1"/>
                <w:lang w:eastAsia="en-AU"/>
              </w:rPr>
            </w:pPr>
            <w:r w:rsidRPr="00D37215">
              <w:rPr>
                <w:rFonts w:cs="Arial"/>
                <w:b/>
                <w:color w:val="000000" w:themeColor="text1"/>
                <w:lang w:eastAsia="en-AU"/>
              </w:rPr>
              <w:t>6</w:t>
            </w:r>
          </w:p>
        </w:tc>
      </w:tr>
      <w:tr w:rsidR="002254CD" w:rsidRPr="00654F9E" w14:paraId="690C412F" w14:textId="77777777" w:rsidTr="002254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009692EF" w14:textId="77777777" w:rsidR="002254CD" w:rsidRPr="002254CD" w:rsidRDefault="002254CD" w:rsidP="002254CD">
            <w:pPr>
              <w:spacing w:after="0"/>
              <w:jc w:val="center"/>
              <w:rPr>
                <w:rFonts w:cs="Arial"/>
                <w:b w:val="0"/>
                <w:color w:val="000000" w:themeColor="text1"/>
                <w:lang w:eastAsia="en-AU"/>
              </w:rPr>
            </w:pPr>
            <w:r w:rsidRPr="002254CD">
              <w:rPr>
                <w:rFonts w:cs="Arial"/>
                <w:b w:val="0"/>
                <w:color w:val="000000" w:themeColor="text1"/>
                <w:lang w:eastAsia="en-AU"/>
              </w:rPr>
              <w:t>1.0</w:t>
            </w:r>
          </w:p>
        </w:tc>
        <w:tc>
          <w:tcPr>
            <w:tcW w:w="1172" w:type="pct"/>
            <w:tcBorders>
              <w:right w:val="single" w:sz="18" w:space="0" w:color="4BB3B5"/>
            </w:tcBorders>
            <w:vAlign w:val="center"/>
          </w:tcPr>
          <w:p w14:paraId="2B8F9DD0" w14:textId="77777777" w:rsidR="002254CD" w:rsidRPr="00D84EEA" w:rsidRDefault="002254CD" w:rsidP="002254CD">
            <w:pPr>
              <w:spacing w:after="0"/>
              <w:jc w:val="center"/>
              <w:cnfStyle w:val="000000010000" w:firstRow="0" w:lastRow="0" w:firstColumn="0" w:lastColumn="0" w:oddVBand="0" w:evenVBand="0" w:oddHBand="0" w:evenHBand="1" w:firstRowFirstColumn="0" w:firstRowLastColumn="0" w:lastRowFirstColumn="0" w:lastRowLastColumn="0"/>
              <w:rPr>
                <w:rFonts w:cs="Arial"/>
                <w:b/>
                <w:color w:val="000000" w:themeColor="text1"/>
                <w:lang w:eastAsia="en-AU"/>
              </w:rPr>
            </w:pPr>
            <w:r w:rsidRPr="00D84EEA">
              <w:rPr>
                <w:rFonts w:cs="Arial"/>
                <w:b/>
                <w:color w:val="000000" w:themeColor="text1"/>
                <w:lang w:eastAsia="en-AU"/>
              </w:rPr>
              <w:t>1</w:t>
            </w:r>
          </w:p>
        </w:tc>
        <w:tc>
          <w:tcPr>
            <w:tcW w:w="1387" w:type="pct"/>
            <w:tcBorders>
              <w:left w:val="single" w:sz="18" w:space="0" w:color="4BB3B5"/>
            </w:tcBorders>
            <w:vAlign w:val="center"/>
          </w:tcPr>
          <w:p w14:paraId="3FA5F6E0" w14:textId="77777777" w:rsidR="002254CD" w:rsidRPr="00703395" w:rsidRDefault="002254CD" w:rsidP="002254CD">
            <w:pPr>
              <w:spacing w:after="0"/>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703395">
              <w:rPr>
                <w:rFonts w:cs="Arial"/>
                <w:color w:val="000000" w:themeColor="text1"/>
                <w:lang w:eastAsia="en-AU"/>
              </w:rPr>
              <w:t>4</w:t>
            </w:r>
          </w:p>
        </w:tc>
        <w:tc>
          <w:tcPr>
            <w:tcW w:w="1160" w:type="pct"/>
            <w:vAlign w:val="center"/>
          </w:tcPr>
          <w:p w14:paraId="5CFCCB33" w14:textId="77777777" w:rsidR="002254CD" w:rsidRPr="00D84EEA" w:rsidRDefault="002254CD" w:rsidP="002254CD">
            <w:pPr>
              <w:spacing w:after="0"/>
              <w:jc w:val="center"/>
              <w:cnfStyle w:val="000000010000" w:firstRow="0" w:lastRow="0" w:firstColumn="0" w:lastColumn="0" w:oddVBand="0" w:evenVBand="0" w:oddHBand="0" w:evenHBand="1" w:firstRowFirstColumn="0" w:firstRowLastColumn="0" w:lastRowFirstColumn="0" w:lastRowLastColumn="0"/>
              <w:rPr>
                <w:rFonts w:cs="Arial"/>
                <w:b/>
                <w:color w:val="000000" w:themeColor="text1"/>
                <w:lang w:eastAsia="en-AU"/>
              </w:rPr>
            </w:pPr>
            <w:r w:rsidRPr="00D37215">
              <w:rPr>
                <w:rFonts w:cs="Arial"/>
                <w:b/>
                <w:color w:val="000000" w:themeColor="text1"/>
                <w:lang w:eastAsia="en-AU"/>
              </w:rPr>
              <w:t>7</w:t>
            </w:r>
          </w:p>
        </w:tc>
      </w:tr>
      <w:tr w:rsidR="002254CD" w:rsidRPr="00654F9E" w14:paraId="1B080121" w14:textId="77777777" w:rsidTr="002254CD">
        <w:trPr>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162DAA3A" w14:textId="77777777" w:rsidR="002254CD" w:rsidRPr="002254CD" w:rsidRDefault="002254CD" w:rsidP="002254CD">
            <w:pPr>
              <w:spacing w:after="0"/>
              <w:jc w:val="center"/>
              <w:rPr>
                <w:rFonts w:cs="Arial"/>
                <w:b w:val="0"/>
                <w:color w:val="000000" w:themeColor="text1"/>
                <w:lang w:eastAsia="en-AU"/>
              </w:rPr>
            </w:pPr>
            <w:r w:rsidRPr="002254CD">
              <w:rPr>
                <w:rFonts w:cs="Arial"/>
                <w:b w:val="0"/>
                <w:color w:val="000000" w:themeColor="text1"/>
                <w:lang w:eastAsia="en-AU"/>
              </w:rPr>
              <w:t>1.5</w:t>
            </w:r>
          </w:p>
        </w:tc>
        <w:tc>
          <w:tcPr>
            <w:tcW w:w="1172" w:type="pct"/>
            <w:tcBorders>
              <w:right w:val="single" w:sz="18" w:space="0" w:color="4BB3B5"/>
            </w:tcBorders>
            <w:vAlign w:val="center"/>
          </w:tcPr>
          <w:p w14:paraId="70E83A1A" w14:textId="77777777" w:rsidR="002254CD" w:rsidRPr="00D84EEA" w:rsidRDefault="002254CD" w:rsidP="002254CD">
            <w:pPr>
              <w:spacing w:after="0"/>
              <w:jc w:val="center"/>
              <w:cnfStyle w:val="000000000000" w:firstRow="0" w:lastRow="0" w:firstColumn="0" w:lastColumn="0" w:oddVBand="0" w:evenVBand="0" w:oddHBand="0" w:evenHBand="0" w:firstRowFirstColumn="0" w:firstRowLastColumn="0" w:lastRowFirstColumn="0" w:lastRowLastColumn="0"/>
              <w:rPr>
                <w:rFonts w:cs="Arial"/>
                <w:b/>
                <w:color w:val="000000" w:themeColor="text1"/>
                <w:lang w:eastAsia="en-AU"/>
              </w:rPr>
            </w:pPr>
            <w:r w:rsidRPr="00D84EEA">
              <w:rPr>
                <w:rFonts w:cs="Arial"/>
                <w:b/>
                <w:color w:val="000000" w:themeColor="text1"/>
                <w:lang w:eastAsia="en-AU"/>
              </w:rPr>
              <w:t>2</w:t>
            </w:r>
          </w:p>
        </w:tc>
        <w:tc>
          <w:tcPr>
            <w:tcW w:w="1387" w:type="pct"/>
            <w:tcBorders>
              <w:left w:val="single" w:sz="18" w:space="0" w:color="4BB3B5"/>
            </w:tcBorders>
            <w:vAlign w:val="center"/>
          </w:tcPr>
          <w:p w14:paraId="1809D8C8" w14:textId="77777777" w:rsidR="002254CD" w:rsidRPr="00703395" w:rsidRDefault="002254CD" w:rsidP="002254CD">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703395">
              <w:rPr>
                <w:rFonts w:cs="Arial"/>
                <w:color w:val="000000" w:themeColor="text1"/>
                <w:lang w:eastAsia="en-AU"/>
              </w:rPr>
              <w:t>4.5</w:t>
            </w:r>
          </w:p>
        </w:tc>
        <w:tc>
          <w:tcPr>
            <w:tcW w:w="1160" w:type="pct"/>
            <w:vAlign w:val="center"/>
          </w:tcPr>
          <w:p w14:paraId="4CCE2255" w14:textId="77777777" w:rsidR="002254CD" w:rsidRPr="00D84EEA" w:rsidRDefault="002254CD" w:rsidP="002254CD">
            <w:pPr>
              <w:spacing w:after="0"/>
              <w:jc w:val="center"/>
              <w:cnfStyle w:val="000000000000" w:firstRow="0" w:lastRow="0" w:firstColumn="0" w:lastColumn="0" w:oddVBand="0" w:evenVBand="0" w:oddHBand="0" w:evenHBand="0" w:firstRowFirstColumn="0" w:firstRowLastColumn="0" w:lastRowFirstColumn="0" w:lastRowLastColumn="0"/>
              <w:rPr>
                <w:rFonts w:cs="Arial"/>
                <w:b/>
                <w:color w:val="000000" w:themeColor="text1"/>
                <w:lang w:eastAsia="en-AU"/>
              </w:rPr>
            </w:pPr>
            <w:r w:rsidRPr="00D37215">
              <w:rPr>
                <w:rFonts w:cs="Arial"/>
                <w:b/>
                <w:color w:val="000000" w:themeColor="text1"/>
                <w:lang w:eastAsia="en-AU"/>
              </w:rPr>
              <w:t>8</w:t>
            </w:r>
          </w:p>
        </w:tc>
      </w:tr>
      <w:tr w:rsidR="002254CD" w:rsidRPr="00654F9E" w14:paraId="7D0B0BCD" w14:textId="77777777" w:rsidTr="002254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1D201832" w14:textId="77777777" w:rsidR="002254CD" w:rsidRPr="002254CD" w:rsidRDefault="002254CD" w:rsidP="002254CD">
            <w:pPr>
              <w:spacing w:after="0"/>
              <w:jc w:val="center"/>
              <w:rPr>
                <w:rFonts w:cs="Arial"/>
                <w:b w:val="0"/>
                <w:color w:val="000000" w:themeColor="text1"/>
                <w:lang w:eastAsia="en-AU"/>
              </w:rPr>
            </w:pPr>
            <w:r w:rsidRPr="002254CD">
              <w:rPr>
                <w:rFonts w:cs="Arial"/>
                <w:b w:val="0"/>
                <w:color w:val="000000" w:themeColor="text1"/>
                <w:lang w:eastAsia="en-AU"/>
              </w:rPr>
              <w:t>2.0</w:t>
            </w:r>
          </w:p>
        </w:tc>
        <w:tc>
          <w:tcPr>
            <w:tcW w:w="1172" w:type="pct"/>
            <w:tcBorders>
              <w:right w:val="single" w:sz="18" w:space="0" w:color="4BB3B5"/>
            </w:tcBorders>
            <w:vAlign w:val="center"/>
          </w:tcPr>
          <w:p w14:paraId="734CFB65" w14:textId="77777777" w:rsidR="002254CD" w:rsidRPr="00D84EEA" w:rsidRDefault="002254CD" w:rsidP="002254CD">
            <w:pPr>
              <w:spacing w:after="0"/>
              <w:jc w:val="center"/>
              <w:cnfStyle w:val="000000010000" w:firstRow="0" w:lastRow="0" w:firstColumn="0" w:lastColumn="0" w:oddVBand="0" w:evenVBand="0" w:oddHBand="0" w:evenHBand="1" w:firstRowFirstColumn="0" w:firstRowLastColumn="0" w:lastRowFirstColumn="0" w:lastRowLastColumn="0"/>
              <w:rPr>
                <w:rFonts w:cs="Arial"/>
                <w:b/>
                <w:color w:val="000000" w:themeColor="text1"/>
                <w:lang w:eastAsia="en-AU"/>
              </w:rPr>
            </w:pPr>
            <w:r w:rsidRPr="00D84EEA">
              <w:rPr>
                <w:rFonts w:cs="Arial"/>
                <w:b/>
                <w:color w:val="000000" w:themeColor="text1"/>
                <w:lang w:eastAsia="en-AU"/>
              </w:rPr>
              <w:t>3</w:t>
            </w:r>
          </w:p>
        </w:tc>
        <w:tc>
          <w:tcPr>
            <w:tcW w:w="1387" w:type="pct"/>
            <w:tcBorders>
              <w:left w:val="single" w:sz="18" w:space="0" w:color="4BB3B5"/>
            </w:tcBorders>
            <w:vAlign w:val="center"/>
          </w:tcPr>
          <w:p w14:paraId="6B554B99" w14:textId="77777777" w:rsidR="002254CD" w:rsidRPr="00703395" w:rsidRDefault="002254CD" w:rsidP="002254CD">
            <w:pPr>
              <w:spacing w:after="0"/>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703395">
              <w:rPr>
                <w:rFonts w:cs="Arial"/>
                <w:color w:val="000000" w:themeColor="text1"/>
                <w:lang w:eastAsia="en-AU"/>
              </w:rPr>
              <w:t>5</w:t>
            </w:r>
            <w:r>
              <w:rPr>
                <w:rFonts w:cs="Arial"/>
                <w:color w:val="000000" w:themeColor="text1"/>
                <w:lang w:eastAsia="en-AU"/>
              </w:rPr>
              <w:t>.0</w:t>
            </w:r>
          </w:p>
        </w:tc>
        <w:tc>
          <w:tcPr>
            <w:tcW w:w="1160" w:type="pct"/>
            <w:vAlign w:val="center"/>
          </w:tcPr>
          <w:p w14:paraId="42421ACD" w14:textId="77777777" w:rsidR="002254CD" w:rsidRPr="00D84EEA" w:rsidRDefault="002254CD" w:rsidP="002254CD">
            <w:pPr>
              <w:spacing w:after="0"/>
              <w:jc w:val="center"/>
              <w:cnfStyle w:val="000000010000" w:firstRow="0" w:lastRow="0" w:firstColumn="0" w:lastColumn="0" w:oddVBand="0" w:evenVBand="0" w:oddHBand="0" w:evenHBand="1" w:firstRowFirstColumn="0" w:firstRowLastColumn="0" w:lastRowFirstColumn="0" w:lastRowLastColumn="0"/>
              <w:rPr>
                <w:rFonts w:cs="Arial"/>
                <w:b/>
                <w:color w:val="000000" w:themeColor="text1"/>
                <w:lang w:eastAsia="en-AU"/>
              </w:rPr>
            </w:pPr>
            <w:r w:rsidRPr="00D37215">
              <w:rPr>
                <w:rFonts w:cs="Arial"/>
                <w:b/>
                <w:color w:val="000000" w:themeColor="text1"/>
                <w:lang w:eastAsia="en-AU"/>
              </w:rPr>
              <w:t>9</w:t>
            </w:r>
          </w:p>
        </w:tc>
      </w:tr>
      <w:tr w:rsidR="002254CD" w:rsidRPr="00654F9E" w14:paraId="44A481BB" w14:textId="77777777" w:rsidTr="002254CD">
        <w:trPr>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2BD0B5CE" w14:textId="77777777" w:rsidR="002254CD" w:rsidRPr="002254CD" w:rsidRDefault="002254CD" w:rsidP="002254CD">
            <w:pPr>
              <w:spacing w:after="0"/>
              <w:jc w:val="center"/>
              <w:rPr>
                <w:rFonts w:cs="Arial"/>
                <w:b w:val="0"/>
                <w:color w:val="000000" w:themeColor="text1"/>
                <w:lang w:eastAsia="en-AU"/>
              </w:rPr>
            </w:pPr>
            <w:r w:rsidRPr="002254CD">
              <w:rPr>
                <w:rFonts w:cs="Arial"/>
                <w:b w:val="0"/>
                <w:color w:val="000000" w:themeColor="text1"/>
                <w:lang w:eastAsia="en-AU"/>
              </w:rPr>
              <w:t>2.5</w:t>
            </w:r>
          </w:p>
        </w:tc>
        <w:tc>
          <w:tcPr>
            <w:tcW w:w="1172" w:type="pct"/>
            <w:tcBorders>
              <w:right w:val="single" w:sz="18" w:space="0" w:color="4BB3B5"/>
            </w:tcBorders>
            <w:vAlign w:val="center"/>
          </w:tcPr>
          <w:p w14:paraId="00DB5CE8" w14:textId="77777777" w:rsidR="002254CD" w:rsidRPr="00D84EEA" w:rsidRDefault="002254CD" w:rsidP="002254CD">
            <w:pPr>
              <w:spacing w:after="0"/>
              <w:jc w:val="center"/>
              <w:cnfStyle w:val="000000000000" w:firstRow="0" w:lastRow="0" w:firstColumn="0" w:lastColumn="0" w:oddVBand="0" w:evenVBand="0" w:oddHBand="0" w:evenHBand="0" w:firstRowFirstColumn="0" w:firstRowLastColumn="0" w:lastRowFirstColumn="0" w:lastRowLastColumn="0"/>
              <w:rPr>
                <w:rFonts w:cs="Arial"/>
                <w:b/>
                <w:color w:val="000000" w:themeColor="text1"/>
                <w:lang w:eastAsia="en-AU"/>
              </w:rPr>
            </w:pPr>
            <w:r w:rsidRPr="00D84EEA">
              <w:rPr>
                <w:rFonts w:cs="Arial"/>
                <w:b/>
                <w:color w:val="000000" w:themeColor="text1"/>
                <w:lang w:eastAsia="en-AU"/>
              </w:rPr>
              <w:t>4</w:t>
            </w:r>
          </w:p>
        </w:tc>
        <w:tc>
          <w:tcPr>
            <w:tcW w:w="1387" w:type="pct"/>
            <w:tcBorders>
              <w:left w:val="single" w:sz="18" w:space="0" w:color="4BB3B5"/>
            </w:tcBorders>
            <w:vAlign w:val="center"/>
          </w:tcPr>
          <w:p w14:paraId="7A87E52D" w14:textId="4EBA5A8D" w:rsidR="002254CD" w:rsidRPr="00703395" w:rsidRDefault="002254CD" w:rsidP="002254CD">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703395">
              <w:rPr>
                <w:rFonts w:cs="Arial"/>
                <w:color w:val="000000" w:themeColor="text1"/>
                <w:lang w:eastAsia="en-AU"/>
              </w:rPr>
              <w:t>5.5</w:t>
            </w:r>
            <w:r w:rsidR="00D33396">
              <w:rPr>
                <w:rFonts w:cs="Arial"/>
                <w:color w:val="000000" w:themeColor="text1"/>
                <w:lang w:eastAsia="en-AU"/>
              </w:rPr>
              <w:t>+</w:t>
            </w:r>
          </w:p>
        </w:tc>
        <w:tc>
          <w:tcPr>
            <w:tcW w:w="1160" w:type="pct"/>
            <w:vAlign w:val="center"/>
          </w:tcPr>
          <w:p w14:paraId="4A6FF8B1" w14:textId="77777777" w:rsidR="002254CD" w:rsidRPr="00D84EEA" w:rsidRDefault="002254CD" w:rsidP="002254CD">
            <w:pPr>
              <w:spacing w:after="0"/>
              <w:jc w:val="center"/>
              <w:cnfStyle w:val="000000000000" w:firstRow="0" w:lastRow="0" w:firstColumn="0" w:lastColumn="0" w:oddVBand="0" w:evenVBand="0" w:oddHBand="0" w:evenHBand="0" w:firstRowFirstColumn="0" w:firstRowLastColumn="0" w:lastRowFirstColumn="0" w:lastRowLastColumn="0"/>
              <w:rPr>
                <w:rFonts w:cs="Arial"/>
                <w:b/>
                <w:color w:val="000000" w:themeColor="text1"/>
                <w:lang w:eastAsia="en-AU"/>
              </w:rPr>
            </w:pPr>
            <w:r w:rsidRPr="00D37215">
              <w:rPr>
                <w:rFonts w:cs="Arial"/>
                <w:b/>
                <w:color w:val="000000" w:themeColor="text1"/>
                <w:lang w:eastAsia="en-AU"/>
              </w:rPr>
              <w:t>10</w:t>
            </w:r>
          </w:p>
        </w:tc>
      </w:tr>
      <w:tr w:rsidR="002254CD" w:rsidRPr="00654F9E" w14:paraId="1FB97C40" w14:textId="77777777" w:rsidTr="002254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7611BE31" w14:textId="77777777" w:rsidR="002254CD" w:rsidRPr="002254CD" w:rsidRDefault="002254CD" w:rsidP="002254CD">
            <w:pPr>
              <w:spacing w:after="0"/>
              <w:jc w:val="center"/>
              <w:rPr>
                <w:rFonts w:cs="Arial"/>
                <w:b w:val="0"/>
                <w:color w:val="000000" w:themeColor="text1"/>
                <w:lang w:eastAsia="en-AU"/>
              </w:rPr>
            </w:pPr>
            <w:r w:rsidRPr="002254CD">
              <w:rPr>
                <w:rFonts w:cs="Arial"/>
                <w:b w:val="0"/>
                <w:color w:val="000000" w:themeColor="text1"/>
                <w:lang w:eastAsia="en-AU"/>
              </w:rPr>
              <w:t>3.0</w:t>
            </w:r>
          </w:p>
        </w:tc>
        <w:tc>
          <w:tcPr>
            <w:tcW w:w="1172" w:type="pct"/>
            <w:tcBorders>
              <w:right w:val="single" w:sz="18" w:space="0" w:color="4BB3B5"/>
            </w:tcBorders>
            <w:vAlign w:val="center"/>
          </w:tcPr>
          <w:p w14:paraId="21BA6726" w14:textId="77777777" w:rsidR="002254CD" w:rsidRPr="00D84EEA" w:rsidRDefault="002254CD" w:rsidP="002254CD">
            <w:pPr>
              <w:spacing w:after="0"/>
              <w:jc w:val="center"/>
              <w:cnfStyle w:val="000000010000" w:firstRow="0" w:lastRow="0" w:firstColumn="0" w:lastColumn="0" w:oddVBand="0" w:evenVBand="0" w:oddHBand="0" w:evenHBand="1" w:firstRowFirstColumn="0" w:firstRowLastColumn="0" w:lastRowFirstColumn="0" w:lastRowLastColumn="0"/>
              <w:rPr>
                <w:rFonts w:cs="Arial"/>
                <w:b/>
                <w:color w:val="000000" w:themeColor="text1"/>
                <w:lang w:eastAsia="en-AU"/>
              </w:rPr>
            </w:pPr>
            <w:r w:rsidRPr="00D84EEA">
              <w:rPr>
                <w:rFonts w:cs="Arial"/>
                <w:b/>
                <w:color w:val="000000" w:themeColor="text1"/>
                <w:lang w:eastAsia="en-AU"/>
              </w:rPr>
              <w:t>5</w:t>
            </w:r>
          </w:p>
        </w:tc>
        <w:tc>
          <w:tcPr>
            <w:tcW w:w="1387" w:type="pct"/>
            <w:tcBorders>
              <w:left w:val="single" w:sz="18" w:space="0" w:color="4BB3B5"/>
            </w:tcBorders>
            <w:vAlign w:val="center"/>
          </w:tcPr>
          <w:p w14:paraId="0713CE56" w14:textId="77777777" w:rsidR="002254CD" w:rsidRPr="00703395" w:rsidRDefault="002254CD" w:rsidP="002254CD">
            <w:pPr>
              <w:spacing w:after="0"/>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p>
        </w:tc>
        <w:tc>
          <w:tcPr>
            <w:tcW w:w="1160" w:type="pct"/>
            <w:vAlign w:val="center"/>
          </w:tcPr>
          <w:p w14:paraId="1DDF6F31" w14:textId="77777777" w:rsidR="002254CD" w:rsidRPr="00D84EEA" w:rsidRDefault="002254CD" w:rsidP="002254CD">
            <w:pPr>
              <w:spacing w:after="0"/>
              <w:jc w:val="center"/>
              <w:cnfStyle w:val="000000010000" w:firstRow="0" w:lastRow="0" w:firstColumn="0" w:lastColumn="0" w:oddVBand="0" w:evenVBand="0" w:oddHBand="0" w:evenHBand="1" w:firstRowFirstColumn="0" w:firstRowLastColumn="0" w:lastRowFirstColumn="0" w:lastRowLastColumn="0"/>
              <w:rPr>
                <w:rFonts w:cs="Arial"/>
                <w:b/>
                <w:color w:val="000000" w:themeColor="text1"/>
                <w:lang w:eastAsia="en-AU"/>
              </w:rPr>
            </w:pPr>
          </w:p>
        </w:tc>
      </w:tr>
    </w:tbl>
    <w:p w14:paraId="29E067BC" w14:textId="77777777" w:rsidR="00733FF0" w:rsidRPr="00D84EEA" w:rsidRDefault="00733FF0" w:rsidP="002254CD">
      <w:pPr>
        <w:pStyle w:val="Heading4"/>
      </w:pPr>
      <w:bookmarkStart w:id="185" w:name="_Toc157704967"/>
      <w:bookmarkStart w:id="186" w:name="_Hlk110506899"/>
      <w:r w:rsidRPr="00D84EEA">
        <w:t>Criterion 2: Material Coverage Improvement (10 Points)</w:t>
      </w:r>
      <w:bookmarkEnd w:id="185"/>
    </w:p>
    <w:p w14:paraId="20F871E3" w14:textId="54C0DD49" w:rsidR="0045229E" w:rsidRDefault="00733FF0" w:rsidP="00733FF0">
      <w:pPr>
        <w:pStyle w:val="Normal-Style2"/>
        <w:rPr>
          <w:rFonts w:eastAsia="Calibri"/>
        </w:rPr>
      </w:pPr>
      <w:bookmarkStart w:id="187" w:name="_Ref121922212"/>
      <w:bookmarkEnd w:id="186"/>
      <w:r w:rsidRPr="00D84EEA">
        <w:rPr>
          <w:rFonts w:eastAsia="Calibri"/>
          <w:b/>
        </w:rPr>
        <w:t>Material Coverage Improvement</w:t>
      </w:r>
      <w:r w:rsidRPr="00165184">
        <w:rPr>
          <w:rFonts w:eastAsia="Calibri"/>
        </w:rPr>
        <w:t xml:space="preserve"> refers to an improvement to the quality of service expected to be received in a</w:t>
      </w:r>
      <w:r>
        <w:rPr>
          <w:rFonts w:eastAsia="Calibri"/>
        </w:rPr>
        <w:t xml:space="preserve">n eligible Target Location, excluding the amount of New Improved Handheld Coverage as outlined at section </w:t>
      </w:r>
      <w:r>
        <w:rPr>
          <w:rFonts w:eastAsia="Calibri"/>
        </w:rPr>
        <w:fldChar w:fldCharType="begin"/>
      </w:r>
      <w:r>
        <w:rPr>
          <w:rFonts w:eastAsia="Calibri"/>
        </w:rPr>
        <w:instrText xml:space="preserve"> REF _Ref110515689 \r \h </w:instrText>
      </w:r>
      <w:r>
        <w:rPr>
          <w:rFonts w:eastAsia="Calibri"/>
        </w:rPr>
      </w:r>
      <w:r>
        <w:rPr>
          <w:rFonts w:eastAsia="Calibri"/>
        </w:rPr>
        <w:fldChar w:fldCharType="separate"/>
      </w:r>
      <w:r w:rsidR="001A1CA8">
        <w:rPr>
          <w:rFonts w:eastAsia="Calibri"/>
        </w:rPr>
        <w:t>6.3.1</w:t>
      </w:r>
      <w:r>
        <w:rPr>
          <w:rFonts w:eastAsia="Calibri"/>
        </w:rPr>
        <w:fldChar w:fldCharType="end"/>
      </w:r>
      <w:r w:rsidR="0045229E">
        <w:rPr>
          <w:rFonts w:eastAsia="Calibri"/>
        </w:rPr>
        <w:t>.</w:t>
      </w:r>
      <w:bookmarkEnd w:id="187"/>
    </w:p>
    <w:p w14:paraId="7635DC17" w14:textId="21F035A7" w:rsidR="00733FF0" w:rsidRPr="008F3813" w:rsidRDefault="00733FF0" w:rsidP="00733FF0">
      <w:pPr>
        <w:pStyle w:val="Normal-Style2"/>
        <w:rPr>
          <w:rFonts w:eastAsia="Calibri"/>
        </w:rPr>
      </w:pPr>
      <w:r w:rsidRPr="008F3813">
        <w:rPr>
          <w:rFonts w:eastAsia="Calibri"/>
        </w:rPr>
        <w:t xml:space="preserve">Points will be awarded based on the extent to which the Proposed Solution will address an identified quality of service issue for the eligible Target Location as outlined in </w:t>
      </w:r>
      <w:hyperlink w:anchor="_Appendix_A.1._–" w:history="1">
        <w:r w:rsidRPr="00D33396">
          <w:rPr>
            <w:rStyle w:val="Hyperlink"/>
            <w:rFonts w:eastAsia="Calibri"/>
          </w:rPr>
          <w:t>Appendix A</w:t>
        </w:r>
      </w:hyperlink>
      <w:r w:rsidRPr="008F3813">
        <w:rPr>
          <w:rFonts w:eastAsia="Calibri"/>
        </w:rPr>
        <w:t xml:space="preserve"> or as reasonably established by the applicant, using the following scoring matrix:</w:t>
      </w:r>
    </w:p>
    <w:p w14:paraId="0B495B44" w14:textId="77777777" w:rsidR="00733FF0" w:rsidRDefault="00733FF0" w:rsidP="002254CD">
      <w:pPr>
        <w:pStyle w:val="Tablefigureheading"/>
        <w:ind w:left="851"/>
      </w:pPr>
      <w:bookmarkStart w:id="188" w:name="_Toc157705024"/>
      <w:r w:rsidRPr="0054078D">
        <w:t xml:space="preserve">Table </w:t>
      </w:r>
      <w:r w:rsidR="00FF4886">
        <w:t>3</w:t>
      </w:r>
      <w:r w:rsidRPr="0054078D">
        <w:t xml:space="preserve">: </w:t>
      </w:r>
      <w:r>
        <w:t>Material Coverage Improvement Scoring Matrix</w:t>
      </w:r>
      <w:bookmarkEnd w:id="188"/>
    </w:p>
    <w:tbl>
      <w:tblPr>
        <w:tblStyle w:val="DefaultTable11"/>
        <w:tblW w:w="4488" w:type="pct"/>
        <w:tblInd w:w="993" w:type="dxa"/>
        <w:tblLook w:val="0420" w:firstRow="1" w:lastRow="0" w:firstColumn="0" w:lastColumn="0" w:noHBand="0" w:noVBand="1"/>
        <w:tblDescription w:val="Table 5: Material Coverage Improvement Scoring Matrix"/>
      </w:tblPr>
      <w:tblGrid>
        <w:gridCol w:w="1983"/>
        <w:gridCol w:w="992"/>
        <w:gridCol w:w="5530"/>
      </w:tblGrid>
      <w:tr w:rsidR="002254CD" w:rsidRPr="00654F9E" w14:paraId="3D4D5669" w14:textId="77777777" w:rsidTr="00C867EB">
        <w:trPr>
          <w:cnfStyle w:val="100000000000" w:firstRow="1" w:lastRow="0" w:firstColumn="0" w:lastColumn="0" w:oddVBand="0" w:evenVBand="0" w:oddHBand="0" w:evenHBand="0" w:firstRowFirstColumn="0" w:firstRowLastColumn="0" w:lastRowFirstColumn="0" w:lastRowLastColumn="0"/>
          <w:cantSplit/>
        </w:trPr>
        <w:tc>
          <w:tcPr>
            <w:tcW w:w="1166" w:type="pct"/>
          </w:tcPr>
          <w:p w14:paraId="183EEB64" w14:textId="77777777" w:rsidR="002254CD" w:rsidRPr="002254CD" w:rsidRDefault="002254CD" w:rsidP="002254CD">
            <w:pPr>
              <w:pStyle w:val="Tablerowcolumnheading"/>
              <w:rPr>
                <w:b/>
              </w:rPr>
            </w:pPr>
            <w:r w:rsidRPr="002254CD">
              <w:rPr>
                <w:b/>
              </w:rPr>
              <w:t>Rating</w:t>
            </w:r>
          </w:p>
        </w:tc>
        <w:tc>
          <w:tcPr>
            <w:tcW w:w="583" w:type="pct"/>
          </w:tcPr>
          <w:p w14:paraId="40D90AD5" w14:textId="77777777" w:rsidR="002254CD" w:rsidRPr="002254CD" w:rsidRDefault="002254CD" w:rsidP="007B4338">
            <w:pPr>
              <w:pStyle w:val="Tablerowcolumnheadingcentred"/>
              <w:rPr>
                <w:b/>
              </w:rPr>
            </w:pPr>
            <w:r w:rsidRPr="002254CD">
              <w:rPr>
                <w:b/>
              </w:rPr>
              <w:t>Score</w:t>
            </w:r>
          </w:p>
        </w:tc>
        <w:tc>
          <w:tcPr>
            <w:tcW w:w="3250" w:type="pct"/>
          </w:tcPr>
          <w:p w14:paraId="61816D5C" w14:textId="77777777" w:rsidR="002254CD" w:rsidRPr="002254CD" w:rsidRDefault="002254CD" w:rsidP="002254CD">
            <w:pPr>
              <w:pStyle w:val="Tablerowcolumnheading"/>
              <w:rPr>
                <w:b/>
              </w:rPr>
            </w:pPr>
            <w:r w:rsidRPr="002254CD">
              <w:rPr>
                <w:b/>
              </w:rPr>
              <w:t>Definition</w:t>
            </w:r>
          </w:p>
        </w:tc>
      </w:tr>
      <w:tr w:rsidR="002254CD" w:rsidRPr="00654F9E" w14:paraId="3AC7122D" w14:textId="77777777" w:rsidTr="00C867EB">
        <w:trPr>
          <w:cantSplit/>
        </w:trPr>
        <w:tc>
          <w:tcPr>
            <w:tcW w:w="1166" w:type="pct"/>
          </w:tcPr>
          <w:p w14:paraId="5AF8DAE0" w14:textId="77777777" w:rsidR="002254CD" w:rsidRPr="00495CD5" w:rsidRDefault="002254CD" w:rsidP="00C867EB">
            <w:pPr>
              <w:pStyle w:val="Tabletext"/>
            </w:pPr>
            <w:r w:rsidRPr="00495CD5">
              <w:t>Very Good</w:t>
            </w:r>
          </w:p>
        </w:tc>
        <w:tc>
          <w:tcPr>
            <w:tcW w:w="583" w:type="pct"/>
          </w:tcPr>
          <w:p w14:paraId="17F1B053" w14:textId="77777777" w:rsidR="002254CD" w:rsidRDefault="002254CD" w:rsidP="002254CD">
            <w:pPr>
              <w:pStyle w:val="Tabletextcentred"/>
              <w:rPr>
                <w:rFonts w:eastAsia="Calibri"/>
              </w:rPr>
            </w:pPr>
            <w:r>
              <w:rPr>
                <w:rFonts w:eastAsia="Calibri"/>
              </w:rPr>
              <w:t>9</w:t>
            </w:r>
            <w:r w:rsidR="00495CD5">
              <w:rPr>
                <w:rFonts w:eastAsia="Calibri"/>
              </w:rPr>
              <w:t>–</w:t>
            </w:r>
            <w:r>
              <w:rPr>
                <w:rFonts w:eastAsia="Calibri"/>
              </w:rPr>
              <w:t>10</w:t>
            </w:r>
          </w:p>
        </w:tc>
        <w:tc>
          <w:tcPr>
            <w:tcW w:w="3250" w:type="pct"/>
          </w:tcPr>
          <w:p w14:paraId="2E0617AD" w14:textId="77777777" w:rsidR="002254CD" w:rsidRDefault="002254CD" w:rsidP="002254CD">
            <w:pPr>
              <w:pStyle w:val="Tabletext"/>
              <w:rPr>
                <w:rFonts w:eastAsia="Calibri"/>
              </w:rPr>
            </w:pPr>
            <w:r>
              <w:rPr>
                <w:rFonts w:eastAsia="Calibri"/>
              </w:rPr>
              <w:t>The Proposed Solution fully addresses the quality of service issue and provides a very significant improvement to service quality, which may anticipate future growth in demand. Evidence fully supports the applicant’s claims to a very high degree.</w:t>
            </w:r>
          </w:p>
        </w:tc>
      </w:tr>
      <w:tr w:rsidR="002254CD" w:rsidRPr="00654F9E" w14:paraId="6D669101" w14:textId="77777777" w:rsidTr="00C867EB">
        <w:trPr>
          <w:cnfStyle w:val="000000010000" w:firstRow="0" w:lastRow="0" w:firstColumn="0" w:lastColumn="0" w:oddVBand="0" w:evenVBand="0" w:oddHBand="0" w:evenHBand="1" w:firstRowFirstColumn="0" w:firstRowLastColumn="0" w:lastRowFirstColumn="0" w:lastRowLastColumn="0"/>
          <w:cantSplit/>
        </w:trPr>
        <w:tc>
          <w:tcPr>
            <w:tcW w:w="1166" w:type="pct"/>
          </w:tcPr>
          <w:p w14:paraId="02112962" w14:textId="77777777" w:rsidR="002254CD" w:rsidRPr="00495CD5" w:rsidRDefault="002254CD" w:rsidP="00C867EB">
            <w:pPr>
              <w:pStyle w:val="Tabletext"/>
            </w:pPr>
            <w:r w:rsidRPr="00495CD5">
              <w:t>Good</w:t>
            </w:r>
          </w:p>
        </w:tc>
        <w:tc>
          <w:tcPr>
            <w:tcW w:w="583" w:type="pct"/>
          </w:tcPr>
          <w:p w14:paraId="676D50B1" w14:textId="77777777" w:rsidR="002254CD" w:rsidRDefault="002254CD" w:rsidP="002254CD">
            <w:pPr>
              <w:pStyle w:val="Tabletextcentred"/>
              <w:rPr>
                <w:rFonts w:eastAsia="Calibri"/>
              </w:rPr>
            </w:pPr>
            <w:r>
              <w:rPr>
                <w:rFonts w:eastAsia="Calibri"/>
              </w:rPr>
              <w:t>7</w:t>
            </w:r>
            <w:r w:rsidR="00495CD5">
              <w:rPr>
                <w:rFonts w:eastAsia="Calibri"/>
              </w:rPr>
              <w:t>–</w:t>
            </w:r>
            <w:r>
              <w:rPr>
                <w:rFonts w:eastAsia="Calibri"/>
              </w:rPr>
              <w:t>8</w:t>
            </w:r>
          </w:p>
        </w:tc>
        <w:tc>
          <w:tcPr>
            <w:tcW w:w="3250" w:type="pct"/>
          </w:tcPr>
          <w:p w14:paraId="67BD8A11" w14:textId="77777777" w:rsidR="002254CD" w:rsidRDefault="002254CD" w:rsidP="002254CD">
            <w:pPr>
              <w:pStyle w:val="Tabletext"/>
              <w:rPr>
                <w:rFonts w:eastAsia="Calibri"/>
              </w:rPr>
            </w:pPr>
            <w:r>
              <w:rPr>
                <w:rFonts w:eastAsia="Calibri"/>
              </w:rPr>
              <w:t xml:space="preserve">The Proposed Solution mostly addresses the quality of service issue and provides a significant improvement to service quality, but which may only partially anticipate future growth in demand. Evidence mostly supports the applicant’s claims to a high degree. </w:t>
            </w:r>
          </w:p>
        </w:tc>
      </w:tr>
      <w:tr w:rsidR="002254CD" w:rsidRPr="00654F9E" w14:paraId="0C34BE07" w14:textId="77777777" w:rsidTr="00C867EB">
        <w:trPr>
          <w:cantSplit/>
        </w:trPr>
        <w:tc>
          <w:tcPr>
            <w:tcW w:w="1166" w:type="pct"/>
          </w:tcPr>
          <w:p w14:paraId="12D5C39C" w14:textId="77777777" w:rsidR="002254CD" w:rsidRPr="00495CD5" w:rsidRDefault="002254CD" w:rsidP="00C867EB">
            <w:pPr>
              <w:pStyle w:val="Tabletext"/>
            </w:pPr>
            <w:r w:rsidRPr="00495CD5">
              <w:t>Satisfactory</w:t>
            </w:r>
          </w:p>
        </w:tc>
        <w:tc>
          <w:tcPr>
            <w:tcW w:w="583" w:type="pct"/>
          </w:tcPr>
          <w:p w14:paraId="2DBDEF0C" w14:textId="77777777" w:rsidR="002254CD" w:rsidRDefault="002254CD" w:rsidP="002254CD">
            <w:pPr>
              <w:pStyle w:val="Tabletextcentred"/>
              <w:rPr>
                <w:rFonts w:eastAsia="Calibri"/>
              </w:rPr>
            </w:pPr>
            <w:r>
              <w:rPr>
                <w:rFonts w:eastAsia="Calibri"/>
              </w:rPr>
              <w:t>5</w:t>
            </w:r>
            <w:r w:rsidR="00495CD5">
              <w:rPr>
                <w:rFonts w:eastAsia="Calibri"/>
              </w:rPr>
              <w:t>–</w:t>
            </w:r>
            <w:r>
              <w:rPr>
                <w:rFonts w:eastAsia="Calibri"/>
              </w:rPr>
              <w:t>6</w:t>
            </w:r>
          </w:p>
        </w:tc>
        <w:tc>
          <w:tcPr>
            <w:tcW w:w="3250" w:type="pct"/>
          </w:tcPr>
          <w:p w14:paraId="6A885BC0" w14:textId="77777777" w:rsidR="002254CD" w:rsidRDefault="002254CD" w:rsidP="002254CD">
            <w:pPr>
              <w:pStyle w:val="Tabletext"/>
              <w:rPr>
                <w:rFonts w:eastAsia="Calibri"/>
              </w:rPr>
            </w:pPr>
            <w:r>
              <w:rPr>
                <w:rFonts w:eastAsia="Calibri"/>
              </w:rPr>
              <w:t>The Proposed Solution generally addresses the quality of service issue and provides some improvement to service quality, but which does not anticipate future growth in demand. Evidence generally supports the applicant’s claims to a satisfactory degree.</w:t>
            </w:r>
          </w:p>
        </w:tc>
      </w:tr>
      <w:tr w:rsidR="002254CD" w:rsidRPr="00654F9E" w14:paraId="6562E6FC" w14:textId="77777777" w:rsidTr="00C867EB">
        <w:trPr>
          <w:cnfStyle w:val="000000010000" w:firstRow="0" w:lastRow="0" w:firstColumn="0" w:lastColumn="0" w:oddVBand="0" w:evenVBand="0" w:oddHBand="0" w:evenHBand="1" w:firstRowFirstColumn="0" w:firstRowLastColumn="0" w:lastRowFirstColumn="0" w:lastRowLastColumn="0"/>
          <w:cantSplit/>
        </w:trPr>
        <w:tc>
          <w:tcPr>
            <w:tcW w:w="1166" w:type="pct"/>
          </w:tcPr>
          <w:p w14:paraId="5E6ACDE2" w14:textId="77777777" w:rsidR="002254CD" w:rsidRPr="00495CD5" w:rsidRDefault="002254CD" w:rsidP="00C867EB">
            <w:pPr>
              <w:pStyle w:val="Tabletext"/>
            </w:pPr>
            <w:r w:rsidRPr="00495CD5">
              <w:t>Poor</w:t>
            </w:r>
          </w:p>
        </w:tc>
        <w:tc>
          <w:tcPr>
            <w:tcW w:w="583" w:type="pct"/>
          </w:tcPr>
          <w:p w14:paraId="426951E9" w14:textId="77777777" w:rsidR="002254CD" w:rsidRDefault="002254CD" w:rsidP="002254CD">
            <w:pPr>
              <w:pStyle w:val="Tabletextcentred"/>
              <w:rPr>
                <w:rFonts w:eastAsia="Calibri"/>
              </w:rPr>
            </w:pPr>
            <w:r>
              <w:rPr>
                <w:rFonts w:eastAsia="Calibri"/>
              </w:rPr>
              <w:t>3</w:t>
            </w:r>
            <w:r w:rsidR="00495CD5">
              <w:rPr>
                <w:rFonts w:eastAsia="Calibri"/>
              </w:rPr>
              <w:t>–</w:t>
            </w:r>
            <w:r>
              <w:rPr>
                <w:rFonts w:eastAsia="Calibri"/>
              </w:rPr>
              <w:t>4</w:t>
            </w:r>
          </w:p>
        </w:tc>
        <w:tc>
          <w:tcPr>
            <w:tcW w:w="3250" w:type="pct"/>
          </w:tcPr>
          <w:p w14:paraId="5D782651" w14:textId="77777777" w:rsidR="002254CD" w:rsidRDefault="002254CD" w:rsidP="002254CD">
            <w:pPr>
              <w:pStyle w:val="Tabletext"/>
              <w:rPr>
                <w:rFonts w:eastAsia="Calibri"/>
              </w:rPr>
            </w:pPr>
            <w:r>
              <w:rPr>
                <w:rFonts w:eastAsia="Calibri"/>
              </w:rPr>
              <w:t>The Proposed Solution partially addresses the quality of service issue and provides limited improvement to service quality. Evidence is limited and does not support the applicant’s claims to a satisfactory degree.</w:t>
            </w:r>
          </w:p>
        </w:tc>
      </w:tr>
      <w:tr w:rsidR="002254CD" w:rsidRPr="00654F9E" w14:paraId="24BBE3BE" w14:textId="77777777" w:rsidTr="00C867EB">
        <w:trPr>
          <w:cantSplit/>
        </w:trPr>
        <w:tc>
          <w:tcPr>
            <w:tcW w:w="1166" w:type="pct"/>
          </w:tcPr>
          <w:p w14:paraId="1E445187" w14:textId="77777777" w:rsidR="002254CD" w:rsidRPr="00495CD5" w:rsidRDefault="002254CD" w:rsidP="00C867EB">
            <w:pPr>
              <w:pStyle w:val="Tabletext"/>
            </w:pPr>
            <w:r w:rsidRPr="00495CD5">
              <w:t>Not Addressed or Very Poor</w:t>
            </w:r>
          </w:p>
        </w:tc>
        <w:tc>
          <w:tcPr>
            <w:tcW w:w="583" w:type="pct"/>
          </w:tcPr>
          <w:p w14:paraId="3DF864CF" w14:textId="77777777" w:rsidR="002254CD" w:rsidRDefault="002254CD" w:rsidP="002254CD">
            <w:pPr>
              <w:pStyle w:val="Tabletextcentred"/>
              <w:rPr>
                <w:rFonts w:eastAsia="Calibri"/>
              </w:rPr>
            </w:pPr>
            <w:r>
              <w:rPr>
                <w:rFonts w:eastAsia="Calibri"/>
              </w:rPr>
              <w:t>0</w:t>
            </w:r>
            <w:r w:rsidR="00495CD5">
              <w:rPr>
                <w:rFonts w:eastAsia="Calibri"/>
              </w:rPr>
              <w:t>–</w:t>
            </w:r>
            <w:r>
              <w:rPr>
                <w:rFonts w:eastAsia="Calibri"/>
              </w:rPr>
              <w:t>2</w:t>
            </w:r>
          </w:p>
        </w:tc>
        <w:tc>
          <w:tcPr>
            <w:tcW w:w="3250" w:type="pct"/>
          </w:tcPr>
          <w:p w14:paraId="7D403EF3" w14:textId="77777777" w:rsidR="002254CD" w:rsidRDefault="002254CD" w:rsidP="002254CD">
            <w:pPr>
              <w:pStyle w:val="Tabletext"/>
              <w:rPr>
                <w:rFonts w:eastAsia="Calibri"/>
              </w:rPr>
            </w:pPr>
            <w:r>
              <w:rPr>
                <w:rFonts w:eastAsia="Calibri"/>
              </w:rPr>
              <w:t>The Proposed Solution does not address the quality of service issue and provides no or very limited improvement to service quality. Evidence is not provided to support the applicant’s claims.</w:t>
            </w:r>
          </w:p>
        </w:tc>
      </w:tr>
    </w:tbl>
    <w:p w14:paraId="571CC66A" w14:textId="77777777" w:rsidR="00733FF0" w:rsidRPr="00D84EEA" w:rsidRDefault="00733FF0" w:rsidP="007B4338">
      <w:pPr>
        <w:pStyle w:val="Normal-Style2"/>
        <w:keepNext/>
        <w:rPr>
          <w:rFonts w:eastAsia="Calibri"/>
        </w:rPr>
      </w:pPr>
      <w:r>
        <w:rPr>
          <w:rFonts w:eastAsia="Calibri"/>
        </w:rPr>
        <w:t xml:space="preserve">Applicants should </w:t>
      </w:r>
      <w:r w:rsidRPr="00296659">
        <w:rPr>
          <w:rFonts w:eastAsia="Calibri"/>
        </w:rPr>
        <w:t xml:space="preserve">include </w:t>
      </w:r>
      <w:r>
        <w:rPr>
          <w:rFonts w:eastAsia="Calibri"/>
        </w:rPr>
        <w:t xml:space="preserve">a detailed explanation and relevant </w:t>
      </w:r>
      <w:r w:rsidRPr="00296659">
        <w:rPr>
          <w:rFonts w:eastAsia="Calibri"/>
        </w:rPr>
        <w:t xml:space="preserve">evidence of </w:t>
      </w:r>
      <w:r>
        <w:rPr>
          <w:rFonts w:eastAsia="Calibri"/>
        </w:rPr>
        <w:t>a Material Coverage Improvement to be awarded points against this criterion. This evidence could include, but is not limited to:</w:t>
      </w:r>
    </w:p>
    <w:p w14:paraId="05F4BAE9" w14:textId="77777777" w:rsidR="00733FF0" w:rsidRDefault="00733FF0" w:rsidP="00733FF0">
      <w:pPr>
        <w:pStyle w:val="ListBullet"/>
      </w:pPr>
      <w:r>
        <w:t>Graphs or other data demonstrating how an upgrade to backhaul capacity will improve peak congestion for users in a Target Location;</w:t>
      </w:r>
    </w:p>
    <w:p w14:paraId="18B32D6D" w14:textId="77777777" w:rsidR="00733FF0" w:rsidRDefault="00733FF0" w:rsidP="00733FF0">
      <w:pPr>
        <w:pStyle w:val="ListBullet"/>
      </w:pPr>
      <w:r>
        <w:t>Mapping or other data demonstrating how a new sector will address a localised coverage black spot or provide additional capacity to a Target Location;</w:t>
      </w:r>
    </w:p>
    <w:p w14:paraId="2CE26B97" w14:textId="77777777" w:rsidR="0045229E" w:rsidRDefault="00733FF0" w:rsidP="00733FF0">
      <w:pPr>
        <w:pStyle w:val="ListBullet"/>
      </w:pPr>
      <w:r>
        <w:t>Diagrams or other data demonstrating how a new base station will address a localised network dominance issue in a Target Location</w:t>
      </w:r>
      <w:r w:rsidR="0045229E">
        <w:t>.</w:t>
      </w:r>
    </w:p>
    <w:p w14:paraId="05465427" w14:textId="77777777" w:rsidR="00733FF0" w:rsidRPr="00CB3318" w:rsidRDefault="00733FF0" w:rsidP="00B234C7">
      <w:pPr>
        <w:pStyle w:val="Heading4"/>
      </w:pPr>
      <w:bookmarkStart w:id="189" w:name="_Toc157704968"/>
      <w:r w:rsidRPr="00CB3318">
        <w:t>Criterion 3: Cost to the Commonwealth (10 Points)</w:t>
      </w:r>
      <w:bookmarkEnd w:id="189"/>
    </w:p>
    <w:p w14:paraId="76171CE7" w14:textId="2FE4972A" w:rsidR="00B36CCD" w:rsidRDefault="00733FF0" w:rsidP="00733FF0">
      <w:pPr>
        <w:pStyle w:val="Normal-Style2"/>
        <w:rPr>
          <w:rFonts w:eastAsia="Calibri"/>
        </w:rPr>
      </w:pPr>
      <w:r>
        <w:rPr>
          <w:rFonts w:eastAsia="Calibri"/>
        </w:rPr>
        <w:t xml:space="preserve">Proposed Solutions will be awarded points based on the </w:t>
      </w:r>
      <w:r w:rsidRPr="00A94884">
        <w:rPr>
          <w:rFonts w:eastAsia="Calibri"/>
        </w:rPr>
        <w:t>cost to the Commonwealth</w:t>
      </w:r>
      <w:r>
        <w:rPr>
          <w:rFonts w:eastAsia="Calibri"/>
        </w:rPr>
        <w:t xml:space="preserve"> expressed as a percentage of the</w:t>
      </w:r>
      <w:r w:rsidR="00904965">
        <w:rPr>
          <w:rFonts w:eastAsia="Calibri"/>
        </w:rPr>
        <w:t xml:space="preserve"> combined</w:t>
      </w:r>
      <w:r>
        <w:rPr>
          <w:rFonts w:eastAsia="Calibri"/>
        </w:rPr>
        <w:t xml:space="preserve"> Cap for each </w:t>
      </w:r>
      <w:r w:rsidR="00904965">
        <w:rPr>
          <w:rFonts w:eastAsia="Calibri"/>
        </w:rPr>
        <w:t>base station included in the solution</w:t>
      </w:r>
      <w:r>
        <w:rPr>
          <w:rFonts w:eastAsia="Calibri"/>
        </w:rPr>
        <w:t>. Proposed Solutions which cost less to the Commonwealth as a percentage of the Cap will score higher than Proposed Solutions which cost more to the Commonwealth.</w:t>
      </w:r>
    </w:p>
    <w:p w14:paraId="5F508AAA" w14:textId="697BC9F1" w:rsidR="00733FF0" w:rsidRPr="00B36CCD" w:rsidRDefault="00B36CCD" w:rsidP="00B36CCD">
      <w:pPr>
        <w:spacing w:line="259" w:lineRule="auto"/>
        <w:rPr>
          <w:rFonts w:asciiTheme="minorHAnsi" w:eastAsia="Calibri" w:hAnsiTheme="minorHAnsi" w:cs="Arial"/>
          <w:szCs w:val="20"/>
        </w:rPr>
      </w:pPr>
      <w:r>
        <w:rPr>
          <w:rFonts w:eastAsia="Calibri"/>
        </w:rPr>
        <w:br w:type="page"/>
      </w:r>
    </w:p>
    <w:p w14:paraId="6FBCC7B8" w14:textId="77777777" w:rsidR="00733FF0" w:rsidRDefault="00733FF0" w:rsidP="00733FF0">
      <w:pPr>
        <w:pStyle w:val="Normal-Style2"/>
        <w:rPr>
          <w:rFonts w:eastAsia="Calibri"/>
        </w:rPr>
      </w:pPr>
      <w:r>
        <w:rPr>
          <w:rFonts w:eastAsia="Calibri"/>
        </w:rPr>
        <w:t>Up to 10 points will be awarded using the following scoring matrix:</w:t>
      </w:r>
    </w:p>
    <w:p w14:paraId="3846DD26" w14:textId="77777777" w:rsidR="00733FF0" w:rsidRDefault="00733FF0" w:rsidP="00296AA8">
      <w:pPr>
        <w:pStyle w:val="Tablefigureheading"/>
        <w:ind w:left="851"/>
      </w:pPr>
      <w:bookmarkStart w:id="190" w:name="_Toc157705025"/>
      <w:r w:rsidRPr="0054078D">
        <w:t xml:space="preserve">Table </w:t>
      </w:r>
      <w:r w:rsidR="00FF4886">
        <w:t>4</w:t>
      </w:r>
      <w:r w:rsidRPr="0054078D">
        <w:t xml:space="preserve">: </w:t>
      </w:r>
      <w:r>
        <w:t>Cost to the Commonwealth Scoring Matrix</w:t>
      </w:r>
      <w:bookmarkEnd w:id="190"/>
    </w:p>
    <w:tbl>
      <w:tblPr>
        <w:tblStyle w:val="DefaultTable11"/>
        <w:tblW w:w="2394" w:type="pct"/>
        <w:tblInd w:w="993" w:type="dxa"/>
        <w:tblLook w:val="04A0" w:firstRow="1" w:lastRow="0" w:firstColumn="1" w:lastColumn="0" w:noHBand="0" w:noVBand="1"/>
        <w:tblDescription w:val="Table 6: Cost to the Commonwealth Scoring Matrix"/>
      </w:tblPr>
      <w:tblGrid>
        <w:gridCol w:w="2693"/>
        <w:gridCol w:w="1844"/>
      </w:tblGrid>
      <w:tr w:rsidR="00A67C4E" w:rsidRPr="00654F9E" w14:paraId="279F994B" w14:textId="77777777" w:rsidTr="00A67C4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119EC5A9" w14:textId="77777777" w:rsidR="00A67C4E" w:rsidRPr="00CB3318" w:rsidRDefault="00A67C4E" w:rsidP="00A67C4E">
            <w:pPr>
              <w:pStyle w:val="Tablerowcolumnheadingcentred"/>
              <w:rPr>
                <w:b/>
              </w:rPr>
            </w:pPr>
            <w:r w:rsidRPr="00CB3318">
              <w:rPr>
                <w:b/>
              </w:rPr>
              <w:t>Cost to the Commonwealth (as a percentage of the Cap)</w:t>
            </w:r>
          </w:p>
        </w:tc>
        <w:tc>
          <w:tcPr>
            <w:tcW w:w="2032" w:type="pct"/>
            <w:vAlign w:val="bottom"/>
          </w:tcPr>
          <w:p w14:paraId="1311A97B" w14:textId="77777777" w:rsidR="00A67C4E" w:rsidRPr="00CB3318" w:rsidRDefault="00A67C4E" w:rsidP="00A67C4E">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CB3318">
              <w:rPr>
                <w:b/>
              </w:rPr>
              <w:t>Points</w:t>
            </w:r>
          </w:p>
        </w:tc>
      </w:tr>
      <w:tr w:rsidR="00A67C4E" w:rsidRPr="00654F9E" w14:paraId="3E9EBD78" w14:textId="77777777" w:rsidTr="00A67C4E">
        <w:trPr>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30C8A245" w14:textId="77777777" w:rsidR="00A67C4E" w:rsidRPr="00A67C4E" w:rsidRDefault="00A67C4E" w:rsidP="00A67C4E">
            <w:pPr>
              <w:pStyle w:val="Tabletextcentred"/>
              <w:rPr>
                <w:b w:val="0"/>
                <w:lang w:eastAsia="en-AU"/>
              </w:rPr>
            </w:pPr>
            <w:r w:rsidRPr="00A67C4E">
              <w:rPr>
                <w:b w:val="0"/>
                <w:lang w:eastAsia="en-AU"/>
              </w:rPr>
              <w:t>&gt;90-100 percent</w:t>
            </w:r>
            <w:r w:rsidRPr="00A67C4E">
              <w:rPr>
                <w:rStyle w:val="FootnoteReference"/>
                <w:b w:val="0"/>
                <w:color w:val="000000" w:themeColor="text1"/>
              </w:rPr>
              <w:footnoteReference w:id="10"/>
            </w:r>
          </w:p>
        </w:tc>
        <w:tc>
          <w:tcPr>
            <w:tcW w:w="2032" w:type="pct"/>
            <w:vAlign w:val="bottom"/>
          </w:tcPr>
          <w:p w14:paraId="2ED1B879" w14:textId="77777777" w:rsidR="00A67C4E" w:rsidRPr="00A67C4E" w:rsidRDefault="00A67C4E" w:rsidP="00A67C4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sidRPr="00A67C4E">
              <w:rPr>
                <w:lang w:eastAsia="en-AU"/>
              </w:rPr>
              <w:t>1</w:t>
            </w:r>
          </w:p>
        </w:tc>
      </w:tr>
      <w:tr w:rsidR="00A67C4E" w:rsidRPr="00654F9E" w14:paraId="6F0D623C" w14:textId="77777777" w:rsidTr="00A67C4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6AD77151" w14:textId="77777777" w:rsidR="00A67C4E" w:rsidRPr="00A67C4E" w:rsidRDefault="00A67C4E" w:rsidP="00A67C4E">
            <w:pPr>
              <w:pStyle w:val="Tabletextcentred"/>
              <w:rPr>
                <w:b w:val="0"/>
                <w:lang w:eastAsia="en-AU"/>
              </w:rPr>
            </w:pPr>
            <w:r w:rsidRPr="00A67C4E">
              <w:rPr>
                <w:b w:val="0"/>
                <w:lang w:eastAsia="en-AU"/>
              </w:rPr>
              <w:t>&gt;80-90 percent</w:t>
            </w:r>
          </w:p>
        </w:tc>
        <w:tc>
          <w:tcPr>
            <w:tcW w:w="2032" w:type="pct"/>
            <w:vAlign w:val="bottom"/>
          </w:tcPr>
          <w:p w14:paraId="662330A0" w14:textId="77777777" w:rsidR="00A67C4E" w:rsidRPr="00A67C4E" w:rsidRDefault="00A67C4E" w:rsidP="00A67C4E">
            <w:pPr>
              <w:pStyle w:val="Tabletextcentred"/>
              <w:cnfStyle w:val="000000010000" w:firstRow="0" w:lastRow="0" w:firstColumn="0" w:lastColumn="0" w:oddVBand="0" w:evenVBand="0" w:oddHBand="0" w:evenHBand="1" w:firstRowFirstColumn="0" w:firstRowLastColumn="0" w:lastRowFirstColumn="0" w:lastRowLastColumn="0"/>
              <w:rPr>
                <w:lang w:eastAsia="en-AU"/>
              </w:rPr>
            </w:pPr>
            <w:r w:rsidRPr="00A67C4E">
              <w:rPr>
                <w:lang w:eastAsia="en-AU"/>
              </w:rPr>
              <w:t>2</w:t>
            </w:r>
          </w:p>
        </w:tc>
      </w:tr>
      <w:tr w:rsidR="00A67C4E" w:rsidRPr="00654F9E" w14:paraId="2B91D929" w14:textId="77777777" w:rsidTr="00A67C4E">
        <w:trPr>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6F7E7827" w14:textId="77777777" w:rsidR="00A67C4E" w:rsidRPr="00A67C4E" w:rsidRDefault="00A67C4E" w:rsidP="00A67C4E">
            <w:pPr>
              <w:pStyle w:val="Tabletextcentred"/>
              <w:rPr>
                <w:b w:val="0"/>
                <w:lang w:eastAsia="en-AU"/>
              </w:rPr>
            </w:pPr>
            <w:r w:rsidRPr="00A67C4E">
              <w:rPr>
                <w:b w:val="0"/>
                <w:lang w:eastAsia="en-AU"/>
              </w:rPr>
              <w:t>&gt;70-80 percent</w:t>
            </w:r>
          </w:p>
        </w:tc>
        <w:tc>
          <w:tcPr>
            <w:tcW w:w="2032" w:type="pct"/>
            <w:vAlign w:val="bottom"/>
          </w:tcPr>
          <w:p w14:paraId="61D460C9" w14:textId="77777777" w:rsidR="00A67C4E" w:rsidRPr="00A67C4E" w:rsidRDefault="00A67C4E" w:rsidP="00A67C4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sidRPr="00A67C4E">
              <w:rPr>
                <w:lang w:eastAsia="en-AU"/>
              </w:rPr>
              <w:t>3</w:t>
            </w:r>
          </w:p>
        </w:tc>
      </w:tr>
      <w:tr w:rsidR="00A67C4E" w:rsidRPr="00654F9E" w14:paraId="3BF798B5" w14:textId="77777777" w:rsidTr="00A67C4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1544C114" w14:textId="77777777" w:rsidR="00A67C4E" w:rsidRPr="00A67C4E" w:rsidRDefault="00A67C4E" w:rsidP="00A67C4E">
            <w:pPr>
              <w:pStyle w:val="Tabletextcentred"/>
              <w:rPr>
                <w:b w:val="0"/>
                <w:lang w:eastAsia="en-AU"/>
              </w:rPr>
            </w:pPr>
            <w:r w:rsidRPr="00A67C4E">
              <w:rPr>
                <w:b w:val="0"/>
                <w:lang w:eastAsia="en-AU"/>
              </w:rPr>
              <w:t>&gt;60-70 percent</w:t>
            </w:r>
          </w:p>
        </w:tc>
        <w:tc>
          <w:tcPr>
            <w:tcW w:w="2032" w:type="pct"/>
            <w:vAlign w:val="bottom"/>
          </w:tcPr>
          <w:p w14:paraId="09AFE52D" w14:textId="77777777" w:rsidR="00A67C4E" w:rsidRPr="00A67C4E" w:rsidRDefault="00A67C4E" w:rsidP="00A67C4E">
            <w:pPr>
              <w:pStyle w:val="Tabletextcentred"/>
              <w:cnfStyle w:val="000000010000" w:firstRow="0" w:lastRow="0" w:firstColumn="0" w:lastColumn="0" w:oddVBand="0" w:evenVBand="0" w:oddHBand="0" w:evenHBand="1" w:firstRowFirstColumn="0" w:firstRowLastColumn="0" w:lastRowFirstColumn="0" w:lastRowLastColumn="0"/>
              <w:rPr>
                <w:lang w:eastAsia="en-AU"/>
              </w:rPr>
            </w:pPr>
            <w:r w:rsidRPr="00A67C4E">
              <w:rPr>
                <w:lang w:eastAsia="en-AU"/>
              </w:rPr>
              <w:t>4</w:t>
            </w:r>
          </w:p>
        </w:tc>
      </w:tr>
      <w:tr w:rsidR="00A67C4E" w:rsidRPr="00654F9E" w14:paraId="53E2F659" w14:textId="77777777" w:rsidTr="00A67C4E">
        <w:trPr>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24AA3BC9" w14:textId="77777777" w:rsidR="00A67C4E" w:rsidRPr="00A67C4E" w:rsidRDefault="00A67C4E" w:rsidP="00A67C4E">
            <w:pPr>
              <w:pStyle w:val="Tabletextcentred"/>
              <w:rPr>
                <w:b w:val="0"/>
                <w:lang w:eastAsia="en-AU"/>
              </w:rPr>
            </w:pPr>
            <w:r w:rsidRPr="00A67C4E">
              <w:rPr>
                <w:b w:val="0"/>
                <w:lang w:eastAsia="en-AU"/>
              </w:rPr>
              <w:t>&gt;50-60 percent</w:t>
            </w:r>
          </w:p>
        </w:tc>
        <w:tc>
          <w:tcPr>
            <w:tcW w:w="2032" w:type="pct"/>
            <w:vAlign w:val="bottom"/>
          </w:tcPr>
          <w:p w14:paraId="31C4544E" w14:textId="77777777" w:rsidR="00A67C4E" w:rsidRPr="00A67C4E" w:rsidRDefault="00A67C4E" w:rsidP="00A67C4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sidRPr="00A67C4E">
              <w:rPr>
                <w:lang w:eastAsia="en-AU"/>
              </w:rPr>
              <w:t>5</w:t>
            </w:r>
          </w:p>
        </w:tc>
      </w:tr>
      <w:tr w:rsidR="00A67C4E" w:rsidRPr="00654F9E" w14:paraId="0EFB0A01" w14:textId="77777777" w:rsidTr="00A67C4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45118F25" w14:textId="77777777" w:rsidR="00A67C4E" w:rsidRPr="00A67C4E" w:rsidRDefault="00A67C4E" w:rsidP="00A67C4E">
            <w:pPr>
              <w:pStyle w:val="Tabletextcentred"/>
              <w:rPr>
                <w:b w:val="0"/>
                <w:lang w:eastAsia="en-AU"/>
              </w:rPr>
            </w:pPr>
            <w:r w:rsidRPr="00A67C4E">
              <w:rPr>
                <w:b w:val="0"/>
                <w:lang w:eastAsia="en-AU"/>
              </w:rPr>
              <w:t>&gt;40-50 percent</w:t>
            </w:r>
          </w:p>
        </w:tc>
        <w:tc>
          <w:tcPr>
            <w:tcW w:w="2032" w:type="pct"/>
            <w:vAlign w:val="bottom"/>
          </w:tcPr>
          <w:p w14:paraId="4DAD5DF9" w14:textId="77777777" w:rsidR="00A67C4E" w:rsidRPr="00A67C4E" w:rsidRDefault="00A67C4E" w:rsidP="00A67C4E">
            <w:pPr>
              <w:pStyle w:val="Tabletextcentred"/>
              <w:cnfStyle w:val="000000010000" w:firstRow="0" w:lastRow="0" w:firstColumn="0" w:lastColumn="0" w:oddVBand="0" w:evenVBand="0" w:oddHBand="0" w:evenHBand="1" w:firstRowFirstColumn="0" w:firstRowLastColumn="0" w:lastRowFirstColumn="0" w:lastRowLastColumn="0"/>
              <w:rPr>
                <w:lang w:eastAsia="en-AU"/>
              </w:rPr>
            </w:pPr>
            <w:r w:rsidRPr="00A67C4E">
              <w:rPr>
                <w:lang w:eastAsia="en-AU"/>
              </w:rPr>
              <w:t>6</w:t>
            </w:r>
          </w:p>
        </w:tc>
      </w:tr>
      <w:tr w:rsidR="00A67C4E" w:rsidRPr="00654F9E" w14:paraId="2E1E4986" w14:textId="77777777" w:rsidTr="00A67C4E">
        <w:trPr>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4FBB7518" w14:textId="77777777" w:rsidR="00A67C4E" w:rsidRPr="00A67C4E" w:rsidRDefault="00A67C4E" w:rsidP="00A67C4E">
            <w:pPr>
              <w:pStyle w:val="Tabletextcentred"/>
              <w:rPr>
                <w:b w:val="0"/>
                <w:lang w:eastAsia="en-AU"/>
              </w:rPr>
            </w:pPr>
            <w:r w:rsidRPr="00A67C4E">
              <w:rPr>
                <w:b w:val="0"/>
                <w:lang w:eastAsia="en-AU"/>
              </w:rPr>
              <w:t>&gt;30-40 percent</w:t>
            </w:r>
          </w:p>
        </w:tc>
        <w:tc>
          <w:tcPr>
            <w:tcW w:w="2032" w:type="pct"/>
            <w:vAlign w:val="bottom"/>
          </w:tcPr>
          <w:p w14:paraId="6588046A" w14:textId="77777777" w:rsidR="00A67C4E" w:rsidRPr="00A67C4E" w:rsidRDefault="00A67C4E" w:rsidP="00A67C4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sidRPr="00A67C4E">
              <w:rPr>
                <w:lang w:eastAsia="en-AU"/>
              </w:rPr>
              <w:t>7</w:t>
            </w:r>
          </w:p>
        </w:tc>
      </w:tr>
      <w:tr w:rsidR="00A67C4E" w:rsidRPr="00654F9E" w14:paraId="2C0DF978" w14:textId="77777777" w:rsidTr="00A67C4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5AF76C8D" w14:textId="77777777" w:rsidR="00A67C4E" w:rsidRPr="00A67C4E" w:rsidRDefault="00A67C4E" w:rsidP="00A67C4E">
            <w:pPr>
              <w:pStyle w:val="Tabletextcentred"/>
              <w:rPr>
                <w:b w:val="0"/>
                <w:lang w:eastAsia="en-AU"/>
              </w:rPr>
            </w:pPr>
            <w:r w:rsidRPr="00A67C4E">
              <w:rPr>
                <w:b w:val="0"/>
                <w:lang w:eastAsia="en-AU"/>
              </w:rPr>
              <w:t>&gt;20-30 percent</w:t>
            </w:r>
          </w:p>
        </w:tc>
        <w:tc>
          <w:tcPr>
            <w:tcW w:w="2032" w:type="pct"/>
            <w:vAlign w:val="bottom"/>
          </w:tcPr>
          <w:p w14:paraId="610C3304" w14:textId="77777777" w:rsidR="00A67C4E" w:rsidRPr="00A67C4E" w:rsidRDefault="00A67C4E" w:rsidP="00A67C4E">
            <w:pPr>
              <w:pStyle w:val="Tabletextcentred"/>
              <w:cnfStyle w:val="000000010000" w:firstRow="0" w:lastRow="0" w:firstColumn="0" w:lastColumn="0" w:oddVBand="0" w:evenVBand="0" w:oddHBand="0" w:evenHBand="1" w:firstRowFirstColumn="0" w:firstRowLastColumn="0" w:lastRowFirstColumn="0" w:lastRowLastColumn="0"/>
              <w:rPr>
                <w:lang w:eastAsia="en-AU"/>
              </w:rPr>
            </w:pPr>
            <w:r w:rsidRPr="00A67C4E">
              <w:rPr>
                <w:lang w:eastAsia="en-AU"/>
              </w:rPr>
              <w:t>8</w:t>
            </w:r>
          </w:p>
        </w:tc>
      </w:tr>
      <w:tr w:rsidR="00A67C4E" w:rsidRPr="00654F9E" w14:paraId="498744D6" w14:textId="77777777" w:rsidTr="00A67C4E">
        <w:trPr>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2F284258" w14:textId="77777777" w:rsidR="00A67C4E" w:rsidRPr="00A67C4E" w:rsidRDefault="00A67C4E" w:rsidP="00A67C4E">
            <w:pPr>
              <w:pStyle w:val="Tabletextcentred"/>
              <w:rPr>
                <w:b w:val="0"/>
                <w:lang w:eastAsia="en-AU"/>
              </w:rPr>
            </w:pPr>
            <w:r w:rsidRPr="00A67C4E">
              <w:rPr>
                <w:b w:val="0"/>
                <w:lang w:eastAsia="en-AU"/>
              </w:rPr>
              <w:t>&gt;10-20 percent</w:t>
            </w:r>
          </w:p>
        </w:tc>
        <w:tc>
          <w:tcPr>
            <w:tcW w:w="2032" w:type="pct"/>
            <w:vAlign w:val="bottom"/>
          </w:tcPr>
          <w:p w14:paraId="3685E3F7" w14:textId="77777777" w:rsidR="00A67C4E" w:rsidRPr="00A67C4E" w:rsidRDefault="00A67C4E" w:rsidP="00A67C4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sidRPr="00A67C4E">
              <w:rPr>
                <w:lang w:eastAsia="en-AU"/>
              </w:rPr>
              <w:t>9</w:t>
            </w:r>
          </w:p>
        </w:tc>
      </w:tr>
      <w:tr w:rsidR="00A67C4E" w:rsidRPr="00654F9E" w14:paraId="57A027DF" w14:textId="77777777" w:rsidTr="00A67C4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656891DE" w14:textId="77777777" w:rsidR="00A67C4E" w:rsidRPr="00A67C4E" w:rsidRDefault="00A67C4E" w:rsidP="00A67C4E">
            <w:pPr>
              <w:pStyle w:val="Tabletextcentred"/>
              <w:rPr>
                <w:b w:val="0"/>
                <w:lang w:eastAsia="en-AU"/>
              </w:rPr>
            </w:pPr>
            <w:r w:rsidRPr="00A67C4E">
              <w:rPr>
                <w:b w:val="0"/>
                <w:lang w:eastAsia="en-AU"/>
              </w:rPr>
              <w:t>0-10 percent</w:t>
            </w:r>
          </w:p>
        </w:tc>
        <w:tc>
          <w:tcPr>
            <w:tcW w:w="2032" w:type="pct"/>
            <w:vAlign w:val="bottom"/>
          </w:tcPr>
          <w:p w14:paraId="77B0E077" w14:textId="77777777" w:rsidR="00A67C4E" w:rsidRPr="00A67C4E" w:rsidRDefault="00A67C4E" w:rsidP="00A67C4E">
            <w:pPr>
              <w:pStyle w:val="Tabletextcentred"/>
              <w:cnfStyle w:val="000000010000" w:firstRow="0" w:lastRow="0" w:firstColumn="0" w:lastColumn="0" w:oddVBand="0" w:evenVBand="0" w:oddHBand="0" w:evenHBand="1" w:firstRowFirstColumn="0" w:firstRowLastColumn="0" w:lastRowFirstColumn="0" w:lastRowLastColumn="0"/>
              <w:rPr>
                <w:lang w:eastAsia="en-AU"/>
              </w:rPr>
            </w:pPr>
            <w:r w:rsidRPr="00A67C4E">
              <w:rPr>
                <w:lang w:eastAsia="en-AU"/>
              </w:rPr>
              <w:t>10</w:t>
            </w:r>
          </w:p>
        </w:tc>
      </w:tr>
    </w:tbl>
    <w:p w14:paraId="36266C8E" w14:textId="77777777" w:rsidR="00733FF0" w:rsidRPr="00FD47D5" w:rsidRDefault="00733FF0" w:rsidP="00733FF0">
      <w:pPr>
        <w:pStyle w:val="Heading2"/>
      </w:pPr>
      <w:bookmarkStart w:id="191" w:name="_Toc113442186"/>
      <w:bookmarkStart w:id="192" w:name="_Toc113357223"/>
      <w:bookmarkStart w:id="193" w:name="_Toc157704969"/>
      <w:bookmarkStart w:id="194" w:name="_Toc164844283"/>
      <w:bookmarkStart w:id="195" w:name="_Toc383003272"/>
      <w:bookmarkEnd w:id="107"/>
      <w:bookmarkEnd w:id="108"/>
      <w:r w:rsidRPr="00FD47D5">
        <w:t>How to apply</w:t>
      </w:r>
      <w:bookmarkEnd w:id="191"/>
      <w:bookmarkEnd w:id="192"/>
      <w:bookmarkEnd w:id="193"/>
    </w:p>
    <w:p w14:paraId="7B1F558E" w14:textId="77777777" w:rsidR="00733FF0" w:rsidRPr="00BC16FC" w:rsidRDefault="00733FF0" w:rsidP="00733FF0">
      <w:pPr>
        <w:pStyle w:val="Heading3"/>
      </w:pPr>
      <w:bookmarkStart w:id="196" w:name="_Toc113442187"/>
      <w:bookmarkStart w:id="197" w:name="_Toc113357224"/>
      <w:bookmarkStart w:id="198" w:name="_Ref121922117"/>
      <w:bookmarkStart w:id="199" w:name="_Toc157704970"/>
      <w:r w:rsidRPr="00BC16FC">
        <w:t>Timing of grant opportunity processes</w:t>
      </w:r>
      <w:bookmarkEnd w:id="196"/>
      <w:bookmarkEnd w:id="197"/>
      <w:bookmarkEnd w:id="198"/>
      <w:bookmarkEnd w:id="199"/>
    </w:p>
    <w:p w14:paraId="7C221DD8" w14:textId="2572D763" w:rsidR="00733FF0" w:rsidRPr="00BC16FC" w:rsidRDefault="00733FF0" w:rsidP="007B4338">
      <w:pPr>
        <w:pStyle w:val="Normal-Style2"/>
      </w:pPr>
      <w:r w:rsidRPr="00BC16FC">
        <w:t xml:space="preserve">The Program will be implemented in </w:t>
      </w:r>
      <w:r w:rsidR="00D33396" w:rsidRPr="00BC16FC">
        <w:t>eight</w:t>
      </w:r>
      <w:r w:rsidRPr="00BC16FC">
        <w:t xml:space="preserve"> key stages. A summary of each stage and indicative timing is provided below.</w:t>
      </w:r>
    </w:p>
    <w:p w14:paraId="43DFF203" w14:textId="77777777" w:rsidR="00733FF0" w:rsidRPr="00BC16FC" w:rsidRDefault="00733FF0" w:rsidP="00A67C4E">
      <w:pPr>
        <w:pStyle w:val="Tablefigureheading"/>
      </w:pPr>
      <w:bookmarkStart w:id="200" w:name="_Toc157705026"/>
      <w:r w:rsidRPr="00BC16FC">
        <w:t xml:space="preserve">Table </w:t>
      </w:r>
      <w:r w:rsidR="00FF4886" w:rsidRPr="00BC16FC">
        <w:t>5</w:t>
      </w:r>
      <w:r w:rsidRPr="00BC16FC">
        <w:t>: Expected timing for this Grant Opportunity</w:t>
      </w:r>
      <w:bookmarkEnd w:id="200"/>
    </w:p>
    <w:tbl>
      <w:tblPr>
        <w:tblStyle w:val="DefaultTable11"/>
        <w:tblW w:w="4776" w:type="pct"/>
        <w:tblLook w:val="04A0" w:firstRow="1" w:lastRow="0" w:firstColumn="1" w:lastColumn="0" w:noHBand="0" w:noVBand="1"/>
        <w:tblDescription w:val="Table 7: Expected timing for this Grant Opportunity"/>
      </w:tblPr>
      <w:tblGrid>
        <w:gridCol w:w="710"/>
        <w:gridCol w:w="3959"/>
        <w:gridCol w:w="4382"/>
      </w:tblGrid>
      <w:tr w:rsidR="00A67C4E" w:rsidRPr="00BC16FC" w14:paraId="21D71ABF" w14:textId="77777777" w:rsidTr="00A67C4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2" w:type="pct"/>
          </w:tcPr>
          <w:p w14:paraId="01543163" w14:textId="77777777" w:rsidR="00A67C4E" w:rsidRPr="00BC16FC" w:rsidRDefault="00A67C4E" w:rsidP="00A67C4E">
            <w:pPr>
              <w:pStyle w:val="Tablerowcolumnheadingcentred"/>
              <w:keepNext/>
              <w:rPr>
                <w:b/>
              </w:rPr>
            </w:pPr>
            <w:r w:rsidRPr="00BC16FC">
              <w:rPr>
                <w:b/>
              </w:rPr>
              <w:t>Stage</w:t>
            </w:r>
          </w:p>
        </w:tc>
        <w:tc>
          <w:tcPr>
            <w:tcW w:w="2187" w:type="pct"/>
          </w:tcPr>
          <w:p w14:paraId="15F763B5" w14:textId="77777777" w:rsidR="00A67C4E" w:rsidRPr="00BC16FC" w:rsidRDefault="00A67C4E" w:rsidP="00A67C4E">
            <w:pPr>
              <w:pStyle w:val="Tablerowcolumnheading"/>
              <w:keepNext/>
              <w:cnfStyle w:val="100000000000" w:firstRow="1" w:lastRow="0" w:firstColumn="0" w:lastColumn="0" w:oddVBand="0" w:evenVBand="0" w:oddHBand="0" w:evenHBand="0" w:firstRowFirstColumn="0" w:firstRowLastColumn="0" w:lastRowFirstColumn="0" w:lastRowLastColumn="0"/>
              <w:rPr>
                <w:b/>
              </w:rPr>
            </w:pPr>
            <w:r w:rsidRPr="00BC16FC">
              <w:rPr>
                <w:b/>
              </w:rPr>
              <w:t>Activity</w:t>
            </w:r>
          </w:p>
        </w:tc>
        <w:tc>
          <w:tcPr>
            <w:tcW w:w="2421" w:type="pct"/>
          </w:tcPr>
          <w:p w14:paraId="4EB8C7D5" w14:textId="77777777" w:rsidR="00A67C4E" w:rsidRPr="00BC16FC" w:rsidRDefault="00A67C4E" w:rsidP="00A67C4E">
            <w:pPr>
              <w:pStyle w:val="Tablerowcolumnheading"/>
              <w:keepNext/>
              <w:cnfStyle w:val="100000000000" w:firstRow="1" w:lastRow="0" w:firstColumn="0" w:lastColumn="0" w:oddVBand="0" w:evenVBand="0" w:oddHBand="0" w:evenHBand="0" w:firstRowFirstColumn="0" w:firstRowLastColumn="0" w:lastRowFirstColumn="0" w:lastRowLastColumn="0"/>
              <w:rPr>
                <w:b/>
              </w:rPr>
            </w:pPr>
            <w:r w:rsidRPr="00BC16FC">
              <w:rPr>
                <w:b/>
              </w:rPr>
              <w:t>Timing</w:t>
            </w:r>
          </w:p>
        </w:tc>
      </w:tr>
      <w:tr w:rsidR="00A67C4E" w:rsidRPr="00BC16FC" w14:paraId="0D0F1FAA" w14:textId="77777777" w:rsidTr="00A67C4E">
        <w:trPr>
          <w:cantSplit/>
        </w:trPr>
        <w:tc>
          <w:tcPr>
            <w:cnfStyle w:val="001000000000" w:firstRow="0" w:lastRow="0" w:firstColumn="1" w:lastColumn="0" w:oddVBand="0" w:evenVBand="0" w:oddHBand="0" w:evenHBand="0" w:firstRowFirstColumn="0" w:firstRowLastColumn="0" w:lastRowFirstColumn="0" w:lastRowLastColumn="0"/>
            <w:tcW w:w="392" w:type="pct"/>
          </w:tcPr>
          <w:p w14:paraId="5429E3CF" w14:textId="77777777" w:rsidR="00A67C4E" w:rsidRPr="00BC16FC" w:rsidRDefault="00A67C4E" w:rsidP="00A67C4E">
            <w:pPr>
              <w:pStyle w:val="Tabletextcentred"/>
              <w:keepNext/>
              <w:rPr>
                <w:b w:val="0"/>
              </w:rPr>
            </w:pPr>
            <w:r w:rsidRPr="00BC16FC">
              <w:rPr>
                <w:b w:val="0"/>
              </w:rPr>
              <w:t>1</w:t>
            </w:r>
          </w:p>
        </w:tc>
        <w:tc>
          <w:tcPr>
            <w:tcW w:w="2187" w:type="pct"/>
          </w:tcPr>
          <w:p w14:paraId="66154E8B" w14:textId="77777777" w:rsidR="00A67C4E" w:rsidRPr="00BC16FC" w:rsidRDefault="00A67C4E" w:rsidP="00A67C4E">
            <w:pPr>
              <w:pStyle w:val="Tabletext"/>
              <w:keepNext/>
              <w:cnfStyle w:val="000000000000" w:firstRow="0" w:lastRow="0" w:firstColumn="0" w:lastColumn="0" w:oddVBand="0" w:evenVBand="0" w:oddHBand="0" w:evenHBand="0" w:firstRowFirstColumn="0" w:firstRowLastColumn="0" w:lastRowFirstColumn="0" w:lastRowLastColumn="0"/>
            </w:pPr>
            <w:r w:rsidRPr="00BC16FC">
              <w:t>Release of Guidelines and call for applications</w:t>
            </w:r>
          </w:p>
        </w:tc>
        <w:tc>
          <w:tcPr>
            <w:tcW w:w="2421" w:type="pct"/>
          </w:tcPr>
          <w:p w14:paraId="5A731C3C" w14:textId="61367B63" w:rsidR="00A67C4E" w:rsidRPr="00BC16FC" w:rsidRDefault="00327CA5" w:rsidP="00A67C4E">
            <w:pPr>
              <w:pStyle w:val="Tabletext"/>
              <w:keepNext/>
              <w:cnfStyle w:val="000000000000" w:firstRow="0" w:lastRow="0" w:firstColumn="0" w:lastColumn="0" w:oddVBand="0" w:evenVBand="0" w:oddHBand="0" w:evenHBand="0" w:firstRowFirstColumn="0" w:firstRowLastColumn="0" w:lastRowFirstColumn="0" w:lastRowLastColumn="0"/>
            </w:pPr>
            <w:r w:rsidRPr="00BC16FC">
              <w:t>2 February 2023</w:t>
            </w:r>
          </w:p>
        </w:tc>
      </w:tr>
      <w:tr w:rsidR="00A67C4E" w:rsidRPr="00BC16FC" w14:paraId="10E77FC8" w14:textId="77777777" w:rsidTr="00A67C4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2" w:type="pct"/>
          </w:tcPr>
          <w:p w14:paraId="183E6586" w14:textId="77777777" w:rsidR="00A67C4E" w:rsidRPr="00BC16FC" w:rsidRDefault="00A67C4E" w:rsidP="00A67C4E">
            <w:pPr>
              <w:pStyle w:val="Tabletextcentred"/>
              <w:keepNext/>
              <w:rPr>
                <w:b w:val="0"/>
              </w:rPr>
            </w:pPr>
            <w:r w:rsidRPr="00BC16FC">
              <w:rPr>
                <w:b w:val="0"/>
              </w:rPr>
              <w:t>2</w:t>
            </w:r>
          </w:p>
        </w:tc>
        <w:tc>
          <w:tcPr>
            <w:tcW w:w="2187" w:type="pct"/>
          </w:tcPr>
          <w:p w14:paraId="2CC971F7" w14:textId="77777777" w:rsidR="00A67C4E" w:rsidRPr="00BC16FC" w:rsidRDefault="00A67C4E" w:rsidP="00A67C4E">
            <w:pPr>
              <w:pStyle w:val="Tabletext"/>
              <w:keepNext/>
              <w:cnfStyle w:val="000000010000" w:firstRow="0" w:lastRow="0" w:firstColumn="0" w:lastColumn="0" w:oddVBand="0" w:evenVBand="0" w:oddHBand="0" w:evenHBand="1" w:firstRowFirstColumn="0" w:firstRowLastColumn="0" w:lastRowFirstColumn="0" w:lastRowLastColumn="0"/>
            </w:pPr>
            <w:r w:rsidRPr="00BC16FC">
              <w:t>Applicant registration and pre-application documentation</w:t>
            </w:r>
          </w:p>
        </w:tc>
        <w:tc>
          <w:tcPr>
            <w:tcW w:w="2421" w:type="pct"/>
          </w:tcPr>
          <w:p w14:paraId="4725D19E" w14:textId="65911057" w:rsidR="00A67C4E" w:rsidRPr="00BC16FC" w:rsidRDefault="00A67C4E" w:rsidP="00A67C4E">
            <w:pPr>
              <w:pStyle w:val="Tabletext"/>
              <w:keepNext/>
              <w:cnfStyle w:val="000000010000" w:firstRow="0" w:lastRow="0" w:firstColumn="0" w:lastColumn="0" w:oddVBand="0" w:evenVBand="0" w:oddHBand="0" w:evenHBand="1" w:firstRowFirstColumn="0" w:firstRowLastColumn="0" w:lastRowFirstColumn="0" w:lastRowLastColumn="0"/>
            </w:pPr>
            <w:r w:rsidRPr="00BC16FC">
              <w:t xml:space="preserve">Registration and pre-application documentation due by </w:t>
            </w:r>
            <w:r w:rsidR="00327CA5" w:rsidRPr="00BC16FC">
              <w:t>2 March 2023</w:t>
            </w:r>
            <w:r w:rsidRPr="00BC16FC">
              <w:t xml:space="preserve"> (4 weeks after opening)</w:t>
            </w:r>
          </w:p>
        </w:tc>
      </w:tr>
      <w:tr w:rsidR="00A67C4E" w:rsidRPr="00BC16FC" w14:paraId="67F04E52" w14:textId="77777777" w:rsidTr="00A67C4E">
        <w:trPr>
          <w:cantSplit/>
        </w:trPr>
        <w:tc>
          <w:tcPr>
            <w:cnfStyle w:val="001000000000" w:firstRow="0" w:lastRow="0" w:firstColumn="1" w:lastColumn="0" w:oddVBand="0" w:evenVBand="0" w:oddHBand="0" w:evenHBand="0" w:firstRowFirstColumn="0" w:firstRowLastColumn="0" w:lastRowFirstColumn="0" w:lastRowLastColumn="0"/>
            <w:tcW w:w="392" w:type="pct"/>
          </w:tcPr>
          <w:p w14:paraId="1C1DC5EB" w14:textId="77777777" w:rsidR="00A67C4E" w:rsidRPr="00BC16FC" w:rsidRDefault="00A67C4E" w:rsidP="007B4338">
            <w:pPr>
              <w:pStyle w:val="Tabletextcentred"/>
              <w:rPr>
                <w:b w:val="0"/>
              </w:rPr>
            </w:pPr>
            <w:r w:rsidRPr="00BC16FC">
              <w:rPr>
                <w:b w:val="0"/>
              </w:rPr>
              <w:t>3</w:t>
            </w:r>
          </w:p>
        </w:tc>
        <w:tc>
          <w:tcPr>
            <w:tcW w:w="2187" w:type="pct"/>
          </w:tcPr>
          <w:p w14:paraId="3D3E8CEE" w14:textId="77777777" w:rsidR="00A67C4E" w:rsidRPr="00BC16FC" w:rsidRDefault="00A67C4E" w:rsidP="00A67C4E">
            <w:pPr>
              <w:pStyle w:val="Tabletext"/>
              <w:keepNext/>
              <w:cnfStyle w:val="000000000000" w:firstRow="0" w:lastRow="0" w:firstColumn="0" w:lastColumn="0" w:oddVBand="0" w:evenVBand="0" w:oddHBand="0" w:evenHBand="0" w:firstRowFirstColumn="0" w:firstRowLastColumn="0" w:lastRowFirstColumn="0" w:lastRowLastColumn="0"/>
            </w:pPr>
            <w:r w:rsidRPr="00BC16FC">
              <w:t>Submitting final applications</w:t>
            </w:r>
          </w:p>
        </w:tc>
        <w:tc>
          <w:tcPr>
            <w:tcW w:w="2421" w:type="pct"/>
          </w:tcPr>
          <w:p w14:paraId="23B16805" w14:textId="384DA2A8" w:rsidR="00A67C4E" w:rsidRPr="00BC16FC" w:rsidRDefault="00A67C4E" w:rsidP="00A67C4E">
            <w:pPr>
              <w:pStyle w:val="Tabletext"/>
              <w:keepNext/>
              <w:cnfStyle w:val="000000000000" w:firstRow="0" w:lastRow="0" w:firstColumn="0" w:lastColumn="0" w:oddVBand="0" w:evenVBand="0" w:oddHBand="0" w:evenHBand="0" w:firstRowFirstColumn="0" w:firstRowLastColumn="0" w:lastRowFirstColumn="0" w:lastRowLastColumn="0"/>
            </w:pPr>
            <w:r w:rsidRPr="00BC16FC">
              <w:t xml:space="preserve">Final applications due by </w:t>
            </w:r>
            <w:r w:rsidR="00327CA5" w:rsidRPr="00BC16FC">
              <w:t>13 April 2023</w:t>
            </w:r>
            <w:r w:rsidRPr="00BC16FC">
              <w:t xml:space="preserve"> (10 weeks after opening)</w:t>
            </w:r>
          </w:p>
        </w:tc>
      </w:tr>
      <w:tr w:rsidR="00A67C4E" w:rsidRPr="00BC16FC" w14:paraId="4DC593CD" w14:textId="77777777" w:rsidTr="00A67C4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2" w:type="pct"/>
          </w:tcPr>
          <w:p w14:paraId="08F99D13" w14:textId="77777777" w:rsidR="00A67C4E" w:rsidRPr="00BC16FC" w:rsidRDefault="00A67C4E" w:rsidP="00A67C4E">
            <w:pPr>
              <w:pStyle w:val="Tabletextcentred"/>
              <w:rPr>
                <w:b w:val="0"/>
              </w:rPr>
            </w:pPr>
            <w:r w:rsidRPr="00BC16FC">
              <w:rPr>
                <w:b w:val="0"/>
              </w:rPr>
              <w:t>4</w:t>
            </w:r>
          </w:p>
        </w:tc>
        <w:tc>
          <w:tcPr>
            <w:tcW w:w="2187" w:type="pct"/>
          </w:tcPr>
          <w:p w14:paraId="6B0B89FD" w14:textId="77777777" w:rsidR="00A67C4E" w:rsidRPr="00BC16FC" w:rsidRDefault="00A67C4E" w:rsidP="00A67C4E">
            <w:pPr>
              <w:pStyle w:val="Tabletext"/>
              <w:cnfStyle w:val="000000010000" w:firstRow="0" w:lastRow="0" w:firstColumn="0" w:lastColumn="0" w:oddVBand="0" w:evenVBand="0" w:oddHBand="0" w:evenHBand="1" w:firstRowFirstColumn="0" w:firstRowLastColumn="0" w:lastRowFirstColumn="0" w:lastRowLastColumn="0"/>
            </w:pPr>
            <w:r w:rsidRPr="00BC16FC">
              <w:t>Assessment of applications</w:t>
            </w:r>
          </w:p>
        </w:tc>
        <w:tc>
          <w:tcPr>
            <w:tcW w:w="2421" w:type="pct"/>
          </w:tcPr>
          <w:p w14:paraId="34B98F92" w14:textId="3FFEFD2B" w:rsidR="00A67C4E" w:rsidRPr="00BC16FC" w:rsidRDefault="00327CA5" w:rsidP="00A67C4E">
            <w:pPr>
              <w:pStyle w:val="Tabletext"/>
              <w:cnfStyle w:val="000000010000" w:firstRow="0" w:lastRow="0" w:firstColumn="0" w:lastColumn="0" w:oddVBand="0" w:evenVBand="0" w:oddHBand="0" w:evenHBand="1" w:firstRowFirstColumn="0" w:firstRowLastColumn="0" w:lastRowFirstColumn="0" w:lastRowLastColumn="0"/>
            </w:pPr>
            <w:r w:rsidRPr="00BC16FC">
              <w:t>April</w:t>
            </w:r>
            <w:r w:rsidR="00A67C4E" w:rsidRPr="00BC16FC">
              <w:t xml:space="preserve"> </w:t>
            </w:r>
            <w:r w:rsidR="005D3AF8" w:rsidRPr="00BC16FC">
              <w:t>–</w:t>
            </w:r>
            <w:r w:rsidR="00A67C4E" w:rsidRPr="00BC16FC">
              <w:t xml:space="preserve"> </w:t>
            </w:r>
            <w:r w:rsidRPr="00BC16FC">
              <w:t>June 2023</w:t>
            </w:r>
            <w:r w:rsidR="00A67C4E" w:rsidRPr="00BC16FC">
              <w:t xml:space="preserve"> (10 weeks)</w:t>
            </w:r>
          </w:p>
        </w:tc>
      </w:tr>
      <w:tr w:rsidR="00A67C4E" w:rsidRPr="00BC16FC" w14:paraId="69A805FA" w14:textId="77777777" w:rsidTr="00A67C4E">
        <w:trPr>
          <w:cantSplit/>
        </w:trPr>
        <w:tc>
          <w:tcPr>
            <w:cnfStyle w:val="001000000000" w:firstRow="0" w:lastRow="0" w:firstColumn="1" w:lastColumn="0" w:oddVBand="0" w:evenVBand="0" w:oddHBand="0" w:evenHBand="0" w:firstRowFirstColumn="0" w:firstRowLastColumn="0" w:lastRowFirstColumn="0" w:lastRowLastColumn="0"/>
            <w:tcW w:w="392" w:type="pct"/>
          </w:tcPr>
          <w:p w14:paraId="2FC40F6B" w14:textId="77777777" w:rsidR="00A67C4E" w:rsidRPr="00BC16FC" w:rsidRDefault="00A67C4E" w:rsidP="00A67C4E">
            <w:pPr>
              <w:pStyle w:val="Tabletextcentred"/>
              <w:rPr>
                <w:b w:val="0"/>
              </w:rPr>
            </w:pPr>
            <w:r w:rsidRPr="00BC16FC">
              <w:rPr>
                <w:b w:val="0"/>
              </w:rPr>
              <w:t>5</w:t>
            </w:r>
          </w:p>
        </w:tc>
        <w:tc>
          <w:tcPr>
            <w:tcW w:w="2187" w:type="pct"/>
          </w:tcPr>
          <w:p w14:paraId="0F903D96" w14:textId="77777777" w:rsidR="00A67C4E" w:rsidRPr="00BC16FC" w:rsidRDefault="00A67C4E" w:rsidP="00A67C4E">
            <w:pPr>
              <w:pStyle w:val="Tabletext"/>
              <w:cnfStyle w:val="000000000000" w:firstRow="0" w:lastRow="0" w:firstColumn="0" w:lastColumn="0" w:oddVBand="0" w:evenVBand="0" w:oddHBand="0" w:evenHBand="0" w:firstRowFirstColumn="0" w:firstRowLastColumn="0" w:lastRowFirstColumn="0" w:lastRowLastColumn="0"/>
            </w:pPr>
            <w:r w:rsidRPr="00BC16FC">
              <w:t>Grantees advised of outcomes and locations announced</w:t>
            </w:r>
          </w:p>
        </w:tc>
        <w:tc>
          <w:tcPr>
            <w:tcW w:w="2421" w:type="pct"/>
          </w:tcPr>
          <w:p w14:paraId="2B97626F" w14:textId="09CCA9BC" w:rsidR="00A67C4E" w:rsidRPr="00BC16FC" w:rsidRDefault="00327CA5" w:rsidP="00A67C4E">
            <w:pPr>
              <w:pStyle w:val="Tabletext"/>
              <w:cnfStyle w:val="000000000000" w:firstRow="0" w:lastRow="0" w:firstColumn="0" w:lastColumn="0" w:oddVBand="0" w:evenVBand="0" w:oddHBand="0" w:evenHBand="0" w:firstRowFirstColumn="0" w:firstRowLastColumn="0" w:lastRowFirstColumn="0" w:lastRowLastColumn="0"/>
            </w:pPr>
            <w:r w:rsidRPr="00BC16FC">
              <w:t>June – July 2023</w:t>
            </w:r>
          </w:p>
        </w:tc>
      </w:tr>
      <w:tr w:rsidR="00A67C4E" w:rsidRPr="00BC16FC" w14:paraId="36067528" w14:textId="77777777" w:rsidTr="00A67C4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2" w:type="pct"/>
          </w:tcPr>
          <w:p w14:paraId="6DFA36DD" w14:textId="77777777" w:rsidR="00A67C4E" w:rsidRPr="00BC16FC" w:rsidRDefault="00A67C4E" w:rsidP="00A67C4E">
            <w:pPr>
              <w:pStyle w:val="Tabletextcentred"/>
              <w:rPr>
                <w:b w:val="0"/>
              </w:rPr>
            </w:pPr>
            <w:r w:rsidRPr="00BC16FC">
              <w:rPr>
                <w:b w:val="0"/>
              </w:rPr>
              <w:t>6</w:t>
            </w:r>
          </w:p>
        </w:tc>
        <w:tc>
          <w:tcPr>
            <w:tcW w:w="2187" w:type="pct"/>
          </w:tcPr>
          <w:p w14:paraId="33179D78" w14:textId="77777777" w:rsidR="00A67C4E" w:rsidRPr="00BC16FC" w:rsidRDefault="00A67C4E" w:rsidP="00A67C4E">
            <w:pPr>
              <w:pStyle w:val="Tabletext"/>
              <w:cnfStyle w:val="000000010000" w:firstRow="0" w:lastRow="0" w:firstColumn="0" w:lastColumn="0" w:oddVBand="0" w:evenVBand="0" w:oddHBand="0" w:evenHBand="1" w:firstRowFirstColumn="0" w:firstRowLastColumn="0" w:lastRowFirstColumn="0" w:lastRowLastColumn="0"/>
            </w:pPr>
            <w:r w:rsidRPr="00BC16FC">
              <w:t>Negotiation of Grant Agreements</w:t>
            </w:r>
          </w:p>
        </w:tc>
        <w:tc>
          <w:tcPr>
            <w:tcW w:w="2421" w:type="pct"/>
          </w:tcPr>
          <w:p w14:paraId="2C00CEB3" w14:textId="117CA1F2" w:rsidR="00A67C4E" w:rsidRPr="00BC16FC" w:rsidRDefault="00327CA5" w:rsidP="00A67C4E">
            <w:pPr>
              <w:pStyle w:val="Tabletext"/>
              <w:cnfStyle w:val="000000010000" w:firstRow="0" w:lastRow="0" w:firstColumn="0" w:lastColumn="0" w:oddVBand="0" w:evenVBand="0" w:oddHBand="0" w:evenHBand="1" w:firstRowFirstColumn="0" w:firstRowLastColumn="0" w:lastRowFirstColumn="0" w:lastRowLastColumn="0"/>
            </w:pPr>
            <w:r w:rsidRPr="00BC16FC">
              <w:t>From July 2023</w:t>
            </w:r>
          </w:p>
        </w:tc>
      </w:tr>
      <w:tr w:rsidR="00A67C4E" w:rsidRPr="00BC16FC" w14:paraId="3812836A" w14:textId="77777777" w:rsidTr="00A67C4E">
        <w:trPr>
          <w:cantSplit/>
        </w:trPr>
        <w:tc>
          <w:tcPr>
            <w:cnfStyle w:val="001000000000" w:firstRow="0" w:lastRow="0" w:firstColumn="1" w:lastColumn="0" w:oddVBand="0" w:evenVBand="0" w:oddHBand="0" w:evenHBand="0" w:firstRowFirstColumn="0" w:firstRowLastColumn="0" w:lastRowFirstColumn="0" w:lastRowLastColumn="0"/>
            <w:tcW w:w="392" w:type="pct"/>
          </w:tcPr>
          <w:p w14:paraId="30C947FD" w14:textId="77777777" w:rsidR="00A67C4E" w:rsidRPr="00BC16FC" w:rsidRDefault="00A67C4E" w:rsidP="00A67C4E">
            <w:pPr>
              <w:pStyle w:val="Tabletextcentred"/>
              <w:rPr>
                <w:b w:val="0"/>
              </w:rPr>
            </w:pPr>
            <w:r w:rsidRPr="00BC16FC">
              <w:rPr>
                <w:b w:val="0"/>
              </w:rPr>
              <w:t>7</w:t>
            </w:r>
          </w:p>
        </w:tc>
        <w:tc>
          <w:tcPr>
            <w:tcW w:w="2187" w:type="pct"/>
          </w:tcPr>
          <w:p w14:paraId="34DB8130" w14:textId="1199B798" w:rsidR="00A67C4E" w:rsidRPr="00BC16FC" w:rsidRDefault="00325C3B" w:rsidP="00A67C4E">
            <w:pPr>
              <w:pStyle w:val="Tabletext"/>
              <w:cnfStyle w:val="000000000000" w:firstRow="0" w:lastRow="0" w:firstColumn="0" w:lastColumn="0" w:oddVBand="0" w:evenVBand="0" w:oddHBand="0" w:evenHBand="0" w:firstRowFirstColumn="0" w:firstRowLastColumn="0" w:lastRowFirstColumn="0" w:lastRowLastColumn="0"/>
            </w:pPr>
            <w:r w:rsidRPr="00BC16FC">
              <w:t>Sharing</w:t>
            </w:r>
            <w:r w:rsidR="00A67C4E" w:rsidRPr="00BC16FC">
              <w:t xml:space="preserve"> negotiations</w:t>
            </w:r>
            <w:r w:rsidR="001235C9" w:rsidRPr="00BC16FC">
              <w:t xml:space="preserve"> (subject to expressions of interest)</w:t>
            </w:r>
          </w:p>
        </w:tc>
        <w:tc>
          <w:tcPr>
            <w:tcW w:w="2421" w:type="pct"/>
          </w:tcPr>
          <w:p w14:paraId="63F7E4D4" w14:textId="2B69B5BE" w:rsidR="00A67C4E" w:rsidRPr="00BC16FC" w:rsidRDefault="00327CA5" w:rsidP="00A67C4E">
            <w:pPr>
              <w:pStyle w:val="Tabletext"/>
              <w:cnfStyle w:val="000000000000" w:firstRow="0" w:lastRow="0" w:firstColumn="0" w:lastColumn="0" w:oddVBand="0" w:evenVBand="0" w:oddHBand="0" w:evenHBand="0" w:firstRowFirstColumn="0" w:firstRowLastColumn="0" w:lastRowFirstColumn="0" w:lastRowLastColumn="0"/>
            </w:pPr>
            <w:r w:rsidRPr="00BC16FC">
              <w:t>From July 2023</w:t>
            </w:r>
          </w:p>
        </w:tc>
      </w:tr>
      <w:tr w:rsidR="00A67C4E" w:rsidRPr="00BC16FC" w14:paraId="5D541D0A" w14:textId="77777777" w:rsidTr="00A67C4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2" w:type="pct"/>
          </w:tcPr>
          <w:p w14:paraId="394850A6" w14:textId="77777777" w:rsidR="00A67C4E" w:rsidRPr="00BC16FC" w:rsidRDefault="00A67C4E" w:rsidP="00A67C4E">
            <w:pPr>
              <w:pStyle w:val="Tabletextcentred"/>
              <w:rPr>
                <w:b w:val="0"/>
              </w:rPr>
            </w:pPr>
            <w:r w:rsidRPr="00BC16FC">
              <w:rPr>
                <w:b w:val="0"/>
              </w:rPr>
              <w:t>8</w:t>
            </w:r>
          </w:p>
        </w:tc>
        <w:tc>
          <w:tcPr>
            <w:tcW w:w="2187" w:type="pct"/>
          </w:tcPr>
          <w:p w14:paraId="264AD3A9" w14:textId="77777777" w:rsidR="00A67C4E" w:rsidRPr="00BC16FC" w:rsidRDefault="00A67C4E" w:rsidP="00A67C4E">
            <w:pPr>
              <w:pStyle w:val="Tabletext"/>
              <w:cnfStyle w:val="000000010000" w:firstRow="0" w:lastRow="0" w:firstColumn="0" w:lastColumn="0" w:oddVBand="0" w:evenVBand="0" w:oddHBand="0" w:evenHBand="1" w:firstRowFirstColumn="0" w:firstRowLastColumn="0" w:lastRowFirstColumn="0" w:lastRowLastColumn="0"/>
            </w:pPr>
            <w:r w:rsidRPr="00BC16FC">
              <w:t>Date of Rollout Completion</w:t>
            </w:r>
          </w:p>
        </w:tc>
        <w:tc>
          <w:tcPr>
            <w:tcW w:w="2421" w:type="pct"/>
          </w:tcPr>
          <w:p w14:paraId="1FA6CEB1" w14:textId="77777777" w:rsidR="00A67C4E" w:rsidRPr="00BC16FC" w:rsidRDefault="00A67C4E" w:rsidP="00A67C4E">
            <w:pPr>
              <w:pStyle w:val="Tabletext"/>
              <w:cnfStyle w:val="000000010000" w:firstRow="0" w:lastRow="0" w:firstColumn="0" w:lastColumn="0" w:oddVBand="0" w:evenVBand="0" w:oddHBand="0" w:evenHBand="1" w:firstRowFirstColumn="0" w:firstRowLastColumn="0" w:lastRowFirstColumn="0" w:lastRowLastColumn="0"/>
            </w:pPr>
            <w:r w:rsidRPr="00BC16FC">
              <w:t>30 June 2025</w:t>
            </w:r>
          </w:p>
        </w:tc>
      </w:tr>
    </w:tbl>
    <w:p w14:paraId="7EEAE012" w14:textId="77777777" w:rsidR="00733FF0" w:rsidRPr="00BC16FC" w:rsidRDefault="00733FF0" w:rsidP="00733FF0">
      <w:pPr>
        <w:pStyle w:val="Heading3"/>
      </w:pPr>
      <w:bookmarkStart w:id="201" w:name="_Ref110594605"/>
      <w:bookmarkStart w:id="202" w:name="_Toc113442188"/>
      <w:bookmarkStart w:id="203" w:name="_Toc113357225"/>
      <w:bookmarkStart w:id="204" w:name="_Toc157704971"/>
      <w:r w:rsidRPr="00BC16FC">
        <w:t>Applicant registration</w:t>
      </w:r>
      <w:bookmarkEnd w:id="201"/>
      <w:bookmarkEnd w:id="202"/>
      <w:bookmarkEnd w:id="203"/>
      <w:bookmarkEnd w:id="204"/>
    </w:p>
    <w:p w14:paraId="71ED7686" w14:textId="62AAA619" w:rsidR="00733FF0" w:rsidRPr="00BC16FC" w:rsidRDefault="00733FF0" w:rsidP="001235C9">
      <w:pPr>
        <w:pStyle w:val="Normal-Style2"/>
      </w:pPr>
      <w:r w:rsidRPr="00BC16FC">
        <w:t xml:space="preserve">Before applying, you must read and understand these guidelines, the sample application form and the sample grant agreement. These documents may be found at </w:t>
      </w:r>
      <w:bookmarkStart w:id="205" w:name="_Hlk122079607"/>
      <w:r w:rsidR="0073717F" w:rsidRPr="00BC16FC">
        <w:fldChar w:fldCharType="begin"/>
      </w:r>
      <w:r w:rsidR="0073717F" w:rsidRPr="00BC16FC">
        <w:instrText xml:space="preserve"> HYPERLINK "http://www.grants.gov.au/" </w:instrText>
      </w:r>
      <w:r w:rsidR="0073717F" w:rsidRPr="00BC16FC">
        <w:fldChar w:fldCharType="separate"/>
      </w:r>
      <w:r w:rsidRPr="00BC16FC">
        <w:rPr>
          <w:rStyle w:val="Hyperlink"/>
        </w:rPr>
        <w:t>GrantConnect</w:t>
      </w:r>
      <w:r w:rsidR="0073717F" w:rsidRPr="00BC16FC">
        <w:rPr>
          <w:rStyle w:val="Hyperlink"/>
        </w:rPr>
        <w:fldChar w:fldCharType="end"/>
      </w:r>
      <w:bookmarkEnd w:id="205"/>
      <w:r w:rsidR="00DD5568" w:rsidRPr="00BC16FC">
        <w:rPr>
          <w:rStyle w:val="FootnoteReference"/>
          <w:color w:val="002D72"/>
          <w:u w:val="single"/>
        </w:rPr>
        <w:footnoteReference w:id="11"/>
      </w:r>
      <w:r w:rsidR="0045229E" w:rsidRPr="00BC16FC">
        <w:t>.</w:t>
      </w:r>
      <w:r w:rsidR="001235C9" w:rsidRPr="00BC16FC">
        <w:t xml:space="preserve"> </w:t>
      </w:r>
      <w:r w:rsidRPr="00BC16FC">
        <w:t>Any alterations and addenda</w:t>
      </w:r>
      <w:r w:rsidRPr="00BC16FC">
        <w:rPr>
          <w:rStyle w:val="FootnoteReference"/>
        </w:rPr>
        <w:footnoteReference w:id="12"/>
      </w:r>
      <w:r w:rsidRPr="00BC16FC">
        <w:t xml:space="preserve"> will be published on GrantConnect and by registering on this website, you will be automatically notified on any changes. GrantConnect is the authoritative source for grants information.</w:t>
      </w:r>
    </w:p>
    <w:p w14:paraId="2B47CA9C" w14:textId="77777777" w:rsidR="00733FF0" w:rsidRPr="00BC16FC" w:rsidRDefault="00733FF0" w:rsidP="00733FF0">
      <w:pPr>
        <w:pStyle w:val="Normal-Style2"/>
      </w:pPr>
      <w:bookmarkStart w:id="206" w:name="_Ref109305581"/>
      <w:r w:rsidRPr="00BC16FC">
        <w:t>Potential applicants must register their interest with the department and sign and provide a Non</w:t>
      </w:r>
      <w:r w:rsidRPr="00BC16FC">
        <w:noBreakHyphen/>
        <w:t>Disclosure Agreement prior to being granted access to the Program documentation.</w:t>
      </w:r>
      <w:bookmarkEnd w:id="206"/>
    </w:p>
    <w:p w14:paraId="7C347E29" w14:textId="77777777" w:rsidR="00733FF0" w:rsidRPr="00BC16FC" w:rsidRDefault="00733FF0" w:rsidP="00733FF0">
      <w:pPr>
        <w:pStyle w:val="Heading3"/>
      </w:pPr>
      <w:bookmarkStart w:id="207" w:name="_Ref109305688"/>
      <w:bookmarkStart w:id="208" w:name="_Toc113442189"/>
      <w:bookmarkStart w:id="209" w:name="_Toc113357226"/>
      <w:bookmarkStart w:id="210" w:name="_Toc157704972"/>
      <w:r w:rsidRPr="00BC16FC">
        <w:t>Pre-application lodgement</w:t>
      </w:r>
      <w:bookmarkEnd w:id="207"/>
      <w:bookmarkEnd w:id="208"/>
      <w:bookmarkEnd w:id="209"/>
      <w:bookmarkEnd w:id="210"/>
    </w:p>
    <w:p w14:paraId="04D8F3A5" w14:textId="77777777" w:rsidR="00733FF0" w:rsidRPr="00BC16FC" w:rsidRDefault="00733FF0" w:rsidP="00733FF0">
      <w:pPr>
        <w:pStyle w:val="Normal-Style2"/>
      </w:pPr>
      <w:bookmarkStart w:id="211" w:name="_Ref109304806"/>
      <w:r w:rsidRPr="00BC16FC">
        <w:t>Upon registering as a potential applicant, MNOs who intend to submit applications for funding, or are partnering with potential applicants, under this Program must first submit their existing handheld 4G coverage information, incorporating the coverage from base stations funded under the Mobile Black Spot Program, the Peri-Urban Mobile Program and the Regional Connectivity Program and any base station funded under a State or Territory program, regardless of the stage of construction.</w:t>
      </w:r>
      <w:bookmarkEnd w:id="211"/>
    </w:p>
    <w:p w14:paraId="1207A117" w14:textId="7B38040E" w:rsidR="00733FF0" w:rsidRPr="00BC16FC" w:rsidRDefault="00733FF0" w:rsidP="00733FF0">
      <w:pPr>
        <w:pStyle w:val="Normal-Style2"/>
      </w:pPr>
      <w:r w:rsidRPr="00BC16FC">
        <w:t xml:space="preserve">Existing handheld coverage information required at section </w:t>
      </w:r>
      <w:r w:rsidRPr="00BC16FC">
        <w:fldChar w:fldCharType="begin"/>
      </w:r>
      <w:r w:rsidRPr="00BC16FC">
        <w:instrText xml:space="preserve"> REF _Ref109304806 \r \h  \* MERGEFORMAT </w:instrText>
      </w:r>
      <w:r w:rsidRPr="00BC16FC">
        <w:fldChar w:fldCharType="separate"/>
      </w:r>
      <w:r w:rsidR="001A1CA8" w:rsidRPr="00BC16FC">
        <w:t>7.3.1</w:t>
      </w:r>
      <w:r w:rsidRPr="00BC16FC">
        <w:fldChar w:fldCharType="end"/>
      </w:r>
      <w:r w:rsidRPr="00BC16FC">
        <w:t xml:space="preserve"> must be submitted to the department by no later than 5pm (Canberra time), </w:t>
      </w:r>
      <w:r w:rsidR="002B3F2E" w:rsidRPr="00BC16FC">
        <w:t>2 March 2023</w:t>
      </w:r>
      <w:r w:rsidRPr="00BC16FC">
        <w:t>. The department may, at its absolute discretion, accept mobile coverage information submitted by MNOs after this date.</w:t>
      </w:r>
    </w:p>
    <w:p w14:paraId="49BB9FE9" w14:textId="0C08174A" w:rsidR="00733FF0" w:rsidRPr="00BC16FC" w:rsidRDefault="00733FF0" w:rsidP="00733FF0">
      <w:pPr>
        <w:pStyle w:val="Normal-Style2"/>
      </w:pPr>
      <w:r w:rsidRPr="00BC16FC">
        <w:t xml:space="preserve">The existing handheld coverage information required in accordance with section </w:t>
      </w:r>
      <w:r w:rsidRPr="00BC16FC">
        <w:fldChar w:fldCharType="begin"/>
      </w:r>
      <w:r w:rsidRPr="00BC16FC">
        <w:instrText xml:space="preserve"> REF _Ref109304806 \r \h </w:instrText>
      </w:r>
      <w:r w:rsidR="00BC16FC">
        <w:instrText xml:space="preserve"> \* MERGEFORMAT </w:instrText>
      </w:r>
      <w:r w:rsidRPr="00BC16FC">
        <w:fldChar w:fldCharType="separate"/>
      </w:r>
      <w:r w:rsidR="001A1CA8" w:rsidRPr="00BC16FC">
        <w:t>7.3.1</w:t>
      </w:r>
      <w:r w:rsidRPr="00BC16FC">
        <w:fldChar w:fldCharType="end"/>
      </w:r>
      <w:r w:rsidRPr="00BC16FC">
        <w:t xml:space="preserve"> must be supplied as two separate layers as follows:</w:t>
      </w:r>
    </w:p>
    <w:p w14:paraId="3DF27C18" w14:textId="051F8C08" w:rsidR="00733FF0" w:rsidRPr="00CB3318" w:rsidRDefault="00733FF0" w:rsidP="00733FF0">
      <w:pPr>
        <w:pStyle w:val="ListBullet"/>
      </w:pPr>
      <w:r w:rsidRPr="00BC16FC">
        <w:t>Handheld Coverage Maps: being</w:t>
      </w:r>
      <w:r>
        <w:t xml:space="preserve"> a layer modelled to the </w:t>
      </w:r>
      <w:r w:rsidRPr="00B96F3C">
        <w:t>Handheld Coverage</w:t>
      </w:r>
      <w:r>
        <w:t xml:space="preserve"> levels as set out in section </w:t>
      </w:r>
      <w:r>
        <w:fldChar w:fldCharType="begin"/>
      </w:r>
      <w:r>
        <w:instrText xml:space="preserve"> REF _Ref109305451 \r \h </w:instrText>
      </w:r>
      <w:r>
        <w:fldChar w:fldCharType="separate"/>
      </w:r>
      <w:r w:rsidR="001A1CA8">
        <w:t>4.2.4</w:t>
      </w:r>
      <w:r>
        <w:fldChar w:fldCharType="end"/>
      </w:r>
      <w:r>
        <w:t>; and</w:t>
      </w:r>
    </w:p>
    <w:p w14:paraId="1A8F8561" w14:textId="77777777" w:rsidR="00733FF0" w:rsidRPr="001F1077" w:rsidRDefault="00733FF0" w:rsidP="00733FF0">
      <w:pPr>
        <w:pStyle w:val="ListBullet"/>
      </w:pPr>
      <w:r>
        <w:t xml:space="preserve">Existing Public Coverage Maps: being a layer representing </w:t>
      </w:r>
      <w:r w:rsidRPr="00612371">
        <w:t xml:space="preserve">the predictive </w:t>
      </w:r>
      <w:r>
        <w:t xml:space="preserve">handheld </w:t>
      </w:r>
      <w:r w:rsidRPr="00612371">
        <w:t xml:space="preserve">coverage modelling standards which underpin the publicly available coverage </w:t>
      </w:r>
      <w:r w:rsidRPr="001F1077">
        <w:t>maps on the MNO’s website.</w:t>
      </w:r>
    </w:p>
    <w:p w14:paraId="0EFC99DB" w14:textId="77777777" w:rsidR="00733FF0" w:rsidRPr="001F1077" w:rsidRDefault="00733FF0" w:rsidP="00733FF0">
      <w:pPr>
        <w:pStyle w:val="Normal-Style2"/>
      </w:pPr>
      <w:r w:rsidRPr="001F1077">
        <w:t>For avoidance of doubt, the Existing Public Coverage Maps are requested for information purposes only. Assessment will only consider the New/Improved Handheld Coverage Maps (i.e. a “like-for-like” comparison).</w:t>
      </w:r>
    </w:p>
    <w:p w14:paraId="0BA72234" w14:textId="159371BE" w:rsidR="00733FF0" w:rsidRDefault="00733FF0" w:rsidP="00733FF0">
      <w:pPr>
        <w:pStyle w:val="Normal-Style2"/>
      </w:pPr>
      <w:r w:rsidRPr="00612371">
        <w:t xml:space="preserve">Pre-application information can be submitted by </w:t>
      </w:r>
      <w:r>
        <w:t xml:space="preserve">any </w:t>
      </w:r>
      <w:r w:rsidRPr="00612371">
        <w:t xml:space="preserve">of the methods outlined </w:t>
      </w:r>
      <w:r w:rsidRPr="00363576">
        <w:t xml:space="preserve">at </w:t>
      </w:r>
      <w:r w:rsidRPr="00EE3949">
        <w:t>section </w:t>
      </w:r>
      <w:r>
        <w:fldChar w:fldCharType="begin"/>
      </w:r>
      <w:r>
        <w:instrText xml:space="preserve"> REF _Ref109305461 \r \h </w:instrText>
      </w:r>
      <w:r>
        <w:fldChar w:fldCharType="separate"/>
      </w:r>
      <w:r w:rsidR="001A1CA8">
        <w:t>7.4</w:t>
      </w:r>
      <w:r>
        <w:fldChar w:fldCharType="end"/>
      </w:r>
      <w:r w:rsidRPr="003E3B2C">
        <w:t>.</w:t>
      </w:r>
    </w:p>
    <w:p w14:paraId="25D7EED9" w14:textId="77777777" w:rsidR="00733FF0" w:rsidRDefault="00733FF0" w:rsidP="00733FF0">
      <w:pPr>
        <w:pStyle w:val="Heading3"/>
      </w:pPr>
      <w:bookmarkStart w:id="212" w:name="_Ref109304844"/>
      <w:bookmarkStart w:id="213" w:name="_Ref109305461"/>
      <w:bookmarkStart w:id="214" w:name="_Toc113442190"/>
      <w:bookmarkStart w:id="215" w:name="_Toc113357227"/>
      <w:bookmarkStart w:id="216" w:name="_Toc157704973"/>
      <w:r w:rsidRPr="005767B5">
        <w:t>Completing</w:t>
      </w:r>
      <w:r>
        <w:t xml:space="preserve"> and lodging an application</w:t>
      </w:r>
      <w:bookmarkEnd w:id="212"/>
      <w:bookmarkEnd w:id="213"/>
      <w:bookmarkEnd w:id="214"/>
      <w:bookmarkEnd w:id="215"/>
      <w:bookmarkEnd w:id="216"/>
    </w:p>
    <w:p w14:paraId="67F2B905" w14:textId="77777777" w:rsidR="00733FF0" w:rsidRDefault="00733FF0" w:rsidP="00733FF0">
      <w:pPr>
        <w:pStyle w:val="Normal-Style2"/>
      </w:pPr>
      <w:bookmarkStart w:id="217" w:name="_Ref121922016"/>
      <w:r w:rsidRPr="009A4FE9">
        <w:t>Applications for funding must be lodged using the Application Pack provided following registration.</w:t>
      </w:r>
      <w:bookmarkEnd w:id="217"/>
    </w:p>
    <w:p w14:paraId="65B0EBE0" w14:textId="77777777" w:rsidR="00733FF0" w:rsidRPr="009A4FE9" w:rsidRDefault="00733FF0" w:rsidP="00733FF0">
      <w:pPr>
        <w:pStyle w:val="Normal-Style2"/>
      </w:pPr>
      <w:bookmarkStart w:id="218" w:name="_Ref109304863"/>
      <w:r w:rsidRPr="009A4FE9">
        <w:t>To seek funding for Proposed Solutions, applicants must complete the Assessment Tool from the Application Pack to provide information for each Proposed Solution for which they are seeking funding, specifying in each case:</w:t>
      </w:r>
      <w:bookmarkEnd w:id="218"/>
    </w:p>
    <w:p w14:paraId="4F55E244" w14:textId="77777777" w:rsidR="00733FF0" w:rsidRPr="00CB3318" w:rsidRDefault="00733FF0" w:rsidP="007C2932">
      <w:pPr>
        <w:pStyle w:val="ListBullet"/>
        <w:spacing w:after="120" w:line="240" w:lineRule="auto"/>
        <w:contextualSpacing w:val="0"/>
        <w:rPr>
          <w:rFonts w:eastAsia="Calibri"/>
        </w:rPr>
      </w:pPr>
      <w:r w:rsidRPr="00CE7459">
        <w:t>t</w:t>
      </w:r>
      <w:r>
        <w:t>he Target Location</w:t>
      </w:r>
      <w:r w:rsidRPr="00CE7459">
        <w:t>;</w:t>
      </w:r>
    </w:p>
    <w:p w14:paraId="2CD62824" w14:textId="05535636" w:rsidR="00733FF0" w:rsidRPr="00051D72" w:rsidRDefault="00733FF0" w:rsidP="007C2932">
      <w:pPr>
        <w:pStyle w:val="ListBullet"/>
        <w:spacing w:after="120" w:line="240" w:lineRule="auto"/>
        <w:contextualSpacing w:val="0"/>
        <w:rPr>
          <w:rFonts w:eastAsia="Calibri"/>
        </w:rPr>
      </w:pPr>
      <w:r>
        <w:rPr>
          <w:rFonts w:eastAsia="Calibri"/>
        </w:rPr>
        <w:t>the proposed site location</w:t>
      </w:r>
      <w:r w:rsidR="00AA733E">
        <w:rPr>
          <w:rFonts w:eastAsia="Calibri"/>
        </w:rPr>
        <w:t>(</w:t>
      </w:r>
      <w:r w:rsidR="001235C9">
        <w:rPr>
          <w:rFonts w:eastAsia="Calibri"/>
        </w:rPr>
        <w:t>s</w:t>
      </w:r>
      <w:r w:rsidR="00AA733E">
        <w:rPr>
          <w:rFonts w:eastAsia="Calibri"/>
        </w:rPr>
        <w:t>)</w:t>
      </w:r>
      <w:r>
        <w:rPr>
          <w:rFonts w:eastAsia="Calibri"/>
        </w:rPr>
        <w:t xml:space="preserve"> (address and coordinates);</w:t>
      </w:r>
    </w:p>
    <w:p w14:paraId="2ECEB3F6" w14:textId="77777777" w:rsidR="00733FF0" w:rsidRPr="008C3B1F" w:rsidRDefault="00733FF0" w:rsidP="007C2932">
      <w:pPr>
        <w:pStyle w:val="ListBullet"/>
        <w:spacing w:after="120" w:line="240" w:lineRule="auto"/>
        <w:contextualSpacing w:val="0"/>
        <w:rPr>
          <w:rFonts w:eastAsia="Calibri"/>
        </w:rPr>
      </w:pPr>
      <w:r w:rsidRPr="00CE7459">
        <w:t xml:space="preserve">the total estimated all-up </w:t>
      </w:r>
      <w:r>
        <w:t>Asset C</w:t>
      </w:r>
      <w:r w:rsidRPr="00CE7459">
        <w:t xml:space="preserve">apital </w:t>
      </w:r>
      <w:r>
        <w:t>C</w:t>
      </w:r>
      <w:r w:rsidRPr="00CE7459">
        <w:t xml:space="preserve">ost of construction </w:t>
      </w:r>
      <w:r>
        <w:t>and the Operational Costs</w:t>
      </w:r>
      <w:r w:rsidRPr="00CE7459">
        <w:t xml:space="preserve"> (GST inclusive), including, if required, Backhaul and power;</w:t>
      </w:r>
    </w:p>
    <w:p w14:paraId="4ADAB7C3" w14:textId="77777777" w:rsidR="00733FF0" w:rsidRPr="000D73F6" w:rsidRDefault="00733FF0" w:rsidP="007C2932">
      <w:pPr>
        <w:pStyle w:val="ListBullet"/>
        <w:spacing w:after="120" w:line="240" w:lineRule="auto"/>
        <w:contextualSpacing w:val="0"/>
      </w:pPr>
      <w:r w:rsidRPr="00CE7459">
        <w:t>the amount of co-contribution (GST inclusive) being provided by the applicant;</w:t>
      </w:r>
    </w:p>
    <w:p w14:paraId="43C8940C" w14:textId="55BC7F9F" w:rsidR="00733FF0" w:rsidRPr="000D73F6" w:rsidRDefault="00733FF0" w:rsidP="007C2932">
      <w:pPr>
        <w:pStyle w:val="ListBullet"/>
        <w:spacing w:after="120" w:line="240" w:lineRule="auto"/>
        <w:contextualSpacing w:val="0"/>
      </w:pPr>
      <w:r w:rsidRPr="00CE7459">
        <w:t xml:space="preserve">the amount of Commonwealth co-contribution sought under the Program – </w:t>
      </w:r>
      <w:r>
        <w:t>noting</w:t>
      </w:r>
      <w:r w:rsidRPr="00CE7459">
        <w:t xml:space="preserve"> </w:t>
      </w:r>
      <w:r w:rsidRPr="00EE3949">
        <w:t xml:space="preserve">section </w:t>
      </w:r>
      <w:r>
        <w:fldChar w:fldCharType="begin"/>
      </w:r>
      <w:r>
        <w:instrText xml:space="preserve"> REF _Ref109305501 \r \h </w:instrText>
      </w:r>
      <w:r>
        <w:fldChar w:fldCharType="separate"/>
      </w:r>
      <w:r w:rsidR="001A1CA8">
        <w:t>3.1</w:t>
      </w:r>
      <w:r>
        <w:fldChar w:fldCharType="end"/>
      </w:r>
      <w:r w:rsidRPr="00EE3949">
        <w:t>;</w:t>
      </w:r>
    </w:p>
    <w:p w14:paraId="00E472E5" w14:textId="77777777" w:rsidR="00733FF0" w:rsidRPr="00CE7459" w:rsidRDefault="00733FF0" w:rsidP="007C2932">
      <w:pPr>
        <w:pStyle w:val="ListBullet"/>
        <w:spacing w:after="120" w:line="240" w:lineRule="auto"/>
        <w:contextualSpacing w:val="0"/>
        <w:rPr>
          <w:rFonts w:eastAsia="Calibri"/>
        </w:rPr>
      </w:pPr>
      <w:r w:rsidRPr="00CE7459">
        <w:t>the amount (if any) of co-contributions (GST inclusive) to be received from third parties such as State, Territory or local governments, local communities,</w:t>
      </w:r>
      <w:r>
        <w:t xml:space="preserve"> </w:t>
      </w:r>
      <w:r w:rsidRPr="00492784">
        <w:t xml:space="preserve">MNOs (other than an applicant) confirmed to provide services through the </w:t>
      </w:r>
      <w:r>
        <w:t xml:space="preserve">Proposed </w:t>
      </w:r>
      <w:r w:rsidRPr="00492784">
        <w:t>Solution,</w:t>
      </w:r>
      <w:r w:rsidRPr="00CE7459">
        <w:t xml:space="preserve"> or any combination of these, and any specific requirements or conditions tied to the co-contributions (for information purposes);</w:t>
      </w:r>
    </w:p>
    <w:p w14:paraId="57186932" w14:textId="3E6D953F" w:rsidR="00733FF0" w:rsidRPr="000D73F6" w:rsidRDefault="00733FF0" w:rsidP="007C2932">
      <w:pPr>
        <w:pStyle w:val="ListBullet"/>
        <w:spacing w:after="120" w:line="240" w:lineRule="auto"/>
        <w:contextualSpacing w:val="0"/>
      </w:pPr>
      <w:r w:rsidRPr="00CE7459">
        <w:t xml:space="preserve">the extent to which </w:t>
      </w:r>
      <w:r>
        <w:t>the Proposed Solution</w:t>
      </w:r>
      <w:r w:rsidRPr="00CE7459">
        <w:t xml:space="preserve"> meets the </w:t>
      </w:r>
      <w:r>
        <w:t>A</w:t>
      </w:r>
      <w:r w:rsidRPr="00CE7459">
        <w:t xml:space="preserve">ssessment </w:t>
      </w:r>
      <w:r>
        <w:t>C</w:t>
      </w:r>
      <w:r w:rsidRPr="00CE7459">
        <w:t>riteria</w:t>
      </w:r>
      <w:r>
        <w:t xml:space="preserve"> in section </w:t>
      </w:r>
      <w:r>
        <w:fldChar w:fldCharType="begin"/>
      </w:r>
      <w:r>
        <w:instrText xml:space="preserve"> REF _Ref109305520 \r \h </w:instrText>
      </w:r>
      <w:r>
        <w:fldChar w:fldCharType="separate"/>
      </w:r>
      <w:r w:rsidR="001A1CA8">
        <w:t>6</w:t>
      </w:r>
      <w:r>
        <w:fldChar w:fldCharType="end"/>
      </w:r>
      <w:r w:rsidRPr="00CE7459">
        <w:t>;</w:t>
      </w:r>
    </w:p>
    <w:p w14:paraId="5E88913C" w14:textId="77777777" w:rsidR="007E495B" w:rsidRDefault="00733FF0" w:rsidP="007C2932">
      <w:pPr>
        <w:pStyle w:val="ListBullet"/>
        <w:spacing w:after="120" w:line="240" w:lineRule="auto"/>
        <w:contextualSpacing w:val="0"/>
      </w:pPr>
      <w:r w:rsidRPr="00CE7459">
        <w:t xml:space="preserve">whether the </w:t>
      </w:r>
      <w:r>
        <w:t xml:space="preserve">Proposed </w:t>
      </w:r>
      <w:r w:rsidRPr="00CE7459">
        <w:t xml:space="preserve">Solution is dependent on the construction of one or more of the applicant’s other </w:t>
      </w:r>
      <w:r>
        <w:t xml:space="preserve">Proposed </w:t>
      </w:r>
      <w:r w:rsidRPr="00CE7459">
        <w:t>Solutions,</w:t>
      </w:r>
      <w:r>
        <w:t xml:space="preserve"> and</w:t>
      </w:r>
      <w:r w:rsidRPr="00CE7459">
        <w:t xml:space="preserve"> explaining the specific dependencies</w:t>
      </w:r>
      <w:r w:rsidRPr="001960BB">
        <w:t xml:space="preserve"> </w:t>
      </w:r>
      <w:r>
        <w:t xml:space="preserve">(for example between </w:t>
      </w:r>
      <w:r w:rsidRPr="001960BB">
        <w:t xml:space="preserve">individual base stations included in </w:t>
      </w:r>
      <w:r>
        <w:t xml:space="preserve">the same </w:t>
      </w:r>
      <w:r w:rsidRPr="001960BB">
        <w:t>Cluster</w:t>
      </w:r>
      <w:r>
        <w:t xml:space="preserve"> Solution)</w:t>
      </w:r>
      <w:r w:rsidRPr="00CE7459">
        <w:t>;</w:t>
      </w:r>
    </w:p>
    <w:p w14:paraId="38388995" w14:textId="30A47600" w:rsidR="00733FF0" w:rsidRPr="000D73F6" w:rsidRDefault="00733FF0" w:rsidP="007C2932">
      <w:pPr>
        <w:pStyle w:val="ListBullet"/>
        <w:spacing w:after="120" w:line="240" w:lineRule="auto"/>
        <w:contextualSpacing w:val="0"/>
      </w:pPr>
      <w:r w:rsidRPr="00CE7459">
        <w:t xml:space="preserve">predictive coverage mapping data for each </w:t>
      </w:r>
      <w:r>
        <w:t xml:space="preserve">Proposed </w:t>
      </w:r>
      <w:r w:rsidRPr="00CE7459">
        <w:t>Solution</w:t>
      </w:r>
      <w:r>
        <w:t xml:space="preserve"> modelled to</w:t>
      </w:r>
      <w:r w:rsidRPr="000D73F6">
        <w:t xml:space="preserve"> </w:t>
      </w:r>
      <w:r>
        <w:t xml:space="preserve">the New/Improved Handheld Coverage specified at section </w:t>
      </w:r>
      <w:r>
        <w:fldChar w:fldCharType="begin"/>
      </w:r>
      <w:r>
        <w:instrText xml:space="preserve"> REF _Ref109305451 \r \h </w:instrText>
      </w:r>
      <w:r>
        <w:fldChar w:fldCharType="separate"/>
      </w:r>
      <w:r w:rsidR="001A1CA8">
        <w:t>4.2.4</w:t>
      </w:r>
      <w:r>
        <w:fldChar w:fldCharType="end"/>
      </w:r>
      <w:r>
        <w:t>, and</w:t>
      </w:r>
      <w:r w:rsidRPr="000D73F6">
        <w:t xml:space="preserve"> mapping data modelled to the level of coverage the applicant will publicly claim</w:t>
      </w:r>
      <w:r>
        <w:t>;</w:t>
      </w:r>
    </w:p>
    <w:p w14:paraId="6C02EA59" w14:textId="77777777" w:rsidR="00733FF0" w:rsidRPr="007919D0" w:rsidRDefault="00733FF0" w:rsidP="007C2932">
      <w:pPr>
        <w:pStyle w:val="ListBullet"/>
        <w:spacing w:after="120" w:line="240" w:lineRule="auto"/>
        <w:contextualSpacing w:val="0"/>
        <w:rPr>
          <w:rFonts w:eastAsia="Calibri"/>
        </w:rPr>
      </w:pPr>
      <w:r>
        <w:t>written support (where necessary</w:t>
      </w:r>
      <w:r w:rsidRPr="007919D0">
        <w:t>); and</w:t>
      </w:r>
    </w:p>
    <w:p w14:paraId="46E554A3" w14:textId="77777777" w:rsidR="00733FF0" w:rsidRPr="00A01492" w:rsidRDefault="00733FF0" w:rsidP="007C2932">
      <w:pPr>
        <w:pStyle w:val="ListBullet"/>
        <w:spacing w:after="120" w:line="240" w:lineRule="auto"/>
        <w:contextualSpacing w:val="0"/>
        <w:rPr>
          <w:rFonts w:eastAsia="Calibri"/>
        </w:rPr>
      </w:pPr>
      <w:r w:rsidRPr="007919D0">
        <w:t xml:space="preserve">the number of MNOs confirmed to provide services through the </w:t>
      </w:r>
      <w:r>
        <w:t xml:space="preserve">Proposed </w:t>
      </w:r>
      <w:r w:rsidRPr="007919D0">
        <w:t>Solution, and, if more than one, confirmation of the way in which multiple MNOs will provide services (e.g. RAN sharing, co-location).</w:t>
      </w:r>
    </w:p>
    <w:p w14:paraId="66ECD83D" w14:textId="77777777" w:rsidR="00733FF0" w:rsidRPr="001235C9" w:rsidRDefault="00733FF0" w:rsidP="00A67C4E">
      <w:pPr>
        <w:pStyle w:val="Bodynumbered-Level1"/>
        <w:spacing w:line="280" w:lineRule="atLeast"/>
        <w:ind w:left="1418" w:hanging="567"/>
        <w:rPr>
          <w:rFonts w:asciiTheme="minorHAnsi" w:hAnsiTheme="minorHAnsi" w:cstheme="minorHAnsi"/>
        </w:rPr>
      </w:pPr>
      <w:r w:rsidRPr="001235C9">
        <w:rPr>
          <w:rFonts w:asciiTheme="minorHAnsi" w:hAnsiTheme="minorHAnsi" w:cstheme="minorHAnsi"/>
        </w:rPr>
        <w:t>Note:</w:t>
      </w:r>
      <w:r w:rsidRPr="001235C9">
        <w:rPr>
          <w:rFonts w:asciiTheme="minorHAnsi" w:hAnsiTheme="minorHAnsi" w:cstheme="minorHAnsi"/>
        </w:rPr>
        <w:tab/>
        <w:t>The applicant must agree that any predictive coverage mapping data supplied in the application can be used by the department to prepare promotional material for the Program.</w:t>
      </w:r>
    </w:p>
    <w:p w14:paraId="27309300" w14:textId="791EB943" w:rsidR="00733FF0" w:rsidRDefault="00733FF0" w:rsidP="00733FF0">
      <w:pPr>
        <w:pStyle w:val="Normal-Style2"/>
      </w:pPr>
      <w:r w:rsidRPr="009A4FE9">
        <w:t>In addition, applicants must warrant that none of the Proposed Solutions for which Commonwealth funds have been sought were at any time part of their 202</w:t>
      </w:r>
      <w:r>
        <w:t>2-23</w:t>
      </w:r>
      <w:r w:rsidRPr="009A4FE9">
        <w:t xml:space="preserve"> to 202</w:t>
      </w:r>
      <w:r>
        <w:t>6</w:t>
      </w:r>
      <w:r w:rsidRPr="009A4FE9">
        <w:t>-2</w:t>
      </w:r>
      <w:r>
        <w:t>7</w:t>
      </w:r>
      <w:r w:rsidRPr="009A4FE9">
        <w:t xml:space="preserve"> forward-build network expansion or upgrade plans</w:t>
      </w:r>
      <w:r>
        <w:t xml:space="preserve"> (see section </w:t>
      </w:r>
      <w:r>
        <w:fldChar w:fldCharType="begin"/>
      </w:r>
      <w:r>
        <w:instrText xml:space="preserve"> REF _Ref110515500 \r \h </w:instrText>
      </w:r>
      <w:r>
        <w:fldChar w:fldCharType="separate"/>
      </w:r>
      <w:r w:rsidR="001A1CA8">
        <w:t>5.4.1</w:t>
      </w:r>
      <w:r>
        <w:fldChar w:fldCharType="end"/>
      </w:r>
      <w:r>
        <w:t>)</w:t>
      </w:r>
      <w:r w:rsidRPr="009A4FE9">
        <w:t>.</w:t>
      </w:r>
    </w:p>
    <w:p w14:paraId="0D841DA0" w14:textId="7E897320" w:rsidR="00733FF0" w:rsidRDefault="00733FF0" w:rsidP="00733FF0">
      <w:pPr>
        <w:pStyle w:val="Normal-Style2"/>
      </w:pPr>
      <w:r w:rsidRPr="009A4FE9">
        <w:t>Applicants must indicate their compliance with the draft Grant Agreement (to be provided to registered applicants) at the time of submitting their applications. Where the terms of the draft Grant Agreement are not accepted in full, applicants are required to submit a revis</w:t>
      </w:r>
      <w:r w:rsidR="001235C9">
        <w:t>ed</w:t>
      </w:r>
      <w:r w:rsidRPr="009A4FE9">
        <w:t xml:space="preserve"> version of the draft Grant Agreement</w:t>
      </w:r>
      <w:r w:rsidR="001235C9">
        <w:t xml:space="preserve"> marked to</w:t>
      </w:r>
      <w:r w:rsidRPr="009A4FE9">
        <w:t xml:space="preserve"> reflect their proposed drafting, their position and their reasons for requesting the change.</w:t>
      </w:r>
    </w:p>
    <w:p w14:paraId="20714690" w14:textId="7E18D480" w:rsidR="00733FF0" w:rsidRPr="00BC16FC" w:rsidRDefault="00733FF0" w:rsidP="00733FF0">
      <w:pPr>
        <w:pStyle w:val="Normal-Style2"/>
      </w:pPr>
      <w:bookmarkStart w:id="219" w:name="_Ref121922484"/>
      <w:r w:rsidRPr="00BC16FC">
        <w:t xml:space="preserve">Where an applicant has previously agreed a grant agreement with the Commonwealth under the Mobile Black Spot Program or another similar grant program that is administered by the department (for example, the Peri-Urban Mobile Program) (Previous Grant Agreement) the applicant may request the Commonwealth consider using the Previous Grant Agreement as the basis for the Grant Agreement under this grant program. When making a request, the applicant must provide reasons addressing why utilising a Previous Grant Agreement would be appropriate. Requests of this nature must be received no later than </w:t>
      </w:r>
      <w:r w:rsidR="002B3F2E" w:rsidRPr="00BC16FC">
        <w:t>30 March 2023</w:t>
      </w:r>
      <w:r w:rsidRPr="00BC16FC">
        <w:t>, being two weeks before close of applications.</w:t>
      </w:r>
      <w:bookmarkEnd w:id="219"/>
    </w:p>
    <w:p w14:paraId="34ACC812" w14:textId="77777777" w:rsidR="00733FF0" w:rsidRPr="00BC16FC" w:rsidRDefault="00733FF0" w:rsidP="00733FF0">
      <w:pPr>
        <w:pStyle w:val="Normal-Style2"/>
      </w:pPr>
      <w:r w:rsidRPr="00BC16FC">
        <w:t>The department may, at its sole and absolute discretion, decide to agree to use the Previous Grant Agreement as the basis for the Grant Agreement. However, the department is under no obligation to agree to any request made by an applicant to utilise a Previous Grant Agreement. Any decision by the department will be final.</w:t>
      </w:r>
    </w:p>
    <w:p w14:paraId="6384387F" w14:textId="4E1FA566" w:rsidR="00733FF0" w:rsidRPr="00BC16FC" w:rsidRDefault="007920B9" w:rsidP="00733FF0">
      <w:pPr>
        <w:pStyle w:val="Normal-Style2"/>
      </w:pPr>
      <w:r w:rsidRPr="00BC16FC">
        <w:t xml:space="preserve">Subject to section </w:t>
      </w:r>
      <w:r w:rsidRPr="00BC16FC">
        <w:fldChar w:fldCharType="begin"/>
      </w:r>
      <w:r w:rsidRPr="00BC16FC">
        <w:instrText xml:space="preserve"> REF _Ref121922484 \r \h </w:instrText>
      </w:r>
      <w:r w:rsidR="00BC16FC">
        <w:instrText xml:space="preserve"> \* MERGEFORMAT </w:instrText>
      </w:r>
      <w:r w:rsidRPr="00BC16FC">
        <w:fldChar w:fldCharType="separate"/>
      </w:r>
      <w:r w:rsidRPr="00BC16FC">
        <w:t>7.4.5</w:t>
      </w:r>
      <w:r w:rsidRPr="00BC16FC">
        <w:fldChar w:fldCharType="end"/>
      </w:r>
      <w:r w:rsidRPr="00BC16FC">
        <w:t>, t</w:t>
      </w:r>
      <w:r w:rsidR="00733FF0" w:rsidRPr="00BC16FC">
        <w:t xml:space="preserve">he applicant </w:t>
      </w:r>
      <w:r w:rsidRPr="00BC16FC">
        <w:t>may</w:t>
      </w:r>
      <w:r w:rsidR="00733FF0" w:rsidRPr="00BC16FC">
        <w:t xml:space="preserve"> identify any terms in the Previous Grant Agreement the applicant does not fully accept or which in its opinion require adaptation for this Program. </w:t>
      </w:r>
      <w:r w:rsidR="0041760F" w:rsidRPr="00BC16FC">
        <w:t>In this case</w:t>
      </w:r>
      <w:r w:rsidR="00733FF0" w:rsidRPr="00BC16FC">
        <w:t xml:space="preserve">, the applicant is required </w:t>
      </w:r>
      <w:r w:rsidR="0041760F" w:rsidRPr="00BC16FC">
        <w:t xml:space="preserve">at the time of application </w:t>
      </w:r>
      <w:r w:rsidR="00733FF0" w:rsidRPr="00BC16FC">
        <w:t xml:space="preserve">to submit a </w:t>
      </w:r>
      <w:r w:rsidR="0041760F" w:rsidRPr="00BC16FC">
        <w:t>revised</w:t>
      </w:r>
      <w:r w:rsidR="00733FF0" w:rsidRPr="00BC16FC">
        <w:t xml:space="preserve"> version of the Previous Grant Agreement </w:t>
      </w:r>
      <w:r w:rsidR="0041760F" w:rsidRPr="00BC16FC">
        <w:t xml:space="preserve">marked to </w:t>
      </w:r>
      <w:r w:rsidR="00733FF0" w:rsidRPr="00BC16FC">
        <w:t>reflect its proposed drafting, its position and its reasons for requesting the change.</w:t>
      </w:r>
    </w:p>
    <w:p w14:paraId="627857CC" w14:textId="77777777" w:rsidR="00733FF0" w:rsidRPr="00BC16FC" w:rsidRDefault="00733FF0" w:rsidP="00733FF0">
      <w:pPr>
        <w:pStyle w:val="Normal-Style2"/>
      </w:pPr>
      <w:r w:rsidRPr="00BC16FC">
        <w:t>Where the Commonwealth has agreed to use a Previous Grant Agreement as the basis for the Grant Agreement under this Program, prior to commencement of negotiations, the department will provide the applicant with details of the clauses from the Previous Grant Agreement that the department considers will need to be amended to reflect the requirements of this Program. These requirements will be drawn from the sample Grant Agreement provided in the Application Pack.</w:t>
      </w:r>
    </w:p>
    <w:p w14:paraId="3DCD0A05" w14:textId="77777777" w:rsidR="00733FF0" w:rsidRPr="00BC16FC" w:rsidRDefault="00733FF0" w:rsidP="007920B9">
      <w:pPr>
        <w:pStyle w:val="ListBullet"/>
        <w:numPr>
          <w:ilvl w:val="0"/>
          <w:numId w:val="0"/>
        </w:numPr>
        <w:ind w:left="851"/>
        <w:rPr>
          <w:rFonts w:eastAsia="Calibri"/>
        </w:rPr>
      </w:pPr>
      <w:r w:rsidRPr="00BC16FC">
        <w:t xml:space="preserve">Note: </w:t>
      </w:r>
      <w:r w:rsidRPr="00BC16FC">
        <w:rPr>
          <w:rFonts w:eastAsia="Calibri"/>
        </w:rPr>
        <w:t>No contractual obligations arise for either party until a Grant Agreement satisfactory to the Commonwealth is negotiated and signed by the Commonwealth.</w:t>
      </w:r>
    </w:p>
    <w:p w14:paraId="7E0644A5" w14:textId="2F191C49" w:rsidR="00733FF0" w:rsidRPr="00BC16FC" w:rsidRDefault="00733FF0" w:rsidP="00733FF0">
      <w:pPr>
        <w:pStyle w:val="Normal-Style2"/>
      </w:pPr>
      <w:r w:rsidRPr="00BC16FC">
        <w:t xml:space="preserve">Details for contacting the department to seek clarification or assistance with any aspects of completing an application are at section </w:t>
      </w:r>
      <w:r w:rsidRPr="00BC16FC">
        <w:fldChar w:fldCharType="begin"/>
      </w:r>
      <w:r w:rsidRPr="00BC16FC">
        <w:instrText xml:space="preserve"> REF _Ref109305569 \r \h </w:instrText>
      </w:r>
      <w:r w:rsidR="00BC16FC">
        <w:instrText xml:space="preserve"> \* MERGEFORMAT </w:instrText>
      </w:r>
      <w:r w:rsidRPr="00BC16FC">
        <w:fldChar w:fldCharType="separate"/>
      </w:r>
      <w:r w:rsidR="001A1CA8" w:rsidRPr="00BC16FC">
        <w:t>7.8</w:t>
      </w:r>
      <w:r w:rsidRPr="00BC16FC">
        <w:fldChar w:fldCharType="end"/>
      </w:r>
      <w:r w:rsidRPr="00BC16FC">
        <w:t>.</w:t>
      </w:r>
    </w:p>
    <w:p w14:paraId="51845E2F" w14:textId="2F27EA18" w:rsidR="0045229E" w:rsidRPr="00BC16FC" w:rsidRDefault="00733FF0" w:rsidP="00733FF0">
      <w:pPr>
        <w:pStyle w:val="Normal-Style2"/>
      </w:pPr>
      <w:r w:rsidRPr="00BC16FC">
        <w:t xml:space="preserve">Applications can be lodged using GovTEAMS, the Australian Government’s secure online document sharing and project management system. Potential applicants will be provided with information about lodging applications using GovTEAMS upon registering their interest for the Program (see section </w:t>
      </w:r>
      <w:r w:rsidRPr="00BC16FC">
        <w:fldChar w:fldCharType="begin"/>
      </w:r>
      <w:r w:rsidRPr="00BC16FC">
        <w:instrText xml:space="preserve"> REF _Ref109305581 \r \h  \* MERGEFORMAT </w:instrText>
      </w:r>
      <w:r w:rsidRPr="00BC16FC">
        <w:fldChar w:fldCharType="separate"/>
      </w:r>
      <w:r w:rsidR="001A1CA8" w:rsidRPr="00BC16FC">
        <w:t>7.2.2</w:t>
      </w:r>
      <w:r w:rsidRPr="00BC16FC">
        <w:fldChar w:fldCharType="end"/>
      </w:r>
      <w:r w:rsidRPr="00BC16FC">
        <w:t>)</w:t>
      </w:r>
      <w:r w:rsidR="0045229E" w:rsidRPr="00BC16FC">
        <w:t>.</w:t>
      </w:r>
    </w:p>
    <w:p w14:paraId="5E1E0ECF" w14:textId="0C5DD0DD" w:rsidR="00733FF0" w:rsidRPr="00BC16FC" w:rsidRDefault="00733FF0" w:rsidP="007920B9">
      <w:pPr>
        <w:pStyle w:val="ListBullet"/>
        <w:numPr>
          <w:ilvl w:val="0"/>
          <w:numId w:val="0"/>
        </w:numPr>
        <w:ind w:left="851"/>
        <w:rPr>
          <w:rFonts w:eastAsia="Calibri"/>
        </w:rPr>
      </w:pPr>
      <w:r w:rsidRPr="00BC16FC">
        <w:t xml:space="preserve">Note: Potential applicants may request to use alternative online secure document sharing systems by agreement with the department. Requests can be made by email to </w:t>
      </w:r>
      <w:hyperlink r:id="rId27" w:history="1">
        <w:r w:rsidR="00F67A87" w:rsidRPr="00BC16FC">
          <w:rPr>
            <w:rStyle w:val="Hyperlink"/>
          </w:rPr>
          <w:t>MBSP@infrastructure.gov.au</w:t>
        </w:r>
      </w:hyperlink>
      <w:hyperlink r:id="rId28" w:history="1"/>
      <w:r w:rsidRPr="00BC16FC">
        <w:t>, and should be received no later than two weeks prior to the closing of the application period.</w:t>
      </w:r>
    </w:p>
    <w:p w14:paraId="422AFDF4" w14:textId="77777777" w:rsidR="00733FF0" w:rsidRPr="00BC16FC" w:rsidRDefault="00733FF0" w:rsidP="00733FF0">
      <w:pPr>
        <w:pStyle w:val="Normal-Style2"/>
      </w:pPr>
      <w:bookmarkStart w:id="220" w:name="_Ref110516217"/>
      <w:r w:rsidRPr="00BC16FC">
        <w:t>All electronic files, regardless of transmission method, should be provided in an appropriate Microsoft compatible format. Geo-spatial information such as maps should be provided in either ESRI Shape; MapInfo TAB or MID/MIF; GML; or KML format.</w:t>
      </w:r>
      <w:bookmarkEnd w:id="220"/>
    </w:p>
    <w:p w14:paraId="065D62EB" w14:textId="30AAD5F3" w:rsidR="00733FF0" w:rsidRPr="00BC16FC" w:rsidRDefault="00733FF0" w:rsidP="00733FF0">
      <w:pPr>
        <w:pStyle w:val="Normal-Style2"/>
      </w:pPr>
      <w:r w:rsidRPr="00BC16FC">
        <w:t xml:space="preserve">The department strongly prefers electronic applications. However, the department may also accept applications via hard copy and/or physical electronic media if there is a reason why electronic submission is not feasible. Applicants wishing to make applications through physical means should contact the department by email to </w:t>
      </w:r>
      <w:hyperlink r:id="rId29" w:history="1">
        <w:r w:rsidR="00F67A87" w:rsidRPr="00BC16FC">
          <w:rPr>
            <w:rStyle w:val="Hyperlink"/>
          </w:rPr>
          <w:t>MBSP@infrastructure.gov.au</w:t>
        </w:r>
      </w:hyperlink>
      <w:r w:rsidR="00F67A87" w:rsidRPr="00BC16FC">
        <w:t xml:space="preserve"> </w:t>
      </w:r>
      <w:r w:rsidRPr="00BC16FC">
        <w:t>no later than four weeks prior to the closing of the application period.</w:t>
      </w:r>
    </w:p>
    <w:p w14:paraId="47A88CB7" w14:textId="77777777" w:rsidR="00733FF0" w:rsidRPr="00BC16FC" w:rsidRDefault="00733FF0" w:rsidP="00733FF0">
      <w:pPr>
        <w:pStyle w:val="Normal-Style2"/>
      </w:pPr>
      <w:r w:rsidRPr="00BC16FC">
        <w:t>The department will acknowledge receipt of all applications by email to the applicant’s nominated contact officer.</w:t>
      </w:r>
    </w:p>
    <w:p w14:paraId="282B1CED" w14:textId="77777777" w:rsidR="00733FF0" w:rsidRPr="00BC16FC" w:rsidRDefault="00733FF0" w:rsidP="00733FF0">
      <w:pPr>
        <w:pStyle w:val="Heading3"/>
      </w:pPr>
      <w:bookmarkStart w:id="221" w:name="_Toc50044034"/>
      <w:bookmarkStart w:id="222" w:name="_Toc56425459"/>
      <w:bookmarkStart w:id="223" w:name="_Toc90294840"/>
      <w:bookmarkStart w:id="224" w:name="_Ref109304909"/>
      <w:bookmarkStart w:id="225" w:name="_Toc113442191"/>
      <w:bookmarkStart w:id="226" w:name="_Toc113357228"/>
      <w:bookmarkStart w:id="227" w:name="_Ref121921698"/>
      <w:bookmarkStart w:id="228" w:name="_Ref121997048"/>
      <w:bookmarkStart w:id="229" w:name="_Toc157704974"/>
      <w:r w:rsidRPr="00BC16FC">
        <w:t>Closing date for funding applications</w:t>
      </w:r>
      <w:bookmarkEnd w:id="221"/>
      <w:bookmarkEnd w:id="222"/>
      <w:bookmarkEnd w:id="223"/>
      <w:bookmarkEnd w:id="224"/>
      <w:bookmarkEnd w:id="225"/>
      <w:bookmarkEnd w:id="226"/>
      <w:bookmarkEnd w:id="227"/>
      <w:bookmarkEnd w:id="228"/>
      <w:bookmarkEnd w:id="229"/>
    </w:p>
    <w:p w14:paraId="19017EC6" w14:textId="16BB5A33" w:rsidR="00733FF0" w:rsidRPr="00BC16FC" w:rsidRDefault="00733FF0" w:rsidP="00733FF0">
      <w:pPr>
        <w:pStyle w:val="Normal-Style2"/>
      </w:pPr>
      <w:r w:rsidRPr="00BC16FC">
        <w:t xml:space="preserve">The closing date for submitting an application for funding under the Program is 5.00pm (Canberra time), </w:t>
      </w:r>
      <w:r w:rsidR="002B3F2E" w:rsidRPr="00BC16FC">
        <w:t>13 April 2023</w:t>
      </w:r>
      <w:r w:rsidRPr="00BC16FC">
        <w:t>.</w:t>
      </w:r>
    </w:p>
    <w:p w14:paraId="69694120" w14:textId="77777777" w:rsidR="00733FF0" w:rsidRPr="00BC16FC" w:rsidRDefault="00733FF0" w:rsidP="00733FF0">
      <w:pPr>
        <w:pStyle w:val="Heading3"/>
      </w:pPr>
      <w:bookmarkStart w:id="230" w:name="_Toc50044035"/>
      <w:bookmarkStart w:id="231" w:name="_Toc56425460"/>
      <w:bookmarkStart w:id="232" w:name="_Toc90294841"/>
      <w:bookmarkStart w:id="233" w:name="_Toc113442192"/>
      <w:bookmarkStart w:id="234" w:name="_Toc113357229"/>
      <w:bookmarkStart w:id="235" w:name="_Toc157704975"/>
      <w:r w:rsidRPr="00BC16FC">
        <w:t>Late applications</w:t>
      </w:r>
      <w:bookmarkEnd w:id="230"/>
      <w:bookmarkEnd w:id="231"/>
      <w:bookmarkEnd w:id="232"/>
      <w:bookmarkEnd w:id="233"/>
      <w:bookmarkEnd w:id="234"/>
      <w:bookmarkEnd w:id="235"/>
    </w:p>
    <w:p w14:paraId="05F4689B" w14:textId="77777777" w:rsidR="00733FF0" w:rsidRPr="009D2F58" w:rsidRDefault="00733FF0" w:rsidP="00733FF0">
      <w:pPr>
        <w:pStyle w:val="Normal-Style2"/>
      </w:pPr>
      <w:r w:rsidRPr="00BC16FC">
        <w:t>Any decision by the department on</w:t>
      </w:r>
      <w:r w:rsidRPr="009D2F58">
        <w:t xml:space="preserve"> whether or not to accept a late application to the assessment process is wholly within the </w:t>
      </w:r>
      <w:r>
        <w:t>department</w:t>
      </w:r>
      <w:r w:rsidRPr="009D2F58">
        <w:t>’s absolute discretion and shall be final.</w:t>
      </w:r>
    </w:p>
    <w:p w14:paraId="0EA10D25" w14:textId="77777777" w:rsidR="00B36CCD" w:rsidRDefault="00B36CCD">
      <w:pPr>
        <w:spacing w:line="259" w:lineRule="auto"/>
        <w:rPr>
          <w:rFonts w:eastAsia="SimSun" w:cs="Times New Roman"/>
          <w:b/>
          <w:color w:val="595C6E"/>
          <w:kern w:val="12"/>
          <w:sz w:val="32"/>
          <w:szCs w:val="24"/>
        </w:rPr>
      </w:pPr>
      <w:bookmarkStart w:id="236" w:name="_Toc50044036"/>
      <w:bookmarkStart w:id="237" w:name="_Toc56425461"/>
      <w:bookmarkStart w:id="238" w:name="_Toc90294842"/>
      <w:bookmarkStart w:id="239" w:name="_Toc113442193"/>
      <w:bookmarkStart w:id="240" w:name="_Toc113357230"/>
      <w:r>
        <w:br w:type="page"/>
      </w:r>
    </w:p>
    <w:p w14:paraId="0C5DBF14" w14:textId="731BDAAD" w:rsidR="00733FF0" w:rsidRDefault="00733FF0" w:rsidP="00733FF0">
      <w:pPr>
        <w:pStyle w:val="Heading3"/>
      </w:pPr>
      <w:bookmarkStart w:id="241" w:name="_Toc157704976"/>
      <w:r w:rsidRPr="005767B5">
        <w:t>Further information about the application</w:t>
      </w:r>
      <w:bookmarkEnd w:id="236"/>
      <w:bookmarkEnd w:id="237"/>
      <w:bookmarkEnd w:id="238"/>
      <w:bookmarkEnd w:id="239"/>
      <w:bookmarkEnd w:id="240"/>
      <w:bookmarkEnd w:id="241"/>
    </w:p>
    <w:p w14:paraId="037821A9" w14:textId="77777777" w:rsidR="00733FF0" w:rsidRPr="009A4FE9" w:rsidRDefault="00733FF0" w:rsidP="00733FF0">
      <w:pPr>
        <w:pStyle w:val="Normal-Style2"/>
      </w:pPr>
      <w:r w:rsidRPr="009A4FE9">
        <w:t xml:space="preserve">At any time during the initial registration, pre-application, application, or assessment processes, the </w:t>
      </w:r>
      <w:r>
        <w:t>department</w:t>
      </w:r>
      <w:r w:rsidRPr="009A4FE9">
        <w:t xml:space="preserve"> may:</w:t>
      </w:r>
    </w:p>
    <w:p w14:paraId="32AFF722" w14:textId="77777777" w:rsidR="00733FF0" w:rsidRPr="000D73F6" w:rsidRDefault="00733FF0" w:rsidP="00733FF0">
      <w:pPr>
        <w:pStyle w:val="ListBullet"/>
      </w:pPr>
      <w:r w:rsidRPr="00CE7459">
        <w:t>contact applicants to check information that may be ambiguous</w:t>
      </w:r>
      <w:r>
        <w:t>, incorrect</w:t>
      </w:r>
      <w:r w:rsidRPr="00CE7459">
        <w:t xml:space="preserve"> or unclear;</w:t>
      </w:r>
    </w:p>
    <w:p w14:paraId="23A8A9AC" w14:textId="77777777" w:rsidR="00733FF0" w:rsidRPr="000D73F6" w:rsidRDefault="00733FF0" w:rsidP="00733FF0">
      <w:pPr>
        <w:pStyle w:val="ListBullet"/>
      </w:pPr>
      <w:r w:rsidRPr="00CE7459">
        <w:t>seek either additional information or seek clarification of certain information to assist its assessment of applications; and/or</w:t>
      </w:r>
    </w:p>
    <w:p w14:paraId="1881E88E" w14:textId="77777777" w:rsidR="00733FF0" w:rsidRPr="00852C85" w:rsidRDefault="00733FF0" w:rsidP="00733FF0">
      <w:pPr>
        <w:pStyle w:val="ListBullet"/>
        <w:rPr>
          <w:rFonts w:eastAsia="Calibri"/>
        </w:rPr>
      </w:pPr>
      <w:r w:rsidRPr="00CE7459">
        <w:t xml:space="preserve">seek expert advice to </w:t>
      </w:r>
      <w:r w:rsidRPr="00852C85">
        <w:t>verify claims made.</w:t>
      </w:r>
    </w:p>
    <w:p w14:paraId="4AC3447C" w14:textId="77777777" w:rsidR="00733FF0" w:rsidRPr="00852C85" w:rsidRDefault="00733FF0" w:rsidP="00733FF0">
      <w:pPr>
        <w:pStyle w:val="Heading3"/>
      </w:pPr>
      <w:bookmarkStart w:id="242" w:name="_Toc5193521"/>
      <w:bookmarkStart w:id="243" w:name="_Toc5265930"/>
      <w:bookmarkStart w:id="244" w:name="_Toc50044037"/>
      <w:bookmarkStart w:id="245" w:name="_Toc56425462"/>
      <w:bookmarkStart w:id="246" w:name="_Toc90294843"/>
      <w:bookmarkStart w:id="247" w:name="_Ref109305569"/>
      <w:bookmarkStart w:id="248" w:name="_Toc113442194"/>
      <w:bookmarkStart w:id="249" w:name="_Toc113357231"/>
      <w:bookmarkStart w:id="250" w:name="_Toc157704977"/>
      <w:bookmarkStart w:id="251" w:name="_Toc384307739"/>
      <w:bookmarkStart w:id="252" w:name="_Toc384307810"/>
      <w:bookmarkStart w:id="253" w:name="_Toc389141038"/>
      <w:bookmarkStart w:id="254" w:name="_Toc433641171"/>
      <w:bookmarkStart w:id="255" w:name="_Toc467773972"/>
      <w:r w:rsidRPr="00852C85">
        <w:t>Questions during the application process</w:t>
      </w:r>
      <w:bookmarkEnd w:id="242"/>
      <w:bookmarkEnd w:id="243"/>
      <w:bookmarkEnd w:id="244"/>
      <w:bookmarkEnd w:id="245"/>
      <w:bookmarkEnd w:id="246"/>
      <w:bookmarkEnd w:id="247"/>
      <w:bookmarkEnd w:id="248"/>
      <w:bookmarkEnd w:id="249"/>
      <w:bookmarkEnd w:id="250"/>
    </w:p>
    <w:p w14:paraId="40272C07" w14:textId="7F41B543" w:rsidR="00733FF0" w:rsidRPr="00852C85" w:rsidRDefault="00733FF0" w:rsidP="00733FF0">
      <w:pPr>
        <w:pStyle w:val="Normal-Style2"/>
      </w:pPr>
      <w:r w:rsidRPr="00852C85">
        <w:t xml:space="preserve">All requests for clarification or determination of the meaning of provisions in these Guidelines should be referred to the department </w:t>
      </w:r>
      <w:hyperlink r:id="rId30" w:history="1">
        <w:r w:rsidRPr="00852C85">
          <w:t>by email</w:t>
        </w:r>
      </w:hyperlink>
      <w:r w:rsidRPr="00852C85">
        <w:t xml:space="preserve"> at </w:t>
      </w:r>
      <w:hyperlink r:id="rId31" w:history="1">
        <w:r w:rsidR="00F67A87" w:rsidRPr="00A32BA9">
          <w:rPr>
            <w:rStyle w:val="Hyperlink"/>
          </w:rPr>
          <w:t>MBSP@infrastructure.gov.au</w:t>
        </w:r>
      </w:hyperlink>
      <w:r w:rsidRPr="00852C85">
        <w:t>. The department’s written decision on any matter is final.</w:t>
      </w:r>
      <w:bookmarkEnd w:id="251"/>
      <w:bookmarkEnd w:id="252"/>
      <w:bookmarkEnd w:id="253"/>
      <w:bookmarkEnd w:id="254"/>
      <w:bookmarkEnd w:id="255"/>
    </w:p>
    <w:p w14:paraId="39D0E05C" w14:textId="3253805D" w:rsidR="0045229E" w:rsidRDefault="00733FF0" w:rsidP="00733FF0">
      <w:pPr>
        <w:pStyle w:val="Normal-Style2"/>
      </w:pPr>
      <w:r w:rsidRPr="00852C85">
        <w:t xml:space="preserve">Answers to questions may be posted on </w:t>
      </w:r>
      <w:r w:rsidR="00DD5568" w:rsidRPr="00DD5568">
        <w:t>GrantConnect</w:t>
      </w:r>
      <w:r w:rsidRPr="00852C85">
        <w:rPr>
          <w:rStyle w:val="Hyperlink"/>
        </w:rPr>
        <w:t xml:space="preserve"> </w:t>
      </w:r>
      <w:r w:rsidRPr="007C2932">
        <w:rPr>
          <w:rStyle w:val="Hyperlink"/>
          <w:color w:val="auto"/>
          <w:u w:val="none"/>
        </w:rPr>
        <w:t>on a non-attributable basis</w:t>
      </w:r>
      <w:r w:rsidR="0045229E">
        <w:t>.</w:t>
      </w:r>
    </w:p>
    <w:p w14:paraId="1D3BFEC5" w14:textId="77777777" w:rsidR="00733FF0" w:rsidRPr="00852C85" w:rsidRDefault="00733FF0" w:rsidP="00733FF0">
      <w:pPr>
        <w:pStyle w:val="Heading3"/>
      </w:pPr>
      <w:bookmarkStart w:id="256" w:name="_Toc56425463"/>
      <w:bookmarkStart w:id="257" w:name="_Toc90294844"/>
      <w:bookmarkStart w:id="258" w:name="_Toc113442195"/>
      <w:bookmarkStart w:id="259" w:name="_Toc113357232"/>
      <w:bookmarkStart w:id="260" w:name="_Toc157704978"/>
      <w:r w:rsidRPr="00852C85">
        <w:t>Errors identified in applications</w:t>
      </w:r>
      <w:bookmarkEnd w:id="256"/>
      <w:bookmarkEnd w:id="257"/>
      <w:bookmarkEnd w:id="258"/>
      <w:bookmarkEnd w:id="259"/>
      <w:bookmarkEnd w:id="260"/>
    </w:p>
    <w:p w14:paraId="21A97AC6" w14:textId="037F9CF2" w:rsidR="00733FF0" w:rsidRPr="00852C85" w:rsidRDefault="00733FF0" w:rsidP="00733FF0">
      <w:pPr>
        <w:pStyle w:val="Normal-Style2"/>
      </w:pPr>
      <w:r w:rsidRPr="00852C85">
        <w:t xml:space="preserve">If you find an error in your application after submitting it, you should contact the department immediately at </w:t>
      </w:r>
      <w:hyperlink r:id="rId32" w:history="1">
        <w:r w:rsidR="00D03B4C" w:rsidRPr="00FB733E">
          <w:rPr>
            <w:rStyle w:val="Hyperlink"/>
          </w:rPr>
          <w:t>MBSP@infrastructure.gov.au</w:t>
        </w:r>
      </w:hyperlink>
      <w:r w:rsidR="00D03B4C">
        <w:t>.</w:t>
      </w:r>
    </w:p>
    <w:p w14:paraId="7DD7C209" w14:textId="35EAE2B8" w:rsidR="00733FF0" w:rsidRDefault="00733FF0" w:rsidP="00733FF0">
      <w:pPr>
        <w:pStyle w:val="Normal-Style2"/>
      </w:pPr>
      <w:r w:rsidRPr="00852C85">
        <w:t>The department may, at its sole discretion, accept additional information from the applicant or a request to correct the error. However, the department is under no obligation to accept any additional information or a request from</w:t>
      </w:r>
      <w:r w:rsidRPr="009A4FE9">
        <w:t xml:space="preserve"> the applicant to correct any applications after the Closing Date in section </w:t>
      </w:r>
      <w:r w:rsidR="001A1CA8">
        <w:fldChar w:fldCharType="begin"/>
      </w:r>
      <w:r w:rsidR="001A1CA8">
        <w:instrText xml:space="preserve"> REF _Ref121921698 \r \h </w:instrText>
      </w:r>
      <w:r w:rsidR="001A1CA8">
        <w:fldChar w:fldCharType="separate"/>
      </w:r>
      <w:r w:rsidR="001A1CA8">
        <w:t>7.5</w:t>
      </w:r>
      <w:r w:rsidR="001A1CA8">
        <w:fldChar w:fldCharType="end"/>
      </w:r>
      <w:r w:rsidRPr="009A4FE9">
        <w:t>.</w:t>
      </w:r>
    </w:p>
    <w:p w14:paraId="0F086F02" w14:textId="378A5040" w:rsidR="00B16E2A" w:rsidRDefault="00B16E2A" w:rsidP="00733FF0">
      <w:pPr>
        <w:pStyle w:val="Normal-Style2"/>
      </w:pPr>
      <w:r>
        <w:t xml:space="preserve">The department </w:t>
      </w:r>
      <w:r w:rsidR="00A93831">
        <w:t>may</w:t>
      </w:r>
      <w:r>
        <w:t xml:space="preserve">, at its sole discretion, refuse to accept any additional information from the applicant that would substantively change the nature of an application or Proposed Solution after the Closing Date in section </w:t>
      </w:r>
      <w:r>
        <w:fldChar w:fldCharType="begin"/>
      </w:r>
      <w:r>
        <w:instrText xml:space="preserve"> REF _Ref121997048 \r \h </w:instrText>
      </w:r>
      <w:r>
        <w:fldChar w:fldCharType="separate"/>
      </w:r>
      <w:r>
        <w:t>7.5</w:t>
      </w:r>
      <w:r>
        <w:fldChar w:fldCharType="end"/>
      </w:r>
      <w:r>
        <w:t>.</w:t>
      </w:r>
    </w:p>
    <w:p w14:paraId="593BD7BE" w14:textId="77777777" w:rsidR="00733FF0" w:rsidRDefault="00733FF0" w:rsidP="00733FF0">
      <w:pPr>
        <w:pStyle w:val="Heading2"/>
      </w:pPr>
      <w:bookmarkStart w:id="261" w:name="_The_grant_selection"/>
      <w:bookmarkStart w:id="262" w:name="_Toc113442196"/>
      <w:bookmarkStart w:id="263" w:name="_Toc113357233"/>
      <w:bookmarkStart w:id="264" w:name="_Ref121920719"/>
      <w:bookmarkStart w:id="265" w:name="_Toc157704979"/>
      <w:bookmarkEnd w:id="261"/>
      <w:r>
        <w:t>The grant selection process</w:t>
      </w:r>
      <w:bookmarkEnd w:id="262"/>
      <w:bookmarkEnd w:id="263"/>
      <w:bookmarkEnd w:id="264"/>
      <w:bookmarkEnd w:id="265"/>
    </w:p>
    <w:p w14:paraId="67D07341" w14:textId="77777777" w:rsidR="00733FF0" w:rsidRDefault="00733FF0" w:rsidP="00733FF0">
      <w:pPr>
        <w:pStyle w:val="Heading3"/>
      </w:pPr>
      <w:bookmarkStart w:id="266" w:name="_Toc110514779"/>
      <w:bookmarkStart w:id="267" w:name="_Toc110514886"/>
      <w:bookmarkStart w:id="268" w:name="_Toc110514780"/>
      <w:bookmarkStart w:id="269" w:name="_Toc110514887"/>
      <w:bookmarkStart w:id="270" w:name="_Toc110514781"/>
      <w:bookmarkStart w:id="271" w:name="_Toc110514888"/>
      <w:bookmarkStart w:id="272" w:name="_Toc110514782"/>
      <w:bookmarkStart w:id="273" w:name="_Toc110514889"/>
      <w:bookmarkStart w:id="274" w:name="_Toc110514783"/>
      <w:bookmarkStart w:id="275" w:name="_Toc110514890"/>
      <w:bookmarkStart w:id="276" w:name="_Toc110514784"/>
      <w:bookmarkStart w:id="277" w:name="_Toc110514891"/>
      <w:bookmarkStart w:id="278" w:name="_Toc110514785"/>
      <w:bookmarkStart w:id="279" w:name="_Toc110514892"/>
      <w:bookmarkStart w:id="280" w:name="_Toc110514786"/>
      <w:bookmarkStart w:id="281" w:name="_Toc110514893"/>
      <w:bookmarkStart w:id="282" w:name="_Toc113442197"/>
      <w:bookmarkStart w:id="283" w:name="_Toc113357234"/>
      <w:bookmarkStart w:id="284" w:name="_Toc157704980"/>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t>Assessment of grant applications</w:t>
      </w:r>
      <w:bookmarkEnd w:id="282"/>
      <w:bookmarkEnd w:id="283"/>
      <w:bookmarkEnd w:id="284"/>
    </w:p>
    <w:p w14:paraId="42E27FA5" w14:textId="5EA0985E" w:rsidR="00733FF0" w:rsidRDefault="00733FF0" w:rsidP="00733FF0">
      <w:pPr>
        <w:pStyle w:val="Normal-Style2"/>
      </w:pPr>
      <w:r w:rsidRPr="009A4FE9">
        <w:t xml:space="preserve">Following the closing date for applications, the </w:t>
      </w:r>
      <w:r>
        <w:t>d</w:t>
      </w:r>
      <w:r w:rsidRPr="009A4FE9">
        <w:t>epartment will undertake an initial check to ensure each application is complete, that all necessary supporting documentation has been submitted as part of the application, and that it meets the Eligibilit</w:t>
      </w:r>
      <w:r>
        <w:t>y Criteria contained in section</w:t>
      </w:r>
      <w:r w:rsidR="00A67C4E">
        <w:t> </w:t>
      </w:r>
      <w:r>
        <w:fldChar w:fldCharType="begin"/>
      </w:r>
      <w:r>
        <w:instrText xml:space="preserve"> REF _Ref109305621 \r \h </w:instrText>
      </w:r>
      <w:r>
        <w:fldChar w:fldCharType="separate"/>
      </w:r>
      <w:r w:rsidR="001A1CA8">
        <w:t>4</w:t>
      </w:r>
      <w:r>
        <w:fldChar w:fldCharType="end"/>
      </w:r>
      <w:r w:rsidRPr="009A4FE9">
        <w:t>.</w:t>
      </w:r>
    </w:p>
    <w:p w14:paraId="0647C086" w14:textId="77777777" w:rsidR="00733FF0" w:rsidRDefault="00733FF0" w:rsidP="00733FF0">
      <w:pPr>
        <w:pStyle w:val="Heading3"/>
      </w:pPr>
      <w:bookmarkStart w:id="285" w:name="_Toc50044040"/>
      <w:bookmarkStart w:id="286" w:name="_Toc56425466"/>
      <w:bookmarkStart w:id="287" w:name="_Toc85446645"/>
      <w:bookmarkStart w:id="288" w:name="_Toc90294847"/>
      <w:bookmarkStart w:id="289" w:name="_Toc113442198"/>
      <w:bookmarkStart w:id="290" w:name="_Toc113357235"/>
      <w:bookmarkStart w:id="291" w:name="_Toc157704981"/>
      <w:r w:rsidRPr="00285E2B">
        <w:t>Risk assessment</w:t>
      </w:r>
      <w:bookmarkEnd w:id="285"/>
      <w:bookmarkEnd w:id="286"/>
      <w:bookmarkEnd w:id="287"/>
      <w:bookmarkEnd w:id="288"/>
      <w:bookmarkEnd w:id="289"/>
      <w:bookmarkEnd w:id="290"/>
      <w:bookmarkEnd w:id="291"/>
    </w:p>
    <w:p w14:paraId="09B19785" w14:textId="09467FD4" w:rsidR="00733FF0" w:rsidRPr="009A4FE9" w:rsidRDefault="00733FF0" w:rsidP="00733FF0">
      <w:pPr>
        <w:pStyle w:val="Normal-Style2"/>
      </w:pPr>
      <w:r>
        <w:t>The d</w:t>
      </w:r>
      <w:r w:rsidRPr="009A4FE9">
        <w:t>epartment will conduct an overall risk assessment in relation to the suitability of the applicants (and applications) for funding under the Program. The risk assessment will inform the Value for Money assessment</w:t>
      </w:r>
      <w:r>
        <w:t xml:space="preserve"> (see section </w:t>
      </w:r>
      <w:r>
        <w:fldChar w:fldCharType="begin"/>
      </w:r>
      <w:r>
        <w:instrText xml:space="preserve"> REF _Ref110516144 \r \h </w:instrText>
      </w:r>
      <w:r>
        <w:fldChar w:fldCharType="separate"/>
      </w:r>
      <w:r w:rsidR="001A1CA8">
        <w:t>8.4</w:t>
      </w:r>
      <w:r>
        <w:fldChar w:fldCharType="end"/>
      </w:r>
      <w:r>
        <w:t>).</w:t>
      </w:r>
    </w:p>
    <w:p w14:paraId="7D0E7DB0" w14:textId="77777777" w:rsidR="00733FF0" w:rsidRDefault="00733FF0" w:rsidP="00733FF0">
      <w:pPr>
        <w:pStyle w:val="Heading3"/>
      </w:pPr>
      <w:bookmarkStart w:id="292" w:name="_Toc90294848"/>
      <w:bookmarkStart w:id="293" w:name="_Ref110515292"/>
      <w:bookmarkStart w:id="294" w:name="_Toc113442199"/>
      <w:bookmarkStart w:id="295" w:name="_Toc113357236"/>
      <w:bookmarkStart w:id="296" w:name="_Toc157704982"/>
      <w:r w:rsidRPr="00285E2B">
        <w:t>Evaluation and assessment</w:t>
      </w:r>
      <w:bookmarkEnd w:id="292"/>
      <w:bookmarkEnd w:id="293"/>
      <w:bookmarkEnd w:id="294"/>
      <w:bookmarkEnd w:id="295"/>
      <w:bookmarkEnd w:id="296"/>
    </w:p>
    <w:p w14:paraId="2FF8C7DE" w14:textId="4E636D6B" w:rsidR="0045229E" w:rsidRDefault="00733FF0" w:rsidP="00733FF0">
      <w:pPr>
        <w:pStyle w:val="Normal-Style2"/>
      </w:pPr>
      <w:r w:rsidRPr="009A4FE9">
        <w:t xml:space="preserve">Following confirmation that the applications are complete and the applicants meet the Eligibility Criteria in section </w:t>
      </w:r>
      <w:r>
        <w:fldChar w:fldCharType="begin"/>
      </w:r>
      <w:r>
        <w:instrText xml:space="preserve"> REF _Ref437348317 \r \h </w:instrText>
      </w:r>
      <w:r>
        <w:fldChar w:fldCharType="separate"/>
      </w:r>
      <w:r w:rsidR="001A1CA8">
        <w:t>4.1</w:t>
      </w:r>
      <w:r>
        <w:fldChar w:fldCharType="end"/>
      </w:r>
      <w:r w:rsidRPr="009A4FE9">
        <w:t xml:space="preserve">, the Assessment Criteria in section </w:t>
      </w:r>
      <w:r>
        <w:fldChar w:fldCharType="begin"/>
      </w:r>
      <w:r>
        <w:instrText xml:space="preserve"> REF _Ref110516168 \r \h </w:instrText>
      </w:r>
      <w:r>
        <w:fldChar w:fldCharType="separate"/>
      </w:r>
      <w:r>
        <w:t>6</w:t>
      </w:r>
      <w:r>
        <w:fldChar w:fldCharType="end"/>
      </w:r>
      <w:r w:rsidRPr="009A4FE9">
        <w:t xml:space="preserve"> will be used to undertake the initial evaluation of applications received for the Program. This step will include an assessment of whether the </w:t>
      </w:r>
      <w:r>
        <w:t xml:space="preserve">relevant </w:t>
      </w:r>
      <w:r w:rsidRPr="009A4FE9">
        <w:t xml:space="preserve">minimum requirements set out in section </w:t>
      </w:r>
      <w:r>
        <w:fldChar w:fldCharType="begin"/>
      </w:r>
      <w:r>
        <w:instrText xml:space="preserve"> REF _Ref109304876 \r \h </w:instrText>
      </w:r>
      <w:r>
        <w:fldChar w:fldCharType="separate"/>
      </w:r>
      <w:r w:rsidR="001A1CA8">
        <w:t>4.2</w:t>
      </w:r>
      <w:r>
        <w:fldChar w:fldCharType="end"/>
      </w:r>
      <w:r>
        <w:t xml:space="preserve"> </w:t>
      </w:r>
      <w:r w:rsidRPr="009A4FE9">
        <w:t xml:space="preserve">have been satisfied. Proposed Solutions that do not meet the minimum </w:t>
      </w:r>
      <w:r w:rsidRPr="009D4382">
        <w:t>requirements may, at the department’s absolute discretion, be excluded from further consideration</w:t>
      </w:r>
      <w:r w:rsidR="0045229E">
        <w:t>.</w:t>
      </w:r>
    </w:p>
    <w:p w14:paraId="76185E18" w14:textId="5DD68163" w:rsidR="0045229E" w:rsidRDefault="00733FF0" w:rsidP="00733FF0">
      <w:pPr>
        <w:pStyle w:val="Normal-Style2"/>
      </w:pPr>
      <w:r w:rsidRPr="00AA7008">
        <w:t xml:space="preserve">The department will review each Proposed Solution against the relevant Assessment Criteria, and will rank each Proposed Solution accordingly. Applicants must provide evidence to back up claims made in their applications, including mapping data on coverage claims in a format required by the department (see section </w:t>
      </w:r>
      <w:r w:rsidRPr="006D6DB2">
        <w:fldChar w:fldCharType="begin"/>
      </w:r>
      <w:r w:rsidRPr="00AA7008">
        <w:instrText xml:space="preserve"> REF _Ref110516217 \r \h </w:instrText>
      </w:r>
      <w:r w:rsidRPr="00D84EEA">
        <w:instrText xml:space="preserve"> \* MERGEFORMAT </w:instrText>
      </w:r>
      <w:r w:rsidRPr="006D6DB2">
        <w:fldChar w:fldCharType="separate"/>
      </w:r>
      <w:r w:rsidR="001A1CA8">
        <w:t>7.4.11</w:t>
      </w:r>
      <w:r w:rsidRPr="006D6DB2">
        <w:fldChar w:fldCharType="end"/>
      </w:r>
      <w:r w:rsidRPr="00AA7008">
        <w:t>)</w:t>
      </w:r>
      <w:r w:rsidR="0045229E">
        <w:t>.</w:t>
      </w:r>
    </w:p>
    <w:p w14:paraId="1FDEC5BE" w14:textId="33351152" w:rsidR="00733FF0" w:rsidRDefault="00733FF0" w:rsidP="00733FF0">
      <w:pPr>
        <w:pStyle w:val="Normal-Style2"/>
      </w:pPr>
      <w:r w:rsidRPr="00A5721E">
        <w:t xml:space="preserve">Following this review process, the </w:t>
      </w:r>
      <w:r>
        <w:t>d</w:t>
      </w:r>
      <w:r w:rsidRPr="00A5721E">
        <w:t xml:space="preserve">epartment will prepare </w:t>
      </w:r>
      <w:r>
        <w:t xml:space="preserve">a separate </w:t>
      </w:r>
      <w:r w:rsidRPr="00A5721E">
        <w:t>Draft Merit List</w:t>
      </w:r>
      <w:r>
        <w:t xml:space="preserve"> for each Target Location</w:t>
      </w:r>
      <w:r w:rsidRPr="00A5721E">
        <w:t xml:space="preserve"> containing the eligible </w:t>
      </w:r>
      <w:r>
        <w:t xml:space="preserve">Proposed </w:t>
      </w:r>
      <w:r w:rsidRPr="00A5721E">
        <w:t xml:space="preserve">Solutions </w:t>
      </w:r>
      <w:r>
        <w:t xml:space="preserve">for that location </w:t>
      </w:r>
      <w:r w:rsidRPr="00A5721E">
        <w:t>ranked in accordance with the Assessment Criteria in section</w:t>
      </w:r>
      <w:r>
        <w:t> </w:t>
      </w:r>
      <w:r>
        <w:fldChar w:fldCharType="begin"/>
      </w:r>
      <w:r>
        <w:instrText xml:space="preserve"> REF _Ref110516226 \r \h </w:instrText>
      </w:r>
      <w:r>
        <w:fldChar w:fldCharType="separate"/>
      </w:r>
      <w:r w:rsidR="001A1CA8">
        <w:t>6</w:t>
      </w:r>
      <w:r>
        <w:fldChar w:fldCharType="end"/>
      </w:r>
      <w:r>
        <w:t>.</w:t>
      </w:r>
    </w:p>
    <w:p w14:paraId="4054C9CA" w14:textId="77777777" w:rsidR="00733FF0" w:rsidRDefault="00733FF0" w:rsidP="00733FF0">
      <w:pPr>
        <w:pStyle w:val="Heading3"/>
      </w:pPr>
      <w:bookmarkStart w:id="297" w:name="_Toc56425468"/>
      <w:bookmarkStart w:id="298" w:name="_Ref110515480"/>
      <w:bookmarkStart w:id="299" w:name="_Ref110516144"/>
      <w:bookmarkStart w:id="300" w:name="_Toc113442200"/>
      <w:bookmarkStart w:id="301" w:name="_Toc113357237"/>
      <w:bookmarkStart w:id="302" w:name="_Ref121920866"/>
      <w:bookmarkStart w:id="303" w:name="_Ref121921782"/>
      <w:bookmarkStart w:id="304" w:name="_Ref121922509"/>
      <w:bookmarkStart w:id="305" w:name="_Toc157704983"/>
      <w:r w:rsidRPr="00FD21FB">
        <w:t xml:space="preserve">Value </w:t>
      </w:r>
      <w:r>
        <w:t>for</w:t>
      </w:r>
      <w:r w:rsidRPr="00FD21FB">
        <w:t xml:space="preserve"> </w:t>
      </w:r>
      <w:r>
        <w:t>M</w:t>
      </w:r>
      <w:r w:rsidRPr="00FD21FB">
        <w:t>oney</w:t>
      </w:r>
      <w:bookmarkEnd w:id="297"/>
      <w:bookmarkEnd w:id="298"/>
      <w:bookmarkEnd w:id="299"/>
      <w:bookmarkEnd w:id="300"/>
      <w:bookmarkEnd w:id="301"/>
      <w:bookmarkEnd w:id="302"/>
      <w:bookmarkEnd w:id="303"/>
      <w:bookmarkEnd w:id="304"/>
      <w:bookmarkEnd w:id="305"/>
    </w:p>
    <w:p w14:paraId="0FCE13F7" w14:textId="77777777" w:rsidR="00733FF0" w:rsidRPr="00CB2C46" w:rsidRDefault="00733FF0" w:rsidP="00733FF0">
      <w:pPr>
        <w:pStyle w:val="Normal-Style2"/>
        <w:rPr>
          <w:szCs w:val="32"/>
        </w:rPr>
      </w:pPr>
      <w:r>
        <w:t>F</w:t>
      </w:r>
      <w:r w:rsidRPr="006F21BC">
        <w:t xml:space="preserve">ollowing the creation of the Draft </w:t>
      </w:r>
      <w:r>
        <w:t>Merit Lists for each Target Location,</w:t>
      </w:r>
      <w:r w:rsidRPr="00B268A9">
        <w:t xml:space="preserve"> </w:t>
      </w:r>
      <w:r>
        <w:t>t</w:t>
      </w:r>
      <w:r w:rsidRPr="00B268A9">
        <w:t xml:space="preserve">he </w:t>
      </w:r>
      <w:r>
        <w:t>d</w:t>
      </w:r>
      <w:r w:rsidRPr="00B268A9">
        <w:t xml:space="preserve">epartment will undertake a Value for Money assessment for each </w:t>
      </w:r>
      <w:r>
        <w:t>Proposed Solution</w:t>
      </w:r>
      <w:r w:rsidRPr="00B268A9">
        <w:t xml:space="preserve"> to finalise the Merit Lists. </w:t>
      </w:r>
      <w:r w:rsidRPr="00B268A9">
        <w:rPr>
          <w:rFonts w:eastAsiaTheme="minorHAnsi" w:cstheme="minorBidi"/>
          <w:szCs w:val="22"/>
        </w:rPr>
        <w:t>Recommendations for funding will use the processes, requirements and Assessment Criteria set out in these Guidelines.</w:t>
      </w:r>
    </w:p>
    <w:p w14:paraId="6FE0AC71" w14:textId="77777777" w:rsidR="00733FF0" w:rsidRPr="00CB2C46" w:rsidRDefault="00733FF0" w:rsidP="00733FF0">
      <w:pPr>
        <w:pStyle w:val="Normal-Style2"/>
        <w:rPr>
          <w:szCs w:val="32"/>
        </w:rPr>
      </w:pPr>
      <w:r w:rsidRPr="00B268A9">
        <w:rPr>
          <w:rFonts w:eastAsia="Calibri"/>
        </w:rPr>
        <w:t xml:space="preserve">Based on the overarching Value for Money assessment, the </w:t>
      </w:r>
      <w:r>
        <w:rPr>
          <w:rFonts w:eastAsia="Calibri"/>
        </w:rPr>
        <w:t>d</w:t>
      </w:r>
      <w:r w:rsidRPr="00B268A9">
        <w:rPr>
          <w:rFonts w:eastAsia="Calibri"/>
        </w:rPr>
        <w:t>epartment reserves the right to recommend funding one or more Proposed Solutions which were lower ranked against the Assessment Criteria than other Proposed Solutions within a Draft Merit List.</w:t>
      </w:r>
    </w:p>
    <w:p w14:paraId="1944505B" w14:textId="77777777" w:rsidR="00733FF0" w:rsidRPr="004015A7" w:rsidRDefault="00733FF0" w:rsidP="00733FF0">
      <w:pPr>
        <w:pStyle w:val="Normal-Style2"/>
        <w:rPr>
          <w:szCs w:val="32"/>
        </w:rPr>
      </w:pPr>
      <w:r w:rsidRPr="00B268A9">
        <w:rPr>
          <w:rFonts w:eastAsiaTheme="minorHAnsi" w:cstheme="minorBidi"/>
          <w:szCs w:val="22"/>
        </w:rPr>
        <w:t>B</w:t>
      </w:r>
      <w:r w:rsidRPr="00B268A9">
        <w:t xml:space="preserve">ased on the </w:t>
      </w:r>
      <w:r>
        <w:t xml:space="preserve">overarching </w:t>
      </w:r>
      <w:r w:rsidRPr="00B268A9">
        <w:t xml:space="preserve">Value for Money assessment, the </w:t>
      </w:r>
      <w:r>
        <w:t>d</w:t>
      </w:r>
      <w:r w:rsidRPr="00B268A9">
        <w:t xml:space="preserve">epartment </w:t>
      </w:r>
      <w:r>
        <w:t xml:space="preserve">also </w:t>
      </w:r>
      <w:r w:rsidRPr="00B268A9">
        <w:t>reserves the right to recommend not funding one or more Proposed Solutions which are highly ranked against the Assessment Criteria within the Draft Merit Lists.</w:t>
      </w:r>
    </w:p>
    <w:p w14:paraId="6CCB7CB6" w14:textId="77777777" w:rsidR="00733FF0" w:rsidRDefault="00733FF0" w:rsidP="00733FF0">
      <w:pPr>
        <w:pStyle w:val="Normal-Style2"/>
      </w:pPr>
      <w:r>
        <w:t>Key factors considered in the overarching Value for Money assessment include, but are not limited to, the:</w:t>
      </w:r>
    </w:p>
    <w:p w14:paraId="557C4129" w14:textId="77777777" w:rsidR="00733FF0" w:rsidRPr="007D0692" w:rsidRDefault="00733FF0" w:rsidP="00733FF0">
      <w:pPr>
        <w:pStyle w:val="ListBullet"/>
        <w:rPr>
          <w:rFonts w:eastAsia="Calibri"/>
        </w:rPr>
      </w:pPr>
      <w:r>
        <w:rPr>
          <w:rFonts w:eastAsia="Calibri"/>
        </w:rPr>
        <w:t>degree to which mobile services are improved at the Target Location;</w:t>
      </w:r>
    </w:p>
    <w:p w14:paraId="1ADCA33B" w14:textId="012B2DC2" w:rsidR="007E495B" w:rsidRDefault="00B16E2A" w:rsidP="00733FF0">
      <w:pPr>
        <w:pStyle w:val="ListBullet"/>
      </w:pPr>
      <w:r>
        <w:t>extent to</w:t>
      </w:r>
      <w:r w:rsidR="00733FF0" w:rsidRPr="00B146AB">
        <w:t xml:space="preserve"> which </w:t>
      </w:r>
      <w:r w:rsidR="00733FF0">
        <w:t>competitive multi-MNO services are provided at a Target Location;</w:t>
      </w:r>
    </w:p>
    <w:p w14:paraId="5B93E9F1" w14:textId="77777777" w:rsidR="00B37B0E" w:rsidRPr="00AC6935" w:rsidRDefault="00733FF0" w:rsidP="00733FF0">
      <w:pPr>
        <w:pStyle w:val="ListBullet"/>
        <w:rPr>
          <w:rFonts w:eastAsia="Calibri"/>
        </w:rPr>
      </w:pPr>
      <w:r>
        <w:t xml:space="preserve">number of premises that will benefit from New or Improved Handheld Coverage, including coverage that is new for a participating MNO but overlaps with another MNO’s network; </w:t>
      </w:r>
    </w:p>
    <w:p w14:paraId="1D6EC00A" w14:textId="4F436034" w:rsidR="00733FF0" w:rsidRPr="004015A7" w:rsidRDefault="00B37B0E" w:rsidP="00733FF0">
      <w:pPr>
        <w:pStyle w:val="ListBullet"/>
        <w:rPr>
          <w:rFonts w:eastAsia="Calibri"/>
        </w:rPr>
      </w:pPr>
      <w:r>
        <w:t xml:space="preserve">degree to which the Proposed Solution is supported by third-parties (as demonstrated by third-party co-contributions and/or written evidence of support); </w:t>
      </w:r>
      <w:r w:rsidR="00733FF0">
        <w:t>and the</w:t>
      </w:r>
    </w:p>
    <w:p w14:paraId="3CC9FC8D" w14:textId="77777777" w:rsidR="00733FF0" w:rsidRPr="004015A7" w:rsidRDefault="00733FF0" w:rsidP="00733FF0">
      <w:pPr>
        <w:pStyle w:val="ListBullet"/>
        <w:rPr>
          <w:rFonts w:eastAsia="Calibri"/>
        </w:rPr>
      </w:pPr>
      <w:r>
        <w:rPr>
          <w:rFonts w:eastAsia="Calibri"/>
        </w:rPr>
        <w:t>cost to the Commonwealth of the Proposed Solution.</w:t>
      </w:r>
    </w:p>
    <w:p w14:paraId="2BEA7A8D" w14:textId="77777777" w:rsidR="00733FF0" w:rsidRPr="005E287A" w:rsidRDefault="00733FF0" w:rsidP="00A67C4E">
      <w:pPr>
        <w:pStyle w:val="Heading4"/>
      </w:pPr>
      <w:bookmarkStart w:id="306" w:name="_Toc157704984"/>
      <w:r w:rsidRPr="005E287A">
        <w:t xml:space="preserve">Value </w:t>
      </w:r>
      <w:r>
        <w:t>for</w:t>
      </w:r>
      <w:r w:rsidRPr="005E287A">
        <w:t xml:space="preserve"> </w:t>
      </w:r>
      <w:r>
        <w:t>M</w:t>
      </w:r>
      <w:r w:rsidRPr="005E287A">
        <w:t xml:space="preserve">oney for </w:t>
      </w:r>
      <w:r>
        <w:t>New</w:t>
      </w:r>
      <w:r w:rsidRPr="005E287A">
        <w:t xml:space="preserve"> Coverage </w:t>
      </w:r>
      <w:r>
        <w:t xml:space="preserve">Solutions and New Highway Coverage </w:t>
      </w:r>
      <w:r w:rsidRPr="005E287A">
        <w:t>Solutions</w:t>
      </w:r>
      <w:bookmarkEnd w:id="306"/>
    </w:p>
    <w:p w14:paraId="5D6C3815" w14:textId="77777777" w:rsidR="00733FF0" w:rsidRDefault="00733FF0" w:rsidP="00733FF0">
      <w:pPr>
        <w:pStyle w:val="Normal-Style2"/>
        <w:rPr>
          <w:rFonts w:eastAsia="Calibri"/>
        </w:rPr>
      </w:pPr>
      <w:r w:rsidRPr="00CB2C46">
        <w:rPr>
          <w:rFonts w:eastAsia="Calibri"/>
        </w:rPr>
        <w:t>F</w:t>
      </w:r>
      <w:r w:rsidRPr="00373198">
        <w:rPr>
          <w:rFonts w:eastAsia="Calibri"/>
        </w:rPr>
        <w:t>actors</w:t>
      </w:r>
      <w:r>
        <w:rPr>
          <w:rFonts w:eastAsia="Calibri"/>
        </w:rPr>
        <w:t xml:space="preserve"> considered in the Value for Money assessment for New Coverage Solutions and New Highway Coverage Solutions also include, but are not limited to, the:</w:t>
      </w:r>
    </w:p>
    <w:p w14:paraId="1BB054B3" w14:textId="77777777" w:rsidR="00733FF0" w:rsidRPr="00B146AB" w:rsidRDefault="00733FF0" w:rsidP="00733FF0">
      <w:pPr>
        <w:pStyle w:val="ListBullet"/>
        <w:rPr>
          <w:rFonts w:eastAsia="Calibri"/>
        </w:rPr>
      </w:pPr>
      <w:r>
        <w:t>amount of N</w:t>
      </w:r>
      <w:r w:rsidRPr="00B146AB">
        <w:t xml:space="preserve">ew </w:t>
      </w:r>
      <w:r>
        <w:t xml:space="preserve">Handheld Coverage </w:t>
      </w:r>
      <w:r w:rsidRPr="00B146AB">
        <w:t xml:space="preserve">and </w:t>
      </w:r>
      <w:r>
        <w:t>coverage that is new for a participating MNO but overlaps with another MNO’s network</w:t>
      </w:r>
      <w:r w:rsidRPr="00BE7558">
        <w:t xml:space="preserve"> </w:t>
      </w:r>
      <w:r w:rsidRPr="00B146AB">
        <w:t>(km</w:t>
      </w:r>
      <w:r w:rsidRPr="005E5113">
        <w:rPr>
          <w:rFonts w:eastAsia="Calibri"/>
          <w:b/>
          <w:vertAlign w:val="superscript"/>
        </w:rPr>
        <w:t>2</w:t>
      </w:r>
      <w:r w:rsidRPr="00B146AB">
        <w:t>);</w:t>
      </w:r>
    </w:p>
    <w:p w14:paraId="56AE0D0D" w14:textId="77777777" w:rsidR="00733FF0" w:rsidRDefault="00733FF0" w:rsidP="00733FF0">
      <w:pPr>
        <w:pStyle w:val="ListBullet"/>
        <w:rPr>
          <w:rFonts w:eastAsia="Calibri"/>
        </w:rPr>
      </w:pPr>
      <w:r>
        <w:rPr>
          <w:rFonts w:eastAsia="Calibri"/>
        </w:rPr>
        <w:t xml:space="preserve">length of major rail and/or road transport routes, not limited to those included in the Program as Target Locations, that will receive </w:t>
      </w:r>
      <w:r>
        <w:t>N</w:t>
      </w:r>
      <w:r w:rsidRPr="00B146AB">
        <w:t xml:space="preserve">ew </w:t>
      </w:r>
      <w:r>
        <w:t>Handheld Coverage, or</w:t>
      </w:r>
      <w:r w:rsidRPr="00B146AB">
        <w:t xml:space="preserve"> </w:t>
      </w:r>
      <w:r>
        <w:t xml:space="preserve">coverage </w:t>
      </w:r>
      <w:r>
        <w:rPr>
          <w:rFonts w:cs="Arial"/>
        </w:rPr>
        <w:t xml:space="preserve">that is new for a participating MNO but overlaps with another MNO’s network, </w:t>
      </w:r>
      <w:r>
        <w:rPr>
          <w:rFonts w:eastAsia="Calibri"/>
        </w:rPr>
        <w:t>from the Proposed Solution; and</w:t>
      </w:r>
    </w:p>
    <w:p w14:paraId="6E378423" w14:textId="77777777" w:rsidR="00733FF0" w:rsidRDefault="00733FF0" w:rsidP="00A67C4E">
      <w:pPr>
        <w:pStyle w:val="Normal-Style2"/>
        <w:keepNext/>
        <w:rPr>
          <w:rFonts w:eastAsia="Calibri"/>
        </w:rPr>
      </w:pPr>
      <w:r>
        <w:rPr>
          <w:rFonts w:eastAsia="Calibri"/>
        </w:rPr>
        <w:t>For New Highway Coverage Solutions, the assessment will also consider the:</w:t>
      </w:r>
    </w:p>
    <w:p w14:paraId="62D51971" w14:textId="77777777" w:rsidR="00733FF0" w:rsidRPr="00B146AB" w:rsidRDefault="00733FF0" w:rsidP="00733FF0">
      <w:pPr>
        <w:pStyle w:val="ListBullet"/>
        <w:rPr>
          <w:rFonts w:eastAsia="Calibri"/>
        </w:rPr>
      </w:pPr>
      <w:r>
        <w:t>benefit the New Highway Coverage Solution provides to the area along the defined section of highway identified as the Target Location (for example, where the N</w:t>
      </w:r>
      <w:r w:rsidRPr="00B146AB">
        <w:t xml:space="preserve">ew </w:t>
      </w:r>
      <w:r>
        <w:t>Handheld Coverage, or</w:t>
      </w:r>
      <w:r w:rsidRPr="00B146AB">
        <w:t xml:space="preserve"> </w:t>
      </w:r>
      <w:r>
        <w:t xml:space="preserve">coverage </w:t>
      </w:r>
      <w:r>
        <w:rPr>
          <w:rFonts w:cs="Arial"/>
        </w:rPr>
        <w:t>that is new for a participating MNO but overlaps with another MNO’s network,</w:t>
      </w:r>
      <w:r w:rsidRPr="00B146AB">
        <w:t xml:space="preserve"> </w:t>
      </w:r>
      <w:r>
        <w:t>provides benefits to nearby towns, rest stops or other areas of interest); and the</w:t>
      </w:r>
    </w:p>
    <w:p w14:paraId="243DDF17" w14:textId="77777777" w:rsidR="00733FF0" w:rsidRPr="008B2CDF" w:rsidRDefault="00733FF0" w:rsidP="00733FF0">
      <w:pPr>
        <w:pStyle w:val="ListBullet"/>
        <w:rPr>
          <w:rFonts w:eastAsia="Calibri"/>
        </w:rPr>
      </w:pPr>
      <w:r w:rsidRPr="00B146AB">
        <w:t xml:space="preserve">amount of </w:t>
      </w:r>
      <w:r>
        <w:t>contiguous h</w:t>
      </w:r>
      <w:r>
        <w:rPr>
          <w:rFonts w:eastAsia="Calibri"/>
        </w:rPr>
        <w:t>andheld</w:t>
      </w:r>
      <w:r>
        <w:t xml:space="preserve"> coverage the New Highway Coverage Solution provides along</w:t>
      </w:r>
      <w:r w:rsidRPr="00B146AB">
        <w:t xml:space="preserve"> </w:t>
      </w:r>
      <w:r>
        <w:t>the defined section of highway identified as the Target Location by an individual MNO, as a result of the N</w:t>
      </w:r>
      <w:r w:rsidRPr="00B146AB">
        <w:t xml:space="preserve">ew </w:t>
      </w:r>
      <w:r>
        <w:t>Handheld Coverage, or</w:t>
      </w:r>
      <w:r w:rsidRPr="00B146AB">
        <w:t xml:space="preserve"> </w:t>
      </w:r>
      <w:r>
        <w:t xml:space="preserve">coverage </w:t>
      </w:r>
      <w:r>
        <w:rPr>
          <w:rFonts w:cs="Arial"/>
        </w:rPr>
        <w:t>that is new for a participating MNO but overlaps with another MNO’s network,</w:t>
      </w:r>
      <w:r w:rsidRPr="00B146AB">
        <w:t xml:space="preserve"> </w:t>
      </w:r>
      <w:r>
        <w:t>provided by the New Highway Coverage Solution.</w:t>
      </w:r>
    </w:p>
    <w:p w14:paraId="74A4436E" w14:textId="77777777" w:rsidR="00733FF0" w:rsidRDefault="00733FF0" w:rsidP="00A67C4E">
      <w:pPr>
        <w:pStyle w:val="Heading4"/>
        <w:rPr>
          <w:rFonts w:eastAsia="Calibri"/>
        </w:rPr>
      </w:pPr>
      <w:bookmarkStart w:id="307" w:name="_Toc157704985"/>
      <w:r w:rsidRPr="005E287A">
        <w:t xml:space="preserve">Value </w:t>
      </w:r>
      <w:r>
        <w:t>for</w:t>
      </w:r>
      <w:r w:rsidRPr="005E287A">
        <w:t xml:space="preserve"> </w:t>
      </w:r>
      <w:r>
        <w:t>M</w:t>
      </w:r>
      <w:r w:rsidRPr="005E287A">
        <w:t xml:space="preserve">oney for </w:t>
      </w:r>
      <w:r>
        <w:t>Improved Coverage Solutions</w:t>
      </w:r>
      <w:bookmarkEnd w:id="307"/>
    </w:p>
    <w:p w14:paraId="5CBBB723" w14:textId="77777777" w:rsidR="00733FF0" w:rsidRDefault="00733FF0" w:rsidP="00733FF0">
      <w:pPr>
        <w:pStyle w:val="Normal-Style2"/>
        <w:rPr>
          <w:rFonts w:eastAsia="Calibri"/>
        </w:rPr>
      </w:pPr>
      <w:r>
        <w:rPr>
          <w:rFonts w:eastAsia="Calibri"/>
        </w:rPr>
        <w:t>Factors considered in the Value for Money assessment for Improved Coverage Solutions also include, but are not limited to the:</w:t>
      </w:r>
    </w:p>
    <w:p w14:paraId="286DB460" w14:textId="77777777" w:rsidR="00733FF0" w:rsidRDefault="00733FF0" w:rsidP="00733FF0">
      <w:pPr>
        <w:pStyle w:val="ListBullet"/>
        <w:rPr>
          <w:rFonts w:eastAsia="Calibri"/>
        </w:rPr>
      </w:pPr>
      <w:r>
        <w:rPr>
          <w:rFonts w:eastAsia="Calibri"/>
        </w:rPr>
        <w:t>nature of the costs included in the estimated Asset Capital Cost for the Improved Coverage Solution;</w:t>
      </w:r>
    </w:p>
    <w:p w14:paraId="13AD879E" w14:textId="77777777" w:rsidR="00733FF0" w:rsidRDefault="00733FF0" w:rsidP="00733FF0">
      <w:pPr>
        <w:pStyle w:val="ListBullet"/>
        <w:rPr>
          <w:rFonts w:eastAsia="Calibri"/>
        </w:rPr>
      </w:pPr>
      <w:r>
        <w:rPr>
          <w:rFonts w:eastAsia="Calibri"/>
        </w:rPr>
        <w:t xml:space="preserve">expected benefits and risks </w:t>
      </w:r>
      <w:r w:rsidRPr="007B74C6">
        <w:rPr>
          <w:rFonts w:eastAsia="Calibri"/>
        </w:rPr>
        <w:t>of the project proposal and activities;</w:t>
      </w:r>
      <w:r>
        <w:rPr>
          <w:rFonts w:eastAsia="Calibri"/>
        </w:rPr>
        <w:t xml:space="preserve"> and the</w:t>
      </w:r>
    </w:p>
    <w:p w14:paraId="0338697B" w14:textId="36F332A9" w:rsidR="00733FF0" w:rsidRPr="004C03A2" w:rsidRDefault="00733FF0" w:rsidP="00733FF0">
      <w:pPr>
        <w:pStyle w:val="ListBullet"/>
        <w:rPr>
          <w:rFonts w:eastAsia="Calibri"/>
        </w:rPr>
      </w:pPr>
      <w:r w:rsidRPr="004C03A2">
        <w:rPr>
          <w:rFonts w:eastAsia="Calibri"/>
        </w:rPr>
        <w:t xml:space="preserve">extent to which the proposal addresses the quality of service issues for the Target Location as outlined at </w:t>
      </w:r>
      <w:hyperlink w:anchor="_Appendix_A.1._–" w:history="1">
        <w:r w:rsidRPr="001A1CA8">
          <w:rPr>
            <w:rStyle w:val="Hyperlink"/>
            <w:rFonts w:eastAsia="Calibri"/>
          </w:rPr>
          <w:t>Appendix A</w:t>
        </w:r>
      </w:hyperlink>
      <w:r w:rsidR="001774D3">
        <w:rPr>
          <w:rFonts w:eastAsia="Calibri"/>
        </w:rPr>
        <w:t xml:space="preserve"> or as </w:t>
      </w:r>
      <w:r w:rsidR="001774D3" w:rsidRPr="008F3813">
        <w:rPr>
          <w:rFonts w:eastAsia="Calibri"/>
        </w:rPr>
        <w:t>reasonably established by the applicant</w:t>
      </w:r>
      <w:r w:rsidR="001774D3">
        <w:rPr>
          <w:rFonts w:eastAsia="Calibri"/>
        </w:rPr>
        <w:t>.</w:t>
      </w:r>
    </w:p>
    <w:p w14:paraId="26334630" w14:textId="77777777" w:rsidR="00733FF0" w:rsidRPr="00A04EBB" w:rsidRDefault="00733FF0" w:rsidP="00733FF0">
      <w:pPr>
        <w:pStyle w:val="Heading3"/>
      </w:pPr>
      <w:bookmarkStart w:id="308" w:name="_Toc50044043"/>
      <w:bookmarkStart w:id="309" w:name="_Toc56425469"/>
      <w:bookmarkStart w:id="310" w:name="_Toc113442201"/>
      <w:bookmarkStart w:id="311" w:name="_Toc113357238"/>
      <w:bookmarkStart w:id="312" w:name="_Ref121922265"/>
      <w:bookmarkStart w:id="313" w:name="_Toc157704986"/>
      <w:r>
        <w:t>Merit List</w:t>
      </w:r>
      <w:bookmarkEnd w:id="308"/>
      <w:bookmarkEnd w:id="309"/>
      <w:bookmarkEnd w:id="310"/>
      <w:bookmarkEnd w:id="311"/>
      <w:bookmarkEnd w:id="312"/>
      <w:bookmarkEnd w:id="313"/>
    </w:p>
    <w:p w14:paraId="18186341" w14:textId="236DDB86" w:rsidR="00733FF0" w:rsidRPr="006D6DB2" w:rsidRDefault="00733FF0" w:rsidP="00733FF0">
      <w:pPr>
        <w:pStyle w:val="Normal-Style2"/>
        <w:rPr>
          <w:rFonts w:eastAsiaTheme="minorHAnsi"/>
        </w:rPr>
      </w:pPr>
      <w:r w:rsidRPr="006D6DB2">
        <w:rPr>
          <w:rFonts w:eastAsiaTheme="minorHAnsi"/>
        </w:rPr>
        <w:t xml:space="preserve">Following the assessment of the applications, the </w:t>
      </w:r>
      <w:r>
        <w:rPr>
          <w:rFonts w:eastAsiaTheme="minorHAnsi"/>
        </w:rPr>
        <w:t>d</w:t>
      </w:r>
      <w:r w:rsidRPr="006D6DB2">
        <w:rPr>
          <w:rFonts w:eastAsiaTheme="minorHAnsi"/>
        </w:rPr>
        <w:t>epartment will prepare</w:t>
      </w:r>
      <w:r>
        <w:rPr>
          <w:rFonts w:eastAsiaTheme="minorHAnsi"/>
        </w:rPr>
        <w:t xml:space="preserve"> a</w:t>
      </w:r>
      <w:r w:rsidRPr="006D6DB2">
        <w:rPr>
          <w:rFonts w:eastAsiaTheme="minorHAnsi"/>
        </w:rPr>
        <w:t xml:space="preserve"> </w:t>
      </w:r>
      <w:r>
        <w:rPr>
          <w:rFonts w:eastAsiaTheme="minorHAnsi"/>
        </w:rPr>
        <w:t>combined list</w:t>
      </w:r>
      <w:r w:rsidRPr="006D6DB2">
        <w:rPr>
          <w:rFonts w:eastAsiaTheme="minorHAnsi"/>
        </w:rPr>
        <w:t xml:space="preserve"> </w:t>
      </w:r>
      <w:r>
        <w:rPr>
          <w:rFonts w:eastAsiaTheme="minorHAnsi"/>
        </w:rPr>
        <w:t xml:space="preserve">(Merit List) </w:t>
      </w:r>
      <w:r w:rsidRPr="006D6DB2">
        <w:rPr>
          <w:rFonts w:eastAsiaTheme="minorHAnsi"/>
        </w:rPr>
        <w:t xml:space="preserve">of </w:t>
      </w:r>
      <w:r w:rsidRPr="00D84EEA">
        <w:rPr>
          <w:rFonts w:eastAsiaTheme="minorHAnsi"/>
        </w:rPr>
        <w:t xml:space="preserve">Proposed Solutions that the Department considers meets the Assessment Criteria in section </w:t>
      </w:r>
      <w:r w:rsidR="001A1CA8">
        <w:rPr>
          <w:rFonts w:eastAsiaTheme="minorHAnsi"/>
        </w:rPr>
        <w:fldChar w:fldCharType="begin"/>
      </w:r>
      <w:r w:rsidR="001A1CA8">
        <w:rPr>
          <w:rFonts w:eastAsiaTheme="minorHAnsi"/>
        </w:rPr>
        <w:instrText xml:space="preserve"> REF _Ref110515467 \r \h </w:instrText>
      </w:r>
      <w:r w:rsidR="001A1CA8">
        <w:rPr>
          <w:rFonts w:eastAsiaTheme="minorHAnsi"/>
        </w:rPr>
      </w:r>
      <w:r w:rsidR="001A1CA8">
        <w:rPr>
          <w:rFonts w:eastAsiaTheme="minorHAnsi"/>
        </w:rPr>
        <w:fldChar w:fldCharType="separate"/>
      </w:r>
      <w:r w:rsidR="001A1CA8">
        <w:rPr>
          <w:rFonts w:eastAsiaTheme="minorHAnsi"/>
        </w:rPr>
        <w:t>6</w:t>
      </w:r>
      <w:r w:rsidR="001A1CA8">
        <w:rPr>
          <w:rFonts w:eastAsiaTheme="minorHAnsi"/>
        </w:rPr>
        <w:fldChar w:fldCharType="end"/>
      </w:r>
      <w:r w:rsidRPr="00D84EEA">
        <w:rPr>
          <w:rFonts w:eastAsiaTheme="minorHAnsi"/>
        </w:rPr>
        <w:t>, will provide Value for Money to the Commonwealth in accordance with section </w:t>
      </w:r>
      <w:r w:rsidR="001A1CA8">
        <w:rPr>
          <w:rFonts w:eastAsiaTheme="minorHAnsi"/>
        </w:rPr>
        <w:fldChar w:fldCharType="begin"/>
      </w:r>
      <w:r w:rsidR="001A1CA8">
        <w:rPr>
          <w:rFonts w:eastAsiaTheme="minorHAnsi"/>
        </w:rPr>
        <w:instrText xml:space="preserve"> REF _Ref121921782 \r \h </w:instrText>
      </w:r>
      <w:r w:rsidR="001A1CA8">
        <w:rPr>
          <w:rFonts w:eastAsiaTheme="minorHAnsi"/>
        </w:rPr>
      </w:r>
      <w:r w:rsidR="001A1CA8">
        <w:rPr>
          <w:rFonts w:eastAsiaTheme="minorHAnsi"/>
        </w:rPr>
        <w:fldChar w:fldCharType="separate"/>
      </w:r>
      <w:r w:rsidR="001A1CA8">
        <w:rPr>
          <w:rFonts w:eastAsiaTheme="minorHAnsi"/>
        </w:rPr>
        <w:t>8.4</w:t>
      </w:r>
      <w:r w:rsidR="001A1CA8">
        <w:rPr>
          <w:rFonts w:eastAsiaTheme="minorHAnsi"/>
        </w:rPr>
        <w:fldChar w:fldCharType="end"/>
      </w:r>
      <w:r w:rsidRPr="00D84EEA">
        <w:rPr>
          <w:rFonts w:eastAsiaTheme="minorHAnsi"/>
        </w:rPr>
        <w:t>, and which it recommends for funding</w:t>
      </w:r>
      <w:r>
        <w:rPr>
          <w:rFonts w:eastAsiaTheme="minorHAnsi"/>
        </w:rPr>
        <w:t>.</w:t>
      </w:r>
    </w:p>
    <w:p w14:paraId="7AA4677D" w14:textId="00B6DCA7" w:rsidR="00733FF0" w:rsidRPr="00D84EEA" w:rsidRDefault="00733FF0" w:rsidP="00733FF0">
      <w:pPr>
        <w:pStyle w:val="Normal-Style2"/>
        <w:rPr>
          <w:rFonts w:eastAsiaTheme="minorHAnsi"/>
        </w:rPr>
      </w:pPr>
      <w:r w:rsidRPr="00D84EEA">
        <w:rPr>
          <w:rFonts w:eastAsiaTheme="minorHAnsi"/>
        </w:rPr>
        <w:t xml:space="preserve">In establishing the Merit List, the </w:t>
      </w:r>
      <w:r>
        <w:rPr>
          <w:rFonts w:eastAsiaTheme="minorHAnsi"/>
        </w:rPr>
        <w:t>d</w:t>
      </w:r>
      <w:r w:rsidRPr="006D6DB2">
        <w:rPr>
          <w:rFonts w:eastAsiaTheme="minorHAnsi"/>
        </w:rPr>
        <w:t>epartment will e</w:t>
      </w:r>
      <w:r w:rsidRPr="00D84EEA">
        <w:rPr>
          <w:rFonts w:eastAsiaTheme="minorHAnsi"/>
        </w:rPr>
        <w:t xml:space="preserve">xercise its own judgement, having regard to the objectives of </w:t>
      </w:r>
      <w:r>
        <w:rPr>
          <w:rFonts w:eastAsiaTheme="minorHAnsi"/>
        </w:rPr>
        <w:t xml:space="preserve">the grant opportunity </w:t>
      </w:r>
      <w:r w:rsidRPr="006D6DB2">
        <w:rPr>
          <w:rFonts w:eastAsiaTheme="minorHAnsi"/>
        </w:rPr>
        <w:t xml:space="preserve">as described in section </w:t>
      </w:r>
      <w:r w:rsidR="001A1CA8">
        <w:rPr>
          <w:rFonts w:eastAsiaTheme="minorHAnsi"/>
        </w:rPr>
        <w:fldChar w:fldCharType="begin"/>
      </w:r>
      <w:r w:rsidR="001A1CA8">
        <w:rPr>
          <w:rFonts w:eastAsiaTheme="minorHAnsi"/>
        </w:rPr>
        <w:instrText xml:space="preserve"> REF _Ref121921795 \r \h </w:instrText>
      </w:r>
      <w:r w:rsidR="001A1CA8">
        <w:rPr>
          <w:rFonts w:eastAsiaTheme="minorHAnsi"/>
        </w:rPr>
      </w:r>
      <w:r w:rsidR="001A1CA8">
        <w:rPr>
          <w:rFonts w:eastAsiaTheme="minorHAnsi"/>
        </w:rPr>
        <w:fldChar w:fldCharType="separate"/>
      </w:r>
      <w:r w:rsidR="001A1CA8">
        <w:rPr>
          <w:rFonts w:eastAsiaTheme="minorHAnsi"/>
        </w:rPr>
        <w:t>2.2</w:t>
      </w:r>
      <w:r w:rsidR="001A1CA8">
        <w:rPr>
          <w:rFonts w:eastAsiaTheme="minorHAnsi"/>
        </w:rPr>
        <w:fldChar w:fldCharType="end"/>
      </w:r>
      <w:r w:rsidRPr="006D6DB2">
        <w:rPr>
          <w:rFonts w:eastAsiaTheme="minorHAnsi"/>
        </w:rPr>
        <w:t>, in determining whether any changes to the Merit List are required.</w:t>
      </w:r>
    </w:p>
    <w:p w14:paraId="10230D11" w14:textId="77777777" w:rsidR="0045229E" w:rsidRDefault="00733FF0" w:rsidP="00733FF0">
      <w:pPr>
        <w:pStyle w:val="Normal-Style2"/>
        <w:rPr>
          <w:rFonts w:eastAsiaTheme="minorHAnsi"/>
        </w:rPr>
      </w:pPr>
      <w:r w:rsidRPr="00D84EEA">
        <w:rPr>
          <w:rFonts w:eastAsiaTheme="minorHAnsi"/>
        </w:rPr>
        <w:t xml:space="preserve">The </w:t>
      </w:r>
      <w:r>
        <w:rPr>
          <w:rFonts w:eastAsiaTheme="minorHAnsi"/>
        </w:rPr>
        <w:t>d</w:t>
      </w:r>
      <w:r w:rsidRPr="006D6DB2">
        <w:rPr>
          <w:rFonts w:eastAsiaTheme="minorHAnsi"/>
        </w:rPr>
        <w:t>epartment will provide the Merit List to the Decision Maker and provid</w:t>
      </w:r>
      <w:r w:rsidRPr="00D84EEA">
        <w:rPr>
          <w:rFonts w:eastAsiaTheme="minorHAnsi"/>
        </w:rPr>
        <w:t>e the Decision Maker with details of the assessment of each Proposed Solution against the Assessment Criteria, including the overall Value for Money of each Proposed Solution, and each Proposed Solution’s ability to assist in achieving the intended outcomes of the Program as set out in section 2.1</w:t>
      </w:r>
      <w:r>
        <w:rPr>
          <w:rFonts w:eastAsiaTheme="minorHAnsi"/>
        </w:rPr>
        <w:t xml:space="preserve"> </w:t>
      </w:r>
      <w:r w:rsidRPr="006D6DB2">
        <w:rPr>
          <w:rFonts w:eastAsiaTheme="minorHAnsi"/>
        </w:rPr>
        <w:t xml:space="preserve">and the objectives of </w:t>
      </w:r>
      <w:r>
        <w:rPr>
          <w:rFonts w:eastAsiaTheme="minorHAnsi"/>
        </w:rPr>
        <w:t>the grant opportunity</w:t>
      </w:r>
      <w:r w:rsidRPr="006D6DB2">
        <w:rPr>
          <w:rFonts w:eastAsiaTheme="minorHAnsi"/>
        </w:rPr>
        <w:t xml:space="preserve"> as described in section 2.2</w:t>
      </w:r>
      <w:r w:rsidR="0045229E">
        <w:rPr>
          <w:rFonts w:eastAsiaTheme="minorHAnsi"/>
        </w:rPr>
        <w:t>.</w:t>
      </w:r>
    </w:p>
    <w:p w14:paraId="2BB8F2F5" w14:textId="77777777" w:rsidR="00733FF0" w:rsidRDefault="00733FF0" w:rsidP="00733FF0">
      <w:pPr>
        <w:pStyle w:val="Heading3"/>
      </w:pPr>
      <w:bookmarkStart w:id="314" w:name="_Toc110514791"/>
      <w:bookmarkStart w:id="315" w:name="_Toc110514898"/>
      <w:bookmarkStart w:id="316" w:name="_Toc110514792"/>
      <w:bookmarkStart w:id="317" w:name="_Toc110514899"/>
      <w:bookmarkStart w:id="318" w:name="_Ref109304960"/>
      <w:bookmarkStart w:id="319" w:name="_Toc113442202"/>
      <w:bookmarkStart w:id="320" w:name="_Toc113357239"/>
      <w:bookmarkStart w:id="321" w:name="_Toc157704987"/>
      <w:bookmarkEnd w:id="314"/>
      <w:bookmarkEnd w:id="315"/>
      <w:bookmarkEnd w:id="316"/>
      <w:bookmarkEnd w:id="317"/>
      <w:r>
        <w:t>Who will assess and evaluate applications?</w:t>
      </w:r>
      <w:bookmarkEnd w:id="318"/>
      <w:bookmarkEnd w:id="319"/>
      <w:bookmarkEnd w:id="320"/>
      <w:bookmarkEnd w:id="321"/>
    </w:p>
    <w:p w14:paraId="714D7A2A" w14:textId="77777777" w:rsidR="0045229E" w:rsidRDefault="00733FF0" w:rsidP="00733FF0">
      <w:pPr>
        <w:pStyle w:val="Normal-Style2"/>
      </w:pPr>
      <w:r w:rsidRPr="009A4FE9">
        <w:t xml:space="preserve">An Evaluation Committee will assess and evaluate each application on its merit and compare it to other eligible applications before recommending which grant proposals should be awarded a grant. The assessment committee will be made up of members of the </w:t>
      </w:r>
      <w:r>
        <w:t>department</w:t>
      </w:r>
      <w:r w:rsidR="0045229E">
        <w:t>.</w:t>
      </w:r>
    </w:p>
    <w:p w14:paraId="4454A34E" w14:textId="77777777" w:rsidR="0045229E" w:rsidRDefault="00733FF0" w:rsidP="004F3BE5">
      <w:pPr>
        <w:pStyle w:val="Normal-Style2"/>
        <w:keepLines/>
      </w:pPr>
      <w:r w:rsidRPr="009A4FE9">
        <w:t xml:space="preserve">An expert technical advisor in the mobile telecommunications industry, as appointed by the </w:t>
      </w:r>
      <w:r>
        <w:t>department</w:t>
      </w:r>
      <w:r w:rsidRPr="009A4FE9">
        <w:t xml:space="preserve">, may validate applicant coverage and/or quality of service claims at the </w:t>
      </w:r>
      <w:r>
        <w:t>department</w:t>
      </w:r>
      <w:r w:rsidRPr="009A4FE9">
        <w:t>’s discretion. Other external advisors may also be asked to inform the assessment and evaluation process. Any advisor who is not an APS employee will be required to perform their duties in accordance with the CGRGs</w:t>
      </w:r>
      <w:r w:rsidR="0045229E">
        <w:t>.</w:t>
      </w:r>
    </w:p>
    <w:p w14:paraId="7E09BF86" w14:textId="77777777" w:rsidR="0045229E" w:rsidRDefault="00733FF0" w:rsidP="00A67C4E">
      <w:pPr>
        <w:pStyle w:val="Normal-Style2"/>
        <w:keepLines/>
      </w:pPr>
      <w:r w:rsidRPr="009A4FE9">
        <w:t>The Evaluation Committee may seek information about the applicant or their application. They may do this from within the Commonwealth, even if the sources are not nominated by the applicant as referees. The Evaluation Committee may also consider information about the applicant or their application that is available through publicly available information or the normal course of business</w:t>
      </w:r>
      <w:r w:rsidR="0045229E">
        <w:t>.</w:t>
      </w:r>
    </w:p>
    <w:p w14:paraId="57056FDD" w14:textId="77777777" w:rsidR="00733FF0" w:rsidRPr="00567D35" w:rsidRDefault="00733FF0" w:rsidP="00733FF0">
      <w:pPr>
        <w:pStyle w:val="Normal-Style2"/>
      </w:pPr>
      <w:r w:rsidRPr="009A4FE9">
        <w:t>If the selection process identifies unintentional errors in an application, the applicant may be contacted to correct or explain the information.</w:t>
      </w:r>
    </w:p>
    <w:p w14:paraId="06A1589D" w14:textId="77777777" w:rsidR="00733FF0" w:rsidRDefault="00733FF0" w:rsidP="00733FF0">
      <w:pPr>
        <w:pStyle w:val="Heading3"/>
      </w:pPr>
      <w:bookmarkStart w:id="322" w:name="_Ref109304967"/>
      <w:bookmarkStart w:id="323" w:name="_Toc113442203"/>
      <w:bookmarkStart w:id="324" w:name="_Toc113357240"/>
      <w:bookmarkStart w:id="325" w:name="_Toc157704988"/>
      <w:r>
        <w:t>Who will approve grants?</w:t>
      </w:r>
      <w:bookmarkEnd w:id="322"/>
      <w:bookmarkEnd w:id="323"/>
      <w:bookmarkEnd w:id="324"/>
      <w:bookmarkEnd w:id="325"/>
    </w:p>
    <w:p w14:paraId="76D14504" w14:textId="77777777" w:rsidR="00733FF0" w:rsidRPr="009A4FE9" w:rsidRDefault="00733FF0" w:rsidP="00733FF0">
      <w:pPr>
        <w:pStyle w:val="Normal-Style2"/>
      </w:pPr>
      <w:r w:rsidRPr="009A4FE9">
        <w:t>The Decision Maker for the Program is the Minister for Communications. The Decision Maker will review the recommendations</w:t>
      </w:r>
      <w:r>
        <w:t xml:space="preserve"> set out in the Merit List</w:t>
      </w:r>
      <w:r w:rsidRPr="009A4FE9">
        <w:t>, and may do one or more of the following:</w:t>
      </w:r>
    </w:p>
    <w:p w14:paraId="55519D51" w14:textId="77777777" w:rsidR="00733FF0" w:rsidRPr="0081501A" w:rsidRDefault="00733FF0" w:rsidP="00733FF0">
      <w:pPr>
        <w:pStyle w:val="ListBullet"/>
      </w:pPr>
      <w:r w:rsidRPr="000D73F6">
        <w:t>approve</w:t>
      </w:r>
      <w:r w:rsidRPr="0081501A">
        <w:t xml:space="preserve"> the recommendations;</w:t>
      </w:r>
    </w:p>
    <w:p w14:paraId="370D17CD" w14:textId="77777777" w:rsidR="00733FF0" w:rsidRPr="000D73F6" w:rsidRDefault="00733FF0" w:rsidP="00733FF0">
      <w:pPr>
        <w:pStyle w:val="ListBullet"/>
      </w:pPr>
      <w:r w:rsidRPr="000D73F6">
        <w:t xml:space="preserve">seek further information from the </w:t>
      </w:r>
      <w:r>
        <w:t>department</w:t>
      </w:r>
      <w:r w:rsidRPr="000D73F6">
        <w:t xml:space="preserve"> or relevant experts or both; and</w:t>
      </w:r>
    </w:p>
    <w:p w14:paraId="0C56D21E" w14:textId="01FF84B1" w:rsidR="00733FF0" w:rsidRPr="0081501A" w:rsidRDefault="00733FF0" w:rsidP="00733FF0">
      <w:pPr>
        <w:pStyle w:val="ListBullet"/>
      </w:pPr>
      <w:r w:rsidRPr="000D73F6">
        <w:t>subject</w:t>
      </w:r>
      <w:r w:rsidRPr="0081501A">
        <w:t xml:space="preserve"> to section </w:t>
      </w:r>
      <w:r>
        <w:fldChar w:fldCharType="begin"/>
      </w:r>
      <w:r>
        <w:instrText xml:space="preserve"> REF _Ref109305666 \r \h </w:instrText>
      </w:r>
      <w:r>
        <w:fldChar w:fldCharType="separate"/>
      </w:r>
      <w:r w:rsidR="001A1CA8">
        <w:t>13</w:t>
      </w:r>
      <w:r>
        <w:fldChar w:fldCharType="end"/>
      </w:r>
      <w:r w:rsidRPr="002E0630">
        <w:t>,</w:t>
      </w:r>
      <w:r w:rsidRPr="0081501A">
        <w:t xml:space="preserve"> make any amendments the Decision Maker deems necessary.</w:t>
      </w:r>
    </w:p>
    <w:p w14:paraId="79C776AD" w14:textId="77777777" w:rsidR="00733FF0" w:rsidRDefault="00733FF0" w:rsidP="00733FF0">
      <w:pPr>
        <w:pStyle w:val="Normal-Style2"/>
      </w:pPr>
      <w:bookmarkStart w:id="326" w:name="_Ref121922138"/>
      <w:r>
        <w:t>The d</w:t>
      </w:r>
      <w:r w:rsidRPr="009A4FE9">
        <w:t>epartment will prepare the list of Funded Solutions (Decision Maker’s List) based on the requirements and advice from the Decision Maker.</w:t>
      </w:r>
      <w:bookmarkEnd w:id="326"/>
    </w:p>
    <w:p w14:paraId="7420CA5F" w14:textId="77777777" w:rsidR="00733FF0" w:rsidRPr="00567D35" w:rsidRDefault="00733FF0" w:rsidP="00733FF0">
      <w:pPr>
        <w:pStyle w:val="Normal-Style2"/>
      </w:pPr>
      <w:r w:rsidRPr="00567D35">
        <w:t>The Decision Maker will have the final decision on all applications for funding.</w:t>
      </w:r>
    </w:p>
    <w:p w14:paraId="2900A4B6" w14:textId="77777777" w:rsidR="00733FF0" w:rsidRDefault="00733FF0" w:rsidP="00733FF0">
      <w:pPr>
        <w:pStyle w:val="Heading2"/>
      </w:pPr>
      <w:bookmarkStart w:id="327" w:name="_Toc113442204"/>
      <w:bookmarkStart w:id="328" w:name="_Toc113357241"/>
      <w:bookmarkStart w:id="329" w:name="_Toc157704989"/>
      <w:r>
        <w:t>Notification of application outcomes</w:t>
      </w:r>
      <w:bookmarkEnd w:id="327"/>
      <w:bookmarkEnd w:id="328"/>
      <w:bookmarkEnd w:id="329"/>
    </w:p>
    <w:p w14:paraId="18BB99E2" w14:textId="77777777" w:rsidR="00733FF0" w:rsidRDefault="00733FF0" w:rsidP="00733FF0">
      <w:pPr>
        <w:pStyle w:val="Heading3"/>
      </w:pPr>
      <w:bookmarkStart w:id="330" w:name="_Toc56425474"/>
      <w:bookmarkStart w:id="331" w:name="_Toc90294853"/>
      <w:bookmarkStart w:id="332" w:name="_Toc113442205"/>
      <w:bookmarkStart w:id="333" w:name="_Toc113357242"/>
      <w:bookmarkStart w:id="334" w:name="_Toc157704990"/>
      <w:r>
        <w:t>A</w:t>
      </w:r>
      <w:r w:rsidRPr="00FB0C71">
        <w:t>pplication</w:t>
      </w:r>
      <w:r>
        <w:t xml:space="preserve"> outcomes</w:t>
      </w:r>
      <w:bookmarkEnd w:id="330"/>
      <w:bookmarkEnd w:id="331"/>
      <w:bookmarkEnd w:id="332"/>
      <w:bookmarkEnd w:id="333"/>
      <w:bookmarkEnd w:id="334"/>
    </w:p>
    <w:p w14:paraId="700B3CAE" w14:textId="77777777" w:rsidR="00733FF0" w:rsidRDefault="00733FF0" w:rsidP="00733FF0">
      <w:pPr>
        <w:pStyle w:val="Normal-Style2"/>
      </w:pPr>
      <w:r>
        <w:t>The applicant</w:t>
      </w:r>
      <w:r w:rsidRPr="009C2179">
        <w:t xml:space="preserve"> will be advised of the outcomes of </w:t>
      </w:r>
      <w:r>
        <w:t>their</w:t>
      </w:r>
      <w:r w:rsidRPr="009C2179">
        <w:t xml:space="preserve"> application in writing, following a decision by the Decision Maker. If </w:t>
      </w:r>
      <w:r>
        <w:t>an applicant</w:t>
      </w:r>
      <w:r w:rsidRPr="009C2179">
        <w:t xml:space="preserve"> </w:t>
      </w:r>
      <w:r>
        <w:t>is</w:t>
      </w:r>
      <w:r w:rsidRPr="009C2179">
        <w:t xml:space="preserve"> successful, </w:t>
      </w:r>
      <w:r>
        <w:t>they</w:t>
      </w:r>
      <w:r w:rsidRPr="009C2179">
        <w:t xml:space="preserve"> will also be advised about any specific conditions attached to </w:t>
      </w:r>
      <w:r w:rsidRPr="00913D77">
        <w:t>the grant.</w:t>
      </w:r>
    </w:p>
    <w:p w14:paraId="7A23C748" w14:textId="77777777" w:rsidR="00733FF0" w:rsidRDefault="00733FF0" w:rsidP="00733FF0">
      <w:pPr>
        <w:pStyle w:val="Heading3"/>
      </w:pPr>
      <w:bookmarkStart w:id="335" w:name="_Toc50044048"/>
      <w:bookmarkStart w:id="336" w:name="_Toc56425475"/>
      <w:bookmarkStart w:id="337" w:name="_Toc90294854"/>
      <w:bookmarkStart w:id="338" w:name="_Toc113442206"/>
      <w:bookmarkStart w:id="339" w:name="_Toc113357243"/>
      <w:bookmarkStart w:id="340" w:name="_Toc157704991"/>
      <w:r w:rsidRPr="00FB0C71">
        <w:t xml:space="preserve">Feedback on </w:t>
      </w:r>
      <w:r>
        <w:t>your</w:t>
      </w:r>
      <w:r w:rsidRPr="00FB0C71">
        <w:t xml:space="preserve"> application</w:t>
      </w:r>
      <w:bookmarkEnd w:id="335"/>
      <w:bookmarkEnd w:id="336"/>
      <w:bookmarkEnd w:id="337"/>
      <w:bookmarkEnd w:id="338"/>
      <w:bookmarkEnd w:id="339"/>
      <w:bookmarkEnd w:id="340"/>
    </w:p>
    <w:p w14:paraId="49A120E6" w14:textId="77777777" w:rsidR="0045229E" w:rsidRDefault="00733FF0" w:rsidP="00733FF0">
      <w:pPr>
        <w:pStyle w:val="Normal-Style2"/>
      </w:pPr>
      <w:r>
        <w:t>An applicant</w:t>
      </w:r>
      <w:r w:rsidRPr="00103A95">
        <w:t xml:space="preserve"> may ask for feedback </w:t>
      </w:r>
      <w:r>
        <w:t>from the department within 14 days of being advised of the outcome</w:t>
      </w:r>
      <w:r w:rsidRPr="00103A95">
        <w:t xml:space="preserve">. </w:t>
      </w:r>
      <w:r>
        <w:t>The department</w:t>
      </w:r>
      <w:r w:rsidRPr="00D44F1E">
        <w:rPr>
          <w:b/>
        </w:rPr>
        <w:t xml:space="preserve"> </w:t>
      </w:r>
      <w:r w:rsidRPr="00103A95">
        <w:t xml:space="preserve">will give </w:t>
      </w:r>
      <w:r>
        <w:t xml:space="preserve">the applicant </w:t>
      </w:r>
      <w:r w:rsidRPr="00103A95">
        <w:t xml:space="preserve">written </w:t>
      </w:r>
      <w:r>
        <w:t xml:space="preserve">and/or verbal </w:t>
      </w:r>
      <w:r w:rsidRPr="00103A95">
        <w:t xml:space="preserve">feedback within </w:t>
      </w:r>
      <w:r w:rsidRPr="00D44F1E">
        <w:rPr>
          <w:rStyle w:val="highlightedtextChar"/>
        </w:rPr>
        <w:t>one month</w:t>
      </w:r>
      <w:r w:rsidRPr="001A1C64">
        <w:t xml:space="preserve"> </w:t>
      </w:r>
      <w:r w:rsidRPr="00103A95">
        <w:t xml:space="preserve">of </w:t>
      </w:r>
      <w:r>
        <w:t>feedback being requested</w:t>
      </w:r>
      <w:r w:rsidR="0045229E">
        <w:t>.</w:t>
      </w:r>
    </w:p>
    <w:p w14:paraId="4577E841" w14:textId="77777777" w:rsidR="00733FF0" w:rsidRDefault="00733FF0" w:rsidP="00733FF0">
      <w:pPr>
        <w:pStyle w:val="Heading3"/>
      </w:pPr>
      <w:bookmarkStart w:id="341" w:name="_Toc113442207"/>
      <w:bookmarkStart w:id="342" w:name="_Toc113357244"/>
      <w:bookmarkStart w:id="343" w:name="_Toc157704992"/>
      <w:r>
        <w:t>Further grant opportunities</w:t>
      </w:r>
      <w:bookmarkEnd w:id="341"/>
      <w:bookmarkEnd w:id="342"/>
      <w:bookmarkEnd w:id="343"/>
    </w:p>
    <w:p w14:paraId="2415D125" w14:textId="09019C58" w:rsidR="00733FF0" w:rsidRPr="00825F9C" w:rsidRDefault="00733FF0" w:rsidP="00733FF0">
      <w:pPr>
        <w:pStyle w:val="Normal-Style2"/>
        <w:rPr>
          <w:rStyle w:val="highlightedtextChar"/>
          <w:b w:val="0"/>
          <w:color w:val="auto"/>
        </w:rPr>
      </w:pPr>
      <w:r w:rsidRPr="00825F9C">
        <w:rPr>
          <w:rStyle w:val="highlightedtextChar"/>
          <w:b w:val="0"/>
          <w:color w:val="auto"/>
        </w:rPr>
        <w:t>If there are not enough suitable applications to meet the program’s objectives (i.e. no proposals are put forward for a given Target Location</w:t>
      </w:r>
      <w:r w:rsidR="00B16E2A" w:rsidRPr="00825F9C">
        <w:rPr>
          <w:rStyle w:val="highlightedtextChar"/>
          <w:b w:val="0"/>
          <w:color w:val="auto"/>
        </w:rPr>
        <w:t xml:space="preserve"> or the received proposals do not offer Value for Money</w:t>
      </w:r>
      <w:r w:rsidRPr="00825F9C">
        <w:rPr>
          <w:rStyle w:val="highlightedtextChar"/>
          <w:b w:val="0"/>
          <w:color w:val="auto"/>
        </w:rPr>
        <w:t>), the department may, at its discretion, engage directly with applicants to identify alternative options for meeting the program’s objectives, including (but not limited to) administering additional grants on a targeted, non-competitive basis.</w:t>
      </w:r>
    </w:p>
    <w:p w14:paraId="74052F83" w14:textId="77777777" w:rsidR="00733FF0" w:rsidRDefault="00733FF0" w:rsidP="00733FF0">
      <w:pPr>
        <w:pStyle w:val="Heading2"/>
      </w:pPr>
      <w:bookmarkStart w:id="344" w:name="_Toc113442208"/>
      <w:bookmarkStart w:id="345" w:name="_Toc113357245"/>
      <w:bookmarkStart w:id="346" w:name="_Toc157704993"/>
      <w:bookmarkStart w:id="347" w:name="_Toc164844284"/>
      <w:bookmarkEnd w:id="194"/>
      <w:bookmarkEnd w:id="195"/>
      <w:r>
        <w:t>Successful grant applications</w:t>
      </w:r>
      <w:bookmarkEnd w:id="344"/>
      <w:bookmarkEnd w:id="345"/>
      <w:bookmarkEnd w:id="346"/>
    </w:p>
    <w:p w14:paraId="05FCA1D7" w14:textId="77777777" w:rsidR="00733FF0" w:rsidRDefault="00733FF0" w:rsidP="00733FF0">
      <w:pPr>
        <w:pStyle w:val="Heading3"/>
      </w:pPr>
      <w:bookmarkStart w:id="348" w:name="_Toc50044050"/>
      <w:bookmarkStart w:id="349" w:name="_Toc56425477"/>
      <w:bookmarkStart w:id="350" w:name="_Toc90294856"/>
      <w:bookmarkStart w:id="351" w:name="_Toc113442209"/>
      <w:bookmarkStart w:id="352" w:name="_Toc113357246"/>
      <w:bookmarkStart w:id="353" w:name="_Toc157704994"/>
      <w:r>
        <w:t xml:space="preserve">The grant </w:t>
      </w:r>
      <w:bookmarkEnd w:id="348"/>
      <w:bookmarkEnd w:id="349"/>
      <w:r>
        <w:t>agreement</w:t>
      </w:r>
      <w:bookmarkEnd w:id="350"/>
      <w:bookmarkEnd w:id="351"/>
      <w:bookmarkEnd w:id="352"/>
      <w:bookmarkEnd w:id="353"/>
    </w:p>
    <w:p w14:paraId="47D96249" w14:textId="77777777" w:rsidR="0045229E" w:rsidRDefault="00733FF0" w:rsidP="00733FF0">
      <w:pPr>
        <w:pStyle w:val="Normal-Style2"/>
      </w:pPr>
      <w:r w:rsidRPr="009A4FE9">
        <w:t>A sample Grant Agreement will be provided to registered applicants</w:t>
      </w:r>
      <w:r w:rsidR="0045229E">
        <w:t>.</w:t>
      </w:r>
    </w:p>
    <w:p w14:paraId="799C78A9" w14:textId="77777777" w:rsidR="00733FF0" w:rsidRPr="009A4FE9" w:rsidRDefault="00733FF0" w:rsidP="00733FF0">
      <w:pPr>
        <w:pStyle w:val="Normal-Style2"/>
      </w:pPr>
      <w:r w:rsidRPr="009A4FE9">
        <w:t>Each Grant Agreement will set out the Grantee’s obligations in respect of the Funded Solutions, including the roll-out, co-location and service terms.</w:t>
      </w:r>
    </w:p>
    <w:p w14:paraId="02CDEC0D" w14:textId="77777777" w:rsidR="00733FF0" w:rsidRDefault="00733FF0" w:rsidP="00733FF0">
      <w:pPr>
        <w:pStyle w:val="Heading3"/>
      </w:pPr>
      <w:bookmarkStart w:id="354" w:name="_Toc50044051"/>
      <w:bookmarkStart w:id="355" w:name="_Toc56425478"/>
      <w:bookmarkStart w:id="356" w:name="_Toc90294857"/>
      <w:bookmarkStart w:id="357" w:name="_Toc113442210"/>
      <w:bookmarkStart w:id="358" w:name="_Toc113357247"/>
      <w:bookmarkStart w:id="359" w:name="_Toc157704995"/>
      <w:r>
        <w:t>Termination, variation or amendment</w:t>
      </w:r>
      <w:bookmarkEnd w:id="354"/>
      <w:bookmarkEnd w:id="355"/>
      <w:bookmarkEnd w:id="356"/>
      <w:bookmarkEnd w:id="357"/>
      <w:bookmarkEnd w:id="358"/>
      <w:bookmarkEnd w:id="359"/>
    </w:p>
    <w:p w14:paraId="30E55D8E" w14:textId="77777777" w:rsidR="00733FF0" w:rsidRDefault="00733FF0" w:rsidP="00733FF0">
      <w:pPr>
        <w:pStyle w:val="Normal-Style2"/>
      </w:pPr>
      <w:r w:rsidRPr="009A4FE9">
        <w:t>The Government reserves the right to terminate or vary the Program (including via variation of these Guidelines) at its discretion, at any time, for any reason, including without limitation, in the light of changes to Government policy.</w:t>
      </w:r>
    </w:p>
    <w:p w14:paraId="6A42D838" w14:textId="77777777" w:rsidR="00733FF0" w:rsidRDefault="00733FF0" w:rsidP="007B4338">
      <w:pPr>
        <w:pStyle w:val="Normal-Style2"/>
        <w:keepLines/>
      </w:pPr>
      <w:r w:rsidRPr="009A4FE9">
        <w:t xml:space="preserve">If the Government determines that these Guidelines require amendment prior to the date for which funding applications </w:t>
      </w:r>
      <w:r>
        <w:t>are due to be submitted to the d</w:t>
      </w:r>
      <w:r w:rsidRPr="009A4FE9">
        <w:t>epartment, potential applicants will be advised of the revised or new Guidelines in a timely manner, including any resultant extension that may be applied to the application period. Any amendments and resultant extensions will be published on GrantConnect.</w:t>
      </w:r>
    </w:p>
    <w:p w14:paraId="216DBFB3" w14:textId="77777777" w:rsidR="00733FF0" w:rsidRDefault="00733FF0" w:rsidP="00733FF0">
      <w:pPr>
        <w:pStyle w:val="Normal-Style2"/>
      </w:pPr>
      <w:r w:rsidRPr="009A4FE9">
        <w:t xml:space="preserve">If the Government determines that these Guidelines require amendment following the date for which funding applications </w:t>
      </w:r>
      <w:r>
        <w:t>are due to be submitted to the d</w:t>
      </w:r>
      <w:r w:rsidRPr="009A4FE9">
        <w:t>epartment (for example, if the applications received do not achieve the Program objectives), the revised or new Guidelines will clearly identify the extent, if any, to which the amended criteria will be applied to existing applications, and/or whether applicants will have the opportunity to re</w:t>
      </w:r>
      <w:r w:rsidRPr="009A4FE9">
        <w:noBreakHyphen/>
        <w:t>submit an application based upon the revised criteria, and/or whether any new applicants will be considered. In this event, existing applicants will be notified in writing and via GrantConnect and the revised Guidelines will be published on GrantConnect.</w:t>
      </w:r>
    </w:p>
    <w:p w14:paraId="0A600A53" w14:textId="77777777" w:rsidR="00733FF0" w:rsidRDefault="00733FF0" w:rsidP="00733FF0">
      <w:pPr>
        <w:pStyle w:val="Normal-Style2"/>
      </w:pPr>
      <w:r w:rsidRPr="009A4FE9">
        <w:t>An organisation submitting an application acknowledges that neither these Guidelines, nor any application, give rise to a binding agreement or any other binding legal arrangement or legal relationship between the applicant and the Commonwealth. There is no binding agreement on any party until a Grant Agreement is executed between the Commonwealth and the Grantee.</w:t>
      </w:r>
    </w:p>
    <w:p w14:paraId="2178D2E5" w14:textId="77777777" w:rsidR="00733FF0" w:rsidRPr="009A4FE9" w:rsidRDefault="00733FF0" w:rsidP="00733FF0">
      <w:pPr>
        <w:pStyle w:val="Normal-Style2"/>
      </w:pPr>
      <w:r w:rsidRPr="009A4FE9">
        <w:t>The Commonwealth may recover grant funds if there is a breach of the Grant Agreement.</w:t>
      </w:r>
    </w:p>
    <w:p w14:paraId="333F4C45" w14:textId="77777777" w:rsidR="00733FF0" w:rsidRDefault="00733FF0" w:rsidP="00733FF0">
      <w:pPr>
        <w:pStyle w:val="Heading2"/>
      </w:pPr>
      <w:bookmarkStart w:id="360" w:name="_Toc467773983"/>
      <w:bookmarkStart w:id="361" w:name="_Toc5193530"/>
      <w:bookmarkStart w:id="362" w:name="_Toc5265939"/>
      <w:bookmarkStart w:id="363" w:name="_Toc50044052"/>
      <w:bookmarkStart w:id="364" w:name="_Toc56425479"/>
      <w:bookmarkStart w:id="365" w:name="_Toc90294858"/>
      <w:bookmarkStart w:id="366" w:name="_Toc113442211"/>
      <w:bookmarkStart w:id="367" w:name="_Toc113357248"/>
      <w:bookmarkStart w:id="368" w:name="_Toc157704996"/>
      <w:r w:rsidRPr="001607E9">
        <w:t>Announcement</w:t>
      </w:r>
      <w:r>
        <w:t xml:space="preserve"> of grants</w:t>
      </w:r>
      <w:bookmarkEnd w:id="360"/>
      <w:bookmarkEnd w:id="361"/>
      <w:bookmarkEnd w:id="362"/>
      <w:bookmarkEnd w:id="363"/>
      <w:bookmarkEnd w:id="364"/>
      <w:bookmarkEnd w:id="365"/>
      <w:bookmarkEnd w:id="366"/>
      <w:bookmarkEnd w:id="367"/>
      <w:bookmarkEnd w:id="368"/>
    </w:p>
    <w:p w14:paraId="1E5DCBEF" w14:textId="77777777" w:rsidR="0045229E" w:rsidRDefault="00733FF0" w:rsidP="00733FF0">
      <w:pPr>
        <w:pStyle w:val="Normal-Style2"/>
      </w:pPr>
      <w:r w:rsidRPr="00F40445">
        <w:t>If successful, the applicant’s grant will be listed on the GrantConnect website within 21 calendar days after the date of effect as required by section 5.3 of the CGRGs</w:t>
      </w:r>
      <w:r w:rsidR="0045229E">
        <w:t>.</w:t>
      </w:r>
    </w:p>
    <w:p w14:paraId="0F6553A3" w14:textId="77777777" w:rsidR="00733FF0" w:rsidRPr="00B72EE8" w:rsidRDefault="00733FF0" w:rsidP="00733FF0">
      <w:pPr>
        <w:pStyle w:val="Heading2"/>
      </w:pPr>
      <w:bookmarkStart w:id="369" w:name="_Toc421777623"/>
      <w:bookmarkStart w:id="370" w:name="_Toc467773984"/>
      <w:bookmarkStart w:id="371" w:name="_Toc5193531"/>
      <w:bookmarkStart w:id="372" w:name="_Toc5265940"/>
      <w:bookmarkStart w:id="373" w:name="_Toc50044053"/>
      <w:bookmarkStart w:id="374" w:name="_Toc56425480"/>
      <w:bookmarkStart w:id="375" w:name="_Toc90294859"/>
      <w:bookmarkStart w:id="376" w:name="_Toc113442212"/>
      <w:bookmarkStart w:id="377" w:name="_Toc113357249"/>
      <w:bookmarkStart w:id="378" w:name="_Toc157704997"/>
      <w:r>
        <w:t>How we monitor your g</w:t>
      </w:r>
      <w:r w:rsidRPr="00B72EE8">
        <w:t>rant</w:t>
      </w:r>
      <w:r>
        <w:t xml:space="preserve"> activity</w:t>
      </w:r>
      <w:bookmarkEnd w:id="369"/>
      <w:bookmarkEnd w:id="370"/>
      <w:bookmarkEnd w:id="371"/>
      <w:bookmarkEnd w:id="372"/>
      <w:bookmarkEnd w:id="373"/>
      <w:bookmarkEnd w:id="374"/>
      <w:bookmarkEnd w:id="375"/>
      <w:bookmarkEnd w:id="376"/>
      <w:bookmarkEnd w:id="377"/>
      <w:bookmarkEnd w:id="378"/>
    </w:p>
    <w:p w14:paraId="3D465674" w14:textId="77777777" w:rsidR="00733FF0" w:rsidRDefault="00733FF0" w:rsidP="00733FF0">
      <w:pPr>
        <w:pStyle w:val="Heading3"/>
      </w:pPr>
      <w:bookmarkStart w:id="379" w:name="_Toc421777624"/>
      <w:bookmarkStart w:id="380" w:name="_Toc433641185"/>
      <w:bookmarkStart w:id="381" w:name="_Toc467773985"/>
      <w:bookmarkStart w:id="382" w:name="_Toc5193532"/>
      <w:bookmarkStart w:id="383" w:name="_Toc5265941"/>
      <w:bookmarkStart w:id="384" w:name="_Toc50044054"/>
      <w:bookmarkStart w:id="385" w:name="_Toc56425481"/>
      <w:bookmarkStart w:id="386" w:name="_Toc90294860"/>
      <w:bookmarkStart w:id="387" w:name="_Toc113442213"/>
      <w:bookmarkStart w:id="388" w:name="_Toc113357250"/>
      <w:bookmarkStart w:id="389" w:name="_Toc157704998"/>
      <w:r>
        <w:t>The Grantee’s</w:t>
      </w:r>
      <w:r w:rsidRPr="000E3F38" w:rsidDel="00D505A5">
        <w:t xml:space="preserve"> responsibilities</w:t>
      </w:r>
      <w:bookmarkEnd w:id="379"/>
      <w:bookmarkEnd w:id="380"/>
      <w:bookmarkEnd w:id="381"/>
      <w:bookmarkEnd w:id="382"/>
      <w:bookmarkEnd w:id="383"/>
      <w:bookmarkEnd w:id="384"/>
      <w:bookmarkEnd w:id="385"/>
      <w:bookmarkEnd w:id="386"/>
      <w:bookmarkEnd w:id="387"/>
      <w:bookmarkEnd w:id="388"/>
      <w:bookmarkEnd w:id="389"/>
    </w:p>
    <w:p w14:paraId="4E6F697F" w14:textId="77777777" w:rsidR="0045229E" w:rsidRDefault="00733FF0" w:rsidP="00733FF0">
      <w:pPr>
        <w:pStyle w:val="Normal-Style2"/>
      </w:pPr>
      <w:r w:rsidRPr="009A4FE9">
        <w:t>Grantees must meet the terms and conditions set out in the Grant Agreement</w:t>
      </w:r>
      <w:r w:rsidR="0045229E">
        <w:t>.</w:t>
      </w:r>
    </w:p>
    <w:p w14:paraId="232F004F" w14:textId="1799C741" w:rsidR="00733FF0" w:rsidRDefault="00733FF0" w:rsidP="00733FF0">
      <w:pPr>
        <w:pStyle w:val="Normal-Style2"/>
      </w:pPr>
      <w:bookmarkStart w:id="390" w:name="_Ref121922059"/>
      <w:r w:rsidRPr="009A4FE9">
        <w:t xml:space="preserve">Grantees will need to establish Baseline Data for measuring project and Program progress. This Baseline Data will be provided by the applicant in their application (refer to sections </w:t>
      </w:r>
      <w:r>
        <w:fldChar w:fldCharType="begin"/>
      </w:r>
      <w:r>
        <w:instrText xml:space="preserve"> REF _Ref109305688 \r \h </w:instrText>
      </w:r>
      <w:r>
        <w:fldChar w:fldCharType="separate"/>
      </w:r>
      <w:r w:rsidR="001A1CA8">
        <w:t>7.3</w:t>
      </w:r>
      <w:r>
        <w:fldChar w:fldCharType="end"/>
      </w:r>
      <w:r>
        <w:t xml:space="preserve"> </w:t>
      </w:r>
      <w:r w:rsidRPr="009A4FE9">
        <w:t xml:space="preserve">and </w:t>
      </w:r>
      <w:r>
        <w:fldChar w:fldCharType="begin"/>
      </w:r>
      <w:r>
        <w:instrText xml:space="preserve"> REF _Ref109304863 \r \h </w:instrText>
      </w:r>
      <w:r>
        <w:fldChar w:fldCharType="separate"/>
      </w:r>
      <w:r w:rsidR="001A1CA8">
        <w:t>7.4.2</w:t>
      </w:r>
      <w:r>
        <w:fldChar w:fldCharType="end"/>
      </w:r>
      <w:r w:rsidRPr="009A4FE9">
        <w:t>), which will subsequently form the basis of project progress reports.</w:t>
      </w:r>
      <w:bookmarkEnd w:id="390"/>
    </w:p>
    <w:p w14:paraId="5D2BA200" w14:textId="77777777" w:rsidR="0045229E" w:rsidRDefault="00733FF0" w:rsidP="00733FF0">
      <w:pPr>
        <w:pStyle w:val="Normal-Style2"/>
      </w:pPr>
      <w:r w:rsidRPr="009A4FE9">
        <w:t>Grantees will be required to maintain a publicly available online database for the construction phase of the Program, as specified in the Grant Agreement, which will include information regarding the status and progress of Funded Solutions</w:t>
      </w:r>
      <w:r w:rsidR="0045229E">
        <w:t>.</w:t>
      </w:r>
    </w:p>
    <w:p w14:paraId="6DF2C8E4" w14:textId="77777777" w:rsidR="00733FF0" w:rsidRPr="009A4FE9" w:rsidRDefault="00733FF0" w:rsidP="00733FF0">
      <w:pPr>
        <w:pStyle w:val="Normal-Style2"/>
      </w:pPr>
      <w:r w:rsidRPr="009A4FE9">
        <w:t>Grantees will be required to provide and maintain a stakeholder engagement plan for the rollout of the Program, including relevant details for each Funded Solution. The plan should cover:</w:t>
      </w:r>
    </w:p>
    <w:p w14:paraId="1611CC71" w14:textId="77777777" w:rsidR="00733FF0" w:rsidRPr="000D73F6" w:rsidRDefault="00733FF0" w:rsidP="00733FF0">
      <w:pPr>
        <w:pStyle w:val="ListBullet"/>
      </w:pPr>
      <w:r w:rsidRPr="000D73F6">
        <w:t>communication activities with relevant stakeholders including the local community, local councils and State and federal members of parliament; and</w:t>
      </w:r>
    </w:p>
    <w:p w14:paraId="43DCB709" w14:textId="77777777" w:rsidR="00733FF0" w:rsidRDefault="00733FF0" w:rsidP="00733FF0">
      <w:pPr>
        <w:pStyle w:val="ListBullet"/>
        <w:rPr>
          <w:rFonts w:cs="Arial"/>
        </w:rPr>
      </w:pPr>
      <w:r w:rsidRPr="000D73F6">
        <w:t>communication of updates to the community regarding any changes to the rollout of the Funded</w:t>
      </w:r>
      <w:r w:rsidRPr="00A3344D">
        <w:rPr>
          <w:rFonts w:cs="Arial"/>
        </w:rPr>
        <w:t> Solution (e.g. timing, location, expected coverage outcomes).</w:t>
      </w:r>
    </w:p>
    <w:p w14:paraId="05669FA7" w14:textId="77777777" w:rsidR="00733FF0" w:rsidRDefault="00733FF0" w:rsidP="00733FF0">
      <w:pPr>
        <w:pStyle w:val="Normal-Style2"/>
      </w:pPr>
      <w:r w:rsidRPr="00905E58">
        <w:t>Th</w:t>
      </w:r>
      <w:r>
        <w:t>e Grantee must also inform the d</w:t>
      </w:r>
      <w:r w:rsidRPr="00905E58">
        <w:t>epartment of any changes to their name, addresses, nominated contact details, or bank account details.</w:t>
      </w:r>
    </w:p>
    <w:p w14:paraId="4D0772CE" w14:textId="77777777" w:rsidR="00733FF0" w:rsidRPr="00905E58" w:rsidRDefault="00733FF0" w:rsidP="00733FF0">
      <w:pPr>
        <w:pStyle w:val="Normal-Style2"/>
      </w:pPr>
      <w:r w:rsidRPr="00905E58">
        <w:t xml:space="preserve">The Grantee must </w:t>
      </w:r>
      <w:r>
        <w:t>notify the d</w:t>
      </w:r>
      <w:r w:rsidRPr="00905E58">
        <w:t>epartment of any key changes to their organisation or its business activities, particularly if these affect the Grantee’s ability to complete their grant, carry on business and pay debts due.</w:t>
      </w:r>
    </w:p>
    <w:p w14:paraId="31CC17F6" w14:textId="77777777" w:rsidR="00733FF0" w:rsidRDefault="00733FF0" w:rsidP="00733FF0">
      <w:pPr>
        <w:pStyle w:val="Heading3"/>
      </w:pPr>
      <w:bookmarkStart w:id="391" w:name="_Toc420671454"/>
      <w:bookmarkStart w:id="392" w:name="_Toc433641186"/>
      <w:bookmarkStart w:id="393" w:name="_Toc467773986"/>
      <w:bookmarkStart w:id="394" w:name="_Toc5193533"/>
      <w:bookmarkStart w:id="395" w:name="_Toc5265942"/>
      <w:bookmarkStart w:id="396" w:name="_Toc50044055"/>
      <w:bookmarkStart w:id="397" w:name="_Toc56425482"/>
      <w:bookmarkStart w:id="398" w:name="_Toc90294861"/>
      <w:bookmarkStart w:id="399" w:name="_Toc113442214"/>
      <w:bookmarkStart w:id="400" w:name="_Toc113357251"/>
      <w:bookmarkStart w:id="401" w:name="_Toc157704999"/>
      <w:r w:rsidRPr="00A3344D">
        <w:t xml:space="preserve">The </w:t>
      </w:r>
      <w:r>
        <w:t>department</w:t>
      </w:r>
      <w:r w:rsidRPr="00A3344D">
        <w:t>’s responsibilities</w:t>
      </w:r>
      <w:bookmarkEnd w:id="391"/>
      <w:bookmarkEnd w:id="392"/>
      <w:bookmarkEnd w:id="393"/>
      <w:bookmarkEnd w:id="394"/>
      <w:bookmarkEnd w:id="395"/>
      <w:bookmarkEnd w:id="396"/>
      <w:bookmarkEnd w:id="397"/>
      <w:bookmarkEnd w:id="398"/>
      <w:bookmarkEnd w:id="399"/>
      <w:bookmarkEnd w:id="400"/>
      <w:bookmarkEnd w:id="401"/>
    </w:p>
    <w:p w14:paraId="7DC00B02" w14:textId="77777777" w:rsidR="00733FF0" w:rsidRPr="00F40445" w:rsidRDefault="00733FF0" w:rsidP="00733FF0">
      <w:pPr>
        <w:pStyle w:val="Normal-Style2"/>
        <w:rPr>
          <w:sz w:val="24"/>
          <w:szCs w:val="32"/>
        </w:rPr>
      </w:pPr>
      <w:r w:rsidRPr="00F40445">
        <w:t xml:space="preserve">The </w:t>
      </w:r>
      <w:r>
        <w:t>department</w:t>
      </w:r>
      <w:r w:rsidRPr="00F40445">
        <w:t xml:space="preserve"> will:</w:t>
      </w:r>
    </w:p>
    <w:p w14:paraId="4B735957" w14:textId="77777777" w:rsidR="00733FF0" w:rsidRPr="000D73F6" w:rsidRDefault="00733FF0" w:rsidP="00733FF0">
      <w:pPr>
        <w:pStyle w:val="ListBullet"/>
      </w:pPr>
      <w:r w:rsidRPr="000D73F6">
        <w:t>meet the terms and conditions set out in the Grant Agreement;</w:t>
      </w:r>
    </w:p>
    <w:p w14:paraId="23374423" w14:textId="77777777" w:rsidR="00733FF0" w:rsidRPr="000D73F6" w:rsidRDefault="00733FF0" w:rsidP="00733FF0">
      <w:pPr>
        <w:pStyle w:val="ListBullet"/>
      </w:pPr>
      <w:r w:rsidRPr="000D73F6">
        <w:t>provide timely administration of the grant; and</w:t>
      </w:r>
    </w:p>
    <w:p w14:paraId="1A3DAAEA" w14:textId="77777777" w:rsidR="00733FF0" w:rsidRPr="00A3344D" w:rsidRDefault="00733FF0" w:rsidP="00733FF0">
      <w:pPr>
        <w:pStyle w:val="ListBullet"/>
      </w:pPr>
      <w:r w:rsidRPr="000D73F6">
        <w:t>evaluate</w:t>
      </w:r>
      <w:r w:rsidRPr="00A3344D">
        <w:t xml:space="preserve"> the </w:t>
      </w:r>
      <w:r>
        <w:t>G</w:t>
      </w:r>
      <w:r w:rsidRPr="00A3344D">
        <w:t>rantee’s performance.</w:t>
      </w:r>
    </w:p>
    <w:p w14:paraId="4AD28F53" w14:textId="77777777" w:rsidR="0045229E" w:rsidRDefault="00733FF0" w:rsidP="00733FF0">
      <w:pPr>
        <w:pStyle w:val="Normal-Style2"/>
      </w:pPr>
      <w:r w:rsidRPr="009A4FE9">
        <w:t xml:space="preserve">The </w:t>
      </w:r>
      <w:r>
        <w:t>department</w:t>
      </w:r>
      <w:r w:rsidRPr="009A4FE9">
        <w:t xml:space="preserve"> will monitor the progress of the Grantee’s project by assessing reports the Grantee submits and may conduct site visits to confirm details of the reports if necessary. Occasionally, the </w:t>
      </w:r>
      <w:r>
        <w:t>department</w:t>
      </w:r>
      <w:r w:rsidRPr="009A4FE9">
        <w:t xml:space="preserve"> may need to re-examine claims, seek further information or request an independent audit of claims and payments</w:t>
      </w:r>
      <w:r w:rsidR="0045229E">
        <w:t>.</w:t>
      </w:r>
    </w:p>
    <w:p w14:paraId="0AD14576" w14:textId="77777777" w:rsidR="00733FF0" w:rsidRDefault="00733FF0" w:rsidP="00733FF0">
      <w:pPr>
        <w:pStyle w:val="Heading3"/>
      </w:pPr>
      <w:bookmarkStart w:id="402" w:name="_Toc421777626"/>
      <w:bookmarkStart w:id="403" w:name="_Toc467773987"/>
      <w:bookmarkStart w:id="404" w:name="_Toc5193534"/>
      <w:bookmarkStart w:id="405" w:name="_Toc5265943"/>
      <w:bookmarkStart w:id="406" w:name="_Toc50044056"/>
      <w:bookmarkStart w:id="407" w:name="_Toc56425483"/>
      <w:bookmarkStart w:id="408" w:name="_Toc90294862"/>
      <w:bookmarkStart w:id="409" w:name="_Toc113442215"/>
      <w:bookmarkStart w:id="410" w:name="_Toc113357252"/>
      <w:bookmarkStart w:id="411" w:name="_Toc433641188"/>
      <w:bookmarkStart w:id="412" w:name="_Toc157705000"/>
      <w:r w:rsidRPr="000E3F38">
        <w:t>Grant payments</w:t>
      </w:r>
      <w:bookmarkEnd w:id="402"/>
      <w:r w:rsidRPr="000E3F38">
        <w:t xml:space="preserve"> and GST</w:t>
      </w:r>
      <w:bookmarkEnd w:id="403"/>
      <w:bookmarkEnd w:id="404"/>
      <w:bookmarkEnd w:id="405"/>
      <w:bookmarkEnd w:id="406"/>
      <w:bookmarkEnd w:id="407"/>
      <w:bookmarkEnd w:id="408"/>
      <w:bookmarkEnd w:id="409"/>
      <w:bookmarkEnd w:id="410"/>
      <w:bookmarkEnd w:id="411"/>
      <w:bookmarkEnd w:id="412"/>
    </w:p>
    <w:p w14:paraId="19627F56" w14:textId="77777777" w:rsidR="00733FF0" w:rsidRDefault="00733FF0" w:rsidP="00733FF0">
      <w:pPr>
        <w:pStyle w:val="Normal-Style2"/>
      </w:pPr>
      <w:r w:rsidRPr="00A01492">
        <w:t xml:space="preserve">Payments will be made as set out in the Grant Agreement. If the applicant is registered for the GST, where applicable, the </w:t>
      </w:r>
      <w:r>
        <w:t>department</w:t>
      </w:r>
      <w:r w:rsidRPr="00A01492">
        <w:t xml:space="preserve"> will add GST to the grant payment.</w:t>
      </w:r>
    </w:p>
    <w:p w14:paraId="72BBB3F2" w14:textId="77777777" w:rsidR="0045229E" w:rsidRDefault="00733FF0" w:rsidP="00733FF0">
      <w:pPr>
        <w:pStyle w:val="Normal-Style2"/>
      </w:pPr>
      <w:r w:rsidRPr="00A01492">
        <w:t xml:space="preserve">Grants are assessable income for taxation purposes, unless exempted by a taxation law. The </w:t>
      </w:r>
      <w:r>
        <w:t>department</w:t>
      </w:r>
      <w:r w:rsidRPr="00A01492">
        <w:t xml:space="preserve"> recommends that Grantees seek independent professional advice on their taxation obligations or seek assistance from the Australian Taxation Office. The </w:t>
      </w:r>
      <w:r>
        <w:t>department</w:t>
      </w:r>
      <w:r w:rsidRPr="00A01492">
        <w:t xml:space="preserve"> does not provide advice on an applicant’s particular taxation circumstances</w:t>
      </w:r>
      <w:r w:rsidR="0045229E">
        <w:t>.</w:t>
      </w:r>
    </w:p>
    <w:p w14:paraId="25F3437A" w14:textId="77777777" w:rsidR="00733FF0" w:rsidRDefault="00733FF0" w:rsidP="00733FF0">
      <w:pPr>
        <w:pStyle w:val="Heading3"/>
      </w:pPr>
      <w:bookmarkStart w:id="413" w:name="_Toc421777629"/>
      <w:bookmarkStart w:id="414" w:name="_Toc467773988"/>
      <w:bookmarkStart w:id="415" w:name="_Toc5193535"/>
      <w:bookmarkStart w:id="416" w:name="_Toc5265944"/>
      <w:bookmarkStart w:id="417" w:name="_Toc50044057"/>
      <w:bookmarkStart w:id="418" w:name="_Toc56425484"/>
      <w:bookmarkStart w:id="419" w:name="_Toc90294863"/>
      <w:bookmarkStart w:id="420" w:name="_Toc113442216"/>
      <w:bookmarkStart w:id="421" w:name="_Toc113357253"/>
      <w:bookmarkStart w:id="422" w:name="_Toc157705001"/>
      <w:r>
        <w:t>E</w:t>
      </w:r>
      <w:r w:rsidRPr="00B72EE8">
        <w:t>valuation</w:t>
      </w:r>
      <w:bookmarkEnd w:id="413"/>
      <w:bookmarkEnd w:id="414"/>
      <w:bookmarkEnd w:id="415"/>
      <w:bookmarkEnd w:id="416"/>
      <w:bookmarkEnd w:id="417"/>
      <w:bookmarkEnd w:id="418"/>
      <w:bookmarkEnd w:id="419"/>
      <w:bookmarkEnd w:id="420"/>
      <w:bookmarkEnd w:id="421"/>
      <w:bookmarkEnd w:id="422"/>
    </w:p>
    <w:p w14:paraId="00705CD7" w14:textId="77777777" w:rsidR="00733FF0" w:rsidRDefault="00733FF0" w:rsidP="00733FF0">
      <w:pPr>
        <w:pStyle w:val="Normal-Style2"/>
      </w:pPr>
      <w:r>
        <w:t xml:space="preserve">The Program will be evaluated by the department against key performance indicators (KPIs) as agreed with each </w:t>
      </w:r>
      <w:r w:rsidRPr="005F3663">
        <w:t>Grantee</w:t>
      </w:r>
      <w:r>
        <w:t>. The department will use the KPIs to</w:t>
      </w:r>
      <w:r w:rsidRPr="002070B7">
        <w:t xml:space="preserve"> </w:t>
      </w:r>
      <w:r>
        <w:t>monitor, measure and report on progress, outputs, outcomes and benefits of the Program.</w:t>
      </w:r>
    </w:p>
    <w:p w14:paraId="71A65C73" w14:textId="77777777" w:rsidR="00733FF0" w:rsidRDefault="00733FF0" w:rsidP="00733FF0">
      <w:pPr>
        <w:pStyle w:val="Normal-Style2"/>
      </w:pPr>
      <w:r>
        <w:t>Grantees will be required to participate in Program reviews and evaluations.</w:t>
      </w:r>
    </w:p>
    <w:p w14:paraId="16359866" w14:textId="77777777" w:rsidR="00733FF0" w:rsidRDefault="00733FF0" w:rsidP="00733FF0">
      <w:pPr>
        <w:pStyle w:val="Heading2"/>
      </w:pPr>
      <w:bookmarkStart w:id="423" w:name="_Toc467773990"/>
      <w:bookmarkStart w:id="424" w:name="_Toc5193536"/>
      <w:bookmarkStart w:id="425" w:name="_Toc5265945"/>
      <w:bookmarkStart w:id="426" w:name="_Toc50044058"/>
      <w:bookmarkStart w:id="427" w:name="_Toc56425485"/>
      <w:bookmarkStart w:id="428" w:name="_Toc90294864"/>
      <w:bookmarkStart w:id="429" w:name="_Ref109305666"/>
      <w:bookmarkStart w:id="430" w:name="_Toc113442217"/>
      <w:bookmarkStart w:id="431" w:name="_Toc113357254"/>
      <w:bookmarkStart w:id="432" w:name="_Toc157705002"/>
      <w:bookmarkStart w:id="433" w:name="_Toc421777631"/>
      <w:r w:rsidRPr="00B72EE8">
        <w:t>P</w:t>
      </w:r>
      <w:r>
        <w:t>robity</w:t>
      </w:r>
      <w:bookmarkEnd w:id="423"/>
      <w:bookmarkEnd w:id="424"/>
      <w:bookmarkEnd w:id="425"/>
      <w:bookmarkEnd w:id="426"/>
      <w:bookmarkEnd w:id="427"/>
      <w:bookmarkEnd w:id="428"/>
      <w:bookmarkEnd w:id="429"/>
      <w:bookmarkEnd w:id="430"/>
      <w:bookmarkEnd w:id="431"/>
      <w:bookmarkEnd w:id="432"/>
    </w:p>
    <w:p w14:paraId="2124405F" w14:textId="77777777" w:rsidR="00733FF0" w:rsidRDefault="00733FF0" w:rsidP="00733FF0">
      <w:pPr>
        <w:pStyle w:val="Heading3"/>
      </w:pPr>
      <w:bookmarkStart w:id="434" w:name="_Toc5193537"/>
      <w:bookmarkStart w:id="435" w:name="_Toc5265946"/>
      <w:bookmarkStart w:id="436" w:name="_Toc50044059"/>
      <w:bookmarkStart w:id="437" w:name="_Toc56425486"/>
      <w:bookmarkStart w:id="438" w:name="_Toc90294865"/>
      <w:bookmarkStart w:id="439" w:name="_Toc113442218"/>
      <w:bookmarkStart w:id="440" w:name="_Toc113357255"/>
      <w:bookmarkStart w:id="441" w:name="_Toc157705003"/>
      <w:r>
        <w:t>Accountability and probity</w:t>
      </w:r>
      <w:bookmarkEnd w:id="433"/>
      <w:bookmarkEnd w:id="434"/>
      <w:bookmarkEnd w:id="435"/>
      <w:bookmarkEnd w:id="436"/>
      <w:bookmarkEnd w:id="437"/>
      <w:bookmarkEnd w:id="438"/>
      <w:bookmarkEnd w:id="439"/>
      <w:bookmarkEnd w:id="440"/>
      <w:bookmarkEnd w:id="441"/>
    </w:p>
    <w:p w14:paraId="06C642A6" w14:textId="77777777" w:rsidR="00733FF0" w:rsidRDefault="00733FF0" w:rsidP="00733FF0">
      <w:pPr>
        <w:pStyle w:val="Normal-Style2"/>
      </w:pPr>
      <w:r w:rsidRPr="009A4FE9">
        <w:t xml:space="preserve">The </w:t>
      </w:r>
      <w:r>
        <w:t>department</w:t>
      </w:r>
      <w:r w:rsidRPr="009A4FE9">
        <w:t xml:space="preserve"> is committed to ensuring that the process for selecting and approving Funded Solutions under the Program is fair, conducted in accordance with these Guidelines, incorporates appropriate safeguards against fraud, unlawful activities and other inappropriate conduct, and is consistent with the CGRGs.</w:t>
      </w:r>
    </w:p>
    <w:p w14:paraId="7EF78E60" w14:textId="00114CBD" w:rsidR="00733FF0" w:rsidRPr="009A4FE9" w:rsidRDefault="00733FF0" w:rsidP="00733FF0">
      <w:pPr>
        <w:pStyle w:val="Normal-Style2"/>
      </w:pPr>
      <w:r w:rsidRPr="009A4FE9">
        <w:t xml:space="preserve">The </w:t>
      </w:r>
      <w:r>
        <w:t>department</w:t>
      </w:r>
      <w:r w:rsidRPr="009A4FE9">
        <w:t xml:space="preserve">, as a non-corporate Commonwealth entity under the </w:t>
      </w:r>
      <w:hyperlink r:id="rId33" w:history="1">
        <w:r w:rsidRPr="00825F9C">
          <w:rPr>
            <w:rStyle w:val="Hyperlink"/>
            <w:i/>
          </w:rPr>
          <w:t xml:space="preserve">Public Governance, Performance and Accountability Act 2013 </w:t>
        </w:r>
        <w:r w:rsidRPr="00825F9C">
          <w:rPr>
            <w:rStyle w:val="Hyperlink"/>
          </w:rPr>
          <w:t>(Cth)</w:t>
        </w:r>
      </w:hyperlink>
      <w:r w:rsidR="00825F9C">
        <w:rPr>
          <w:rStyle w:val="FootnoteReference"/>
          <w:i/>
        </w:rPr>
        <w:footnoteReference w:id="13"/>
      </w:r>
      <w:r w:rsidRPr="009A4FE9">
        <w:t xml:space="preserve"> (the PGPA Act), in relation to its investment in the Program, must comply with:</w:t>
      </w:r>
    </w:p>
    <w:p w14:paraId="7A1E024A" w14:textId="77777777" w:rsidR="00733FF0" w:rsidRPr="000D73F6" w:rsidRDefault="00733FF0" w:rsidP="00733FF0">
      <w:pPr>
        <w:pStyle w:val="ListBullet"/>
      </w:pPr>
      <w:r w:rsidRPr="007E01CD">
        <w:rPr>
          <w:rFonts w:cs="Arial"/>
        </w:rPr>
        <w:t xml:space="preserve">the </w:t>
      </w:r>
      <w:r w:rsidRPr="000D73F6">
        <w:t>various duties set out in section 15 of the PGPA Act including promot</w:t>
      </w:r>
      <w:r>
        <w:t>ing</w:t>
      </w:r>
      <w:r w:rsidRPr="000D73F6">
        <w:t xml:space="preserve"> the proper use and management of public resources for which the </w:t>
      </w:r>
      <w:r>
        <w:t>department</w:t>
      </w:r>
      <w:r w:rsidRPr="000D73F6">
        <w:t xml:space="preserve"> is responsible; promot</w:t>
      </w:r>
      <w:r>
        <w:t>ing</w:t>
      </w:r>
      <w:r w:rsidRPr="000D73F6">
        <w:t xml:space="preserve"> the achievement of the purposes of the </w:t>
      </w:r>
      <w:r>
        <w:t>department</w:t>
      </w:r>
      <w:r w:rsidRPr="000D73F6">
        <w:t>; and promot</w:t>
      </w:r>
      <w:r>
        <w:t>ing</w:t>
      </w:r>
      <w:r w:rsidRPr="000D73F6">
        <w:t xml:space="preserve"> the financial sustainability of the </w:t>
      </w:r>
      <w:r>
        <w:t>department</w:t>
      </w:r>
      <w:r w:rsidRPr="000D73F6">
        <w:t>;</w:t>
      </w:r>
    </w:p>
    <w:p w14:paraId="6C4AD62E" w14:textId="77777777" w:rsidR="00733FF0" w:rsidRPr="000D73F6" w:rsidRDefault="00733FF0" w:rsidP="00733FF0">
      <w:pPr>
        <w:pStyle w:val="ListBullet"/>
      </w:pPr>
      <w:r w:rsidRPr="000D73F6">
        <w:t xml:space="preserve">section 16 of the PGPA Act which requires the </w:t>
      </w:r>
      <w:r>
        <w:t>department</w:t>
      </w:r>
      <w:r w:rsidRPr="000D73F6">
        <w:t xml:space="preserve"> to establish and maintain appropriate systems of risk oversight and management and an appropriate system of internal controls; and</w:t>
      </w:r>
    </w:p>
    <w:p w14:paraId="0E0781F3" w14:textId="77777777" w:rsidR="00733FF0" w:rsidRPr="007E01CD" w:rsidRDefault="00733FF0" w:rsidP="00733FF0">
      <w:pPr>
        <w:pStyle w:val="ListBullet"/>
      </w:pPr>
      <w:r w:rsidRPr="000D73F6">
        <w:t>the CGRGs</w:t>
      </w:r>
      <w:r w:rsidRPr="007E01CD">
        <w:t xml:space="preserve">, which establish the overarching Commonwealth grant policy framework and articulate the expectations for the </w:t>
      </w:r>
      <w:r>
        <w:t>department</w:t>
      </w:r>
      <w:r w:rsidRPr="007E01CD">
        <w:t xml:space="preserve"> (including but not limited to a range of probity and reporting requirements).</w:t>
      </w:r>
    </w:p>
    <w:p w14:paraId="5110F5A8" w14:textId="77777777" w:rsidR="00733FF0" w:rsidRDefault="00733FF0" w:rsidP="00733FF0">
      <w:pPr>
        <w:pStyle w:val="Heading3"/>
      </w:pPr>
      <w:bookmarkStart w:id="442" w:name="_Toc5193538"/>
      <w:bookmarkStart w:id="443" w:name="_Toc5265947"/>
      <w:bookmarkStart w:id="444" w:name="_Toc50044060"/>
      <w:bookmarkStart w:id="445" w:name="_Toc56425487"/>
      <w:bookmarkStart w:id="446" w:name="_Toc90294866"/>
      <w:bookmarkStart w:id="447" w:name="_Toc113442219"/>
      <w:bookmarkStart w:id="448" w:name="_Toc113357256"/>
      <w:bookmarkStart w:id="449" w:name="_Toc157705004"/>
      <w:r>
        <w:t>Enquiries and feedback</w:t>
      </w:r>
      <w:bookmarkEnd w:id="442"/>
      <w:bookmarkEnd w:id="443"/>
      <w:bookmarkEnd w:id="444"/>
      <w:bookmarkEnd w:id="445"/>
      <w:bookmarkEnd w:id="446"/>
      <w:bookmarkEnd w:id="447"/>
      <w:bookmarkEnd w:id="448"/>
      <w:bookmarkEnd w:id="449"/>
    </w:p>
    <w:p w14:paraId="12AD1895" w14:textId="77777777" w:rsidR="00733FF0" w:rsidRPr="00852C85" w:rsidRDefault="00733FF0" w:rsidP="00733FF0">
      <w:pPr>
        <w:pStyle w:val="Normal-Style2"/>
      </w:pPr>
      <w:r w:rsidRPr="00852C85">
        <w:t xml:space="preserve">The department’s </w:t>
      </w:r>
      <w:hyperlink r:id="rId34" w:history="1">
        <w:r w:rsidRPr="00852C85">
          <w:t>Feedback and Complaints Procedures</w:t>
        </w:r>
      </w:hyperlink>
      <w:r w:rsidRPr="00852C85">
        <w:t xml:space="preserve"> apply to complaints about this grant opportunity. All complaints about a grant process must be provided in writing.</w:t>
      </w:r>
    </w:p>
    <w:p w14:paraId="1594CAD9" w14:textId="334D6354" w:rsidR="00733FF0" w:rsidRPr="00852C85" w:rsidRDefault="00733FF0" w:rsidP="00733FF0">
      <w:pPr>
        <w:pStyle w:val="Normal-Style2"/>
      </w:pPr>
      <w:r w:rsidRPr="00852C85">
        <w:t xml:space="preserve">Any questions you have about grant decisions for this grant opportunity should be sent to </w:t>
      </w:r>
      <w:hyperlink r:id="rId35" w:history="1">
        <w:r w:rsidR="00D03B4C" w:rsidRPr="00FB733E">
          <w:rPr>
            <w:rStyle w:val="Hyperlink"/>
          </w:rPr>
          <w:t>MBSP@infrastructure.gov.au</w:t>
        </w:r>
      </w:hyperlink>
      <w:r w:rsidR="00D03B4C">
        <w:t>.</w:t>
      </w:r>
    </w:p>
    <w:p w14:paraId="08369B96" w14:textId="77777777" w:rsidR="00733FF0" w:rsidRPr="009A4FE9" w:rsidRDefault="00733FF0" w:rsidP="00733FF0">
      <w:pPr>
        <w:pStyle w:val="Normal-Style2"/>
      </w:pPr>
      <w:r w:rsidRPr="00852C85">
        <w:t>If you do not</w:t>
      </w:r>
      <w:r w:rsidRPr="009A4FE9">
        <w:t xml:space="preserve"> agree with the way the </w:t>
      </w:r>
      <w:r>
        <w:t>department</w:t>
      </w:r>
      <w:r w:rsidRPr="009A4FE9">
        <w:t xml:space="preserve"> has handled your complaint, you may complain to the </w:t>
      </w:r>
      <w:hyperlink r:id="rId36" w:history="1">
        <w:r w:rsidRPr="009A4FE9">
          <w:t>Commonwealth Ombudsman</w:t>
        </w:r>
      </w:hyperlink>
      <w:r w:rsidRPr="009A4FE9">
        <w:t xml:space="preserve">. The Ombudsman will not usually look into a complaint unless the matter has first been raised directly with the </w:t>
      </w:r>
      <w:r>
        <w:t>department</w:t>
      </w:r>
      <w:r w:rsidRPr="009A4FE9">
        <w:t>.</w:t>
      </w:r>
    </w:p>
    <w:p w14:paraId="31FB782C" w14:textId="77777777" w:rsidR="007E495B" w:rsidRPr="00B16E2A" w:rsidRDefault="00733FF0" w:rsidP="00A67C4E">
      <w:pPr>
        <w:pStyle w:val="Bodynumbered-Level1"/>
        <w:ind w:left="851" w:firstLine="0"/>
        <w:rPr>
          <w:rFonts w:asciiTheme="minorHAnsi" w:hAnsiTheme="minorHAnsi" w:cstheme="minorHAnsi"/>
        </w:rPr>
      </w:pPr>
      <w:r w:rsidRPr="00B16E2A">
        <w:rPr>
          <w:rFonts w:asciiTheme="minorHAnsi" w:hAnsiTheme="minorHAnsi" w:cstheme="minorHAnsi"/>
        </w:rPr>
        <w:t>The Commonwealth Ombudsman can be contacted on:</w:t>
      </w:r>
    </w:p>
    <w:p w14:paraId="173E100C" w14:textId="77777777" w:rsidR="007E495B" w:rsidRPr="00B16E2A" w:rsidRDefault="00733FF0" w:rsidP="00A67C4E">
      <w:pPr>
        <w:pStyle w:val="Bodynumbered-Level1"/>
        <w:spacing w:line="280" w:lineRule="atLeast"/>
        <w:ind w:left="1418" w:firstLine="0"/>
        <w:rPr>
          <w:rFonts w:asciiTheme="minorHAnsi" w:hAnsiTheme="minorHAnsi" w:cstheme="minorHAnsi"/>
        </w:rPr>
      </w:pPr>
      <w:r w:rsidRPr="00B16E2A">
        <w:rPr>
          <w:rFonts w:asciiTheme="minorHAnsi" w:hAnsiTheme="minorHAnsi" w:cstheme="minorHAnsi"/>
        </w:rPr>
        <w:t>Phone (Toll free): 1300 362 072</w:t>
      </w:r>
      <w:r w:rsidRPr="00B16E2A">
        <w:rPr>
          <w:rFonts w:asciiTheme="minorHAnsi" w:hAnsiTheme="minorHAnsi" w:cstheme="minorHAnsi"/>
        </w:rPr>
        <w:br/>
        <w:t xml:space="preserve">Email: </w:t>
      </w:r>
      <w:hyperlink r:id="rId37" w:history="1">
        <w:r w:rsidRPr="00B16E2A">
          <w:rPr>
            <w:rStyle w:val="Hyperlink"/>
            <w:rFonts w:asciiTheme="minorHAnsi" w:hAnsiTheme="minorHAnsi" w:cstheme="minorHAnsi"/>
          </w:rPr>
          <w:t>ombudsman@ombudsman.gov.au</w:t>
        </w:r>
      </w:hyperlink>
      <w:r w:rsidRPr="00B16E2A">
        <w:rPr>
          <w:rFonts w:asciiTheme="minorHAnsi" w:hAnsiTheme="minorHAnsi" w:cstheme="minorHAnsi"/>
        </w:rPr>
        <w:t xml:space="preserve"> </w:t>
      </w:r>
      <w:r w:rsidRPr="00B16E2A">
        <w:rPr>
          <w:rFonts w:asciiTheme="minorHAnsi" w:hAnsiTheme="minorHAnsi" w:cstheme="minorHAnsi"/>
        </w:rPr>
        <w:br/>
        <w:t xml:space="preserve">Website: </w:t>
      </w:r>
      <w:hyperlink r:id="rId38" w:history="1">
        <w:r w:rsidRPr="00B16E2A">
          <w:rPr>
            <w:rStyle w:val="Hyperlink"/>
            <w:rFonts w:asciiTheme="minorHAnsi" w:hAnsiTheme="minorHAnsi" w:cstheme="minorHAnsi"/>
          </w:rPr>
          <w:t>www.ombudsman.gov.au</w:t>
        </w:r>
      </w:hyperlink>
    </w:p>
    <w:p w14:paraId="42FA4A97" w14:textId="77777777" w:rsidR="00733FF0" w:rsidRPr="006A530C" w:rsidRDefault="00733FF0" w:rsidP="00733FF0">
      <w:pPr>
        <w:pStyle w:val="Normal-Style2"/>
      </w:pPr>
      <w:r w:rsidRPr="006A530C">
        <w:t>Applicants should note that the Commonwealth Ombudsman can only review the Program’s assessment processes, not any specific funding decision, under the Program.</w:t>
      </w:r>
    </w:p>
    <w:p w14:paraId="170C5F78" w14:textId="77777777" w:rsidR="00733FF0" w:rsidRDefault="00733FF0" w:rsidP="00733FF0">
      <w:pPr>
        <w:pStyle w:val="Heading3"/>
      </w:pPr>
      <w:bookmarkStart w:id="450" w:name="_Toc56425488"/>
      <w:bookmarkStart w:id="451" w:name="_Toc90294867"/>
      <w:bookmarkStart w:id="452" w:name="_Toc113442220"/>
      <w:bookmarkStart w:id="453" w:name="_Toc113357257"/>
      <w:bookmarkStart w:id="454" w:name="_Toc157705005"/>
      <w:r>
        <w:t>Conflicts of interest</w:t>
      </w:r>
      <w:bookmarkEnd w:id="450"/>
      <w:bookmarkEnd w:id="451"/>
      <w:bookmarkEnd w:id="452"/>
      <w:bookmarkEnd w:id="453"/>
      <w:bookmarkEnd w:id="454"/>
    </w:p>
    <w:p w14:paraId="50B7458D" w14:textId="77777777" w:rsidR="00733FF0" w:rsidRPr="00E66786" w:rsidRDefault="00733FF0" w:rsidP="00733FF0">
      <w:pPr>
        <w:pStyle w:val="Normal-Style2"/>
      </w:pPr>
      <w:r w:rsidRPr="00E66786">
        <w:t xml:space="preserve">Any conflicts of interest could affect the performance of the Grant Opportunity. There may be an actual, potential or perceived </w:t>
      </w:r>
      <w:hyperlink r:id="rId39" w:history="1">
        <w:r w:rsidRPr="00E66786">
          <w:t>conflict of interest</w:t>
        </w:r>
      </w:hyperlink>
      <w:r>
        <w:t xml:space="preserve"> if the d</w:t>
      </w:r>
      <w:r w:rsidRPr="00E66786">
        <w:t>epartment’s staff, any member of a committee or advisor and/or the eligible applicant or any of the eligible applicant’s personnel has a:</w:t>
      </w:r>
    </w:p>
    <w:p w14:paraId="21F40C97" w14:textId="77777777" w:rsidR="007E495B" w:rsidRDefault="00733FF0" w:rsidP="00733FF0">
      <w:pPr>
        <w:pStyle w:val="ListBullet"/>
      </w:pPr>
      <w:r w:rsidRPr="000D73F6">
        <w:t>professional, commercial or personal relationship with a party who is able to influence the Selection Process, such as an Australian Government officer;</w:t>
      </w:r>
    </w:p>
    <w:p w14:paraId="2A93B295" w14:textId="77777777" w:rsidR="00733FF0" w:rsidRPr="000D73F6" w:rsidRDefault="00733FF0" w:rsidP="00733FF0">
      <w:pPr>
        <w:pStyle w:val="ListBullet"/>
      </w:pPr>
      <w:r w:rsidRPr="000D73F6">
        <w:t>relationship with or interest in, an organisation, which is likely to interfere with or restrict the applicants from carrying out the proposed activities fairly and independently; or</w:t>
      </w:r>
    </w:p>
    <w:p w14:paraId="7F36BAAB" w14:textId="77777777" w:rsidR="00733FF0" w:rsidRPr="00957E51" w:rsidRDefault="00733FF0" w:rsidP="00733FF0">
      <w:pPr>
        <w:pStyle w:val="ListBullet"/>
      </w:pPr>
      <w:r w:rsidRPr="000D73F6">
        <w:t>relationship with, or interest in, an organisation from which they will receive personal</w:t>
      </w:r>
      <w:r w:rsidRPr="00957E51">
        <w:t xml:space="preserve"> gain because the organisation receives </w:t>
      </w:r>
      <w:r>
        <w:t>a grant under the Program</w:t>
      </w:r>
      <w:r w:rsidRPr="00957E51">
        <w:t>.</w:t>
      </w:r>
    </w:p>
    <w:p w14:paraId="71A42954" w14:textId="77777777" w:rsidR="00733FF0" w:rsidRDefault="00733FF0" w:rsidP="00733FF0">
      <w:pPr>
        <w:pStyle w:val="Normal-Style2"/>
      </w:pPr>
      <w:r w:rsidRPr="009A4FE9">
        <w:t>Applicants will be asked to declare, as part of their application, any perceived or existing conflicts of interest or that, to the best of the applicant’s knowledge, there is no conflict of interest.</w:t>
      </w:r>
    </w:p>
    <w:p w14:paraId="41D27B6B" w14:textId="77777777" w:rsidR="0045229E" w:rsidRDefault="00733FF0" w:rsidP="00733FF0">
      <w:pPr>
        <w:pStyle w:val="Normal-Style2"/>
      </w:pPr>
      <w:r w:rsidRPr="009A4FE9">
        <w:t xml:space="preserve">If an applicant later identifies an actual, potential, or perceived conflict of interest, it must inform the </w:t>
      </w:r>
      <w:r>
        <w:t>department</w:t>
      </w:r>
      <w:r w:rsidRPr="009A4FE9">
        <w:t xml:space="preserve"> in writing immediately</w:t>
      </w:r>
      <w:r w:rsidR="0045229E">
        <w:t>.</w:t>
      </w:r>
    </w:p>
    <w:p w14:paraId="42D5941C" w14:textId="3DA0C7C0" w:rsidR="00733FF0" w:rsidRPr="00E66786" w:rsidRDefault="00733FF0" w:rsidP="00733FF0">
      <w:pPr>
        <w:pStyle w:val="Normal-Style2"/>
      </w:pPr>
      <w:r w:rsidRPr="00E66786">
        <w:t xml:space="preserve">Conflicts of interest for Australian Government staff will be handled in accordance with the Australian </w:t>
      </w:r>
      <w:hyperlink r:id="rId40" w:history="1">
        <w:r w:rsidRPr="00E66786">
          <w:t>Public Service Code of Conduct (Section 13(7))</w:t>
        </w:r>
      </w:hyperlink>
      <w:r w:rsidRPr="00E66786">
        <w:t xml:space="preserve"> of the </w:t>
      </w:r>
      <w:hyperlink r:id="rId41" w:history="1">
        <w:r w:rsidRPr="00825F9C">
          <w:rPr>
            <w:rStyle w:val="Hyperlink"/>
            <w:i/>
          </w:rPr>
          <w:t>Public Service Act 1999</w:t>
        </w:r>
        <w:r w:rsidRPr="00825F9C">
          <w:rPr>
            <w:rStyle w:val="Hyperlink"/>
          </w:rPr>
          <w:t xml:space="preserve"> (Cth)</w:t>
        </w:r>
      </w:hyperlink>
      <w:r w:rsidR="00DD5568">
        <w:rPr>
          <w:rStyle w:val="FootnoteReference"/>
          <w:i/>
        </w:rPr>
        <w:footnoteReference w:id="14"/>
      </w:r>
      <w:r>
        <w:t xml:space="preserve"> </w:t>
      </w:r>
      <w:r w:rsidRPr="00E66786">
        <w:t>and applicable Australian Government policy and legal requirements. Evaluation Committee members and other officials including the Decision Maker must also declare any conflicts of interest in accordance with the probity requirements of the Program.</w:t>
      </w:r>
    </w:p>
    <w:p w14:paraId="169FC0A7" w14:textId="77777777" w:rsidR="00733FF0" w:rsidRDefault="00733FF0" w:rsidP="00733FF0">
      <w:pPr>
        <w:pStyle w:val="Heading3"/>
      </w:pPr>
      <w:bookmarkStart w:id="455" w:name="_Toc414983585"/>
      <w:bookmarkStart w:id="456" w:name="_Toc414984002"/>
      <w:bookmarkStart w:id="457" w:name="_Toc414984762"/>
      <w:bookmarkStart w:id="458" w:name="_Toc414984856"/>
      <w:bookmarkStart w:id="459" w:name="_Toc414984960"/>
      <w:bookmarkStart w:id="460" w:name="_Toc414985063"/>
      <w:bookmarkStart w:id="461" w:name="_Toc414985166"/>
      <w:bookmarkStart w:id="462" w:name="_Toc414985268"/>
      <w:bookmarkStart w:id="463" w:name="_Toc5193539"/>
      <w:bookmarkStart w:id="464" w:name="_Toc5265948"/>
      <w:bookmarkStart w:id="465" w:name="_Toc50044061"/>
      <w:bookmarkStart w:id="466" w:name="_Toc56425489"/>
      <w:bookmarkStart w:id="467" w:name="_Toc90294868"/>
      <w:bookmarkStart w:id="468" w:name="_Toc113442221"/>
      <w:bookmarkStart w:id="469" w:name="_Toc113357258"/>
      <w:bookmarkStart w:id="470" w:name="_Toc157705006"/>
      <w:bookmarkStart w:id="471" w:name="_Toc421777632"/>
      <w:bookmarkStart w:id="472" w:name="_Toc467773991"/>
      <w:bookmarkEnd w:id="455"/>
      <w:bookmarkEnd w:id="456"/>
      <w:bookmarkEnd w:id="457"/>
      <w:bookmarkEnd w:id="458"/>
      <w:bookmarkEnd w:id="459"/>
      <w:bookmarkEnd w:id="460"/>
      <w:bookmarkEnd w:id="461"/>
      <w:bookmarkEnd w:id="462"/>
      <w:r>
        <w:t>Costs</w:t>
      </w:r>
      <w:bookmarkEnd w:id="463"/>
      <w:bookmarkEnd w:id="464"/>
      <w:bookmarkEnd w:id="465"/>
      <w:bookmarkEnd w:id="466"/>
      <w:bookmarkEnd w:id="467"/>
      <w:bookmarkEnd w:id="468"/>
      <w:bookmarkEnd w:id="469"/>
      <w:bookmarkEnd w:id="470"/>
    </w:p>
    <w:p w14:paraId="09AE8F47" w14:textId="77777777" w:rsidR="00733FF0" w:rsidRPr="00E66786" w:rsidRDefault="00733FF0" w:rsidP="007B4338">
      <w:pPr>
        <w:pStyle w:val="Normal-Style2"/>
        <w:keepLines/>
      </w:pPr>
      <w:r>
        <w:t>The d</w:t>
      </w:r>
      <w:r w:rsidRPr="00E66786">
        <w:t>epartment will not, in any circumstances, meet any c</w:t>
      </w:r>
      <w:r>
        <w:t xml:space="preserve">osts or expenses incurred by an </w:t>
      </w:r>
      <w:r w:rsidRPr="00E66786">
        <w:t>applicant in connection with their application. Applicants must bear their own costs and expenses associated with the application and assessment process, and the preparation, negotiation and execution of the Grant Agreement and of other documentation.</w:t>
      </w:r>
    </w:p>
    <w:p w14:paraId="08BB4AA6" w14:textId="77777777" w:rsidR="00733FF0" w:rsidRDefault="00733FF0" w:rsidP="00733FF0">
      <w:pPr>
        <w:pStyle w:val="Heading3"/>
      </w:pPr>
      <w:bookmarkStart w:id="473" w:name="_Toc5193540"/>
      <w:bookmarkStart w:id="474" w:name="_Toc5265949"/>
      <w:bookmarkStart w:id="475" w:name="_Toc50044062"/>
      <w:bookmarkStart w:id="476" w:name="_Toc56425490"/>
      <w:bookmarkStart w:id="477" w:name="_Toc90294869"/>
      <w:bookmarkStart w:id="478" w:name="_Toc113442222"/>
      <w:bookmarkStart w:id="479" w:name="_Toc113357259"/>
      <w:bookmarkStart w:id="480" w:name="_Toc157705007"/>
      <w:r>
        <w:t>Background checks</w:t>
      </w:r>
      <w:bookmarkEnd w:id="473"/>
      <w:bookmarkEnd w:id="474"/>
      <w:bookmarkEnd w:id="475"/>
      <w:bookmarkEnd w:id="476"/>
      <w:bookmarkEnd w:id="477"/>
      <w:bookmarkEnd w:id="478"/>
      <w:bookmarkEnd w:id="479"/>
      <w:bookmarkEnd w:id="480"/>
    </w:p>
    <w:p w14:paraId="142B6A18" w14:textId="77777777" w:rsidR="00733FF0" w:rsidRDefault="00733FF0" w:rsidP="00733FF0">
      <w:pPr>
        <w:pStyle w:val="Normal-Style2"/>
      </w:pPr>
      <w:r>
        <w:t>The d</w:t>
      </w:r>
      <w:r w:rsidRPr="00E66786">
        <w:t xml:space="preserve">epartment may undertake checks on organisations submitting an application for the Program (including the applicant’s personnel). It may also undertake consultations with other relevant third parties </w:t>
      </w:r>
      <w:r>
        <w:t>regarding any application. The d</w:t>
      </w:r>
      <w:r w:rsidRPr="00E66786">
        <w:t>epartment may also conduct checks to obtain any relevant information not disclosed in an application.</w:t>
      </w:r>
    </w:p>
    <w:p w14:paraId="6091DF80" w14:textId="77777777" w:rsidR="00733FF0" w:rsidRPr="006A530C" w:rsidRDefault="00733FF0" w:rsidP="00733FF0">
      <w:pPr>
        <w:pStyle w:val="Normal-Style2"/>
      </w:pPr>
      <w:r w:rsidRPr="006A530C">
        <w:t>As part of these checks, t</w:t>
      </w:r>
      <w:r>
        <w:t>he d</w:t>
      </w:r>
      <w:r w:rsidRPr="006A530C">
        <w:t>epartment reserves the right to use information from:</w:t>
      </w:r>
    </w:p>
    <w:p w14:paraId="573827F6" w14:textId="77777777" w:rsidR="00733FF0" w:rsidRPr="006B426E" w:rsidRDefault="00733FF0" w:rsidP="00733FF0">
      <w:pPr>
        <w:pStyle w:val="ListBullet"/>
      </w:pPr>
      <w:r w:rsidRPr="006B426E">
        <w:t>t</w:t>
      </w:r>
      <w:r>
        <w:t>he d</w:t>
      </w:r>
      <w:r w:rsidRPr="006B426E">
        <w:t>epartment’s databases;</w:t>
      </w:r>
    </w:p>
    <w:p w14:paraId="2061E8E1" w14:textId="77777777" w:rsidR="00733FF0" w:rsidRPr="006B426E" w:rsidRDefault="00733FF0" w:rsidP="00733FF0">
      <w:pPr>
        <w:pStyle w:val="ListBullet"/>
      </w:pPr>
      <w:r w:rsidRPr="006B426E">
        <w:t>other Government agencies, such as the Australian Taxation Office and Australian Securities and Investments Commission;</w:t>
      </w:r>
    </w:p>
    <w:p w14:paraId="672FB16A" w14:textId="77777777" w:rsidR="00733FF0" w:rsidRPr="006B426E" w:rsidRDefault="00733FF0" w:rsidP="00733FF0">
      <w:pPr>
        <w:pStyle w:val="ListBullet"/>
      </w:pPr>
      <w:r w:rsidRPr="006B426E">
        <w:t>State or Territory agencies;</w:t>
      </w:r>
    </w:p>
    <w:p w14:paraId="2BB619C2" w14:textId="77777777" w:rsidR="00733FF0" w:rsidRPr="006B426E" w:rsidRDefault="00733FF0" w:rsidP="00733FF0">
      <w:pPr>
        <w:pStyle w:val="ListBullet"/>
      </w:pPr>
      <w:r w:rsidRPr="006B426E">
        <w:t>law enforcement agencies;</w:t>
      </w:r>
    </w:p>
    <w:p w14:paraId="0406F0AF" w14:textId="77777777" w:rsidR="00733FF0" w:rsidRPr="006B426E" w:rsidRDefault="00733FF0" w:rsidP="00733FF0">
      <w:pPr>
        <w:pStyle w:val="ListBullet"/>
      </w:pPr>
      <w:r w:rsidRPr="006B426E">
        <w:t>credit reference agencies;</w:t>
      </w:r>
    </w:p>
    <w:p w14:paraId="194C2ED0" w14:textId="77777777" w:rsidR="007E495B" w:rsidRDefault="00733FF0" w:rsidP="00733FF0">
      <w:pPr>
        <w:pStyle w:val="ListBullet"/>
      </w:pPr>
      <w:r w:rsidRPr="006B426E">
        <w:t>courts or tribunals;</w:t>
      </w:r>
    </w:p>
    <w:p w14:paraId="1AAC8EBF" w14:textId="77777777" w:rsidR="00733FF0" w:rsidRPr="006B426E" w:rsidRDefault="00733FF0" w:rsidP="00733FF0">
      <w:pPr>
        <w:pStyle w:val="ListBullet"/>
      </w:pPr>
      <w:r>
        <w:t xml:space="preserve">other public sources of information; </w:t>
      </w:r>
      <w:r w:rsidRPr="006B426E">
        <w:t>and</w:t>
      </w:r>
    </w:p>
    <w:p w14:paraId="68ECFD2A" w14:textId="77777777" w:rsidR="00733FF0" w:rsidRPr="006B426E" w:rsidRDefault="00733FF0" w:rsidP="00733FF0">
      <w:pPr>
        <w:pStyle w:val="ListBullet"/>
      </w:pPr>
      <w:r w:rsidRPr="006B426E">
        <w:t>any other appropriate organisation or person.</w:t>
      </w:r>
    </w:p>
    <w:p w14:paraId="66B934E8" w14:textId="77777777" w:rsidR="00733FF0" w:rsidRDefault="00733FF0" w:rsidP="00733FF0">
      <w:pPr>
        <w:pStyle w:val="Heading3"/>
      </w:pPr>
      <w:bookmarkStart w:id="481" w:name="_Toc5193541"/>
      <w:bookmarkStart w:id="482" w:name="_Toc5265950"/>
      <w:bookmarkStart w:id="483" w:name="_Toc50044063"/>
      <w:bookmarkStart w:id="484" w:name="_Toc56425491"/>
      <w:bookmarkStart w:id="485" w:name="_Toc90294870"/>
      <w:bookmarkStart w:id="486" w:name="_Toc113442223"/>
      <w:bookmarkStart w:id="487" w:name="_Toc113357260"/>
      <w:bookmarkStart w:id="488" w:name="_Toc157705008"/>
      <w:r>
        <w:t>Confidentiality</w:t>
      </w:r>
      <w:bookmarkEnd w:id="481"/>
      <w:bookmarkEnd w:id="482"/>
      <w:bookmarkEnd w:id="483"/>
      <w:bookmarkEnd w:id="484"/>
      <w:bookmarkEnd w:id="485"/>
      <w:bookmarkEnd w:id="486"/>
      <w:bookmarkEnd w:id="487"/>
      <w:bookmarkEnd w:id="488"/>
    </w:p>
    <w:p w14:paraId="6A2FA3C3" w14:textId="77777777" w:rsidR="00733FF0" w:rsidRDefault="00733FF0" w:rsidP="00733FF0">
      <w:pPr>
        <w:pStyle w:val="Normal-Style2"/>
      </w:pPr>
      <w:bookmarkStart w:id="489" w:name="_Ref121922096"/>
      <w:r>
        <w:t>The d</w:t>
      </w:r>
      <w:r w:rsidRPr="00E66786">
        <w:t>epartment will treat the applicant’s commercially sensitive information provided in their application as Confidential Information provided that the information is designated as Confidential Information (Applicant Confidential Information).</w:t>
      </w:r>
      <w:bookmarkEnd w:id="489"/>
    </w:p>
    <w:p w14:paraId="40AA56DE" w14:textId="77777777" w:rsidR="00733FF0" w:rsidRPr="00E66786" w:rsidRDefault="00733FF0" w:rsidP="00733FF0">
      <w:pPr>
        <w:pStyle w:val="Normal-Style2"/>
      </w:pPr>
      <w:r>
        <w:t>The d</w:t>
      </w:r>
      <w:r w:rsidRPr="00E66786">
        <w:t>epartment’s confidentiality obligation does not apply to the extent any Applicant Confidential Information is:</w:t>
      </w:r>
    </w:p>
    <w:p w14:paraId="61D3531F" w14:textId="77777777" w:rsidR="00733FF0" w:rsidRPr="006B426E" w:rsidRDefault="00733FF0" w:rsidP="00733FF0">
      <w:pPr>
        <w:pStyle w:val="ListBullet"/>
      </w:pPr>
      <w:r w:rsidRPr="006B426E">
        <w:t>authorised or required by law to be disclosed;</w:t>
      </w:r>
    </w:p>
    <w:p w14:paraId="0328A940" w14:textId="77777777" w:rsidR="00733FF0" w:rsidRPr="006B426E" w:rsidRDefault="00733FF0" w:rsidP="00733FF0">
      <w:pPr>
        <w:pStyle w:val="ListBullet"/>
      </w:pPr>
      <w:r>
        <w:t>disclosed by the d</w:t>
      </w:r>
      <w:r w:rsidRPr="006B426E">
        <w:t>epartment to its advisers, officers, employees, or other agencies’ officers or employees, for the purpose of evaluating the applicant’s application and during any Grant Agreement negotiations;</w:t>
      </w:r>
    </w:p>
    <w:p w14:paraId="49F1BFAF" w14:textId="77777777" w:rsidR="00733FF0" w:rsidRPr="006B426E" w:rsidRDefault="00733FF0" w:rsidP="00733FF0">
      <w:pPr>
        <w:pStyle w:val="ListBullet"/>
      </w:pPr>
      <w:r>
        <w:t>disclosed by the d</w:t>
      </w:r>
      <w:r w:rsidRPr="006B426E">
        <w:t>epartment in response to a request by a house or a committee of the Parliament of Australia, or a house or a committee of the Parliament of a state or territory;</w:t>
      </w:r>
    </w:p>
    <w:p w14:paraId="5A5388B2" w14:textId="77777777" w:rsidR="00733FF0" w:rsidRPr="006B426E" w:rsidRDefault="00733FF0" w:rsidP="00733FF0">
      <w:pPr>
        <w:pStyle w:val="ListBullet"/>
      </w:pPr>
      <w:r>
        <w:t>disclosed by the d</w:t>
      </w:r>
      <w:r w:rsidRPr="006B426E">
        <w:t xml:space="preserve">epartment to its responsible Minister </w:t>
      </w:r>
      <w:r>
        <w:t xml:space="preserve">and his or her advisors </w:t>
      </w:r>
      <w:r w:rsidRPr="006B426E">
        <w:t>or the Auditor-General</w:t>
      </w:r>
      <w:r>
        <w:t xml:space="preserve"> and the APS employees assisting the Auditor-General</w:t>
      </w:r>
      <w:r w:rsidRPr="006B426E">
        <w:t>;</w:t>
      </w:r>
    </w:p>
    <w:p w14:paraId="51B009A0" w14:textId="77777777" w:rsidR="00733FF0" w:rsidRPr="006B426E" w:rsidRDefault="00733FF0" w:rsidP="00733FF0">
      <w:pPr>
        <w:pStyle w:val="ListBullet"/>
      </w:pPr>
      <w:r w:rsidRPr="006B426E">
        <w:t>shared by the Commonwealth within the Commonwealth (for example, another Commonwealth agency), where this serves the Commonwealth’s legitimate interests;</w:t>
      </w:r>
    </w:p>
    <w:p w14:paraId="696E2DB8" w14:textId="77777777" w:rsidR="00733FF0" w:rsidRPr="006B426E" w:rsidRDefault="00733FF0" w:rsidP="00733FF0">
      <w:pPr>
        <w:pStyle w:val="ListBullet"/>
      </w:pPr>
      <w:r>
        <w:t>disclosed to the d</w:t>
      </w:r>
      <w:r w:rsidRPr="006B426E">
        <w:t>epartment’s officers to enable the effective management or auditing of the Program; or</w:t>
      </w:r>
    </w:p>
    <w:p w14:paraId="42DCC994" w14:textId="77777777" w:rsidR="00733FF0" w:rsidRPr="006B426E" w:rsidRDefault="00733FF0" w:rsidP="00733FF0">
      <w:pPr>
        <w:pStyle w:val="ListBullet"/>
      </w:pPr>
      <w:r w:rsidRPr="006B426E">
        <w:t>in the public domain otherwi</w:t>
      </w:r>
      <w:r>
        <w:t>se than due to a breach of the d</w:t>
      </w:r>
      <w:r w:rsidRPr="006B426E">
        <w:t>epartment’s confidentiality obligation</w:t>
      </w:r>
      <w:r>
        <w:t>s</w:t>
      </w:r>
      <w:r w:rsidRPr="006B426E">
        <w:t>.</w:t>
      </w:r>
    </w:p>
    <w:p w14:paraId="2B2E1586" w14:textId="77777777" w:rsidR="00733FF0" w:rsidRDefault="00733FF0" w:rsidP="00733FF0">
      <w:pPr>
        <w:pStyle w:val="Normal-Style2"/>
      </w:pPr>
      <w:bookmarkStart w:id="490" w:name="_Ref109305478"/>
      <w:r w:rsidRPr="00E66786">
        <w:t>The applicant will treat a</w:t>
      </w:r>
      <w:r>
        <w:t>ny information provided by the d</w:t>
      </w:r>
      <w:r w:rsidRPr="00E66786">
        <w:t>epartment as Confidential Information provided that the information is designated as Confidential Information. (Commonwealth Confidential Information).</w:t>
      </w:r>
      <w:bookmarkEnd w:id="490"/>
    </w:p>
    <w:p w14:paraId="21FC7898" w14:textId="77777777" w:rsidR="00733FF0" w:rsidRPr="00E66786" w:rsidRDefault="00733FF0" w:rsidP="00733FF0">
      <w:pPr>
        <w:pStyle w:val="Normal-Style2"/>
      </w:pPr>
      <w:r w:rsidRPr="00E66786">
        <w:t>The applicant’s confidentiality obligation does not apply to the extent any Commonwealth Confidential Information is:</w:t>
      </w:r>
    </w:p>
    <w:p w14:paraId="6DAB1A8F" w14:textId="77777777" w:rsidR="00733FF0" w:rsidRPr="006B426E" w:rsidRDefault="00733FF0" w:rsidP="00733FF0">
      <w:pPr>
        <w:pStyle w:val="ListBullet"/>
      </w:pPr>
      <w:r w:rsidRPr="006B426E">
        <w:t>authorised or required by law to be disclosed; or</w:t>
      </w:r>
    </w:p>
    <w:p w14:paraId="5826DAC1" w14:textId="77777777" w:rsidR="00733FF0" w:rsidRPr="006B426E" w:rsidRDefault="00733FF0" w:rsidP="00733FF0">
      <w:pPr>
        <w:pStyle w:val="ListBullet"/>
      </w:pPr>
      <w:r w:rsidRPr="006B426E">
        <w:t>in the public domain otherwise than due to a breach of the applicant’s confidentiality obligation.</w:t>
      </w:r>
    </w:p>
    <w:p w14:paraId="65A31339" w14:textId="77777777" w:rsidR="00733FF0" w:rsidRPr="00E66786" w:rsidRDefault="00733FF0" w:rsidP="00733FF0">
      <w:pPr>
        <w:pStyle w:val="Normal-Style2"/>
      </w:pPr>
      <w:r>
        <w:t>The d</w:t>
      </w:r>
      <w:r w:rsidRPr="00E66786">
        <w:t>epartment may share with State or Territory governments (on a confidential basis) any or all information contained in applications which it considers relevant to the respective jurisdiction based on the location of the Proposed Solution(s), including costings for Proposed Solutions that are not successful in receiving funding through the Program.</w:t>
      </w:r>
    </w:p>
    <w:p w14:paraId="3C256E3D" w14:textId="77777777" w:rsidR="00733FF0" w:rsidRDefault="00733FF0" w:rsidP="00733FF0">
      <w:pPr>
        <w:pStyle w:val="Heading3"/>
      </w:pPr>
      <w:bookmarkStart w:id="491" w:name="_Toc5193542"/>
      <w:bookmarkStart w:id="492" w:name="_Toc5265951"/>
      <w:bookmarkStart w:id="493" w:name="_Toc50044064"/>
      <w:bookmarkStart w:id="494" w:name="_Toc56425492"/>
      <w:bookmarkStart w:id="495" w:name="_Toc90294871"/>
      <w:bookmarkStart w:id="496" w:name="_Toc113442224"/>
      <w:bookmarkStart w:id="497" w:name="_Toc113357261"/>
      <w:bookmarkStart w:id="498" w:name="_Toc157705009"/>
      <w:r>
        <w:t>Intellectual Property rights</w:t>
      </w:r>
      <w:bookmarkEnd w:id="491"/>
      <w:bookmarkEnd w:id="492"/>
      <w:bookmarkEnd w:id="493"/>
      <w:bookmarkEnd w:id="494"/>
      <w:bookmarkEnd w:id="495"/>
      <w:bookmarkEnd w:id="496"/>
      <w:bookmarkEnd w:id="497"/>
      <w:bookmarkEnd w:id="498"/>
    </w:p>
    <w:p w14:paraId="0302EFA8" w14:textId="77777777" w:rsidR="00733FF0" w:rsidRPr="00E66786" w:rsidRDefault="00733FF0" w:rsidP="00733FF0">
      <w:pPr>
        <w:pStyle w:val="Normal-Style2"/>
      </w:pPr>
      <w:r w:rsidRPr="00E66786">
        <w:t>By submitting an application under the Program, to the extent the applicant’s application contains:</w:t>
      </w:r>
    </w:p>
    <w:p w14:paraId="22B0BD2D" w14:textId="77777777" w:rsidR="00733FF0" w:rsidRPr="006B426E" w:rsidRDefault="00733FF0" w:rsidP="00733FF0">
      <w:pPr>
        <w:pStyle w:val="ListBullet"/>
      </w:pPr>
      <w:r w:rsidRPr="006B426E">
        <w:t>its Intellectual Property; or</w:t>
      </w:r>
    </w:p>
    <w:p w14:paraId="71562337" w14:textId="77777777" w:rsidR="00733FF0" w:rsidRPr="006B426E" w:rsidRDefault="00733FF0" w:rsidP="00733FF0">
      <w:pPr>
        <w:pStyle w:val="ListBullet"/>
      </w:pPr>
      <w:r w:rsidRPr="006B426E">
        <w:t>a third party’s Intellectual Property,</w:t>
      </w:r>
    </w:p>
    <w:p w14:paraId="1091EAD9" w14:textId="77777777" w:rsidR="00733FF0" w:rsidRPr="00E66786" w:rsidRDefault="00733FF0" w:rsidP="004F3BE5">
      <w:pPr>
        <w:ind w:left="851"/>
      </w:pPr>
      <w:r w:rsidRPr="00E66786">
        <w:t>the applicant grants by the making of its application, (or will procure for) the Commonwealth a permanent, irrevocable, royalty-free, worldwide, non-exclusive licence (including a right of sublicense) to use, reproduce, adapt, and communicate the applicant’s (or third party’s) Intellectual Property contained in its application under the Program provided the use, reproduction, adaptation, or communication is in connection with any assessment processes under, or the evaluation of, or promotion of the Program.</w:t>
      </w:r>
    </w:p>
    <w:p w14:paraId="48EB2FAB" w14:textId="77777777" w:rsidR="00733FF0" w:rsidRPr="00E66786" w:rsidRDefault="00733FF0" w:rsidP="00733FF0">
      <w:pPr>
        <w:pStyle w:val="Normal-Style2"/>
      </w:pPr>
      <w:r w:rsidRPr="00E66786">
        <w:t>Any licence granted to the Commonwealth in relation to Intellectual Property rights does not include a right to exploit the Intellectual Property for commercial purposes.</w:t>
      </w:r>
    </w:p>
    <w:p w14:paraId="01908CBD" w14:textId="77777777" w:rsidR="00733FF0" w:rsidRDefault="00733FF0" w:rsidP="00733FF0">
      <w:pPr>
        <w:pStyle w:val="Heading3"/>
      </w:pPr>
      <w:bookmarkStart w:id="499" w:name="_Toc5193543"/>
      <w:bookmarkStart w:id="500" w:name="_Toc5265952"/>
      <w:bookmarkStart w:id="501" w:name="_Toc50044065"/>
      <w:bookmarkStart w:id="502" w:name="_Toc56425493"/>
      <w:bookmarkStart w:id="503" w:name="_Toc90294872"/>
      <w:bookmarkStart w:id="504" w:name="_Toc113442225"/>
      <w:bookmarkStart w:id="505" w:name="_Toc113357262"/>
      <w:bookmarkStart w:id="506" w:name="_Toc157705010"/>
      <w:r>
        <w:t>Privacy of individuals</w:t>
      </w:r>
      <w:bookmarkEnd w:id="499"/>
      <w:bookmarkEnd w:id="500"/>
      <w:bookmarkEnd w:id="501"/>
      <w:bookmarkEnd w:id="502"/>
      <w:bookmarkEnd w:id="503"/>
      <w:bookmarkEnd w:id="504"/>
      <w:bookmarkEnd w:id="505"/>
      <w:bookmarkEnd w:id="506"/>
    </w:p>
    <w:p w14:paraId="2173EB6E" w14:textId="17C6405F" w:rsidR="00733FF0" w:rsidRDefault="00733FF0" w:rsidP="00733FF0">
      <w:pPr>
        <w:pStyle w:val="Normal-Style2"/>
      </w:pPr>
      <w:r>
        <w:t>The d</w:t>
      </w:r>
      <w:r w:rsidRPr="00E66786">
        <w:t xml:space="preserve">epartment treats personal information in accordance with the </w:t>
      </w:r>
      <w:hyperlink r:id="rId42" w:history="1">
        <w:r w:rsidRPr="00825F9C">
          <w:rPr>
            <w:rStyle w:val="Hyperlink"/>
            <w:i/>
          </w:rPr>
          <w:t>Privacy Act 1988</w:t>
        </w:r>
        <w:r w:rsidRPr="00825F9C">
          <w:rPr>
            <w:rStyle w:val="Hyperlink"/>
          </w:rPr>
          <w:t xml:space="preserve"> (Cth)</w:t>
        </w:r>
      </w:hyperlink>
      <w:r w:rsidR="00DD5568">
        <w:rPr>
          <w:rStyle w:val="FootnoteReference"/>
          <w:i/>
        </w:rPr>
        <w:footnoteReference w:id="15"/>
      </w:r>
      <w:r w:rsidRPr="00E66786">
        <w:t xml:space="preserve"> (the Privacy Act). The Privacy Act contains 13 Australian Privacy Principles (the </w:t>
      </w:r>
      <w:r>
        <w:t>APPs) which govern how the d</w:t>
      </w:r>
      <w:r w:rsidRPr="00E66786">
        <w:t>epartment collects, uses and discloses personal and sensitive information, and how individuals can access and correct records containing their personal or sensitive information.</w:t>
      </w:r>
    </w:p>
    <w:p w14:paraId="771B9A59" w14:textId="77777777" w:rsidR="00733FF0" w:rsidRPr="00E66786" w:rsidRDefault="00733FF0" w:rsidP="00733FF0">
      <w:pPr>
        <w:pStyle w:val="Normal-Style2"/>
      </w:pPr>
      <w:r>
        <w:t>The d</w:t>
      </w:r>
      <w:r w:rsidRPr="00E66786">
        <w:t>epartment is committed to protecting personal information appropriately. If individuals within the applying orga</w:t>
      </w:r>
      <w:r>
        <w:t>nisation wish to deal with the d</w:t>
      </w:r>
      <w:r w:rsidRPr="00E66786">
        <w:t>epartment anonymously or by using a p</w:t>
      </w:r>
      <w:r>
        <w:t>seudonym, it should advise the d</w:t>
      </w:r>
      <w:r w:rsidRPr="00E66786">
        <w:t xml:space="preserve">epartmental contact officer </w:t>
      </w:r>
      <w:r>
        <w:t>for the Program or contact the d</w:t>
      </w:r>
      <w:r w:rsidRPr="00E66786">
        <w:t>epartment’s Privacy Officer (see details below).</w:t>
      </w:r>
    </w:p>
    <w:p w14:paraId="78FD474B" w14:textId="77777777" w:rsidR="00733FF0" w:rsidRDefault="00733FF0" w:rsidP="00733FF0">
      <w:pPr>
        <w:pStyle w:val="Heading3"/>
      </w:pPr>
      <w:bookmarkStart w:id="507" w:name="_Toc5193544"/>
      <w:bookmarkStart w:id="508" w:name="_Toc5265953"/>
      <w:bookmarkStart w:id="509" w:name="_Toc50044066"/>
      <w:bookmarkStart w:id="510" w:name="_Toc56425494"/>
      <w:bookmarkStart w:id="511" w:name="_Toc90294873"/>
      <w:bookmarkStart w:id="512" w:name="_Toc113442226"/>
      <w:bookmarkStart w:id="513" w:name="_Toc113357263"/>
      <w:bookmarkStart w:id="514" w:name="_Toc157705011"/>
      <w:r>
        <w:t>Personal information to be collected by the department</w:t>
      </w:r>
      <w:bookmarkEnd w:id="507"/>
      <w:bookmarkEnd w:id="508"/>
      <w:bookmarkEnd w:id="509"/>
      <w:bookmarkEnd w:id="510"/>
      <w:bookmarkEnd w:id="511"/>
      <w:bookmarkEnd w:id="512"/>
      <w:bookmarkEnd w:id="513"/>
      <w:bookmarkEnd w:id="514"/>
    </w:p>
    <w:p w14:paraId="27A513B1" w14:textId="77777777" w:rsidR="00733FF0" w:rsidRDefault="00733FF0" w:rsidP="00733FF0">
      <w:pPr>
        <w:pStyle w:val="Normal-Style2"/>
      </w:pPr>
      <w:r>
        <w:t>The d</w:t>
      </w:r>
      <w:r w:rsidRPr="00E66786">
        <w:t xml:space="preserve">epartment may collect personal information in the applicant’s application and this may include names, and contain details and other personal information, which the applicant (or its personnel) has supplied to the </w:t>
      </w:r>
      <w:r>
        <w:t>department</w:t>
      </w:r>
      <w:r w:rsidRPr="00E66786">
        <w:t xml:space="preserve"> in its application under the Program.</w:t>
      </w:r>
    </w:p>
    <w:p w14:paraId="02F12221" w14:textId="77777777" w:rsidR="00733FF0" w:rsidRDefault="00733FF0" w:rsidP="00733FF0">
      <w:pPr>
        <w:pStyle w:val="Normal-Style2"/>
      </w:pPr>
      <w:r>
        <w:t>By providing the d</w:t>
      </w:r>
      <w:r w:rsidRPr="00E66786">
        <w:t>epartment with personal information in the applicant’s application under the Program, the applicant (and its named personnel</w:t>
      </w:r>
      <w:r>
        <w:t>) consents to the d</w:t>
      </w:r>
      <w:r w:rsidRPr="00E66786">
        <w:t>epartment collecting, using and disclosing that personal information in accordance with these Guidelines and for the purposes of the Program.</w:t>
      </w:r>
    </w:p>
    <w:p w14:paraId="77B701A2" w14:textId="77777777" w:rsidR="00733FF0" w:rsidRPr="00E66786" w:rsidRDefault="00733FF0" w:rsidP="00A67C4E">
      <w:pPr>
        <w:pStyle w:val="Normal-Style2"/>
        <w:keepLines/>
      </w:pPr>
      <w:r w:rsidRPr="00E66786">
        <w:t>If the applicant (or its pers</w:t>
      </w:r>
      <w:r>
        <w:t>onnel) does not consent to the d</w:t>
      </w:r>
      <w:r w:rsidRPr="00E66786">
        <w:t>epartment's collection, use and disclosure of the personal information contained in its application under the Program, in accordance with these Guidelines, the applicant acknowledg</w:t>
      </w:r>
      <w:r>
        <w:t>es that this may mean that the d</w:t>
      </w:r>
      <w:r w:rsidRPr="00E66786">
        <w:t>epartment may not be able to progress or assess the application further for funding under the Program and that the application may be set aside under the assessment process.</w:t>
      </w:r>
    </w:p>
    <w:p w14:paraId="42C6A628" w14:textId="77777777" w:rsidR="00733FF0" w:rsidRDefault="00733FF0" w:rsidP="00733FF0">
      <w:pPr>
        <w:pStyle w:val="Heading3"/>
      </w:pPr>
      <w:bookmarkStart w:id="515" w:name="_Toc5193545"/>
      <w:bookmarkStart w:id="516" w:name="_Toc5265954"/>
      <w:bookmarkStart w:id="517" w:name="_Toc50044067"/>
      <w:bookmarkStart w:id="518" w:name="_Toc56425495"/>
      <w:bookmarkStart w:id="519" w:name="_Toc90294874"/>
      <w:bookmarkStart w:id="520" w:name="_Toc113442227"/>
      <w:bookmarkStart w:id="521" w:name="_Toc113357264"/>
      <w:bookmarkStart w:id="522" w:name="_Toc157705012"/>
      <w:r>
        <w:t>Purpose for which the department will use and disclose personal information</w:t>
      </w:r>
      <w:bookmarkEnd w:id="515"/>
      <w:bookmarkEnd w:id="516"/>
      <w:bookmarkEnd w:id="517"/>
      <w:bookmarkEnd w:id="518"/>
      <w:bookmarkEnd w:id="519"/>
      <w:bookmarkEnd w:id="520"/>
      <w:bookmarkEnd w:id="521"/>
      <w:bookmarkEnd w:id="522"/>
    </w:p>
    <w:p w14:paraId="59E11223" w14:textId="77777777" w:rsidR="00733FF0" w:rsidRDefault="00733FF0" w:rsidP="00733FF0">
      <w:pPr>
        <w:pStyle w:val="Normal-Style2"/>
      </w:pPr>
      <w:r w:rsidRPr="00E66786">
        <w:t xml:space="preserve">By submitting an application, the applicant acknowledges that </w:t>
      </w:r>
      <w:r>
        <w:t>the d</w:t>
      </w:r>
      <w:r w:rsidRPr="00E66786">
        <w:t>epartment may collect personal information from the applicant (and its personnel) contained in its application for the purpose of carrying out the a</w:t>
      </w:r>
      <w:r>
        <w:t>ctivities and functions of the d</w:t>
      </w:r>
      <w:r w:rsidRPr="00E66786">
        <w:t>epartment related to the Program. In order to carry out its functions and activities</w:t>
      </w:r>
      <w:r>
        <w:t xml:space="preserve"> connected to the Program, the d</w:t>
      </w:r>
      <w:r w:rsidRPr="00E66786">
        <w:t>epartment may use the collected personal information for the purpose of any assessment processes under, or the evaluation of, the Program.</w:t>
      </w:r>
    </w:p>
    <w:p w14:paraId="2A81BF1A" w14:textId="77777777" w:rsidR="00733FF0" w:rsidRDefault="00733FF0" w:rsidP="00733FF0">
      <w:pPr>
        <w:pStyle w:val="Normal-Style2"/>
      </w:pPr>
      <w:r w:rsidRPr="00E66786">
        <w:t>Further, in order to carry out its functions and activities connected to the Program, including (without limitation) assessment</w:t>
      </w:r>
      <w:r>
        <w:t xml:space="preserve"> and evaluation functions, the d</w:t>
      </w:r>
      <w:r w:rsidRPr="00E66786">
        <w:t>epartment may also disclose the collected personal information to other Commonwealth, State or Territory agencies.</w:t>
      </w:r>
    </w:p>
    <w:p w14:paraId="4E8D21FC" w14:textId="77777777" w:rsidR="00733FF0" w:rsidRPr="00E66786" w:rsidRDefault="00733FF0" w:rsidP="00733FF0">
      <w:pPr>
        <w:pStyle w:val="Normal-Style2"/>
      </w:pPr>
      <w:r>
        <w:t>The d</w:t>
      </w:r>
      <w:r w:rsidRPr="00E66786">
        <w:t>epartment will use the personal information collected from the applicant for the primary purpose f</w:t>
      </w:r>
      <w:r>
        <w:t>or which it was collected. The d</w:t>
      </w:r>
      <w:r w:rsidRPr="00E66786">
        <w:t>epartment may use or disclose this personal information for another purpose (i.e. secondary purpose) if:</w:t>
      </w:r>
    </w:p>
    <w:p w14:paraId="175D9CB6" w14:textId="77777777" w:rsidR="00733FF0" w:rsidRPr="009F08C0" w:rsidRDefault="00733FF0" w:rsidP="00733FF0">
      <w:pPr>
        <w:pStyle w:val="ListBullet"/>
      </w:pPr>
      <w:r w:rsidRPr="009F08C0">
        <w:t xml:space="preserve">the applicant </w:t>
      </w:r>
      <w:r>
        <w:t xml:space="preserve">would </w:t>
      </w:r>
      <w:r w:rsidRPr="009F08C0">
        <w:t>reasonably expect the information to be used for the secondary purpose;</w:t>
      </w:r>
    </w:p>
    <w:p w14:paraId="7D51B5A0" w14:textId="77777777" w:rsidR="00733FF0" w:rsidRPr="009F08C0" w:rsidRDefault="00733FF0" w:rsidP="00733FF0">
      <w:pPr>
        <w:pStyle w:val="ListBullet"/>
      </w:pPr>
      <w:r w:rsidRPr="009F08C0">
        <w:t>it is required or authorised by law or a permitted general situation exists under the Privacy Act;</w:t>
      </w:r>
    </w:p>
    <w:p w14:paraId="42B1AE37" w14:textId="77777777" w:rsidR="00733FF0" w:rsidRPr="009F08C0" w:rsidRDefault="00733FF0" w:rsidP="00733FF0">
      <w:pPr>
        <w:pStyle w:val="ListBullet"/>
      </w:pPr>
      <w:r>
        <w:t>the applicant gives the d</w:t>
      </w:r>
      <w:r w:rsidRPr="009F08C0">
        <w:t>epartment permission; or</w:t>
      </w:r>
    </w:p>
    <w:p w14:paraId="35754DD2" w14:textId="77777777" w:rsidR="00733FF0" w:rsidRPr="009F08C0" w:rsidRDefault="00733FF0" w:rsidP="00733FF0">
      <w:pPr>
        <w:pStyle w:val="ListBullet"/>
      </w:pPr>
      <w:r>
        <w:t>the d</w:t>
      </w:r>
      <w:r w:rsidRPr="009F08C0">
        <w:t>epartment reasonably believes the use or disclosure is reasonably necessary for one or more enforcement related activities conducted by, or on behalf of, an enforcement body.</w:t>
      </w:r>
    </w:p>
    <w:p w14:paraId="703742F5" w14:textId="77777777" w:rsidR="00733FF0" w:rsidRDefault="00733FF0" w:rsidP="00733FF0">
      <w:pPr>
        <w:pStyle w:val="Heading3"/>
      </w:pPr>
      <w:bookmarkStart w:id="523" w:name="_Toc5193546"/>
      <w:bookmarkStart w:id="524" w:name="_Toc5265955"/>
      <w:bookmarkStart w:id="525" w:name="_Toc50044068"/>
      <w:bookmarkStart w:id="526" w:name="_Toc56425496"/>
      <w:bookmarkStart w:id="527" w:name="_Toc90294875"/>
      <w:bookmarkStart w:id="528" w:name="_Toc113442228"/>
      <w:bookmarkStart w:id="529" w:name="_Toc113357265"/>
      <w:bookmarkStart w:id="530" w:name="_Toc157705013"/>
      <w:r>
        <w:t>The department’s contact point for privacy matters</w:t>
      </w:r>
      <w:bookmarkEnd w:id="523"/>
      <w:bookmarkEnd w:id="524"/>
      <w:bookmarkEnd w:id="525"/>
      <w:bookmarkEnd w:id="526"/>
      <w:bookmarkEnd w:id="527"/>
      <w:bookmarkEnd w:id="528"/>
      <w:bookmarkEnd w:id="529"/>
      <w:bookmarkEnd w:id="530"/>
    </w:p>
    <w:p w14:paraId="1310B0C2" w14:textId="118999C9" w:rsidR="007E495B" w:rsidRDefault="00733FF0" w:rsidP="00733FF0">
      <w:pPr>
        <w:pStyle w:val="Normal-Style2"/>
      </w:pPr>
      <w:r w:rsidRPr="00E66786">
        <w:t>For fur</w:t>
      </w:r>
      <w:r>
        <w:t>ther information about how the d</w:t>
      </w:r>
      <w:r w:rsidRPr="00E66786">
        <w:t>epartment is committed to protecting personal information appropriately in acc</w:t>
      </w:r>
      <w:r>
        <w:t>ordance with the APPs, see the d</w:t>
      </w:r>
      <w:r w:rsidRPr="00E66786">
        <w:t xml:space="preserve">epartment’s APP Privacy Policy on its website at </w:t>
      </w:r>
      <w:hyperlink r:id="rId43" w:history="1">
        <w:r w:rsidR="00DD5568" w:rsidRPr="00EC4D4D">
          <w:rPr>
            <w:rStyle w:val="Hyperlink"/>
          </w:rPr>
          <w:t>www.infrastructure.gov.au/utilities/privacy.aspx</w:t>
        </w:r>
      </w:hyperlink>
      <w:r w:rsidR="00DD5568" w:rsidRPr="00DD5568">
        <w:t>.</w:t>
      </w:r>
    </w:p>
    <w:p w14:paraId="0259D0C8" w14:textId="77777777" w:rsidR="00733FF0" w:rsidRDefault="00733FF0" w:rsidP="00733FF0">
      <w:pPr>
        <w:pStyle w:val="Normal-Style2"/>
      </w:pPr>
      <w:r w:rsidRPr="00E66786">
        <w:t>For</w:t>
      </w:r>
      <w:r>
        <w:t xml:space="preserve"> further information about the d</w:t>
      </w:r>
      <w:r w:rsidRPr="00E66786">
        <w:t xml:space="preserve">epartment's handling of personal information, contact the </w:t>
      </w:r>
      <w:r>
        <w:t>department</w:t>
      </w:r>
      <w:r w:rsidRPr="00E66786">
        <w:t xml:space="preserve">’s </w:t>
      </w:r>
      <w:hyperlink r:id="rId44" w:history="1">
        <w:r w:rsidRPr="00E66786">
          <w:t>Privacy</w:t>
        </w:r>
      </w:hyperlink>
      <w:r w:rsidRPr="00E66786">
        <w:t xml:space="preserve"> Officer by sending an email to </w:t>
      </w:r>
      <w:hyperlink r:id="rId45" w:history="1">
        <w:r w:rsidRPr="007330C3">
          <w:rPr>
            <w:rStyle w:val="Hyperlink"/>
          </w:rPr>
          <w:t>privacy@infrastructure.gov.au</w:t>
        </w:r>
      </w:hyperlink>
      <w:r>
        <w:t xml:space="preserve"> </w:t>
      </w:r>
      <w:r w:rsidRPr="00E66786">
        <w:t xml:space="preserve">or by writing to the </w:t>
      </w:r>
      <w:r>
        <w:t>department</w:t>
      </w:r>
      <w:r w:rsidRPr="00E66786">
        <w:t xml:space="preserve"> at the following address:</w:t>
      </w:r>
    </w:p>
    <w:p w14:paraId="4AAB3503" w14:textId="77777777" w:rsidR="00733FF0" w:rsidRPr="00B16E2A" w:rsidRDefault="00733FF0" w:rsidP="004F3BE5">
      <w:pPr>
        <w:pStyle w:val="Bodynumbered-Level1"/>
        <w:spacing w:before="120" w:line="280" w:lineRule="atLeast"/>
        <w:ind w:left="1418" w:firstLine="0"/>
        <w:rPr>
          <w:rFonts w:asciiTheme="minorHAnsi" w:hAnsiTheme="minorHAnsi" w:cstheme="minorHAnsi"/>
        </w:rPr>
      </w:pPr>
      <w:r w:rsidRPr="00B16E2A">
        <w:rPr>
          <w:rFonts w:asciiTheme="minorHAnsi" w:hAnsiTheme="minorHAnsi" w:cstheme="minorHAnsi"/>
        </w:rPr>
        <w:t>Privacy Officer</w:t>
      </w:r>
      <w:r w:rsidRPr="00B16E2A">
        <w:rPr>
          <w:rFonts w:asciiTheme="minorHAnsi" w:hAnsiTheme="minorHAnsi" w:cstheme="minorHAnsi"/>
        </w:rPr>
        <w:br/>
        <w:t xml:space="preserve">Department of Infrastructure, Transport, Regional Development, </w:t>
      </w:r>
      <w:r w:rsidRPr="00B16E2A" w:rsidDel="009F08C0">
        <w:rPr>
          <w:rFonts w:asciiTheme="minorHAnsi" w:hAnsiTheme="minorHAnsi" w:cstheme="minorHAnsi"/>
        </w:rPr>
        <w:t>Communications</w:t>
      </w:r>
      <w:r w:rsidRPr="00B16E2A">
        <w:rPr>
          <w:rFonts w:asciiTheme="minorHAnsi" w:hAnsiTheme="minorHAnsi" w:cstheme="minorHAnsi"/>
        </w:rPr>
        <w:t xml:space="preserve"> and the Arts</w:t>
      </w:r>
      <w:r w:rsidRPr="00B16E2A">
        <w:rPr>
          <w:rFonts w:asciiTheme="minorHAnsi" w:hAnsiTheme="minorHAnsi" w:cstheme="minorHAnsi"/>
        </w:rPr>
        <w:br/>
        <w:t>GPO Box 594</w:t>
      </w:r>
      <w:r w:rsidRPr="00B16E2A">
        <w:rPr>
          <w:rFonts w:asciiTheme="minorHAnsi" w:hAnsiTheme="minorHAnsi" w:cstheme="minorHAnsi"/>
        </w:rPr>
        <w:br/>
        <w:t>CANBERRA ACT 2601</w:t>
      </w:r>
    </w:p>
    <w:p w14:paraId="251DA250" w14:textId="77777777" w:rsidR="0045229E" w:rsidRDefault="00733FF0" w:rsidP="00733FF0">
      <w:pPr>
        <w:pStyle w:val="Normal-Style2"/>
      </w:pPr>
      <w:bookmarkStart w:id="531" w:name="_Toc388963739"/>
      <w:bookmarkStart w:id="532" w:name="_Toc389122777"/>
      <w:bookmarkStart w:id="533" w:name="_Toc388963740"/>
      <w:bookmarkStart w:id="534" w:name="_Toc389122778"/>
      <w:bookmarkStart w:id="535" w:name="_Toc388963741"/>
      <w:bookmarkStart w:id="536" w:name="_Toc389122779"/>
      <w:bookmarkStart w:id="537" w:name="_Toc388963742"/>
      <w:bookmarkStart w:id="538" w:name="_Toc389122780"/>
      <w:bookmarkStart w:id="539" w:name="_Toc388963743"/>
      <w:bookmarkStart w:id="540" w:name="_Toc389122781"/>
      <w:bookmarkStart w:id="541" w:name="_Toc388963744"/>
      <w:bookmarkStart w:id="542" w:name="_Toc389122782"/>
      <w:bookmarkStart w:id="543" w:name="_Toc388963745"/>
      <w:bookmarkStart w:id="544" w:name="_Toc389122783"/>
      <w:bookmarkStart w:id="545" w:name="_Toc388963746"/>
      <w:bookmarkStart w:id="546" w:name="_Toc389122784"/>
      <w:bookmarkStart w:id="547" w:name="_Toc388963747"/>
      <w:bookmarkStart w:id="548" w:name="_Toc389122785"/>
      <w:bookmarkStart w:id="549" w:name="_Toc388963748"/>
      <w:bookmarkStart w:id="550" w:name="_Toc389122786"/>
      <w:bookmarkStart w:id="551" w:name="_Toc388963749"/>
      <w:bookmarkStart w:id="552" w:name="_Toc389122787"/>
      <w:bookmarkStart w:id="553" w:name="_Toc388963750"/>
      <w:bookmarkStart w:id="554" w:name="_Toc389122788"/>
      <w:bookmarkStart w:id="555" w:name="_Toc388963751"/>
      <w:bookmarkStart w:id="556" w:name="_Toc389122789"/>
      <w:bookmarkStart w:id="557" w:name="_Toc388963752"/>
      <w:bookmarkStart w:id="558" w:name="_Toc389122790"/>
      <w:bookmarkStart w:id="559" w:name="_Toc388963753"/>
      <w:bookmarkStart w:id="560" w:name="_Toc389122791"/>
      <w:bookmarkStart w:id="561" w:name="_Toc388963754"/>
      <w:bookmarkStart w:id="562" w:name="_Toc389122792"/>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E66786">
        <w:t xml:space="preserve">General information about the Privacy Act and the APPs can also be found on the Office of the Australian Information Commissioner's website at </w:t>
      </w:r>
      <w:hyperlink r:id="rId46" w:history="1">
        <w:r w:rsidRPr="007330C3">
          <w:rPr>
            <w:rStyle w:val="Hyperlink"/>
          </w:rPr>
          <w:t>www.oaic.gov.au</w:t>
        </w:r>
      </w:hyperlink>
      <w:r w:rsidR="0045229E">
        <w:t>.</w:t>
      </w:r>
    </w:p>
    <w:p w14:paraId="7CE8A8F5" w14:textId="77777777" w:rsidR="00733FF0" w:rsidRDefault="00733FF0" w:rsidP="00733FF0">
      <w:pPr>
        <w:pStyle w:val="Heading3"/>
      </w:pPr>
      <w:bookmarkStart w:id="563" w:name="_Toc5193547"/>
      <w:bookmarkStart w:id="564" w:name="_Toc5265956"/>
      <w:bookmarkStart w:id="565" w:name="_Toc50044069"/>
      <w:bookmarkStart w:id="566" w:name="_Toc56425497"/>
      <w:bookmarkStart w:id="567" w:name="_Toc90294876"/>
      <w:bookmarkStart w:id="568" w:name="_Toc113442229"/>
      <w:bookmarkStart w:id="569" w:name="_Toc113357266"/>
      <w:bookmarkStart w:id="570" w:name="_Toc157705014"/>
      <w:r>
        <w:t>Exclusion of liabilities</w:t>
      </w:r>
      <w:bookmarkEnd w:id="563"/>
      <w:bookmarkEnd w:id="564"/>
      <w:bookmarkEnd w:id="565"/>
      <w:bookmarkEnd w:id="566"/>
      <w:bookmarkEnd w:id="567"/>
      <w:bookmarkEnd w:id="568"/>
      <w:bookmarkEnd w:id="569"/>
      <w:bookmarkEnd w:id="570"/>
    </w:p>
    <w:p w14:paraId="04A6AD4D" w14:textId="16E14FA0" w:rsidR="00733FF0" w:rsidRPr="00E66786" w:rsidRDefault="00733FF0" w:rsidP="00733FF0">
      <w:pPr>
        <w:pStyle w:val="Normal-Style2"/>
      </w:pPr>
      <w:r w:rsidRPr="00E66786">
        <w:t>To the greatest extent possible in law, the</w:t>
      </w:r>
      <w:r>
        <w:t xml:space="preserve"> d</w:t>
      </w:r>
      <w:r w:rsidRPr="00E66786">
        <w:t>epartment is not liable to applicants on the basis of a process contract (express or implied), promissory estoppel, equitable, restitutionary, contractual or quasi</w:t>
      </w:r>
      <w:r w:rsidRPr="00E66786">
        <w:noBreakHyphen/>
        <w:t>contractual grounds or any other legal or equitable principle or theory, in relation to the Selection Process, includin</w:t>
      </w:r>
      <w:r>
        <w:t>g without limitation, when the d</w:t>
      </w:r>
      <w:r w:rsidRPr="00E66786">
        <w:t>epartment</w:t>
      </w:r>
      <w:r w:rsidR="00B16E2A">
        <w:t xml:space="preserve"> or the Decision Maker</w:t>
      </w:r>
      <w:r w:rsidRPr="00E66786">
        <w:t>:</w:t>
      </w:r>
    </w:p>
    <w:p w14:paraId="095324D7" w14:textId="77777777" w:rsidR="00733FF0" w:rsidRPr="00F6142F" w:rsidRDefault="00733FF0" w:rsidP="00733FF0">
      <w:pPr>
        <w:pStyle w:val="ListBullet"/>
      </w:pPr>
      <w:r w:rsidRPr="00F6142F">
        <w:t xml:space="preserve">varies or terminates all or any part of the </w:t>
      </w:r>
      <w:r>
        <w:t>S</w:t>
      </w:r>
      <w:r w:rsidRPr="00F6142F">
        <w:t xml:space="preserve">election </w:t>
      </w:r>
      <w:r>
        <w:t>P</w:t>
      </w:r>
      <w:r w:rsidRPr="00F6142F">
        <w:t>rocess or any negotiations;</w:t>
      </w:r>
    </w:p>
    <w:p w14:paraId="55B8F29E" w14:textId="77777777" w:rsidR="00733FF0" w:rsidRPr="00F6142F" w:rsidRDefault="00733FF0" w:rsidP="00733FF0">
      <w:pPr>
        <w:pStyle w:val="ListBullet"/>
      </w:pPr>
      <w:r w:rsidRPr="00F6142F">
        <w:t xml:space="preserve">decides not to fund any or all of the activities sought through the </w:t>
      </w:r>
      <w:r>
        <w:t>S</w:t>
      </w:r>
      <w:r w:rsidRPr="00F6142F">
        <w:t xml:space="preserve">election </w:t>
      </w:r>
      <w:r>
        <w:t>P</w:t>
      </w:r>
      <w:r w:rsidRPr="00F6142F">
        <w:t>rocess;</w:t>
      </w:r>
    </w:p>
    <w:p w14:paraId="33407F2D" w14:textId="77777777" w:rsidR="00733FF0" w:rsidRPr="00F6142F" w:rsidRDefault="00733FF0" w:rsidP="00733FF0">
      <w:pPr>
        <w:pStyle w:val="ListBullet"/>
      </w:pPr>
      <w:r w:rsidRPr="00F6142F">
        <w:t xml:space="preserve">varies the </w:t>
      </w:r>
      <w:r>
        <w:t>S</w:t>
      </w:r>
      <w:r w:rsidRPr="00F6142F">
        <w:t xml:space="preserve">election </w:t>
      </w:r>
      <w:r>
        <w:t>P</w:t>
      </w:r>
      <w:r w:rsidRPr="00F6142F">
        <w:t>rocess; or</w:t>
      </w:r>
    </w:p>
    <w:p w14:paraId="4C5BAAC7" w14:textId="77777777" w:rsidR="00733FF0" w:rsidRPr="00F6142F" w:rsidRDefault="00733FF0" w:rsidP="00733FF0">
      <w:pPr>
        <w:pStyle w:val="ListBullet"/>
      </w:pPr>
      <w:r w:rsidRPr="00F6142F">
        <w:t>exercises or fails to exercise any of its other rights under, or in relation to, these Guidelines.</w:t>
      </w:r>
    </w:p>
    <w:p w14:paraId="73B36E6E" w14:textId="77777777" w:rsidR="00733FF0" w:rsidRDefault="00733FF0" w:rsidP="00733FF0">
      <w:pPr>
        <w:pStyle w:val="Heading3"/>
      </w:pPr>
      <w:bookmarkStart w:id="571" w:name="_Toc5193548"/>
      <w:bookmarkStart w:id="572" w:name="_Toc5265957"/>
      <w:bookmarkStart w:id="573" w:name="_Toc50044070"/>
      <w:bookmarkStart w:id="574" w:name="_Toc56425498"/>
      <w:bookmarkStart w:id="575" w:name="_Toc90294877"/>
      <w:bookmarkStart w:id="576" w:name="_Toc113442230"/>
      <w:bookmarkStart w:id="577" w:name="_Toc113357267"/>
      <w:bookmarkStart w:id="578" w:name="_Toc157705015"/>
      <w:r>
        <w:t>Disclaimer</w:t>
      </w:r>
      <w:bookmarkEnd w:id="571"/>
      <w:bookmarkEnd w:id="572"/>
      <w:bookmarkEnd w:id="573"/>
      <w:bookmarkEnd w:id="574"/>
      <w:bookmarkEnd w:id="575"/>
      <w:bookmarkEnd w:id="576"/>
      <w:bookmarkEnd w:id="577"/>
      <w:bookmarkEnd w:id="578"/>
    </w:p>
    <w:p w14:paraId="45A05F82" w14:textId="77777777" w:rsidR="00733FF0" w:rsidRPr="003D69A2" w:rsidRDefault="00733FF0" w:rsidP="00733FF0">
      <w:pPr>
        <w:pStyle w:val="Normal-Style2"/>
        <w:rPr>
          <w:sz w:val="24"/>
          <w:szCs w:val="32"/>
        </w:rPr>
      </w:pPr>
      <w:r>
        <w:t>The Commonwealth, the d</w:t>
      </w:r>
      <w:r w:rsidRPr="003D69A2">
        <w:t>epartment and its officers, employees, agents and advisors:</w:t>
      </w:r>
    </w:p>
    <w:p w14:paraId="347CC748" w14:textId="77777777" w:rsidR="00733FF0" w:rsidRPr="00F6142F" w:rsidRDefault="00733FF0" w:rsidP="00733FF0">
      <w:pPr>
        <w:pStyle w:val="ListBullet"/>
      </w:pPr>
      <w:r w:rsidRPr="00F6142F">
        <w:t>are not, and will not be, responsible or liable for the accuracy or completeness of any information in or provided in connection with these Guidelines and associated forms;</w:t>
      </w:r>
    </w:p>
    <w:p w14:paraId="31F5F2D1" w14:textId="77777777" w:rsidR="00733FF0" w:rsidRPr="00F6142F" w:rsidRDefault="00733FF0" w:rsidP="00733FF0">
      <w:pPr>
        <w:pStyle w:val="ListBullet"/>
      </w:pPr>
      <w:r w:rsidRPr="00F6142F">
        <w:t>make no express or implied representation or warranty that any statement as to future matters will prove correct;</w:t>
      </w:r>
    </w:p>
    <w:p w14:paraId="437117B7" w14:textId="77777777" w:rsidR="00733FF0" w:rsidRPr="00F6142F" w:rsidRDefault="00733FF0" w:rsidP="00733FF0">
      <w:pPr>
        <w:pStyle w:val="ListBullet"/>
      </w:pPr>
      <w:r w:rsidRPr="00F6142F">
        <w:t>disclaim any and all liability arising from any information provided to the applicants, including, without limitation, errors in, or omissions contained in, that information;</w:t>
      </w:r>
    </w:p>
    <w:p w14:paraId="64A78E83" w14:textId="77777777" w:rsidR="00733FF0" w:rsidRPr="00F6142F" w:rsidRDefault="00733FF0" w:rsidP="00733FF0">
      <w:pPr>
        <w:pStyle w:val="ListBullet"/>
      </w:pPr>
      <w:r w:rsidRPr="00F6142F">
        <w:t>except so far as liability under any statute cannot be excluded, accept no responsibility arising in any way from errors or omissions contained in any information in these Guidelines and associated forms; and</w:t>
      </w:r>
    </w:p>
    <w:p w14:paraId="0B1318ED" w14:textId="77777777" w:rsidR="00733FF0" w:rsidRPr="00F6142F" w:rsidRDefault="00733FF0" w:rsidP="00733FF0">
      <w:pPr>
        <w:pStyle w:val="ListBullet"/>
      </w:pPr>
      <w:r w:rsidRPr="00F6142F">
        <w:t>accept no liability for any loss or damage suffered by any person as a result of that person, or any other person, placing reliance on the contents of these Guidelines and associated forms, or any oth</w:t>
      </w:r>
      <w:r>
        <w:t>er information provided by the d</w:t>
      </w:r>
      <w:r w:rsidRPr="00F6142F">
        <w:t>epartment.</w:t>
      </w:r>
    </w:p>
    <w:p w14:paraId="76AFEDB2" w14:textId="77777777" w:rsidR="00733FF0" w:rsidRDefault="00733FF0" w:rsidP="00733FF0">
      <w:pPr>
        <w:pStyle w:val="Heading3"/>
      </w:pPr>
      <w:bookmarkStart w:id="579" w:name="_Toc5193549"/>
      <w:bookmarkStart w:id="580" w:name="_Toc5265958"/>
      <w:bookmarkStart w:id="581" w:name="_Toc50044071"/>
      <w:bookmarkStart w:id="582" w:name="_Toc56425499"/>
      <w:bookmarkStart w:id="583" w:name="_Toc90294878"/>
      <w:bookmarkStart w:id="584" w:name="_Toc113442231"/>
      <w:bookmarkStart w:id="585" w:name="_Toc113357268"/>
      <w:bookmarkStart w:id="586" w:name="_Toc157705016"/>
      <w:r>
        <w:t>Fraud prevention</w:t>
      </w:r>
      <w:bookmarkEnd w:id="579"/>
      <w:bookmarkEnd w:id="580"/>
      <w:bookmarkEnd w:id="581"/>
      <w:bookmarkEnd w:id="582"/>
      <w:bookmarkEnd w:id="583"/>
      <w:bookmarkEnd w:id="584"/>
      <w:bookmarkEnd w:id="585"/>
      <w:bookmarkEnd w:id="586"/>
    </w:p>
    <w:p w14:paraId="563ECF4E" w14:textId="1E5A9C5B" w:rsidR="00733FF0" w:rsidRPr="00E66786" w:rsidRDefault="00733FF0" w:rsidP="00733FF0">
      <w:pPr>
        <w:pStyle w:val="Normal-Style2"/>
      </w:pPr>
      <w:r w:rsidRPr="00E66786">
        <w:t>Applicants are responsible for ensuring that their application is complete and accurate. Giving false or misleading information is a ser</w:t>
      </w:r>
      <w:r>
        <w:t xml:space="preserve">ious offence under the </w:t>
      </w:r>
      <w:hyperlink r:id="rId47" w:history="1">
        <w:r w:rsidRPr="00DD5568">
          <w:rPr>
            <w:rStyle w:val="Hyperlink"/>
            <w:i/>
          </w:rPr>
          <w:t>Criminal Code Act 1995</w:t>
        </w:r>
        <w:r w:rsidRPr="00DD5568">
          <w:rPr>
            <w:rStyle w:val="Hyperlink"/>
          </w:rPr>
          <w:t xml:space="preserve"> (Cth)</w:t>
        </w:r>
      </w:hyperlink>
      <w:r w:rsidR="00DD5568">
        <w:rPr>
          <w:rStyle w:val="FootnoteReference"/>
        </w:rPr>
        <w:footnoteReference w:id="16"/>
      </w:r>
      <w:r>
        <w:t xml:space="preserve"> and the d</w:t>
      </w:r>
      <w:r w:rsidRPr="00E66786">
        <w:t>epartment will investigate any false or misleading information and may exclude your application from further consideration.</w:t>
      </w:r>
    </w:p>
    <w:p w14:paraId="42A3D71A" w14:textId="77777777" w:rsidR="00733FF0" w:rsidRDefault="00733FF0" w:rsidP="00733FF0">
      <w:pPr>
        <w:pStyle w:val="Heading3"/>
      </w:pPr>
      <w:bookmarkStart w:id="587" w:name="_Toc56425500"/>
      <w:bookmarkStart w:id="588" w:name="_Toc90294879"/>
      <w:bookmarkStart w:id="589" w:name="_Toc113442232"/>
      <w:bookmarkStart w:id="590" w:name="_Toc113357269"/>
      <w:bookmarkStart w:id="591" w:name="_Toc157705017"/>
      <w:r>
        <w:t>Freedom of Information</w:t>
      </w:r>
      <w:bookmarkEnd w:id="587"/>
      <w:bookmarkEnd w:id="588"/>
      <w:bookmarkEnd w:id="589"/>
      <w:bookmarkEnd w:id="590"/>
      <w:bookmarkEnd w:id="591"/>
    </w:p>
    <w:p w14:paraId="227FCC46" w14:textId="2DE9AFF7" w:rsidR="00733FF0" w:rsidRDefault="00733FF0" w:rsidP="00733FF0">
      <w:pPr>
        <w:pStyle w:val="Normal-Style2"/>
      </w:pPr>
      <w:r w:rsidRPr="00E66786">
        <w:t xml:space="preserve">All documents in the possession of the Australian Government, including those about this grant opportunity, are subject to the </w:t>
      </w:r>
      <w:hyperlink r:id="rId48" w:history="1">
        <w:r w:rsidRPr="00DD5568">
          <w:rPr>
            <w:rStyle w:val="Hyperlink"/>
            <w:i/>
          </w:rPr>
          <w:t>Freedom of Information Act 1982</w:t>
        </w:r>
        <w:r w:rsidRPr="00DD5568">
          <w:rPr>
            <w:rStyle w:val="Hyperlink"/>
          </w:rPr>
          <w:t xml:space="preserve"> (Cth)</w:t>
        </w:r>
      </w:hyperlink>
      <w:r w:rsidR="00DD5568">
        <w:rPr>
          <w:rStyle w:val="FootnoteReference"/>
          <w:i/>
        </w:rPr>
        <w:footnoteReference w:id="17"/>
      </w:r>
      <w:r>
        <w:t xml:space="preserve"> (FOI </w:t>
      </w:r>
      <w:r w:rsidRPr="00E66786">
        <w:t>Act).</w:t>
      </w:r>
    </w:p>
    <w:p w14:paraId="1BCC6C61" w14:textId="77777777" w:rsidR="00733FF0" w:rsidRDefault="00733FF0" w:rsidP="00733FF0">
      <w:pPr>
        <w:pStyle w:val="Normal-Style2"/>
      </w:pPr>
      <w:r w:rsidRPr="00E66786">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0C667BA4" w14:textId="77777777" w:rsidR="00733FF0" w:rsidRPr="00E66786" w:rsidRDefault="00733FF0" w:rsidP="00733FF0">
      <w:pPr>
        <w:pStyle w:val="Normal-Style2"/>
      </w:pPr>
      <w:r w:rsidRPr="00E66786">
        <w:t xml:space="preserve">All Freedom of Information requests must be referred </w:t>
      </w:r>
      <w:r>
        <w:t>to the d</w:t>
      </w:r>
      <w:r w:rsidRPr="00E66786">
        <w:t xml:space="preserve">epartment’s Freedom of Information Coordinator in writing at </w:t>
      </w:r>
      <w:hyperlink r:id="rId49" w:history="1">
        <w:r w:rsidRPr="007330C3">
          <w:rPr>
            <w:rStyle w:val="Hyperlink"/>
          </w:rPr>
          <w:t>foi@infrastructure.gov.au</w:t>
        </w:r>
      </w:hyperlink>
      <w:r>
        <w:t>.</w:t>
      </w:r>
    </w:p>
    <w:p w14:paraId="52A1F11C" w14:textId="77777777" w:rsidR="00733FF0" w:rsidRDefault="00733FF0" w:rsidP="00733FF0">
      <w:pPr>
        <w:pStyle w:val="Heading2"/>
      </w:pPr>
      <w:bookmarkStart w:id="592" w:name="_Toc421777637"/>
      <w:bookmarkStart w:id="593" w:name="_Toc467773995"/>
      <w:bookmarkStart w:id="594" w:name="_Toc5193550"/>
      <w:bookmarkStart w:id="595" w:name="_Toc5265959"/>
      <w:bookmarkStart w:id="596" w:name="_Toc50044072"/>
      <w:bookmarkStart w:id="597" w:name="_Toc56425501"/>
      <w:bookmarkStart w:id="598" w:name="_Toc90294880"/>
      <w:bookmarkStart w:id="599" w:name="_Toc113442233"/>
      <w:bookmarkStart w:id="600" w:name="_Toc113357270"/>
      <w:bookmarkStart w:id="601" w:name="_Toc157705018"/>
      <w:bookmarkEnd w:id="471"/>
      <w:bookmarkEnd w:id="472"/>
      <w:r w:rsidRPr="00B72EE8">
        <w:t>Consultation</w:t>
      </w:r>
      <w:bookmarkEnd w:id="592"/>
      <w:bookmarkEnd w:id="593"/>
      <w:bookmarkEnd w:id="594"/>
      <w:bookmarkEnd w:id="595"/>
      <w:bookmarkEnd w:id="596"/>
      <w:bookmarkEnd w:id="597"/>
      <w:bookmarkEnd w:id="598"/>
      <w:bookmarkEnd w:id="599"/>
      <w:bookmarkEnd w:id="600"/>
      <w:bookmarkEnd w:id="601"/>
    </w:p>
    <w:p w14:paraId="29AB914C" w14:textId="33A792B3" w:rsidR="00733FF0" w:rsidRDefault="00733FF0" w:rsidP="00733FF0">
      <w:pPr>
        <w:pStyle w:val="Normal-Style2"/>
      </w:pPr>
      <w:r w:rsidRPr="00E66786">
        <w:t xml:space="preserve">In </w:t>
      </w:r>
      <w:r w:rsidR="00D03B4C">
        <w:t>November 2022</w:t>
      </w:r>
      <w:r w:rsidRPr="00852C85">
        <w:t>, the department released the draft Guidelines seeking stakeholder feedback</w:t>
      </w:r>
      <w:r w:rsidR="00D03B4C">
        <w:t> </w:t>
      </w:r>
      <w:r w:rsidRPr="00852C85">
        <w:t>on the proposed design of the Program. This feedback was considered in preparing</w:t>
      </w:r>
      <w:r w:rsidRPr="00E66786">
        <w:t xml:space="preserve"> these Guidelines.</w:t>
      </w:r>
    </w:p>
    <w:p w14:paraId="35F1C715" w14:textId="77777777" w:rsidR="00733FF0" w:rsidRDefault="00733FF0" w:rsidP="00733FF0">
      <w:pPr>
        <w:pStyle w:val="Heading2"/>
      </w:pPr>
      <w:bookmarkStart w:id="602" w:name="_Toc113442234"/>
      <w:bookmarkStart w:id="603" w:name="_Toc113357271"/>
      <w:bookmarkStart w:id="604" w:name="_Toc157705019"/>
      <w:bookmarkEnd w:id="347"/>
      <w:r w:rsidRPr="002D2607">
        <w:t>Glossary</w:t>
      </w:r>
      <w:bookmarkEnd w:id="602"/>
      <w:bookmarkEnd w:id="603"/>
      <w:bookmarkEnd w:id="604"/>
    </w:p>
    <w:tbl>
      <w:tblPr>
        <w:tblStyle w:val="DefaultTable11"/>
        <w:tblW w:w="5000" w:type="pct"/>
        <w:tblLook w:val="04A0" w:firstRow="1" w:lastRow="0" w:firstColumn="1" w:lastColumn="0" w:noHBand="0" w:noVBand="1"/>
        <w:tblDescription w:val="Glossary"/>
      </w:tblPr>
      <w:tblGrid>
        <w:gridCol w:w="2687"/>
        <w:gridCol w:w="6788"/>
      </w:tblGrid>
      <w:tr w:rsidR="004F3BE5" w:rsidRPr="00654F9E" w14:paraId="6F25C823" w14:textId="77777777" w:rsidTr="004F3BE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176F4C7E" w14:textId="77777777" w:rsidR="004F3BE5" w:rsidRPr="00CB3318" w:rsidRDefault="004F3BE5" w:rsidP="004F3BE5">
            <w:pPr>
              <w:pStyle w:val="Tablerowcolumnheading"/>
              <w:rPr>
                <w:b/>
              </w:rPr>
            </w:pPr>
            <w:r>
              <w:rPr>
                <w:b/>
              </w:rPr>
              <w:t>Term</w:t>
            </w:r>
          </w:p>
        </w:tc>
        <w:tc>
          <w:tcPr>
            <w:tcW w:w="3582" w:type="pct"/>
          </w:tcPr>
          <w:p w14:paraId="23D64BC7" w14:textId="77777777" w:rsidR="004F3BE5" w:rsidRPr="00CB3318" w:rsidRDefault="004F3BE5" w:rsidP="008243A9">
            <w:pPr>
              <w:pStyle w:val="Tablerowcolumnheading"/>
              <w:keepNext/>
              <w:cnfStyle w:val="100000000000" w:firstRow="1" w:lastRow="0" w:firstColumn="0" w:lastColumn="0" w:oddVBand="0" w:evenVBand="0" w:oddHBand="0" w:evenHBand="0" w:firstRowFirstColumn="0" w:firstRowLastColumn="0" w:lastRowFirstColumn="0" w:lastRowLastColumn="0"/>
              <w:rPr>
                <w:b/>
              </w:rPr>
            </w:pPr>
            <w:r>
              <w:rPr>
                <w:b/>
              </w:rPr>
              <w:t>Definition</w:t>
            </w:r>
          </w:p>
        </w:tc>
      </w:tr>
      <w:tr w:rsidR="004F3BE5" w:rsidRPr="00654F9E" w14:paraId="026FF472"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177BE56C" w14:textId="77777777" w:rsidR="004F3BE5" w:rsidRPr="00067980" w:rsidRDefault="004F3BE5" w:rsidP="004F3BE5">
            <w:pPr>
              <w:rPr>
                <w:rFonts w:asciiTheme="minorHAnsi" w:hAnsiTheme="minorHAnsi" w:cstheme="minorHAnsi"/>
                <w:b w:val="0"/>
                <w:highlight w:val="yellow"/>
              </w:rPr>
            </w:pPr>
            <w:r w:rsidRPr="00067980">
              <w:rPr>
                <w:rFonts w:asciiTheme="minorHAnsi" w:hAnsiTheme="minorHAnsi" w:cstheme="minorHAnsi"/>
                <w:b w:val="0"/>
              </w:rPr>
              <w:t>4G</w:t>
            </w:r>
          </w:p>
        </w:tc>
        <w:tc>
          <w:tcPr>
            <w:tcW w:w="3582" w:type="pct"/>
          </w:tcPr>
          <w:p w14:paraId="071D19B5" w14:textId="77777777"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67980">
              <w:rPr>
                <w:rFonts w:asciiTheme="minorHAnsi" w:hAnsiTheme="minorHAnsi" w:cstheme="minorHAnsi"/>
              </w:rPr>
              <w:t>Fourth generation mobile telecommunications service.</w:t>
            </w:r>
          </w:p>
        </w:tc>
      </w:tr>
      <w:tr w:rsidR="004F3BE5" w:rsidRPr="00654F9E" w14:paraId="160304CF"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1C017C07"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5G</w:t>
            </w:r>
          </w:p>
        </w:tc>
        <w:tc>
          <w:tcPr>
            <w:tcW w:w="3582" w:type="pct"/>
          </w:tcPr>
          <w:p w14:paraId="7FFFDE60" w14:textId="77777777"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Fifth generation mobile telecommunications service.</w:t>
            </w:r>
          </w:p>
        </w:tc>
      </w:tr>
      <w:tr w:rsidR="004F3BE5" w:rsidRPr="00654F9E" w14:paraId="2F5F0137"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0CDC3D76"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Application Pack</w:t>
            </w:r>
          </w:p>
        </w:tc>
        <w:tc>
          <w:tcPr>
            <w:tcW w:w="3582" w:type="pct"/>
          </w:tcPr>
          <w:p w14:paraId="782E9D8C" w14:textId="5B2840B5"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67980">
              <w:rPr>
                <w:rFonts w:asciiTheme="minorHAnsi" w:hAnsiTheme="minorHAnsi" w:cstheme="minorHAnsi"/>
                <w:lang w:eastAsia="en-AU"/>
              </w:rPr>
              <w:t xml:space="preserve">Has the meaning given in section </w:t>
            </w:r>
            <w:r w:rsidR="001A1CA8" w:rsidRPr="00067980">
              <w:rPr>
                <w:rFonts w:asciiTheme="minorHAnsi" w:hAnsiTheme="minorHAnsi" w:cstheme="minorHAnsi"/>
                <w:lang w:eastAsia="en-AU"/>
              </w:rPr>
              <w:fldChar w:fldCharType="begin"/>
            </w:r>
            <w:r w:rsidR="001A1CA8" w:rsidRPr="00067980">
              <w:rPr>
                <w:rFonts w:asciiTheme="minorHAnsi" w:hAnsiTheme="minorHAnsi" w:cstheme="minorHAnsi"/>
                <w:lang w:eastAsia="en-AU"/>
              </w:rPr>
              <w:instrText xml:space="preserve"> REF _Ref121922016 \r \h </w:instrText>
            </w:r>
            <w:r w:rsidR="00067980">
              <w:rPr>
                <w:rFonts w:asciiTheme="minorHAnsi" w:hAnsiTheme="minorHAnsi" w:cstheme="minorHAnsi"/>
                <w:lang w:eastAsia="en-AU"/>
              </w:rPr>
              <w:instrText xml:space="preserve"> \* MERGEFORMAT </w:instrText>
            </w:r>
            <w:r w:rsidR="001A1CA8" w:rsidRPr="00067980">
              <w:rPr>
                <w:rFonts w:asciiTheme="minorHAnsi" w:hAnsiTheme="minorHAnsi" w:cstheme="minorHAnsi"/>
                <w:lang w:eastAsia="en-AU"/>
              </w:rPr>
            </w:r>
            <w:r w:rsidR="001A1CA8" w:rsidRPr="00067980">
              <w:rPr>
                <w:rFonts w:asciiTheme="minorHAnsi" w:hAnsiTheme="minorHAnsi" w:cstheme="minorHAnsi"/>
                <w:lang w:eastAsia="en-AU"/>
              </w:rPr>
              <w:fldChar w:fldCharType="separate"/>
            </w:r>
            <w:r w:rsidR="001A1CA8" w:rsidRPr="00067980">
              <w:rPr>
                <w:rFonts w:asciiTheme="minorHAnsi" w:hAnsiTheme="minorHAnsi" w:cstheme="minorHAnsi"/>
                <w:lang w:eastAsia="en-AU"/>
              </w:rPr>
              <w:t>7.4.1</w:t>
            </w:r>
            <w:r w:rsidR="001A1CA8" w:rsidRPr="00067980">
              <w:rPr>
                <w:rFonts w:asciiTheme="minorHAnsi" w:hAnsiTheme="minorHAnsi" w:cstheme="minorHAnsi"/>
                <w:lang w:eastAsia="en-AU"/>
              </w:rPr>
              <w:fldChar w:fldCharType="end"/>
            </w:r>
            <w:r w:rsidRPr="00067980">
              <w:rPr>
                <w:rFonts w:asciiTheme="minorHAnsi" w:hAnsiTheme="minorHAnsi" w:cstheme="minorHAnsi"/>
                <w:lang w:eastAsia="en-AU"/>
              </w:rPr>
              <w:t>.</w:t>
            </w:r>
          </w:p>
        </w:tc>
      </w:tr>
      <w:tr w:rsidR="004F3BE5" w:rsidRPr="00654F9E" w14:paraId="0857521A"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6ABE7079"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Assessment Criteria</w:t>
            </w:r>
          </w:p>
        </w:tc>
        <w:tc>
          <w:tcPr>
            <w:tcW w:w="3582" w:type="pct"/>
          </w:tcPr>
          <w:p w14:paraId="26EDB577" w14:textId="32474FD9"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lang w:eastAsia="en-AU"/>
              </w:rPr>
              <w:t xml:space="preserve">The specified principles or standards in section </w:t>
            </w:r>
            <w:r w:rsidR="001A1CA8" w:rsidRPr="00067980">
              <w:rPr>
                <w:rFonts w:asciiTheme="minorHAnsi" w:hAnsiTheme="minorHAnsi" w:cstheme="minorHAnsi"/>
                <w:lang w:eastAsia="en-AU"/>
              </w:rPr>
              <w:fldChar w:fldCharType="begin"/>
            </w:r>
            <w:r w:rsidR="001A1CA8" w:rsidRPr="00067980">
              <w:rPr>
                <w:rFonts w:asciiTheme="minorHAnsi" w:hAnsiTheme="minorHAnsi" w:cstheme="minorHAnsi"/>
                <w:lang w:eastAsia="en-AU"/>
              </w:rPr>
              <w:instrText xml:space="preserve"> REF _Ref110515467 \r \h </w:instrText>
            </w:r>
            <w:r w:rsidR="00067980">
              <w:rPr>
                <w:rFonts w:asciiTheme="minorHAnsi" w:hAnsiTheme="minorHAnsi" w:cstheme="minorHAnsi"/>
                <w:lang w:eastAsia="en-AU"/>
              </w:rPr>
              <w:instrText xml:space="preserve"> \* MERGEFORMAT </w:instrText>
            </w:r>
            <w:r w:rsidR="001A1CA8" w:rsidRPr="00067980">
              <w:rPr>
                <w:rFonts w:asciiTheme="minorHAnsi" w:hAnsiTheme="minorHAnsi" w:cstheme="minorHAnsi"/>
                <w:lang w:eastAsia="en-AU"/>
              </w:rPr>
            </w:r>
            <w:r w:rsidR="001A1CA8" w:rsidRPr="00067980">
              <w:rPr>
                <w:rFonts w:asciiTheme="minorHAnsi" w:hAnsiTheme="minorHAnsi" w:cstheme="minorHAnsi"/>
                <w:lang w:eastAsia="en-AU"/>
              </w:rPr>
              <w:fldChar w:fldCharType="separate"/>
            </w:r>
            <w:r w:rsidR="001A1CA8" w:rsidRPr="00067980">
              <w:rPr>
                <w:rFonts w:asciiTheme="minorHAnsi" w:hAnsiTheme="minorHAnsi" w:cstheme="minorHAnsi"/>
                <w:lang w:eastAsia="en-AU"/>
              </w:rPr>
              <w:t>6</w:t>
            </w:r>
            <w:r w:rsidR="001A1CA8" w:rsidRPr="00067980">
              <w:rPr>
                <w:rFonts w:asciiTheme="minorHAnsi" w:hAnsiTheme="minorHAnsi" w:cstheme="minorHAnsi"/>
                <w:lang w:eastAsia="en-AU"/>
              </w:rPr>
              <w:fldChar w:fldCharType="end"/>
            </w:r>
            <w:r w:rsidRPr="00067980">
              <w:rPr>
                <w:rFonts w:asciiTheme="minorHAnsi" w:hAnsiTheme="minorHAnsi" w:cstheme="minorHAnsi"/>
                <w:lang w:eastAsia="en-AU"/>
              </w:rPr>
              <w:t xml:space="preserve"> against which applications will be assessed. These criteria are also used to assess the merits of proposals and, in the case of a competitive Grant Opportunity, to determine application rankings.</w:t>
            </w:r>
          </w:p>
        </w:tc>
      </w:tr>
      <w:tr w:rsidR="004F3BE5" w:rsidRPr="00654F9E" w14:paraId="5F092AD8"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18F567F2"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Assessment Form</w:t>
            </w:r>
          </w:p>
        </w:tc>
        <w:tc>
          <w:tcPr>
            <w:tcW w:w="3582" w:type="pct"/>
          </w:tcPr>
          <w:p w14:paraId="19A160BE" w14:textId="77777777"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67980">
              <w:rPr>
                <w:rFonts w:asciiTheme="minorHAnsi" w:hAnsiTheme="minorHAnsi" w:cstheme="minorHAnsi"/>
                <w:lang w:eastAsia="en-AU"/>
              </w:rPr>
              <w:t>Appendix B to the Application Pack.</w:t>
            </w:r>
          </w:p>
        </w:tc>
      </w:tr>
      <w:tr w:rsidR="004F3BE5" w:rsidRPr="00654F9E" w14:paraId="48595C5F"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7DBD87CB"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Assessment Tool</w:t>
            </w:r>
          </w:p>
        </w:tc>
        <w:tc>
          <w:tcPr>
            <w:tcW w:w="3582" w:type="pct"/>
          </w:tcPr>
          <w:p w14:paraId="6B0F6317" w14:textId="74CF077A"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eastAsia="en-AU"/>
              </w:rPr>
            </w:pPr>
            <w:r w:rsidRPr="00067980">
              <w:rPr>
                <w:rFonts w:asciiTheme="minorHAnsi" w:hAnsiTheme="minorHAnsi" w:cstheme="minorHAnsi"/>
              </w:rPr>
              <w:t xml:space="preserve">Has the meaning given in section </w:t>
            </w:r>
            <w:r w:rsidR="001A1CA8" w:rsidRPr="00067980">
              <w:rPr>
                <w:rFonts w:asciiTheme="minorHAnsi" w:hAnsiTheme="minorHAnsi" w:cstheme="minorHAnsi"/>
              </w:rPr>
              <w:fldChar w:fldCharType="begin"/>
            </w:r>
            <w:r w:rsidR="001A1CA8" w:rsidRPr="00067980">
              <w:rPr>
                <w:rFonts w:asciiTheme="minorHAnsi" w:hAnsiTheme="minorHAnsi" w:cstheme="minorHAnsi"/>
              </w:rPr>
              <w:instrText xml:space="preserve"> REF _Ref109304863 \r \h </w:instrText>
            </w:r>
            <w:r w:rsidR="00067980">
              <w:rPr>
                <w:rFonts w:asciiTheme="minorHAnsi" w:hAnsiTheme="minorHAnsi" w:cstheme="minorHAnsi"/>
              </w:rPr>
              <w:instrText xml:space="preserve"> \* MERGEFORMAT </w:instrText>
            </w:r>
            <w:r w:rsidR="001A1CA8" w:rsidRPr="00067980">
              <w:rPr>
                <w:rFonts w:asciiTheme="minorHAnsi" w:hAnsiTheme="minorHAnsi" w:cstheme="minorHAnsi"/>
              </w:rPr>
            </w:r>
            <w:r w:rsidR="001A1CA8" w:rsidRPr="00067980">
              <w:rPr>
                <w:rFonts w:asciiTheme="minorHAnsi" w:hAnsiTheme="minorHAnsi" w:cstheme="minorHAnsi"/>
              </w:rPr>
              <w:fldChar w:fldCharType="separate"/>
            </w:r>
            <w:r w:rsidR="001A1CA8" w:rsidRPr="00067980">
              <w:rPr>
                <w:rFonts w:asciiTheme="minorHAnsi" w:hAnsiTheme="minorHAnsi" w:cstheme="minorHAnsi"/>
              </w:rPr>
              <w:t>7.4.2</w:t>
            </w:r>
            <w:r w:rsidR="001A1CA8" w:rsidRPr="00067980">
              <w:rPr>
                <w:rFonts w:asciiTheme="minorHAnsi" w:hAnsiTheme="minorHAnsi" w:cstheme="minorHAnsi"/>
              </w:rPr>
              <w:fldChar w:fldCharType="end"/>
            </w:r>
            <w:r w:rsidRPr="00067980">
              <w:rPr>
                <w:rFonts w:asciiTheme="minorHAnsi" w:hAnsiTheme="minorHAnsi" w:cstheme="minorHAnsi"/>
              </w:rPr>
              <w:t>.</w:t>
            </w:r>
          </w:p>
        </w:tc>
      </w:tr>
      <w:tr w:rsidR="004F3BE5" w:rsidRPr="00654F9E" w14:paraId="79104998"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27397B76"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Asset Capital Costs (CAPEX)</w:t>
            </w:r>
          </w:p>
        </w:tc>
        <w:tc>
          <w:tcPr>
            <w:tcW w:w="3582" w:type="pct"/>
          </w:tcPr>
          <w:p w14:paraId="63421443" w14:textId="77777777"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67980">
              <w:rPr>
                <w:rFonts w:asciiTheme="minorHAnsi" w:hAnsiTheme="minorHAnsi" w:cstheme="minorHAnsi"/>
                <w:lang w:eastAsia="en-AU"/>
              </w:rPr>
              <w:t>The costs to purchase and build physical assets under the Program.</w:t>
            </w:r>
          </w:p>
        </w:tc>
      </w:tr>
      <w:tr w:rsidR="004F3BE5" w:rsidRPr="00654F9E" w14:paraId="57BFAEEF"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00E444B5"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Australian Business Number (ABN)</w:t>
            </w:r>
          </w:p>
        </w:tc>
        <w:tc>
          <w:tcPr>
            <w:tcW w:w="3582" w:type="pct"/>
          </w:tcPr>
          <w:p w14:paraId="502C8A3A" w14:textId="77777777"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eastAsia="en-AU"/>
              </w:rPr>
            </w:pPr>
            <w:r w:rsidRPr="00067980">
              <w:rPr>
                <w:rFonts w:asciiTheme="minorHAnsi" w:hAnsiTheme="minorHAnsi" w:cstheme="minorHAnsi"/>
                <w:lang w:eastAsia="en-AU"/>
              </w:rPr>
              <w:t>A unique 11 digit number that identifies a business to the government and community</w:t>
            </w:r>
          </w:p>
        </w:tc>
      </w:tr>
      <w:tr w:rsidR="004F3BE5" w:rsidRPr="00654F9E" w14:paraId="7D2E62F8"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6FA6E049"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Backhaul</w:t>
            </w:r>
          </w:p>
        </w:tc>
        <w:tc>
          <w:tcPr>
            <w:tcW w:w="3582" w:type="pct"/>
          </w:tcPr>
          <w:p w14:paraId="6FF74C13" w14:textId="77777777"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67980">
              <w:rPr>
                <w:rFonts w:asciiTheme="minorHAnsi" w:hAnsiTheme="minorHAnsi" w:cstheme="minorHAnsi"/>
              </w:rPr>
              <w:t>A link between the core or backbone of a network and sub</w:t>
            </w:r>
            <w:r w:rsidRPr="00067980">
              <w:rPr>
                <w:rFonts w:asciiTheme="minorHAnsi" w:hAnsiTheme="minorHAnsi" w:cstheme="minorHAnsi"/>
              </w:rPr>
              <w:noBreakHyphen/>
              <w:t>networks, transporting data from a series of disparate locations to a more centralised location.</w:t>
            </w:r>
          </w:p>
        </w:tc>
      </w:tr>
      <w:tr w:rsidR="004F3BE5" w:rsidRPr="00654F9E" w14:paraId="2CF915E5"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7797BDD9"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Baseline Data</w:t>
            </w:r>
          </w:p>
        </w:tc>
        <w:tc>
          <w:tcPr>
            <w:tcW w:w="3582" w:type="pct"/>
          </w:tcPr>
          <w:p w14:paraId="135B347B" w14:textId="455ED6BF"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 xml:space="preserve">The applicant’s existing coverage and the amount of new coverage which each Funded Solution would provide will be used as the mobile coverage baseline data for section </w:t>
            </w:r>
            <w:r w:rsidR="001A1CA8" w:rsidRPr="00067980">
              <w:rPr>
                <w:rFonts w:asciiTheme="minorHAnsi" w:hAnsiTheme="minorHAnsi" w:cstheme="minorHAnsi"/>
              </w:rPr>
              <w:fldChar w:fldCharType="begin"/>
            </w:r>
            <w:r w:rsidR="001A1CA8" w:rsidRPr="00067980">
              <w:rPr>
                <w:rFonts w:asciiTheme="minorHAnsi" w:hAnsiTheme="minorHAnsi" w:cstheme="minorHAnsi"/>
              </w:rPr>
              <w:instrText xml:space="preserve"> REF _Ref121922059 \r \h </w:instrText>
            </w:r>
            <w:r w:rsidR="00067980">
              <w:rPr>
                <w:rFonts w:asciiTheme="minorHAnsi" w:hAnsiTheme="minorHAnsi" w:cstheme="minorHAnsi"/>
              </w:rPr>
              <w:instrText xml:space="preserve"> \* MERGEFORMAT </w:instrText>
            </w:r>
            <w:r w:rsidR="001A1CA8" w:rsidRPr="00067980">
              <w:rPr>
                <w:rFonts w:asciiTheme="minorHAnsi" w:hAnsiTheme="minorHAnsi" w:cstheme="minorHAnsi"/>
              </w:rPr>
            </w:r>
            <w:r w:rsidR="001A1CA8" w:rsidRPr="00067980">
              <w:rPr>
                <w:rFonts w:asciiTheme="minorHAnsi" w:hAnsiTheme="minorHAnsi" w:cstheme="minorHAnsi"/>
              </w:rPr>
              <w:fldChar w:fldCharType="separate"/>
            </w:r>
            <w:r w:rsidR="001A1CA8" w:rsidRPr="00067980">
              <w:rPr>
                <w:rFonts w:asciiTheme="minorHAnsi" w:hAnsiTheme="minorHAnsi" w:cstheme="minorHAnsi"/>
              </w:rPr>
              <w:t>12.1.2</w:t>
            </w:r>
            <w:r w:rsidR="001A1CA8" w:rsidRPr="00067980">
              <w:rPr>
                <w:rFonts w:asciiTheme="minorHAnsi" w:hAnsiTheme="minorHAnsi" w:cstheme="minorHAnsi"/>
              </w:rPr>
              <w:fldChar w:fldCharType="end"/>
            </w:r>
            <w:r w:rsidRPr="00067980">
              <w:rPr>
                <w:rFonts w:asciiTheme="minorHAnsi" w:hAnsiTheme="minorHAnsi" w:cstheme="minorHAnsi"/>
              </w:rPr>
              <w:t xml:space="preserve">. </w:t>
            </w:r>
          </w:p>
        </w:tc>
      </w:tr>
      <w:tr w:rsidR="004F3BE5" w:rsidRPr="00654F9E" w14:paraId="783F2D0E"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6AC9C968"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Cluster Solution</w:t>
            </w:r>
          </w:p>
        </w:tc>
        <w:tc>
          <w:tcPr>
            <w:tcW w:w="3582" w:type="pct"/>
          </w:tcPr>
          <w:p w14:paraId="5A40851A" w14:textId="77777777"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A Proposed Solution comprising two or more (to a maximum of fifteen) base stations that the applicant is putting forward as a single proposal due to economic and/or network design benefits.</w:t>
            </w:r>
          </w:p>
        </w:tc>
      </w:tr>
      <w:tr w:rsidR="004F3BE5" w:rsidRPr="00654F9E" w14:paraId="3ECAA2A1"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2AB06088"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Co-locating MNO</w:t>
            </w:r>
          </w:p>
        </w:tc>
        <w:tc>
          <w:tcPr>
            <w:tcW w:w="3582" w:type="pct"/>
          </w:tcPr>
          <w:p w14:paraId="4B74115B" w14:textId="626127F0"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 xml:space="preserve">Has the meaning given in section </w:t>
            </w:r>
            <w:r w:rsidR="001A1CA8" w:rsidRPr="00067980">
              <w:rPr>
                <w:rFonts w:asciiTheme="minorHAnsi" w:hAnsiTheme="minorHAnsi" w:cstheme="minorHAnsi"/>
              </w:rPr>
              <w:fldChar w:fldCharType="begin"/>
            </w:r>
            <w:r w:rsidR="001A1CA8" w:rsidRPr="00067980">
              <w:rPr>
                <w:rFonts w:asciiTheme="minorHAnsi" w:hAnsiTheme="minorHAnsi" w:cstheme="minorHAnsi"/>
              </w:rPr>
              <w:instrText xml:space="preserve"> REF _Ref109304876 \r \h </w:instrText>
            </w:r>
            <w:r w:rsidR="00067980">
              <w:rPr>
                <w:rFonts w:asciiTheme="minorHAnsi" w:hAnsiTheme="minorHAnsi" w:cstheme="minorHAnsi"/>
              </w:rPr>
              <w:instrText xml:space="preserve"> \* MERGEFORMAT </w:instrText>
            </w:r>
            <w:r w:rsidR="001A1CA8" w:rsidRPr="00067980">
              <w:rPr>
                <w:rFonts w:asciiTheme="minorHAnsi" w:hAnsiTheme="minorHAnsi" w:cstheme="minorHAnsi"/>
              </w:rPr>
            </w:r>
            <w:r w:rsidR="001A1CA8" w:rsidRPr="00067980">
              <w:rPr>
                <w:rFonts w:asciiTheme="minorHAnsi" w:hAnsiTheme="minorHAnsi" w:cstheme="minorHAnsi"/>
              </w:rPr>
              <w:fldChar w:fldCharType="separate"/>
            </w:r>
            <w:r w:rsidR="001A1CA8" w:rsidRPr="00067980">
              <w:rPr>
                <w:rFonts w:asciiTheme="minorHAnsi" w:hAnsiTheme="minorHAnsi" w:cstheme="minorHAnsi"/>
              </w:rPr>
              <w:t>4.2</w:t>
            </w:r>
            <w:r w:rsidR="001A1CA8" w:rsidRPr="00067980">
              <w:rPr>
                <w:rFonts w:asciiTheme="minorHAnsi" w:hAnsiTheme="minorHAnsi" w:cstheme="minorHAnsi"/>
              </w:rPr>
              <w:fldChar w:fldCharType="end"/>
            </w:r>
            <w:r w:rsidRPr="00067980">
              <w:rPr>
                <w:rFonts w:asciiTheme="minorHAnsi" w:hAnsiTheme="minorHAnsi" w:cstheme="minorHAnsi"/>
              </w:rPr>
              <w:t>.</w:t>
            </w:r>
          </w:p>
        </w:tc>
      </w:tr>
      <w:tr w:rsidR="004F3BE5" w:rsidRPr="00654F9E" w14:paraId="7585D96C"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7ECDDAC5"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Commonwealth entity</w:t>
            </w:r>
          </w:p>
        </w:tc>
        <w:tc>
          <w:tcPr>
            <w:tcW w:w="3582" w:type="pct"/>
          </w:tcPr>
          <w:p w14:paraId="3A4EA111" w14:textId="77777777"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lang w:eastAsia="en-AU"/>
              </w:rPr>
              <w:t>See subsections 10(1) and (2) of the PGPA Act.</w:t>
            </w:r>
          </w:p>
        </w:tc>
      </w:tr>
      <w:tr w:rsidR="004F3BE5" w:rsidRPr="00654F9E" w14:paraId="614F7077"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2AF2F2AE" w14:textId="77777777" w:rsidR="004F3BE5" w:rsidRPr="00067980" w:rsidRDefault="00697328" w:rsidP="004F3BE5">
            <w:pPr>
              <w:rPr>
                <w:rFonts w:asciiTheme="minorHAnsi" w:hAnsiTheme="minorHAnsi" w:cstheme="minorHAnsi"/>
                <w:b w:val="0"/>
              </w:rPr>
            </w:pPr>
            <w:hyperlink r:id="rId50" w:history="1">
              <w:r w:rsidR="004F3BE5" w:rsidRPr="00067980">
                <w:rPr>
                  <w:rStyle w:val="Hyperlink"/>
                  <w:rFonts w:asciiTheme="minorHAnsi" w:hAnsiTheme="minorHAnsi" w:cstheme="minorHAnsi"/>
                  <w:b w:val="0"/>
                </w:rPr>
                <w:t>Commonwealth Grants Rules and Guidelines (CGRGs)</w:t>
              </w:r>
            </w:hyperlink>
            <w:r w:rsidR="004F3BE5" w:rsidRPr="00067980">
              <w:rPr>
                <w:rStyle w:val="Hyperlink"/>
                <w:rFonts w:asciiTheme="minorHAnsi" w:hAnsiTheme="minorHAnsi" w:cstheme="minorHAnsi"/>
                <w:b w:val="0"/>
              </w:rPr>
              <w:t xml:space="preserve"> </w:t>
            </w:r>
          </w:p>
        </w:tc>
        <w:tc>
          <w:tcPr>
            <w:tcW w:w="3582" w:type="pct"/>
          </w:tcPr>
          <w:p w14:paraId="4554CD29" w14:textId="77777777"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lang w:eastAsia="en-AU"/>
              </w:rPr>
              <w:t>Rules that 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4F3BE5" w:rsidRPr="00654F9E" w14:paraId="124F0E9B"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3F9A6584"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Confidential Information</w:t>
            </w:r>
          </w:p>
        </w:tc>
        <w:tc>
          <w:tcPr>
            <w:tcW w:w="3582" w:type="pct"/>
          </w:tcPr>
          <w:p w14:paraId="21353C17" w14:textId="501859B8"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 xml:space="preserve">Applicant Confidential Information and Commonwealth Confidential Information as defined in section </w:t>
            </w:r>
            <w:r w:rsidR="001A1CA8" w:rsidRPr="00067980">
              <w:rPr>
                <w:rFonts w:asciiTheme="minorHAnsi" w:hAnsiTheme="minorHAnsi" w:cstheme="minorHAnsi"/>
              </w:rPr>
              <w:fldChar w:fldCharType="begin"/>
            </w:r>
            <w:r w:rsidR="001A1CA8" w:rsidRPr="00067980">
              <w:rPr>
                <w:rFonts w:asciiTheme="minorHAnsi" w:hAnsiTheme="minorHAnsi" w:cstheme="minorHAnsi"/>
              </w:rPr>
              <w:instrText xml:space="preserve"> REF _Ref121922096 \r \h </w:instrText>
            </w:r>
            <w:r w:rsidR="00067980">
              <w:rPr>
                <w:rFonts w:asciiTheme="minorHAnsi" w:hAnsiTheme="minorHAnsi" w:cstheme="minorHAnsi"/>
              </w:rPr>
              <w:instrText xml:space="preserve"> \* MERGEFORMAT </w:instrText>
            </w:r>
            <w:r w:rsidR="001A1CA8" w:rsidRPr="00067980">
              <w:rPr>
                <w:rFonts w:asciiTheme="minorHAnsi" w:hAnsiTheme="minorHAnsi" w:cstheme="minorHAnsi"/>
              </w:rPr>
            </w:r>
            <w:r w:rsidR="001A1CA8" w:rsidRPr="00067980">
              <w:rPr>
                <w:rFonts w:asciiTheme="minorHAnsi" w:hAnsiTheme="minorHAnsi" w:cstheme="minorHAnsi"/>
              </w:rPr>
              <w:fldChar w:fldCharType="separate"/>
            </w:r>
            <w:r w:rsidR="001A1CA8" w:rsidRPr="00067980">
              <w:rPr>
                <w:rFonts w:asciiTheme="minorHAnsi" w:hAnsiTheme="minorHAnsi" w:cstheme="minorHAnsi"/>
              </w:rPr>
              <w:t>13.6.1</w:t>
            </w:r>
            <w:r w:rsidR="001A1CA8" w:rsidRPr="00067980">
              <w:rPr>
                <w:rFonts w:asciiTheme="minorHAnsi" w:hAnsiTheme="minorHAnsi" w:cstheme="minorHAnsi"/>
              </w:rPr>
              <w:fldChar w:fldCharType="end"/>
            </w:r>
            <w:r w:rsidRPr="00067980">
              <w:rPr>
                <w:rFonts w:asciiTheme="minorHAnsi" w:hAnsiTheme="minorHAnsi" w:cstheme="minorHAnsi"/>
              </w:rPr>
              <w:t xml:space="preserve"> and section </w:t>
            </w:r>
            <w:r w:rsidR="001A1CA8" w:rsidRPr="00067980">
              <w:rPr>
                <w:rFonts w:asciiTheme="minorHAnsi" w:hAnsiTheme="minorHAnsi" w:cstheme="minorHAnsi"/>
              </w:rPr>
              <w:fldChar w:fldCharType="begin"/>
            </w:r>
            <w:r w:rsidR="001A1CA8" w:rsidRPr="00067980">
              <w:rPr>
                <w:rFonts w:asciiTheme="minorHAnsi" w:hAnsiTheme="minorHAnsi" w:cstheme="minorHAnsi"/>
              </w:rPr>
              <w:instrText xml:space="preserve"> REF _Ref109305478 \r \h </w:instrText>
            </w:r>
            <w:r w:rsidR="00067980">
              <w:rPr>
                <w:rFonts w:asciiTheme="minorHAnsi" w:hAnsiTheme="minorHAnsi" w:cstheme="minorHAnsi"/>
              </w:rPr>
              <w:instrText xml:space="preserve"> \* MERGEFORMAT </w:instrText>
            </w:r>
            <w:r w:rsidR="001A1CA8" w:rsidRPr="00067980">
              <w:rPr>
                <w:rFonts w:asciiTheme="minorHAnsi" w:hAnsiTheme="minorHAnsi" w:cstheme="minorHAnsi"/>
              </w:rPr>
            </w:r>
            <w:r w:rsidR="001A1CA8" w:rsidRPr="00067980">
              <w:rPr>
                <w:rFonts w:asciiTheme="minorHAnsi" w:hAnsiTheme="minorHAnsi" w:cstheme="minorHAnsi"/>
              </w:rPr>
              <w:fldChar w:fldCharType="separate"/>
            </w:r>
            <w:r w:rsidR="001A1CA8" w:rsidRPr="00067980">
              <w:rPr>
                <w:rFonts w:asciiTheme="minorHAnsi" w:hAnsiTheme="minorHAnsi" w:cstheme="minorHAnsi"/>
              </w:rPr>
              <w:t>13.6.3</w:t>
            </w:r>
            <w:r w:rsidR="001A1CA8" w:rsidRPr="00067980">
              <w:rPr>
                <w:rFonts w:asciiTheme="minorHAnsi" w:hAnsiTheme="minorHAnsi" w:cstheme="minorHAnsi"/>
              </w:rPr>
              <w:fldChar w:fldCharType="end"/>
            </w:r>
            <w:r w:rsidRPr="00067980">
              <w:rPr>
                <w:rFonts w:asciiTheme="minorHAnsi" w:hAnsiTheme="minorHAnsi" w:cstheme="minorHAnsi"/>
              </w:rPr>
              <w:t>.</w:t>
            </w:r>
          </w:p>
        </w:tc>
      </w:tr>
      <w:tr w:rsidR="004F3BE5" w:rsidRPr="00654F9E" w14:paraId="1FADAAB3"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7DF01863"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Consumer Level Products or Equipment</w:t>
            </w:r>
          </w:p>
        </w:tc>
        <w:tc>
          <w:tcPr>
            <w:tcW w:w="3582" w:type="pct"/>
          </w:tcPr>
          <w:p w14:paraId="7EE48420" w14:textId="77777777"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Non-infrastructure telecommunication products purchased for the consumption by a limited number of users.</w:t>
            </w:r>
          </w:p>
        </w:tc>
      </w:tr>
      <w:tr w:rsidR="004F3BE5" w:rsidRPr="00654F9E" w14:paraId="0A61AB74"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647A5E3B"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Date of Rollout Completion</w:t>
            </w:r>
          </w:p>
        </w:tc>
        <w:tc>
          <w:tcPr>
            <w:tcW w:w="3582" w:type="pct"/>
          </w:tcPr>
          <w:p w14:paraId="457DE908" w14:textId="2BAD61F2"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67980">
              <w:rPr>
                <w:rFonts w:asciiTheme="minorHAnsi" w:hAnsiTheme="minorHAnsi" w:cstheme="minorHAnsi"/>
              </w:rPr>
              <w:t xml:space="preserve">Has the meaning given in stage </w:t>
            </w:r>
            <w:r w:rsidR="00B16E2A">
              <w:rPr>
                <w:rFonts w:asciiTheme="minorHAnsi" w:hAnsiTheme="minorHAnsi" w:cstheme="minorHAnsi"/>
              </w:rPr>
              <w:t>8</w:t>
            </w:r>
            <w:r w:rsidRPr="00067980">
              <w:rPr>
                <w:rFonts w:asciiTheme="minorHAnsi" w:hAnsiTheme="minorHAnsi" w:cstheme="minorHAnsi"/>
              </w:rPr>
              <w:t xml:space="preserve"> of section </w:t>
            </w:r>
            <w:r w:rsidR="001A1CA8" w:rsidRPr="00067980">
              <w:rPr>
                <w:rFonts w:asciiTheme="minorHAnsi" w:hAnsiTheme="minorHAnsi" w:cstheme="minorHAnsi"/>
              </w:rPr>
              <w:fldChar w:fldCharType="begin"/>
            </w:r>
            <w:r w:rsidR="001A1CA8" w:rsidRPr="00067980">
              <w:rPr>
                <w:rFonts w:asciiTheme="minorHAnsi" w:hAnsiTheme="minorHAnsi" w:cstheme="minorHAnsi"/>
              </w:rPr>
              <w:instrText xml:space="preserve"> REF _Ref121922117 \r \h </w:instrText>
            </w:r>
            <w:r w:rsidR="00067980">
              <w:rPr>
                <w:rFonts w:asciiTheme="minorHAnsi" w:hAnsiTheme="minorHAnsi" w:cstheme="minorHAnsi"/>
              </w:rPr>
              <w:instrText xml:space="preserve"> \* MERGEFORMAT </w:instrText>
            </w:r>
            <w:r w:rsidR="001A1CA8" w:rsidRPr="00067980">
              <w:rPr>
                <w:rFonts w:asciiTheme="minorHAnsi" w:hAnsiTheme="minorHAnsi" w:cstheme="minorHAnsi"/>
              </w:rPr>
            </w:r>
            <w:r w:rsidR="001A1CA8" w:rsidRPr="00067980">
              <w:rPr>
                <w:rFonts w:asciiTheme="minorHAnsi" w:hAnsiTheme="minorHAnsi" w:cstheme="minorHAnsi"/>
              </w:rPr>
              <w:fldChar w:fldCharType="separate"/>
            </w:r>
            <w:r w:rsidR="001A1CA8" w:rsidRPr="00067980">
              <w:rPr>
                <w:rFonts w:asciiTheme="minorHAnsi" w:hAnsiTheme="minorHAnsi" w:cstheme="minorHAnsi"/>
              </w:rPr>
              <w:t>7.1</w:t>
            </w:r>
            <w:r w:rsidR="001A1CA8" w:rsidRPr="00067980">
              <w:rPr>
                <w:rFonts w:asciiTheme="minorHAnsi" w:hAnsiTheme="minorHAnsi" w:cstheme="minorHAnsi"/>
              </w:rPr>
              <w:fldChar w:fldCharType="end"/>
            </w:r>
            <w:r w:rsidRPr="00067980">
              <w:rPr>
                <w:rFonts w:asciiTheme="minorHAnsi" w:hAnsiTheme="minorHAnsi" w:cstheme="minorHAnsi"/>
              </w:rPr>
              <w:t>.</w:t>
            </w:r>
          </w:p>
        </w:tc>
      </w:tr>
      <w:tr w:rsidR="004F3BE5" w:rsidRPr="00654F9E" w14:paraId="3C559B4C"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5FFB48EC"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Decision Maker</w:t>
            </w:r>
          </w:p>
        </w:tc>
        <w:tc>
          <w:tcPr>
            <w:tcW w:w="3582" w:type="pct"/>
          </w:tcPr>
          <w:p w14:paraId="46296006" w14:textId="77777777"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lang w:eastAsia="en-AU"/>
              </w:rPr>
              <w:t>The Minister for Communications.</w:t>
            </w:r>
          </w:p>
        </w:tc>
      </w:tr>
      <w:tr w:rsidR="004F3BE5" w:rsidRPr="00654F9E" w14:paraId="393486ED"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3B3399A3"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Decision Maker’s List</w:t>
            </w:r>
          </w:p>
        </w:tc>
        <w:tc>
          <w:tcPr>
            <w:tcW w:w="3582" w:type="pct"/>
          </w:tcPr>
          <w:p w14:paraId="4599D2B0" w14:textId="3AFF1BC6"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67980">
              <w:rPr>
                <w:rFonts w:asciiTheme="minorHAnsi" w:hAnsiTheme="minorHAnsi" w:cstheme="minorHAnsi"/>
              </w:rPr>
              <w:t xml:space="preserve">Has the meaning given in section </w:t>
            </w:r>
            <w:r w:rsidR="001A1CA8" w:rsidRPr="00067980">
              <w:rPr>
                <w:rFonts w:asciiTheme="minorHAnsi" w:hAnsiTheme="minorHAnsi" w:cstheme="minorHAnsi"/>
              </w:rPr>
              <w:fldChar w:fldCharType="begin"/>
            </w:r>
            <w:r w:rsidR="001A1CA8" w:rsidRPr="00067980">
              <w:rPr>
                <w:rFonts w:asciiTheme="minorHAnsi" w:hAnsiTheme="minorHAnsi" w:cstheme="minorHAnsi"/>
              </w:rPr>
              <w:instrText xml:space="preserve"> REF _Ref121922138 \r \h </w:instrText>
            </w:r>
            <w:r w:rsidR="00067980">
              <w:rPr>
                <w:rFonts w:asciiTheme="minorHAnsi" w:hAnsiTheme="minorHAnsi" w:cstheme="minorHAnsi"/>
              </w:rPr>
              <w:instrText xml:space="preserve"> \* MERGEFORMAT </w:instrText>
            </w:r>
            <w:r w:rsidR="001A1CA8" w:rsidRPr="00067980">
              <w:rPr>
                <w:rFonts w:asciiTheme="minorHAnsi" w:hAnsiTheme="minorHAnsi" w:cstheme="minorHAnsi"/>
              </w:rPr>
            </w:r>
            <w:r w:rsidR="001A1CA8" w:rsidRPr="00067980">
              <w:rPr>
                <w:rFonts w:asciiTheme="minorHAnsi" w:hAnsiTheme="minorHAnsi" w:cstheme="minorHAnsi"/>
              </w:rPr>
              <w:fldChar w:fldCharType="separate"/>
            </w:r>
            <w:r w:rsidR="001A1CA8" w:rsidRPr="00067980">
              <w:rPr>
                <w:rFonts w:asciiTheme="minorHAnsi" w:hAnsiTheme="minorHAnsi" w:cstheme="minorHAnsi"/>
              </w:rPr>
              <w:t>8.7.2</w:t>
            </w:r>
            <w:r w:rsidR="001A1CA8" w:rsidRPr="00067980">
              <w:rPr>
                <w:rFonts w:asciiTheme="minorHAnsi" w:hAnsiTheme="minorHAnsi" w:cstheme="minorHAnsi"/>
              </w:rPr>
              <w:fldChar w:fldCharType="end"/>
            </w:r>
            <w:r w:rsidRPr="00067980">
              <w:rPr>
                <w:rFonts w:asciiTheme="minorHAnsi" w:hAnsiTheme="minorHAnsi" w:cstheme="minorHAnsi"/>
              </w:rPr>
              <w:t>.</w:t>
            </w:r>
          </w:p>
        </w:tc>
      </w:tr>
      <w:tr w:rsidR="004F3BE5" w:rsidRPr="00654F9E" w14:paraId="76B16F00"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2F28F589"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Department</w:t>
            </w:r>
          </w:p>
        </w:tc>
        <w:tc>
          <w:tcPr>
            <w:tcW w:w="3582" w:type="pct"/>
          </w:tcPr>
          <w:p w14:paraId="51604E87" w14:textId="77777777"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eastAsia="en-AU"/>
              </w:rPr>
            </w:pPr>
            <w:r w:rsidRPr="00067980">
              <w:rPr>
                <w:rFonts w:asciiTheme="minorHAnsi" w:hAnsiTheme="minorHAnsi" w:cstheme="minorHAnsi"/>
              </w:rPr>
              <w:t>Department of Infrastructure, Transport, Regional Development, Communications and the Arts</w:t>
            </w:r>
          </w:p>
        </w:tc>
      </w:tr>
      <w:tr w:rsidR="004F3BE5" w:rsidRPr="00654F9E" w14:paraId="28D2FD0A"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0FFC4AAA"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Draft Merit List</w:t>
            </w:r>
          </w:p>
        </w:tc>
        <w:tc>
          <w:tcPr>
            <w:tcW w:w="3582" w:type="pct"/>
          </w:tcPr>
          <w:p w14:paraId="5CC91261" w14:textId="77777777"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The ranked list of Proposed Solutions for a Target Location following the assessment process, but before Value for Money considerations.</w:t>
            </w:r>
          </w:p>
        </w:tc>
      </w:tr>
      <w:tr w:rsidR="004F3BE5" w:rsidRPr="00654F9E" w14:paraId="017E382F"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41422E64"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Eligibility Criteria</w:t>
            </w:r>
          </w:p>
        </w:tc>
        <w:tc>
          <w:tcPr>
            <w:tcW w:w="3582" w:type="pct"/>
          </w:tcPr>
          <w:p w14:paraId="22FA904A" w14:textId="77777777"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rPr>
            </w:pPr>
            <w:r w:rsidRPr="00067980">
              <w:rPr>
                <w:rFonts w:asciiTheme="minorHAnsi" w:hAnsiTheme="minorHAnsi" w:cstheme="minorHAnsi"/>
                <w:lang w:eastAsia="en-AU"/>
              </w:rPr>
              <w:t>The mandatory criteria which must be met to qualify for a grant. Assessment Criteria may apply in addition to Eligibility Criteria.</w:t>
            </w:r>
          </w:p>
        </w:tc>
      </w:tr>
      <w:tr w:rsidR="004F3BE5" w:rsidRPr="00654F9E" w14:paraId="0CB45B91"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623E199F"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Eligible Location</w:t>
            </w:r>
          </w:p>
        </w:tc>
        <w:tc>
          <w:tcPr>
            <w:tcW w:w="3582" w:type="pct"/>
          </w:tcPr>
          <w:p w14:paraId="0369CB99" w14:textId="67D95CC9"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67980">
              <w:rPr>
                <w:rFonts w:asciiTheme="minorHAnsi" w:hAnsiTheme="minorHAnsi" w:cstheme="minorHAnsi"/>
                <w:lang w:eastAsia="en-AU"/>
              </w:rPr>
              <w:t xml:space="preserve">Has the meaning given in section </w:t>
            </w:r>
            <w:r w:rsidR="001A1CA8" w:rsidRPr="00067980">
              <w:rPr>
                <w:rFonts w:asciiTheme="minorHAnsi" w:hAnsiTheme="minorHAnsi" w:cstheme="minorHAnsi"/>
                <w:lang w:eastAsia="en-AU"/>
              </w:rPr>
              <w:fldChar w:fldCharType="begin"/>
            </w:r>
            <w:r w:rsidR="001A1CA8" w:rsidRPr="00067980">
              <w:rPr>
                <w:rFonts w:asciiTheme="minorHAnsi" w:hAnsiTheme="minorHAnsi" w:cstheme="minorHAnsi"/>
                <w:lang w:eastAsia="en-AU"/>
              </w:rPr>
              <w:instrText xml:space="preserve"> REF _Ref109304814 \r \h </w:instrText>
            </w:r>
            <w:r w:rsidR="00067980">
              <w:rPr>
                <w:rFonts w:asciiTheme="minorHAnsi" w:hAnsiTheme="minorHAnsi" w:cstheme="minorHAnsi"/>
                <w:lang w:eastAsia="en-AU"/>
              </w:rPr>
              <w:instrText xml:space="preserve"> \* MERGEFORMAT </w:instrText>
            </w:r>
            <w:r w:rsidR="001A1CA8" w:rsidRPr="00067980">
              <w:rPr>
                <w:rFonts w:asciiTheme="minorHAnsi" w:hAnsiTheme="minorHAnsi" w:cstheme="minorHAnsi"/>
                <w:lang w:eastAsia="en-AU"/>
              </w:rPr>
            </w:r>
            <w:r w:rsidR="001A1CA8" w:rsidRPr="00067980">
              <w:rPr>
                <w:rFonts w:asciiTheme="minorHAnsi" w:hAnsiTheme="minorHAnsi" w:cstheme="minorHAnsi"/>
                <w:lang w:eastAsia="en-AU"/>
              </w:rPr>
              <w:fldChar w:fldCharType="separate"/>
            </w:r>
            <w:r w:rsidR="001A1CA8" w:rsidRPr="00067980">
              <w:rPr>
                <w:rFonts w:asciiTheme="minorHAnsi" w:hAnsiTheme="minorHAnsi" w:cstheme="minorHAnsi"/>
                <w:lang w:eastAsia="en-AU"/>
              </w:rPr>
              <w:t>5.2</w:t>
            </w:r>
            <w:r w:rsidR="001A1CA8" w:rsidRPr="00067980">
              <w:rPr>
                <w:rFonts w:asciiTheme="minorHAnsi" w:hAnsiTheme="minorHAnsi" w:cstheme="minorHAnsi"/>
                <w:lang w:eastAsia="en-AU"/>
              </w:rPr>
              <w:fldChar w:fldCharType="end"/>
            </w:r>
            <w:r w:rsidRPr="00067980">
              <w:rPr>
                <w:rFonts w:asciiTheme="minorHAnsi" w:hAnsiTheme="minorHAnsi" w:cstheme="minorHAnsi"/>
                <w:lang w:eastAsia="en-AU"/>
              </w:rPr>
              <w:t>.</w:t>
            </w:r>
          </w:p>
        </w:tc>
      </w:tr>
      <w:tr w:rsidR="004F3BE5" w:rsidRPr="00654F9E" w14:paraId="7DB6E0B8"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7E2978E1" w14:textId="77777777" w:rsidR="004F3BE5" w:rsidRPr="00067980" w:rsidDel="007C10F6" w:rsidRDefault="004F3BE5" w:rsidP="004F3BE5">
            <w:pPr>
              <w:rPr>
                <w:rFonts w:asciiTheme="minorHAnsi" w:hAnsiTheme="minorHAnsi" w:cstheme="minorHAnsi"/>
                <w:b w:val="0"/>
                <w:highlight w:val="yellow"/>
              </w:rPr>
            </w:pPr>
            <w:r w:rsidRPr="00067980">
              <w:rPr>
                <w:rFonts w:asciiTheme="minorHAnsi" w:hAnsiTheme="minorHAnsi" w:cstheme="minorHAnsi"/>
                <w:b w:val="0"/>
              </w:rPr>
              <w:t>Existing Handheld Coverage</w:t>
            </w:r>
          </w:p>
        </w:tc>
        <w:tc>
          <w:tcPr>
            <w:tcW w:w="3582" w:type="pct"/>
          </w:tcPr>
          <w:p w14:paraId="180F3A37" w14:textId="77777777"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Coverage able to be obtained with a handheld mobile device within the applicant’s mobile network:</w:t>
            </w:r>
          </w:p>
          <w:p w14:paraId="1B3907CE" w14:textId="77777777" w:rsidR="004F3BE5" w:rsidRPr="00067980" w:rsidRDefault="004F3BE5" w:rsidP="004F3BE5">
            <w:pPr>
              <w:pStyle w:val="CommentText"/>
              <w:numPr>
                <w:ilvl w:val="0"/>
                <w:numId w:val="36"/>
              </w:numPr>
              <w:spacing w:line="28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that is currently available;</w:t>
            </w:r>
          </w:p>
          <w:p w14:paraId="75ED29AC" w14:textId="05DE5BBD" w:rsidR="004F3BE5" w:rsidRPr="00067980" w:rsidRDefault="004F3BE5" w:rsidP="004F3BE5">
            <w:pPr>
              <w:pStyle w:val="CommentText"/>
              <w:numPr>
                <w:ilvl w:val="0"/>
                <w:numId w:val="36"/>
              </w:numPr>
              <w:spacing w:line="28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 xml:space="preserve">that will be provided by any base station that will be delivered by the applicant under a round of the Mobile Black Spot Program, Peri-Urban Mobile Program or other Commonwealth grant program; </w:t>
            </w:r>
            <w:r w:rsidR="00B16E2A">
              <w:rPr>
                <w:rFonts w:asciiTheme="minorHAnsi" w:hAnsiTheme="minorHAnsi" w:cstheme="minorHAnsi"/>
              </w:rPr>
              <w:t>and/</w:t>
            </w:r>
            <w:r w:rsidRPr="00067980">
              <w:rPr>
                <w:rFonts w:asciiTheme="minorHAnsi" w:hAnsiTheme="minorHAnsi" w:cstheme="minorHAnsi"/>
              </w:rPr>
              <w:t>or</w:t>
            </w:r>
          </w:p>
          <w:p w14:paraId="2664A266" w14:textId="77777777" w:rsidR="004F3BE5" w:rsidRPr="00067980" w:rsidRDefault="004F3BE5" w:rsidP="004F3BE5">
            <w:pPr>
              <w:pStyle w:val="CommentText"/>
              <w:numPr>
                <w:ilvl w:val="0"/>
                <w:numId w:val="36"/>
              </w:numPr>
              <w:spacing w:line="28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that will be provided by any applicant base station funded under a State or Territory program.</w:t>
            </w:r>
          </w:p>
        </w:tc>
      </w:tr>
      <w:tr w:rsidR="004F3BE5" w:rsidRPr="00654F9E" w14:paraId="150207A7"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6BD7DF7D"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Funded Solution</w:t>
            </w:r>
          </w:p>
        </w:tc>
        <w:tc>
          <w:tcPr>
            <w:tcW w:w="3582" w:type="pct"/>
          </w:tcPr>
          <w:p w14:paraId="53A5A6EF" w14:textId="77777777"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Solution selected for funding under the Program.</w:t>
            </w:r>
          </w:p>
        </w:tc>
      </w:tr>
      <w:tr w:rsidR="004F3BE5" w:rsidRPr="00654F9E" w14:paraId="49388F79"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09EC4991" w14:textId="77777777" w:rsidR="004F3BE5" w:rsidRPr="00067980" w:rsidRDefault="004F3BE5" w:rsidP="004F3BE5">
            <w:pPr>
              <w:rPr>
                <w:rFonts w:asciiTheme="minorHAnsi" w:hAnsiTheme="minorHAnsi" w:cstheme="minorHAnsi"/>
                <w:b w:val="0"/>
                <w:lang w:eastAsia="en-AU"/>
              </w:rPr>
            </w:pPr>
            <w:r w:rsidRPr="00067980">
              <w:rPr>
                <w:rFonts w:asciiTheme="minorHAnsi" w:hAnsiTheme="minorHAnsi" w:cstheme="minorHAnsi"/>
                <w:b w:val="0"/>
              </w:rPr>
              <w:t>Grant Agreement</w:t>
            </w:r>
          </w:p>
        </w:tc>
        <w:tc>
          <w:tcPr>
            <w:tcW w:w="3582" w:type="pct"/>
          </w:tcPr>
          <w:p w14:paraId="48CF067C" w14:textId="77777777"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eastAsia="en-AU"/>
              </w:rPr>
            </w:pPr>
            <w:r w:rsidRPr="00067980">
              <w:rPr>
                <w:rFonts w:asciiTheme="minorHAnsi" w:hAnsiTheme="minorHAnsi" w:cstheme="minorHAnsi"/>
              </w:rPr>
              <w:t>The agreement which sets out the relationship between the Commonwealth and the Grantee, and specifies the details of the grant and responsibilities in relation to the grant.</w:t>
            </w:r>
          </w:p>
        </w:tc>
      </w:tr>
      <w:tr w:rsidR="004F3BE5" w:rsidRPr="00654F9E" w14:paraId="23968FBE"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19E4F94A" w14:textId="77777777" w:rsidR="004F3BE5" w:rsidRPr="00067980" w:rsidRDefault="00697328" w:rsidP="004F3BE5">
            <w:pPr>
              <w:rPr>
                <w:rFonts w:asciiTheme="minorHAnsi" w:hAnsiTheme="minorHAnsi" w:cstheme="minorHAnsi"/>
                <w:b w:val="0"/>
              </w:rPr>
            </w:pPr>
            <w:hyperlink r:id="rId51" w:history="1">
              <w:r w:rsidR="004F3BE5" w:rsidRPr="00067980">
                <w:rPr>
                  <w:rStyle w:val="Hyperlink"/>
                  <w:rFonts w:asciiTheme="minorHAnsi" w:hAnsiTheme="minorHAnsi" w:cstheme="minorHAnsi"/>
                  <w:b w:val="0"/>
                </w:rPr>
                <w:t>GrantConnect</w:t>
              </w:r>
            </w:hyperlink>
          </w:p>
        </w:tc>
        <w:tc>
          <w:tcPr>
            <w:tcW w:w="3582" w:type="pct"/>
          </w:tcPr>
          <w:p w14:paraId="003C47AE" w14:textId="77777777"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The Australian Government’s whole-of-government grants information system, which centralises the publication and reporting of Commonwealth grants in accordance with the CGRGs.</w:t>
            </w:r>
          </w:p>
        </w:tc>
      </w:tr>
      <w:tr w:rsidR="004F3BE5" w:rsidRPr="00654F9E" w14:paraId="2A6755F0"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621521F9"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Grant Opportunity</w:t>
            </w:r>
          </w:p>
        </w:tc>
        <w:tc>
          <w:tcPr>
            <w:tcW w:w="3582" w:type="pct"/>
          </w:tcPr>
          <w:p w14:paraId="5FC52D4A" w14:textId="77777777"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The specific grant round or process where a Commonwealth grant is made available to potential applicants. Grant Opportunities may be open or targeted, and will reflect the relevant grant Selection Process.</w:t>
            </w:r>
          </w:p>
        </w:tc>
      </w:tr>
      <w:tr w:rsidR="004F3BE5" w:rsidRPr="00654F9E" w14:paraId="64DC4543"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59589ACC"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Grant Program</w:t>
            </w:r>
          </w:p>
        </w:tc>
        <w:tc>
          <w:tcPr>
            <w:tcW w:w="3582" w:type="pct"/>
          </w:tcPr>
          <w:p w14:paraId="3737704F" w14:textId="77777777"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A ‘program’ carries its natural meaning and is intended to cover a potentially wide range of related activities aimed at achieving government policy outcomes. A Grant Program is a group of one or more Grant Opportunities under a single [entity] Portfolio Budget Statement Program.</w:t>
            </w:r>
          </w:p>
        </w:tc>
      </w:tr>
      <w:tr w:rsidR="004F3BE5" w:rsidRPr="00654F9E" w14:paraId="5322E490"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715A0EE0"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Grantee</w:t>
            </w:r>
          </w:p>
        </w:tc>
        <w:tc>
          <w:tcPr>
            <w:tcW w:w="3582" w:type="pct"/>
          </w:tcPr>
          <w:p w14:paraId="26F9AB07" w14:textId="490A91B2"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The individual/organisation which has been selected to receive a grant</w:t>
            </w:r>
            <w:r w:rsidR="00B16E2A">
              <w:rPr>
                <w:rFonts w:asciiTheme="minorHAnsi" w:hAnsiTheme="minorHAnsi" w:cstheme="minorHAnsi"/>
              </w:rPr>
              <w:t xml:space="preserve"> and has executed a Grant Agreement with the Commonwealth</w:t>
            </w:r>
            <w:r w:rsidRPr="00067980">
              <w:rPr>
                <w:rFonts w:asciiTheme="minorHAnsi" w:hAnsiTheme="minorHAnsi" w:cstheme="minorHAnsi"/>
              </w:rPr>
              <w:t>.</w:t>
            </w:r>
          </w:p>
        </w:tc>
      </w:tr>
      <w:tr w:rsidR="004F3BE5" w:rsidRPr="00654F9E" w14:paraId="3545ADC7"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7CA74AEA"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Improved Coverage Solution</w:t>
            </w:r>
          </w:p>
        </w:tc>
        <w:tc>
          <w:tcPr>
            <w:tcW w:w="3582" w:type="pct"/>
          </w:tcPr>
          <w:p w14:paraId="38F1F4B6" w14:textId="18C96D67"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 xml:space="preserve">Has the meaning given in section </w:t>
            </w:r>
            <w:r w:rsidR="001A1CA8" w:rsidRPr="00067980">
              <w:rPr>
                <w:rFonts w:asciiTheme="minorHAnsi" w:hAnsiTheme="minorHAnsi" w:cstheme="minorHAnsi"/>
              </w:rPr>
              <w:fldChar w:fldCharType="begin"/>
            </w:r>
            <w:r w:rsidR="001A1CA8" w:rsidRPr="00067980">
              <w:rPr>
                <w:rFonts w:asciiTheme="minorHAnsi" w:hAnsiTheme="minorHAnsi" w:cstheme="minorHAnsi"/>
              </w:rPr>
              <w:instrText xml:space="preserve"> REF _Ref110515229 \r \h </w:instrText>
            </w:r>
            <w:r w:rsidR="00067980">
              <w:rPr>
                <w:rFonts w:asciiTheme="minorHAnsi" w:hAnsiTheme="minorHAnsi" w:cstheme="minorHAnsi"/>
              </w:rPr>
              <w:instrText xml:space="preserve"> \* MERGEFORMAT </w:instrText>
            </w:r>
            <w:r w:rsidR="001A1CA8" w:rsidRPr="00067980">
              <w:rPr>
                <w:rFonts w:asciiTheme="minorHAnsi" w:hAnsiTheme="minorHAnsi" w:cstheme="minorHAnsi"/>
              </w:rPr>
            </w:r>
            <w:r w:rsidR="001A1CA8" w:rsidRPr="00067980">
              <w:rPr>
                <w:rFonts w:asciiTheme="minorHAnsi" w:hAnsiTheme="minorHAnsi" w:cstheme="minorHAnsi"/>
              </w:rPr>
              <w:fldChar w:fldCharType="separate"/>
            </w:r>
            <w:r w:rsidR="001A1CA8" w:rsidRPr="00067980">
              <w:rPr>
                <w:rFonts w:asciiTheme="minorHAnsi" w:hAnsiTheme="minorHAnsi" w:cstheme="minorHAnsi"/>
              </w:rPr>
              <w:t>2.2.3</w:t>
            </w:r>
            <w:r w:rsidR="001A1CA8" w:rsidRPr="00067980">
              <w:rPr>
                <w:rFonts w:asciiTheme="minorHAnsi" w:hAnsiTheme="minorHAnsi" w:cstheme="minorHAnsi"/>
              </w:rPr>
              <w:fldChar w:fldCharType="end"/>
            </w:r>
            <w:r w:rsidRPr="00067980">
              <w:rPr>
                <w:rFonts w:asciiTheme="minorHAnsi" w:hAnsiTheme="minorHAnsi" w:cstheme="minorHAnsi"/>
              </w:rPr>
              <w:t>.</w:t>
            </w:r>
          </w:p>
        </w:tc>
      </w:tr>
      <w:tr w:rsidR="00087180" w:rsidRPr="00654F9E" w14:paraId="3CAD1CD2"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3C85F614" w14:textId="1A8D2B76" w:rsidR="00087180" w:rsidRPr="00067980" w:rsidRDefault="00087180" w:rsidP="004F3BE5">
            <w:pPr>
              <w:rPr>
                <w:rFonts w:asciiTheme="minorHAnsi" w:hAnsiTheme="minorHAnsi" w:cstheme="minorHAnsi"/>
              </w:rPr>
            </w:pPr>
            <w:r w:rsidRPr="00067980">
              <w:rPr>
                <w:rFonts w:asciiTheme="minorHAnsi" w:hAnsiTheme="minorHAnsi" w:cstheme="minorHAnsi"/>
                <w:b w:val="0"/>
              </w:rPr>
              <w:t>Improved Handheld Coverage</w:t>
            </w:r>
          </w:p>
        </w:tc>
        <w:tc>
          <w:tcPr>
            <w:tcW w:w="3582" w:type="pct"/>
          </w:tcPr>
          <w:p w14:paraId="7A3E220C" w14:textId="7634B3D5" w:rsidR="00087180" w:rsidRPr="00067980" w:rsidRDefault="00087180"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Coverage from a</w:t>
            </w:r>
            <w:r>
              <w:rPr>
                <w:rFonts w:asciiTheme="minorHAnsi" w:hAnsiTheme="minorHAnsi" w:cstheme="minorHAnsi"/>
              </w:rPr>
              <w:t xml:space="preserve">n Improved Coverage </w:t>
            </w:r>
            <w:r w:rsidRPr="00067980">
              <w:rPr>
                <w:rFonts w:asciiTheme="minorHAnsi" w:hAnsiTheme="minorHAnsi" w:cstheme="minorHAnsi"/>
              </w:rPr>
              <w:t xml:space="preserve">Solution that will be able to be obtained with a handheld mobile device at the signal levels specified in section </w:t>
            </w:r>
            <w:r w:rsidRPr="00067980">
              <w:rPr>
                <w:rFonts w:asciiTheme="minorHAnsi" w:hAnsiTheme="minorHAnsi" w:cstheme="minorHAnsi"/>
              </w:rPr>
              <w:fldChar w:fldCharType="begin"/>
            </w:r>
            <w:r w:rsidRPr="00067980">
              <w:rPr>
                <w:rFonts w:asciiTheme="minorHAnsi" w:hAnsiTheme="minorHAnsi" w:cstheme="minorHAnsi"/>
              </w:rPr>
              <w:instrText xml:space="preserve"> REF _Ref109305451 \r \h </w:instrText>
            </w:r>
            <w:r>
              <w:rPr>
                <w:rFonts w:asciiTheme="minorHAnsi" w:hAnsiTheme="minorHAnsi" w:cstheme="minorHAnsi"/>
              </w:rPr>
              <w:instrText xml:space="preserve"> \* MERGEFORMAT </w:instrText>
            </w:r>
            <w:r w:rsidRPr="00067980">
              <w:rPr>
                <w:rFonts w:asciiTheme="minorHAnsi" w:hAnsiTheme="minorHAnsi" w:cstheme="minorHAnsi"/>
              </w:rPr>
            </w:r>
            <w:r w:rsidRPr="00067980">
              <w:rPr>
                <w:rFonts w:asciiTheme="minorHAnsi" w:hAnsiTheme="minorHAnsi" w:cstheme="minorHAnsi"/>
              </w:rPr>
              <w:fldChar w:fldCharType="separate"/>
            </w:r>
            <w:r w:rsidRPr="00067980">
              <w:rPr>
                <w:rFonts w:asciiTheme="minorHAnsi" w:hAnsiTheme="minorHAnsi" w:cstheme="minorHAnsi"/>
              </w:rPr>
              <w:t>4.2.4</w:t>
            </w:r>
            <w:r w:rsidRPr="00067980">
              <w:rPr>
                <w:rFonts w:asciiTheme="minorHAnsi" w:hAnsiTheme="minorHAnsi" w:cstheme="minorHAnsi"/>
              </w:rPr>
              <w:fldChar w:fldCharType="end"/>
            </w:r>
            <w:r w:rsidRPr="00067980">
              <w:rPr>
                <w:rFonts w:asciiTheme="minorHAnsi" w:hAnsiTheme="minorHAnsi" w:cstheme="minorHAnsi"/>
              </w:rPr>
              <w:t>.</w:t>
            </w:r>
          </w:p>
        </w:tc>
      </w:tr>
      <w:tr w:rsidR="004F3BE5" w:rsidRPr="00654F9E" w14:paraId="49250D9A"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4D2885F5"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Intellectual Property</w:t>
            </w:r>
          </w:p>
        </w:tc>
        <w:tc>
          <w:tcPr>
            <w:tcW w:w="3582" w:type="pct"/>
          </w:tcPr>
          <w:p w14:paraId="26A7D99A" w14:textId="77777777" w:rsidR="004F3BE5" w:rsidRPr="00067980" w:rsidRDefault="004F3BE5" w:rsidP="004F3BE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Includes:</w:t>
            </w:r>
          </w:p>
          <w:p w14:paraId="1053BB5F" w14:textId="77777777" w:rsidR="004F3BE5" w:rsidRPr="00067980" w:rsidRDefault="004F3BE5" w:rsidP="004F3BE5">
            <w:pPr>
              <w:pStyle w:val="Tabletext"/>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(a) all copyright (including rights in relation to phonograms and broadcasts);</w:t>
            </w:r>
          </w:p>
          <w:p w14:paraId="7747D77E" w14:textId="77777777" w:rsidR="004F3BE5" w:rsidRPr="00067980" w:rsidRDefault="004F3BE5" w:rsidP="004F3BE5">
            <w:pPr>
              <w:pStyle w:val="Tabletext"/>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(b) all rights in relation to inventions, plant varieties, trademarks (including service marks), designs, circuit layouts; and</w:t>
            </w:r>
          </w:p>
          <w:p w14:paraId="1A22EE84" w14:textId="77777777"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(c) all other rights resulting from intellectual activity in the industrial, scientific, literary or artistic fields.</w:t>
            </w:r>
          </w:p>
        </w:tc>
      </w:tr>
      <w:tr w:rsidR="004F3BE5" w:rsidRPr="00654F9E" w14:paraId="1E43AEFE"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2D87AA02"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Lead Applicant</w:t>
            </w:r>
          </w:p>
        </w:tc>
        <w:tc>
          <w:tcPr>
            <w:tcW w:w="3582" w:type="pct"/>
          </w:tcPr>
          <w:p w14:paraId="4891D921" w14:textId="77777777"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The responsible entity for application, funding and reporting purposes.</w:t>
            </w:r>
          </w:p>
        </w:tc>
      </w:tr>
      <w:tr w:rsidR="004F3BE5" w:rsidRPr="00654F9E" w14:paraId="31383611"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259CFE3F"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Macrocell</w:t>
            </w:r>
          </w:p>
        </w:tc>
        <w:tc>
          <w:tcPr>
            <w:tcW w:w="3582" w:type="pct"/>
          </w:tcPr>
          <w:p w14:paraId="12D284AA" w14:textId="77777777"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The widest range of cell sizes used in a mobile phone network served by a mobile base station, often used in rural areas and along highways. Macrocells generally provide larger coverage than small cell base stations or microcells, with a typical power output of tens of watts.</w:t>
            </w:r>
          </w:p>
        </w:tc>
      </w:tr>
      <w:tr w:rsidR="004F3BE5" w:rsidRPr="00654F9E" w14:paraId="6F8FDA23"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547EE884"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Material Coverage Improvement</w:t>
            </w:r>
          </w:p>
        </w:tc>
        <w:tc>
          <w:tcPr>
            <w:tcW w:w="3582" w:type="pct"/>
          </w:tcPr>
          <w:p w14:paraId="23AAEE97" w14:textId="0276CEDB"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 xml:space="preserve">Has the meaning given in section </w:t>
            </w:r>
            <w:r w:rsidR="001A1CA8" w:rsidRPr="00067980">
              <w:rPr>
                <w:rFonts w:asciiTheme="minorHAnsi" w:hAnsiTheme="minorHAnsi" w:cstheme="minorHAnsi"/>
              </w:rPr>
              <w:fldChar w:fldCharType="begin"/>
            </w:r>
            <w:r w:rsidR="001A1CA8" w:rsidRPr="00067980">
              <w:rPr>
                <w:rFonts w:asciiTheme="minorHAnsi" w:hAnsiTheme="minorHAnsi" w:cstheme="minorHAnsi"/>
              </w:rPr>
              <w:instrText xml:space="preserve"> REF _Ref121922212 \r \h </w:instrText>
            </w:r>
            <w:r w:rsidR="00067980">
              <w:rPr>
                <w:rFonts w:asciiTheme="minorHAnsi" w:hAnsiTheme="minorHAnsi" w:cstheme="minorHAnsi"/>
              </w:rPr>
              <w:instrText xml:space="preserve"> \* MERGEFORMAT </w:instrText>
            </w:r>
            <w:r w:rsidR="001A1CA8" w:rsidRPr="00067980">
              <w:rPr>
                <w:rFonts w:asciiTheme="minorHAnsi" w:hAnsiTheme="minorHAnsi" w:cstheme="minorHAnsi"/>
              </w:rPr>
            </w:r>
            <w:r w:rsidR="001A1CA8" w:rsidRPr="00067980">
              <w:rPr>
                <w:rFonts w:asciiTheme="minorHAnsi" w:hAnsiTheme="minorHAnsi" w:cstheme="minorHAnsi"/>
              </w:rPr>
              <w:fldChar w:fldCharType="separate"/>
            </w:r>
            <w:r w:rsidR="001A1CA8" w:rsidRPr="00067980">
              <w:rPr>
                <w:rFonts w:asciiTheme="minorHAnsi" w:hAnsiTheme="minorHAnsi" w:cstheme="minorHAnsi"/>
              </w:rPr>
              <w:t>6.3.4</w:t>
            </w:r>
            <w:r w:rsidR="001A1CA8" w:rsidRPr="00067980">
              <w:rPr>
                <w:rFonts w:asciiTheme="minorHAnsi" w:hAnsiTheme="minorHAnsi" w:cstheme="minorHAnsi"/>
              </w:rPr>
              <w:fldChar w:fldCharType="end"/>
            </w:r>
            <w:r w:rsidRPr="00067980">
              <w:rPr>
                <w:rFonts w:asciiTheme="minorHAnsi" w:hAnsiTheme="minorHAnsi" w:cstheme="minorHAnsi"/>
              </w:rPr>
              <w:t>.</w:t>
            </w:r>
          </w:p>
        </w:tc>
      </w:tr>
      <w:tr w:rsidR="004F3BE5" w:rsidRPr="00654F9E" w14:paraId="520691FD"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7CB07542"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Merit List</w:t>
            </w:r>
          </w:p>
        </w:tc>
        <w:tc>
          <w:tcPr>
            <w:tcW w:w="3582" w:type="pct"/>
          </w:tcPr>
          <w:p w14:paraId="188F719F" w14:textId="22EA5125"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 xml:space="preserve">The list of Proposed Solutions that the department will recommend to the Decision Maker when the assessment process and Value for Money consideration is completed (refer to section </w:t>
            </w:r>
            <w:r w:rsidR="001A1CA8" w:rsidRPr="00067980">
              <w:rPr>
                <w:rFonts w:asciiTheme="minorHAnsi" w:hAnsiTheme="minorHAnsi" w:cstheme="minorHAnsi"/>
              </w:rPr>
              <w:fldChar w:fldCharType="begin"/>
            </w:r>
            <w:r w:rsidR="001A1CA8" w:rsidRPr="00067980">
              <w:rPr>
                <w:rFonts w:asciiTheme="minorHAnsi" w:hAnsiTheme="minorHAnsi" w:cstheme="minorHAnsi"/>
              </w:rPr>
              <w:instrText xml:space="preserve"> REF _Ref121922265 \r \h </w:instrText>
            </w:r>
            <w:r w:rsidR="00067980">
              <w:rPr>
                <w:rFonts w:asciiTheme="minorHAnsi" w:hAnsiTheme="minorHAnsi" w:cstheme="minorHAnsi"/>
              </w:rPr>
              <w:instrText xml:space="preserve"> \* MERGEFORMAT </w:instrText>
            </w:r>
            <w:r w:rsidR="001A1CA8" w:rsidRPr="00067980">
              <w:rPr>
                <w:rFonts w:asciiTheme="minorHAnsi" w:hAnsiTheme="minorHAnsi" w:cstheme="minorHAnsi"/>
              </w:rPr>
            </w:r>
            <w:r w:rsidR="001A1CA8" w:rsidRPr="00067980">
              <w:rPr>
                <w:rFonts w:asciiTheme="minorHAnsi" w:hAnsiTheme="minorHAnsi" w:cstheme="minorHAnsi"/>
              </w:rPr>
              <w:fldChar w:fldCharType="separate"/>
            </w:r>
            <w:r w:rsidR="001A1CA8" w:rsidRPr="00067980">
              <w:rPr>
                <w:rFonts w:asciiTheme="minorHAnsi" w:hAnsiTheme="minorHAnsi" w:cstheme="minorHAnsi"/>
              </w:rPr>
              <w:t>8.5</w:t>
            </w:r>
            <w:r w:rsidR="001A1CA8" w:rsidRPr="00067980">
              <w:rPr>
                <w:rFonts w:asciiTheme="minorHAnsi" w:hAnsiTheme="minorHAnsi" w:cstheme="minorHAnsi"/>
              </w:rPr>
              <w:fldChar w:fldCharType="end"/>
            </w:r>
            <w:r w:rsidRPr="00067980">
              <w:rPr>
                <w:rFonts w:asciiTheme="minorHAnsi" w:hAnsiTheme="minorHAnsi" w:cstheme="minorHAnsi"/>
              </w:rPr>
              <w:t>).</w:t>
            </w:r>
          </w:p>
        </w:tc>
      </w:tr>
      <w:tr w:rsidR="004F3BE5" w:rsidRPr="00654F9E" w14:paraId="3B7362B6"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611B7DB6"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Mobile Network Infrastructure Provider (MNIP)</w:t>
            </w:r>
          </w:p>
        </w:tc>
        <w:tc>
          <w:tcPr>
            <w:tcW w:w="3582" w:type="pct"/>
          </w:tcPr>
          <w:p w14:paraId="76B2910C" w14:textId="1237CB05"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 xml:space="preserve">Has the meaning given in section </w:t>
            </w:r>
            <w:r w:rsidR="001A1CA8" w:rsidRPr="00067980">
              <w:rPr>
                <w:rFonts w:asciiTheme="minorHAnsi" w:hAnsiTheme="minorHAnsi" w:cstheme="minorHAnsi"/>
              </w:rPr>
              <w:fldChar w:fldCharType="begin"/>
            </w:r>
            <w:r w:rsidR="001A1CA8" w:rsidRPr="00067980">
              <w:rPr>
                <w:rFonts w:asciiTheme="minorHAnsi" w:hAnsiTheme="minorHAnsi" w:cstheme="minorHAnsi"/>
              </w:rPr>
              <w:instrText xml:space="preserve"> REF _Ref121922281 \r \h </w:instrText>
            </w:r>
            <w:r w:rsidR="00067980">
              <w:rPr>
                <w:rFonts w:asciiTheme="minorHAnsi" w:hAnsiTheme="minorHAnsi" w:cstheme="minorHAnsi"/>
              </w:rPr>
              <w:instrText xml:space="preserve"> \* MERGEFORMAT </w:instrText>
            </w:r>
            <w:r w:rsidR="001A1CA8" w:rsidRPr="00067980">
              <w:rPr>
                <w:rFonts w:asciiTheme="minorHAnsi" w:hAnsiTheme="minorHAnsi" w:cstheme="minorHAnsi"/>
              </w:rPr>
            </w:r>
            <w:r w:rsidR="001A1CA8" w:rsidRPr="00067980">
              <w:rPr>
                <w:rFonts w:asciiTheme="minorHAnsi" w:hAnsiTheme="minorHAnsi" w:cstheme="minorHAnsi"/>
              </w:rPr>
              <w:fldChar w:fldCharType="separate"/>
            </w:r>
            <w:r w:rsidR="001A1CA8" w:rsidRPr="00067980">
              <w:rPr>
                <w:rFonts w:asciiTheme="minorHAnsi" w:hAnsiTheme="minorHAnsi" w:cstheme="minorHAnsi"/>
              </w:rPr>
              <w:t>4.1.3</w:t>
            </w:r>
            <w:r w:rsidR="001A1CA8" w:rsidRPr="00067980">
              <w:rPr>
                <w:rFonts w:asciiTheme="minorHAnsi" w:hAnsiTheme="minorHAnsi" w:cstheme="minorHAnsi"/>
              </w:rPr>
              <w:fldChar w:fldCharType="end"/>
            </w:r>
            <w:r w:rsidRPr="00067980">
              <w:rPr>
                <w:rFonts w:asciiTheme="minorHAnsi" w:hAnsiTheme="minorHAnsi" w:cstheme="minorHAnsi"/>
              </w:rPr>
              <w:t>.</w:t>
            </w:r>
          </w:p>
        </w:tc>
      </w:tr>
      <w:tr w:rsidR="004F3BE5" w:rsidRPr="00654F9E" w14:paraId="16B8615A"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549EA294"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Mobile Network Operator (MNO)</w:t>
            </w:r>
          </w:p>
        </w:tc>
        <w:tc>
          <w:tcPr>
            <w:tcW w:w="3582" w:type="pct"/>
          </w:tcPr>
          <w:p w14:paraId="64CFE606" w14:textId="01742961"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 xml:space="preserve">Has the meaning given in section </w:t>
            </w:r>
            <w:r w:rsidR="001A1CA8" w:rsidRPr="00067980">
              <w:rPr>
                <w:rFonts w:asciiTheme="minorHAnsi" w:hAnsiTheme="minorHAnsi" w:cstheme="minorHAnsi"/>
              </w:rPr>
              <w:fldChar w:fldCharType="begin"/>
            </w:r>
            <w:r w:rsidR="001A1CA8" w:rsidRPr="00067980">
              <w:rPr>
                <w:rFonts w:asciiTheme="minorHAnsi" w:hAnsiTheme="minorHAnsi" w:cstheme="minorHAnsi"/>
              </w:rPr>
              <w:instrText xml:space="preserve"> REF _Ref121922285 \r \h </w:instrText>
            </w:r>
            <w:r w:rsidR="00067980">
              <w:rPr>
                <w:rFonts w:asciiTheme="minorHAnsi" w:hAnsiTheme="minorHAnsi" w:cstheme="minorHAnsi"/>
              </w:rPr>
              <w:instrText xml:space="preserve"> \* MERGEFORMAT </w:instrText>
            </w:r>
            <w:r w:rsidR="001A1CA8" w:rsidRPr="00067980">
              <w:rPr>
                <w:rFonts w:asciiTheme="minorHAnsi" w:hAnsiTheme="minorHAnsi" w:cstheme="minorHAnsi"/>
              </w:rPr>
            </w:r>
            <w:r w:rsidR="001A1CA8" w:rsidRPr="00067980">
              <w:rPr>
                <w:rFonts w:asciiTheme="minorHAnsi" w:hAnsiTheme="minorHAnsi" w:cstheme="minorHAnsi"/>
              </w:rPr>
              <w:fldChar w:fldCharType="separate"/>
            </w:r>
            <w:r w:rsidR="001A1CA8" w:rsidRPr="00067980">
              <w:rPr>
                <w:rFonts w:asciiTheme="minorHAnsi" w:hAnsiTheme="minorHAnsi" w:cstheme="minorHAnsi"/>
              </w:rPr>
              <w:t>4.1.2</w:t>
            </w:r>
            <w:r w:rsidR="001A1CA8" w:rsidRPr="00067980">
              <w:rPr>
                <w:rFonts w:asciiTheme="minorHAnsi" w:hAnsiTheme="minorHAnsi" w:cstheme="minorHAnsi"/>
              </w:rPr>
              <w:fldChar w:fldCharType="end"/>
            </w:r>
            <w:r w:rsidRPr="00067980">
              <w:rPr>
                <w:rFonts w:asciiTheme="minorHAnsi" w:hAnsiTheme="minorHAnsi" w:cstheme="minorHAnsi"/>
              </w:rPr>
              <w:t>.</w:t>
            </w:r>
          </w:p>
        </w:tc>
      </w:tr>
      <w:tr w:rsidR="004F3BE5" w:rsidRPr="00654F9E" w14:paraId="21C27E04"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3A7B861F"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New Coverage Assessment Formula</w:t>
            </w:r>
          </w:p>
        </w:tc>
        <w:tc>
          <w:tcPr>
            <w:tcW w:w="3582" w:type="pct"/>
          </w:tcPr>
          <w:p w14:paraId="2FD53798" w14:textId="6064284E"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 xml:space="preserve">Has the meaning given in section </w:t>
            </w:r>
            <w:r w:rsidR="001A1CA8" w:rsidRPr="00067980">
              <w:rPr>
                <w:rFonts w:asciiTheme="minorHAnsi" w:hAnsiTheme="minorHAnsi" w:cstheme="minorHAnsi"/>
              </w:rPr>
              <w:fldChar w:fldCharType="begin"/>
            </w:r>
            <w:r w:rsidR="001A1CA8" w:rsidRPr="00067980">
              <w:rPr>
                <w:rFonts w:asciiTheme="minorHAnsi" w:hAnsiTheme="minorHAnsi" w:cstheme="minorHAnsi"/>
              </w:rPr>
              <w:instrText xml:space="preserve"> REF _Ref110594734 \r \h </w:instrText>
            </w:r>
            <w:r w:rsidR="00067980">
              <w:rPr>
                <w:rFonts w:asciiTheme="minorHAnsi" w:hAnsiTheme="minorHAnsi" w:cstheme="minorHAnsi"/>
              </w:rPr>
              <w:instrText xml:space="preserve"> \* MERGEFORMAT </w:instrText>
            </w:r>
            <w:r w:rsidR="001A1CA8" w:rsidRPr="00067980">
              <w:rPr>
                <w:rFonts w:asciiTheme="minorHAnsi" w:hAnsiTheme="minorHAnsi" w:cstheme="minorHAnsi"/>
              </w:rPr>
            </w:r>
            <w:r w:rsidR="001A1CA8" w:rsidRPr="00067980">
              <w:rPr>
                <w:rFonts w:asciiTheme="minorHAnsi" w:hAnsiTheme="minorHAnsi" w:cstheme="minorHAnsi"/>
              </w:rPr>
              <w:fldChar w:fldCharType="separate"/>
            </w:r>
            <w:r w:rsidR="001A1CA8" w:rsidRPr="00067980">
              <w:rPr>
                <w:rFonts w:asciiTheme="minorHAnsi" w:hAnsiTheme="minorHAnsi" w:cstheme="minorHAnsi"/>
              </w:rPr>
              <w:t>6.1.2</w:t>
            </w:r>
            <w:r w:rsidR="001A1CA8" w:rsidRPr="00067980">
              <w:rPr>
                <w:rFonts w:asciiTheme="minorHAnsi" w:hAnsiTheme="minorHAnsi" w:cstheme="minorHAnsi"/>
              </w:rPr>
              <w:fldChar w:fldCharType="end"/>
            </w:r>
            <w:r w:rsidRPr="00067980">
              <w:rPr>
                <w:rFonts w:asciiTheme="minorHAnsi" w:hAnsiTheme="minorHAnsi" w:cstheme="minorHAnsi"/>
              </w:rPr>
              <w:t>.</w:t>
            </w:r>
          </w:p>
        </w:tc>
      </w:tr>
      <w:tr w:rsidR="004F3BE5" w:rsidRPr="00654F9E" w14:paraId="32B95E96"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3D6910FB"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New Coverage Solution</w:t>
            </w:r>
          </w:p>
        </w:tc>
        <w:tc>
          <w:tcPr>
            <w:tcW w:w="3582" w:type="pct"/>
          </w:tcPr>
          <w:p w14:paraId="02BD4980" w14:textId="7D6B2FC5" w:rsidR="004F3BE5" w:rsidRPr="00067980" w:rsidRDefault="004F3BE5" w:rsidP="004F3BE5">
            <w:pPr>
              <w:pStyle w:val="CommentText"/>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 xml:space="preserve">Has the meaning given in section </w:t>
            </w:r>
            <w:r w:rsidR="001A1CA8" w:rsidRPr="00067980">
              <w:rPr>
                <w:rFonts w:asciiTheme="minorHAnsi" w:hAnsiTheme="minorHAnsi" w:cstheme="minorHAnsi"/>
              </w:rPr>
              <w:fldChar w:fldCharType="begin"/>
            </w:r>
            <w:r w:rsidR="001A1CA8" w:rsidRPr="00067980">
              <w:rPr>
                <w:rFonts w:asciiTheme="minorHAnsi" w:hAnsiTheme="minorHAnsi" w:cstheme="minorHAnsi"/>
              </w:rPr>
              <w:instrText xml:space="preserve"> REF _Ref110515229 \r \h </w:instrText>
            </w:r>
            <w:r w:rsidR="00067980">
              <w:rPr>
                <w:rFonts w:asciiTheme="minorHAnsi" w:hAnsiTheme="minorHAnsi" w:cstheme="minorHAnsi"/>
              </w:rPr>
              <w:instrText xml:space="preserve"> \* MERGEFORMAT </w:instrText>
            </w:r>
            <w:r w:rsidR="001A1CA8" w:rsidRPr="00067980">
              <w:rPr>
                <w:rFonts w:asciiTheme="minorHAnsi" w:hAnsiTheme="minorHAnsi" w:cstheme="minorHAnsi"/>
              </w:rPr>
            </w:r>
            <w:r w:rsidR="001A1CA8" w:rsidRPr="00067980">
              <w:rPr>
                <w:rFonts w:asciiTheme="minorHAnsi" w:hAnsiTheme="minorHAnsi" w:cstheme="minorHAnsi"/>
              </w:rPr>
              <w:fldChar w:fldCharType="separate"/>
            </w:r>
            <w:r w:rsidR="001A1CA8" w:rsidRPr="00067980">
              <w:rPr>
                <w:rFonts w:asciiTheme="minorHAnsi" w:hAnsiTheme="minorHAnsi" w:cstheme="minorHAnsi"/>
              </w:rPr>
              <w:t>2.2.3</w:t>
            </w:r>
            <w:r w:rsidR="001A1CA8" w:rsidRPr="00067980">
              <w:rPr>
                <w:rFonts w:asciiTheme="minorHAnsi" w:hAnsiTheme="minorHAnsi" w:cstheme="minorHAnsi"/>
              </w:rPr>
              <w:fldChar w:fldCharType="end"/>
            </w:r>
            <w:r w:rsidRPr="00067980">
              <w:rPr>
                <w:rFonts w:asciiTheme="minorHAnsi" w:hAnsiTheme="minorHAnsi" w:cstheme="minorHAnsi"/>
              </w:rPr>
              <w:t>.</w:t>
            </w:r>
          </w:p>
        </w:tc>
      </w:tr>
      <w:tr w:rsidR="004F3BE5" w:rsidRPr="00654F9E" w14:paraId="565CF012"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0C6E64FC"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New Handheld Coverage</w:t>
            </w:r>
          </w:p>
        </w:tc>
        <w:tc>
          <w:tcPr>
            <w:tcW w:w="3582" w:type="pct"/>
          </w:tcPr>
          <w:p w14:paraId="0224BC6A" w14:textId="0BBCAF24"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 xml:space="preserve">Coverage from a New Coverage Solution or New Highway Coverage Solution that will be able to be obtained with a handheld mobile device in areas that do not receive Existing Handheld Coverage at the signal levels specified in section </w:t>
            </w:r>
            <w:r w:rsidR="001A1CA8" w:rsidRPr="00067980">
              <w:rPr>
                <w:rFonts w:asciiTheme="minorHAnsi" w:hAnsiTheme="minorHAnsi" w:cstheme="minorHAnsi"/>
              </w:rPr>
              <w:fldChar w:fldCharType="begin"/>
            </w:r>
            <w:r w:rsidR="001A1CA8" w:rsidRPr="00067980">
              <w:rPr>
                <w:rFonts w:asciiTheme="minorHAnsi" w:hAnsiTheme="minorHAnsi" w:cstheme="minorHAnsi"/>
              </w:rPr>
              <w:instrText xml:space="preserve"> REF _Ref109305451 \r \h </w:instrText>
            </w:r>
            <w:r w:rsidR="00067980">
              <w:rPr>
                <w:rFonts w:asciiTheme="minorHAnsi" w:hAnsiTheme="minorHAnsi" w:cstheme="minorHAnsi"/>
              </w:rPr>
              <w:instrText xml:space="preserve"> \* MERGEFORMAT </w:instrText>
            </w:r>
            <w:r w:rsidR="001A1CA8" w:rsidRPr="00067980">
              <w:rPr>
                <w:rFonts w:asciiTheme="minorHAnsi" w:hAnsiTheme="minorHAnsi" w:cstheme="minorHAnsi"/>
              </w:rPr>
            </w:r>
            <w:r w:rsidR="001A1CA8" w:rsidRPr="00067980">
              <w:rPr>
                <w:rFonts w:asciiTheme="minorHAnsi" w:hAnsiTheme="minorHAnsi" w:cstheme="minorHAnsi"/>
              </w:rPr>
              <w:fldChar w:fldCharType="separate"/>
            </w:r>
            <w:r w:rsidR="001A1CA8" w:rsidRPr="00067980">
              <w:rPr>
                <w:rFonts w:asciiTheme="minorHAnsi" w:hAnsiTheme="minorHAnsi" w:cstheme="minorHAnsi"/>
              </w:rPr>
              <w:t>4.2.4</w:t>
            </w:r>
            <w:r w:rsidR="001A1CA8" w:rsidRPr="00067980">
              <w:rPr>
                <w:rFonts w:asciiTheme="minorHAnsi" w:hAnsiTheme="minorHAnsi" w:cstheme="minorHAnsi"/>
              </w:rPr>
              <w:fldChar w:fldCharType="end"/>
            </w:r>
            <w:r w:rsidRPr="00067980">
              <w:rPr>
                <w:rFonts w:asciiTheme="minorHAnsi" w:hAnsiTheme="minorHAnsi" w:cstheme="minorHAnsi"/>
              </w:rPr>
              <w:t>.</w:t>
            </w:r>
          </w:p>
        </w:tc>
      </w:tr>
      <w:tr w:rsidR="004F3BE5" w:rsidRPr="00654F9E" w14:paraId="18BBE3F1"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4672B9E8"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New Highway Coverage Solution</w:t>
            </w:r>
          </w:p>
        </w:tc>
        <w:tc>
          <w:tcPr>
            <w:tcW w:w="3582" w:type="pct"/>
          </w:tcPr>
          <w:p w14:paraId="3A52E22E" w14:textId="74413A61" w:rsidR="004F3BE5" w:rsidRPr="00067980" w:rsidRDefault="004F3BE5" w:rsidP="004F3BE5">
            <w:pPr>
              <w:pStyle w:val="CommentText"/>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 xml:space="preserve">Has the meaning given in section </w:t>
            </w:r>
            <w:r w:rsidR="001A1CA8" w:rsidRPr="00067980">
              <w:rPr>
                <w:rFonts w:asciiTheme="minorHAnsi" w:hAnsiTheme="minorHAnsi" w:cstheme="minorHAnsi"/>
              </w:rPr>
              <w:fldChar w:fldCharType="begin"/>
            </w:r>
            <w:r w:rsidR="001A1CA8" w:rsidRPr="00067980">
              <w:rPr>
                <w:rFonts w:asciiTheme="minorHAnsi" w:hAnsiTheme="minorHAnsi" w:cstheme="minorHAnsi"/>
              </w:rPr>
              <w:instrText xml:space="preserve"> REF _Ref110515229 \r \h </w:instrText>
            </w:r>
            <w:r w:rsidR="00067980">
              <w:rPr>
                <w:rFonts w:asciiTheme="minorHAnsi" w:hAnsiTheme="minorHAnsi" w:cstheme="minorHAnsi"/>
              </w:rPr>
              <w:instrText xml:space="preserve"> \* MERGEFORMAT </w:instrText>
            </w:r>
            <w:r w:rsidR="001A1CA8" w:rsidRPr="00067980">
              <w:rPr>
                <w:rFonts w:asciiTheme="minorHAnsi" w:hAnsiTheme="minorHAnsi" w:cstheme="minorHAnsi"/>
              </w:rPr>
            </w:r>
            <w:r w:rsidR="001A1CA8" w:rsidRPr="00067980">
              <w:rPr>
                <w:rFonts w:asciiTheme="minorHAnsi" w:hAnsiTheme="minorHAnsi" w:cstheme="minorHAnsi"/>
              </w:rPr>
              <w:fldChar w:fldCharType="separate"/>
            </w:r>
            <w:r w:rsidR="001A1CA8" w:rsidRPr="00067980">
              <w:rPr>
                <w:rFonts w:asciiTheme="minorHAnsi" w:hAnsiTheme="minorHAnsi" w:cstheme="minorHAnsi"/>
              </w:rPr>
              <w:t>2.2.3</w:t>
            </w:r>
            <w:r w:rsidR="001A1CA8" w:rsidRPr="00067980">
              <w:rPr>
                <w:rFonts w:asciiTheme="minorHAnsi" w:hAnsiTheme="minorHAnsi" w:cstheme="minorHAnsi"/>
              </w:rPr>
              <w:fldChar w:fldCharType="end"/>
            </w:r>
            <w:r w:rsidRPr="00067980">
              <w:rPr>
                <w:rFonts w:asciiTheme="minorHAnsi" w:hAnsiTheme="minorHAnsi" w:cstheme="minorHAnsi"/>
              </w:rPr>
              <w:t>.</w:t>
            </w:r>
          </w:p>
        </w:tc>
      </w:tr>
      <w:tr w:rsidR="004F3BE5" w:rsidRPr="00654F9E" w14:paraId="208D3D40"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7B24573C"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New Improved Handheld Coverage</w:t>
            </w:r>
          </w:p>
        </w:tc>
        <w:tc>
          <w:tcPr>
            <w:tcW w:w="3582" w:type="pct"/>
          </w:tcPr>
          <w:p w14:paraId="3C338BF6" w14:textId="5F47F691" w:rsidR="004F3BE5" w:rsidRPr="00067980" w:rsidRDefault="00087180" w:rsidP="004F3BE5">
            <w:pPr>
              <w:pStyle w:val="CommentText"/>
              <w:spacing w:line="28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 xml:space="preserve">Improved Handheld </w:t>
            </w:r>
            <w:r w:rsidR="004F3BE5" w:rsidRPr="00067980">
              <w:rPr>
                <w:rFonts w:asciiTheme="minorHAnsi" w:hAnsiTheme="minorHAnsi" w:cstheme="minorHAnsi"/>
              </w:rPr>
              <w:t xml:space="preserve">Coverage from an Improved Coverage Solution that will be able to be obtained with a handheld mobile device in areas that do not receive Existing Handheld Coverage in the applicant’s network at the signal levels specified in section </w:t>
            </w:r>
            <w:r w:rsidR="001A1CA8" w:rsidRPr="00067980">
              <w:rPr>
                <w:rFonts w:asciiTheme="minorHAnsi" w:hAnsiTheme="minorHAnsi" w:cstheme="minorHAnsi"/>
              </w:rPr>
              <w:fldChar w:fldCharType="begin"/>
            </w:r>
            <w:r w:rsidR="001A1CA8" w:rsidRPr="00067980">
              <w:rPr>
                <w:rFonts w:asciiTheme="minorHAnsi" w:hAnsiTheme="minorHAnsi" w:cstheme="minorHAnsi"/>
              </w:rPr>
              <w:instrText xml:space="preserve"> REF _Ref109305451 \r \h </w:instrText>
            </w:r>
            <w:r w:rsidR="00067980">
              <w:rPr>
                <w:rFonts w:asciiTheme="minorHAnsi" w:hAnsiTheme="minorHAnsi" w:cstheme="minorHAnsi"/>
              </w:rPr>
              <w:instrText xml:space="preserve"> \* MERGEFORMAT </w:instrText>
            </w:r>
            <w:r w:rsidR="001A1CA8" w:rsidRPr="00067980">
              <w:rPr>
                <w:rFonts w:asciiTheme="minorHAnsi" w:hAnsiTheme="minorHAnsi" w:cstheme="minorHAnsi"/>
              </w:rPr>
            </w:r>
            <w:r w:rsidR="001A1CA8" w:rsidRPr="00067980">
              <w:rPr>
                <w:rFonts w:asciiTheme="minorHAnsi" w:hAnsiTheme="minorHAnsi" w:cstheme="minorHAnsi"/>
              </w:rPr>
              <w:fldChar w:fldCharType="separate"/>
            </w:r>
            <w:r w:rsidR="001A1CA8" w:rsidRPr="00067980">
              <w:rPr>
                <w:rFonts w:asciiTheme="minorHAnsi" w:hAnsiTheme="minorHAnsi" w:cstheme="minorHAnsi"/>
              </w:rPr>
              <w:t>4.2.4</w:t>
            </w:r>
            <w:r w:rsidR="001A1CA8" w:rsidRPr="00067980">
              <w:rPr>
                <w:rFonts w:asciiTheme="minorHAnsi" w:hAnsiTheme="minorHAnsi" w:cstheme="minorHAnsi"/>
              </w:rPr>
              <w:fldChar w:fldCharType="end"/>
            </w:r>
            <w:r w:rsidR="004F3BE5" w:rsidRPr="00067980">
              <w:rPr>
                <w:rFonts w:asciiTheme="minorHAnsi" w:hAnsiTheme="minorHAnsi" w:cstheme="minorHAnsi"/>
              </w:rPr>
              <w:t>.</w:t>
            </w:r>
          </w:p>
        </w:tc>
      </w:tr>
      <w:tr w:rsidR="004F3BE5" w:rsidRPr="00654F9E" w14:paraId="2AFD25B2"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657394C4"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Operational Costs (OPEX)</w:t>
            </w:r>
          </w:p>
        </w:tc>
        <w:tc>
          <w:tcPr>
            <w:tcW w:w="3582" w:type="pct"/>
          </w:tcPr>
          <w:p w14:paraId="1E1F1F36" w14:textId="1E7DB3B9" w:rsidR="004F3BE5" w:rsidRPr="00067980" w:rsidRDefault="004F3BE5" w:rsidP="004F3BE5">
            <w:pPr>
              <w:pStyle w:val="CommentText"/>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Costs for additional goods or services that are purchased for the ongoing operation of an asset.</w:t>
            </w:r>
          </w:p>
        </w:tc>
      </w:tr>
      <w:tr w:rsidR="004F3BE5" w:rsidRPr="00654F9E" w14:paraId="2CCFF1F1"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4C9BF7A7" w14:textId="77777777" w:rsidR="004F3BE5" w:rsidRPr="00067980" w:rsidRDefault="004F3BE5" w:rsidP="004F3BE5">
            <w:pPr>
              <w:rPr>
                <w:rFonts w:asciiTheme="minorHAnsi" w:hAnsiTheme="minorHAnsi" w:cstheme="minorHAnsi"/>
                <w:b w:val="0"/>
                <w:highlight w:val="yellow"/>
              </w:rPr>
            </w:pPr>
            <w:r w:rsidRPr="00067980">
              <w:rPr>
                <w:rFonts w:asciiTheme="minorHAnsi" w:hAnsiTheme="minorHAnsi" w:cstheme="minorHAnsi"/>
                <w:b w:val="0"/>
              </w:rPr>
              <w:t>Operational Period</w:t>
            </w:r>
          </w:p>
        </w:tc>
        <w:tc>
          <w:tcPr>
            <w:tcW w:w="3582" w:type="pct"/>
          </w:tcPr>
          <w:p w14:paraId="1678A148" w14:textId="77777777"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The length of time that an asset is required to provide services for which it was funded under the Program.</w:t>
            </w:r>
          </w:p>
        </w:tc>
      </w:tr>
      <w:tr w:rsidR="004F3BE5" w:rsidRPr="00654F9E" w14:paraId="5EFD593E"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40817987"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Previous Grant Agreement</w:t>
            </w:r>
          </w:p>
        </w:tc>
        <w:tc>
          <w:tcPr>
            <w:tcW w:w="3582" w:type="pct"/>
          </w:tcPr>
          <w:p w14:paraId="421FF4C1" w14:textId="3C835225"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 xml:space="preserve">Has the meaning given in section </w:t>
            </w:r>
            <w:r w:rsidR="001A1CA8" w:rsidRPr="00067980">
              <w:rPr>
                <w:rFonts w:asciiTheme="minorHAnsi" w:hAnsiTheme="minorHAnsi" w:cstheme="minorHAnsi"/>
              </w:rPr>
              <w:fldChar w:fldCharType="begin"/>
            </w:r>
            <w:r w:rsidR="001A1CA8" w:rsidRPr="00067980">
              <w:rPr>
                <w:rFonts w:asciiTheme="minorHAnsi" w:hAnsiTheme="minorHAnsi" w:cstheme="minorHAnsi"/>
              </w:rPr>
              <w:instrText xml:space="preserve"> REF _Ref121922484 \r \h </w:instrText>
            </w:r>
            <w:r w:rsidR="00067980">
              <w:rPr>
                <w:rFonts w:asciiTheme="minorHAnsi" w:hAnsiTheme="minorHAnsi" w:cstheme="minorHAnsi"/>
              </w:rPr>
              <w:instrText xml:space="preserve"> \* MERGEFORMAT </w:instrText>
            </w:r>
            <w:r w:rsidR="001A1CA8" w:rsidRPr="00067980">
              <w:rPr>
                <w:rFonts w:asciiTheme="minorHAnsi" w:hAnsiTheme="minorHAnsi" w:cstheme="minorHAnsi"/>
              </w:rPr>
            </w:r>
            <w:r w:rsidR="001A1CA8" w:rsidRPr="00067980">
              <w:rPr>
                <w:rFonts w:asciiTheme="minorHAnsi" w:hAnsiTheme="minorHAnsi" w:cstheme="minorHAnsi"/>
              </w:rPr>
              <w:fldChar w:fldCharType="separate"/>
            </w:r>
            <w:r w:rsidR="001A1CA8" w:rsidRPr="00067980">
              <w:rPr>
                <w:rFonts w:asciiTheme="minorHAnsi" w:hAnsiTheme="minorHAnsi" w:cstheme="minorHAnsi"/>
              </w:rPr>
              <w:t>7.4.5</w:t>
            </w:r>
            <w:r w:rsidR="001A1CA8" w:rsidRPr="00067980">
              <w:rPr>
                <w:rFonts w:asciiTheme="minorHAnsi" w:hAnsiTheme="minorHAnsi" w:cstheme="minorHAnsi"/>
              </w:rPr>
              <w:fldChar w:fldCharType="end"/>
            </w:r>
            <w:r w:rsidRPr="00067980">
              <w:rPr>
                <w:rFonts w:asciiTheme="minorHAnsi" w:hAnsiTheme="minorHAnsi" w:cstheme="minorHAnsi"/>
              </w:rPr>
              <w:t>.</w:t>
            </w:r>
          </w:p>
        </w:tc>
      </w:tr>
      <w:tr w:rsidR="004F3BE5" w:rsidRPr="00654F9E" w14:paraId="10891027"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38558427"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Target Location</w:t>
            </w:r>
          </w:p>
        </w:tc>
        <w:tc>
          <w:tcPr>
            <w:tcW w:w="3582" w:type="pct"/>
          </w:tcPr>
          <w:p w14:paraId="43BBA3D6" w14:textId="4B3D849B"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 xml:space="preserve">A location listed at </w:t>
            </w:r>
            <w:hyperlink w:anchor="_Appendix_A._Target" w:history="1">
              <w:r w:rsidRPr="00067980">
                <w:rPr>
                  <w:rStyle w:val="Hyperlink"/>
                  <w:rFonts w:asciiTheme="minorHAnsi" w:hAnsiTheme="minorHAnsi" w:cstheme="minorHAnsi"/>
                </w:rPr>
                <w:t>Appendix A</w:t>
              </w:r>
            </w:hyperlink>
            <w:r w:rsidRPr="00067980">
              <w:rPr>
                <w:rFonts w:asciiTheme="minorHAnsi" w:hAnsiTheme="minorHAnsi" w:cstheme="minorHAnsi"/>
              </w:rPr>
              <w:t>.</w:t>
            </w:r>
          </w:p>
        </w:tc>
      </w:tr>
      <w:tr w:rsidR="004F3BE5" w:rsidRPr="00654F9E" w14:paraId="1D593EB5"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753D5F9D"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Program</w:t>
            </w:r>
          </w:p>
        </w:tc>
        <w:tc>
          <w:tcPr>
            <w:tcW w:w="3582" w:type="pct"/>
          </w:tcPr>
          <w:p w14:paraId="4E89F3C2" w14:textId="77777777"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The Mobile Black Spot Program - Improving Mobile Coverage Round</w:t>
            </w:r>
          </w:p>
        </w:tc>
      </w:tr>
      <w:tr w:rsidR="004F3BE5" w:rsidRPr="00654F9E" w14:paraId="26152301"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03C76872"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Proposed Solution</w:t>
            </w:r>
          </w:p>
        </w:tc>
        <w:tc>
          <w:tcPr>
            <w:tcW w:w="3582" w:type="pct"/>
          </w:tcPr>
          <w:p w14:paraId="13FE83DB" w14:textId="77777777"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Infrastructure for which an applicant has sought funding under the Program.</w:t>
            </w:r>
          </w:p>
        </w:tc>
      </w:tr>
      <w:tr w:rsidR="004F3BE5" w:rsidRPr="00654F9E" w14:paraId="4CA1F2A2"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13ECAAEB"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Quality of Service</w:t>
            </w:r>
          </w:p>
        </w:tc>
        <w:tc>
          <w:tcPr>
            <w:tcW w:w="3582" w:type="pct"/>
          </w:tcPr>
          <w:p w14:paraId="7965ACC5" w14:textId="77777777"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In mobile telecommunications, the description or measurement of the overall performance of a service, particularly the performance seen by the users of the network.</w:t>
            </w:r>
          </w:p>
        </w:tc>
      </w:tr>
      <w:tr w:rsidR="004F3BE5" w:rsidRPr="00654F9E" w14:paraId="6C274D61"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7BE60E6F"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Reference Signal Received Power (RSRP)</w:t>
            </w:r>
          </w:p>
        </w:tc>
        <w:tc>
          <w:tcPr>
            <w:tcW w:w="3582" w:type="pct"/>
          </w:tcPr>
          <w:p w14:paraId="43C4B382" w14:textId="77777777"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 xml:space="preserve">The 4G received signal power in a long-term evolution (LTE) network measured in decibels per milliwatt (dBm). </w:t>
            </w:r>
          </w:p>
        </w:tc>
      </w:tr>
      <w:tr w:rsidR="004F3BE5" w:rsidRPr="00654F9E" w14:paraId="5A7AA7EE"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3AD06332"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Selection Process</w:t>
            </w:r>
          </w:p>
        </w:tc>
        <w:tc>
          <w:tcPr>
            <w:tcW w:w="3582" w:type="pct"/>
          </w:tcPr>
          <w:p w14:paraId="677A50CD" w14:textId="77777777"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The method used to select potential grantees. This process may involve comparative assessment of applications or the assessment of applications against the Eligibility Criteria and/or the Assessment Criteria.</w:t>
            </w:r>
          </w:p>
        </w:tc>
      </w:tr>
      <w:tr w:rsidR="004F3BE5" w:rsidRPr="00654F9E" w14:paraId="68AC665E"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2E893F09"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Small Cell</w:t>
            </w:r>
          </w:p>
        </w:tc>
        <w:tc>
          <w:tcPr>
            <w:tcW w:w="3582" w:type="pct"/>
          </w:tcPr>
          <w:p w14:paraId="6244137C" w14:textId="77777777" w:rsidR="004F3BE5" w:rsidRPr="00067980" w:rsidRDefault="004F3BE5" w:rsidP="004F3BE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7980">
              <w:rPr>
                <w:rFonts w:asciiTheme="minorHAnsi" w:hAnsiTheme="minorHAnsi" w:cstheme="minorHAnsi"/>
              </w:rPr>
              <w:t>A ‘small cell’ in a mobile phone network, with a typical range less than two kilometres. Often used to add network capacity in areas of dense population or very remote locations, utilising power control to limit coverage area. These are also known as microcells.</w:t>
            </w:r>
          </w:p>
        </w:tc>
      </w:tr>
      <w:tr w:rsidR="004F3BE5" w:rsidRPr="00654F9E" w14:paraId="48522DA4"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38E01AB0" w14:textId="77777777" w:rsidR="004F3BE5" w:rsidRPr="00067980" w:rsidRDefault="004F3BE5" w:rsidP="004F3BE5">
            <w:pPr>
              <w:rPr>
                <w:rFonts w:asciiTheme="minorHAnsi" w:hAnsiTheme="minorHAnsi" w:cstheme="minorHAnsi"/>
                <w:b w:val="0"/>
              </w:rPr>
            </w:pPr>
            <w:r w:rsidRPr="00067980">
              <w:rPr>
                <w:rFonts w:asciiTheme="minorHAnsi" w:hAnsiTheme="minorHAnsi" w:cstheme="minorHAnsi"/>
                <w:b w:val="0"/>
              </w:rPr>
              <w:t>Value for Money</w:t>
            </w:r>
          </w:p>
        </w:tc>
        <w:tc>
          <w:tcPr>
            <w:tcW w:w="3582" w:type="pct"/>
          </w:tcPr>
          <w:p w14:paraId="086C930E" w14:textId="14F32851" w:rsidR="004F3BE5" w:rsidRPr="00067980" w:rsidRDefault="004F3BE5" w:rsidP="004F3B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7980">
              <w:rPr>
                <w:rFonts w:asciiTheme="minorHAnsi" w:hAnsiTheme="minorHAnsi" w:cstheme="minorHAnsi"/>
              </w:rPr>
              <w:t xml:space="preserve">‘Value for money’ in these Guidelines refers to achieving ‘value with relevant money’ based on the grant proposal representing an efficient, effective, economical and ethical use of public resources and determined from a variety of considerations in accordance with the CGRGs and section </w:t>
            </w:r>
            <w:r w:rsidR="001A1CA8" w:rsidRPr="00067980">
              <w:rPr>
                <w:rFonts w:asciiTheme="minorHAnsi" w:hAnsiTheme="minorHAnsi" w:cstheme="minorHAnsi"/>
              </w:rPr>
              <w:fldChar w:fldCharType="begin"/>
            </w:r>
            <w:r w:rsidR="001A1CA8" w:rsidRPr="00067980">
              <w:rPr>
                <w:rFonts w:asciiTheme="minorHAnsi" w:hAnsiTheme="minorHAnsi" w:cstheme="minorHAnsi"/>
              </w:rPr>
              <w:instrText xml:space="preserve"> REF _Ref121922509 \r \h </w:instrText>
            </w:r>
            <w:r w:rsidR="00067980">
              <w:rPr>
                <w:rFonts w:asciiTheme="minorHAnsi" w:hAnsiTheme="minorHAnsi" w:cstheme="minorHAnsi"/>
              </w:rPr>
              <w:instrText xml:space="preserve"> \* MERGEFORMAT </w:instrText>
            </w:r>
            <w:r w:rsidR="001A1CA8" w:rsidRPr="00067980">
              <w:rPr>
                <w:rFonts w:asciiTheme="minorHAnsi" w:hAnsiTheme="minorHAnsi" w:cstheme="minorHAnsi"/>
              </w:rPr>
            </w:r>
            <w:r w:rsidR="001A1CA8" w:rsidRPr="00067980">
              <w:rPr>
                <w:rFonts w:asciiTheme="minorHAnsi" w:hAnsiTheme="minorHAnsi" w:cstheme="minorHAnsi"/>
              </w:rPr>
              <w:fldChar w:fldCharType="separate"/>
            </w:r>
            <w:r w:rsidR="001A1CA8" w:rsidRPr="00067980">
              <w:rPr>
                <w:rFonts w:asciiTheme="minorHAnsi" w:hAnsiTheme="minorHAnsi" w:cstheme="minorHAnsi"/>
              </w:rPr>
              <w:t>8.4</w:t>
            </w:r>
            <w:r w:rsidR="001A1CA8" w:rsidRPr="00067980">
              <w:rPr>
                <w:rFonts w:asciiTheme="minorHAnsi" w:hAnsiTheme="minorHAnsi" w:cstheme="minorHAnsi"/>
              </w:rPr>
              <w:fldChar w:fldCharType="end"/>
            </w:r>
            <w:r w:rsidRPr="00067980">
              <w:rPr>
                <w:rFonts w:asciiTheme="minorHAnsi" w:hAnsiTheme="minorHAnsi" w:cstheme="minorHAnsi"/>
              </w:rPr>
              <w:t>.</w:t>
            </w:r>
          </w:p>
        </w:tc>
      </w:tr>
    </w:tbl>
    <w:p w14:paraId="13ADD734" w14:textId="77777777" w:rsidR="004F3BE5" w:rsidRDefault="004F3BE5" w:rsidP="004F3BE5">
      <w:pPr>
        <w:pStyle w:val="NoSpacing"/>
      </w:pPr>
      <w:r>
        <w:br w:type="page"/>
      </w:r>
    </w:p>
    <w:p w14:paraId="0F25AB94" w14:textId="1A5604BD" w:rsidR="00733FF0" w:rsidRDefault="00733FF0" w:rsidP="004F3BE5">
      <w:pPr>
        <w:pStyle w:val="Heading2"/>
        <w:numPr>
          <w:ilvl w:val="0"/>
          <w:numId w:val="0"/>
        </w:numPr>
        <w:ind w:left="851" w:hanging="851"/>
      </w:pPr>
      <w:bookmarkStart w:id="605" w:name="_Appendix_A._Target"/>
      <w:bookmarkStart w:id="606" w:name="_Appendix_A._–"/>
      <w:bookmarkStart w:id="607" w:name="_Toc113442235"/>
      <w:bookmarkStart w:id="608" w:name="_Toc113357272"/>
      <w:bookmarkStart w:id="609" w:name="_Toc157705020"/>
      <w:bookmarkEnd w:id="605"/>
      <w:bookmarkEnd w:id="606"/>
      <w:r>
        <w:t>Appendix A.</w:t>
      </w:r>
      <w:r w:rsidR="00424975">
        <w:t xml:space="preserve"> –</w:t>
      </w:r>
      <w:r>
        <w:t xml:space="preserve"> Target Locations</w:t>
      </w:r>
      <w:bookmarkEnd w:id="607"/>
      <w:bookmarkEnd w:id="608"/>
      <w:bookmarkEnd w:id="609"/>
    </w:p>
    <w:p w14:paraId="135E2884" w14:textId="7938B57C" w:rsidR="00904965" w:rsidRDefault="00B16E2A" w:rsidP="00B36CCD">
      <w:pPr>
        <w:pStyle w:val="Normal-Style2"/>
        <w:numPr>
          <w:ilvl w:val="0"/>
          <w:numId w:val="0"/>
        </w:numPr>
      </w:pPr>
      <w:r>
        <w:t xml:space="preserve">This Appendix A comprises </w:t>
      </w:r>
      <w:r w:rsidR="00904965">
        <w:t xml:space="preserve">a </w:t>
      </w:r>
      <w:r w:rsidRPr="00D36892">
        <w:t>list of Target Locations</w:t>
      </w:r>
      <w:r>
        <w:t xml:space="preserve"> eligible for funding under the </w:t>
      </w:r>
      <w:r w:rsidR="00424975">
        <w:t>Round</w:t>
      </w:r>
      <w:r>
        <w:t xml:space="preserve"> and</w:t>
      </w:r>
      <w:r w:rsidRPr="00D36892">
        <w:t xml:space="preserve"> a description of </w:t>
      </w:r>
      <w:r w:rsidR="00424975">
        <w:t>specific</w:t>
      </w:r>
      <w:r w:rsidRPr="00D36892">
        <w:t xml:space="preserve"> </w:t>
      </w:r>
      <w:r>
        <w:t>connectivity issues</w:t>
      </w:r>
      <w:r w:rsidR="00424975">
        <w:t xml:space="preserve"> identified at each Target Location (where relevant)</w:t>
      </w:r>
      <w:r w:rsidR="00B36CCD">
        <w:t>.</w:t>
      </w:r>
    </w:p>
    <w:p w14:paraId="595AACDD" w14:textId="6BB4EBDC" w:rsidR="00BE1FD0" w:rsidRDefault="00BE1FD0" w:rsidP="00BE1FD0">
      <w:pPr>
        <w:pStyle w:val="ListBullet"/>
        <w:numPr>
          <w:ilvl w:val="0"/>
          <w:numId w:val="0"/>
        </w:numPr>
        <w:contextualSpacing w:val="0"/>
      </w:pPr>
      <w:r>
        <w:t>E</w:t>
      </w:r>
      <w:r w:rsidR="00E34248">
        <w:t xml:space="preserve">ach Target Location has been categorised into one of the three solution categories below: </w:t>
      </w:r>
    </w:p>
    <w:p w14:paraId="54C45B3D" w14:textId="77777777" w:rsidR="00E34248" w:rsidRDefault="00E34248" w:rsidP="00E34248">
      <w:pPr>
        <w:pStyle w:val="ListBullet"/>
        <w:ind w:left="567"/>
      </w:pPr>
      <w:r>
        <w:t>New Coverage Solution</w:t>
      </w:r>
    </w:p>
    <w:p w14:paraId="0BED11B9" w14:textId="77777777" w:rsidR="00E34248" w:rsidRDefault="00E34248" w:rsidP="00E34248">
      <w:pPr>
        <w:pStyle w:val="ListBullet"/>
        <w:ind w:left="567"/>
      </w:pPr>
      <w:r>
        <w:t>New Highway Coverage Solution, or</w:t>
      </w:r>
    </w:p>
    <w:p w14:paraId="20CDA287" w14:textId="77777777" w:rsidR="00E34248" w:rsidRDefault="00E34248" w:rsidP="00E34248">
      <w:pPr>
        <w:pStyle w:val="ListBullet"/>
        <w:ind w:left="567"/>
      </w:pPr>
      <w:r>
        <w:t>Improved Coverage Solution.</w:t>
      </w:r>
    </w:p>
    <w:p w14:paraId="0BE0D0FD" w14:textId="5149ED68" w:rsidR="00E34248" w:rsidRDefault="00E34248" w:rsidP="00E34248">
      <w:r>
        <w:t xml:space="preserve">Please refer to sections </w:t>
      </w:r>
      <w:r w:rsidR="00BE1FD0">
        <w:fldChar w:fldCharType="begin"/>
      </w:r>
      <w:r w:rsidR="00BE1FD0">
        <w:instrText xml:space="preserve"> REF _Ref110515229 \r \h </w:instrText>
      </w:r>
      <w:r w:rsidR="00BE1FD0">
        <w:fldChar w:fldCharType="separate"/>
      </w:r>
      <w:r w:rsidR="00BE1FD0">
        <w:t>2.2.3</w:t>
      </w:r>
      <w:r w:rsidR="00BE1FD0">
        <w:fldChar w:fldCharType="end"/>
      </w:r>
      <w:r>
        <w:t xml:space="preserve">, </w:t>
      </w:r>
      <w:r w:rsidR="00BE1FD0">
        <w:fldChar w:fldCharType="begin"/>
      </w:r>
      <w:r w:rsidR="00BE1FD0">
        <w:instrText xml:space="preserve"> REF _Ref121997918 \r \h </w:instrText>
      </w:r>
      <w:r w:rsidR="00BE1FD0">
        <w:fldChar w:fldCharType="separate"/>
      </w:r>
      <w:r w:rsidR="00BE1FD0">
        <w:t>5.1</w:t>
      </w:r>
      <w:r w:rsidR="00BE1FD0">
        <w:fldChar w:fldCharType="end"/>
      </w:r>
      <w:r>
        <w:t xml:space="preserve"> and </w:t>
      </w:r>
      <w:r w:rsidR="00BE1FD0">
        <w:fldChar w:fldCharType="begin"/>
      </w:r>
      <w:r w:rsidR="00BE1FD0">
        <w:instrText xml:space="preserve"> REF _Ref110515467 \r \h </w:instrText>
      </w:r>
      <w:r w:rsidR="00BE1FD0">
        <w:fldChar w:fldCharType="separate"/>
      </w:r>
      <w:r w:rsidR="00BE1FD0">
        <w:t>6</w:t>
      </w:r>
      <w:r w:rsidR="00BE1FD0">
        <w:fldChar w:fldCharType="end"/>
      </w:r>
      <w:r>
        <w:t xml:space="preserve"> of the Guidelines for information on the eligibility and assessment requirements for each respective solution category under the Round.</w:t>
      </w:r>
    </w:p>
    <w:p w14:paraId="1C2597E8" w14:textId="497FE447" w:rsidR="00424975" w:rsidRDefault="00424975" w:rsidP="00E34248">
      <w:r>
        <w:t xml:space="preserve">Issue descriptions included were informed by a desktop analysis of existing mobile network connectivity by the department and feedback received during public consultation on the draft Guidelines. Please note that this additional information is intended as a </w:t>
      </w:r>
      <w:r w:rsidRPr="003152C5">
        <w:rPr>
          <w:b/>
        </w:rPr>
        <w:t>guide only</w:t>
      </w:r>
      <w:r>
        <w:t xml:space="preserve"> and may not be reflective of actual coverage outcomes at a Target Location, including for the purposes of section </w:t>
      </w:r>
      <w:r>
        <w:fldChar w:fldCharType="begin"/>
      </w:r>
      <w:r>
        <w:instrText xml:space="preserve"> REF _Ref121998629 \r \h </w:instrText>
      </w:r>
      <w:r>
        <w:fldChar w:fldCharType="separate"/>
      </w:r>
      <w:r>
        <w:t>6.3</w:t>
      </w:r>
      <w:r>
        <w:fldChar w:fldCharType="end"/>
      </w:r>
      <w:r>
        <w:t>.</w:t>
      </w:r>
    </w:p>
    <w:p w14:paraId="2487751D" w14:textId="77777777" w:rsidR="009C156F" w:rsidRDefault="009C156F" w:rsidP="00BB3D46"/>
    <w:p w14:paraId="287B3E77" w14:textId="77777777" w:rsidR="009C156F" w:rsidRDefault="009C156F" w:rsidP="00BB3D46">
      <w:pPr>
        <w:sectPr w:rsidR="009C156F" w:rsidSect="000E29BE">
          <w:footerReference w:type="default" r:id="rId52"/>
          <w:type w:val="continuous"/>
          <w:pgSz w:w="11906" w:h="16838"/>
          <w:pgMar w:top="1276" w:right="991" w:bottom="1276" w:left="1440" w:header="567" w:footer="0" w:gutter="0"/>
          <w:cols w:space="708"/>
          <w:titlePg/>
          <w:docGrid w:linePitch="360"/>
        </w:sectPr>
      </w:pPr>
    </w:p>
    <w:p w14:paraId="1B182423" w14:textId="119977ED" w:rsidR="009C156F" w:rsidRDefault="00A86150" w:rsidP="00424975">
      <w:pPr>
        <w:pStyle w:val="Heading3"/>
        <w:numPr>
          <w:ilvl w:val="0"/>
          <w:numId w:val="0"/>
        </w:numPr>
        <w:ind w:left="851" w:hanging="851"/>
      </w:pPr>
      <w:bookmarkStart w:id="610" w:name="_Appendix_A.1._–"/>
      <w:bookmarkStart w:id="611" w:name="_Toc157705021"/>
      <w:bookmarkEnd w:id="610"/>
      <w:r>
        <w:t>Appendix A</w:t>
      </w:r>
      <w:r w:rsidR="00424975">
        <w:t xml:space="preserve"> –</w:t>
      </w:r>
      <w:r w:rsidR="00F071A8">
        <w:t xml:space="preserve"> </w:t>
      </w:r>
      <w:r w:rsidR="009C156F">
        <w:t>Target Locations and Issue Descriptions</w:t>
      </w:r>
      <w:bookmarkEnd w:id="611"/>
    </w:p>
    <w:tbl>
      <w:tblPr>
        <w:tblStyle w:val="DefaultTable11"/>
        <w:tblW w:w="5000" w:type="pct"/>
        <w:tblLook w:val="04A0" w:firstRow="1" w:lastRow="0" w:firstColumn="1" w:lastColumn="0" w:noHBand="0" w:noVBand="1"/>
        <w:tblDescription w:val="Glossary"/>
      </w:tblPr>
      <w:tblGrid>
        <w:gridCol w:w="1395"/>
        <w:gridCol w:w="1334"/>
        <w:gridCol w:w="4926"/>
        <w:gridCol w:w="2551"/>
        <w:gridCol w:w="4080"/>
      </w:tblGrid>
      <w:tr w:rsidR="00536F9E" w:rsidRPr="00654F9E" w14:paraId="3245863A" w14:textId="77777777" w:rsidTr="00B36CC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vAlign w:val="center"/>
          </w:tcPr>
          <w:p w14:paraId="4F4D1652" w14:textId="77777777" w:rsidR="00536F9E" w:rsidRDefault="00536F9E" w:rsidP="00393883">
            <w:pPr>
              <w:pStyle w:val="Tablerowcolumnheading"/>
            </w:pPr>
            <w:r w:rsidRPr="002010D8">
              <w:rPr>
                <w:b/>
              </w:rPr>
              <w:t>Target Location</w:t>
            </w:r>
          </w:p>
        </w:tc>
        <w:tc>
          <w:tcPr>
            <w:tcW w:w="467" w:type="pct"/>
            <w:vAlign w:val="center"/>
          </w:tcPr>
          <w:p w14:paraId="5B5E230D" w14:textId="77777777" w:rsidR="00536F9E" w:rsidRDefault="00536F9E" w:rsidP="00393883">
            <w:pPr>
              <w:pStyle w:val="Tablerowcolumnheadingcentred"/>
              <w:cnfStyle w:val="100000000000" w:firstRow="1" w:lastRow="0" w:firstColumn="0" w:lastColumn="0" w:oddVBand="0" w:evenVBand="0" w:oddHBand="0" w:evenHBand="0" w:firstRowFirstColumn="0" w:firstRowLastColumn="0" w:lastRowFirstColumn="0" w:lastRowLastColumn="0"/>
            </w:pPr>
            <w:r w:rsidRPr="002010D8">
              <w:rPr>
                <w:b/>
              </w:rPr>
              <w:t>State</w:t>
            </w:r>
          </w:p>
        </w:tc>
        <w:tc>
          <w:tcPr>
            <w:tcW w:w="1724" w:type="pct"/>
          </w:tcPr>
          <w:p w14:paraId="45738CB4" w14:textId="77777777" w:rsidR="00536F9E" w:rsidRPr="002010D8" w:rsidRDefault="00536F9E" w:rsidP="00393883">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Specific areas with coverage issue (if known)</w:t>
            </w:r>
          </w:p>
        </w:tc>
        <w:tc>
          <w:tcPr>
            <w:tcW w:w="893" w:type="pct"/>
            <w:vAlign w:val="center"/>
          </w:tcPr>
          <w:p w14:paraId="7CE9AD34" w14:textId="77777777" w:rsidR="00536F9E" w:rsidRDefault="00536F9E" w:rsidP="00393883">
            <w:pPr>
              <w:pStyle w:val="Tablerowcolumnheading"/>
              <w:cnfStyle w:val="100000000000" w:firstRow="1" w:lastRow="0" w:firstColumn="0" w:lastColumn="0" w:oddVBand="0" w:evenVBand="0" w:oddHBand="0" w:evenHBand="0" w:firstRowFirstColumn="0" w:firstRowLastColumn="0" w:lastRowFirstColumn="0" w:lastRowLastColumn="0"/>
            </w:pPr>
            <w:r w:rsidRPr="002010D8">
              <w:rPr>
                <w:b/>
              </w:rPr>
              <w:t>Solution Category</w:t>
            </w:r>
          </w:p>
        </w:tc>
        <w:tc>
          <w:tcPr>
            <w:tcW w:w="1428" w:type="pct"/>
            <w:vAlign w:val="center"/>
          </w:tcPr>
          <w:p w14:paraId="2BA69F99" w14:textId="77777777" w:rsidR="00536F9E" w:rsidRDefault="00536F9E" w:rsidP="00393883">
            <w:pPr>
              <w:pStyle w:val="Tablerowcolumnheading"/>
              <w:cnfStyle w:val="100000000000" w:firstRow="1" w:lastRow="0" w:firstColumn="0" w:lastColumn="0" w:oddVBand="0" w:evenVBand="0" w:oddHBand="0" w:evenHBand="0" w:firstRowFirstColumn="0" w:firstRowLastColumn="0" w:lastRowFirstColumn="0" w:lastRowLastColumn="0"/>
            </w:pPr>
            <w:r w:rsidRPr="002010D8">
              <w:rPr>
                <w:b/>
              </w:rPr>
              <w:t>Specified mobile coverage or quality of service issue/s</w:t>
            </w:r>
          </w:p>
        </w:tc>
      </w:tr>
      <w:tr w:rsidR="00536F9E" w:rsidRPr="00654F9E" w14:paraId="22A74425"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303B2A26" w14:textId="77777777" w:rsidR="00536F9E" w:rsidRDefault="00536F9E" w:rsidP="00071DEE">
            <w:pPr>
              <w:pStyle w:val="Tabletext"/>
            </w:pPr>
            <w:r>
              <w:t>Wreck Bay Village</w:t>
            </w:r>
          </w:p>
        </w:tc>
        <w:tc>
          <w:tcPr>
            <w:tcW w:w="467" w:type="pct"/>
          </w:tcPr>
          <w:p w14:paraId="68CCCDCB"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ACT (JBT)</w:t>
            </w:r>
          </w:p>
        </w:tc>
        <w:tc>
          <w:tcPr>
            <w:tcW w:w="1724" w:type="pct"/>
          </w:tcPr>
          <w:p w14:paraId="13FFC45C"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Jervis Bay Territory, including Wreck Bay and surrounding cliffs, and HMAS Creswell</w:t>
            </w:r>
          </w:p>
        </w:tc>
        <w:tc>
          <w:tcPr>
            <w:tcW w:w="893" w:type="pct"/>
          </w:tcPr>
          <w:p w14:paraId="561CA834"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New Mobile Coverage</w:t>
            </w:r>
          </w:p>
        </w:tc>
        <w:tc>
          <w:tcPr>
            <w:tcW w:w="1428" w:type="pct"/>
          </w:tcPr>
          <w:p w14:paraId="246DC83B"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Issues appear to relate to poor or no mobile coverage.</w:t>
            </w:r>
          </w:p>
        </w:tc>
      </w:tr>
      <w:tr w:rsidR="00536F9E" w:rsidRPr="00654F9E" w14:paraId="1B38D466"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05EE0893" w14:textId="77777777" w:rsidR="00536F9E" w:rsidRDefault="00536F9E" w:rsidP="00071DEE">
            <w:pPr>
              <w:pStyle w:val="Tabletext"/>
            </w:pPr>
            <w:r>
              <w:t>Blaxlands Ridge</w:t>
            </w:r>
          </w:p>
        </w:tc>
        <w:tc>
          <w:tcPr>
            <w:tcW w:w="467" w:type="pct"/>
          </w:tcPr>
          <w:p w14:paraId="17CBADAC"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724" w:type="pct"/>
          </w:tcPr>
          <w:p w14:paraId="7BD250C9"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p>
        </w:tc>
        <w:tc>
          <w:tcPr>
            <w:tcW w:w="893" w:type="pct"/>
          </w:tcPr>
          <w:p w14:paraId="4E721CCA"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428" w:type="pct"/>
          </w:tcPr>
          <w:p w14:paraId="0AC74F46"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55E70A55"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6E3907B9" w14:textId="77777777" w:rsidR="00536F9E" w:rsidRDefault="00536F9E" w:rsidP="00071DEE">
            <w:pPr>
              <w:pStyle w:val="Tabletext"/>
            </w:pPr>
            <w:r>
              <w:t>Bowen Mountain</w:t>
            </w:r>
          </w:p>
        </w:tc>
        <w:tc>
          <w:tcPr>
            <w:tcW w:w="467" w:type="pct"/>
          </w:tcPr>
          <w:p w14:paraId="1CEA26AA"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724" w:type="pct"/>
          </w:tcPr>
          <w:p w14:paraId="5DDA154F"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p>
        </w:tc>
        <w:tc>
          <w:tcPr>
            <w:tcW w:w="893" w:type="pct"/>
          </w:tcPr>
          <w:p w14:paraId="12705177"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428" w:type="pct"/>
          </w:tcPr>
          <w:p w14:paraId="79F20CEE"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Issues appear to relate to mobile capacity and/or poor indoor coverage.</w:t>
            </w:r>
          </w:p>
        </w:tc>
      </w:tr>
      <w:tr w:rsidR="00536F9E" w:rsidRPr="00654F9E" w14:paraId="4217966A"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1B845318" w14:textId="77777777" w:rsidR="00536F9E" w:rsidRDefault="00536F9E" w:rsidP="00071DEE">
            <w:pPr>
              <w:pStyle w:val="Tabletext"/>
            </w:pPr>
            <w:r>
              <w:t>Budgewoi</w:t>
            </w:r>
          </w:p>
        </w:tc>
        <w:tc>
          <w:tcPr>
            <w:tcW w:w="467" w:type="pct"/>
          </w:tcPr>
          <w:p w14:paraId="3E748EFE"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724" w:type="pct"/>
          </w:tcPr>
          <w:p w14:paraId="189E86DC"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p>
        </w:tc>
        <w:tc>
          <w:tcPr>
            <w:tcW w:w="893" w:type="pct"/>
          </w:tcPr>
          <w:p w14:paraId="14A85E92"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428" w:type="pct"/>
          </w:tcPr>
          <w:p w14:paraId="1A40C6CE"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651F6783"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1DF24896" w14:textId="77777777" w:rsidR="00536F9E" w:rsidRDefault="00536F9E" w:rsidP="00071DEE">
            <w:pPr>
              <w:pStyle w:val="Tabletext"/>
            </w:pPr>
            <w:r>
              <w:t>Carwoola</w:t>
            </w:r>
          </w:p>
        </w:tc>
        <w:tc>
          <w:tcPr>
            <w:tcW w:w="467" w:type="pct"/>
          </w:tcPr>
          <w:p w14:paraId="72D7616E"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724" w:type="pct"/>
          </w:tcPr>
          <w:p w14:paraId="4BC1A8FA" w14:textId="3721431F"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 xml:space="preserve">Large sections of Carwoola identified as having poor or non-existent handheld coverage. This includes areas up to 3km north of Carwoola, </w:t>
            </w:r>
            <w:r w:rsidR="00D03B4C">
              <w:t xml:space="preserve">the corner of Clydesdale Rd and </w:t>
            </w:r>
            <w:r>
              <w:t>Captains Flat Rd</w:t>
            </w:r>
            <w:r w:rsidR="00D03B4C">
              <w:t>, and Little Whiskers Creek Rd</w:t>
            </w:r>
            <w:r>
              <w:t>.</w:t>
            </w:r>
          </w:p>
        </w:tc>
        <w:tc>
          <w:tcPr>
            <w:tcW w:w="893" w:type="pct"/>
          </w:tcPr>
          <w:p w14:paraId="5F7C6DF0"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New Mobile Coverage</w:t>
            </w:r>
          </w:p>
        </w:tc>
        <w:tc>
          <w:tcPr>
            <w:tcW w:w="1428" w:type="pct"/>
          </w:tcPr>
          <w:p w14:paraId="43927857"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Issues appear to relate to poor or no mobile coverage.</w:t>
            </w:r>
          </w:p>
        </w:tc>
      </w:tr>
      <w:tr w:rsidR="00536F9E" w:rsidRPr="00654F9E" w14:paraId="1EF25691"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00D2F87E" w14:textId="77777777" w:rsidR="00536F9E" w:rsidRDefault="00536F9E" w:rsidP="00071DEE">
            <w:pPr>
              <w:pStyle w:val="Tabletext"/>
            </w:pPr>
            <w:r>
              <w:t>Dalmeny</w:t>
            </w:r>
          </w:p>
        </w:tc>
        <w:tc>
          <w:tcPr>
            <w:tcW w:w="467" w:type="pct"/>
          </w:tcPr>
          <w:p w14:paraId="38939C77"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724" w:type="pct"/>
          </w:tcPr>
          <w:p w14:paraId="11E65EE5"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p>
        </w:tc>
        <w:tc>
          <w:tcPr>
            <w:tcW w:w="893" w:type="pct"/>
          </w:tcPr>
          <w:p w14:paraId="4DD33814"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428" w:type="pct"/>
          </w:tcPr>
          <w:p w14:paraId="3B1B3CA5"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0D86F9AC"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51EFBD3C" w14:textId="77777777" w:rsidR="00536F9E" w:rsidRDefault="00536F9E" w:rsidP="00071DEE">
            <w:pPr>
              <w:pStyle w:val="Tabletext"/>
            </w:pPr>
            <w:r>
              <w:t>Eleebana</w:t>
            </w:r>
          </w:p>
        </w:tc>
        <w:tc>
          <w:tcPr>
            <w:tcW w:w="467" w:type="pct"/>
          </w:tcPr>
          <w:p w14:paraId="753B885A"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724" w:type="pct"/>
          </w:tcPr>
          <w:p w14:paraId="07EAD192"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p>
        </w:tc>
        <w:tc>
          <w:tcPr>
            <w:tcW w:w="893" w:type="pct"/>
          </w:tcPr>
          <w:p w14:paraId="56767EAB"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428" w:type="pct"/>
          </w:tcPr>
          <w:p w14:paraId="1AE63B8B"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 xml:space="preserve">Issues appear to relate to mobile capacity and/or poor indoor coverage. </w:t>
            </w:r>
          </w:p>
        </w:tc>
      </w:tr>
      <w:tr w:rsidR="00536F9E" w:rsidRPr="00654F9E" w14:paraId="30F37C20"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0E24FB7A" w14:textId="65139175" w:rsidR="00536F9E" w:rsidRDefault="00536F9E" w:rsidP="00071DEE">
            <w:pPr>
              <w:pStyle w:val="Tabletext"/>
            </w:pPr>
            <w:r>
              <w:t>Jamberoo (greater</w:t>
            </w:r>
            <w:r w:rsidR="00C00067">
              <w:t> </w:t>
            </w:r>
            <w:r>
              <w:t>area)</w:t>
            </w:r>
          </w:p>
        </w:tc>
        <w:tc>
          <w:tcPr>
            <w:tcW w:w="467" w:type="pct"/>
          </w:tcPr>
          <w:p w14:paraId="3BD02F71"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724" w:type="pct"/>
          </w:tcPr>
          <w:p w14:paraId="3578F783" w14:textId="6162B581"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Some areas of poor to non-existent coverage identified in greater areas of Jamberoo, from the south west edge of the town of Jamberoo along Wyalla Rd</w:t>
            </w:r>
            <w:r w:rsidR="00D03B4C">
              <w:t>, as well as Minnamurra Falls Rd</w:t>
            </w:r>
            <w:r w:rsidR="00F079CF">
              <w:t>.</w:t>
            </w:r>
          </w:p>
          <w:p w14:paraId="63BA688C" w14:textId="77777777" w:rsidR="00C00067" w:rsidRDefault="00C00067" w:rsidP="00071DEE">
            <w:pPr>
              <w:pStyle w:val="Tabletext"/>
              <w:cnfStyle w:val="000000010000" w:firstRow="0" w:lastRow="0" w:firstColumn="0" w:lastColumn="0" w:oddVBand="0" w:evenVBand="0" w:oddHBand="0" w:evenHBand="1" w:firstRowFirstColumn="0" w:firstRowLastColumn="0" w:lastRowFirstColumn="0" w:lastRowLastColumn="0"/>
            </w:pPr>
          </w:p>
          <w:p w14:paraId="3CB8DDC3" w14:textId="1BDE8895" w:rsidR="00C00067" w:rsidRPr="00E3541F" w:rsidRDefault="00C00067" w:rsidP="00071DEE">
            <w:pPr>
              <w:pStyle w:val="Tabletext"/>
              <w:cnfStyle w:val="000000010000" w:firstRow="0" w:lastRow="0" w:firstColumn="0" w:lastColumn="0" w:oddVBand="0" w:evenVBand="0" w:oddHBand="0" w:evenHBand="1" w:firstRowFirstColumn="0" w:firstRowLastColumn="0" w:lastRowFirstColumn="0" w:lastRowLastColumn="0"/>
            </w:pPr>
            <w:r>
              <w:t>Poor reception also identified on Jamberoo Rd at Spring Creek (west of Kiama).</w:t>
            </w:r>
          </w:p>
        </w:tc>
        <w:tc>
          <w:tcPr>
            <w:tcW w:w="893" w:type="pct"/>
          </w:tcPr>
          <w:p w14:paraId="1B206845"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New Mobile Coverage</w:t>
            </w:r>
          </w:p>
        </w:tc>
        <w:tc>
          <w:tcPr>
            <w:tcW w:w="1428" w:type="pct"/>
          </w:tcPr>
          <w:p w14:paraId="454CDE28"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Issues appear to relate to poor or no mobile coverage.</w:t>
            </w:r>
          </w:p>
        </w:tc>
      </w:tr>
      <w:tr w:rsidR="00536F9E" w:rsidRPr="00654F9E" w14:paraId="39340AE4"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07ED9811" w14:textId="77777777" w:rsidR="00536F9E" w:rsidRDefault="00536F9E" w:rsidP="00071DEE">
            <w:pPr>
              <w:pStyle w:val="Tabletext"/>
            </w:pPr>
            <w:r w:rsidRPr="006A24CB">
              <w:t>Jewells and Redhead</w:t>
            </w:r>
          </w:p>
        </w:tc>
        <w:tc>
          <w:tcPr>
            <w:tcW w:w="467" w:type="pct"/>
          </w:tcPr>
          <w:p w14:paraId="40EF7FBE"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724" w:type="pct"/>
          </w:tcPr>
          <w:p w14:paraId="3F04855F"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p>
        </w:tc>
        <w:tc>
          <w:tcPr>
            <w:tcW w:w="893" w:type="pct"/>
          </w:tcPr>
          <w:p w14:paraId="2B7D7630"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428" w:type="pct"/>
          </w:tcPr>
          <w:p w14:paraId="072BDFC4"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 xml:space="preserve">Issues appear to relate to mobile capacity and/or poor indoor coverage. </w:t>
            </w:r>
          </w:p>
        </w:tc>
      </w:tr>
      <w:tr w:rsidR="00536F9E" w:rsidRPr="00654F9E" w14:paraId="43407025"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1C929882" w14:textId="77777777" w:rsidR="00536F9E" w:rsidRDefault="00536F9E" w:rsidP="00071DEE">
            <w:pPr>
              <w:pStyle w:val="Tabletext"/>
            </w:pPr>
            <w:r>
              <w:t>Kangaroo Valley</w:t>
            </w:r>
          </w:p>
        </w:tc>
        <w:tc>
          <w:tcPr>
            <w:tcW w:w="467" w:type="pct"/>
          </w:tcPr>
          <w:p w14:paraId="3EF1783C"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724" w:type="pct"/>
          </w:tcPr>
          <w:p w14:paraId="509E7ACD" w14:textId="7D6A7394" w:rsidR="00536F9E" w:rsidRDefault="00C00067" w:rsidP="00071DEE">
            <w:pPr>
              <w:pStyle w:val="Tabletext"/>
              <w:cnfStyle w:val="000000010000" w:firstRow="0" w:lastRow="0" w:firstColumn="0" w:lastColumn="0" w:oddVBand="0" w:evenVBand="0" w:oddHBand="0" w:evenHBand="1" w:firstRowFirstColumn="0" w:firstRowLastColumn="0" w:lastRowFirstColumn="0" w:lastRowLastColumn="0"/>
            </w:pPr>
            <w:r>
              <w:t>Poor reception reported at Budgong (south of Kangaroo Valley).</w:t>
            </w:r>
          </w:p>
        </w:tc>
        <w:tc>
          <w:tcPr>
            <w:tcW w:w="893" w:type="pct"/>
          </w:tcPr>
          <w:p w14:paraId="6AD9DE9D"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428" w:type="pct"/>
          </w:tcPr>
          <w:p w14:paraId="433E2C90"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Issues appear to relate to localised areas of poor mobile coverage and/or limited capacity.</w:t>
            </w:r>
          </w:p>
        </w:tc>
      </w:tr>
      <w:tr w:rsidR="00536F9E" w:rsidRPr="00654F9E" w14:paraId="441C2269"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1A1B217F" w14:textId="77777777" w:rsidR="00536F9E" w:rsidRDefault="00536F9E" w:rsidP="00536F9E">
            <w:pPr>
              <w:pStyle w:val="Tabletext"/>
            </w:pPr>
            <w:r>
              <w:t>Kings Highway</w:t>
            </w:r>
          </w:p>
        </w:tc>
        <w:tc>
          <w:tcPr>
            <w:tcW w:w="467" w:type="pct"/>
          </w:tcPr>
          <w:p w14:paraId="1DE0C7C0"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724" w:type="pct"/>
          </w:tcPr>
          <w:p w14:paraId="5B7E5612"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Coverage audit maps identifying areas of poor or no mobile coverage will be provided for this New Highway Coverage Target Location.</w:t>
            </w:r>
          </w:p>
          <w:p w14:paraId="2932D4A8" w14:textId="77777777" w:rsidR="00F079CF" w:rsidRDefault="00F079CF" w:rsidP="00536F9E">
            <w:pPr>
              <w:pStyle w:val="Tabletext"/>
              <w:cnfStyle w:val="000000000000" w:firstRow="0" w:lastRow="0" w:firstColumn="0" w:lastColumn="0" w:oddVBand="0" w:evenVBand="0" w:oddHBand="0" w:evenHBand="0" w:firstRowFirstColumn="0" w:firstRowLastColumn="0" w:lastRowFirstColumn="0" w:lastRowLastColumn="0"/>
            </w:pPr>
          </w:p>
          <w:p w14:paraId="535BD695" w14:textId="595332E1" w:rsidR="00F079CF" w:rsidRDefault="00F079CF" w:rsidP="00536F9E">
            <w:pPr>
              <w:pStyle w:val="Tabletext"/>
              <w:cnfStyle w:val="000000000000" w:firstRow="0" w:lastRow="0" w:firstColumn="0" w:lastColumn="0" w:oddVBand="0" w:evenVBand="0" w:oddHBand="0" w:evenHBand="0" w:firstRowFirstColumn="0" w:firstRowLastColumn="0" w:lastRowFirstColumn="0" w:lastRowLastColumn="0"/>
            </w:pPr>
            <w:r>
              <w:t>Poor coverage reported at Bungendore.</w:t>
            </w:r>
          </w:p>
        </w:tc>
        <w:tc>
          <w:tcPr>
            <w:tcW w:w="893" w:type="pct"/>
          </w:tcPr>
          <w:p w14:paraId="0543F710"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New Highway Coverage</w:t>
            </w:r>
          </w:p>
        </w:tc>
        <w:tc>
          <w:tcPr>
            <w:tcW w:w="1428" w:type="pct"/>
          </w:tcPr>
          <w:p w14:paraId="1B69C7A1"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relate to stretches of highway with poor or no mobile coverage.</w:t>
            </w:r>
          </w:p>
        </w:tc>
      </w:tr>
      <w:tr w:rsidR="00536F9E" w:rsidRPr="00654F9E" w14:paraId="33C84579"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0660F575" w14:textId="77777777" w:rsidR="00536F9E" w:rsidRPr="006A24CB" w:rsidRDefault="00536F9E" w:rsidP="00071DEE">
            <w:pPr>
              <w:pStyle w:val="Tabletext"/>
            </w:pPr>
            <w:r>
              <w:t>Lake Munmorah</w:t>
            </w:r>
          </w:p>
        </w:tc>
        <w:tc>
          <w:tcPr>
            <w:tcW w:w="467" w:type="pct"/>
          </w:tcPr>
          <w:p w14:paraId="50B53EC7"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724" w:type="pct"/>
          </w:tcPr>
          <w:p w14:paraId="543637C0"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Poor coverage in the local conservation areas</w:t>
            </w:r>
          </w:p>
        </w:tc>
        <w:tc>
          <w:tcPr>
            <w:tcW w:w="893" w:type="pct"/>
          </w:tcPr>
          <w:p w14:paraId="3F05AA53"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428" w:type="pct"/>
          </w:tcPr>
          <w:p w14:paraId="5764095E"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4EB3E715"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251E0322" w14:textId="45D1B210" w:rsidR="00536F9E" w:rsidRDefault="00536F9E" w:rsidP="00071DEE">
            <w:pPr>
              <w:pStyle w:val="Tabletext"/>
            </w:pPr>
            <w:r>
              <w:t>Lilli Pilli (2536</w:t>
            </w:r>
            <w:r w:rsidR="004A291E">
              <w:t xml:space="preserve"> – Eurobodalla Shire</w:t>
            </w:r>
            <w:r>
              <w:t>)</w:t>
            </w:r>
          </w:p>
        </w:tc>
        <w:tc>
          <w:tcPr>
            <w:tcW w:w="467" w:type="pct"/>
          </w:tcPr>
          <w:p w14:paraId="0B6AF078"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724" w:type="pct"/>
          </w:tcPr>
          <w:p w14:paraId="2097D927"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p>
        </w:tc>
        <w:tc>
          <w:tcPr>
            <w:tcW w:w="893" w:type="pct"/>
          </w:tcPr>
          <w:p w14:paraId="7C72716D"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428" w:type="pct"/>
          </w:tcPr>
          <w:p w14:paraId="4D764EA5"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 xml:space="preserve">Issues appear to relate to mobile capacity and/or poor indoor coverage. </w:t>
            </w:r>
          </w:p>
        </w:tc>
      </w:tr>
      <w:tr w:rsidR="00536F9E" w:rsidRPr="00654F9E" w14:paraId="0F545738"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66B4F3FB" w14:textId="77777777" w:rsidR="00536F9E" w:rsidRDefault="00536F9E" w:rsidP="00071DEE">
            <w:pPr>
              <w:pStyle w:val="Tabletext"/>
            </w:pPr>
            <w:r>
              <w:t>Majors Creek</w:t>
            </w:r>
          </w:p>
        </w:tc>
        <w:tc>
          <w:tcPr>
            <w:tcW w:w="467" w:type="pct"/>
          </w:tcPr>
          <w:p w14:paraId="4700DED7"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724" w:type="pct"/>
          </w:tcPr>
          <w:p w14:paraId="0771C536"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The Government’s election</w:t>
            </w:r>
            <w:r w:rsidRPr="00E405AF">
              <w:t xml:space="preserve"> commitment</w:t>
            </w:r>
            <w:r>
              <w:t xml:space="preserve"> is for a</w:t>
            </w:r>
            <w:r w:rsidRPr="00E405AF">
              <w:t xml:space="preserve"> small cell solution to </w:t>
            </w:r>
            <w:r>
              <w:t>improve mobile</w:t>
            </w:r>
            <w:r w:rsidRPr="00E405AF">
              <w:t xml:space="preserve"> coverage in Majors Creek.  </w:t>
            </w:r>
          </w:p>
        </w:tc>
        <w:tc>
          <w:tcPr>
            <w:tcW w:w="893" w:type="pct"/>
          </w:tcPr>
          <w:p w14:paraId="32A759B2"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New Mobile Coverage</w:t>
            </w:r>
          </w:p>
        </w:tc>
        <w:tc>
          <w:tcPr>
            <w:tcW w:w="1428" w:type="pct"/>
          </w:tcPr>
          <w:p w14:paraId="5928DA87"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Issues appear to relate to areas of poor or no mobile coverage.</w:t>
            </w:r>
          </w:p>
        </w:tc>
      </w:tr>
      <w:tr w:rsidR="00536F9E" w:rsidRPr="00654F9E" w14:paraId="5FBB35FC"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31A2C195" w14:textId="77777777" w:rsidR="00536F9E" w:rsidRDefault="00536F9E" w:rsidP="00071DEE">
            <w:pPr>
              <w:pStyle w:val="Tabletext"/>
            </w:pPr>
            <w:r>
              <w:t>Mangrove Mountain</w:t>
            </w:r>
          </w:p>
        </w:tc>
        <w:tc>
          <w:tcPr>
            <w:tcW w:w="467" w:type="pct"/>
          </w:tcPr>
          <w:p w14:paraId="4BE93A7C"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724" w:type="pct"/>
          </w:tcPr>
          <w:p w14:paraId="4D757A37" w14:textId="77777777" w:rsidR="00536F9E" w:rsidRPr="008B5C44"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Poor handheld coverage identified at Upper Mangrove, spanning the area around Waratah Rd, Mangrove Creek (south and south west of Mangrove Mountain) and Central Mangrove. Poor handheld coverage identified at Mangrove Mountain in the sector west of George Downes Dr.</w:t>
            </w:r>
          </w:p>
        </w:tc>
        <w:tc>
          <w:tcPr>
            <w:tcW w:w="893" w:type="pct"/>
          </w:tcPr>
          <w:p w14:paraId="2EDE81A6"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New Mobile Coverage</w:t>
            </w:r>
          </w:p>
        </w:tc>
        <w:tc>
          <w:tcPr>
            <w:tcW w:w="1428" w:type="pct"/>
          </w:tcPr>
          <w:p w14:paraId="292085D6"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Issues appear to relate to areas of poor or no mobile coverage.</w:t>
            </w:r>
          </w:p>
        </w:tc>
      </w:tr>
      <w:tr w:rsidR="00536F9E" w:rsidRPr="00654F9E" w14:paraId="0C9BF535"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2C12FD2F" w14:textId="77777777" w:rsidR="00536F9E" w:rsidRDefault="00536F9E" w:rsidP="00071DEE">
            <w:pPr>
              <w:pStyle w:val="Tabletext"/>
            </w:pPr>
            <w:r>
              <w:t>Maraylya</w:t>
            </w:r>
          </w:p>
        </w:tc>
        <w:tc>
          <w:tcPr>
            <w:tcW w:w="467" w:type="pct"/>
          </w:tcPr>
          <w:p w14:paraId="6F87B87B"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724" w:type="pct"/>
          </w:tcPr>
          <w:p w14:paraId="44BD40AB" w14:textId="3BFABA1B" w:rsidR="00536F9E" w:rsidRDefault="00C00067" w:rsidP="00071DEE">
            <w:pPr>
              <w:pStyle w:val="Tabletext"/>
              <w:cnfStyle w:val="000000010000" w:firstRow="0" w:lastRow="0" w:firstColumn="0" w:lastColumn="0" w:oddVBand="0" w:evenVBand="0" w:oddHBand="0" w:evenHBand="1" w:firstRowFirstColumn="0" w:firstRowLastColumn="0" w:lastRowFirstColumn="0" w:lastRowLastColumn="0"/>
            </w:pPr>
            <w:r>
              <w:t>Increased demand for capacity identified at Gables, Box Hill and Vineyard.</w:t>
            </w:r>
          </w:p>
        </w:tc>
        <w:tc>
          <w:tcPr>
            <w:tcW w:w="893" w:type="pct"/>
          </w:tcPr>
          <w:p w14:paraId="2B66AEDF"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428" w:type="pct"/>
          </w:tcPr>
          <w:p w14:paraId="1D4F772F"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41614DED"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561AAF65" w14:textId="77777777" w:rsidR="00536F9E" w:rsidRDefault="00536F9E" w:rsidP="00071DEE">
            <w:pPr>
              <w:pStyle w:val="Tabletext"/>
            </w:pPr>
            <w:r w:rsidRPr="006A24CB">
              <w:t>Matcham-Holgate</w:t>
            </w:r>
          </w:p>
        </w:tc>
        <w:tc>
          <w:tcPr>
            <w:tcW w:w="467" w:type="pct"/>
          </w:tcPr>
          <w:p w14:paraId="58C797EC"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724" w:type="pct"/>
          </w:tcPr>
          <w:p w14:paraId="7C1C1797" w14:textId="2634BB80" w:rsidR="00536F9E" w:rsidRDefault="00C00067" w:rsidP="00071DEE">
            <w:pPr>
              <w:pStyle w:val="Tabletext"/>
              <w:cnfStyle w:val="000000000000" w:firstRow="0" w:lastRow="0" w:firstColumn="0" w:lastColumn="0" w:oddVBand="0" w:evenVBand="0" w:oddHBand="0" w:evenHBand="0" w:firstRowFirstColumn="0" w:firstRowLastColumn="0" w:lastRowFirstColumn="0" w:lastRowLastColumn="0"/>
            </w:pPr>
            <w:r>
              <w:t>Reports of poor reception due to local terrain impeding line-of-sight.</w:t>
            </w:r>
          </w:p>
        </w:tc>
        <w:tc>
          <w:tcPr>
            <w:tcW w:w="893" w:type="pct"/>
          </w:tcPr>
          <w:p w14:paraId="5CC1FA68"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428" w:type="pct"/>
          </w:tcPr>
          <w:p w14:paraId="18B0600B"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 xml:space="preserve">Issues appear to relate to mobile capacity and/or poor indoor coverage. </w:t>
            </w:r>
          </w:p>
        </w:tc>
      </w:tr>
      <w:tr w:rsidR="00536F9E" w:rsidRPr="00654F9E" w14:paraId="1601DF4E"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4CF76553" w14:textId="77777777" w:rsidR="00536F9E" w:rsidRDefault="00536F9E" w:rsidP="00071DEE">
            <w:pPr>
              <w:pStyle w:val="Tabletext"/>
            </w:pPr>
            <w:r>
              <w:t>Monaro Highway</w:t>
            </w:r>
          </w:p>
        </w:tc>
        <w:tc>
          <w:tcPr>
            <w:tcW w:w="467" w:type="pct"/>
          </w:tcPr>
          <w:p w14:paraId="49F6EE07"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724" w:type="pct"/>
          </w:tcPr>
          <w:p w14:paraId="21166A52"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Coverage audit maps identifying areas of poor or no mobile coverage will be provided for this New Highway Coverage Target Location.</w:t>
            </w:r>
          </w:p>
        </w:tc>
        <w:tc>
          <w:tcPr>
            <w:tcW w:w="893" w:type="pct"/>
          </w:tcPr>
          <w:p w14:paraId="73F99537"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New Highway Coverage</w:t>
            </w:r>
          </w:p>
        </w:tc>
        <w:tc>
          <w:tcPr>
            <w:tcW w:w="1428" w:type="pct"/>
          </w:tcPr>
          <w:p w14:paraId="48DE5F7B"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Issues relate to stretches of highway with poor or no mobile coverage.</w:t>
            </w:r>
          </w:p>
        </w:tc>
      </w:tr>
      <w:tr w:rsidR="00536F9E" w:rsidRPr="00654F9E" w14:paraId="3960F11C"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60E08335" w14:textId="77777777" w:rsidR="00536F9E" w:rsidRDefault="00536F9E" w:rsidP="00536F9E">
            <w:pPr>
              <w:pStyle w:val="Tabletext"/>
            </w:pPr>
            <w:r>
              <w:t>Mount Tomah</w:t>
            </w:r>
          </w:p>
        </w:tc>
        <w:tc>
          <w:tcPr>
            <w:tcW w:w="467" w:type="pct"/>
          </w:tcPr>
          <w:p w14:paraId="20167A39"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724" w:type="pct"/>
          </w:tcPr>
          <w:p w14:paraId="195B9AC0"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p>
        </w:tc>
        <w:tc>
          <w:tcPr>
            <w:tcW w:w="893" w:type="pct"/>
          </w:tcPr>
          <w:p w14:paraId="6A4C7A82"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428" w:type="pct"/>
          </w:tcPr>
          <w:p w14:paraId="1304C75D"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appear to relate to localised areas of poor mobile coverage and/or limited capacity.</w:t>
            </w:r>
          </w:p>
        </w:tc>
      </w:tr>
      <w:tr w:rsidR="00536F9E" w:rsidRPr="00654F9E" w14:paraId="79C442A8"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570E8D19" w14:textId="77777777" w:rsidR="00536F9E" w:rsidRDefault="00536F9E" w:rsidP="00071DEE">
            <w:pPr>
              <w:pStyle w:val="Tabletext"/>
            </w:pPr>
            <w:r>
              <w:t>Mystery Bay</w:t>
            </w:r>
          </w:p>
        </w:tc>
        <w:tc>
          <w:tcPr>
            <w:tcW w:w="467" w:type="pct"/>
          </w:tcPr>
          <w:p w14:paraId="6447CE53"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724" w:type="pct"/>
          </w:tcPr>
          <w:p w14:paraId="31C3229D"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p>
        </w:tc>
        <w:tc>
          <w:tcPr>
            <w:tcW w:w="893" w:type="pct"/>
          </w:tcPr>
          <w:p w14:paraId="2613C06C"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428" w:type="pct"/>
          </w:tcPr>
          <w:p w14:paraId="5EC9AB7A"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Issues appear to relate to localised areas of poor mobile coverage and/or limited capacity.</w:t>
            </w:r>
          </w:p>
        </w:tc>
      </w:tr>
      <w:tr w:rsidR="00536F9E" w:rsidRPr="00654F9E" w14:paraId="396E7719"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793E10FA" w14:textId="77777777" w:rsidR="00536F9E" w:rsidRDefault="00536F9E" w:rsidP="00536F9E">
            <w:pPr>
              <w:pStyle w:val="Tabletext"/>
            </w:pPr>
            <w:r w:rsidRPr="009E1C92">
              <w:t xml:space="preserve">Princes Highway: </w:t>
            </w:r>
            <w:r>
              <w:t>Batemans</w:t>
            </w:r>
            <w:r w:rsidRPr="009E1C92">
              <w:t xml:space="preserve"> Bay to Eden</w:t>
            </w:r>
          </w:p>
        </w:tc>
        <w:tc>
          <w:tcPr>
            <w:tcW w:w="467" w:type="pct"/>
          </w:tcPr>
          <w:p w14:paraId="5D1E4107"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724" w:type="pct"/>
          </w:tcPr>
          <w:p w14:paraId="38826630"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Coverage audit maps identifying areas of poor or no mobile coverage will be provided for this New Highway Coverage Target Location.</w:t>
            </w:r>
          </w:p>
          <w:p w14:paraId="055294F5" w14:textId="77777777" w:rsidR="00712CD3" w:rsidRDefault="00712CD3" w:rsidP="00536F9E">
            <w:pPr>
              <w:pStyle w:val="Tabletext"/>
              <w:cnfStyle w:val="000000000000" w:firstRow="0" w:lastRow="0" w:firstColumn="0" w:lastColumn="0" w:oddVBand="0" w:evenVBand="0" w:oddHBand="0" w:evenHBand="0" w:firstRowFirstColumn="0" w:firstRowLastColumn="0" w:lastRowFirstColumn="0" w:lastRowLastColumn="0"/>
            </w:pPr>
          </w:p>
          <w:p w14:paraId="6CB18D45" w14:textId="20AAD64F" w:rsidR="00712CD3" w:rsidRDefault="00712CD3" w:rsidP="00536F9E">
            <w:pPr>
              <w:pStyle w:val="Tabletext"/>
              <w:cnfStyle w:val="000000000000" w:firstRow="0" w:lastRow="0" w:firstColumn="0" w:lastColumn="0" w:oddVBand="0" w:evenVBand="0" w:oddHBand="0" w:evenHBand="0" w:firstRowFirstColumn="0" w:firstRowLastColumn="0" w:lastRowFirstColumn="0" w:lastRowLastColumn="0"/>
            </w:pPr>
            <w:r>
              <w:t>Poor coverage reported at Lochiel (near Pambula) and Mt Darragh.</w:t>
            </w:r>
          </w:p>
        </w:tc>
        <w:tc>
          <w:tcPr>
            <w:tcW w:w="893" w:type="pct"/>
          </w:tcPr>
          <w:p w14:paraId="72858733"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New Highway Coverage</w:t>
            </w:r>
          </w:p>
        </w:tc>
        <w:tc>
          <w:tcPr>
            <w:tcW w:w="1428" w:type="pct"/>
          </w:tcPr>
          <w:p w14:paraId="07A0A88A"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relate to stretches of highway with poor or no mobile coverage.</w:t>
            </w:r>
          </w:p>
        </w:tc>
      </w:tr>
      <w:tr w:rsidR="00536F9E" w:rsidRPr="00654F9E" w14:paraId="360D3448"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5DDBC010" w14:textId="77777777" w:rsidR="00536F9E" w:rsidRDefault="00536F9E" w:rsidP="00536F9E">
            <w:pPr>
              <w:pStyle w:val="Tabletext"/>
            </w:pPr>
            <w:r>
              <w:t xml:space="preserve">Princes Highway: Ulladulla to Batemans Bay </w:t>
            </w:r>
          </w:p>
        </w:tc>
        <w:tc>
          <w:tcPr>
            <w:tcW w:w="467" w:type="pct"/>
          </w:tcPr>
          <w:p w14:paraId="526418AD"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724" w:type="pct"/>
          </w:tcPr>
          <w:p w14:paraId="65139025" w14:textId="0371E833" w:rsidR="00712CD3" w:rsidRPr="00DA2642"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Coverage audit maps identifying areas of poor or no mobile coverage will be provided for this New Highway Coverage Target Location.</w:t>
            </w:r>
          </w:p>
        </w:tc>
        <w:tc>
          <w:tcPr>
            <w:tcW w:w="893" w:type="pct"/>
          </w:tcPr>
          <w:p w14:paraId="3A8DB97A"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New Highway Coverage</w:t>
            </w:r>
          </w:p>
        </w:tc>
        <w:tc>
          <w:tcPr>
            <w:tcW w:w="1428" w:type="pct"/>
          </w:tcPr>
          <w:p w14:paraId="6A115595"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Issues relate to stretches of highway with poor or no mobile coverage.</w:t>
            </w:r>
          </w:p>
        </w:tc>
      </w:tr>
      <w:tr w:rsidR="00536F9E" w:rsidRPr="00654F9E" w14:paraId="41087F0A"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339B915D" w14:textId="77777777" w:rsidR="00536F9E" w:rsidRDefault="00536F9E" w:rsidP="00536F9E">
            <w:pPr>
              <w:pStyle w:val="Tabletext"/>
            </w:pPr>
            <w:r>
              <w:t>Snowy Mountains Highway</w:t>
            </w:r>
          </w:p>
        </w:tc>
        <w:tc>
          <w:tcPr>
            <w:tcW w:w="467" w:type="pct"/>
          </w:tcPr>
          <w:p w14:paraId="72246324"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724" w:type="pct"/>
          </w:tcPr>
          <w:p w14:paraId="78FC4B6B"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Coverage audit maps identifying areas of poor or no mobile coverage will be provided for this New Highway Coverage Target Location.</w:t>
            </w:r>
          </w:p>
        </w:tc>
        <w:tc>
          <w:tcPr>
            <w:tcW w:w="893" w:type="pct"/>
          </w:tcPr>
          <w:p w14:paraId="01E64515"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New Highway Coverage</w:t>
            </w:r>
          </w:p>
        </w:tc>
        <w:tc>
          <w:tcPr>
            <w:tcW w:w="1428" w:type="pct"/>
          </w:tcPr>
          <w:p w14:paraId="79F4D7D2"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relate to stretches of highway with poor or no mobile coverage.</w:t>
            </w:r>
          </w:p>
        </w:tc>
      </w:tr>
      <w:tr w:rsidR="00536F9E" w:rsidRPr="00654F9E" w14:paraId="5FE3244F"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7DFE74D3" w14:textId="77777777" w:rsidR="00536F9E" w:rsidRDefault="00536F9E" w:rsidP="00071DEE">
            <w:pPr>
              <w:pStyle w:val="Tabletext"/>
            </w:pPr>
            <w:r>
              <w:t>Talbingo</w:t>
            </w:r>
          </w:p>
        </w:tc>
        <w:tc>
          <w:tcPr>
            <w:tcW w:w="467" w:type="pct"/>
          </w:tcPr>
          <w:p w14:paraId="25D4CCD2"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724" w:type="pct"/>
          </w:tcPr>
          <w:p w14:paraId="6FC26C07"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Large areas of non-existent handheld coverage identified surrounding residents in Talbingo and Talbingo township.</w:t>
            </w:r>
          </w:p>
        </w:tc>
        <w:tc>
          <w:tcPr>
            <w:tcW w:w="893" w:type="pct"/>
          </w:tcPr>
          <w:p w14:paraId="10B73D49"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New Mobile Coverage</w:t>
            </w:r>
          </w:p>
        </w:tc>
        <w:tc>
          <w:tcPr>
            <w:tcW w:w="1428" w:type="pct"/>
          </w:tcPr>
          <w:p w14:paraId="60B6CCFE"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Issues appear to relate to areas of poor or no mobile coverage.</w:t>
            </w:r>
          </w:p>
        </w:tc>
      </w:tr>
      <w:tr w:rsidR="00536F9E" w:rsidRPr="00654F9E" w14:paraId="76F81936"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27F4C417" w14:textId="77777777" w:rsidR="00536F9E" w:rsidRDefault="00536F9E" w:rsidP="00071DEE">
            <w:pPr>
              <w:pStyle w:val="Tabletext"/>
            </w:pPr>
            <w:r>
              <w:t>Wee Jasper</w:t>
            </w:r>
          </w:p>
        </w:tc>
        <w:tc>
          <w:tcPr>
            <w:tcW w:w="467" w:type="pct"/>
          </w:tcPr>
          <w:p w14:paraId="74137494"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724" w:type="pct"/>
          </w:tcPr>
          <w:p w14:paraId="5BC439B4"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Large sections of the Wee Jasper area identified as having poor or non-existent handheld coverage. This includes the area surrounding the Wee Jasper Public School and Goodradigbee River Bridge, Wee Jasper Creek, and other communities.</w:t>
            </w:r>
          </w:p>
          <w:p w14:paraId="179CF5AE" w14:textId="77777777" w:rsidR="00712CD3" w:rsidRDefault="00712CD3" w:rsidP="00071DEE">
            <w:pPr>
              <w:pStyle w:val="Tabletext"/>
              <w:cnfStyle w:val="000000000000" w:firstRow="0" w:lastRow="0" w:firstColumn="0" w:lastColumn="0" w:oddVBand="0" w:evenVBand="0" w:oddHBand="0" w:evenHBand="0" w:firstRowFirstColumn="0" w:firstRowLastColumn="0" w:lastRowFirstColumn="0" w:lastRowLastColumn="0"/>
            </w:pPr>
          </w:p>
          <w:p w14:paraId="296C43E2" w14:textId="75E036F6" w:rsidR="00712CD3" w:rsidRDefault="00712CD3" w:rsidP="00071DEE">
            <w:pPr>
              <w:pStyle w:val="Tabletext"/>
              <w:cnfStyle w:val="000000000000" w:firstRow="0" w:lastRow="0" w:firstColumn="0" w:lastColumn="0" w:oddVBand="0" w:evenVBand="0" w:oddHBand="0" w:evenHBand="0" w:firstRowFirstColumn="0" w:firstRowLastColumn="0" w:lastRowFirstColumn="0" w:lastRowLastColumn="0"/>
            </w:pPr>
            <w:r>
              <w:t>Poor coverage also reported at Doctors Flat and Micalong Close.</w:t>
            </w:r>
          </w:p>
        </w:tc>
        <w:tc>
          <w:tcPr>
            <w:tcW w:w="893" w:type="pct"/>
          </w:tcPr>
          <w:p w14:paraId="39750128"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New Mobile Coverage</w:t>
            </w:r>
          </w:p>
        </w:tc>
        <w:tc>
          <w:tcPr>
            <w:tcW w:w="1428" w:type="pct"/>
          </w:tcPr>
          <w:p w14:paraId="58BA1D04"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Issues appear to relate to areas of poor or no mobile coverage.</w:t>
            </w:r>
          </w:p>
        </w:tc>
      </w:tr>
      <w:tr w:rsidR="00536F9E" w:rsidRPr="00654F9E" w14:paraId="33485731"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26EC2900" w14:textId="77777777" w:rsidR="00536F9E" w:rsidRDefault="00536F9E" w:rsidP="00071DEE">
            <w:pPr>
              <w:pStyle w:val="Tabletext"/>
            </w:pPr>
            <w:r>
              <w:t>Worrigee</w:t>
            </w:r>
          </w:p>
        </w:tc>
        <w:tc>
          <w:tcPr>
            <w:tcW w:w="467" w:type="pct"/>
          </w:tcPr>
          <w:p w14:paraId="4CEDAC8E"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724" w:type="pct"/>
          </w:tcPr>
          <w:p w14:paraId="5501AF55"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p>
        </w:tc>
        <w:tc>
          <w:tcPr>
            <w:tcW w:w="893" w:type="pct"/>
          </w:tcPr>
          <w:p w14:paraId="3CB0315C"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428" w:type="pct"/>
          </w:tcPr>
          <w:p w14:paraId="4E627C53"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3D5020BA"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7945C0DF" w14:textId="77777777" w:rsidR="00536F9E" w:rsidRPr="006A24CB" w:rsidRDefault="00536F9E" w:rsidP="00071DEE">
            <w:pPr>
              <w:pStyle w:val="Tabletext"/>
            </w:pPr>
            <w:r>
              <w:t>Wyoming</w:t>
            </w:r>
          </w:p>
        </w:tc>
        <w:tc>
          <w:tcPr>
            <w:tcW w:w="467" w:type="pct"/>
          </w:tcPr>
          <w:p w14:paraId="0405358F"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724" w:type="pct"/>
          </w:tcPr>
          <w:p w14:paraId="56E45CE1"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Poor to no mobile coverage identified specifically in the Henry Kendall Gardens and Adelene Village Retirement Villages</w:t>
            </w:r>
          </w:p>
        </w:tc>
        <w:tc>
          <w:tcPr>
            <w:tcW w:w="893" w:type="pct"/>
          </w:tcPr>
          <w:p w14:paraId="11CC0AD8"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428" w:type="pct"/>
          </w:tcPr>
          <w:p w14:paraId="5BC8B18C"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Issues appear to relate to localised areas of poor mobile coverage and/or limited capacity</w:t>
            </w:r>
          </w:p>
        </w:tc>
      </w:tr>
      <w:tr w:rsidR="00536F9E" w:rsidRPr="00654F9E" w14:paraId="29F900CB"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46044361" w14:textId="77777777" w:rsidR="00536F9E" w:rsidRDefault="00536F9E" w:rsidP="00536F9E">
            <w:pPr>
              <w:pStyle w:val="Tabletext"/>
            </w:pPr>
            <w:r>
              <w:t>Yellow Rock (2777)</w:t>
            </w:r>
          </w:p>
        </w:tc>
        <w:tc>
          <w:tcPr>
            <w:tcW w:w="467" w:type="pct"/>
          </w:tcPr>
          <w:p w14:paraId="2C99C8D7"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724" w:type="pct"/>
          </w:tcPr>
          <w:p w14:paraId="22BAA976"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p>
        </w:tc>
        <w:tc>
          <w:tcPr>
            <w:tcW w:w="893" w:type="pct"/>
          </w:tcPr>
          <w:p w14:paraId="6E03E709"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428" w:type="pct"/>
          </w:tcPr>
          <w:p w14:paraId="26C335F0"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00CCB747"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50A045F6" w14:textId="77777777" w:rsidR="00536F9E" w:rsidRDefault="00536F9E" w:rsidP="00536F9E">
            <w:pPr>
              <w:pStyle w:val="Tabletext"/>
            </w:pPr>
            <w:r>
              <w:t>East Douglas (Townsville Region)</w:t>
            </w:r>
          </w:p>
        </w:tc>
        <w:tc>
          <w:tcPr>
            <w:tcW w:w="467" w:type="pct"/>
          </w:tcPr>
          <w:p w14:paraId="2FA8BC85"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QLD</w:t>
            </w:r>
          </w:p>
        </w:tc>
        <w:tc>
          <w:tcPr>
            <w:tcW w:w="1724" w:type="pct"/>
          </w:tcPr>
          <w:p w14:paraId="7754FF19"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p>
        </w:tc>
        <w:tc>
          <w:tcPr>
            <w:tcW w:w="893" w:type="pct"/>
          </w:tcPr>
          <w:p w14:paraId="12CB588C"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428" w:type="pct"/>
          </w:tcPr>
          <w:p w14:paraId="1E10AD15"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 xml:space="preserve">Issues appear to relate to mobile capacity and/or poor indoor coverage. </w:t>
            </w:r>
          </w:p>
        </w:tc>
      </w:tr>
      <w:tr w:rsidR="00536F9E" w:rsidRPr="00654F9E" w14:paraId="41C11690"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489FDE8F" w14:textId="77777777" w:rsidR="00536F9E" w:rsidRDefault="00536F9E" w:rsidP="00536F9E">
            <w:pPr>
              <w:pStyle w:val="Tabletext"/>
            </w:pPr>
            <w:r>
              <w:t>Emerald (south west)</w:t>
            </w:r>
          </w:p>
        </w:tc>
        <w:tc>
          <w:tcPr>
            <w:tcW w:w="467" w:type="pct"/>
          </w:tcPr>
          <w:p w14:paraId="3829DD88"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QLD</w:t>
            </w:r>
          </w:p>
        </w:tc>
        <w:tc>
          <w:tcPr>
            <w:tcW w:w="1724" w:type="pct"/>
          </w:tcPr>
          <w:p w14:paraId="39247795"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p>
        </w:tc>
        <w:tc>
          <w:tcPr>
            <w:tcW w:w="893" w:type="pct"/>
          </w:tcPr>
          <w:p w14:paraId="470C6C6A"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428" w:type="pct"/>
          </w:tcPr>
          <w:p w14:paraId="42A7FDD1"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Issues appear to relate to localised areas of poor mobile coverage and/or limited capacity.</w:t>
            </w:r>
          </w:p>
        </w:tc>
      </w:tr>
      <w:tr w:rsidR="00536F9E" w:rsidRPr="00654F9E" w14:paraId="7C53533D"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278B71C6" w14:textId="77777777" w:rsidR="00536F9E" w:rsidRDefault="00536F9E" w:rsidP="00536F9E">
            <w:pPr>
              <w:pStyle w:val="Tabletext"/>
            </w:pPr>
            <w:r>
              <w:t>Kuranda (</w:t>
            </w:r>
            <w:r w:rsidRPr="006A24CB">
              <w:t>West)</w:t>
            </w:r>
            <w:r>
              <w:t xml:space="preserve"> </w:t>
            </w:r>
          </w:p>
        </w:tc>
        <w:tc>
          <w:tcPr>
            <w:tcW w:w="467" w:type="pct"/>
          </w:tcPr>
          <w:p w14:paraId="2B987C24"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QLD</w:t>
            </w:r>
          </w:p>
        </w:tc>
        <w:tc>
          <w:tcPr>
            <w:tcW w:w="1724" w:type="pct"/>
          </w:tcPr>
          <w:p w14:paraId="13DF484C"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Patches of poor to non-existent handheld coverage identified in the west Kuranda region, west of Kuranda village—including districts of Myola, Dismal Creek, and Kowrowa</w:t>
            </w:r>
          </w:p>
        </w:tc>
        <w:tc>
          <w:tcPr>
            <w:tcW w:w="893" w:type="pct"/>
          </w:tcPr>
          <w:p w14:paraId="77E54F91"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New Mobile Coverage</w:t>
            </w:r>
          </w:p>
        </w:tc>
        <w:tc>
          <w:tcPr>
            <w:tcW w:w="1428" w:type="pct"/>
          </w:tcPr>
          <w:p w14:paraId="332A6437"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appear to relate to areas of poor or no mobile coverage.</w:t>
            </w:r>
          </w:p>
        </w:tc>
      </w:tr>
      <w:tr w:rsidR="00536F9E" w:rsidRPr="00654F9E" w14:paraId="4E5B8BB3"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23AD5362" w14:textId="77777777" w:rsidR="00536F9E" w:rsidRDefault="00536F9E" w:rsidP="00536F9E">
            <w:pPr>
              <w:pStyle w:val="Tabletext"/>
            </w:pPr>
            <w:r>
              <w:t>Upper Stone</w:t>
            </w:r>
          </w:p>
        </w:tc>
        <w:tc>
          <w:tcPr>
            <w:tcW w:w="467" w:type="pct"/>
          </w:tcPr>
          <w:p w14:paraId="4B6492C5"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QLD</w:t>
            </w:r>
          </w:p>
        </w:tc>
        <w:tc>
          <w:tcPr>
            <w:tcW w:w="1724" w:type="pct"/>
          </w:tcPr>
          <w:p w14:paraId="6C5F63EF"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Large areas of poor to non-existent handheld coverage identified in the Upper Stone area.</w:t>
            </w:r>
          </w:p>
        </w:tc>
        <w:tc>
          <w:tcPr>
            <w:tcW w:w="893" w:type="pct"/>
          </w:tcPr>
          <w:p w14:paraId="2289B5E5"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New Mobile Coverage</w:t>
            </w:r>
          </w:p>
        </w:tc>
        <w:tc>
          <w:tcPr>
            <w:tcW w:w="1428" w:type="pct"/>
          </w:tcPr>
          <w:p w14:paraId="1813E597"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Issues appear to relate to areas of poor or no mobile coverage.</w:t>
            </w:r>
          </w:p>
        </w:tc>
      </w:tr>
      <w:tr w:rsidR="00536F9E" w:rsidRPr="00654F9E" w14:paraId="0E24EAC1"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290B348F" w14:textId="77777777" w:rsidR="00536F9E" w:rsidRDefault="00536F9E" w:rsidP="00536F9E">
            <w:pPr>
              <w:pStyle w:val="Tabletext"/>
            </w:pPr>
            <w:r>
              <w:t>Cudlee Creek</w:t>
            </w:r>
          </w:p>
        </w:tc>
        <w:tc>
          <w:tcPr>
            <w:tcW w:w="467" w:type="pct"/>
          </w:tcPr>
          <w:p w14:paraId="2DEC2652"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SA</w:t>
            </w:r>
          </w:p>
        </w:tc>
        <w:tc>
          <w:tcPr>
            <w:tcW w:w="1724" w:type="pct"/>
          </w:tcPr>
          <w:p w14:paraId="5786DF7F" w14:textId="060A4B0A" w:rsidR="00536F9E" w:rsidRDefault="00712CD3" w:rsidP="00536F9E">
            <w:pPr>
              <w:pStyle w:val="Tabletext"/>
              <w:cnfStyle w:val="000000000000" w:firstRow="0" w:lastRow="0" w:firstColumn="0" w:lastColumn="0" w:oddVBand="0" w:evenVBand="0" w:oddHBand="0" w:evenHBand="0" w:firstRowFirstColumn="0" w:firstRowLastColumn="0" w:lastRowFirstColumn="0" w:lastRowLastColumn="0"/>
            </w:pPr>
            <w:r>
              <w:t xml:space="preserve">Poor coverage reported at </w:t>
            </w:r>
            <w:r w:rsidRPr="00712CD3">
              <w:t xml:space="preserve">Fox Creek Road, Croft Road, Hannaford Road and Redden Drive; Cudlee Creek Road; Cudlee Creek Cafe, Cudlee Creek CFS station, Cudlee Creek Hall </w:t>
            </w:r>
            <w:r w:rsidR="00CB06A7">
              <w:t xml:space="preserve">(on </w:t>
            </w:r>
            <w:r w:rsidRPr="00712CD3">
              <w:t>Gorge Road</w:t>
            </w:r>
            <w:r w:rsidR="00CB06A7">
              <w:t>)</w:t>
            </w:r>
            <w:r w:rsidRPr="00712CD3">
              <w:t>; Retreat Valley Roa</w:t>
            </w:r>
            <w:r w:rsidR="00CB06A7">
              <w:t>d</w:t>
            </w:r>
            <w:r w:rsidRPr="00712CD3">
              <w:t>.</w:t>
            </w:r>
          </w:p>
        </w:tc>
        <w:tc>
          <w:tcPr>
            <w:tcW w:w="893" w:type="pct"/>
          </w:tcPr>
          <w:p w14:paraId="6C38DE74"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428" w:type="pct"/>
          </w:tcPr>
          <w:p w14:paraId="5CBB07BE"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appear to relate to localised areas of poor mobile coverage and/or limited capacity.</w:t>
            </w:r>
          </w:p>
        </w:tc>
      </w:tr>
      <w:tr w:rsidR="00536F9E" w:rsidRPr="00654F9E" w14:paraId="13725D66"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394EA2B7" w14:textId="77777777" w:rsidR="00536F9E" w:rsidRDefault="00536F9E" w:rsidP="00536F9E">
            <w:pPr>
              <w:pStyle w:val="Tabletext"/>
            </w:pPr>
            <w:r>
              <w:t>Port Rickaby</w:t>
            </w:r>
          </w:p>
        </w:tc>
        <w:tc>
          <w:tcPr>
            <w:tcW w:w="467" w:type="pct"/>
          </w:tcPr>
          <w:p w14:paraId="18C50D97"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SA</w:t>
            </w:r>
          </w:p>
        </w:tc>
        <w:tc>
          <w:tcPr>
            <w:tcW w:w="1724" w:type="pct"/>
          </w:tcPr>
          <w:p w14:paraId="5AA71BCB"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p>
        </w:tc>
        <w:tc>
          <w:tcPr>
            <w:tcW w:w="893" w:type="pct"/>
          </w:tcPr>
          <w:p w14:paraId="57E20E97"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428" w:type="pct"/>
          </w:tcPr>
          <w:p w14:paraId="16569A83"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29B676F0"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2575C24F" w14:textId="77777777" w:rsidR="00536F9E" w:rsidRDefault="00536F9E" w:rsidP="00536F9E">
            <w:pPr>
              <w:pStyle w:val="Tabletext"/>
            </w:pPr>
            <w:r>
              <w:t>Rapid Bay</w:t>
            </w:r>
          </w:p>
        </w:tc>
        <w:tc>
          <w:tcPr>
            <w:tcW w:w="467" w:type="pct"/>
          </w:tcPr>
          <w:p w14:paraId="31AC29A4"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SA</w:t>
            </w:r>
          </w:p>
        </w:tc>
        <w:tc>
          <w:tcPr>
            <w:tcW w:w="1724" w:type="pct"/>
          </w:tcPr>
          <w:p w14:paraId="34C6435C" w14:textId="13144F9D" w:rsidR="00536F9E" w:rsidRDefault="00334356" w:rsidP="00536F9E">
            <w:pPr>
              <w:pStyle w:val="Tabletext"/>
              <w:cnfStyle w:val="000000000000" w:firstRow="0" w:lastRow="0" w:firstColumn="0" w:lastColumn="0" w:oddVBand="0" w:evenVBand="0" w:oddHBand="0" w:evenHBand="0" w:firstRowFirstColumn="0" w:firstRowLastColumn="0" w:lastRowFirstColumn="0" w:lastRowLastColumn="0"/>
            </w:pPr>
            <w:r>
              <w:t>Poor coverage reported at Rapid Bay Primary School and Rapid Bay Cricket Club/Oval.</w:t>
            </w:r>
          </w:p>
        </w:tc>
        <w:tc>
          <w:tcPr>
            <w:tcW w:w="893" w:type="pct"/>
          </w:tcPr>
          <w:p w14:paraId="3512DE8A"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428" w:type="pct"/>
          </w:tcPr>
          <w:p w14:paraId="2FF01DDD"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 xml:space="preserve">Issues appear to relate to mobile capacity and/or poor indoor coverage. </w:t>
            </w:r>
          </w:p>
        </w:tc>
      </w:tr>
      <w:tr w:rsidR="00536F9E" w:rsidRPr="00654F9E" w14:paraId="3A298F5D"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57FD8BE2" w14:textId="77777777" w:rsidR="00536F9E" w:rsidRDefault="00536F9E" w:rsidP="00536F9E">
            <w:pPr>
              <w:pStyle w:val="Tabletext"/>
            </w:pPr>
            <w:r>
              <w:t>Wool Bay</w:t>
            </w:r>
          </w:p>
        </w:tc>
        <w:tc>
          <w:tcPr>
            <w:tcW w:w="467" w:type="pct"/>
          </w:tcPr>
          <w:p w14:paraId="34EC4DDF"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SA</w:t>
            </w:r>
          </w:p>
        </w:tc>
        <w:tc>
          <w:tcPr>
            <w:tcW w:w="1724" w:type="pct"/>
          </w:tcPr>
          <w:p w14:paraId="687425A6"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p>
        </w:tc>
        <w:tc>
          <w:tcPr>
            <w:tcW w:w="893" w:type="pct"/>
          </w:tcPr>
          <w:p w14:paraId="4AD52FA4"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428" w:type="pct"/>
          </w:tcPr>
          <w:p w14:paraId="6F91745A"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41D1A783"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676DC790" w14:textId="77777777" w:rsidR="00536F9E" w:rsidRDefault="00536F9E" w:rsidP="00536F9E">
            <w:pPr>
              <w:pStyle w:val="Tabletext"/>
            </w:pPr>
            <w:r>
              <w:t>Alonnah (South Bruny Island)</w:t>
            </w:r>
          </w:p>
        </w:tc>
        <w:tc>
          <w:tcPr>
            <w:tcW w:w="467" w:type="pct"/>
          </w:tcPr>
          <w:p w14:paraId="798DC4E9"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TAS</w:t>
            </w:r>
          </w:p>
        </w:tc>
        <w:tc>
          <w:tcPr>
            <w:tcW w:w="1724" w:type="pct"/>
          </w:tcPr>
          <w:p w14:paraId="1420557C" w14:textId="77777777" w:rsidR="00904965" w:rsidRDefault="00904965" w:rsidP="00536F9E">
            <w:pPr>
              <w:pStyle w:val="Tabletext"/>
              <w:cnfStyle w:val="000000000000" w:firstRow="0" w:lastRow="0" w:firstColumn="0" w:lastColumn="0" w:oddVBand="0" w:evenVBand="0" w:oddHBand="0" w:evenHBand="0" w:firstRowFirstColumn="0" w:firstRowLastColumn="0" w:lastRowFirstColumn="0" w:lastRowLastColumn="0"/>
            </w:pPr>
            <w:r>
              <w:t>The Government’s election</w:t>
            </w:r>
            <w:r w:rsidRPr="00E405AF">
              <w:t xml:space="preserve"> commitment</w:t>
            </w:r>
            <w:r>
              <w:t xml:space="preserve"> is for a</w:t>
            </w:r>
            <w:r w:rsidRPr="00E405AF">
              <w:t xml:space="preserve"> small cell solution to </w:t>
            </w:r>
            <w:r>
              <w:t>improve mobile</w:t>
            </w:r>
            <w:r w:rsidRPr="00E405AF">
              <w:t xml:space="preserve"> coverage in</w:t>
            </w:r>
            <w:r>
              <w:t xml:space="preserve"> Alonnah. </w:t>
            </w:r>
          </w:p>
          <w:p w14:paraId="0CA6FB77" w14:textId="77777777" w:rsidR="00904965" w:rsidRDefault="00904965" w:rsidP="00536F9E">
            <w:pPr>
              <w:pStyle w:val="Tabletext"/>
              <w:cnfStyle w:val="000000000000" w:firstRow="0" w:lastRow="0" w:firstColumn="0" w:lastColumn="0" w:oddVBand="0" w:evenVBand="0" w:oddHBand="0" w:evenHBand="0" w:firstRowFirstColumn="0" w:firstRowLastColumn="0" w:lastRowFirstColumn="0" w:lastRowLastColumn="0"/>
            </w:pPr>
          </w:p>
          <w:p w14:paraId="4EC82A89" w14:textId="02E7AB65" w:rsidR="00536F9E" w:rsidRPr="00B9218B" w:rsidRDefault="00536F9E" w:rsidP="00536F9E">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593FE1">
              <w:t xml:space="preserve">Patches of poor to non-existent coverage identified </w:t>
            </w:r>
            <w:r>
              <w:t>at Alonnah, Bruny Island.</w:t>
            </w:r>
          </w:p>
        </w:tc>
        <w:tc>
          <w:tcPr>
            <w:tcW w:w="893" w:type="pct"/>
          </w:tcPr>
          <w:p w14:paraId="7014A867"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New Mobile Coverage</w:t>
            </w:r>
          </w:p>
        </w:tc>
        <w:tc>
          <w:tcPr>
            <w:tcW w:w="1428" w:type="pct"/>
          </w:tcPr>
          <w:p w14:paraId="638D6111"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appear to relate to areas of poor or no mobile coverage.</w:t>
            </w:r>
          </w:p>
        </w:tc>
      </w:tr>
      <w:tr w:rsidR="00536F9E" w:rsidRPr="00654F9E" w14:paraId="27B03CE8"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23141A5E" w14:textId="77777777" w:rsidR="00536F9E" w:rsidRDefault="00536F9E" w:rsidP="00536F9E">
            <w:pPr>
              <w:pStyle w:val="Tabletext"/>
            </w:pPr>
            <w:r>
              <w:t>Ansons Bay</w:t>
            </w:r>
          </w:p>
        </w:tc>
        <w:tc>
          <w:tcPr>
            <w:tcW w:w="467" w:type="pct"/>
          </w:tcPr>
          <w:p w14:paraId="55445074"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TAS</w:t>
            </w:r>
          </w:p>
        </w:tc>
        <w:tc>
          <w:tcPr>
            <w:tcW w:w="1724" w:type="pct"/>
          </w:tcPr>
          <w:p w14:paraId="38CF56D8"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Areas of poor to non-existent coverage identified in Ansons Bay township areas along the coast of Ansons Bay and Shark Bay.</w:t>
            </w:r>
          </w:p>
        </w:tc>
        <w:tc>
          <w:tcPr>
            <w:tcW w:w="893" w:type="pct"/>
          </w:tcPr>
          <w:p w14:paraId="05437B1B"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New Mobile Coverage</w:t>
            </w:r>
          </w:p>
        </w:tc>
        <w:tc>
          <w:tcPr>
            <w:tcW w:w="1428" w:type="pct"/>
          </w:tcPr>
          <w:p w14:paraId="08D67E19"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Issues appear to relate to areas of poor or no mobile coverage.</w:t>
            </w:r>
          </w:p>
        </w:tc>
      </w:tr>
      <w:tr w:rsidR="00536F9E" w:rsidRPr="00654F9E" w14:paraId="72FB472B"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2F1D501F" w14:textId="77777777" w:rsidR="00536F9E" w:rsidRPr="00BF1B38" w:rsidRDefault="00536F9E" w:rsidP="00536F9E">
            <w:pPr>
              <w:pStyle w:val="Tabletext"/>
            </w:pPr>
            <w:r w:rsidRPr="00BF1B38">
              <w:t>Grindelwald</w:t>
            </w:r>
          </w:p>
        </w:tc>
        <w:tc>
          <w:tcPr>
            <w:tcW w:w="467" w:type="pct"/>
          </w:tcPr>
          <w:p w14:paraId="129785D0"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TAS</w:t>
            </w:r>
          </w:p>
        </w:tc>
        <w:tc>
          <w:tcPr>
            <w:tcW w:w="1724" w:type="pct"/>
          </w:tcPr>
          <w:p w14:paraId="59F53A27" w14:textId="77777777" w:rsidR="00536F9E" w:rsidRPr="007D458C"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 xml:space="preserve">Poor handheld quality of service identified in Grindelwald township. Poor quality of service identified in areas near Waldhorn Dr and Atkinsons Rd. Poor coverage and quality of service identified near residential tourist resort, Aspect Tamar Valley. Poor coverage and quality of service identified </w:t>
            </w:r>
            <w:r w:rsidRPr="00B70E64">
              <w:t>surrounding retirement villages and complexes in Grindelwald.</w:t>
            </w:r>
          </w:p>
        </w:tc>
        <w:tc>
          <w:tcPr>
            <w:tcW w:w="893" w:type="pct"/>
          </w:tcPr>
          <w:p w14:paraId="2FC4CFD9"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428" w:type="pct"/>
          </w:tcPr>
          <w:p w14:paraId="2C667DF7"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appear to relate to localised areas of poor mobile coverage and/or limited capacity.</w:t>
            </w:r>
          </w:p>
        </w:tc>
      </w:tr>
      <w:tr w:rsidR="00536F9E" w:rsidRPr="00654F9E" w14:paraId="77754803"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2CE61FAE" w14:textId="77777777" w:rsidR="00536F9E" w:rsidRPr="00725E86" w:rsidRDefault="00536F9E" w:rsidP="00536F9E">
            <w:pPr>
              <w:pStyle w:val="Tabletext"/>
              <w:rPr>
                <w:highlight w:val="yellow"/>
              </w:rPr>
            </w:pPr>
            <w:r>
              <w:t>Queenstown</w:t>
            </w:r>
          </w:p>
        </w:tc>
        <w:tc>
          <w:tcPr>
            <w:tcW w:w="467" w:type="pct"/>
          </w:tcPr>
          <w:p w14:paraId="135A0EC9"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TAS</w:t>
            </w:r>
          </w:p>
        </w:tc>
        <w:tc>
          <w:tcPr>
            <w:tcW w:w="1724" w:type="pct"/>
          </w:tcPr>
          <w:p w14:paraId="00F5EDD2" w14:textId="77777777" w:rsidR="00536F9E" w:rsidRPr="00E50342"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Network congestions and periods of intermittent handheld coverage identified in Queenstown township during peak tourist season. Poor quality of service and/or poor handheld coverage also identified in areas of Queenstown, including areas near Lyell Highway. Poor coverage also identified surrounding premises near Lovett St in the south of Queenstown. </w:t>
            </w:r>
          </w:p>
        </w:tc>
        <w:tc>
          <w:tcPr>
            <w:tcW w:w="893" w:type="pct"/>
          </w:tcPr>
          <w:p w14:paraId="75B138A0"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428" w:type="pct"/>
          </w:tcPr>
          <w:p w14:paraId="2AD639D4"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Issues appear to relate to localised areas of poor mobile coverage and/or limited capacity.</w:t>
            </w:r>
          </w:p>
        </w:tc>
      </w:tr>
      <w:tr w:rsidR="00536F9E" w:rsidRPr="00654F9E" w14:paraId="4862903A"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69589EA9" w14:textId="77777777" w:rsidR="00536F9E" w:rsidRPr="00725E86" w:rsidRDefault="00536F9E" w:rsidP="00536F9E">
            <w:pPr>
              <w:pStyle w:val="Tabletext"/>
              <w:rPr>
                <w:highlight w:val="yellow"/>
              </w:rPr>
            </w:pPr>
            <w:r>
              <w:t>Sheffield</w:t>
            </w:r>
          </w:p>
        </w:tc>
        <w:tc>
          <w:tcPr>
            <w:tcW w:w="467" w:type="pct"/>
          </w:tcPr>
          <w:p w14:paraId="07CBB81A"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TAS</w:t>
            </w:r>
          </w:p>
        </w:tc>
        <w:tc>
          <w:tcPr>
            <w:tcW w:w="1724" w:type="pct"/>
          </w:tcPr>
          <w:p w14:paraId="27F99095"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Poor to non-existent coverage identified in Sheffield township, and in wider areas surrounding the township in the Sheffield area</w:t>
            </w:r>
            <w:r w:rsidRPr="00B70E64">
              <w:t>, including hilly areas of Lizard Hill and near Kimberley’s lookout.</w:t>
            </w:r>
          </w:p>
          <w:p w14:paraId="32143149" w14:textId="77777777" w:rsidR="00334356" w:rsidRDefault="00334356" w:rsidP="00536F9E">
            <w:pPr>
              <w:pStyle w:val="Tabletext"/>
              <w:cnfStyle w:val="000000000000" w:firstRow="0" w:lastRow="0" w:firstColumn="0" w:lastColumn="0" w:oddVBand="0" w:evenVBand="0" w:oddHBand="0" w:evenHBand="0" w:firstRowFirstColumn="0" w:firstRowLastColumn="0" w:lastRowFirstColumn="0" w:lastRowLastColumn="0"/>
            </w:pPr>
          </w:p>
          <w:p w14:paraId="2D6276D8" w14:textId="13B7EB72" w:rsidR="00334356" w:rsidRDefault="00334356" w:rsidP="00536F9E">
            <w:pPr>
              <w:pStyle w:val="Tabletext"/>
              <w:cnfStyle w:val="000000000000" w:firstRow="0" w:lastRow="0" w:firstColumn="0" w:lastColumn="0" w:oddVBand="0" w:evenVBand="0" w:oddHBand="0" w:evenHBand="0" w:firstRowFirstColumn="0" w:firstRowLastColumn="0" w:lastRowFirstColumn="0" w:lastRowLastColumn="0"/>
            </w:pPr>
            <w:r>
              <w:t xml:space="preserve">Poor </w:t>
            </w:r>
            <w:r w:rsidR="004A291E">
              <w:t>reception</w:t>
            </w:r>
            <w:r>
              <w:t xml:space="preserve"> </w:t>
            </w:r>
            <w:r w:rsidR="004A291E">
              <w:t xml:space="preserve">also </w:t>
            </w:r>
            <w:r>
              <w:t>reported at Claude Road Hall.</w:t>
            </w:r>
          </w:p>
        </w:tc>
        <w:tc>
          <w:tcPr>
            <w:tcW w:w="893" w:type="pct"/>
          </w:tcPr>
          <w:p w14:paraId="3575F531"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New Mobile Coverage</w:t>
            </w:r>
          </w:p>
        </w:tc>
        <w:tc>
          <w:tcPr>
            <w:tcW w:w="1428" w:type="pct"/>
          </w:tcPr>
          <w:p w14:paraId="094C1F89"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appear to relate to areas of poor or no mobile coverage.</w:t>
            </w:r>
          </w:p>
        </w:tc>
      </w:tr>
      <w:tr w:rsidR="00536F9E" w:rsidRPr="00654F9E" w14:paraId="7233B177"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0843E986" w14:textId="77777777" w:rsidR="00536F9E" w:rsidRPr="00725E86" w:rsidRDefault="00536F9E" w:rsidP="00536F9E">
            <w:pPr>
              <w:pStyle w:val="Tabletext"/>
              <w:rPr>
                <w:highlight w:val="yellow"/>
              </w:rPr>
            </w:pPr>
            <w:r>
              <w:t>Tea Tree</w:t>
            </w:r>
          </w:p>
        </w:tc>
        <w:tc>
          <w:tcPr>
            <w:tcW w:w="467" w:type="pct"/>
          </w:tcPr>
          <w:p w14:paraId="30627519"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TAS</w:t>
            </w:r>
          </w:p>
        </w:tc>
        <w:tc>
          <w:tcPr>
            <w:tcW w:w="1724" w:type="pct"/>
          </w:tcPr>
          <w:p w14:paraId="4C331B7E" w14:textId="473E5835" w:rsidR="00536F9E" w:rsidRDefault="00334356" w:rsidP="00536F9E">
            <w:pPr>
              <w:pStyle w:val="Tabletext"/>
              <w:cnfStyle w:val="000000010000" w:firstRow="0" w:lastRow="0" w:firstColumn="0" w:lastColumn="0" w:oddVBand="0" w:evenVBand="0" w:oddHBand="0" w:evenHBand="1" w:firstRowFirstColumn="0" w:firstRowLastColumn="0" w:lastRowFirstColumn="0" w:lastRowLastColumn="0"/>
            </w:pPr>
            <w:r>
              <w:t xml:space="preserve">Poor </w:t>
            </w:r>
            <w:r w:rsidR="004A291E">
              <w:t>reception</w:t>
            </w:r>
            <w:r>
              <w:t xml:space="preserve"> reported on Back Tea Tree Rd and Tea Tree Rd, as well as Pontville (near Brighton).</w:t>
            </w:r>
          </w:p>
        </w:tc>
        <w:tc>
          <w:tcPr>
            <w:tcW w:w="893" w:type="pct"/>
          </w:tcPr>
          <w:p w14:paraId="5FB2A1B0"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New Mobile Coverage</w:t>
            </w:r>
          </w:p>
        </w:tc>
        <w:tc>
          <w:tcPr>
            <w:tcW w:w="1428" w:type="pct"/>
          </w:tcPr>
          <w:p w14:paraId="62F1D2DF"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Issues appear to relate to areas of poor or no mobile coverage.</w:t>
            </w:r>
          </w:p>
        </w:tc>
      </w:tr>
      <w:tr w:rsidR="00536F9E" w:rsidRPr="00654F9E" w14:paraId="45A1E2E5"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442C171E" w14:textId="77777777" w:rsidR="00536F9E" w:rsidRDefault="00536F9E" w:rsidP="00536F9E">
            <w:pPr>
              <w:pStyle w:val="Tabletext"/>
            </w:pPr>
            <w:r>
              <w:t>Togari</w:t>
            </w:r>
          </w:p>
        </w:tc>
        <w:tc>
          <w:tcPr>
            <w:tcW w:w="467" w:type="pct"/>
          </w:tcPr>
          <w:p w14:paraId="6A7FC186"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TAS</w:t>
            </w:r>
          </w:p>
        </w:tc>
        <w:tc>
          <w:tcPr>
            <w:tcW w:w="1724" w:type="pct"/>
          </w:tcPr>
          <w:p w14:paraId="42301389" w14:textId="2B7D743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Areas of poor to no coverage identified in Togari.</w:t>
            </w:r>
            <w:r w:rsidR="00334356">
              <w:t xml:space="preserve"> Poor </w:t>
            </w:r>
            <w:r w:rsidR="004A291E">
              <w:t>reception</w:t>
            </w:r>
            <w:r w:rsidR="00334356">
              <w:t xml:space="preserve"> reported between Brittons Swamp and Togari towards Redpa.</w:t>
            </w:r>
          </w:p>
        </w:tc>
        <w:tc>
          <w:tcPr>
            <w:tcW w:w="893" w:type="pct"/>
          </w:tcPr>
          <w:p w14:paraId="496A5126"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New Mobile Coverage</w:t>
            </w:r>
          </w:p>
        </w:tc>
        <w:tc>
          <w:tcPr>
            <w:tcW w:w="1428" w:type="pct"/>
          </w:tcPr>
          <w:p w14:paraId="0EB80B9B"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appear to relate to areas of poor or no mobile coverage.</w:t>
            </w:r>
          </w:p>
        </w:tc>
      </w:tr>
      <w:tr w:rsidR="00536F9E" w:rsidRPr="00654F9E" w14:paraId="460CB3B0"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6E8A3DC3" w14:textId="77777777" w:rsidR="00536F9E" w:rsidRDefault="00536F9E" w:rsidP="00536F9E">
            <w:pPr>
              <w:pStyle w:val="Tabletext"/>
            </w:pPr>
            <w:r>
              <w:t>Verona Sands</w:t>
            </w:r>
          </w:p>
        </w:tc>
        <w:tc>
          <w:tcPr>
            <w:tcW w:w="467" w:type="pct"/>
          </w:tcPr>
          <w:p w14:paraId="4870421F"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TAS</w:t>
            </w:r>
          </w:p>
        </w:tc>
        <w:tc>
          <w:tcPr>
            <w:tcW w:w="1724" w:type="pct"/>
          </w:tcPr>
          <w:p w14:paraId="15A588D7" w14:textId="77777777" w:rsidR="00536F9E" w:rsidRPr="00BF1B38" w:rsidRDefault="00536F9E" w:rsidP="00536F9E">
            <w:pPr>
              <w:pStyle w:val="Tabletext"/>
              <w:cnfStyle w:val="000000010000" w:firstRow="0" w:lastRow="0" w:firstColumn="0" w:lastColumn="0" w:oddVBand="0" w:evenVBand="0" w:oddHBand="0" w:evenHBand="1" w:firstRowFirstColumn="0" w:firstRowLastColumn="0" w:lastRowFirstColumn="0" w:lastRowLastColumn="0"/>
            </w:pPr>
          </w:p>
        </w:tc>
        <w:tc>
          <w:tcPr>
            <w:tcW w:w="893" w:type="pct"/>
          </w:tcPr>
          <w:p w14:paraId="0A7F50F6"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428" w:type="pct"/>
          </w:tcPr>
          <w:p w14:paraId="5151B154"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3BBDA248"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70564E69" w14:textId="77777777" w:rsidR="00536F9E" w:rsidRPr="00BF1B38" w:rsidRDefault="00536F9E" w:rsidP="00536F9E">
            <w:pPr>
              <w:pStyle w:val="Tabletext"/>
            </w:pPr>
            <w:r w:rsidRPr="00BF1B38">
              <w:t>West</w:t>
            </w:r>
            <w:r>
              <w:t xml:space="preserve"> Tamar Highway (leading into Kelso)</w:t>
            </w:r>
          </w:p>
        </w:tc>
        <w:tc>
          <w:tcPr>
            <w:tcW w:w="467" w:type="pct"/>
          </w:tcPr>
          <w:p w14:paraId="3A0B0C6E"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TAS</w:t>
            </w:r>
          </w:p>
        </w:tc>
        <w:tc>
          <w:tcPr>
            <w:tcW w:w="1724" w:type="pct"/>
          </w:tcPr>
          <w:p w14:paraId="54E89C38"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Coverage audit maps identifying areas of poor or no mobile coverage will be provided for this New Highway Coverage Target Location.</w:t>
            </w:r>
          </w:p>
        </w:tc>
        <w:tc>
          <w:tcPr>
            <w:tcW w:w="893" w:type="pct"/>
          </w:tcPr>
          <w:p w14:paraId="7ABDFC63"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New Highway Coverage</w:t>
            </w:r>
          </w:p>
        </w:tc>
        <w:tc>
          <w:tcPr>
            <w:tcW w:w="1428" w:type="pct"/>
          </w:tcPr>
          <w:p w14:paraId="65885F51"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relate to stretches of highway with poor or no mobile coverage.</w:t>
            </w:r>
          </w:p>
        </w:tc>
      </w:tr>
      <w:tr w:rsidR="00536F9E" w:rsidRPr="00654F9E" w14:paraId="16F8E54A"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750787A8" w14:textId="77777777" w:rsidR="00536F9E" w:rsidRDefault="00536F9E" w:rsidP="00536F9E">
            <w:pPr>
              <w:pStyle w:val="Tabletext"/>
            </w:pPr>
            <w:r>
              <w:t>Gisborne South</w:t>
            </w:r>
          </w:p>
        </w:tc>
        <w:tc>
          <w:tcPr>
            <w:tcW w:w="467" w:type="pct"/>
          </w:tcPr>
          <w:p w14:paraId="3CEC40A0"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VIC</w:t>
            </w:r>
          </w:p>
        </w:tc>
        <w:tc>
          <w:tcPr>
            <w:tcW w:w="1724" w:type="pct"/>
          </w:tcPr>
          <w:p w14:paraId="4E78190F"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p>
        </w:tc>
        <w:tc>
          <w:tcPr>
            <w:tcW w:w="893" w:type="pct"/>
          </w:tcPr>
          <w:p w14:paraId="7066339B"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428" w:type="pct"/>
          </w:tcPr>
          <w:p w14:paraId="1BD6B560"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1FEECCC4"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65811150" w14:textId="77777777" w:rsidR="00536F9E" w:rsidRDefault="00536F9E" w:rsidP="00536F9E">
            <w:pPr>
              <w:pStyle w:val="Tabletext"/>
            </w:pPr>
            <w:r>
              <w:t>St Leonards</w:t>
            </w:r>
          </w:p>
        </w:tc>
        <w:tc>
          <w:tcPr>
            <w:tcW w:w="467" w:type="pct"/>
          </w:tcPr>
          <w:p w14:paraId="23820434"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VIC</w:t>
            </w:r>
          </w:p>
        </w:tc>
        <w:tc>
          <w:tcPr>
            <w:tcW w:w="1724" w:type="pct"/>
          </w:tcPr>
          <w:p w14:paraId="0C7D3D87" w14:textId="77777777" w:rsidR="00334356"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Areas of poor indoor handheld reception signal strength or quality of service issues identified in St Leonards.</w:t>
            </w:r>
            <w:r w:rsidR="00334356">
              <w:t xml:space="preserve"> </w:t>
            </w:r>
          </w:p>
          <w:p w14:paraId="09AA59B8" w14:textId="77777777" w:rsidR="00334356" w:rsidRDefault="00334356" w:rsidP="00536F9E">
            <w:pPr>
              <w:pStyle w:val="Tabletext"/>
              <w:cnfStyle w:val="000000000000" w:firstRow="0" w:lastRow="0" w:firstColumn="0" w:lastColumn="0" w:oddVBand="0" w:evenVBand="0" w:oddHBand="0" w:evenHBand="0" w:firstRowFirstColumn="0" w:firstRowLastColumn="0" w:lastRowFirstColumn="0" w:lastRowLastColumn="0"/>
            </w:pPr>
          </w:p>
          <w:p w14:paraId="4DE80612" w14:textId="3B9CCE7D" w:rsidR="00536F9E" w:rsidRPr="00E50342" w:rsidRDefault="00334356" w:rsidP="00536F9E">
            <w:pPr>
              <w:pStyle w:val="Tabletext"/>
              <w:cnfStyle w:val="000000000000" w:firstRow="0" w:lastRow="0" w:firstColumn="0" w:lastColumn="0" w:oddVBand="0" w:evenVBand="0" w:oddHBand="0" w:evenHBand="0" w:firstRowFirstColumn="0" w:firstRowLastColumn="0" w:lastRowFirstColumn="0" w:lastRowLastColumn="0"/>
            </w:pPr>
            <w:r>
              <w:t>Poor reception reported on Queenscliff Road between St Leonards and Point Lonsdale.</w:t>
            </w:r>
          </w:p>
        </w:tc>
        <w:tc>
          <w:tcPr>
            <w:tcW w:w="893" w:type="pct"/>
          </w:tcPr>
          <w:p w14:paraId="593DCFCE"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428" w:type="pct"/>
          </w:tcPr>
          <w:p w14:paraId="335A07ED"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appear to relate to mobile capacity and/or indoor coverage issues.</w:t>
            </w:r>
          </w:p>
        </w:tc>
      </w:tr>
      <w:tr w:rsidR="00536F9E" w:rsidRPr="00654F9E" w14:paraId="65A0991B"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2732417D" w14:textId="77777777" w:rsidR="00536F9E" w:rsidRDefault="00536F9E" w:rsidP="00536F9E">
            <w:pPr>
              <w:pStyle w:val="Tabletext"/>
            </w:pPr>
            <w:r>
              <w:t>Woodend</w:t>
            </w:r>
          </w:p>
        </w:tc>
        <w:tc>
          <w:tcPr>
            <w:tcW w:w="467" w:type="pct"/>
          </w:tcPr>
          <w:p w14:paraId="4E071A6C"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VIC</w:t>
            </w:r>
          </w:p>
        </w:tc>
        <w:tc>
          <w:tcPr>
            <w:tcW w:w="1724" w:type="pct"/>
          </w:tcPr>
          <w:p w14:paraId="018D7C0D"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Areas of handheld network congestion and periods of intermittent coverage or quality of service identified in Woodend. Complaints of poor quality of service identified in greater Woodend, including small areas surrounding premises near Ravenswood Park in greater Woodend; near residential premises south of Slay Creek; near the intersection between Donalds Rd and Ashbourne Rd, south of Woodend towncentre; near the corner of Donalds Rd and Harpers Rd; and surrounding properties near areas along the Campaspe River in western greater Woodend.</w:t>
            </w:r>
          </w:p>
        </w:tc>
        <w:tc>
          <w:tcPr>
            <w:tcW w:w="893" w:type="pct"/>
          </w:tcPr>
          <w:p w14:paraId="2BDCB7E5"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428" w:type="pct"/>
          </w:tcPr>
          <w:p w14:paraId="4D87965F"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64324413"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5D1E9A31" w14:textId="77777777" w:rsidR="00536F9E" w:rsidRDefault="00536F9E" w:rsidP="00536F9E">
            <w:pPr>
              <w:pStyle w:val="Tabletext"/>
            </w:pPr>
            <w:r>
              <w:t>Alkimos (North)</w:t>
            </w:r>
          </w:p>
        </w:tc>
        <w:tc>
          <w:tcPr>
            <w:tcW w:w="467" w:type="pct"/>
          </w:tcPr>
          <w:p w14:paraId="7A0E2D87"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WA</w:t>
            </w:r>
          </w:p>
        </w:tc>
        <w:tc>
          <w:tcPr>
            <w:tcW w:w="1724" w:type="pct"/>
          </w:tcPr>
          <w:p w14:paraId="0CF58B2F" w14:textId="77777777" w:rsidR="00536F9E" w:rsidRPr="00CC6A37" w:rsidRDefault="00536F9E" w:rsidP="00536F9E">
            <w:pPr>
              <w:pStyle w:val="Tabletext"/>
              <w:cnfStyle w:val="000000000000" w:firstRow="0" w:lastRow="0" w:firstColumn="0" w:lastColumn="0" w:oddVBand="0" w:evenVBand="0" w:oddHBand="0" w:evenHBand="0" w:firstRowFirstColumn="0" w:firstRowLastColumn="0" w:lastRowFirstColumn="0" w:lastRowLastColumn="0"/>
            </w:pPr>
          </w:p>
        </w:tc>
        <w:tc>
          <w:tcPr>
            <w:tcW w:w="893" w:type="pct"/>
          </w:tcPr>
          <w:p w14:paraId="42E9365B"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428" w:type="pct"/>
          </w:tcPr>
          <w:p w14:paraId="07D72850"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 xml:space="preserve">Issues appear to relate to mobile capacity and/or poor indoor coverage. </w:t>
            </w:r>
          </w:p>
        </w:tc>
      </w:tr>
      <w:tr w:rsidR="00536F9E" w:rsidRPr="00654F9E" w14:paraId="282495B7"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776A83E3" w14:textId="77777777" w:rsidR="00536F9E" w:rsidRDefault="00536F9E" w:rsidP="00536F9E">
            <w:pPr>
              <w:pStyle w:val="Tabletext"/>
            </w:pPr>
            <w:r>
              <w:t>Breera (Brand Highway)</w:t>
            </w:r>
          </w:p>
        </w:tc>
        <w:tc>
          <w:tcPr>
            <w:tcW w:w="467" w:type="pct"/>
          </w:tcPr>
          <w:p w14:paraId="4C528663"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WA</w:t>
            </w:r>
          </w:p>
        </w:tc>
        <w:tc>
          <w:tcPr>
            <w:tcW w:w="1724" w:type="pct"/>
          </w:tcPr>
          <w:p w14:paraId="14FA6599"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p>
        </w:tc>
        <w:tc>
          <w:tcPr>
            <w:tcW w:w="893" w:type="pct"/>
          </w:tcPr>
          <w:p w14:paraId="65186C0E"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428" w:type="pct"/>
          </w:tcPr>
          <w:p w14:paraId="74F64E3E"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65B583B4"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1E904441" w14:textId="77777777" w:rsidR="00536F9E" w:rsidRDefault="00536F9E" w:rsidP="00536F9E">
            <w:pPr>
              <w:pStyle w:val="Tabletext"/>
            </w:pPr>
            <w:r>
              <w:t>Brigadoon</w:t>
            </w:r>
          </w:p>
        </w:tc>
        <w:tc>
          <w:tcPr>
            <w:tcW w:w="467" w:type="pct"/>
          </w:tcPr>
          <w:p w14:paraId="1F9742FD"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WA</w:t>
            </w:r>
          </w:p>
        </w:tc>
        <w:tc>
          <w:tcPr>
            <w:tcW w:w="1724" w:type="pct"/>
          </w:tcPr>
          <w:p w14:paraId="08F1A16E"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p>
        </w:tc>
        <w:tc>
          <w:tcPr>
            <w:tcW w:w="893" w:type="pct"/>
          </w:tcPr>
          <w:p w14:paraId="38CAB14F"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428" w:type="pct"/>
          </w:tcPr>
          <w:p w14:paraId="5300EDF4"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 xml:space="preserve">Issues appear to relate to mobile capacity and/or poor indoor coverage. </w:t>
            </w:r>
          </w:p>
        </w:tc>
      </w:tr>
      <w:tr w:rsidR="00536F9E" w:rsidRPr="00654F9E" w14:paraId="47CC79C3"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7F8A76F7" w14:textId="77777777" w:rsidR="00536F9E" w:rsidRDefault="00536F9E" w:rsidP="00536F9E">
            <w:pPr>
              <w:pStyle w:val="Tabletext"/>
            </w:pPr>
            <w:r>
              <w:t>Forrest Highway (near Australind)</w:t>
            </w:r>
          </w:p>
        </w:tc>
        <w:tc>
          <w:tcPr>
            <w:tcW w:w="467" w:type="pct"/>
          </w:tcPr>
          <w:p w14:paraId="7E02D51E"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WA</w:t>
            </w:r>
          </w:p>
        </w:tc>
        <w:tc>
          <w:tcPr>
            <w:tcW w:w="1724" w:type="pct"/>
          </w:tcPr>
          <w:p w14:paraId="4DB6D59C"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Complaints of weak coverage signal identified along the Forrest Highway near Australind.</w:t>
            </w:r>
          </w:p>
        </w:tc>
        <w:tc>
          <w:tcPr>
            <w:tcW w:w="893" w:type="pct"/>
          </w:tcPr>
          <w:p w14:paraId="7A2DA94B"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428" w:type="pct"/>
          </w:tcPr>
          <w:p w14:paraId="44C4AA77"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266CA4CB" w14:textId="77777777" w:rsidTr="00B36CCD">
        <w:trPr>
          <w:cantSplit/>
        </w:trPr>
        <w:tc>
          <w:tcPr>
            <w:cnfStyle w:val="001000000000" w:firstRow="0" w:lastRow="0" w:firstColumn="1" w:lastColumn="0" w:oddVBand="0" w:evenVBand="0" w:oddHBand="0" w:evenHBand="0" w:firstRowFirstColumn="0" w:firstRowLastColumn="0" w:lastRowFirstColumn="0" w:lastRowLastColumn="0"/>
            <w:tcW w:w="488" w:type="pct"/>
          </w:tcPr>
          <w:p w14:paraId="0A680236" w14:textId="77777777" w:rsidR="00536F9E" w:rsidRDefault="00536F9E" w:rsidP="00536F9E">
            <w:pPr>
              <w:pStyle w:val="Tabletext"/>
            </w:pPr>
            <w:r>
              <w:t>Herne Hill</w:t>
            </w:r>
          </w:p>
        </w:tc>
        <w:tc>
          <w:tcPr>
            <w:tcW w:w="467" w:type="pct"/>
          </w:tcPr>
          <w:p w14:paraId="53299953"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WA</w:t>
            </w:r>
          </w:p>
        </w:tc>
        <w:tc>
          <w:tcPr>
            <w:tcW w:w="1724" w:type="pct"/>
          </w:tcPr>
          <w:p w14:paraId="7DEBD878" w14:textId="3418D861" w:rsidR="00536F9E" w:rsidRDefault="00334356" w:rsidP="00536F9E">
            <w:pPr>
              <w:pStyle w:val="Tabletext"/>
              <w:cnfStyle w:val="000000000000" w:firstRow="0" w:lastRow="0" w:firstColumn="0" w:lastColumn="0" w:oddVBand="0" w:evenVBand="0" w:oddHBand="0" w:evenHBand="0" w:firstRowFirstColumn="0" w:firstRowLastColumn="0" w:lastRowFirstColumn="0" w:lastRowLastColumn="0"/>
            </w:pPr>
            <w:r>
              <w:t>Poor reception reported at Jane Brook</w:t>
            </w:r>
            <w:r w:rsidR="00C00067">
              <w:t xml:space="preserve"> and Swan View</w:t>
            </w:r>
            <w:r>
              <w:t>.</w:t>
            </w:r>
          </w:p>
        </w:tc>
        <w:tc>
          <w:tcPr>
            <w:tcW w:w="893" w:type="pct"/>
          </w:tcPr>
          <w:p w14:paraId="5BDC7332"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428" w:type="pct"/>
          </w:tcPr>
          <w:p w14:paraId="333C2BE4"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 xml:space="preserve">Issues appear to relate to mobile capacity and/or poor indoor coverage. </w:t>
            </w:r>
          </w:p>
        </w:tc>
      </w:tr>
      <w:tr w:rsidR="00536F9E" w:rsidRPr="00654F9E" w14:paraId="33783656" w14:textId="77777777" w:rsidTr="00B36C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8" w:type="pct"/>
          </w:tcPr>
          <w:p w14:paraId="30FAC6DB" w14:textId="77777777" w:rsidR="00536F9E" w:rsidRDefault="00536F9E" w:rsidP="00536F9E">
            <w:pPr>
              <w:pStyle w:val="Tabletext"/>
            </w:pPr>
            <w:r>
              <w:t>Stoneville</w:t>
            </w:r>
          </w:p>
        </w:tc>
        <w:tc>
          <w:tcPr>
            <w:tcW w:w="467" w:type="pct"/>
          </w:tcPr>
          <w:p w14:paraId="1FAB817F"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WA</w:t>
            </w:r>
          </w:p>
        </w:tc>
        <w:tc>
          <w:tcPr>
            <w:tcW w:w="1724" w:type="pct"/>
          </w:tcPr>
          <w:p w14:paraId="1193B8FC" w14:textId="3C64E36B" w:rsidR="00536F9E" w:rsidRDefault="00334356" w:rsidP="00536F9E">
            <w:pPr>
              <w:pStyle w:val="Tabletext"/>
              <w:cnfStyle w:val="000000010000" w:firstRow="0" w:lastRow="0" w:firstColumn="0" w:lastColumn="0" w:oddVBand="0" w:evenVBand="0" w:oddHBand="0" w:evenHBand="1" w:firstRowFirstColumn="0" w:firstRowLastColumn="0" w:lastRowFirstColumn="0" w:lastRowLastColumn="0"/>
            </w:pPr>
            <w:r>
              <w:t>Poor reception reported at Parkerville.</w:t>
            </w:r>
          </w:p>
        </w:tc>
        <w:tc>
          <w:tcPr>
            <w:tcW w:w="893" w:type="pct"/>
          </w:tcPr>
          <w:p w14:paraId="6B2C58D6"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428" w:type="pct"/>
          </w:tcPr>
          <w:p w14:paraId="1F58F9EA"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bl>
    <w:p w14:paraId="6E79FB46" w14:textId="6E984856" w:rsidR="00F071A8" w:rsidRDefault="00F071A8" w:rsidP="00F071A8">
      <w:bookmarkStart w:id="612" w:name="_Appendix_A.2._–"/>
      <w:bookmarkEnd w:id="612"/>
    </w:p>
    <w:sectPr w:rsidR="00F071A8" w:rsidSect="00B36CCD">
      <w:footerReference w:type="default" r:id="rId53"/>
      <w:headerReference w:type="first" r:id="rId54"/>
      <w:footerReference w:type="first" r:id="rId55"/>
      <w:pgSz w:w="16838" w:h="11906" w:orient="landscape"/>
      <w:pgMar w:top="1440" w:right="1276" w:bottom="991"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F6BED" w14:textId="77777777" w:rsidR="00E941AF" w:rsidRDefault="00E941AF" w:rsidP="00FC413F">
      <w:pPr>
        <w:spacing w:after="0"/>
      </w:pPr>
      <w:r>
        <w:separator/>
      </w:r>
    </w:p>
  </w:endnote>
  <w:endnote w:type="continuationSeparator" w:id="0">
    <w:p w14:paraId="2BDDE6B5" w14:textId="77777777" w:rsidR="00E941AF" w:rsidRDefault="00E941AF" w:rsidP="00FC413F">
      <w:pPr>
        <w:spacing w:after="0"/>
      </w:pPr>
      <w:r>
        <w:continuationSeparator/>
      </w:r>
    </w:p>
  </w:endnote>
  <w:endnote w:type="continuationNotice" w:id="1">
    <w:p w14:paraId="4492B04E" w14:textId="77777777" w:rsidR="00E941AF" w:rsidRDefault="00E941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B3E0" w14:textId="77777777" w:rsidR="00E941AF" w:rsidRDefault="00E941AF"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1CB9718B" w14:textId="77777777" w:rsidR="00E941AF" w:rsidRPr="00FC413F" w:rsidRDefault="00E941AF"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71C47" w14:textId="77777777" w:rsidR="00E941AF" w:rsidRPr="00FC413F" w:rsidRDefault="00E941AF"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AE894" w14:textId="39C3452B" w:rsidR="00E941AF" w:rsidRDefault="00E941AF"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697328">
      <w:rPr>
        <w:rFonts w:cs="Segoe UI"/>
        <w:noProof/>
        <w:szCs w:val="18"/>
      </w:rPr>
      <w:t>Mobile Black Spot Program Improving Mobile Coverage Round Grant Opportunity Guidelines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65F94FE7" w14:textId="77777777" w:rsidR="00E941AF" w:rsidRPr="00FC413F" w:rsidRDefault="00E941AF"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6384F" w14:textId="77777777" w:rsidR="00E941AF" w:rsidRDefault="00E941AF" w:rsidP="00071DEE">
    <w:pPr>
      <w:suppressAutoHyphens/>
      <w:spacing w:after="0"/>
      <w:ind w:left="567"/>
      <w:jc w:val="center"/>
      <w:rPr>
        <w:rFonts w:eastAsia="Calibri" w:cs="Times New Roman (Body CS)"/>
        <w:b/>
        <w:caps/>
        <w:color w:val="C00000"/>
        <w:kern w:val="12"/>
        <w:sz w:val="44"/>
        <w:szCs w:val="44"/>
      </w:rPr>
    </w:pPr>
  </w:p>
  <w:p w14:paraId="572AED6A" w14:textId="77777777" w:rsidR="00E941AF" w:rsidRDefault="00E941AF" w:rsidP="00071DEE">
    <w:pPr>
      <w:pStyle w:val="Footer"/>
      <w:tabs>
        <w:tab w:val="clear" w:pos="4513"/>
        <w:tab w:val="clear" w:pos="9026"/>
        <w:tab w:val="right" w:pos="14175"/>
      </w:tabs>
      <w:spacing w:after="120"/>
      <w:rPr>
        <w:rFonts w:cs="Segoe UI"/>
        <w:szCs w:val="18"/>
      </w:rPr>
    </w:pP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37</w:t>
    </w:r>
    <w:r>
      <w:rPr>
        <w:rFonts w:cs="Segoe UI"/>
        <w:szCs w:val="18"/>
      </w:rPr>
      <w:fldChar w:fldCharType="end"/>
    </w:r>
  </w:p>
  <w:p w14:paraId="24E2D69F" w14:textId="77777777" w:rsidR="00E941AF" w:rsidRPr="00FC413F" w:rsidRDefault="00E941AF" w:rsidP="00071DEE">
    <w:pPr>
      <w:pStyle w:val="Footer"/>
      <w:tabs>
        <w:tab w:val="clear" w:pos="4513"/>
        <w:tab w:val="clear" w:pos="9026"/>
      </w:tabs>
      <w:ind w:left="-1418"/>
      <w:rPr>
        <w:rFonts w:cs="Segoe UI"/>
        <w:szCs w:val="18"/>
      </w:rPr>
    </w:pPr>
    <w:r>
      <w:rPr>
        <w:noProof/>
        <w:lang w:eastAsia="en-AU"/>
      </w:rPr>
      <w:drawing>
        <wp:inline distT="0" distB="0" distL="0" distR="0" wp14:anchorId="0845B142" wp14:editId="74ADF190">
          <wp:extent cx="10764000" cy="214000"/>
          <wp:effectExtent l="0" t="0" r="0" b="0"/>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214000"/>
                  </a:xfrm>
                  <a:prstGeom prst="rect">
                    <a:avLst/>
                  </a:prstGeom>
                </pic:spPr>
              </pic:pic>
            </a:graphicData>
          </a:graphic>
        </wp:inline>
      </w:drawing>
    </w:r>
  </w:p>
  <w:p w14:paraId="2D5066CF" w14:textId="77777777" w:rsidR="00E941AF" w:rsidRPr="00FC413F" w:rsidRDefault="00E941AF" w:rsidP="00953CCD">
    <w:pPr>
      <w:pStyle w:val="Footer"/>
      <w:tabs>
        <w:tab w:val="clear" w:pos="4513"/>
        <w:tab w:val="clear" w:pos="9026"/>
      </w:tabs>
      <w:ind w:left="-1418"/>
      <w:rPr>
        <w:rFonts w:cs="Segoe UI"/>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15150" w14:textId="77777777" w:rsidR="00E941AF" w:rsidRDefault="00E941AF" w:rsidP="00E34248">
    <w:pPr>
      <w:pStyle w:val="Footer"/>
      <w:tabs>
        <w:tab w:val="clear" w:pos="4513"/>
        <w:tab w:val="clear" w:pos="9026"/>
        <w:tab w:val="right" w:pos="14175"/>
      </w:tabs>
      <w:spacing w:after="120"/>
      <w:rPr>
        <w:rFonts w:cs="Segoe UI"/>
        <w:szCs w:val="18"/>
      </w:rPr>
    </w:pP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36</w:t>
    </w:r>
    <w:r>
      <w:rPr>
        <w:rFonts w:cs="Segoe UI"/>
        <w:szCs w:val="18"/>
      </w:rPr>
      <w:fldChar w:fldCharType="end"/>
    </w:r>
  </w:p>
  <w:p w14:paraId="04A915B6" w14:textId="77777777" w:rsidR="00E941AF" w:rsidRDefault="00E941AF" w:rsidP="00E34248">
    <w:pPr>
      <w:pStyle w:val="Footer"/>
      <w:tabs>
        <w:tab w:val="clear" w:pos="4513"/>
        <w:tab w:val="clear" w:pos="9026"/>
        <w:tab w:val="right" w:pos="14175"/>
      </w:tabs>
      <w:ind w:left="-1276"/>
      <w:rPr>
        <w:rFonts w:cs="Segoe UI"/>
        <w:noProof/>
        <w:szCs w:val="18"/>
      </w:rPr>
    </w:pPr>
    <w:r>
      <w:rPr>
        <w:noProof/>
        <w:lang w:eastAsia="en-AU"/>
      </w:rPr>
      <w:drawing>
        <wp:inline distT="0" distB="0" distL="0" distR="0" wp14:anchorId="6751B053" wp14:editId="43E644A2">
          <wp:extent cx="10692000" cy="213027"/>
          <wp:effectExtent l="0" t="0" r="0" b="0"/>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213027"/>
                  </a:xfrm>
                  <a:prstGeom prst="rect">
                    <a:avLst/>
                  </a:prstGeom>
                </pic:spPr>
              </pic:pic>
            </a:graphicData>
          </a:graphic>
        </wp:inline>
      </w:drawing>
    </w:r>
  </w:p>
  <w:p w14:paraId="65B2A652" w14:textId="77777777" w:rsidR="00E941AF" w:rsidRPr="00FC413F" w:rsidRDefault="00E941A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EBB8C" w14:textId="77777777" w:rsidR="00E941AF" w:rsidRDefault="00E941AF" w:rsidP="00FC413F">
      <w:pPr>
        <w:spacing w:after="0"/>
      </w:pPr>
      <w:r>
        <w:separator/>
      </w:r>
    </w:p>
  </w:footnote>
  <w:footnote w:type="continuationSeparator" w:id="0">
    <w:p w14:paraId="44FA42DF" w14:textId="77777777" w:rsidR="00E941AF" w:rsidRDefault="00E941AF" w:rsidP="00FC413F">
      <w:pPr>
        <w:spacing w:after="0"/>
      </w:pPr>
      <w:r>
        <w:continuationSeparator/>
      </w:r>
    </w:p>
  </w:footnote>
  <w:footnote w:type="continuationNotice" w:id="1">
    <w:p w14:paraId="01BF2935" w14:textId="77777777" w:rsidR="00E941AF" w:rsidRDefault="00E941AF">
      <w:pPr>
        <w:spacing w:after="0"/>
      </w:pPr>
    </w:p>
  </w:footnote>
  <w:footnote w:id="2">
    <w:p w14:paraId="5B88937B" w14:textId="77777777" w:rsidR="00E941AF" w:rsidRDefault="00E941AF" w:rsidP="00733FF0">
      <w:pPr>
        <w:pStyle w:val="FootnoteText"/>
      </w:pPr>
      <w:r>
        <w:rPr>
          <w:rStyle w:val="FootnoteReference"/>
        </w:rPr>
        <w:footnoteRef/>
      </w:r>
      <w:r>
        <w:t xml:space="preserve"> A</w:t>
      </w:r>
      <w:r w:rsidRPr="0077545A">
        <w:t xml:space="preserve">pplicants are encouraged to engage with the </w:t>
      </w:r>
      <w:r w:rsidRPr="00A01492">
        <w:rPr>
          <w:i/>
        </w:rPr>
        <w:t>Australian Competition and Consumer Commission</w:t>
      </w:r>
      <w:r w:rsidRPr="0077545A">
        <w:t xml:space="preserve"> (ACCC) if they consider that any competition issues might arise under the </w:t>
      </w:r>
      <w:r w:rsidRPr="007B780B">
        <w:rPr>
          <w:i/>
          <w:iCs/>
        </w:rPr>
        <w:t>Competition and Consumer Act 2010</w:t>
      </w:r>
      <w:r>
        <w:t xml:space="preserve"> (Cth)</w:t>
      </w:r>
      <w:r w:rsidRPr="0077545A">
        <w:t xml:space="preserve"> from a multi-MNO solution.</w:t>
      </w:r>
    </w:p>
  </w:footnote>
  <w:footnote w:id="3">
    <w:p w14:paraId="218EC780" w14:textId="24D4F0BA" w:rsidR="00E941AF" w:rsidRDefault="00E941AF" w:rsidP="00733FF0">
      <w:pPr>
        <w:pStyle w:val="FootnoteText"/>
      </w:pPr>
      <w:r>
        <w:rPr>
          <w:rStyle w:val="FootnoteReference"/>
        </w:rPr>
        <w:footnoteRef/>
      </w:r>
      <w:r>
        <w:t xml:space="preserve"> A small number of sites have not been able to be built and have been removed from the Program.</w:t>
      </w:r>
    </w:p>
  </w:footnote>
  <w:footnote w:id="4">
    <w:p w14:paraId="7D884FF7" w14:textId="77777777" w:rsidR="00E941AF" w:rsidRDefault="00E941AF" w:rsidP="00733FF0">
      <w:pPr>
        <w:pStyle w:val="FootnoteText"/>
      </w:pPr>
      <w:r>
        <w:rPr>
          <w:rStyle w:val="FootnoteReference"/>
        </w:rPr>
        <w:footnoteRef/>
      </w:r>
      <w:r>
        <w:t xml:space="preserve"> </w:t>
      </w:r>
      <w:hyperlink r:id="rId1" w:history="1">
        <w:r w:rsidRPr="00CF54E7">
          <w:rPr>
            <w:rStyle w:val="Hyperlink"/>
          </w:rPr>
          <w:t>https://www.finance.gov.au/sites/default/files/2019-11/commonwealth-grants-rules-and-guidelines.pdf</w:t>
        </w:r>
      </w:hyperlink>
    </w:p>
  </w:footnote>
  <w:footnote w:id="5">
    <w:p w14:paraId="41B5251E" w14:textId="77777777" w:rsidR="00E941AF" w:rsidRPr="00825F9C" w:rsidRDefault="00E941AF" w:rsidP="00DD5568">
      <w:pPr>
        <w:pStyle w:val="FootnoteText"/>
        <w:rPr>
          <w:lang w:val="en-US"/>
        </w:rPr>
      </w:pPr>
      <w:r>
        <w:rPr>
          <w:rStyle w:val="FootnoteReference"/>
        </w:rPr>
        <w:footnoteRef/>
      </w:r>
      <w:r>
        <w:t xml:space="preserve"> </w:t>
      </w:r>
      <w:hyperlink r:id="rId2" w:history="1">
        <w:r w:rsidRPr="00EC4D4D">
          <w:rPr>
            <w:rStyle w:val="Hyperlink"/>
          </w:rPr>
          <w:t>https://www.infrastructure.gov.au/about-us/corporate-reporting/budgets/budget-2022-23/portfolio-budget-statements-2022-23</w:t>
        </w:r>
      </w:hyperlink>
      <w:r>
        <w:t xml:space="preserve"> </w:t>
      </w:r>
    </w:p>
  </w:footnote>
  <w:footnote w:id="6">
    <w:p w14:paraId="63CFEB64" w14:textId="216BC19B" w:rsidR="00E941AF" w:rsidRDefault="00E941AF">
      <w:pPr>
        <w:pStyle w:val="FootnoteText"/>
      </w:pPr>
      <w:r>
        <w:rPr>
          <w:rStyle w:val="FootnoteReference"/>
        </w:rPr>
        <w:footnoteRef/>
      </w:r>
      <w:r>
        <w:t xml:space="preserve"> </w:t>
      </w:r>
      <w:r w:rsidR="001A134D">
        <w:t xml:space="preserve">57 locations were announced </w:t>
      </w:r>
      <w:r w:rsidR="0022045E">
        <w:t>as election commitments by the Government. Three locations are receiving Australian Government funding under other programs to improve mobile coverage and reception.</w:t>
      </w:r>
    </w:p>
  </w:footnote>
  <w:footnote w:id="7">
    <w:p w14:paraId="7FB24D5A" w14:textId="21CEDBC9" w:rsidR="00E941AF" w:rsidRPr="00DD5568" w:rsidRDefault="00E941AF">
      <w:pPr>
        <w:pStyle w:val="FootnoteText"/>
        <w:rPr>
          <w:lang w:val="en-US"/>
        </w:rPr>
      </w:pPr>
      <w:r>
        <w:rPr>
          <w:rStyle w:val="FootnoteReference"/>
        </w:rPr>
        <w:footnoteRef/>
      </w:r>
      <w:r>
        <w:t xml:space="preserve"> </w:t>
      </w:r>
      <w:hyperlink r:id="rId3" w:history="1">
        <w:r w:rsidRPr="00EC4D4D">
          <w:rPr>
            <w:rStyle w:val="Hyperlink"/>
          </w:rPr>
          <w:t>https://www.legislation.gov.au/Series/C2004A05145</w:t>
        </w:r>
      </w:hyperlink>
      <w:r>
        <w:t xml:space="preserve"> </w:t>
      </w:r>
    </w:p>
  </w:footnote>
  <w:footnote w:id="8">
    <w:p w14:paraId="2DBBF3EF" w14:textId="42B8AE9E" w:rsidR="00E941AF" w:rsidRPr="00DD5568" w:rsidRDefault="00E941AF">
      <w:pPr>
        <w:pStyle w:val="FootnoteText"/>
        <w:rPr>
          <w:lang w:val="en-US"/>
        </w:rPr>
      </w:pPr>
      <w:r>
        <w:rPr>
          <w:rStyle w:val="FootnoteReference"/>
        </w:rPr>
        <w:footnoteRef/>
      </w:r>
      <w:r>
        <w:t xml:space="preserve"> </w:t>
      </w:r>
      <w:hyperlink r:id="rId4" w:history="1">
        <w:r w:rsidRPr="00EC4D4D">
          <w:rPr>
            <w:rStyle w:val="Hyperlink"/>
          </w:rPr>
          <w:t>https://www.legislation.gov.au/Series/C2004A04465</w:t>
        </w:r>
      </w:hyperlink>
      <w:r>
        <w:t xml:space="preserve"> </w:t>
      </w:r>
    </w:p>
  </w:footnote>
  <w:footnote w:id="9">
    <w:p w14:paraId="7170A818" w14:textId="77777777" w:rsidR="00E941AF" w:rsidRDefault="00E941AF" w:rsidP="00733FF0">
      <w:pPr>
        <w:pStyle w:val="FootnoteText"/>
      </w:pPr>
      <w:r>
        <w:rPr>
          <w:rStyle w:val="FootnoteReference"/>
        </w:rPr>
        <w:footnoteRef/>
      </w:r>
      <w:r>
        <w:t xml:space="preserve"> </w:t>
      </w:r>
      <w:hyperlink r:id="rId5" w:history="1">
        <w:r w:rsidRPr="003E4361">
          <w:rPr>
            <w:rStyle w:val="Hyperlink"/>
          </w:rPr>
          <w:t>www.accc.gov.au/public-registers/telecommunications-registers/s152bcw-access-de</w:t>
        </w:r>
        <w:r w:rsidRPr="00F10034">
          <w:rPr>
            <w:rStyle w:val="Hyperlink"/>
          </w:rPr>
          <w:t>terminations-register/final-access-determination-no-2-of-2020-for-the-domestic-transmission-capacity-service-dtcs</w:t>
        </w:r>
      </w:hyperlink>
    </w:p>
  </w:footnote>
  <w:footnote w:id="10">
    <w:p w14:paraId="09ED9A2E" w14:textId="3EF02B7A" w:rsidR="00E941AF" w:rsidRPr="004B6836" w:rsidRDefault="00E941AF" w:rsidP="00733FF0">
      <w:pPr>
        <w:pStyle w:val="FootnoteText"/>
        <w:rPr>
          <w:lang w:val="en-US"/>
        </w:rPr>
      </w:pPr>
      <w:r>
        <w:rPr>
          <w:rStyle w:val="FootnoteReference"/>
        </w:rPr>
        <w:footnoteRef/>
      </w:r>
      <w:r>
        <w:t xml:space="preserve"> </w:t>
      </w:r>
      <w:r>
        <w:rPr>
          <w:lang w:val="en-US"/>
        </w:rPr>
        <w:t xml:space="preserve">Note the base solution must be below the nominal cap as per section </w:t>
      </w:r>
      <w:r>
        <w:rPr>
          <w:lang w:val="en-US"/>
        </w:rPr>
        <w:fldChar w:fldCharType="begin"/>
      </w:r>
      <w:r>
        <w:rPr>
          <w:lang w:val="en-US"/>
        </w:rPr>
        <w:instrText xml:space="preserve"> REF _Ref121996335 \r \h </w:instrText>
      </w:r>
      <w:r>
        <w:rPr>
          <w:lang w:val="en-US"/>
        </w:rPr>
      </w:r>
      <w:r>
        <w:rPr>
          <w:lang w:val="en-US"/>
        </w:rPr>
        <w:fldChar w:fldCharType="separate"/>
      </w:r>
      <w:r>
        <w:rPr>
          <w:lang w:val="en-US"/>
        </w:rPr>
        <w:t>3.1.3</w:t>
      </w:r>
      <w:r>
        <w:rPr>
          <w:lang w:val="en-US"/>
        </w:rPr>
        <w:fldChar w:fldCharType="end"/>
      </w:r>
      <w:r>
        <w:rPr>
          <w:lang w:val="en-US"/>
        </w:rPr>
        <w:t xml:space="preserve">. However, applicants may propose supplementary elements that exceed the nominal cap which may be considered at the Commonwealth’s discretion (see section </w:t>
      </w:r>
      <w:r>
        <w:rPr>
          <w:lang w:val="en-US"/>
        </w:rPr>
        <w:fldChar w:fldCharType="begin"/>
      </w:r>
      <w:r>
        <w:rPr>
          <w:lang w:val="en-US"/>
        </w:rPr>
        <w:instrText xml:space="preserve"> REF _Ref121996341 \r \h </w:instrText>
      </w:r>
      <w:r>
        <w:rPr>
          <w:lang w:val="en-US"/>
        </w:rPr>
      </w:r>
      <w:r>
        <w:rPr>
          <w:lang w:val="en-US"/>
        </w:rPr>
        <w:fldChar w:fldCharType="separate"/>
      </w:r>
      <w:r>
        <w:rPr>
          <w:lang w:val="en-US"/>
        </w:rPr>
        <w:t>3.1.5</w:t>
      </w:r>
      <w:r>
        <w:rPr>
          <w:lang w:val="en-US"/>
        </w:rPr>
        <w:fldChar w:fldCharType="end"/>
      </w:r>
      <w:r>
        <w:rPr>
          <w:lang w:val="en-US"/>
        </w:rPr>
        <w:t>).</w:t>
      </w:r>
    </w:p>
  </w:footnote>
  <w:footnote w:id="11">
    <w:p w14:paraId="47B2EEF0" w14:textId="4189D959" w:rsidR="00E941AF" w:rsidRPr="00DD5568" w:rsidRDefault="00E941AF">
      <w:pPr>
        <w:pStyle w:val="FootnoteText"/>
        <w:rPr>
          <w:lang w:val="en-US"/>
        </w:rPr>
      </w:pPr>
      <w:r>
        <w:rPr>
          <w:rStyle w:val="FootnoteReference"/>
        </w:rPr>
        <w:footnoteRef/>
      </w:r>
      <w:r>
        <w:t xml:space="preserve"> </w:t>
      </w:r>
      <w:hyperlink r:id="rId6" w:history="1">
        <w:r w:rsidRPr="00EC4D4D">
          <w:rPr>
            <w:rStyle w:val="Hyperlink"/>
          </w:rPr>
          <w:t>http://www.grants.gov.au/</w:t>
        </w:r>
      </w:hyperlink>
      <w:r>
        <w:t xml:space="preserve"> </w:t>
      </w:r>
    </w:p>
  </w:footnote>
  <w:footnote w:id="12">
    <w:p w14:paraId="7B409B1E" w14:textId="77777777" w:rsidR="00E941AF" w:rsidRDefault="00E941AF" w:rsidP="00733FF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13">
    <w:p w14:paraId="32B99E17" w14:textId="62614CBE" w:rsidR="00E941AF" w:rsidRPr="00825F9C" w:rsidRDefault="00E941AF">
      <w:pPr>
        <w:pStyle w:val="FootnoteText"/>
        <w:rPr>
          <w:lang w:val="en-US"/>
        </w:rPr>
      </w:pPr>
      <w:r>
        <w:rPr>
          <w:rStyle w:val="FootnoteReference"/>
        </w:rPr>
        <w:footnoteRef/>
      </w:r>
      <w:r>
        <w:t xml:space="preserve"> </w:t>
      </w:r>
      <w:hyperlink r:id="rId7" w:history="1">
        <w:r w:rsidRPr="00EC4D4D">
          <w:rPr>
            <w:rStyle w:val="Hyperlink"/>
          </w:rPr>
          <w:t>https://www.legislation.gov.au/Series/C2013A00123</w:t>
        </w:r>
      </w:hyperlink>
      <w:r>
        <w:t xml:space="preserve"> </w:t>
      </w:r>
    </w:p>
  </w:footnote>
  <w:footnote w:id="14">
    <w:p w14:paraId="5C1BDBE7" w14:textId="6F294586" w:rsidR="00E941AF" w:rsidRPr="00DD5568" w:rsidRDefault="00E941AF">
      <w:pPr>
        <w:pStyle w:val="FootnoteText"/>
        <w:rPr>
          <w:lang w:val="en-US"/>
        </w:rPr>
      </w:pPr>
      <w:r>
        <w:rPr>
          <w:rStyle w:val="FootnoteReference"/>
        </w:rPr>
        <w:footnoteRef/>
      </w:r>
      <w:r>
        <w:t xml:space="preserve"> </w:t>
      </w:r>
      <w:hyperlink r:id="rId8" w:history="1">
        <w:r w:rsidRPr="00EC4D4D">
          <w:rPr>
            <w:rStyle w:val="Hyperlink"/>
          </w:rPr>
          <w:t>https://www.legislation.gov.au/Series/C2004A00538</w:t>
        </w:r>
      </w:hyperlink>
      <w:r>
        <w:t xml:space="preserve"> </w:t>
      </w:r>
    </w:p>
  </w:footnote>
  <w:footnote w:id="15">
    <w:p w14:paraId="2BA02BCB" w14:textId="000FDF14" w:rsidR="00E941AF" w:rsidRPr="00DD5568" w:rsidRDefault="00E941AF">
      <w:pPr>
        <w:pStyle w:val="FootnoteText"/>
        <w:rPr>
          <w:lang w:val="en-US"/>
        </w:rPr>
      </w:pPr>
      <w:r>
        <w:rPr>
          <w:rStyle w:val="FootnoteReference"/>
        </w:rPr>
        <w:footnoteRef/>
      </w:r>
      <w:r>
        <w:t xml:space="preserve"> </w:t>
      </w:r>
      <w:hyperlink r:id="rId9" w:history="1">
        <w:r w:rsidRPr="00EC4D4D">
          <w:rPr>
            <w:rStyle w:val="Hyperlink"/>
          </w:rPr>
          <w:t>https://www.legislation.gov.au/Series/C2004A03712</w:t>
        </w:r>
      </w:hyperlink>
      <w:r>
        <w:t xml:space="preserve"> </w:t>
      </w:r>
    </w:p>
  </w:footnote>
  <w:footnote w:id="16">
    <w:p w14:paraId="7ED5C941" w14:textId="2C39DC4A" w:rsidR="00E941AF" w:rsidRPr="00DD5568" w:rsidRDefault="00E941AF">
      <w:pPr>
        <w:pStyle w:val="FootnoteText"/>
        <w:rPr>
          <w:lang w:val="en-US"/>
        </w:rPr>
      </w:pPr>
      <w:r>
        <w:rPr>
          <w:rStyle w:val="FootnoteReference"/>
        </w:rPr>
        <w:footnoteRef/>
      </w:r>
      <w:r>
        <w:t xml:space="preserve"> </w:t>
      </w:r>
      <w:hyperlink r:id="rId10" w:history="1">
        <w:r w:rsidRPr="00EC4D4D">
          <w:rPr>
            <w:rStyle w:val="Hyperlink"/>
          </w:rPr>
          <w:t>https://www.legislation.gov.au/Series/C2004A04868</w:t>
        </w:r>
      </w:hyperlink>
      <w:r>
        <w:t xml:space="preserve"> </w:t>
      </w:r>
    </w:p>
  </w:footnote>
  <w:footnote w:id="17">
    <w:p w14:paraId="7910701E" w14:textId="21EFBED1" w:rsidR="00E941AF" w:rsidRPr="00DD5568" w:rsidRDefault="00E941AF">
      <w:pPr>
        <w:pStyle w:val="FootnoteText"/>
        <w:rPr>
          <w:lang w:val="en-US"/>
        </w:rPr>
      </w:pPr>
      <w:r>
        <w:rPr>
          <w:rStyle w:val="FootnoteReference"/>
        </w:rPr>
        <w:footnoteRef/>
      </w:r>
      <w:r>
        <w:t xml:space="preserve"> </w:t>
      </w:r>
      <w:hyperlink r:id="rId11" w:history="1">
        <w:r w:rsidRPr="00EC4D4D">
          <w:rPr>
            <w:rStyle w:val="Hyperlink"/>
          </w:rPr>
          <w:t>https://www.legislation.gov.au/Series/C2004A02562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72B7E" w14:textId="7C3C182F" w:rsidR="00E941AF" w:rsidRPr="00D56936" w:rsidRDefault="00E941AF"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697328">
      <w:rPr>
        <w:rFonts w:cs="Segoe UI Light"/>
        <w:noProof/>
        <w:color w:val="001C40"/>
        <w:sz w:val="20"/>
        <w:szCs w:val="20"/>
      </w:rPr>
      <w:t>Improving Mobile Coverage Round: processes</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1C0B" w14:textId="037EB430" w:rsidR="00E941AF" w:rsidRPr="00D56936" w:rsidRDefault="00E941AF" w:rsidP="00E34248">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697328">
      <w:rPr>
        <w:rFonts w:cs="Segoe UI Light"/>
        <w:noProof/>
        <w:color w:val="001C40"/>
        <w:sz w:val="20"/>
        <w:szCs w:val="20"/>
      </w:rPr>
      <w:t>Improving Mobile Coverage Round: processes</w:t>
    </w:r>
    <w:r w:rsidRPr="00D56936">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930E8" w14:textId="3E0FD01A" w:rsidR="00E941AF" w:rsidRPr="00D56936" w:rsidRDefault="00E941AF" w:rsidP="00E34248">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326AA2">
      <w:rPr>
        <w:rFonts w:cs="Segoe UI Light"/>
        <w:noProof/>
        <w:color w:val="001C40"/>
        <w:sz w:val="20"/>
        <w:szCs w:val="20"/>
      </w:rPr>
      <w:t>Appendix A. – Target Locations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7A9E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0899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E0B8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255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9037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A09B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2C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44C6A27"/>
    <w:multiLevelType w:val="multilevel"/>
    <w:tmpl w:val="0EE822C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Normal-Style2"/>
      <w:lvlText w:val="%1.%2.%3."/>
      <w:lvlJc w:val="left"/>
      <w:pPr>
        <w:ind w:left="1080" w:hanging="1080"/>
      </w:pPr>
      <w:rPr>
        <w:rFonts w:hint="default"/>
        <w:b w:val="0"/>
        <w:color w:val="auto"/>
        <w:sz w:val="20"/>
        <w:szCs w:val="20"/>
      </w:rPr>
    </w:lvl>
    <w:lvl w:ilvl="3">
      <w:start w:val="1"/>
      <w:numFmt w:val="lowerLetter"/>
      <w:lvlText w:val="%4."/>
      <w:lvlJc w:val="left"/>
      <w:pPr>
        <w:ind w:left="1440" w:hanging="306"/>
      </w:pPr>
      <w:rPr>
        <w:rFonts w:ascii="Arial" w:hAnsi="Arial" w:hint="default"/>
        <w:b w:val="0"/>
        <w:i w:val="0"/>
        <w:color w:val="auto"/>
        <w:sz w:val="20"/>
      </w:rPr>
    </w:lvl>
    <w:lvl w:ilvl="4">
      <w:start w:val="1"/>
      <w:numFmt w:val="lowerRoman"/>
      <w:lvlText w:val="%5."/>
      <w:lvlJc w:val="left"/>
      <w:pPr>
        <w:ind w:left="1800" w:hanging="360"/>
      </w:pPr>
      <w:rPr>
        <w:rFonts w:ascii="Arial" w:hAnsi="Arial" w:hint="default"/>
        <w:b w:val="0"/>
        <w:i w:val="0"/>
        <w:sz w:val="20"/>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BD12E7"/>
    <w:multiLevelType w:val="multilevel"/>
    <w:tmpl w:val="184433A6"/>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06901B6"/>
    <w:multiLevelType w:val="multilevel"/>
    <w:tmpl w:val="BBB0F2FC"/>
    <w:lvl w:ilvl="0">
      <w:start w:val="9"/>
      <w:numFmt w:val="decimal"/>
      <w:lvlText w:val="%1"/>
      <w:lvlJc w:val="left"/>
      <w:pPr>
        <w:ind w:left="435" w:hanging="435"/>
      </w:pPr>
      <w:rPr>
        <w:rFonts w:hint="default"/>
      </w:rPr>
    </w:lvl>
    <w:lvl w:ilvl="1">
      <w:start w:val="4"/>
      <w:numFmt w:val="decimal"/>
      <w:lvlText w:val="%1.%2"/>
      <w:lvlJc w:val="left"/>
      <w:pPr>
        <w:ind w:left="1003" w:hanging="43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7"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220CD0"/>
    <w:multiLevelType w:val="multilevel"/>
    <w:tmpl w:val="774E61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1" w15:restartNumberingAfterBreak="0">
    <w:nsid w:val="3C6832AD"/>
    <w:multiLevelType w:val="multilevel"/>
    <w:tmpl w:val="88A20E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DD37B05"/>
    <w:multiLevelType w:val="hybridMultilevel"/>
    <w:tmpl w:val="464074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18524C"/>
    <w:multiLevelType w:val="hybridMultilevel"/>
    <w:tmpl w:val="D02E1A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A14B52"/>
    <w:multiLevelType w:val="hybridMultilevel"/>
    <w:tmpl w:val="EAE0400A"/>
    <w:lvl w:ilvl="0" w:tplc="0C090001">
      <w:start w:val="5"/>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F3C5329"/>
    <w:multiLevelType w:val="hybridMultilevel"/>
    <w:tmpl w:val="AD80B9B8"/>
    <w:lvl w:ilvl="0" w:tplc="FC584912">
      <w:numFmt w:val="bullet"/>
      <w:lvlText w:val="-"/>
      <w:lvlJc w:val="left"/>
      <w:pPr>
        <w:ind w:left="410" w:hanging="360"/>
      </w:pPr>
      <w:rPr>
        <w:rFonts w:ascii="Times New Roman" w:eastAsia="Times New Roman"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0" w15:restartNumberingAfterBreak="0">
    <w:nsid w:val="67EC0F4F"/>
    <w:multiLevelType w:val="hybridMultilevel"/>
    <w:tmpl w:val="2E70FB3E"/>
    <w:lvl w:ilvl="0" w:tplc="2A381714">
      <w:start w:val="1"/>
      <w:numFmt w:val="lowerRoman"/>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EA310D"/>
    <w:multiLevelType w:val="hybridMultilevel"/>
    <w:tmpl w:val="EC80A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830341"/>
    <w:multiLevelType w:val="hybridMultilevel"/>
    <w:tmpl w:val="DE24B91A"/>
    <w:lvl w:ilvl="0" w:tplc="9378C6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61316AC"/>
    <w:multiLevelType w:val="hybridMultilevel"/>
    <w:tmpl w:val="ED8EF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1"/>
  </w:num>
  <w:num w:numId="2">
    <w:abstractNumId w:val="17"/>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9"/>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num>
  <w:num w:numId="18">
    <w:abstractNumId w:val="32"/>
  </w:num>
  <w:num w:numId="19">
    <w:abstractNumId w:val="20"/>
  </w:num>
  <w:num w:numId="20">
    <w:abstractNumId w:val="23"/>
  </w:num>
  <w:num w:numId="21">
    <w:abstractNumId w:val="38"/>
  </w:num>
  <w:num w:numId="22">
    <w:abstractNumId w:val="36"/>
  </w:num>
  <w:num w:numId="23">
    <w:abstractNumId w:val="15"/>
  </w:num>
  <w:num w:numId="24">
    <w:abstractNumId w:val="11"/>
  </w:num>
  <w:num w:numId="25">
    <w:abstractNumId w:val="14"/>
  </w:num>
  <w:num w:numId="26">
    <w:abstractNumId w:val="10"/>
  </w:num>
  <w:num w:numId="27">
    <w:abstractNumId w:val="35"/>
  </w:num>
  <w:num w:numId="28">
    <w:abstractNumId w:val="28"/>
  </w:num>
  <w:num w:numId="29">
    <w:abstractNumId w:val="1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6"/>
  </w:num>
  <w:num w:numId="37">
    <w:abstractNumId w:val="16"/>
  </w:num>
  <w:num w:numId="38">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Normal-Style2"/>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34"/>
  </w:num>
  <w:num w:numId="41">
    <w:abstractNumId w:val="29"/>
  </w:num>
  <w:num w:numId="42">
    <w:abstractNumId w:val="30"/>
  </w:num>
  <w:num w:numId="43">
    <w:abstractNumId w:val="21"/>
  </w:num>
  <w:num w:numId="44">
    <w:abstractNumId w:val="18"/>
  </w:num>
  <w:num w:numId="45">
    <w:abstractNumId w:val="37"/>
  </w:num>
  <w:num w:numId="46">
    <w:abstractNumId w:val="24"/>
  </w:num>
  <w:num w:numId="47">
    <w:abstractNumId w:val="33"/>
  </w:num>
  <w:num w:numId="48">
    <w:abstractNumId w:val="14"/>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13C11"/>
    <w:rsid w:val="0003502E"/>
    <w:rsid w:val="0004068E"/>
    <w:rsid w:val="000522EB"/>
    <w:rsid w:val="00067980"/>
    <w:rsid w:val="00071DEE"/>
    <w:rsid w:val="00072195"/>
    <w:rsid w:val="000740FB"/>
    <w:rsid w:val="00087180"/>
    <w:rsid w:val="00090E62"/>
    <w:rsid w:val="000A6058"/>
    <w:rsid w:val="000B1E86"/>
    <w:rsid w:val="000B63D7"/>
    <w:rsid w:val="000C0244"/>
    <w:rsid w:val="000C2FDF"/>
    <w:rsid w:val="000D4B3B"/>
    <w:rsid w:val="000E29BE"/>
    <w:rsid w:val="000F38AB"/>
    <w:rsid w:val="000F75FD"/>
    <w:rsid w:val="00101CA4"/>
    <w:rsid w:val="00105DA4"/>
    <w:rsid w:val="00113A03"/>
    <w:rsid w:val="001235C9"/>
    <w:rsid w:val="00133A45"/>
    <w:rsid w:val="001435AC"/>
    <w:rsid w:val="00143894"/>
    <w:rsid w:val="00145D86"/>
    <w:rsid w:val="0016216A"/>
    <w:rsid w:val="001711F4"/>
    <w:rsid w:val="001774D3"/>
    <w:rsid w:val="00190A0C"/>
    <w:rsid w:val="001A134D"/>
    <w:rsid w:val="001A1CA8"/>
    <w:rsid w:val="001A5F83"/>
    <w:rsid w:val="001B5AD7"/>
    <w:rsid w:val="001C2B1A"/>
    <w:rsid w:val="001C2C61"/>
    <w:rsid w:val="001D583B"/>
    <w:rsid w:val="001E4471"/>
    <w:rsid w:val="001E7AC4"/>
    <w:rsid w:val="00204A64"/>
    <w:rsid w:val="00217C11"/>
    <w:rsid w:val="0022045E"/>
    <w:rsid w:val="002254CD"/>
    <w:rsid w:val="00236F1B"/>
    <w:rsid w:val="00261FFA"/>
    <w:rsid w:val="00272982"/>
    <w:rsid w:val="00287C7E"/>
    <w:rsid w:val="00296AA8"/>
    <w:rsid w:val="002A184C"/>
    <w:rsid w:val="002A5AB5"/>
    <w:rsid w:val="002B3F2E"/>
    <w:rsid w:val="002E25D5"/>
    <w:rsid w:val="002F1A23"/>
    <w:rsid w:val="002F2201"/>
    <w:rsid w:val="00300077"/>
    <w:rsid w:val="0030223C"/>
    <w:rsid w:val="003051FF"/>
    <w:rsid w:val="00310148"/>
    <w:rsid w:val="00323710"/>
    <w:rsid w:val="00325C3B"/>
    <w:rsid w:val="00326AA2"/>
    <w:rsid w:val="00327CA5"/>
    <w:rsid w:val="00334356"/>
    <w:rsid w:val="00342348"/>
    <w:rsid w:val="003508A8"/>
    <w:rsid w:val="00371329"/>
    <w:rsid w:val="00381BDA"/>
    <w:rsid w:val="00383713"/>
    <w:rsid w:val="00393883"/>
    <w:rsid w:val="003B6D01"/>
    <w:rsid w:val="003C575A"/>
    <w:rsid w:val="003D4399"/>
    <w:rsid w:val="003D71C5"/>
    <w:rsid w:val="003E0FF5"/>
    <w:rsid w:val="003F3CB7"/>
    <w:rsid w:val="0040020D"/>
    <w:rsid w:val="00401346"/>
    <w:rsid w:val="00402604"/>
    <w:rsid w:val="00405F53"/>
    <w:rsid w:val="00412987"/>
    <w:rsid w:val="00412DC4"/>
    <w:rsid w:val="00416734"/>
    <w:rsid w:val="0041760F"/>
    <w:rsid w:val="00424975"/>
    <w:rsid w:val="00445017"/>
    <w:rsid w:val="0045229E"/>
    <w:rsid w:val="00495CD5"/>
    <w:rsid w:val="004A291E"/>
    <w:rsid w:val="004A3207"/>
    <w:rsid w:val="004D4AC0"/>
    <w:rsid w:val="004D5A92"/>
    <w:rsid w:val="004E35E1"/>
    <w:rsid w:val="004F3BE5"/>
    <w:rsid w:val="00536F9E"/>
    <w:rsid w:val="005413E7"/>
    <w:rsid w:val="005665F4"/>
    <w:rsid w:val="005730D2"/>
    <w:rsid w:val="005941FC"/>
    <w:rsid w:val="00595593"/>
    <w:rsid w:val="005C0459"/>
    <w:rsid w:val="005C37D2"/>
    <w:rsid w:val="005D038B"/>
    <w:rsid w:val="005D3AF8"/>
    <w:rsid w:val="005E55BD"/>
    <w:rsid w:val="00610225"/>
    <w:rsid w:val="00627C2D"/>
    <w:rsid w:val="00630D43"/>
    <w:rsid w:val="006452B1"/>
    <w:rsid w:val="006542FA"/>
    <w:rsid w:val="00654F9E"/>
    <w:rsid w:val="00670726"/>
    <w:rsid w:val="00671811"/>
    <w:rsid w:val="00686223"/>
    <w:rsid w:val="0069121E"/>
    <w:rsid w:val="00691FA2"/>
    <w:rsid w:val="00697328"/>
    <w:rsid w:val="006D43C7"/>
    <w:rsid w:val="006E139E"/>
    <w:rsid w:val="006E5952"/>
    <w:rsid w:val="00712CD3"/>
    <w:rsid w:val="00731351"/>
    <w:rsid w:val="00733FF0"/>
    <w:rsid w:val="0073717F"/>
    <w:rsid w:val="00744CD2"/>
    <w:rsid w:val="00766B60"/>
    <w:rsid w:val="00772C27"/>
    <w:rsid w:val="007833F5"/>
    <w:rsid w:val="00790F25"/>
    <w:rsid w:val="007920B9"/>
    <w:rsid w:val="00793843"/>
    <w:rsid w:val="007975F5"/>
    <w:rsid w:val="0079788A"/>
    <w:rsid w:val="007B4338"/>
    <w:rsid w:val="007B68AB"/>
    <w:rsid w:val="007C2932"/>
    <w:rsid w:val="007C7D02"/>
    <w:rsid w:val="007E495B"/>
    <w:rsid w:val="007F1720"/>
    <w:rsid w:val="00822DBF"/>
    <w:rsid w:val="008243A9"/>
    <w:rsid w:val="008249A1"/>
    <w:rsid w:val="00825F9C"/>
    <w:rsid w:val="0086690A"/>
    <w:rsid w:val="00881E6A"/>
    <w:rsid w:val="00882159"/>
    <w:rsid w:val="00893BCE"/>
    <w:rsid w:val="008A7B93"/>
    <w:rsid w:val="008B7158"/>
    <w:rsid w:val="008C7B0F"/>
    <w:rsid w:val="008D4156"/>
    <w:rsid w:val="008E534F"/>
    <w:rsid w:val="008F24DE"/>
    <w:rsid w:val="00904936"/>
    <w:rsid w:val="00904965"/>
    <w:rsid w:val="00912D17"/>
    <w:rsid w:val="00917C84"/>
    <w:rsid w:val="009276A3"/>
    <w:rsid w:val="009279AE"/>
    <w:rsid w:val="00935A30"/>
    <w:rsid w:val="00937855"/>
    <w:rsid w:val="00944067"/>
    <w:rsid w:val="00953CCD"/>
    <w:rsid w:val="00985DD5"/>
    <w:rsid w:val="009A2FD8"/>
    <w:rsid w:val="009C156F"/>
    <w:rsid w:val="009C1ECD"/>
    <w:rsid w:val="009E5B72"/>
    <w:rsid w:val="009F3479"/>
    <w:rsid w:val="00A24200"/>
    <w:rsid w:val="00A32D82"/>
    <w:rsid w:val="00A44E4B"/>
    <w:rsid w:val="00A4759C"/>
    <w:rsid w:val="00A5600C"/>
    <w:rsid w:val="00A63390"/>
    <w:rsid w:val="00A67C4E"/>
    <w:rsid w:val="00A70D60"/>
    <w:rsid w:val="00A82DAF"/>
    <w:rsid w:val="00A86150"/>
    <w:rsid w:val="00A86AF3"/>
    <w:rsid w:val="00A924E7"/>
    <w:rsid w:val="00A93831"/>
    <w:rsid w:val="00AA1C47"/>
    <w:rsid w:val="00AA3E6B"/>
    <w:rsid w:val="00AA733E"/>
    <w:rsid w:val="00AC6195"/>
    <w:rsid w:val="00AC6935"/>
    <w:rsid w:val="00AE61A6"/>
    <w:rsid w:val="00B023C4"/>
    <w:rsid w:val="00B041CB"/>
    <w:rsid w:val="00B12FC1"/>
    <w:rsid w:val="00B133F3"/>
    <w:rsid w:val="00B16468"/>
    <w:rsid w:val="00B16E2A"/>
    <w:rsid w:val="00B2105F"/>
    <w:rsid w:val="00B234C7"/>
    <w:rsid w:val="00B36CCD"/>
    <w:rsid w:val="00B3785F"/>
    <w:rsid w:val="00B37B0E"/>
    <w:rsid w:val="00B43F55"/>
    <w:rsid w:val="00B4717F"/>
    <w:rsid w:val="00B5393D"/>
    <w:rsid w:val="00B551E8"/>
    <w:rsid w:val="00B57BEC"/>
    <w:rsid w:val="00B74715"/>
    <w:rsid w:val="00B76D03"/>
    <w:rsid w:val="00B90AB8"/>
    <w:rsid w:val="00BB3D46"/>
    <w:rsid w:val="00BC0598"/>
    <w:rsid w:val="00BC0DDB"/>
    <w:rsid w:val="00BC16FC"/>
    <w:rsid w:val="00BC45D9"/>
    <w:rsid w:val="00BD300A"/>
    <w:rsid w:val="00BE1FD0"/>
    <w:rsid w:val="00BF5FA4"/>
    <w:rsid w:val="00C00067"/>
    <w:rsid w:val="00C02452"/>
    <w:rsid w:val="00C32353"/>
    <w:rsid w:val="00C36E40"/>
    <w:rsid w:val="00C62177"/>
    <w:rsid w:val="00C867EB"/>
    <w:rsid w:val="00CA5147"/>
    <w:rsid w:val="00CB06A7"/>
    <w:rsid w:val="00CB573F"/>
    <w:rsid w:val="00CD0046"/>
    <w:rsid w:val="00CE735C"/>
    <w:rsid w:val="00CE7992"/>
    <w:rsid w:val="00D03B4C"/>
    <w:rsid w:val="00D10124"/>
    <w:rsid w:val="00D105FD"/>
    <w:rsid w:val="00D33396"/>
    <w:rsid w:val="00D36892"/>
    <w:rsid w:val="00D36B96"/>
    <w:rsid w:val="00D46746"/>
    <w:rsid w:val="00D47BFD"/>
    <w:rsid w:val="00D524C0"/>
    <w:rsid w:val="00D56936"/>
    <w:rsid w:val="00D64922"/>
    <w:rsid w:val="00D677EF"/>
    <w:rsid w:val="00D923B1"/>
    <w:rsid w:val="00DC5DC8"/>
    <w:rsid w:val="00DC731C"/>
    <w:rsid w:val="00DD5568"/>
    <w:rsid w:val="00DD7FE9"/>
    <w:rsid w:val="00DE23A4"/>
    <w:rsid w:val="00DE5921"/>
    <w:rsid w:val="00DF37EE"/>
    <w:rsid w:val="00E17EB0"/>
    <w:rsid w:val="00E34248"/>
    <w:rsid w:val="00E36FCE"/>
    <w:rsid w:val="00E51C10"/>
    <w:rsid w:val="00E53F89"/>
    <w:rsid w:val="00E57C0A"/>
    <w:rsid w:val="00E676ED"/>
    <w:rsid w:val="00E7227D"/>
    <w:rsid w:val="00E76BC6"/>
    <w:rsid w:val="00E80E04"/>
    <w:rsid w:val="00E941AF"/>
    <w:rsid w:val="00EA415A"/>
    <w:rsid w:val="00EB718B"/>
    <w:rsid w:val="00ED761D"/>
    <w:rsid w:val="00EE0B8D"/>
    <w:rsid w:val="00EE22A1"/>
    <w:rsid w:val="00EE6EE8"/>
    <w:rsid w:val="00EF5B98"/>
    <w:rsid w:val="00F071A8"/>
    <w:rsid w:val="00F079CF"/>
    <w:rsid w:val="00F15D72"/>
    <w:rsid w:val="00F34D4A"/>
    <w:rsid w:val="00F41576"/>
    <w:rsid w:val="00F42764"/>
    <w:rsid w:val="00F562BC"/>
    <w:rsid w:val="00F61FA1"/>
    <w:rsid w:val="00F67A87"/>
    <w:rsid w:val="00F73AE5"/>
    <w:rsid w:val="00F814AD"/>
    <w:rsid w:val="00F968B7"/>
    <w:rsid w:val="00FA64C7"/>
    <w:rsid w:val="00FB2B90"/>
    <w:rsid w:val="00FC413F"/>
    <w:rsid w:val="00FD3DAB"/>
    <w:rsid w:val="00FF117F"/>
    <w:rsid w:val="00FF488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66EA632"/>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BE5"/>
    <w:pPr>
      <w:spacing w:line="240" w:lineRule="auto"/>
    </w:pPr>
    <w:rPr>
      <w:rFonts w:ascii="Calibri" w:hAnsi="Calibri"/>
    </w:rPr>
  </w:style>
  <w:style w:type="paragraph" w:styleId="Heading1">
    <w:name w:val="heading 1"/>
    <w:basedOn w:val="Normal"/>
    <w:next w:val="Normal"/>
    <w:link w:val="Heading1Char"/>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nhideWhenUsed/>
    <w:qFormat/>
    <w:rsid w:val="00733FF0"/>
    <w:pPr>
      <w:keepNext/>
      <w:numPr>
        <w:numId w:val="25"/>
      </w:numPr>
      <w:spacing w:before="240" w:after="120" w:line="280" w:lineRule="atLeast"/>
      <w:ind w:left="851" w:hanging="851"/>
      <w:outlineLvl w:val="1"/>
    </w:pPr>
    <w:rPr>
      <w:rFonts w:eastAsia="SimSun" w:cs="Times New Roman"/>
      <w:color w:val="081E3E"/>
      <w:kern w:val="12"/>
      <w:sz w:val="36"/>
      <w:szCs w:val="26"/>
    </w:rPr>
  </w:style>
  <w:style w:type="paragraph" w:styleId="Heading3">
    <w:name w:val="heading 3"/>
    <w:basedOn w:val="Normal"/>
    <w:next w:val="Normal"/>
    <w:link w:val="Heading3Char"/>
    <w:unhideWhenUsed/>
    <w:qFormat/>
    <w:rsid w:val="00733FF0"/>
    <w:pPr>
      <w:keepNext/>
      <w:numPr>
        <w:ilvl w:val="1"/>
        <w:numId w:val="25"/>
      </w:numPr>
      <w:spacing w:before="120" w:after="120" w:line="280" w:lineRule="atLeast"/>
      <w:ind w:left="851" w:hanging="851"/>
      <w:outlineLvl w:val="2"/>
    </w:pPr>
    <w:rPr>
      <w:rFonts w:eastAsia="SimSun" w:cs="Times New Roman"/>
      <w:b/>
      <w:color w:val="595C6E"/>
      <w:kern w:val="12"/>
      <w:sz w:val="32"/>
      <w:szCs w:val="24"/>
    </w:rPr>
  </w:style>
  <w:style w:type="paragraph" w:styleId="Heading4">
    <w:name w:val="heading 4"/>
    <w:basedOn w:val="Normal"/>
    <w:next w:val="Normal"/>
    <w:link w:val="Heading4Char"/>
    <w:unhideWhenUsed/>
    <w:qFormat/>
    <w:rsid w:val="0045229E"/>
    <w:pPr>
      <w:keepNext/>
      <w:keepLines/>
      <w:suppressAutoHyphens/>
      <w:spacing w:before="120" w:after="120"/>
      <w:outlineLvl w:val="3"/>
    </w:pPr>
    <w:rPr>
      <w:rFonts w:eastAsia="SimSun" w:cs="Times New Roman"/>
      <w:b/>
      <w:iCs/>
      <w:color w:val="595C6E"/>
      <w:kern w:val="12"/>
      <w:sz w:val="26"/>
      <w:szCs w:val="20"/>
    </w:rPr>
  </w:style>
  <w:style w:type="paragraph" w:styleId="Heading5">
    <w:name w:val="heading 5"/>
    <w:basedOn w:val="Normal"/>
    <w:next w:val="Normal"/>
    <w:link w:val="Heading5Char"/>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qFormat/>
    <w:rsid w:val="00733FF0"/>
    <w:pPr>
      <w:spacing w:before="240" w:after="60" w:line="280" w:lineRule="atLeast"/>
      <w:outlineLvl w:val="8"/>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 w:val="20"/>
      <w:szCs w:val="20"/>
    </w:rPr>
  </w:style>
  <w:style w:type="paragraph" w:styleId="Header">
    <w:name w:val="header"/>
    <w:basedOn w:val="Normal"/>
    <w:link w:val="HeaderChar"/>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rsid w:val="00733FF0"/>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rsid w:val="00733FF0"/>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rsid w:val="004522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uiPriority w:val="12"/>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qFormat/>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 w:val="20"/>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unhideWhenUsed/>
    <w:qFormat/>
    <w:rsid w:val="00A32D82"/>
    <w:pPr>
      <w:spacing w:after="200"/>
    </w:pPr>
    <w:rPr>
      <w:i/>
      <w:iCs/>
      <w:color w:val="44546A" w:themeColor="text2"/>
      <w:sz w:val="18"/>
      <w:szCs w:val="18"/>
    </w:rPr>
  </w:style>
  <w:style w:type="character" w:customStyle="1" w:styleId="Heading9Char">
    <w:name w:val="Heading 9 Char"/>
    <w:basedOn w:val="DefaultParagraphFont"/>
    <w:link w:val="Heading9"/>
    <w:rsid w:val="00733FF0"/>
    <w:rPr>
      <w:rFonts w:ascii="Arial" w:eastAsia="Times New Roman" w:hAnsi="Arial" w:cs="Arial"/>
      <w:sz w:val="20"/>
    </w:rPr>
  </w:style>
  <w:style w:type="paragraph" w:styleId="ListNumber">
    <w:name w:val="List Number"/>
    <w:basedOn w:val="Normal"/>
    <w:qFormat/>
    <w:rsid w:val="00733FF0"/>
    <w:pPr>
      <w:numPr>
        <w:numId w:val="18"/>
      </w:numPr>
      <w:spacing w:before="40" w:after="120" w:line="280" w:lineRule="atLeast"/>
    </w:pPr>
    <w:rPr>
      <w:rFonts w:ascii="Arial" w:eastAsia="Times New Roman" w:hAnsi="Arial" w:cs="Times New Roman"/>
      <w:sz w:val="20"/>
      <w:szCs w:val="20"/>
    </w:rPr>
  </w:style>
  <w:style w:type="character" w:customStyle="1" w:styleId="FootnoteTextChar1">
    <w:name w:val="Footnote Text Char1"/>
    <w:basedOn w:val="DefaultParagraphFont"/>
    <w:uiPriority w:val="99"/>
    <w:rsid w:val="00733FF0"/>
    <w:rPr>
      <w:sz w:val="16"/>
    </w:rPr>
  </w:style>
  <w:style w:type="paragraph" w:styleId="ListBullet2">
    <w:name w:val="List Bullet 2"/>
    <w:aliases w:val="Dot-dash bullet"/>
    <w:basedOn w:val="ListBullet"/>
    <w:rsid w:val="00733FF0"/>
    <w:pPr>
      <w:numPr>
        <w:numId w:val="19"/>
      </w:numPr>
      <w:spacing w:line="240" w:lineRule="auto"/>
    </w:pPr>
  </w:style>
  <w:style w:type="paragraph" w:styleId="ListBullet3">
    <w:name w:val="List Bullet 3"/>
    <w:aliases w:val="Indent Quote Bullet"/>
    <w:rsid w:val="00733FF0"/>
    <w:pPr>
      <w:numPr>
        <w:numId w:val="20"/>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qFormat/>
    <w:rsid w:val="00A67C4E"/>
    <w:pPr>
      <w:numPr>
        <w:numId w:val="23"/>
      </w:numPr>
      <w:spacing w:line="280" w:lineRule="atLeast"/>
      <w:ind w:left="1418" w:hanging="567"/>
      <w:contextualSpacing/>
    </w:pPr>
    <w:rPr>
      <w:rFonts w:asciiTheme="minorHAnsi" w:eastAsia="Times New Roman" w:hAnsiTheme="minorHAnsi" w:cs="Times New Roman"/>
      <w:iCs/>
      <w:szCs w:val="20"/>
    </w:rPr>
  </w:style>
  <w:style w:type="paragraph" w:styleId="DocumentMap">
    <w:name w:val="Document Map"/>
    <w:basedOn w:val="Normal"/>
    <w:link w:val="DocumentMapChar"/>
    <w:semiHidden/>
    <w:rsid w:val="00733FF0"/>
    <w:pPr>
      <w:shd w:val="clear" w:color="auto" w:fill="000080"/>
      <w:spacing w:before="40" w:after="120" w:line="280" w:lineRule="atLeas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33FF0"/>
    <w:rPr>
      <w:rFonts w:ascii="Tahoma" w:eastAsia="Times New Roman" w:hAnsi="Tahoma" w:cs="Tahoma"/>
      <w:sz w:val="20"/>
      <w:szCs w:val="20"/>
      <w:shd w:val="clear" w:color="auto" w:fill="000080"/>
    </w:rPr>
  </w:style>
  <w:style w:type="paragraph" w:styleId="ListNumber2">
    <w:name w:val="List Number 2"/>
    <w:basedOn w:val="ListNumber"/>
    <w:rsid w:val="00733FF0"/>
    <w:pPr>
      <w:numPr>
        <w:numId w:val="24"/>
      </w:numPr>
    </w:pPr>
  </w:style>
  <w:style w:type="paragraph" w:styleId="ListNumber3">
    <w:name w:val="List Number 3"/>
    <w:basedOn w:val="ListNumber2"/>
    <w:rsid w:val="00733FF0"/>
    <w:pPr>
      <w:numPr>
        <w:numId w:val="0"/>
      </w:numPr>
      <w:spacing w:before="60" w:after="60"/>
      <w:ind w:left="1080" w:hanging="360"/>
    </w:pPr>
  </w:style>
  <w:style w:type="paragraph" w:customStyle="1" w:styleId="Default">
    <w:name w:val="Default"/>
    <w:rsid w:val="00733FF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rsid w:val="00733FF0"/>
    <w:pPr>
      <w:spacing w:before="40" w:after="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rsid w:val="00733FF0"/>
    <w:rPr>
      <w:rFonts w:ascii="Tahoma" w:eastAsia="Times New Roman" w:hAnsi="Tahoma" w:cs="Tahoma"/>
      <w:sz w:val="16"/>
      <w:szCs w:val="16"/>
    </w:rPr>
  </w:style>
  <w:style w:type="numbering" w:customStyle="1" w:styleId="StyleBulleted">
    <w:name w:val="Style Bulleted"/>
    <w:basedOn w:val="NoList"/>
    <w:rsid w:val="00733FF0"/>
    <w:pPr>
      <w:numPr>
        <w:numId w:val="21"/>
      </w:numPr>
    </w:pPr>
  </w:style>
  <w:style w:type="paragraph" w:customStyle="1" w:styleId="ReferencesText">
    <w:name w:val="References Text"/>
    <w:basedOn w:val="Normal"/>
    <w:rsid w:val="00733FF0"/>
    <w:pPr>
      <w:spacing w:before="40" w:after="120" w:line="320" w:lineRule="atLeast"/>
      <w:ind w:left="567" w:hanging="567"/>
    </w:pPr>
    <w:rPr>
      <w:rFonts w:ascii="Times New Roman" w:eastAsia="Times New Roman" w:hAnsi="Times New Roman" w:cs="Times New Roman"/>
      <w:sz w:val="24"/>
      <w:szCs w:val="20"/>
    </w:rPr>
  </w:style>
  <w:style w:type="paragraph" w:customStyle="1" w:styleId="OtherHeadings">
    <w:name w:val="Other Headings"/>
    <w:basedOn w:val="Heading2"/>
    <w:next w:val="Normal"/>
    <w:rsid w:val="00733FF0"/>
    <w:pPr>
      <w:tabs>
        <w:tab w:val="left" w:pos="1134"/>
      </w:tabs>
      <w:ind w:left="1134" w:hanging="1134"/>
    </w:pPr>
    <w:rPr>
      <w:rFonts w:ascii="Verdana" w:eastAsia="Times New Roman" w:hAnsi="Verdana"/>
      <w:b/>
      <w:color w:val="auto"/>
      <w:kern w:val="0"/>
      <w:sz w:val="32"/>
      <w:szCs w:val="20"/>
    </w:rPr>
  </w:style>
  <w:style w:type="numbering" w:customStyle="1" w:styleId="StyleNumbered">
    <w:name w:val="Style Numbered"/>
    <w:basedOn w:val="NoList"/>
    <w:rsid w:val="00733FF0"/>
    <w:pPr>
      <w:numPr>
        <w:numId w:val="22"/>
      </w:numPr>
    </w:pPr>
  </w:style>
  <w:style w:type="table" w:customStyle="1" w:styleId="AusIndustryTable">
    <w:name w:val="AusIndustry Table"/>
    <w:basedOn w:val="TableNormal"/>
    <w:rsid w:val="00733FF0"/>
    <w:pPr>
      <w:widowControl w:val="0"/>
      <w:spacing w:before="80" w:after="8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0"/>
    <w:next w:val="Normal"/>
    <w:rsid w:val="00733FF0"/>
    <w:rPr>
      <w:color w:val="FFFFFF" w:themeColor="background1"/>
    </w:rPr>
  </w:style>
  <w:style w:type="paragraph" w:customStyle="1" w:styleId="DefaultTableText">
    <w:name w:val="Default Table Text"/>
    <w:basedOn w:val="Normal"/>
    <w:rsid w:val="00733FF0"/>
    <w:pPr>
      <w:spacing w:before="80" w:after="80" w:line="280" w:lineRule="atLeast"/>
    </w:pPr>
    <w:rPr>
      <w:rFonts w:ascii="Times New Roman" w:eastAsia="Times New Roman" w:hAnsi="Times New Roman" w:cs="Times New Roman"/>
      <w:sz w:val="20"/>
      <w:szCs w:val="20"/>
    </w:rPr>
  </w:style>
  <w:style w:type="paragraph" w:customStyle="1" w:styleId="IndentQuote">
    <w:name w:val="Indent Quote"/>
    <w:basedOn w:val="Normal"/>
    <w:next w:val="Normal"/>
    <w:rsid w:val="00733FF0"/>
    <w:pPr>
      <w:spacing w:before="40" w:after="120" w:line="320" w:lineRule="atLeast"/>
      <w:ind w:left="567"/>
    </w:pPr>
    <w:rPr>
      <w:rFonts w:ascii="Times New Roman" w:eastAsia="Times New Roman" w:hAnsi="Times New Roman" w:cs="Times New Roman"/>
      <w:sz w:val="20"/>
      <w:szCs w:val="20"/>
    </w:rPr>
  </w:style>
  <w:style w:type="paragraph" w:customStyle="1" w:styleId="NumberedParas">
    <w:name w:val="Numbered Paras"/>
    <w:basedOn w:val="Normal"/>
    <w:rsid w:val="00733FF0"/>
    <w:pPr>
      <w:spacing w:before="40" w:after="0" w:line="280" w:lineRule="atLeast"/>
    </w:pPr>
    <w:rPr>
      <w:rFonts w:ascii="Arial" w:eastAsia="Times New Roman" w:hAnsi="Arial" w:cs="Arial"/>
      <w:b/>
      <w:bCs/>
      <w:sz w:val="20"/>
      <w:szCs w:val="20"/>
    </w:rPr>
  </w:style>
  <w:style w:type="paragraph" w:styleId="BodyText">
    <w:name w:val="Body Text"/>
    <w:basedOn w:val="Default"/>
    <w:next w:val="Default"/>
    <w:link w:val="BodyTextChar"/>
    <w:rsid w:val="00733FF0"/>
    <w:pPr>
      <w:spacing w:before="120" w:after="120"/>
    </w:pPr>
    <w:rPr>
      <w:rFonts w:cs="Times New Roman"/>
      <w:color w:val="auto"/>
      <w:lang w:eastAsia="en-AU"/>
    </w:rPr>
  </w:style>
  <w:style w:type="character" w:customStyle="1" w:styleId="BodyTextChar">
    <w:name w:val="Body Text Char"/>
    <w:basedOn w:val="DefaultParagraphFont"/>
    <w:link w:val="BodyText"/>
    <w:rsid w:val="00733FF0"/>
    <w:rPr>
      <w:rFonts w:ascii="Arial" w:eastAsia="Times New Roman" w:hAnsi="Arial" w:cs="Times New Roman"/>
      <w:sz w:val="24"/>
      <w:szCs w:val="24"/>
      <w:lang w:eastAsia="en-AU"/>
    </w:rPr>
  </w:style>
  <w:style w:type="character" w:styleId="CommentReference">
    <w:name w:val="annotation reference"/>
    <w:uiPriority w:val="99"/>
    <w:rsid w:val="00733FF0"/>
    <w:rPr>
      <w:sz w:val="16"/>
      <w:szCs w:val="16"/>
    </w:rPr>
  </w:style>
  <w:style w:type="paragraph" w:styleId="CommentText">
    <w:name w:val="annotation text"/>
    <w:basedOn w:val="Normal"/>
    <w:link w:val="CommentTextChar"/>
    <w:uiPriority w:val="99"/>
    <w:rsid w:val="00733FF0"/>
    <w:pPr>
      <w:spacing w:before="40" w:after="120" w:line="32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33F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33FF0"/>
    <w:rPr>
      <w:b/>
      <w:bCs/>
    </w:rPr>
  </w:style>
  <w:style w:type="character" w:customStyle="1" w:styleId="CommentSubjectChar">
    <w:name w:val="Comment Subject Char"/>
    <w:basedOn w:val="CommentTextChar"/>
    <w:link w:val="CommentSubject"/>
    <w:rsid w:val="00733FF0"/>
    <w:rPr>
      <w:rFonts w:ascii="Times New Roman" w:eastAsia="Times New Roman" w:hAnsi="Times New Roman" w:cs="Times New Roman"/>
      <w:b/>
      <w:bCs/>
      <w:sz w:val="20"/>
      <w:szCs w:val="20"/>
    </w:rPr>
  </w:style>
  <w:style w:type="character" w:styleId="Emphasis">
    <w:name w:val="Emphasis"/>
    <w:basedOn w:val="DefaultParagraphFont"/>
    <w:uiPriority w:val="20"/>
    <w:rsid w:val="00733FF0"/>
    <w:rPr>
      <w:i/>
      <w:iCs/>
    </w:rPr>
  </w:style>
  <w:style w:type="paragraph" w:customStyle="1" w:styleId="StyleBefore6pt">
    <w:name w:val="Style Before:  6 pt"/>
    <w:basedOn w:val="Normal"/>
    <w:rsid w:val="00733FF0"/>
    <w:pPr>
      <w:suppressAutoHyphens/>
      <w:spacing w:before="40" w:after="60" w:line="320" w:lineRule="atLeast"/>
    </w:pPr>
    <w:rPr>
      <w:rFonts w:ascii="Arial" w:eastAsia="Times New Roman" w:hAnsi="Arial" w:cs="Times New Roman"/>
      <w:sz w:val="20"/>
      <w:szCs w:val="20"/>
      <w:lang w:eastAsia="ar-SA"/>
    </w:rPr>
  </w:style>
  <w:style w:type="paragraph" w:customStyle="1" w:styleId="StyleBoldGreenBefore6pt">
    <w:name w:val="Style Bold Green Before:  6 pt"/>
    <w:basedOn w:val="Normal"/>
    <w:rsid w:val="00733FF0"/>
    <w:pPr>
      <w:suppressAutoHyphens/>
      <w:spacing w:before="60" w:after="120" w:line="320" w:lineRule="atLeast"/>
    </w:pPr>
    <w:rPr>
      <w:rFonts w:ascii="Arial" w:eastAsia="Times New Roman" w:hAnsi="Arial" w:cs="Times New Roman"/>
      <w:b/>
      <w:bCs/>
      <w:color w:val="008000"/>
      <w:sz w:val="20"/>
      <w:szCs w:val="20"/>
      <w:lang w:eastAsia="ar-SA"/>
    </w:rPr>
  </w:style>
  <w:style w:type="character" w:styleId="PageNumber">
    <w:name w:val="page number"/>
    <w:rsid w:val="00733FF0"/>
    <w:rPr>
      <w:rFonts w:cs="Times New Roman"/>
    </w:rPr>
  </w:style>
  <w:style w:type="paragraph" w:customStyle="1" w:styleId="Normal-Style2">
    <w:name w:val="Normal - Style2"/>
    <w:basedOn w:val="NoSpacing"/>
    <w:qFormat/>
    <w:rsid w:val="00A67C4E"/>
    <w:pPr>
      <w:numPr>
        <w:ilvl w:val="2"/>
        <w:numId w:val="25"/>
      </w:numPr>
      <w:spacing w:after="160" w:line="280" w:lineRule="atLeast"/>
    </w:pPr>
    <w:rPr>
      <w:rFonts w:asciiTheme="minorHAnsi" w:eastAsia="Times New Roman" w:hAnsiTheme="minorHAnsi" w:cs="Arial"/>
      <w:sz w:val="22"/>
      <w:szCs w:val="20"/>
    </w:rPr>
  </w:style>
  <w:style w:type="paragraph" w:customStyle="1" w:styleId="Normal-Style3bulletpoints">
    <w:name w:val="Normal - Style3 bullet points"/>
    <w:basedOn w:val="Normal-Style2"/>
    <w:qFormat/>
    <w:rsid w:val="00733FF0"/>
    <w:pPr>
      <w:numPr>
        <w:numId w:val="0"/>
      </w:numPr>
      <w:ind w:left="1080" w:hanging="1080"/>
    </w:pPr>
  </w:style>
  <w:style w:type="paragraph" w:customStyle="1" w:styleId="NormalStyle4subbulletpoint">
    <w:name w:val="Normal Style4 sub bullet point"/>
    <w:basedOn w:val="Normal-Style2"/>
    <w:qFormat/>
    <w:rsid w:val="00733FF0"/>
    <w:pPr>
      <w:numPr>
        <w:numId w:val="0"/>
      </w:numPr>
      <w:spacing w:after="0"/>
      <w:ind w:left="1080" w:hanging="1080"/>
    </w:pPr>
  </w:style>
  <w:style w:type="paragraph" w:customStyle="1" w:styleId="Pa5">
    <w:name w:val="Pa5"/>
    <w:basedOn w:val="Default"/>
    <w:next w:val="Default"/>
    <w:uiPriority w:val="99"/>
    <w:rsid w:val="00733FF0"/>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33FF0"/>
    <w:rPr>
      <w:b/>
      <w:bCs/>
    </w:rPr>
  </w:style>
  <w:style w:type="paragraph" w:styleId="Revision">
    <w:name w:val="Revision"/>
    <w:hidden/>
    <w:uiPriority w:val="99"/>
    <w:semiHidden/>
    <w:rsid w:val="00733FF0"/>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733FF0"/>
    <w:pPr>
      <w:keepNext/>
      <w:spacing w:before="40" w:after="120" w:line="280" w:lineRule="atLeast"/>
    </w:pPr>
    <w:rPr>
      <w:rFonts w:ascii="Arial" w:eastAsia="Times New Roman" w:hAnsi="Arial" w:cs="Times New Roman"/>
      <w:b/>
      <w:sz w:val="20"/>
      <w:szCs w:val="20"/>
    </w:rPr>
  </w:style>
  <w:style w:type="paragraph" w:customStyle="1" w:styleId="Heading2Appendix">
    <w:name w:val="Heading 2 Appendix"/>
    <w:basedOn w:val="Heading2"/>
    <w:next w:val="Normal"/>
    <w:qFormat/>
    <w:rsid w:val="00733FF0"/>
    <w:rPr>
      <w:rFonts w:ascii="Arial" w:eastAsia="Times New Roman" w:hAnsi="Arial" w:cstheme="minorHAnsi"/>
      <w:bCs/>
      <w:iCs/>
      <w:color w:val="264F90"/>
      <w:kern w:val="0"/>
      <w:sz w:val="32"/>
      <w:szCs w:val="32"/>
    </w:rPr>
  </w:style>
  <w:style w:type="paragraph" w:customStyle="1" w:styleId="Heading3Appendix">
    <w:name w:val="Heading 3 Appendix"/>
    <w:basedOn w:val="Heading3"/>
    <w:qFormat/>
    <w:rsid w:val="00733FF0"/>
    <w:rPr>
      <w:rFonts w:ascii="Arial" w:eastAsia="Times New Roman" w:hAnsi="Arial" w:cs="Arial"/>
      <w:bCs/>
      <w:iCs/>
      <w:color w:val="264F90"/>
      <w:kern w:val="0"/>
      <w:sz w:val="24"/>
      <w:szCs w:val="32"/>
    </w:rPr>
  </w:style>
  <w:style w:type="character" w:styleId="FollowedHyperlink">
    <w:name w:val="FollowedHyperlink"/>
    <w:basedOn w:val="DefaultParagraphFont"/>
    <w:rsid w:val="00733FF0"/>
    <w:rPr>
      <w:color w:val="954F72" w:themeColor="followedHyperlink"/>
      <w:u w:val="single"/>
    </w:rPr>
  </w:style>
  <w:style w:type="paragraph" w:styleId="TOC5">
    <w:name w:val="toc 5"/>
    <w:basedOn w:val="Normal"/>
    <w:next w:val="Normal"/>
    <w:autoRedefine/>
    <w:uiPriority w:val="39"/>
    <w:rsid w:val="00733FF0"/>
    <w:pPr>
      <w:tabs>
        <w:tab w:val="left" w:pos="1985"/>
        <w:tab w:val="right" w:leader="dot" w:pos="8778"/>
      </w:tabs>
      <w:spacing w:before="40" w:after="120" w:line="280" w:lineRule="atLeast"/>
      <w:ind w:left="1418" w:hanging="284"/>
    </w:pPr>
    <w:rPr>
      <w:rFonts w:ascii="Arial" w:eastAsia="Times New Roman" w:hAnsi="Arial" w:cs="Times New Roman"/>
      <w:sz w:val="20"/>
      <w:szCs w:val="20"/>
    </w:rPr>
  </w:style>
  <w:style w:type="character" w:styleId="PlaceholderText">
    <w:name w:val="Placeholder Text"/>
    <w:basedOn w:val="DefaultParagraphFont"/>
    <w:uiPriority w:val="99"/>
    <w:semiHidden/>
    <w:rsid w:val="00733FF0"/>
    <w:rPr>
      <w:color w:val="808080"/>
    </w:rPr>
  </w:style>
  <w:style w:type="paragraph" w:customStyle="1" w:styleId="Normalheaderrow">
    <w:name w:val="Normal + header row"/>
    <w:basedOn w:val="Normal"/>
    <w:qFormat/>
    <w:rsid w:val="00733FF0"/>
    <w:pPr>
      <w:spacing w:before="40" w:after="120" w:line="280" w:lineRule="atLeast"/>
    </w:pPr>
    <w:rPr>
      <w:rFonts w:ascii="Arial" w:eastAsia="Times New Roman" w:hAnsi="Arial" w:cs="Times New Roman"/>
      <w:color w:val="FFFFFF" w:themeColor="background1"/>
      <w:sz w:val="20"/>
      <w:szCs w:val="20"/>
    </w:rPr>
  </w:style>
  <w:style w:type="paragraph" w:customStyle="1" w:styleId="Heading5appendix">
    <w:name w:val="Heading 5 + appendix"/>
    <w:basedOn w:val="Heading5"/>
    <w:qFormat/>
    <w:rsid w:val="00733FF0"/>
    <w:pPr>
      <w:keepNext w:val="0"/>
      <w:tabs>
        <w:tab w:val="left" w:pos="1985"/>
      </w:tabs>
      <w:suppressAutoHyphens/>
      <w:spacing w:before="180" w:after="60" w:line="280" w:lineRule="atLeast"/>
    </w:pPr>
    <w:rPr>
      <w:rFonts w:ascii="Arial" w:eastAsia="Times New Roman" w:hAnsi="Arial" w:cs="Times New Roman"/>
      <w:b w:val="0"/>
      <w:bCs/>
      <w:iCs/>
      <w:color w:val="auto"/>
      <w:sz w:val="20"/>
      <w:szCs w:val="26"/>
    </w:rPr>
  </w:style>
  <w:style w:type="character" w:customStyle="1" w:styleId="hvr">
    <w:name w:val="hvr"/>
    <w:basedOn w:val="DefaultParagraphFont"/>
    <w:rsid w:val="00733FF0"/>
  </w:style>
  <w:style w:type="paragraph" w:customStyle="1" w:styleId="Heading4appendix">
    <w:name w:val="Heading 4 + appendix"/>
    <w:basedOn w:val="Heading4"/>
    <w:qFormat/>
    <w:rsid w:val="00733FF0"/>
    <w:pPr>
      <w:keepNext w:val="0"/>
      <w:keepLines w:val="0"/>
      <w:spacing w:before="180" w:after="60" w:line="280" w:lineRule="atLeast"/>
    </w:pPr>
    <w:rPr>
      <w:rFonts w:ascii="Arial" w:eastAsia="Times New Roman" w:hAnsi="Arial"/>
      <w:iCs w:val="0"/>
      <w:color w:val="auto"/>
      <w:kern w:val="0"/>
      <w:sz w:val="20"/>
    </w:rPr>
  </w:style>
  <w:style w:type="paragraph" w:customStyle="1" w:styleId="inputcomment">
    <w:name w:val="input comment"/>
    <w:basedOn w:val="Normal"/>
    <w:qFormat/>
    <w:rsid w:val="00733FF0"/>
    <w:pPr>
      <w:suppressAutoHyphens/>
      <w:spacing w:before="180" w:after="60"/>
    </w:pPr>
    <w:rPr>
      <w:rFonts w:asciiTheme="minorHAnsi" w:hAnsiTheme="minorHAnsi"/>
      <w:b/>
      <w:iCs/>
      <w:color w:val="7B7B7B" w:themeColor="accent3" w:themeShade="BF"/>
    </w:rPr>
  </w:style>
  <w:style w:type="paragraph" w:customStyle="1" w:styleId="Boxed2Text">
    <w:name w:val="Boxed 2 Text"/>
    <w:basedOn w:val="Normal"/>
    <w:qFormat/>
    <w:rsid w:val="00733FF0"/>
    <w:pPr>
      <w:numPr>
        <w:numId w:val="26"/>
      </w:numPr>
      <w:pBdr>
        <w:top w:val="single" w:sz="4" w:space="4" w:color="DEEAF6" w:themeColor="accent1" w:themeTint="33"/>
        <w:left w:val="single" w:sz="4" w:space="0" w:color="DEEAF6" w:themeColor="accent1" w:themeTint="33"/>
        <w:bottom w:val="single" w:sz="4" w:space="4" w:color="DEEAF6" w:themeColor="accent1" w:themeTint="33"/>
        <w:right w:val="single" w:sz="4" w:space="0" w:color="DEEAF6" w:themeColor="accent1" w:themeTint="33"/>
      </w:pBdr>
      <w:shd w:val="clear" w:color="auto" w:fill="DEEAF6" w:themeFill="accent1" w:themeFillTint="33"/>
      <w:suppressAutoHyphens/>
      <w:spacing w:before="120" w:after="40" w:line="280" w:lineRule="atLeast"/>
      <w:ind w:right="284"/>
    </w:pPr>
    <w:rPr>
      <w:rFonts w:ascii="Arial" w:hAnsi="Arial"/>
      <w:iCs/>
      <w:sz w:val="20"/>
    </w:rPr>
  </w:style>
  <w:style w:type="paragraph" w:customStyle="1" w:styleId="BodyText1">
    <w:name w:val="Body Text1"/>
    <w:basedOn w:val="Normal"/>
    <w:rsid w:val="00733FF0"/>
    <w:pPr>
      <w:spacing w:after="120"/>
    </w:pPr>
    <w:rPr>
      <w:rFonts w:ascii="Cambria" w:eastAsia="Times New Roman" w:hAnsi="Cambria" w:cs="Times New Roman"/>
      <w:iCs/>
      <w:szCs w:val="20"/>
    </w:rPr>
  </w:style>
  <w:style w:type="paragraph" w:styleId="ListBullet4">
    <w:name w:val="List Bullet 4"/>
    <w:basedOn w:val="ListBullet"/>
    <w:unhideWhenUsed/>
    <w:rsid w:val="00733FF0"/>
    <w:pPr>
      <w:shd w:val="clear" w:color="auto" w:fill="DEEAF6" w:themeFill="accent1" w:themeFillTint="33"/>
      <w:ind w:left="641" w:hanging="357"/>
    </w:pPr>
    <w:rPr>
      <w:rFonts w:cstheme="minorHAnsi"/>
    </w:rPr>
  </w:style>
  <w:style w:type="paragraph" w:customStyle="1" w:styleId="highlightedtext">
    <w:name w:val="highlighted text"/>
    <w:basedOn w:val="Normal"/>
    <w:link w:val="highlightedtextChar"/>
    <w:qFormat/>
    <w:rsid w:val="00733FF0"/>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525252" w:themeColor="accent3" w:themeShade="80"/>
    </w:rPr>
  </w:style>
  <w:style w:type="character" w:customStyle="1" w:styleId="highlightedtextChar">
    <w:name w:val="highlighted text Char"/>
    <w:basedOn w:val="DefaultParagraphFont"/>
    <w:link w:val="highlightedtext"/>
    <w:rsid w:val="00733FF0"/>
    <w:rPr>
      <w:b/>
      <w:iCs/>
      <w:color w:val="525252" w:themeColor="accent3" w:themeShade="80"/>
    </w:rPr>
  </w:style>
  <w:style w:type="paragraph" w:customStyle="1" w:styleId="Bullet1">
    <w:name w:val="Bullet 1"/>
    <w:basedOn w:val="Normal"/>
    <w:qFormat/>
    <w:rsid w:val="00733FF0"/>
    <w:pPr>
      <w:numPr>
        <w:numId w:val="27"/>
      </w:numPr>
      <w:suppressAutoHyphens/>
      <w:spacing w:before="120" w:after="60" w:line="280" w:lineRule="atLeast"/>
    </w:pPr>
    <w:rPr>
      <w:rFonts w:asciiTheme="minorHAnsi" w:hAnsiTheme="minorHAnsi"/>
      <w:iCs/>
    </w:rPr>
  </w:style>
  <w:style w:type="paragraph" w:customStyle="1" w:styleId="Bullet2">
    <w:name w:val="Bullet 2"/>
    <w:basedOn w:val="Bullet1"/>
    <w:qFormat/>
    <w:rsid w:val="00733FF0"/>
    <w:pPr>
      <w:numPr>
        <w:ilvl w:val="1"/>
      </w:numPr>
    </w:pPr>
  </w:style>
  <w:style w:type="paragraph" w:customStyle="1" w:styleId="Bullet3">
    <w:name w:val="Bullet 3"/>
    <w:basedOn w:val="Bullet2"/>
    <w:qFormat/>
    <w:rsid w:val="00733FF0"/>
    <w:pPr>
      <w:numPr>
        <w:ilvl w:val="2"/>
      </w:numPr>
    </w:pPr>
  </w:style>
  <w:style w:type="numbering" w:customStyle="1" w:styleId="BulletsList">
    <w:name w:val="Bullets List"/>
    <w:uiPriority w:val="99"/>
    <w:rsid w:val="00733FF0"/>
    <w:pPr>
      <w:numPr>
        <w:numId w:val="27"/>
      </w:numPr>
    </w:pPr>
  </w:style>
  <w:style w:type="numbering" w:customStyle="1" w:styleId="TableHeadingNumbers">
    <w:name w:val="Table Heading Numbers"/>
    <w:uiPriority w:val="99"/>
    <w:rsid w:val="00733FF0"/>
    <w:pPr>
      <w:numPr>
        <w:numId w:val="28"/>
      </w:numPr>
    </w:pPr>
  </w:style>
  <w:style w:type="character" w:customStyle="1" w:styleId="NoSpacingChar">
    <w:name w:val="No Spacing Char"/>
    <w:basedOn w:val="DefaultParagraphFont"/>
    <w:link w:val="NoSpacing"/>
    <w:uiPriority w:val="1"/>
    <w:rsid w:val="00733FF0"/>
    <w:rPr>
      <w:rFonts w:ascii="Segoe UI" w:hAnsi="Segoe UI"/>
      <w:sz w:val="21"/>
    </w:rPr>
  </w:style>
  <w:style w:type="paragraph" w:customStyle="1" w:styleId="Guidelinesbodytext">
    <w:name w:val="Guidelines body text"/>
    <w:basedOn w:val="NoSpacing"/>
    <w:qFormat/>
    <w:rsid w:val="00733FF0"/>
    <w:rPr>
      <w:rFonts w:ascii="Calibri" w:eastAsia="Times New Roman" w:hAnsi="Calibri" w:cs="Times New Roman"/>
      <w:color w:val="000000"/>
      <w:sz w:val="22"/>
      <w:szCs w:val="20"/>
      <w:lang w:val="en-US" w:bidi="en-US"/>
    </w:rPr>
  </w:style>
  <w:style w:type="table" w:customStyle="1" w:styleId="Finance1">
    <w:name w:val="Finance 1"/>
    <w:basedOn w:val="TableNormal"/>
    <w:uiPriority w:val="99"/>
    <w:rsid w:val="00733FF0"/>
    <w:pPr>
      <w:spacing w:before="60" w:after="60" w:line="200" w:lineRule="atLeast"/>
    </w:pPr>
    <w:rPr>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0">
    <w:name w:val="Table Text"/>
    <w:basedOn w:val="Normal"/>
    <w:qFormat/>
    <w:rsid w:val="00733FF0"/>
    <w:pPr>
      <w:suppressAutoHyphens/>
      <w:spacing w:before="60" w:after="60" w:line="280" w:lineRule="atLeast"/>
    </w:pPr>
    <w:rPr>
      <w:rFonts w:ascii="Arial" w:hAnsi="Arial"/>
      <w:iCs/>
      <w:sz w:val="20"/>
    </w:rPr>
  </w:style>
  <w:style w:type="table" w:styleId="TableGridLight">
    <w:name w:val="Grid Table Light"/>
    <w:basedOn w:val="TableNormal"/>
    <w:uiPriority w:val="40"/>
    <w:rsid w:val="00733FF0"/>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33FF0"/>
    <w:pPr>
      <w:numPr>
        <w:numId w:val="29"/>
      </w:numPr>
      <w:suppressAutoHyphens/>
      <w:spacing w:before="180" w:after="60" w:line="280" w:lineRule="atLeast"/>
    </w:pPr>
    <w:rPr>
      <w:rFonts w:asciiTheme="minorHAnsi" w:hAnsiTheme="minorHAnsi"/>
    </w:rPr>
  </w:style>
  <w:style w:type="paragraph" w:customStyle="1" w:styleId="NumberedList2">
    <w:name w:val="Numbered List 2"/>
    <w:basedOn w:val="NumberedList1"/>
    <w:qFormat/>
    <w:rsid w:val="00733FF0"/>
    <w:pPr>
      <w:numPr>
        <w:ilvl w:val="1"/>
      </w:numPr>
      <w:spacing w:before="120"/>
    </w:pPr>
  </w:style>
  <w:style w:type="paragraph" w:customStyle="1" w:styleId="NumberedList3">
    <w:name w:val="Numbered List 3"/>
    <w:basedOn w:val="NumberedList2"/>
    <w:qFormat/>
    <w:rsid w:val="00733FF0"/>
    <w:pPr>
      <w:numPr>
        <w:ilvl w:val="2"/>
      </w:numPr>
      <w:ind w:left="851"/>
    </w:pPr>
  </w:style>
  <w:style w:type="numbering" w:customStyle="1" w:styleId="Numberedlist">
    <w:name w:val="Numbered list"/>
    <w:uiPriority w:val="99"/>
    <w:rsid w:val="00733FF0"/>
    <w:pPr>
      <w:numPr>
        <w:numId w:val="29"/>
      </w:numPr>
    </w:pPr>
  </w:style>
  <w:style w:type="table" w:styleId="GridTable1Light">
    <w:name w:val="Grid Table 1 Light"/>
    <w:basedOn w:val="TableNormal"/>
    <w:uiPriority w:val="46"/>
    <w:rsid w:val="00733FF0"/>
    <w:pPr>
      <w:spacing w:after="0" w:line="240" w:lineRule="auto"/>
    </w:pPr>
    <w:rPr>
      <w:rFonts w:ascii="Arial" w:eastAsia="Times New Roman" w:hAnsi="Arial"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numbered-Level1">
    <w:name w:val="Body numbered - Level 1"/>
    <w:basedOn w:val="BodyText"/>
    <w:uiPriority w:val="1"/>
    <w:qFormat/>
    <w:rsid w:val="00733FF0"/>
    <w:pPr>
      <w:autoSpaceDE/>
      <w:autoSpaceDN/>
      <w:adjustRightInd/>
      <w:spacing w:before="240" w:after="240"/>
      <w:ind w:left="720" w:hanging="720"/>
    </w:pPr>
    <w:rPr>
      <w:rFonts w:ascii="Calibri" w:eastAsia="Calibri" w:hAnsi="Calibri"/>
      <w:sz w:val="22"/>
      <w:szCs w:val="22"/>
      <w:lang w:eastAsia="en-US"/>
    </w:rPr>
  </w:style>
  <w:style w:type="paragraph" w:styleId="TOC6">
    <w:name w:val="toc 6"/>
    <w:basedOn w:val="Normal"/>
    <w:next w:val="Normal"/>
    <w:autoRedefine/>
    <w:uiPriority w:val="39"/>
    <w:unhideWhenUsed/>
    <w:rsid w:val="001774D3"/>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1774D3"/>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1774D3"/>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1774D3"/>
    <w:pPr>
      <w:spacing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2717">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publishing@infrastructure.gov.au" TargetMode="External"/><Relationship Id="rId26" Type="http://schemas.openxmlformats.org/officeDocument/2006/relationships/hyperlink" Target="https://www.legislation.gov.au/Series/C2004A04465" TargetMode="External"/><Relationship Id="rId39" Type="http://schemas.openxmlformats.org/officeDocument/2006/relationships/hyperlink" Target="http://www.apsc.gov.au/publications-and-media/current-publications/aps-values-and-code-of-conduct-in-practice/conflict-of-interest" TargetMode="External"/><Relationship Id="rId21" Type="http://schemas.openxmlformats.org/officeDocument/2006/relationships/hyperlink" Target="http://www.grants.gov.au/" TargetMode="External"/><Relationship Id="rId34" Type="http://schemas.openxmlformats.org/officeDocument/2006/relationships/hyperlink" Target="https://www.infrastructure.gov.au/contact-us" TargetMode="External"/><Relationship Id="rId42" Type="http://schemas.openxmlformats.org/officeDocument/2006/relationships/hyperlink" Target="https://www.legislation.gov.au/Series/C2004A03712" TargetMode="External"/><Relationship Id="rId47" Type="http://schemas.openxmlformats.org/officeDocument/2006/relationships/hyperlink" Target="https://www.legislation.gov.au/Series/C2004A04868" TargetMode="External"/><Relationship Id="rId50" Type="http://schemas.openxmlformats.org/officeDocument/2006/relationships/hyperlink" Target="https://www.finance.gov.au/sites/default/files/2019-11/commonwealth-grants-rules-and-guidelines.pdf" TargetMode="External"/><Relationship Id="rId55"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mc.gov.au/" TargetMode="External"/><Relationship Id="rId25" Type="http://schemas.openxmlformats.org/officeDocument/2006/relationships/hyperlink" Target="https://www.legislation.gov.au/Series/C2004A05145" TargetMode="External"/><Relationship Id="rId33" Type="http://schemas.openxmlformats.org/officeDocument/2006/relationships/hyperlink" Target="https://www.legislation.gov.au/Series/C2013A00123" TargetMode="External"/><Relationship Id="rId38" Type="http://schemas.openxmlformats.org/officeDocument/2006/relationships/hyperlink" Target="http://www.ombudsman.gov.au" TargetMode="External"/><Relationship Id="rId46" Type="http://schemas.openxmlformats.org/officeDocument/2006/relationships/hyperlink" Target="http://www.oaic.gov.au" TargetMode="External"/><Relationship Id="rId2" Type="http://schemas.openxmlformats.org/officeDocument/2006/relationships/customXml" Target="../customXml/item2.xml"/><Relationship Id="rId16" Type="http://schemas.openxmlformats.org/officeDocument/2006/relationships/hyperlink" Target="mailto:MBSP@infrastructure.gov.au" TargetMode="Externa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mailto:MBSP@infrastructure.gov.au" TargetMode="External"/><Relationship Id="rId41" Type="http://schemas.openxmlformats.org/officeDocument/2006/relationships/hyperlink" Target="https://www.legislation.gov.au/Series/C2004A00538"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nfrastructure.gov.au/about-us/corporate-reporting/budgets/budget-2022-23/portfolio-budget-statements-2022-23" TargetMode="External"/><Relationship Id="rId32" Type="http://schemas.openxmlformats.org/officeDocument/2006/relationships/hyperlink" Target="mailto:MBSP@infrastructure.gov.au" TargetMode="External"/><Relationship Id="rId37" Type="http://schemas.openxmlformats.org/officeDocument/2006/relationships/hyperlink" Target="mailto:ombudsman@ombudsman.gov.au" TargetMode="External"/><Relationship Id="rId40" Type="http://schemas.openxmlformats.org/officeDocument/2006/relationships/hyperlink" Target="http://www8.austlii.edu.au/cgi-bin/viewdoc/au/legis/cth/consol_act/psa1999152/s13.html" TargetMode="External"/><Relationship Id="rId45" Type="http://schemas.openxmlformats.org/officeDocument/2006/relationships/hyperlink" Target="mailto:privacy@infrastructure.gov.au" TargetMode="External"/><Relationship Id="rId53"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finance.gov.au/sites/default/files/2019-11/commonwealth-grants-rules-and-guidelines.pdf" TargetMode="External"/><Relationship Id="rId28" Type="http://schemas.openxmlformats.org/officeDocument/2006/relationships/hyperlink" Target="mailto:" TargetMode="External"/><Relationship Id="rId36" Type="http://schemas.openxmlformats.org/officeDocument/2006/relationships/hyperlink" Target="http://www.ombudsman.gov.au/" TargetMode="External"/><Relationship Id="rId49" Type="http://schemas.openxmlformats.org/officeDocument/2006/relationships/hyperlink" Target="mailto:foi@infrastructure.gov.au"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nfrastructure.gov.au/" TargetMode="External"/><Relationship Id="rId31" Type="http://schemas.openxmlformats.org/officeDocument/2006/relationships/hyperlink" Target="mailto:MBSP@infrastructure.gov.au" TargetMode="External"/><Relationship Id="rId44" Type="http://schemas.openxmlformats.org/officeDocument/2006/relationships/hyperlink" Target="mailto:clientservice@communications.gov.au"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BSP@infrastructure.gov.au" TargetMode="External"/><Relationship Id="rId27" Type="http://schemas.openxmlformats.org/officeDocument/2006/relationships/hyperlink" Target="mailto:MBSP@infrastructure.gov.au" TargetMode="External"/><Relationship Id="rId30" Type="http://schemas.openxmlformats.org/officeDocument/2006/relationships/hyperlink" Target="mailto:mobilecoverage@communications.gov.au" TargetMode="External"/><Relationship Id="rId35" Type="http://schemas.openxmlformats.org/officeDocument/2006/relationships/hyperlink" Target="mailto:MBSP@infrastructure.gov.au" TargetMode="External"/><Relationship Id="rId43" Type="http://schemas.openxmlformats.org/officeDocument/2006/relationships/hyperlink" Target="http://www.infrastructure.gov.au/utilities/privacy.aspx" TargetMode="External"/><Relationship Id="rId48" Type="http://schemas.openxmlformats.org/officeDocument/2006/relationships/hyperlink" Target="https://www.legislation.gov.au/Series/C2004A02562"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grants.gov.au/"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au/Series/C2004A00538" TargetMode="External"/><Relationship Id="rId3" Type="http://schemas.openxmlformats.org/officeDocument/2006/relationships/hyperlink" Target="https://www.legislation.gov.au/Series/C2004A05145" TargetMode="External"/><Relationship Id="rId7" Type="http://schemas.openxmlformats.org/officeDocument/2006/relationships/hyperlink" Target="https://www.legislation.gov.au/Series/C2013A00123" TargetMode="External"/><Relationship Id="rId2" Type="http://schemas.openxmlformats.org/officeDocument/2006/relationships/hyperlink" Target="https://www.infrastructure.gov.au/about-us/corporate-reporting/budgets/budget-2022-23/portfolio-budget-statements-2022-23" TargetMode="External"/><Relationship Id="rId1" Type="http://schemas.openxmlformats.org/officeDocument/2006/relationships/hyperlink" Target="https://www.finance.gov.au/sites/default/files/2019-11/commonwealth-grants-rules-and-guidelines.pdf" TargetMode="External"/><Relationship Id="rId6" Type="http://schemas.openxmlformats.org/officeDocument/2006/relationships/hyperlink" Target="http://www.grants.gov.au/" TargetMode="External"/><Relationship Id="rId11" Type="http://schemas.openxmlformats.org/officeDocument/2006/relationships/hyperlink" Target="https://www.legislation.gov.au/Series/C2004A02562" TargetMode="External"/><Relationship Id="rId5" Type="http://schemas.openxmlformats.org/officeDocument/2006/relationships/hyperlink" Target="http://www.accc.gov.au/public-registers/telecommunications-registers/s152bcw-access-determinations-register/final-access-determination-no-2-of-2020-for-the-domestic-transmission-capacity-service-dtcs" TargetMode="External"/><Relationship Id="rId10" Type="http://schemas.openxmlformats.org/officeDocument/2006/relationships/hyperlink" Target="https://www.legislation.gov.au/Series/C2004A04868" TargetMode="External"/><Relationship Id="rId4" Type="http://schemas.openxmlformats.org/officeDocument/2006/relationships/hyperlink" Target="https://www.legislation.gov.au/Series/C2004A04465" TargetMode="External"/><Relationship Id="rId9" Type="http://schemas.openxmlformats.org/officeDocument/2006/relationships/hyperlink" Target="https://www.legislation.gov.au/Series/C2004A03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849F503160664391608491EDD8F087" ma:contentTypeVersion="0" ma:contentTypeDescription="Create a new document." ma:contentTypeScope="" ma:versionID="f34f2a6b0ac87f86fa202a145d001af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CF93D-B480-43EA-818C-725A0B9867F4}">
  <ds:schemaRefs>
    <ds:schemaRef ds:uri="http://schemas.microsoft.com/sharepoint/v3/contenttype/forms"/>
  </ds:schemaRefs>
</ds:datastoreItem>
</file>

<file path=customXml/itemProps2.xml><?xml version="1.0" encoding="utf-8"?>
<ds:datastoreItem xmlns:ds="http://schemas.openxmlformats.org/officeDocument/2006/customXml" ds:itemID="{05D916F5-C336-49FF-8965-9E30743CC96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FACBFBD-1259-4361-B873-B69DAA08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3C5106-B938-4CB1-95B7-EE45EFA1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17624</Words>
  <Characters>100457</Characters>
  <Application>Microsoft Office Word</Application>
  <DocSecurity>4</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117846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Black Spot Program Improving Mobile Coverage Round Grant Opportunity Guidelines—2 February 2023</dc:title>
  <dc:subject/>
  <dc:creator>Department of Infrastructure, Transport, Regional Development, Communications and the Arts</dc:creator>
  <cp:keywords/>
  <dc:description>22 July 2021</dc:description>
  <cp:lastModifiedBy>Stewart-Fitzpatrick, Nicole</cp:lastModifiedBy>
  <cp:revision>2</cp:revision>
  <dcterms:created xsi:type="dcterms:W3CDTF">2024-02-02T00:59:00Z</dcterms:created>
  <dcterms:modified xsi:type="dcterms:W3CDTF">2024-02-02T00:59:00Z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0x0101004A849F503160664391608491EDD8F087</vt:lpwstr>
  </property>
  <property fmtid="{D5CDD505-2E9C-101B-9397-08002B2CF9AE}" pid="3" name="TrimRevisionNumber">
    <vt:i4>1</vt:i4>
  </property>
</Properties>
</file>