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691C3" w14:textId="77777777" w:rsidR="000C2A48" w:rsidRDefault="000C2A48" w:rsidP="000C2A48"/>
    <w:p w14:paraId="031691C4" w14:textId="77777777" w:rsidR="00794773" w:rsidRPr="00BB2405" w:rsidRDefault="00BB2405" w:rsidP="00C836BC">
      <w:pPr>
        <w:pStyle w:val="Title"/>
        <w:spacing w:before="3000"/>
        <w:rPr>
          <w:color w:val="auto"/>
        </w:rPr>
      </w:pPr>
      <w:r w:rsidRPr="00BB2405">
        <w:rPr>
          <w:color w:val="auto"/>
        </w:rPr>
        <w:t>Mobile Black Spot Program</w:t>
      </w:r>
    </w:p>
    <w:p w14:paraId="031691C5" w14:textId="77777777" w:rsidR="00794773" w:rsidRPr="00BB2405" w:rsidRDefault="00BB2405" w:rsidP="00C836BC">
      <w:pPr>
        <w:pStyle w:val="Title"/>
        <w:rPr>
          <w:color w:val="auto"/>
        </w:rPr>
      </w:pPr>
      <w:r w:rsidRPr="00BB2405">
        <w:rPr>
          <w:color w:val="auto"/>
        </w:rPr>
        <w:t>Round 4</w:t>
      </w:r>
    </w:p>
    <w:p w14:paraId="031691C6" w14:textId="1704E4BE" w:rsidR="00794773" w:rsidRDefault="00794773" w:rsidP="00C836BC">
      <w:pPr>
        <w:pStyle w:val="Title"/>
      </w:pPr>
      <w:r w:rsidRPr="00C836BC">
        <w:t>Guidelines</w:t>
      </w:r>
      <w:r w:rsidR="00A57300">
        <w:t xml:space="preserve"> </w:t>
      </w:r>
    </w:p>
    <w:p w14:paraId="4D02DA01" w14:textId="77777777" w:rsidR="00A57300" w:rsidRDefault="00A57300" w:rsidP="00A57300">
      <w:pPr>
        <w:spacing w:line="240" w:lineRule="auto"/>
      </w:pPr>
      <w:r>
        <w:tab/>
      </w:r>
      <w:r>
        <w:tab/>
      </w:r>
      <w:r>
        <w:tab/>
      </w:r>
      <w:r>
        <w:tab/>
      </w:r>
      <w:r>
        <w:tab/>
      </w:r>
      <w:r>
        <w:tab/>
      </w:r>
      <w:r>
        <w:tab/>
      </w:r>
      <w:r>
        <w:tab/>
      </w:r>
      <w:r>
        <w:tab/>
      </w:r>
      <w:r>
        <w:tab/>
        <w:t>Version 1</w:t>
      </w:r>
    </w:p>
    <w:p w14:paraId="031691C7" w14:textId="77777777"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404"/>
      </w:tblGrid>
      <w:tr w:rsidR="00794773" w:rsidRPr="007040EB" w14:paraId="031691CA" w14:textId="77777777" w:rsidTr="00C836BC">
        <w:tc>
          <w:tcPr>
            <w:tcW w:w="2977" w:type="dxa"/>
          </w:tcPr>
          <w:p w14:paraId="031691C8" w14:textId="77777777" w:rsidR="00794773" w:rsidRPr="007040EB" w:rsidRDefault="00794773" w:rsidP="00694DF9">
            <w:pPr>
              <w:spacing w:line="240" w:lineRule="auto"/>
              <w:jc w:val="both"/>
            </w:pPr>
            <w:r w:rsidRPr="007040EB">
              <w:t>Opening date</w:t>
            </w:r>
            <w:r>
              <w:t>:</w:t>
            </w:r>
          </w:p>
        </w:tc>
        <w:tc>
          <w:tcPr>
            <w:tcW w:w="6404" w:type="dxa"/>
            <w:shd w:val="clear" w:color="auto" w:fill="auto"/>
          </w:tcPr>
          <w:p w14:paraId="031691C9" w14:textId="58BEB996" w:rsidR="00794773" w:rsidRPr="00BB2405" w:rsidRDefault="008A5CDB" w:rsidP="00F010A9">
            <w:pPr>
              <w:pStyle w:val="inputcomment"/>
              <w:rPr>
                <w:b w:val="0"/>
                <w:color w:val="auto"/>
              </w:rPr>
            </w:pPr>
            <w:r w:rsidRPr="008A5CDB">
              <w:rPr>
                <w:b w:val="0"/>
                <w:color w:val="auto"/>
              </w:rPr>
              <w:t>1</w:t>
            </w:r>
            <w:r w:rsidR="00F010A9">
              <w:rPr>
                <w:b w:val="0"/>
                <w:color w:val="auto"/>
              </w:rPr>
              <w:t>5</w:t>
            </w:r>
            <w:r w:rsidR="00BB2405" w:rsidRPr="008A5CDB">
              <w:rPr>
                <w:b w:val="0"/>
                <w:color w:val="auto"/>
              </w:rPr>
              <w:t xml:space="preserve"> </w:t>
            </w:r>
            <w:r w:rsidRPr="008A5CDB">
              <w:rPr>
                <w:b w:val="0"/>
                <w:color w:val="auto"/>
              </w:rPr>
              <w:t>October</w:t>
            </w:r>
            <w:r w:rsidR="00AA03F4" w:rsidRPr="008A5CDB">
              <w:rPr>
                <w:b w:val="0"/>
                <w:color w:val="auto"/>
              </w:rPr>
              <w:t xml:space="preserve"> </w:t>
            </w:r>
            <w:r w:rsidR="00BB2405" w:rsidRPr="008A5CDB">
              <w:rPr>
                <w:b w:val="0"/>
                <w:color w:val="auto"/>
              </w:rPr>
              <w:t>2018</w:t>
            </w:r>
          </w:p>
        </w:tc>
      </w:tr>
      <w:tr w:rsidR="00794773" w:rsidRPr="007040EB" w14:paraId="031691CD" w14:textId="77777777" w:rsidTr="002C7BB1">
        <w:tc>
          <w:tcPr>
            <w:tcW w:w="2977" w:type="dxa"/>
          </w:tcPr>
          <w:p w14:paraId="031691CB" w14:textId="77777777" w:rsidR="00794773" w:rsidRPr="007040EB" w:rsidRDefault="00794773" w:rsidP="00694DF9">
            <w:pPr>
              <w:spacing w:line="240" w:lineRule="auto"/>
              <w:jc w:val="both"/>
            </w:pPr>
            <w:r w:rsidRPr="007040EB">
              <w:t>Closing date and time</w:t>
            </w:r>
            <w:r>
              <w:t>:</w:t>
            </w:r>
          </w:p>
        </w:tc>
        <w:tc>
          <w:tcPr>
            <w:tcW w:w="6404" w:type="dxa"/>
            <w:shd w:val="clear" w:color="auto" w:fill="auto"/>
          </w:tcPr>
          <w:p w14:paraId="031691CC" w14:textId="27E29193" w:rsidR="00794773" w:rsidRPr="00BB2405" w:rsidRDefault="00BB2405" w:rsidP="00F010A9">
            <w:pPr>
              <w:pStyle w:val="inputcomment"/>
              <w:rPr>
                <w:b w:val="0"/>
                <w:color w:val="auto"/>
              </w:rPr>
            </w:pPr>
            <w:r w:rsidRPr="00BB2405">
              <w:rPr>
                <w:b w:val="0"/>
                <w:color w:val="auto"/>
              </w:rPr>
              <w:t xml:space="preserve">5.00pm </w:t>
            </w:r>
            <w:r w:rsidR="00794773" w:rsidRPr="00BB2405">
              <w:rPr>
                <w:b w:val="0"/>
                <w:color w:val="auto"/>
              </w:rPr>
              <w:t xml:space="preserve">AEST </w:t>
            </w:r>
            <w:r w:rsidR="00794773" w:rsidRPr="008A5CDB">
              <w:rPr>
                <w:b w:val="0"/>
                <w:color w:val="auto"/>
              </w:rPr>
              <w:t xml:space="preserve">on </w:t>
            </w:r>
            <w:r w:rsidR="00F010A9">
              <w:rPr>
                <w:b w:val="0"/>
                <w:color w:val="auto"/>
              </w:rPr>
              <w:t>10</w:t>
            </w:r>
            <w:r w:rsidRPr="008A5CDB">
              <w:rPr>
                <w:b w:val="0"/>
                <w:color w:val="auto"/>
              </w:rPr>
              <w:t xml:space="preserve"> </w:t>
            </w:r>
            <w:r w:rsidR="008A5CDB" w:rsidRPr="008A5CDB">
              <w:rPr>
                <w:b w:val="0"/>
                <w:color w:val="auto"/>
              </w:rPr>
              <w:t>Dec</w:t>
            </w:r>
            <w:r w:rsidR="00AA03F4" w:rsidRPr="008A5CDB">
              <w:rPr>
                <w:b w:val="0"/>
                <w:color w:val="auto"/>
              </w:rPr>
              <w:t xml:space="preserve">ember </w:t>
            </w:r>
            <w:r w:rsidRPr="008A5CDB">
              <w:rPr>
                <w:b w:val="0"/>
                <w:color w:val="auto"/>
              </w:rPr>
              <w:t>2018</w:t>
            </w:r>
          </w:p>
        </w:tc>
      </w:tr>
      <w:tr w:rsidR="00794773" w:rsidRPr="007040EB" w14:paraId="031691D0" w14:textId="77777777" w:rsidTr="002C7BB1">
        <w:tc>
          <w:tcPr>
            <w:tcW w:w="2977" w:type="dxa"/>
          </w:tcPr>
          <w:p w14:paraId="031691CE" w14:textId="77777777" w:rsidR="00794773" w:rsidRPr="007040EB" w:rsidRDefault="00794773" w:rsidP="00694DF9">
            <w:pPr>
              <w:spacing w:line="240" w:lineRule="auto"/>
            </w:pPr>
            <w:r w:rsidRPr="007040EB">
              <w:t>Commonwealth policy entity</w:t>
            </w:r>
            <w:r>
              <w:t>:</w:t>
            </w:r>
          </w:p>
        </w:tc>
        <w:tc>
          <w:tcPr>
            <w:tcW w:w="6404" w:type="dxa"/>
            <w:shd w:val="clear" w:color="auto" w:fill="auto"/>
          </w:tcPr>
          <w:p w14:paraId="031691CF" w14:textId="77777777" w:rsidR="00794773" w:rsidRPr="00BB2405" w:rsidRDefault="00BB2405" w:rsidP="00694DF9">
            <w:pPr>
              <w:spacing w:line="240" w:lineRule="auto"/>
            </w:pPr>
            <w:r w:rsidRPr="00BB2405">
              <w:t>Department of Communications and the Arts</w:t>
            </w:r>
          </w:p>
        </w:tc>
      </w:tr>
      <w:tr w:rsidR="00794773" w:rsidRPr="007040EB" w14:paraId="031691D3" w14:textId="77777777" w:rsidTr="002C7BB1">
        <w:tc>
          <w:tcPr>
            <w:tcW w:w="2977" w:type="dxa"/>
          </w:tcPr>
          <w:p w14:paraId="031691D1" w14:textId="77777777" w:rsidR="00794773" w:rsidRPr="007040EB" w:rsidRDefault="00794773" w:rsidP="00694DF9">
            <w:pPr>
              <w:spacing w:line="240" w:lineRule="auto"/>
              <w:jc w:val="both"/>
            </w:pPr>
            <w:r w:rsidRPr="007040EB">
              <w:t>Enquir</w:t>
            </w:r>
            <w:r>
              <w:t>i</w:t>
            </w:r>
            <w:r w:rsidRPr="007040EB">
              <w:t>es</w:t>
            </w:r>
            <w:r>
              <w:t>:</w:t>
            </w:r>
          </w:p>
        </w:tc>
        <w:tc>
          <w:tcPr>
            <w:tcW w:w="6404" w:type="dxa"/>
            <w:shd w:val="clear" w:color="auto" w:fill="auto"/>
          </w:tcPr>
          <w:p w14:paraId="6AA17059" w14:textId="4B42F42A" w:rsidR="00087F4A" w:rsidRDefault="00794773" w:rsidP="006C1D3C">
            <w:pPr>
              <w:spacing w:line="240" w:lineRule="auto"/>
            </w:pPr>
            <w:r w:rsidRPr="002C7BB1">
              <w:t>If you hav</w:t>
            </w:r>
            <w:r w:rsidR="00BB2405">
              <w:t xml:space="preserve">e any questions, please </w:t>
            </w:r>
            <w:r w:rsidR="006C1D3C">
              <w:t>email</w:t>
            </w:r>
            <w:r w:rsidR="00BB2405">
              <w:t xml:space="preserve"> </w:t>
            </w:r>
            <w:hyperlink r:id="rId11" w:history="1">
              <w:r w:rsidR="00BB2405" w:rsidRPr="00352ABC">
                <w:rPr>
                  <w:rStyle w:val="Hyperlink"/>
                  <w:rFonts w:cstheme="minorBidi"/>
                  <w:b/>
                  <w:u w:val="none"/>
                </w:rPr>
                <w:t>mobilecoverage@communications.gov.au</w:t>
              </w:r>
            </w:hyperlink>
            <w:r w:rsidR="00BB2405">
              <w:t xml:space="preserve">. </w:t>
            </w:r>
            <w:r w:rsidRPr="002C7BB1">
              <w:t>Questio</w:t>
            </w:r>
            <w:r w:rsidR="00352ABC">
              <w:t>ns </w:t>
            </w:r>
            <w:r w:rsidR="00BB2405">
              <w:t xml:space="preserve">should be sent no later than </w:t>
            </w:r>
            <w:r w:rsidR="001145EB">
              <w:t>3 December</w:t>
            </w:r>
            <w:r w:rsidR="00AA03F4" w:rsidRPr="00421272">
              <w:t xml:space="preserve"> </w:t>
            </w:r>
            <w:r w:rsidR="00BB2405" w:rsidRPr="00421272">
              <w:t>2018.</w:t>
            </w:r>
            <w:r w:rsidR="00924C54">
              <w:t xml:space="preserve"> </w:t>
            </w:r>
          </w:p>
          <w:p w14:paraId="031691D2" w14:textId="6FBFD2A6" w:rsidR="00794773" w:rsidRPr="002C7BB1" w:rsidRDefault="00924C54" w:rsidP="006C1D3C">
            <w:pPr>
              <w:spacing w:line="240" w:lineRule="auto"/>
            </w:pPr>
            <w:r>
              <w:t xml:space="preserve">Further information on the Mobile Black Spot Program is available on the Department’s website at </w:t>
            </w:r>
            <w:hyperlink r:id="rId12" w:history="1">
              <w:r w:rsidR="00FE4A55">
                <w:rPr>
                  <w:rStyle w:val="Hyperlink"/>
                  <w:rFonts w:cstheme="minorBidi"/>
                </w:rPr>
                <w:t>www.communications.gov.au/mbsp</w:t>
              </w:r>
            </w:hyperlink>
            <w:r w:rsidR="00983610">
              <w:t xml:space="preserve">. </w:t>
            </w:r>
          </w:p>
        </w:tc>
      </w:tr>
      <w:tr w:rsidR="00794773" w:rsidRPr="007040EB" w14:paraId="031691D6" w14:textId="77777777" w:rsidTr="002C7BB1">
        <w:tc>
          <w:tcPr>
            <w:tcW w:w="2977" w:type="dxa"/>
          </w:tcPr>
          <w:p w14:paraId="031691D4" w14:textId="77777777" w:rsidR="00794773" w:rsidRPr="007040EB" w:rsidRDefault="00794773" w:rsidP="00694DF9">
            <w:pPr>
              <w:spacing w:line="240" w:lineRule="auto"/>
              <w:jc w:val="both"/>
            </w:pPr>
            <w:r w:rsidRPr="007040EB">
              <w:t>Date guidelines released</w:t>
            </w:r>
            <w:r>
              <w:t>:</w:t>
            </w:r>
          </w:p>
        </w:tc>
        <w:tc>
          <w:tcPr>
            <w:tcW w:w="6404" w:type="dxa"/>
            <w:shd w:val="clear" w:color="auto" w:fill="auto"/>
          </w:tcPr>
          <w:p w14:paraId="031691D5" w14:textId="39F78553" w:rsidR="00794773" w:rsidRPr="00BB2405" w:rsidRDefault="008A5CDB" w:rsidP="00F010A9">
            <w:pPr>
              <w:spacing w:line="240" w:lineRule="auto"/>
            </w:pPr>
            <w:r w:rsidRPr="008A5CDB">
              <w:t>1</w:t>
            </w:r>
            <w:r w:rsidR="00F010A9">
              <w:t>5</w:t>
            </w:r>
            <w:r w:rsidR="00BB2405" w:rsidRPr="008A5CDB">
              <w:t xml:space="preserve"> </w:t>
            </w:r>
            <w:r w:rsidR="006354E0">
              <w:t>October</w:t>
            </w:r>
            <w:r w:rsidR="00AA03F4" w:rsidRPr="008A5CDB">
              <w:t xml:space="preserve"> </w:t>
            </w:r>
            <w:r w:rsidR="00BB2405" w:rsidRPr="008A5CDB">
              <w:t>2018</w:t>
            </w:r>
          </w:p>
        </w:tc>
      </w:tr>
      <w:tr w:rsidR="00794773" w14:paraId="031691D9" w14:textId="77777777" w:rsidTr="002C7BB1">
        <w:tc>
          <w:tcPr>
            <w:tcW w:w="2977" w:type="dxa"/>
          </w:tcPr>
          <w:p w14:paraId="031691D7" w14:textId="77777777" w:rsidR="00794773" w:rsidRPr="007040EB" w:rsidRDefault="00794773" w:rsidP="00694DF9">
            <w:pPr>
              <w:spacing w:line="240" w:lineRule="auto"/>
              <w:jc w:val="both"/>
            </w:pPr>
            <w:r w:rsidRPr="007040EB">
              <w:t>Type of grant opportunity</w:t>
            </w:r>
            <w:r>
              <w:t>:</w:t>
            </w:r>
          </w:p>
        </w:tc>
        <w:tc>
          <w:tcPr>
            <w:tcW w:w="6404" w:type="dxa"/>
            <w:shd w:val="clear" w:color="auto" w:fill="auto"/>
          </w:tcPr>
          <w:p w14:paraId="1F52CD6E" w14:textId="77777777" w:rsidR="00794773" w:rsidRDefault="00F010A9" w:rsidP="00BB2405">
            <w:pPr>
              <w:spacing w:line="240" w:lineRule="auto"/>
            </w:pPr>
            <w:r>
              <w:t>Targeted</w:t>
            </w:r>
            <w:r w:rsidRPr="00BB2405">
              <w:t xml:space="preserve"> </w:t>
            </w:r>
            <w:r w:rsidR="00794773" w:rsidRPr="00BB2405">
              <w:t>competitive</w:t>
            </w:r>
          </w:p>
          <w:p w14:paraId="031691D8" w14:textId="5B033CA0" w:rsidR="00A57300" w:rsidRPr="00BB2405" w:rsidRDefault="00A57300" w:rsidP="00BB2405">
            <w:pPr>
              <w:spacing w:line="240" w:lineRule="auto"/>
            </w:pPr>
          </w:p>
        </w:tc>
      </w:tr>
    </w:tbl>
    <w:p w14:paraId="031691DA" w14:textId="52C6115A" w:rsidR="003142DD" w:rsidRDefault="003142DD" w:rsidP="00A57300">
      <w:r>
        <w:br w:type="page"/>
      </w:r>
    </w:p>
    <w:p w14:paraId="031691DB" w14:textId="77777777" w:rsidR="0020122A" w:rsidRDefault="0020122A" w:rsidP="0020122A">
      <w:pPr>
        <w:pStyle w:val="TOCHeading"/>
      </w:pPr>
      <w:r>
        <w:lastRenderedPageBreak/>
        <w:t>Contents</w:t>
      </w:r>
    </w:p>
    <w:p w14:paraId="7AF5869C" w14:textId="77777777" w:rsidR="00CF030F"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523411608" w:history="1">
        <w:r w:rsidR="00CF030F" w:rsidRPr="005A33FA">
          <w:rPr>
            <w:rStyle w:val="Hyperlink"/>
            <w:noProof/>
          </w:rPr>
          <w:t>1.</w:t>
        </w:r>
        <w:r w:rsidR="00CF030F">
          <w:rPr>
            <w:rFonts w:eastAsiaTheme="minorEastAsia"/>
            <w:b w:val="0"/>
            <w:noProof/>
            <w:sz w:val="22"/>
            <w:lang w:eastAsia="en-AU"/>
          </w:rPr>
          <w:tab/>
        </w:r>
        <w:r w:rsidR="00CF030F" w:rsidRPr="005A33FA">
          <w:rPr>
            <w:rStyle w:val="Hyperlink"/>
            <w:noProof/>
          </w:rPr>
          <w:t>Mobile Black Spot Program: Round 4 Processes</w:t>
        </w:r>
        <w:r w:rsidR="00CF030F">
          <w:rPr>
            <w:noProof/>
            <w:webHidden/>
          </w:rPr>
          <w:tab/>
        </w:r>
        <w:r w:rsidR="00CF030F">
          <w:rPr>
            <w:noProof/>
            <w:webHidden/>
          </w:rPr>
          <w:fldChar w:fldCharType="begin"/>
        </w:r>
        <w:r w:rsidR="00CF030F">
          <w:rPr>
            <w:noProof/>
            <w:webHidden/>
          </w:rPr>
          <w:instrText xml:space="preserve"> PAGEREF _Toc523411608 \h </w:instrText>
        </w:r>
        <w:r w:rsidR="00CF030F">
          <w:rPr>
            <w:noProof/>
            <w:webHidden/>
          </w:rPr>
        </w:r>
        <w:r w:rsidR="00CF030F">
          <w:rPr>
            <w:noProof/>
            <w:webHidden/>
          </w:rPr>
          <w:fldChar w:fldCharType="separate"/>
        </w:r>
        <w:r w:rsidR="008B354A">
          <w:rPr>
            <w:noProof/>
            <w:webHidden/>
          </w:rPr>
          <w:t>4</w:t>
        </w:r>
        <w:r w:rsidR="00CF030F">
          <w:rPr>
            <w:noProof/>
            <w:webHidden/>
          </w:rPr>
          <w:fldChar w:fldCharType="end"/>
        </w:r>
      </w:hyperlink>
    </w:p>
    <w:p w14:paraId="383A04D6" w14:textId="77777777" w:rsidR="00CF030F" w:rsidRDefault="00954431">
      <w:pPr>
        <w:pStyle w:val="TOC2"/>
        <w:rPr>
          <w:rFonts w:eastAsiaTheme="minorEastAsia"/>
          <w:noProof/>
          <w:lang w:eastAsia="en-AU"/>
        </w:rPr>
      </w:pPr>
      <w:hyperlink w:anchor="_Toc523411609" w:history="1">
        <w:r w:rsidR="00CF030F" w:rsidRPr="005A33FA">
          <w:rPr>
            <w:rStyle w:val="Hyperlink"/>
            <w:noProof/>
          </w:rPr>
          <w:t>1.1</w:t>
        </w:r>
        <w:r w:rsidR="00CF030F">
          <w:rPr>
            <w:rFonts w:eastAsiaTheme="minorEastAsia"/>
            <w:noProof/>
            <w:lang w:eastAsia="en-AU"/>
          </w:rPr>
          <w:tab/>
        </w:r>
        <w:r w:rsidR="00CF030F" w:rsidRPr="005A33FA">
          <w:rPr>
            <w:rStyle w:val="Hyperlink"/>
            <w:noProof/>
          </w:rPr>
          <w:t>About the grant program</w:t>
        </w:r>
        <w:r w:rsidR="00CF030F">
          <w:rPr>
            <w:noProof/>
            <w:webHidden/>
          </w:rPr>
          <w:tab/>
        </w:r>
        <w:r w:rsidR="00CF030F">
          <w:rPr>
            <w:noProof/>
            <w:webHidden/>
          </w:rPr>
          <w:fldChar w:fldCharType="begin"/>
        </w:r>
        <w:r w:rsidR="00CF030F">
          <w:rPr>
            <w:noProof/>
            <w:webHidden/>
          </w:rPr>
          <w:instrText xml:space="preserve"> PAGEREF _Toc523411609 \h </w:instrText>
        </w:r>
        <w:r w:rsidR="00CF030F">
          <w:rPr>
            <w:noProof/>
            <w:webHidden/>
          </w:rPr>
        </w:r>
        <w:r w:rsidR="00CF030F">
          <w:rPr>
            <w:noProof/>
            <w:webHidden/>
          </w:rPr>
          <w:fldChar w:fldCharType="separate"/>
        </w:r>
        <w:r w:rsidR="008B354A">
          <w:rPr>
            <w:noProof/>
            <w:webHidden/>
          </w:rPr>
          <w:t>7</w:t>
        </w:r>
        <w:r w:rsidR="00CF030F">
          <w:rPr>
            <w:noProof/>
            <w:webHidden/>
          </w:rPr>
          <w:fldChar w:fldCharType="end"/>
        </w:r>
      </w:hyperlink>
    </w:p>
    <w:p w14:paraId="24D84A74" w14:textId="77777777" w:rsidR="00CF030F" w:rsidRDefault="00954431">
      <w:pPr>
        <w:pStyle w:val="TOC2"/>
        <w:rPr>
          <w:rFonts w:eastAsiaTheme="minorEastAsia"/>
          <w:noProof/>
          <w:lang w:eastAsia="en-AU"/>
        </w:rPr>
      </w:pPr>
      <w:hyperlink w:anchor="_Toc523411610" w:history="1">
        <w:r w:rsidR="00CF030F" w:rsidRPr="005A33FA">
          <w:rPr>
            <w:rStyle w:val="Hyperlink"/>
            <w:noProof/>
          </w:rPr>
          <w:t>1.2</w:t>
        </w:r>
        <w:r w:rsidR="00CF030F">
          <w:rPr>
            <w:rFonts w:eastAsiaTheme="minorEastAsia"/>
            <w:noProof/>
            <w:lang w:eastAsia="en-AU"/>
          </w:rPr>
          <w:tab/>
        </w:r>
        <w:r w:rsidR="00CF030F" w:rsidRPr="005A33FA">
          <w:rPr>
            <w:rStyle w:val="Hyperlink"/>
            <w:noProof/>
          </w:rPr>
          <w:t>About Round 4</w:t>
        </w:r>
        <w:r w:rsidR="00CF030F">
          <w:rPr>
            <w:noProof/>
            <w:webHidden/>
          </w:rPr>
          <w:tab/>
        </w:r>
        <w:r w:rsidR="00CF030F">
          <w:rPr>
            <w:noProof/>
            <w:webHidden/>
          </w:rPr>
          <w:fldChar w:fldCharType="begin"/>
        </w:r>
        <w:r w:rsidR="00CF030F">
          <w:rPr>
            <w:noProof/>
            <w:webHidden/>
          </w:rPr>
          <w:instrText xml:space="preserve"> PAGEREF _Toc523411610 \h </w:instrText>
        </w:r>
        <w:r w:rsidR="00CF030F">
          <w:rPr>
            <w:noProof/>
            <w:webHidden/>
          </w:rPr>
        </w:r>
        <w:r w:rsidR="00CF030F">
          <w:rPr>
            <w:noProof/>
            <w:webHidden/>
          </w:rPr>
          <w:fldChar w:fldCharType="separate"/>
        </w:r>
        <w:r w:rsidR="008B354A">
          <w:rPr>
            <w:noProof/>
            <w:webHidden/>
          </w:rPr>
          <w:t>7</w:t>
        </w:r>
        <w:r w:rsidR="00CF030F">
          <w:rPr>
            <w:noProof/>
            <w:webHidden/>
          </w:rPr>
          <w:fldChar w:fldCharType="end"/>
        </w:r>
      </w:hyperlink>
    </w:p>
    <w:p w14:paraId="18AD0D46" w14:textId="77777777" w:rsidR="00CF030F" w:rsidRDefault="00954431">
      <w:pPr>
        <w:pStyle w:val="TOC2"/>
        <w:rPr>
          <w:rFonts w:eastAsiaTheme="minorEastAsia"/>
          <w:noProof/>
          <w:lang w:eastAsia="en-AU"/>
        </w:rPr>
      </w:pPr>
      <w:hyperlink w:anchor="_Toc523411611" w:history="1">
        <w:r w:rsidR="00CF030F" w:rsidRPr="005A33FA">
          <w:rPr>
            <w:rStyle w:val="Hyperlink"/>
            <w:noProof/>
          </w:rPr>
          <w:t>1.3</w:t>
        </w:r>
        <w:r w:rsidR="00CF030F">
          <w:rPr>
            <w:rFonts w:eastAsiaTheme="minorEastAsia"/>
            <w:noProof/>
            <w:lang w:eastAsia="en-AU"/>
          </w:rPr>
          <w:tab/>
        </w:r>
        <w:r w:rsidR="00CF030F" w:rsidRPr="005A33FA">
          <w:rPr>
            <w:rStyle w:val="Hyperlink"/>
            <w:noProof/>
          </w:rPr>
          <w:t>Round 4 outcomes</w:t>
        </w:r>
        <w:r w:rsidR="00CF030F">
          <w:rPr>
            <w:noProof/>
            <w:webHidden/>
          </w:rPr>
          <w:tab/>
        </w:r>
        <w:r w:rsidR="00CF030F">
          <w:rPr>
            <w:noProof/>
            <w:webHidden/>
          </w:rPr>
          <w:fldChar w:fldCharType="begin"/>
        </w:r>
        <w:r w:rsidR="00CF030F">
          <w:rPr>
            <w:noProof/>
            <w:webHidden/>
          </w:rPr>
          <w:instrText xml:space="preserve"> PAGEREF _Toc523411611 \h </w:instrText>
        </w:r>
        <w:r w:rsidR="00CF030F">
          <w:rPr>
            <w:noProof/>
            <w:webHidden/>
          </w:rPr>
        </w:r>
        <w:r w:rsidR="00CF030F">
          <w:rPr>
            <w:noProof/>
            <w:webHidden/>
          </w:rPr>
          <w:fldChar w:fldCharType="separate"/>
        </w:r>
        <w:r w:rsidR="008B354A">
          <w:rPr>
            <w:noProof/>
            <w:webHidden/>
          </w:rPr>
          <w:t>8</w:t>
        </w:r>
        <w:r w:rsidR="00CF030F">
          <w:rPr>
            <w:noProof/>
            <w:webHidden/>
          </w:rPr>
          <w:fldChar w:fldCharType="end"/>
        </w:r>
      </w:hyperlink>
    </w:p>
    <w:p w14:paraId="41E2F4B2" w14:textId="77777777" w:rsidR="00CF030F" w:rsidRDefault="00954431">
      <w:pPr>
        <w:pStyle w:val="TOC1"/>
        <w:rPr>
          <w:rFonts w:eastAsiaTheme="minorEastAsia"/>
          <w:b w:val="0"/>
          <w:noProof/>
          <w:sz w:val="22"/>
          <w:lang w:eastAsia="en-AU"/>
        </w:rPr>
      </w:pPr>
      <w:hyperlink w:anchor="_Toc523411612" w:history="1">
        <w:r w:rsidR="00CF030F" w:rsidRPr="005A33FA">
          <w:rPr>
            <w:rStyle w:val="Hyperlink"/>
            <w:noProof/>
          </w:rPr>
          <w:t>2.</w:t>
        </w:r>
        <w:r w:rsidR="00CF030F">
          <w:rPr>
            <w:rFonts w:eastAsiaTheme="minorEastAsia"/>
            <w:b w:val="0"/>
            <w:noProof/>
            <w:sz w:val="22"/>
            <w:lang w:eastAsia="en-AU"/>
          </w:rPr>
          <w:tab/>
        </w:r>
        <w:r w:rsidR="00CF030F" w:rsidRPr="005A33FA">
          <w:rPr>
            <w:rStyle w:val="Hyperlink"/>
            <w:noProof/>
          </w:rPr>
          <w:t>Grant amount</w:t>
        </w:r>
        <w:r w:rsidR="00CF030F">
          <w:rPr>
            <w:noProof/>
            <w:webHidden/>
          </w:rPr>
          <w:tab/>
        </w:r>
        <w:r w:rsidR="00CF030F">
          <w:rPr>
            <w:noProof/>
            <w:webHidden/>
          </w:rPr>
          <w:fldChar w:fldCharType="begin"/>
        </w:r>
        <w:r w:rsidR="00CF030F">
          <w:rPr>
            <w:noProof/>
            <w:webHidden/>
          </w:rPr>
          <w:instrText xml:space="preserve"> PAGEREF _Toc523411612 \h </w:instrText>
        </w:r>
        <w:r w:rsidR="00CF030F">
          <w:rPr>
            <w:noProof/>
            <w:webHidden/>
          </w:rPr>
        </w:r>
        <w:r w:rsidR="00CF030F">
          <w:rPr>
            <w:noProof/>
            <w:webHidden/>
          </w:rPr>
          <w:fldChar w:fldCharType="separate"/>
        </w:r>
        <w:r w:rsidR="008B354A">
          <w:rPr>
            <w:noProof/>
            <w:webHidden/>
          </w:rPr>
          <w:t>8</w:t>
        </w:r>
        <w:r w:rsidR="00CF030F">
          <w:rPr>
            <w:noProof/>
            <w:webHidden/>
          </w:rPr>
          <w:fldChar w:fldCharType="end"/>
        </w:r>
      </w:hyperlink>
    </w:p>
    <w:p w14:paraId="3AD22855" w14:textId="77777777" w:rsidR="00CF030F" w:rsidRDefault="00954431">
      <w:pPr>
        <w:pStyle w:val="TOC1"/>
        <w:rPr>
          <w:rFonts w:eastAsiaTheme="minorEastAsia"/>
          <w:b w:val="0"/>
          <w:noProof/>
          <w:sz w:val="22"/>
          <w:lang w:eastAsia="en-AU"/>
        </w:rPr>
      </w:pPr>
      <w:hyperlink w:anchor="_Toc523411613" w:history="1">
        <w:r w:rsidR="00CF030F" w:rsidRPr="005A33FA">
          <w:rPr>
            <w:rStyle w:val="Hyperlink"/>
            <w:noProof/>
          </w:rPr>
          <w:t>3.</w:t>
        </w:r>
        <w:r w:rsidR="00CF030F">
          <w:rPr>
            <w:rFonts w:eastAsiaTheme="minorEastAsia"/>
            <w:b w:val="0"/>
            <w:noProof/>
            <w:sz w:val="22"/>
            <w:lang w:eastAsia="en-AU"/>
          </w:rPr>
          <w:tab/>
        </w:r>
        <w:r w:rsidR="00CF030F" w:rsidRPr="005A33FA">
          <w:rPr>
            <w:rStyle w:val="Hyperlink"/>
            <w:noProof/>
          </w:rPr>
          <w:t>Grant eligibility criteria</w:t>
        </w:r>
        <w:r w:rsidR="00CF030F">
          <w:rPr>
            <w:noProof/>
            <w:webHidden/>
          </w:rPr>
          <w:tab/>
        </w:r>
        <w:r w:rsidR="00CF030F">
          <w:rPr>
            <w:noProof/>
            <w:webHidden/>
          </w:rPr>
          <w:fldChar w:fldCharType="begin"/>
        </w:r>
        <w:r w:rsidR="00CF030F">
          <w:rPr>
            <w:noProof/>
            <w:webHidden/>
          </w:rPr>
          <w:instrText xml:space="preserve"> PAGEREF _Toc523411613 \h </w:instrText>
        </w:r>
        <w:r w:rsidR="00CF030F">
          <w:rPr>
            <w:noProof/>
            <w:webHidden/>
          </w:rPr>
        </w:r>
        <w:r w:rsidR="00CF030F">
          <w:rPr>
            <w:noProof/>
            <w:webHidden/>
          </w:rPr>
          <w:fldChar w:fldCharType="separate"/>
        </w:r>
        <w:r w:rsidR="008B354A">
          <w:rPr>
            <w:noProof/>
            <w:webHidden/>
          </w:rPr>
          <w:t>10</w:t>
        </w:r>
        <w:r w:rsidR="00CF030F">
          <w:rPr>
            <w:noProof/>
            <w:webHidden/>
          </w:rPr>
          <w:fldChar w:fldCharType="end"/>
        </w:r>
      </w:hyperlink>
    </w:p>
    <w:p w14:paraId="2B620C4A" w14:textId="77777777" w:rsidR="00CF030F" w:rsidRDefault="00954431">
      <w:pPr>
        <w:pStyle w:val="TOC2"/>
        <w:rPr>
          <w:rFonts w:eastAsiaTheme="minorEastAsia"/>
          <w:noProof/>
          <w:lang w:eastAsia="en-AU"/>
        </w:rPr>
      </w:pPr>
      <w:hyperlink w:anchor="_Toc523411614" w:history="1">
        <w:r w:rsidR="00CF030F" w:rsidRPr="005A33FA">
          <w:rPr>
            <w:rStyle w:val="Hyperlink"/>
            <w:noProof/>
          </w:rPr>
          <w:t>3.1</w:t>
        </w:r>
        <w:r w:rsidR="00CF030F">
          <w:rPr>
            <w:rFonts w:eastAsiaTheme="minorEastAsia"/>
            <w:noProof/>
            <w:lang w:eastAsia="en-AU"/>
          </w:rPr>
          <w:tab/>
        </w:r>
        <w:r w:rsidR="00CF030F" w:rsidRPr="005A33FA">
          <w:rPr>
            <w:rStyle w:val="Hyperlink"/>
            <w:noProof/>
          </w:rPr>
          <w:t>Who is eligible to apply for a grant?</w:t>
        </w:r>
        <w:r w:rsidR="00CF030F">
          <w:rPr>
            <w:noProof/>
            <w:webHidden/>
          </w:rPr>
          <w:tab/>
        </w:r>
        <w:r w:rsidR="00CF030F">
          <w:rPr>
            <w:noProof/>
            <w:webHidden/>
          </w:rPr>
          <w:fldChar w:fldCharType="begin"/>
        </w:r>
        <w:r w:rsidR="00CF030F">
          <w:rPr>
            <w:noProof/>
            <w:webHidden/>
          </w:rPr>
          <w:instrText xml:space="preserve"> PAGEREF _Toc523411614 \h </w:instrText>
        </w:r>
        <w:r w:rsidR="00CF030F">
          <w:rPr>
            <w:noProof/>
            <w:webHidden/>
          </w:rPr>
        </w:r>
        <w:r w:rsidR="00CF030F">
          <w:rPr>
            <w:noProof/>
            <w:webHidden/>
          </w:rPr>
          <w:fldChar w:fldCharType="separate"/>
        </w:r>
        <w:r w:rsidR="008B354A">
          <w:rPr>
            <w:noProof/>
            <w:webHidden/>
          </w:rPr>
          <w:t>10</w:t>
        </w:r>
        <w:r w:rsidR="00CF030F">
          <w:rPr>
            <w:noProof/>
            <w:webHidden/>
          </w:rPr>
          <w:fldChar w:fldCharType="end"/>
        </w:r>
      </w:hyperlink>
    </w:p>
    <w:p w14:paraId="6B7E2A54" w14:textId="77777777" w:rsidR="00CF030F" w:rsidRDefault="00954431">
      <w:pPr>
        <w:pStyle w:val="TOC2"/>
        <w:rPr>
          <w:rFonts w:eastAsiaTheme="minorEastAsia"/>
          <w:noProof/>
          <w:lang w:eastAsia="en-AU"/>
        </w:rPr>
      </w:pPr>
      <w:hyperlink w:anchor="_Toc523411615" w:history="1">
        <w:r w:rsidR="00CF030F" w:rsidRPr="005A33FA">
          <w:rPr>
            <w:rStyle w:val="Hyperlink"/>
            <w:noProof/>
          </w:rPr>
          <w:t>3.2</w:t>
        </w:r>
        <w:r w:rsidR="00CF030F">
          <w:rPr>
            <w:rFonts w:eastAsiaTheme="minorEastAsia"/>
            <w:noProof/>
            <w:lang w:eastAsia="en-AU"/>
          </w:rPr>
          <w:tab/>
        </w:r>
        <w:r w:rsidR="00CF030F" w:rsidRPr="005A33FA">
          <w:rPr>
            <w:rStyle w:val="Hyperlink"/>
            <w:noProof/>
          </w:rPr>
          <w:t>Minimum requirements</w:t>
        </w:r>
        <w:r w:rsidR="00CF030F">
          <w:rPr>
            <w:noProof/>
            <w:webHidden/>
          </w:rPr>
          <w:tab/>
        </w:r>
        <w:r w:rsidR="00CF030F">
          <w:rPr>
            <w:noProof/>
            <w:webHidden/>
          </w:rPr>
          <w:fldChar w:fldCharType="begin"/>
        </w:r>
        <w:r w:rsidR="00CF030F">
          <w:rPr>
            <w:noProof/>
            <w:webHidden/>
          </w:rPr>
          <w:instrText xml:space="preserve"> PAGEREF _Toc523411615 \h </w:instrText>
        </w:r>
        <w:r w:rsidR="00CF030F">
          <w:rPr>
            <w:noProof/>
            <w:webHidden/>
          </w:rPr>
        </w:r>
        <w:r w:rsidR="00CF030F">
          <w:rPr>
            <w:noProof/>
            <w:webHidden/>
          </w:rPr>
          <w:fldChar w:fldCharType="separate"/>
        </w:r>
        <w:r w:rsidR="008B354A">
          <w:rPr>
            <w:noProof/>
            <w:webHidden/>
          </w:rPr>
          <w:t>10</w:t>
        </w:r>
        <w:r w:rsidR="00CF030F">
          <w:rPr>
            <w:noProof/>
            <w:webHidden/>
          </w:rPr>
          <w:fldChar w:fldCharType="end"/>
        </w:r>
      </w:hyperlink>
    </w:p>
    <w:p w14:paraId="622AC23D" w14:textId="77777777" w:rsidR="00CF030F" w:rsidRDefault="00954431">
      <w:pPr>
        <w:pStyle w:val="TOC2"/>
        <w:rPr>
          <w:rFonts w:eastAsiaTheme="minorEastAsia"/>
          <w:noProof/>
          <w:lang w:eastAsia="en-AU"/>
        </w:rPr>
      </w:pPr>
      <w:hyperlink w:anchor="_Toc523411616" w:history="1">
        <w:r w:rsidR="00CF030F" w:rsidRPr="005A33FA">
          <w:rPr>
            <w:rStyle w:val="Hyperlink"/>
            <w:noProof/>
          </w:rPr>
          <w:t>3.3</w:t>
        </w:r>
        <w:r w:rsidR="00CF030F">
          <w:rPr>
            <w:rFonts w:eastAsiaTheme="minorEastAsia"/>
            <w:noProof/>
            <w:lang w:eastAsia="en-AU"/>
          </w:rPr>
          <w:tab/>
        </w:r>
        <w:r w:rsidR="00CF030F" w:rsidRPr="005A33FA">
          <w:rPr>
            <w:rStyle w:val="Hyperlink"/>
            <w:noProof/>
          </w:rPr>
          <w:t>Additional services – Roaming</w:t>
        </w:r>
        <w:r w:rsidR="00CF030F">
          <w:rPr>
            <w:noProof/>
            <w:webHidden/>
          </w:rPr>
          <w:tab/>
        </w:r>
        <w:r w:rsidR="00CF030F">
          <w:rPr>
            <w:noProof/>
            <w:webHidden/>
          </w:rPr>
          <w:fldChar w:fldCharType="begin"/>
        </w:r>
        <w:r w:rsidR="00CF030F">
          <w:rPr>
            <w:noProof/>
            <w:webHidden/>
          </w:rPr>
          <w:instrText xml:space="preserve"> PAGEREF _Toc523411616 \h </w:instrText>
        </w:r>
        <w:r w:rsidR="00CF030F">
          <w:rPr>
            <w:noProof/>
            <w:webHidden/>
          </w:rPr>
        </w:r>
        <w:r w:rsidR="00CF030F">
          <w:rPr>
            <w:noProof/>
            <w:webHidden/>
          </w:rPr>
          <w:fldChar w:fldCharType="separate"/>
        </w:r>
        <w:r w:rsidR="008B354A">
          <w:rPr>
            <w:noProof/>
            <w:webHidden/>
          </w:rPr>
          <w:t>15</w:t>
        </w:r>
        <w:r w:rsidR="00CF030F">
          <w:rPr>
            <w:noProof/>
            <w:webHidden/>
          </w:rPr>
          <w:fldChar w:fldCharType="end"/>
        </w:r>
      </w:hyperlink>
    </w:p>
    <w:p w14:paraId="1D6A8364" w14:textId="77777777" w:rsidR="00CF030F" w:rsidRDefault="00954431">
      <w:pPr>
        <w:pStyle w:val="TOC2"/>
        <w:rPr>
          <w:rFonts w:eastAsiaTheme="minorEastAsia"/>
          <w:noProof/>
          <w:lang w:eastAsia="en-AU"/>
        </w:rPr>
      </w:pPr>
      <w:hyperlink w:anchor="_Toc523411617" w:history="1">
        <w:r w:rsidR="00CF030F" w:rsidRPr="005A33FA">
          <w:rPr>
            <w:rStyle w:val="Hyperlink"/>
            <w:noProof/>
          </w:rPr>
          <w:t>3.4</w:t>
        </w:r>
        <w:r w:rsidR="00CF030F">
          <w:rPr>
            <w:rFonts w:eastAsiaTheme="minorEastAsia"/>
            <w:noProof/>
            <w:lang w:eastAsia="en-AU"/>
          </w:rPr>
          <w:tab/>
        </w:r>
        <w:r w:rsidR="00CF030F" w:rsidRPr="005A33FA">
          <w:rPr>
            <w:rStyle w:val="Hyperlink"/>
            <w:noProof/>
          </w:rPr>
          <w:t>Other considerations</w:t>
        </w:r>
        <w:r w:rsidR="00CF030F">
          <w:rPr>
            <w:noProof/>
            <w:webHidden/>
          </w:rPr>
          <w:tab/>
        </w:r>
        <w:r w:rsidR="00CF030F">
          <w:rPr>
            <w:noProof/>
            <w:webHidden/>
          </w:rPr>
          <w:fldChar w:fldCharType="begin"/>
        </w:r>
        <w:r w:rsidR="00CF030F">
          <w:rPr>
            <w:noProof/>
            <w:webHidden/>
          </w:rPr>
          <w:instrText xml:space="preserve"> PAGEREF _Toc523411617 \h </w:instrText>
        </w:r>
        <w:r w:rsidR="00CF030F">
          <w:rPr>
            <w:noProof/>
            <w:webHidden/>
          </w:rPr>
        </w:r>
        <w:r w:rsidR="00CF030F">
          <w:rPr>
            <w:noProof/>
            <w:webHidden/>
          </w:rPr>
          <w:fldChar w:fldCharType="separate"/>
        </w:r>
        <w:r w:rsidR="008B354A">
          <w:rPr>
            <w:noProof/>
            <w:webHidden/>
          </w:rPr>
          <w:t>15</w:t>
        </w:r>
        <w:r w:rsidR="00CF030F">
          <w:rPr>
            <w:noProof/>
            <w:webHidden/>
          </w:rPr>
          <w:fldChar w:fldCharType="end"/>
        </w:r>
      </w:hyperlink>
    </w:p>
    <w:p w14:paraId="1A3F5604" w14:textId="77777777" w:rsidR="00CF030F" w:rsidRDefault="00954431">
      <w:pPr>
        <w:pStyle w:val="TOC1"/>
        <w:rPr>
          <w:rFonts w:eastAsiaTheme="minorEastAsia"/>
          <w:b w:val="0"/>
          <w:noProof/>
          <w:sz w:val="22"/>
          <w:lang w:eastAsia="en-AU"/>
        </w:rPr>
      </w:pPr>
      <w:hyperlink w:anchor="_Toc523411618" w:history="1">
        <w:r w:rsidR="00CF030F" w:rsidRPr="005A33FA">
          <w:rPr>
            <w:rStyle w:val="Hyperlink"/>
            <w:noProof/>
          </w:rPr>
          <w:t>4.</w:t>
        </w:r>
        <w:r w:rsidR="00CF030F">
          <w:rPr>
            <w:rFonts w:eastAsiaTheme="minorEastAsia"/>
            <w:b w:val="0"/>
            <w:noProof/>
            <w:sz w:val="22"/>
            <w:lang w:eastAsia="en-AU"/>
          </w:rPr>
          <w:tab/>
        </w:r>
        <w:r w:rsidR="00CF030F" w:rsidRPr="005A33FA">
          <w:rPr>
            <w:rStyle w:val="Hyperlink"/>
            <w:noProof/>
          </w:rPr>
          <w:t>Eligible grant activities</w:t>
        </w:r>
        <w:r w:rsidR="00CF030F">
          <w:rPr>
            <w:noProof/>
            <w:webHidden/>
          </w:rPr>
          <w:tab/>
        </w:r>
        <w:r w:rsidR="00CF030F">
          <w:rPr>
            <w:noProof/>
            <w:webHidden/>
          </w:rPr>
          <w:fldChar w:fldCharType="begin"/>
        </w:r>
        <w:r w:rsidR="00CF030F">
          <w:rPr>
            <w:noProof/>
            <w:webHidden/>
          </w:rPr>
          <w:instrText xml:space="preserve"> PAGEREF _Toc523411618 \h </w:instrText>
        </w:r>
        <w:r w:rsidR="00CF030F">
          <w:rPr>
            <w:noProof/>
            <w:webHidden/>
          </w:rPr>
        </w:r>
        <w:r w:rsidR="00CF030F">
          <w:rPr>
            <w:noProof/>
            <w:webHidden/>
          </w:rPr>
          <w:fldChar w:fldCharType="separate"/>
        </w:r>
        <w:r w:rsidR="008B354A">
          <w:rPr>
            <w:noProof/>
            <w:webHidden/>
          </w:rPr>
          <w:t>16</w:t>
        </w:r>
        <w:r w:rsidR="00CF030F">
          <w:rPr>
            <w:noProof/>
            <w:webHidden/>
          </w:rPr>
          <w:fldChar w:fldCharType="end"/>
        </w:r>
      </w:hyperlink>
    </w:p>
    <w:p w14:paraId="0AD3A442" w14:textId="77777777" w:rsidR="00CF030F" w:rsidRDefault="00954431">
      <w:pPr>
        <w:pStyle w:val="TOC2"/>
        <w:rPr>
          <w:rFonts w:eastAsiaTheme="minorEastAsia"/>
          <w:noProof/>
          <w:lang w:eastAsia="en-AU"/>
        </w:rPr>
      </w:pPr>
      <w:hyperlink w:anchor="_Toc523411619" w:history="1">
        <w:r w:rsidR="00CF030F" w:rsidRPr="005A33FA">
          <w:rPr>
            <w:rStyle w:val="Hyperlink"/>
            <w:noProof/>
          </w:rPr>
          <w:t>4.1</w:t>
        </w:r>
        <w:r w:rsidR="00CF030F">
          <w:rPr>
            <w:rFonts w:eastAsiaTheme="minorEastAsia"/>
            <w:noProof/>
            <w:lang w:eastAsia="en-AU"/>
          </w:rPr>
          <w:tab/>
        </w:r>
        <w:r w:rsidR="00CF030F" w:rsidRPr="005A33FA">
          <w:rPr>
            <w:rStyle w:val="Hyperlink"/>
            <w:noProof/>
          </w:rPr>
          <w:t>What can the grant money be used for?</w:t>
        </w:r>
        <w:r w:rsidR="00CF030F">
          <w:rPr>
            <w:noProof/>
            <w:webHidden/>
          </w:rPr>
          <w:tab/>
        </w:r>
        <w:r w:rsidR="00CF030F">
          <w:rPr>
            <w:noProof/>
            <w:webHidden/>
          </w:rPr>
          <w:fldChar w:fldCharType="begin"/>
        </w:r>
        <w:r w:rsidR="00CF030F">
          <w:rPr>
            <w:noProof/>
            <w:webHidden/>
          </w:rPr>
          <w:instrText xml:space="preserve"> PAGEREF _Toc523411619 \h </w:instrText>
        </w:r>
        <w:r w:rsidR="00CF030F">
          <w:rPr>
            <w:noProof/>
            <w:webHidden/>
          </w:rPr>
        </w:r>
        <w:r w:rsidR="00CF030F">
          <w:rPr>
            <w:noProof/>
            <w:webHidden/>
          </w:rPr>
          <w:fldChar w:fldCharType="separate"/>
        </w:r>
        <w:r w:rsidR="008B354A">
          <w:rPr>
            <w:noProof/>
            <w:webHidden/>
          </w:rPr>
          <w:t>16</w:t>
        </w:r>
        <w:r w:rsidR="00CF030F">
          <w:rPr>
            <w:noProof/>
            <w:webHidden/>
          </w:rPr>
          <w:fldChar w:fldCharType="end"/>
        </w:r>
      </w:hyperlink>
    </w:p>
    <w:p w14:paraId="7451326B" w14:textId="77777777" w:rsidR="00CF030F" w:rsidRDefault="00954431">
      <w:pPr>
        <w:pStyle w:val="TOC2"/>
        <w:rPr>
          <w:rFonts w:eastAsiaTheme="minorEastAsia"/>
          <w:noProof/>
          <w:lang w:eastAsia="en-AU"/>
        </w:rPr>
      </w:pPr>
      <w:hyperlink w:anchor="_Toc523411620" w:history="1">
        <w:r w:rsidR="00CF030F" w:rsidRPr="005A33FA">
          <w:rPr>
            <w:rStyle w:val="Hyperlink"/>
            <w:noProof/>
          </w:rPr>
          <w:t>4.2</w:t>
        </w:r>
        <w:r w:rsidR="00CF030F">
          <w:rPr>
            <w:rFonts w:eastAsiaTheme="minorEastAsia"/>
            <w:noProof/>
            <w:lang w:eastAsia="en-AU"/>
          </w:rPr>
          <w:tab/>
        </w:r>
        <w:r w:rsidR="00CF030F" w:rsidRPr="005A33FA">
          <w:rPr>
            <w:rStyle w:val="Hyperlink"/>
            <w:noProof/>
          </w:rPr>
          <w:t>What the grant money cannot be used for?</w:t>
        </w:r>
        <w:r w:rsidR="00CF030F">
          <w:rPr>
            <w:noProof/>
            <w:webHidden/>
          </w:rPr>
          <w:tab/>
        </w:r>
        <w:r w:rsidR="00CF030F">
          <w:rPr>
            <w:noProof/>
            <w:webHidden/>
          </w:rPr>
          <w:fldChar w:fldCharType="begin"/>
        </w:r>
        <w:r w:rsidR="00CF030F">
          <w:rPr>
            <w:noProof/>
            <w:webHidden/>
          </w:rPr>
          <w:instrText xml:space="preserve"> PAGEREF _Toc523411620 \h </w:instrText>
        </w:r>
        <w:r w:rsidR="00CF030F">
          <w:rPr>
            <w:noProof/>
            <w:webHidden/>
          </w:rPr>
        </w:r>
        <w:r w:rsidR="00CF030F">
          <w:rPr>
            <w:noProof/>
            <w:webHidden/>
          </w:rPr>
          <w:fldChar w:fldCharType="separate"/>
        </w:r>
        <w:r w:rsidR="008B354A">
          <w:rPr>
            <w:noProof/>
            <w:webHidden/>
          </w:rPr>
          <w:t>19</w:t>
        </w:r>
        <w:r w:rsidR="00CF030F">
          <w:rPr>
            <w:noProof/>
            <w:webHidden/>
          </w:rPr>
          <w:fldChar w:fldCharType="end"/>
        </w:r>
      </w:hyperlink>
    </w:p>
    <w:p w14:paraId="6A0826C8" w14:textId="77777777" w:rsidR="00CF030F" w:rsidRDefault="00954431">
      <w:pPr>
        <w:pStyle w:val="TOC2"/>
        <w:rPr>
          <w:rFonts w:eastAsiaTheme="minorEastAsia"/>
          <w:noProof/>
          <w:lang w:eastAsia="en-AU"/>
        </w:rPr>
      </w:pPr>
      <w:hyperlink w:anchor="_Toc523411621" w:history="1">
        <w:r w:rsidR="00CF030F" w:rsidRPr="005A33FA">
          <w:rPr>
            <w:rStyle w:val="Hyperlink"/>
            <w:noProof/>
          </w:rPr>
          <w:t>4.3</w:t>
        </w:r>
        <w:r w:rsidR="00CF030F">
          <w:rPr>
            <w:rFonts w:eastAsiaTheme="minorEastAsia"/>
            <w:noProof/>
            <w:lang w:eastAsia="en-AU"/>
          </w:rPr>
          <w:tab/>
        </w:r>
        <w:r w:rsidR="00CF030F" w:rsidRPr="005A33FA">
          <w:rPr>
            <w:rStyle w:val="Hyperlink"/>
            <w:noProof/>
          </w:rPr>
          <w:t>Eligible and ineligible expenditure</w:t>
        </w:r>
        <w:r w:rsidR="00CF030F">
          <w:rPr>
            <w:noProof/>
            <w:webHidden/>
          </w:rPr>
          <w:tab/>
        </w:r>
        <w:r w:rsidR="00CF030F">
          <w:rPr>
            <w:noProof/>
            <w:webHidden/>
          </w:rPr>
          <w:fldChar w:fldCharType="begin"/>
        </w:r>
        <w:r w:rsidR="00CF030F">
          <w:rPr>
            <w:noProof/>
            <w:webHidden/>
          </w:rPr>
          <w:instrText xml:space="preserve"> PAGEREF _Toc523411621 \h </w:instrText>
        </w:r>
        <w:r w:rsidR="00CF030F">
          <w:rPr>
            <w:noProof/>
            <w:webHidden/>
          </w:rPr>
        </w:r>
        <w:r w:rsidR="00CF030F">
          <w:rPr>
            <w:noProof/>
            <w:webHidden/>
          </w:rPr>
          <w:fldChar w:fldCharType="separate"/>
        </w:r>
        <w:r w:rsidR="008B354A">
          <w:rPr>
            <w:noProof/>
            <w:webHidden/>
          </w:rPr>
          <w:t>20</w:t>
        </w:r>
        <w:r w:rsidR="00CF030F">
          <w:rPr>
            <w:noProof/>
            <w:webHidden/>
          </w:rPr>
          <w:fldChar w:fldCharType="end"/>
        </w:r>
      </w:hyperlink>
    </w:p>
    <w:p w14:paraId="55C4C6DC" w14:textId="77777777" w:rsidR="00CF030F" w:rsidRDefault="00954431">
      <w:pPr>
        <w:pStyle w:val="TOC1"/>
        <w:rPr>
          <w:rFonts w:eastAsiaTheme="minorEastAsia"/>
          <w:b w:val="0"/>
          <w:noProof/>
          <w:sz w:val="22"/>
          <w:lang w:eastAsia="en-AU"/>
        </w:rPr>
      </w:pPr>
      <w:hyperlink w:anchor="_Toc523411622" w:history="1">
        <w:r w:rsidR="00CF030F" w:rsidRPr="005A33FA">
          <w:rPr>
            <w:rStyle w:val="Hyperlink"/>
            <w:noProof/>
          </w:rPr>
          <w:t>5.</w:t>
        </w:r>
        <w:r w:rsidR="00CF030F">
          <w:rPr>
            <w:rFonts w:eastAsiaTheme="minorEastAsia"/>
            <w:b w:val="0"/>
            <w:noProof/>
            <w:sz w:val="22"/>
            <w:lang w:eastAsia="en-AU"/>
          </w:rPr>
          <w:tab/>
        </w:r>
        <w:r w:rsidR="00CF030F" w:rsidRPr="005A33FA">
          <w:rPr>
            <w:rStyle w:val="Hyperlink"/>
            <w:noProof/>
          </w:rPr>
          <w:t>The grant selection process</w:t>
        </w:r>
        <w:r w:rsidR="00CF030F">
          <w:rPr>
            <w:noProof/>
            <w:webHidden/>
          </w:rPr>
          <w:tab/>
        </w:r>
        <w:r w:rsidR="00CF030F">
          <w:rPr>
            <w:noProof/>
            <w:webHidden/>
          </w:rPr>
          <w:fldChar w:fldCharType="begin"/>
        </w:r>
        <w:r w:rsidR="00CF030F">
          <w:rPr>
            <w:noProof/>
            <w:webHidden/>
          </w:rPr>
          <w:instrText xml:space="preserve"> PAGEREF _Toc523411622 \h </w:instrText>
        </w:r>
        <w:r w:rsidR="00CF030F">
          <w:rPr>
            <w:noProof/>
            <w:webHidden/>
          </w:rPr>
        </w:r>
        <w:r w:rsidR="00CF030F">
          <w:rPr>
            <w:noProof/>
            <w:webHidden/>
          </w:rPr>
          <w:fldChar w:fldCharType="separate"/>
        </w:r>
        <w:r w:rsidR="008B354A">
          <w:rPr>
            <w:noProof/>
            <w:webHidden/>
          </w:rPr>
          <w:t>20</w:t>
        </w:r>
        <w:r w:rsidR="00CF030F">
          <w:rPr>
            <w:noProof/>
            <w:webHidden/>
          </w:rPr>
          <w:fldChar w:fldCharType="end"/>
        </w:r>
      </w:hyperlink>
    </w:p>
    <w:p w14:paraId="790DB797" w14:textId="77777777" w:rsidR="00CF030F" w:rsidRDefault="00954431">
      <w:pPr>
        <w:pStyle w:val="TOC1"/>
        <w:rPr>
          <w:rFonts w:eastAsiaTheme="minorEastAsia"/>
          <w:b w:val="0"/>
          <w:noProof/>
          <w:sz w:val="22"/>
          <w:lang w:eastAsia="en-AU"/>
        </w:rPr>
      </w:pPr>
      <w:hyperlink w:anchor="_Toc523411623" w:history="1">
        <w:r w:rsidR="00CF030F" w:rsidRPr="005A33FA">
          <w:rPr>
            <w:rStyle w:val="Hyperlink"/>
            <w:noProof/>
          </w:rPr>
          <w:t>6.</w:t>
        </w:r>
        <w:r w:rsidR="00CF030F">
          <w:rPr>
            <w:rFonts w:eastAsiaTheme="minorEastAsia"/>
            <w:b w:val="0"/>
            <w:noProof/>
            <w:sz w:val="22"/>
            <w:lang w:eastAsia="en-AU"/>
          </w:rPr>
          <w:tab/>
        </w:r>
        <w:r w:rsidR="00CF030F" w:rsidRPr="005A33FA">
          <w:rPr>
            <w:rStyle w:val="Hyperlink"/>
            <w:noProof/>
          </w:rPr>
          <w:t>The assessment criteria</w:t>
        </w:r>
        <w:r w:rsidR="00CF030F">
          <w:rPr>
            <w:noProof/>
            <w:webHidden/>
          </w:rPr>
          <w:tab/>
        </w:r>
        <w:r w:rsidR="00CF030F">
          <w:rPr>
            <w:noProof/>
            <w:webHidden/>
          </w:rPr>
          <w:fldChar w:fldCharType="begin"/>
        </w:r>
        <w:r w:rsidR="00CF030F">
          <w:rPr>
            <w:noProof/>
            <w:webHidden/>
          </w:rPr>
          <w:instrText xml:space="preserve"> PAGEREF _Toc523411623 \h </w:instrText>
        </w:r>
        <w:r w:rsidR="00CF030F">
          <w:rPr>
            <w:noProof/>
            <w:webHidden/>
          </w:rPr>
        </w:r>
        <w:r w:rsidR="00CF030F">
          <w:rPr>
            <w:noProof/>
            <w:webHidden/>
          </w:rPr>
          <w:fldChar w:fldCharType="separate"/>
        </w:r>
        <w:r w:rsidR="008B354A">
          <w:rPr>
            <w:noProof/>
            <w:webHidden/>
          </w:rPr>
          <w:t>22</w:t>
        </w:r>
        <w:r w:rsidR="00CF030F">
          <w:rPr>
            <w:noProof/>
            <w:webHidden/>
          </w:rPr>
          <w:fldChar w:fldCharType="end"/>
        </w:r>
      </w:hyperlink>
    </w:p>
    <w:p w14:paraId="1E491B9C" w14:textId="77777777" w:rsidR="00CF030F" w:rsidRDefault="00954431">
      <w:pPr>
        <w:pStyle w:val="TOC1"/>
        <w:rPr>
          <w:rFonts w:eastAsiaTheme="minorEastAsia"/>
          <w:b w:val="0"/>
          <w:noProof/>
          <w:sz w:val="22"/>
          <w:lang w:eastAsia="en-AU"/>
        </w:rPr>
      </w:pPr>
      <w:hyperlink w:anchor="_Toc523411624" w:history="1">
        <w:r w:rsidR="00CF030F" w:rsidRPr="005A33FA">
          <w:rPr>
            <w:rStyle w:val="Hyperlink"/>
            <w:noProof/>
          </w:rPr>
          <w:t>7.</w:t>
        </w:r>
        <w:r w:rsidR="00CF030F">
          <w:rPr>
            <w:rFonts w:eastAsiaTheme="minorEastAsia"/>
            <w:b w:val="0"/>
            <w:noProof/>
            <w:sz w:val="22"/>
            <w:lang w:eastAsia="en-AU"/>
          </w:rPr>
          <w:tab/>
        </w:r>
        <w:r w:rsidR="00CF030F" w:rsidRPr="005A33FA">
          <w:rPr>
            <w:rStyle w:val="Hyperlink"/>
            <w:noProof/>
          </w:rPr>
          <w:t>The grant application process</w:t>
        </w:r>
        <w:r w:rsidR="00CF030F">
          <w:rPr>
            <w:noProof/>
            <w:webHidden/>
          </w:rPr>
          <w:tab/>
        </w:r>
        <w:r w:rsidR="00CF030F">
          <w:rPr>
            <w:noProof/>
            <w:webHidden/>
          </w:rPr>
          <w:fldChar w:fldCharType="begin"/>
        </w:r>
        <w:r w:rsidR="00CF030F">
          <w:rPr>
            <w:noProof/>
            <w:webHidden/>
          </w:rPr>
          <w:instrText xml:space="preserve"> PAGEREF _Toc523411624 \h </w:instrText>
        </w:r>
        <w:r w:rsidR="00CF030F">
          <w:rPr>
            <w:noProof/>
            <w:webHidden/>
          </w:rPr>
        </w:r>
        <w:r w:rsidR="00CF030F">
          <w:rPr>
            <w:noProof/>
            <w:webHidden/>
          </w:rPr>
          <w:fldChar w:fldCharType="separate"/>
        </w:r>
        <w:r w:rsidR="008B354A">
          <w:rPr>
            <w:noProof/>
            <w:webHidden/>
          </w:rPr>
          <w:t>24</w:t>
        </w:r>
        <w:r w:rsidR="00CF030F">
          <w:rPr>
            <w:noProof/>
            <w:webHidden/>
          </w:rPr>
          <w:fldChar w:fldCharType="end"/>
        </w:r>
      </w:hyperlink>
    </w:p>
    <w:p w14:paraId="75B4FDF8" w14:textId="77777777" w:rsidR="00CF030F" w:rsidRDefault="00954431">
      <w:pPr>
        <w:pStyle w:val="TOC2"/>
        <w:rPr>
          <w:rFonts w:eastAsiaTheme="minorEastAsia"/>
          <w:noProof/>
          <w:lang w:eastAsia="en-AU"/>
        </w:rPr>
      </w:pPr>
      <w:hyperlink w:anchor="_Toc523411625" w:history="1">
        <w:r w:rsidR="00CF030F" w:rsidRPr="005A33FA">
          <w:rPr>
            <w:rStyle w:val="Hyperlink"/>
            <w:noProof/>
          </w:rPr>
          <w:t>7.1</w:t>
        </w:r>
        <w:r w:rsidR="00CF030F">
          <w:rPr>
            <w:rFonts w:eastAsiaTheme="minorEastAsia"/>
            <w:noProof/>
            <w:lang w:eastAsia="en-AU"/>
          </w:rPr>
          <w:tab/>
        </w:r>
        <w:r w:rsidR="00CF030F" w:rsidRPr="005A33FA">
          <w:rPr>
            <w:rStyle w:val="Hyperlink"/>
            <w:noProof/>
          </w:rPr>
          <w:t>Applicant registration</w:t>
        </w:r>
        <w:r w:rsidR="00CF030F">
          <w:rPr>
            <w:noProof/>
            <w:webHidden/>
          </w:rPr>
          <w:tab/>
        </w:r>
        <w:r w:rsidR="00CF030F">
          <w:rPr>
            <w:noProof/>
            <w:webHidden/>
          </w:rPr>
          <w:fldChar w:fldCharType="begin"/>
        </w:r>
        <w:r w:rsidR="00CF030F">
          <w:rPr>
            <w:noProof/>
            <w:webHidden/>
          </w:rPr>
          <w:instrText xml:space="preserve"> PAGEREF _Toc523411625 \h </w:instrText>
        </w:r>
        <w:r w:rsidR="00CF030F">
          <w:rPr>
            <w:noProof/>
            <w:webHidden/>
          </w:rPr>
        </w:r>
        <w:r w:rsidR="00CF030F">
          <w:rPr>
            <w:noProof/>
            <w:webHidden/>
          </w:rPr>
          <w:fldChar w:fldCharType="separate"/>
        </w:r>
        <w:r w:rsidR="008B354A">
          <w:rPr>
            <w:noProof/>
            <w:webHidden/>
          </w:rPr>
          <w:t>27</w:t>
        </w:r>
        <w:r w:rsidR="00CF030F">
          <w:rPr>
            <w:noProof/>
            <w:webHidden/>
          </w:rPr>
          <w:fldChar w:fldCharType="end"/>
        </w:r>
      </w:hyperlink>
    </w:p>
    <w:p w14:paraId="3B800C2E" w14:textId="77777777" w:rsidR="00CF030F" w:rsidRDefault="00954431">
      <w:pPr>
        <w:pStyle w:val="TOC2"/>
        <w:rPr>
          <w:rFonts w:eastAsiaTheme="minorEastAsia"/>
          <w:noProof/>
          <w:lang w:eastAsia="en-AU"/>
        </w:rPr>
      </w:pPr>
      <w:hyperlink w:anchor="_Toc523411626" w:history="1">
        <w:r w:rsidR="00CF030F" w:rsidRPr="005A33FA">
          <w:rPr>
            <w:rStyle w:val="Hyperlink"/>
            <w:noProof/>
          </w:rPr>
          <w:t>7.2</w:t>
        </w:r>
        <w:r w:rsidR="00CF030F">
          <w:rPr>
            <w:rFonts w:eastAsiaTheme="minorEastAsia"/>
            <w:noProof/>
            <w:lang w:eastAsia="en-AU"/>
          </w:rPr>
          <w:tab/>
        </w:r>
        <w:r w:rsidR="00CF030F" w:rsidRPr="005A33FA">
          <w:rPr>
            <w:rStyle w:val="Hyperlink"/>
            <w:noProof/>
          </w:rPr>
          <w:t>Pre-application lodgement</w:t>
        </w:r>
        <w:r w:rsidR="00CF030F">
          <w:rPr>
            <w:noProof/>
            <w:webHidden/>
          </w:rPr>
          <w:tab/>
        </w:r>
        <w:r w:rsidR="00CF030F">
          <w:rPr>
            <w:noProof/>
            <w:webHidden/>
          </w:rPr>
          <w:fldChar w:fldCharType="begin"/>
        </w:r>
        <w:r w:rsidR="00CF030F">
          <w:rPr>
            <w:noProof/>
            <w:webHidden/>
          </w:rPr>
          <w:instrText xml:space="preserve"> PAGEREF _Toc523411626 \h </w:instrText>
        </w:r>
        <w:r w:rsidR="00CF030F">
          <w:rPr>
            <w:noProof/>
            <w:webHidden/>
          </w:rPr>
        </w:r>
        <w:r w:rsidR="00CF030F">
          <w:rPr>
            <w:noProof/>
            <w:webHidden/>
          </w:rPr>
          <w:fldChar w:fldCharType="separate"/>
        </w:r>
        <w:r w:rsidR="008B354A">
          <w:rPr>
            <w:noProof/>
            <w:webHidden/>
          </w:rPr>
          <w:t>27</w:t>
        </w:r>
        <w:r w:rsidR="00CF030F">
          <w:rPr>
            <w:noProof/>
            <w:webHidden/>
          </w:rPr>
          <w:fldChar w:fldCharType="end"/>
        </w:r>
      </w:hyperlink>
    </w:p>
    <w:p w14:paraId="3A600891" w14:textId="77777777" w:rsidR="00CF030F" w:rsidRDefault="00954431">
      <w:pPr>
        <w:pStyle w:val="TOC2"/>
        <w:rPr>
          <w:rFonts w:eastAsiaTheme="minorEastAsia"/>
          <w:noProof/>
          <w:lang w:eastAsia="en-AU"/>
        </w:rPr>
      </w:pPr>
      <w:hyperlink w:anchor="_Toc523411627" w:history="1">
        <w:r w:rsidR="00CF030F" w:rsidRPr="005A33FA">
          <w:rPr>
            <w:rStyle w:val="Hyperlink"/>
            <w:noProof/>
          </w:rPr>
          <w:t>7.3</w:t>
        </w:r>
        <w:r w:rsidR="00CF030F">
          <w:rPr>
            <w:rFonts w:eastAsiaTheme="minorEastAsia"/>
            <w:noProof/>
            <w:lang w:eastAsia="en-AU"/>
          </w:rPr>
          <w:tab/>
        </w:r>
        <w:r w:rsidR="00CF030F" w:rsidRPr="005A33FA">
          <w:rPr>
            <w:rStyle w:val="Hyperlink"/>
            <w:noProof/>
          </w:rPr>
          <w:t>Completing and lodging an application</w:t>
        </w:r>
        <w:r w:rsidR="00CF030F">
          <w:rPr>
            <w:noProof/>
            <w:webHidden/>
          </w:rPr>
          <w:tab/>
        </w:r>
        <w:r w:rsidR="00CF030F">
          <w:rPr>
            <w:noProof/>
            <w:webHidden/>
          </w:rPr>
          <w:fldChar w:fldCharType="begin"/>
        </w:r>
        <w:r w:rsidR="00CF030F">
          <w:rPr>
            <w:noProof/>
            <w:webHidden/>
          </w:rPr>
          <w:instrText xml:space="preserve"> PAGEREF _Toc523411627 \h </w:instrText>
        </w:r>
        <w:r w:rsidR="00CF030F">
          <w:rPr>
            <w:noProof/>
            <w:webHidden/>
          </w:rPr>
        </w:r>
        <w:r w:rsidR="00CF030F">
          <w:rPr>
            <w:noProof/>
            <w:webHidden/>
          </w:rPr>
          <w:fldChar w:fldCharType="separate"/>
        </w:r>
        <w:r w:rsidR="008B354A">
          <w:rPr>
            <w:noProof/>
            <w:webHidden/>
          </w:rPr>
          <w:t>28</w:t>
        </w:r>
        <w:r w:rsidR="00CF030F">
          <w:rPr>
            <w:noProof/>
            <w:webHidden/>
          </w:rPr>
          <w:fldChar w:fldCharType="end"/>
        </w:r>
      </w:hyperlink>
    </w:p>
    <w:p w14:paraId="113583F0" w14:textId="77777777" w:rsidR="00CF030F" w:rsidRDefault="00954431">
      <w:pPr>
        <w:pStyle w:val="TOC2"/>
        <w:rPr>
          <w:rFonts w:eastAsiaTheme="minorEastAsia"/>
          <w:noProof/>
          <w:lang w:eastAsia="en-AU"/>
        </w:rPr>
      </w:pPr>
      <w:hyperlink w:anchor="_Toc523411628" w:history="1">
        <w:r w:rsidR="00CF030F" w:rsidRPr="005A33FA">
          <w:rPr>
            <w:rStyle w:val="Hyperlink"/>
            <w:noProof/>
          </w:rPr>
          <w:t>7.4</w:t>
        </w:r>
        <w:r w:rsidR="00CF030F">
          <w:rPr>
            <w:rFonts w:eastAsiaTheme="minorEastAsia"/>
            <w:noProof/>
            <w:lang w:eastAsia="en-AU"/>
          </w:rPr>
          <w:tab/>
        </w:r>
        <w:r w:rsidR="00CF030F" w:rsidRPr="005A33FA">
          <w:rPr>
            <w:rStyle w:val="Hyperlink"/>
            <w:noProof/>
          </w:rPr>
          <w:t>Closing date for funding applications</w:t>
        </w:r>
        <w:r w:rsidR="00CF030F">
          <w:rPr>
            <w:noProof/>
            <w:webHidden/>
          </w:rPr>
          <w:tab/>
        </w:r>
        <w:r w:rsidR="00CF030F">
          <w:rPr>
            <w:noProof/>
            <w:webHidden/>
          </w:rPr>
          <w:fldChar w:fldCharType="begin"/>
        </w:r>
        <w:r w:rsidR="00CF030F">
          <w:rPr>
            <w:noProof/>
            <w:webHidden/>
          </w:rPr>
          <w:instrText xml:space="preserve"> PAGEREF _Toc523411628 \h </w:instrText>
        </w:r>
        <w:r w:rsidR="00CF030F">
          <w:rPr>
            <w:noProof/>
            <w:webHidden/>
          </w:rPr>
        </w:r>
        <w:r w:rsidR="00CF030F">
          <w:rPr>
            <w:noProof/>
            <w:webHidden/>
          </w:rPr>
          <w:fldChar w:fldCharType="separate"/>
        </w:r>
        <w:r w:rsidR="008B354A">
          <w:rPr>
            <w:noProof/>
            <w:webHidden/>
          </w:rPr>
          <w:t>30</w:t>
        </w:r>
        <w:r w:rsidR="00CF030F">
          <w:rPr>
            <w:noProof/>
            <w:webHidden/>
          </w:rPr>
          <w:fldChar w:fldCharType="end"/>
        </w:r>
      </w:hyperlink>
    </w:p>
    <w:p w14:paraId="4D1338D2" w14:textId="77777777" w:rsidR="00CF030F" w:rsidRDefault="00954431">
      <w:pPr>
        <w:pStyle w:val="TOC2"/>
        <w:rPr>
          <w:rFonts w:eastAsiaTheme="minorEastAsia"/>
          <w:noProof/>
          <w:lang w:eastAsia="en-AU"/>
        </w:rPr>
      </w:pPr>
      <w:hyperlink w:anchor="_Toc523411629" w:history="1">
        <w:r w:rsidR="00CF030F" w:rsidRPr="005A33FA">
          <w:rPr>
            <w:rStyle w:val="Hyperlink"/>
            <w:noProof/>
          </w:rPr>
          <w:t>7.5</w:t>
        </w:r>
        <w:r w:rsidR="00CF030F">
          <w:rPr>
            <w:rFonts w:eastAsiaTheme="minorEastAsia"/>
            <w:noProof/>
            <w:lang w:eastAsia="en-AU"/>
          </w:rPr>
          <w:tab/>
        </w:r>
        <w:r w:rsidR="00CF030F" w:rsidRPr="005A33FA">
          <w:rPr>
            <w:rStyle w:val="Hyperlink"/>
            <w:noProof/>
          </w:rPr>
          <w:t>Late applications</w:t>
        </w:r>
        <w:r w:rsidR="00CF030F">
          <w:rPr>
            <w:noProof/>
            <w:webHidden/>
          </w:rPr>
          <w:tab/>
        </w:r>
        <w:r w:rsidR="00CF030F">
          <w:rPr>
            <w:noProof/>
            <w:webHidden/>
          </w:rPr>
          <w:fldChar w:fldCharType="begin"/>
        </w:r>
        <w:r w:rsidR="00CF030F">
          <w:rPr>
            <w:noProof/>
            <w:webHidden/>
          </w:rPr>
          <w:instrText xml:space="preserve"> PAGEREF _Toc523411629 \h </w:instrText>
        </w:r>
        <w:r w:rsidR="00CF030F">
          <w:rPr>
            <w:noProof/>
            <w:webHidden/>
          </w:rPr>
        </w:r>
        <w:r w:rsidR="00CF030F">
          <w:rPr>
            <w:noProof/>
            <w:webHidden/>
          </w:rPr>
          <w:fldChar w:fldCharType="separate"/>
        </w:r>
        <w:r w:rsidR="008B354A">
          <w:rPr>
            <w:noProof/>
            <w:webHidden/>
          </w:rPr>
          <w:t>30</w:t>
        </w:r>
        <w:r w:rsidR="00CF030F">
          <w:rPr>
            <w:noProof/>
            <w:webHidden/>
          </w:rPr>
          <w:fldChar w:fldCharType="end"/>
        </w:r>
      </w:hyperlink>
    </w:p>
    <w:p w14:paraId="7577B7B0" w14:textId="77777777" w:rsidR="00CF030F" w:rsidRDefault="00954431">
      <w:pPr>
        <w:pStyle w:val="TOC2"/>
        <w:rPr>
          <w:rFonts w:eastAsiaTheme="minorEastAsia"/>
          <w:noProof/>
          <w:lang w:eastAsia="en-AU"/>
        </w:rPr>
      </w:pPr>
      <w:hyperlink w:anchor="_Toc523411630" w:history="1">
        <w:r w:rsidR="00CF030F" w:rsidRPr="005A33FA">
          <w:rPr>
            <w:rStyle w:val="Hyperlink"/>
            <w:noProof/>
          </w:rPr>
          <w:t>7.6</w:t>
        </w:r>
        <w:r w:rsidR="00CF030F">
          <w:rPr>
            <w:rFonts w:eastAsiaTheme="minorEastAsia"/>
            <w:noProof/>
            <w:lang w:eastAsia="en-AU"/>
          </w:rPr>
          <w:tab/>
        </w:r>
        <w:r w:rsidR="00CF030F" w:rsidRPr="005A33FA">
          <w:rPr>
            <w:rStyle w:val="Hyperlink"/>
            <w:noProof/>
          </w:rPr>
          <w:t>Further information about the application</w:t>
        </w:r>
        <w:r w:rsidR="00CF030F">
          <w:rPr>
            <w:noProof/>
            <w:webHidden/>
          </w:rPr>
          <w:tab/>
        </w:r>
        <w:r w:rsidR="00CF030F">
          <w:rPr>
            <w:noProof/>
            <w:webHidden/>
          </w:rPr>
          <w:fldChar w:fldCharType="begin"/>
        </w:r>
        <w:r w:rsidR="00CF030F">
          <w:rPr>
            <w:noProof/>
            <w:webHidden/>
          </w:rPr>
          <w:instrText xml:space="preserve"> PAGEREF _Toc523411630 \h </w:instrText>
        </w:r>
        <w:r w:rsidR="00CF030F">
          <w:rPr>
            <w:noProof/>
            <w:webHidden/>
          </w:rPr>
        </w:r>
        <w:r w:rsidR="00CF030F">
          <w:rPr>
            <w:noProof/>
            <w:webHidden/>
          </w:rPr>
          <w:fldChar w:fldCharType="separate"/>
        </w:r>
        <w:r w:rsidR="008B354A">
          <w:rPr>
            <w:noProof/>
            <w:webHidden/>
          </w:rPr>
          <w:t>30</w:t>
        </w:r>
        <w:r w:rsidR="00CF030F">
          <w:rPr>
            <w:noProof/>
            <w:webHidden/>
          </w:rPr>
          <w:fldChar w:fldCharType="end"/>
        </w:r>
      </w:hyperlink>
    </w:p>
    <w:p w14:paraId="0CCECE41" w14:textId="77777777" w:rsidR="00CF030F" w:rsidRDefault="00954431">
      <w:pPr>
        <w:pStyle w:val="TOC2"/>
        <w:rPr>
          <w:rFonts w:eastAsiaTheme="minorEastAsia"/>
          <w:noProof/>
          <w:lang w:eastAsia="en-AU"/>
        </w:rPr>
      </w:pPr>
      <w:hyperlink w:anchor="_Toc523411631" w:history="1">
        <w:r w:rsidR="00CF030F" w:rsidRPr="005A33FA">
          <w:rPr>
            <w:rStyle w:val="Hyperlink"/>
            <w:noProof/>
          </w:rPr>
          <w:t>7.7</w:t>
        </w:r>
        <w:r w:rsidR="00CF030F">
          <w:rPr>
            <w:rFonts w:eastAsiaTheme="minorEastAsia"/>
            <w:noProof/>
            <w:lang w:eastAsia="en-AU"/>
          </w:rPr>
          <w:tab/>
        </w:r>
        <w:r w:rsidR="00CF030F" w:rsidRPr="005A33FA">
          <w:rPr>
            <w:rStyle w:val="Hyperlink"/>
            <w:noProof/>
          </w:rPr>
          <w:t>Questions during the application process</w:t>
        </w:r>
        <w:r w:rsidR="00CF030F">
          <w:rPr>
            <w:noProof/>
            <w:webHidden/>
          </w:rPr>
          <w:tab/>
        </w:r>
        <w:r w:rsidR="00CF030F">
          <w:rPr>
            <w:noProof/>
            <w:webHidden/>
          </w:rPr>
          <w:fldChar w:fldCharType="begin"/>
        </w:r>
        <w:r w:rsidR="00CF030F">
          <w:rPr>
            <w:noProof/>
            <w:webHidden/>
          </w:rPr>
          <w:instrText xml:space="preserve"> PAGEREF _Toc523411631 \h </w:instrText>
        </w:r>
        <w:r w:rsidR="00CF030F">
          <w:rPr>
            <w:noProof/>
            <w:webHidden/>
          </w:rPr>
        </w:r>
        <w:r w:rsidR="00CF030F">
          <w:rPr>
            <w:noProof/>
            <w:webHidden/>
          </w:rPr>
          <w:fldChar w:fldCharType="separate"/>
        </w:r>
        <w:r w:rsidR="008B354A">
          <w:rPr>
            <w:noProof/>
            <w:webHidden/>
          </w:rPr>
          <w:t>30</w:t>
        </w:r>
        <w:r w:rsidR="00CF030F">
          <w:rPr>
            <w:noProof/>
            <w:webHidden/>
          </w:rPr>
          <w:fldChar w:fldCharType="end"/>
        </w:r>
      </w:hyperlink>
    </w:p>
    <w:p w14:paraId="74CB5C11" w14:textId="77777777" w:rsidR="00CF030F" w:rsidRDefault="00954431">
      <w:pPr>
        <w:pStyle w:val="TOC1"/>
        <w:rPr>
          <w:rFonts w:eastAsiaTheme="minorEastAsia"/>
          <w:b w:val="0"/>
          <w:noProof/>
          <w:sz w:val="22"/>
          <w:lang w:eastAsia="en-AU"/>
        </w:rPr>
      </w:pPr>
      <w:hyperlink w:anchor="_Toc523411632" w:history="1">
        <w:r w:rsidR="00CF030F" w:rsidRPr="005A33FA">
          <w:rPr>
            <w:rStyle w:val="Hyperlink"/>
            <w:noProof/>
          </w:rPr>
          <w:t>8.</w:t>
        </w:r>
        <w:r w:rsidR="00CF030F">
          <w:rPr>
            <w:rFonts w:eastAsiaTheme="minorEastAsia"/>
            <w:b w:val="0"/>
            <w:noProof/>
            <w:sz w:val="22"/>
            <w:lang w:eastAsia="en-AU"/>
          </w:rPr>
          <w:tab/>
        </w:r>
        <w:r w:rsidR="00CF030F" w:rsidRPr="005A33FA">
          <w:rPr>
            <w:rStyle w:val="Hyperlink"/>
            <w:noProof/>
          </w:rPr>
          <w:t>Assessment of grant applications</w:t>
        </w:r>
        <w:r w:rsidR="00CF030F">
          <w:rPr>
            <w:noProof/>
            <w:webHidden/>
          </w:rPr>
          <w:tab/>
        </w:r>
        <w:r w:rsidR="00CF030F">
          <w:rPr>
            <w:noProof/>
            <w:webHidden/>
          </w:rPr>
          <w:fldChar w:fldCharType="begin"/>
        </w:r>
        <w:r w:rsidR="00CF030F">
          <w:rPr>
            <w:noProof/>
            <w:webHidden/>
          </w:rPr>
          <w:instrText xml:space="preserve"> PAGEREF _Toc523411632 \h </w:instrText>
        </w:r>
        <w:r w:rsidR="00CF030F">
          <w:rPr>
            <w:noProof/>
            <w:webHidden/>
          </w:rPr>
        </w:r>
        <w:r w:rsidR="00CF030F">
          <w:rPr>
            <w:noProof/>
            <w:webHidden/>
          </w:rPr>
          <w:fldChar w:fldCharType="separate"/>
        </w:r>
        <w:r w:rsidR="008B354A">
          <w:rPr>
            <w:noProof/>
            <w:webHidden/>
          </w:rPr>
          <w:t>31</w:t>
        </w:r>
        <w:r w:rsidR="00CF030F">
          <w:rPr>
            <w:noProof/>
            <w:webHidden/>
          </w:rPr>
          <w:fldChar w:fldCharType="end"/>
        </w:r>
      </w:hyperlink>
    </w:p>
    <w:p w14:paraId="3897EAD1" w14:textId="77777777" w:rsidR="00CF030F" w:rsidRDefault="00954431">
      <w:pPr>
        <w:pStyle w:val="TOC2"/>
        <w:rPr>
          <w:rFonts w:eastAsiaTheme="minorEastAsia"/>
          <w:noProof/>
          <w:lang w:eastAsia="en-AU"/>
        </w:rPr>
      </w:pPr>
      <w:hyperlink w:anchor="_Toc523411633" w:history="1">
        <w:r w:rsidR="00CF030F" w:rsidRPr="005A33FA">
          <w:rPr>
            <w:rStyle w:val="Hyperlink"/>
            <w:noProof/>
          </w:rPr>
          <w:t>8.1</w:t>
        </w:r>
        <w:r w:rsidR="00CF030F">
          <w:rPr>
            <w:rFonts w:eastAsiaTheme="minorEastAsia"/>
            <w:noProof/>
            <w:lang w:eastAsia="en-AU"/>
          </w:rPr>
          <w:tab/>
        </w:r>
        <w:r w:rsidR="00CF030F" w:rsidRPr="005A33FA">
          <w:rPr>
            <w:rStyle w:val="Hyperlink"/>
            <w:noProof/>
          </w:rPr>
          <w:t>Who will assess applications?</w:t>
        </w:r>
        <w:r w:rsidR="00CF030F">
          <w:rPr>
            <w:noProof/>
            <w:webHidden/>
          </w:rPr>
          <w:tab/>
        </w:r>
        <w:r w:rsidR="00CF030F">
          <w:rPr>
            <w:noProof/>
            <w:webHidden/>
          </w:rPr>
          <w:fldChar w:fldCharType="begin"/>
        </w:r>
        <w:r w:rsidR="00CF030F">
          <w:rPr>
            <w:noProof/>
            <w:webHidden/>
          </w:rPr>
          <w:instrText xml:space="preserve"> PAGEREF _Toc523411633 \h </w:instrText>
        </w:r>
        <w:r w:rsidR="00CF030F">
          <w:rPr>
            <w:noProof/>
            <w:webHidden/>
          </w:rPr>
        </w:r>
        <w:r w:rsidR="00CF030F">
          <w:rPr>
            <w:noProof/>
            <w:webHidden/>
          </w:rPr>
          <w:fldChar w:fldCharType="separate"/>
        </w:r>
        <w:r w:rsidR="008B354A">
          <w:rPr>
            <w:noProof/>
            <w:webHidden/>
          </w:rPr>
          <w:t>31</w:t>
        </w:r>
        <w:r w:rsidR="00CF030F">
          <w:rPr>
            <w:noProof/>
            <w:webHidden/>
          </w:rPr>
          <w:fldChar w:fldCharType="end"/>
        </w:r>
      </w:hyperlink>
    </w:p>
    <w:p w14:paraId="37182A78" w14:textId="77777777" w:rsidR="00CF030F" w:rsidRDefault="00954431">
      <w:pPr>
        <w:pStyle w:val="TOC2"/>
        <w:rPr>
          <w:rFonts w:eastAsiaTheme="minorEastAsia"/>
          <w:noProof/>
          <w:lang w:eastAsia="en-AU"/>
        </w:rPr>
      </w:pPr>
      <w:hyperlink w:anchor="_Toc523411634" w:history="1">
        <w:r w:rsidR="00CF030F" w:rsidRPr="005A33FA">
          <w:rPr>
            <w:rStyle w:val="Hyperlink"/>
            <w:noProof/>
          </w:rPr>
          <w:t>8.2</w:t>
        </w:r>
        <w:r w:rsidR="00CF030F">
          <w:rPr>
            <w:rFonts w:eastAsiaTheme="minorEastAsia"/>
            <w:noProof/>
            <w:lang w:eastAsia="en-AU"/>
          </w:rPr>
          <w:tab/>
        </w:r>
        <w:r w:rsidR="00CF030F" w:rsidRPr="005A33FA">
          <w:rPr>
            <w:rStyle w:val="Hyperlink"/>
            <w:noProof/>
          </w:rPr>
          <w:t>Who will approve grants?</w:t>
        </w:r>
        <w:r w:rsidR="00CF030F">
          <w:rPr>
            <w:noProof/>
            <w:webHidden/>
          </w:rPr>
          <w:tab/>
        </w:r>
        <w:r w:rsidR="00CF030F">
          <w:rPr>
            <w:noProof/>
            <w:webHidden/>
          </w:rPr>
          <w:fldChar w:fldCharType="begin"/>
        </w:r>
        <w:r w:rsidR="00CF030F">
          <w:rPr>
            <w:noProof/>
            <w:webHidden/>
          </w:rPr>
          <w:instrText xml:space="preserve"> PAGEREF _Toc523411634 \h </w:instrText>
        </w:r>
        <w:r w:rsidR="00CF030F">
          <w:rPr>
            <w:noProof/>
            <w:webHidden/>
          </w:rPr>
        </w:r>
        <w:r w:rsidR="00CF030F">
          <w:rPr>
            <w:noProof/>
            <w:webHidden/>
          </w:rPr>
          <w:fldChar w:fldCharType="separate"/>
        </w:r>
        <w:r w:rsidR="008B354A">
          <w:rPr>
            <w:noProof/>
            <w:webHidden/>
          </w:rPr>
          <w:t>31</w:t>
        </w:r>
        <w:r w:rsidR="00CF030F">
          <w:rPr>
            <w:noProof/>
            <w:webHidden/>
          </w:rPr>
          <w:fldChar w:fldCharType="end"/>
        </w:r>
      </w:hyperlink>
    </w:p>
    <w:p w14:paraId="35220F91" w14:textId="77777777" w:rsidR="00CF030F" w:rsidRDefault="00954431">
      <w:pPr>
        <w:pStyle w:val="TOC1"/>
        <w:rPr>
          <w:rFonts w:eastAsiaTheme="minorEastAsia"/>
          <w:b w:val="0"/>
          <w:noProof/>
          <w:sz w:val="22"/>
          <w:lang w:eastAsia="en-AU"/>
        </w:rPr>
      </w:pPr>
      <w:hyperlink w:anchor="_Toc523411635" w:history="1">
        <w:r w:rsidR="00CF030F" w:rsidRPr="005A33FA">
          <w:rPr>
            <w:rStyle w:val="Hyperlink"/>
            <w:noProof/>
          </w:rPr>
          <w:t>9.</w:t>
        </w:r>
        <w:r w:rsidR="00CF030F">
          <w:rPr>
            <w:rFonts w:eastAsiaTheme="minorEastAsia"/>
            <w:b w:val="0"/>
            <w:noProof/>
            <w:sz w:val="22"/>
            <w:lang w:eastAsia="en-AU"/>
          </w:rPr>
          <w:tab/>
        </w:r>
        <w:r w:rsidR="00CF030F" w:rsidRPr="005A33FA">
          <w:rPr>
            <w:rStyle w:val="Hyperlink"/>
            <w:noProof/>
          </w:rPr>
          <w:t>Notification of application outcomes</w:t>
        </w:r>
        <w:r w:rsidR="00CF030F">
          <w:rPr>
            <w:noProof/>
            <w:webHidden/>
          </w:rPr>
          <w:tab/>
        </w:r>
        <w:r w:rsidR="00CF030F">
          <w:rPr>
            <w:noProof/>
            <w:webHidden/>
          </w:rPr>
          <w:fldChar w:fldCharType="begin"/>
        </w:r>
        <w:r w:rsidR="00CF030F">
          <w:rPr>
            <w:noProof/>
            <w:webHidden/>
          </w:rPr>
          <w:instrText xml:space="preserve"> PAGEREF _Toc523411635 \h </w:instrText>
        </w:r>
        <w:r w:rsidR="00CF030F">
          <w:rPr>
            <w:noProof/>
            <w:webHidden/>
          </w:rPr>
        </w:r>
        <w:r w:rsidR="00CF030F">
          <w:rPr>
            <w:noProof/>
            <w:webHidden/>
          </w:rPr>
          <w:fldChar w:fldCharType="separate"/>
        </w:r>
        <w:r w:rsidR="008B354A">
          <w:rPr>
            <w:noProof/>
            <w:webHidden/>
          </w:rPr>
          <w:t>31</w:t>
        </w:r>
        <w:r w:rsidR="00CF030F">
          <w:rPr>
            <w:noProof/>
            <w:webHidden/>
          </w:rPr>
          <w:fldChar w:fldCharType="end"/>
        </w:r>
      </w:hyperlink>
    </w:p>
    <w:p w14:paraId="76BBFC92" w14:textId="77777777" w:rsidR="00CF030F" w:rsidRDefault="00954431">
      <w:pPr>
        <w:pStyle w:val="TOC2"/>
        <w:rPr>
          <w:rFonts w:eastAsiaTheme="minorEastAsia"/>
          <w:noProof/>
          <w:lang w:eastAsia="en-AU"/>
        </w:rPr>
      </w:pPr>
      <w:hyperlink w:anchor="_Toc523411636" w:history="1">
        <w:r w:rsidR="00CF030F" w:rsidRPr="005A33FA">
          <w:rPr>
            <w:rStyle w:val="Hyperlink"/>
            <w:noProof/>
          </w:rPr>
          <w:t>9.1</w:t>
        </w:r>
        <w:r w:rsidR="00CF030F">
          <w:rPr>
            <w:rFonts w:eastAsiaTheme="minorEastAsia"/>
            <w:noProof/>
            <w:lang w:eastAsia="en-AU"/>
          </w:rPr>
          <w:tab/>
        </w:r>
        <w:r w:rsidR="00CF030F" w:rsidRPr="005A33FA">
          <w:rPr>
            <w:rStyle w:val="Hyperlink"/>
            <w:noProof/>
          </w:rPr>
          <w:t>Feedback on your application</w:t>
        </w:r>
        <w:r w:rsidR="00CF030F">
          <w:rPr>
            <w:noProof/>
            <w:webHidden/>
          </w:rPr>
          <w:tab/>
        </w:r>
        <w:r w:rsidR="00CF030F">
          <w:rPr>
            <w:noProof/>
            <w:webHidden/>
          </w:rPr>
          <w:fldChar w:fldCharType="begin"/>
        </w:r>
        <w:r w:rsidR="00CF030F">
          <w:rPr>
            <w:noProof/>
            <w:webHidden/>
          </w:rPr>
          <w:instrText xml:space="preserve"> PAGEREF _Toc523411636 \h </w:instrText>
        </w:r>
        <w:r w:rsidR="00CF030F">
          <w:rPr>
            <w:noProof/>
            <w:webHidden/>
          </w:rPr>
        </w:r>
        <w:r w:rsidR="00CF030F">
          <w:rPr>
            <w:noProof/>
            <w:webHidden/>
          </w:rPr>
          <w:fldChar w:fldCharType="separate"/>
        </w:r>
        <w:r w:rsidR="008B354A">
          <w:rPr>
            <w:noProof/>
            <w:webHidden/>
          </w:rPr>
          <w:t>32</w:t>
        </w:r>
        <w:r w:rsidR="00CF030F">
          <w:rPr>
            <w:noProof/>
            <w:webHidden/>
          </w:rPr>
          <w:fldChar w:fldCharType="end"/>
        </w:r>
      </w:hyperlink>
    </w:p>
    <w:p w14:paraId="24D57782" w14:textId="77777777" w:rsidR="00CF030F" w:rsidRDefault="00954431">
      <w:pPr>
        <w:pStyle w:val="TOC1"/>
        <w:rPr>
          <w:rFonts w:eastAsiaTheme="minorEastAsia"/>
          <w:b w:val="0"/>
          <w:noProof/>
          <w:sz w:val="22"/>
          <w:lang w:eastAsia="en-AU"/>
        </w:rPr>
      </w:pPr>
      <w:hyperlink w:anchor="_Toc523411637" w:history="1">
        <w:r w:rsidR="00CF030F" w:rsidRPr="005A33FA">
          <w:rPr>
            <w:rStyle w:val="Hyperlink"/>
            <w:noProof/>
          </w:rPr>
          <w:t>10.</w:t>
        </w:r>
        <w:r w:rsidR="00CF030F">
          <w:rPr>
            <w:rFonts w:eastAsiaTheme="minorEastAsia"/>
            <w:b w:val="0"/>
            <w:noProof/>
            <w:sz w:val="22"/>
            <w:lang w:eastAsia="en-AU"/>
          </w:rPr>
          <w:tab/>
        </w:r>
        <w:r w:rsidR="00CF030F" w:rsidRPr="005A33FA">
          <w:rPr>
            <w:rStyle w:val="Hyperlink"/>
            <w:noProof/>
          </w:rPr>
          <w:t>Successful grant applications</w:t>
        </w:r>
        <w:r w:rsidR="00CF030F">
          <w:rPr>
            <w:noProof/>
            <w:webHidden/>
          </w:rPr>
          <w:tab/>
        </w:r>
        <w:r w:rsidR="00CF030F">
          <w:rPr>
            <w:noProof/>
            <w:webHidden/>
          </w:rPr>
          <w:fldChar w:fldCharType="begin"/>
        </w:r>
        <w:r w:rsidR="00CF030F">
          <w:rPr>
            <w:noProof/>
            <w:webHidden/>
          </w:rPr>
          <w:instrText xml:space="preserve"> PAGEREF _Toc523411637 \h </w:instrText>
        </w:r>
        <w:r w:rsidR="00CF030F">
          <w:rPr>
            <w:noProof/>
            <w:webHidden/>
          </w:rPr>
        </w:r>
        <w:r w:rsidR="00CF030F">
          <w:rPr>
            <w:noProof/>
            <w:webHidden/>
          </w:rPr>
          <w:fldChar w:fldCharType="separate"/>
        </w:r>
        <w:r w:rsidR="008B354A">
          <w:rPr>
            <w:noProof/>
            <w:webHidden/>
          </w:rPr>
          <w:t>32</w:t>
        </w:r>
        <w:r w:rsidR="00CF030F">
          <w:rPr>
            <w:noProof/>
            <w:webHidden/>
          </w:rPr>
          <w:fldChar w:fldCharType="end"/>
        </w:r>
      </w:hyperlink>
    </w:p>
    <w:p w14:paraId="2C56837B" w14:textId="77777777" w:rsidR="00CF030F" w:rsidRDefault="00954431">
      <w:pPr>
        <w:pStyle w:val="TOC2"/>
        <w:rPr>
          <w:rFonts w:eastAsiaTheme="minorEastAsia"/>
          <w:noProof/>
          <w:lang w:eastAsia="en-AU"/>
        </w:rPr>
      </w:pPr>
      <w:hyperlink w:anchor="_Toc523411638" w:history="1">
        <w:r w:rsidR="00CF030F" w:rsidRPr="005A33FA">
          <w:rPr>
            <w:rStyle w:val="Hyperlink"/>
            <w:noProof/>
          </w:rPr>
          <w:t>10.1</w:t>
        </w:r>
        <w:r w:rsidR="00CF030F">
          <w:rPr>
            <w:rFonts w:eastAsiaTheme="minorEastAsia"/>
            <w:noProof/>
            <w:lang w:eastAsia="en-AU"/>
          </w:rPr>
          <w:tab/>
        </w:r>
        <w:r w:rsidR="00CF030F" w:rsidRPr="005A33FA">
          <w:rPr>
            <w:rStyle w:val="Hyperlink"/>
            <w:noProof/>
          </w:rPr>
          <w:t>The grant agreement</w:t>
        </w:r>
        <w:r w:rsidR="00CF030F">
          <w:rPr>
            <w:noProof/>
            <w:webHidden/>
          </w:rPr>
          <w:tab/>
        </w:r>
        <w:r w:rsidR="00CF030F">
          <w:rPr>
            <w:noProof/>
            <w:webHidden/>
          </w:rPr>
          <w:fldChar w:fldCharType="begin"/>
        </w:r>
        <w:r w:rsidR="00CF030F">
          <w:rPr>
            <w:noProof/>
            <w:webHidden/>
          </w:rPr>
          <w:instrText xml:space="preserve"> PAGEREF _Toc523411638 \h </w:instrText>
        </w:r>
        <w:r w:rsidR="00CF030F">
          <w:rPr>
            <w:noProof/>
            <w:webHidden/>
          </w:rPr>
        </w:r>
        <w:r w:rsidR="00CF030F">
          <w:rPr>
            <w:noProof/>
            <w:webHidden/>
          </w:rPr>
          <w:fldChar w:fldCharType="separate"/>
        </w:r>
        <w:r w:rsidR="008B354A">
          <w:rPr>
            <w:noProof/>
            <w:webHidden/>
          </w:rPr>
          <w:t>32</w:t>
        </w:r>
        <w:r w:rsidR="00CF030F">
          <w:rPr>
            <w:noProof/>
            <w:webHidden/>
          </w:rPr>
          <w:fldChar w:fldCharType="end"/>
        </w:r>
      </w:hyperlink>
    </w:p>
    <w:p w14:paraId="0DFEC394" w14:textId="77777777" w:rsidR="00CF030F" w:rsidRDefault="00954431">
      <w:pPr>
        <w:pStyle w:val="TOC2"/>
        <w:rPr>
          <w:rFonts w:eastAsiaTheme="minorEastAsia"/>
          <w:noProof/>
          <w:lang w:eastAsia="en-AU"/>
        </w:rPr>
      </w:pPr>
      <w:hyperlink w:anchor="_Toc523411639" w:history="1">
        <w:r w:rsidR="00CF030F" w:rsidRPr="005A33FA">
          <w:rPr>
            <w:rStyle w:val="Hyperlink"/>
            <w:noProof/>
          </w:rPr>
          <w:t>10.2</w:t>
        </w:r>
        <w:r w:rsidR="00CF030F">
          <w:rPr>
            <w:rFonts w:eastAsiaTheme="minorEastAsia"/>
            <w:noProof/>
            <w:lang w:eastAsia="en-AU"/>
          </w:rPr>
          <w:tab/>
        </w:r>
        <w:r w:rsidR="00CF030F" w:rsidRPr="005A33FA">
          <w:rPr>
            <w:rStyle w:val="Hyperlink"/>
            <w:noProof/>
          </w:rPr>
          <w:t>Grant agreement variations</w:t>
        </w:r>
        <w:r w:rsidR="00CF030F">
          <w:rPr>
            <w:noProof/>
            <w:webHidden/>
          </w:rPr>
          <w:tab/>
        </w:r>
        <w:r w:rsidR="00CF030F">
          <w:rPr>
            <w:noProof/>
            <w:webHidden/>
          </w:rPr>
          <w:fldChar w:fldCharType="begin"/>
        </w:r>
        <w:r w:rsidR="00CF030F">
          <w:rPr>
            <w:noProof/>
            <w:webHidden/>
          </w:rPr>
          <w:instrText xml:space="preserve"> PAGEREF _Toc523411639 \h </w:instrText>
        </w:r>
        <w:r w:rsidR="00CF030F">
          <w:rPr>
            <w:noProof/>
            <w:webHidden/>
          </w:rPr>
        </w:r>
        <w:r w:rsidR="00CF030F">
          <w:rPr>
            <w:noProof/>
            <w:webHidden/>
          </w:rPr>
          <w:fldChar w:fldCharType="separate"/>
        </w:r>
        <w:r w:rsidR="008B354A">
          <w:rPr>
            <w:noProof/>
            <w:webHidden/>
          </w:rPr>
          <w:t>32</w:t>
        </w:r>
        <w:r w:rsidR="00CF030F">
          <w:rPr>
            <w:noProof/>
            <w:webHidden/>
          </w:rPr>
          <w:fldChar w:fldCharType="end"/>
        </w:r>
      </w:hyperlink>
    </w:p>
    <w:p w14:paraId="01A1B998" w14:textId="77777777" w:rsidR="00CF030F" w:rsidRDefault="00954431">
      <w:pPr>
        <w:pStyle w:val="TOC1"/>
        <w:rPr>
          <w:rFonts w:eastAsiaTheme="minorEastAsia"/>
          <w:b w:val="0"/>
          <w:noProof/>
          <w:sz w:val="22"/>
          <w:lang w:eastAsia="en-AU"/>
        </w:rPr>
      </w:pPr>
      <w:hyperlink w:anchor="_Toc523411640" w:history="1">
        <w:r w:rsidR="00CF030F" w:rsidRPr="005A33FA">
          <w:rPr>
            <w:rStyle w:val="Hyperlink"/>
            <w:noProof/>
          </w:rPr>
          <w:t>11.</w:t>
        </w:r>
        <w:r w:rsidR="00CF030F">
          <w:rPr>
            <w:rFonts w:eastAsiaTheme="minorEastAsia"/>
            <w:b w:val="0"/>
            <w:noProof/>
            <w:sz w:val="22"/>
            <w:lang w:eastAsia="en-AU"/>
          </w:rPr>
          <w:tab/>
        </w:r>
        <w:r w:rsidR="00CF030F" w:rsidRPr="005A33FA">
          <w:rPr>
            <w:rStyle w:val="Hyperlink"/>
            <w:noProof/>
          </w:rPr>
          <w:t>Announcement of grants</w:t>
        </w:r>
        <w:r w:rsidR="00CF030F">
          <w:rPr>
            <w:noProof/>
            <w:webHidden/>
          </w:rPr>
          <w:tab/>
        </w:r>
        <w:r w:rsidR="00CF030F">
          <w:rPr>
            <w:noProof/>
            <w:webHidden/>
          </w:rPr>
          <w:fldChar w:fldCharType="begin"/>
        </w:r>
        <w:r w:rsidR="00CF030F">
          <w:rPr>
            <w:noProof/>
            <w:webHidden/>
          </w:rPr>
          <w:instrText xml:space="preserve"> PAGEREF _Toc523411640 \h </w:instrText>
        </w:r>
        <w:r w:rsidR="00CF030F">
          <w:rPr>
            <w:noProof/>
            <w:webHidden/>
          </w:rPr>
        </w:r>
        <w:r w:rsidR="00CF030F">
          <w:rPr>
            <w:noProof/>
            <w:webHidden/>
          </w:rPr>
          <w:fldChar w:fldCharType="separate"/>
        </w:r>
        <w:r w:rsidR="008B354A">
          <w:rPr>
            <w:noProof/>
            <w:webHidden/>
          </w:rPr>
          <w:t>33</w:t>
        </w:r>
        <w:r w:rsidR="00CF030F">
          <w:rPr>
            <w:noProof/>
            <w:webHidden/>
          </w:rPr>
          <w:fldChar w:fldCharType="end"/>
        </w:r>
      </w:hyperlink>
    </w:p>
    <w:p w14:paraId="3459B1DE" w14:textId="77777777" w:rsidR="00CF030F" w:rsidRDefault="00954431">
      <w:pPr>
        <w:pStyle w:val="TOC1"/>
        <w:rPr>
          <w:rFonts w:eastAsiaTheme="minorEastAsia"/>
          <w:b w:val="0"/>
          <w:noProof/>
          <w:sz w:val="22"/>
          <w:lang w:eastAsia="en-AU"/>
        </w:rPr>
      </w:pPr>
      <w:hyperlink w:anchor="_Toc523411641" w:history="1">
        <w:r w:rsidR="00CF030F" w:rsidRPr="005A33FA">
          <w:rPr>
            <w:rStyle w:val="Hyperlink"/>
            <w:noProof/>
          </w:rPr>
          <w:t>12.</w:t>
        </w:r>
        <w:r w:rsidR="00CF030F">
          <w:rPr>
            <w:rFonts w:eastAsiaTheme="minorEastAsia"/>
            <w:b w:val="0"/>
            <w:noProof/>
            <w:sz w:val="22"/>
            <w:lang w:eastAsia="en-AU"/>
          </w:rPr>
          <w:tab/>
        </w:r>
        <w:r w:rsidR="00CF030F" w:rsidRPr="005A33FA">
          <w:rPr>
            <w:rStyle w:val="Hyperlink"/>
            <w:noProof/>
          </w:rPr>
          <w:t>Delivery of grant activities</w:t>
        </w:r>
        <w:r w:rsidR="00CF030F">
          <w:rPr>
            <w:noProof/>
            <w:webHidden/>
          </w:rPr>
          <w:tab/>
        </w:r>
        <w:r w:rsidR="00CF030F">
          <w:rPr>
            <w:noProof/>
            <w:webHidden/>
          </w:rPr>
          <w:fldChar w:fldCharType="begin"/>
        </w:r>
        <w:r w:rsidR="00CF030F">
          <w:rPr>
            <w:noProof/>
            <w:webHidden/>
          </w:rPr>
          <w:instrText xml:space="preserve"> PAGEREF _Toc523411641 \h </w:instrText>
        </w:r>
        <w:r w:rsidR="00CF030F">
          <w:rPr>
            <w:noProof/>
            <w:webHidden/>
          </w:rPr>
        </w:r>
        <w:r w:rsidR="00CF030F">
          <w:rPr>
            <w:noProof/>
            <w:webHidden/>
          </w:rPr>
          <w:fldChar w:fldCharType="separate"/>
        </w:r>
        <w:r w:rsidR="008B354A">
          <w:rPr>
            <w:noProof/>
            <w:webHidden/>
          </w:rPr>
          <w:t>33</w:t>
        </w:r>
        <w:r w:rsidR="00CF030F">
          <w:rPr>
            <w:noProof/>
            <w:webHidden/>
          </w:rPr>
          <w:fldChar w:fldCharType="end"/>
        </w:r>
      </w:hyperlink>
    </w:p>
    <w:p w14:paraId="70096D96" w14:textId="77777777" w:rsidR="00CF030F" w:rsidRDefault="00954431">
      <w:pPr>
        <w:pStyle w:val="TOC2"/>
        <w:rPr>
          <w:rFonts w:eastAsiaTheme="minorEastAsia"/>
          <w:noProof/>
          <w:lang w:eastAsia="en-AU"/>
        </w:rPr>
      </w:pPr>
      <w:hyperlink w:anchor="_Toc523411642" w:history="1">
        <w:r w:rsidR="00CF030F" w:rsidRPr="005A33FA">
          <w:rPr>
            <w:rStyle w:val="Hyperlink"/>
            <w:noProof/>
          </w:rPr>
          <w:t>12.1</w:t>
        </w:r>
        <w:r w:rsidR="00CF030F">
          <w:rPr>
            <w:rFonts w:eastAsiaTheme="minorEastAsia"/>
            <w:noProof/>
            <w:lang w:eastAsia="en-AU"/>
          </w:rPr>
          <w:tab/>
        </w:r>
        <w:r w:rsidR="00CF030F" w:rsidRPr="005A33FA">
          <w:rPr>
            <w:rStyle w:val="Hyperlink"/>
            <w:noProof/>
          </w:rPr>
          <w:t>Your responsibilities</w:t>
        </w:r>
        <w:r w:rsidR="00CF030F">
          <w:rPr>
            <w:noProof/>
            <w:webHidden/>
          </w:rPr>
          <w:tab/>
        </w:r>
        <w:r w:rsidR="00CF030F">
          <w:rPr>
            <w:noProof/>
            <w:webHidden/>
          </w:rPr>
          <w:fldChar w:fldCharType="begin"/>
        </w:r>
        <w:r w:rsidR="00CF030F">
          <w:rPr>
            <w:noProof/>
            <w:webHidden/>
          </w:rPr>
          <w:instrText xml:space="preserve"> PAGEREF _Toc523411642 \h </w:instrText>
        </w:r>
        <w:r w:rsidR="00CF030F">
          <w:rPr>
            <w:noProof/>
            <w:webHidden/>
          </w:rPr>
        </w:r>
        <w:r w:rsidR="00CF030F">
          <w:rPr>
            <w:noProof/>
            <w:webHidden/>
          </w:rPr>
          <w:fldChar w:fldCharType="separate"/>
        </w:r>
        <w:r w:rsidR="008B354A">
          <w:rPr>
            <w:noProof/>
            <w:webHidden/>
          </w:rPr>
          <w:t>33</w:t>
        </w:r>
        <w:r w:rsidR="00CF030F">
          <w:rPr>
            <w:noProof/>
            <w:webHidden/>
          </w:rPr>
          <w:fldChar w:fldCharType="end"/>
        </w:r>
      </w:hyperlink>
    </w:p>
    <w:p w14:paraId="34BDF3F7" w14:textId="77777777" w:rsidR="00CF030F" w:rsidRDefault="00954431">
      <w:pPr>
        <w:pStyle w:val="TOC2"/>
        <w:rPr>
          <w:rFonts w:eastAsiaTheme="minorEastAsia"/>
          <w:noProof/>
          <w:lang w:eastAsia="en-AU"/>
        </w:rPr>
      </w:pPr>
      <w:hyperlink w:anchor="_Toc523411643" w:history="1">
        <w:r w:rsidR="00CF030F" w:rsidRPr="005A33FA">
          <w:rPr>
            <w:rStyle w:val="Hyperlink"/>
            <w:noProof/>
          </w:rPr>
          <w:t>12.2</w:t>
        </w:r>
        <w:r w:rsidR="00CF030F">
          <w:rPr>
            <w:rFonts w:eastAsiaTheme="minorEastAsia"/>
            <w:noProof/>
            <w:lang w:eastAsia="en-AU"/>
          </w:rPr>
          <w:tab/>
        </w:r>
        <w:r w:rsidR="00CF030F" w:rsidRPr="005A33FA">
          <w:rPr>
            <w:rStyle w:val="Hyperlink"/>
            <w:noProof/>
          </w:rPr>
          <w:t>The Department’s responsibilities</w:t>
        </w:r>
        <w:r w:rsidR="00CF030F">
          <w:rPr>
            <w:noProof/>
            <w:webHidden/>
          </w:rPr>
          <w:tab/>
        </w:r>
        <w:r w:rsidR="00CF030F">
          <w:rPr>
            <w:noProof/>
            <w:webHidden/>
          </w:rPr>
          <w:fldChar w:fldCharType="begin"/>
        </w:r>
        <w:r w:rsidR="00CF030F">
          <w:rPr>
            <w:noProof/>
            <w:webHidden/>
          </w:rPr>
          <w:instrText xml:space="preserve"> PAGEREF _Toc523411643 \h </w:instrText>
        </w:r>
        <w:r w:rsidR="00CF030F">
          <w:rPr>
            <w:noProof/>
            <w:webHidden/>
          </w:rPr>
        </w:r>
        <w:r w:rsidR="00CF030F">
          <w:rPr>
            <w:noProof/>
            <w:webHidden/>
          </w:rPr>
          <w:fldChar w:fldCharType="separate"/>
        </w:r>
        <w:r w:rsidR="008B354A">
          <w:rPr>
            <w:noProof/>
            <w:webHidden/>
          </w:rPr>
          <w:t>33</w:t>
        </w:r>
        <w:r w:rsidR="00CF030F">
          <w:rPr>
            <w:noProof/>
            <w:webHidden/>
          </w:rPr>
          <w:fldChar w:fldCharType="end"/>
        </w:r>
      </w:hyperlink>
    </w:p>
    <w:p w14:paraId="76450C24" w14:textId="77777777" w:rsidR="00CF030F" w:rsidRDefault="00954431">
      <w:pPr>
        <w:pStyle w:val="TOC2"/>
        <w:rPr>
          <w:rFonts w:eastAsiaTheme="minorEastAsia"/>
          <w:noProof/>
          <w:lang w:eastAsia="en-AU"/>
        </w:rPr>
      </w:pPr>
      <w:hyperlink w:anchor="_Toc523411644" w:history="1">
        <w:r w:rsidR="00CF030F" w:rsidRPr="005A33FA">
          <w:rPr>
            <w:rStyle w:val="Hyperlink"/>
            <w:noProof/>
          </w:rPr>
          <w:t>12.3</w:t>
        </w:r>
        <w:r w:rsidR="00CF030F">
          <w:rPr>
            <w:rFonts w:eastAsiaTheme="minorEastAsia"/>
            <w:noProof/>
            <w:lang w:eastAsia="en-AU"/>
          </w:rPr>
          <w:tab/>
        </w:r>
        <w:r w:rsidR="00CF030F" w:rsidRPr="005A33FA">
          <w:rPr>
            <w:rStyle w:val="Hyperlink"/>
            <w:noProof/>
          </w:rPr>
          <w:t>Grant payments and GST</w:t>
        </w:r>
        <w:r w:rsidR="00CF030F">
          <w:rPr>
            <w:noProof/>
            <w:webHidden/>
          </w:rPr>
          <w:tab/>
        </w:r>
        <w:r w:rsidR="00CF030F">
          <w:rPr>
            <w:noProof/>
            <w:webHidden/>
          </w:rPr>
          <w:fldChar w:fldCharType="begin"/>
        </w:r>
        <w:r w:rsidR="00CF030F">
          <w:rPr>
            <w:noProof/>
            <w:webHidden/>
          </w:rPr>
          <w:instrText xml:space="preserve"> PAGEREF _Toc523411644 \h </w:instrText>
        </w:r>
        <w:r w:rsidR="00CF030F">
          <w:rPr>
            <w:noProof/>
            <w:webHidden/>
          </w:rPr>
        </w:r>
        <w:r w:rsidR="00CF030F">
          <w:rPr>
            <w:noProof/>
            <w:webHidden/>
          </w:rPr>
          <w:fldChar w:fldCharType="separate"/>
        </w:r>
        <w:r w:rsidR="008B354A">
          <w:rPr>
            <w:noProof/>
            <w:webHidden/>
          </w:rPr>
          <w:t>34</w:t>
        </w:r>
        <w:r w:rsidR="00CF030F">
          <w:rPr>
            <w:noProof/>
            <w:webHidden/>
          </w:rPr>
          <w:fldChar w:fldCharType="end"/>
        </w:r>
      </w:hyperlink>
    </w:p>
    <w:p w14:paraId="51EFB0DF" w14:textId="77777777" w:rsidR="00CF030F" w:rsidRDefault="00954431">
      <w:pPr>
        <w:pStyle w:val="TOC2"/>
        <w:rPr>
          <w:rFonts w:eastAsiaTheme="minorEastAsia"/>
          <w:noProof/>
          <w:lang w:eastAsia="en-AU"/>
        </w:rPr>
      </w:pPr>
      <w:hyperlink w:anchor="_Toc523411645" w:history="1">
        <w:r w:rsidR="00CF030F" w:rsidRPr="005A33FA">
          <w:rPr>
            <w:rStyle w:val="Hyperlink"/>
            <w:noProof/>
          </w:rPr>
          <w:t>12.4</w:t>
        </w:r>
        <w:r w:rsidR="00CF030F">
          <w:rPr>
            <w:rFonts w:eastAsiaTheme="minorEastAsia"/>
            <w:noProof/>
            <w:lang w:eastAsia="en-AU"/>
          </w:rPr>
          <w:tab/>
        </w:r>
        <w:r w:rsidR="00CF030F" w:rsidRPr="005A33FA">
          <w:rPr>
            <w:rStyle w:val="Hyperlink"/>
            <w:noProof/>
          </w:rPr>
          <w:t>Evaluation</w:t>
        </w:r>
        <w:r w:rsidR="00CF030F">
          <w:rPr>
            <w:noProof/>
            <w:webHidden/>
          </w:rPr>
          <w:tab/>
        </w:r>
        <w:r w:rsidR="00CF030F">
          <w:rPr>
            <w:noProof/>
            <w:webHidden/>
          </w:rPr>
          <w:fldChar w:fldCharType="begin"/>
        </w:r>
        <w:r w:rsidR="00CF030F">
          <w:rPr>
            <w:noProof/>
            <w:webHidden/>
          </w:rPr>
          <w:instrText xml:space="preserve"> PAGEREF _Toc523411645 \h </w:instrText>
        </w:r>
        <w:r w:rsidR="00CF030F">
          <w:rPr>
            <w:noProof/>
            <w:webHidden/>
          </w:rPr>
        </w:r>
        <w:r w:rsidR="00CF030F">
          <w:rPr>
            <w:noProof/>
            <w:webHidden/>
          </w:rPr>
          <w:fldChar w:fldCharType="separate"/>
        </w:r>
        <w:r w:rsidR="008B354A">
          <w:rPr>
            <w:noProof/>
            <w:webHidden/>
          </w:rPr>
          <w:t>34</w:t>
        </w:r>
        <w:r w:rsidR="00CF030F">
          <w:rPr>
            <w:noProof/>
            <w:webHidden/>
          </w:rPr>
          <w:fldChar w:fldCharType="end"/>
        </w:r>
      </w:hyperlink>
    </w:p>
    <w:p w14:paraId="73613526" w14:textId="77777777" w:rsidR="00CF030F" w:rsidRDefault="00954431">
      <w:pPr>
        <w:pStyle w:val="TOC1"/>
        <w:rPr>
          <w:rFonts w:eastAsiaTheme="minorEastAsia"/>
          <w:b w:val="0"/>
          <w:noProof/>
          <w:sz w:val="22"/>
          <w:lang w:eastAsia="en-AU"/>
        </w:rPr>
      </w:pPr>
      <w:hyperlink w:anchor="_Toc523411646" w:history="1">
        <w:r w:rsidR="00CF030F" w:rsidRPr="005A33FA">
          <w:rPr>
            <w:rStyle w:val="Hyperlink"/>
            <w:noProof/>
          </w:rPr>
          <w:t>13.</w:t>
        </w:r>
        <w:r w:rsidR="00CF030F">
          <w:rPr>
            <w:rFonts w:eastAsiaTheme="minorEastAsia"/>
            <w:b w:val="0"/>
            <w:noProof/>
            <w:sz w:val="22"/>
            <w:lang w:eastAsia="en-AU"/>
          </w:rPr>
          <w:tab/>
        </w:r>
        <w:r w:rsidR="00CF030F" w:rsidRPr="005A33FA">
          <w:rPr>
            <w:rStyle w:val="Hyperlink"/>
            <w:noProof/>
          </w:rPr>
          <w:t>Process Terms</w:t>
        </w:r>
        <w:r w:rsidR="00CF030F">
          <w:rPr>
            <w:noProof/>
            <w:webHidden/>
          </w:rPr>
          <w:tab/>
        </w:r>
        <w:r w:rsidR="00CF030F">
          <w:rPr>
            <w:noProof/>
            <w:webHidden/>
          </w:rPr>
          <w:fldChar w:fldCharType="begin"/>
        </w:r>
        <w:r w:rsidR="00CF030F">
          <w:rPr>
            <w:noProof/>
            <w:webHidden/>
          </w:rPr>
          <w:instrText xml:space="preserve"> PAGEREF _Toc523411646 \h </w:instrText>
        </w:r>
        <w:r w:rsidR="00CF030F">
          <w:rPr>
            <w:noProof/>
            <w:webHidden/>
          </w:rPr>
        </w:r>
        <w:r w:rsidR="00CF030F">
          <w:rPr>
            <w:noProof/>
            <w:webHidden/>
          </w:rPr>
          <w:fldChar w:fldCharType="separate"/>
        </w:r>
        <w:r w:rsidR="008B354A">
          <w:rPr>
            <w:noProof/>
            <w:webHidden/>
          </w:rPr>
          <w:t>34</w:t>
        </w:r>
        <w:r w:rsidR="00CF030F">
          <w:rPr>
            <w:noProof/>
            <w:webHidden/>
          </w:rPr>
          <w:fldChar w:fldCharType="end"/>
        </w:r>
      </w:hyperlink>
    </w:p>
    <w:p w14:paraId="7340E059" w14:textId="77777777" w:rsidR="00CF030F" w:rsidRDefault="00954431">
      <w:pPr>
        <w:pStyle w:val="TOC2"/>
        <w:rPr>
          <w:rFonts w:eastAsiaTheme="minorEastAsia"/>
          <w:noProof/>
          <w:lang w:eastAsia="en-AU"/>
        </w:rPr>
      </w:pPr>
      <w:hyperlink w:anchor="_Toc523411647" w:history="1">
        <w:r w:rsidR="00CF030F" w:rsidRPr="005A33FA">
          <w:rPr>
            <w:rStyle w:val="Hyperlink"/>
            <w:noProof/>
          </w:rPr>
          <w:t>13.1</w:t>
        </w:r>
        <w:r w:rsidR="00CF030F">
          <w:rPr>
            <w:rFonts w:eastAsiaTheme="minorEastAsia"/>
            <w:noProof/>
            <w:lang w:eastAsia="en-AU"/>
          </w:rPr>
          <w:tab/>
        </w:r>
        <w:r w:rsidR="00CF030F" w:rsidRPr="005A33FA">
          <w:rPr>
            <w:rStyle w:val="Hyperlink"/>
            <w:noProof/>
          </w:rPr>
          <w:t>Accountability and probity</w:t>
        </w:r>
        <w:r w:rsidR="00CF030F">
          <w:rPr>
            <w:noProof/>
            <w:webHidden/>
          </w:rPr>
          <w:tab/>
        </w:r>
        <w:r w:rsidR="00CF030F">
          <w:rPr>
            <w:noProof/>
            <w:webHidden/>
          </w:rPr>
          <w:fldChar w:fldCharType="begin"/>
        </w:r>
        <w:r w:rsidR="00CF030F">
          <w:rPr>
            <w:noProof/>
            <w:webHidden/>
          </w:rPr>
          <w:instrText xml:space="preserve"> PAGEREF _Toc523411647 \h </w:instrText>
        </w:r>
        <w:r w:rsidR="00CF030F">
          <w:rPr>
            <w:noProof/>
            <w:webHidden/>
          </w:rPr>
        </w:r>
        <w:r w:rsidR="00CF030F">
          <w:rPr>
            <w:noProof/>
            <w:webHidden/>
          </w:rPr>
          <w:fldChar w:fldCharType="separate"/>
        </w:r>
        <w:r w:rsidR="008B354A">
          <w:rPr>
            <w:noProof/>
            <w:webHidden/>
          </w:rPr>
          <w:t>34</w:t>
        </w:r>
        <w:r w:rsidR="00CF030F">
          <w:rPr>
            <w:noProof/>
            <w:webHidden/>
          </w:rPr>
          <w:fldChar w:fldCharType="end"/>
        </w:r>
      </w:hyperlink>
    </w:p>
    <w:p w14:paraId="1AEBA5C1" w14:textId="77777777" w:rsidR="00CF030F" w:rsidRDefault="00954431">
      <w:pPr>
        <w:pStyle w:val="TOC2"/>
        <w:rPr>
          <w:rFonts w:eastAsiaTheme="minorEastAsia"/>
          <w:noProof/>
          <w:lang w:eastAsia="en-AU"/>
        </w:rPr>
      </w:pPr>
      <w:hyperlink w:anchor="_Toc523411648" w:history="1">
        <w:r w:rsidR="00CF030F" w:rsidRPr="005A33FA">
          <w:rPr>
            <w:rStyle w:val="Hyperlink"/>
            <w:noProof/>
          </w:rPr>
          <w:t>13.2</w:t>
        </w:r>
        <w:r w:rsidR="00CF030F">
          <w:rPr>
            <w:rFonts w:eastAsiaTheme="minorEastAsia"/>
            <w:noProof/>
            <w:lang w:eastAsia="en-AU"/>
          </w:rPr>
          <w:tab/>
        </w:r>
        <w:r w:rsidR="00CF030F" w:rsidRPr="005A33FA">
          <w:rPr>
            <w:rStyle w:val="Hyperlink"/>
            <w:noProof/>
          </w:rPr>
          <w:t>Costs</w:t>
        </w:r>
        <w:r w:rsidR="00CF030F">
          <w:rPr>
            <w:noProof/>
            <w:webHidden/>
          </w:rPr>
          <w:tab/>
        </w:r>
        <w:r w:rsidR="00CF030F">
          <w:rPr>
            <w:noProof/>
            <w:webHidden/>
          </w:rPr>
          <w:fldChar w:fldCharType="begin"/>
        </w:r>
        <w:r w:rsidR="00CF030F">
          <w:rPr>
            <w:noProof/>
            <w:webHidden/>
          </w:rPr>
          <w:instrText xml:space="preserve"> PAGEREF _Toc523411648 \h </w:instrText>
        </w:r>
        <w:r w:rsidR="00CF030F">
          <w:rPr>
            <w:noProof/>
            <w:webHidden/>
          </w:rPr>
        </w:r>
        <w:r w:rsidR="00CF030F">
          <w:rPr>
            <w:noProof/>
            <w:webHidden/>
          </w:rPr>
          <w:fldChar w:fldCharType="separate"/>
        </w:r>
        <w:r w:rsidR="008B354A">
          <w:rPr>
            <w:noProof/>
            <w:webHidden/>
          </w:rPr>
          <w:t>35</w:t>
        </w:r>
        <w:r w:rsidR="00CF030F">
          <w:rPr>
            <w:noProof/>
            <w:webHidden/>
          </w:rPr>
          <w:fldChar w:fldCharType="end"/>
        </w:r>
      </w:hyperlink>
    </w:p>
    <w:p w14:paraId="5D42947C" w14:textId="77777777" w:rsidR="00CF030F" w:rsidRDefault="00954431">
      <w:pPr>
        <w:pStyle w:val="TOC2"/>
        <w:rPr>
          <w:rFonts w:eastAsiaTheme="minorEastAsia"/>
          <w:noProof/>
          <w:lang w:eastAsia="en-AU"/>
        </w:rPr>
      </w:pPr>
      <w:hyperlink w:anchor="_Toc523411649" w:history="1">
        <w:r w:rsidR="00CF030F" w:rsidRPr="005A33FA">
          <w:rPr>
            <w:rStyle w:val="Hyperlink"/>
            <w:noProof/>
          </w:rPr>
          <w:t>13.3</w:t>
        </w:r>
        <w:r w:rsidR="00CF030F">
          <w:rPr>
            <w:rFonts w:eastAsiaTheme="minorEastAsia"/>
            <w:noProof/>
            <w:lang w:eastAsia="en-AU"/>
          </w:rPr>
          <w:tab/>
        </w:r>
        <w:r w:rsidR="00CF030F" w:rsidRPr="005A33FA">
          <w:rPr>
            <w:rStyle w:val="Hyperlink"/>
            <w:noProof/>
          </w:rPr>
          <w:t>Complaints process</w:t>
        </w:r>
        <w:r w:rsidR="00CF030F">
          <w:rPr>
            <w:noProof/>
            <w:webHidden/>
          </w:rPr>
          <w:tab/>
        </w:r>
        <w:r w:rsidR="00CF030F">
          <w:rPr>
            <w:noProof/>
            <w:webHidden/>
          </w:rPr>
          <w:fldChar w:fldCharType="begin"/>
        </w:r>
        <w:r w:rsidR="00CF030F">
          <w:rPr>
            <w:noProof/>
            <w:webHidden/>
          </w:rPr>
          <w:instrText xml:space="preserve"> PAGEREF _Toc523411649 \h </w:instrText>
        </w:r>
        <w:r w:rsidR="00CF030F">
          <w:rPr>
            <w:noProof/>
            <w:webHidden/>
          </w:rPr>
        </w:r>
        <w:r w:rsidR="00CF030F">
          <w:rPr>
            <w:noProof/>
            <w:webHidden/>
          </w:rPr>
          <w:fldChar w:fldCharType="separate"/>
        </w:r>
        <w:r w:rsidR="008B354A">
          <w:rPr>
            <w:noProof/>
            <w:webHidden/>
          </w:rPr>
          <w:t>34</w:t>
        </w:r>
        <w:r w:rsidR="00CF030F">
          <w:rPr>
            <w:noProof/>
            <w:webHidden/>
          </w:rPr>
          <w:fldChar w:fldCharType="end"/>
        </w:r>
      </w:hyperlink>
    </w:p>
    <w:p w14:paraId="5E473BCD" w14:textId="77777777" w:rsidR="00CF030F" w:rsidRDefault="00954431">
      <w:pPr>
        <w:pStyle w:val="TOC2"/>
        <w:rPr>
          <w:rFonts w:eastAsiaTheme="minorEastAsia"/>
          <w:noProof/>
          <w:lang w:eastAsia="en-AU"/>
        </w:rPr>
      </w:pPr>
      <w:hyperlink w:anchor="_Toc523411650" w:history="1">
        <w:r w:rsidR="00CF030F" w:rsidRPr="005A33FA">
          <w:rPr>
            <w:rStyle w:val="Hyperlink"/>
            <w:noProof/>
          </w:rPr>
          <w:t>13.4</w:t>
        </w:r>
        <w:r w:rsidR="00CF030F">
          <w:rPr>
            <w:rFonts w:eastAsiaTheme="minorEastAsia"/>
            <w:noProof/>
            <w:lang w:eastAsia="en-AU"/>
          </w:rPr>
          <w:tab/>
        </w:r>
        <w:r w:rsidR="00CF030F" w:rsidRPr="005A33FA">
          <w:rPr>
            <w:rStyle w:val="Hyperlink"/>
            <w:noProof/>
          </w:rPr>
          <w:t>Background checks</w:t>
        </w:r>
        <w:r w:rsidR="00CF030F">
          <w:rPr>
            <w:noProof/>
            <w:webHidden/>
          </w:rPr>
          <w:tab/>
        </w:r>
        <w:r w:rsidR="00CF030F">
          <w:rPr>
            <w:noProof/>
            <w:webHidden/>
          </w:rPr>
          <w:fldChar w:fldCharType="begin"/>
        </w:r>
        <w:r w:rsidR="00CF030F">
          <w:rPr>
            <w:noProof/>
            <w:webHidden/>
          </w:rPr>
          <w:instrText xml:space="preserve"> PAGEREF _Toc523411650 \h </w:instrText>
        </w:r>
        <w:r w:rsidR="00CF030F">
          <w:rPr>
            <w:noProof/>
            <w:webHidden/>
          </w:rPr>
        </w:r>
        <w:r w:rsidR="00CF030F">
          <w:rPr>
            <w:noProof/>
            <w:webHidden/>
          </w:rPr>
          <w:fldChar w:fldCharType="separate"/>
        </w:r>
        <w:r w:rsidR="008B354A">
          <w:rPr>
            <w:noProof/>
            <w:webHidden/>
          </w:rPr>
          <w:t>35</w:t>
        </w:r>
        <w:r w:rsidR="00CF030F">
          <w:rPr>
            <w:noProof/>
            <w:webHidden/>
          </w:rPr>
          <w:fldChar w:fldCharType="end"/>
        </w:r>
      </w:hyperlink>
    </w:p>
    <w:p w14:paraId="6DCE10BF" w14:textId="77777777" w:rsidR="00CF030F" w:rsidRDefault="00954431">
      <w:pPr>
        <w:pStyle w:val="TOC2"/>
        <w:rPr>
          <w:rFonts w:eastAsiaTheme="minorEastAsia"/>
          <w:noProof/>
          <w:lang w:eastAsia="en-AU"/>
        </w:rPr>
      </w:pPr>
      <w:hyperlink w:anchor="_Toc523411651" w:history="1">
        <w:r w:rsidR="00CF030F" w:rsidRPr="005A33FA">
          <w:rPr>
            <w:rStyle w:val="Hyperlink"/>
            <w:noProof/>
          </w:rPr>
          <w:t>13.5</w:t>
        </w:r>
        <w:r w:rsidR="00CF030F">
          <w:rPr>
            <w:rFonts w:eastAsiaTheme="minorEastAsia"/>
            <w:noProof/>
            <w:lang w:eastAsia="en-AU"/>
          </w:rPr>
          <w:tab/>
        </w:r>
        <w:r w:rsidR="00CF030F" w:rsidRPr="005A33FA">
          <w:rPr>
            <w:rStyle w:val="Hyperlink"/>
            <w:noProof/>
          </w:rPr>
          <w:t>Confidentiality</w:t>
        </w:r>
        <w:r w:rsidR="00CF030F">
          <w:rPr>
            <w:noProof/>
            <w:webHidden/>
          </w:rPr>
          <w:tab/>
        </w:r>
        <w:r w:rsidR="00CF030F">
          <w:rPr>
            <w:noProof/>
            <w:webHidden/>
          </w:rPr>
          <w:fldChar w:fldCharType="begin"/>
        </w:r>
        <w:r w:rsidR="00CF030F">
          <w:rPr>
            <w:noProof/>
            <w:webHidden/>
          </w:rPr>
          <w:instrText xml:space="preserve"> PAGEREF _Toc523411651 \h </w:instrText>
        </w:r>
        <w:r w:rsidR="00CF030F">
          <w:rPr>
            <w:noProof/>
            <w:webHidden/>
          </w:rPr>
        </w:r>
        <w:r w:rsidR="00CF030F">
          <w:rPr>
            <w:noProof/>
            <w:webHidden/>
          </w:rPr>
          <w:fldChar w:fldCharType="separate"/>
        </w:r>
        <w:r w:rsidR="008B354A">
          <w:rPr>
            <w:noProof/>
            <w:webHidden/>
          </w:rPr>
          <w:t>35</w:t>
        </w:r>
        <w:r w:rsidR="00CF030F">
          <w:rPr>
            <w:noProof/>
            <w:webHidden/>
          </w:rPr>
          <w:fldChar w:fldCharType="end"/>
        </w:r>
      </w:hyperlink>
    </w:p>
    <w:p w14:paraId="15655119" w14:textId="77777777" w:rsidR="00CF030F" w:rsidRDefault="00954431">
      <w:pPr>
        <w:pStyle w:val="TOC2"/>
        <w:rPr>
          <w:rFonts w:eastAsiaTheme="minorEastAsia"/>
          <w:noProof/>
          <w:lang w:eastAsia="en-AU"/>
        </w:rPr>
      </w:pPr>
      <w:hyperlink w:anchor="_Toc523411652" w:history="1">
        <w:r w:rsidR="00CF030F" w:rsidRPr="005A33FA">
          <w:rPr>
            <w:rStyle w:val="Hyperlink"/>
            <w:noProof/>
          </w:rPr>
          <w:t>13.6</w:t>
        </w:r>
        <w:r w:rsidR="00CF030F">
          <w:rPr>
            <w:rFonts w:eastAsiaTheme="minorEastAsia"/>
            <w:noProof/>
            <w:lang w:eastAsia="en-AU"/>
          </w:rPr>
          <w:tab/>
        </w:r>
        <w:r w:rsidR="00CF030F" w:rsidRPr="005A33FA">
          <w:rPr>
            <w:rStyle w:val="Hyperlink"/>
            <w:noProof/>
          </w:rPr>
          <w:t>Intellectual Property rights</w:t>
        </w:r>
        <w:r w:rsidR="00CF030F">
          <w:rPr>
            <w:noProof/>
            <w:webHidden/>
          </w:rPr>
          <w:tab/>
        </w:r>
        <w:r w:rsidR="00CF030F">
          <w:rPr>
            <w:noProof/>
            <w:webHidden/>
          </w:rPr>
          <w:fldChar w:fldCharType="begin"/>
        </w:r>
        <w:r w:rsidR="00CF030F">
          <w:rPr>
            <w:noProof/>
            <w:webHidden/>
          </w:rPr>
          <w:instrText xml:space="preserve"> PAGEREF _Toc523411652 \h </w:instrText>
        </w:r>
        <w:r w:rsidR="00CF030F">
          <w:rPr>
            <w:noProof/>
            <w:webHidden/>
          </w:rPr>
        </w:r>
        <w:r w:rsidR="00CF030F">
          <w:rPr>
            <w:noProof/>
            <w:webHidden/>
          </w:rPr>
          <w:fldChar w:fldCharType="separate"/>
        </w:r>
        <w:r w:rsidR="008B354A">
          <w:rPr>
            <w:noProof/>
            <w:webHidden/>
          </w:rPr>
          <w:t>36</w:t>
        </w:r>
        <w:r w:rsidR="00CF030F">
          <w:rPr>
            <w:noProof/>
            <w:webHidden/>
          </w:rPr>
          <w:fldChar w:fldCharType="end"/>
        </w:r>
      </w:hyperlink>
    </w:p>
    <w:p w14:paraId="6AE4DA29" w14:textId="77777777" w:rsidR="00CF030F" w:rsidRDefault="00954431">
      <w:pPr>
        <w:pStyle w:val="TOC2"/>
        <w:rPr>
          <w:rFonts w:eastAsiaTheme="minorEastAsia"/>
          <w:noProof/>
          <w:lang w:eastAsia="en-AU"/>
        </w:rPr>
      </w:pPr>
      <w:hyperlink w:anchor="_Toc523411653" w:history="1">
        <w:r w:rsidR="00CF030F" w:rsidRPr="005A33FA">
          <w:rPr>
            <w:rStyle w:val="Hyperlink"/>
            <w:noProof/>
          </w:rPr>
          <w:t>13.7</w:t>
        </w:r>
        <w:r w:rsidR="00CF030F">
          <w:rPr>
            <w:rFonts w:eastAsiaTheme="minorEastAsia"/>
            <w:noProof/>
            <w:lang w:eastAsia="en-AU"/>
          </w:rPr>
          <w:tab/>
        </w:r>
        <w:r w:rsidR="00CF030F" w:rsidRPr="005A33FA">
          <w:rPr>
            <w:rStyle w:val="Hyperlink"/>
            <w:noProof/>
          </w:rPr>
          <w:t>Privacy of individuals</w:t>
        </w:r>
        <w:r w:rsidR="00CF030F">
          <w:rPr>
            <w:noProof/>
            <w:webHidden/>
          </w:rPr>
          <w:tab/>
        </w:r>
        <w:r w:rsidR="00CF030F">
          <w:rPr>
            <w:noProof/>
            <w:webHidden/>
          </w:rPr>
          <w:fldChar w:fldCharType="begin"/>
        </w:r>
        <w:r w:rsidR="00CF030F">
          <w:rPr>
            <w:noProof/>
            <w:webHidden/>
          </w:rPr>
          <w:instrText xml:space="preserve"> PAGEREF _Toc523411653 \h </w:instrText>
        </w:r>
        <w:r w:rsidR="00CF030F">
          <w:rPr>
            <w:noProof/>
            <w:webHidden/>
          </w:rPr>
        </w:r>
        <w:r w:rsidR="00CF030F">
          <w:rPr>
            <w:noProof/>
            <w:webHidden/>
          </w:rPr>
          <w:fldChar w:fldCharType="separate"/>
        </w:r>
        <w:r w:rsidR="008B354A">
          <w:rPr>
            <w:noProof/>
            <w:webHidden/>
          </w:rPr>
          <w:t>37</w:t>
        </w:r>
        <w:r w:rsidR="00CF030F">
          <w:rPr>
            <w:noProof/>
            <w:webHidden/>
          </w:rPr>
          <w:fldChar w:fldCharType="end"/>
        </w:r>
      </w:hyperlink>
    </w:p>
    <w:p w14:paraId="68924BEE" w14:textId="77777777" w:rsidR="00CF030F" w:rsidRDefault="00954431">
      <w:pPr>
        <w:pStyle w:val="TOC2"/>
        <w:rPr>
          <w:rFonts w:eastAsiaTheme="minorEastAsia"/>
          <w:noProof/>
          <w:lang w:eastAsia="en-AU"/>
        </w:rPr>
      </w:pPr>
      <w:hyperlink w:anchor="_Toc523411654" w:history="1">
        <w:r w:rsidR="00CF030F" w:rsidRPr="005A33FA">
          <w:rPr>
            <w:rStyle w:val="Hyperlink"/>
            <w:noProof/>
          </w:rPr>
          <w:t>13.8</w:t>
        </w:r>
        <w:r w:rsidR="00CF030F">
          <w:rPr>
            <w:rFonts w:eastAsiaTheme="minorEastAsia"/>
            <w:noProof/>
            <w:lang w:eastAsia="en-AU"/>
          </w:rPr>
          <w:tab/>
        </w:r>
        <w:r w:rsidR="00CF030F" w:rsidRPr="005A33FA">
          <w:rPr>
            <w:rStyle w:val="Hyperlink"/>
            <w:noProof/>
          </w:rPr>
          <w:t>Personal information to be collected by the Department</w:t>
        </w:r>
        <w:r w:rsidR="00CF030F">
          <w:rPr>
            <w:noProof/>
            <w:webHidden/>
          </w:rPr>
          <w:tab/>
        </w:r>
        <w:r w:rsidR="00CF030F">
          <w:rPr>
            <w:noProof/>
            <w:webHidden/>
          </w:rPr>
          <w:fldChar w:fldCharType="begin"/>
        </w:r>
        <w:r w:rsidR="00CF030F">
          <w:rPr>
            <w:noProof/>
            <w:webHidden/>
          </w:rPr>
          <w:instrText xml:space="preserve"> PAGEREF _Toc523411654 \h </w:instrText>
        </w:r>
        <w:r w:rsidR="00CF030F">
          <w:rPr>
            <w:noProof/>
            <w:webHidden/>
          </w:rPr>
        </w:r>
        <w:r w:rsidR="00CF030F">
          <w:rPr>
            <w:noProof/>
            <w:webHidden/>
          </w:rPr>
          <w:fldChar w:fldCharType="separate"/>
        </w:r>
        <w:r w:rsidR="008B354A">
          <w:rPr>
            <w:noProof/>
            <w:webHidden/>
          </w:rPr>
          <w:t>37</w:t>
        </w:r>
        <w:r w:rsidR="00CF030F">
          <w:rPr>
            <w:noProof/>
            <w:webHidden/>
          </w:rPr>
          <w:fldChar w:fldCharType="end"/>
        </w:r>
      </w:hyperlink>
    </w:p>
    <w:p w14:paraId="4F77DF2C" w14:textId="77777777" w:rsidR="00CF030F" w:rsidRDefault="00954431">
      <w:pPr>
        <w:pStyle w:val="TOC2"/>
        <w:rPr>
          <w:rFonts w:eastAsiaTheme="minorEastAsia"/>
          <w:noProof/>
          <w:lang w:eastAsia="en-AU"/>
        </w:rPr>
      </w:pPr>
      <w:hyperlink w:anchor="_Toc523411655" w:history="1">
        <w:r w:rsidR="00CF030F" w:rsidRPr="005A33FA">
          <w:rPr>
            <w:rStyle w:val="Hyperlink"/>
            <w:noProof/>
          </w:rPr>
          <w:t>13.9</w:t>
        </w:r>
        <w:r w:rsidR="00CF030F">
          <w:rPr>
            <w:rFonts w:eastAsiaTheme="minorEastAsia"/>
            <w:noProof/>
            <w:lang w:eastAsia="en-AU"/>
          </w:rPr>
          <w:tab/>
        </w:r>
        <w:r w:rsidR="00CF030F" w:rsidRPr="005A33FA">
          <w:rPr>
            <w:rStyle w:val="Hyperlink"/>
            <w:noProof/>
          </w:rPr>
          <w:t>Purpose for which the Department will use and disclose personal information</w:t>
        </w:r>
        <w:r w:rsidR="00CF030F">
          <w:rPr>
            <w:noProof/>
            <w:webHidden/>
          </w:rPr>
          <w:tab/>
        </w:r>
        <w:r w:rsidR="00CF030F">
          <w:rPr>
            <w:noProof/>
            <w:webHidden/>
          </w:rPr>
          <w:fldChar w:fldCharType="begin"/>
        </w:r>
        <w:r w:rsidR="00CF030F">
          <w:rPr>
            <w:noProof/>
            <w:webHidden/>
          </w:rPr>
          <w:instrText xml:space="preserve"> PAGEREF _Toc523411655 \h </w:instrText>
        </w:r>
        <w:r w:rsidR="00CF030F">
          <w:rPr>
            <w:noProof/>
            <w:webHidden/>
          </w:rPr>
        </w:r>
        <w:r w:rsidR="00CF030F">
          <w:rPr>
            <w:noProof/>
            <w:webHidden/>
          </w:rPr>
          <w:fldChar w:fldCharType="separate"/>
        </w:r>
        <w:r w:rsidR="008B354A">
          <w:rPr>
            <w:noProof/>
            <w:webHidden/>
          </w:rPr>
          <w:t>37</w:t>
        </w:r>
        <w:r w:rsidR="00CF030F">
          <w:rPr>
            <w:noProof/>
            <w:webHidden/>
          </w:rPr>
          <w:fldChar w:fldCharType="end"/>
        </w:r>
      </w:hyperlink>
    </w:p>
    <w:p w14:paraId="44B98289" w14:textId="77777777" w:rsidR="00CF030F" w:rsidRDefault="00954431">
      <w:pPr>
        <w:pStyle w:val="TOC2"/>
        <w:rPr>
          <w:rFonts w:eastAsiaTheme="minorEastAsia"/>
          <w:noProof/>
          <w:lang w:eastAsia="en-AU"/>
        </w:rPr>
      </w:pPr>
      <w:hyperlink w:anchor="_Toc523411656" w:history="1">
        <w:r w:rsidR="00CF030F" w:rsidRPr="005A33FA">
          <w:rPr>
            <w:rStyle w:val="Hyperlink"/>
            <w:noProof/>
          </w:rPr>
          <w:t>13.10 Department’s contact point for privacy matters</w:t>
        </w:r>
        <w:r w:rsidR="00CF030F">
          <w:rPr>
            <w:noProof/>
            <w:webHidden/>
          </w:rPr>
          <w:tab/>
        </w:r>
        <w:r w:rsidR="00CF030F">
          <w:rPr>
            <w:noProof/>
            <w:webHidden/>
          </w:rPr>
          <w:fldChar w:fldCharType="begin"/>
        </w:r>
        <w:r w:rsidR="00CF030F">
          <w:rPr>
            <w:noProof/>
            <w:webHidden/>
          </w:rPr>
          <w:instrText xml:space="preserve"> PAGEREF _Toc523411656 \h </w:instrText>
        </w:r>
        <w:r w:rsidR="00CF030F">
          <w:rPr>
            <w:noProof/>
            <w:webHidden/>
          </w:rPr>
        </w:r>
        <w:r w:rsidR="00CF030F">
          <w:rPr>
            <w:noProof/>
            <w:webHidden/>
          </w:rPr>
          <w:fldChar w:fldCharType="separate"/>
        </w:r>
        <w:r w:rsidR="008B354A">
          <w:rPr>
            <w:noProof/>
            <w:webHidden/>
          </w:rPr>
          <w:t>38</w:t>
        </w:r>
        <w:r w:rsidR="00CF030F">
          <w:rPr>
            <w:noProof/>
            <w:webHidden/>
          </w:rPr>
          <w:fldChar w:fldCharType="end"/>
        </w:r>
      </w:hyperlink>
    </w:p>
    <w:p w14:paraId="1BD19CA9" w14:textId="77777777" w:rsidR="00CF030F" w:rsidRDefault="00954431">
      <w:pPr>
        <w:pStyle w:val="TOC2"/>
        <w:rPr>
          <w:rFonts w:eastAsiaTheme="minorEastAsia"/>
          <w:noProof/>
          <w:lang w:eastAsia="en-AU"/>
        </w:rPr>
      </w:pPr>
      <w:hyperlink w:anchor="_Toc523411657" w:history="1">
        <w:r w:rsidR="00CF030F" w:rsidRPr="005A33FA">
          <w:rPr>
            <w:rStyle w:val="Hyperlink"/>
            <w:noProof/>
          </w:rPr>
          <w:t>13.11 Exclusion of liabilities</w:t>
        </w:r>
        <w:r w:rsidR="00CF030F">
          <w:rPr>
            <w:noProof/>
            <w:webHidden/>
          </w:rPr>
          <w:tab/>
        </w:r>
        <w:r w:rsidR="00CF030F">
          <w:rPr>
            <w:noProof/>
            <w:webHidden/>
          </w:rPr>
          <w:fldChar w:fldCharType="begin"/>
        </w:r>
        <w:r w:rsidR="00CF030F">
          <w:rPr>
            <w:noProof/>
            <w:webHidden/>
          </w:rPr>
          <w:instrText xml:space="preserve"> PAGEREF _Toc523411657 \h </w:instrText>
        </w:r>
        <w:r w:rsidR="00CF030F">
          <w:rPr>
            <w:noProof/>
            <w:webHidden/>
          </w:rPr>
        </w:r>
        <w:r w:rsidR="00CF030F">
          <w:rPr>
            <w:noProof/>
            <w:webHidden/>
          </w:rPr>
          <w:fldChar w:fldCharType="separate"/>
        </w:r>
        <w:r w:rsidR="008B354A">
          <w:rPr>
            <w:noProof/>
            <w:webHidden/>
          </w:rPr>
          <w:t>38</w:t>
        </w:r>
        <w:r w:rsidR="00CF030F">
          <w:rPr>
            <w:noProof/>
            <w:webHidden/>
          </w:rPr>
          <w:fldChar w:fldCharType="end"/>
        </w:r>
      </w:hyperlink>
    </w:p>
    <w:p w14:paraId="5373BF88" w14:textId="77777777" w:rsidR="00CF030F" w:rsidRDefault="00954431">
      <w:pPr>
        <w:pStyle w:val="TOC2"/>
        <w:rPr>
          <w:rFonts w:eastAsiaTheme="minorEastAsia"/>
          <w:noProof/>
          <w:lang w:eastAsia="en-AU"/>
        </w:rPr>
      </w:pPr>
      <w:hyperlink w:anchor="_Toc523411658" w:history="1">
        <w:r w:rsidR="00CF030F" w:rsidRPr="005A33FA">
          <w:rPr>
            <w:rStyle w:val="Hyperlink"/>
            <w:noProof/>
          </w:rPr>
          <w:t>13.12 Disclaimer</w:t>
        </w:r>
        <w:r w:rsidR="00CF030F">
          <w:rPr>
            <w:noProof/>
            <w:webHidden/>
          </w:rPr>
          <w:tab/>
        </w:r>
        <w:r w:rsidR="00CF030F">
          <w:rPr>
            <w:noProof/>
            <w:webHidden/>
          </w:rPr>
          <w:fldChar w:fldCharType="begin"/>
        </w:r>
        <w:r w:rsidR="00CF030F">
          <w:rPr>
            <w:noProof/>
            <w:webHidden/>
          </w:rPr>
          <w:instrText xml:space="preserve"> PAGEREF _Toc523411658 \h </w:instrText>
        </w:r>
        <w:r w:rsidR="00CF030F">
          <w:rPr>
            <w:noProof/>
            <w:webHidden/>
          </w:rPr>
        </w:r>
        <w:r w:rsidR="00CF030F">
          <w:rPr>
            <w:noProof/>
            <w:webHidden/>
          </w:rPr>
          <w:fldChar w:fldCharType="separate"/>
        </w:r>
        <w:r w:rsidR="008B354A">
          <w:rPr>
            <w:noProof/>
            <w:webHidden/>
          </w:rPr>
          <w:t>39</w:t>
        </w:r>
        <w:r w:rsidR="00CF030F">
          <w:rPr>
            <w:noProof/>
            <w:webHidden/>
          </w:rPr>
          <w:fldChar w:fldCharType="end"/>
        </w:r>
      </w:hyperlink>
    </w:p>
    <w:p w14:paraId="1A87B0D5" w14:textId="77777777" w:rsidR="00CF030F" w:rsidRDefault="00954431">
      <w:pPr>
        <w:pStyle w:val="TOC2"/>
        <w:rPr>
          <w:rFonts w:eastAsiaTheme="minorEastAsia"/>
          <w:noProof/>
          <w:lang w:eastAsia="en-AU"/>
        </w:rPr>
      </w:pPr>
      <w:hyperlink w:anchor="_Toc523411659" w:history="1">
        <w:r w:rsidR="00CF030F" w:rsidRPr="005A33FA">
          <w:rPr>
            <w:rStyle w:val="Hyperlink"/>
            <w:noProof/>
          </w:rPr>
          <w:t>13.13 Fraud prevention</w:t>
        </w:r>
        <w:r w:rsidR="00CF030F">
          <w:rPr>
            <w:noProof/>
            <w:webHidden/>
          </w:rPr>
          <w:tab/>
        </w:r>
        <w:r w:rsidR="00CF030F">
          <w:rPr>
            <w:noProof/>
            <w:webHidden/>
          </w:rPr>
          <w:fldChar w:fldCharType="begin"/>
        </w:r>
        <w:r w:rsidR="00CF030F">
          <w:rPr>
            <w:noProof/>
            <w:webHidden/>
          </w:rPr>
          <w:instrText xml:space="preserve"> PAGEREF _Toc523411659 \h </w:instrText>
        </w:r>
        <w:r w:rsidR="00CF030F">
          <w:rPr>
            <w:noProof/>
            <w:webHidden/>
          </w:rPr>
        </w:r>
        <w:r w:rsidR="00CF030F">
          <w:rPr>
            <w:noProof/>
            <w:webHidden/>
          </w:rPr>
          <w:fldChar w:fldCharType="separate"/>
        </w:r>
        <w:r w:rsidR="008B354A">
          <w:rPr>
            <w:noProof/>
            <w:webHidden/>
          </w:rPr>
          <w:t>39</w:t>
        </w:r>
        <w:r w:rsidR="00CF030F">
          <w:rPr>
            <w:noProof/>
            <w:webHidden/>
          </w:rPr>
          <w:fldChar w:fldCharType="end"/>
        </w:r>
      </w:hyperlink>
    </w:p>
    <w:p w14:paraId="6297887C" w14:textId="77777777" w:rsidR="00CF030F" w:rsidRDefault="00954431">
      <w:pPr>
        <w:pStyle w:val="TOC1"/>
        <w:rPr>
          <w:rFonts w:eastAsiaTheme="minorEastAsia"/>
          <w:b w:val="0"/>
          <w:noProof/>
          <w:sz w:val="22"/>
          <w:lang w:eastAsia="en-AU"/>
        </w:rPr>
      </w:pPr>
      <w:hyperlink w:anchor="_Toc523411660" w:history="1">
        <w:r w:rsidR="00CF030F" w:rsidRPr="005A33FA">
          <w:rPr>
            <w:rStyle w:val="Hyperlink"/>
            <w:noProof/>
          </w:rPr>
          <w:t>14.</w:t>
        </w:r>
        <w:r w:rsidR="00CF030F">
          <w:rPr>
            <w:rFonts w:eastAsiaTheme="minorEastAsia"/>
            <w:b w:val="0"/>
            <w:noProof/>
            <w:sz w:val="22"/>
            <w:lang w:eastAsia="en-AU"/>
          </w:rPr>
          <w:tab/>
        </w:r>
        <w:r w:rsidR="00CF030F" w:rsidRPr="005A33FA">
          <w:rPr>
            <w:rStyle w:val="Hyperlink"/>
            <w:noProof/>
          </w:rPr>
          <w:t>Consultation</w:t>
        </w:r>
        <w:r w:rsidR="00CF030F">
          <w:rPr>
            <w:noProof/>
            <w:webHidden/>
          </w:rPr>
          <w:tab/>
        </w:r>
        <w:r w:rsidR="00CF030F">
          <w:rPr>
            <w:noProof/>
            <w:webHidden/>
          </w:rPr>
          <w:fldChar w:fldCharType="begin"/>
        </w:r>
        <w:r w:rsidR="00CF030F">
          <w:rPr>
            <w:noProof/>
            <w:webHidden/>
          </w:rPr>
          <w:instrText xml:space="preserve"> PAGEREF _Toc523411660 \h </w:instrText>
        </w:r>
        <w:r w:rsidR="00CF030F">
          <w:rPr>
            <w:noProof/>
            <w:webHidden/>
          </w:rPr>
        </w:r>
        <w:r w:rsidR="00CF030F">
          <w:rPr>
            <w:noProof/>
            <w:webHidden/>
          </w:rPr>
          <w:fldChar w:fldCharType="separate"/>
        </w:r>
        <w:r w:rsidR="008B354A">
          <w:rPr>
            <w:noProof/>
            <w:webHidden/>
          </w:rPr>
          <w:t>39</w:t>
        </w:r>
        <w:r w:rsidR="00CF030F">
          <w:rPr>
            <w:noProof/>
            <w:webHidden/>
          </w:rPr>
          <w:fldChar w:fldCharType="end"/>
        </w:r>
      </w:hyperlink>
    </w:p>
    <w:p w14:paraId="6A5BE439" w14:textId="77777777" w:rsidR="00CF030F" w:rsidRDefault="00954431">
      <w:pPr>
        <w:pStyle w:val="TOC1"/>
        <w:rPr>
          <w:rFonts w:eastAsiaTheme="minorEastAsia"/>
          <w:b w:val="0"/>
          <w:noProof/>
          <w:sz w:val="22"/>
          <w:lang w:eastAsia="en-AU"/>
        </w:rPr>
      </w:pPr>
      <w:hyperlink w:anchor="_Toc523411661" w:history="1">
        <w:r w:rsidR="00CF030F" w:rsidRPr="005A33FA">
          <w:rPr>
            <w:rStyle w:val="Hyperlink"/>
            <w:noProof/>
          </w:rPr>
          <w:t>15.</w:t>
        </w:r>
        <w:r w:rsidR="00CF030F">
          <w:rPr>
            <w:rFonts w:eastAsiaTheme="minorEastAsia"/>
            <w:b w:val="0"/>
            <w:noProof/>
            <w:sz w:val="22"/>
            <w:lang w:eastAsia="en-AU"/>
          </w:rPr>
          <w:tab/>
        </w:r>
        <w:r w:rsidR="00CF030F" w:rsidRPr="005A33FA">
          <w:rPr>
            <w:rStyle w:val="Hyperlink"/>
            <w:noProof/>
          </w:rPr>
          <w:t>Glossary</w:t>
        </w:r>
        <w:r w:rsidR="00CF030F">
          <w:rPr>
            <w:noProof/>
            <w:webHidden/>
          </w:rPr>
          <w:tab/>
        </w:r>
        <w:r w:rsidR="00CF030F">
          <w:rPr>
            <w:noProof/>
            <w:webHidden/>
          </w:rPr>
          <w:fldChar w:fldCharType="begin"/>
        </w:r>
        <w:r w:rsidR="00CF030F">
          <w:rPr>
            <w:noProof/>
            <w:webHidden/>
          </w:rPr>
          <w:instrText xml:space="preserve"> PAGEREF _Toc523411661 \h </w:instrText>
        </w:r>
        <w:r w:rsidR="00CF030F">
          <w:rPr>
            <w:noProof/>
            <w:webHidden/>
          </w:rPr>
        </w:r>
        <w:r w:rsidR="00CF030F">
          <w:rPr>
            <w:noProof/>
            <w:webHidden/>
          </w:rPr>
          <w:fldChar w:fldCharType="separate"/>
        </w:r>
        <w:r w:rsidR="008B354A">
          <w:rPr>
            <w:noProof/>
            <w:webHidden/>
          </w:rPr>
          <w:t>40</w:t>
        </w:r>
        <w:r w:rsidR="00CF030F">
          <w:rPr>
            <w:noProof/>
            <w:webHidden/>
          </w:rPr>
          <w:fldChar w:fldCharType="end"/>
        </w:r>
      </w:hyperlink>
    </w:p>
    <w:p w14:paraId="624F3D1D" w14:textId="77777777" w:rsidR="00CF030F" w:rsidRDefault="00954431">
      <w:pPr>
        <w:pStyle w:val="TOC2"/>
        <w:rPr>
          <w:rFonts w:eastAsiaTheme="minorEastAsia"/>
          <w:noProof/>
          <w:lang w:eastAsia="en-AU"/>
        </w:rPr>
      </w:pPr>
      <w:hyperlink w:anchor="_Toc523411662" w:history="1">
        <w:r w:rsidR="00CF030F" w:rsidRPr="005A33FA">
          <w:rPr>
            <w:rStyle w:val="Hyperlink"/>
            <w:noProof/>
          </w:rPr>
          <w:t>Appendix A: Draft Grant Agreement</w:t>
        </w:r>
        <w:r w:rsidR="00CF030F">
          <w:rPr>
            <w:noProof/>
            <w:webHidden/>
          </w:rPr>
          <w:tab/>
        </w:r>
        <w:r w:rsidR="00CF030F">
          <w:rPr>
            <w:noProof/>
            <w:webHidden/>
          </w:rPr>
          <w:fldChar w:fldCharType="begin"/>
        </w:r>
        <w:r w:rsidR="00CF030F">
          <w:rPr>
            <w:noProof/>
            <w:webHidden/>
          </w:rPr>
          <w:instrText xml:space="preserve"> PAGEREF _Toc523411662 \h </w:instrText>
        </w:r>
        <w:r w:rsidR="00CF030F">
          <w:rPr>
            <w:noProof/>
            <w:webHidden/>
          </w:rPr>
        </w:r>
        <w:r w:rsidR="00CF030F">
          <w:rPr>
            <w:noProof/>
            <w:webHidden/>
          </w:rPr>
          <w:fldChar w:fldCharType="separate"/>
        </w:r>
        <w:r w:rsidR="008B354A">
          <w:rPr>
            <w:noProof/>
            <w:webHidden/>
          </w:rPr>
          <w:t>43</w:t>
        </w:r>
        <w:r w:rsidR="00CF030F">
          <w:rPr>
            <w:noProof/>
            <w:webHidden/>
          </w:rPr>
          <w:fldChar w:fldCharType="end"/>
        </w:r>
      </w:hyperlink>
    </w:p>
    <w:p w14:paraId="14E87CA5" w14:textId="77777777" w:rsidR="00CF030F" w:rsidRDefault="00954431">
      <w:pPr>
        <w:pStyle w:val="TOC2"/>
        <w:rPr>
          <w:rFonts w:eastAsiaTheme="minorEastAsia"/>
          <w:noProof/>
          <w:lang w:eastAsia="en-AU"/>
        </w:rPr>
      </w:pPr>
      <w:hyperlink w:anchor="_Toc523411663" w:history="1">
        <w:r w:rsidR="00CF030F" w:rsidRPr="005A33FA">
          <w:rPr>
            <w:rStyle w:val="Hyperlink"/>
            <w:noProof/>
          </w:rPr>
          <w:t>Appendix B: Application Pack</w:t>
        </w:r>
        <w:r w:rsidR="00CF030F">
          <w:rPr>
            <w:noProof/>
            <w:webHidden/>
          </w:rPr>
          <w:tab/>
        </w:r>
        <w:r w:rsidR="00CF030F">
          <w:rPr>
            <w:noProof/>
            <w:webHidden/>
          </w:rPr>
          <w:fldChar w:fldCharType="begin"/>
        </w:r>
        <w:r w:rsidR="00CF030F">
          <w:rPr>
            <w:noProof/>
            <w:webHidden/>
          </w:rPr>
          <w:instrText xml:space="preserve"> PAGEREF _Toc523411663 \h </w:instrText>
        </w:r>
        <w:r w:rsidR="00CF030F">
          <w:rPr>
            <w:noProof/>
            <w:webHidden/>
          </w:rPr>
        </w:r>
        <w:r w:rsidR="00CF030F">
          <w:rPr>
            <w:noProof/>
            <w:webHidden/>
          </w:rPr>
          <w:fldChar w:fldCharType="separate"/>
        </w:r>
        <w:r w:rsidR="008B354A">
          <w:rPr>
            <w:noProof/>
            <w:webHidden/>
          </w:rPr>
          <w:t>44</w:t>
        </w:r>
        <w:r w:rsidR="00CF030F">
          <w:rPr>
            <w:noProof/>
            <w:webHidden/>
          </w:rPr>
          <w:fldChar w:fldCharType="end"/>
        </w:r>
      </w:hyperlink>
    </w:p>
    <w:p w14:paraId="36028A21" w14:textId="77777777" w:rsidR="00CF030F" w:rsidRDefault="00954431">
      <w:pPr>
        <w:pStyle w:val="TOC2"/>
        <w:rPr>
          <w:rFonts w:eastAsiaTheme="minorEastAsia"/>
          <w:noProof/>
          <w:lang w:eastAsia="en-AU"/>
        </w:rPr>
      </w:pPr>
      <w:hyperlink w:anchor="_Toc523411664" w:history="1">
        <w:r w:rsidR="00CF030F" w:rsidRPr="005A33FA">
          <w:rPr>
            <w:rStyle w:val="Hyperlink"/>
            <w:noProof/>
          </w:rPr>
          <w:t>Appendix C: State, Territory, Local Government and NBN Co contacts</w:t>
        </w:r>
        <w:r w:rsidR="00CF030F">
          <w:rPr>
            <w:noProof/>
            <w:webHidden/>
          </w:rPr>
          <w:tab/>
        </w:r>
        <w:r w:rsidR="00CF030F">
          <w:rPr>
            <w:noProof/>
            <w:webHidden/>
          </w:rPr>
          <w:fldChar w:fldCharType="begin"/>
        </w:r>
        <w:r w:rsidR="00CF030F">
          <w:rPr>
            <w:noProof/>
            <w:webHidden/>
          </w:rPr>
          <w:instrText xml:space="preserve"> PAGEREF _Toc523411664 \h </w:instrText>
        </w:r>
        <w:r w:rsidR="00CF030F">
          <w:rPr>
            <w:noProof/>
            <w:webHidden/>
          </w:rPr>
        </w:r>
        <w:r w:rsidR="00CF030F">
          <w:rPr>
            <w:noProof/>
            <w:webHidden/>
          </w:rPr>
          <w:fldChar w:fldCharType="separate"/>
        </w:r>
        <w:r w:rsidR="008B354A">
          <w:rPr>
            <w:noProof/>
            <w:webHidden/>
          </w:rPr>
          <w:t>45</w:t>
        </w:r>
        <w:r w:rsidR="00CF030F">
          <w:rPr>
            <w:noProof/>
            <w:webHidden/>
          </w:rPr>
          <w:fldChar w:fldCharType="end"/>
        </w:r>
      </w:hyperlink>
    </w:p>
    <w:p w14:paraId="03169228" w14:textId="77777777" w:rsidR="00934587" w:rsidRDefault="0020122A" w:rsidP="00CC2AA4">
      <w:r>
        <w:fldChar w:fldCharType="end"/>
      </w:r>
    </w:p>
    <w:p w14:paraId="03169229" w14:textId="77777777" w:rsidR="00BB2405" w:rsidRDefault="00BB2405">
      <w:pPr>
        <w:suppressAutoHyphens w:val="0"/>
        <w:spacing w:before="0" w:after="120" w:line="440" w:lineRule="atLeast"/>
        <w:rPr>
          <w:rFonts w:asciiTheme="majorHAnsi" w:eastAsiaTheme="majorEastAsia" w:hAnsiTheme="majorHAnsi" w:cstheme="majorBidi"/>
          <w:bCs/>
          <w:color w:val="745B00" w:themeColor="accent3" w:themeShade="80"/>
          <w:sz w:val="40"/>
          <w:szCs w:val="28"/>
        </w:rPr>
      </w:pPr>
      <w:bookmarkStart w:id="0" w:name="_Toc458420391"/>
      <w:bookmarkStart w:id="1" w:name="_Toc467773950"/>
      <w:r>
        <w:rPr>
          <w:color w:val="745B00" w:themeColor="accent3" w:themeShade="80"/>
        </w:rPr>
        <w:br w:type="page"/>
      </w:r>
    </w:p>
    <w:p w14:paraId="0316922A" w14:textId="77777777" w:rsidR="00BB2405" w:rsidRPr="00581177" w:rsidRDefault="00BB2405" w:rsidP="00BB2405">
      <w:pPr>
        <w:pStyle w:val="Heading1Numbered"/>
        <w:rPr>
          <w:color w:val="auto"/>
        </w:rPr>
      </w:pPr>
      <w:bookmarkStart w:id="2" w:name="_Toc523411608"/>
      <w:r w:rsidRPr="00BB2405">
        <w:rPr>
          <w:color w:val="auto"/>
        </w:rPr>
        <w:lastRenderedPageBreak/>
        <w:t>Mobile Black Spot Program: Round 4</w:t>
      </w:r>
      <w:r w:rsidR="00EE2B1C" w:rsidRPr="00BB2405">
        <w:rPr>
          <w:color w:val="auto"/>
        </w:rPr>
        <w:t xml:space="preserve"> Processes</w:t>
      </w:r>
      <w:bookmarkEnd w:id="0"/>
      <w:bookmarkEnd w:id="1"/>
      <w:bookmarkEnd w:id="2"/>
    </w:p>
    <w:p w14:paraId="0316922B" w14:textId="77777777" w:rsidR="00EE2B1C" w:rsidRDefault="00EE2B1C" w:rsidP="00EE2B1C">
      <w:pPr>
        <w:pBdr>
          <w:top w:val="single" w:sz="4" w:space="1" w:color="auto"/>
          <w:left w:val="single" w:sz="4" w:space="4" w:color="auto"/>
          <w:bottom w:val="single" w:sz="4" w:space="1" w:color="auto"/>
          <w:right w:val="single" w:sz="4" w:space="4" w:color="auto"/>
        </w:pBdr>
        <w:spacing w:after="0"/>
        <w:jc w:val="center"/>
        <w:rPr>
          <w:b/>
        </w:rPr>
      </w:pPr>
      <w:r w:rsidRPr="00EE2B1C">
        <w:rPr>
          <w:b/>
        </w:rPr>
        <w:t xml:space="preserve">The Program is designed to achieve </w:t>
      </w:r>
      <w:r w:rsidRPr="009D2F66">
        <w:rPr>
          <w:b/>
        </w:rPr>
        <w:t>Australian Government</w:t>
      </w:r>
      <w:r w:rsidRPr="00F40BDA">
        <w:rPr>
          <w:b/>
        </w:rPr>
        <w:t xml:space="preserve"> </w:t>
      </w:r>
      <w:r>
        <w:rPr>
          <w:b/>
        </w:rPr>
        <w:t>objectives</w:t>
      </w:r>
      <w:r w:rsidRPr="00F40BDA">
        <w:rPr>
          <w:b/>
        </w:rPr>
        <w:t xml:space="preserve"> </w:t>
      </w:r>
    </w:p>
    <w:p w14:paraId="0316922C" w14:textId="70C6186A" w:rsidR="00EE2B1C" w:rsidRPr="00BB2405" w:rsidRDefault="00EE2B1C" w:rsidP="00EE2B1C">
      <w:pPr>
        <w:pBdr>
          <w:top w:val="single" w:sz="4" w:space="1" w:color="auto"/>
          <w:left w:val="single" w:sz="4" w:space="4" w:color="auto"/>
          <w:bottom w:val="single" w:sz="4" w:space="1" w:color="auto"/>
          <w:right w:val="single" w:sz="4" w:space="4" w:color="auto"/>
        </w:pBdr>
        <w:spacing w:after="0"/>
        <w:jc w:val="center"/>
      </w:pPr>
      <w:r>
        <w:t>This grant opportunity is part of the above Grant Program which contributes to</w:t>
      </w:r>
      <w:r w:rsidR="00BB2405">
        <w:rPr>
          <w:b/>
          <w:color w:val="745B00" w:themeColor="accent3" w:themeShade="80"/>
        </w:rPr>
        <w:t xml:space="preserve"> </w:t>
      </w:r>
      <w:r w:rsidR="00BB2405" w:rsidRPr="00BB2405">
        <w:t xml:space="preserve">the </w:t>
      </w:r>
      <w:r w:rsidR="00BB2405" w:rsidRPr="004458AB">
        <w:t>Department of Communications and the Arts’</w:t>
      </w:r>
      <w:r w:rsidR="00EE0992" w:rsidRPr="004458AB">
        <w:t xml:space="preserve"> (the </w:t>
      </w:r>
      <w:r w:rsidR="00EE0992" w:rsidRPr="009D2F66">
        <w:t>Department)</w:t>
      </w:r>
      <w:r w:rsidRPr="004458AB">
        <w:t xml:space="preserve"> </w:t>
      </w:r>
      <w:r w:rsidR="004458AB" w:rsidRPr="004458AB">
        <w:t>Outcome 1.1</w:t>
      </w:r>
      <w:r w:rsidRPr="00BB2405">
        <w:t xml:space="preserve">. The </w:t>
      </w:r>
      <w:r w:rsidR="00BB2405">
        <w:t xml:space="preserve">Department </w:t>
      </w:r>
      <w:r w:rsidRPr="00BB2405">
        <w:t xml:space="preserve">works with stakeholders to plan and design the grant program according to the </w:t>
      </w:r>
      <w:r w:rsidRPr="00BB2405">
        <w:rPr>
          <w:i/>
        </w:rPr>
        <w:t>Commonwealth Grants Rules and Guidelines</w:t>
      </w:r>
      <w:r w:rsidRPr="00BB2405">
        <w:t>.</w:t>
      </w:r>
    </w:p>
    <w:p w14:paraId="0316922D"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0316922E" w14:textId="77777777" w:rsidR="00BB2405" w:rsidRPr="00BB2405" w:rsidRDefault="00BB2405" w:rsidP="00BB2405">
      <w:pPr>
        <w:pBdr>
          <w:top w:val="single" w:sz="2" w:space="1" w:color="auto"/>
          <w:left w:val="single" w:sz="2" w:space="4" w:color="auto"/>
          <w:bottom w:val="single" w:sz="2" w:space="1" w:color="auto"/>
          <w:right w:val="single" w:sz="2" w:space="4" w:color="auto"/>
        </w:pBdr>
        <w:spacing w:after="0"/>
        <w:jc w:val="center"/>
        <w:rPr>
          <w:b/>
        </w:rPr>
      </w:pPr>
      <w:r w:rsidRPr="00BB2405">
        <w:rPr>
          <w:b/>
        </w:rPr>
        <w:t>Release of Guidelines and call for Applications</w:t>
      </w:r>
    </w:p>
    <w:p w14:paraId="0316922F" w14:textId="7BC42AAE" w:rsidR="00BB2405" w:rsidRPr="004458AB" w:rsidRDefault="00BB2405" w:rsidP="00BB2405">
      <w:pPr>
        <w:pBdr>
          <w:top w:val="single" w:sz="2" w:space="1" w:color="auto"/>
          <w:left w:val="single" w:sz="2" w:space="4" w:color="auto"/>
          <w:bottom w:val="single" w:sz="2" w:space="1" w:color="auto"/>
          <w:right w:val="single" w:sz="2" w:space="4" w:color="auto"/>
        </w:pBdr>
        <w:spacing w:after="0"/>
        <w:jc w:val="center"/>
        <w:rPr>
          <w:i/>
        </w:rPr>
      </w:pPr>
      <w:r w:rsidRPr="004458AB">
        <w:rPr>
          <w:i/>
        </w:rPr>
        <w:t xml:space="preserve">Timing: </w:t>
      </w:r>
      <w:r w:rsidR="008A5CDB" w:rsidRPr="008A5CDB">
        <w:rPr>
          <w:i/>
        </w:rPr>
        <w:t>1</w:t>
      </w:r>
      <w:r w:rsidR="00F010A9">
        <w:rPr>
          <w:i/>
        </w:rPr>
        <w:t>5</w:t>
      </w:r>
      <w:r w:rsidRPr="008A5CDB">
        <w:rPr>
          <w:i/>
        </w:rPr>
        <w:t xml:space="preserve"> </w:t>
      </w:r>
      <w:r w:rsidR="008A5CDB" w:rsidRPr="008A5CDB">
        <w:rPr>
          <w:i/>
        </w:rPr>
        <w:t>October</w:t>
      </w:r>
      <w:r w:rsidR="00AA03F4" w:rsidRPr="008A5CDB">
        <w:rPr>
          <w:i/>
        </w:rPr>
        <w:t xml:space="preserve"> </w:t>
      </w:r>
      <w:r w:rsidRPr="008A5CDB">
        <w:rPr>
          <w:i/>
        </w:rPr>
        <w:t>2018</w:t>
      </w:r>
    </w:p>
    <w:p w14:paraId="03169230" w14:textId="77777777" w:rsidR="00EE2B1C" w:rsidRDefault="00BB2405" w:rsidP="00BB2405">
      <w:pPr>
        <w:pBdr>
          <w:top w:val="single" w:sz="2" w:space="1" w:color="auto"/>
          <w:left w:val="single" w:sz="2" w:space="4" w:color="auto"/>
          <w:bottom w:val="single" w:sz="2" w:space="1" w:color="auto"/>
          <w:right w:val="single" w:sz="2" w:space="4" w:color="auto"/>
        </w:pBdr>
        <w:spacing w:after="0"/>
        <w:jc w:val="center"/>
      </w:pPr>
      <w:r>
        <w:t>At the same time as releasing these Guidelines, the Government will issue a call for applications from eligible applicants for funding under Round 4 of the Program.</w:t>
      </w:r>
    </w:p>
    <w:p w14:paraId="03169231"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03169232" w14:textId="77777777" w:rsidR="00EE2B1C" w:rsidRDefault="00224D7B" w:rsidP="00EE2B1C">
      <w:pPr>
        <w:pBdr>
          <w:top w:val="single" w:sz="2" w:space="1" w:color="auto"/>
          <w:left w:val="single" w:sz="2" w:space="4" w:color="auto"/>
          <w:bottom w:val="single" w:sz="2" w:space="1" w:color="auto"/>
          <w:right w:val="single" w:sz="2" w:space="4" w:color="auto"/>
        </w:pBdr>
        <w:spacing w:after="0"/>
        <w:jc w:val="center"/>
        <w:rPr>
          <w:b/>
        </w:rPr>
      </w:pPr>
      <w:r>
        <w:rPr>
          <w:b/>
        </w:rPr>
        <w:t>Applicant registration</w:t>
      </w:r>
    </w:p>
    <w:p w14:paraId="03169233" w14:textId="2FA64468" w:rsidR="00224D7B" w:rsidRPr="004458AB" w:rsidRDefault="00224D7B" w:rsidP="00EE2B1C">
      <w:pPr>
        <w:pBdr>
          <w:top w:val="single" w:sz="2" w:space="1" w:color="auto"/>
          <w:left w:val="single" w:sz="2" w:space="4" w:color="auto"/>
          <w:bottom w:val="single" w:sz="2" w:space="1" w:color="auto"/>
          <w:right w:val="single" w:sz="2" w:space="4" w:color="auto"/>
        </w:pBdr>
        <w:spacing w:after="0"/>
        <w:jc w:val="center"/>
        <w:rPr>
          <w:i/>
        </w:rPr>
      </w:pPr>
      <w:r w:rsidRPr="004458AB">
        <w:rPr>
          <w:i/>
        </w:rPr>
        <w:t xml:space="preserve">Timing: Registration due by </w:t>
      </w:r>
      <w:r w:rsidR="00F010A9">
        <w:rPr>
          <w:i/>
        </w:rPr>
        <w:t>22</w:t>
      </w:r>
      <w:r w:rsidRPr="008A5CDB">
        <w:rPr>
          <w:i/>
        </w:rPr>
        <w:t xml:space="preserve"> </w:t>
      </w:r>
      <w:r w:rsidR="008A5CDB" w:rsidRPr="008A5CDB">
        <w:rPr>
          <w:i/>
        </w:rPr>
        <w:t>Octo</w:t>
      </w:r>
      <w:r w:rsidRPr="008A5CDB">
        <w:rPr>
          <w:i/>
        </w:rPr>
        <w:t>ber 2018</w:t>
      </w:r>
      <w:r w:rsidRPr="004458AB">
        <w:rPr>
          <w:i/>
        </w:rPr>
        <w:t xml:space="preserve"> (1 week after </w:t>
      </w:r>
      <w:r w:rsidR="00851ACB">
        <w:rPr>
          <w:i/>
        </w:rPr>
        <w:t>opening</w:t>
      </w:r>
      <w:r w:rsidRPr="004458AB">
        <w:rPr>
          <w:i/>
        </w:rPr>
        <w:t>)</w:t>
      </w:r>
    </w:p>
    <w:p w14:paraId="03169234" w14:textId="6F900CAE" w:rsidR="00224D7B" w:rsidRPr="00224D7B" w:rsidRDefault="00224D7B" w:rsidP="00224D7B">
      <w:pPr>
        <w:pBdr>
          <w:top w:val="single" w:sz="2" w:space="1" w:color="auto"/>
          <w:left w:val="single" w:sz="2" w:space="4" w:color="auto"/>
          <w:bottom w:val="single" w:sz="2" w:space="1" w:color="auto"/>
          <w:right w:val="single" w:sz="2" w:space="4" w:color="auto"/>
        </w:pBdr>
        <w:spacing w:after="0"/>
        <w:jc w:val="center"/>
      </w:pPr>
      <w:r w:rsidRPr="00224D7B">
        <w:t>Organisations wishing to apply for funding under Round 4 must contact the Department to register as a potential applicant within one week following release of these Guidelines in order to obtain access to the application documentation. Eligible organisations who registered under previous rounds and who are interested in participating in this round are required to</w:t>
      </w:r>
      <w:r w:rsidR="006E4306">
        <w:t xml:space="preserve"> register for Round 4 (p</w:t>
      </w:r>
      <w:r w:rsidRPr="00224D7B">
        <w:t>revious registrations will not be valid for the purposes of this round).</w:t>
      </w:r>
    </w:p>
    <w:p w14:paraId="03169235" w14:textId="3CDE93A4" w:rsidR="00224D7B" w:rsidRPr="00224D7B" w:rsidRDefault="00224D7B" w:rsidP="00224D7B">
      <w:pPr>
        <w:pBdr>
          <w:top w:val="single" w:sz="2" w:space="1" w:color="auto"/>
          <w:left w:val="single" w:sz="2" w:space="4" w:color="auto"/>
          <w:bottom w:val="single" w:sz="2" w:space="1" w:color="auto"/>
          <w:right w:val="single" w:sz="2" w:space="4" w:color="auto"/>
        </w:pBdr>
        <w:spacing w:after="0"/>
        <w:jc w:val="center"/>
      </w:pPr>
      <w:r w:rsidRPr="00224D7B">
        <w:t xml:space="preserve">Organisations can register their interest with the Department by emailing </w:t>
      </w:r>
      <w:hyperlink r:id="rId13" w:history="1">
        <w:r w:rsidRPr="001F1E61">
          <w:rPr>
            <w:rStyle w:val="Hyperlink"/>
            <w:rFonts w:cstheme="minorBidi"/>
            <w:b/>
          </w:rPr>
          <w:t>mobilecoverage@communications.gov.au</w:t>
        </w:r>
      </w:hyperlink>
      <w:r w:rsidR="001F1E61">
        <w:rPr>
          <w:b/>
        </w:rPr>
        <w:t xml:space="preserve"> </w:t>
      </w:r>
      <w:r w:rsidRPr="00224D7B">
        <w:t>and providing the following information:</w:t>
      </w:r>
    </w:p>
    <w:p w14:paraId="03169236" w14:textId="500DCB7B" w:rsidR="00224D7B" w:rsidRPr="00224D7B" w:rsidRDefault="00F4512E" w:rsidP="00C845AF">
      <w:pPr>
        <w:pBdr>
          <w:top w:val="single" w:sz="2" w:space="1" w:color="auto"/>
          <w:left w:val="single" w:sz="2" w:space="4" w:color="auto"/>
          <w:bottom w:val="single" w:sz="2" w:space="1" w:color="auto"/>
          <w:right w:val="single" w:sz="2" w:space="4" w:color="auto"/>
        </w:pBdr>
        <w:spacing w:after="0"/>
        <w:ind w:firstLine="720"/>
      </w:pPr>
      <w:r>
        <w:t xml:space="preserve">               </w:t>
      </w:r>
      <w:r w:rsidR="00224D7B" w:rsidRPr="00224D7B">
        <w:t>(a)</w:t>
      </w:r>
      <w:r w:rsidR="00224D7B" w:rsidRPr="00224D7B">
        <w:tab/>
      </w:r>
      <w:r>
        <w:tab/>
      </w:r>
      <w:r w:rsidR="00224D7B" w:rsidRPr="00224D7B">
        <w:t>Organisation name;</w:t>
      </w:r>
    </w:p>
    <w:p w14:paraId="03169237" w14:textId="72FF3371" w:rsidR="00224D7B" w:rsidRPr="00224D7B" w:rsidRDefault="00F4512E" w:rsidP="00C845AF">
      <w:pPr>
        <w:pBdr>
          <w:top w:val="single" w:sz="2" w:space="1" w:color="auto"/>
          <w:left w:val="single" w:sz="2" w:space="4" w:color="auto"/>
          <w:bottom w:val="single" w:sz="2" w:space="1" w:color="auto"/>
          <w:right w:val="single" w:sz="2" w:space="4" w:color="auto"/>
        </w:pBdr>
        <w:spacing w:after="0"/>
        <w:ind w:firstLine="720"/>
      </w:pPr>
      <w:r>
        <w:t xml:space="preserve">               </w:t>
      </w:r>
      <w:r w:rsidR="00224D7B" w:rsidRPr="00224D7B">
        <w:t>(b)</w:t>
      </w:r>
      <w:r w:rsidR="00224D7B" w:rsidRPr="00224D7B">
        <w:tab/>
      </w:r>
      <w:r>
        <w:tab/>
      </w:r>
      <w:r w:rsidR="00224D7B" w:rsidRPr="00224D7B">
        <w:t>Contact name;</w:t>
      </w:r>
    </w:p>
    <w:p w14:paraId="03169238" w14:textId="02090EBB" w:rsidR="00224D7B" w:rsidRPr="00224D7B" w:rsidRDefault="00F4512E" w:rsidP="00C845AF">
      <w:pPr>
        <w:pBdr>
          <w:top w:val="single" w:sz="2" w:space="1" w:color="auto"/>
          <w:left w:val="single" w:sz="2" w:space="4" w:color="auto"/>
          <w:bottom w:val="single" w:sz="2" w:space="1" w:color="auto"/>
          <w:right w:val="single" w:sz="2" w:space="4" w:color="auto"/>
        </w:pBdr>
        <w:spacing w:after="0"/>
        <w:ind w:firstLine="720"/>
      </w:pPr>
      <w:r>
        <w:t xml:space="preserve">               </w:t>
      </w:r>
      <w:r w:rsidR="00224D7B" w:rsidRPr="00224D7B">
        <w:t>(c)</w:t>
      </w:r>
      <w:r w:rsidR="00224D7B" w:rsidRPr="00224D7B">
        <w:tab/>
      </w:r>
      <w:r>
        <w:tab/>
      </w:r>
      <w:r w:rsidR="00224D7B" w:rsidRPr="00224D7B">
        <w:t>Contact phone number; and</w:t>
      </w:r>
    </w:p>
    <w:p w14:paraId="03169239" w14:textId="6B8E9A51" w:rsidR="00224D7B" w:rsidRPr="00224D7B" w:rsidRDefault="00F4512E" w:rsidP="00C845AF">
      <w:pPr>
        <w:pBdr>
          <w:top w:val="single" w:sz="2" w:space="1" w:color="auto"/>
          <w:left w:val="single" w:sz="2" w:space="4" w:color="auto"/>
          <w:bottom w:val="single" w:sz="2" w:space="1" w:color="auto"/>
          <w:right w:val="single" w:sz="2" w:space="4" w:color="auto"/>
        </w:pBdr>
        <w:spacing w:after="0"/>
        <w:ind w:firstLine="720"/>
      </w:pPr>
      <w:r>
        <w:t xml:space="preserve">               </w:t>
      </w:r>
      <w:r w:rsidR="00224D7B" w:rsidRPr="00224D7B">
        <w:t>(d)</w:t>
      </w:r>
      <w:r w:rsidR="00224D7B" w:rsidRPr="00224D7B">
        <w:tab/>
      </w:r>
      <w:r>
        <w:tab/>
      </w:r>
      <w:r w:rsidR="00224D7B" w:rsidRPr="00224D7B">
        <w:t>Contact email address.</w:t>
      </w:r>
    </w:p>
    <w:p w14:paraId="0316923A" w14:textId="77777777" w:rsidR="00224D7B" w:rsidRPr="00224D7B" w:rsidRDefault="00224D7B" w:rsidP="00224D7B">
      <w:pPr>
        <w:pBdr>
          <w:top w:val="single" w:sz="2" w:space="1" w:color="auto"/>
          <w:left w:val="single" w:sz="2" w:space="4" w:color="auto"/>
          <w:bottom w:val="single" w:sz="2" w:space="1" w:color="auto"/>
          <w:right w:val="single" w:sz="2" w:space="4" w:color="auto"/>
        </w:pBdr>
        <w:spacing w:after="0"/>
        <w:jc w:val="center"/>
      </w:pPr>
      <w:r w:rsidRPr="00224D7B">
        <w:t>The Department will contact organisations that register their interest as potential applicants.</w:t>
      </w:r>
    </w:p>
    <w:p w14:paraId="0316923B" w14:textId="44C2BBB1" w:rsidR="00224D7B" w:rsidRPr="00224D7B" w:rsidRDefault="00224D7B" w:rsidP="00224D7B">
      <w:pPr>
        <w:pBdr>
          <w:top w:val="single" w:sz="2" w:space="1" w:color="auto"/>
          <w:left w:val="single" w:sz="2" w:space="4" w:color="auto"/>
          <w:bottom w:val="single" w:sz="2" w:space="1" w:color="auto"/>
          <w:right w:val="single" w:sz="2" w:space="4" w:color="auto"/>
        </w:pBdr>
        <w:spacing w:after="0"/>
        <w:jc w:val="center"/>
      </w:pPr>
      <w:r w:rsidRPr="00224D7B">
        <w:t xml:space="preserve">Following registration, the Department may contact registered organisations during the application period to negotiate and agree Terms of the draft Grant Agreement, in addition to the Negotiation of Grant Agreements period </w:t>
      </w:r>
      <w:r w:rsidRPr="00F0749F">
        <w:t xml:space="preserve">at </w:t>
      </w:r>
      <w:r w:rsidR="006134EA" w:rsidRPr="00846820">
        <w:t>section 7, stage 6</w:t>
      </w:r>
      <w:r w:rsidRPr="00846820">
        <w:t>.</w:t>
      </w:r>
    </w:p>
    <w:p w14:paraId="0316923C"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0316923D" w14:textId="77777777" w:rsidR="00EE2B1C" w:rsidRDefault="00C16283" w:rsidP="00EE2B1C">
      <w:pPr>
        <w:pBdr>
          <w:top w:val="single" w:sz="2" w:space="1" w:color="auto"/>
          <w:left w:val="single" w:sz="2" w:space="4" w:color="auto"/>
          <w:bottom w:val="single" w:sz="2" w:space="1" w:color="auto"/>
          <w:right w:val="single" w:sz="2" w:space="4" w:color="auto"/>
        </w:pBdr>
        <w:spacing w:after="0"/>
        <w:jc w:val="center"/>
        <w:rPr>
          <w:b/>
        </w:rPr>
      </w:pPr>
      <w:r>
        <w:rPr>
          <w:b/>
        </w:rPr>
        <w:lastRenderedPageBreak/>
        <w:t>Pre-application documentation</w:t>
      </w:r>
    </w:p>
    <w:p w14:paraId="0316923E" w14:textId="189B128A" w:rsidR="00C16283" w:rsidRPr="004458AB" w:rsidRDefault="00C16283" w:rsidP="00EE2B1C">
      <w:pPr>
        <w:pBdr>
          <w:top w:val="single" w:sz="2" w:space="1" w:color="auto"/>
          <w:left w:val="single" w:sz="2" w:space="4" w:color="auto"/>
          <w:bottom w:val="single" w:sz="2" w:space="1" w:color="auto"/>
          <w:right w:val="single" w:sz="2" w:space="4" w:color="auto"/>
        </w:pBdr>
        <w:spacing w:after="0"/>
        <w:jc w:val="center"/>
        <w:rPr>
          <w:bCs/>
          <w:i/>
        </w:rPr>
      </w:pPr>
      <w:r w:rsidRPr="004458AB">
        <w:rPr>
          <w:i/>
        </w:rPr>
        <w:t xml:space="preserve">Timing: Pre-application documentation due by </w:t>
      </w:r>
      <w:r w:rsidR="008A5CDB" w:rsidRPr="008A5CDB">
        <w:rPr>
          <w:i/>
        </w:rPr>
        <w:t>2</w:t>
      </w:r>
      <w:r w:rsidR="00F010A9">
        <w:rPr>
          <w:i/>
        </w:rPr>
        <w:t>9</w:t>
      </w:r>
      <w:r w:rsidRPr="008A5CDB">
        <w:rPr>
          <w:i/>
        </w:rPr>
        <w:t xml:space="preserve"> October 2018 (</w:t>
      </w:r>
      <w:r w:rsidRPr="004458AB">
        <w:rPr>
          <w:i/>
        </w:rPr>
        <w:t xml:space="preserve">2 weeks after </w:t>
      </w:r>
      <w:r w:rsidR="00851ACB">
        <w:rPr>
          <w:i/>
        </w:rPr>
        <w:t>opening</w:t>
      </w:r>
      <w:r w:rsidRPr="004458AB">
        <w:rPr>
          <w:i/>
        </w:rPr>
        <w:t>)</w:t>
      </w:r>
    </w:p>
    <w:p w14:paraId="0316923F" w14:textId="77777777" w:rsidR="00C16283" w:rsidRDefault="00C16283" w:rsidP="00C16283">
      <w:pPr>
        <w:pBdr>
          <w:top w:val="single" w:sz="2" w:space="1" w:color="auto"/>
          <w:left w:val="single" w:sz="2" w:space="4" w:color="auto"/>
          <w:bottom w:val="single" w:sz="2" w:space="1" w:color="auto"/>
          <w:right w:val="single" w:sz="2" w:space="4" w:color="auto"/>
        </w:pBdr>
        <w:spacing w:after="0"/>
        <w:jc w:val="center"/>
      </w:pPr>
      <w:r>
        <w:t>The application documentation outlines the requirements on potential applicants prior to submitting an application for funding.</w:t>
      </w:r>
    </w:p>
    <w:p w14:paraId="03169240" w14:textId="77777777" w:rsidR="00EE2B1C" w:rsidRDefault="00C16283" w:rsidP="00C16283">
      <w:pPr>
        <w:pBdr>
          <w:top w:val="single" w:sz="2" w:space="1" w:color="auto"/>
          <w:left w:val="single" w:sz="2" w:space="4" w:color="auto"/>
          <w:bottom w:val="single" w:sz="2" w:space="1" w:color="auto"/>
          <w:right w:val="single" w:sz="2" w:space="4" w:color="auto"/>
        </w:pBdr>
        <w:spacing w:after="0"/>
        <w:jc w:val="center"/>
      </w:pPr>
      <w:r>
        <w:t xml:space="preserve">Each applicant must submit their </w:t>
      </w:r>
      <w:proofErr w:type="spellStart"/>
      <w:r>
        <w:t>publically</w:t>
      </w:r>
      <w:proofErr w:type="spellEnd"/>
      <w:r>
        <w:t xml:space="preserve"> available coverage maps (incorporating, where relevant, all base stations funded under all rounds of the Program including rounds 1, 2 and the Priority Locations round, regardless of the stage of construction) ahead of submitting their application for funding.</w:t>
      </w:r>
    </w:p>
    <w:p w14:paraId="03169241"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03169242" w14:textId="77777777" w:rsidR="00EE2B1C" w:rsidRDefault="00C16283" w:rsidP="00EE2B1C">
      <w:pPr>
        <w:pBdr>
          <w:top w:val="single" w:sz="2" w:space="1" w:color="auto"/>
          <w:left w:val="single" w:sz="2" w:space="4" w:color="auto"/>
          <w:bottom w:val="single" w:sz="2" w:space="1" w:color="auto"/>
          <w:right w:val="single" w:sz="2" w:space="4" w:color="auto"/>
        </w:pBdr>
        <w:spacing w:after="0"/>
        <w:jc w:val="center"/>
        <w:rPr>
          <w:b/>
        </w:rPr>
      </w:pPr>
      <w:r>
        <w:rPr>
          <w:b/>
        </w:rPr>
        <w:t>Preparing and submitting applications</w:t>
      </w:r>
    </w:p>
    <w:p w14:paraId="03169243" w14:textId="1022F9EC" w:rsidR="00C16283" w:rsidRPr="004458AB" w:rsidRDefault="00C16283" w:rsidP="00EE2B1C">
      <w:pPr>
        <w:pBdr>
          <w:top w:val="single" w:sz="2" w:space="1" w:color="auto"/>
          <w:left w:val="single" w:sz="2" w:space="4" w:color="auto"/>
          <w:bottom w:val="single" w:sz="2" w:space="1" w:color="auto"/>
          <w:right w:val="single" w:sz="2" w:space="4" w:color="auto"/>
        </w:pBdr>
        <w:spacing w:after="0"/>
        <w:jc w:val="center"/>
        <w:rPr>
          <w:i/>
        </w:rPr>
      </w:pPr>
      <w:r w:rsidRPr="004458AB">
        <w:rPr>
          <w:i/>
        </w:rPr>
        <w:t xml:space="preserve">Timing: Applications due </w:t>
      </w:r>
      <w:r w:rsidRPr="008A5CDB">
        <w:rPr>
          <w:i/>
        </w:rPr>
        <w:t xml:space="preserve">by </w:t>
      </w:r>
      <w:r w:rsidR="00F010A9">
        <w:rPr>
          <w:i/>
        </w:rPr>
        <w:t>10</w:t>
      </w:r>
      <w:r w:rsidRPr="008A5CDB">
        <w:rPr>
          <w:i/>
        </w:rPr>
        <w:t xml:space="preserve"> </w:t>
      </w:r>
      <w:r w:rsidR="008A5CDB" w:rsidRPr="008A5CDB">
        <w:rPr>
          <w:i/>
        </w:rPr>
        <w:t>Dec</w:t>
      </w:r>
      <w:r w:rsidR="00AA03F4" w:rsidRPr="008A5CDB">
        <w:rPr>
          <w:i/>
        </w:rPr>
        <w:t xml:space="preserve">ember </w:t>
      </w:r>
      <w:r w:rsidRPr="008A5CDB">
        <w:rPr>
          <w:i/>
        </w:rPr>
        <w:t>2018 (</w:t>
      </w:r>
      <w:r w:rsidR="00AA03F4">
        <w:rPr>
          <w:i/>
        </w:rPr>
        <w:t>8</w:t>
      </w:r>
      <w:r w:rsidRPr="004458AB">
        <w:rPr>
          <w:i/>
        </w:rPr>
        <w:t xml:space="preserve"> weeks after </w:t>
      </w:r>
      <w:r w:rsidR="00851ACB">
        <w:rPr>
          <w:i/>
        </w:rPr>
        <w:t>opening</w:t>
      </w:r>
      <w:r w:rsidRPr="004458AB">
        <w:rPr>
          <w:i/>
        </w:rPr>
        <w:t>)</w:t>
      </w:r>
    </w:p>
    <w:p w14:paraId="03169244" w14:textId="77777777" w:rsidR="00C16283" w:rsidRPr="00C16283" w:rsidRDefault="00C16283" w:rsidP="00C16283">
      <w:pPr>
        <w:pBdr>
          <w:top w:val="single" w:sz="2" w:space="1" w:color="auto"/>
          <w:left w:val="single" w:sz="2" w:space="4" w:color="auto"/>
          <w:bottom w:val="single" w:sz="2" w:space="1" w:color="auto"/>
          <w:right w:val="single" w:sz="2" w:space="4" w:color="auto"/>
        </w:pBdr>
        <w:spacing w:after="0"/>
        <w:jc w:val="center"/>
      </w:pPr>
      <w:r w:rsidRPr="00C16283">
        <w:t>The application documentation describes in detail the Program requirements, and outlines the terms and conditions under which Commonwealth funding is to be made available.</w:t>
      </w:r>
    </w:p>
    <w:p w14:paraId="03169245" w14:textId="66728186" w:rsidR="00C16283" w:rsidRPr="00C16283" w:rsidRDefault="00C16283" w:rsidP="00C16283">
      <w:pPr>
        <w:pBdr>
          <w:top w:val="single" w:sz="2" w:space="1" w:color="auto"/>
          <w:left w:val="single" w:sz="2" w:space="4" w:color="auto"/>
          <w:bottom w:val="single" w:sz="2" w:space="1" w:color="auto"/>
          <w:right w:val="single" w:sz="2" w:space="4" w:color="auto"/>
        </w:pBdr>
        <w:spacing w:after="0"/>
        <w:jc w:val="center"/>
      </w:pPr>
      <w:r w:rsidRPr="00C16283">
        <w:t xml:space="preserve">Each applicant must complete the Assessment Tool (AT) for each Proposed Solution for which it is seeking funding, specifying in each case the information set out </w:t>
      </w:r>
      <w:r w:rsidRPr="00F0749F">
        <w:t xml:space="preserve">in </w:t>
      </w:r>
      <w:r w:rsidR="006134EA" w:rsidRPr="00846820">
        <w:t>section 7.3.2</w:t>
      </w:r>
      <w:r w:rsidRPr="00F0749F">
        <w:t>.</w:t>
      </w:r>
    </w:p>
    <w:p w14:paraId="03169246" w14:textId="33F25F4A" w:rsidR="00C16283" w:rsidRPr="00C16283" w:rsidRDefault="00C16283" w:rsidP="00C16283">
      <w:pPr>
        <w:pBdr>
          <w:top w:val="single" w:sz="2" w:space="1" w:color="auto"/>
          <w:left w:val="single" w:sz="2" w:space="4" w:color="auto"/>
          <w:bottom w:val="single" w:sz="2" w:space="1" w:color="auto"/>
          <w:right w:val="single" w:sz="2" w:space="4" w:color="auto"/>
        </w:pBdr>
        <w:spacing w:after="0"/>
        <w:jc w:val="center"/>
      </w:pPr>
      <w:r w:rsidRPr="00C16283">
        <w:t xml:space="preserve">The completed AT must include data on the level of coverage that each Proposed Solution will achieve in terms of area. For Macro and Small Cell solutions mapping data must be provided to indicate the area to be covered by handheld coverage meeting the required service standards set </w:t>
      </w:r>
      <w:r w:rsidRPr="00F0749F">
        <w:t xml:space="preserve">out at </w:t>
      </w:r>
      <w:r w:rsidR="006134EA" w:rsidRPr="00846820">
        <w:t>section 3.2.3</w:t>
      </w:r>
      <w:r w:rsidRPr="00F0749F">
        <w:t>. For reporting</w:t>
      </w:r>
      <w:r w:rsidRPr="00C16283">
        <w:t xml:space="preserve"> and value for money assessment purposes the application should also indicate the area of external antenna coverage to be provided, the length of additional coverage of major transport routes (via external antenna coverage) and additional premises covered (via handheld coverage), </w:t>
      </w:r>
      <w:r w:rsidRPr="00F0749F">
        <w:t xml:space="preserve">as per </w:t>
      </w:r>
      <w:r w:rsidRPr="00846820">
        <w:t xml:space="preserve">section </w:t>
      </w:r>
      <w:r w:rsidR="006134EA" w:rsidRPr="00846820">
        <w:t>3.2.3</w:t>
      </w:r>
    </w:p>
    <w:p w14:paraId="03169247" w14:textId="27F8BF50" w:rsidR="00C16283" w:rsidRPr="00C16283" w:rsidRDefault="00C16283" w:rsidP="00C16283">
      <w:pPr>
        <w:pBdr>
          <w:top w:val="single" w:sz="2" w:space="1" w:color="auto"/>
          <w:left w:val="single" w:sz="2" w:space="4" w:color="auto"/>
          <w:bottom w:val="single" w:sz="2" w:space="1" w:color="auto"/>
          <w:right w:val="single" w:sz="2" w:space="4" w:color="auto"/>
        </w:pBdr>
        <w:spacing w:after="0"/>
        <w:jc w:val="center"/>
      </w:pPr>
      <w:r w:rsidRPr="00C16283">
        <w:t>Applicants may s</w:t>
      </w:r>
      <w:r w:rsidR="00A63517">
        <w:t xml:space="preserve">eek all or part of </w:t>
      </w:r>
      <w:r w:rsidR="009110EE">
        <w:t xml:space="preserve">up to </w:t>
      </w:r>
      <w:r w:rsidR="00A63517" w:rsidRPr="00EF0E2F">
        <w:t>$2</w:t>
      </w:r>
      <w:r w:rsidR="009110EE">
        <w:t>5</w:t>
      </w:r>
      <w:r w:rsidRPr="00EF0E2F">
        <w:t xml:space="preserve"> million (GST exclusive</w:t>
      </w:r>
      <w:r w:rsidRPr="00C16283">
        <w:t>) funding available through the Program.</w:t>
      </w:r>
    </w:p>
    <w:p w14:paraId="03169248"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03169249" w14:textId="77777777" w:rsidR="00EE2B1C" w:rsidRDefault="00C16283" w:rsidP="00EE2B1C">
      <w:pPr>
        <w:pBdr>
          <w:top w:val="single" w:sz="2" w:space="1" w:color="auto"/>
          <w:left w:val="single" w:sz="2" w:space="4" w:color="auto"/>
          <w:bottom w:val="single" w:sz="2" w:space="1" w:color="auto"/>
          <w:right w:val="single" w:sz="2" w:space="4" w:color="auto"/>
        </w:pBdr>
        <w:spacing w:after="0"/>
        <w:jc w:val="center"/>
        <w:rPr>
          <w:b/>
        </w:rPr>
      </w:pPr>
      <w:r>
        <w:rPr>
          <w:b/>
        </w:rPr>
        <w:t>Assessment of Applications</w:t>
      </w:r>
    </w:p>
    <w:p w14:paraId="0316924A" w14:textId="72561865" w:rsidR="00C16283" w:rsidRPr="004458AB" w:rsidRDefault="00C16283" w:rsidP="00EE2B1C">
      <w:pPr>
        <w:pBdr>
          <w:top w:val="single" w:sz="2" w:space="1" w:color="auto"/>
          <w:left w:val="single" w:sz="2" w:space="4" w:color="auto"/>
          <w:bottom w:val="single" w:sz="2" w:space="1" w:color="auto"/>
          <w:right w:val="single" w:sz="2" w:space="4" w:color="auto"/>
        </w:pBdr>
        <w:spacing w:after="0"/>
        <w:jc w:val="center"/>
        <w:rPr>
          <w:i/>
        </w:rPr>
      </w:pPr>
      <w:r w:rsidRPr="004458AB">
        <w:rPr>
          <w:i/>
        </w:rPr>
        <w:t xml:space="preserve">Timing: </w:t>
      </w:r>
      <w:r w:rsidR="008A5CDB" w:rsidRPr="008A5CDB">
        <w:rPr>
          <w:i/>
        </w:rPr>
        <w:t>December</w:t>
      </w:r>
      <w:r w:rsidR="00AA03F4" w:rsidRPr="008A5CDB">
        <w:rPr>
          <w:i/>
        </w:rPr>
        <w:t xml:space="preserve"> 2018 </w:t>
      </w:r>
      <w:r w:rsidRPr="008A5CDB">
        <w:rPr>
          <w:i/>
        </w:rPr>
        <w:t xml:space="preserve">– </w:t>
      </w:r>
      <w:r w:rsidR="00AA03F4" w:rsidRPr="008A5CDB">
        <w:rPr>
          <w:i/>
        </w:rPr>
        <w:t>January</w:t>
      </w:r>
      <w:r w:rsidRPr="008A5CDB">
        <w:rPr>
          <w:i/>
        </w:rPr>
        <w:t xml:space="preserve"> 201</w:t>
      </w:r>
      <w:r w:rsidR="00AA03F4" w:rsidRPr="008A5CDB">
        <w:rPr>
          <w:i/>
        </w:rPr>
        <w:t>9</w:t>
      </w:r>
      <w:r w:rsidRPr="008A5CDB">
        <w:rPr>
          <w:i/>
        </w:rPr>
        <w:t xml:space="preserve"> (</w:t>
      </w:r>
      <w:r w:rsidRPr="004458AB">
        <w:rPr>
          <w:i/>
        </w:rPr>
        <w:t>7 weeks)</w:t>
      </w:r>
    </w:p>
    <w:p w14:paraId="0316924B" w14:textId="47EBA4BB" w:rsidR="00C16283" w:rsidRDefault="00C16283" w:rsidP="00C16283">
      <w:pPr>
        <w:pBdr>
          <w:top w:val="single" w:sz="2" w:space="1" w:color="auto"/>
          <w:left w:val="single" w:sz="2" w:space="4" w:color="auto"/>
          <w:bottom w:val="single" w:sz="2" w:space="1" w:color="auto"/>
          <w:right w:val="single" w:sz="2" w:space="4" w:color="auto"/>
        </w:pBdr>
        <w:spacing w:after="0"/>
        <w:jc w:val="center"/>
      </w:pPr>
      <w:r>
        <w:t xml:space="preserve">The Department will assess all eligible applications received by the closing date and time to determine which Proposed Solutions are to be recommended for Program funding using the processes </w:t>
      </w:r>
      <w:r w:rsidRPr="00F0749F">
        <w:t xml:space="preserve">outlined in </w:t>
      </w:r>
      <w:r w:rsidR="006134EA" w:rsidRPr="00846820">
        <w:t>section 5</w:t>
      </w:r>
      <w:r w:rsidRPr="00846820">
        <w:t>.</w:t>
      </w:r>
      <w:r>
        <w:t xml:space="preserve"> </w:t>
      </w:r>
    </w:p>
    <w:p w14:paraId="0316924C" w14:textId="77777777" w:rsidR="00C16283" w:rsidRDefault="00C16283" w:rsidP="00C16283">
      <w:pPr>
        <w:pBdr>
          <w:top w:val="single" w:sz="2" w:space="1" w:color="auto"/>
          <w:left w:val="single" w:sz="2" w:space="4" w:color="auto"/>
          <w:bottom w:val="single" w:sz="2" w:space="1" w:color="auto"/>
          <w:right w:val="single" w:sz="2" w:space="4" w:color="auto"/>
        </w:pBdr>
        <w:spacing w:after="0"/>
        <w:jc w:val="center"/>
      </w:pPr>
      <w:r>
        <w:t>An expert engineering firm in the mobile telecommunications industry, as appointed by the Department, will test coverage claims.</w:t>
      </w:r>
    </w:p>
    <w:p w14:paraId="0316924D" w14:textId="77777777" w:rsidR="00C16283" w:rsidRPr="00C16283" w:rsidRDefault="00C16283" w:rsidP="00C16283">
      <w:pPr>
        <w:pBdr>
          <w:top w:val="single" w:sz="2" w:space="1" w:color="auto"/>
          <w:left w:val="single" w:sz="2" w:space="4" w:color="auto"/>
          <w:bottom w:val="single" w:sz="2" w:space="1" w:color="auto"/>
          <w:right w:val="single" w:sz="2" w:space="4" w:color="auto"/>
        </w:pBdr>
        <w:spacing w:after="0"/>
        <w:jc w:val="center"/>
      </w:pPr>
      <w:r>
        <w:t>The Proposed Solutions recommended for funding through the assessment process will be included on the Merit List provided to the Decision Maker.</w:t>
      </w:r>
    </w:p>
    <w:p w14:paraId="0316924E"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0316924F" w14:textId="77777777" w:rsidR="00EE2B1C" w:rsidRDefault="00C16283" w:rsidP="00EE2B1C">
      <w:pPr>
        <w:pBdr>
          <w:top w:val="single" w:sz="2" w:space="1" w:color="auto"/>
          <w:left w:val="single" w:sz="2" w:space="4" w:color="auto"/>
          <w:bottom w:val="single" w:sz="2" w:space="1" w:color="auto"/>
          <w:right w:val="single" w:sz="2" w:space="4" w:color="auto"/>
        </w:pBdr>
        <w:spacing w:after="0"/>
        <w:jc w:val="center"/>
        <w:rPr>
          <w:b/>
        </w:rPr>
      </w:pPr>
      <w:r>
        <w:rPr>
          <w:b/>
        </w:rPr>
        <w:lastRenderedPageBreak/>
        <w:t>Negotiation of Grant Agreements</w:t>
      </w:r>
    </w:p>
    <w:p w14:paraId="03169250" w14:textId="14094AC3" w:rsidR="00C16283" w:rsidRPr="004458AB" w:rsidRDefault="00C16283" w:rsidP="00EE2B1C">
      <w:pPr>
        <w:pBdr>
          <w:top w:val="single" w:sz="2" w:space="1" w:color="auto"/>
          <w:left w:val="single" w:sz="2" w:space="4" w:color="auto"/>
          <w:bottom w:val="single" w:sz="2" w:space="1" w:color="auto"/>
          <w:right w:val="single" w:sz="2" w:space="4" w:color="auto"/>
        </w:pBdr>
        <w:spacing w:after="0"/>
        <w:jc w:val="center"/>
        <w:rPr>
          <w:i/>
        </w:rPr>
      </w:pPr>
      <w:r w:rsidRPr="004458AB">
        <w:rPr>
          <w:i/>
        </w:rPr>
        <w:t>Timing:</w:t>
      </w:r>
      <w:r w:rsidRPr="008A5CDB">
        <w:rPr>
          <w:i/>
        </w:rPr>
        <w:t xml:space="preserve"> December 2018</w:t>
      </w:r>
      <w:r w:rsidRPr="004458AB">
        <w:rPr>
          <w:i/>
        </w:rPr>
        <w:t xml:space="preserve"> </w:t>
      </w:r>
      <w:r w:rsidR="006E4306" w:rsidRPr="008A5CDB">
        <w:rPr>
          <w:i/>
        </w:rPr>
        <w:t>– January 2019</w:t>
      </w:r>
    </w:p>
    <w:p w14:paraId="03169251" w14:textId="4589444B" w:rsidR="00C16283" w:rsidRPr="00F0749F" w:rsidRDefault="00C16283" w:rsidP="00C16283">
      <w:pPr>
        <w:pBdr>
          <w:top w:val="single" w:sz="2" w:space="1" w:color="auto"/>
          <w:left w:val="single" w:sz="2" w:space="4" w:color="auto"/>
          <w:bottom w:val="single" w:sz="2" w:space="1" w:color="auto"/>
          <w:right w:val="single" w:sz="2" w:space="4" w:color="auto"/>
        </w:pBdr>
        <w:spacing w:after="0"/>
        <w:jc w:val="center"/>
      </w:pPr>
      <w:r>
        <w:t xml:space="preserve">Where an applicant requests an amendment to the draft Grant Agreement which is not acceptable to the Commonwealth, the Department will seek to </w:t>
      </w:r>
      <w:r w:rsidRPr="00F0749F">
        <w:t xml:space="preserve">negotiate with the applicant in parallel with the Assessment of Applications period at </w:t>
      </w:r>
      <w:r w:rsidR="006134EA" w:rsidRPr="00846820">
        <w:t>section 7, stage 5.</w:t>
      </w:r>
    </w:p>
    <w:p w14:paraId="03169252" w14:textId="77777777" w:rsidR="00C16283" w:rsidRPr="00C16283" w:rsidRDefault="00C16283" w:rsidP="00C16283">
      <w:pPr>
        <w:pBdr>
          <w:top w:val="single" w:sz="2" w:space="1" w:color="auto"/>
          <w:left w:val="single" w:sz="2" w:space="4" w:color="auto"/>
          <w:bottom w:val="single" w:sz="2" w:space="1" w:color="auto"/>
          <w:right w:val="single" w:sz="2" w:space="4" w:color="auto"/>
        </w:pBdr>
        <w:spacing w:after="0"/>
        <w:jc w:val="center"/>
      </w:pPr>
      <w:r w:rsidRPr="00F0749F">
        <w:t>Any of the Proposed Solutions contained within an application will not be recommended</w:t>
      </w:r>
      <w:r>
        <w:t xml:space="preserve"> for funding unless the applicant has reached agreement with the Commonwealth on the terms of the Grant Agreement.</w:t>
      </w:r>
    </w:p>
    <w:p w14:paraId="03169253"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03169254" w14:textId="77777777" w:rsidR="00EE2B1C" w:rsidRPr="00C16283" w:rsidRDefault="00C16283" w:rsidP="00EE2B1C">
      <w:pPr>
        <w:pBdr>
          <w:top w:val="single" w:sz="2" w:space="1" w:color="auto"/>
          <w:left w:val="single" w:sz="2" w:space="4" w:color="auto"/>
          <w:bottom w:val="single" w:sz="2" w:space="1" w:color="auto"/>
          <w:right w:val="single" w:sz="2" w:space="4" w:color="auto"/>
        </w:pBdr>
        <w:spacing w:after="0"/>
        <w:jc w:val="center"/>
        <w:rPr>
          <w:rStyle w:val="highlightedtextChar"/>
          <w:color w:val="auto"/>
        </w:rPr>
      </w:pPr>
      <w:r w:rsidRPr="00C16283">
        <w:rPr>
          <w:rStyle w:val="highlightedtextChar"/>
          <w:color w:val="auto"/>
        </w:rPr>
        <w:t>Grantees advised of outcomes and funding arrangements finalised</w:t>
      </w:r>
    </w:p>
    <w:p w14:paraId="03169255" w14:textId="377AC8DB" w:rsidR="00C16283" w:rsidRPr="004458AB" w:rsidRDefault="00C16283" w:rsidP="00EE2B1C">
      <w:pPr>
        <w:pBdr>
          <w:top w:val="single" w:sz="2" w:space="1" w:color="auto"/>
          <w:left w:val="single" w:sz="2" w:space="4" w:color="auto"/>
          <w:bottom w:val="single" w:sz="2" w:space="1" w:color="auto"/>
          <w:right w:val="single" w:sz="2" w:space="4" w:color="auto"/>
        </w:pBdr>
        <w:spacing w:after="0"/>
        <w:jc w:val="center"/>
        <w:rPr>
          <w:i/>
        </w:rPr>
      </w:pPr>
      <w:r w:rsidRPr="004458AB">
        <w:rPr>
          <w:i/>
        </w:rPr>
        <w:t xml:space="preserve">Timing: </w:t>
      </w:r>
      <w:r w:rsidR="00AA03F4" w:rsidRPr="008A5CDB">
        <w:rPr>
          <w:i/>
        </w:rPr>
        <w:t xml:space="preserve">January </w:t>
      </w:r>
      <w:r w:rsidRPr="008A5CDB">
        <w:rPr>
          <w:i/>
        </w:rPr>
        <w:t>201</w:t>
      </w:r>
      <w:r w:rsidR="00AA03F4" w:rsidRPr="008A5CDB">
        <w:rPr>
          <w:i/>
        </w:rPr>
        <w:t>9</w:t>
      </w:r>
    </w:p>
    <w:p w14:paraId="03169256" w14:textId="7118B783" w:rsidR="00C16283" w:rsidRDefault="00C16283" w:rsidP="00C16283">
      <w:pPr>
        <w:pBdr>
          <w:top w:val="single" w:sz="2" w:space="1" w:color="auto"/>
          <w:left w:val="single" w:sz="2" w:space="4" w:color="auto"/>
          <w:bottom w:val="single" w:sz="2" w:space="1" w:color="auto"/>
          <w:right w:val="single" w:sz="2" w:space="4" w:color="auto"/>
        </w:pBdr>
        <w:spacing w:after="0"/>
        <w:jc w:val="center"/>
      </w:pPr>
      <w:r>
        <w:t>The Department will notify each applicant of the Proposed Solutions included in their application which are included on the Decision Maker’s List. Extracts of the Decision Maker’s List will also be provided to other relevant stakeholders.</w:t>
      </w:r>
    </w:p>
    <w:p w14:paraId="03169257" w14:textId="77777777" w:rsidR="00C16283" w:rsidRDefault="00C16283" w:rsidP="00C16283">
      <w:pPr>
        <w:pBdr>
          <w:top w:val="single" w:sz="2" w:space="1" w:color="auto"/>
          <w:left w:val="single" w:sz="2" w:space="4" w:color="auto"/>
          <w:bottom w:val="single" w:sz="2" w:space="1" w:color="auto"/>
          <w:right w:val="single" w:sz="2" w:space="4" w:color="auto"/>
        </w:pBdr>
        <w:spacing w:after="0"/>
        <w:jc w:val="center"/>
      </w:pPr>
      <w:r>
        <w:t xml:space="preserve">Each successful Applicant must enter into a legally binding Grant Agreement with the Commonwealth prior to the Government’s announcement of successful locations and Grantees. </w:t>
      </w:r>
    </w:p>
    <w:p w14:paraId="03169258" w14:textId="77777777" w:rsidR="00C16283" w:rsidRDefault="00C16283" w:rsidP="00C16283">
      <w:pPr>
        <w:pBdr>
          <w:top w:val="single" w:sz="2" w:space="1" w:color="auto"/>
          <w:left w:val="single" w:sz="2" w:space="4" w:color="auto"/>
          <w:bottom w:val="single" w:sz="2" w:space="1" w:color="auto"/>
          <w:right w:val="single" w:sz="2" w:space="4" w:color="auto"/>
        </w:pBdr>
        <w:spacing w:after="0"/>
        <w:jc w:val="center"/>
      </w:pPr>
      <w:r>
        <w:t>The Grantee’s participation in the Program becomes effective from the date of execution of the Grant Agreement by the Commonwealth. Shortly after execution of the Grant Agreement, the Grantee’s details and amount of funding awarded will be made available on GrantConnect in accordance with the Commonwealth’s grant reporting requirements.</w:t>
      </w:r>
    </w:p>
    <w:p w14:paraId="03169259" w14:textId="77777777" w:rsidR="00EE2B1C" w:rsidRDefault="00C16283" w:rsidP="00C16283">
      <w:pPr>
        <w:pBdr>
          <w:top w:val="single" w:sz="2" w:space="1" w:color="auto"/>
          <w:left w:val="single" w:sz="2" w:space="4" w:color="auto"/>
          <w:bottom w:val="single" w:sz="2" w:space="1" w:color="auto"/>
          <w:right w:val="single" w:sz="2" w:space="4" w:color="auto"/>
        </w:pBdr>
        <w:spacing w:after="0"/>
        <w:jc w:val="center"/>
        <w:rPr>
          <w:b/>
          <w:bCs/>
        </w:rPr>
      </w:pPr>
      <w:r>
        <w:t>Where a Proposed Solution includes a financial co-contribution from a State or Territory government, the Grantee must finalise the commercial agreement governing the terms and conditions of the State/Territory’s financial contribution directly with the relevant jurisdiction.</w:t>
      </w:r>
    </w:p>
    <w:p w14:paraId="0316925A"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0316925B" w14:textId="77777777" w:rsidR="00EE2B1C" w:rsidRDefault="00C16283" w:rsidP="00EE2B1C">
      <w:pPr>
        <w:pBdr>
          <w:top w:val="single" w:sz="2" w:space="1" w:color="auto"/>
          <w:left w:val="single" w:sz="2" w:space="4" w:color="auto"/>
          <w:bottom w:val="single" w:sz="2" w:space="1" w:color="auto"/>
          <w:right w:val="single" w:sz="2" w:space="4" w:color="auto"/>
        </w:pBdr>
        <w:spacing w:after="0"/>
        <w:jc w:val="center"/>
        <w:rPr>
          <w:b/>
        </w:rPr>
      </w:pPr>
      <w:r>
        <w:rPr>
          <w:b/>
        </w:rPr>
        <w:t>Grantees and locations announced</w:t>
      </w:r>
    </w:p>
    <w:p w14:paraId="0316925C" w14:textId="2EEDA42F" w:rsidR="00C16283" w:rsidRPr="004458AB" w:rsidRDefault="00C16283" w:rsidP="00EE2B1C">
      <w:pPr>
        <w:pBdr>
          <w:top w:val="single" w:sz="2" w:space="1" w:color="auto"/>
          <w:left w:val="single" w:sz="2" w:space="4" w:color="auto"/>
          <w:bottom w:val="single" w:sz="2" w:space="1" w:color="auto"/>
          <w:right w:val="single" w:sz="2" w:space="4" w:color="auto"/>
        </w:pBdr>
        <w:spacing w:after="0"/>
        <w:jc w:val="center"/>
        <w:rPr>
          <w:i/>
        </w:rPr>
      </w:pPr>
      <w:r w:rsidRPr="004458AB">
        <w:rPr>
          <w:i/>
        </w:rPr>
        <w:t xml:space="preserve">Timing: </w:t>
      </w:r>
      <w:r w:rsidR="00AA03F4" w:rsidRPr="008A5CDB">
        <w:rPr>
          <w:i/>
        </w:rPr>
        <w:t xml:space="preserve">January </w:t>
      </w:r>
      <w:r w:rsidRPr="008A5CDB">
        <w:rPr>
          <w:i/>
        </w:rPr>
        <w:t>201</w:t>
      </w:r>
      <w:r w:rsidR="00AA03F4" w:rsidRPr="008A5CDB">
        <w:rPr>
          <w:i/>
        </w:rPr>
        <w:t>9</w:t>
      </w:r>
    </w:p>
    <w:p w14:paraId="0316925D" w14:textId="32B2CBB7" w:rsidR="00C16283" w:rsidRPr="00C16283" w:rsidRDefault="00C16283" w:rsidP="00EE2B1C">
      <w:pPr>
        <w:pBdr>
          <w:top w:val="single" w:sz="2" w:space="1" w:color="auto"/>
          <w:left w:val="single" w:sz="2" w:space="4" w:color="auto"/>
          <w:bottom w:val="single" w:sz="2" w:space="1" w:color="auto"/>
          <w:right w:val="single" w:sz="2" w:space="4" w:color="auto"/>
        </w:pBdr>
        <w:spacing w:after="0"/>
        <w:jc w:val="center"/>
        <w:rPr>
          <w:bCs/>
        </w:rPr>
      </w:pPr>
      <w:r w:rsidRPr="00C16283">
        <w:rPr>
          <w:bCs/>
        </w:rPr>
        <w:t xml:space="preserve">The locations of Funded Solutions and Grantees are expected to be announced by the Government in </w:t>
      </w:r>
      <w:r w:rsidR="00851ACB">
        <w:rPr>
          <w:bCs/>
        </w:rPr>
        <w:t>January 2019</w:t>
      </w:r>
      <w:r w:rsidRPr="00C16283">
        <w:rPr>
          <w:bCs/>
        </w:rPr>
        <w:t>. The outcomes of this process and grant outcomes will be published on GrantConnect.</w:t>
      </w:r>
    </w:p>
    <w:p w14:paraId="0316925E" w14:textId="77777777" w:rsidR="00EE2B1C" w:rsidRDefault="00EE2B1C" w:rsidP="00EE2B1C">
      <w:pPr>
        <w:spacing w:after="0"/>
        <w:jc w:val="center"/>
        <w:rPr>
          <w:rFonts w:ascii="Wingdings" w:hAnsi="Wingdings"/>
          <w:sz w:val="20"/>
          <w:szCs w:val="20"/>
        </w:rPr>
      </w:pPr>
      <w:r w:rsidRPr="00F40BDA">
        <w:rPr>
          <w:rFonts w:ascii="Wingdings" w:hAnsi="Wingdings"/>
          <w:sz w:val="20"/>
          <w:szCs w:val="20"/>
        </w:rPr>
        <w:t></w:t>
      </w:r>
    </w:p>
    <w:p w14:paraId="0316925F" w14:textId="77777777" w:rsidR="00731673" w:rsidRDefault="00731673" w:rsidP="00EE2B1C">
      <w:pPr>
        <w:spacing w:after="0"/>
        <w:jc w:val="center"/>
        <w:rPr>
          <w:rFonts w:ascii="Wingdings" w:hAnsi="Wingdings"/>
          <w:sz w:val="20"/>
          <w:szCs w:val="20"/>
        </w:rPr>
      </w:pPr>
    </w:p>
    <w:p w14:paraId="03169260" w14:textId="77777777" w:rsidR="00731673" w:rsidRDefault="00731673" w:rsidP="00EE2B1C">
      <w:pPr>
        <w:spacing w:after="0"/>
        <w:jc w:val="center"/>
        <w:rPr>
          <w:rFonts w:ascii="Wingdings" w:hAnsi="Wingdings"/>
          <w:sz w:val="20"/>
          <w:szCs w:val="20"/>
        </w:rPr>
      </w:pPr>
    </w:p>
    <w:p w14:paraId="037BE7C0" w14:textId="77777777" w:rsidR="00742D00" w:rsidRPr="00F40BDA" w:rsidRDefault="00742D00" w:rsidP="00EE2B1C">
      <w:pPr>
        <w:spacing w:after="0"/>
        <w:jc w:val="center"/>
        <w:rPr>
          <w:rFonts w:ascii="Wingdings" w:hAnsi="Wingdings"/>
          <w:sz w:val="20"/>
          <w:szCs w:val="20"/>
        </w:rPr>
      </w:pPr>
    </w:p>
    <w:p w14:paraId="03169261" w14:textId="77777777" w:rsidR="00EE2B1C" w:rsidRDefault="00C16283" w:rsidP="00EE2B1C">
      <w:pPr>
        <w:pBdr>
          <w:top w:val="single" w:sz="2" w:space="1" w:color="auto"/>
          <w:left w:val="single" w:sz="2" w:space="4" w:color="auto"/>
          <w:bottom w:val="single" w:sz="2" w:space="1" w:color="auto"/>
          <w:right w:val="single" w:sz="2" w:space="4" w:color="auto"/>
        </w:pBdr>
        <w:spacing w:after="0"/>
        <w:jc w:val="center"/>
        <w:rPr>
          <w:b/>
        </w:rPr>
      </w:pPr>
      <w:r>
        <w:rPr>
          <w:b/>
        </w:rPr>
        <w:lastRenderedPageBreak/>
        <w:t>Colocation negotiations</w:t>
      </w:r>
    </w:p>
    <w:p w14:paraId="03169262" w14:textId="77777777" w:rsidR="00C16283" w:rsidRPr="004458AB" w:rsidRDefault="00C16283" w:rsidP="00EE2B1C">
      <w:pPr>
        <w:pBdr>
          <w:top w:val="single" w:sz="2" w:space="1" w:color="auto"/>
          <w:left w:val="single" w:sz="2" w:space="4" w:color="auto"/>
          <w:bottom w:val="single" w:sz="2" w:space="1" w:color="auto"/>
          <w:right w:val="single" w:sz="2" w:space="4" w:color="auto"/>
        </w:pBdr>
        <w:spacing w:after="0"/>
        <w:jc w:val="center"/>
        <w:rPr>
          <w:i/>
        </w:rPr>
      </w:pPr>
      <w:r w:rsidRPr="004458AB">
        <w:rPr>
          <w:i/>
        </w:rPr>
        <w:t xml:space="preserve">Timing: </w:t>
      </w:r>
      <w:r w:rsidRPr="008A5CDB">
        <w:rPr>
          <w:i/>
        </w:rPr>
        <w:t>from January 2019</w:t>
      </w:r>
    </w:p>
    <w:p w14:paraId="03169263" w14:textId="38A80162" w:rsidR="00C16283" w:rsidRDefault="00C16283" w:rsidP="00EE2B1C">
      <w:pPr>
        <w:pBdr>
          <w:top w:val="single" w:sz="2" w:space="1" w:color="auto"/>
          <w:left w:val="single" w:sz="2" w:space="4" w:color="auto"/>
          <w:bottom w:val="single" w:sz="2" w:space="1" w:color="auto"/>
          <w:right w:val="single" w:sz="2" w:space="4" w:color="auto"/>
        </w:pBdr>
        <w:spacing w:after="0"/>
        <w:jc w:val="center"/>
      </w:pPr>
      <w:r w:rsidRPr="00C16283">
        <w:t xml:space="preserve">Grantees will notify other MNOs of the opportunity to co-locate on Funded Solutions, and to participate in the detailed design phase using the process set </w:t>
      </w:r>
      <w:r w:rsidRPr="00F0749F">
        <w:t xml:space="preserve">out in </w:t>
      </w:r>
      <w:r w:rsidR="006134EA" w:rsidRPr="00846820">
        <w:t>sections 3.2.9 to 3.2.20.</w:t>
      </w:r>
    </w:p>
    <w:p w14:paraId="03169264" w14:textId="77777777" w:rsidR="00C16283" w:rsidRPr="00F40BDA" w:rsidRDefault="00C16283" w:rsidP="00C16283">
      <w:pPr>
        <w:spacing w:after="0"/>
        <w:jc w:val="center"/>
        <w:rPr>
          <w:rFonts w:ascii="Wingdings" w:hAnsi="Wingdings"/>
          <w:sz w:val="20"/>
          <w:szCs w:val="20"/>
        </w:rPr>
      </w:pPr>
      <w:r w:rsidRPr="00F40BDA">
        <w:rPr>
          <w:rFonts w:ascii="Wingdings" w:hAnsi="Wingdings"/>
          <w:sz w:val="20"/>
          <w:szCs w:val="20"/>
        </w:rPr>
        <w:t></w:t>
      </w:r>
    </w:p>
    <w:p w14:paraId="03169265" w14:textId="77777777" w:rsidR="00C16283" w:rsidRDefault="00C16283" w:rsidP="00C16283">
      <w:pPr>
        <w:pBdr>
          <w:top w:val="single" w:sz="2" w:space="1" w:color="auto"/>
          <w:left w:val="single" w:sz="2" w:space="4" w:color="auto"/>
          <w:bottom w:val="single" w:sz="2" w:space="1" w:color="auto"/>
          <w:right w:val="single" w:sz="2" w:space="4" w:color="auto"/>
        </w:pBdr>
        <w:spacing w:after="0"/>
        <w:jc w:val="center"/>
        <w:rPr>
          <w:b/>
        </w:rPr>
      </w:pPr>
      <w:r>
        <w:rPr>
          <w:b/>
        </w:rPr>
        <w:t>Date of Rollout Completion</w:t>
      </w:r>
    </w:p>
    <w:p w14:paraId="03169266" w14:textId="77777777" w:rsidR="00C16283" w:rsidRPr="004458AB" w:rsidRDefault="00C16283" w:rsidP="00C16283">
      <w:pPr>
        <w:pBdr>
          <w:top w:val="single" w:sz="2" w:space="1" w:color="auto"/>
          <w:left w:val="single" w:sz="2" w:space="4" w:color="auto"/>
          <w:bottom w:val="single" w:sz="2" w:space="1" w:color="auto"/>
          <w:right w:val="single" w:sz="2" w:space="4" w:color="auto"/>
        </w:pBdr>
        <w:spacing w:after="0"/>
        <w:jc w:val="center"/>
        <w:rPr>
          <w:i/>
        </w:rPr>
      </w:pPr>
      <w:r w:rsidRPr="004458AB">
        <w:rPr>
          <w:i/>
        </w:rPr>
        <w:t xml:space="preserve">Timing: </w:t>
      </w:r>
      <w:r w:rsidRPr="008A5CDB">
        <w:rPr>
          <w:i/>
        </w:rPr>
        <w:t>30 June 2020</w:t>
      </w:r>
    </w:p>
    <w:p w14:paraId="03169267" w14:textId="77777777" w:rsidR="00C16283" w:rsidRPr="00C16283" w:rsidRDefault="00C16283" w:rsidP="00EE2B1C">
      <w:pPr>
        <w:pBdr>
          <w:top w:val="single" w:sz="2" w:space="1" w:color="auto"/>
          <w:left w:val="single" w:sz="2" w:space="4" w:color="auto"/>
          <w:bottom w:val="single" w:sz="2" w:space="1" w:color="auto"/>
          <w:right w:val="single" w:sz="2" w:space="4" w:color="auto"/>
        </w:pBdr>
        <w:spacing w:after="0"/>
        <w:jc w:val="center"/>
      </w:pPr>
      <w:r w:rsidRPr="00C16283">
        <w:t>Grantees will be expected to complete the rollout of all Funded Solutions by 30 June 2020 (</w:t>
      </w:r>
      <w:r w:rsidRPr="009D2F66">
        <w:t>Date of Rollout Completion</w:t>
      </w:r>
      <w:r w:rsidRPr="00C16283">
        <w:t>). The Date of Rollout Completion will be agreed in the Grant Agreement.</w:t>
      </w:r>
    </w:p>
    <w:p w14:paraId="03169268" w14:textId="77777777" w:rsidR="00045933" w:rsidRDefault="00045933" w:rsidP="0054078D">
      <w:pPr>
        <w:pStyle w:val="Heading2Numbered"/>
      </w:pPr>
      <w:bookmarkStart w:id="3" w:name="_Toc467773951"/>
      <w:bookmarkStart w:id="4" w:name="_Toc523411609"/>
      <w:r>
        <w:t>About the grant program</w:t>
      </w:r>
      <w:bookmarkEnd w:id="3"/>
      <w:bookmarkEnd w:id="4"/>
    </w:p>
    <w:p w14:paraId="03169269" w14:textId="408D7AAE" w:rsidR="00DC7660" w:rsidRDefault="00DC7660" w:rsidP="00DC7660">
      <w:pPr>
        <w:suppressAutoHyphens w:val="0"/>
        <w:spacing w:before="240" w:after="240" w:line="240" w:lineRule="auto"/>
        <w:ind w:left="720" w:hanging="720"/>
        <w:rPr>
          <w:rFonts w:eastAsia="Calibri" w:cstheme="minorHAnsi"/>
        </w:rPr>
      </w:pPr>
      <w:r w:rsidRPr="00655170">
        <w:rPr>
          <w:rFonts w:eastAsia="Calibri" w:cstheme="minorHAnsi"/>
        </w:rPr>
        <w:t>1.1.1</w:t>
      </w:r>
      <w:r w:rsidRPr="00655170">
        <w:rPr>
          <w:rFonts w:eastAsia="Calibri" w:cstheme="minorHAnsi"/>
        </w:rPr>
        <w:tab/>
      </w:r>
      <w:bookmarkStart w:id="5" w:name="_Ref390202474"/>
      <w:r w:rsidRPr="00C845AF">
        <w:rPr>
          <w:rFonts w:eastAsia="Calibri" w:cstheme="minorHAnsi"/>
        </w:rPr>
        <w:t xml:space="preserve">The Mobile Black Spot Program (the </w:t>
      </w:r>
      <w:r w:rsidRPr="00C845AF">
        <w:rPr>
          <w:rFonts w:eastAsia="Calibri" w:cstheme="minorHAnsi"/>
          <w:b/>
        </w:rPr>
        <w:t>Program</w:t>
      </w:r>
      <w:r w:rsidRPr="00C845AF">
        <w:rPr>
          <w:rFonts w:eastAsia="Calibri" w:cstheme="minorHAnsi"/>
        </w:rPr>
        <w:t xml:space="preserve">) will run over </w:t>
      </w:r>
      <w:r w:rsidR="00C845AF">
        <w:rPr>
          <w:rFonts w:eastAsia="Calibri" w:cstheme="minorHAnsi"/>
        </w:rPr>
        <w:t>four funding rounds</w:t>
      </w:r>
      <w:r w:rsidRPr="00C845AF">
        <w:rPr>
          <w:rFonts w:eastAsia="Calibri" w:cstheme="minorHAnsi"/>
        </w:rPr>
        <w:t xml:space="preserve"> from 2014-2015 to 2019-2020</w:t>
      </w:r>
      <w:r w:rsidR="00C845AF">
        <w:rPr>
          <w:rFonts w:eastAsia="Calibri" w:cstheme="minorHAnsi"/>
        </w:rPr>
        <w:t>, with service delivery commitments until 2030</w:t>
      </w:r>
      <w:r w:rsidRPr="00C845AF">
        <w:rPr>
          <w:rFonts w:eastAsia="Calibri" w:cstheme="minorHAnsi"/>
        </w:rPr>
        <w:t>.</w:t>
      </w:r>
      <w:r>
        <w:rPr>
          <w:rFonts w:eastAsia="Calibri" w:cstheme="minorHAnsi"/>
        </w:rPr>
        <w:t xml:space="preserve"> The Program is the </w:t>
      </w:r>
      <w:r w:rsidRPr="009D2F66">
        <w:rPr>
          <w:rFonts w:eastAsia="Calibri" w:cstheme="minorHAnsi"/>
        </w:rPr>
        <w:t>Australian Government’s</w:t>
      </w:r>
      <w:r>
        <w:rPr>
          <w:rFonts w:eastAsia="Calibri" w:cstheme="minorHAnsi"/>
        </w:rPr>
        <w:t xml:space="preserve"> initiative to extend and improve mobile phone coverage and competition. </w:t>
      </w:r>
    </w:p>
    <w:p w14:paraId="0316926A" w14:textId="77777777" w:rsidR="00DC7660" w:rsidRDefault="00DC7660" w:rsidP="00DC7660">
      <w:pPr>
        <w:suppressAutoHyphens w:val="0"/>
        <w:spacing w:before="240" w:after="240" w:line="240" w:lineRule="auto"/>
        <w:ind w:left="720" w:hanging="720"/>
        <w:rPr>
          <w:rFonts w:eastAsia="Calibri" w:cstheme="minorHAnsi"/>
        </w:rPr>
      </w:pPr>
      <w:r>
        <w:rPr>
          <w:rFonts w:eastAsia="Calibri" w:cstheme="minorHAnsi"/>
        </w:rPr>
        <w:t>1.1.2</w:t>
      </w:r>
      <w:r w:rsidRPr="00985511">
        <w:rPr>
          <w:rFonts w:eastAsia="Calibri" w:cstheme="minorHAnsi"/>
        </w:rPr>
        <w:tab/>
      </w:r>
      <w:r w:rsidRPr="008937FD">
        <w:rPr>
          <w:rFonts w:eastAsia="Calibri" w:cstheme="minorHAnsi"/>
        </w:rPr>
        <w:t>The objective of the Program is to extend and improve mobile phone coverage and competition across Australia.</w:t>
      </w:r>
      <w:r>
        <w:rPr>
          <w:rFonts w:eastAsia="Calibri" w:cstheme="minorHAnsi"/>
        </w:rPr>
        <w:t xml:space="preserve"> </w:t>
      </w:r>
    </w:p>
    <w:p w14:paraId="0316926B" w14:textId="77777777" w:rsidR="00DC7660" w:rsidRDefault="00DC7660" w:rsidP="00DC7660">
      <w:pPr>
        <w:suppressAutoHyphens w:val="0"/>
        <w:spacing w:before="240" w:after="240" w:line="240" w:lineRule="auto"/>
        <w:ind w:left="720" w:hanging="720"/>
        <w:rPr>
          <w:rFonts w:eastAsia="Calibri" w:cstheme="minorHAnsi"/>
        </w:rPr>
      </w:pPr>
      <w:r>
        <w:rPr>
          <w:rFonts w:eastAsia="Calibri" w:cstheme="minorHAnsi"/>
        </w:rPr>
        <w:t>1.1.3</w:t>
      </w:r>
      <w:r w:rsidRPr="00985511">
        <w:rPr>
          <w:rFonts w:eastAsia="Calibri" w:cstheme="minorHAnsi"/>
        </w:rPr>
        <w:tab/>
        <w:t xml:space="preserve">The Department of Communications and the Arts (the </w:t>
      </w:r>
      <w:r w:rsidRPr="00985511">
        <w:rPr>
          <w:rFonts w:eastAsia="Calibri" w:cstheme="minorHAnsi"/>
          <w:b/>
        </w:rPr>
        <w:t>Department</w:t>
      </w:r>
      <w:r w:rsidRPr="00985511">
        <w:rPr>
          <w:rFonts w:eastAsia="Calibri" w:cstheme="minorHAnsi"/>
        </w:rPr>
        <w:t>) is responsible for administering the Program on behalf of the Government.</w:t>
      </w:r>
    </w:p>
    <w:p w14:paraId="0316926C" w14:textId="6DC07A1C" w:rsidR="00DC7660" w:rsidRPr="008937FD" w:rsidRDefault="00DC7660" w:rsidP="00DC7660">
      <w:pPr>
        <w:suppressAutoHyphens w:val="0"/>
        <w:spacing w:before="240" w:after="240" w:line="240" w:lineRule="auto"/>
        <w:ind w:left="720" w:hanging="720"/>
        <w:rPr>
          <w:rFonts w:eastAsia="Calibri" w:cstheme="minorHAnsi"/>
        </w:rPr>
      </w:pPr>
      <w:r>
        <w:rPr>
          <w:rFonts w:eastAsia="Calibri" w:cstheme="minorHAnsi"/>
        </w:rPr>
        <w:t>1.1.4</w:t>
      </w:r>
      <w:r w:rsidRPr="00985511">
        <w:rPr>
          <w:rFonts w:eastAsia="Calibri" w:cstheme="minorHAnsi"/>
        </w:rPr>
        <w:tab/>
        <w:t>In June 2015, the Government announced the 499 successful locations to receive funding under round 1 of the Program. In December 2016</w:t>
      </w:r>
      <w:r w:rsidR="00D81F15">
        <w:rPr>
          <w:rFonts w:eastAsia="Calibri" w:cstheme="minorHAnsi"/>
        </w:rPr>
        <w:t>,</w:t>
      </w:r>
      <w:r w:rsidRPr="00985511">
        <w:rPr>
          <w:rFonts w:eastAsia="Calibri" w:cstheme="minorHAnsi"/>
        </w:rPr>
        <w:t xml:space="preserve"> a further 266 successful locations were announced to receive funding under round 2 of the Program. In April 2018</w:t>
      </w:r>
      <w:r w:rsidR="00D81F15">
        <w:rPr>
          <w:rFonts w:eastAsia="Calibri" w:cstheme="minorHAnsi"/>
        </w:rPr>
        <w:t>,</w:t>
      </w:r>
      <w:r w:rsidRPr="00985511">
        <w:rPr>
          <w:rFonts w:eastAsia="Calibri" w:cstheme="minorHAnsi"/>
        </w:rPr>
        <w:t xml:space="preserve"> an additional 125 locations were announced to be addressed through the </w:t>
      </w:r>
      <w:r w:rsidRPr="008937FD">
        <w:rPr>
          <w:rFonts w:eastAsia="Calibri" w:cstheme="minorHAnsi"/>
        </w:rPr>
        <w:t xml:space="preserve">Priority Location round. </w:t>
      </w:r>
      <w:r w:rsidR="00D81F15" w:rsidRPr="008937FD">
        <w:rPr>
          <w:rFonts w:eastAsia="Calibri" w:cstheme="minorHAnsi"/>
        </w:rPr>
        <w:t>In</w:t>
      </w:r>
      <w:r w:rsidR="00742D00" w:rsidRPr="008937FD">
        <w:rPr>
          <w:rFonts w:eastAsia="Calibri" w:cstheme="minorHAnsi"/>
        </w:rPr>
        <w:t xml:space="preserve"> June 2018, the Governm</w:t>
      </w:r>
      <w:r w:rsidR="000D1707" w:rsidRPr="008937FD">
        <w:rPr>
          <w:rFonts w:eastAsia="Calibri" w:cstheme="minorHAnsi"/>
        </w:rPr>
        <w:t xml:space="preserve">ent announced it will invest </w:t>
      </w:r>
      <w:r w:rsidR="009110EE">
        <w:rPr>
          <w:rFonts w:eastAsia="Calibri" w:cstheme="minorHAnsi"/>
        </w:rPr>
        <w:t xml:space="preserve">up to </w:t>
      </w:r>
      <w:r w:rsidR="000D1707" w:rsidRPr="008937FD">
        <w:rPr>
          <w:rFonts w:eastAsia="Calibri" w:cstheme="minorHAnsi"/>
        </w:rPr>
        <w:t>$2</w:t>
      </w:r>
      <w:r w:rsidR="009110EE">
        <w:rPr>
          <w:rFonts w:eastAsia="Calibri" w:cstheme="minorHAnsi"/>
        </w:rPr>
        <w:t>5</w:t>
      </w:r>
      <w:r w:rsidR="00F9094C">
        <w:rPr>
          <w:rFonts w:eastAsia="Calibri" w:cstheme="minorHAnsi"/>
        </w:rPr>
        <w:t> </w:t>
      </w:r>
      <w:r w:rsidR="00742D00" w:rsidRPr="008937FD">
        <w:rPr>
          <w:rFonts w:eastAsia="Calibri" w:cstheme="minorHAnsi"/>
        </w:rPr>
        <w:t>million</w:t>
      </w:r>
      <w:r w:rsidR="00D81F15" w:rsidRPr="008937FD">
        <w:rPr>
          <w:rFonts w:eastAsia="Calibri" w:cstheme="minorHAnsi"/>
        </w:rPr>
        <w:t xml:space="preserve"> (GST exclusive)</w:t>
      </w:r>
      <w:r w:rsidR="00742D00" w:rsidRPr="008937FD">
        <w:rPr>
          <w:rFonts w:eastAsia="Calibri" w:cstheme="minorHAnsi"/>
        </w:rPr>
        <w:t xml:space="preserve"> of funding towards a fourth round. </w:t>
      </w:r>
    </w:p>
    <w:p w14:paraId="0316926D" w14:textId="77777777" w:rsidR="00DC7660" w:rsidRPr="00DC7660" w:rsidRDefault="00DC7660" w:rsidP="00DC7660">
      <w:pPr>
        <w:suppressAutoHyphens w:val="0"/>
        <w:spacing w:before="240" w:after="240" w:line="240" w:lineRule="auto"/>
        <w:ind w:left="720" w:hanging="720"/>
        <w:rPr>
          <w:rFonts w:eastAsia="Calibri" w:cstheme="minorHAnsi"/>
        </w:rPr>
      </w:pPr>
      <w:r w:rsidRPr="008937FD">
        <w:rPr>
          <w:rFonts w:eastAsia="Calibri" w:cstheme="minorHAnsi"/>
        </w:rPr>
        <w:t>1.1.5</w:t>
      </w:r>
      <w:r w:rsidRPr="008937FD">
        <w:rPr>
          <w:rFonts w:eastAsia="Calibri" w:cstheme="minorHAnsi"/>
        </w:rPr>
        <w:tab/>
        <w:t xml:space="preserve">The Program will be undertaken according to the Commonwealth Grants Rules and Guidelines (CGRGs) </w:t>
      </w:r>
      <w:hyperlink r:id="rId14" w:history="1">
        <w:r w:rsidRPr="008937FD">
          <w:rPr>
            <w:rStyle w:val="Hyperlink"/>
            <w:rFonts w:eastAsia="Calibri" w:cstheme="minorHAnsi"/>
          </w:rPr>
          <w:t>http://www.finance.gov.au/sites/default/files/commonwealth-grants-rules-and-guidelines-July2014.pdf</w:t>
        </w:r>
      </w:hyperlink>
      <w:bookmarkEnd w:id="5"/>
      <w:r w:rsidR="00731673" w:rsidRPr="008937FD">
        <w:rPr>
          <w:rStyle w:val="Hyperlink"/>
          <w:rFonts w:eastAsia="Calibri" w:cstheme="minorHAnsi"/>
        </w:rPr>
        <w:t>.</w:t>
      </w:r>
      <w:r w:rsidR="00731673">
        <w:rPr>
          <w:rStyle w:val="Hyperlink"/>
          <w:rFonts w:eastAsia="Calibri" w:cstheme="minorHAnsi"/>
        </w:rPr>
        <w:t xml:space="preserve"> </w:t>
      </w:r>
    </w:p>
    <w:p w14:paraId="0316926E" w14:textId="77777777" w:rsidR="00045933" w:rsidRDefault="00045933" w:rsidP="00045933">
      <w:pPr>
        <w:pStyle w:val="Heading2Numbered"/>
      </w:pPr>
      <w:bookmarkStart w:id="6" w:name="_Toc467773952"/>
      <w:bookmarkStart w:id="7" w:name="_Toc523411610"/>
      <w:r w:rsidRPr="00141248">
        <w:t xml:space="preserve">About </w:t>
      </w:r>
      <w:bookmarkEnd w:id="6"/>
      <w:r w:rsidR="00DC7660">
        <w:t>Round 4</w:t>
      </w:r>
      <w:bookmarkEnd w:id="7"/>
    </w:p>
    <w:p w14:paraId="0316926F" w14:textId="06CDE1AA" w:rsidR="00DC7660" w:rsidRDefault="00DC7660" w:rsidP="00DC7660">
      <w:pPr>
        <w:pStyle w:val="Bodynumbered-Level1"/>
        <w:spacing w:after="120"/>
        <w:rPr>
          <w:rFonts w:asciiTheme="minorHAnsi" w:hAnsiTheme="minorHAnsi" w:cstheme="minorHAnsi"/>
        </w:rPr>
      </w:pPr>
      <w:r>
        <w:rPr>
          <w:rFonts w:asciiTheme="minorHAnsi" w:hAnsiTheme="minorHAnsi" w:cstheme="minorHAnsi"/>
        </w:rPr>
        <w:t>1.2</w:t>
      </w:r>
      <w:r w:rsidRPr="008937FD">
        <w:rPr>
          <w:rFonts w:asciiTheme="minorHAnsi" w:hAnsiTheme="minorHAnsi" w:cstheme="minorHAnsi"/>
        </w:rPr>
        <w:t>.1</w:t>
      </w:r>
      <w:r w:rsidRPr="008937FD">
        <w:rPr>
          <w:rFonts w:asciiTheme="minorHAnsi" w:hAnsiTheme="minorHAnsi" w:cstheme="minorHAnsi"/>
        </w:rPr>
        <w:tab/>
        <w:t>These guidelines contain information for the Round 4 grants. The Government has allocated</w:t>
      </w:r>
      <w:r w:rsidR="007A736D">
        <w:rPr>
          <w:rFonts w:asciiTheme="minorHAnsi" w:hAnsiTheme="minorHAnsi" w:cstheme="minorHAnsi"/>
        </w:rPr>
        <w:t xml:space="preserve"> up to</w:t>
      </w:r>
      <w:r w:rsidRPr="008937FD">
        <w:rPr>
          <w:rFonts w:asciiTheme="minorHAnsi" w:hAnsiTheme="minorHAnsi" w:cstheme="minorHAnsi"/>
        </w:rPr>
        <w:t xml:space="preserve"> </w:t>
      </w:r>
      <w:r w:rsidR="000D1707" w:rsidRPr="008937FD">
        <w:rPr>
          <w:rFonts w:asciiTheme="minorHAnsi" w:hAnsiTheme="minorHAnsi" w:cstheme="minorHAnsi"/>
        </w:rPr>
        <w:t>$2</w:t>
      </w:r>
      <w:r w:rsidR="009110EE">
        <w:rPr>
          <w:rFonts w:asciiTheme="minorHAnsi" w:hAnsiTheme="minorHAnsi" w:cstheme="minorHAnsi"/>
        </w:rPr>
        <w:t>5</w:t>
      </w:r>
      <w:r w:rsidRPr="008937FD">
        <w:rPr>
          <w:rFonts w:asciiTheme="minorHAnsi" w:hAnsiTheme="minorHAnsi" w:cstheme="minorHAnsi"/>
        </w:rPr>
        <w:t xml:space="preserve"> million (GST exclusive) to deliver </w:t>
      </w:r>
      <w:r w:rsidRPr="009D2F66">
        <w:rPr>
          <w:rFonts w:asciiTheme="minorHAnsi" w:hAnsiTheme="minorHAnsi" w:cstheme="minorHAnsi"/>
        </w:rPr>
        <w:t>Round 4</w:t>
      </w:r>
      <w:r w:rsidRPr="008937FD">
        <w:rPr>
          <w:rFonts w:asciiTheme="minorHAnsi" w:hAnsiTheme="minorHAnsi" w:cstheme="minorHAnsi"/>
        </w:rPr>
        <w:t xml:space="preserve"> of the Program (</w:t>
      </w:r>
      <w:r w:rsidR="008937FD" w:rsidRPr="008937FD">
        <w:rPr>
          <w:rFonts w:asciiTheme="minorHAnsi" w:hAnsiTheme="minorHAnsi" w:cstheme="minorHAnsi"/>
          <w:b/>
        </w:rPr>
        <w:t>Round </w:t>
      </w:r>
      <w:r w:rsidRPr="008937FD">
        <w:rPr>
          <w:rFonts w:asciiTheme="minorHAnsi" w:hAnsiTheme="minorHAnsi" w:cstheme="minorHAnsi"/>
          <w:b/>
        </w:rPr>
        <w:t>4</w:t>
      </w:r>
      <w:r w:rsidRPr="008937FD">
        <w:rPr>
          <w:rFonts w:asciiTheme="minorHAnsi" w:hAnsiTheme="minorHAnsi" w:cstheme="minorHAnsi"/>
        </w:rPr>
        <w:t>).</w:t>
      </w:r>
      <w:r w:rsidRPr="007D3B05">
        <w:rPr>
          <w:rFonts w:asciiTheme="minorHAnsi" w:hAnsiTheme="minorHAnsi" w:cstheme="minorHAnsi"/>
        </w:rPr>
        <w:t xml:space="preserve"> </w:t>
      </w:r>
    </w:p>
    <w:p w14:paraId="03169270" w14:textId="35A81532" w:rsidR="00DC7660" w:rsidRDefault="00DC7660" w:rsidP="00DF3E7E">
      <w:pPr>
        <w:pStyle w:val="Bodynumbered-Level1"/>
        <w:spacing w:after="120"/>
        <w:rPr>
          <w:rFonts w:asciiTheme="minorHAnsi" w:hAnsiTheme="minorHAnsi" w:cstheme="minorHAnsi"/>
        </w:rPr>
      </w:pPr>
      <w:r w:rsidRPr="00DD4FEE">
        <w:rPr>
          <w:rFonts w:asciiTheme="minorHAnsi" w:hAnsiTheme="minorHAnsi" w:cstheme="minorHAnsi"/>
        </w:rPr>
        <w:t>1.2.2</w:t>
      </w:r>
      <w:r w:rsidRPr="00DD4FEE">
        <w:rPr>
          <w:rFonts w:asciiTheme="minorHAnsi" w:hAnsiTheme="minorHAnsi" w:cstheme="minorHAnsi"/>
        </w:rPr>
        <w:tab/>
        <w:t xml:space="preserve">The Round 4 </w:t>
      </w:r>
      <w:r w:rsidR="007822E9">
        <w:rPr>
          <w:rFonts w:asciiTheme="minorHAnsi" w:hAnsiTheme="minorHAnsi" w:cstheme="minorHAnsi"/>
        </w:rPr>
        <w:t>G</w:t>
      </w:r>
      <w:r w:rsidRPr="00DD4FEE">
        <w:rPr>
          <w:rFonts w:asciiTheme="minorHAnsi" w:hAnsiTheme="minorHAnsi" w:cstheme="minorHAnsi"/>
        </w:rPr>
        <w:t>uidelines (these</w:t>
      </w:r>
      <w:r w:rsidRPr="00DD4FEE">
        <w:rPr>
          <w:rFonts w:asciiTheme="minorHAnsi" w:hAnsiTheme="minorHAnsi" w:cstheme="minorHAnsi"/>
          <w:b/>
        </w:rPr>
        <w:t xml:space="preserve"> Guidelines</w:t>
      </w:r>
      <w:r w:rsidRPr="00DD4FEE">
        <w:rPr>
          <w:rFonts w:asciiTheme="minorHAnsi" w:hAnsiTheme="minorHAnsi" w:cstheme="minorHAnsi"/>
        </w:rPr>
        <w:t>) have been prepared following a review of rounds 1 and 2, and the Priority Locations round of the Program, and targeted consultation with industry stakeholders and State and Territory governments.</w:t>
      </w:r>
    </w:p>
    <w:p w14:paraId="5BB94ECC" w14:textId="490AE5B6" w:rsidR="00ED2933" w:rsidRPr="00ED2933" w:rsidRDefault="00703681" w:rsidP="00ED2933">
      <w:pPr>
        <w:suppressAutoHyphens w:val="0"/>
        <w:spacing w:before="240" w:after="240" w:line="240" w:lineRule="auto"/>
        <w:ind w:left="720" w:hanging="720"/>
        <w:rPr>
          <w:rFonts w:eastAsia="Calibri" w:cstheme="minorHAnsi"/>
        </w:rPr>
      </w:pPr>
      <w:r w:rsidRPr="00ED2933">
        <w:rPr>
          <w:rFonts w:eastAsia="Calibri" w:cstheme="minorHAnsi"/>
        </w:rPr>
        <w:lastRenderedPageBreak/>
        <w:t>1.2.3</w:t>
      </w:r>
      <w:r w:rsidR="00DC7660" w:rsidRPr="00ED2933">
        <w:rPr>
          <w:rFonts w:eastAsia="Calibri" w:cstheme="minorHAnsi"/>
        </w:rPr>
        <w:tab/>
      </w:r>
      <w:r w:rsidR="00ED2933" w:rsidRPr="00ED2933">
        <w:rPr>
          <w:rFonts w:eastAsia="Calibri" w:cstheme="minorHAnsi"/>
        </w:rPr>
        <w:t>These Guidelines describe the operation of the Program and include relevant information concerning:</w:t>
      </w:r>
    </w:p>
    <w:p w14:paraId="728EDAF1" w14:textId="0826C19A" w:rsidR="00ED2933" w:rsidRPr="00D81F15" w:rsidRDefault="00ED2933" w:rsidP="00087F4A">
      <w:pPr>
        <w:pStyle w:val="ListParagraph"/>
        <w:numPr>
          <w:ilvl w:val="0"/>
          <w:numId w:val="38"/>
        </w:numPr>
        <w:spacing w:before="120" w:after="120" w:line="240" w:lineRule="auto"/>
        <w:ind w:left="1417" w:hanging="357"/>
        <w:rPr>
          <w:rFonts w:asciiTheme="minorHAnsi" w:eastAsia="Calibri" w:hAnsiTheme="minorHAnsi" w:cstheme="minorHAnsi"/>
        </w:rPr>
      </w:pPr>
      <w:r w:rsidRPr="00D81F15">
        <w:rPr>
          <w:rFonts w:asciiTheme="minorHAnsi" w:eastAsia="Calibri" w:hAnsiTheme="minorHAnsi" w:cstheme="minorHAnsi"/>
        </w:rPr>
        <w:t>who is eligible to apply for funding;</w:t>
      </w:r>
    </w:p>
    <w:p w14:paraId="6D723FB7" w14:textId="23C6A8D2" w:rsidR="00ED2933" w:rsidRPr="00D81F15" w:rsidRDefault="00ED2933" w:rsidP="00087F4A">
      <w:pPr>
        <w:pStyle w:val="ListParagraph"/>
        <w:numPr>
          <w:ilvl w:val="0"/>
          <w:numId w:val="38"/>
        </w:numPr>
        <w:spacing w:before="120" w:after="120" w:line="240" w:lineRule="auto"/>
        <w:ind w:left="1417" w:hanging="357"/>
        <w:rPr>
          <w:rFonts w:asciiTheme="minorHAnsi" w:eastAsia="Calibri" w:hAnsiTheme="minorHAnsi" w:cstheme="minorHAnsi"/>
        </w:rPr>
      </w:pPr>
      <w:r w:rsidRPr="00D81F15">
        <w:rPr>
          <w:rFonts w:asciiTheme="minorHAnsi" w:eastAsia="Calibri" w:hAnsiTheme="minorHAnsi" w:cstheme="minorHAnsi"/>
        </w:rPr>
        <w:t xml:space="preserve">how to apply for the funding; and </w:t>
      </w:r>
    </w:p>
    <w:p w14:paraId="03169278" w14:textId="4E23AACD" w:rsidR="000A271A" w:rsidRPr="00D81F15" w:rsidRDefault="00ED2933" w:rsidP="00087F4A">
      <w:pPr>
        <w:pStyle w:val="ListParagraph"/>
        <w:numPr>
          <w:ilvl w:val="0"/>
          <w:numId w:val="38"/>
        </w:numPr>
        <w:spacing w:before="120" w:after="120" w:line="240" w:lineRule="auto"/>
        <w:ind w:left="1417" w:hanging="357"/>
        <w:rPr>
          <w:rFonts w:asciiTheme="minorHAnsi" w:eastAsia="Calibri" w:hAnsiTheme="minorHAnsi" w:cstheme="minorHAnsi"/>
        </w:rPr>
      </w:pPr>
      <w:r w:rsidRPr="00D81F15">
        <w:rPr>
          <w:rFonts w:asciiTheme="minorHAnsi" w:eastAsia="Calibri" w:hAnsiTheme="minorHAnsi" w:cstheme="minorHAnsi"/>
        </w:rPr>
        <w:t>how the funding will be allocated under Round 4 of the Program.</w:t>
      </w:r>
    </w:p>
    <w:p w14:paraId="50EC7FDC" w14:textId="12530A96" w:rsidR="00ED2933" w:rsidRPr="00ED2933" w:rsidRDefault="00ED2933" w:rsidP="00DF3E7E">
      <w:pPr>
        <w:pStyle w:val="Bodynumbered-Level1"/>
        <w:spacing w:after="120"/>
        <w:rPr>
          <w:rFonts w:asciiTheme="minorHAnsi" w:hAnsiTheme="minorHAnsi" w:cstheme="minorHAnsi"/>
        </w:rPr>
      </w:pPr>
      <w:r>
        <w:rPr>
          <w:rFonts w:asciiTheme="minorHAnsi" w:hAnsiTheme="minorHAnsi" w:cstheme="minorHAnsi"/>
        </w:rPr>
        <w:t>1.2.4</w:t>
      </w:r>
      <w:r w:rsidRPr="00DD4FEE">
        <w:rPr>
          <w:rFonts w:asciiTheme="minorHAnsi" w:hAnsiTheme="minorHAnsi" w:cstheme="minorHAnsi"/>
        </w:rPr>
        <w:tab/>
      </w:r>
      <w:r w:rsidRPr="00ED2933">
        <w:rPr>
          <w:rFonts w:asciiTheme="minorHAnsi" w:hAnsiTheme="minorHAnsi" w:cstheme="minorHAnsi"/>
        </w:rPr>
        <w:t>These Guidelines aim to ensure Round 4 of the Program is delivered as efficiently, effectively and economically as possible and achieves value for money to the Commonwealth.</w:t>
      </w:r>
      <w:bookmarkStart w:id="8" w:name="_Ref421783365"/>
    </w:p>
    <w:p w14:paraId="03169279" w14:textId="46D99AFF" w:rsidR="00045933" w:rsidRPr="00045933" w:rsidRDefault="00703681" w:rsidP="00DF3E7E">
      <w:pPr>
        <w:pStyle w:val="NoSpacing"/>
        <w:spacing w:before="240" w:after="120"/>
        <w:rPr>
          <w:rFonts w:asciiTheme="majorHAnsi" w:hAnsiTheme="majorHAnsi" w:cstheme="majorHAnsi"/>
        </w:rPr>
      </w:pPr>
      <w:r w:rsidRPr="00C845AF">
        <w:rPr>
          <w:rFonts w:asciiTheme="majorHAnsi" w:hAnsiTheme="majorHAnsi" w:cstheme="majorHAnsi"/>
        </w:rPr>
        <w:t>1</w:t>
      </w:r>
      <w:r w:rsidR="00ED2933" w:rsidRPr="00C845AF">
        <w:rPr>
          <w:rFonts w:asciiTheme="majorHAnsi" w:hAnsiTheme="majorHAnsi" w:cstheme="majorHAnsi"/>
        </w:rPr>
        <w:t>.2.5</w:t>
      </w:r>
      <w:r w:rsidR="00DC7660" w:rsidRPr="00C845AF">
        <w:rPr>
          <w:rFonts w:asciiTheme="majorHAnsi" w:hAnsiTheme="majorHAnsi" w:cstheme="majorHAnsi"/>
        </w:rPr>
        <w:tab/>
      </w:r>
      <w:r w:rsidR="00045933" w:rsidRPr="00C845AF">
        <w:rPr>
          <w:rFonts w:asciiTheme="majorHAnsi" w:hAnsiTheme="majorHAnsi" w:cstheme="majorHAnsi"/>
        </w:rPr>
        <w:t xml:space="preserve">You must read this document before filling out an application. </w:t>
      </w:r>
    </w:p>
    <w:p w14:paraId="0316927A" w14:textId="77777777" w:rsidR="00045933" w:rsidRPr="00DC7660" w:rsidRDefault="00DC7660" w:rsidP="00045933">
      <w:pPr>
        <w:pStyle w:val="Heading2Numbered"/>
        <w:rPr>
          <w:color w:val="auto"/>
        </w:rPr>
      </w:pPr>
      <w:bookmarkStart w:id="9" w:name="_Toc461105052"/>
      <w:bookmarkStart w:id="10" w:name="_Toc467773953"/>
      <w:bookmarkStart w:id="11" w:name="_Toc523411611"/>
      <w:bookmarkEnd w:id="9"/>
      <w:r w:rsidRPr="00DC7660">
        <w:rPr>
          <w:color w:val="auto"/>
        </w:rPr>
        <w:t>Round 4</w:t>
      </w:r>
      <w:r w:rsidR="00045933" w:rsidRPr="00DC7660">
        <w:rPr>
          <w:color w:val="auto"/>
        </w:rPr>
        <w:t xml:space="preserve"> outcomes</w:t>
      </w:r>
      <w:bookmarkEnd w:id="10"/>
      <w:bookmarkEnd w:id="11"/>
      <w:r w:rsidR="00045933" w:rsidRPr="00DC7660">
        <w:rPr>
          <w:color w:val="auto"/>
        </w:rPr>
        <w:t xml:space="preserve"> </w:t>
      </w:r>
      <w:bookmarkEnd w:id="8"/>
    </w:p>
    <w:p w14:paraId="0316927B" w14:textId="77777777" w:rsidR="00DC7660" w:rsidRPr="00DC7660" w:rsidRDefault="00DC7660" w:rsidP="00DC7660">
      <w:r>
        <w:t>1.3.1</w:t>
      </w:r>
      <w:r>
        <w:tab/>
        <w:t xml:space="preserve"> </w:t>
      </w:r>
      <w:r w:rsidRPr="00DC7660">
        <w:t>The objectives of Round 4 of the Program are two-fold:</w:t>
      </w:r>
    </w:p>
    <w:p w14:paraId="0316927C" w14:textId="77777777" w:rsidR="00DC7660" w:rsidRPr="00DC7660" w:rsidRDefault="00DC7660" w:rsidP="00087F4A">
      <w:pPr>
        <w:numPr>
          <w:ilvl w:val="1"/>
          <w:numId w:val="37"/>
        </w:numPr>
        <w:spacing w:before="120" w:after="120" w:line="240" w:lineRule="auto"/>
        <w:ind w:left="1434" w:hanging="357"/>
      </w:pPr>
      <w:r w:rsidRPr="00DC7660">
        <w:t>to improve mobile coverage and competition in regional and remote Australia; and</w:t>
      </w:r>
    </w:p>
    <w:p w14:paraId="0316927D" w14:textId="77777777" w:rsidR="00DC7660" w:rsidRPr="00045933" w:rsidRDefault="00DC7660" w:rsidP="00087F4A">
      <w:pPr>
        <w:numPr>
          <w:ilvl w:val="1"/>
          <w:numId w:val="37"/>
        </w:numPr>
        <w:spacing w:before="120" w:after="120" w:line="240" w:lineRule="auto"/>
        <w:ind w:left="1434" w:hanging="357"/>
      </w:pPr>
      <w:r w:rsidRPr="00DC7660">
        <w:t>to improve voice and data connectivi</w:t>
      </w:r>
      <w:r>
        <w:t xml:space="preserve">ty at </w:t>
      </w:r>
      <w:r w:rsidRPr="00F010A9">
        <w:rPr>
          <w:b/>
        </w:rPr>
        <w:t>Public Interest Premises</w:t>
      </w:r>
      <w:r>
        <w:t>.</w:t>
      </w:r>
    </w:p>
    <w:p w14:paraId="0316927E" w14:textId="77777777" w:rsidR="00045933" w:rsidRDefault="00045933" w:rsidP="00A668C8">
      <w:pPr>
        <w:pStyle w:val="Heading1Numbered"/>
      </w:pPr>
      <w:bookmarkStart w:id="12" w:name="_Toc467773954"/>
      <w:bookmarkStart w:id="13" w:name="_Toc523411612"/>
      <w:r>
        <w:t>Grant amount</w:t>
      </w:r>
      <w:bookmarkEnd w:id="12"/>
      <w:bookmarkEnd w:id="13"/>
    </w:p>
    <w:p w14:paraId="0316927F" w14:textId="77777777" w:rsidR="00DC7660" w:rsidRPr="00F4512E" w:rsidRDefault="00DC7660" w:rsidP="00F4512E">
      <w:pPr>
        <w:pStyle w:val="BodyText1"/>
        <w:rPr>
          <w:rFonts w:asciiTheme="minorHAnsi" w:hAnsiTheme="minorHAnsi" w:cstheme="minorHAnsi"/>
          <w:u w:val="single"/>
        </w:rPr>
      </w:pPr>
      <w:r w:rsidRPr="00F4512E">
        <w:rPr>
          <w:rFonts w:asciiTheme="minorHAnsi" w:hAnsiTheme="minorHAnsi" w:cstheme="minorHAnsi"/>
          <w:u w:val="single"/>
        </w:rPr>
        <w:t xml:space="preserve">Commonwealth funding </w:t>
      </w:r>
    </w:p>
    <w:p w14:paraId="03169280" w14:textId="36DCB543" w:rsidR="00DC7660" w:rsidRPr="00DC7660" w:rsidRDefault="00DC7660" w:rsidP="00DC7660">
      <w:pPr>
        <w:pStyle w:val="Bodynumbered-Level1"/>
        <w:rPr>
          <w:rFonts w:asciiTheme="minorHAnsi" w:hAnsiTheme="minorHAnsi" w:cstheme="minorHAnsi"/>
        </w:rPr>
      </w:pPr>
      <w:r>
        <w:rPr>
          <w:rFonts w:asciiTheme="minorHAnsi" w:hAnsiTheme="minorHAnsi" w:cstheme="minorHAnsi"/>
        </w:rPr>
        <w:t>2</w:t>
      </w:r>
      <w:r w:rsidRPr="00DC7660">
        <w:rPr>
          <w:rFonts w:asciiTheme="minorHAnsi" w:hAnsiTheme="minorHAnsi" w:cstheme="minorHAnsi"/>
        </w:rPr>
        <w:t>.</w:t>
      </w:r>
      <w:r>
        <w:rPr>
          <w:rFonts w:asciiTheme="minorHAnsi" w:hAnsiTheme="minorHAnsi" w:cstheme="minorHAnsi"/>
        </w:rPr>
        <w:t>1</w:t>
      </w:r>
      <w:r w:rsidRPr="00DC7660">
        <w:rPr>
          <w:rFonts w:asciiTheme="minorHAnsi" w:hAnsiTheme="minorHAnsi" w:cstheme="minorHAnsi"/>
        </w:rPr>
        <w:tab/>
        <w:t>The Comm</w:t>
      </w:r>
      <w:r w:rsidR="00A63517">
        <w:rPr>
          <w:rFonts w:asciiTheme="minorHAnsi" w:hAnsiTheme="minorHAnsi" w:cstheme="minorHAnsi"/>
        </w:rPr>
        <w:t xml:space="preserve">onwealth has </w:t>
      </w:r>
      <w:r w:rsidR="00A63517" w:rsidRPr="00C845AF">
        <w:rPr>
          <w:rFonts w:asciiTheme="minorHAnsi" w:hAnsiTheme="minorHAnsi" w:cstheme="minorHAnsi"/>
        </w:rPr>
        <w:t xml:space="preserve">allocated </w:t>
      </w:r>
      <w:r w:rsidR="007A736D">
        <w:rPr>
          <w:rFonts w:asciiTheme="minorHAnsi" w:hAnsiTheme="minorHAnsi" w:cstheme="minorHAnsi"/>
        </w:rPr>
        <w:t xml:space="preserve">up to </w:t>
      </w:r>
      <w:r w:rsidR="00A63517" w:rsidRPr="00C845AF">
        <w:rPr>
          <w:rFonts w:asciiTheme="minorHAnsi" w:hAnsiTheme="minorHAnsi" w:cstheme="minorHAnsi"/>
        </w:rPr>
        <w:t>$2</w:t>
      </w:r>
      <w:r w:rsidR="009110EE">
        <w:rPr>
          <w:rFonts w:asciiTheme="minorHAnsi" w:hAnsiTheme="minorHAnsi" w:cstheme="minorHAnsi"/>
        </w:rPr>
        <w:t>5</w:t>
      </w:r>
      <w:r w:rsidRPr="00C845AF">
        <w:rPr>
          <w:rFonts w:asciiTheme="minorHAnsi" w:hAnsiTheme="minorHAnsi" w:cstheme="minorHAnsi"/>
        </w:rPr>
        <w:t xml:space="preserve"> million</w:t>
      </w:r>
      <w:r w:rsidRPr="00DC7660">
        <w:rPr>
          <w:rFonts w:asciiTheme="minorHAnsi" w:hAnsiTheme="minorHAnsi" w:cstheme="minorHAnsi"/>
        </w:rPr>
        <w:t xml:space="preserve"> (GST exclusive) to Round 4 of the Program.</w:t>
      </w:r>
    </w:p>
    <w:p w14:paraId="03169281" w14:textId="3B7A9A02" w:rsidR="00DC7660" w:rsidRPr="00DC7660" w:rsidRDefault="00F4512E" w:rsidP="00DC7660">
      <w:pPr>
        <w:pStyle w:val="Bodynumbered-Level1"/>
        <w:rPr>
          <w:rFonts w:asciiTheme="minorHAnsi" w:hAnsiTheme="minorHAnsi" w:cstheme="minorHAnsi"/>
        </w:rPr>
      </w:pPr>
      <w:r>
        <w:rPr>
          <w:rFonts w:asciiTheme="minorHAnsi" w:hAnsiTheme="minorHAnsi" w:cstheme="minorHAnsi"/>
        </w:rPr>
        <w:t>2.2</w:t>
      </w:r>
      <w:r w:rsidR="00DC7660" w:rsidRPr="00DC7660">
        <w:rPr>
          <w:rFonts w:asciiTheme="minorHAnsi" w:hAnsiTheme="minorHAnsi" w:cstheme="minorHAnsi"/>
        </w:rPr>
        <w:tab/>
        <w:t xml:space="preserve">The maximum Commonwealth co-contribution to be provided for each </w:t>
      </w:r>
      <w:r w:rsidR="00DC7660" w:rsidRPr="00F010A9">
        <w:rPr>
          <w:rFonts w:asciiTheme="minorHAnsi" w:hAnsiTheme="minorHAnsi" w:cstheme="minorHAnsi"/>
          <w:b/>
        </w:rPr>
        <w:t>Proposed Solution</w:t>
      </w:r>
      <w:r w:rsidR="00DC7660" w:rsidRPr="00F0749F">
        <w:rPr>
          <w:rFonts w:asciiTheme="minorHAnsi" w:hAnsiTheme="minorHAnsi" w:cstheme="minorHAnsi"/>
        </w:rPr>
        <w:t xml:space="preserve"> is $500,000 (GST inclusive) unless it is considered, in accordance with these Guidelines (</w:t>
      </w:r>
      <w:r w:rsidR="00DC7660" w:rsidRPr="00846820">
        <w:rPr>
          <w:rFonts w:asciiTheme="minorHAnsi" w:hAnsiTheme="minorHAnsi" w:cstheme="minorHAnsi"/>
        </w:rPr>
        <w:t xml:space="preserve">see </w:t>
      </w:r>
      <w:r w:rsidR="006134EA" w:rsidRPr="00846820">
        <w:rPr>
          <w:rFonts w:asciiTheme="minorHAnsi" w:hAnsiTheme="minorHAnsi" w:cstheme="minorHAnsi"/>
        </w:rPr>
        <w:t>sections 5.8 to 5.11</w:t>
      </w:r>
      <w:r w:rsidR="00A63517" w:rsidRPr="00F0749F">
        <w:rPr>
          <w:rFonts w:asciiTheme="minorHAnsi" w:hAnsiTheme="minorHAnsi" w:cstheme="minorHAnsi"/>
        </w:rPr>
        <w:t>),</w:t>
      </w:r>
      <w:r w:rsidR="00DC7660" w:rsidRPr="00F0749F">
        <w:rPr>
          <w:rFonts w:asciiTheme="minorHAnsi" w:hAnsiTheme="minorHAnsi" w:cstheme="minorHAnsi"/>
        </w:rPr>
        <w:t xml:space="preserve"> that</w:t>
      </w:r>
      <w:r w:rsidR="00DC7660" w:rsidRPr="00DC7660">
        <w:rPr>
          <w:rFonts w:asciiTheme="minorHAnsi" w:hAnsiTheme="minorHAnsi" w:cstheme="minorHAnsi"/>
        </w:rPr>
        <w:t xml:space="preserve"> a higher Commonwealth co</w:t>
      </w:r>
      <w:r w:rsidR="00DC7660" w:rsidRPr="00DC7660">
        <w:rPr>
          <w:rFonts w:asciiTheme="minorHAnsi" w:hAnsiTheme="minorHAnsi" w:cstheme="minorHAnsi"/>
        </w:rPr>
        <w:noBreakHyphen/>
        <w:t>contribution is merited, when compared to other Proposed Solutions recommended for funding under this round.</w:t>
      </w:r>
    </w:p>
    <w:p w14:paraId="03169284" w14:textId="77777777" w:rsidR="00DC7660" w:rsidRPr="00F4512E" w:rsidRDefault="00DC7660" w:rsidP="00F4512E">
      <w:pPr>
        <w:pStyle w:val="BodyText1"/>
        <w:rPr>
          <w:rFonts w:asciiTheme="minorHAnsi" w:hAnsiTheme="minorHAnsi" w:cstheme="minorHAnsi"/>
          <w:u w:val="single"/>
        </w:rPr>
      </w:pPr>
      <w:r w:rsidRPr="00F4512E">
        <w:rPr>
          <w:rFonts w:asciiTheme="minorHAnsi" w:hAnsiTheme="minorHAnsi" w:cstheme="minorHAnsi"/>
          <w:u w:val="single"/>
        </w:rPr>
        <w:t>Applicant co-contribution</w:t>
      </w:r>
    </w:p>
    <w:p w14:paraId="03169285" w14:textId="25EE264F" w:rsidR="00DC7660" w:rsidRPr="00C26A93" w:rsidRDefault="00F4512E" w:rsidP="00C26A93">
      <w:pPr>
        <w:pStyle w:val="Bodynumbered-Level1"/>
        <w:spacing w:after="120"/>
        <w:rPr>
          <w:rFonts w:asciiTheme="minorHAnsi" w:hAnsiTheme="minorHAnsi" w:cstheme="minorHAnsi"/>
        </w:rPr>
      </w:pPr>
      <w:r>
        <w:rPr>
          <w:rFonts w:asciiTheme="minorHAnsi" w:hAnsiTheme="minorHAnsi" w:cstheme="minorHAnsi"/>
        </w:rPr>
        <w:t>2.3</w:t>
      </w:r>
      <w:r w:rsidR="00C26A93" w:rsidRPr="00C26A93">
        <w:rPr>
          <w:rFonts w:asciiTheme="minorHAnsi" w:hAnsiTheme="minorHAnsi" w:cstheme="minorHAnsi"/>
        </w:rPr>
        <w:tab/>
      </w:r>
      <w:r w:rsidR="00DC7660" w:rsidRPr="00C26A93">
        <w:rPr>
          <w:rFonts w:asciiTheme="minorHAnsi" w:hAnsiTheme="minorHAnsi" w:cstheme="minorHAnsi"/>
        </w:rPr>
        <w:t xml:space="preserve">All </w:t>
      </w:r>
      <w:r w:rsidR="00DC7660" w:rsidRPr="00F010A9">
        <w:rPr>
          <w:rFonts w:asciiTheme="minorHAnsi" w:hAnsiTheme="minorHAnsi" w:cstheme="minorHAnsi"/>
          <w:b/>
        </w:rPr>
        <w:t>Grantees</w:t>
      </w:r>
      <w:r w:rsidR="00DC7660" w:rsidRPr="00C26A93">
        <w:rPr>
          <w:rFonts w:asciiTheme="minorHAnsi" w:hAnsiTheme="minorHAnsi" w:cstheme="minorHAnsi"/>
        </w:rPr>
        <w:t xml:space="preserve"> will be required to make a substantial financial (cash) co-contribution to the capital costs of building or installing each </w:t>
      </w:r>
      <w:r w:rsidR="00DC7660" w:rsidRPr="00F010A9">
        <w:rPr>
          <w:rFonts w:asciiTheme="minorHAnsi" w:hAnsiTheme="minorHAnsi" w:cstheme="minorHAnsi"/>
          <w:b/>
        </w:rPr>
        <w:t>Funded Solution</w:t>
      </w:r>
      <w:r w:rsidR="00DC7660" w:rsidRPr="00C26A93">
        <w:rPr>
          <w:rFonts w:asciiTheme="minorHAnsi" w:hAnsiTheme="minorHAnsi" w:cstheme="minorHAnsi"/>
        </w:rPr>
        <w:t>.</w:t>
      </w:r>
    </w:p>
    <w:p w14:paraId="03169286" w14:textId="77777777" w:rsidR="00C26A93" w:rsidRPr="00F4512E" w:rsidRDefault="00C26A93" w:rsidP="00F4512E">
      <w:pPr>
        <w:pStyle w:val="BodyText1"/>
        <w:rPr>
          <w:rFonts w:asciiTheme="minorHAnsi" w:hAnsiTheme="minorHAnsi" w:cstheme="minorHAnsi"/>
          <w:u w:val="single"/>
        </w:rPr>
      </w:pPr>
      <w:r w:rsidRPr="00F4512E">
        <w:rPr>
          <w:rFonts w:asciiTheme="minorHAnsi" w:hAnsiTheme="minorHAnsi" w:cstheme="minorHAnsi"/>
          <w:u w:val="single"/>
        </w:rPr>
        <w:t>Third Party funding co-contributions</w:t>
      </w:r>
    </w:p>
    <w:p w14:paraId="03169287" w14:textId="5D89B9DD" w:rsidR="00C26A93" w:rsidRPr="00C26A93" w:rsidRDefault="00F4512E" w:rsidP="00C26A93">
      <w:pPr>
        <w:pStyle w:val="Bodynumbered-Level1"/>
        <w:rPr>
          <w:rFonts w:asciiTheme="minorHAnsi" w:hAnsiTheme="minorHAnsi" w:cstheme="minorHAnsi"/>
        </w:rPr>
      </w:pPr>
      <w:r>
        <w:rPr>
          <w:rFonts w:asciiTheme="minorHAnsi" w:hAnsiTheme="minorHAnsi" w:cstheme="minorHAnsi"/>
        </w:rPr>
        <w:t>2.4</w:t>
      </w:r>
      <w:r w:rsidR="00C26A93" w:rsidRPr="00C26A93">
        <w:rPr>
          <w:rFonts w:asciiTheme="minorHAnsi" w:hAnsiTheme="minorHAnsi" w:cstheme="minorHAnsi"/>
        </w:rPr>
        <w:tab/>
        <w:t xml:space="preserve">To increase the reach of the Program, applicants are encouraged to seek financial </w:t>
      </w:r>
      <w:r w:rsidR="00C26A93" w:rsidRPr="00C26A93">
        <w:rPr>
          <w:rFonts w:asciiTheme="minorHAnsi" w:hAnsiTheme="minorHAnsi" w:cstheme="minorHAnsi"/>
        </w:rPr>
        <w:br/>
        <w:t>co-contributions from State, Territory or local governments, local communities and/or other third parties.</w:t>
      </w:r>
    </w:p>
    <w:p w14:paraId="03169288" w14:textId="4AC7B1B5" w:rsidR="00C26A93" w:rsidRPr="00C26A93" w:rsidRDefault="00F4512E" w:rsidP="00C26A93">
      <w:pPr>
        <w:pStyle w:val="Bodynumbered-Level1"/>
        <w:rPr>
          <w:rFonts w:asciiTheme="minorHAnsi" w:hAnsiTheme="minorHAnsi" w:cstheme="minorHAnsi"/>
        </w:rPr>
      </w:pPr>
      <w:r>
        <w:rPr>
          <w:rFonts w:asciiTheme="minorHAnsi" w:hAnsiTheme="minorHAnsi" w:cstheme="minorHAnsi"/>
        </w:rPr>
        <w:t>2.5</w:t>
      </w:r>
      <w:r w:rsidR="00C26A93" w:rsidRPr="00C26A93">
        <w:rPr>
          <w:rFonts w:asciiTheme="minorHAnsi" w:hAnsiTheme="minorHAnsi" w:cstheme="minorHAnsi"/>
        </w:rPr>
        <w:tab/>
        <w:t xml:space="preserve">During the application period, applicants are strongly encouraged to consult with State, Territory and local governments and local communities regarding the locations for which they intend to build Proposed Solutions. These consultations should include any specific areas identified within the location which would be considered desirable </w:t>
      </w:r>
      <w:r w:rsidR="00C26A93" w:rsidRPr="00C26A93">
        <w:rPr>
          <w:rFonts w:asciiTheme="minorHAnsi" w:hAnsiTheme="minorHAnsi" w:cstheme="minorHAnsi"/>
        </w:rPr>
        <w:lastRenderedPageBreak/>
        <w:t xml:space="preserve">to be covered by the </w:t>
      </w:r>
      <w:r w:rsidR="00C26A93" w:rsidRPr="00F010A9">
        <w:rPr>
          <w:rFonts w:asciiTheme="minorHAnsi" w:hAnsiTheme="minorHAnsi" w:cstheme="minorHAnsi"/>
        </w:rPr>
        <w:t>Proposed Solution</w:t>
      </w:r>
      <w:r w:rsidR="00C26A93" w:rsidRPr="00C26A93">
        <w:rPr>
          <w:rFonts w:asciiTheme="minorHAnsi" w:hAnsiTheme="minorHAnsi" w:cstheme="minorHAnsi"/>
        </w:rPr>
        <w:t xml:space="preserve"> e.g. specific roads, recreational areas, </w:t>
      </w:r>
      <w:r w:rsidR="00C26A93" w:rsidRPr="00F010A9">
        <w:rPr>
          <w:rFonts w:asciiTheme="minorHAnsi" w:hAnsiTheme="minorHAnsi" w:cstheme="minorHAnsi"/>
        </w:rPr>
        <w:t>Public Interest Premises</w:t>
      </w:r>
      <w:r w:rsidR="00C26A93" w:rsidRPr="00C26A93">
        <w:rPr>
          <w:rFonts w:asciiTheme="minorHAnsi" w:hAnsiTheme="minorHAnsi" w:cstheme="minorHAnsi"/>
        </w:rPr>
        <w:t xml:space="preserve"> etc. </w:t>
      </w:r>
    </w:p>
    <w:p w14:paraId="03169289" w14:textId="5DBFE14F" w:rsidR="00C26A93" w:rsidRPr="00C26A93" w:rsidRDefault="00F4512E" w:rsidP="00C26A93">
      <w:pPr>
        <w:pStyle w:val="Bodynumbered-Level1"/>
        <w:rPr>
          <w:rFonts w:asciiTheme="minorHAnsi" w:hAnsiTheme="minorHAnsi" w:cstheme="minorHAnsi"/>
        </w:rPr>
      </w:pPr>
      <w:r>
        <w:rPr>
          <w:rFonts w:asciiTheme="minorHAnsi" w:hAnsiTheme="minorHAnsi" w:cstheme="minorHAnsi"/>
        </w:rPr>
        <w:t>2.6</w:t>
      </w:r>
      <w:r w:rsidR="00C26A93" w:rsidRPr="00C26A93">
        <w:rPr>
          <w:rFonts w:asciiTheme="minorHAnsi" w:hAnsiTheme="minorHAnsi" w:cstheme="minorHAnsi"/>
        </w:rPr>
        <w:tab/>
        <w:t>Where applicants can confirm the level of co</w:t>
      </w:r>
      <w:r w:rsidR="00C26A93" w:rsidRPr="00C26A93">
        <w:rPr>
          <w:rFonts w:asciiTheme="minorHAnsi" w:hAnsiTheme="minorHAnsi" w:cstheme="minorHAnsi"/>
        </w:rPr>
        <w:noBreakHyphen/>
        <w:t>contributions that State, Territory or local governments or other third</w:t>
      </w:r>
      <w:r w:rsidR="00C26A93" w:rsidRPr="00C26A93">
        <w:rPr>
          <w:rFonts w:asciiTheme="minorHAnsi" w:hAnsiTheme="minorHAnsi" w:cstheme="minorHAnsi"/>
        </w:rPr>
        <w:noBreakHyphen/>
        <w:t xml:space="preserve">parties propose to make, applicants should include this in their application in respect of the relevant </w:t>
      </w:r>
      <w:r w:rsidR="00C26A93" w:rsidRPr="009D2F66">
        <w:rPr>
          <w:rFonts w:asciiTheme="minorHAnsi" w:hAnsiTheme="minorHAnsi" w:cstheme="minorHAnsi"/>
        </w:rPr>
        <w:t>Proposed Solution</w:t>
      </w:r>
      <w:r w:rsidR="00C26A93" w:rsidRPr="00C26A93">
        <w:rPr>
          <w:rFonts w:asciiTheme="minorHAnsi" w:hAnsiTheme="minorHAnsi" w:cstheme="minorHAnsi"/>
        </w:rPr>
        <w:t>.</w:t>
      </w:r>
    </w:p>
    <w:p w14:paraId="0316928A" w14:textId="32C9986D" w:rsidR="00C26A93" w:rsidRPr="00C26A93" w:rsidRDefault="00F4512E" w:rsidP="00C26A93">
      <w:pPr>
        <w:pStyle w:val="Bodynumbered-Level1"/>
        <w:rPr>
          <w:rFonts w:asciiTheme="minorHAnsi" w:hAnsiTheme="minorHAnsi" w:cstheme="minorHAnsi"/>
        </w:rPr>
      </w:pPr>
      <w:r>
        <w:rPr>
          <w:rFonts w:asciiTheme="minorHAnsi" w:hAnsiTheme="minorHAnsi" w:cstheme="minorHAnsi"/>
        </w:rPr>
        <w:t>2.7</w:t>
      </w:r>
      <w:r w:rsidR="00C26A93" w:rsidRPr="00C26A93">
        <w:rPr>
          <w:rFonts w:asciiTheme="minorHAnsi" w:hAnsiTheme="minorHAnsi" w:cstheme="minorHAnsi"/>
        </w:rPr>
        <w:tab/>
        <w:t xml:space="preserve">The appropriate contact details for each State, Territory and local government, and </w:t>
      </w:r>
      <w:r w:rsidR="00C26A93" w:rsidRPr="00C26A93">
        <w:rPr>
          <w:rFonts w:asciiTheme="minorHAnsi" w:hAnsiTheme="minorHAnsi" w:cstheme="minorHAnsi"/>
          <w:b/>
        </w:rPr>
        <w:t>NBN Co,</w:t>
      </w:r>
      <w:r w:rsidR="00C26A93" w:rsidRPr="00C26A93">
        <w:rPr>
          <w:rFonts w:asciiTheme="minorHAnsi" w:hAnsiTheme="minorHAnsi" w:cstheme="minorHAnsi"/>
        </w:rPr>
        <w:t xml:space="preserve"> are at </w:t>
      </w:r>
      <w:r w:rsidR="00414D4D" w:rsidRPr="00087F4A">
        <w:rPr>
          <w:rFonts w:asciiTheme="minorHAnsi" w:hAnsiTheme="minorHAnsi" w:cstheme="minorHAnsi"/>
        </w:rPr>
        <w:t>Appendix</w:t>
      </w:r>
      <w:r w:rsidR="00C845AF" w:rsidRPr="00087F4A">
        <w:rPr>
          <w:rFonts w:asciiTheme="minorHAnsi" w:hAnsiTheme="minorHAnsi" w:cstheme="minorHAnsi"/>
        </w:rPr>
        <w:t xml:space="preserve"> C</w:t>
      </w:r>
      <w:r w:rsidR="00C26A93" w:rsidRPr="00087F4A">
        <w:rPr>
          <w:rFonts w:asciiTheme="minorHAnsi" w:hAnsiTheme="minorHAnsi" w:cstheme="minorHAnsi"/>
        </w:rPr>
        <w:t>.</w:t>
      </w:r>
      <w:r w:rsidR="00C26A93" w:rsidRPr="00C26A93">
        <w:rPr>
          <w:rFonts w:asciiTheme="minorHAnsi" w:hAnsiTheme="minorHAnsi" w:cstheme="minorHAnsi"/>
        </w:rPr>
        <w:t xml:space="preserve"> Applicants are solely responsible for forming relationships and negotiating contributions with any relevant parties, and for testing or verifying any advice received from these parties.</w:t>
      </w:r>
    </w:p>
    <w:p w14:paraId="0316928B" w14:textId="43EB4C58" w:rsidR="00C26A93" w:rsidRPr="00C26A93" w:rsidRDefault="00F4512E" w:rsidP="00C26A93">
      <w:pPr>
        <w:pStyle w:val="Bodynumbered-Level1"/>
        <w:rPr>
          <w:rFonts w:asciiTheme="minorHAnsi" w:hAnsiTheme="minorHAnsi" w:cstheme="minorHAnsi"/>
        </w:rPr>
      </w:pPr>
      <w:r>
        <w:rPr>
          <w:rFonts w:asciiTheme="minorHAnsi" w:hAnsiTheme="minorHAnsi" w:cstheme="minorHAnsi"/>
        </w:rPr>
        <w:t>2.8</w:t>
      </w:r>
      <w:r w:rsidR="00C26A93" w:rsidRPr="00C26A93">
        <w:rPr>
          <w:rFonts w:asciiTheme="minorHAnsi" w:hAnsiTheme="minorHAnsi" w:cstheme="minorHAnsi"/>
        </w:rPr>
        <w:tab/>
        <w:t xml:space="preserve">For </w:t>
      </w:r>
      <w:r w:rsidR="00C26A93" w:rsidRPr="00F010A9">
        <w:rPr>
          <w:rFonts w:asciiTheme="minorHAnsi" w:hAnsiTheme="minorHAnsi" w:cstheme="minorHAnsi"/>
        </w:rPr>
        <w:t>Funded Solutions</w:t>
      </w:r>
      <w:r w:rsidR="00C26A93" w:rsidRPr="00C26A93">
        <w:rPr>
          <w:rFonts w:asciiTheme="minorHAnsi" w:hAnsiTheme="minorHAnsi" w:cstheme="minorHAnsi"/>
        </w:rPr>
        <w:t xml:space="preserve"> that include a co-contribution from a State or Territory government, the Department expects that </w:t>
      </w:r>
      <w:r w:rsidR="00C26A93" w:rsidRPr="00F010A9">
        <w:rPr>
          <w:rFonts w:asciiTheme="minorHAnsi" w:hAnsiTheme="minorHAnsi" w:cstheme="minorHAnsi"/>
        </w:rPr>
        <w:t>Grantees</w:t>
      </w:r>
      <w:r w:rsidR="00C26A93" w:rsidRPr="00C26A93">
        <w:rPr>
          <w:rFonts w:asciiTheme="minorHAnsi" w:hAnsiTheme="minorHAnsi" w:cstheme="minorHAnsi"/>
        </w:rPr>
        <w:t xml:space="preserve"> will enter into a </w:t>
      </w:r>
      <w:r w:rsidR="00C26A93" w:rsidRPr="00F010A9">
        <w:rPr>
          <w:rFonts w:asciiTheme="minorHAnsi" w:hAnsiTheme="minorHAnsi" w:cstheme="minorHAnsi"/>
          <w:b/>
        </w:rPr>
        <w:t>Grant Agreement</w:t>
      </w:r>
      <w:r w:rsidR="00C26A93" w:rsidRPr="00C26A93">
        <w:rPr>
          <w:rFonts w:asciiTheme="minorHAnsi" w:hAnsiTheme="minorHAnsi" w:cstheme="minorHAnsi"/>
        </w:rPr>
        <w:t xml:space="preserve"> with the Commonwealth and a separate agreement with the respective State or Territory government. </w:t>
      </w:r>
    </w:p>
    <w:p w14:paraId="0316928C" w14:textId="49DFC5FF" w:rsidR="00C26A93" w:rsidRPr="00C26A93" w:rsidRDefault="00F4512E" w:rsidP="00C26A93">
      <w:pPr>
        <w:pStyle w:val="Bodynumbered-Level1"/>
        <w:rPr>
          <w:rFonts w:asciiTheme="minorHAnsi" w:hAnsiTheme="minorHAnsi" w:cstheme="minorHAnsi"/>
          <w:b/>
        </w:rPr>
      </w:pPr>
      <w:r>
        <w:rPr>
          <w:rFonts w:asciiTheme="minorHAnsi" w:hAnsiTheme="minorHAnsi" w:cstheme="minorHAnsi"/>
        </w:rPr>
        <w:t>2.9</w:t>
      </w:r>
      <w:r w:rsidR="00C26A93" w:rsidRPr="00C26A93">
        <w:rPr>
          <w:rFonts w:asciiTheme="minorHAnsi" w:hAnsiTheme="minorHAnsi" w:cstheme="minorHAnsi"/>
        </w:rPr>
        <w:tab/>
        <w:t xml:space="preserve">State, Territory and local governments may own infrastructure in location areas that could potentially be used for </w:t>
      </w:r>
      <w:r w:rsidR="00C26A93" w:rsidRPr="00F010A9">
        <w:rPr>
          <w:rFonts w:asciiTheme="minorHAnsi" w:hAnsiTheme="minorHAnsi" w:cstheme="minorHAnsi"/>
        </w:rPr>
        <w:t>Funded Solutions</w:t>
      </w:r>
      <w:r w:rsidR="00C26A93" w:rsidRPr="00C26A93">
        <w:rPr>
          <w:rFonts w:asciiTheme="minorHAnsi" w:hAnsiTheme="minorHAnsi" w:cstheme="minorHAnsi"/>
        </w:rPr>
        <w:t xml:space="preserve">. These governments may have specific requirements that will need to be reflected in the applications put forward by applicants for each </w:t>
      </w:r>
      <w:r w:rsidR="00C26A93" w:rsidRPr="00F010A9">
        <w:rPr>
          <w:rFonts w:asciiTheme="minorHAnsi" w:hAnsiTheme="minorHAnsi" w:cstheme="minorHAnsi"/>
        </w:rPr>
        <w:t>Proposed Solution</w:t>
      </w:r>
      <w:r w:rsidR="00C26A93" w:rsidRPr="00C26A93">
        <w:rPr>
          <w:rFonts w:asciiTheme="minorHAnsi" w:hAnsiTheme="minorHAnsi" w:cstheme="minorHAnsi"/>
          <w:b/>
        </w:rPr>
        <w:t>.</w:t>
      </w:r>
    </w:p>
    <w:p w14:paraId="0316928D" w14:textId="007CDCE2" w:rsidR="00C26A93" w:rsidRPr="00C26A93" w:rsidRDefault="00F4512E" w:rsidP="00C26A93">
      <w:pPr>
        <w:pStyle w:val="Bodynumbered-Level1"/>
        <w:rPr>
          <w:rFonts w:asciiTheme="minorHAnsi" w:hAnsiTheme="minorHAnsi" w:cstheme="minorHAnsi"/>
        </w:rPr>
      </w:pPr>
      <w:r>
        <w:rPr>
          <w:rFonts w:asciiTheme="minorHAnsi" w:hAnsiTheme="minorHAnsi" w:cstheme="minorHAnsi"/>
        </w:rPr>
        <w:t>2.10</w:t>
      </w:r>
      <w:r w:rsidR="00C26A93" w:rsidRPr="00C26A93">
        <w:rPr>
          <w:rFonts w:asciiTheme="minorHAnsi" w:hAnsiTheme="minorHAnsi" w:cstheme="minorHAnsi"/>
        </w:rPr>
        <w:tab/>
        <w:t xml:space="preserve">For </w:t>
      </w:r>
      <w:r w:rsidR="00C26A93" w:rsidRPr="00F010A9">
        <w:rPr>
          <w:rFonts w:asciiTheme="minorHAnsi" w:hAnsiTheme="minorHAnsi" w:cstheme="minorHAnsi"/>
        </w:rPr>
        <w:t>Proposed Solutions</w:t>
      </w:r>
      <w:r w:rsidR="00C26A93" w:rsidRPr="00C26A93">
        <w:rPr>
          <w:rFonts w:asciiTheme="minorHAnsi" w:hAnsiTheme="minorHAnsi" w:cstheme="minorHAnsi"/>
        </w:rPr>
        <w:t xml:space="preserve"> that include co-contributions from third parties, a copy of the terms of the third parties’ commitment to the applicant is to be attached to the application for funding. </w:t>
      </w:r>
    </w:p>
    <w:p w14:paraId="0316928E" w14:textId="4FD9F298" w:rsidR="00C26A93" w:rsidRPr="00C26A93" w:rsidRDefault="00F4512E" w:rsidP="00C26A93">
      <w:pPr>
        <w:pStyle w:val="Bodynumbered-Level1"/>
        <w:rPr>
          <w:rFonts w:asciiTheme="minorHAnsi" w:hAnsiTheme="minorHAnsi" w:cstheme="minorHAnsi"/>
          <w:b/>
          <w:bCs/>
        </w:rPr>
      </w:pPr>
      <w:r>
        <w:rPr>
          <w:rFonts w:asciiTheme="minorHAnsi" w:hAnsiTheme="minorHAnsi" w:cstheme="minorHAnsi"/>
        </w:rPr>
        <w:t>2.11</w:t>
      </w:r>
      <w:r w:rsidR="00C26A93" w:rsidRPr="00C26A93">
        <w:rPr>
          <w:rFonts w:asciiTheme="minorHAnsi" w:hAnsiTheme="minorHAnsi" w:cstheme="minorHAnsi"/>
        </w:rPr>
        <w:tab/>
        <w:t xml:space="preserve">For </w:t>
      </w:r>
      <w:r w:rsidR="00C26A93" w:rsidRPr="00F010A9">
        <w:rPr>
          <w:rFonts w:asciiTheme="minorHAnsi" w:hAnsiTheme="minorHAnsi" w:cstheme="minorHAnsi"/>
        </w:rPr>
        <w:t>Funded Solutions</w:t>
      </w:r>
      <w:r w:rsidR="00C26A93" w:rsidRPr="00C26A93">
        <w:rPr>
          <w:rFonts w:asciiTheme="minorHAnsi" w:hAnsiTheme="minorHAnsi" w:cstheme="minorHAnsi"/>
        </w:rPr>
        <w:t xml:space="preserve"> that include co-contributions from third parties, the </w:t>
      </w:r>
      <w:r w:rsidR="00C26A93" w:rsidRPr="00F010A9">
        <w:rPr>
          <w:rFonts w:asciiTheme="minorHAnsi" w:hAnsiTheme="minorHAnsi" w:cstheme="minorHAnsi"/>
        </w:rPr>
        <w:t>Grantee</w:t>
      </w:r>
      <w:r w:rsidR="00C26A93" w:rsidRPr="00C26A93">
        <w:rPr>
          <w:rFonts w:asciiTheme="minorHAnsi" w:hAnsiTheme="minorHAnsi" w:cstheme="minorHAnsi"/>
        </w:rPr>
        <w:t xml:space="preserve"> will bear any costs, and provide that third parties’ funding, if the third parties’ funding is not secured following execution of the </w:t>
      </w:r>
      <w:r w:rsidR="00C26A93" w:rsidRPr="00F010A9">
        <w:rPr>
          <w:rFonts w:asciiTheme="minorHAnsi" w:hAnsiTheme="minorHAnsi" w:cstheme="minorHAnsi"/>
        </w:rPr>
        <w:t>Grant Agreement</w:t>
      </w:r>
      <w:r w:rsidR="00C26A93" w:rsidRPr="00C26A93">
        <w:rPr>
          <w:rFonts w:asciiTheme="minorHAnsi" w:hAnsiTheme="minorHAnsi" w:cstheme="minorHAnsi"/>
        </w:rPr>
        <w:t xml:space="preserve"> between the </w:t>
      </w:r>
      <w:r w:rsidR="00C26A93" w:rsidRPr="00F010A9">
        <w:rPr>
          <w:rFonts w:asciiTheme="minorHAnsi" w:hAnsiTheme="minorHAnsi" w:cstheme="minorHAnsi"/>
        </w:rPr>
        <w:t>Grantee</w:t>
      </w:r>
      <w:r w:rsidR="00C26A93" w:rsidRPr="00C26A93">
        <w:rPr>
          <w:rFonts w:asciiTheme="minorHAnsi" w:hAnsiTheme="minorHAnsi" w:cstheme="minorHAnsi"/>
        </w:rPr>
        <w:t xml:space="preserve"> and the Commonwealth. </w:t>
      </w:r>
    </w:p>
    <w:p w14:paraId="0316928F" w14:textId="77777777" w:rsidR="00C26A93" w:rsidRPr="00F4512E" w:rsidRDefault="00C26A93" w:rsidP="00F4512E">
      <w:pPr>
        <w:pStyle w:val="BodyText1"/>
        <w:rPr>
          <w:rFonts w:asciiTheme="minorHAnsi" w:hAnsiTheme="minorHAnsi" w:cstheme="minorHAnsi"/>
          <w:u w:val="single"/>
        </w:rPr>
      </w:pPr>
      <w:r w:rsidRPr="00F4512E">
        <w:rPr>
          <w:rFonts w:asciiTheme="minorHAnsi" w:hAnsiTheme="minorHAnsi" w:cstheme="minorHAnsi"/>
          <w:u w:val="single"/>
        </w:rPr>
        <w:t>In-kind co-contributions</w:t>
      </w:r>
    </w:p>
    <w:p w14:paraId="03169291" w14:textId="52D873A8" w:rsidR="00581177" w:rsidRDefault="00F4512E" w:rsidP="00742D00">
      <w:pPr>
        <w:pStyle w:val="Bodynumbered-Level1"/>
        <w:rPr>
          <w:rFonts w:asciiTheme="minorHAnsi" w:hAnsiTheme="minorHAnsi" w:cstheme="minorHAnsi"/>
        </w:rPr>
      </w:pPr>
      <w:r>
        <w:rPr>
          <w:rFonts w:asciiTheme="minorHAnsi" w:hAnsiTheme="minorHAnsi" w:cstheme="minorHAnsi"/>
        </w:rPr>
        <w:t>2.12</w:t>
      </w:r>
      <w:r w:rsidR="00C26A93" w:rsidRPr="00C26A93">
        <w:rPr>
          <w:rFonts w:asciiTheme="minorHAnsi" w:hAnsiTheme="minorHAnsi" w:cstheme="minorHAnsi"/>
        </w:rPr>
        <w:tab/>
        <w:t>A third party may wish to provide an incentive for applicants to include a location in their funding applications. Third party incentives may include in</w:t>
      </w:r>
      <w:r w:rsidR="00C26A93" w:rsidRPr="00C26A93">
        <w:rPr>
          <w:rFonts w:asciiTheme="minorHAnsi" w:hAnsiTheme="minorHAnsi" w:cstheme="minorHAnsi"/>
        </w:rPr>
        <w:noBreakHyphen/>
        <w:t>kind co</w:t>
      </w:r>
      <w:r w:rsidR="00C26A93" w:rsidRPr="00C26A93">
        <w:rPr>
          <w:rFonts w:asciiTheme="minorHAnsi" w:hAnsiTheme="minorHAnsi" w:cstheme="minorHAnsi"/>
        </w:rPr>
        <w:noBreakHyphen/>
        <w:t xml:space="preserve">contributions </w:t>
      </w:r>
      <w:r w:rsidR="00C26A93" w:rsidRPr="00F0749F">
        <w:rPr>
          <w:rFonts w:asciiTheme="minorHAnsi" w:hAnsiTheme="minorHAnsi" w:cstheme="minorHAnsi"/>
        </w:rPr>
        <w:t xml:space="preserve">towards the construction of a </w:t>
      </w:r>
      <w:r w:rsidR="00C26A93" w:rsidRPr="00F010A9">
        <w:rPr>
          <w:rFonts w:asciiTheme="minorHAnsi" w:hAnsiTheme="minorHAnsi" w:cstheme="minorHAnsi"/>
        </w:rPr>
        <w:t>Proposed Solution</w:t>
      </w:r>
      <w:r w:rsidR="00C26A93" w:rsidRPr="00F0749F">
        <w:rPr>
          <w:rFonts w:asciiTheme="minorHAnsi" w:hAnsiTheme="minorHAnsi" w:cstheme="minorHAnsi"/>
        </w:rPr>
        <w:t xml:space="preserve"> such as the co-contributions outlined in </w:t>
      </w:r>
      <w:r w:rsidR="006134EA" w:rsidRPr="00846820">
        <w:rPr>
          <w:rFonts w:asciiTheme="minorHAnsi" w:hAnsiTheme="minorHAnsi" w:cstheme="minorHAnsi"/>
        </w:rPr>
        <w:t>section 2.13</w:t>
      </w:r>
      <w:r w:rsidR="00C26A93" w:rsidRPr="00846820">
        <w:rPr>
          <w:rFonts w:asciiTheme="minorHAnsi" w:hAnsiTheme="minorHAnsi" w:cstheme="minorHAnsi"/>
        </w:rPr>
        <w:t>.</w:t>
      </w:r>
      <w:r w:rsidR="00C26A93" w:rsidRPr="00C26A93">
        <w:rPr>
          <w:rFonts w:asciiTheme="minorHAnsi" w:hAnsiTheme="minorHAnsi" w:cstheme="minorHAnsi"/>
        </w:rPr>
        <w:t xml:space="preserve"> </w:t>
      </w:r>
    </w:p>
    <w:p w14:paraId="03169292" w14:textId="005F9C90" w:rsidR="00C26A93" w:rsidRPr="00C26A93" w:rsidRDefault="00F4512E" w:rsidP="00C26A93">
      <w:pPr>
        <w:pStyle w:val="Bodynumbered-Level1"/>
        <w:spacing w:after="120"/>
        <w:rPr>
          <w:rFonts w:asciiTheme="minorHAnsi" w:hAnsiTheme="minorHAnsi" w:cstheme="minorHAnsi"/>
        </w:rPr>
      </w:pPr>
      <w:r>
        <w:rPr>
          <w:rFonts w:asciiTheme="minorHAnsi" w:hAnsiTheme="minorHAnsi" w:cstheme="minorHAnsi"/>
        </w:rPr>
        <w:t>2.13</w:t>
      </w:r>
      <w:r w:rsidR="00C26A93" w:rsidRPr="00C26A93">
        <w:rPr>
          <w:rFonts w:asciiTheme="minorHAnsi" w:hAnsiTheme="minorHAnsi" w:cstheme="minorHAnsi"/>
        </w:rPr>
        <w:tab/>
        <w:t>In-kind co-contributions could include:</w:t>
      </w:r>
    </w:p>
    <w:p w14:paraId="03169293" w14:textId="77777777" w:rsidR="00C26A93" w:rsidRPr="00C26A93" w:rsidRDefault="00C26A93" w:rsidP="000746F9">
      <w:pPr>
        <w:pStyle w:val="Bodynumbered-Level3"/>
        <w:numPr>
          <w:ilvl w:val="0"/>
          <w:numId w:val="14"/>
        </w:numPr>
        <w:spacing w:before="120" w:after="120"/>
        <w:ind w:left="1276" w:hanging="567"/>
        <w:rPr>
          <w:rFonts w:asciiTheme="minorHAnsi" w:hAnsiTheme="minorHAnsi" w:cstheme="minorHAnsi"/>
        </w:rPr>
      </w:pPr>
      <w:r w:rsidRPr="00C26A93">
        <w:rPr>
          <w:rFonts w:asciiTheme="minorHAnsi" w:hAnsiTheme="minorHAnsi" w:cstheme="minorHAnsi"/>
        </w:rPr>
        <w:t>assistance with identifying and consulting with the local community on a suitable site;</w:t>
      </w:r>
    </w:p>
    <w:p w14:paraId="03169294" w14:textId="77777777" w:rsidR="00C26A93" w:rsidRPr="00C26A93" w:rsidRDefault="00C26A93" w:rsidP="000746F9">
      <w:pPr>
        <w:pStyle w:val="Bodynumbered-Level3"/>
        <w:numPr>
          <w:ilvl w:val="0"/>
          <w:numId w:val="14"/>
        </w:numPr>
        <w:spacing w:before="120" w:after="120"/>
        <w:ind w:left="1276" w:hanging="567"/>
        <w:rPr>
          <w:rFonts w:asciiTheme="minorHAnsi" w:hAnsiTheme="minorHAnsi" w:cstheme="minorHAnsi"/>
        </w:rPr>
      </w:pPr>
      <w:r w:rsidRPr="00C26A93">
        <w:rPr>
          <w:rFonts w:asciiTheme="minorHAnsi" w:hAnsiTheme="minorHAnsi" w:cstheme="minorHAnsi"/>
        </w:rPr>
        <w:t>securing the necessary planning and site approvals;</w:t>
      </w:r>
    </w:p>
    <w:p w14:paraId="03169295" w14:textId="77777777" w:rsidR="00C26A93" w:rsidRPr="00C26A93" w:rsidRDefault="00C26A93" w:rsidP="000746F9">
      <w:pPr>
        <w:pStyle w:val="Bodynumbered-Level3"/>
        <w:numPr>
          <w:ilvl w:val="0"/>
          <w:numId w:val="14"/>
        </w:numPr>
        <w:spacing w:before="120" w:after="120"/>
        <w:ind w:left="1276" w:hanging="567"/>
        <w:rPr>
          <w:rFonts w:asciiTheme="minorHAnsi" w:hAnsiTheme="minorHAnsi" w:cstheme="minorHAnsi"/>
        </w:rPr>
      </w:pPr>
      <w:r w:rsidRPr="00C26A93">
        <w:rPr>
          <w:rFonts w:asciiTheme="minorHAnsi" w:hAnsiTheme="minorHAnsi" w:cstheme="minorHAnsi"/>
        </w:rPr>
        <w:t>lease arrangements;</w:t>
      </w:r>
    </w:p>
    <w:p w14:paraId="03169296" w14:textId="77777777" w:rsidR="00C26A93" w:rsidRPr="00C26A93" w:rsidRDefault="00C26A93" w:rsidP="000746F9">
      <w:pPr>
        <w:pStyle w:val="Bodynumbered-Level3"/>
        <w:numPr>
          <w:ilvl w:val="0"/>
          <w:numId w:val="14"/>
        </w:numPr>
        <w:spacing w:before="120" w:after="120"/>
        <w:ind w:left="1276" w:hanging="567"/>
        <w:rPr>
          <w:rFonts w:asciiTheme="minorHAnsi" w:hAnsiTheme="minorHAnsi" w:cstheme="minorHAnsi"/>
        </w:rPr>
      </w:pPr>
      <w:r w:rsidRPr="00C26A93">
        <w:rPr>
          <w:rFonts w:asciiTheme="minorHAnsi" w:hAnsiTheme="minorHAnsi" w:cstheme="minorHAnsi"/>
        </w:rPr>
        <w:t>civil works required for access to the site;</w:t>
      </w:r>
    </w:p>
    <w:p w14:paraId="03169297" w14:textId="77777777" w:rsidR="00C26A93" w:rsidRPr="00C26A93" w:rsidRDefault="00C26A93" w:rsidP="000746F9">
      <w:pPr>
        <w:pStyle w:val="Bodynumbered-Level3"/>
        <w:numPr>
          <w:ilvl w:val="0"/>
          <w:numId w:val="14"/>
        </w:numPr>
        <w:spacing w:before="120" w:after="120"/>
        <w:ind w:left="1276" w:hanging="567"/>
        <w:rPr>
          <w:rFonts w:asciiTheme="minorHAnsi" w:hAnsiTheme="minorHAnsi" w:cstheme="minorHAnsi"/>
        </w:rPr>
      </w:pPr>
      <w:r w:rsidRPr="00C26A93">
        <w:rPr>
          <w:rFonts w:asciiTheme="minorHAnsi" w:hAnsiTheme="minorHAnsi" w:cstheme="minorHAnsi"/>
        </w:rPr>
        <w:t>assistance with coordinating power to the site; or</w:t>
      </w:r>
    </w:p>
    <w:p w14:paraId="03169298" w14:textId="77777777" w:rsidR="00C26A93" w:rsidRPr="00C26A93" w:rsidRDefault="00C26A93" w:rsidP="000746F9">
      <w:pPr>
        <w:pStyle w:val="Bodynumbered-Level3"/>
        <w:numPr>
          <w:ilvl w:val="0"/>
          <w:numId w:val="14"/>
        </w:numPr>
        <w:spacing w:before="120" w:after="120"/>
        <w:ind w:left="1276" w:hanging="567"/>
        <w:rPr>
          <w:rFonts w:asciiTheme="minorHAnsi" w:hAnsiTheme="minorHAnsi" w:cstheme="minorHAnsi"/>
        </w:rPr>
      </w:pPr>
      <w:r w:rsidRPr="00C26A93">
        <w:rPr>
          <w:rFonts w:asciiTheme="minorHAnsi" w:hAnsiTheme="minorHAnsi" w:cstheme="minorHAnsi"/>
        </w:rPr>
        <w:t>facilitating access to existing infrastructure.</w:t>
      </w:r>
    </w:p>
    <w:p w14:paraId="03169299" w14:textId="2BB00959" w:rsidR="00C26A93" w:rsidRPr="00C26A93" w:rsidRDefault="00F4512E" w:rsidP="00C26A93">
      <w:pPr>
        <w:pStyle w:val="Bodynumbered-Level1"/>
        <w:rPr>
          <w:rFonts w:asciiTheme="minorHAnsi" w:hAnsiTheme="minorHAnsi" w:cstheme="minorHAnsi"/>
        </w:rPr>
      </w:pPr>
      <w:r>
        <w:rPr>
          <w:rFonts w:asciiTheme="minorHAnsi" w:hAnsiTheme="minorHAnsi" w:cstheme="minorHAnsi"/>
        </w:rPr>
        <w:t>2.14</w:t>
      </w:r>
      <w:r w:rsidR="00C26A93" w:rsidRPr="00C26A93">
        <w:rPr>
          <w:rFonts w:asciiTheme="minorHAnsi" w:hAnsiTheme="minorHAnsi" w:cstheme="minorHAnsi"/>
        </w:rPr>
        <w:tab/>
        <w:t xml:space="preserve">Third party contributions are the responsibility of the applicant, and can be reflected in a reduction in the amount of funding an applicant seeks for a </w:t>
      </w:r>
      <w:r w:rsidR="00C26A93" w:rsidRPr="00F010A9">
        <w:rPr>
          <w:rFonts w:asciiTheme="minorHAnsi" w:hAnsiTheme="minorHAnsi" w:cstheme="minorHAnsi"/>
        </w:rPr>
        <w:t>Proposed Solution</w:t>
      </w:r>
      <w:r w:rsidR="00C26A93" w:rsidRPr="00C26A93">
        <w:rPr>
          <w:rFonts w:asciiTheme="minorHAnsi" w:hAnsiTheme="minorHAnsi" w:cstheme="minorHAnsi"/>
        </w:rPr>
        <w:t>.</w:t>
      </w:r>
    </w:p>
    <w:p w14:paraId="0316929A" w14:textId="58DD1E90" w:rsidR="00045933" w:rsidRPr="00C26A93" w:rsidRDefault="00F4512E" w:rsidP="00C26A93">
      <w:pPr>
        <w:pStyle w:val="Bodynumbered-Level1"/>
        <w:rPr>
          <w:rFonts w:asciiTheme="minorHAnsi" w:hAnsiTheme="minorHAnsi" w:cstheme="minorHAnsi"/>
        </w:rPr>
      </w:pPr>
      <w:r>
        <w:rPr>
          <w:rFonts w:asciiTheme="minorHAnsi" w:hAnsiTheme="minorHAnsi" w:cstheme="minorHAnsi"/>
        </w:rPr>
        <w:lastRenderedPageBreak/>
        <w:t>2.15</w:t>
      </w:r>
      <w:r w:rsidR="00C26A93" w:rsidRPr="00C26A93">
        <w:rPr>
          <w:rFonts w:asciiTheme="minorHAnsi" w:hAnsiTheme="minorHAnsi" w:cstheme="minorHAnsi"/>
        </w:rPr>
        <w:tab/>
        <w:t>Applicants are responsible for forming relationships and negotiating contributions with any relevant parties, and for testing or verifying any advice received from these parties.</w:t>
      </w:r>
    </w:p>
    <w:p w14:paraId="0316929B" w14:textId="77777777" w:rsidR="00340616" w:rsidRPr="00B72EE8" w:rsidRDefault="00340616" w:rsidP="00340616">
      <w:pPr>
        <w:pStyle w:val="Heading1Numbered"/>
      </w:pPr>
      <w:bookmarkStart w:id="14" w:name="_Toc421777594"/>
      <w:bookmarkStart w:id="15" w:name="_Ref428266971"/>
      <w:bookmarkStart w:id="16" w:name="_Toc467773955"/>
      <w:bookmarkStart w:id="17" w:name="_Toc523411613"/>
      <w:r>
        <w:t>Grant e</w:t>
      </w:r>
      <w:r w:rsidRPr="00B72EE8">
        <w:t>ligibility</w:t>
      </w:r>
      <w:bookmarkEnd w:id="14"/>
      <w:bookmarkEnd w:id="15"/>
      <w:r>
        <w:t xml:space="preserve"> cr</w:t>
      </w:r>
      <w:r w:rsidRPr="00B72EE8">
        <w:t>iteria</w:t>
      </w:r>
      <w:bookmarkEnd w:id="16"/>
      <w:bookmarkEnd w:id="17"/>
      <w:r>
        <w:t xml:space="preserve"> </w:t>
      </w:r>
    </w:p>
    <w:p w14:paraId="0316929D" w14:textId="77777777" w:rsidR="00340616" w:rsidRDefault="00340616" w:rsidP="00340616">
      <w:pPr>
        <w:pStyle w:val="Heading2Numbered"/>
      </w:pPr>
      <w:bookmarkStart w:id="18" w:name="_Ref414285977"/>
      <w:bookmarkStart w:id="19" w:name="_Ref421696970"/>
      <w:bookmarkStart w:id="20" w:name="_Toc421777595"/>
      <w:bookmarkStart w:id="21" w:name="_Toc467773956"/>
      <w:bookmarkStart w:id="22" w:name="_Toc523411614"/>
      <w:r w:rsidRPr="00B72EE8">
        <w:t xml:space="preserve">Who is eligible </w:t>
      </w:r>
      <w:r>
        <w:t xml:space="preserve">to apply </w:t>
      </w:r>
      <w:r w:rsidRPr="00B72EE8">
        <w:t>for a grant?</w:t>
      </w:r>
      <w:bookmarkEnd w:id="18"/>
      <w:bookmarkEnd w:id="19"/>
      <w:bookmarkEnd w:id="20"/>
      <w:bookmarkEnd w:id="21"/>
      <w:bookmarkEnd w:id="22"/>
    </w:p>
    <w:p w14:paraId="0316929E" w14:textId="25B927E6" w:rsidR="00C26A93" w:rsidRPr="00C26A93" w:rsidRDefault="00C26A93" w:rsidP="00C26A93">
      <w:pPr>
        <w:pStyle w:val="Bodynumbered-Level1"/>
        <w:rPr>
          <w:rFonts w:asciiTheme="minorHAnsi" w:hAnsiTheme="minorHAnsi" w:cstheme="minorHAnsi"/>
        </w:rPr>
      </w:pPr>
      <w:bookmarkStart w:id="23" w:name="_Ref389836929"/>
      <w:r w:rsidRPr="00C26A93">
        <w:rPr>
          <w:rFonts w:asciiTheme="minorHAnsi" w:hAnsiTheme="minorHAnsi" w:cstheme="minorHAnsi"/>
        </w:rPr>
        <w:t>3.1.1</w:t>
      </w:r>
      <w:r w:rsidRPr="00C26A93">
        <w:rPr>
          <w:rFonts w:asciiTheme="minorHAnsi" w:hAnsiTheme="minorHAnsi" w:cstheme="minorHAnsi"/>
        </w:rPr>
        <w:tab/>
        <w:t>To be eligible for funding under Round 4 of the Program, an applicant m</w:t>
      </w:r>
      <w:r w:rsidR="00F4512E">
        <w:rPr>
          <w:rFonts w:asciiTheme="minorHAnsi" w:hAnsiTheme="minorHAnsi" w:cstheme="minorHAnsi"/>
        </w:rPr>
        <w:t>ust be a Mobile </w:t>
      </w:r>
      <w:r w:rsidRPr="00C26A93">
        <w:rPr>
          <w:rFonts w:asciiTheme="minorHAnsi" w:hAnsiTheme="minorHAnsi" w:cstheme="minorHAnsi"/>
        </w:rPr>
        <w:t>Network Operator or a Mobile Network Infrastructure Provider.</w:t>
      </w:r>
      <w:bookmarkEnd w:id="23"/>
    </w:p>
    <w:p w14:paraId="0316929F" w14:textId="77777777" w:rsidR="00C26A93" w:rsidRPr="00C26A93" w:rsidRDefault="00C26A93" w:rsidP="00C26A93">
      <w:pPr>
        <w:pStyle w:val="Bodynumbered-Level1"/>
        <w:spacing w:after="120"/>
        <w:rPr>
          <w:rFonts w:asciiTheme="minorHAnsi" w:hAnsiTheme="minorHAnsi" w:cstheme="minorHAnsi"/>
        </w:rPr>
      </w:pPr>
      <w:bookmarkStart w:id="24" w:name="_Ref389836927"/>
      <w:r w:rsidRPr="00C26A93">
        <w:rPr>
          <w:rFonts w:asciiTheme="minorHAnsi" w:hAnsiTheme="minorHAnsi" w:cstheme="minorHAnsi"/>
        </w:rPr>
        <w:t>3.1.2</w:t>
      </w:r>
      <w:r w:rsidRPr="00C26A93">
        <w:rPr>
          <w:rFonts w:asciiTheme="minorHAnsi" w:hAnsiTheme="minorHAnsi" w:cstheme="minorHAnsi"/>
        </w:rPr>
        <w:tab/>
        <w:t>For the purposes of the Program, a Mobile Network Operator (</w:t>
      </w:r>
      <w:r w:rsidRPr="00C26A93">
        <w:rPr>
          <w:rFonts w:asciiTheme="minorHAnsi" w:hAnsiTheme="minorHAnsi" w:cstheme="minorHAnsi"/>
          <w:b/>
        </w:rPr>
        <w:t>MNO</w:t>
      </w:r>
      <w:r w:rsidRPr="00C26A93">
        <w:rPr>
          <w:rFonts w:asciiTheme="minorHAnsi" w:hAnsiTheme="minorHAnsi" w:cstheme="minorHAnsi"/>
        </w:rPr>
        <w:t>) means a company, other than a Mobile Network Infrastructure Provider, that:</w:t>
      </w:r>
      <w:bookmarkEnd w:id="24"/>
    </w:p>
    <w:p w14:paraId="031692A0" w14:textId="77777777" w:rsidR="00C26A93" w:rsidRPr="00C26A93" w:rsidRDefault="00C26A93" w:rsidP="000746F9">
      <w:pPr>
        <w:pStyle w:val="Bodynumbered-Level3"/>
        <w:numPr>
          <w:ilvl w:val="0"/>
          <w:numId w:val="15"/>
        </w:numPr>
        <w:spacing w:before="120" w:after="120"/>
        <w:ind w:left="1270" w:hanging="556"/>
        <w:rPr>
          <w:rFonts w:asciiTheme="minorHAnsi" w:hAnsiTheme="minorHAnsi" w:cstheme="minorHAnsi"/>
        </w:rPr>
      </w:pPr>
      <w:r w:rsidRPr="00C26A93">
        <w:rPr>
          <w:rFonts w:asciiTheme="minorHAnsi" w:hAnsiTheme="minorHAnsi" w:cstheme="minorHAnsi"/>
        </w:rPr>
        <w:t>supplies a public mobile telecommunications service within the meaning of the</w:t>
      </w:r>
      <w:r w:rsidRPr="00C26A93">
        <w:rPr>
          <w:rFonts w:asciiTheme="minorHAnsi" w:hAnsiTheme="minorHAnsi" w:cstheme="minorHAnsi"/>
          <w:i/>
        </w:rPr>
        <w:t xml:space="preserve"> Telecommunications Act 1997;</w:t>
      </w:r>
      <w:r w:rsidRPr="00C26A93">
        <w:rPr>
          <w:rFonts w:asciiTheme="minorHAnsi" w:hAnsiTheme="minorHAnsi" w:cstheme="minorHAnsi"/>
        </w:rPr>
        <w:t xml:space="preserve"> and</w:t>
      </w:r>
    </w:p>
    <w:p w14:paraId="031692A1" w14:textId="77777777" w:rsidR="00C26A93" w:rsidRPr="00C26A93" w:rsidRDefault="00C26A93" w:rsidP="000746F9">
      <w:pPr>
        <w:pStyle w:val="Bodynumbered-Level3"/>
        <w:numPr>
          <w:ilvl w:val="0"/>
          <w:numId w:val="15"/>
        </w:numPr>
        <w:spacing w:before="120" w:after="120"/>
        <w:ind w:left="1270" w:hanging="556"/>
        <w:rPr>
          <w:rFonts w:asciiTheme="minorHAnsi" w:hAnsiTheme="minorHAnsi" w:cstheme="minorHAnsi"/>
        </w:rPr>
      </w:pPr>
      <w:r w:rsidRPr="00C26A93">
        <w:rPr>
          <w:rFonts w:asciiTheme="minorHAnsi" w:hAnsiTheme="minorHAnsi" w:cstheme="minorHAnsi"/>
        </w:rPr>
        <w:t xml:space="preserve">holds an apparatus or a spectrum licence (or both) for the supply of public mobile telecommunications services under </w:t>
      </w:r>
      <w:r w:rsidRPr="00C26A93">
        <w:rPr>
          <w:rFonts w:asciiTheme="minorHAnsi" w:hAnsiTheme="minorHAnsi" w:cstheme="minorHAnsi"/>
          <w:i/>
        </w:rPr>
        <w:t>the Radiocommunications Act 1992</w:t>
      </w:r>
      <w:r w:rsidRPr="00C26A93">
        <w:rPr>
          <w:rFonts w:asciiTheme="minorHAnsi" w:hAnsiTheme="minorHAnsi" w:cstheme="minorHAnsi"/>
        </w:rPr>
        <w:t>.</w:t>
      </w:r>
    </w:p>
    <w:p w14:paraId="031692A2" w14:textId="73950E8A" w:rsidR="00C26A93" w:rsidRPr="00C26A93" w:rsidRDefault="00C26A93" w:rsidP="00C26A93">
      <w:pPr>
        <w:pStyle w:val="Bodynumbered-Level1"/>
        <w:rPr>
          <w:rFonts w:asciiTheme="minorHAnsi" w:hAnsiTheme="minorHAnsi" w:cstheme="minorHAnsi"/>
        </w:rPr>
      </w:pPr>
      <w:r w:rsidRPr="00C26A93">
        <w:rPr>
          <w:rFonts w:asciiTheme="minorHAnsi" w:hAnsiTheme="minorHAnsi" w:cstheme="minorHAnsi"/>
        </w:rPr>
        <w:t>3.1.3</w:t>
      </w:r>
      <w:r w:rsidRPr="00C26A93">
        <w:rPr>
          <w:rFonts w:asciiTheme="minorHAnsi" w:hAnsiTheme="minorHAnsi" w:cstheme="minorHAnsi"/>
        </w:rPr>
        <w:tab/>
        <w:t>For the purposes of the Program, a Mobile Network Infrastructure Provider (</w:t>
      </w:r>
      <w:r w:rsidRPr="00C26A93">
        <w:rPr>
          <w:rFonts w:asciiTheme="minorHAnsi" w:hAnsiTheme="minorHAnsi" w:cstheme="minorHAnsi"/>
          <w:b/>
        </w:rPr>
        <w:t>MNIP</w:t>
      </w:r>
      <w:r w:rsidRPr="00C26A93">
        <w:rPr>
          <w:rFonts w:asciiTheme="minorHAnsi" w:hAnsiTheme="minorHAnsi" w:cstheme="minorHAnsi"/>
        </w:rPr>
        <w:t xml:space="preserve">) means a company, other than a MNO, that provides communications infrastructure in Australia or overseas, including the installation and operation of infrastructure to be used by one or more MNOs to provide public mobile telecommunications services. MNIP applications must be accompanied by evidence of a commercially binding commitment from at least one MNO to use the infrastructure to deliver mobile services as </w:t>
      </w:r>
      <w:r w:rsidRPr="00F0749F">
        <w:rPr>
          <w:rFonts w:asciiTheme="minorHAnsi" w:hAnsiTheme="minorHAnsi" w:cstheme="minorHAnsi"/>
        </w:rPr>
        <w:t xml:space="preserve">described </w:t>
      </w:r>
      <w:r w:rsidRPr="00846820">
        <w:rPr>
          <w:rFonts w:asciiTheme="minorHAnsi" w:hAnsiTheme="minorHAnsi" w:cstheme="minorHAnsi"/>
        </w:rPr>
        <w:t xml:space="preserve">at </w:t>
      </w:r>
      <w:r w:rsidR="006134EA" w:rsidRPr="00846820">
        <w:rPr>
          <w:rFonts w:asciiTheme="minorHAnsi" w:hAnsiTheme="minorHAnsi" w:cstheme="minorHAnsi"/>
        </w:rPr>
        <w:t>section 3.2</w:t>
      </w:r>
      <w:r w:rsidRPr="00F0749F">
        <w:rPr>
          <w:rFonts w:asciiTheme="minorHAnsi" w:hAnsiTheme="minorHAnsi" w:cstheme="minorHAnsi"/>
        </w:rPr>
        <w:t xml:space="preserve"> for</w:t>
      </w:r>
      <w:r w:rsidRPr="00C26A93">
        <w:rPr>
          <w:rFonts w:asciiTheme="minorHAnsi" w:hAnsiTheme="minorHAnsi" w:cstheme="minorHAnsi"/>
        </w:rPr>
        <w:t xml:space="preserve"> at least 10 years.</w:t>
      </w:r>
    </w:p>
    <w:p w14:paraId="031692A5" w14:textId="495298DD" w:rsidR="00C26A93" w:rsidRDefault="00C26A93" w:rsidP="00742D00">
      <w:pPr>
        <w:pStyle w:val="Bodynumbered-Level1"/>
        <w:rPr>
          <w:rFonts w:asciiTheme="minorHAnsi" w:hAnsiTheme="minorHAnsi" w:cstheme="minorHAnsi"/>
        </w:rPr>
      </w:pPr>
      <w:r w:rsidRPr="00C26A93">
        <w:rPr>
          <w:rFonts w:asciiTheme="minorHAnsi" w:hAnsiTheme="minorHAnsi" w:cstheme="minorHAnsi"/>
        </w:rPr>
        <w:t>3.1.4</w:t>
      </w:r>
      <w:r w:rsidRPr="00C26A93">
        <w:rPr>
          <w:rFonts w:asciiTheme="minorHAnsi" w:hAnsiTheme="minorHAnsi" w:cstheme="minorHAnsi"/>
        </w:rPr>
        <w:tab/>
        <w:t xml:space="preserve">MNOs and MNIPs may also apply jointly for funding through the Program. Joint applications must be underpinned by commercially binding arrangements or the clear intention to enter into such arrangements should the application be successful. Awards to joint applicants may be granted on the condition that the parties would enter into a binding arrangement approved by the Department prior to finalisation of the </w:t>
      </w:r>
      <w:r w:rsidRPr="00F010A9">
        <w:rPr>
          <w:rFonts w:asciiTheme="minorHAnsi" w:hAnsiTheme="minorHAnsi" w:cstheme="minorHAnsi"/>
        </w:rPr>
        <w:t>Grant Agreement</w:t>
      </w:r>
      <w:r w:rsidR="008F66E0">
        <w:rPr>
          <w:rFonts w:asciiTheme="minorHAnsi" w:hAnsiTheme="minorHAnsi" w:cstheme="minorHAnsi"/>
        </w:rPr>
        <w:t>.</w:t>
      </w:r>
    </w:p>
    <w:p w14:paraId="0DBD7CA9" w14:textId="77777777" w:rsidR="00301B7F" w:rsidRDefault="00301B7F" w:rsidP="00301B7F">
      <w:pPr>
        <w:pStyle w:val="Heading2Numbered"/>
      </w:pPr>
      <w:bookmarkStart w:id="25" w:name="_Toc523411615"/>
      <w:r>
        <w:t>Minimum requirements</w:t>
      </w:r>
      <w:bookmarkEnd w:id="25"/>
    </w:p>
    <w:p w14:paraId="3964151E" w14:textId="14E6A395" w:rsidR="00301B7F" w:rsidRPr="00F550AC" w:rsidRDefault="00301B7F" w:rsidP="00301B7F">
      <w:pPr>
        <w:pStyle w:val="Bodynumbered-Level1"/>
        <w:rPr>
          <w:rFonts w:asciiTheme="minorHAnsi" w:hAnsiTheme="minorHAnsi" w:cstheme="minorHAnsi"/>
        </w:rPr>
      </w:pPr>
      <w:r>
        <w:rPr>
          <w:rFonts w:asciiTheme="minorHAnsi" w:hAnsiTheme="minorHAnsi" w:cstheme="minorHAnsi"/>
        </w:rPr>
        <w:t>3.2.1</w:t>
      </w:r>
      <w:r w:rsidRPr="00F550AC">
        <w:rPr>
          <w:rFonts w:asciiTheme="minorHAnsi" w:hAnsiTheme="minorHAnsi" w:cstheme="minorHAnsi"/>
        </w:rPr>
        <w:tab/>
        <w:t>Unless indicated otherwise in t</w:t>
      </w:r>
      <w:r>
        <w:rPr>
          <w:rFonts w:asciiTheme="minorHAnsi" w:hAnsiTheme="minorHAnsi" w:cstheme="minorHAnsi"/>
        </w:rPr>
        <w:t xml:space="preserve">hese Guidelines, this section </w:t>
      </w:r>
      <w:r w:rsidRPr="00F550AC">
        <w:rPr>
          <w:rFonts w:asciiTheme="minorHAnsi" w:hAnsiTheme="minorHAnsi" w:cstheme="minorHAnsi"/>
        </w:rPr>
        <w:t xml:space="preserve">sets out the minimum requirements that </w:t>
      </w:r>
      <w:r w:rsidRPr="00F010A9">
        <w:rPr>
          <w:rFonts w:asciiTheme="minorHAnsi" w:hAnsiTheme="minorHAnsi" w:cstheme="minorHAnsi"/>
        </w:rPr>
        <w:t>Grantees</w:t>
      </w:r>
      <w:r w:rsidRPr="00F550AC">
        <w:rPr>
          <w:rFonts w:asciiTheme="minorHAnsi" w:hAnsiTheme="minorHAnsi" w:cstheme="minorHAnsi"/>
        </w:rPr>
        <w:t xml:space="preserve"> would need to comply with. These requirements will be included as schedules to the </w:t>
      </w:r>
      <w:r w:rsidRPr="00F010A9">
        <w:rPr>
          <w:rFonts w:asciiTheme="minorHAnsi" w:hAnsiTheme="minorHAnsi" w:cstheme="minorHAnsi"/>
        </w:rPr>
        <w:t>Grant Agreements</w:t>
      </w:r>
      <w:r w:rsidRPr="00F550AC">
        <w:rPr>
          <w:rFonts w:asciiTheme="minorHAnsi" w:hAnsiTheme="minorHAnsi" w:cstheme="minorHAnsi"/>
        </w:rPr>
        <w:t xml:space="preserve">. </w:t>
      </w:r>
      <w:r w:rsidRPr="00F0749F">
        <w:rPr>
          <w:rFonts w:asciiTheme="minorHAnsi" w:hAnsiTheme="minorHAnsi" w:cstheme="minorHAnsi"/>
        </w:rPr>
        <w:t xml:space="preserve">Under </w:t>
      </w:r>
      <w:r w:rsidR="006134EA" w:rsidRPr="00846820">
        <w:rPr>
          <w:rFonts w:asciiTheme="minorHAnsi" w:hAnsiTheme="minorHAnsi" w:cstheme="minorHAnsi"/>
        </w:rPr>
        <w:t>section 5.3</w:t>
      </w:r>
      <w:r w:rsidRPr="00846820">
        <w:rPr>
          <w:rFonts w:asciiTheme="minorHAnsi" w:hAnsiTheme="minorHAnsi" w:cstheme="minorHAnsi"/>
        </w:rPr>
        <w:t>,</w:t>
      </w:r>
      <w:r w:rsidRPr="00F550AC">
        <w:rPr>
          <w:rFonts w:asciiTheme="minorHAnsi" w:hAnsiTheme="minorHAnsi" w:cstheme="minorHAnsi"/>
        </w:rPr>
        <w:t xml:space="preserve"> applications that do not meet the minimum requirements may, at the Minister’s absolute discretion, be excluded from further consideration.</w:t>
      </w:r>
    </w:p>
    <w:p w14:paraId="4F8B02CE" w14:textId="77777777" w:rsidR="00301B7F" w:rsidRPr="00682EDA" w:rsidRDefault="00301B7F" w:rsidP="00301B7F">
      <w:pPr>
        <w:pStyle w:val="Bullet"/>
        <w:rPr>
          <w:u w:val="single"/>
        </w:rPr>
      </w:pPr>
      <w:r w:rsidRPr="00682EDA">
        <w:rPr>
          <w:u w:val="single"/>
        </w:rPr>
        <w:t>Services required – Mobile Coverage</w:t>
      </w:r>
    </w:p>
    <w:p w14:paraId="22F769B0" w14:textId="57E68CAA" w:rsidR="00301B7F" w:rsidRPr="00F550AC" w:rsidRDefault="00301B7F" w:rsidP="00301B7F">
      <w:pPr>
        <w:pStyle w:val="Bodynumbered-Level1"/>
        <w:rPr>
          <w:rFonts w:asciiTheme="minorHAnsi" w:hAnsiTheme="minorHAnsi" w:cstheme="minorHAnsi"/>
        </w:rPr>
      </w:pPr>
      <w:r>
        <w:rPr>
          <w:rFonts w:asciiTheme="minorHAnsi" w:hAnsiTheme="minorHAnsi" w:cstheme="minorHAnsi"/>
        </w:rPr>
        <w:t>3.2.2</w:t>
      </w:r>
      <w:r w:rsidRPr="00F550AC">
        <w:rPr>
          <w:rFonts w:asciiTheme="minorHAnsi" w:hAnsiTheme="minorHAnsi" w:cstheme="minorHAnsi"/>
        </w:rPr>
        <w:tab/>
        <w:t xml:space="preserve">All </w:t>
      </w:r>
      <w:r w:rsidRPr="00F010A9">
        <w:rPr>
          <w:rFonts w:asciiTheme="minorHAnsi" w:hAnsiTheme="minorHAnsi" w:cstheme="minorHAnsi"/>
        </w:rPr>
        <w:t>Funded Solutions</w:t>
      </w:r>
      <w:r w:rsidRPr="00F550AC">
        <w:rPr>
          <w:rFonts w:asciiTheme="minorHAnsi" w:hAnsiTheme="minorHAnsi" w:cstheme="minorHAnsi"/>
        </w:rPr>
        <w:t xml:space="preserve"> for mobile coverage must deliver new handheld mobile coverage and connectivity, to the location, as outlined </w:t>
      </w:r>
      <w:r w:rsidRPr="00F0749F">
        <w:rPr>
          <w:rFonts w:asciiTheme="minorHAnsi" w:hAnsiTheme="minorHAnsi" w:cstheme="minorHAnsi"/>
        </w:rPr>
        <w:t xml:space="preserve">in </w:t>
      </w:r>
      <w:r w:rsidR="006134EA" w:rsidRPr="00846820">
        <w:rPr>
          <w:rFonts w:asciiTheme="minorHAnsi" w:hAnsiTheme="minorHAnsi" w:cstheme="minorHAnsi"/>
        </w:rPr>
        <w:t>sections 4.1.1 and 4.1.2</w:t>
      </w:r>
      <w:r w:rsidR="006134EA" w:rsidRPr="00F0749F">
        <w:rPr>
          <w:rFonts w:asciiTheme="minorHAnsi" w:hAnsiTheme="minorHAnsi" w:cstheme="minorHAnsi"/>
        </w:rPr>
        <w:t>.</w:t>
      </w:r>
    </w:p>
    <w:p w14:paraId="089E380B" w14:textId="5CDC70F6" w:rsidR="00301B7F" w:rsidRPr="00F550AC" w:rsidRDefault="00301B7F" w:rsidP="00301B7F">
      <w:pPr>
        <w:pStyle w:val="Bodynumbered-Level1"/>
        <w:spacing w:after="120"/>
        <w:rPr>
          <w:rFonts w:asciiTheme="minorHAnsi" w:hAnsiTheme="minorHAnsi" w:cstheme="minorHAnsi"/>
        </w:rPr>
      </w:pPr>
      <w:r>
        <w:rPr>
          <w:rFonts w:asciiTheme="minorHAnsi" w:hAnsiTheme="minorHAnsi" w:cstheme="minorHAnsi"/>
        </w:rPr>
        <w:t>3.2.3</w:t>
      </w:r>
      <w:r w:rsidRPr="00F550AC">
        <w:rPr>
          <w:rFonts w:asciiTheme="minorHAnsi" w:hAnsiTheme="minorHAnsi" w:cstheme="minorHAnsi"/>
        </w:rPr>
        <w:tab/>
        <w:t xml:space="preserve">The Government’s expectation is that consumers will be able to perform a range of functions using mobile devices, such as making and receiving phone calls, sending </w:t>
      </w:r>
      <w:r w:rsidRPr="00F550AC">
        <w:rPr>
          <w:rFonts w:asciiTheme="minorHAnsi" w:hAnsiTheme="minorHAnsi" w:cstheme="minorHAnsi"/>
        </w:rPr>
        <w:lastRenderedPageBreak/>
        <w:t>emails and text messages, browsing the internet, accessing online services, downloading files and using mobile apps. To meet this expectation:</w:t>
      </w:r>
    </w:p>
    <w:p w14:paraId="38D8ACD4" w14:textId="54E92B91" w:rsidR="00301B7F" w:rsidRPr="00F550AC" w:rsidRDefault="00301B7F" w:rsidP="00B51701">
      <w:pPr>
        <w:pStyle w:val="Bodynumbered-Level3"/>
        <w:spacing w:before="120" w:after="120"/>
        <w:ind w:left="1355" w:hanging="646"/>
        <w:rPr>
          <w:rFonts w:asciiTheme="minorHAnsi" w:hAnsiTheme="minorHAnsi" w:cstheme="minorHAnsi"/>
          <w:b/>
        </w:rPr>
      </w:pPr>
      <w:r w:rsidRPr="00F550AC">
        <w:rPr>
          <w:rFonts w:asciiTheme="minorHAnsi" w:hAnsiTheme="minorHAnsi" w:cstheme="minorHAnsi"/>
        </w:rPr>
        <w:t xml:space="preserve">(a) </w:t>
      </w:r>
      <w:r w:rsidRPr="00F550AC">
        <w:rPr>
          <w:rFonts w:asciiTheme="minorHAnsi" w:hAnsiTheme="minorHAnsi" w:cstheme="minorHAnsi"/>
        </w:rPr>
        <w:tab/>
        <w:t xml:space="preserve">all </w:t>
      </w:r>
      <w:proofErr w:type="spellStart"/>
      <w:r w:rsidR="00C1021C" w:rsidRPr="00F010A9">
        <w:rPr>
          <w:rFonts w:asciiTheme="minorHAnsi" w:hAnsiTheme="minorHAnsi" w:cstheme="minorHAnsi"/>
          <w:b/>
        </w:rPr>
        <w:t>Macrocell</w:t>
      </w:r>
      <w:proofErr w:type="spellEnd"/>
      <w:r w:rsidR="00C1021C">
        <w:rPr>
          <w:rFonts w:asciiTheme="minorHAnsi" w:hAnsiTheme="minorHAnsi" w:cstheme="minorHAnsi"/>
        </w:rPr>
        <w:t xml:space="preserve"> </w:t>
      </w:r>
      <w:r w:rsidRPr="00F550AC">
        <w:rPr>
          <w:rFonts w:asciiTheme="minorHAnsi" w:hAnsiTheme="minorHAnsi" w:cstheme="minorHAnsi"/>
        </w:rPr>
        <w:t>Funded Solutions</w:t>
      </w:r>
      <w:r w:rsidR="000D53C5">
        <w:rPr>
          <w:rFonts w:asciiTheme="minorHAnsi" w:hAnsiTheme="minorHAnsi" w:cstheme="minorHAnsi"/>
        </w:rPr>
        <w:t xml:space="preserve"> </w:t>
      </w:r>
      <w:r w:rsidRPr="00F550AC">
        <w:rPr>
          <w:rFonts w:asciiTheme="minorHAnsi" w:hAnsiTheme="minorHAnsi" w:cstheme="minorHAnsi"/>
        </w:rPr>
        <w:t xml:space="preserve">will be required to deliver mobile voice and broadband data services using </w:t>
      </w:r>
      <w:r w:rsidRPr="00F550AC">
        <w:rPr>
          <w:rFonts w:asciiTheme="minorHAnsi" w:hAnsiTheme="minorHAnsi" w:cstheme="minorHAnsi"/>
          <w:b/>
        </w:rPr>
        <w:t>3G HSPA+</w:t>
      </w:r>
      <w:r w:rsidR="000D53C5">
        <w:rPr>
          <w:rFonts w:asciiTheme="minorHAnsi" w:hAnsiTheme="minorHAnsi" w:cstheme="minorHAnsi"/>
          <w:b/>
        </w:rPr>
        <w:t xml:space="preserve"> </w:t>
      </w:r>
      <w:r w:rsidR="000D53C5" w:rsidRPr="006E4306">
        <w:rPr>
          <w:rFonts w:asciiTheme="minorHAnsi" w:hAnsiTheme="minorHAnsi" w:cstheme="minorHAnsi"/>
        </w:rPr>
        <w:t>and</w:t>
      </w:r>
      <w:r w:rsidR="000D53C5">
        <w:rPr>
          <w:rFonts w:asciiTheme="minorHAnsi" w:hAnsiTheme="minorHAnsi" w:cstheme="minorHAnsi"/>
          <w:b/>
        </w:rPr>
        <w:t xml:space="preserve"> 4G</w:t>
      </w:r>
      <w:r w:rsidRPr="00F550AC">
        <w:rPr>
          <w:rFonts w:asciiTheme="minorHAnsi" w:hAnsiTheme="minorHAnsi" w:cstheme="minorHAnsi"/>
        </w:rPr>
        <w:t>;</w:t>
      </w:r>
    </w:p>
    <w:p w14:paraId="6B6B08A5" w14:textId="7D7F9673" w:rsidR="00301B7F" w:rsidRPr="00F550AC" w:rsidRDefault="00301B7F" w:rsidP="00B51701">
      <w:pPr>
        <w:pStyle w:val="Bodynumbered-Level3"/>
        <w:spacing w:before="120" w:after="120"/>
        <w:ind w:left="1355" w:hanging="646"/>
        <w:rPr>
          <w:rFonts w:asciiTheme="minorHAnsi" w:hAnsiTheme="minorHAnsi" w:cstheme="minorHAnsi"/>
        </w:rPr>
      </w:pPr>
      <w:r w:rsidRPr="00F550AC">
        <w:rPr>
          <w:rFonts w:asciiTheme="minorHAnsi" w:hAnsiTheme="minorHAnsi" w:cstheme="minorHAnsi"/>
        </w:rPr>
        <w:t>(b)</w:t>
      </w:r>
      <w:r w:rsidRPr="00F550AC">
        <w:rPr>
          <w:rFonts w:asciiTheme="minorHAnsi" w:hAnsiTheme="minorHAnsi" w:cstheme="minorHAnsi"/>
        </w:rPr>
        <w:tab/>
      </w:r>
      <w:r w:rsidR="00C1021C">
        <w:rPr>
          <w:rFonts w:asciiTheme="minorHAnsi" w:hAnsiTheme="minorHAnsi" w:cstheme="minorHAnsi"/>
        </w:rPr>
        <w:t xml:space="preserve">small cell </w:t>
      </w:r>
      <w:r w:rsidRPr="00F550AC">
        <w:rPr>
          <w:rFonts w:asciiTheme="minorHAnsi" w:hAnsiTheme="minorHAnsi" w:cstheme="minorHAnsi"/>
        </w:rPr>
        <w:t xml:space="preserve">Funded Solutions will be required to deliver </w:t>
      </w:r>
      <w:r w:rsidR="000D53C5">
        <w:rPr>
          <w:rFonts w:asciiTheme="minorHAnsi" w:hAnsiTheme="minorHAnsi" w:cstheme="minorHAnsi"/>
        </w:rPr>
        <w:t xml:space="preserve">mobile voice and </w:t>
      </w:r>
      <w:r w:rsidRPr="00F550AC">
        <w:rPr>
          <w:rFonts w:asciiTheme="minorHAnsi" w:hAnsiTheme="minorHAnsi" w:cstheme="minorHAnsi"/>
        </w:rPr>
        <w:t xml:space="preserve">broadband data services using </w:t>
      </w:r>
      <w:r w:rsidR="000D53C5" w:rsidRPr="00F010A9">
        <w:rPr>
          <w:rFonts w:asciiTheme="minorHAnsi" w:hAnsiTheme="minorHAnsi" w:cstheme="minorHAnsi"/>
        </w:rPr>
        <w:t xml:space="preserve">3G </w:t>
      </w:r>
      <w:r w:rsidR="00A10CD3" w:rsidRPr="00F010A9">
        <w:rPr>
          <w:rFonts w:asciiTheme="minorHAnsi" w:hAnsiTheme="minorHAnsi" w:cstheme="minorHAnsi"/>
        </w:rPr>
        <w:t>HSPA+</w:t>
      </w:r>
      <w:r w:rsidR="00A10CD3">
        <w:rPr>
          <w:rFonts w:asciiTheme="minorHAnsi" w:hAnsiTheme="minorHAnsi" w:cstheme="minorHAnsi"/>
        </w:rPr>
        <w:t xml:space="preserve"> </w:t>
      </w:r>
      <w:r w:rsidR="000D53C5">
        <w:rPr>
          <w:rFonts w:asciiTheme="minorHAnsi" w:hAnsiTheme="minorHAnsi" w:cstheme="minorHAnsi"/>
        </w:rPr>
        <w:t xml:space="preserve">and/or </w:t>
      </w:r>
      <w:r w:rsidRPr="00F010A9">
        <w:rPr>
          <w:rFonts w:asciiTheme="minorHAnsi" w:hAnsiTheme="minorHAnsi" w:cstheme="minorHAnsi"/>
        </w:rPr>
        <w:t>4G</w:t>
      </w:r>
      <w:r w:rsidRPr="00F550AC">
        <w:rPr>
          <w:rFonts w:asciiTheme="minorHAnsi" w:hAnsiTheme="minorHAnsi" w:cstheme="minorHAnsi"/>
        </w:rPr>
        <w:t>;</w:t>
      </w:r>
    </w:p>
    <w:p w14:paraId="6A0DE17B" w14:textId="46BBF1EF" w:rsidR="00CD523B" w:rsidRDefault="00301B7F" w:rsidP="00B51701">
      <w:pPr>
        <w:pStyle w:val="Bodynumbered-Level3"/>
        <w:spacing w:before="120" w:after="120"/>
        <w:ind w:left="1355" w:hanging="646"/>
        <w:rPr>
          <w:rFonts w:asciiTheme="minorHAnsi" w:hAnsiTheme="minorHAnsi" w:cstheme="minorHAnsi"/>
        </w:rPr>
      </w:pPr>
      <w:r w:rsidRPr="00F550AC">
        <w:rPr>
          <w:rFonts w:asciiTheme="minorHAnsi" w:hAnsiTheme="minorHAnsi" w:cstheme="minorHAnsi"/>
        </w:rPr>
        <w:t>(c)</w:t>
      </w:r>
      <w:r w:rsidRPr="00F550AC">
        <w:rPr>
          <w:rFonts w:asciiTheme="minorHAnsi" w:hAnsiTheme="minorHAnsi" w:cstheme="minorHAnsi"/>
        </w:rPr>
        <w:tab/>
        <w:t xml:space="preserve">proposed handheld coverage modelling for 3G HSPA+ and 4G must be based on outdoor Received Signal Code Power (RSCP) greater than </w:t>
      </w:r>
      <w:r w:rsidRPr="00F550AC">
        <w:rPr>
          <w:rFonts w:asciiTheme="minorHAnsi" w:hAnsiTheme="minorHAnsi" w:cstheme="minorHAnsi"/>
        </w:rPr>
        <w:noBreakHyphen/>
        <w:t>90 dBm at a 90</w:t>
      </w:r>
      <w:r w:rsidR="006E4306">
        <w:rPr>
          <w:rFonts w:asciiTheme="minorHAnsi" w:hAnsiTheme="minorHAnsi" w:cstheme="minorHAnsi"/>
        </w:rPr>
        <w:t> </w:t>
      </w:r>
      <w:r w:rsidRPr="00F550AC">
        <w:rPr>
          <w:rFonts w:asciiTheme="minorHAnsi" w:hAnsiTheme="minorHAnsi" w:cstheme="minorHAnsi"/>
        </w:rPr>
        <w:t>per cent confidence level for the cell area;</w:t>
      </w:r>
    </w:p>
    <w:p w14:paraId="043794A9" w14:textId="5C36123F" w:rsidR="00301B7F" w:rsidRPr="00F550AC" w:rsidRDefault="00CD523B" w:rsidP="00CD523B">
      <w:pPr>
        <w:pStyle w:val="Bodynumbered-Level3"/>
        <w:spacing w:before="120" w:after="120"/>
        <w:ind w:left="1355" w:firstLine="0"/>
        <w:rPr>
          <w:rFonts w:asciiTheme="minorHAnsi" w:hAnsiTheme="minorHAnsi" w:cstheme="minorHAnsi"/>
        </w:rPr>
      </w:pPr>
      <w:r>
        <w:rPr>
          <w:rFonts w:asciiTheme="minorHAnsi" w:hAnsiTheme="minorHAnsi" w:cstheme="minorHAnsi"/>
        </w:rPr>
        <w:t xml:space="preserve">Note: 4G handheld coverage will be used as supplementary information to assist </w:t>
      </w:r>
      <w:r w:rsidR="006E4306">
        <w:rPr>
          <w:rFonts w:asciiTheme="minorHAnsi" w:hAnsiTheme="minorHAnsi" w:cstheme="minorHAnsi"/>
        </w:rPr>
        <w:t xml:space="preserve">consideration of </w:t>
      </w:r>
      <w:r>
        <w:rPr>
          <w:rFonts w:asciiTheme="minorHAnsi" w:hAnsiTheme="minorHAnsi" w:cstheme="minorHAnsi"/>
        </w:rPr>
        <w:t>value for money.</w:t>
      </w:r>
    </w:p>
    <w:p w14:paraId="634ECE77" w14:textId="16172CBA" w:rsidR="00301B7F" w:rsidRDefault="00301B7F" w:rsidP="00B51701">
      <w:pPr>
        <w:pStyle w:val="Bodynumbered-Level3"/>
        <w:spacing w:before="120" w:after="120"/>
        <w:ind w:left="1355" w:hanging="646"/>
        <w:rPr>
          <w:rFonts w:asciiTheme="minorHAnsi" w:hAnsiTheme="minorHAnsi" w:cstheme="minorHAnsi"/>
        </w:rPr>
      </w:pPr>
      <w:r w:rsidRPr="00F550AC">
        <w:rPr>
          <w:rFonts w:asciiTheme="minorHAnsi" w:hAnsiTheme="minorHAnsi" w:cstheme="minorHAnsi"/>
        </w:rPr>
        <w:t>(d)</w:t>
      </w:r>
      <w:r w:rsidRPr="00F550AC">
        <w:rPr>
          <w:rFonts w:asciiTheme="minorHAnsi" w:hAnsiTheme="minorHAnsi" w:cstheme="minorHAnsi"/>
        </w:rPr>
        <w:tab/>
        <w:t xml:space="preserve">proposed external antenna coverage modelling for 3G HSPA+ and 4G must be based on outdoor RSCP </w:t>
      </w:r>
      <w:r w:rsidRPr="00F0749F">
        <w:rPr>
          <w:rFonts w:asciiTheme="minorHAnsi" w:hAnsiTheme="minorHAnsi" w:cstheme="minorHAnsi"/>
        </w:rPr>
        <w:t xml:space="preserve">greater than -107 dBm at a 90 per cent confidence level for the cell area (refer to </w:t>
      </w:r>
      <w:r w:rsidR="006134EA" w:rsidRPr="00846820">
        <w:rPr>
          <w:rFonts w:asciiTheme="minorHAnsi" w:hAnsiTheme="minorHAnsi" w:cstheme="minorHAnsi"/>
        </w:rPr>
        <w:t>section 7, stage 4</w:t>
      </w:r>
      <w:r w:rsidRPr="00846820">
        <w:rPr>
          <w:rFonts w:asciiTheme="minorHAnsi" w:hAnsiTheme="minorHAnsi" w:cstheme="minorHAnsi"/>
        </w:rPr>
        <w:t>)</w:t>
      </w:r>
      <w:r w:rsidR="00CD523B" w:rsidRPr="00846820">
        <w:rPr>
          <w:rFonts w:asciiTheme="minorHAnsi" w:hAnsiTheme="minorHAnsi" w:cstheme="minorHAnsi"/>
        </w:rPr>
        <w:t xml:space="preserve">; </w:t>
      </w:r>
    </w:p>
    <w:p w14:paraId="2F27B325" w14:textId="42CCC8E4" w:rsidR="00CD523B" w:rsidRPr="00F550AC" w:rsidRDefault="00CD523B" w:rsidP="00B51701">
      <w:pPr>
        <w:pStyle w:val="Bodynumbered-Level3"/>
        <w:spacing w:before="120" w:after="120"/>
        <w:ind w:left="1355" w:hanging="646"/>
        <w:rPr>
          <w:rFonts w:asciiTheme="minorHAnsi" w:hAnsiTheme="minorHAnsi" w:cstheme="minorHAnsi"/>
        </w:rPr>
      </w:pPr>
      <w:r>
        <w:rPr>
          <w:rFonts w:asciiTheme="minorHAnsi" w:hAnsiTheme="minorHAnsi" w:cstheme="minorHAnsi"/>
        </w:rPr>
        <w:tab/>
        <w:t>Note: external antenna coverage will be used as supplementary information to assist the value for money consideration.</w:t>
      </w:r>
    </w:p>
    <w:p w14:paraId="61539879" w14:textId="121BA142" w:rsidR="00301B7F" w:rsidRPr="00F550AC" w:rsidRDefault="00301B7F" w:rsidP="00B51701">
      <w:pPr>
        <w:pStyle w:val="Bodynumbered-Level3"/>
        <w:spacing w:before="120" w:after="120"/>
        <w:ind w:left="1355" w:hanging="646"/>
        <w:rPr>
          <w:rFonts w:asciiTheme="minorHAnsi" w:hAnsiTheme="minorHAnsi" w:cstheme="minorHAnsi"/>
        </w:rPr>
      </w:pPr>
      <w:r w:rsidRPr="00F550AC">
        <w:rPr>
          <w:rFonts w:asciiTheme="minorHAnsi" w:hAnsiTheme="minorHAnsi" w:cstheme="minorHAnsi"/>
        </w:rPr>
        <w:t>(e)</w:t>
      </w:r>
      <w:r w:rsidRPr="00F550AC">
        <w:rPr>
          <w:rFonts w:asciiTheme="minorHAnsi" w:hAnsiTheme="minorHAnsi" w:cstheme="minorHAnsi"/>
        </w:rPr>
        <w:tab/>
        <w:t xml:space="preserve">all </w:t>
      </w:r>
      <w:proofErr w:type="spellStart"/>
      <w:r w:rsidRPr="00F010A9">
        <w:rPr>
          <w:rFonts w:asciiTheme="minorHAnsi" w:hAnsiTheme="minorHAnsi" w:cstheme="minorHAnsi"/>
        </w:rPr>
        <w:t>Macrocell</w:t>
      </w:r>
      <w:proofErr w:type="spellEnd"/>
      <w:r w:rsidRPr="00F550AC">
        <w:rPr>
          <w:rFonts w:asciiTheme="minorHAnsi" w:hAnsiTheme="minorHAnsi" w:cstheme="minorHAnsi"/>
          <w:b/>
        </w:rPr>
        <w:t xml:space="preserve"> </w:t>
      </w:r>
      <w:r w:rsidRPr="00F550AC">
        <w:rPr>
          <w:rFonts w:asciiTheme="minorHAnsi" w:hAnsiTheme="minorHAnsi" w:cstheme="minorHAnsi"/>
        </w:rPr>
        <w:t>Funded Solutions must have an auxiliary back-up power supply, which provides back up power for a minimum of 12 hours in the event of the loss of external power to the site</w:t>
      </w:r>
      <w:r w:rsidR="00CD523B">
        <w:rPr>
          <w:rFonts w:asciiTheme="minorHAnsi" w:hAnsiTheme="minorHAnsi" w:cstheme="minorHAnsi"/>
        </w:rPr>
        <w:t>; and</w:t>
      </w:r>
    </w:p>
    <w:p w14:paraId="5F0D53B7" w14:textId="77777777" w:rsidR="00301B7F" w:rsidRPr="00F550AC" w:rsidRDefault="00301B7F" w:rsidP="00B51701">
      <w:pPr>
        <w:pStyle w:val="Bodynumbered-Level3"/>
        <w:spacing w:before="120" w:after="120"/>
        <w:ind w:left="1355" w:hanging="646"/>
        <w:rPr>
          <w:rFonts w:asciiTheme="minorHAnsi" w:hAnsiTheme="minorHAnsi" w:cstheme="minorHAnsi"/>
        </w:rPr>
      </w:pPr>
      <w:r w:rsidRPr="00F550AC">
        <w:rPr>
          <w:rFonts w:asciiTheme="minorHAnsi" w:hAnsiTheme="minorHAnsi" w:cstheme="minorHAnsi"/>
        </w:rPr>
        <w:t xml:space="preserve">(f) </w:t>
      </w:r>
      <w:r w:rsidRPr="00F550AC">
        <w:rPr>
          <w:rFonts w:asciiTheme="minorHAnsi" w:hAnsiTheme="minorHAnsi" w:cstheme="minorHAnsi"/>
        </w:rPr>
        <w:tab/>
        <w:t>all other Funded Solutions must have an auxiliary back-up power supply, which provides back up power for a minimum of 3 hours in the event of the loss of external power to the site, unless (to the satisfaction of the Department) it is not feasible to do so.</w:t>
      </w:r>
    </w:p>
    <w:p w14:paraId="1D5173B1" w14:textId="6E04D9F5" w:rsidR="00301B7F" w:rsidRPr="00F550AC" w:rsidRDefault="00301B7F" w:rsidP="00301B7F">
      <w:pPr>
        <w:pStyle w:val="Bodynumbered-Level1"/>
        <w:rPr>
          <w:rFonts w:asciiTheme="minorHAnsi" w:hAnsiTheme="minorHAnsi" w:cstheme="minorHAnsi"/>
        </w:rPr>
      </w:pPr>
      <w:r>
        <w:rPr>
          <w:rFonts w:asciiTheme="minorHAnsi" w:hAnsiTheme="minorHAnsi" w:cstheme="minorHAnsi"/>
        </w:rPr>
        <w:t>3.2.4</w:t>
      </w:r>
      <w:r w:rsidRPr="00F550AC">
        <w:rPr>
          <w:rFonts w:asciiTheme="minorHAnsi" w:hAnsiTheme="minorHAnsi" w:cstheme="minorHAnsi"/>
        </w:rPr>
        <w:tab/>
        <w:t>All Funded Solutions will be required to deliver mobile services in accordance with the relevant standards specified in the funded MNOs’ carrier licence conditions, or under the</w:t>
      </w:r>
      <w:r w:rsidRPr="00F550AC">
        <w:rPr>
          <w:rFonts w:asciiTheme="minorHAnsi" w:hAnsiTheme="minorHAnsi" w:cstheme="minorHAnsi"/>
          <w:i/>
        </w:rPr>
        <w:t xml:space="preserve"> Telecommunications Act 1997</w:t>
      </w:r>
      <w:r w:rsidRPr="00F550AC">
        <w:rPr>
          <w:rFonts w:asciiTheme="minorHAnsi" w:hAnsiTheme="minorHAnsi" w:cstheme="minorHAnsi"/>
        </w:rPr>
        <w:t xml:space="preserve"> or both.</w:t>
      </w:r>
      <w:bookmarkStart w:id="26" w:name="_Toc388963695"/>
      <w:bookmarkStart w:id="27" w:name="_Toc389122733"/>
      <w:bookmarkStart w:id="28" w:name="_Toc388963696"/>
      <w:bookmarkStart w:id="29" w:name="_Toc389122734"/>
      <w:bookmarkStart w:id="30" w:name="_Toc388963697"/>
      <w:bookmarkStart w:id="31" w:name="_Toc389122735"/>
      <w:bookmarkStart w:id="32" w:name="_Toc388963698"/>
      <w:bookmarkStart w:id="33" w:name="_Toc389122736"/>
      <w:bookmarkStart w:id="34" w:name="_Toc388963699"/>
      <w:bookmarkStart w:id="35" w:name="_Toc389122737"/>
      <w:bookmarkStart w:id="36" w:name="_Toc388963700"/>
      <w:bookmarkStart w:id="37" w:name="_Toc389122738"/>
      <w:bookmarkStart w:id="38" w:name="_Toc388963701"/>
      <w:bookmarkStart w:id="39" w:name="_Toc389122739"/>
      <w:bookmarkStart w:id="40" w:name="_Toc388963702"/>
      <w:bookmarkStart w:id="41" w:name="_Toc389122740"/>
      <w:bookmarkStart w:id="42" w:name="_Toc388963703"/>
      <w:bookmarkStart w:id="43" w:name="_Toc389122741"/>
      <w:bookmarkStart w:id="44" w:name="_Toc388963704"/>
      <w:bookmarkStart w:id="45" w:name="_Toc389122742"/>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58D00978" w14:textId="1A476F36" w:rsidR="00301B7F" w:rsidRPr="00F550AC" w:rsidRDefault="00301B7F" w:rsidP="00301B7F">
      <w:pPr>
        <w:pStyle w:val="Bodynumbered-Level1"/>
        <w:rPr>
          <w:rFonts w:asciiTheme="minorHAnsi" w:hAnsiTheme="minorHAnsi" w:cstheme="minorHAnsi"/>
        </w:rPr>
      </w:pPr>
      <w:r>
        <w:rPr>
          <w:rFonts w:asciiTheme="minorHAnsi" w:hAnsiTheme="minorHAnsi" w:cstheme="minorHAnsi"/>
        </w:rPr>
        <w:t>3.2.5</w:t>
      </w:r>
      <w:r w:rsidRPr="00F550AC">
        <w:rPr>
          <w:rFonts w:asciiTheme="minorHAnsi" w:hAnsiTheme="minorHAnsi" w:cstheme="minorHAnsi"/>
        </w:rPr>
        <w:tab/>
        <w:t xml:space="preserve">Grantees will be required to ensure that each Funded Solution delivers the required mobile services to the target coverage areas on a commercial basis for a minimum of ten years, commencing from the date when initial services commence being delivered from each Funded Solution. </w:t>
      </w:r>
    </w:p>
    <w:p w14:paraId="400814F7" w14:textId="77777777" w:rsidR="00301B7F" w:rsidRPr="00682EDA" w:rsidRDefault="00301B7F" w:rsidP="00301B7F">
      <w:pPr>
        <w:pStyle w:val="BodyText1"/>
        <w:rPr>
          <w:rFonts w:asciiTheme="minorHAnsi" w:hAnsiTheme="minorHAnsi" w:cstheme="minorHAnsi"/>
          <w:u w:val="single"/>
        </w:rPr>
      </w:pPr>
      <w:r w:rsidRPr="00682EDA">
        <w:rPr>
          <w:rFonts w:asciiTheme="minorHAnsi" w:hAnsiTheme="minorHAnsi" w:cstheme="minorHAnsi"/>
          <w:u w:val="single"/>
        </w:rPr>
        <w:t>Services required – Public Interest Premises</w:t>
      </w:r>
    </w:p>
    <w:p w14:paraId="11190F71" w14:textId="5DE2A4B4" w:rsidR="00301B7F" w:rsidRPr="00F550AC" w:rsidRDefault="00301B7F" w:rsidP="00301B7F">
      <w:pPr>
        <w:pStyle w:val="Bodynumbered-Level1"/>
        <w:rPr>
          <w:rFonts w:asciiTheme="minorHAnsi" w:hAnsiTheme="minorHAnsi" w:cstheme="minorHAnsi"/>
        </w:rPr>
      </w:pPr>
      <w:r>
        <w:rPr>
          <w:rFonts w:asciiTheme="minorHAnsi" w:hAnsiTheme="minorHAnsi" w:cstheme="minorHAnsi"/>
        </w:rPr>
        <w:t>3.2.6</w:t>
      </w:r>
      <w:r w:rsidRPr="00F550AC">
        <w:rPr>
          <w:rFonts w:asciiTheme="minorHAnsi" w:hAnsiTheme="minorHAnsi" w:cstheme="minorHAnsi"/>
        </w:rPr>
        <w:tab/>
        <w:t xml:space="preserve">All </w:t>
      </w:r>
      <w:r w:rsidRPr="00F010A9">
        <w:rPr>
          <w:rFonts w:asciiTheme="minorHAnsi" w:hAnsiTheme="minorHAnsi" w:cstheme="minorHAnsi"/>
        </w:rPr>
        <w:t>Funded Solutions</w:t>
      </w:r>
      <w:r w:rsidRPr="00F550AC">
        <w:rPr>
          <w:rFonts w:asciiTheme="minorHAnsi" w:hAnsiTheme="minorHAnsi" w:cstheme="minorHAnsi"/>
        </w:rPr>
        <w:t xml:space="preserve"> for </w:t>
      </w:r>
      <w:r w:rsidRPr="00F010A9">
        <w:rPr>
          <w:rFonts w:asciiTheme="minorHAnsi" w:hAnsiTheme="minorHAnsi" w:cstheme="minorHAnsi"/>
        </w:rPr>
        <w:t>Public Interest Premises</w:t>
      </w:r>
      <w:r w:rsidRPr="00F550AC">
        <w:rPr>
          <w:rFonts w:asciiTheme="minorHAnsi" w:hAnsiTheme="minorHAnsi" w:cstheme="minorHAnsi"/>
        </w:rPr>
        <w:t xml:space="preserve"> must:</w:t>
      </w:r>
    </w:p>
    <w:p w14:paraId="09720F03" w14:textId="08DE3CBB" w:rsidR="00301B7F" w:rsidRPr="00F0749F" w:rsidRDefault="00301B7F" w:rsidP="00087F4A">
      <w:pPr>
        <w:pStyle w:val="Bodynumbered-Level3"/>
        <w:numPr>
          <w:ilvl w:val="0"/>
          <w:numId w:val="33"/>
        </w:numPr>
        <w:spacing w:before="120" w:after="120"/>
        <w:ind w:left="1276" w:hanging="567"/>
        <w:rPr>
          <w:rFonts w:asciiTheme="minorHAnsi" w:hAnsiTheme="minorHAnsi" w:cstheme="minorHAnsi"/>
        </w:rPr>
      </w:pPr>
      <w:r w:rsidRPr="00F550AC">
        <w:rPr>
          <w:rFonts w:asciiTheme="minorHAnsi" w:hAnsiTheme="minorHAnsi" w:cstheme="minorHAnsi"/>
        </w:rPr>
        <w:t xml:space="preserve">Deliver </w:t>
      </w:r>
      <w:r w:rsidRPr="00F0749F">
        <w:rPr>
          <w:rFonts w:asciiTheme="minorHAnsi" w:hAnsiTheme="minorHAnsi" w:cstheme="minorHAnsi"/>
        </w:rPr>
        <w:t xml:space="preserve">new voice and data connectivity, to a Public Interest Premises, as outlined in </w:t>
      </w:r>
      <w:r w:rsidR="006134EA" w:rsidRPr="00846820">
        <w:rPr>
          <w:rFonts w:asciiTheme="minorHAnsi" w:hAnsiTheme="minorHAnsi" w:cstheme="minorHAnsi"/>
        </w:rPr>
        <w:t>sections 4.1.3 to 4.1.12</w:t>
      </w:r>
      <w:r w:rsidRPr="00F0749F">
        <w:rPr>
          <w:rFonts w:asciiTheme="minorHAnsi" w:hAnsiTheme="minorHAnsi" w:cstheme="minorHAnsi"/>
        </w:rPr>
        <w:t xml:space="preserve">; and  </w:t>
      </w:r>
    </w:p>
    <w:p w14:paraId="77B698F7" w14:textId="2A41F194" w:rsidR="00301B7F" w:rsidRPr="00F0749F" w:rsidRDefault="00301B7F" w:rsidP="00087F4A">
      <w:pPr>
        <w:pStyle w:val="Bodynumbered-Level3"/>
        <w:numPr>
          <w:ilvl w:val="0"/>
          <w:numId w:val="33"/>
        </w:numPr>
        <w:spacing w:before="120" w:after="120"/>
        <w:ind w:left="1276" w:hanging="567"/>
        <w:rPr>
          <w:rFonts w:asciiTheme="minorHAnsi" w:hAnsiTheme="minorHAnsi" w:cstheme="minorHAnsi"/>
        </w:rPr>
      </w:pPr>
      <w:r w:rsidRPr="00F0749F">
        <w:rPr>
          <w:rFonts w:asciiTheme="minorHAnsi" w:hAnsiTheme="minorHAnsi" w:cstheme="minorHAnsi"/>
        </w:rPr>
        <w:t xml:space="preserve">Meet the requirements in </w:t>
      </w:r>
      <w:r w:rsidR="006134EA" w:rsidRPr="00846820">
        <w:rPr>
          <w:rFonts w:asciiTheme="minorHAnsi" w:hAnsiTheme="minorHAnsi" w:cstheme="minorHAnsi"/>
        </w:rPr>
        <w:t>section 3.2.3</w:t>
      </w:r>
      <w:r w:rsidRPr="00846820">
        <w:rPr>
          <w:rFonts w:asciiTheme="minorHAnsi" w:hAnsiTheme="minorHAnsi" w:cstheme="minorHAnsi"/>
        </w:rPr>
        <w:t>.</w:t>
      </w:r>
    </w:p>
    <w:p w14:paraId="33172262" w14:textId="14B1D561" w:rsidR="00301B7F" w:rsidRPr="00F550AC" w:rsidRDefault="00301B7F" w:rsidP="00301B7F">
      <w:pPr>
        <w:pStyle w:val="Bodynumbered-Level1"/>
        <w:rPr>
          <w:rFonts w:asciiTheme="minorHAnsi" w:hAnsiTheme="minorHAnsi" w:cstheme="minorHAnsi"/>
        </w:rPr>
      </w:pPr>
      <w:r>
        <w:rPr>
          <w:rFonts w:asciiTheme="minorHAnsi" w:hAnsiTheme="minorHAnsi" w:cstheme="minorHAnsi"/>
        </w:rPr>
        <w:t>3.2.7</w:t>
      </w:r>
      <w:r w:rsidRPr="00F550AC">
        <w:rPr>
          <w:rFonts w:asciiTheme="minorHAnsi" w:hAnsiTheme="minorHAnsi" w:cstheme="minorHAnsi"/>
        </w:rPr>
        <w:tab/>
        <w:t xml:space="preserve">All Funded Solutions for Public Interest Premises will be required to deliver services in accordance with the relevant standards specified in the funded </w:t>
      </w:r>
      <w:r w:rsidRPr="00F010A9">
        <w:rPr>
          <w:rFonts w:asciiTheme="minorHAnsi" w:hAnsiTheme="minorHAnsi" w:cstheme="minorHAnsi"/>
        </w:rPr>
        <w:t>MNOs</w:t>
      </w:r>
      <w:r w:rsidRPr="00F550AC">
        <w:rPr>
          <w:rFonts w:asciiTheme="minorHAnsi" w:hAnsiTheme="minorHAnsi" w:cstheme="minorHAnsi"/>
        </w:rPr>
        <w:t>’ carrier licence conditions, or under the</w:t>
      </w:r>
      <w:r w:rsidRPr="00F550AC">
        <w:rPr>
          <w:rFonts w:asciiTheme="minorHAnsi" w:hAnsiTheme="minorHAnsi" w:cstheme="minorHAnsi"/>
          <w:i/>
        </w:rPr>
        <w:t xml:space="preserve"> Telecommunications Act 1997</w:t>
      </w:r>
      <w:r w:rsidRPr="00F550AC">
        <w:rPr>
          <w:rFonts w:asciiTheme="minorHAnsi" w:hAnsiTheme="minorHAnsi" w:cstheme="minorHAnsi"/>
        </w:rPr>
        <w:t xml:space="preserve"> or both.</w:t>
      </w:r>
    </w:p>
    <w:p w14:paraId="198EDDC0" w14:textId="3193D618" w:rsidR="00301B7F" w:rsidRPr="00F550AC" w:rsidRDefault="00301B7F" w:rsidP="00301B7F">
      <w:pPr>
        <w:pStyle w:val="Bodynumbered-Level1"/>
        <w:rPr>
          <w:rFonts w:asciiTheme="minorHAnsi" w:hAnsiTheme="minorHAnsi" w:cstheme="minorHAnsi"/>
        </w:rPr>
      </w:pPr>
      <w:r>
        <w:rPr>
          <w:rFonts w:asciiTheme="minorHAnsi" w:hAnsiTheme="minorHAnsi" w:cstheme="minorHAnsi"/>
        </w:rPr>
        <w:t>3.2.8</w:t>
      </w:r>
      <w:r w:rsidRPr="00F550AC">
        <w:rPr>
          <w:rFonts w:asciiTheme="minorHAnsi" w:hAnsiTheme="minorHAnsi" w:cstheme="minorHAnsi"/>
        </w:rPr>
        <w:tab/>
        <w:t xml:space="preserve">Grantees will be required to ensure that each Funded Solution delivers the required services to the nominated Public Interest Premises on a commercial basis for a </w:t>
      </w:r>
      <w:r w:rsidRPr="00F550AC">
        <w:rPr>
          <w:rFonts w:asciiTheme="minorHAnsi" w:hAnsiTheme="minorHAnsi" w:cstheme="minorHAnsi"/>
        </w:rPr>
        <w:lastRenderedPageBreak/>
        <w:t xml:space="preserve">minimum of ten years, commencing from the date when initial services commence being delivered from each Funded Solution. </w:t>
      </w:r>
    </w:p>
    <w:p w14:paraId="18DDC18E" w14:textId="77777777" w:rsidR="00301B7F" w:rsidRPr="00682EDA" w:rsidRDefault="00301B7F" w:rsidP="00301B7F">
      <w:pPr>
        <w:pStyle w:val="BodyText1"/>
        <w:rPr>
          <w:rFonts w:asciiTheme="minorHAnsi" w:hAnsiTheme="minorHAnsi" w:cstheme="minorHAnsi"/>
          <w:u w:val="single"/>
        </w:rPr>
      </w:pPr>
      <w:r w:rsidRPr="00682EDA">
        <w:rPr>
          <w:rFonts w:asciiTheme="minorHAnsi" w:hAnsiTheme="minorHAnsi" w:cstheme="minorHAnsi"/>
          <w:u w:val="single"/>
        </w:rPr>
        <w:t>Open access, co-location and co-build</w:t>
      </w:r>
    </w:p>
    <w:p w14:paraId="0E571DE9" w14:textId="4C45DCE9" w:rsidR="00301B7F" w:rsidRPr="00F550AC" w:rsidRDefault="00301B7F" w:rsidP="00301B7F">
      <w:pPr>
        <w:pStyle w:val="Bodynumbered-Level1"/>
        <w:rPr>
          <w:rFonts w:asciiTheme="minorHAnsi" w:hAnsiTheme="minorHAnsi" w:cstheme="minorHAnsi"/>
        </w:rPr>
      </w:pPr>
      <w:r>
        <w:rPr>
          <w:rFonts w:asciiTheme="minorHAnsi" w:hAnsiTheme="minorHAnsi" w:cstheme="minorHAnsi"/>
        </w:rPr>
        <w:t>3.2.9</w:t>
      </w:r>
      <w:r w:rsidRPr="00F550AC">
        <w:rPr>
          <w:rFonts w:asciiTheme="minorHAnsi" w:hAnsiTheme="minorHAnsi" w:cstheme="minorHAnsi"/>
        </w:rPr>
        <w:tab/>
        <w:t xml:space="preserve">A key objective of the Program is to maximise the choice of MNOs for consumers. All </w:t>
      </w:r>
      <w:r w:rsidRPr="00F010A9">
        <w:rPr>
          <w:rFonts w:asciiTheme="minorHAnsi" w:hAnsiTheme="minorHAnsi" w:cstheme="minorHAnsi"/>
        </w:rPr>
        <w:t>Proposed Solutions</w:t>
      </w:r>
      <w:r w:rsidRPr="00F0749F">
        <w:rPr>
          <w:rFonts w:asciiTheme="minorHAnsi" w:hAnsiTheme="minorHAnsi" w:cstheme="minorHAnsi"/>
        </w:rPr>
        <w:t xml:space="preserve"> must offer co-location, or the applicant must provide evidence (as per </w:t>
      </w:r>
      <w:r w:rsidR="006134EA" w:rsidRPr="00846820">
        <w:rPr>
          <w:rFonts w:asciiTheme="minorHAnsi" w:hAnsiTheme="minorHAnsi" w:cstheme="minorHAnsi"/>
        </w:rPr>
        <w:t>section 3.2.11</w:t>
      </w:r>
      <w:r w:rsidRPr="00F0749F">
        <w:rPr>
          <w:rFonts w:asciiTheme="minorHAnsi" w:hAnsiTheme="minorHAnsi" w:cstheme="minorHAnsi"/>
        </w:rPr>
        <w:t>) that</w:t>
      </w:r>
      <w:r w:rsidRPr="00F550AC">
        <w:rPr>
          <w:rFonts w:asciiTheme="minorHAnsi" w:hAnsiTheme="minorHAnsi" w:cstheme="minorHAnsi"/>
        </w:rPr>
        <w:t xml:space="preserve"> the Proposed Solution is unable to support an additional MNO.</w:t>
      </w:r>
    </w:p>
    <w:p w14:paraId="3F232566" w14:textId="458AF31A" w:rsidR="00301B7F" w:rsidRDefault="00301B7F" w:rsidP="00301B7F">
      <w:pPr>
        <w:pStyle w:val="Bodynumbered-Level1"/>
        <w:rPr>
          <w:rFonts w:asciiTheme="minorHAnsi" w:hAnsiTheme="minorHAnsi" w:cstheme="minorHAnsi"/>
        </w:rPr>
      </w:pPr>
      <w:r>
        <w:rPr>
          <w:rFonts w:asciiTheme="minorHAnsi" w:hAnsiTheme="minorHAnsi" w:cstheme="minorHAnsi"/>
        </w:rPr>
        <w:t>3.2.10</w:t>
      </w:r>
      <w:r w:rsidRPr="00F550AC">
        <w:rPr>
          <w:rFonts w:asciiTheme="minorHAnsi" w:hAnsiTheme="minorHAnsi" w:cstheme="minorHAnsi"/>
        </w:rPr>
        <w:tab/>
        <w:t xml:space="preserve">When applying for funding under Round 4 of the Program, applicants will need to provide the costs of co-locating one or </w:t>
      </w:r>
      <w:r w:rsidR="006D09CC">
        <w:rPr>
          <w:rFonts w:asciiTheme="minorHAnsi" w:hAnsiTheme="minorHAnsi" w:cstheme="minorHAnsi"/>
        </w:rPr>
        <w:t>two</w:t>
      </w:r>
      <w:r w:rsidR="006D09CC" w:rsidRPr="00F550AC">
        <w:rPr>
          <w:rFonts w:asciiTheme="minorHAnsi" w:hAnsiTheme="minorHAnsi" w:cstheme="minorHAnsi"/>
        </w:rPr>
        <w:t xml:space="preserve"> </w:t>
      </w:r>
      <w:r w:rsidRPr="00F550AC">
        <w:rPr>
          <w:rFonts w:asciiTheme="minorHAnsi" w:hAnsiTheme="minorHAnsi" w:cstheme="minorHAnsi"/>
        </w:rPr>
        <w:t xml:space="preserve">MNOs for the technical specifications provided </w:t>
      </w:r>
      <w:r w:rsidRPr="00AA03F4">
        <w:rPr>
          <w:rFonts w:asciiTheme="minorHAnsi" w:hAnsiTheme="minorHAnsi" w:cstheme="minorHAnsi"/>
        </w:rPr>
        <w:t xml:space="preserve">at </w:t>
      </w:r>
      <w:r w:rsidR="006134EA" w:rsidRPr="00846820">
        <w:rPr>
          <w:rFonts w:asciiTheme="minorHAnsi" w:hAnsiTheme="minorHAnsi" w:cstheme="minorHAnsi"/>
        </w:rPr>
        <w:t>3.2.16</w:t>
      </w:r>
      <w:r w:rsidR="00276F5E" w:rsidRPr="00846820">
        <w:rPr>
          <w:rFonts w:asciiTheme="minorHAnsi" w:hAnsiTheme="minorHAnsi" w:cstheme="minorHAnsi"/>
        </w:rPr>
        <w:t xml:space="preserve"> </w:t>
      </w:r>
      <w:r w:rsidR="006134EA" w:rsidRPr="00846820">
        <w:rPr>
          <w:rFonts w:asciiTheme="minorHAnsi" w:hAnsiTheme="minorHAnsi" w:cstheme="minorHAnsi"/>
        </w:rPr>
        <w:t>(a).</w:t>
      </w:r>
      <w:r w:rsidR="006D09CC" w:rsidRPr="00846820">
        <w:rPr>
          <w:rFonts w:asciiTheme="minorHAnsi" w:hAnsiTheme="minorHAnsi" w:cstheme="minorHAnsi"/>
        </w:rPr>
        <w:t xml:space="preserve"> </w:t>
      </w:r>
      <w:r w:rsidR="00276F5E" w:rsidRPr="00846820">
        <w:rPr>
          <w:rFonts w:asciiTheme="minorHAnsi" w:hAnsiTheme="minorHAnsi" w:cstheme="minorHAnsi"/>
        </w:rPr>
        <w:t xml:space="preserve">It is recognised that the costing for co-locating two MNOs will be </w:t>
      </w:r>
      <w:r w:rsidR="00AA03F4">
        <w:rPr>
          <w:rFonts w:asciiTheme="minorHAnsi" w:hAnsiTheme="minorHAnsi" w:cstheme="minorHAnsi"/>
        </w:rPr>
        <w:t xml:space="preserve">a </w:t>
      </w:r>
      <w:r w:rsidR="00276F5E" w:rsidRPr="00846820">
        <w:rPr>
          <w:rFonts w:asciiTheme="minorHAnsi" w:hAnsiTheme="minorHAnsi" w:cstheme="minorHAnsi"/>
        </w:rPr>
        <w:t xml:space="preserve">best estimates costings. The two </w:t>
      </w:r>
      <w:r w:rsidR="00047CEA" w:rsidRPr="00846820">
        <w:rPr>
          <w:rFonts w:asciiTheme="minorHAnsi" w:hAnsiTheme="minorHAnsi" w:cstheme="minorHAnsi"/>
        </w:rPr>
        <w:t>M</w:t>
      </w:r>
      <w:r w:rsidR="00276F5E" w:rsidRPr="00846820">
        <w:rPr>
          <w:rFonts w:asciiTheme="minorHAnsi" w:hAnsiTheme="minorHAnsi" w:cstheme="minorHAnsi"/>
        </w:rPr>
        <w:t xml:space="preserve">NOs </w:t>
      </w:r>
      <w:r w:rsidR="008D3E67" w:rsidRPr="00846820">
        <w:rPr>
          <w:rFonts w:asciiTheme="minorHAnsi" w:hAnsiTheme="minorHAnsi" w:cstheme="minorHAnsi"/>
        </w:rPr>
        <w:t xml:space="preserve">co-locating </w:t>
      </w:r>
      <w:r w:rsidR="00047CEA" w:rsidRPr="00846820">
        <w:rPr>
          <w:rFonts w:asciiTheme="minorHAnsi" w:hAnsiTheme="minorHAnsi" w:cstheme="minorHAnsi"/>
        </w:rPr>
        <w:t xml:space="preserve">costing </w:t>
      </w:r>
      <w:r w:rsidR="00276F5E" w:rsidRPr="00846820">
        <w:rPr>
          <w:rFonts w:asciiTheme="minorHAnsi" w:hAnsiTheme="minorHAnsi" w:cstheme="minorHAnsi"/>
        </w:rPr>
        <w:t>estimate should assume the two</w:t>
      </w:r>
      <w:r w:rsidR="008D3E67" w:rsidRPr="00846820">
        <w:rPr>
          <w:rFonts w:asciiTheme="minorHAnsi" w:hAnsiTheme="minorHAnsi" w:cstheme="minorHAnsi"/>
        </w:rPr>
        <w:t xml:space="preserve"> </w:t>
      </w:r>
      <w:r w:rsidR="006D09CC" w:rsidRPr="00846820">
        <w:rPr>
          <w:rFonts w:asciiTheme="minorHAnsi" w:hAnsiTheme="minorHAnsi" w:cstheme="minorHAnsi"/>
        </w:rPr>
        <w:t>M</w:t>
      </w:r>
      <w:r w:rsidR="000D79CA">
        <w:rPr>
          <w:rFonts w:asciiTheme="minorHAnsi" w:hAnsiTheme="minorHAnsi" w:cstheme="minorHAnsi"/>
        </w:rPr>
        <w:t>N</w:t>
      </w:r>
      <w:r w:rsidR="006D09CC" w:rsidRPr="00846820">
        <w:rPr>
          <w:rFonts w:asciiTheme="minorHAnsi" w:hAnsiTheme="minorHAnsi" w:cstheme="minorHAnsi"/>
        </w:rPr>
        <w:t>O</w:t>
      </w:r>
      <w:r w:rsidR="00276F5E" w:rsidRPr="00846820">
        <w:rPr>
          <w:rFonts w:asciiTheme="minorHAnsi" w:hAnsiTheme="minorHAnsi" w:cstheme="minorHAnsi"/>
        </w:rPr>
        <w:t>s</w:t>
      </w:r>
      <w:r w:rsidR="006D09CC" w:rsidRPr="00846820">
        <w:rPr>
          <w:rFonts w:asciiTheme="minorHAnsi" w:hAnsiTheme="minorHAnsi" w:cstheme="minorHAnsi"/>
        </w:rPr>
        <w:t xml:space="preserve"> will select different </w:t>
      </w:r>
      <w:r w:rsidR="00276F5E" w:rsidRPr="00846820">
        <w:rPr>
          <w:rFonts w:asciiTheme="minorHAnsi" w:hAnsiTheme="minorHAnsi" w:cstheme="minorHAnsi"/>
        </w:rPr>
        <w:t>configuration from the technical specification provided at 3.2.16 (a).</w:t>
      </w:r>
    </w:p>
    <w:p w14:paraId="425E84E9" w14:textId="2DEA18EB" w:rsidR="00301B7F" w:rsidRPr="00F550AC" w:rsidRDefault="00301B7F" w:rsidP="00301B7F">
      <w:pPr>
        <w:pStyle w:val="Bodynumbered-Level1"/>
        <w:rPr>
          <w:rFonts w:asciiTheme="minorHAnsi" w:hAnsiTheme="minorHAnsi" w:cstheme="minorHAnsi"/>
        </w:rPr>
      </w:pPr>
      <w:r>
        <w:rPr>
          <w:rFonts w:asciiTheme="minorHAnsi" w:hAnsiTheme="minorHAnsi" w:cstheme="minorHAnsi"/>
        </w:rPr>
        <w:t>3.2.11</w:t>
      </w:r>
      <w:r w:rsidRPr="00F550AC">
        <w:rPr>
          <w:rFonts w:asciiTheme="minorHAnsi" w:hAnsiTheme="minorHAnsi" w:cstheme="minorHAnsi"/>
        </w:rPr>
        <w:tab/>
        <w:t>If a Proposed Solution is unable to support an additional MNO, applicants must provide a detailed explanation of why it is not technically feasible to reconfigure the Proposed Solution to support an additional MNO at incremental cost to the co-locating MNO. The Department’s technical advisor will review the technical advice from the applicant. If the Department’s view is that co-location is technically possible, then the applicant must be prepared to offer co</w:t>
      </w:r>
      <w:r w:rsidRPr="00F550AC">
        <w:rPr>
          <w:rFonts w:asciiTheme="minorHAnsi" w:hAnsiTheme="minorHAnsi" w:cstheme="minorHAnsi"/>
        </w:rPr>
        <w:noBreakHyphen/>
        <w:t>location at incremental cost to an MNO seeking to co-locate on the Proposed Solution, or the Department may remove the Proposed Solution from the assessment process.</w:t>
      </w:r>
    </w:p>
    <w:p w14:paraId="3F1DA3BB" w14:textId="57B64EAA" w:rsidR="00301B7F" w:rsidRPr="00F550AC" w:rsidRDefault="00301B7F" w:rsidP="00301B7F">
      <w:pPr>
        <w:pStyle w:val="Bodynumbered-Level1"/>
        <w:rPr>
          <w:rFonts w:asciiTheme="minorHAnsi" w:hAnsiTheme="minorHAnsi" w:cstheme="minorHAnsi"/>
        </w:rPr>
      </w:pPr>
      <w:r>
        <w:rPr>
          <w:rFonts w:asciiTheme="minorHAnsi" w:hAnsiTheme="minorHAnsi" w:cstheme="minorHAnsi"/>
        </w:rPr>
        <w:t>3.2.12</w:t>
      </w:r>
      <w:r w:rsidRPr="00F550AC">
        <w:rPr>
          <w:rFonts w:asciiTheme="minorHAnsi" w:hAnsiTheme="minorHAnsi" w:cstheme="minorHAnsi"/>
        </w:rPr>
        <w:tab/>
        <w:t xml:space="preserve">Once an applicant is selected to build a Proposed Solution, it must give other MNOs the opportunity to co-locate and to participate in the detailed design phase for that Funded Solution using the process set out in </w:t>
      </w:r>
      <w:r w:rsidRPr="00F0749F">
        <w:rPr>
          <w:rFonts w:asciiTheme="minorHAnsi" w:hAnsiTheme="minorHAnsi" w:cstheme="minorHAnsi"/>
        </w:rPr>
        <w:t xml:space="preserve">this </w:t>
      </w:r>
      <w:r w:rsidR="006134EA" w:rsidRPr="00846820">
        <w:rPr>
          <w:rFonts w:asciiTheme="minorHAnsi" w:hAnsiTheme="minorHAnsi" w:cstheme="minorHAnsi"/>
        </w:rPr>
        <w:t>section 3.2</w:t>
      </w:r>
      <w:r w:rsidRPr="00F0749F">
        <w:rPr>
          <w:rFonts w:asciiTheme="minorHAnsi" w:hAnsiTheme="minorHAnsi" w:cstheme="minorHAnsi"/>
        </w:rPr>
        <w:t>. The</w:t>
      </w:r>
      <w:r w:rsidRPr="00F550AC">
        <w:rPr>
          <w:rFonts w:asciiTheme="minorHAnsi" w:hAnsiTheme="minorHAnsi" w:cstheme="minorHAnsi"/>
        </w:rPr>
        <w:t xml:space="preserve"> incremental cost for a Funded Solution to support an additional MNO will be provided to the other participating MNOs to allow for greater transparency in co-location negotiations. </w:t>
      </w:r>
    </w:p>
    <w:p w14:paraId="6F1F028A" w14:textId="6CACFDAE" w:rsidR="00301B7F" w:rsidRPr="00F550AC" w:rsidRDefault="00301B7F" w:rsidP="00301B7F">
      <w:pPr>
        <w:pStyle w:val="Bodynumbered-Level1"/>
        <w:rPr>
          <w:rFonts w:asciiTheme="minorHAnsi" w:hAnsiTheme="minorHAnsi" w:cstheme="minorHAnsi"/>
        </w:rPr>
      </w:pPr>
      <w:r>
        <w:rPr>
          <w:rFonts w:asciiTheme="minorHAnsi" w:hAnsiTheme="minorHAnsi" w:cstheme="minorHAnsi"/>
        </w:rPr>
        <w:t>3.2.13</w:t>
      </w:r>
      <w:r w:rsidRPr="00F550AC">
        <w:rPr>
          <w:rFonts w:asciiTheme="minorHAnsi" w:hAnsiTheme="minorHAnsi" w:cstheme="minorHAnsi"/>
        </w:rPr>
        <w:tab/>
        <w:t xml:space="preserve">For Funded Solutions where more than one MNO is interested in co-locating, the Commonwealth may consider contributing funding towards the costs that exceed the individual MNOs incremental costs for one of the configurations provided </w:t>
      </w:r>
      <w:r w:rsidRPr="00F0749F">
        <w:rPr>
          <w:rFonts w:asciiTheme="minorHAnsi" w:hAnsiTheme="minorHAnsi" w:cstheme="minorHAnsi"/>
        </w:rPr>
        <w:t xml:space="preserve">at </w:t>
      </w:r>
      <w:r w:rsidR="006134EA" w:rsidRPr="00846820">
        <w:rPr>
          <w:rFonts w:asciiTheme="minorHAnsi" w:hAnsiTheme="minorHAnsi" w:cstheme="minorHAnsi"/>
        </w:rPr>
        <w:t>3.2.16</w:t>
      </w:r>
      <w:r w:rsidRPr="00846820">
        <w:rPr>
          <w:rFonts w:asciiTheme="minorHAnsi" w:hAnsiTheme="minorHAnsi" w:cstheme="minorHAnsi"/>
        </w:rPr>
        <w:t>(a).</w:t>
      </w:r>
      <w:r w:rsidRPr="00F550AC">
        <w:rPr>
          <w:rFonts w:asciiTheme="minorHAnsi" w:hAnsiTheme="minorHAnsi" w:cstheme="minorHAnsi"/>
        </w:rPr>
        <w:t xml:space="preserve"> </w:t>
      </w:r>
    </w:p>
    <w:p w14:paraId="13B15E86" w14:textId="7670FAAF" w:rsidR="00301B7F" w:rsidRPr="00F550AC" w:rsidRDefault="00301B7F" w:rsidP="00301B7F">
      <w:pPr>
        <w:pStyle w:val="Bodynumbered-Level1"/>
        <w:rPr>
          <w:rFonts w:asciiTheme="minorHAnsi" w:hAnsiTheme="minorHAnsi" w:cstheme="minorHAnsi"/>
        </w:rPr>
      </w:pPr>
      <w:r>
        <w:rPr>
          <w:rFonts w:asciiTheme="minorHAnsi" w:hAnsiTheme="minorHAnsi" w:cstheme="minorHAnsi"/>
        </w:rPr>
        <w:t>3.2.14</w:t>
      </w:r>
      <w:r w:rsidRPr="00F550AC">
        <w:rPr>
          <w:rFonts w:asciiTheme="minorHAnsi" w:hAnsiTheme="minorHAnsi" w:cstheme="minorHAnsi"/>
        </w:rPr>
        <w:tab/>
        <w:t>For Funded Solutions where other MNOs are interested in co-locating, the costs can be shared more broadly and efficiencies achieved if the interested MNOs can participate in the design and build phases which should ensure that their reasonable specifications are accommodated in the design and construction of the Funded Solution. This opportunity relates to all the requirements necessary for co-location to efficiently occur, including (but not limited to) the height and robustness of the Funded Solution, as well as site space for housing equipment and access to power and backhaul.</w:t>
      </w:r>
    </w:p>
    <w:p w14:paraId="1683EDDC" w14:textId="228B9427" w:rsidR="00301B7F" w:rsidRPr="00F550AC" w:rsidRDefault="00301B7F" w:rsidP="00301B7F">
      <w:pPr>
        <w:pStyle w:val="Bodynumbered-Level1"/>
        <w:spacing w:after="120"/>
        <w:rPr>
          <w:rFonts w:asciiTheme="minorHAnsi" w:hAnsiTheme="minorHAnsi" w:cstheme="minorHAnsi"/>
        </w:rPr>
      </w:pPr>
      <w:r>
        <w:rPr>
          <w:rFonts w:asciiTheme="minorHAnsi" w:hAnsiTheme="minorHAnsi" w:cstheme="minorHAnsi"/>
        </w:rPr>
        <w:t>3.2.15</w:t>
      </w:r>
      <w:r w:rsidRPr="00F550AC">
        <w:rPr>
          <w:rFonts w:asciiTheme="minorHAnsi" w:hAnsiTheme="minorHAnsi" w:cstheme="minorHAnsi"/>
        </w:rPr>
        <w:tab/>
        <w:t xml:space="preserve">The Government is supportive of </w:t>
      </w:r>
      <w:r w:rsidRPr="00F010A9">
        <w:rPr>
          <w:rFonts w:asciiTheme="minorHAnsi" w:hAnsiTheme="minorHAnsi" w:cstheme="minorHAnsi"/>
        </w:rPr>
        <w:t>Grantees</w:t>
      </w:r>
      <w:r w:rsidRPr="00F550AC">
        <w:rPr>
          <w:rFonts w:asciiTheme="minorHAnsi" w:hAnsiTheme="minorHAnsi" w:cstheme="minorHAnsi"/>
        </w:rPr>
        <w:t xml:space="preserve"> offering other MNOs the opportunity to co-invest in Funded Solutions including (but not limited to) provision of </w:t>
      </w:r>
      <w:r w:rsidRPr="00F550AC">
        <w:rPr>
          <w:rFonts w:asciiTheme="minorHAnsi" w:hAnsiTheme="minorHAnsi" w:cstheme="minorHAnsi"/>
          <w:b/>
        </w:rPr>
        <w:t>Backhaul</w:t>
      </w:r>
      <w:r w:rsidRPr="00F550AC">
        <w:rPr>
          <w:rFonts w:asciiTheme="minorHAnsi" w:hAnsiTheme="minorHAnsi" w:cstheme="minorHAnsi"/>
        </w:rPr>
        <w:t>.</w:t>
      </w:r>
    </w:p>
    <w:p w14:paraId="5E48C6B8" w14:textId="518E5A29" w:rsidR="00301B7F" w:rsidRPr="00F550AC" w:rsidRDefault="00301B7F" w:rsidP="00301B7F">
      <w:pPr>
        <w:pStyle w:val="Bodynumbered-Level1"/>
        <w:spacing w:after="120"/>
        <w:rPr>
          <w:rFonts w:asciiTheme="minorHAnsi" w:hAnsiTheme="minorHAnsi" w:cstheme="minorHAnsi"/>
        </w:rPr>
      </w:pPr>
      <w:r>
        <w:rPr>
          <w:rFonts w:asciiTheme="minorHAnsi" w:hAnsiTheme="minorHAnsi" w:cstheme="minorHAnsi"/>
        </w:rPr>
        <w:t>3.2.16</w:t>
      </w:r>
      <w:r w:rsidRPr="00F550AC">
        <w:rPr>
          <w:rFonts w:asciiTheme="minorHAnsi" w:hAnsiTheme="minorHAnsi" w:cstheme="minorHAnsi"/>
        </w:rPr>
        <w:tab/>
        <w:t xml:space="preserve">For the purpose of providing the incremental cost of supporting an additional MNO, a Proposed Solution must meet the following minimum specifications to be considered capable of supporting two or </w:t>
      </w:r>
      <w:r w:rsidR="006D09CC">
        <w:rPr>
          <w:rFonts w:asciiTheme="minorHAnsi" w:hAnsiTheme="minorHAnsi" w:cstheme="minorHAnsi"/>
        </w:rPr>
        <w:t>three</w:t>
      </w:r>
      <w:r w:rsidR="006D09CC" w:rsidRPr="00F550AC">
        <w:rPr>
          <w:rFonts w:asciiTheme="minorHAnsi" w:hAnsiTheme="minorHAnsi" w:cstheme="minorHAnsi"/>
        </w:rPr>
        <w:t xml:space="preserve"> </w:t>
      </w:r>
      <w:r w:rsidRPr="00F550AC">
        <w:rPr>
          <w:rFonts w:asciiTheme="minorHAnsi" w:hAnsiTheme="minorHAnsi" w:cstheme="minorHAnsi"/>
        </w:rPr>
        <w:t>MNOs:</w:t>
      </w:r>
    </w:p>
    <w:p w14:paraId="0F6E5F8F" w14:textId="58B084D7" w:rsidR="00EF0E2F" w:rsidRPr="00B51701" w:rsidRDefault="00301B7F" w:rsidP="00087F4A">
      <w:pPr>
        <w:pStyle w:val="Bodynumbered-Level3"/>
        <w:numPr>
          <w:ilvl w:val="0"/>
          <w:numId w:val="34"/>
        </w:numPr>
        <w:spacing w:before="120" w:after="120"/>
        <w:ind w:left="1276" w:hanging="567"/>
        <w:rPr>
          <w:rFonts w:asciiTheme="minorHAnsi" w:hAnsiTheme="minorHAnsi" w:cstheme="minorHAnsi"/>
        </w:rPr>
      </w:pPr>
      <w:r w:rsidRPr="00F550AC">
        <w:rPr>
          <w:rFonts w:asciiTheme="minorHAnsi" w:hAnsiTheme="minorHAnsi" w:cstheme="minorHAnsi"/>
        </w:rPr>
        <w:lastRenderedPageBreak/>
        <w:t>The structure is based on one o</w:t>
      </w:r>
      <w:r w:rsidR="00ED2933">
        <w:rPr>
          <w:rFonts w:asciiTheme="minorHAnsi" w:hAnsiTheme="minorHAnsi" w:cstheme="minorHAnsi"/>
        </w:rPr>
        <w:t>f the following configurations:</w:t>
      </w:r>
    </w:p>
    <w:tbl>
      <w:tblPr>
        <w:tblStyle w:val="TableGrid"/>
        <w:tblW w:w="0" w:type="auto"/>
        <w:tblInd w:w="1353" w:type="dxa"/>
        <w:tblLook w:val="04A0" w:firstRow="1" w:lastRow="0" w:firstColumn="1" w:lastColumn="0" w:noHBand="0" w:noVBand="1"/>
      </w:tblPr>
      <w:tblGrid>
        <w:gridCol w:w="2471"/>
        <w:gridCol w:w="2884"/>
        <w:gridCol w:w="2352"/>
      </w:tblGrid>
      <w:tr w:rsidR="00301B7F" w:rsidRPr="00F550AC" w14:paraId="2DBBC456" w14:textId="77777777" w:rsidTr="00301B7F">
        <w:tc>
          <w:tcPr>
            <w:tcW w:w="0" w:type="auto"/>
          </w:tcPr>
          <w:p w14:paraId="7DFBC47B" w14:textId="77777777" w:rsidR="00301B7F" w:rsidRPr="00F550AC" w:rsidRDefault="00301B7F" w:rsidP="00301B7F">
            <w:pPr>
              <w:pStyle w:val="Bodynumbered-Level3"/>
              <w:spacing w:before="120" w:after="120"/>
              <w:ind w:left="0" w:firstLine="0"/>
              <w:rPr>
                <w:rFonts w:asciiTheme="minorHAnsi" w:hAnsiTheme="minorHAnsi" w:cstheme="minorHAnsi"/>
              </w:rPr>
            </w:pPr>
            <w:r w:rsidRPr="00F550AC">
              <w:rPr>
                <w:rFonts w:asciiTheme="minorHAnsi" w:hAnsiTheme="minorHAnsi" w:cstheme="minorHAnsi"/>
                <w:b/>
                <w:lang w:eastAsia="en-AU"/>
              </w:rPr>
              <w:t>Configuration 1</w:t>
            </w:r>
          </w:p>
        </w:tc>
        <w:tc>
          <w:tcPr>
            <w:tcW w:w="0" w:type="auto"/>
          </w:tcPr>
          <w:p w14:paraId="3EADA968" w14:textId="77777777" w:rsidR="00301B7F" w:rsidRPr="00F550AC" w:rsidRDefault="00301B7F" w:rsidP="00301B7F">
            <w:pPr>
              <w:pStyle w:val="Bodynumbered-Level3"/>
              <w:spacing w:before="120" w:after="120"/>
              <w:ind w:left="0" w:firstLine="0"/>
              <w:rPr>
                <w:rFonts w:asciiTheme="minorHAnsi" w:hAnsiTheme="minorHAnsi" w:cstheme="minorHAnsi"/>
              </w:rPr>
            </w:pPr>
            <w:r w:rsidRPr="00F550AC">
              <w:rPr>
                <w:rFonts w:asciiTheme="minorHAnsi" w:hAnsiTheme="minorHAnsi" w:cstheme="minorHAnsi"/>
                <w:b/>
                <w:lang w:eastAsia="en-AU"/>
              </w:rPr>
              <w:t>Configuration 2</w:t>
            </w:r>
          </w:p>
        </w:tc>
        <w:tc>
          <w:tcPr>
            <w:tcW w:w="0" w:type="auto"/>
          </w:tcPr>
          <w:p w14:paraId="2748C509" w14:textId="77777777" w:rsidR="00301B7F" w:rsidRPr="00F550AC" w:rsidRDefault="00301B7F" w:rsidP="00301B7F">
            <w:pPr>
              <w:pStyle w:val="Bodynumbered-Level3"/>
              <w:spacing w:before="120" w:after="120"/>
              <w:ind w:left="0" w:firstLine="0"/>
              <w:rPr>
                <w:rFonts w:asciiTheme="minorHAnsi" w:hAnsiTheme="minorHAnsi" w:cstheme="minorHAnsi"/>
              </w:rPr>
            </w:pPr>
            <w:r w:rsidRPr="00F550AC">
              <w:rPr>
                <w:rFonts w:asciiTheme="minorHAnsi" w:hAnsiTheme="minorHAnsi" w:cstheme="minorHAnsi"/>
                <w:b/>
                <w:lang w:eastAsia="en-AU"/>
              </w:rPr>
              <w:t>Configuration 3</w:t>
            </w:r>
          </w:p>
        </w:tc>
      </w:tr>
      <w:tr w:rsidR="00301B7F" w:rsidRPr="00F550AC" w14:paraId="47E933AA" w14:textId="77777777" w:rsidTr="00301B7F">
        <w:tc>
          <w:tcPr>
            <w:tcW w:w="0" w:type="auto"/>
          </w:tcPr>
          <w:p w14:paraId="1767D775" w14:textId="77777777" w:rsidR="00301B7F" w:rsidRPr="00F550AC" w:rsidRDefault="00301B7F" w:rsidP="00301B7F">
            <w:pPr>
              <w:pStyle w:val="Bodynumbered-Level3"/>
              <w:spacing w:before="120" w:after="120"/>
              <w:ind w:left="0" w:firstLine="0"/>
              <w:rPr>
                <w:rFonts w:asciiTheme="minorHAnsi" w:hAnsiTheme="minorHAnsi" w:cstheme="minorHAnsi"/>
              </w:rPr>
            </w:pPr>
            <w:r w:rsidRPr="00F550AC">
              <w:rPr>
                <w:rFonts w:asciiTheme="minorHAnsi" w:eastAsia="Times New Roman" w:hAnsiTheme="minorHAnsi" w:cstheme="minorHAnsi"/>
                <w:lang w:val="en-US" w:eastAsia="en-AU"/>
              </w:rPr>
              <w:t>3 x 1 panel antenna on a standalone headframe (Dimensions: 2533mm (h) x 353mm (w) x 209mm (d), Weight 32kg); or equivalent load</w:t>
            </w:r>
          </w:p>
        </w:tc>
        <w:tc>
          <w:tcPr>
            <w:tcW w:w="0" w:type="auto"/>
          </w:tcPr>
          <w:p w14:paraId="05C17089" w14:textId="7683483B" w:rsidR="00301B7F" w:rsidRPr="00F550AC" w:rsidRDefault="00301B7F" w:rsidP="00301B7F">
            <w:pPr>
              <w:pStyle w:val="Bodynumbered-Level3"/>
              <w:spacing w:before="120" w:after="120"/>
              <w:ind w:left="0" w:firstLine="0"/>
              <w:rPr>
                <w:rFonts w:asciiTheme="minorHAnsi" w:hAnsiTheme="minorHAnsi" w:cstheme="minorHAnsi"/>
              </w:rPr>
            </w:pPr>
            <w:r w:rsidRPr="00F550AC">
              <w:rPr>
                <w:rFonts w:asciiTheme="minorHAnsi" w:eastAsia="Times New Roman" w:hAnsiTheme="minorHAnsi" w:cstheme="minorHAnsi"/>
                <w:lang w:val="en-US" w:eastAsia="en-AU"/>
              </w:rPr>
              <w:t xml:space="preserve">3 x 6 port antenna </w:t>
            </w:r>
            <w:r w:rsidR="00BB1F5B" w:rsidRPr="00F550AC">
              <w:rPr>
                <w:rFonts w:asciiTheme="minorHAnsi" w:eastAsia="Times New Roman" w:hAnsiTheme="minorHAnsi" w:cstheme="minorHAnsi"/>
                <w:lang w:val="en-US" w:eastAsia="en-AU"/>
              </w:rPr>
              <w:t xml:space="preserve">on a standalone headframe </w:t>
            </w:r>
            <w:r w:rsidRPr="00F550AC">
              <w:rPr>
                <w:rFonts w:asciiTheme="minorHAnsi" w:eastAsia="Times New Roman" w:hAnsiTheme="minorHAnsi" w:cstheme="minorHAnsi"/>
                <w:lang w:val="en-US" w:eastAsia="en-AU"/>
              </w:rPr>
              <w:t>(Dimensions: 2680mm (h) x 300mm (w) x 146mm (d), Weight: 39.5kg)</w:t>
            </w:r>
          </w:p>
        </w:tc>
        <w:tc>
          <w:tcPr>
            <w:tcW w:w="0" w:type="auto"/>
          </w:tcPr>
          <w:p w14:paraId="6906E0C1" w14:textId="76F3C6D3" w:rsidR="00301B7F" w:rsidRPr="00F550AC" w:rsidRDefault="00301B7F" w:rsidP="00301B7F">
            <w:pPr>
              <w:pStyle w:val="Bodynumbered-Level3"/>
              <w:spacing w:before="120" w:after="120"/>
              <w:ind w:left="0" w:firstLine="0"/>
              <w:rPr>
                <w:rFonts w:asciiTheme="minorHAnsi" w:hAnsiTheme="minorHAnsi" w:cstheme="minorHAnsi"/>
              </w:rPr>
            </w:pPr>
            <w:r w:rsidRPr="00F550AC">
              <w:rPr>
                <w:rFonts w:asciiTheme="minorHAnsi" w:eastAsia="Times New Roman" w:hAnsiTheme="minorHAnsi" w:cstheme="minorHAnsi"/>
                <w:lang w:val="en-US" w:eastAsia="en-AU"/>
              </w:rPr>
              <w:t xml:space="preserve">3 x 10 port antenna </w:t>
            </w:r>
            <w:r w:rsidR="00BB1F5B" w:rsidRPr="00F550AC">
              <w:rPr>
                <w:rFonts w:asciiTheme="minorHAnsi" w:eastAsia="Times New Roman" w:hAnsiTheme="minorHAnsi" w:cstheme="minorHAnsi"/>
                <w:lang w:val="en-US" w:eastAsia="en-AU"/>
              </w:rPr>
              <w:t xml:space="preserve">on a standalone headframe </w:t>
            </w:r>
            <w:r w:rsidRPr="00F550AC">
              <w:rPr>
                <w:rFonts w:asciiTheme="minorHAnsi" w:eastAsia="Times New Roman" w:hAnsiTheme="minorHAnsi" w:cstheme="minorHAnsi"/>
                <w:lang w:val="en-US" w:eastAsia="en-AU"/>
              </w:rPr>
              <w:t>(Dimensions: 2688mm (h) x 349mm (w) x 166mm (d), Weight 36.5kg)</w:t>
            </w:r>
          </w:p>
        </w:tc>
      </w:tr>
      <w:tr w:rsidR="00301B7F" w:rsidRPr="00F550AC" w14:paraId="796B6B6D" w14:textId="77777777" w:rsidTr="00301B7F">
        <w:tc>
          <w:tcPr>
            <w:tcW w:w="0" w:type="auto"/>
          </w:tcPr>
          <w:p w14:paraId="586FDBA5" w14:textId="77777777" w:rsidR="00301B7F" w:rsidRPr="00F550AC" w:rsidRDefault="00301B7F" w:rsidP="00301B7F">
            <w:pPr>
              <w:pStyle w:val="Bodynumbered-Level3"/>
              <w:spacing w:before="120" w:after="120"/>
              <w:ind w:left="0" w:firstLine="0"/>
              <w:rPr>
                <w:rFonts w:asciiTheme="minorHAnsi" w:hAnsiTheme="minorHAnsi" w:cstheme="minorHAnsi"/>
              </w:rPr>
            </w:pPr>
            <w:r w:rsidRPr="00F550AC">
              <w:rPr>
                <w:rFonts w:asciiTheme="minorHAnsi" w:eastAsia="Times New Roman" w:hAnsiTheme="minorHAnsi" w:cstheme="minorHAnsi"/>
                <w:lang w:val="en-US" w:eastAsia="en-AU"/>
              </w:rPr>
              <w:t>3 x Tower Mounted Amplifiers (457mm x 275mm x 208mm, Weight 25kg); or equivalent load</w:t>
            </w:r>
          </w:p>
        </w:tc>
        <w:tc>
          <w:tcPr>
            <w:tcW w:w="0" w:type="auto"/>
          </w:tcPr>
          <w:p w14:paraId="564A2F71" w14:textId="77777777" w:rsidR="00301B7F" w:rsidRPr="00F550AC" w:rsidRDefault="00301B7F" w:rsidP="00301B7F">
            <w:pPr>
              <w:pStyle w:val="Bodynumbered-Level3"/>
              <w:spacing w:before="120" w:after="120"/>
              <w:ind w:left="0" w:firstLine="0"/>
              <w:rPr>
                <w:rFonts w:asciiTheme="minorHAnsi" w:hAnsiTheme="minorHAnsi" w:cstheme="minorHAnsi"/>
              </w:rPr>
            </w:pPr>
            <w:r w:rsidRPr="00F550AC">
              <w:rPr>
                <w:rFonts w:asciiTheme="minorHAnsi" w:eastAsia="Times New Roman" w:hAnsiTheme="minorHAnsi" w:cstheme="minorHAnsi"/>
                <w:lang w:val="en-US" w:eastAsia="en-AU"/>
              </w:rPr>
              <w:t>6 x RRUs (Dimensions:400mm (h) x 300mm (w) x 150mm (d), Weight 20kg)</w:t>
            </w:r>
          </w:p>
        </w:tc>
        <w:tc>
          <w:tcPr>
            <w:tcW w:w="0" w:type="auto"/>
          </w:tcPr>
          <w:p w14:paraId="770AEE78" w14:textId="77777777" w:rsidR="00301B7F" w:rsidRPr="00F550AC" w:rsidRDefault="00301B7F" w:rsidP="00301B7F">
            <w:pPr>
              <w:pStyle w:val="Bodynumbered-Level3"/>
              <w:spacing w:before="120" w:after="120"/>
              <w:ind w:left="0" w:firstLine="0"/>
              <w:rPr>
                <w:rFonts w:asciiTheme="minorHAnsi" w:hAnsiTheme="minorHAnsi" w:cstheme="minorHAnsi"/>
              </w:rPr>
            </w:pPr>
            <w:r w:rsidRPr="00F550AC">
              <w:rPr>
                <w:rFonts w:asciiTheme="minorHAnsi" w:eastAsia="Times New Roman" w:hAnsiTheme="minorHAnsi" w:cstheme="minorHAnsi"/>
                <w:lang w:val="en-US" w:eastAsia="en-AU"/>
              </w:rPr>
              <w:t>6 x RRUs (Dimensions: 400mm (h) x 300mm (w) x 100mm (d), Weight 13.5kg)</w:t>
            </w:r>
          </w:p>
        </w:tc>
      </w:tr>
      <w:tr w:rsidR="00301B7F" w:rsidRPr="00F550AC" w14:paraId="7CCCD22C" w14:textId="77777777" w:rsidTr="00301B7F">
        <w:tc>
          <w:tcPr>
            <w:tcW w:w="0" w:type="auto"/>
          </w:tcPr>
          <w:p w14:paraId="29051BED" w14:textId="77777777" w:rsidR="00301B7F" w:rsidRPr="00F550AC" w:rsidRDefault="00301B7F" w:rsidP="00301B7F">
            <w:pPr>
              <w:pStyle w:val="Bodynumbered-Level3"/>
              <w:spacing w:before="120" w:after="120"/>
              <w:ind w:left="0" w:firstLine="0"/>
              <w:rPr>
                <w:rFonts w:asciiTheme="minorHAnsi" w:hAnsiTheme="minorHAnsi" w:cstheme="minorHAnsi"/>
              </w:rPr>
            </w:pPr>
            <w:r w:rsidRPr="00F550AC">
              <w:rPr>
                <w:rFonts w:asciiTheme="minorHAnsi" w:eastAsia="Times New Roman" w:hAnsiTheme="minorHAnsi" w:cstheme="minorHAnsi"/>
                <w:lang w:val="en-US" w:eastAsia="en-AU"/>
              </w:rPr>
              <w:t>6 x feeders + 300mm cable gantry for monopole structure type sites</w:t>
            </w:r>
          </w:p>
        </w:tc>
        <w:tc>
          <w:tcPr>
            <w:tcW w:w="0" w:type="auto"/>
          </w:tcPr>
          <w:p w14:paraId="440D1928" w14:textId="77777777" w:rsidR="00301B7F" w:rsidRPr="00F550AC" w:rsidRDefault="00301B7F" w:rsidP="00301B7F">
            <w:pPr>
              <w:pStyle w:val="Bodynumbered-Level3"/>
              <w:spacing w:before="120" w:after="120"/>
              <w:ind w:left="0" w:firstLine="0"/>
              <w:rPr>
                <w:rFonts w:asciiTheme="minorHAnsi" w:hAnsiTheme="minorHAnsi" w:cstheme="minorHAnsi"/>
              </w:rPr>
            </w:pPr>
            <w:r w:rsidRPr="00F550AC">
              <w:rPr>
                <w:rFonts w:asciiTheme="minorHAnsi" w:eastAsia="Times New Roman" w:hAnsiTheme="minorHAnsi" w:cstheme="minorHAnsi"/>
                <w:lang w:val="en-US" w:eastAsia="en-AU"/>
              </w:rPr>
              <w:t>6 x combiners (Dimension: 330mm (h) x 200mm (w) x 130mm (d), Weight 3.2kg)</w:t>
            </w:r>
          </w:p>
        </w:tc>
        <w:tc>
          <w:tcPr>
            <w:tcW w:w="0" w:type="auto"/>
          </w:tcPr>
          <w:p w14:paraId="458AE700" w14:textId="77777777" w:rsidR="00301B7F" w:rsidRPr="00F550AC" w:rsidRDefault="00301B7F" w:rsidP="00301B7F">
            <w:pPr>
              <w:pStyle w:val="Bodynumbered-Level3"/>
              <w:spacing w:before="120" w:after="120"/>
              <w:ind w:left="0" w:firstLine="0"/>
              <w:rPr>
                <w:rFonts w:asciiTheme="minorHAnsi" w:hAnsiTheme="minorHAnsi" w:cstheme="minorHAnsi"/>
              </w:rPr>
            </w:pPr>
            <w:r w:rsidRPr="00F550AC">
              <w:rPr>
                <w:rFonts w:asciiTheme="minorHAnsi" w:eastAsia="Times New Roman" w:hAnsiTheme="minorHAnsi" w:cstheme="minorHAnsi"/>
                <w:lang w:val="en-US" w:eastAsia="en-AU"/>
              </w:rPr>
              <w:t>2 x 600mm fixed link dishes; or equivalent load</w:t>
            </w:r>
          </w:p>
        </w:tc>
      </w:tr>
      <w:tr w:rsidR="00301B7F" w:rsidRPr="00F550AC" w14:paraId="30E942E8" w14:textId="77777777" w:rsidTr="00301B7F">
        <w:tc>
          <w:tcPr>
            <w:tcW w:w="0" w:type="auto"/>
          </w:tcPr>
          <w:p w14:paraId="58A7E6C2" w14:textId="77777777" w:rsidR="00301B7F" w:rsidRPr="00F550AC" w:rsidRDefault="00301B7F" w:rsidP="00301B7F">
            <w:pPr>
              <w:pStyle w:val="Bodynumbered-Level3"/>
              <w:spacing w:before="120" w:after="120"/>
              <w:ind w:left="0" w:firstLine="0"/>
              <w:rPr>
                <w:rFonts w:asciiTheme="minorHAnsi" w:hAnsiTheme="minorHAnsi" w:cstheme="minorHAnsi"/>
              </w:rPr>
            </w:pPr>
            <w:r w:rsidRPr="00F550AC">
              <w:rPr>
                <w:rFonts w:asciiTheme="minorHAnsi" w:eastAsia="Times New Roman" w:hAnsiTheme="minorHAnsi" w:cstheme="minorHAnsi"/>
                <w:lang w:val="en-US" w:eastAsia="en-AU"/>
              </w:rPr>
              <w:t>2 x 600mm fixed link dishes; or equivalent load</w:t>
            </w:r>
          </w:p>
        </w:tc>
        <w:tc>
          <w:tcPr>
            <w:tcW w:w="0" w:type="auto"/>
          </w:tcPr>
          <w:p w14:paraId="3C4C7539" w14:textId="77777777" w:rsidR="00301B7F" w:rsidRPr="00F550AC" w:rsidRDefault="00301B7F" w:rsidP="00301B7F">
            <w:pPr>
              <w:pStyle w:val="Bodynumbered-Level3"/>
              <w:spacing w:before="120" w:after="120"/>
              <w:ind w:left="0" w:firstLine="0"/>
              <w:rPr>
                <w:rFonts w:asciiTheme="minorHAnsi" w:hAnsiTheme="minorHAnsi" w:cstheme="minorHAnsi"/>
              </w:rPr>
            </w:pPr>
            <w:r w:rsidRPr="00F550AC">
              <w:rPr>
                <w:rFonts w:asciiTheme="minorHAnsi" w:eastAsia="Times New Roman" w:hAnsiTheme="minorHAnsi" w:cstheme="minorHAnsi"/>
                <w:lang w:val="en-US" w:eastAsia="en-AU"/>
              </w:rPr>
              <w:t xml:space="preserve">2 x 600mm transmission dishes; or equivalent load </w:t>
            </w:r>
          </w:p>
        </w:tc>
        <w:tc>
          <w:tcPr>
            <w:tcW w:w="0" w:type="auto"/>
          </w:tcPr>
          <w:p w14:paraId="5C39CFE4" w14:textId="77777777" w:rsidR="00301B7F" w:rsidRPr="00F550AC" w:rsidRDefault="00301B7F" w:rsidP="00301B7F">
            <w:pPr>
              <w:pStyle w:val="Bodynumbered-Level3"/>
              <w:spacing w:before="120" w:after="120"/>
              <w:ind w:left="0" w:firstLine="0"/>
              <w:rPr>
                <w:rFonts w:asciiTheme="minorHAnsi" w:hAnsiTheme="minorHAnsi" w:cstheme="minorHAnsi"/>
              </w:rPr>
            </w:pPr>
          </w:p>
        </w:tc>
      </w:tr>
      <w:tr w:rsidR="00301B7F" w:rsidRPr="00F550AC" w14:paraId="19419F87" w14:textId="77777777" w:rsidTr="00301B7F">
        <w:tc>
          <w:tcPr>
            <w:tcW w:w="0" w:type="auto"/>
          </w:tcPr>
          <w:p w14:paraId="7FB89964" w14:textId="77777777" w:rsidR="00301B7F" w:rsidRPr="00F550AC" w:rsidRDefault="00301B7F" w:rsidP="00301B7F">
            <w:pPr>
              <w:pStyle w:val="Bodynumbered-Level3"/>
              <w:spacing w:before="120" w:after="120"/>
              <w:ind w:left="0" w:firstLine="0"/>
              <w:rPr>
                <w:rFonts w:asciiTheme="minorHAnsi" w:hAnsiTheme="minorHAnsi" w:cstheme="minorHAnsi"/>
              </w:rPr>
            </w:pPr>
          </w:p>
        </w:tc>
        <w:tc>
          <w:tcPr>
            <w:tcW w:w="0" w:type="auto"/>
          </w:tcPr>
          <w:p w14:paraId="67E18CBC" w14:textId="77777777" w:rsidR="00301B7F" w:rsidRPr="00F550AC" w:rsidRDefault="00301B7F" w:rsidP="00301B7F">
            <w:pPr>
              <w:pStyle w:val="Bodynumbered-Level3"/>
              <w:spacing w:before="120" w:after="120"/>
              <w:ind w:left="0" w:firstLine="0"/>
              <w:rPr>
                <w:rFonts w:asciiTheme="minorHAnsi" w:hAnsiTheme="minorHAnsi" w:cstheme="minorHAnsi"/>
              </w:rPr>
            </w:pPr>
            <w:r w:rsidRPr="00F550AC">
              <w:rPr>
                <w:rFonts w:asciiTheme="minorHAnsi" w:eastAsia="Times New Roman" w:hAnsiTheme="minorHAnsi" w:cstheme="minorHAnsi"/>
                <w:lang w:val="en-US" w:eastAsia="en-AU"/>
              </w:rPr>
              <w:t>Other DC Cables and Junction Boxes</w:t>
            </w:r>
          </w:p>
        </w:tc>
        <w:tc>
          <w:tcPr>
            <w:tcW w:w="0" w:type="auto"/>
          </w:tcPr>
          <w:p w14:paraId="52E0E86E" w14:textId="77777777" w:rsidR="00301B7F" w:rsidRPr="00F550AC" w:rsidRDefault="00301B7F" w:rsidP="00301B7F">
            <w:pPr>
              <w:pStyle w:val="Bodynumbered-Level3"/>
              <w:spacing w:before="120" w:after="120"/>
              <w:ind w:left="0" w:firstLine="0"/>
              <w:rPr>
                <w:rFonts w:asciiTheme="minorHAnsi" w:hAnsiTheme="minorHAnsi" w:cstheme="minorHAnsi"/>
              </w:rPr>
            </w:pPr>
          </w:p>
        </w:tc>
      </w:tr>
    </w:tbl>
    <w:p w14:paraId="0591B02D" w14:textId="77777777" w:rsidR="00301B7F" w:rsidRPr="00F550AC" w:rsidRDefault="00301B7F" w:rsidP="00301B7F">
      <w:pPr>
        <w:pStyle w:val="Bodynumbered-Level3"/>
        <w:spacing w:before="120" w:after="120"/>
        <w:ind w:left="709" w:firstLine="0"/>
        <w:rPr>
          <w:rFonts w:asciiTheme="minorHAnsi" w:hAnsiTheme="minorHAnsi" w:cstheme="minorHAnsi"/>
        </w:rPr>
      </w:pPr>
    </w:p>
    <w:p w14:paraId="41204F51" w14:textId="3637B361" w:rsidR="00301B7F" w:rsidRPr="00F550AC" w:rsidRDefault="00301B7F" w:rsidP="00087F4A">
      <w:pPr>
        <w:pStyle w:val="Bodynumbered-Level3"/>
        <w:numPr>
          <w:ilvl w:val="0"/>
          <w:numId w:val="34"/>
        </w:numPr>
        <w:spacing w:before="120" w:after="120"/>
        <w:ind w:left="1276" w:hanging="567"/>
        <w:rPr>
          <w:rFonts w:asciiTheme="minorHAnsi" w:hAnsiTheme="minorHAnsi" w:cstheme="minorHAnsi"/>
        </w:rPr>
      </w:pPr>
      <w:bookmarkStart w:id="46" w:name="_Ref397579508"/>
      <w:r w:rsidRPr="00F550AC">
        <w:rPr>
          <w:rFonts w:asciiTheme="minorHAnsi" w:hAnsiTheme="minorHAnsi" w:cstheme="minorHAnsi"/>
        </w:rPr>
        <w:t xml:space="preserve">There is sufficient mains AC power provision to support the requirements of additional MNO equipment. This </w:t>
      </w:r>
      <w:r w:rsidRPr="00F0749F">
        <w:rPr>
          <w:rFonts w:asciiTheme="minorHAnsi" w:hAnsiTheme="minorHAnsi" w:cstheme="minorHAnsi"/>
        </w:rPr>
        <w:t xml:space="preserve">section </w:t>
      </w:r>
      <w:r w:rsidR="006134EA" w:rsidRPr="00846820">
        <w:rPr>
          <w:rFonts w:asciiTheme="minorHAnsi" w:hAnsiTheme="minorHAnsi" w:cstheme="minorHAnsi"/>
        </w:rPr>
        <w:t>3.2.16</w:t>
      </w:r>
      <w:r w:rsidRPr="00846820">
        <w:rPr>
          <w:rFonts w:asciiTheme="minorHAnsi" w:hAnsiTheme="minorHAnsi" w:cstheme="minorHAnsi"/>
        </w:rPr>
        <w:t>(b)</w:t>
      </w:r>
      <w:r w:rsidRPr="00F0749F">
        <w:rPr>
          <w:rFonts w:asciiTheme="minorHAnsi" w:hAnsiTheme="minorHAnsi" w:cstheme="minorHAnsi"/>
        </w:rPr>
        <w:t xml:space="preserve"> does</w:t>
      </w:r>
      <w:r w:rsidRPr="00F550AC">
        <w:rPr>
          <w:rFonts w:asciiTheme="minorHAnsi" w:hAnsiTheme="minorHAnsi" w:cstheme="minorHAnsi"/>
        </w:rPr>
        <w:t xml:space="preserve"> not apply to solar powered sites, however, solar powered sites must have sufficient space for the additional MNO/s to install additional solar panels.</w:t>
      </w:r>
      <w:bookmarkEnd w:id="46"/>
    </w:p>
    <w:p w14:paraId="0F8FAD45" w14:textId="77777777" w:rsidR="00301B7F" w:rsidRPr="00F550AC" w:rsidRDefault="00301B7F" w:rsidP="00087F4A">
      <w:pPr>
        <w:pStyle w:val="Bodynumbered-Level3"/>
        <w:numPr>
          <w:ilvl w:val="0"/>
          <w:numId w:val="34"/>
        </w:numPr>
        <w:spacing w:before="120" w:after="120"/>
        <w:ind w:left="1276" w:hanging="567"/>
        <w:rPr>
          <w:rFonts w:asciiTheme="minorHAnsi" w:hAnsiTheme="minorHAnsi" w:cstheme="minorHAnsi"/>
        </w:rPr>
      </w:pPr>
      <w:r w:rsidRPr="00F550AC">
        <w:rPr>
          <w:rFonts w:asciiTheme="minorHAnsi" w:hAnsiTheme="minorHAnsi" w:cstheme="minorHAnsi"/>
        </w:rPr>
        <w:t>There is a communications hut of sufficient size (or space available on the site for further huts) to accommodate additional MNO equipment.</w:t>
      </w:r>
    </w:p>
    <w:p w14:paraId="15F6F78D" w14:textId="552EBA2F" w:rsidR="00301B7F" w:rsidRPr="00F550AC" w:rsidRDefault="00301B7F" w:rsidP="00301B7F">
      <w:pPr>
        <w:pStyle w:val="Bodynumbered-Level1"/>
        <w:rPr>
          <w:rFonts w:asciiTheme="minorHAnsi" w:hAnsiTheme="minorHAnsi" w:cstheme="minorHAnsi"/>
        </w:rPr>
      </w:pPr>
      <w:r>
        <w:rPr>
          <w:rFonts w:asciiTheme="minorHAnsi" w:hAnsiTheme="minorHAnsi" w:cstheme="minorHAnsi"/>
        </w:rPr>
        <w:t>3.2.17</w:t>
      </w:r>
      <w:r w:rsidRPr="00F550AC">
        <w:rPr>
          <w:rFonts w:asciiTheme="minorHAnsi" w:hAnsiTheme="minorHAnsi" w:cstheme="minorHAnsi"/>
        </w:rPr>
        <w:tab/>
        <w:t>MNOs interested in co-locating on, or co-building, a Funded Solution will be required to express interest prior to the start of the detailed design stage for that Funded Solution. All parties will be required to negotiate in good faith with each other in relation to the Funded Solution access and price terms, and enter into commercial arrangements. The capital contribution to be made by the co-locating parties in respect of a Funded Solution must, at least, equal the incremental cost incurred by reason of provisioning co-location for that Funded Solution.</w:t>
      </w:r>
    </w:p>
    <w:p w14:paraId="3E839AA3" w14:textId="465C4F20" w:rsidR="00301B7F" w:rsidRPr="00F550AC" w:rsidRDefault="00301B7F" w:rsidP="00301B7F">
      <w:pPr>
        <w:pStyle w:val="Bodynumbered-Level1"/>
        <w:rPr>
          <w:rFonts w:asciiTheme="minorHAnsi" w:hAnsiTheme="minorHAnsi" w:cstheme="minorHAnsi"/>
        </w:rPr>
      </w:pPr>
      <w:r>
        <w:rPr>
          <w:rFonts w:asciiTheme="minorHAnsi" w:hAnsiTheme="minorHAnsi" w:cstheme="minorHAnsi"/>
        </w:rPr>
        <w:t>3.2.18</w:t>
      </w:r>
      <w:r w:rsidRPr="00F550AC">
        <w:rPr>
          <w:rFonts w:asciiTheme="minorHAnsi" w:hAnsiTheme="minorHAnsi" w:cstheme="minorHAnsi"/>
        </w:rPr>
        <w:tab/>
        <w:t xml:space="preserve">In accordance with the dispute resolution process </w:t>
      </w:r>
      <w:r w:rsidRPr="00F0749F">
        <w:rPr>
          <w:rFonts w:asciiTheme="minorHAnsi" w:hAnsiTheme="minorHAnsi" w:cstheme="minorHAnsi"/>
        </w:rPr>
        <w:t xml:space="preserve">outlined </w:t>
      </w:r>
      <w:r w:rsidRPr="00846820">
        <w:rPr>
          <w:rFonts w:asciiTheme="minorHAnsi" w:hAnsiTheme="minorHAnsi" w:cstheme="minorHAnsi"/>
        </w:rPr>
        <w:t xml:space="preserve">at </w:t>
      </w:r>
      <w:r w:rsidR="006134EA" w:rsidRPr="00846820">
        <w:rPr>
          <w:rFonts w:asciiTheme="minorHAnsi" w:hAnsiTheme="minorHAnsi" w:cstheme="minorHAnsi"/>
        </w:rPr>
        <w:t>sections 3.2.28 and 3.2.29</w:t>
      </w:r>
      <w:r w:rsidRPr="00F0749F">
        <w:rPr>
          <w:rFonts w:asciiTheme="minorHAnsi" w:hAnsiTheme="minorHAnsi" w:cstheme="minorHAnsi"/>
        </w:rPr>
        <w:t xml:space="preserve"> of these Guidelines, any disagreements regarding open</w:t>
      </w:r>
      <w:r w:rsidRPr="00F550AC">
        <w:rPr>
          <w:rFonts w:asciiTheme="minorHAnsi" w:hAnsiTheme="minorHAnsi" w:cstheme="minorHAnsi"/>
        </w:rPr>
        <w:t xml:space="preserve"> access and co-location matters will be determined by an independent third party, to be appointed at </w:t>
      </w:r>
      <w:r w:rsidRPr="00F550AC">
        <w:rPr>
          <w:rFonts w:asciiTheme="minorHAnsi" w:hAnsiTheme="minorHAnsi" w:cstheme="minorHAnsi"/>
        </w:rPr>
        <w:lastRenderedPageBreak/>
        <w:t>the MNO’s/MNIP’s shared cost, and in accordance with the dispute resolution process.</w:t>
      </w:r>
    </w:p>
    <w:p w14:paraId="59D044D1" w14:textId="4D6CE820" w:rsidR="00301B7F" w:rsidRPr="00F550AC" w:rsidRDefault="00301B7F" w:rsidP="00301B7F">
      <w:pPr>
        <w:pStyle w:val="Bodynumbered-Level1"/>
        <w:rPr>
          <w:rFonts w:asciiTheme="minorHAnsi" w:hAnsiTheme="minorHAnsi" w:cstheme="minorHAnsi"/>
        </w:rPr>
      </w:pPr>
      <w:r>
        <w:rPr>
          <w:rFonts w:asciiTheme="minorHAnsi" w:hAnsiTheme="minorHAnsi" w:cstheme="minorHAnsi"/>
        </w:rPr>
        <w:t>3.2.19</w:t>
      </w:r>
      <w:r w:rsidRPr="00F550AC">
        <w:rPr>
          <w:rFonts w:asciiTheme="minorHAnsi" w:hAnsiTheme="minorHAnsi" w:cstheme="minorHAnsi"/>
        </w:rPr>
        <w:tab/>
        <w:t xml:space="preserve">Co-location negotiations for Funded Solutions are to occur at the earliest possible opportunity after the successful sites are known and before the commencement of the detailed site design phase begins for an individual Funded Solution. </w:t>
      </w:r>
    </w:p>
    <w:p w14:paraId="25ECEB75" w14:textId="06A96510" w:rsidR="00301B7F" w:rsidRPr="00F550AC" w:rsidRDefault="00301B7F" w:rsidP="00301B7F">
      <w:pPr>
        <w:pStyle w:val="Bodynumbered-Level1"/>
        <w:rPr>
          <w:rFonts w:asciiTheme="minorHAnsi" w:hAnsiTheme="minorHAnsi" w:cstheme="minorHAnsi"/>
        </w:rPr>
      </w:pPr>
      <w:r>
        <w:rPr>
          <w:rFonts w:asciiTheme="minorHAnsi" w:hAnsiTheme="minorHAnsi" w:cstheme="minorHAnsi"/>
        </w:rPr>
        <w:t>3.2.20</w:t>
      </w:r>
      <w:r w:rsidRPr="00F550AC">
        <w:rPr>
          <w:rFonts w:asciiTheme="minorHAnsi" w:hAnsiTheme="minorHAnsi" w:cstheme="minorHAnsi"/>
        </w:rPr>
        <w:tab/>
        <w:t>Follo</w:t>
      </w:r>
      <w:r w:rsidR="006134EA">
        <w:rPr>
          <w:rFonts w:asciiTheme="minorHAnsi" w:hAnsiTheme="minorHAnsi" w:cstheme="minorHAnsi"/>
        </w:rPr>
        <w:t xml:space="preserve">wing the process set out </w:t>
      </w:r>
      <w:r w:rsidR="006134EA" w:rsidRPr="00F0749F">
        <w:rPr>
          <w:rFonts w:asciiTheme="minorHAnsi" w:hAnsiTheme="minorHAnsi" w:cstheme="minorHAnsi"/>
        </w:rPr>
        <w:t>in</w:t>
      </w:r>
      <w:r w:rsidRPr="00F0749F">
        <w:rPr>
          <w:rFonts w:asciiTheme="minorHAnsi" w:hAnsiTheme="minorHAnsi" w:cstheme="minorHAnsi"/>
        </w:rPr>
        <w:t xml:space="preserve"> </w:t>
      </w:r>
      <w:r w:rsidR="006134EA" w:rsidRPr="00846820">
        <w:rPr>
          <w:rFonts w:asciiTheme="minorHAnsi" w:hAnsiTheme="minorHAnsi" w:cstheme="minorHAnsi"/>
        </w:rPr>
        <w:t xml:space="preserve">sections 3.2.9 </w:t>
      </w:r>
      <w:r w:rsidR="003C5EFB" w:rsidRPr="00846820">
        <w:rPr>
          <w:rFonts w:asciiTheme="minorHAnsi" w:hAnsiTheme="minorHAnsi" w:cstheme="minorHAnsi"/>
        </w:rPr>
        <w:t>to</w:t>
      </w:r>
      <w:r w:rsidR="006134EA" w:rsidRPr="00846820">
        <w:rPr>
          <w:rFonts w:asciiTheme="minorHAnsi" w:hAnsiTheme="minorHAnsi" w:cstheme="minorHAnsi"/>
        </w:rPr>
        <w:t xml:space="preserve"> 3.2.20</w:t>
      </w:r>
      <w:r w:rsidRPr="00F0749F">
        <w:rPr>
          <w:rFonts w:asciiTheme="minorHAnsi" w:hAnsiTheme="minorHAnsi" w:cstheme="minorHAnsi"/>
        </w:rPr>
        <w:t>,</w:t>
      </w:r>
      <w:r w:rsidRPr="00F550AC">
        <w:rPr>
          <w:rFonts w:asciiTheme="minorHAnsi" w:hAnsiTheme="minorHAnsi" w:cstheme="minorHAnsi"/>
        </w:rPr>
        <w:t xml:space="preserve"> if it is ascertained that there is no interest in co</w:t>
      </w:r>
      <w:r w:rsidRPr="00F550AC">
        <w:rPr>
          <w:rFonts w:asciiTheme="minorHAnsi" w:hAnsiTheme="minorHAnsi" w:cstheme="minorHAnsi"/>
        </w:rPr>
        <w:noBreakHyphen/>
        <w:t xml:space="preserve">location from another MNO or </w:t>
      </w:r>
      <w:r w:rsidRPr="00F550AC">
        <w:rPr>
          <w:rFonts w:asciiTheme="minorHAnsi" w:hAnsiTheme="minorHAnsi" w:cstheme="minorHAnsi"/>
          <w:b/>
        </w:rPr>
        <w:t>NBN</w:t>
      </w:r>
      <w:r w:rsidRPr="00F550AC">
        <w:rPr>
          <w:rFonts w:asciiTheme="minorHAnsi" w:hAnsiTheme="minorHAnsi" w:cstheme="minorHAnsi"/>
        </w:rPr>
        <w:t xml:space="preserve"> </w:t>
      </w:r>
      <w:r w:rsidRPr="00F550AC">
        <w:rPr>
          <w:rFonts w:asciiTheme="minorHAnsi" w:hAnsiTheme="minorHAnsi" w:cstheme="minorHAnsi"/>
          <w:b/>
        </w:rPr>
        <w:t>Co</w:t>
      </w:r>
      <w:r w:rsidRPr="00F550AC">
        <w:rPr>
          <w:rFonts w:asciiTheme="minorHAnsi" w:hAnsiTheme="minorHAnsi" w:cstheme="minorHAnsi"/>
        </w:rPr>
        <w:t>, the Grantee will not be required to design or build the site to allow for co</w:t>
      </w:r>
      <w:r w:rsidRPr="00F550AC">
        <w:rPr>
          <w:rFonts w:asciiTheme="minorHAnsi" w:hAnsiTheme="minorHAnsi" w:cstheme="minorHAnsi"/>
        </w:rPr>
        <w:noBreakHyphen/>
        <w:t>location.</w:t>
      </w:r>
    </w:p>
    <w:p w14:paraId="0D119FB4" w14:textId="77777777" w:rsidR="00301B7F" w:rsidRPr="00682EDA" w:rsidRDefault="00301B7F" w:rsidP="00301B7F">
      <w:pPr>
        <w:pStyle w:val="BodyText1"/>
        <w:rPr>
          <w:rFonts w:asciiTheme="minorHAnsi" w:hAnsiTheme="minorHAnsi" w:cstheme="minorHAnsi"/>
          <w:u w:val="single"/>
        </w:rPr>
      </w:pPr>
      <w:r w:rsidRPr="00682EDA">
        <w:rPr>
          <w:rFonts w:asciiTheme="minorHAnsi" w:hAnsiTheme="minorHAnsi" w:cstheme="minorHAnsi"/>
          <w:u w:val="single"/>
        </w:rPr>
        <w:t>Backhaul access and pricing</w:t>
      </w:r>
    </w:p>
    <w:p w14:paraId="782878B4" w14:textId="2B96D741" w:rsidR="00301B7F" w:rsidRPr="00F550AC" w:rsidRDefault="00301B7F" w:rsidP="00301B7F">
      <w:pPr>
        <w:pStyle w:val="Bodynumbered-Level1"/>
        <w:rPr>
          <w:rFonts w:asciiTheme="minorHAnsi" w:hAnsiTheme="minorHAnsi" w:cstheme="minorHAnsi"/>
        </w:rPr>
      </w:pPr>
      <w:r>
        <w:rPr>
          <w:rFonts w:asciiTheme="minorHAnsi" w:hAnsiTheme="minorHAnsi" w:cstheme="minorHAnsi"/>
        </w:rPr>
        <w:t>3.2.21</w:t>
      </w:r>
      <w:r w:rsidRPr="00F550AC">
        <w:rPr>
          <w:rFonts w:asciiTheme="minorHAnsi" w:hAnsiTheme="minorHAnsi" w:cstheme="minorHAnsi"/>
        </w:rPr>
        <w:tab/>
        <w:t xml:space="preserve">Where an MNO selected to build a </w:t>
      </w:r>
      <w:r w:rsidRPr="005F3663">
        <w:rPr>
          <w:rFonts w:asciiTheme="minorHAnsi" w:hAnsiTheme="minorHAnsi" w:cstheme="minorHAnsi"/>
        </w:rPr>
        <w:t>Funded Solution</w:t>
      </w:r>
      <w:r w:rsidRPr="00F550AC">
        <w:rPr>
          <w:rFonts w:asciiTheme="minorHAnsi" w:hAnsiTheme="minorHAnsi" w:cstheme="minorHAnsi"/>
        </w:rPr>
        <w:t xml:space="preserve"> (the </w:t>
      </w:r>
      <w:r w:rsidRPr="00F550AC">
        <w:rPr>
          <w:rFonts w:asciiTheme="minorHAnsi" w:hAnsiTheme="minorHAnsi" w:cstheme="minorHAnsi"/>
          <w:b/>
        </w:rPr>
        <w:t>Building</w:t>
      </w:r>
      <w:r w:rsidRPr="00F550AC">
        <w:rPr>
          <w:rFonts w:asciiTheme="minorHAnsi" w:hAnsiTheme="minorHAnsi" w:cstheme="minorHAnsi"/>
        </w:rPr>
        <w:t xml:space="preserve"> </w:t>
      </w:r>
      <w:r w:rsidRPr="00F550AC">
        <w:rPr>
          <w:rFonts w:asciiTheme="minorHAnsi" w:hAnsiTheme="minorHAnsi" w:cstheme="minorHAnsi"/>
          <w:b/>
        </w:rPr>
        <w:t>MNO</w:t>
      </w:r>
      <w:r w:rsidRPr="00F550AC">
        <w:rPr>
          <w:rFonts w:asciiTheme="minorHAnsi" w:hAnsiTheme="minorHAnsi" w:cstheme="minorHAnsi"/>
        </w:rPr>
        <w:t xml:space="preserve">) reaches an agreement </w:t>
      </w:r>
      <w:r w:rsidRPr="00F0749F">
        <w:rPr>
          <w:rFonts w:asciiTheme="minorHAnsi" w:hAnsiTheme="minorHAnsi" w:cstheme="minorHAnsi"/>
        </w:rPr>
        <w:t xml:space="preserve">under </w:t>
      </w:r>
      <w:r w:rsidR="006134EA" w:rsidRPr="00846820">
        <w:rPr>
          <w:rFonts w:asciiTheme="minorHAnsi" w:hAnsiTheme="minorHAnsi" w:cstheme="minorHAnsi"/>
        </w:rPr>
        <w:t xml:space="preserve">sections 3.2.9 </w:t>
      </w:r>
      <w:r w:rsidR="003C5EFB" w:rsidRPr="00846820">
        <w:rPr>
          <w:rFonts w:asciiTheme="minorHAnsi" w:hAnsiTheme="minorHAnsi" w:cstheme="minorHAnsi"/>
        </w:rPr>
        <w:t xml:space="preserve">to </w:t>
      </w:r>
      <w:r w:rsidR="006134EA" w:rsidRPr="00846820">
        <w:rPr>
          <w:rFonts w:asciiTheme="minorHAnsi" w:hAnsiTheme="minorHAnsi" w:cstheme="minorHAnsi"/>
        </w:rPr>
        <w:t>3.2.20</w:t>
      </w:r>
      <w:r w:rsidRPr="00F0749F">
        <w:rPr>
          <w:rFonts w:asciiTheme="minorHAnsi" w:hAnsiTheme="minorHAnsi" w:cstheme="minorHAnsi"/>
        </w:rPr>
        <w:t xml:space="preserve"> of these</w:t>
      </w:r>
      <w:r w:rsidRPr="00F550AC">
        <w:rPr>
          <w:rFonts w:asciiTheme="minorHAnsi" w:hAnsiTheme="minorHAnsi" w:cstheme="minorHAnsi"/>
        </w:rPr>
        <w:t xml:space="preserve"> Guidelines for another MNO (the </w:t>
      </w:r>
      <w:r w:rsidRPr="00F550AC">
        <w:rPr>
          <w:rFonts w:asciiTheme="minorHAnsi" w:hAnsiTheme="minorHAnsi" w:cstheme="minorHAnsi"/>
          <w:b/>
        </w:rPr>
        <w:t>Co</w:t>
      </w:r>
      <w:r w:rsidRPr="00F550AC">
        <w:rPr>
          <w:rFonts w:asciiTheme="minorHAnsi" w:hAnsiTheme="minorHAnsi" w:cstheme="minorHAnsi"/>
          <w:b/>
        </w:rPr>
        <w:noBreakHyphen/>
        <w:t>locating MNO</w:t>
      </w:r>
      <w:r w:rsidRPr="00F550AC">
        <w:rPr>
          <w:rFonts w:asciiTheme="minorHAnsi" w:hAnsiTheme="minorHAnsi" w:cstheme="minorHAnsi"/>
        </w:rPr>
        <w:t xml:space="preserve">) to co-locate on the Funded Solution, the </w:t>
      </w:r>
      <w:r w:rsidRPr="005F3663">
        <w:rPr>
          <w:rFonts w:asciiTheme="minorHAnsi" w:hAnsiTheme="minorHAnsi" w:cstheme="minorHAnsi"/>
        </w:rPr>
        <w:t>Building MNO</w:t>
      </w:r>
      <w:r w:rsidRPr="00F550AC">
        <w:rPr>
          <w:rFonts w:asciiTheme="minorHAnsi" w:hAnsiTheme="minorHAnsi" w:cstheme="minorHAnsi"/>
        </w:rPr>
        <w:t xml:space="preserve"> must offer </w:t>
      </w:r>
      <w:r w:rsidRPr="005F3663">
        <w:rPr>
          <w:rFonts w:asciiTheme="minorHAnsi" w:hAnsiTheme="minorHAnsi" w:cstheme="minorHAnsi"/>
        </w:rPr>
        <w:t>Backhaul</w:t>
      </w:r>
      <w:r w:rsidRPr="00F550AC">
        <w:rPr>
          <w:rFonts w:asciiTheme="minorHAnsi" w:hAnsiTheme="minorHAnsi" w:cstheme="minorHAnsi"/>
        </w:rPr>
        <w:t xml:space="preserve"> to the </w:t>
      </w:r>
      <w:r w:rsidRPr="005F3663">
        <w:rPr>
          <w:rFonts w:asciiTheme="minorHAnsi" w:hAnsiTheme="minorHAnsi" w:cstheme="minorHAnsi"/>
        </w:rPr>
        <w:t>Co</w:t>
      </w:r>
      <w:r w:rsidRPr="005F3663">
        <w:rPr>
          <w:rFonts w:asciiTheme="minorHAnsi" w:hAnsiTheme="minorHAnsi" w:cstheme="minorHAnsi"/>
        </w:rPr>
        <w:noBreakHyphen/>
        <w:t>locating MNO</w:t>
      </w:r>
      <w:r w:rsidRPr="00F550AC">
        <w:rPr>
          <w:rFonts w:asciiTheme="minorHAnsi" w:hAnsiTheme="minorHAnsi" w:cstheme="minorHAnsi"/>
        </w:rPr>
        <w:t xml:space="preserve"> if the </w:t>
      </w:r>
      <w:r w:rsidRPr="005F3663">
        <w:rPr>
          <w:rFonts w:asciiTheme="minorHAnsi" w:hAnsiTheme="minorHAnsi" w:cstheme="minorHAnsi"/>
        </w:rPr>
        <w:t>Building MNO</w:t>
      </w:r>
      <w:r w:rsidRPr="00F550AC">
        <w:rPr>
          <w:rFonts w:asciiTheme="minorHAnsi" w:hAnsiTheme="minorHAnsi" w:cstheme="minorHAnsi"/>
        </w:rPr>
        <w:t xml:space="preserve"> is in a position to do so (see </w:t>
      </w:r>
      <w:r w:rsidR="006134EA" w:rsidRPr="00846820">
        <w:rPr>
          <w:rFonts w:asciiTheme="minorHAnsi" w:hAnsiTheme="minorHAnsi" w:cstheme="minorHAnsi"/>
        </w:rPr>
        <w:t>section 3.2.22</w:t>
      </w:r>
      <w:r w:rsidRPr="00F0749F">
        <w:rPr>
          <w:rFonts w:asciiTheme="minorHAnsi" w:hAnsiTheme="minorHAnsi" w:cstheme="minorHAnsi"/>
        </w:rPr>
        <w:t>).</w:t>
      </w:r>
    </w:p>
    <w:p w14:paraId="43AB9A0F" w14:textId="1802CE58" w:rsidR="00301B7F" w:rsidRPr="00F550AC" w:rsidRDefault="00301B7F" w:rsidP="00301B7F">
      <w:pPr>
        <w:pStyle w:val="Bodynumbered-Level1"/>
        <w:rPr>
          <w:rFonts w:asciiTheme="minorHAnsi" w:hAnsiTheme="minorHAnsi" w:cstheme="minorHAnsi"/>
        </w:rPr>
      </w:pPr>
      <w:r>
        <w:rPr>
          <w:rFonts w:asciiTheme="minorHAnsi" w:hAnsiTheme="minorHAnsi" w:cstheme="minorHAnsi"/>
        </w:rPr>
        <w:t>3.2.22</w:t>
      </w:r>
      <w:r w:rsidRPr="00F550AC">
        <w:rPr>
          <w:rFonts w:asciiTheme="minorHAnsi" w:hAnsiTheme="minorHAnsi" w:cstheme="minorHAnsi"/>
        </w:rPr>
        <w:tab/>
        <w:t>The Building MNO will be taken to be in a position to offer Backhaul to the Co-locating MNO if the Building MNO owns or controls an optical fibre which connects the Funded Solution to the Building MNO’s network.</w:t>
      </w:r>
    </w:p>
    <w:p w14:paraId="29421747" w14:textId="04FDEC91" w:rsidR="00301B7F" w:rsidRPr="00F550AC" w:rsidRDefault="00301B7F" w:rsidP="00301B7F">
      <w:pPr>
        <w:pStyle w:val="Bodynumbered-Level1"/>
        <w:rPr>
          <w:rFonts w:asciiTheme="minorHAnsi" w:hAnsiTheme="minorHAnsi" w:cstheme="minorHAnsi"/>
        </w:rPr>
      </w:pPr>
      <w:r>
        <w:rPr>
          <w:rFonts w:asciiTheme="minorHAnsi" w:hAnsiTheme="minorHAnsi" w:cstheme="minorHAnsi"/>
        </w:rPr>
        <w:t>3.2.23</w:t>
      </w:r>
      <w:r w:rsidRPr="00F550AC">
        <w:rPr>
          <w:rFonts w:asciiTheme="minorHAnsi" w:hAnsiTheme="minorHAnsi" w:cstheme="minorHAnsi"/>
        </w:rPr>
        <w:tab/>
        <w:t xml:space="preserve">For more remote locations where existing fibre or microwave Backhaul (or a combination of both) is not available or readily accessible, satellite backhaul technology may be utilised to deliver the mobile services. If satellite Backhaul technology is proposed for a </w:t>
      </w:r>
      <w:r w:rsidRPr="005F3663">
        <w:rPr>
          <w:rFonts w:asciiTheme="minorHAnsi" w:hAnsiTheme="minorHAnsi" w:cstheme="minorHAnsi"/>
        </w:rPr>
        <w:t>Proposed Solution</w:t>
      </w:r>
      <w:r w:rsidRPr="00F550AC">
        <w:rPr>
          <w:rFonts w:asciiTheme="minorHAnsi" w:hAnsiTheme="minorHAnsi" w:cstheme="minorHAnsi"/>
        </w:rPr>
        <w:t>, the applicant should clearly define the level of service to be provided.</w:t>
      </w:r>
    </w:p>
    <w:p w14:paraId="6783D2DC" w14:textId="539E8A5C" w:rsidR="00301B7F" w:rsidRPr="00F550AC" w:rsidRDefault="00301B7F" w:rsidP="00301B7F">
      <w:pPr>
        <w:pStyle w:val="Bodynumbered-Level1"/>
        <w:rPr>
          <w:rFonts w:asciiTheme="minorHAnsi" w:hAnsiTheme="minorHAnsi" w:cstheme="minorHAnsi"/>
        </w:rPr>
      </w:pPr>
      <w:r>
        <w:rPr>
          <w:rFonts w:asciiTheme="minorHAnsi" w:hAnsiTheme="minorHAnsi" w:cstheme="minorHAnsi"/>
        </w:rPr>
        <w:t>3.2.24</w:t>
      </w:r>
      <w:r w:rsidRPr="00F550AC">
        <w:rPr>
          <w:rFonts w:asciiTheme="minorHAnsi" w:hAnsiTheme="minorHAnsi" w:cstheme="minorHAnsi"/>
        </w:rPr>
        <w:tab/>
        <w:t>The price at which the Building MNO offers Backhaul to the Co-locating MNO must be more favourable than the regulated prices set under the ACCC Domestic Transmission Capacity Service Final Access Determination (DTCS FAD). For example, by offering a defined rent-free period or other discounting mechanism.</w:t>
      </w:r>
    </w:p>
    <w:p w14:paraId="473D3A7B" w14:textId="54C9174A" w:rsidR="00301B7F" w:rsidRPr="00F550AC" w:rsidRDefault="00301B7F" w:rsidP="00301B7F">
      <w:pPr>
        <w:pStyle w:val="Bodynumbered-Level1"/>
        <w:rPr>
          <w:rFonts w:asciiTheme="minorHAnsi" w:hAnsiTheme="minorHAnsi" w:cstheme="minorHAnsi"/>
        </w:rPr>
      </w:pPr>
      <w:r>
        <w:rPr>
          <w:rFonts w:asciiTheme="minorHAnsi" w:hAnsiTheme="minorHAnsi" w:cstheme="minorHAnsi"/>
        </w:rPr>
        <w:t>3.2.25</w:t>
      </w:r>
      <w:r w:rsidRPr="00F550AC">
        <w:rPr>
          <w:rFonts w:asciiTheme="minorHAnsi" w:hAnsiTheme="minorHAnsi" w:cstheme="minorHAnsi"/>
        </w:rPr>
        <w:tab/>
        <w:t>Where a Building MNO chooses to provide Backhaul to a Funded Solution using an optical fibre connection, it must ensure that it provides sufficient Backhaul capacity, transmission and interfacing equipment to meet the Backhaul requirements of any Co</w:t>
      </w:r>
      <w:r w:rsidRPr="00F550AC">
        <w:rPr>
          <w:rFonts w:asciiTheme="minorHAnsi" w:hAnsiTheme="minorHAnsi" w:cstheme="minorHAnsi"/>
        </w:rPr>
        <w:noBreakHyphen/>
        <w:t xml:space="preserve">locating MNO on the Funded Solution. </w:t>
      </w:r>
    </w:p>
    <w:p w14:paraId="12F9647E" w14:textId="777A3223" w:rsidR="00301B7F" w:rsidRPr="00F550AC" w:rsidRDefault="00301B7F" w:rsidP="00301B7F">
      <w:pPr>
        <w:pStyle w:val="Bodynumbered-Level1"/>
        <w:spacing w:after="120"/>
        <w:rPr>
          <w:rFonts w:asciiTheme="minorHAnsi" w:hAnsiTheme="minorHAnsi" w:cstheme="minorHAnsi"/>
        </w:rPr>
      </w:pPr>
      <w:r>
        <w:rPr>
          <w:rFonts w:asciiTheme="minorHAnsi" w:hAnsiTheme="minorHAnsi" w:cstheme="minorHAnsi"/>
        </w:rPr>
        <w:t>3.2.26</w:t>
      </w:r>
      <w:r w:rsidRPr="00F550AC">
        <w:rPr>
          <w:rFonts w:asciiTheme="minorHAnsi" w:hAnsiTheme="minorHAnsi" w:cstheme="minorHAnsi"/>
        </w:rPr>
        <w:tab/>
        <w:t>Where a Building MNO chooses to provide Backhaul to a Funded Solution using a microwave connection, the Building MNO must provide Backhaul services to a Co</w:t>
      </w:r>
      <w:r w:rsidRPr="00F550AC">
        <w:rPr>
          <w:rFonts w:asciiTheme="minorHAnsi" w:hAnsiTheme="minorHAnsi" w:cstheme="minorHAnsi"/>
        </w:rPr>
        <w:noBreakHyphen/>
        <w:t>locating MNO over that microwave connection, unless:</w:t>
      </w:r>
    </w:p>
    <w:p w14:paraId="0490E728" w14:textId="77777777" w:rsidR="00301B7F" w:rsidRPr="00F550AC" w:rsidRDefault="00301B7F" w:rsidP="00B51701">
      <w:pPr>
        <w:pStyle w:val="Bodynumbered-Level3"/>
        <w:spacing w:before="120" w:after="120"/>
        <w:ind w:left="1276" w:hanging="567"/>
        <w:rPr>
          <w:rFonts w:asciiTheme="minorHAnsi" w:hAnsiTheme="minorHAnsi" w:cstheme="minorHAnsi"/>
        </w:rPr>
      </w:pPr>
      <w:r w:rsidRPr="00F550AC">
        <w:rPr>
          <w:rFonts w:asciiTheme="minorHAnsi" w:hAnsiTheme="minorHAnsi" w:cstheme="minorHAnsi"/>
        </w:rPr>
        <w:t>(a)</w:t>
      </w:r>
      <w:r w:rsidRPr="00F550AC">
        <w:rPr>
          <w:rFonts w:asciiTheme="minorHAnsi" w:hAnsiTheme="minorHAnsi" w:cstheme="minorHAnsi"/>
        </w:rPr>
        <w:tab/>
        <w:t>the Funded Solution is designed and built to allow the Co-locating MNO to install, operate and maintain its own microwave Backhaul equipment on the Funded Solution; and</w:t>
      </w:r>
    </w:p>
    <w:p w14:paraId="4600918B" w14:textId="77777777" w:rsidR="00301B7F" w:rsidRPr="00F550AC" w:rsidRDefault="00301B7F" w:rsidP="00B51701">
      <w:pPr>
        <w:pStyle w:val="Bodynumbered-Level3"/>
        <w:spacing w:before="120" w:after="120"/>
        <w:ind w:left="1276" w:hanging="567"/>
        <w:rPr>
          <w:rFonts w:asciiTheme="minorHAnsi" w:hAnsiTheme="minorHAnsi" w:cstheme="minorHAnsi"/>
        </w:rPr>
      </w:pPr>
      <w:r w:rsidRPr="00F550AC">
        <w:rPr>
          <w:rFonts w:asciiTheme="minorHAnsi" w:hAnsiTheme="minorHAnsi" w:cstheme="minorHAnsi"/>
        </w:rPr>
        <w:t>(b)</w:t>
      </w:r>
      <w:r w:rsidRPr="00F550AC">
        <w:rPr>
          <w:rFonts w:asciiTheme="minorHAnsi" w:hAnsiTheme="minorHAnsi" w:cstheme="minorHAnsi"/>
        </w:rPr>
        <w:tab/>
        <w:t>the Co-locating MNO is permitted to install, operate and maintain its own microwave Backhaul equipment on the Funded Solution.</w:t>
      </w:r>
    </w:p>
    <w:p w14:paraId="1EDC5B30" w14:textId="2EDA501E" w:rsidR="00301B7F" w:rsidRPr="00F550AC" w:rsidRDefault="00301B7F" w:rsidP="00301B7F">
      <w:pPr>
        <w:pStyle w:val="Bodynumbered-Level1"/>
        <w:rPr>
          <w:rFonts w:asciiTheme="minorHAnsi" w:hAnsiTheme="minorHAnsi" w:cstheme="minorHAnsi"/>
        </w:rPr>
      </w:pPr>
      <w:r>
        <w:rPr>
          <w:rFonts w:asciiTheme="minorHAnsi" w:hAnsiTheme="minorHAnsi" w:cstheme="minorHAnsi"/>
        </w:rPr>
        <w:t>3.2.27</w:t>
      </w:r>
      <w:r w:rsidRPr="00F550AC">
        <w:rPr>
          <w:rFonts w:asciiTheme="minorHAnsi" w:hAnsiTheme="minorHAnsi" w:cstheme="minorHAnsi"/>
        </w:rPr>
        <w:tab/>
        <w:t>The terms and pricing of Backhaul services provided by a Building MNO to a Co</w:t>
      </w:r>
      <w:r w:rsidRPr="00F550AC">
        <w:rPr>
          <w:rFonts w:asciiTheme="minorHAnsi" w:hAnsiTheme="minorHAnsi" w:cstheme="minorHAnsi"/>
        </w:rPr>
        <w:noBreakHyphen/>
        <w:t xml:space="preserve">locating MNO must be negotiated commercially between the Building MNO and </w:t>
      </w:r>
      <w:r w:rsidRPr="00F550AC">
        <w:rPr>
          <w:rFonts w:asciiTheme="minorHAnsi" w:hAnsiTheme="minorHAnsi" w:cstheme="minorHAnsi"/>
        </w:rPr>
        <w:lastRenderedPageBreak/>
        <w:t>Co-locating MNO in accordance with</w:t>
      </w:r>
      <w:r w:rsidR="006134EA">
        <w:rPr>
          <w:rFonts w:asciiTheme="minorHAnsi" w:hAnsiTheme="minorHAnsi" w:cstheme="minorHAnsi"/>
        </w:rPr>
        <w:t xml:space="preserve"> the principles set out </w:t>
      </w:r>
      <w:r w:rsidR="006134EA" w:rsidRPr="00F0749F">
        <w:rPr>
          <w:rFonts w:asciiTheme="minorHAnsi" w:hAnsiTheme="minorHAnsi" w:cstheme="minorHAnsi"/>
        </w:rPr>
        <w:t xml:space="preserve">in </w:t>
      </w:r>
      <w:r w:rsidR="006134EA" w:rsidRPr="00846820">
        <w:rPr>
          <w:rFonts w:asciiTheme="minorHAnsi" w:hAnsiTheme="minorHAnsi" w:cstheme="minorHAnsi"/>
        </w:rPr>
        <w:t>sections 3.2.21 to 3.2.27.</w:t>
      </w:r>
    </w:p>
    <w:p w14:paraId="06A3042D" w14:textId="77777777" w:rsidR="00301B7F" w:rsidRPr="00682EDA" w:rsidRDefault="00301B7F" w:rsidP="00301B7F">
      <w:pPr>
        <w:pStyle w:val="BodyText1"/>
        <w:rPr>
          <w:rFonts w:asciiTheme="minorHAnsi" w:hAnsiTheme="minorHAnsi" w:cstheme="minorHAnsi"/>
          <w:u w:val="single"/>
        </w:rPr>
      </w:pPr>
      <w:r w:rsidRPr="00682EDA">
        <w:rPr>
          <w:rFonts w:asciiTheme="minorHAnsi" w:hAnsiTheme="minorHAnsi" w:cstheme="minorHAnsi"/>
          <w:u w:val="single"/>
        </w:rPr>
        <w:t>Dispute resolution</w:t>
      </w:r>
    </w:p>
    <w:p w14:paraId="36E3ED9E" w14:textId="0D12486D" w:rsidR="00301B7F" w:rsidRPr="00F550AC" w:rsidRDefault="00301B7F" w:rsidP="00301B7F">
      <w:pPr>
        <w:pStyle w:val="Bodynumbered-Level1"/>
        <w:rPr>
          <w:rFonts w:asciiTheme="minorHAnsi" w:hAnsiTheme="minorHAnsi" w:cstheme="minorHAnsi"/>
        </w:rPr>
      </w:pPr>
      <w:r>
        <w:rPr>
          <w:rFonts w:asciiTheme="minorHAnsi" w:hAnsiTheme="minorHAnsi" w:cstheme="minorHAnsi"/>
        </w:rPr>
        <w:t>3.2.28</w:t>
      </w:r>
      <w:r w:rsidRPr="00F550AC">
        <w:rPr>
          <w:rFonts w:asciiTheme="minorHAnsi" w:hAnsiTheme="minorHAnsi" w:cstheme="minorHAnsi"/>
        </w:rPr>
        <w:tab/>
        <w:t xml:space="preserve">MNO disputes in relation to co-location and </w:t>
      </w:r>
      <w:r w:rsidRPr="005F3663">
        <w:rPr>
          <w:rFonts w:asciiTheme="minorHAnsi" w:hAnsiTheme="minorHAnsi" w:cstheme="minorHAnsi"/>
        </w:rPr>
        <w:t>Backhaul</w:t>
      </w:r>
      <w:r w:rsidRPr="00F550AC">
        <w:rPr>
          <w:rFonts w:asciiTheme="minorHAnsi" w:hAnsiTheme="minorHAnsi" w:cstheme="minorHAnsi"/>
        </w:rPr>
        <w:t xml:space="preserve"> for a </w:t>
      </w:r>
      <w:r w:rsidRPr="005F3663">
        <w:rPr>
          <w:rFonts w:asciiTheme="minorHAnsi" w:hAnsiTheme="minorHAnsi" w:cstheme="minorHAnsi"/>
        </w:rPr>
        <w:t>Funded Solution</w:t>
      </w:r>
      <w:r w:rsidRPr="00F550AC">
        <w:rPr>
          <w:rFonts w:asciiTheme="minorHAnsi" w:hAnsiTheme="minorHAnsi" w:cstheme="minorHAnsi"/>
        </w:rPr>
        <w:t xml:space="preserve"> will be referred for determination to an independent </w:t>
      </w:r>
      <w:proofErr w:type="gramStart"/>
      <w:r w:rsidRPr="00F550AC">
        <w:rPr>
          <w:rFonts w:asciiTheme="minorHAnsi" w:hAnsiTheme="minorHAnsi" w:cstheme="minorHAnsi"/>
        </w:rPr>
        <w:t>third party</w:t>
      </w:r>
      <w:proofErr w:type="gramEnd"/>
      <w:r w:rsidRPr="00F550AC">
        <w:rPr>
          <w:rFonts w:asciiTheme="minorHAnsi" w:hAnsiTheme="minorHAnsi" w:cstheme="minorHAnsi"/>
        </w:rPr>
        <w:t xml:space="preserve"> expert. MNOs will be given the opportunity to appoint, at their own shared cost, an independent third party to determine any disputes that may arise in relation to Funded Solutions (for example, disputes related to technical or pricing matters). </w:t>
      </w:r>
    </w:p>
    <w:p w14:paraId="611F93DF" w14:textId="14299B93" w:rsidR="00301B7F" w:rsidRPr="00F550AC" w:rsidRDefault="00301B7F" w:rsidP="00301B7F">
      <w:pPr>
        <w:pStyle w:val="Bodynumbered-Level1"/>
        <w:rPr>
          <w:rFonts w:asciiTheme="minorHAnsi" w:hAnsiTheme="minorHAnsi" w:cstheme="minorHAnsi"/>
        </w:rPr>
      </w:pPr>
      <w:r>
        <w:rPr>
          <w:rFonts w:asciiTheme="minorHAnsi" w:hAnsiTheme="minorHAnsi" w:cstheme="minorHAnsi"/>
        </w:rPr>
        <w:t>3.2.29</w:t>
      </w:r>
      <w:r w:rsidRPr="00F550AC">
        <w:rPr>
          <w:rFonts w:asciiTheme="minorHAnsi" w:hAnsiTheme="minorHAnsi" w:cstheme="minorHAnsi"/>
        </w:rPr>
        <w:tab/>
        <w:t xml:space="preserve">The Building MNO and Co-locating MNO will be bound by the determination made by the independent </w:t>
      </w:r>
      <w:proofErr w:type="gramStart"/>
      <w:r w:rsidRPr="00F550AC">
        <w:rPr>
          <w:rFonts w:asciiTheme="minorHAnsi" w:hAnsiTheme="minorHAnsi" w:cstheme="minorHAnsi"/>
        </w:rPr>
        <w:t>third party</w:t>
      </w:r>
      <w:proofErr w:type="gramEnd"/>
      <w:r w:rsidRPr="00F550AC">
        <w:rPr>
          <w:rFonts w:asciiTheme="minorHAnsi" w:hAnsiTheme="minorHAnsi" w:cstheme="minorHAnsi"/>
        </w:rPr>
        <w:t xml:space="preserve"> expert. </w:t>
      </w:r>
    </w:p>
    <w:p w14:paraId="1378CB2C" w14:textId="77777777" w:rsidR="00301B7F" w:rsidRPr="00A63517" w:rsidRDefault="00301B7F" w:rsidP="00301B7F">
      <w:pPr>
        <w:pStyle w:val="Heading2Numbered"/>
      </w:pPr>
      <w:bookmarkStart w:id="47" w:name="_Toc523411616"/>
      <w:r>
        <w:t>Additional services – Roaming</w:t>
      </w:r>
      <w:bookmarkEnd w:id="47"/>
    </w:p>
    <w:p w14:paraId="1C1725D0" w14:textId="46FD1F1D" w:rsidR="00301B7F" w:rsidRDefault="00301B7F" w:rsidP="00301B7F">
      <w:pPr>
        <w:pStyle w:val="Bodynumbered-Level1"/>
        <w:rPr>
          <w:rFonts w:asciiTheme="minorHAnsi" w:hAnsiTheme="minorHAnsi" w:cstheme="minorHAnsi"/>
        </w:rPr>
      </w:pPr>
      <w:r>
        <w:rPr>
          <w:rFonts w:asciiTheme="minorHAnsi" w:hAnsiTheme="minorHAnsi" w:cstheme="minorHAnsi"/>
        </w:rPr>
        <w:t>3.3.1</w:t>
      </w:r>
      <w:r w:rsidRPr="007C46F7">
        <w:rPr>
          <w:rFonts w:asciiTheme="minorHAnsi" w:hAnsiTheme="minorHAnsi" w:cstheme="minorHAnsi"/>
        </w:rPr>
        <w:tab/>
        <w:t>Though no credit will be given under the assessment criteria, applicants are able to offer roaming from base stations funded under the Program.</w:t>
      </w:r>
    </w:p>
    <w:p w14:paraId="3F125356" w14:textId="77777777" w:rsidR="00301B7F" w:rsidRPr="00A63517" w:rsidRDefault="00301B7F" w:rsidP="00301B7F">
      <w:pPr>
        <w:pStyle w:val="Heading2Numbered"/>
      </w:pPr>
      <w:bookmarkStart w:id="48" w:name="_Toc523411617"/>
      <w:r>
        <w:t>Other considerations</w:t>
      </w:r>
      <w:bookmarkEnd w:id="48"/>
    </w:p>
    <w:p w14:paraId="3D13DB9D" w14:textId="77777777" w:rsidR="00301B7F" w:rsidRPr="00682EDA" w:rsidRDefault="00301B7F" w:rsidP="00BF2DF8">
      <w:pPr>
        <w:pStyle w:val="BodyText1"/>
        <w:spacing w:before="240" w:after="240"/>
        <w:rPr>
          <w:rFonts w:asciiTheme="minorHAnsi" w:hAnsiTheme="minorHAnsi" w:cstheme="minorHAnsi"/>
          <w:u w:val="single"/>
        </w:rPr>
      </w:pPr>
      <w:r w:rsidRPr="00682EDA">
        <w:rPr>
          <w:rFonts w:asciiTheme="minorHAnsi" w:hAnsiTheme="minorHAnsi" w:cstheme="minorHAnsi"/>
          <w:u w:val="single"/>
        </w:rPr>
        <w:t>Addressing Public Interest Premises in Mobile Coverage Solutions</w:t>
      </w:r>
    </w:p>
    <w:p w14:paraId="3DDCF9EA" w14:textId="35C5A1B4" w:rsidR="00301B7F" w:rsidRPr="007C46F7" w:rsidRDefault="00301B7F" w:rsidP="00301B7F">
      <w:pPr>
        <w:pStyle w:val="Bodynumbered-Level1"/>
        <w:rPr>
          <w:rFonts w:asciiTheme="minorHAnsi" w:hAnsiTheme="minorHAnsi" w:cstheme="minorHAnsi"/>
        </w:rPr>
      </w:pPr>
      <w:r>
        <w:rPr>
          <w:rFonts w:asciiTheme="minorHAnsi" w:hAnsiTheme="minorHAnsi" w:cstheme="minorHAnsi"/>
        </w:rPr>
        <w:t>3.4.1</w:t>
      </w:r>
      <w:r w:rsidRPr="007C46F7">
        <w:rPr>
          <w:rFonts w:asciiTheme="minorHAnsi" w:hAnsiTheme="minorHAnsi" w:cstheme="minorHAnsi"/>
        </w:rPr>
        <w:tab/>
        <w:t>Strong consideration will be given to Proposed Solutions for mobile coverage that also capture one or more Public Interest Premises within the mobile coverage footprint area which will receive new handheld coverage (</w:t>
      </w:r>
      <w:r w:rsidRPr="00F0749F">
        <w:rPr>
          <w:rFonts w:asciiTheme="minorHAnsi" w:hAnsiTheme="minorHAnsi" w:cstheme="minorHAnsi"/>
        </w:rPr>
        <w:t xml:space="preserve">see </w:t>
      </w:r>
      <w:r w:rsidR="006134EA" w:rsidRPr="00846820">
        <w:rPr>
          <w:rFonts w:asciiTheme="minorHAnsi" w:hAnsiTheme="minorHAnsi" w:cstheme="minorHAnsi"/>
        </w:rPr>
        <w:t>sections 6.1 to 6.6</w:t>
      </w:r>
      <w:r w:rsidRPr="00F0749F">
        <w:rPr>
          <w:rFonts w:asciiTheme="minorHAnsi" w:hAnsiTheme="minorHAnsi" w:cstheme="minorHAnsi"/>
        </w:rPr>
        <w:t>).</w:t>
      </w:r>
    </w:p>
    <w:p w14:paraId="616C64B7" w14:textId="77777777" w:rsidR="00301B7F" w:rsidRPr="00682EDA" w:rsidRDefault="00301B7F" w:rsidP="00BF2DF8">
      <w:pPr>
        <w:pStyle w:val="BodyText1"/>
        <w:spacing w:before="240" w:after="240"/>
        <w:rPr>
          <w:rFonts w:asciiTheme="minorHAnsi" w:hAnsiTheme="minorHAnsi" w:cstheme="minorHAnsi"/>
          <w:u w:val="single"/>
        </w:rPr>
      </w:pPr>
      <w:r w:rsidRPr="00682EDA">
        <w:rPr>
          <w:rFonts w:asciiTheme="minorHAnsi" w:hAnsiTheme="minorHAnsi" w:cstheme="minorHAnsi"/>
          <w:u w:val="single"/>
        </w:rPr>
        <w:t>Utilising NBN Co’s fixed wireless network</w:t>
      </w:r>
    </w:p>
    <w:p w14:paraId="1660B11A" w14:textId="6C291A77" w:rsidR="00301B7F" w:rsidRPr="007C46F7" w:rsidRDefault="00301B7F" w:rsidP="00301B7F">
      <w:pPr>
        <w:pStyle w:val="Bodynumbered-Level1"/>
        <w:spacing w:after="120"/>
        <w:rPr>
          <w:rFonts w:asciiTheme="minorHAnsi" w:hAnsiTheme="minorHAnsi" w:cstheme="minorHAnsi"/>
        </w:rPr>
      </w:pPr>
      <w:r>
        <w:rPr>
          <w:rFonts w:asciiTheme="minorHAnsi" w:hAnsiTheme="minorHAnsi" w:cstheme="minorHAnsi"/>
        </w:rPr>
        <w:t>3.4.2</w:t>
      </w:r>
      <w:r w:rsidRPr="007C46F7">
        <w:rPr>
          <w:rFonts w:asciiTheme="minorHAnsi" w:hAnsiTheme="minorHAnsi" w:cstheme="minorHAnsi"/>
        </w:rPr>
        <w:tab/>
        <w:t xml:space="preserve">In some circumstances, actual or planned </w:t>
      </w:r>
      <w:r w:rsidRPr="007C46F7">
        <w:rPr>
          <w:rFonts w:asciiTheme="minorHAnsi" w:hAnsiTheme="minorHAnsi" w:cstheme="minorHAnsi"/>
          <w:b/>
        </w:rPr>
        <w:t>National Broadband Network (NBN)</w:t>
      </w:r>
      <w:r w:rsidRPr="007C46F7">
        <w:rPr>
          <w:rFonts w:asciiTheme="minorHAnsi" w:hAnsiTheme="minorHAnsi" w:cstheme="minorHAnsi"/>
        </w:rPr>
        <w:t xml:space="preserve"> facilities may offer applicants an opportunity to provide coverage in a location at lower cost than would otherwise be the case, including:</w:t>
      </w:r>
    </w:p>
    <w:p w14:paraId="1676E626" w14:textId="77777777" w:rsidR="00301B7F" w:rsidRPr="007C46F7" w:rsidRDefault="00301B7F" w:rsidP="00B51701">
      <w:pPr>
        <w:pStyle w:val="Bodynumbered-Level3"/>
        <w:spacing w:before="120" w:after="120"/>
        <w:ind w:left="1276" w:hanging="567"/>
        <w:rPr>
          <w:rFonts w:asciiTheme="minorHAnsi" w:hAnsiTheme="minorHAnsi" w:cstheme="minorHAnsi"/>
        </w:rPr>
      </w:pPr>
      <w:r w:rsidRPr="007C46F7">
        <w:rPr>
          <w:rFonts w:asciiTheme="minorHAnsi" w:hAnsiTheme="minorHAnsi" w:cstheme="minorHAnsi"/>
        </w:rPr>
        <w:t>(a)</w:t>
      </w:r>
      <w:r w:rsidRPr="007C46F7">
        <w:rPr>
          <w:rFonts w:asciiTheme="minorHAnsi" w:hAnsiTheme="minorHAnsi" w:cstheme="minorHAnsi"/>
        </w:rPr>
        <w:tab/>
        <w:t>where NBN Co has already built a fixed wireless base station in or near an area that has been identified as lacking adequate mobile coverage;</w:t>
      </w:r>
    </w:p>
    <w:p w14:paraId="6A680004" w14:textId="77777777" w:rsidR="00301B7F" w:rsidRPr="007C46F7" w:rsidRDefault="00301B7F" w:rsidP="00B51701">
      <w:pPr>
        <w:pStyle w:val="Bodynumbered-Level3"/>
        <w:spacing w:before="120" w:after="120"/>
        <w:ind w:left="1276" w:hanging="567"/>
        <w:rPr>
          <w:rFonts w:asciiTheme="minorHAnsi" w:hAnsiTheme="minorHAnsi" w:cstheme="minorHAnsi"/>
        </w:rPr>
      </w:pPr>
      <w:r w:rsidRPr="007C46F7">
        <w:rPr>
          <w:rFonts w:asciiTheme="minorHAnsi" w:hAnsiTheme="minorHAnsi" w:cstheme="minorHAnsi"/>
        </w:rPr>
        <w:t>(b)</w:t>
      </w:r>
      <w:r w:rsidRPr="007C46F7">
        <w:rPr>
          <w:rFonts w:asciiTheme="minorHAnsi" w:hAnsiTheme="minorHAnsi" w:cstheme="minorHAnsi"/>
        </w:rPr>
        <w:tab/>
        <w:t>where NBN Co can provide Backhaul on a commercial basis that would reduce the cost of deploying a Funded Solution in an area that has been identified as lacking adequate mobile coverage;</w:t>
      </w:r>
    </w:p>
    <w:p w14:paraId="32D58CD8" w14:textId="77777777" w:rsidR="00301B7F" w:rsidRPr="007C46F7" w:rsidRDefault="00301B7F" w:rsidP="00B51701">
      <w:pPr>
        <w:pStyle w:val="Bodynumbered-Level3"/>
        <w:spacing w:before="120" w:after="120"/>
        <w:ind w:left="1276" w:hanging="567"/>
        <w:rPr>
          <w:rFonts w:asciiTheme="minorHAnsi" w:hAnsiTheme="minorHAnsi" w:cstheme="minorHAnsi"/>
        </w:rPr>
      </w:pPr>
      <w:r w:rsidRPr="007C46F7">
        <w:rPr>
          <w:rFonts w:asciiTheme="minorHAnsi" w:hAnsiTheme="minorHAnsi" w:cstheme="minorHAnsi"/>
        </w:rPr>
        <w:t>(c)</w:t>
      </w:r>
      <w:r w:rsidRPr="007C46F7">
        <w:rPr>
          <w:rFonts w:asciiTheme="minorHAnsi" w:hAnsiTheme="minorHAnsi" w:cstheme="minorHAnsi"/>
        </w:rPr>
        <w:tab/>
        <w:t>where NBN Co has already acquired land for a fixed wireless base station in an area that has been identified as lacking adequate mobile coverage; and</w:t>
      </w:r>
    </w:p>
    <w:p w14:paraId="458909D1" w14:textId="77777777" w:rsidR="00301B7F" w:rsidRPr="007C46F7" w:rsidRDefault="00301B7F" w:rsidP="00B51701">
      <w:pPr>
        <w:pStyle w:val="Bodynumbered-Level3"/>
        <w:spacing w:before="120" w:after="120"/>
        <w:ind w:left="1276" w:hanging="567"/>
        <w:rPr>
          <w:rFonts w:asciiTheme="minorHAnsi" w:hAnsiTheme="minorHAnsi" w:cstheme="minorHAnsi"/>
        </w:rPr>
      </w:pPr>
      <w:r w:rsidRPr="007C46F7">
        <w:rPr>
          <w:rFonts w:asciiTheme="minorHAnsi" w:hAnsiTheme="minorHAnsi" w:cstheme="minorHAnsi"/>
        </w:rPr>
        <w:t>(d)</w:t>
      </w:r>
      <w:r w:rsidRPr="007C46F7">
        <w:rPr>
          <w:rFonts w:asciiTheme="minorHAnsi" w:hAnsiTheme="minorHAnsi" w:cstheme="minorHAnsi"/>
        </w:rPr>
        <w:tab/>
        <w:t>where NBN Co has plans for a fixed wireless base station in an area that has been identified as lacking adequate mobile coverage.</w:t>
      </w:r>
    </w:p>
    <w:p w14:paraId="354A7E7A" w14:textId="6A4B0DA2" w:rsidR="00301B7F" w:rsidRPr="007C46F7" w:rsidRDefault="00301B7F" w:rsidP="00301B7F">
      <w:pPr>
        <w:pStyle w:val="Bodynumbered-Level1"/>
        <w:rPr>
          <w:rFonts w:asciiTheme="minorHAnsi" w:hAnsiTheme="minorHAnsi" w:cstheme="minorHAnsi"/>
        </w:rPr>
      </w:pPr>
      <w:r>
        <w:rPr>
          <w:rFonts w:asciiTheme="minorHAnsi" w:hAnsiTheme="minorHAnsi" w:cstheme="minorHAnsi"/>
        </w:rPr>
        <w:t>3.4.3</w:t>
      </w:r>
      <w:r w:rsidRPr="007C46F7">
        <w:rPr>
          <w:rFonts w:asciiTheme="minorHAnsi" w:hAnsiTheme="minorHAnsi" w:cstheme="minorHAnsi"/>
        </w:rPr>
        <w:tab/>
        <w:t>Applicants are strongly encouraged to consult with NBN Co to identify all possible opportunities to achieve mutually beneficial outcomes via the use of NBN Co network facilities.</w:t>
      </w:r>
    </w:p>
    <w:p w14:paraId="05E2E936" w14:textId="4932FCCB" w:rsidR="00301B7F" w:rsidRPr="007C46F7" w:rsidRDefault="00301B7F" w:rsidP="00301B7F">
      <w:pPr>
        <w:pStyle w:val="Bodynumbered-Level1"/>
        <w:rPr>
          <w:rFonts w:asciiTheme="minorHAnsi" w:hAnsiTheme="minorHAnsi" w:cstheme="minorHAnsi"/>
        </w:rPr>
      </w:pPr>
      <w:r>
        <w:rPr>
          <w:rFonts w:asciiTheme="minorHAnsi" w:hAnsiTheme="minorHAnsi" w:cstheme="minorHAnsi"/>
        </w:rPr>
        <w:lastRenderedPageBreak/>
        <w:t>3.4.4</w:t>
      </w:r>
      <w:r w:rsidRPr="007C46F7">
        <w:rPr>
          <w:rFonts w:asciiTheme="minorHAnsi" w:hAnsiTheme="minorHAnsi" w:cstheme="minorHAnsi"/>
        </w:rPr>
        <w:tab/>
        <w:t>Should mutually suitable locations be identified, the potential applicant (or applicants) should reach an agreement with NBN Co on the planned use of NBN facilities. Such an arrangement should be specified in the application for funding.</w:t>
      </w:r>
    </w:p>
    <w:p w14:paraId="55D1785C" w14:textId="02258814" w:rsidR="00301B7F" w:rsidRPr="00742D00" w:rsidRDefault="00301B7F" w:rsidP="00301B7F">
      <w:pPr>
        <w:pStyle w:val="Bodynumbered-Level1"/>
        <w:rPr>
          <w:rFonts w:asciiTheme="minorHAnsi" w:hAnsiTheme="minorHAnsi" w:cstheme="minorHAnsi"/>
        </w:rPr>
      </w:pPr>
      <w:r>
        <w:rPr>
          <w:rFonts w:asciiTheme="minorHAnsi" w:hAnsiTheme="minorHAnsi" w:cstheme="minorHAnsi"/>
        </w:rPr>
        <w:t>3.4.5</w:t>
      </w:r>
      <w:r w:rsidRPr="007C46F7">
        <w:rPr>
          <w:rFonts w:asciiTheme="minorHAnsi" w:hAnsiTheme="minorHAnsi" w:cstheme="minorHAnsi"/>
        </w:rPr>
        <w:tab/>
        <w:t>Alternatively, where the Proposed Solution is in an area for which NBN Co has plans to construct network facilities (but has not yet) such as a base station or fibre optic or microwave backhaul, the applicant and NBN Co may choose to specify that the application include a co</w:t>
      </w:r>
      <w:r w:rsidRPr="007C46F7">
        <w:rPr>
          <w:rFonts w:asciiTheme="minorHAnsi" w:hAnsiTheme="minorHAnsi" w:cstheme="minorHAnsi"/>
        </w:rPr>
        <w:noBreakHyphen/>
        <w:t>contribution from NBN Co (on the basis that the Proposed Solution to be built will be of use to both NBN Co and the applicant).</w:t>
      </w:r>
    </w:p>
    <w:p w14:paraId="031692A7" w14:textId="77777777" w:rsidR="00340616" w:rsidRPr="00A668C8" w:rsidRDefault="00340616" w:rsidP="00A668C8">
      <w:pPr>
        <w:pStyle w:val="Heading1Numbered"/>
      </w:pPr>
      <w:bookmarkStart w:id="49" w:name="_Toc467773959"/>
      <w:bookmarkStart w:id="50" w:name="_Toc523411618"/>
      <w:r w:rsidRPr="00A668C8">
        <w:t>Eligible grant activities</w:t>
      </w:r>
      <w:bookmarkEnd w:id="49"/>
      <w:bookmarkEnd w:id="50"/>
    </w:p>
    <w:p w14:paraId="031692A8" w14:textId="77777777" w:rsidR="00340616" w:rsidRDefault="00340616" w:rsidP="00340616">
      <w:pPr>
        <w:pStyle w:val="Heading2Numbered"/>
      </w:pPr>
      <w:bookmarkStart w:id="51" w:name="_Toc467773960"/>
      <w:bookmarkStart w:id="52" w:name="_Toc523411619"/>
      <w:r w:rsidRPr="00F56535">
        <w:t>What can the grant money be used for?</w:t>
      </w:r>
      <w:bookmarkEnd w:id="51"/>
      <w:bookmarkEnd w:id="52"/>
    </w:p>
    <w:p w14:paraId="031692A9" w14:textId="77ADABC4" w:rsidR="00C26A93" w:rsidRPr="00C26A93" w:rsidRDefault="00C26A93" w:rsidP="00BF2DF8">
      <w:pPr>
        <w:spacing w:before="240" w:after="120"/>
        <w:rPr>
          <w:u w:val="single"/>
        </w:rPr>
      </w:pPr>
      <w:r w:rsidRPr="00C26A93">
        <w:rPr>
          <w:u w:val="single"/>
        </w:rPr>
        <w:t>Solution eligibility – Mobile Coverage</w:t>
      </w:r>
    </w:p>
    <w:p w14:paraId="031692AA" w14:textId="77777777" w:rsidR="00C26A93" w:rsidRPr="00BC7D3E" w:rsidRDefault="00C26A93" w:rsidP="00C26A93">
      <w:pPr>
        <w:suppressAutoHyphens w:val="0"/>
        <w:spacing w:before="240" w:after="120" w:line="240" w:lineRule="auto"/>
        <w:ind w:left="720" w:hanging="720"/>
        <w:rPr>
          <w:rFonts w:eastAsia="Calibri" w:cstheme="minorHAnsi"/>
        </w:rPr>
      </w:pPr>
      <w:r w:rsidRPr="00BC7D3E">
        <w:rPr>
          <w:rFonts w:eastAsia="Calibri" w:cstheme="minorHAnsi"/>
        </w:rPr>
        <w:t>4.1.1</w:t>
      </w:r>
      <w:r w:rsidRPr="00BC7D3E">
        <w:rPr>
          <w:rFonts w:eastAsia="Calibri" w:cstheme="minorHAnsi"/>
        </w:rPr>
        <w:tab/>
        <w:t xml:space="preserve">To be eligible for funding under the Program, each </w:t>
      </w:r>
      <w:r w:rsidRPr="005F3663">
        <w:rPr>
          <w:rFonts w:eastAsia="Calibri" w:cstheme="minorHAnsi"/>
        </w:rPr>
        <w:t>Proposed Solution</w:t>
      </w:r>
      <w:r w:rsidRPr="00BC7D3E">
        <w:rPr>
          <w:rFonts w:eastAsia="Calibri" w:cstheme="minorHAnsi"/>
        </w:rPr>
        <w:t xml:space="preserve"> for mobile coverage must:</w:t>
      </w:r>
    </w:p>
    <w:p w14:paraId="031692AB" w14:textId="54CC942E" w:rsidR="00C26A93" w:rsidRPr="00BC7D3E" w:rsidRDefault="00C26A93" w:rsidP="000746F9">
      <w:pPr>
        <w:numPr>
          <w:ilvl w:val="0"/>
          <w:numId w:val="16"/>
        </w:numPr>
        <w:suppressAutoHyphens w:val="0"/>
        <w:spacing w:before="120" w:after="120" w:line="240" w:lineRule="auto"/>
        <w:ind w:left="1276" w:hanging="567"/>
        <w:rPr>
          <w:rFonts w:eastAsia="Calibri" w:cstheme="minorHAnsi"/>
        </w:rPr>
      </w:pPr>
      <w:r w:rsidRPr="00BC7D3E">
        <w:rPr>
          <w:rFonts w:eastAsia="Calibri" w:cstheme="minorHAnsi"/>
        </w:rPr>
        <w:t>Deliver new mobile coverage and connectivity – voice and data</w:t>
      </w:r>
      <w:r w:rsidR="00C73861">
        <w:rPr>
          <w:rFonts w:eastAsia="Calibri" w:cstheme="minorHAnsi"/>
        </w:rPr>
        <w:t xml:space="preserve"> (see section </w:t>
      </w:r>
      <w:r w:rsidR="00C73861">
        <w:rPr>
          <w:rFonts w:cstheme="minorHAnsi"/>
        </w:rPr>
        <w:t>3.2.3)</w:t>
      </w:r>
      <w:r w:rsidRPr="00BC7D3E">
        <w:rPr>
          <w:rFonts w:eastAsia="Calibri" w:cstheme="minorHAnsi"/>
        </w:rPr>
        <w:t xml:space="preserve"> - to areas which do not currently receive </w:t>
      </w:r>
      <w:r w:rsidRPr="00BC7D3E">
        <w:rPr>
          <w:rFonts w:eastAsia="Calibri" w:cstheme="minorHAnsi"/>
          <w:b/>
        </w:rPr>
        <w:t>Handheld</w:t>
      </w:r>
      <w:r w:rsidRPr="00BC7D3E">
        <w:rPr>
          <w:rFonts w:eastAsia="Calibri" w:cstheme="minorHAnsi"/>
        </w:rPr>
        <w:t xml:space="preserve"> </w:t>
      </w:r>
      <w:r w:rsidRPr="00BC7D3E">
        <w:rPr>
          <w:rFonts w:eastAsia="Calibri" w:cstheme="minorHAnsi"/>
          <w:b/>
        </w:rPr>
        <w:t>Coverage</w:t>
      </w:r>
      <w:r w:rsidRPr="00BC7D3E">
        <w:rPr>
          <w:rFonts w:eastAsia="Calibri" w:cstheme="minorHAnsi"/>
        </w:rPr>
        <w:t xml:space="preserve"> from the applicant’s network and which are not scheduled to receive new Handheld Coverage from a base station to be funded under Round 1 or 2 or the Priority Locations round of the Program (</w:t>
      </w:r>
      <w:r w:rsidRPr="00F0749F">
        <w:rPr>
          <w:rFonts w:eastAsia="Calibri" w:cstheme="minorHAnsi"/>
        </w:rPr>
        <w:t>see </w:t>
      </w:r>
      <w:r w:rsidR="006134EA" w:rsidRPr="00846820">
        <w:rPr>
          <w:rFonts w:eastAsia="Calibri" w:cstheme="minorHAnsi"/>
        </w:rPr>
        <w:t>sections 7, stage 3 and 7.2</w:t>
      </w:r>
      <w:r w:rsidRPr="00F0749F">
        <w:rPr>
          <w:rFonts w:eastAsia="Calibri" w:cstheme="minorHAnsi"/>
        </w:rPr>
        <w:t>).</w:t>
      </w:r>
      <w:r w:rsidRPr="00BC7D3E">
        <w:rPr>
          <w:rFonts w:eastAsia="Calibri" w:cstheme="minorHAnsi"/>
        </w:rPr>
        <w:t xml:space="preserve"> </w:t>
      </w:r>
    </w:p>
    <w:p w14:paraId="031692AC" w14:textId="77777777" w:rsidR="00C26A93" w:rsidRPr="00BC7D3E" w:rsidRDefault="00C26A93" w:rsidP="00B51701">
      <w:pPr>
        <w:suppressAutoHyphens w:val="0"/>
        <w:spacing w:before="120" w:after="120" w:line="240" w:lineRule="auto"/>
        <w:ind w:left="1276"/>
        <w:rPr>
          <w:rFonts w:eastAsia="Calibri" w:cstheme="minorHAnsi"/>
        </w:rPr>
      </w:pPr>
      <w:r w:rsidRPr="00BC7D3E">
        <w:rPr>
          <w:rFonts w:eastAsia="Calibri" w:cstheme="minorHAnsi"/>
        </w:rPr>
        <w:t xml:space="preserve">For convenience, MNOs and MNIPs may wish to refer to the Database of Reported Mobile Black Spot Locations for locations nominated by members of the public as having poor coverage. These locations are not definitive or exhaustive of possible locations that may be considered as part of Proposed Solutions. Links to the database and the national map of reported black spots are available on the Department’s website at: </w:t>
      </w:r>
    </w:p>
    <w:p w14:paraId="031692AD" w14:textId="49B5AD4B" w:rsidR="00C26A93" w:rsidRPr="008F66E0" w:rsidRDefault="00954431" w:rsidP="00B51701">
      <w:pPr>
        <w:suppressAutoHyphens w:val="0"/>
        <w:spacing w:before="120" w:after="120" w:line="240" w:lineRule="auto"/>
        <w:ind w:left="1276"/>
        <w:rPr>
          <w:rFonts w:eastAsia="Calibri" w:cstheme="minorHAnsi"/>
        </w:rPr>
      </w:pPr>
      <w:hyperlink r:id="rId15" w:history="1">
        <w:r w:rsidR="00FE4A55">
          <w:rPr>
            <w:rFonts w:eastAsia="Calibri" w:cstheme="minorHAnsi"/>
            <w:u w:val="single"/>
          </w:rPr>
          <w:t>www.communications.gov.au/mbsp</w:t>
        </w:r>
      </w:hyperlink>
      <w:r w:rsidR="00C26A93" w:rsidRPr="008F66E0">
        <w:rPr>
          <w:rFonts w:eastAsia="Calibri" w:cstheme="minorHAnsi"/>
        </w:rPr>
        <w:t xml:space="preserve">  </w:t>
      </w:r>
    </w:p>
    <w:p w14:paraId="031692AE" w14:textId="77777777" w:rsidR="00C26A93" w:rsidRPr="00BC7D3E" w:rsidRDefault="00C26A93" w:rsidP="000746F9">
      <w:pPr>
        <w:numPr>
          <w:ilvl w:val="0"/>
          <w:numId w:val="16"/>
        </w:numPr>
        <w:suppressAutoHyphens w:val="0"/>
        <w:spacing w:before="120" w:after="120" w:line="240" w:lineRule="auto"/>
        <w:ind w:left="1276" w:hanging="567"/>
        <w:rPr>
          <w:rFonts w:eastAsia="Calibri" w:cstheme="minorHAnsi"/>
        </w:rPr>
      </w:pPr>
      <w:r w:rsidRPr="00BC7D3E">
        <w:rPr>
          <w:rFonts w:eastAsia="Calibri" w:cstheme="minorHAnsi"/>
        </w:rPr>
        <w:t>Not be sited at a location identified on the applicant’s 2018-19 to 2020</w:t>
      </w:r>
      <w:r w:rsidRPr="00BC7D3E">
        <w:rPr>
          <w:rFonts w:eastAsia="Calibri" w:cstheme="minorHAnsi"/>
        </w:rPr>
        <w:noBreakHyphen/>
        <w:t>21 forward build network expansion or upgrade plans.</w:t>
      </w:r>
    </w:p>
    <w:p w14:paraId="031692AF" w14:textId="31CD7987" w:rsidR="00C26A93" w:rsidRPr="00F0749F" w:rsidRDefault="00C26A93" w:rsidP="000746F9">
      <w:pPr>
        <w:numPr>
          <w:ilvl w:val="0"/>
          <w:numId w:val="16"/>
        </w:numPr>
        <w:suppressAutoHyphens w:val="0"/>
        <w:spacing w:before="120" w:after="120" w:line="240" w:lineRule="auto"/>
        <w:ind w:left="1276" w:hanging="567"/>
        <w:rPr>
          <w:rFonts w:eastAsia="Calibri" w:cstheme="minorHAnsi"/>
        </w:rPr>
      </w:pPr>
      <w:r w:rsidRPr="00BC7D3E">
        <w:rPr>
          <w:rFonts w:eastAsia="Calibri" w:cstheme="minorHAnsi"/>
        </w:rPr>
        <w:t xml:space="preserve">Provide new mobile coverage to areas which are not located within any of the </w:t>
      </w:r>
      <w:r w:rsidRPr="00BC7D3E">
        <w:rPr>
          <w:rFonts w:eastAsia="Calibri" w:cstheme="minorHAnsi"/>
          <w:b/>
        </w:rPr>
        <w:t>Ineligible</w:t>
      </w:r>
      <w:r w:rsidRPr="00BC7D3E">
        <w:rPr>
          <w:rFonts w:eastAsia="Calibri" w:cstheme="minorHAnsi"/>
        </w:rPr>
        <w:t> </w:t>
      </w:r>
      <w:r w:rsidRPr="00BC7D3E">
        <w:rPr>
          <w:rFonts w:eastAsia="Calibri" w:cstheme="minorHAnsi"/>
          <w:b/>
        </w:rPr>
        <w:t>Areas</w:t>
      </w:r>
      <w:r w:rsidRPr="00BC7D3E">
        <w:rPr>
          <w:rFonts w:eastAsia="Calibri" w:cstheme="minorHAnsi"/>
        </w:rPr>
        <w:t xml:space="preserve">, being the Urban Centres and Localities geographical units classified by the Australian Bureau of Statistics as ‘Major Urban’, i.e. with a population of 100,000 or more. The Department will provide map overlays showing Ineligible Areas to eligible applicants (upon request through the method </w:t>
      </w:r>
      <w:r w:rsidRPr="00F0749F">
        <w:rPr>
          <w:rFonts w:eastAsia="Calibri" w:cstheme="minorHAnsi"/>
        </w:rPr>
        <w:t xml:space="preserve">in </w:t>
      </w:r>
      <w:r w:rsidRPr="00846820">
        <w:rPr>
          <w:rFonts w:eastAsia="Calibri" w:cstheme="minorHAnsi"/>
        </w:rPr>
        <w:t xml:space="preserve">section </w:t>
      </w:r>
      <w:r w:rsidR="006134EA" w:rsidRPr="00846820">
        <w:rPr>
          <w:rFonts w:eastAsia="Calibri" w:cstheme="minorHAnsi"/>
        </w:rPr>
        <w:t>7, stage 2</w:t>
      </w:r>
      <w:r w:rsidRPr="00F0749F">
        <w:rPr>
          <w:rFonts w:eastAsia="Calibri" w:cstheme="minorHAnsi"/>
        </w:rPr>
        <w:t>).</w:t>
      </w:r>
    </w:p>
    <w:p w14:paraId="031692B0" w14:textId="462C369D" w:rsidR="00C26A93" w:rsidRDefault="00C26A93" w:rsidP="00C26A93">
      <w:pPr>
        <w:suppressAutoHyphens w:val="0"/>
        <w:spacing w:before="240" w:after="240" w:line="240" w:lineRule="auto"/>
        <w:ind w:left="720" w:hanging="720"/>
        <w:rPr>
          <w:rFonts w:eastAsia="Calibri" w:cstheme="minorHAnsi"/>
        </w:rPr>
      </w:pPr>
      <w:r w:rsidRPr="00BC7D3E">
        <w:rPr>
          <w:rFonts w:eastAsia="Calibri" w:cstheme="minorHAnsi"/>
        </w:rPr>
        <w:t>4.1.2</w:t>
      </w:r>
      <w:r w:rsidRPr="00BC7D3E">
        <w:rPr>
          <w:rFonts w:eastAsia="Calibri" w:cstheme="minorHAnsi"/>
        </w:rPr>
        <w:tab/>
        <w:t xml:space="preserve">To the extent that the predicted coverage to be provided by a Proposed Solution for mobile coverage overlaps with existing </w:t>
      </w:r>
      <w:r w:rsidRPr="005F3663">
        <w:rPr>
          <w:rFonts w:eastAsia="Calibri" w:cstheme="minorHAnsi"/>
        </w:rPr>
        <w:t>Handheld Coverage</w:t>
      </w:r>
      <w:r w:rsidRPr="00BC7D3E">
        <w:rPr>
          <w:rFonts w:eastAsia="Calibri" w:cstheme="minorHAnsi"/>
        </w:rPr>
        <w:t xml:space="preserve"> from the mobile network of other MNOs, this overlapping portion of coverage will be weighted in the assessment of applications in accordance with the Assessment Criteria </w:t>
      </w:r>
      <w:r w:rsidRPr="00F0749F">
        <w:rPr>
          <w:rFonts w:eastAsia="Calibri" w:cstheme="minorHAnsi"/>
        </w:rPr>
        <w:t xml:space="preserve">in </w:t>
      </w:r>
      <w:r w:rsidRPr="00846820">
        <w:rPr>
          <w:rFonts w:eastAsia="Calibri" w:cstheme="minorHAnsi"/>
        </w:rPr>
        <w:t>section</w:t>
      </w:r>
      <w:r w:rsidR="006134EA" w:rsidRPr="00846820">
        <w:rPr>
          <w:rFonts w:eastAsia="Calibri" w:cstheme="minorHAnsi"/>
        </w:rPr>
        <w:t xml:space="preserve">s 6.1 to 6.6. </w:t>
      </w:r>
      <w:r w:rsidRPr="00F0749F">
        <w:rPr>
          <w:rFonts w:eastAsia="Calibri" w:cstheme="minorHAnsi"/>
        </w:rPr>
        <w:t xml:space="preserve"> </w:t>
      </w:r>
      <w:r w:rsidRPr="00F0749F">
        <w:rPr>
          <w:rFonts w:eastAsia="Calibri" w:cstheme="minorHAnsi"/>
          <w:b/>
        </w:rPr>
        <w:t>E</w:t>
      </w:r>
      <w:r w:rsidRPr="00BC7D3E">
        <w:rPr>
          <w:rFonts w:eastAsia="Calibri" w:cstheme="minorHAnsi"/>
          <w:b/>
        </w:rPr>
        <w:t>xternal Antenna Coverage</w:t>
      </w:r>
      <w:r w:rsidRPr="00BC7D3E">
        <w:rPr>
          <w:rFonts w:eastAsia="Calibri" w:cstheme="minorHAnsi"/>
        </w:rPr>
        <w:t xml:space="preserve"> may be considered in the overarching value for money assessment of applications.</w:t>
      </w:r>
    </w:p>
    <w:p w14:paraId="75E2BBB1" w14:textId="77777777" w:rsidR="00421272" w:rsidRPr="00BC7D3E" w:rsidRDefault="00421272" w:rsidP="00C26A93">
      <w:pPr>
        <w:suppressAutoHyphens w:val="0"/>
        <w:spacing w:before="240" w:after="240" w:line="240" w:lineRule="auto"/>
        <w:ind w:left="720" w:hanging="720"/>
        <w:rPr>
          <w:rFonts w:eastAsia="Calibri" w:cstheme="minorHAnsi"/>
        </w:rPr>
      </w:pPr>
    </w:p>
    <w:p w14:paraId="031692B1" w14:textId="77777777" w:rsidR="00C26A93" w:rsidRDefault="00BC7D3E" w:rsidP="00C26A93">
      <w:pPr>
        <w:rPr>
          <w:rFonts w:cstheme="minorHAnsi"/>
          <w:u w:val="single"/>
        </w:rPr>
      </w:pPr>
      <w:r w:rsidRPr="00BC7D3E">
        <w:rPr>
          <w:rFonts w:cstheme="minorHAnsi"/>
          <w:u w:val="single"/>
        </w:rPr>
        <w:lastRenderedPageBreak/>
        <w:t>Solution eligibility – Public Interest Premises</w:t>
      </w:r>
    </w:p>
    <w:p w14:paraId="031692B2" w14:textId="77777777" w:rsidR="00BC7D3E" w:rsidRPr="00BC7D3E" w:rsidRDefault="00581177" w:rsidP="00BC7D3E">
      <w:pPr>
        <w:suppressAutoHyphens w:val="0"/>
        <w:spacing w:before="240" w:after="120" w:line="240" w:lineRule="auto"/>
        <w:ind w:left="720" w:hanging="720"/>
        <w:rPr>
          <w:rFonts w:eastAsia="Calibri" w:cstheme="minorHAnsi"/>
        </w:rPr>
      </w:pPr>
      <w:r>
        <w:rPr>
          <w:rFonts w:eastAsia="Calibri" w:cstheme="minorHAnsi"/>
        </w:rPr>
        <w:t>4.1.3</w:t>
      </w:r>
      <w:r w:rsidR="00BC7D3E" w:rsidRPr="00BC7D3E">
        <w:rPr>
          <w:rFonts w:eastAsia="Calibri" w:cstheme="minorHAnsi"/>
        </w:rPr>
        <w:tab/>
        <w:t xml:space="preserve">To be eligible for funding under Round 4 of the Program, each </w:t>
      </w:r>
      <w:r w:rsidR="00BC7D3E" w:rsidRPr="005F3663">
        <w:rPr>
          <w:rFonts w:eastAsia="Calibri" w:cstheme="minorHAnsi"/>
        </w:rPr>
        <w:t>Proposed Solution</w:t>
      </w:r>
      <w:r w:rsidR="00BC7D3E" w:rsidRPr="00BC7D3E">
        <w:rPr>
          <w:rFonts w:eastAsia="Calibri" w:cstheme="minorHAnsi"/>
          <w:b/>
        </w:rPr>
        <w:t xml:space="preserve"> </w:t>
      </w:r>
      <w:r w:rsidR="00BC7D3E" w:rsidRPr="00BC7D3E">
        <w:rPr>
          <w:rFonts w:eastAsia="Calibri" w:cstheme="minorHAnsi"/>
        </w:rPr>
        <w:t>for a</w:t>
      </w:r>
      <w:r w:rsidR="00BC7D3E" w:rsidRPr="00BC7D3E">
        <w:rPr>
          <w:rFonts w:eastAsia="Calibri" w:cstheme="minorHAnsi"/>
          <w:b/>
        </w:rPr>
        <w:t xml:space="preserve"> </w:t>
      </w:r>
      <w:r w:rsidR="00BC7D3E" w:rsidRPr="00BC7D3E">
        <w:rPr>
          <w:rFonts w:eastAsia="Calibri" w:cstheme="minorHAnsi"/>
        </w:rPr>
        <w:t>Public Interest Premises must:</w:t>
      </w:r>
    </w:p>
    <w:p w14:paraId="031692B3" w14:textId="03A80EBB" w:rsidR="00BC7D3E" w:rsidRPr="00BC7D3E" w:rsidRDefault="00BC7D3E" w:rsidP="000746F9">
      <w:pPr>
        <w:numPr>
          <w:ilvl w:val="0"/>
          <w:numId w:val="23"/>
        </w:numPr>
        <w:suppressAutoHyphens w:val="0"/>
        <w:spacing w:before="120" w:after="120" w:line="240" w:lineRule="auto"/>
        <w:ind w:left="1276" w:hanging="567"/>
        <w:rPr>
          <w:rFonts w:eastAsia="Calibri" w:cstheme="minorHAnsi"/>
        </w:rPr>
      </w:pPr>
      <w:r w:rsidRPr="00BC7D3E">
        <w:rPr>
          <w:rFonts w:eastAsia="Calibri" w:cstheme="minorHAnsi"/>
        </w:rPr>
        <w:t xml:space="preserve">Meet the requirements </w:t>
      </w:r>
      <w:r w:rsidRPr="00F0749F">
        <w:rPr>
          <w:rFonts w:eastAsia="Calibri" w:cstheme="minorHAnsi"/>
        </w:rPr>
        <w:t xml:space="preserve">in </w:t>
      </w:r>
      <w:r w:rsidR="006134EA" w:rsidRPr="00846820">
        <w:rPr>
          <w:rFonts w:eastAsia="Calibri" w:cstheme="minorHAnsi"/>
        </w:rPr>
        <w:t>section 4.1.1</w:t>
      </w:r>
      <w:r w:rsidRPr="00F0749F">
        <w:rPr>
          <w:rFonts w:eastAsia="Calibri" w:cstheme="minorHAnsi"/>
        </w:rPr>
        <w:t>; and</w:t>
      </w:r>
    </w:p>
    <w:p w14:paraId="031692B4" w14:textId="6BB9321F" w:rsidR="00BC7D3E" w:rsidRPr="00BC7D3E" w:rsidRDefault="00F77B13" w:rsidP="000746F9">
      <w:pPr>
        <w:numPr>
          <w:ilvl w:val="0"/>
          <w:numId w:val="23"/>
        </w:numPr>
        <w:suppressAutoHyphens w:val="0"/>
        <w:spacing w:before="120" w:after="120" w:line="240" w:lineRule="auto"/>
        <w:ind w:left="1276" w:hanging="567"/>
        <w:rPr>
          <w:rFonts w:eastAsia="Calibri" w:cstheme="minorHAnsi"/>
        </w:rPr>
      </w:pPr>
      <w:r>
        <w:rPr>
          <w:rFonts w:eastAsia="Calibri" w:cstheme="minorHAnsi"/>
        </w:rPr>
        <w:t xml:space="preserve">Provide new </w:t>
      </w:r>
      <w:r w:rsidR="00BC7D3E" w:rsidRPr="00BC7D3E">
        <w:rPr>
          <w:rFonts w:eastAsia="Calibri" w:cstheme="minorHAnsi"/>
        </w:rPr>
        <w:t>voice and data</w:t>
      </w:r>
      <w:r w:rsidR="00BC7D3E" w:rsidRPr="00BC7D3E" w:rsidDel="004B36AD">
        <w:rPr>
          <w:rFonts w:eastAsia="Calibri" w:cstheme="minorHAnsi"/>
        </w:rPr>
        <w:t xml:space="preserve"> </w:t>
      </w:r>
      <w:r>
        <w:rPr>
          <w:rFonts w:eastAsia="Calibri" w:cstheme="minorHAnsi"/>
        </w:rPr>
        <w:t xml:space="preserve">coverage to </w:t>
      </w:r>
      <w:r w:rsidR="00BC7D3E" w:rsidRPr="00BC7D3E">
        <w:rPr>
          <w:rFonts w:eastAsia="Calibri" w:cstheme="minorHAnsi"/>
        </w:rPr>
        <w:t>Public Interest Premises.</w:t>
      </w:r>
    </w:p>
    <w:p w14:paraId="031692B5" w14:textId="77777777" w:rsidR="00BC7D3E" w:rsidRPr="00BC7D3E" w:rsidRDefault="00581177" w:rsidP="00BC7D3E">
      <w:pPr>
        <w:suppressAutoHyphens w:val="0"/>
        <w:spacing w:before="240" w:after="240" w:line="240" w:lineRule="auto"/>
        <w:ind w:left="720" w:hanging="720"/>
        <w:rPr>
          <w:rFonts w:eastAsia="Calibri" w:cstheme="minorHAnsi"/>
        </w:rPr>
      </w:pPr>
      <w:r>
        <w:rPr>
          <w:rFonts w:eastAsia="Calibri" w:cstheme="minorHAnsi"/>
        </w:rPr>
        <w:t>4.1.4</w:t>
      </w:r>
      <w:r w:rsidR="00BC7D3E" w:rsidRPr="00BC7D3E">
        <w:rPr>
          <w:rFonts w:eastAsia="Calibri" w:cstheme="minorHAnsi"/>
        </w:rPr>
        <w:tab/>
        <w:t xml:space="preserve">A </w:t>
      </w:r>
      <w:r w:rsidR="00BC7D3E" w:rsidRPr="005F3663">
        <w:rPr>
          <w:rFonts w:eastAsia="Calibri" w:cstheme="minorHAnsi"/>
        </w:rPr>
        <w:t>Public Interest Premises</w:t>
      </w:r>
      <w:r w:rsidR="00BC7D3E" w:rsidRPr="00BC7D3E">
        <w:rPr>
          <w:rFonts w:eastAsia="Calibri" w:cstheme="minorHAnsi"/>
        </w:rPr>
        <w:t xml:space="preserve"> is defined as a premises or location that the Program considers is used on a continuing basis for a public interest purpose, and which may include:</w:t>
      </w:r>
    </w:p>
    <w:p w14:paraId="031692B6" w14:textId="77777777" w:rsidR="00BC7D3E" w:rsidRPr="00BC7D3E" w:rsidRDefault="00BC7D3E" w:rsidP="000746F9">
      <w:pPr>
        <w:numPr>
          <w:ilvl w:val="0"/>
          <w:numId w:val="24"/>
        </w:numPr>
        <w:suppressAutoHyphens w:val="0"/>
        <w:spacing w:before="120" w:after="120" w:line="240" w:lineRule="auto"/>
        <w:ind w:left="1276" w:hanging="567"/>
        <w:rPr>
          <w:rFonts w:eastAsia="Calibri" w:cstheme="minorHAnsi"/>
        </w:rPr>
      </w:pPr>
      <w:r w:rsidRPr="00BC7D3E">
        <w:rPr>
          <w:rFonts w:eastAsia="Calibri" w:cstheme="minorHAnsi"/>
        </w:rPr>
        <w:t>an economic centre;</w:t>
      </w:r>
    </w:p>
    <w:p w14:paraId="031692B7" w14:textId="77777777" w:rsidR="00BC7D3E" w:rsidRPr="00BC7D3E" w:rsidRDefault="00BC7D3E" w:rsidP="000746F9">
      <w:pPr>
        <w:numPr>
          <w:ilvl w:val="0"/>
          <w:numId w:val="24"/>
        </w:numPr>
        <w:suppressAutoHyphens w:val="0"/>
        <w:spacing w:before="120" w:after="120" w:line="240" w:lineRule="auto"/>
        <w:ind w:left="1276" w:hanging="567"/>
        <w:rPr>
          <w:rFonts w:eastAsia="Calibri" w:cstheme="minorHAnsi"/>
        </w:rPr>
      </w:pPr>
      <w:r w:rsidRPr="00BC7D3E">
        <w:rPr>
          <w:rFonts w:eastAsia="Calibri" w:cstheme="minorHAnsi"/>
        </w:rPr>
        <w:t xml:space="preserve">an emergency services facility*; </w:t>
      </w:r>
    </w:p>
    <w:p w14:paraId="031692B8" w14:textId="77777777" w:rsidR="00BC7D3E" w:rsidRPr="00BC7D3E" w:rsidRDefault="00BC7D3E" w:rsidP="000746F9">
      <w:pPr>
        <w:numPr>
          <w:ilvl w:val="0"/>
          <w:numId w:val="24"/>
        </w:numPr>
        <w:suppressAutoHyphens w:val="0"/>
        <w:spacing w:before="120" w:after="120" w:line="240" w:lineRule="auto"/>
        <w:ind w:left="1276" w:hanging="567"/>
        <w:rPr>
          <w:rFonts w:eastAsia="Calibri" w:cstheme="minorHAnsi"/>
        </w:rPr>
      </w:pPr>
      <w:r w:rsidRPr="00BC7D3E">
        <w:rPr>
          <w:rFonts w:eastAsia="Calibri" w:cstheme="minorHAnsi"/>
        </w:rPr>
        <w:t>a health facility*;</w:t>
      </w:r>
    </w:p>
    <w:p w14:paraId="031692B9" w14:textId="77777777" w:rsidR="00BC7D3E" w:rsidRPr="00BC7D3E" w:rsidRDefault="00BC7D3E" w:rsidP="000746F9">
      <w:pPr>
        <w:numPr>
          <w:ilvl w:val="0"/>
          <w:numId w:val="24"/>
        </w:numPr>
        <w:suppressAutoHyphens w:val="0"/>
        <w:spacing w:before="120" w:after="120" w:line="240" w:lineRule="auto"/>
        <w:ind w:left="1276" w:hanging="567"/>
        <w:rPr>
          <w:rFonts w:eastAsia="Calibri" w:cstheme="minorHAnsi"/>
        </w:rPr>
      </w:pPr>
      <w:r w:rsidRPr="00BC7D3E">
        <w:rPr>
          <w:rFonts w:eastAsia="Calibri" w:cstheme="minorHAnsi"/>
        </w:rPr>
        <w:t>an educational facility;</w:t>
      </w:r>
    </w:p>
    <w:p w14:paraId="031692BA" w14:textId="77777777" w:rsidR="00BC7D3E" w:rsidRPr="00BC7D3E" w:rsidRDefault="00BC7D3E" w:rsidP="000746F9">
      <w:pPr>
        <w:numPr>
          <w:ilvl w:val="0"/>
          <w:numId w:val="24"/>
        </w:numPr>
        <w:suppressAutoHyphens w:val="0"/>
        <w:spacing w:before="120" w:after="120" w:line="240" w:lineRule="auto"/>
        <w:ind w:left="1276" w:hanging="567"/>
        <w:rPr>
          <w:rFonts w:eastAsia="Calibri" w:cstheme="minorHAnsi"/>
        </w:rPr>
      </w:pPr>
      <w:r w:rsidRPr="00BC7D3E">
        <w:rPr>
          <w:rFonts w:eastAsia="Calibri" w:cstheme="minorHAnsi"/>
        </w:rPr>
        <w:t>an indigenous community organisation;</w:t>
      </w:r>
    </w:p>
    <w:p w14:paraId="031692BB" w14:textId="77777777" w:rsidR="00BC7D3E" w:rsidRPr="00BC7D3E" w:rsidRDefault="00BC7D3E" w:rsidP="000746F9">
      <w:pPr>
        <w:numPr>
          <w:ilvl w:val="0"/>
          <w:numId w:val="24"/>
        </w:numPr>
        <w:suppressAutoHyphens w:val="0"/>
        <w:spacing w:before="120" w:after="120" w:line="240" w:lineRule="auto"/>
        <w:ind w:left="1276" w:hanging="567"/>
        <w:rPr>
          <w:rFonts w:eastAsia="Calibri" w:cstheme="minorHAnsi"/>
        </w:rPr>
      </w:pPr>
      <w:r w:rsidRPr="00BC7D3E">
        <w:rPr>
          <w:rFonts w:eastAsia="Calibri" w:cstheme="minorHAnsi"/>
        </w:rPr>
        <w:t>a local government facility*; or</w:t>
      </w:r>
    </w:p>
    <w:p w14:paraId="031692BC" w14:textId="77777777" w:rsidR="00BC7D3E" w:rsidRPr="00BC7D3E" w:rsidRDefault="00BC7D3E" w:rsidP="000746F9">
      <w:pPr>
        <w:numPr>
          <w:ilvl w:val="0"/>
          <w:numId w:val="24"/>
        </w:numPr>
        <w:suppressAutoHyphens w:val="0"/>
        <w:spacing w:before="120" w:after="120" w:line="240" w:lineRule="auto"/>
        <w:ind w:left="1276" w:hanging="567"/>
        <w:rPr>
          <w:rFonts w:eastAsia="Calibri" w:cstheme="minorHAnsi"/>
        </w:rPr>
      </w:pPr>
      <w:r w:rsidRPr="00BC7D3E">
        <w:rPr>
          <w:rFonts w:eastAsia="Calibri" w:cstheme="minorHAnsi"/>
        </w:rPr>
        <w:t>a not-for-profit organisation.</w:t>
      </w:r>
    </w:p>
    <w:p w14:paraId="031692BD" w14:textId="77777777" w:rsidR="00BC7D3E" w:rsidRPr="00BC7D3E" w:rsidRDefault="00BC7D3E" w:rsidP="00BC7D3E">
      <w:pPr>
        <w:suppressAutoHyphens w:val="0"/>
        <w:spacing w:before="120" w:after="120" w:line="240" w:lineRule="auto"/>
        <w:ind w:left="1353" w:hanging="360"/>
        <w:rPr>
          <w:rFonts w:eastAsia="Calibri" w:cstheme="minorHAnsi"/>
        </w:rPr>
      </w:pPr>
      <w:r w:rsidRPr="00BC7D3E">
        <w:rPr>
          <w:rFonts w:eastAsia="Calibri" w:cstheme="minorHAnsi"/>
          <w:b/>
        </w:rPr>
        <w:t xml:space="preserve">*Note: </w:t>
      </w:r>
      <w:r w:rsidRPr="00BC7D3E">
        <w:rPr>
          <w:rFonts w:eastAsia="Calibri" w:cstheme="minorHAnsi"/>
        </w:rPr>
        <w:t>Mobile solutions should not be utilised in the supply of life-critical systems.</w:t>
      </w:r>
    </w:p>
    <w:p w14:paraId="031692BE" w14:textId="77777777" w:rsidR="00BC7D3E" w:rsidRPr="00BC7D3E" w:rsidRDefault="00581177" w:rsidP="00BC7D3E">
      <w:pPr>
        <w:suppressAutoHyphens w:val="0"/>
        <w:spacing w:before="240" w:after="120" w:line="240" w:lineRule="auto"/>
        <w:ind w:left="720" w:hanging="720"/>
        <w:rPr>
          <w:rFonts w:eastAsia="Calibri" w:cstheme="minorHAnsi"/>
        </w:rPr>
      </w:pPr>
      <w:r>
        <w:rPr>
          <w:rFonts w:eastAsia="Calibri" w:cstheme="minorHAnsi"/>
        </w:rPr>
        <w:t>4.1.5</w:t>
      </w:r>
      <w:r w:rsidR="00BC7D3E" w:rsidRPr="00BC7D3E">
        <w:rPr>
          <w:rFonts w:eastAsia="Calibri" w:cstheme="minorHAnsi"/>
        </w:rPr>
        <w:tab/>
        <w:t xml:space="preserve">In considering whether a local area is an </w:t>
      </w:r>
      <w:r w:rsidR="00BC7D3E" w:rsidRPr="00BC7D3E">
        <w:rPr>
          <w:rFonts w:eastAsia="Calibri" w:cstheme="minorHAnsi"/>
          <w:b/>
        </w:rPr>
        <w:t>economic centre</w:t>
      </w:r>
      <w:r w:rsidR="00BC7D3E" w:rsidRPr="00BC7D3E">
        <w:rPr>
          <w:rFonts w:eastAsia="Calibri" w:cstheme="minorHAnsi"/>
        </w:rPr>
        <w:t xml:space="preserve"> the Program will take into account the following non-exhaustive factors:</w:t>
      </w:r>
    </w:p>
    <w:p w14:paraId="031692BF" w14:textId="77777777" w:rsidR="00BC7D3E" w:rsidRPr="00BC7D3E" w:rsidRDefault="00BC7D3E" w:rsidP="000746F9">
      <w:pPr>
        <w:numPr>
          <w:ilvl w:val="0"/>
          <w:numId w:val="25"/>
        </w:numPr>
        <w:suppressAutoHyphens w:val="0"/>
        <w:spacing w:before="120" w:after="120" w:line="240" w:lineRule="auto"/>
        <w:ind w:left="1276" w:hanging="567"/>
        <w:rPr>
          <w:rFonts w:eastAsia="Calibri" w:cstheme="minorHAnsi"/>
        </w:rPr>
      </w:pPr>
      <w:r w:rsidRPr="00BC7D3E">
        <w:rPr>
          <w:rFonts w:eastAsia="Calibri" w:cstheme="minorHAnsi"/>
        </w:rPr>
        <w:t>Whether the local area or precinct generates economic activity for the community.</w:t>
      </w:r>
    </w:p>
    <w:p w14:paraId="031692C0" w14:textId="77777777" w:rsidR="00BC7D3E" w:rsidRPr="00BC7D3E" w:rsidRDefault="00BC7D3E" w:rsidP="000746F9">
      <w:pPr>
        <w:numPr>
          <w:ilvl w:val="0"/>
          <w:numId w:val="25"/>
        </w:numPr>
        <w:suppressAutoHyphens w:val="0"/>
        <w:spacing w:before="120" w:after="120" w:line="240" w:lineRule="auto"/>
        <w:ind w:left="1276" w:hanging="567"/>
        <w:rPr>
          <w:rFonts w:eastAsia="Calibri" w:cstheme="minorHAnsi"/>
        </w:rPr>
      </w:pPr>
      <w:r w:rsidRPr="00BC7D3E">
        <w:rPr>
          <w:rFonts w:eastAsia="Calibri" w:cstheme="minorHAnsi"/>
        </w:rPr>
        <w:t>Whether the local area or precinct is:</w:t>
      </w:r>
    </w:p>
    <w:p w14:paraId="031692C1" w14:textId="51B5791F" w:rsidR="00BC7D3E" w:rsidRDefault="00BC7D3E" w:rsidP="000746F9">
      <w:pPr>
        <w:numPr>
          <w:ilvl w:val="1"/>
          <w:numId w:val="17"/>
        </w:numPr>
        <w:suppressAutoHyphens w:val="0"/>
        <w:spacing w:before="120" w:after="120" w:line="240" w:lineRule="auto"/>
        <w:rPr>
          <w:rFonts w:eastAsia="Calibri" w:cstheme="minorHAnsi"/>
        </w:rPr>
      </w:pPr>
      <w:r w:rsidRPr="00BC7D3E">
        <w:rPr>
          <w:rFonts w:eastAsia="Calibri" w:cstheme="minorHAnsi"/>
        </w:rPr>
        <w:t>a tourist site</w:t>
      </w:r>
      <w:r w:rsidR="009A0B30">
        <w:rPr>
          <w:rFonts w:eastAsia="Calibri" w:cstheme="minorHAnsi"/>
        </w:rPr>
        <w:t>;</w:t>
      </w:r>
    </w:p>
    <w:p w14:paraId="20A76AB6" w14:textId="0EFAB90C" w:rsidR="009A0B30" w:rsidRPr="00BC7D3E" w:rsidRDefault="009A0B30" w:rsidP="000746F9">
      <w:pPr>
        <w:numPr>
          <w:ilvl w:val="1"/>
          <w:numId w:val="17"/>
        </w:numPr>
        <w:suppressAutoHyphens w:val="0"/>
        <w:spacing w:before="120" w:after="120" w:line="240" w:lineRule="auto"/>
        <w:rPr>
          <w:rFonts w:eastAsia="Calibri" w:cstheme="minorHAnsi"/>
        </w:rPr>
      </w:pPr>
      <w:r>
        <w:rPr>
          <w:rFonts w:eastAsia="Calibri" w:cstheme="minorHAnsi"/>
        </w:rPr>
        <w:t>a park or wildlife facility;</w:t>
      </w:r>
    </w:p>
    <w:p w14:paraId="031692C2" w14:textId="77777777" w:rsidR="00BC7D3E" w:rsidRPr="00BC7D3E" w:rsidRDefault="00BC7D3E" w:rsidP="000746F9">
      <w:pPr>
        <w:numPr>
          <w:ilvl w:val="1"/>
          <w:numId w:val="17"/>
        </w:numPr>
        <w:suppressAutoHyphens w:val="0"/>
        <w:spacing w:before="120" w:after="120" w:line="240" w:lineRule="auto"/>
        <w:rPr>
          <w:rFonts w:eastAsia="Calibri" w:cstheme="minorHAnsi"/>
        </w:rPr>
      </w:pPr>
      <w:r w:rsidRPr="00BC7D3E">
        <w:rPr>
          <w:rFonts w:eastAsia="Calibri" w:cstheme="minorHAnsi"/>
        </w:rPr>
        <w:t>a local business centre; or</w:t>
      </w:r>
    </w:p>
    <w:p w14:paraId="031692C3" w14:textId="77777777" w:rsidR="00BC7D3E" w:rsidRPr="00BC7D3E" w:rsidRDefault="00BC7D3E" w:rsidP="000746F9">
      <w:pPr>
        <w:numPr>
          <w:ilvl w:val="1"/>
          <w:numId w:val="17"/>
        </w:numPr>
        <w:suppressAutoHyphens w:val="0"/>
        <w:spacing w:before="120" w:after="120" w:line="240" w:lineRule="auto"/>
        <w:rPr>
          <w:rFonts w:eastAsia="Calibri" w:cstheme="minorHAnsi"/>
        </w:rPr>
      </w:pPr>
      <w:r w:rsidRPr="00BC7D3E">
        <w:rPr>
          <w:rFonts w:eastAsia="Calibri" w:cstheme="minorHAnsi"/>
        </w:rPr>
        <w:t>an industrial precinct.</w:t>
      </w:r>
    </w:p>
    <w:p w14:paraId="031692C4" w14:textId="77777777" w:rsidR="00BC7D3E" w:rsidRPr="00BC7D3E" w:rsidRDefault="00BC7D3E" w:rsidP="000746F9">
      <w:pPr>
        <w:numPr>
          <w:ilvl w:val="0"/>
          <w:numId w:val="25"/>
        </w:numPr>
        <w:suppressAutoHyphens w:val="0"/>
        <w:spacing w:before="120" w:after="120" w:line="240" w:lineRule="auto"/>
        <w:ind w:left="1276" w:hanging="567"/>
        <w:rPr>
          <w:rFonts w:eastAsia="Calibri" w:cstheme="minorHAnsi"/>
        </w:rPr>
      </w:pPr>
      <w:r w:rsidRPr="00BC7D3E">
        <w:rPr>
          <w:rFonts w:eastAsia="Calibri" w:cstheme="minorHAnsi"/>
        </w:rPr>
        <w:t xml:space="preserve">Whether any other local area or precinct is an economic centre as determined by the </w:t>
      </w:r>
      <w:r w:rsidRPr="005F3663">
        <w:rPr>
          <w:rFonts w:eastAsia="Calibri" w:cstheme="minorHAnsi"/>
          <w:b/>
        </w:rPr>
        <w:t>Decision Maker</w:t>
      </w:r>
      <w:r w:rsidRPr="00BC7D3E">
        <w:rPr>
          <w:rFonts w:eastAsia="Calibri" w:cstheme="minorHAnsi"/>
        </w:rPr>
        <w:t xml:space="preserve"> on a case by case basis.</w:t>
      </w:r>
    </w:p>
    <w:p w14:paraId="031692C5" w14:textId="77777777" w:rsidR="00BC7D3E" w:rsidRPr="00BC7D3E" w:rsidRDefault="00581177" w:rsidP="00BC7D3E">
      <w:pPr>
        <w:suppressAutoHyphens w:val="0"/>
        <w:spacing w:before="240" w:after="0" w:line="240" w:lineRule="auto"/>
        <w:ind w:left="709" w:hanging="709"/>
        <w:contextualSpacing/>
        <w:rPr>
          <w:rFonts w:eastAsia="Calibri" w:cstheme="minorHAnsi"/>
        </w:rPr>
      </w:pPr>
      <w:r>
        <w:rPr>
          <w:rFonts w:eastAsia="Calibri" w:cstheme="minorHAnsi"/>
        </w:rPr>
        <w:t>4.1.6</w:t>
      </w:r>
      <w:r w:rsidR="00BC7D3E" w:rsidRPr="00BC7D3E">
        <w:rPr>
          <w:rFonts w:eastAsia="Calibri" w:cstheme="minorHAnsi"/>
        </w:rPr>
        <w:tab/>
        <w:t xml:space="preserve">In considering whether a premises is an </w:t>
      </w:r>
      <w:r w:rsidR="00BC7D3E" w:rsidRPr="00BC7D3E">
        <w:rPr>
          <w:rFonts w:eastAsia="Calibri" w:cstheme="minorHAnsi"/>
          <w:b/>
        </w:rPr>
        <w:t>emergency services facility</w:t>
      </w:r>
      <w:r w:rsidR="00BC7D3E" w:rsidRPr="00BC7D3E">
        <w:rPr>
          <w:rFonts w:eastAsia="Calibri" w:cstheme="minorHAnsi"/>
        </w:rPr>
        <w:t xml:space="preserve"> the Program will take into account the following non-exhaustive factors:</w:t>
      </w:r>
    </w:p>
    <w:p w14:paraId="031692C6" w14:textId="77777777" w:rsidR="00BC7D3E" w:rsidRPr="00BC7D3E" w:rsidRDefault="00BC7D3E" w:rsidP="000746F9">
      <w:pPr>
        <w:numPr>
          <w:ilvl w:val="0"/>
          <w:numId w:val="28"/>
        </w:numPr>
        <w:suppressAutoHyphens w:val="0"/>
        <w:spacing w:before="120" w:after="120" w:line="240" w:lineRule="auto"/>
        <w:ind w:left="1276" w:hanging="567"/>
        <w:rPr>
          <w:rFonts w:eastAsia="Calibri" w:cstheme="minorHAnsi"/>
        </w:rPr>
      </w:pPr>
      <w:r w:rsidRPr="00BC7D3E">
        <w:rPr>
          <w:rFonts w:eastAsia="Calibri" w:cstheme="minorHAnsi"/>
        </w:rPr>
        <w:t>Whether the facility is:</w:t>
      </w:r>
    </w:p>
    <w:p w14:paraId="031692C7" w14:textId="77777777" w:rsidR="00BC7D3E" w:rsidRPr="00BC7D3E" w:rsidRDefault="00BC7D3E" w:rsidP="000746F9">
      <w:pPr>
        <w:numPr>
          <w:ilvl w:val="0"/>
          <w:numId w:val="21"/>
        </w:numPr>
        <w:suppressAutoHyphens w:val="0"/>
        <w:spacing w:before="120" w:after="120" w:line="240" w:lineRule="auto"/>
        <w:rPr>
          <w:rFonts w:eastAsia="Calibri" w:cstheme="minorHAnsi"/>
        </w:rPr>
      </w:pPr>
      <w:r w:rsidRPr="00BC7D3E">
        <w:rPr>
          <w:rFonts w:eastAsia="Calibri" w:cstheme="minorHAnsi"/>
        </w:rPr>
        <w:t xml:space="preserve">an emergency services call centre or operations base; </w:t>
      </w:r>
    </w:p>
    <w:p w14:paraId="28C0F177" w14:textId="3AC4C5F3" w:rsidR="00AD5203" w:rsidRDefault="009A0B30" w:rsidP="000746F9">
      <w:pPr>
        <w:numPr>
          <w:ilvl w:val="0"/>
          <w:numId w:val="21"/>
        </w:numPr>
        <w:suppressAutoHyphens w:val="0"/>
        <w:spacing w:before="120" w:after="120" w:line="240" w:lineRule="auto"/>
        <w:rPr>
          <w:rFonts w:eastAsia="Calibri" w:cstheme="minorHAnsi"/>
        </w:rPr>
      </w:pPr>
      <w:r>
        <w:rPr>
          <w:rFonts w:eastAsia="Calibri" w:cstheme="minorHAnsi"/>
        </w:rPr>
        <w:t>Public Safety Agency Facility</w:t>
      </w:r>
      <w:r w:rsidR="00BC7D3E" w:rsidRPr="00BC7D3E">
        <w:rPr>
          <w:rFonts w:eastAsia="Calibri" w:cstheme="minorHAnsi"/>
        </w:rPr>
        <w:t xml:space="preserve">; </w:t>
      </w:r>
    </w:p>
    <w:p w14:paraId="030E4E1D" w14:textId="77777777" w:rsidR="00AD5203" w:rsidRDefault="00AD5203" w:rsidP="000746F9">
      <w:pPr>
        <w:numPr>
          <w:ilvl w:val="0"/>
          <w:numId w:val="21"/>
        </w:numPr>
        <w:suppressAutoHyphens w:val="0"/>
        <w:spacing w:before="120" w:after="120" w:line="240" w:lineRule="auto"/>
        <w:rPr>
          <w:rFonts w:eastAsia="Calibri" w:cstheme="minorHAnsi"/>
        </w:rPr>
      </w:pPr>
      <w:r>
        <w:rPr>
          <w:rFonts w:eastAsia="Calibri" w:cstheme="minorHAnsi"/>
        </w:rPr>
        <w:t xml:space="preserve">State Emergency Services; </w:t>
      </w:r>
    </w:p>
    <w:p w14:paraId="031692C8" w14:textId="1FB28073" w:rsidR="00BC7D3E" w:rsidRPr="00BC7D3E" w:rsidRDefault="00AD5203" w:rsidP="000746F9">
      <w:pPr>
        <w:numPr>
          <w:ilvl w:val="0"/>
          <w:numId w:val="21"/>
        </w:numPr>
        <w:suppressAutoHyphens w:val="0"/>
        <w:spacing w:before="120" w:after="120" w:line="240" w:lineRule="auto"/>
        <w:rPr>
          <w:rFonts w:eastAsia="Calibri" w:cstheme="minorHAnsi"/>
        </w:rPr>
      </w:pPr>
      <w:r>
        <w:rPr>
          <w:rFonts w:eastAsia="Calibri" w:cstheme="minorHAnsi"/>
        </w:rPr>
        <w:t xml:space="preserve">Voluntary Rescue Associations; </w:t>
      </w:r>
      <w:r w:rsidR="00BC7D3E" w:rsidRPr="00BC7D3E">
        <w:rPr>
          <w:rFonts w:eastAsia="Calibri" w:cstheme="minorHAnsi"/>
        </w:rPr>
        <w:t>or</w:t>
      </w:r>
    </w:p>
    <w:p w14:paraId="031692C9" w14:textId="77777777" w:rsidR="00BC7D3E" w:rsidRPr="00BC7D3E" w:rsidRDefault="00BC7D3E" w:rsidP="000746F9">
      <w:pPr>
        <w:numPr>
          <w:ilvl w:val="0"/>
          <w:numId w:val="21"/>
        </w:numPr>
        <w:suppressAutoHyphens w:val="0"/>
        <w:spacing w:before="120" w:after="120" w:line="240" w:lineRule="auto"/>
        <w:rPr>
          <w:rFonts w:eastAsia="Calibri" w:cstheme="minorHAnsi"/>
        </w:rPr>
      </w:pPr>
      <w:r w:rsidRPr="00BC7D3E">
        <w:rPr>
          <w:rFonts w:eastAsia="Calibri" w:cstheme="minorHAnsi"/>
        </w:rPr>
        <w:t xml:space="preserve">a designated community emergency evacuation point. </w:t>
      </w:r>
    </w:p>
    <w:p w14:paraId="031692CA" w14:textId="77777777" w:rsidR="00BC7D3E" w:rsidRPr="00BC7D3E" w:rsidRDefault="00BC7D3E" w:rsidP="000746F9">
      <w:pPr>
        <w:numPr>
          <w:ilvl w:val="0"/>
          <w:numId w:val="28"/>
        </w:numPr>
        <w:suppressAutoHyphens w:val="0"/>
        <w:spacing w:before="120" w:after="120" w:line="240" w:lineRule="auto"/>
        <w:ind w:left="1276" w:hanging="567"/>
        <w:rPr>
          <w:rFonts w:eastAsia="Calibri" w:cstheme="minorHAnsi"/>
        </w:rPr>
      </w:pPr>
      <w:r w:rsidRPr="00BC7D3E">
        <w:rPr>
          <w:rFonts w:eastAsia="Calibri" w:cstheme="minorHAnsi"/>
        </w:rPr>
        <w:lastRenderedPageBreak/>
        <w:t>Whether any other facility is utilised for emergency services as determined by the Decision Maker on a case by case basis.</w:t>
      </w:r>
    </w:p>
    <w:p w14:paraId="031692CB" w14:textId="77777777" w:rsidR="00BC7D3E" w:rsidRPr="00BC7D3E" w:rsidRDefault="00581177" w:rsidP="00BC7D3E">
      <w:pPr>
        <w:suppressAutoHyphens w:val="0"/>
        <w:spacing w:before="240" w:after="0" w:line="240" w:lineRule="auto"/>
        <w:ind w:left="709" w:hanging="709"/>
        <w:contextualSpacing/>
        <w:rPr>
          <w:rFonts w:eastAsia="Calibri" w:cstheme="minorHAnsi"/>
        </w:rPr>
      </w:pPr>
      <w:r>
        <w:rPr>
          <w:rFonts w:eastAsia="Calibri" w:cstheme="minorHAnsi"/>
        </w:rPr>
        <w:t>4.1.7</w:t>
      </w:r>
      <w:r w:rsidR="00BC7D3E" w:rsidRPr="00BC7D3E">
        <w:rPr>
          <w:rFonts w:eastAsia="Calibri" w:cstheme="minorHAnsi"/>
        </w:rPr>
        <w:tab/>
        <w:t xml:space="preserve">In considering whether a premises is a </w:t>
      </w:r>
      <w:r w:rsidR="00BC7D3E" w:rsidRPr="00BC7D3E">
        <w:rPr>
          <w:rFonts w:eastAsia="Calibri" w:cstheme="minorHAnsi"/>
          <w:b/>
        </w:rPr>
        <w:t>health facility</w:t>
      </w:r>
      <w:r w:rsidR="00BC7D3E" w:rsidRPr="00BC7D3E">
        <w:rPr>
          <w:rFonts w:eastAsia="Calibri" w:cstheme="minorHAnsi"/>
        </w:rPr>
        <w:t xml:space="preserve"> the Program will take into account the following non-exhaustive factors:</w:t>
      </w:r>
    </w:p>
    <w:p w14:paraId="031692CC" w14:textId="4C9B9EB3" w:rsidR="00BC7D3E" w:rsidRPr="00BC7D3E" w:rsidRDefault="00E131A1" w:rsidP="00087F4A">
      <w:pPr>
        <w:numPr>
          <w:ilvl w:val="0"/>
          <w:numId w:val="39"/>
        </w:numPr>
        <w:suppressAutoHyphens w:val="0"/>
        <w:spacing w:before="120" w:after="120" w:line="240" w:lineRule="auto"/>
        <w:rPr>
          <w:rFonts w:eastAsia="Calibri" w:cstheme="minorHAnsi"/>
        </w:rPr>
      </w:pPr>
      <w:r>
        <w:rPr>
          <w:rFonts w:eastAsia="Calibri" w:cstheme="minorHAnsi"/>
        </w:rPr>
        <w:t xml:space="preserve">    </w:t>
      </w:r>
      <w:r w:rsidR="00BC7D3E" w:rsidRPr="00BC7D3E">
        <w:rPr>
          <w:rFonts w:eastAsia="Calibri" w:cstheme="minorHAnsi"/>
        </w:rPr>
        <w:t>Whether the organisation responsible for the premises is:</w:t>
      </w:r>
    </w:p>
    <w:p w14:paraId="031692CD" w14:textId="77777777" w:rsidR="00BC7D3E" w:rsidRPr="00BC7D3E" w:rsidRDefault="00BC7D3E" w:rsidP="000746F9">
      <w:pPr>
        <w:numPr>
          <w:ilvl w:val="0"/>
          <w:numId w:val="31"/>
        </w:numPr>
        <w:suppressAutoHyphens w:val="0"/>
        <w:spacing w:before="120" w:after="120" w:line="240" w:lineRule="auto"/>
        <w:rPr>
          <w:rFonts w:eastAsia="Calibri" w:cstheme="minorHAnsi"/>
        </w:rPr>
      </w:pPr>
      <w:r w:rsidRPr="00BC7D3E">
        <w:rPr>
          <w:rFonts w:eastAsia="Calibri" w:cstheme="minorHAnsi"/>
        </w:rPr>
        <w:t xml:space="preserve">a general practice or medical centre; </w:t>
      </w:r>
    </w:p>
    <w:p w14:paraId="031692CE" w14:textId="77777777" w:rsidR="00BC7D3E" w:rsidRPr="00BC7D3E" w:rsidRDefault="00BC7D3E" w:rsidP="000746F9">
      <w:pPr>
        <w:numPr>
          <w:ilvl w:val="0"/>
          <w:numId w:val="31"/>
        </w:numPr>
        <w:suppressAutoHyphens w:val="0"/>
        <w:spacing w:before="120" w:after="120" w:line="240" w:lineRule="auto"/>
        <w:rPr>
          <w:rFonts w:eastAsia="Calibri" w:cstheme="minorHAnsi"/>
        </w:rPr>
      </w:pPr>
      <w:r w:rsidRPr="00BC7D3E">
        <w:rPr>
          <w:rFonts w:eastAsia="Calibri" w:cstheme="minorHAnsi"/>
        </w:rPr>
        <w:t xml:space="preserve">a specialist medical service or surgery; </w:t>
      </w:r>
    </w:p>
    <w:p w14:paraId="031692CF" w14:textId="77777777" w:rsidR="00BC7D3E" w:rsidRPr="00BC7D3E" w:rsidRDefault="00BC7D3E" w:rsidP="000746F9">
      <w:pPr>
        <w:numPr>
          <w:ilvl w:val="0"/>
          <w:numId w:val="31"/>
        </w:numPr>
        <w:suppressAutoHyphens w:val="0"/>
        <w:spacing w:before="120" w:after="120" w:line="240" w:lineRule="auto"/>
        <w:rPr>
          <w:rFonts w:eastAsia="Calibri" w:cstheme="minorHAnsi"/>
        </w:rPr>
      </w:pPr>
      <w:r w:rsidRPr="00BC7D3E">
        <w:rPr>
          <w:rFonts w:eastAsia="Calibri" w:cstheme="minorHAnsi"/>
        </w:rPr>
        <w:t xml:space="preserve">a community health centre; </w:t>
      </w:r>
    </w:p>
    <w:p w14:paraId="031692D0" w14:textId="77777777" w:rsidR="00BC7D3E" w:rsidRPr="00BC7D3E" w:rsidRDefault="00BC7D3E" w:rsidP="000746F9">
      <w:pPr>
        <w:numPr>
          <w:ilvl w:val="0"/>
          <w:numId w:val="31"/>
        </w:numPr>
        <w:suppressAutoHyphens w:val="0"/>
        <w:spacing w:before="120" w:after="120" w:line="240" w:lineRule="auto"/>
        <w:rPr>
          <w:rFonts w:eastAsia="Calibri" w:cstheme="minorHAnsi"/>
        </w:rPr>
      </w:pPr>
      <w:r w:rsidRPr="00BC7D3E">
        <w:rPr>
          <w:rFonts w:eastAsia="Calibri" w:cstheme="minorHAnsi"/>
        </w:rPr>
        <w:t xml:space="preserve">a hospital (to be determined on a case by case basis). </w:t>
      </w:r>
    </w:p>
    <w:p w14:paraId="031692D1" w14:textId="77777777" w:rsidR="00BC7D3E" w:rsidRPr="00BC7D3E" w:rsidRDefault="00BC7D3E" w:rsidP="00087F4A">
      <w:pPr>
        <w:numPr>
          <w:ilvl w:val="0"/>
          <w:numId w:val="39"/>
        </w:numPr>
        <w:suppressAutoHyphens w:val="0"/>
        <w:spacing w:before="120" w:after="120" w:line="240" w:lineRule="auto"/>
        <w:ind w:left="1276" w:hanging="567"/>
        <w:rPr>
          <w:rFonts w:eastAsia="Calibri" w:cstheme="minorHAnsi"/>
        </w:rPr>
      </w:pPr>
      <w:r w:rsidRPr="00BC7D3E">
        <w:rPr>
          <w:rFonts w:eastAsia="Calibri" w:cstheme="minorHAnsi"/>
        </w:rPr>
        <w:t>Whether any other facility is a health facility as determined by the Decision Maker on a case by case basis.</w:t>
      </w:r>
    </w:p>
    <w:p w14:paraId="031692D2" w14:textId="77777777" w:rsidR="00BC7D3E" w:rsidRPr="00BC7D3E" w:rsidRDefault="00BC7D3E" w:rsidP="00087F4A">
      <w:pPr>
        <w:numPr>
          <w:ilvl w:val="0"/>
          <w:numId w:val="39"/>
        </w:numPr>
        <w:suppressAutoHyphens w:val="0"/>
        <w:spacing w:before="120" w:after="120" w:line="240" w:lineRule="auto"/>
        <w:ind w:left="1276" w:hanging="567"/>
        <w:rPr>
          <w:rFonts w:eastAsia="Calibri" w:cstheme="minorHAnsi"/>
        </w:rPr>
      </w:pPr>
      <w:r w:rsidRPr="00BC7D3E">
        <w:rPr>
          <w:rFonts w:eastAsia="Calibri" w:cstheme="minorHAnsi"/>
        </w:rPr>
        <w:t xml:space="preserve">Whether the premises </w:t>
      </w:r>
      <w:proofErr w:type="gramStart"/>
      <w:r w:rsidRPr="00BC7D3E">
        <w:rPr>
          <w:rFonts w:eastAsia="Calibri" w:cstheme="minorHAnsi"/>
        </w:rPr>
        <w:t>is</w:t>
      </w:r>
      <w:proofErr w:type="gramEnd"/>
      <w:r w:rsidRPr="00BC7D3E">
        <w:rPr>
          <w:rFonts w:eastAsia="Calibri" w:cstheme="minorHAnsi"/>
        </w:rPr>
        <w:t xml:space="preserve"> a distinct place of business for the health facility such as a surgery. In some circumstances there may be multiple practitioners sharing the same surgery within the same health facility location.   </w:t>
      </w:r>
    </w:p>
    <w:p w14:paraId="031692D3" w14:textId="77777777" w:rsidR="00BC7D3E" w:rsidRPr="00BC7D3E" w:rsidRDefault="00581177" w:rsidP="00BC7D3E">
      <w:pPr>
        <w:suppressAutoHyphens w:val="0"/>
        <w:spacing w:before="240" w:after="0" w:line="240" w:lineRule="auto"/>
        <w:ind w:left="709" w:hanging="709"/>
        <w:contextualSpacing/>
        <w:rPr>
          <w:rFonts w:eastAsia="Calibri" w:cstheme="minorHAnsi"/>
        </w:rPr>
      </w:pPr>
      <w:r>
        <w:rPr>
          <w:rFonts w:eastAsia="Calibri" w:cstheme="minorHAnsi"/>
        </w:rPr>
        <w:t>4.1.8</w:t>
      </w:r>
      <w:r w:rsidR="00BC7D3E" w:rsidRPr="00BC7D3E">
        <w:rPr>
          <w:rFonts w:eastAsia="Calibri" w:cstheme="minorHAnsi"/>
        </w:rPr>
        <w:tab/>
        <w:t xml:space="preserve">In considering whether a premises is an </w:t>
      </w:r>
      <w:r w:rsidR="00BC7D3E" w:rsidRPr="00BC7D3E">
        <w:rPr>
          <w:rFonts w:eastAsia="Calibri" w:cstheme="minorHAnsi"/>
          <w:b/>
        </w:rPr>
        <w:t>educational facility</w:t>
      </w:r>
      <w:r w:rsidR="00BC7D3E" w:rsidRPr="00BC7D3E">
        <w:rPr>
          <w:rFonts w:eastAsia="Calibri" w:cstheme="minorHAnsi"/>
        </w:rPr>
        <w:t xml:space="preserve"> the Program will take into account the following non-exhaustive factors:</w:t>
      </w:r>
    </w:p>
    <w:p w14:paraId="031692D4" w14:textId="77777777" w:rsidR="00BC7D3E" w:rsidRPr="00BC7D3E" w:rsidRDefault="00BC7D3E" w:rsidP="000746F9">
      <w:pPr>
        <w:numPr>
          <w:ilvl w:val="0"/>
          <w:numId w:val="30"/>
        </w:numPr>
        <w:suppressAutoHyphens w:val="0"/>
        <w:spacing w:before="120" w:after="120" w:line="240" w:lineRule="auto"/>
        <w:ind w:left="1276" w:hanging="567"/>
        <w:rPr>
          <w:rFonts w:eastAsia="Calibri" w:cstheme="minorHAnsi"/>
        </w:rPr>
      </w:pPr>
      <w:r w:rsidRPr="00BC7D3E">
        <w:rPr>
          <w:rFonts w:eastAsia="Calibri" w:cstheme="minorHAnsi"/>
        </w:rPr>
        <w:t>Whether the organisation responsible for the premises is:</w:t>
      </w:r>
    </w:p>
    <w:p w14:paraId="031692D5" w14:textId="77777777" w:rsidR="00BC7D3E" w:rsidRPr="00BC7D3E" w:rsidRDefault="00BC7D3E" w:rsidP="000746F9">
      <w:pPr>
        <w:numPr>
          <w:ilvl w:val="0"/>
          <w:numId w:val="20"/>
        </w:numPr>
        <w:suppressAutoHyphens w:val="0"/>
        <w:spacing w:before="120" w:after="120" w:line="240" w:lineRule="auto"/>
        <w:rPr>
          <w:rFonts w:eastAsia="Calibri" w:cstheme="minorHAnsi"/>
        </w:rPr>
      </w:pPr>
      <w:r w:rsidRPr="00BC7D3E">
        <w:rPr>
          <w:rFonts w:eastAsia="Calibri" w:cstheme="minorHAnsi"/>
        </w:rPr>
        <w:t xml:space="preserve">a privately or </w:t>
      </w:r>
      <w:proofErr w:type="spellStart"/>
      <w:r w:rsidRPr="00BC7D3E">
        <w:rPr>
          <w:rFonts w:eastAsia="Calibri" w:cstheme="minorHAnsi"/>
        </w:rPr>
        <w:t>publically</w:t>
      </w:r>
      <w:proofErr w:type="spellEnd"/>
      <w:r w:rsidRPr="00BC7D3E">
        <w:rPr>
          <w:rFonts w:eastAsia="Calibri" w:cstheme="minorHAnsi"/>
        </w:rPr>
        <w:t xml:space="preserve"> funded primary or secondary school;</w:t>
      </w:r>
    </w:p>
    <w:p w14:paraId="031692D6" w14:textId="77777777" w:rsidR="00BC7D3E" w:rsidRPr="00BC7D3E" w:rsidRDefault="00BC7D3E" w:rsidP="000746F9">
      <w:pPr>
        <w:numPr>
          <w:ilvl w:val="0"/>
          <w:numId w:val="20"/>
        </w:numPr>
        <w:suppressAutoHyphens w:val="0"/>
        <w:spacing w:before="120" w:after="120" w:line="240" w:lineRule="auto"/>
        <w:rPr>
          <w:rFonts w:eastAsia="Calibri" w:cstheme="minorHAnsi"/>
        </w:rPr>
      </w:pPr>
      <w:r w:rsidRPr="00BC7D3E">
        <w:rPr>
          <w:rFonts w:eastAsia="Calibri" w:cstheme="minorHAnsi"/>
        </w:rPr>
        <w:t xml:space="preserve">a privately or </w:t>
      </w:r>
      <w:proofErr w:type="spellStart"/>
      <w:r w:rsidRPr="00BC7D3E">
        <w:rPr>
          <w:rFonts w:eastAsia="Calibri" w:cstheme="minorHAnsi"/>
        </w:rPr>
        <w:t>publically</w:t>
      </w:r>
      <w:proofErr w:type="spellEnd"/>
      <w:r w:rsidRPr="00BC7D3E">
        <w:rPr>
          <w:rFonts w:eastAsia="Calibri" w:cstheme="minorHAnsi"/>
        </w:rPr>
        <w:t xml:space="preserve"> funded preschool or kindergarten facility;</w:t>
      </w:r>
    </w:p>
    <w:p w14:paraId="031692D7" w14:textId="77777777" w:rsidR="00BC7D3E" w:rsidRPr="00BC7D3E" w:rsidRDefault="00BC7D3E" w:rsidP="000746F9">
      <w:pPr>
        <w:numPr>
          <w:ilvl w:val="0"/>
          <w:numId w:val="20"/>
        </w:numPr>
        <w:suppressAutoHyphens w:val="0"/>
        <w:spacing w:before="120" w:after="120" w:line="240" w:lineRule="auto"/>
        <w:rPr>
          <w:rFonts w:eastAsia="Calibri" w:cstheme="minorHAnsi"/>
        </w:rPr>
      </w:pPr>
      <w:r w:rsidRPr="00BC7D3E">
        <w:rPr>
          <w:rFonts w:eastAsia="Calibri" w:cstheme="minorHAnsi"/>
        </w:rPr>
        <w:t>a school of the air;</w:t>
      </w:r>
    </w:p>
    <w:p w14:paraId="031692D8" w14:textId="77777777" w:rsidR="00BC7D3E" w:rsidRPr="00BC7D3E" w:rsidRDefault="00BC7D3E" w:rsidP="000746F9">
      <w:pPr>
        <w:numPr>
          <w:ilvl w:val="0"/>
          <w:numId w:val="20"/>
        </w:numPr>
        <w:suppressAutoHyphens w:val="0"/>
        <w:spacing w:before="120" w:after="120" w:line="240" w:lineRule="auto"/>
        <w:rPr>
          <w:rFonts w:eastAsia="Calibri" w:cstheme="minorHAnsi"/>
        </w:rPr>
      </w:pPr>
      <w:r w:rsidRPr="00BC7D3E">
        <w:rPr>
          <w:rFonts w:eastAsia="Calibri" w:cstheme="minorHAnsi"/>
        </w:rPr>
        <w:t>an adult registered training and education facility which provides ongoing services; or</w:t>
      </w:r>
    </w:p>
    <w:p w14:paraId="031692D9" w14:textId="77777777" w:rsidR="00BC7D3E" w:rsidRPr="00BC7D3E" w:rsidRDefault="00BC7D3E" w:rsidP="000746F9">
      <w:pPr>
        <w:numPr>
          <w:ilvl w:val="0"/>
          <w:numId w:val="20"/>
        </w:numPr>
        <w:suppressAutoHyphens w:val="0"/>
        <w:spacing w:before="120" w:after="120" w:line="240" w:lineRule="auto"/>
        <w:rPr>
          <w:rFonts w:eastAsia="Calibri" w:cstheme="minorHAnsi"/>
        </w:rPr>
      </w:pPr>
      <w:r w:rsidRPr="00BC7D3E">
        <w:rPr>
          <w:rFonts w:eastAsia="Calibri" w:cstheme="minorHAnsi"/>
        </w:rPr>
        <w:t>any other facility that a Department of Education has determined or approved as a school.</w:t>
      </w:r>
    </w:p>
    <w:p w14:paraId="031692DA" w14:textId="77777777" w:rsidR="00BC7D3E" w:rsidRPr="00BC7D3E" w:rsidRDefault="00BC7D3E" w:rsidP="000746F9">
      <w:pPr>
        <w:numPr>
          <w:ilvl w:val="0"/>
          <w:numId w:val="30"/>
        </w:numPr>
        <w:suppressAutoHyphens w:val="0"/>
        <w:spacing w:before="120" w:after="120" w:line="240" w:lineRule="auto"/>
        <w:ind w:left="1276" w:hanging="567"/>
        <w:rPr>
          <w:rFonts w:eastAsia="Calibri" w:cstheme="minorHAnsi"/>
        </w:rPr>
      </w:pPr>
      <w:r w:rsidRPr="00BC7D3E">
        <w:rPr>
          <w:rFonts w:eastAsia="Calibri" w:cstheme="minorHAnsi"/>
        </w:rPr>
        <w:t>Whether any other facility is an educational facility as determined by the Decision Maker on a case by case basis.</w:t>
      </w:r>
    </w:p>
    <w:p w14:paraId="031692DB" w14:textId="77777777" w:rsidR="00BC7D3E" w:rsidRPr="00BC7D3E" w:rsidRDefault="00581177" w:rsidP="00BC7D3E">
      <w:pPr>
        <w:suppressAutoHyphens w:val="0"/>
        <w:spacing w:before="240" w:after="120" w:line="240" w:lineRule="auto"/>
        <w:ind w:left="720" w:hanging="720"/>
        <w:rPr>
          <w:rFonts w:eastAsia="Calibri" w:cstheme="minorHAnsi"/>
        </w:rPr>
      </w:pPr>
      <w:r>
        <w:rPr>
          <w:rFonts w:eastAsia="Calibri" w:cstheme="minorHAnsi"/>
        </w:rPr>
        <w:t>4.1.9</w:t>
      </w:r>
      <w:r w:rsidR="00BC7D3E" w:rsidRPr="00BC7D3E">
        <w:rPr>
          <w:rFonts w:eastAsia="Calibri" w:cstheme="minorHAnsi"/>
        </w:rPr>
        <w:tab/>
        <w:t xml:space="preserve">In considering whether an organisation is an </w:t>
      </w:r>
      <w:r w:rsidR="00BC7D3E" w:rsidRPr="00BC7D3E">
        <w:rPr>
          <w:rFonts w:eastAsia="Calibri" w:cstheme="minorHAnsi"/>
          <w:b/>
        </w:rPr>
        <w:t>Indigenous community organisation</w:t>
      </w:r>
      <w:r w:rsidR="00BC7D3E" w:rsidRPr="00BC7D3E">
        <w:rPr>
          <w:rFonts w:eastAsia="Calibri" w:cstheme="minorHAnsi"/>
        </w:rPr>
        <w:t xml:space="preserve"> the Program will take into account the following non-exhaustive factors:</w:t>
      </w:r>
    </w:p>
    <w:p w14:paraId="031692DC" w14:textId="77777777" w:rsidR="00BC7D3E" w:rsidRPr="00BC7D3E" w:rsidRDefault="00BC7D3E" w:rsidP="000746F9">
      <w:pPr>
        <w:numPr>
          <w:ilvl w:val="0"/>
          <w:numId w:val="27"/>
        </w:numPr>
        <w:suppressAutoHyphens w:val="0"/>
        <w:spacing w:before="120" w:after="120" w:line="240" w:lineRule="auto"/>
        <w:ind w:left="1276" w:hanging="567"/>
        <w:rPr>
          <w:rFonts w:eastAsia="Calibri" w:cstheme="minorHAnsi"/>
        </w:rPr>
      </w:pPr>
      <w:r w:rsidRPr="00BC7D3E">
        <w:rPr>
          <w:rFonts w:eastAsia="Calibri" w:cstheme="minorHAnsi"/>
        </w:rPr>
        <w:t>Whether the organisation is:</w:t>
      </w:r>
    </w:p>
    <w:p w14:paraId="031692DD" w14:textId="77777777" w:rsidR="00BC7D3E" w:rsidRPr="00BC7D3E" w:rsidRDefault="00BC7D3E" w:rsidP="000746F9">
      <w:pPr>
        <w:numPr>
          <w:ilvl w:val="0"/>
          <w:numId w:val="18"/>
        </w:numPr>
        <w:suppressAutoHyphens w:val="0"/>
        <w:spacing w:before="120" w:after="120" w:line="240" w:lineRule="auto"/>
        <w:rPr>
          <w:rFonts w:eastAsia="Calibri" w:cstheme="minorHAnsi"/>
        </w:rPr>
      </w:pPr>
      <w:r w:rsidRPr="00BC7D3E">
        <w:rPr>
          <w:rFonts w:eastAsia="Calibri" w:cstheme="minorHAnsi"/>
        </w:rPr>
        <w:t>a registered Indigenous corporation;</w:t>
      </w:r>
    </w:p>
    <w:p w14:paraId="031692DE" w14:textId="77777777" w:rsidR="00BC7D3E" w:rsidRPr="00BC7D3E" w:rsidRDefault="00BC7D3E" w:rsidP="000746F9">
      <w:pPr>
        <w:numPr>
          <w:ilvl w:val="0"/>
          <w:numId w:val="18"/>
        </w:numPr>
        <w:suppressAutoHyphens w:val="0"/>
        <w:spacing w:before="120" w:after="120" w:line="240" w:lineRule="auto"/>
        <w:rPr>
          <w:rFonts w:eastAsia="Calibri" w:cstheme="minorHAnsi"/>
        </w:rPr>
      </w:pPr>
      <w:r w:rsidRPr="00BC7D3E">
        <w:rPr>
          <w:rFonts w:eastAsia="Calibri" w:cstheme="minorHAnsi"/>
        </w:rPr>
        <w:t xml:space="preserve">an organisation recognised by the Commonwealth as an Indigenous community organisation; </w:t>
      </w:r>
    </w:p>
    <w:p w14:paraId="031692DF" w14:textId="77777777" w:rsidR="00BC7D3E" w:rsidRPr="00BC7D3E" w:rsidRDefault="00BC7D3E" w:rsidP="000746F9">
      <w:pPr>
        <w:numPr>
          <w:ilvl w:val="0"/>
          <w:numId w:val="18"/>
        </w:numPr>
        <w:suppressAutoHyphens w:val="0"/>
        <w:spacing w:before="120" w:after="120" w:line="240" w:lineRule="auto"/>
        <w:rPr>
          <w:rFonts w:eastAsia="Calibri" w:cstheme="minorHAnsi"/>
        </w:rPr>
      </w:pPr>
      <w:r w:rsidRPr="00BC7D3E">
        <w:rPr>
          <w:rFonts w:eastAsia="Calibri" w:cstheme="minorHAnsi"/>
        </w:rPr>
        <w:t>an Indigenous Community Council; or</w:t>
      </w:r>
    </w:p>
    <w:p w14:paraId="031692E0" w14:textId="77777777" w:rsidR="00BC7D3E" w:rsidRPr="00BC7D3E" w:rsidRDefault="00BC7D3E" w:rsidP="000746F9">
      <w:pPr>
        <w:numPr>
          <w:ilvl w:val="0"/>
          <w:numId w:val="18"/>
        </w:numPr>
        <w:suppressAutoHyphens w:val="0"/>
        <w:spacing w:before="120" w:after="120" w:line="240" w:lineRule="auto"/>
        <w:rPr>
          <w:rFonts w:eastAsia="Calibri" w:cstheme="minorHAnsi"/>
        </w:rPr>
      </w:pPr>
      <w:r w:rsidRPr="00BC7D3E">
        <w:rPr>
          <w:rFonts w:eastAsia="Calibri" w:cstheme="minorHAnsi"/>
        </w:rPr>
        <w:t>a non-Indigenous organisation or collective, with the stated intention of providing a service to members of an Indigenous community on a not-for-profit basis.</w:t>
      </w:r>
    </w:p>
    <w:p w14:paraId="031692E2" w14:textId="77777777" w:rsidR="00BC7D3E" w:rsidRPr="00BC7D3E" w:rsidRDefault="00BC7D3E" w:rsidP="000746F9">
      <w:pPr>
        <w:numPr>
          <w:ilvl w:val="0"/>
          <w:numId w:val="27"/>
        </w:numPr>
        <w:suppressAutoHyphens w:val="0"/>
        <w:spacing w:before="120" w:after="120" w:line="240" w:lineRule="auto"/>
        <w:ind w:left="1276" w:hanging="567"/>
        <w:rPr>
          <w:rFonts w:eastAsia="Calibri" w:cstheme="minorHAnsi"/>
        </w:rPr>
      </w:pPr>
      <w:r w:rsidRPr="00BC7D3E">
        <w:rPr>
          <w:rFonts w:eastAsia="Calibri" w:cstheme="minorHAnsi"/>
        </w:rPr>
        <w:t>Whether any other organisation is an Indigenous community organisation as determined by the Decision Maker on a case by case basis.</w:t>
      </w:r>
    </w:p>
    <w:p w14:paraId="031692E3" w14:textId="77777777" w:rsidR="00BC7D3E" w:rsidRPr="00BC7D3E" w:rsidRDefault="00581177" w:rsidP="00BC7D3E">
      <w:pPr>
        <w:suppressAutoHyphens w:val="0"/>
        <w:spacing w:before="240" w:after="0" w:line="240" w:lineRule="auto"/>
        <w:ind w:left="709" w:hanging="709"/>
        <w:contextualSpacing/>
        <w:rPr>
          <w:rFonts w:eastAsia="Calibri" w:cstheme="minorHAnsi"/>
        </w:rPr>
      </w:pPr>
      <w:r>
        <w:rPr>
          <w:rFonts w:eastAsia="Calibri" w:cstheme="minorHAnsi"/>
        </w:rPr>
        <w:t>4.1.10</w:t>
      </w:r>
      <w:r w:rsidR="00BC7D3E" w:rsidRPr="00BC7D3E">
        <w:rPr>
          <w:rFonts w:eastAsia="Calibri" w:cstheme="minorHAnsi"/>
        </w:rPr>
        <w:tab/>
        <w:t xml:space="preserve">In considering whether a premises is a </w:t>
      </w:r>
      <w:r w:rsidR="00BC7D3E" w:rsidRPr="00BC7D3E">
        <w:rPr>
          <w:rFonts w:eastAsia="Calibri" w:cstheme="minorHAnsi"/>
          <w:b/>
        </w:rPr>
        <w:t>local government facility</w:t>
      </w:r>
      <w:r w:rsidR="00BC7D3E" w:rsidRPr="00BC7D3E">
        <w:rPr>
          <w:rFonts w:eastAsia="Calibri" w:cstheme="minorHAnsi"/>
        </w:rPr>
        <w:t xml:space="preserve"> the Program will take into account the following non-exhaustive factors:</w:t>
      </w:r>
    </w:p>
    <w:p w14:paraId="031692E4" w14:textId="77777777" w:rsidR="00BC7D3E" w:rsidRPr="00BC7D3E" w:rsidRDefault="00BC7D3E" w:rsidP="000746F9">
      <w:pPr>
        <w:numPr>
          <w:ilvl w:val="0"/>
          <w:numId w:val="29"/>
        </w:numPr>
        <w:suppressAutoHyphens w:val="0"/>
        <w:spacing w:before="120" w:after="120" w:line="240" w:lineRule="auto"/>
        <w:ind w:left="1276" w:hanging="567"/>
        <w:rPr>
          <w:rFonts w:eastAsia="Calibri" w:cstheme="minorHAnsi"/>
        </w:rPr>
      </w:pPr>
      <w:r w:rsidRPr="00BC7D3E">
        <w:rPr>
          <w:rFonts w:eastAsia="Calibri" w:cstheme="minorHAnsi"/>
        </w:rPr>
        <w:lastRenderedPageBreak/>
        <w:t>Whether the facility is:</w:t>
      </w:r>
    </w:p>
    <w:p w14:paraId="031692E5" w14:textId="77777777" w:rsidR="00BC7D3E" w:rsidRPr="00BC7D3E" w:rsidRDefault="00BC7D3E" w:rsidP="000746F9">
      <w:pPr>
        <w:numPr>
          <w:ilvl w:val="0"/>
          <w:numId w:val="22"/>
        </w:numPr>
        <w:suppressAutoHyphens w:val="0"/>
        <w:spacing w:before="120" w:after="120" w:line="240" w:lineRule="auto"/>
        <w:rPr>
          <w:rFonts w:eastAsia="Calibri" w:cstheme="minorHAnsi"/>
        </w:rPr>
      </w:pPr>
      <w:r w:rsidRPr="00BC7D3E">
        <w:rPr>
          <w:rFonts w:eastAsia="Calibri" w:cstheme="minorHAnsi"/>
        </w:rPr>
        <w:t xml:space="preserve">a local government childcare centre; </w:t>
      </w:r>
    </w:p>
    <w:p w14:paraId="031692E6" w14:textId="77777777" w:rsidR="00BC7D3E" w:rsidRPr="00BC7D3E" w:rsidRDefault="00BC7D3E" w:rsidP="000746F9">
      <w:pPr>
        <w:numPr>
          <w:ilvl w:val="0"/>
          <w:numId w:val="22"/>
        </w:numPr>
        <w:suppressAutoHyphens w:val="0"/>
        <w:spacing w:before="120" w:after="120" w:line="240" w:lineRule="auto"/>
        <w:rPr>
          <w:rFonts w:eastAsia="Calibri" w:cstheme="minorHAnsi"/>
        </w:rPr>
      </w:pPr>
      <w:r w:rsidRPr="00BC7D3E">
        <w:rPr>
          <w:rFonts w:eastAsia="Calibri" w:cstheme="minorHAnsi"/>
        </w:rPr>
        <w:t xml:space="preserve">a library; </w:t>
      </w:r>
    </w:p>
    <w:p w14:paraId="031692E7" w14:textId="77777777" w:rsidR="00BC7D3E" w:rsidRPr="00BC7D3E" w:rsidRDefault="00BC7D3E" w:rsidP="000746F9">
      <w:pPr>
        <w:numPr>
          <w:ilvl w:val="0"/>
          <w:numId w:val="22"/>
        </w:numPr>
        <w:suppressAutoHyphens w:val="0"/>
        <w:spacing w:before="120" w:after="120" w:line="240" w:lineRule="auto"/>
        <w:rPr>
          <w:rFonts w:eastAsia="Calibri" w:cstheme="minorHAnsi"/>
        </w:rPr>
      </w:pPr>
      <w:r w:rsidRPr="00BC7D3E">
        <w:rPr>
          <w:rFonts w:eastAsia="Calibri" w:cstheme="minorHAnsi"/>
        </w:rPr>
        <w:t>a council office;</w:t>
      </w:r>
    </w:p>
    <w:p w14:paraId="7D9A45CA" w14:textId="75D421EE" w:rsidR="00AD5203" w:rsidRPr="00BC7D3E" w:rsidRDefault="009A0B30" w:rsidP="000746F9">
      <w:pPr>
        <w:numPr>
          <w:ilvl w:val="0"/>
          <w:numId w:val="22"/>
        </w:numPr>
        <w:suppressAutoHyphens w:val="0"/>
        <w:spacing w:before="120" w:after="120" w:line="240" w:lineRule="auto"/>
        <w:rPr>
          <w:rFonts w:eastAsia="Calibri" w:cstheme="minorHAnsi"/>
        </w:rPr>
      </w:pPr>
      <w:r>
        <w:rPr>
          <w:rFonts w:eastAsia="Calibri" w:cstheme="minorHAnsi"/>
        </w:rPr>
        <w:t xml:space="preserve">a </w:t>
      </w:r>
      <w:r w:rsidR="00AD5203">
        <w:rPr>
          <w:rFonts w:eastAsia="Calibri" w:cstheme="minorHAnsi"/>
        </w:rPr>
        <w:t>sport and recreation facility;</w:t>
      </w:r>
    </w:p>
    <w:p w14:paraId="031692E9" w14:textId="77777777" w:rsidR="00BC7D3E" w:rsidRPr="00BC7D3E" w:rsidRDefault="00BC7D3E" w:rsidP="000746F9">
      <w:pPr>
        <w:numPr>
          <w:ilvl w:val="0"/>
          <w:numId w:val="22"/>
        </w:numPr>
        <w:suppressAutoHyphens w:val="0"/>
        <w:spacing w:before="120" w:after="120" w:line="240" w:lineRule="auto"/>
        <w:rPr>
          <w:rFonts w:eastAsia="Calibri" w:cstheme="minorHAnsi"/>
        </w:rPr>
      </w:pPr>
      <w:r w:rsidRPr="00BC7D3E">
        <w:rPr>
          <w:rFonts w:eastAsia="Calibri" w:cstheme="minorHAnsi"/>
        </w:rPr>
        <w:t>an Indigenous community facility operated by local government; or</w:t>
      </w:r>
    </w:p>
    <w:p w14:paraId="031692EA" w14:textId="77777777" w:rsidR="00BC7D3E" w:rsidRPr="00BC7D3E" w:rsidRDefault="00BC7D3E" w:rsidP="000746F9">
      <w:pPr>
        <w:numPr>
          <w:ilvl w:val="0"/>
          <w:numId w:val="22"/>
        </w:numPr>
        <w:suppressAutoHyphens w:val="0"/>
        <w:spacing w:before="120" w:after="120" w:line="240" w:lineRule="auto"/>
        <w:rPr>
          <w:rFonts w:eastAsia="Calibri" w:cstheme="minorHAnsi"/>
        </w:rPr>
      </w:pPr>
      <w:r w:rsidRPr="00BC7D3E">
        <w:rPr>
          <w:rFonts w:eastAsia="Calibri" w:cstheme="minorHAnsi"/>
        </w:rPr>
        <w:t>a community health centre or other care-related facility operated by local government.</w:t>
      </w:r>
    </w:p>
    <w:p w14:paraId="031692EB" w14:textId="77777777" w:rsidR="00BC7D3E" w:rsidRPr="00BC7D3E" w:rsidRDefault="00BC7D3E" w:rsidP="000746F9">
      <w:pPr>
        <w:numPr>
          <w:ilvl w:val="0"/>
          <w:numId w:val="29"/>
        </w:numPr>
        <w:suppressAutoHyphens w:val="0"/>
        <w:spacing w:before="120" w:after="120" w:line="240" w:lineRule="auto"/>
        <w:ind w:left="1276" w:hanging="567"/>
        <w:rPr>
          <w:rFonts w:eastAsia="Calibri" w:cstheme="minorHAnsi"/>
        </w:rPr>
      </w:pPr>
      <w:r w:rsidRPr="00BC7D3E">
        <w:rPr>
          <w:rFonts w:eastAsia="Calibri" w:cstheme="minorHAnsi"/>
        </w:rPr>
        <w:t>Whether any other facility is a local government facility as determined by the Decision Maker on a case by case basis.</w:t>
      </w:r>
    </w:p>
    <w:p w14:paraId="031692EC" w14:textId="77777777" w:rsidR="00BC7D3E" w:rsidRPr="00BC7D3E" w:rsidRDefault="00BC7D3E" w:rsidP="000746F9">
      <w:pPr>
        <w:numPr>
          <w:ilvl w:val="0"/>
          <w:numId w:val="29"/>
        </w:numPr>
        <w:suppressAutoHyphens w:val="0"/>
        <w:spacing w:before="120" w:after="120" w:line="240" w:lineRule="auto"/>
        <w:ind w:left="1276" w:hanging="567"/>
        <w:rPr>
          <w:rFonts w:eastAsia="Calibri" w:cstheme="minorHAnsi"/>
        </w:rPr>
      </w:pPr>
      <w:r w:rsidRPr="00BC7D3E">
        <w:rPr>
          <w:rFonts w:eastAsia="Calibri" w:cstheme="minorHAnsi"/>
        </w:rPr>
        <w:t>A local government facilities should be a distinct place of business operated by the local council. In some in circumstances there may be multiple community services provided by the same local government at the same premises.</w:t>
      </w:r>
    </w:p>
    <w:p w14:paraId="031692ED" w14:textId="77777777" w:rsidR="00BC7D3E" w:rsidRPr="00BC7D3E" w:rsidRDefault="00581177" w:rsidP="00BC7D3E">
      <w:pPr>
        <w:suppressAutoHyphens w:val="0"/>
        <w:spacing w:before="240" w:after="120" w:line="240" w:lineRule="auto"/>
        <w:ind w:left="720" w:hanging="720"/>
        <w:rPr>
          <w:rFonts w:eastAsia="Calibri" w:cstheme="minorHAnsi"/>
        </w:rPr>
      </w:pPr>
      <w:r>
        <w:rPr>
          <w:rFonts w:eastAsia="Calibri" w:cstheme="minorHAnsi"/>
        </w:rPr>
        <w:t>4.1.11</w:t>
      </w:r>
      <w:r w:rsidR="00BC7D3E" w:rsidRPr="00BC7D3E">
        <w:rPr>
          <w:rFonts w:eastAsia="Calibri" w:cstheme="minorHAnsi"/>
        </w:rPr>
        <w:tab/>
        <w:t xml:space="preserve">In considering whether an organisation in a </w:t>
      </w:r>
      <w:r w:rsidR="00BC7D3E" w:rsidRPr="00BC7D3E">
        <w:rPr>
          <w:rFonts w:eastAsia="Calibri" w:cstheme="minorHAnsi"/>
          <w:b/>
        </w:rPr>
        <w:t>not-for-profit organisation</w:t>
      </w:r>
      <w:r w:rsidR="00BC7D3E" w:rsidRPr="00BC7D3E">
        <w:rPr>
          <w:rFonts w:eastAsia="Calibri" w:cstheme="minorHAnsi"/>
        </w:rPr>
        <w:t xml:space="preserve"> the Program will take into account the following non-exhaustive factors:</w:t>
      </w:r>
    </w:p>
    <w:p w14:paraId="031692EE" w14:textId="77777777" w:rsidR="00BC7D3E" w:rsidRPr="00BC7D3E" w:rsidRDefault="00BC7D3E" w:rsidP="000746F9">
      <w:pPr>
        <w:numPr>
          <w:ilvl w:val="0"/>
          <w:numId w:val="26"/>
        </w:numPr>
        <w:suppressAutoHyphens w:val="0"/>
        <w:spacing w:before="120" w:after="120" w:line="240" w:lineRule="auto"/>
        <w:ind w:left="1276" w:hanging="567"/>
        <w:rPr>
          <w:rFonts w:eastAsia="Calibri" w:cstheme="minorHAnsi"/>
        </w:rPr>
      </w:pPr>
      <w:r w:rsidRPr="00BC7D3E">
        <w:rPr>
          <w:rFonts w:eastAsia="Calibri" w:cstheme="minorHAnsi"/>
        </w:rPr>
        <w:t>Whether the organisation:</w:t>
      </w:r>
    </w:p>
    <w:p w14:paraId="031692EF" w14:textId="77777777" w:rsidR="00BC7D3E" w:rsidRPr="00BC7D3E" w:rsidRDefault="00BC7D3E" w:rsidP="000746F9">
      <w:pPr>
        <w:numPr>
          <w:ilvl w:val="0"/>
          <w:numId w:val="19"/>
        </w:numPr>
        <w:suppressAutoHyphens w:val="0"/>
        <w:spacing w:before="120" w:after="120" w:line="240" w:lineRule="auto"/>
        <w:rPr>
          <w:rFonts w:eastAsia="Calibri" w:cstheme="minorHAnsi"/>
        </w:rPr>
      </w:pPr>
      <w:r w:rsidRPr="00BC7D3E">
        <w:rPr>
          <w:rFonts w:eastAsia="Calibri" w:cstheme="minorHAnsi"/>
        </w:rPr>
        <w:t xml:space="preserve">was formed for social recreational, educational, charitable, philanthropic or other lawful purposes, where any profit earned can only be applied for the purposes of the organisation as a whole and not distributed to individual members; </w:t>
      </w:r>
    </w:p>
    <w:p w14:paraId="031692F0" w14:textId="11274A34" w:rsidR="00BC7D3E" w:rsidRPr="00BC7D3E" w:rsidRDefault="00BC7D3E" w:rsidP="000746F9">
      <w:pPr>
        <w:numPr>
          <w:ilvl w:val="0"/>
          <w:numId w:val="19"/>
        </w:numPr>
        <w:suppressAutoHyphens w:val="0"/>
        <w:spacing w:before="120" w:after="120" w:line="240" w:lineRule="auto"/>
        <w:rPr>
          <w:rFonts w:eastAsia="Calibri" w:cstheme="minorHAnsi"/>
        </w:rPr>
      </w:pPr>
      <w:r w:rsidRPr="00BC7D3E">
        <w:rPr>
          <w:rFonts w:eastAsia="Calibri" w:cstheme="minorHAnsi"/>
        </w:rPr>
        <w:t xml:space="preserve">is not associated with any Commonwealth, </w:t>
      </w:r>
      <w:r w:rsidR="005A1DEE">
        <w:rPr>
          <w:rFonts w:eastAsia="Calibri" w:cstheme="minorHAnsi"/>
        </w:rPr>
        <w:t>S</w:t>
      </w:r>
      <w:r w:rsidRPr="00BC7D3E">
        <w:rPr>
          <w:rFonts w:eastAsia="Calibri" w:cstheme="minorHAnsi"/>
        </w:rPr>
        <w:t xml:space="preserve">tate, </w:t>
      </w:r>
      <w:r w:rsidR="005A1DEE">
        <w:rPr>
          <w:rFonts w:eastAsia="Calibri" w:cstheme="minorHAnsi"/>
        </w:rPr>
        <w:t>T</w:t>
      </w:r>
      <w:r w:rsidRPr="00BC7D3E">
        <w:rPr>
          <w:rFonts w:eastAsia="Calibri" w:cstheme="minorHAnsi"/>
        </w:rPr>
        <w:t>erritory or local government agency;</w:t>
      </w:r>
      <w:r w:rsidR="00C30C47">
        <w:rPr>
          <w:rFonts w:eastAsia="Calibri" w:cstheme="minorHAnsi"/>
        </w:rPr>
        <w:t xml:space="preserve"> and</w:t>
      </w:r>
    </w:p>
    <w:p w14:paraId="031692F1" w14:textId="6626A5F0" w:rsidR="00BC7D3E" w:rsidRPr="00BC7D3E" w:rsidRDefault="00BC7D3E" w:rsidP="000746F9">
      <w:pPr>
        <w:numPr>
          <w:ilvl w:val="0"/>
          <w:numId w:val="19"/>
        </w:numPr>
        <w:suppressAutoHyphens w:val="0"/>
        <w:spacing w:before="120" w:after="120" w:line="240" w:lineRule="auto"/>
        <w:rPr>
          <w:rFonts w:eastAsia="Calibri" w:cstheme="minorHAnsi"/>
        </w:rPr>
      </w:pPr>
      <w:r w:rsidRPr="00BC7D3E">
        <w:rPr>
          <w:rFonts w:eastAsia="Calibri" w:cstheme="minorHAnsi"/>
        </w:rPr>
        <w:t>has a unique Australian Business Number; or</w:t>
      </w:r>
    </w:p>
    <w:p w14:paraId="031692F2" w14:textId="77777777" w:rsidR="00BC7D3E" w:rsidRPr="00BC7D3E" w:rsidRDefault="00BC7D3E" w:rsidP="000746F9">
      <w:pPr>
        <w:numPr>
          <w:ilvl w:val="0"/>
          <w:numId w:val="19"/>
        </w:numPr>
        <w:suppressAutoHyphens w:val="0"/>
        <w:spacing w:before="120" w:after="120" w:line="240" w:lineRule="auto"/>
        <w:rPr>
          <w:rFonts w:eastAsia="Calibri" w:cstheme="minorHAnsi"/>
        </w:rPr>
      </w:pPr>
      <w:r w:rsidRPr="00BC7D3E">
        <w:rPr>
          <w:rFonts w:eastAsia="Calibri" w:cstheme="minorHAnsi"/>
        </w:rPr>
        <w:t>has a unique work location set up in a manner that represents a distinct place of operation for the not-for-profit organisation.</w:t>
      </w:r>
    </w:p>
    <w:p w14:paraId="031692F3" w14:textId="77777777" w:rsidR="00BC7D3E" w:rsidRPr="00BC7D3E" w:rsidRDefault="00BC7D3E" w:rsidP="000746F9">
      <w:pPr>
        <w:numPr>
          <w:ilvl w:val="0"/>
          <w:numId w:val="26"/>
        </w:numPr>
        <w:suppressAutoHyphens w:val="0"/>
        <w:spacing w:before="120" w:after="120" w:line="240" w:lineRule="auto"/>
        <w:ind w:left="1276" w:hanging="567"/>
        <w:rPr>
          <w:rFonts w:eastAsia="Calibri" w:cstheme="minorHAnsi"/>
        </w:rPr>
      </w:pPr>
      <w:r w:rsidRPr="00BC7D3E">
        <w:rPr>
          <w:rFonts w:eastAsia="Calibri" w:cstheme="minorHAnsi"/>
        </w:rPr>
        <w:t>Whether any other organisation is a not-for-profit organisation as determined by the Decision Maker on a case by case basis.</w:t>
      </w:r>
    </w:p>
    <w:p w14:paraId="031692F4" w14:textId="77777777" w:rsidR="00BC7D3E" w:rsidRPr="00BC7D3E" w:rsidRDefault="00BC7D3E" w:rsidP="00BC7D3E">
      <w:pPr>
        <w:suppressAutoHyphens w:val="0"/>
        <w:spacing w:before="240" w:after="240" w:line="240" w:lineRule="auto"/>
        <w:ind w:left="1353"/>
        <w:contextualSpacing/>
        <w:rPr>
          <w:rFonts w:eastAsia="Calibri" w:cstheme="minorHAnsi"/>
        </w:rPr>
      </w:pPr>
    </w:p>
    <w:p w14:paraId="031692F5" w14:textId="74D70345" w:rsidR="00BC7D3E" w:rsidRPr="00BC7D3E" w:rsidRDefault="00581177" w:rsidP="00BC7D3E">
      <w:pPr>
        <w:suppressAutoHyphens w:val="0"/>
        <w:spacing w:before="240" w:after="0" w:line="240" w:lineRule="auto"/>
        <w:ind w:left="709" w:hanging="709"/>
        <w:contextualSpacing/>
        <w:rPr>
          <w:rFonts w:eastAsia="Calibri" w:cstheme="minorHAnsi"/>
        </w:rPr>
      </w:pPr>
      <w:r>
        <w:rPr>
          <w:rFonts w:eastAsia="Calibri" w:cstheme="minorHAnsi"/>
        </w:rPr>
        <w:t>4.1.12</w:t>
      </w:r>
      <w:r w:rsidR="00BC7D3E" w:rsidRPr="00BC7D3E">
        <w:rPr>
          <w:rFonts w:eastAsia="Calibri" w:cstheme="minorHAnsi"/>
        </w:rPr>
        <w:tab/>
        <w:t>The nomination of a Public Interest Premises to be considered for funding under the Program must be supported or endorsed by the relevant oversight organisation or governing body by way of a written document supplied with the Proposed Solution. For example, the nomination of a community emergency evacuation point will require formal writt</w:t>
      </w:r>
      <w:r w:rsidR="005A1DEE">
        <w:rPr>
          <w:rFonts w:eastAsia="Calibri" w:cstheme="minorHAnsi"/>
        </w:rPr>
        <w:t>en endorsement by the relevant S</w:t>
      </w:r>
      <w:r w:rsidR="00BC7D3E" w:rsidRPr="00BC7D3E">
        <w:rPr>
          <w:rFonts w:eastAsia="Calibri" w:cstheme="minorHAnsi"/>
        </w:rPr>
        <w:t>tate department responsible for emergency services.</w:t>
      </w:r>
    </w:p>
    <w:p w14:paraId="031692F6" w14:textId="77777777" w:rsidR="00340616" w:rsidRPr="00B72EE8" w:rsidRDefault="00340616" w:rsidP="000A271A">
      <w:pPr>
        <w:pStyle w:val="Heading2Numbered"/>
      </w:pPr>
      <w:bookmarkStart w:id="53" w:name="_Toc467773961"/>
      <w:bookmarkStart w:id="54" w:name="_Toc523411620"/>
      <w:r w:rsidRPr="00B72EE8">
        <w:t xml:space="preserve">What </w:t>
      </w:r>
      <w:r>
        <w:t>the grant money cannot be used for?</w:t>
      </w:r>
      <w:bookmarkEnd w:id="53"/>
      <w:bookmarkEnd w:id="54"/>
    </w:p>
    <w:p w14:paraId="031692F7" w14:textId="73B8D967" w:rsidR="00BC7D3E" w:rsidRPr="00BC7D3E" w:rsidRDefault="00BC7D3E" w:rsidP="00BC7D3E">
      <w:pPr>
        <w:pStyle w:val="Bodynumbered-Level1"/>
        <w:rPr>
          <w:rFonts w:asciiTheme="minorHAnsi" w:hAnsiTheme="minorHAnsi" w:cstheme="minorHAnsi"/>
        </w:rPr>
      </w:pPr>
      <w:r>
        <w:rPr>
          <w:rFonts w:asciiTheme="minorHAnsi" w:hAnsiTheme="minorHAnsi" w:cstheme="minorHAnsi"/>
        </w:rPr>
        <w:t>4.2</w:t>
      </w:r>
      <w:r w:rsidRPr="00BC7D3E">
        <w:rPr>
          <w:rFonts w:asciiTheme="minorHAnsi" w:hAnsiTheme="minorHAnsi" w:cstheme="minorHAnsi"/>
        </w:rPr>
        <w:t>.1</w:t>
      </w:r>
      <w:r w:rsidRPr="00BC7D3E">
        <w:rPr>
          <w:rFonts w:asciiTheme="minorHAnsi" w:hAnsiTheme="minorHAnsi" w:cstheme="minorHAnsi"/>
        </w:rPr>
        <w:tab/>
        <w:t xml:space="preserve">To ensure that applicants do not seek Commonwealth funding for Proposed Solutions where they have already planned to invest commercially, all applicants (including MNIPs) must certify that any Proposed Solutions for which Commonwealth funds are being sought were not at any time part of their </w:t>
      </w:r>
      <w:r w:rsidR="009110EE">
        <w:rPr>
          <w:rFonts w:asciiTheme="minorHAnsi" w:hAnsiTheme="minorHAnsi" w:cstheme="minorHAnsi"/>
        </w:rPr>
        <w:t xml:space="preserve">current </w:t>
      </w:r>
      <w:r w:rsidRPr="00BC7D3E">
        <w:rPr>
          <w:rFonts w:asciiTheme="minorHAnsi" w:hAnsiTheme="minorHAnsi" w:cstheme="minorHAnsi"/>
        </w:rPr>
        <w:t>forward</w:t>
      </w:r>
      <w:r w:rsidRPr="00BC7D3E">
        <w:rPr>
          <w:rFonts w:asciiTheme="minorHAnsi" w:hAnsiTheme="minorHAnsi" w:cstheme="minorHAnsi"/>
        </w:rPr>
        <w:noBreakHyphen/>
        <w:t xml:space="preserve">build network </w:t>
      </w:r>
      <w:r w:rsidRPr="00BC7D3E">
        <w:rPr>
          <w:rFonts w:asciiTheme="minorHAnsi" w:hAnsiTheme="minorHAnsi" w:cstheme="minorHAnsi"/>
        </w:rPr>
        <w:lastRenderedPageBreak/>
        <w:t>expansion or upgrade plans</w:t>
      </w:r>
      <w:r w:rsidR="009110EE">
        <w:rPr>
          <w:rFonts w:asciiTheme="minorHAnsi" w:hAnsiTheme="minorHAnsi" w:cstheme="minorHAnsi"/>
        </w:rPr>
        <w:t xml:space="preserve"> as at the date of commencement of the application process</w:t>
      </w:r>
      <w:r w:rsidRPr="00BC7D3E">
        <w:rPr>
          <w:rFonts w:asciiTheme="minorHAnsi" w:hAnsiTheme="minorHAnsi" w:cstheme="minorHAnsi"/>
        </w:rPr>
        <w:t>.</w:t>
      </w:r>
    </w:p>
    <w:p w14:paraId="031692F8" w14:textId="35CF9EEC" w:rsidR="00340616" w:rsidRDefault="00BC7D3E" w:rsidP="00BC7D3E">
      <w:pPr>
        <w:pStyle w:val="Bodynumbered-Level1"/>
        <w:ind w:left="0" w:firstLine="0"/>
        <w:rPr>
          <w:rFonts w:asciiTheme="minorHAnsi" w:hAnsiTheme="minorHAnsi" w:cstheme="minorHAnsi"/>
        </w:rPr>
      </w:pPr>
      <w:r>
        <w:rPr>
          <w:rFonts w:asciiTheme="minorHAnsi" w:hAnsiTheme="minorHAnsi" w:cstheme="minorHAnsi"/>
        </w:rPr>
        <w:t>4.2</w:t>
      </w:r>
      <w:r w:rsidRPr="00BC7D3E">
        <w:rPr>
          <w:rFonts w:asciiTheme="minorHAnsi" w:hAnsiTheme="minorHAnsi" w:cstheme="minorHAnsi"/>
        </w:rPr>
        <w:t>.2</w:t>
      </w:r>
      <w:r w:rsidRPr="00BC7D3E">
        <w:rPr>
          <w:rFonts w:asciiTheme="minorHAnsi" w:hAnsiTheme="minorHAnsi" w:cstheme="minorHAnsi"/>
        </w:rPr>
        <w:tab/>
        <w:t>The Department may audit a Grantee</w:t>
      </w:r>
      <w:r w:rsidR="00A63517">
        <w:rPr>
          <w:rFonts w:asciiTheme="minorHAnsi" w:hAnsiTheme="minorHAnsi" w:cstheme="minorHAnsi"/>
        </w:rPr>
        <w:t xml:space="preserve">’s compliance </w:t>
      </w:r>
      <w:r w:rsidR="00A63517" w:rsidRPr="00F0749F">
        <w:rPr>
          <w:rFonts w:asciiTheme="minorHAnsi" w:hAnsiTheme="minorHAnsi" w:cstheme="minorHAnsi"/>
        </w:rPr>
        <w:t xml:space="preserve">with </w:t>
      </w:r>
      <w:r w:rsidR="00A63517" w:rsidRPr="00846820">
        <w:rPr>
          <w:rFonts w:asciiTheme="minorHAnsi" w:hAnsiTheme="minorHAnsi" w:cstheme="minorHAnsi"/>
        </w:rPr>
        <w:t>section 4.2.1</w:t>
      </w:r>
      <w:r w:rsidRPr="00F0749F">
        <w:rPr>
          <w:rFonts w:asciiTheme="minorHAnsi" w:hAnsiTheme="minorHAnsi" w:cstheme="minorHAnsi"/>
        </w:rPr>
        <w:t>.</w:t>
      </w:r>
    </w:p>
    <w:p w14:paraId="031692F9" w14:textId="77777777" w:rsidR="00340616" w:rsidRDefault="00340616" w:rsidP="000A271A">
      <w:pPr>
        <w:pStyle w:val="Heading2Numbered"/>
      </w:pPr>
      <w:bookmarkStart w:id="55" w:name="_Toc467773962"/>
      <w:bookmarkStart w:id="56" w:name="_Toc523411621"/>
      <w:r>
        <w:t>Eligible and ineligible expenditure</w:t>
      </w:r>
      <w:bookmarkEnd w:id="55"/>
      <w:bookmarkEnd w:id="56"/>
    </w:p>
    <w:p w14:paraId="43EAD05B" w14:textId="2994E7CD" w:rsidR="00742D00" w:rsidRPr="00DC7660" w:rsidRDefault="00D93C58" w:rsidP="00742D00">
      <w:pPr>
        <w:pStyle w:val="Bodynumbered-Level1"/>
        <w:rPr>
          <w:rFonts w:asciiTheme="minorHAnsi" w:hAnsiTheme="minorHAnsi" w:cstheme="minorHAnsi"/>
        </w:rPr>
      </w:pPr>
      <w:r>
        <w:rPr>
          <w:rFonts w:asciiTheme="minorHAnsi" w:hAnsiTheme="minorHAnsi" w:cstheme="minorHAnsi"/>
        </w:rPr>
        <w:t>4.3</w:t>
      </w:r>
      <w:r w:rsidR="00742D00">
        <w:rPr>
          <w:rFonts w:asciiTheme="minorHAnsi" w:hAnsiTheme="minorHAnsi" w:cstheme="minorHAnsi"/>
        </w:rPr>
        <w:t>.1</w:t>
      </w:r>
      <w:r w:rsidR="00742D00" w:rsidRPr="00DC7660">
        <w:rPr>
          <w:rFonts w:asciiTheme="minorHAnsi" w:hAnsiTheme="minorHAnsi" w:cstheme="minorHAnsi"/>
        </w:rPr>
        <w:tab/>
        <w:t>Commonwealth funding under this round will be available only for the estimated capital costs of building or installing Funded Solutions and the Grantees will be responsible for any actual capital costs which exceed estimated costs. All operating costs for Funded Solutions will be the responsibility of the Grantee.</w:t>
      </w:r>
    </w:p>
    <w:p w14:paraId="224803E9" w14:textId="5BC5DD7F" w:rsidR="00742D00" w:rsidRPr="00DC7660" w:rsidRDefault="00A63517" w:rsidP="00742D00">
      <w:pPr>
        <w:pStyle w:val="Bodynumbered-Level1"/>
        <w:rPr>
          <w:rFonts w:asciiTheme="minorHAnsi" w:hAnsiTheme="minorHAnsi" w:cstheme="minorHAnsi"/>
        </w:rPr>
      </w:pPr>
      <w:r>
        <w:rPr>
          <w:rFonts w:asciiTheme="minorHAnsi" w:hAnsiTheme="minorHAnsi" w:cstheme="minorHAnsi"/>
        </w:rPr>
        <w:t>4.</w:t>
      </w:r>
      <w:r w:rsidR="00D93C58">
        <w:rPr>
          <w:rFonts w:asciiTheme="minorHAnsi" w:hAnsiTheme="minorHAnsi" w:cstheme="minorHAnsi"/>
        </w:rPr>
        <w:t>3</w:t>
      </w:r>
      <w:r w:rsidR="00742D00">
        <w:rPr>
          <w:rFonts w:asciiTheme="minorHAnsi" w:hAnsiTheme="minorHAnsi" w:cstheme="minorHAnsi"/>
        </w:rPr>
        <w:t>.</w:t>
      </w:r>
      <w:r w:rsidR="00A27228">
        <w:rPr>
          <w:rFonts w:asciiTheme="minorHAnsi" w:hAnsiTheme="minorHAnsi" w:cstheme="minorHAnsi"/>
        </w:rPr>
        <w:t>2</w:t>
      </w:r>
      <w:r w:rsidR="00742D00" w:rsidRPr="00DC7660">
        <w:rPr>
          <w:rFonts w:asciiTheme="minorHAnsi" w:hAnsiTheme="minorHAnsi" w:cstheme="minorHAnsi"/>
        </w:rPr>
        <w:tab/>
        <w:t xml:space="preserve">For Funded Solutions which utilise satellite </w:t>
      </w:r>
      <w:r w:rsidR="00742D00" w:rsidRPr="005F3663">
        <w:rPr>
          <w:rFonts w:asciiTheme="minorHAnsi" w:hAnsiTheme="minorHAnsi" w:cstheme="minorHAnsi"/>
        </w:rPr>
        <w:t>Backhaul</w:t>
      </w:r>
      <w:r w:rsidR="00742D00" w:rsidRPr="00DC7660">
        <w:rPr>
          <w:rFonts w:asciiTheme="minorHAnsi" w:hAnsiTheme="minorHAnsi" w:cstheme="minorHAnsi"/>
        </w:rPr>
        <w:t>, the capitalised net present value (using a discount rate equivalent to the 10-year Treasury Bond Rate applied at the date of the application) of the indefeasible right of use for this backhaul may be included in the cost of building these solutions.</w:t>
      </w:r>
    </w:p>
    <w:p w14:paraId="3E94AB23" w14:textId="4963152C" w:rsidR="00A27228" w:rsidRPr="00846820" w:rsidRDefault="00A27228" w:rsidP="00A632E3">
      <w:pPr>
        <w:pStyle w:val="Heading1Numbered"/>
      </w:pPr>
      <w:bookmarkStart w:id="57" w:name="_Toc414983554"/>
      <w:bookmarkStart w:id="58" w:name="_Toc414983971"/>
      <w:bookmarkStart w:id="59" w:name="_Toc414984731"/>
      <w:bookmarkStart w:id="60" w:name="_Toc414984825"/>
      <w:bookmarkStart w:id="61" w:name="_Toc414984929"/>
      <w:bookmarkStart w:id="62" w:name="_Toc414985033"/>
      <w:bookmarkStart w:id="63" w:name="_Toc414985136"/>
      <w:bookmarkStart w:id="64" w:name="_Toc414985238"/>
      <w:bookmarkStart w:id="65" w:name="_Toc523411622"/>
      <w:bookmarkStart w:id="66" w:name="_Ref421697890"/>
      <w:bookmarkStart w:id="67" w:name="_Ref421697892"/>
      <w:bookmarkStart w:id="68" w:name="_Toc421777600"/>
      <w:bookmarkStart w:id="69" w:name="_Toc467773964"/>
      <w:bookmarkEnd w:id="57"/>
      <w:bookmarkEnd w:id="58"/>
      <w:bookmarkEnd w:id="59"/>
      <w:bookmarkEnd w:id="60"/>
      <w:bookmarkEnd w:id="61"/>
      <w:bookmarkEnd w:id="62"/>
      <w:bookmarkEnd w:id="63"/>
      <w:bookmarkEnd w:id="64"/>
      <w:r w:rsidRPr="00846820">
        <w:t>The grant selection process</w:t>
      </w:r>
      <w:bookmarkEnd w:id="65"/>
    </w:p>
    <w:p w14:paraId="314D5302" w14:textId="084DC158" w:rsidR="005F0104" w:rsidRPr="00C845AF" w:rsidRDefault="005F0104" w:rsidP="00C845AF">
      <w:pPr>
        <w:pStyle w:val="BodyText1"/>
        <w:rPr>
          <w:rFonts w:asciiTheme="minorHAnsi" w:hAnsiTheme="minorHAnsi" w:cstheme="minorHAnsi"/>
          <w:u w:val="single"/>
        </w:rPr>
      </w:pPr>
      <w:r w:rsidRPr="00C845AF">
        <w:rPr>
          <w:rFonts w:asciiTheme="minorHAnsi" w:hAnsiTheme="minorHAnsi" w:cstheme="minorHAnsi"/>
          <w:u w:val="single"/>
        </w:rPr>
        <w:t>Application completeness check</w:t>
      </w:r>
    </w:p>
    <w:p w14:paraId="7E764BC4" w14:textId="15792FDE" w:rsidR="005F0104" w:rsidRDefault="00C845AF" w:rsidP="00FC5F27">
      <w:pPr>
        <w:suppressAutoHyphens w:val="0"/>
        <w:spacing w:before="240" w:after="240" w:line="240" w:lineRule="auto"/>
        <w:ind w:left="720" w:hanging="720"/>
        <w:rPr>
          <w:rFonts w:eastAsia="Calibri" w:cstheme="minorHAnsi"/>
        </w:rPr>
      </w:pPr>
      <w:r>
        <w:rPr>
          <w:rFonts w:eastAsia="Calibri" w:cstheme="minorHAnsi"/>
        </w:rPr>
        <w:t>5.1</w:t>
      </w:r>
      <w:r w:rsidR="005F0104" w:rsidRPr="005F0104">
        <w:rPr>
          <w:rFonts w:eastAsia="Calibri" w:cstheme="minorHAnsi"/>
        </w:rPr>
        <w:tab/>
        <w:t xml:space="preserve">Following the closing date for applications, the Department will undertake an initial check to ensure each application is complete and all necessary supporting documentation has been submitted as part of the application and that it meets the eligibility criteria </w:t>
      </w:r>
      <w:r w:rsidR="005F0104" w:rsidRPr="00F0749F">
        <w:rPr>
          <w:rFonts w:eastAsia="Calibri" w:cstheme="minorHAnsi"/>
        </w:rPr>
        <w:t xml:space="preserve">contained in </w:t>
      </w:r>
      <w:r w:rsidR="005F0104" w:rsidRPr="00846820">
        <w:rPr>
          <w:rFonts w:eastAsia="Calibri" w:cstheme="minorHAnsi"/>
        </w:rPr>
        <w:t xml:space="preserve">section </w:t>
      </w:r>
      <w:r w:rsidR="00601A6E" w:rsidRPr="00F0749F">
        <w:rPr>
          <w:rFonts w:eastAsia="Calibri" w:cstheme="minorHAnsi"/>
        </w:rPr>
        <w:t>3</w:t>
      </w:r>
      <w:r w:rsidR="005F0104" w:rsidRPr="00F0749F">
        <w:rPr>
          <w:rFonts w:eastAsia="Calibri" w:cstheme="minorHAnsi"/>
        </w:rPr>
        <w:t>. The</w:t>
      </w:r>
      <w:r w:rsidR="005F0104" w:rsidRPr="005F0104">
        <w:rPr>
          <w:rFonts w:eastAsia="Calibri" w:cstheme="minorHAnsi"/>
        </w:rPr>
        <w:t xml:space="preserve"> Department may, at its absolute discretion, contact an applicant to request missing information.</w:t>
      </w:r>
    </w:p>
    <w:p w14:paraId="1B458874" w14:textId="4D0B9BFB" w:rsidR="005F0104" w:rsidRPr="00C845AF" w:rsidRDefault="00FC5F27" w:rsidP="00C845AF">
      <w:pPr>
        <w:pStyle w:val="BodyText1"/>
        <w:rPr>
          <w:rFonts w:asciiTheme="minorHAnsi" w:hAnsiTheme="minorHAnsi" w:cstheme="minorHAnsi"/>
          <w:u w:val="single"/>
        </w:rPr>
      </w:pPr>
      <w:bookmarkStart w:id="70" w:name="_Toc405380445"/>
      <w:bookmarkStart w:id="71" w:name="_Toc441049701"/>
      <w:bookmarkStart w:id="72" w:name="_Toc522117400"/>
      <w:r w:rsidRPr="00C845AF">
        <w:rPr>
          <w:rFonts w:asciiTheme="minorHAnsi" w:hAnsiTheme="minorHAnsi" w:cstheme="minorHAnsi"/>
          <w:u w:val="single"/>
        </w:rPr>
        <w:t>Risk assessment</w:t>
      </w:r>
      <w:bookmarkEnd w:id="70"/>
      <w:bookmarkEnd w:id="71"/>
      <w:bookmarkEnd w:id="72"/>
    </w:p>
    <w:p w14:paraId="5590937F" w14:textId="0B083EB5" w:rsidR="005F0104" w:rsidRDefault="00FC5F27" w:rsidP="005F0104">
      <w:pPr>
        <w:suppressAutoHyphens w:val="0"/>
        <w:spacing w:before="240" w:after="240" w:line="240" w:lineRule="auto"/>
        <w:ind w:left="720" w:hanging="720"/>
        <w:rPr>
          <w:rFonts w:eastAsia="Calibri" w:cstheme="minorHAnsi"/>
        </w:rPr>
      </w:pPr>
      <w:r>
        <w:rPr>
          <w:rFonts w:eastAsia="Calibri" w:cstheme="minorHAnsi"/>
        </w:rPr>
        <w:t>5</w:t>
      </w:r>
      <w:r w:rsidR="00C845AF">
        <w:rPr>
          <w:rFonts w:eastAsia="Calibri" w:cstheme="minorHAnsi"/>
        </w:rPr>
        <w:t>.2</w:t>
      </w:r>
      <w:r w:rsidR="005F0104" w:rsidRPr="005F0104">
        <w:rPr>
          <w:rFonts w:eastAsia="Calibri" w:cstheme="minorHAnsi"/>
        </w:rPr>
        <w:tab/>
        <w:t>The Department will conduct an overall risk assessment in relation to the suitability of the applicants (and applications) for funding under the Program.</w:t>
      </w:r>
    </w:p>
    <w:p w14:paraId="22EEB548" w14:textId="0035C30A" w:rsidR="00FC5F27" w:rsidRPr="00C845AF" w:rsidRDefault="00FC5F27" w:rsidP="00C845AF">
      <w:pPr>
        <w:pStyle w:val="BodyText1"/>
        <w:rPr>
          <w:rFonts w:asciiTheme="minorHAnsi" w:hAnsiTheme="minorHAnsi" w:cstheme="minorHAnsi"/>
          <w:u w:val="single"/>
        </w:rPr>
      </w:pPr>
      <w:r w:rsidRPr="00C845AF">
        <w:rPr>
          <w:rFonts w:asciiTheme="minorHAnsi" w:hAnsiTheme="minorHAnsi" w:cstheme="minorHAnsi"/>
          <w:u w:val="single"/>
        </w:rPr>
        <w:t>Initial assessment</w:t>
      </w:r>
    </w:p>
    <w:p w14:paraId="48379C01" w14:textId="352AFCBE" w:rsidR="005F0104" w:rsidRPr="005F0104" w:rsidRDefault="00FC5F27" w:rsidP="005F0104">
      <w:pPr>
        <w:suppressAutoHyphens w:val="0"/>
        <w:spacing w:before="240" w:after="240" w:line="240" w:lineRule="auto"/>
        <w:ind w:left="720" w:hanging="720"/>
        <w:rPr>
          <w:rFonts w:eastAsia="Calibri" w:cstheme="minorHAnsi"/>
        </w:rPr>
      </w:pPr>
      <w:bookmarkStart w:id="73" w:name="_Toc404350984"/>
      <w:bookmarkStart w:id="74" w:name="_Toc393904257"/>
      <w:bookmarkStart w:id="75" w:name="_Toc393904258"/>
      <w:bookmarkEnd w:id="73"/>
      <w:bookmarkEnd w:id="74"/>
      <w:bookmarkEnd w:id="75"/>
      <w:r w:rsidRPr="00FC5F27">
        <w:rPr>
          <w:rFonts w:eastAsia="Calibri" w:cstheme="minorHAnsi"/>
        </w:rPr>
        <w:t>5</w:t>
      </w:r>
      <w:r w:rsidR="00C845AF">
        <w:rPr>
          <w:rFonts w:eastAsia="Calibri" w:cstheme="minorHAnsi"/>
        </w:rPr>
        <w:t>.3</w:t>
      </w:r>
      <w:r w:rsidR="005F0104" w:rsidRPr="005F0104">
        <w:rPr>
          <w:rFonts w:eastAsia="Calibri" w:cstheme="minorHAnsi"/>
        </w:rPr>
        <w:tab/>
        <w:t xml:space="preserve">Following confirmation that the applications are complete and the applicant meets the eligibility criteria, the assessment criteria </w:t>
      </w:r>
      <w:r w:rsidR="005F0104" w:rsidRPr="00F0749F">
        <w:rPr>
          <w:rFonts w:eastAsia="Calibri" w:cstheme="minorHAnsi"/>
        </w:rPr>
        <w:t xml:space="preserve">in </w:t>
      </w:r>
      <w:r w:rsidR="005F0104" w:rsidRPr="00846820">
        <w:rPr>
          <w:rFonts w:eastAsia="Calibri" w:cstheme="minorHAnsi"/>
        </w:rPr>
        <w:t xml:space="preserve">section </w:t>
      </w:r>
      <w:r w:rsidR="00F628DD" w:rsidRPr="00F0749F">
        <w:rPr>
          <w:rFonts w:eastAsia="Calibri" w:cstheme="minorHAnsi"/>
        </w:rPr>
        <w:t>6</w:t>
      </w:r>
      <w:r w:rsidR="005F0104" w:rsidRPr="005F0104">
        <w:rPr>
          <w:rFonts w:eastAsia="Calibri" w:cstheme="minorHAnsi"/>
        </w:rPr>
        <w:t xml:space="preserve"> will be used by the Department to undertake the initial evaluation of applications received for Round 4 of the Program, including an assessment of whether the minimum requirements set out in </w:t>
      </w:r>
      <w:r w:rsidR="005F0104" w:rsidRPr="00846820">
        <w:rPr>
          <w:rFonts w:eastAsia="Calibri" w:cstheme="minorHAnsi"/>
        </w:rPr>
        <w:t>section </w:t>
      </w:r>
      <w:r w:rsidR="00746416" w:rsidRPr="008A3B1E">
        <w:rPr>
          <w:rFonts w:eastAsia="Calibri" w:cstheme="minorHAnsi"/>
        </w:rPr>
        <w:t>3.</w:t>
      </w:r>
      <w:r w:rsidR="00746416">
        <w:rPr>
          <w:rFonts w:eastAsia="Calibri" w:cstheme="minorHAnsi"/>
        </w:rPr>
        <w:t>2</w:t>
      </w:r>
      <w:r w:rsidR="005F0104" w:rsidRPr="005F0104">
        <w:rPr>
          <w:rFonts w:eastAsia="Calibri" w:cstheme="minorHAnsi"/>
        </w:rPr>
        <w:t xml:space="preserve"> of these Guidelines have been satisfied. </w:t>
      </w:r>
      <w:r w:rsidR="005F0104" w:rsidRPr="005F3663">
        <w:rPr>
          <w:rFonts w:eastAsia="Calibri" w:cstheme="minorHAnsi"/>
        </w:rPr>
        <w:t>Proposed Solutions</w:t>
      </w:r>
      <w:r w:rsidR="005F0104" w:rsidRPr="005F0104">
        <w:rPr>
          <w:rFonts w:eastAsia="Calibri" w:cstheme="minorHAnsi"/>
        </w:rPr>
        <w:t xml:space="preserve"> that do not meet the minimum requirements may, at the Department’s absolute discretion, be excluded from further consideration. </w:t>
      </w:r>
    </w:p>
    <w:p w14:paraId="18689AE6" w14:textId="4D2ED652" w:rsidR="005F0104" w:rsidRPr="005F0104" w:rsidRDefault="00FC5F27" w:rsidP="005F0104">
      <w:pPr>
        <w:suppressAutoHyphens w:val="0"/>
        <w:spacing w:before="240" w:after="240" w:line="240" w:lineRule="auto"/>
        <w:ind w:left="720" w:hanging="720"/>
        <w:rPr>
          <w:rFonts w:eastAsia="Calibri" w:cstheme="minorHAnsi"/>
        </w:rPr>
      </w:pPr>
      <w:r w:rsidRPr="00FC5F27">
        <w:rPr>
          <w:rFonts w:eastAsia="Calibri" w:cstheme="minorHAnsi"/>
        </w:rPr>
        <w:t>5</w:t>
      </w:r>
      <w:r w:rsidR="00C845AF">
        <w:rPr>
          <w:rFonts w:eastAsia="Calibri" w:cstheme="minorHAnsi"/>
        </w:rPr>
        <w:t>.4</w:t>
      </w:r>
      <w:r w:rsidR="005F0104" w:rsidRPr="005F0104">
        <w:rPr>
          <w:rFonts w:eastAsia="Calibri" w:cstheme="minorHAnsi"/>
        </w:rPr>
        <w:tab/>
        <w:t xml:space="preserve">The Department will review each Proposed Solution against the assessment criteria, and will rank each Proposed Solution accordingly. Applicants must provide evidence to back up claims made in their applications, including mapping data on coverage claims in a format required by the Department (as </w:t>
      </w:r>
      <w:r w:rsidR="005F0104" w:rsidRPr="008A3B1E">
        <w:rPr>
          <w:rFonts w:eastAsia="Calibri" w:cstheme="minorHAnsi"/>
        </w:rPr>
        <w:t xml:space="preserve">per </w:t>
      </w:r>
      <w:r w:rsidR="005F0104" w:rsidRPr="00846820">
        <w:rPr>
          <w:rFonts w:eastAsia="Calibri" w:cstheme="minorHAnsi"/>
        </w:rPr>
        <w:t xml:space="preserve">section </w:t>
      </w:r>
      <w:r w:rsidR="00746416" w:rsidRPr="00846820">
        <w:rPr>
          <w:rFonts w:eastAsia="Calibri" w:cstheme="minorHAnsi"/>
        </w:rPr>
        <w:t>7</w:t>
      </w:r>
      <w:r w:rsidR="005F0104" w:rsidRPr="00846820">
        <w:rPr>
          <w:rFonts w:eastAsia="Calibri" w:cstheme="minorHAnsi"/>
        </w:rPr>
        <w:t>.3.2(h)).</w:t>
      </w:r>
    </w:p>
    <w:p w14:paraId="000B1671" w14:textId="06B289DD" w:rsidR="005F0104" w:rsidRPr="005F0104" w:rsidRDefault="00FC5F27" w:rsidP="005F0104">
      <w:pPr>
        <w:suppressAutoHyphens w:val="0"/>
        <w:spacing w:before="240" w:after="240" w:line="240" w:lineRule="auto"/>
        <w:ind w:left="720" w:hanging="720"/>
        <w:rPr>
          <w:rFonts w:eastAsia="Calibri" w:cstheme="minorHAnsi"/>
        </w:rPr>
      </w:pPr>
      <w:bookmarkStart w:id="76" w:name="_Ref389785158"/>
      <w:r w:rsidRPr="00FC5F27">
        <w:rPr>
          <w:rFonts w:eastAsia="Calibri" w:cstheme="minorHAnsi"/>
        </w:rPr>
        <w:t>5</w:t>
      </w:r>
      <w:r w:rsidR="00C845AF">
        <w:rPr>
          <w:rFonts w:eastAsia="Calibri" w:cstheme="minorHAnsi"/>
        </w:rPr>
        <w:t>.5</w:t>
      </w:r>
      <w:r w:rsidR="005F0104" w:rsidRPr="005F0104">
        <w:rPr>
          <w:rFonts w:eastAsia="Calibri" w:cstheme="minorHAnsi"/>
        </w:rPr>
        <w:tab/>
        <w:t xml:space="preserve">Following this review process, the Department will prepare a list including the Proposed Solution for each of the locations for which there is a mobile coverage </w:t>
      </w:r>
      <w:r w:rsidR="005F0104" w:rsidRPr="005F0104">
        <w:rPr>
          <w:rFonts w:eastAsia="Calibri" w:cstheme="minorHAnsi"/>
        </w:rPr>
        <w:lastRenderedPageBreak/>
        <w:t>issue, which best meets the assessment criteria i</w:t>
      </w:r>
      <w:r w:rsidR="005F0104" w:rsidRPr="008A3B1E">
        <w:rPr>
          <w:rFonts w:eastAsia="Calibri" w:cstheme="minorHAnsi"/>
        </w:rPr>
        <w:t xml:space="preserve">n </w:t>
      </w:r>
      <w:r w:rsidR="005F0104" w:rsidRPr="00846820">
        <w:rPr>
          <w:rFonts w:eastAsia="Calibri" w:cstheme="minorHAnsi"/>
        </w:rPr>
        <w:t>section</w:t>
      </w:r>
      <w:r w:rsidR="00746416" w:rsidRPr="00846820">
        <w:rPr>
          <w:rFonts w:eastAsia="Calibri" w:cstheme="minorHAnsi"/>
        </w:rPr>
        <w:t>s</w:t>
      </w:r>
      <w:r w:rsidR="005F0104" w:rsidRPr="00846820">
        <w:rPr>
          <w:rFonts w:eastAsia="Calibri" w:cstheme="minorHAnsi"/>
        </w:rPr>
        <w:t xml:space="preserve"> </w:t>
      </w:r>
      <w:r w:rsidR="00746416" w:rsidRPr="00846820">
        <w:rPr>
          <w:rFonts w:eastAsia="Calibri" w:cstheme="minorHAnsi"/>
        </w:rPr>
        <w:t>6.1 to 6.6</w:t>
      </w:r>
      <w:r w:rsidR="005F0104" w:rsidRPr="008A3B1E">
        <w:rPr>
          <w:rFonts w:eastAsia="Calibri" w:cstheme="minorHAnsi"/>
        </w:rPr>
        <w:t xml:space="preserve"> (the</w:t>
      </w:r>
      <w:r w:rsidR="005F0104" w:rsidRPr="005F0104">
        <w:rPr>
          <w:rFonts w:eastAsia="Calibri" w:cstheme="minorHAnsi"/>
        </w:rPr>
        <w:t xml:space="preserve"> </w:t>
      </w:r>
      <w:r w:rsidR="005F0104" w:rsidRPr="005F0104">
        <w:rPr>
          <w:rFonts w:eastAsia="Calibri" w:cstheme="minorHAnsi"/>
          <w:b/>
        </w:rPr>
        <w:t>Mobile Coverage Draft Merit List</w:t>
      </w:r>
      <w:r w:rsidR="005F0104" w:rsidRPr="005F0104">
        <w:rPr>
          <w:rFonts w:eastAsia="Calibri" w:cstheme="minorHAnsi"/>
        </w:rPr>
        <w:t>).</w:t>
      </w:r>
    </w:p>
    <w:p w14:paraId="446898F5" w14:textId="0A5F86CE" w:rsidR="005F0104" w:rsidRPr="005F0104" w:rsidRDefault="00D93C58" w:rsidP="005F0104">
      <w:pPr>
        <w:suppressAutoHyphens w:val="0"/>
        <w:spacing w:before="240" w:after="240" w:line="240" w:lineRule="auto"/>
        <w:ind w:left="720" w:hanging="720"/>
        <w:rPr>
          <w:rFonts w:eastAsia="Calibri" w:cstheme="minorHAnsi"/>
        </w:rPr>
      </w:pPr>
      <w:r>
        <w:rPr>
          <w:rFonts w:eastAsia="Calibri" w:cstheme="minorHAnsi"/>
        </w:rPr>
        <w:t>5</w:t>
      </w:r>
      <w:r w:rsidR="00C845AF">
        <w:rPr>
          <w:rFonts w:eastAsia="Calibri" w:cstheme="minorHAnsi"/>
        </w:rPr>
        <w:t>.6</w:t>
      </w:r>
      <w:r w:rsidR="005F0104" w:rsidRPr="005F0104">
        <w:rPr>
          <w:rFonts w:eastAsia="Calibri" w:cstheme="minorHAnsi"/>
        </w:rPr>
        <w:tab/>
        <w:t xml:space="preserve">The Department will also prepare a list including the Proposed Solution for each of the </w:t>
      </w:r>
      <w:r w:rsidR="005F0104" w:rsidRPr="005F3663">
        <w:rPr>
          <w:rFonts w:eastAsia="Calibri" w:cstheme="minorHAnsi"/>
        </w:rPr>
        <w:t>Public Interest Premises</w:t>
      </w:r>
      <w:r w:rsidR="005F0104" w:rsidRPr="005F0104">
        <w:rPr>
          <w:rFonts w:eastAsia="Calibri" w:cstheme="minorHAnsi"/>
        </w:rPr>
        <w:t xml:space="preserve"> for which there are voice or data connectivity issues, which best meets the assessment criteria </w:t>
      </w:r>
      <w:r w:rsidR="005F0104" w:rsidRPr="008A3B1E">
        <w:rPr>
          <w:rFonts w:eastAsia="Calibri" w:cstheme="minorHAnsi"/>
        </w:rPr>
        <w:t xml:space="preserve">in </w:t>
      </w:r>
      <w:r w:rsidR="005F0104" w:rsidRPr="00846820">
        <w:rPr>
          <w:rFonts w:eastAsia="Calibri" w:cstheme="minorHAnsi"/>
        </w:rPr>
        <w:t>section</w:t>
      </w:r>
      <w:r w:rsidR="00746416" w:rsidRPr="00846820">
        <w:rPr>
          <w:rFonts w:eastAsia="Calibri" w:cstheme="minorHAnsi"/>
        </w:rPr>
        <w:t>s 6.7 to 6.10</w:t>
      </w:r>
      <w:r w:rsidR="005F0104" w:rsidRPr="008A3B1E">
        <w:rPr>
          <w:rFonts w:eastAsia="Calibri" w:cstheme="minorHAnsi"/>
        </w:rPr>
        <w:t xml:space="preserve"> (the</w:t>
      </w:r>
      <w:r w:rsidR="005F0104" w:rsidRPr="005F0104">
        <w:rPr>
          <w:rFonts w:eastAsia="Calibri" w:cstheme="minorHAnsi"/>
          <w:b/>
        </w:rPr>
        <w:t xml:space="preserve"> Public Interest Premises Draft Merit List</w:t>
      </w:r>
      <w:r w:rsidR="005F0104" w:rsidRPr="005F0104">
        <w:rPr>
          <w:rFonts w:eastAsia="Calibri" w:cstheme="minorHAnsi"/>
        </w:rPr>
        <w:t>).</w:t>
      </w:r>
    </w:p>
    <w:p w14:paraId="7BC0D9C6" w14:textId="1FA78B40" w:rsidR="005F0104" w:rsidRPr="00FC5F27" w:rsidRDefault="00D93C58" w:rsidP="005F0104">
      <w:pPr>
        <w:suppressAutoHyphens w:val="0"/>
        <w:spacing w:before="240" w:after="240" w:line="240" w:lineRule="auto"/>
        <w:ind w:left="720" w:hanging="720"/>
        <w:rPr>
          <w:rFonts w:eastAsia="Calibri" w:cstheme="minorHAnsi"/>
        </w:rPr>
      </w:pPr>
      <w:r>
        <w:rPr>
          <w:rFonts w:eastAsia="Calibri" w:cstheme="minorHAnsi"/>
        </w:rPr>
        <w:t>5</w:t>
      </w:r>
      <w:r w:rsidR="00C845AF">
        <w:rPr>
          <w:rFonts w:eastAsia="Calibri" w:cstheme="minorHAnsi"/>
        </w:rPr>
        <w:t>.7</w:t>
      </w:r>
      <w:r w:rsidR="005F0104" w:rsidRPr="005F0104">
        <w:rPr>
          <w:rFonts w:eastAsia="Calibri" w:cstheme="minorHAnsi"/>
        </w:rPr>
        <w:tab/>
        <w:t xml:space="preserve">All other Proposed Solutions for each location or Public Interest Premises that meet the relevant eligibility criteria and minimum requirements will be grouped into two separate lists (the </w:t>
      </w:r>
      <w:r w:rsidR="005F0104" w:rsidRPr="005F0104">
        <w:rPr>
          <w:rFonts w:eastAsia="Calibri" w:cstheme="minorHAnsi"/>
          <w:b/>
        </w:rPr>
        <w:t>Secondary Mobile Coverage Draft Merit List</w:t>
      </w:r>
      <w:r w:rsidR="005F0104" w:rsidRPr="005F0104">
        <w:rPr>
          <w:rFonts w:eastAsia="Calibri" w:cstheme="minorHAnsi"/>
        </w:rPr>
        <w:t>, and the</w:t>
      </w:r>
      <w:r w:rsidR="005F0104" w:rsidRPr="005F0104">
        <w:rPr>
          <w:rFonts w:eastAsia="Calibri" w:cstheme="minorHAnsi"/>
          <w:b/>
        </w:rPr>
        <w:t xml:space="preserve"> Secondary Public Interest Premises Draft Merit List</w:t>
      </w:r>
      <w:r w:rsidR="005F0104" w:rsidRPr="005F0104">
        <w:rPr>
          <w:rFonts w:eastAsia="Calibri" w:cstheme="minorHAnsi"/>
        </w:rPr>
        <w:t>).</w:t>
      </w:r>
    </w:p>
    <w:p w14:paraId="71E49157" w14:textId="77777777" w:rsidR="00B51701" w:rsidRDefault="00B51701" w:rsidP="00C845AF">
      <w:pPr>
        <w:pStyle w:val="BodyText1"/>
        <w:rPr>
          <w:rFonts w:asciiTheme="minorHAnsi" w:hAnsiTheme="minorHAnsi" w:cstheme="minorHAnsi"/>
          <w:u w:val="single"/>
        </w:rPr>
      </w:pPr>
    </w:p>
    <w:p w14:paraId="501956EB" w14:textId="1C3F108E" w:rsidR="00FC5F27" w:rsidRPr="00C845AF" w:rsidRDefault="00FC5F27" w:rsidP="00C845AF">
      <w:pPr>
        <w:pStyle w:val="BodyText1"/>
        <w:rPr>
          <w:rFonts w:asciiTheme="minorHAnsi" w:hAnsiTheme="minorHAnsi" w:cstheme="minorHAnsi"/>
          <w:u w:val="single"/>
        </w:rPr>
      </w:pPr>
      <w:r w:rsidRPr="00C845AF">
        <w:rPr>
          <w:rFonts w:asciiTheme="minorHAnsi" w:hAnsiTheme="minorHAnsi" w:cstheme="minorHAnsi"/>
          <w:u w:val="single"/>
        </w:rPr>
        <w:t>Establish funding cut-off point</w:t>
      </w:r>
    </w:p>
    <w:p w14:paraId="41D65A5F" w14:textId="523FC2CC" w:rsidR="005F0104" w:rsidRPr="005F0104" w:rsidRDefault="00C845AF" w:rsidP="00FC5F27">
      <w:pPr>
        <w:suppressAutoHyphens w:val="0"/>
        <w:spacing w:before="240" w:after="240" w:line="240" w:lineRule="auto"/>
        <w:ind w:left="720" w:hanging="720"/>
        <w:rPr>
          <w:rFonts w:eastAsia="Calibri" w:cstheme="minorHAnsi"/>
        </w:rPr>
      </w:pPr>
      <w:r>
        <w:rPr>
          <w:rFonts w:eastAsia="Calibri" w:cstheme="minorHAnsi"/>
        </w:rPr>
        <w:t>5.8</w:t>
      </w:r>
      <w:r w:rsidR="00FC5F27" w:rsidRPr="005F0104">
        <w:rPr>
          <w:rFonts w:eastAsia="Calibri" w:cstheme="minorHAnsi"/>
        </w:rPr>
        <w:tab/>
      </w:r>
      <w:r w:rsidR="00FB43D5">
        <w:rPr>
          <w:rFonts w:eastAsia="Calibri" w:cstheme="minorHAnsi"/>
        </w:rPr>
        <w:t>Of the maximum $2</w:t>
      </w:r>
      <w:r w:rsidR="009110EE">
        <w:rPr>
          <w:rFonts w:eastAsia="Calibri" w:cstheme="minorHAnsi"/>
        </w:rPr>
        <w:t>5</w:t>
      </w:r>
      <w:r w:rsidR="005F0104" w:rsidRPr="005F0104">
        <w:rPr>
          <w:rFonts w:eastAsia="Calibri" w:cstheme="minorHAnsi"/>
        </w:rPr>
        <w:t xml:space="preserve"> million (GST exclusive) in funding available:</w:t>
      </w:r>
    </w:p>
    <w:p w14:paraId="5755BD7C" w14:textId="77777777" w:rsidR="005F0104" w:rsidRPr="005F0104" w:rsidRDefault="005F0104" w:rsidP="00087F4A">
      <w:pPr>
        <w:numPr>
          <w:ilvl w:val="0"/>
          <w:numId w:val="35"/>
        </w:numPr>
        <w:suppressAutoHyphens w:val="0"/>
        <w:spacing w:before="120" w:after="120" w:line="240" w:lineRule="auto"/>
        <w:ind w:hanging="357"/>
        <w:rPr>
          <w:rFonts w:eastAsia="Calibri" w:cstheme="minorHAnsi"/>
        </w:rPr>
      </w:pPr>
      <w:r w:rsidRPr="005F0104">
        <w:rPr>
          <w:rFonts w:eastAsia="Calibri" w:cstheme="minorHAnsi"/>
        </w:rPr>
        <w:t xml:space="preserve">Approximately fifty per cent will be allocated towards funding Proposed Solutions from the </w:t>
      </w:r>
      <w:r w:rsidRPr="005F3663">
        <w:rPr>
          <w:rFonts w:eastAsia="Calibri" w:cstheme="minorHAnsi"/>
        </w:rPr>
        <w:t>Mobile Coverage Draft Merit List</w:t>
      </w:r>
      <w:r w:rsidRPr="005F0104">
        <w:rPr>
          <w:rFonts w:eastAsia="Calibri" w:cstheme="minorHAnsi"/>
        </w:rPr>
        <w:t>; and</w:t>
      </w:r>
    </w:p>
    <w:p w14:paraId="0F53291F" w14:textId="77777777" w:rsidR="005F0104" w:rsidRPr="00FC5F27" w:rsidRDefault="005F0104" w:rsidP="00087F4A">
      <w:pPr>
        <w:numPr>
          <w:ilvl w:val="0"/>
          <w:numId w:val="35"/>
        </w:numPr>
        <w:suppressAutoHyphens w:val="0"/>
        <w:spacing w:before="120" w:after="120" w:line="240" w:lineRule="auto"/>
        <w:ind w:hanging="357"/>
        <w:rPr>
          <w:rFonts w:eastAsia="Calibri" w:cstheme="minorHAnsi"/>
        </w:rPr>
      </w:pPr>
      <w:r w:rsidRPr="005F0104">
        <w:rPr>
          <w:rFonts w:eastAsia="Calibri" w:cstheme="minorHAnsi"/>
        </w:rPr>
        <w:t xml:space="preserve">Approximately fifty per cent will be allocated towards funding Proposed Solutions from the </w:t>
      </w:r>
      <w:r w:rsidRPr="005F3663">
        <w:rPr>
          <w:rFonts w:eastAsia="Calibri" w:cstheme="minorHAnsi"/>
        </w:rPr>
        <w:t>Public Interest Premises Draft Merit List</w:t>
      </w:r>
      <w:r w:rsidRPr="005F0104">
        <w:rPr>
          <w:rFonts w:eastAsia="Calibri" w:cstheme="minorHAnsi"/>
        </w:rPr>
        <w:t>.</w:t>
      </w:r>
    </w:p>
    <w:p w14:paraId="045D5365" w14:textId="7A9610CB" w:rsidR="005F0104" w:rsidRPr="00FC5F27" w:rsidRDefault="00C845AF" w:rsidP="00FC5F27">
      <w:pPr>
        <w:suppressAutoHyphens w:val="0"/>
        <w:spacing w:before="240" w:after="240" w:line="240" w:lineRule="auto"/>
        <w:ind w:left="720" w:hanging="720"/>
        <w:rPr>
          <w:rFonts w:eastAsia="Calibri" w:cstheme="minorHAnsi"/>
        </w:rPr>
      </w:pPr>
      <w:r>
        <w:rPr>
          <w:rFonts w:eastAsia="Calibri" w:cstheme="minorHAnsi"/>
        </w:rPr>
        <w:t>5.9</w:t>
      </w:r>
      <w:r w:rsidR="00FC5F27" w:rsidRPr="005F0104">
        <w:rPr>
          <w:rFonts w:eastAsia="Calibri" w:cstheme="minorHAnsi"/>
        </w:rPr>
        <w:tab/>
      </w:r>
      <w:r w:rsidR="005F0104" w:rsidRPr="005F0104">
        <w:rPr>
          <w:rFonts w:eastAsia="Calibri" w:cstheme="minorHAnsi"/>
        </w:rPr>
        <w:t>If funding remains after all solutions are funded from the Mobile Coverage Draft Merit List, and unfunded Proposed Solutions remain on the Public Interest Premises Draft Merit List, then the Department may recommend that the unallocated funds be used to fund the Proposed Solutions on the Public Interest Premises Draft Merit List.</w:t>
      </w:r>
    </w:p>
    <w:p w14:paraId="0B5507F6" w14:textId="0DAC43CB" w:rsidR="005F0104" w:rsidRPr="005F0104" w:rsidRDefault="00C845AF" w:rsidP="00FC5F27">
      <w:pPr>
        <w:suppressAutoHyphens w:val="0"/>
        <w:spacing w:before="240" w:after="240" w:line="240" w:lineRule="auto"/>
        <w:ind w:left="720" w:hanging="720"/>
        <w:rPr>
          <w:rFonts w:eastAsia="Calibri" w:cstheme="minorHAnsi"/>
        </w:rPr>
      </w:pPr>
      <w:r>
        <w:rPr>
          <w:rFonts w:eastAsia="Calibri" w:cstheme="minorHAnsi"/>
        </w:rPr>
        <w:t>5.10</w:t>
      </w:r>
      <w:r w:rsidR="00FC5F27" w:rsidRPr="005F0104">
        <w:rPr>
          <w:rFonts w:eastAsia="Calibri" w:cstheme="minorHAnsi"/>
        </w:rPr>
        <w:tab/>
      </w:r>
      <w:bookmarkEnd w:id="76"/>
      <w:r w:rsidR="005F0104" w:rsidRPr="005F0104">
        <w:rPr>
          <w:rFonts w:eastAsia="Calibri" w:cstheme="minorHAnsi"/>
        </w:rPr>
        <w:t>Correspondingly, if funding remains after all solutions are funded from the Public Interest Premises Draft Merit List, and unfunded Proposed Solutions remain on the Mobile Coverage Draft Merit List, then the Department may recommend that the unallocated funds be used to fund the Proposed Solutions on the Mobile Coverage Draft Merit List.</w:t>
      </w:r>
    </w:p>
    <w:p w14:paraId="581F19AB" w14:textId="600DCA38" w:rsidR="005F0104" w:rsidRDefault="00FC5F27" w:rsidP="005F0104">
      <w:pPr>
        <w:suppressAutoHyphens w:val="0"/>
        <w:spacing w:before="240" w:after="0" w:line="240" w:lineRule="auto"/>
        <w:ind w:left="720" w:hanging="720"/>
        <w:rPr>
          <w:rFonts w:eastAsia="Calibri" w:cstheme="minorHAnsi"/>
        </w:rPr>
      </w:pPr>
      <w:r w:rsidRPr="00FC5F27">
        <w:rPr>
          <w:rFonts w:eastAsia="Calibri" w:cstheme="minorHAnsi"/>
        </w:rPr>
        <w:t>5</w:t>
      </w:r>
      <w:r w:rsidR="00C845AF">
        <w:rPr>
          <w:rFonts w:eastAsia="Calibri" w:cstheme="minorHAnsi"/>
        </w:rPr>
        <w:t>.11</w:t>
      </w:r>
      <w:r w:rsidR="005F0104" w:rsidRPr="005F0104">
        <w:rPr>
          <w:rFonts w:eastAsia="Calibri" w:cstheme="minorHAnsi"/>
        </w:rPr>
        <w:tab/>
        <w:t xml:space="preserve">If funding is still available after the process undertaken </w:t>
      </w:r>
      <w:r w:rsidR="005F0104" w:rsidRPr="008A3B1E">
        <w:rPr>
          <w:rFonts w:eastAsia="Calibri" w:cstheme="minorHAnsi"/>
        </w:rPr>
        <w:t xml:space="preserve">under </w:t>
      </w:r>
      <w:r w:rsidR="00CC7054" w:rsidRPr="00846820">
        <w:rPr>
          <w:rFonts w:eastAsia="Calibri" w:cstheme="minorHAnsi"/>
        </w:rPr>
        <w:t>5.8, 5.9 and 5.10</w:t>
      </w:r>
      <w:r w:rsidR="005F0104" w:rsidRPr="008A3B1E">
        <w:rPr>
          <w:rFonts w:eastAsia="Calibri" w:cstheme="minorHAnsi"/>
        </w:rPr>
        <w:t>, the</w:t>
      </w:r>
      <w:r w:rsidR="005F0104" w:rsidRPr="005F0104">
        <w:rPr>
          <w:rFonts w:eastAsia="Calibri" w:cstheme="minorHAnsi"/>
        </w:rPr>
        <w:t xml:space="preserve"> Department may recommend that locations be funded from the </w:t>
      </w:r>
      <w:r w:rsidR="005F0104" w:rsidRPr="005F3663">
        <w:rPr>
          <w:rFonts w:eastAsia="Calibri" w:cstheme="minorHAnsi"/>
        </w:rPr>
        <w:t>Secondary Mobile Coverage</w:t>
      </w:r>
      <w:r w:rsidR="005F0104" w:rsidRPr="00B910BA">
        <w:rPr>
          <w:rFonts w:eastAsia="Calibri" w:cstheme="minorHAnsi"/>
        </w:rPr>
        <w:t xml:space="preserve"> </w:t>
      </w:r>
      <w:r w:rsidR="005F0104" w:rsidRPr="005F3663">
        <w:rPr>
          <w:rFonts w:eastAsia="Calibri" w:cstheme="minorHAnsi"/>
        </w:rPr>
        <w:t>Draft Merit List</w:t>
      </w:r>
      <w:r w:rsidR="005F0104" w:rsidRPr="00B910BA">
        <w:rPr>
          <w:rFonts w:eastAsia="Calibri" w:cstheme="minorHAnsi"/>
        </w:rPr>
        <w:t xml:space="preserve">, and the </w:t>
      </w:r>
      <w:r w:rsidR="005F0104" w:rsidRPr="005F3663">
        <w:rPr>
          <w:rFonts w:eastAsia="Calibri" w:cstheme="minorHAnsi"/>
        </w:rPr>
        <w:t>Secondary</w:t>
      </w:r>
      <w:r w:rsidR="005F0104" w:rsidRPr="00B910BA">
        <w:rPr>
          <w:rFonts w:eastAsia="Calibri" w:cstheme="minorHAnsi"/>
        </w:rPr>
        <w:t xml:space="preserve"> </w:t>
      </w:r>
      <w:r w:rsidR="005F0104" w:rsidRPr="005F3663">
        <w:rPr>
          <w:rFonts w:eastAsia="Calibri" w:cstheme="minorHAnsi"/>
        </w:rPr>
        <w:t>Public Interest Premises Draft Merit List</w:t>
      </w:r>
      <w:r w:rsidR="005F0104" w:rsidRPr="005F0104">
        <w:rPr>
          <w:rFonts w:eastAsia="Calibri" w:cstheme="minorHAnsi"/>
        </w:rPr>
        <w:t>. A value for money assessment will be undertaken in comparing the relative merits from Proposed Solutions from different Merit Lists. This may entail more than one Proposed Solution being funded at one or more locations.</w:t>
      </w:r>
    </w:p>
    <w:p w14:paraId="00D2A8FB" w14:textId="6FE65345" w:rsidR="00FC5F27" w:rsidRPr="00C845AF" w:rsidRDefault="00FC5F27" w:rsidP="00C845AF">
      <w:pPr>
        <w:pStyle w:val="BodyText1"/>
        <w:spacing w:before="240" w:after="240"/>
        <w:rPr>
          <w:rFonts w:asciiTheme="minorHAnsi" w:hAnsiTheme="minorHAnsi" w:cstheme="minorHAnsi"/>
          <w:u w:val="single"/>
        </w:rPr>
      </w:pPr>
      <w:r w:rsidRPr="00C845AF">
        <w:rPr>
          <w:rFonts w:asciiTheme="minorHAnsi" w:hAnsiTheme="minorHAnsi" w:cstheme="minorHAnsi"/>
          <w:u w:val="single"/>
        </w:rPr>
        <w:t>Value for money assessment</w:t>
      </w:r>
    </w:p>
    <w:p w14:paraId="7DFDE2A3" w14:textId="0C13A74E" w:rsidR="005F0104" w:rsidRPr="005F0104" w:rsidRDefault="00FC5F27" w:rsidP="005F0104">
      <w:pPr>
        <w:suppressAutoHyphens w:val="0"/>
        <w:spacing w:before="240" w:after="240" w:line="240" w:lineRule="auto"/>
        <w:ind w:left="720" w:hanging="720"/>
        <w:rPr>
          <w:rFonts w:eastAsia="Calibri" w:cstheme="minorHAnsi"/>
        </w:rPr>
      </w:pPr>
      <w:bookmarkStart w:id="77" w:name="_Toc491696432"/>
      <w:bookmarkStart w:id="78" w:name="_Toc491856731"/>
      <w:bookmarkStart w:id="79" w:name="_Toc492453771"/>
      <w:bookmarkStart w:id="80" w:name="_Toc492458189"/>
      <w:bookmarkEnd w:id="77"/>
      <w:bookmarkEnd w:id="78"/>
      <w:bookmarkEnd w:id="79"/>
      <w:bookmarkEnd w:id="80"/>
      <w:r w:rsidRPr="00FC5F27">
        <w:rPr>
          <w:rFonts w:eastAsia="Calibri" w:cstheme="minorHAnsi"/>
        </w:rPr>
        <w:t>5</w:t>
      </w:r>
      <w:r w:rsidR="00C845AF">
        <w:rPr>
          <w:rFonts w:eastAsia="Calibri" w:cstheme="minorHAnsi"/>
        </w:rPr>
        <w:t>.12</w:t>
      </w:r>
      <w:r w:rsidR="005F0104" w:rsidRPr="005F0104">
        <w:rPr>
          <w:rFonts w:eastAsia="Calibri" w:cstheme="minorHAnsi"/>
        </w:rPr>
        <w:tab/>
        <w:t xml:space="preserve">The Department will undertake an assessment of the value for money to the </w:t>
      </w:r>
      <w:r w:rsidR="005F0104" w:rsidRPr="008A3B1E">
        <w:rPr>
          <w:rFonts w:eastAsia="Calibri" w:cstheme="minorHAnsi"/>
        </w:rPr>
        <w:t xml:space="preserve">Commonwealth in achieving the government policy outcomes for Round 4 as described in </w:t>
      </w:r>
      <w:r w:rsidR="005F0104" w:rsidRPr="00846820">
        <w:rPr>
          <w:rFonts w:eastAsia="Calibri" w:cstheme="minorHAnsi"/>
        </w:rPr>
        <w:t>section 1.</w:t>
      </w:r>
      <w:r w:rsidR="00CC7054" w:rsidRPr="00846820">
        <w:rPr>
          <w:rFonts w:eastAsia="Calibri" w:cstheme="minorHAnsi"/>
        </w:rPr>
        <w:t>3.1</w:t>
      </w:r>
      <w:r w:rsidR="005F0104" w:rsidRPr="008A3B1E">
        <w:rPr>
          <w:rFonts w:eastAsia="Calibri" w:cstheme="minorHAnsi"/>
        </w:rPr>
        <w:t xml:space="preserve"> for all Proposed</w:t>
      </w:r>
      <w:r w:rsidR="005F0104" w:rsidRPr="005F0104">
        <w:rPr>
          <w:rFonts w:eastAsia="Calibri" w:cstheme="minorHAnsi"/>
        </w:rPr>
        <w:t xml:space="preserve"> Solutions to be recommended for funding using the processes, requirements and assessment criteria set out in these Guidelines.</w:t>
      </w:r>
    </w:p>
    <w:p w14:paraId="0FEC70F1" w14:textId="5B882146" w:rsidR="005F0104" w:rsidRDefault="00FC5F27" w:rsidP="005F0104">
      <w:pPr>
        <w:tabs>
          <w:tab w:val="left" w:pos="3164"/>
        </w:tabs>
        <w:suppressAutoHyphens w:val="0"/>
        <w:spacing w:before="240" w:after="240" w:line="240" w:lineRule="auto"/>
        <w:ind w:left="720" w:hanging="720"/>
        <w:rPr>
          <w:rFonts w:eastAsia="Calibri" w:cstheme="minorHAnsi"/>
        </w:rPr>
      </w:pPr>
      <w:r w:rsidRPr="00FC5F27">
        <w:rPr>
          <w:rFonts w:eastAsia="Calibri" w:cstheme="minorHAnsi"/>
        </w:rPr>
        <w:lastRenderedPageBreak/>
        <w:t>5</w:t>
      </w:r>
      <w:r w:rsidR="00C845AF">
        <w:rPr>
          <w:rFonts w:eastAsia="Calibri" w:cstheme="minorHAnsi"/>
        </w:rPr>
        <w:t>.13</w:t>
      </w:r>
      <w:r w:rsidR="005F0104" w:rsidRPr="005F0104">
        <w:rPr>
          <w:rFonts w:eastAsia="Calibri" w:cstheme="minorHAnsi"/>
        </w:rPr>
        <w:tab/>
        <w:t>The Department may, at its absolute discretion, recommend increasing the level of Commonwealth funding for one or more Proposed Solutions above the $500,000 (GST inclusive) cap.</w:t>
      </w:r>
    </w:p>
    <w:p w14:paraId="46BD88C3" w14:textId="6299D1FB" w:rsidR="00FC5F27" w:rsidRPr="00C845AF" w:rsidRDefault="00FC5F27" w:rsidP="00C845AF">
      <w:pPr>
        <w:pStyle w:val="BodyText1"/>
        <w:rPr>
          <w:rFonts w:asciiTheme="minorHAnsi" w:hAnsiTheme="minorHAnsi" w:cstheme="minorHAnsi"/>
          <w:u w:val="single"/>
        </w:rPr>
      </w:pPr>
      <w:bookmarkStart w:id="81" w:name="_Toc441049706"/>
      <w:r w:rsidRPr="00C845AF">
        <w:rPr>
          <w:rFonts w:asciiTheme="minorHAnsi" w:hAnsiTheme="minorHAnsi" w:cstheme="minorHAnsi"/>
          <w:u w:val="single"/>
        </w:rPr>
        <w:t>Terms of Grant Agreement</w:t>
      </w:r>
    </w:p>
    <w:p w14:paraId="0B5F3FFE" w14:textId="69061075" w:rsidR="00C845AF" w:rsidRPr="008A3B1E" w:rsidRDefault="00D93C58" w:rsidP="00B51701">
      <w:pPr>
        <w:suppressAutoHyphens w:val="0"/>
        <w:spacing w:before="240" w:after="240" w:line="240" w:lineRule="auto"/>
        <w:ind w:left="720" w:hanging="720"/>
        <w:rPr>
          <w:rFonts w:eastAsia="Calibri" w:cstheme="minorHAnsi"/>
        </w:rPr>
      </w:pPr>
      <w:r>
        <w:rPr>
          <w:rFonts w:eastAsia="Calibri" w:cstheme="minorHAnsi"/>
        </w:rPr>
        <w:t>5</w:t>
      </w:r>
      <w:r w:rsidR="00C845AF">
        <w:rPr>
          <w:rFonts w:eastAsia="Calibri" w:cstheme="minorHAnsi"/>
        </w:rPr>
        <w:t>.14</w:t>
      </w:r>
      <w:r w:rsidR="005F0104" w:rsidRPr="005F0104">
        <w:rPr>
          <w:rFonts w:eastAsia="Calibri" w:cstheme="minorHAnsi"/>
        </w:rPr>
        <w:tab/>
        <w:t xml:space="preserve">The Department may reject any Proposed Solutions included in an application where the applicant has not reached agreement with the </w:t>
      </w:r>
      <w:r w:rsidR="005F0104" w:rsidRPr="008A3B1E">
        <w:rPr>
          <w:rFonts w:eastAsia="Calibri" w:cstheme="minorHAnsi"/>
        </w:rPr>
        <w:t xml:space="preserve">Commonwealth on the terms of the Grant Agreement within the assessment of applications period at </w:t>
      </w:r>
      <w:r w:rsidR="005F0104" w:rsidRPr="00846820">
        <w:rPr>
          <w:rFonts w:eastAsia="Calibri" w:cstheme="minorHAnsi"/>
        </w:rPr>
        <w:t xml:space="preserve">section </w:t>
      </w:r>
      <w:r w:rsidR="00CC7054" w:rsidRPr="00846820">
        <w:rPr>
          <w:rFonts w:eastAsia="Calibri" w:cstheme="minorHAnsi"/>
        </w:rPr>
        <w:t>7, stage 5</w:t>
      </w:r>
      <w:r w:rsidR="005F0104" w:rsidRPr="00846820">
        <w:rPr>
          <w:rFonts w:eastAsia="Calibri" w:cstheme="minorHAnsi"/>
        </w:rPr>
        <w:t>.</w:t>
      </w:r>
    </w:p>
    <w:p w14:paraId="58E060F6" w14:textId="6026ABEB" w:rsidR="00FC5F27" w:rsidRPr="008A3B1E" w:rsidRDefault="00FC5F27" w:rsidP="00C845AF">
      <w:pPr>
        <w:pStyle w:val="BodyText1"/>
        <w:rPr>
          <w:rFonts w:asciiTheme="minorHAnsi" w:hAnsiTheme="minorHAnsi" w:cstheme="minorHAnsi"/>
          <w:u w:val="single"/>
        </w:rPr>
      </w:pPr>
      <w:r w:rsidRPr="008A3B1E">
        <w:rPr>
          <w:rFonts w:asciiTheme="minorHAnsi" w:hAnsiTheme="minorHAnsi" w:cstheme="minorHAnsi"/>
          <w:u w:val="single"/>
        </w:rPr>
        <w:t>Merit List</w:t>
      </w:r>
    </w:p>
    <w:bookmarkEnd w:id="81"/>
    <w:p w14:paraId="34A0974D" w14:textId="28B25064" w:rsidR="005F0104" w:rsidRPr="008A3B1E" w:rsidRDefault="00FC5F27" w:rsidP="005F0104">
      <w:pPr>
        <w:suppressAutoHyphens w:val="0"/>
        <w:spacing w:before="240" w:after="240" w:line="240" w:lineRule="auto"/>
        <w:ind w:left="720" w:hanging="720"/>
        <w:rPr>
          <w:rFonts w:eastAsia="Calibri" w:cstheme="minorHAnsi"/>
        </w:rPr>
      </w:pPr>
      <w:r w:rsidRPr="008A3B1E">
        <w:rPr>
          <w:rFonts w:eastAsia="Calibri" w:cstheme="minorHAnsi"/>
        </w:rPr>
        <w:t>5</w:t>
      </w:r>
      <w:r w:rsidR="00C845AF" w:rsidRPr="008A3B1E">
        <w:rPr>
          <w:rFonts w:eastAsia="Calibri" w:cstheme="minorHAnsi"/>
        </w:rPr>
        <w:t>.15</w:t>
      </w:r>
      <w:r w:rsidR="005F0104" w:rsidRPr="008A3B1E">
        <w:rPr>
          <w:rFonts w:eastAsia="Calibri" w:cstheme="minorHAnsi"/>
        </w:rPr>
        <w:tab/>
        <w:t xml:space="preserve">The list of Proposed Solutions that the Department will recommend to be Funded Solutions when the process set out in this </w:t>
      </w:r>
      <w:r w:rsidR="005F0104" w:rsidRPr="00846820">
        <w:rPr>
          <w:rFonts w:eastAsia="Calibri" w:cstheme="minorHAnsi"/>
        </w:rPr>
        <w:t xml:space="preserve">section </w:t>
      </w:r>
      <w:r w:rsidR="00CC7054" w:rsidRPr="00846820">
        <w:rPr>
          <w:rFonts w:eastAsia="Calibri" w:cstheme="minorHAnsi"/>
        </w:rPr>
        <w:t>5</w:t>
      </w:r>
      <w:r w:rsidR="005F0104" w:rsidRPr="008A3B1E">
        <w:rPr>
          <w:rFonts w:eastAsia="Calibri" w:cstheme="minorHAnsi"/>
        </w:rPr>
        <w:t xml:space="preserve"> is completed is the </w:t>
      </w:r>
      <w:r w:rsidR="005F0104" w:rsidRPr="008A3B1E">
        <w:rPr>
          <w:rFonts w:eastAsia="Calibri" w:cstheme="minorHAnsi"/>
          <w:b/>
        </w:rPr>
        <w:t>Merit List</w:t>
      </w:r>
      <w:r w:rsidR="005F0104" w:rsidRPr="008A3B1E">
        <w:rPr>
          <w:rFonts w:eastAsia="Calibri" w:cstheme="minorHAnsi"/>
        </w:rPr>
        <w:t>.</w:t>
      </w:r>
    </w:p>
    <w:p w14:paraId="0FD92A49" w14:textId="5BC2D7C8" w:rsidR="005F0104" w:rsidRPr="008A3B1E" w:rsidRDefault="00FC5F27" w:rsidP="005F0104">
      <w:pPr>
        <w:suppressAutoHyphens w:val="0"/>
        <w:spacing w:before="240" w:after="240" w:line="240" w:lineRule="auto"/>
        <w:ind w:left="720" w:hanging="720"/>
        <w:rPr>
          <w:rFonts w:eastAsia="Calibri" w:cstheme="minorHAnsi"/>
        </w:rPr>
      </w:pPr>
      <w:r w:rsidRPr="008A3B1E">
        <w:rPr>
          <w:rFonts w:eastAsia="Calibri" w:cstheme="minorHAnsi"/>
        </w:rPr>
        <w:t>5</w:t>
      </w:r>
      <w:r w:rsidR="00C845AF" w:rsidRPr="008A3B1E">
        <w:rPr>
          <w:rFonts w:eastAsia="Calibri" w:cstheme="minorHAnsi"/>
        </w:rPr>
        <w:t>.16</w:t>
      </w:r>
      <w:r w:rsidR="005F0104" w:rsidRPr="008A3B1E">
        <w:rPr>
          <w:rFonts w:eastAsia="Calibri" w:cstheme="minorHAnsi"/>
        </w:rPr>
        <w:tab/>
        <w:t xml:space="preserve">The Department will provide the Merit List to the Minister for Regional </w:t>
      </w:r>
      <w:r w:rsidR="00656ED3" w:rsidRPr="008A3B1E">
        <w:rPr>
          <w:rFonts w:eastAsia="Calibri" w:cstheme="minorHAnsi"/>
        </w:rPr>
        <w:t>Services</w:t>
      </w:r>
      <w:r w:rsidR="005F0104" w:rsidRPr="008A3B1E">
        <w:rPr>
          <w:rFonts w:eastAsia="Calibri" w:cstheme="minorHAnsi"/>
        </w:rPr>
        <w:t xml:space="preserve"> as the </w:t>
      </w:r>
      <w:r w:rsidR="005F0104" w:rsidRPr="005F3663">
        <w:rPr>
          <w:rFonts w:eastAsia="Calibri" w:cstheme="minorHAnsi"/>
        </w:rPr>
        <w:t>Decision Maker</w:t>
      </w:r>
      <w:r w:rsidR="005F0104" w:rsidRPr="008A3B1E">
        <w:rPr>
          <w:rFonts w:eastAsia="Calibri" w:cstheme="minorHAnsi"/>
        </w:rPr>
        <w:t xml:space="preserve">, including the assessment of the overall value for money to the Commonwealth in achieving the government policy outcomes for Round 4 as described in </w:t>
      </w:r>
      <w:r w:rsidR="005F0104" w:rsidRPr="00846820">
        <w:rPr>
          <w:rFonts w:eastAsia="Calibri" w:cstheme="minorHAnsi"/>
        </w:rPr>
        <w:t>section 1.</w:t>
      </w:r>
      <w:r w:rsidR="0093223F" w:rsidRPr="00846820">
        <w:rPr>
          <w:rFonts w:eastAsia="Calibri" w:cstheme="minorHAnsi"/>
        </w:rPr>
        <w:t>3.1</w:t>
      </w:r>
      <w:r w:rsidR="005F0104" w:rsidRPr="008A3B1E">
        <w:rPr>
          <w:rFonts w:eastAsia="Calibri" w:cstheme="minorHAnsi"/>
        </w:rPr>
        <w:t xml:space="preserve"> for each Proposed Solution recommended for funding.</w:t>
      </w:r>
    </w:p>
    <w:p w14:paraId="1937E6AC" w14:textId="220E98A1" w:rsidR="005F0104" w:rsidRDefault="00FC5F27" w:rsidP="005F0104">
      <w:pPr>
        <w:suppressAutoHyphens w:val="0"/>
        <w:spacing w:before="240" w:after="240" w:line="240" w:lineRule="auto"/>
        <w:ind w:left="720" w:hanging="720"/>
        <w:rPr>
          <w:rFonts w:eastAsia="Calibri" w:cstheme="minorHAnsi"/>
        </w:rPr>
      </w:pPr>
      <w:r w:rsidRPr="008A3B1E">
        <w:rPr>
          <w:rFonts w:eastAsia="Calibri" w:cstheme="minorHAnsi"/>
        </w:rPr>
        <w:t>5</w:t>
      </w:r>
      <w:r w:rsidR="00C845AF" w:rsidRPr="008A3B1E">
        <w:rPr>
          <w:rFonts w:eastAsia="Calibri" w:cstheme="minorHAnsi"/>
        </w:rPr>
        <w:t>.17</w:t>
      </w:r>
      <w:r w:rsidR="005F0104" w:rsidRPr="008A3B1E">
        <w:rPr>
          <w:rFonts w:eastAsia="Calibri" w:cstheme="minorHAnsi"/>
        </w:rPr>
        <w:tab/>
        <w:t xml:space="preserve">In establishing the Merit List, the Department will exercise its own judgement having regard to the government policy outcomes for Round 4 as described in </w:t>
      </w:r>
      <w:r w:rsidR="0093223F" w:rsidRPr="00846820">
        <w:rPr>
          <w:rFonts w:eastAsia="Calibri" w:cstheme="minorHAnsi"/>
        </w:rPr>
        <w:t xml:space="preserve">section 1.3.1 </w:t>
      </w:r>
      <w:r w:rsidR="005F0104" w:rsidRPr="008A3B1E">
        <w:rPr>
          <w:rFonts w:eastAsia="Calibri" w:cstheme="minorHAnsi"/>
        </w:rPr>
        <w:t xml:space="preserve">in determining if any changes </w:t>
      </w:r>
      <w:r w:rsidRPr="008A3B1E">
        <w:rPr>
          <w:rFonts w:eastAsia="Calibri" w:cstheme="minorHAnsi"/>
        </w:rPr>
        <w:t xml:space="preserve">to the </w:t>
      </w:r>
      <w:r w:rsidR="005F0104" w:rsidRPr="008A3B1E">
        <w:rPr>
          <w:rFonts w:eastAsia="Calibri" w:cstheme="minorHAnsi"/>
        </w:rPr>
        <w:t>Merit List are required to give best effect to the</w:t>
      </w:r>
      <w:r w:rsidR="005F0104" w:rsidRPr="005F0104">
        <w:rPr>
          <w:rFonts w:eastAsia="Calibri" w:cstheme="minorHAnsi"/>
        </w:rPr>
        <w:t xml:space="preserve"> overall Program objectives regarding improved coverage and competition.</w:t>
      </w:r>
    </w:p>
    <w:p w14:paraId="695E296A" w14:textId="6C70F5E3" w:rsidR="00FC5F27" w:rsidRPr="00C845AF" w:rsidRDefault="00FC5F27" w:rsidP="00C845AF">
      <w:pPr>
        <w:pStyle w:val="BodyText1"/>
        <w:rPr>
          <w:rFonts w:asciiTheme="minorHAnsi" w:hAnsiTheme="minorHAnsi" w:cstheme="minorHAnsi"/>
          <w:u w:val="single"/>
        </w:rPr>
      </w:pPr>
      <w:r w:rsidRPr="00C845AF">
        <w:rPr>
          <w:rFonts w:asciiTheme="minorHAnsi" w:hAnsiTheme="minorHAnsi" w:cstheme="minorHAnsi"/>
          <w:u w:val="single"/>
        </w:rPr>
        <w:t>Use of satellite backhaul</w:t>
      </w:r>
    </w:p>
    <w:p w14:paraId="5C401E1A" w14:textId="3B5E68DF" w:rsidR="005F0104" w:rsidRPr="005F0104" w:rsidRDefault="00FC5F27" w:rsidP="005F0104">
      <w:pPr>
        <w:suppressAutoHyphens w:val="0"/>
        <w:spacing w:before="240" w:after="240" w:line="240" w:lineRule="auto"/>
        <w:ind w:left="720" w:hanging="720"/>
        <w:rPr>
          <w:rFonts w:eastAsia="Calibri" w:cstheme="minorHAnsi"/>
        </w:rPr>
      </w:pPr>
      <w:bookmarkStart w:id="82" w:name="_Toc393904260"/>
      <w:bookmarkStart w:id="83" w:name="_Toc393904261"/>
      <w:bookmarkStart w:id="84" w:name="_Toc434092390"/>
      <w:bookmarkStart w:id="85" w:name="_Toc434093400"/>
      <w:bookmarkStart w:id="86" w:name="_Toc434093542"/>
      <w:bookmarkStart w:id="87" w:name="_Toc434228387"/>
      <w:bookmarkStart w:id="88" w:name="_Toc434841078"/>
      <w:bookmarkStart w:id="89" w:name="_Toc435080418"/>
      <w:bookmarkStart w:id="90" w:name="_Toc397462788"/>
      <w:bookmarkStart w:id="91" w:name="_Toc397501060"/>
      <w:bookmarkStart w:id="92" w:name="_Toc397501538"/>
      <w:bookmarkStart w:id="93" w:name="_Toc397462789"/>
      <w:bookmarkStart w:id="94" w:name="_Toc397501061"/>
      <w:bookmarkStart w:id="95" w:name="_Toc397501539"/>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eastAsia="Calibri" w:cstheme="minorHAnsi"/>
        </w:rPr>
        <w:t>5</w:t>
      </w:r>
      <w:r w:rsidR="00C845AF">
        <w:rPr>
          <w:rFonts w:eastAsia="Calibri" w:cstheme="minorHAnsi"/>
        </w:rPr>
        <w:t>.18</w:t>
      </w:r>
      <w:r w:rsidR="005F0104" w:rsidRPr="005F0104">
        <w:rPr>
          <w:rFonts w:eastAsia="Calibri" w:cstheme="minorHAnsi"/>
        </w:rPr>
        <w:tab/>
        <w:t>It is acknowledged that satellite Backhaul has limitations in regards to the level of mobile service it can provide to consumers (as compared with fibre and/or microwave Backhaul).</w:t>
      </w:r>
    </w:p>
    <w:p w14:paraId="08936F52" w14:textId="6D0B6E3A" w:rsidR="005F0104" w:rsidRPr="00FC5F27" w:rsidRDefault="00FC5F27" w:rsidP="005F0104">
      <w:pPr>
        <w:suppressAutoHyphens w:val="0"/>
        <w:spacing w:before="240" w:after="240" w:line="240" w:lineRule="auto"/>
        <w:ind w:left="720" w:hanging="720"/>
        <w:rPr>
          <w:rFonts w:eastAsia="Times New Roman" w:cstheme="minorHAnsi"/>
          <w:bCs/>
          <w:color w:val="0072B9"/>
          <w:sz w:val="36"/>
          <w:szCs w:val="28"/>
        </w:rPr>
      </w:pPr>
      <w:r>
        <w:rPr>
          <w:rFonts w:eastAsia="Calibri" w:cstheme="minorHAnsi"/>
        </w:rPr>
        <w:t>5</w:t>
      </w:r>
      <w:r w:rsidR="00C845AF">
        <w:rPr>
          <w:rFonts w:eastAsia="Calibri" w:cstheme="minorHAnsi"/>
        </w:rPr>
        <w:t>.19</w:t>
      </w:r>
      <w:r w:rsidR="005F0104" w:rsidRPr="005F0104">
        <w:rPr>
          <w:rFonts w:eastAsia="Calibri" w:cstheme="minorHAnsi"/>
        </w:rPr>
        <w:tab/>
        <w:t>If a location is proposed to be served by one applicant using satellite Backhaul and by another applicant by fibre and/or microwave Backhaul, the Department will consider the respective levels of service to be provided in assessing the two applications.</w:t>
      </w:r>
    </w:p>
    <w:p w14:paraId="0316935C" w14:textId="77777777" w:rsidR="00340616" w:rsidRPr="00B72EE8" w:rsidRDefault="00340616" w:rsidP="00A632E3">
      <w:pPr>
        <w:pStyle w:val="Heading1Numbered"/>
      </w:pPr>
      <w:bookmarkStart w:id="96" w:name="_Toc523411623"/>
      <w:r>
        <w:t>The a</w:t>
      </w:r>
      <w:r w:rsidRPr="00B72EE8">
        <w:t xml:space="preserve">ssessment </w:t>
      </w:r>
      <w:r>
        <w:t>c</w:t>
      </w:r>
      <w:r w:rsidRPr="00B72EE8">
        <w:t>riteria</w:t>
      </w:r>
      <w:bookmarkEnd w:id="66"/>
      <w:bookmarkEnd w:id="67"/>
      <w:bookmarkEnd w:id="68"/>
      <w:bookmarkEnd w:id="69"/>
      <w:bookmarkEnd w:id="96"/>
    </w:p>
    <w:p w14:paraId="0316935D" w14:textId="77777777" w:rsidR="008517E6" w:rsidRPr="00C845AF" w:rsidRDefault="008517E6" w:rsidP="00C845AF">
      <w:pPr>
        <w:pStyle w:val="BodyText1"/>
        <w:rPr>
          <w:rFonts w:asciiTheme="minorHAnsi" w:hAnsiTheme="minorHAnsi" w:cstheme="minorHAnsi"/>
          <w:u w:val="single"/>
        </w:rPr>
      </w:pPr>
      <w:r w:rsidRPr="00C845AF">
        <w:rPr>
          <w:rFonts w:asciiTheme="minorHAnsi" w:hAnsiTheme="minorHAnsi" w:cstheme="minorHAnsi"/>
          <w:u w:val="single"/>
        </w:rPr>
        <w:t>Assessment Criteria – Mobile Coverage</w:t>
      </w:r>
    </w:p>
    <w:p w14:paraId="0316935E" w14:textId="3888C9C0" w:rsidR="008517E6" w:rsidRPr="00BC7D3E" w:rsidRDefault="00301B7F" w:rsidP="008517E6">
      <w:pPr>
        <w:pStyle w:val="Bodynumbered-Level1"/>
        <w:rPr>
          <w:rFonts w:asciiTheme="minorHAnsi" w:hAnsiTheme="minorHAnsi" w:cstheme="minorHAnsi"/>
        </w:rPr>
      </w:pPr>
      <w:r>
        <w:rPr>
          <w:rFonts w:asciiTheme="minorHAnsi" w:hAnsiTheme="minorHAnsi" w:cstheme="minorHAnsi"/>
        </w:rPr>
        <w:t>6</w:t>
      </w:r>
      <w:r w:rsidR="008517E6">
        <w:rPr>
          <w:rFonts w:asciiTheme="minorHAnsi" w:hAnsiTheme="minorHAnsi" w:cstheme="minorHAnsi"/>
        </w:rPr>
        <w:t>.1</w:t>
      </w:r>
      <w:r w:rsidR="008517E6" w:rsidRPr="00BC7D3E">
        <w:rPr>
          <w:rFonts w:asciiTheme="minorHAnsi" w:hAnsiTheme="minorHAnsi" w:cstheme="minorHAnsi"/>
        </w:rPr>
        <w:tab/>
      </w:r>
      <w:r w:rsidR="008517E6" w:rsidRPr="008517E6">
        <w:rPr>
          <w:rFonts w:asciiTheme="minorHAnsi" w:hAnsiTheme="minorHAnsi" w:cstheme="minorHAnsi"/>
        </w:rPr>
        <w:t>For each location, the Proposed Solution for mobile coverage will be primarily assessed against the following Assessment Formula to derive the cost to the Commonwealth per weighted square kilometre of new handheld coverage:</w:t>
      </w:r>
    </w:p>
    <w:p w14:paraId="0316935F" w14:textId="77777777" w:rsidR="008517E6" w:rsidRPr="008517E6" w:rsidRDefault="008517E6" w:rsidP="008517E6">
      <w:pPr>
        <w:suppressAutoHyphens w:val="0"/>
        <w:spacing w:before="240" w:after="0" w:line="240" w:lineRule="auto"/>
        <w:jc w:val="center"/>
        <w:rPr>
          <w:rFonts w:eastAsia="Calibri" w:cstheme="minorHAnsi"/>
        </w:rPr>
      </w:pPr>
      <w:r w:rsidRPr="008517E6">
        <w:rPr>
          <w:rFonts w:eastAsia="Calibri" w:cstheme="minorHAnsi"/>
          <w:noProof/>
          <w:lang w:eastAsia="en-AU"/>
        </w:rPr>
        <mc:AlternateContent>
          <mc:Choice Requires="wps">
            <w:drawing>
              <wp:anchor distT="0" distB="0" distL="114300" distR="114300" simplePos="0" relativeHeight="251658240" behindDoc="0" locked="0" layoutInCell="1" allowOverlap="1" wp14:anchorId="031694FD" wp14:editId="031694FE">
                <wp:simplePos x="0" y="0"/>
                <wp:positionH relativeFrom="column">
                  <wp:posOffset>1695450</wp:posOffset>
                </wp:positionH>
                <wp:positionV relativeFrom="paragraph">
                  <wp:posOffset>169544</wp:posOffset>
                </wp:positionV>
                <wp:extent cx="24003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240030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58F29F0C" id="Straight Connector 2" o:spid="_x0000_s1026" style="position:absolute;flip:y;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3.5pt,13.35pt" to="322.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" strokecolor="windowText" strokeweight=".5pt">
                <v:stroke joinstyle="miter"/>
              </v:line>
            </w:pict>
          </mc:Fallback>
        </mc:AlternateContent>
      </w:r>
      <w:r w:rsidRPr="008517E6">
        <w:rPr>
          <w:rFonts w:eastAsia="Calibri" w:cstheme="minorHAnsi"/>
        </w:rPr>
        <w:t>Cost to the Commonwealth ($)</w:t>
      </w:r>
    </w:p>
    <w:p w14:paraId="03169360" w14:textId="77777777" w:rsidR="008517E6" w:rsidRDefault="008517E6" w:rsidP="008517E6">
      <w:pPr>
        <w:suppressAutoHyphens w:val="0"/>
        <w:spacing w:before="0" w:after="240" w:line="240" w:lineRule="auto"/>
        <w:jc w:val="center"/>
        <w:rPr>
          <w:rFonts w:eastAsia="Calibri" w:cstheme="minorHAnsi"/>
        </w:rPr>
      </w:pPr>
      <w:r w:rsidRPr="008517E6">
        <w:rPr>
          <w:rFonts w:eastAsia="Calibri" w:cstheme="minorHAnsi"/>
        </w:rPr>
        <w:t xml:space="preserve">New handheld coverage (km2) + (overlap with other carriers’ network (km2) / weighting factor)       </w:t>
      </w:r>
    </w:p>
    <w:p w14:paraId="5D9B88AC" w14:textId="77777777" w:rsidR="00421272" w:rsidRPr="008517E6" w:rsidRDefault="00421272" w:rsidP="008517E6">
      <w:pPr>
        <w:suppressAutoHyphens w:val="0"/>
        <w:spacing w:before="0" w:after="240" w:line="240" w:lineRule="auto"/>
        <w:jc w:val="center"/>
        <w:rPr>
          <w:rFonts w:eastAsia="Calibri" w:cstheme="minorHAnsi"/>
        </w:rPr>
      </w:pPr>
    </w:p>
    <w:p w14:paraId="03169361" w14:textId="34467653" w:rsidR="008517E6" w:rsidRPr="00BC7D3E" w:rsidRDefault="00301B7F" w:rsidP="008517E6">
      <w:pPr>
        <w:pStyle w:val="Bodynumbered-Level1"/>
        <w:rPr>
          <w:rFonts w:asciiTheme="minorHAnsi" w:hAnsiTheme="minorHAnsi" w:cstheme="minorHAnsi"/>
        </w:rPr>
      </w:pPr>
      <w:r>
        <w:rPr>
          <w:rFonts w:asciiTheme="minorHAnsi" w:hAnsiTheme="minorHAnsi" w:cstheme="minorHAnsi"/>
        </w:rPr>
        <w:t>6</w:t>
      </w:r>
      <w:r w:rsidR="00C845AF">
        <w:rPr>
          <w:rFonts w:asciiTheme="minorHAnsi" w:hAnsiTheme="minorHAnsi" w:cstheme="minorHAnsi"/>
        </w:rPr>
        <w:t>.</w:t>
      </w:r>
      <w:r w:rsidR="008517E6">
        <w:rPr>
          <w:rFonts w:asciiTheme="minorHAnsi" w:hAnsiTheme="minorHAnsi" w:cstheme="minorHAnsi"/>
        </w:rPr>
        <w:t>2</w:t>
      </w:r>
      <w:r w:rsidR="008517E6" w:rsidRPr="00BC7D3E">
        <w:rPr>
          <w:rFonts w:asciiTheme="minorHAnsi" w:hAnsiTheme="minorHAnsi" w:cstheme="minorHAnsi"/>
        </w:rPr>
        <w:tab/>
      </w:r>
      <w:r w:rsidR="008517E6" w:rsidRPr="008517E6">
        <w:rPr>
          <w:rFonts w:asciiTheme="minorHAnsi" w:hAnsiTheme="minorHAnsi" w:cstheme="minorHAnsi"/>
        </w:rPr>
        <w:t>The Assessment Formula is based on the following components:</w:t>
      </w:r>
    </w:p>
    <w:p w14:paraId="03169362" w14:textId="77777777" w:rsidR="008517E6" w:rsidRPr="007C46F7" w:rsidRDefault="008517E6" w:rsidP="00087F4A">
      <w:pPr>
        <w:numPr>
          <w:ilvl w:val="0"/>
          <w:numId w:val="32"/>
        </w:numPr>
        <w:suppressAutoHyphens w:val="0"/>
        <w:spacing w:before="120" w:after="120" w:line="240" w:lineRule="auto"/>
        <w:ind w:left="1276" w:hanging="567"/>
        <w:rPr>
          <w:rFonts w:eastAsia="Calibri" w:cstheme="minorHAnsi"/>
        </w:rPr>
      </w:pPr>
      <w:r w:rsidRPr="007C46F7">
        <w:rPr>
          <w:rFonts w:eastAsia="Calibri" w:cstheme="minorHAnsi"/>
          <w:b/>
        </w:rPr>
        <w:lastRenderedPageBreak/>
        <w:t>A = Cost to the Commonwealth ($)</w:t>
      </w:r>
      <w:r w:rsidRPr="007C46F7">
        <w:rPr>
          <w:rFonts w:eastAsia="Calibri" w:cstheme="minorHAnsi"/>
        </w:rPr>
        <w:t xml:space="preserve"> refers to the Commonwealth portion of the estimated asset capital cost for the Proposed Solution for mobile coverage.</w:t>
      </w:r>
    </w:p>
    <w:p w14:paraId="03169363" w14:textId="16FD02A5" w:rsidR="008517E6" w:rsidRPr="007C46F7" w:rsidRDefault="008517E6" w:rsidP="00087F4A">
      <w:pPr>
        <w:numPr>
          <w:ilvl w:val="0"/>
          <w:numId w:val="32"/>
        </w:numPr>
        <w:suppressAutoHyphens w:val="0"/>
        <w:spacing w:before="120" w:after="120" w:line="240" w:lineRule="auto"/>
        <w:ind w:left="1276" w:hanging="567"/>
        <w:rPr>
          <w:rFonts w:eastAsia="Calibri" w:cstheme="minorHAnsi"/>
        </w:rPr>
      </w:pPr>
      <w:r w:rsidRPr="007C46F7">
        <w:rPr>
          <w:rFonts w:eastAsia="Calibri" w:cstheme="minorHAnsi"/>
          <w:b/>
        </w:rPr>
        <w:t>B = New handheld coverage (km2)</w:t>
      </w:r>
      <w:r w:rsidRPr="007C46F7">
        <w:rPr>
          <w:rFonts w:eastAsia="Calibri" w:cstheme="minorHAnsi"/>
        </w:rPr>
        <w:t xml:space="preserve"> refers to the size (in square kilometres) of the mobile coverage footprint area which will receive new handheld coverage where there is no existing coverage from any MNO.</w:t>
      </w:r>
      <w:r w:rsidR="00C73861">
        <w:rPr>
          <w:rFonts w:eastAsia="Calibri" w:cstheme="minorHAnsi"/>
        </w:rPr>
        <w:t xml:space="preserve"> </w:t>
      </w:r>
      <w:r w:rsidR="001F714A">
        <w:rPr>
          <w:rFonts w:eastAsia="Calibri" w:cstheme="minorHAnsi"/>
        </w:rPr>
        <w:t>F</w:t>
      </w:r>
      <w:r w:rsidR="00C73861">
        <w:rPr>
          <w:rFonts w:eastAsia="Calibri" w:cstheme="minorHAnsi"/>
        </w:rPr>
        <w:t xml:space="preserve">or </w:t>
      </w:r>
      <w:r w:rsidR="00827106">
        <w:rPr>
          <w:rFonts w:eastAsia="Calibri" w:cstheme="minorHAnsi"/>
        </w:rPr>
        <w:t xml:space="preserve">all </w:t>
      </w:r>
      <w:r w:rsidR="00C73861">
        <w:rPr>
          <w:rFonts w:eastAsia="Calibri" w:cstheme="minorHAnsi"/>
        </w:rPr>
        <w:t>solutions</w:t>
      </w:r>
      <w:r w:rsidR="001F714A">
        <w:rPr>
          <w:rFonts w:eastAsia="Calibri" w:cstheme="minorHAnsi"/>
        </w:rPr>
        <w:t>,</w:t>
      </w:r>
      <w:r w:rsidR="00C73861">
        <w:rPr>
          <w:rFonts w:eastAsia="Calibri" w:cstheme="minorHAnsi"/>
        </w:rPr>
        <w:t xml:space="preserve"> </w:t>
      </w:r>
      <w:r w:rsidR="001F714A">
        <w:rPr>
          <w:rFonts w:eastAsia="Calibri" w:cstheme="minorHAnsi"/>
        </w:rPr>
        <w:t xml:space="preserve">new handheld coverage will </w:t>
      </w:r>
      <w:r w:rsidR="00C73861">
        <w:rPr>
          <w:rFonts w:eastAsia="Calibri" w:cstheme="minorHAnsi"/>
        </w:rPr>
        <w:t xml:space="preserve">be measured </w:t>
      </w:r>
      <w:r w:rsidR="001F714A">
        <w:rPr>
          <w:rFonts w:eastAsia="Calibri" w:cstheme="minorHAnsi"/>
        </w:rPr>
        <w:t xml:space="preserve">by comparing </w:t>
      </w:r>
      <w:r w:rsidR="003B3A6B">
        <w:rPr>
          <w:rFonts w:eastAsia="Calibri" w:cstheme="minorHAnsi"/>
        </w:rPr>
        <w:t xml:space="preserve">the </w:t>
      </w:r>
      <w:r w:rsidR="00C73861">
        <w:rPr>
          <w:rFonts w:eastAsia="Calibri" w:cstheme="minorHAnsi"/>
        </w:rPr>
        <w:t>3G</w:t>
      </w:r>
      <w:r w:rsidR="001F714A">
        <w:rPr>
          <w:rFonts w:eastAsia="Calibri" w:cstheme="minorHAnsi"/>
        </w:rPr>
        <w:t xml:space="preserve"> handheld</w:t>
      </w:r>
      <w:r w:rsidR="00C73861">
        <w:rPr>
          <w:rFonts w:eastAsia="Calibri" w:cstheme="minorHAnsi"/>
        </w:rPr>
        <w:t xml:space="preserve"> coverage </w:t>
      </w:r>
      <w:r w:rsidR="003B3A6B">
        <w:rPr>
          <w:rFonts w:eastAsia="Calibri" w:cstheme="minorHAnsi"/>
        </w:rPr>
        <w:t xml:space="preserve">provided by the solution </w:t>
      </w:r>
      <w:r w:rsidR="001F714A">
        <w:rPr>
          <w:rFonts w:eastAsia="Calibri" w:cstheme="minorHAnsi"/>
        </w:rPr>
        <w:t xml:space="preserve">against </w:t>
      </w:r>
      <w:r w:rsidR="003B3A6B">
        <w:rPr>
          <w:rFonts w:eastAsia="Calibri" w:cstheme="minorHAnsi"/>
        </w:rPr>
        <w:t xml:space="preserve">existing </w:t>
      </w:r>
      <w:r w:rsidR="001F714A">
        <w:rPr>
          <w:rFonts w:eastAsia="Calibri" w:cstheme="minorHAnsi"/>
        </w:rPr>
        <w:t xml:space="preserve">3G </w:t>
      </w:r>
      <w:r w:rsidR="003B3A6B">
        <w:rPr>
          <w:rFonts w:eastAsia="Calibri" w:cstheme="minorHAnsi"/>
        </w:rPr>
        <w:t>handheld coverage</w:t>
      </w:r>
      <w:r w:rsidR="00C73861">
        <w:rPr>
          <w:rFonts w:eastAsia="Calibri" w:cstheme="minorHAnsi"/>
        </w:rPr>
        <w:t>. For Small Cell</w:t>
      </w:r>
      <w:r w:rsidR="003B3A6B">
        <w:rPr>
          <w:rFonts w:eastAsia="Calibri" w:cstheme="minorHAnsi"/>
        </w:rPr>
        <w:t xml:space="preserve"> solutions</w:t>
      </w:r>
      <w:r w:rsidR="00C73861">
        <w:rPr>
          <w:rFonts w:eastAsia="Calibri" w:cstheme="minorHAnsi"/>
        </w:rPr>
        <w:t xml:space="preserve"> that only offer </w:t>
      </w:r>
      <w:r w:rsidR="003B3A6B">
        <w:rPr>
          <w:rFonts w:eastAsia="Calibri" w:cstheme="minorHAnsi"/>
        </w:rPr>
        <w:t xml:space="preserve">4G coverage, </w:t>
      </w:r>
      <w:r w:rsidR="001F714A">
        <w:rPr>
          <w:rFonts w:eastAsia="Calibri" w:cstheme="minorHAnsi"/>
        </w:rPr>
        <w:t xml:space="preserve">new </w:t>
      </w:r>
      <w:r w:rsidR="003B3A6B">
        <w:rPr>
          <w:rFonts w:eastAsia="Calibri" w:cstheme="minorHAnsi"/>
        </w:rPr>
        <w:t xml:space="preserve">handheld coverage </w:t>
      </w:r>
      <w:r w:rsidR="001F714A">
        <w:rPr>
          <w:rFonts w:eastAsia="Calibri" w:cstheme="minorHAnsi"/>
        </w:rPr>
        <w:t xml:space="preserve">will be measured by comparing the 4G handheld coverage offered </w:t>
      </w:r>
      <w:r w:rsidR="00AA03F4">
        <w:rPr>
          <w:rFonts w:eastAsia="Calibri" w:cstheme="minorHAnsi"/>
        </w:rPr>
        <w:t>by the solution</w:t>
      </w:r>
      <w:r w:rsidR="003B3A6B">
        <w:rPr>
          <w:rFonts w:eastAsia="Calibri" w:cstheme="minorHAnsi"/>
        </w:rPr>
        <w:t xml:space="preserve"> </w:t>
      </w:r>
      <w:r w:rsidR="001F714A">
        <w:rPr>
          <w:rFonts w:eastAsia="Calibri" w:cstheme="minorHAnsi"/>
        </w:rPr>
        <w:t xml:space="preserve">against </w:t>
      </w:r>
      <w:r w:rsidR="00C73861">
        <w:rPr>
          <w:rFonts w:eastAsia="Calibri" w:cstheme="minorHAnsi"/>
        </w:rPr>
        <w:t xml:space="preserve">existing 3G </w:t>
      </w:r>
      <w:r w:rsidR="003B3A6B">
        <w:rPr>
          <w:rFonts w:eastAsia="Calibri" w:cstheme="minorHAnsi"/>
        </w:rPr>
        <w:t>handheld coverage</w:t>
      </w:r>
      <w:r w:rsidR="00C73861">
        <w:rPr>
          <w:rFonts w:eastAsia="Calibri" w:cstheme="minorHAnsi"/>
        </w:rPr>
        <w:t>.</w:t>
      </w:r>
    </w:p>
    <w:p w14:paraId="03169364" w14:textId="32B2A2B3" w:rsidR="008517E6" w:rsidRPr="007C46F7" w:rsidRDefault="008517E6" w:rsidP="00087F4A">
      <w:pPr>
        <w:numPr>
          <w:ilvl w:val="0"/>
          <w:numId w:val="32"/>
        </w:numPr>
        <w:suppressAutoHyphens w:val="0"/>
        <w:spacing w:before="120" w:after="120" w:line="240" w:lineRule="auto"/>
        <w:ind w:left="1276" w:hanging="567"/>
        <w:rPr>
          <w:rFonts w:eastAsia="Calibri" w:cstheme="minorHAnsi"/>
        </w:rPr>
      </w:pPr>
      <w:r w:rsidRPr="007C46F7">
        <w:rPr>
          <w:rFonts w:eastAsia="Calibri" w:cstheme="minorHAnsi"/>
          <w:b/>
        </w:rPr>
        <w:t>C = Overlap with other carriers’ network (km2) / weighting factor</w:t>
      </w:r>
      <w:r w:rsidRPr="007C46F7">
        <w:rPr>
          <w:rFonts w:eastAsia="Calibri" w:cstheme="minorHAnsi"/>
        </w:rPr>
        <w:t xml:space="preserve"> refers to the size (in square kilometres) of the mobile coverage footprint area which will receive new handheld coverage and where there is overlap with existing</w:t>
      </w:r>
      <w:r w:rsidR="00C51380">
        <w:rPr>
          <w:rFonts w:eastAsia="Calibri" w:cstheme="minorHAnsi"/>
        </w:rPr>
        <w:t xml:space="preserve"> </w:t>
      </w:r>
      <w:r w:rsidRPr="007C46F7">
        <w:rPr>
          <w:rFonts w:eastAsia="Calibri" w:cstheme="minorHAnsi"/>
        </w:rPr>
        <w:t>coverage from another MNO, divided by a weighting factor of two</w:t>
      </w:r>
      <w:r w:rsidRPr="007C46F7" w:rsidDel="00C04206">
        <w:rPr>
          <w:rFonts w:eastAsia="Calibri" w:cstheme="minorHAnsi"/>
        </w:rPr>
        <w:t xml:space="preserve"> </w:t>
      </w:r>
      <w:r w:rsidRPr="007C46F7">
        <w:rPr>
          <w:rFonts w:eastAsia="Calibri" w:cstheme="minorHAnsi"/>
        </w:rPr>
        <w:t>(2).</w:t>
      </w:r>
      <w:r w:rsidR="003B3A6B">
        <w:t xml:space="preserve"> </w:t>
      </w:r>
      <w:r w:rsidR="001F714A">
        <w:t>F</w:t>
      </w:r>
      <w:r w:rsidR="003B3A6B">
        <w:rPr>
          <w:rFonts w:eastAsia="Calibri" w:cstheme="minorHAnsi"/>
        </w:rPr>
        <w:t xml:space="preserve">or </w:t>
      </w:r>
      <w:r w:rsidR="00827106">
        <w:rPr>
          <w:rFonts w:eastAsia="Calibri" w:cstheme="minorHAnsi"/>
        </w:rPr>
        <w:t>all solutions</w:t>
      </w:r>
      <w:r w:rsidR="001F714A">
        <w:rPr>
          <w:rFonts w:eastAsia="Calibri" w:cstheme="minorHAnsi"/>
        </w:rPr>
        <w:t>,</w:t>
      </w:r>
      <w:r w:rsidR="003B3A6B">
        <w:rPr>
          <w:rFonts w:eastAsia="Calibri" w:cstheme="minorHAnsi"/>
        </w:rPr>
        <w:t xml:space="preserve"> overlapping coverage will be measured </w:t>
      </w:r>
      <w:r w:rsidR="001F714A">
        <w:rPr>
          <w:rFonts w:eastAsia="Calibri" w:cstheme="minorHAnsi"/>
        </w:rPr>
        <w:t>by comparing</w:t>
      </w:r>
      <w:r w:rsidR="003B3A6B">
        <w:rPr>
          <w:rFonts w:eastAsia="Calibri" w:cstheme="minorHAnsi"/>
        </w:rPr>
        <w:t xml:space="preserve"> the 3G </w:t>
      </w:r>
      <w:r w:rsidR="001F714A">
        <w:rPr>
          <w:rFonts w:eastAsia="Calibri" w:cstheme="minorHAnsi"/>
        </w:rPr>
        <w:t xml:space="preserve">handheld </w:t>
      </w:r>
      <w:r w:rsidR="003B3A6B">
        <w:rPr>
          <w:rFonts w:eastAsia="Calibri" w:cstheme="minorHAnsi"/>
        </w:rPr>
        <w:t xml:space="preserve">coverage provided by the solution </w:t>
      </w:r>
      <w:r w:rsidR="001F714A">
        <w:rPr>
          <w:rFonts w:eastAsia="Calibri" w:cstheme="minorHAnsi"/>
        </w:rPr>
        <w:t xml:space="preserve">against </w:t>
      </w:r>
      <w:r w:rsidR="003B3A6B">
        <w:rPr>
          <w:rFonts w:eastAsia="Calibri" w:cstheme="minorHAnsi"/>
        </w:rPr>
        <w:t xml:space="preserve">existing </w:t>
      </w:r>
      <w:r w:rsidR="001F714A">
        <w:rPr>
          <w:rFonts w:eastAsia="Calibri" w:cstheme="minorHAnsi"/>
        </w:rPr>
        <w:t xml:space="preserve">3G </w:t>
      </w:r>
      <w:r w:rsidR="003B3A6B">
        <w:rPr>
          <w:rFonts w:eastAsia="Calibri" w:cstheme="minorHAnsi"/>
        </w:rPr>
        <w:t xml:space="preserve">handheld coverage. For a Small Cell solution that only offer 4G coverage, </w:t>
      </w:r>
      <w:r w:rsidR="001F714A">
        <w:rPr>
          <w:rFonts w:eastAsia="Calibri" w:cstheme="minorHAnsi"/>
        </w:rPr>
        <w:t xml:space="preserve">overlapping coverage will be measured by comparing the 4G handheld coverage provided by </w:t>
      </w:r>
      <w:r w:rsidR="00AA03F4">
        <w:rPr>
          <w:rFonts w:eastAsia="Calibri" w:cstheme="minorHAnsi"/>
        </w:rPr>
        <w:t>the</w:t>
      </w:r>
      <w:r w:rsidR="003B3A6B">
        <w:rPr>
          <w:rFonts w:eastAsia="Calibri" w:cstheme="minorHAnsi"/>
        </w:rPr>
        <w:t xml:space="preserve"> solution against existing 3G handheld coverage.</w:t>
      </w:r>
    </w:p>
    <w:p w14:paraId="03169365" w14:textId="77777777" w:rsidR="008517E6" w:rsidRPr="007C46F7" w:rsidRDefault="008517E6" w:rsidP="008517E6">
      <w:pPr>
        <w:suppressAutoHyphens w:val="0"/>
        <w:spacing w:before="240" w:after="240" w:line="240" w:lineRule="auto"/>
        <w:ind w:left="1353" w:hanging="360"/>
        <w:rPr>
          <w:rFonts w:eastAsia="Calibri" w:cstheme="minorHAnsi"/>
        </w:rPr>
      </w:pPr>
      <w:r w:rsidRPr="007C46F7">
        <w:rPr>
          <w:rFonts w:eastAsia="Calibri" w:cstheme="minorHAnsi"/>
          <w:noProof/>
          <w:lang w:eastAsia="en-AU"/>
        </w:rPr>
        <mc:AlternateContent>
          <mc:Choice Requires="wps">
            <w:drawing>
              <wp:anchor distT="0" distB="0" distL="114300" distR="114300" simplePos="0" relativeHeight="251658241" behindDoc="0" locked="0" layoutInCell="1" allowOverlap="1" wp14:anchorId="031694FF" wp14:editId="03169500">
                <wp:simplePos x="0" y="0"/>
                <wp:positionH relativeFrom="column">
                  <wp:posOffset>1672590</wp:posOffset>
                </wp:positionH>
                <wp:positionV relativeFrom="paragraph">
                  <wp:posOffset>234950</wp:posOffset>
                </wp:positionV>
                <wp:extent cx="1938528" cy="7316"/>
                <wp:effectExtent l="0" t="0" r="24130" b="31115"/>
                <wp:wrapNone/>
                <wp:docPr id="4" name="Straight Connector 4"/>
                <wp:cNvGraphicFramePr/>
                <a:graphic xmlns:a="http://schemas.openxmlformats.org/drawingml/2006/main">
                  <a:graphicData uri="http://schemas.microsoft.com/office/word/2010/wordprocessingShape">
                    <wps:wsp>
                      <wps:cNvCnPr/>
                      <wps:spPr>
                        <a:xfrm flipV="1">
                          <a:off x="0" y="0"/>
                          <a:ext cx="1938528" cy="731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B77C25" id="Straight Connector 4"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7pt,18.5pt" to="284.3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" strokecolor="windowText" strokeweight=".5pt">
                <v:stroke joinstyle="miter"/>
              </v:line>
            </w:pict>
          </mc:Fallback>
        </mc:AlternateContent>
      </w:r>
      <w:r w:rsidRPr="007C46F7">
        <w:rPr>
          <w:rFonts w:eastAsia="Calibri" w:cstheme="minorHAnsi"/>
        </w:rPr>
        <w:t>i.e.</w:t>
      </w:r>
      <w:r w:rsidRPr="007C46F7">
        <w:rPr>
          <w:rFonts w:eastAsia="Calibri" w:cstheme="minorHAnsi"/>
        </w:rPr>
        <w:tab/>
      </w:r>
      <w:r w:rsidRPr="007C46F7">
        <w:rPr>
          <w:rFonts w:eastAsia="Calibri" w:cstheme="minorHAnsi"/>
        </w:rPr>
        <w:tab/>
      </w:r>
      <w:r w:rsidRPr="007C46F7">
        <w:rPr>
          <w:rFonts w:eastAsia="Calibri" w:cstheme="minorHAnsi"/>
        </w:rPr>
        <w:tab/>
        <w:t xml:space="preserve">         </w:t>
      </w:r>
      <w:r w:rsidRPr="007C46F7">
        <w:rPr>
          <w:rFonts w:eastAsia="Calibri" w:cstheme="minorHAnsi"/>
        </w:rPr>
        <w:tab/>
      </w:r>
      <w:r w:rsidRPr="007C46F7">
        <w:rPr>
          <w:rFonts w:eastAsia="Calibri" w:cstheme="minorHAnsi"/>
        </w:rPr>
        <w:tab/>
        <w:t xml:space="preserve">       A</w:t>
      </w:r>
    </w:p>
    <w:p w14:paraId="03169366" w14:textId="77777777" w:rsidR="008517E6" w:rsidRPr="007C46F7" w:rsidRDefault="008517E6" w:rsidP="008517E6">
      <w:pPr>
        <w:suppressAutoHyphens w:val="0"/>
        <w:spacing w:before="240" w:after="240" w:line="240" w:lineRule="auto"/>
        <w:ind w:left="1440"/>
        <w:rPr>
          <w:rFonts w:eastAsia="Calibri" w:cstheme="minorHAnsi"/>
        </w:rPr>
      </w:pPr>
      <w:r w:rsidRPr="007C46F7">
        <w:rPr>
          <w:rFonts w:eastAsia="Calibri" w:cstheme="minorHAnsi"/>
        </w:rPr>
        <w:tab/>
      </w:r>
      <w:r w:rsidRPr="007C46F7">
        <w:rPr>
          <w:rFonts w:eastAsia="Calibri" w:cstheme="minorHAnsi"/>
        </w:rPr>
        <w:tab/>
        <w:t xml:space="preserve"> </w:t>
      </w:r>
      <w:r w:rsidRPr="007C46F7">
        <w:rPr>
          <w:rFonts w:eastAsia="Calibri" w:cstheme="minorHAnsi"/>
        </w:rPr>
        <w:tab/>
        <w:t xml:space="preserve">   B + (C/2)</w:t>
      </w:r>
      <w:r w:rsidRPr="007C46F7">
        <w:rPr>
          <w:rFonts w:eastAsia="Calibri" w:cstheme="minorHAnsi"/>
        </w:rPr>
        <w:tab/>
      </w:r>
    </w:p>
    <w:p w14:paraId="03169367" w14:textId="05A640F3" w:rsidR="008517E6" w:rsidRPr="008517E6" w:rsidRDefault="00301B7F" w:rsidP="008517E6">
      <w:pPr>
        <w:suppressAutoHyphens w:val="0"/>
        <w:spacing w:before="240" w:after="240" w:line="240" w:lineRule="auto"/>
        <w:ind w:left="720" w:hanging="720"/>
        <w:rPr>
          <w:rFonts w:eastAsia="Calibri" w:cstheme="minorHAnsi"/>
        </w:rPr>
      </w:pPr>
      <w:r>
        <w:rPr>
          <w:rFonts w:eastAsia="Calibri" w:cstheme="minorHAnsi"/>
        </w:rPr>
        <w:t>6</w:t>
      </w:r>
      <w:r w:rsidR="00C845AF">
        <w:rPr>
          <w:rFonts w:eastAsia="Calibri" w:cstheme="minorHAnsi"/>
        </w:rPr>
        <w:t>.</w:t>
      </w:r>
      <w:r w:rsidR="008517E6" w:rsidRPr="008517E6">
        <w:rPr>
          <w:rFonts w:eastAsia="Calibri" w:cstheme="minorHAnsi"/>
        </w:rPr>
        <w:t>3</w:t>
      </w:r>
      <w:r w:rsidR="008517E6" w:rsidRPr="008517E6">
        <w:rPr>
          <w:rFonts w:eastAsia="Calibri" w:cstheme="minorHAnsi"/>
        </w:rPr>
        <w:tab/>
        <w:t xml:space="preserve">The lower the cost to the Commonwealth per weighted kilometre of new handheld coverage, the higher the ranking for that Proposed Solution. </w:t>
      </w:r>
    </w:p>
    <w:p w14:paraId="03169368" w14:textId="0A187FC9" w:rsidR="008517E6" w:rsidRPr="008517E6" w:rsidRDefault="00301B7F" w:rsidP="008517E6">
      <w:pPr>
        <w:suppressAutoHyphens w:val="0"/>
        <w:spacing w:before="240" w:after="240" w:line="240" w:lineRule="auto"/>
        <w:ind w:left="720" w:hanging="720"/>
        <w:rPr>
          <w:rFonts w:eastAsia="Calibri" w:cstheme="minorHAnsi"/>
        </w:rPr>
      </w:pPr>
      <w:r>
        <w:rPr>
          <w:rFonts w:eastAsia="Calibri" w:cstheme="minorHAnsi"/>
        </w:rPr>
        <w:t>6</w:t>
      </w:r>
      <w:r w:rsidR="00C845AF">
        <w:rPr>
          <w:rFonts w:eastAsia="Calibri" w:cstheme="minorHAnsi"/>
        </w:rPr>
        <w:t>.</w:t>
      </w:r>
      <w:r w:rsidR="008517E6" w:rsidRPr="008517E6">
        <w:rPr>
          <w:rFonts w:eastAsia="Calibri" w:cstheme="minorHAnsi"/>
        </w:rPr>
        <w:t>4</w:t>
      </w:r>
      <w:r w:rsidR="008517E6" w:rsidRPr="008517E6">
        <w:rPr>
          <w:rFonts w:eastAsia="Calibri" w:cstheme="minorHAnsi"/>
        </w:rPr>
        <w:tab/>
        <w:t xml:space="preserve">An overarching value for money assessment will also be undertaken to consider which of the Proposed Solutions for each location is most appropriate to recommend for funding, and will have regard to the overall Program </w:t>
      </w:r>
      <w:r w:rsidR="008517E6" w:rsidRPr="008A3B1E">
        <w:rPr>
          <w:rFonts w:eastAsia="Calibri" w:cstheme="minorHAnsi"/>
        </w:rPr>
        <w:t xml:space="preserve">objectives as well as the specific government policy outcomes for Round 4 as described in </w:t>
      </w:r>
      <w:r w:rsidR="0093223F" w:rsidRPr="00846820">
        <w:rPr>
          <w:rFonts w:eastAsia="Calibri" w:cstheme="minorHAnsi"/>
        </w:rPr>
        <w:t>section 1.3.1</w:t>
      </w:r>
      <w:r w:rsidR="008517E6" w:rsidRPr="008517E6">
        <w:rPr>
          <w:rFonts w:eastAsia="Calibri" w:cstheme="minorHAnsi"/>
        </w:rPr>
        <w:t xml:space="preserve">. </w:t>
      </w:r>
    </w:p>
    <w:p w14:paraId="03169369" w14:textId="1200CF2E" w:rsidR="008517E6" w:rsidRPr="008517E6" w:rsidRDefault="00301B7F" w:rsidP="008517E6">
      <w:pPr>
        <w:suppressAutoHyphens w:val="0"/>
        <w:spacing w:before="240" w:after="240" w:line="240" w:lineRule="auto"/>
        <w:ind w:left="720" w:hanging="720"/>
        <w:rPr>
          <w:rFonts w:eastAsia="Calibri" w:cstheme="minorHAnsi"/>
        </w:rPr>
      </w:pPr>
      <w:r>
        <w:rPr>
          <w:rFonts w:eastAsia="Calibri" w:cstheme="minorHAnsi"/>
        </w:rPr>
        <w:t>6</w:t>
      </w:r>
      <w:r w:rsidR="00C845AF">
        <w:rPr>
          <w:rFonts w:eastAsia="Calibri" w:cstheme="minorHAnsi"/>
        </w:rPr>
        <w:t>.</w:t>
      </w:r>
      <w:r w:rsidR="008517E6" w:rsidRPr="008517E6">
        <w:rPr>
          <w:rFonts w:eastAsia="Calibri" w:cstheme="minorHAnsi"/>
        </w:rPr>
        <w:t xml:space="preserve">5 </w:t>
      </w:r>
      <w:r w:rsidR="008517E6" w:rsidRPr="008517E6">
        <w:rPr>
          <w:rFonts w:eastAsia="Calibri" w:cstheme="minorHAnsi"/>
        </w:rPr>
        <w:tab/>
        <w:t>For a Mobile Coverage solution, factors considered in the value for money assessment include, but are not limited to:</w:t>
      </w:r>
    </w:p>
    <w:p w14:paraId="0316936A" w14:textId="77777777" w:rsidR="008517E6" w:rsidRPr="008517E6" w:rsidRDefault="008517E6" w:rsidP="00B51701">
      <w:pPr>
        <w:suppressAutoHyphens w:val="0"/>
        <w:spacing w:before="120" w:after="120" w:line="240" w:lineRule="auto"/>
        <w:ind w:left="1355" w:hanging="646"/>
        <w:rPr>
          <w:rFonts w:eastAsia="Calibri" w:cstheme="minorHAnsi"/>
        </w:rPr>
      </w:pPr>
      <w:r w:rsidRPr="008517E6">
        <w:rPr>
          <w:rFonts w:eastAsia="Calibri" w:cstheme="minorHAnsi"/>
        </w:rPr>
        <w:t>(a)</w:t>
      </w:r>
      <w:r w:rsidRPr="008517E6">
        <w:rPr>
          <w:rFonts w:eastAsia="Calibri" w:cstheme="minorHAnsi"/>
        </w:rPr>
        <w:tab/>
        <w:t xml:space="preserve">number of Public Interest Premises captured within the mobile coverage footprint area which will receive new handheld coverage; and </w:t>
      </w:r>
    </w:p>
    <w:p w14:paraId="0316936B" w14:textId="77777777" w:rsidR="008517E6" w:rsidRPr="008517E6" w:rsidRDefault="008517E6" w:rsidP="00B51701">
      <w:pPr>
        <w:suppressAutoHyphens w:val="0"/>
        <w:spacing w:before="120" w:after="120" w:line="240" w:lineRule="auto"/>
        <w:ind w:left="1355" w:hanging="646"/>
        <w:rPr>
          <w:rFonts w:eastAsia="Calibri" w:cstheme="minorHAnsi"/>
        </w:rPr>
      </w:pPr>
      <w:r w:rsidRPr="008517E6">
        <w:rPr>
          <w:rFonts w:eastAsia="Calibri" w:cstheme="minorHAnsi"/>
        </w:rPr>
        <w:t>(b)</w:t>
      </w:r>
      <w:r w:rsidRPr="008517E6">
        <w:rPr>
          <w:rFonts w:eastAsia="Calibri" w:cstheme="minorHAnsi"/>
        </w:rPr>
        <w:tab/>
        <w:t>amount of new external antenna coverage (km2), number of premises to receive new external antenna coverage and amount of major rail and/or road transport routes to receive new external antenna coverage (km2).</w:t>
      </w:r>
    </w:p>
    <w:p w14:paraId="0316936C" w14:textId="1CECE7A8" w:rsidR="008517E6" w:rsidRDefault="00301B7F" w:rsidP="008517E6">
      <w:pPr>
        <w:suppressAutoHyphens w:val="0"/>
        <w:spacing w:before="240" w:after="240" w:line="240" w:lineRule="auto"/>
        <w:ind w:left="720" w:hanging="720"/>
        <w:rPr>
          <w:rFonts w:eastAsia="Calibri" w:cstheme="minorHAnsi"/>
        </w:rPr>
      </w:pPr>
      <w:r>
        <w:rPr>
          <w:rFonts w:eastAsia="Calibri" w:cstheme="minorHAnsi"/>
        </w:rPr>
        <w:t>6</w:t>
      </w:r>
      <w:r w:rsidR="00C845AF">
        <w:rPr>
          <w:rFonts w:eastAsia="Calibri" w:cstheme="minorHAnsi"/>
        </w:rPr>
        <w:t>.</w:t>
      </w:r>
      <w:r w:rsidR="008517E6" w:rsidRPr="008517E6">
        <w:rPr>
          <w:rFonts w:eastAsia="Calibri" w:cstheme="minorHAnsi"/>
        </w:rPr>
        <w:t xml:space="preserve">6 </w:t>
      </w:r>
      <w:r w:rsidR="008517E6" w:rsidRPr="008517E6">
        <w:rPr>
          <w:rFonts w:eastAsia="Calibri" w:cstheme="minorHAnsi"/>
        </w:rPr>
        <w:tab/>
        <w:t>Based on the overarching value for money assessment, the Department reserves the right to recommend funding one or more Proposed Solutions for mobile coverage which were lower ranked against the Assessment Criteria than other Proposed Solutions.</w:t>
      </w:r>
    </w:p>
    <w:p w14:paraId="154C7696" w14:textId="498B6BE9" w:rsidR="00421272" w:rsidRDefault="00421272" w:rsidP="008517E6">
      <w:pPr>
        <w:suppressAutoHyphens w:val="0"/>
        <w:spacing w:before="240" w:after="240" w:line="240" w:lineRule="auto"/>
        <w:ind w:left="720" w:hanging="720"/>
        <w:rPr>
          <w:rFonts w:eastAsia="Calibri" w:cstheme="minorHAnsi"/>
        </w:rPr>
      </w:pPr>
    </w:p>
    <w:p w14:paraId="065A195B" w14:textId="77777777" w:rsidR="00421272" w:rsidRPr="008517E6" w:rsidRDefault="00421272" w:rsidP="008517E6">
      <w:pPr>
        <w:suppressAutoHyphens w:val="0"/>
        <w:spacing w:before="240" w:after="240" w:line="240" w:lineRule="auto"/>
        <w:ind w:left="720" w:hanging="720"/>
        <w:rPr>
          <w:rFonts w:eastAsia="Calibri" w:cstheme="minorHAnsi"/>
        </w:rPr>
      </w:pPr>
    </w:p>
    <w:p w14:paraId="0316936D" w14:textId="77777777" w:rsidR="00DD550E" w:rsidRPr="00C845AF" w:rsidRDefault="00DD550E" w:rsidP="00C845AF">
      <w:pPr>
        <w:pStyle w:val="BodyText1"/>
        <w:rPr>
          <w:rFonts w:asciiTheme="minorHAnsi" w:hAnsiTheme="minorHAnsi" w:cstheme="minorHAnsi"/>
          <w:u w:val="single"/>
        </w:rPr>
      </w:pPr>
      <w:r w:rsidRPr="00C845AF">
        <w:rPr>
          <w:rFonts w:asciiTheme="minorHAnsi" w:hAnsiTheme="minorHAnsi" w:cstheme="minorHAnsi"/>
          <w:u w:val="single"/>
        </w:rPr>
        <w:t>Assessment Criteria – Public Interest Premises</w:t>
      </w:r>
    </w:p>
    <w:p w14:paraId="0316936E" w14:textId="0D897518" w:rsidR="00DD550E" w:rsidRPr="00DD550E" w:rsidRDefault="00301B7F" w:rsidP="00DD550E">
      <w:pPr>
        <w:pStyle w:val="Bodynumbered-Level3"/>
        <w:ind w:left="709" w:hanging="709"/>
        <w:rPr>
          <w:rFonts w:asciiTheme="minorHAnsi" w:hAnsiTheme="minorHAnsi" w:cstheme="minorHAnsi"/>
        </w:rPr>
      </w:pPr>
      <w:r>
        <w:rPr>
          <w:rFonts w:asciiTheme="minorHAnsi" w:hAnsiTheme="minorHAnsi" w:cstheme="minorHAnsi"/>
        </w:rPr>
        <w:lastRenderedPageBreak/>
        <w:t>6</w:t>
      </w:r>
      <w:r w:rsidR="00C845AF">
        <w:rPr>
          <w:rFonts w:asciiTheme="minorHAnsi" w:hAnsiTheme="minorHAnsi" w:cstheme="minorHAnsi"/>
        </w:rPr>
        <w:t>.7</w:t>
      </w:r>
      <w:r w:rsidR="00DD550E" w:rsidRPr="00DD550E">
        <w:rPr>
          <w:rFonts w:asciiTheme="minorHAnsi" w:hAnsiTheme="minorHAnsi" w:cstheme="minorHAnsi"/>
        </w:rPr>
        <w:tab/>
        <w:t xml:space="preserve">Each </w:t>
      </w:r>
      <w:r w:rsidR="00DD550E" w:rsidRPr="005F3663">
        <w:rPr>
          <w:rFonts w:asciiTheme="minorHAnsi" w:hAnsiTheme="minorHAnsi" w:cstheme="minorHAnsi"/>
        </w:rPr>
        <w:t>Proposed Solution</w:t>
      </w:r>
      <w:r w:rsidR="00DD550E" w:rsidRPr="00DD550E">
        <w:rPr>
          <w:rFonts w:asciiTheme="minorHAnsi" w:hAnsiTheme="minorHAnsi" w:cstheme="minorHAnsi"/>
        </w:rPr>
        <w:t xml:space="preserve"> for </w:t>
      </w:r>
      <w:r w:rsidR="00DD550E" w:rsidRPr="005F3663">
        <w:rPr>
          <w:rFonts w:asciiTheme="minorHAnsi" w:hAnsiTheme="minorHAnsi" w:cstheme="minorHAnsi"/>
        </w:rPr>
        <w:t>Public Interest Premises</w:t>
      </w:r>
      <w:r w:rsidR="00DD550E" w:rsidRPr="00DD550E">
        <w:rPr>
          <w:rFonts w:asciiTheme="minorHAnsi" w:hAnsiTheme="minorHAnsi" w:cstheme="minorHAnsi"/>
        </w:rPr>
        <w:t xml:space="preserve"> will be initially assessed on the basis of cost. That is, the lower the cost to the Commonwealth for a Proposed Solution for Public Interest Premises, the higher the ranking for that Proposed Solution.</w:t>
      </w:r>
    </w:p>
    <w:p w14:paraId="0316936F" w14:textId="68EAF289" w:rsidR="00DD550E" w:rsidRPr="008A3B1E" w:rsidRDefault="00301B7F" w:rsidP="00DD550E">
      <w:pPr>
        <w:pStyle w:val="Bodynumbered-Level3"/>
        <w:ind w:left="720" w:hanging="720"/>
        <w:rPr>
          <w:rFonts w:asciiTheme="minorHAnsi" w:hAnsiTheme="minorHAnsi" w:cstheme="minorHAnsi"/>
        </w:rPr>
      </w:pPr>
      <w:r>
        <w:rPr>
          <w:rFonts w:asciiTheme="minorHAnsi" w:hAnsiTheme="minorHAnsi" w:cstheme="minorHAnsi"/>
        </w:rPr>
        <w:t>6</w:t>
      </w:r>
      <w:r w:rsidR="00C845AF">
        <w:rPr>
          <w:rFonts w:asciiTheme="minorHAnsi" w:hAnsiTheme="minorHAnsi" w:cstheme="minorHAnsi"/>
        </w:rPr>
        <w:t>.8</w:t>
      </w:r>
      <w:r w:rsidR="00DD550E" w:rsidRPr="00DD550E">
        <w:rPr>
          <w:rFonts w:asciiTheme="minorHAnsi" w:hAnsiTheme="minorHAnsi" w:cstheme="minorHAnsi"/>
        </w:rPr>
        <w:tab/>
        <w:t xml:space="preserve">An overarching value for money assessment will also be undertaken to consider which of the Proposed Solutions for each Public Interest Premises is most appropriate to recommend for funding, and will have regard to the overall Program objectives as well as the specific government policy outcomes for Round 4 as </w:t>
      </w:r>
      <w:r w:rsidR="00DD550E" w:rsidRPr="008A3B1E">
        <w:rPr>
          <w:rFonts w:asciiTheme="minorHAnsi" w:hAnsiTheme="minorHAnsi" w:cstheme="minorHAnsi"/>
        </w:rPr>
        <w:t xml:space="preserve">described in </w:t>
      </w:r>
      <w:r w:rsidR="00DD550E" w:rsidRPr="00846820">
        <w:rPr>
          <w:rFonts w:asciiTheme="minorHAnsi" w:hAnsiTheme="minorHAnsi" w:cstheme="minorHAnsi"/>
        </w:rPr>
        <w:t>section 1.</w:t>
      </w:r>
      <w:r w:rsidR="0093223F" w:rsidRPr="00846820">
        <w:rPr>
          <w:rFonts w:asciiTheme="minorHAnsi" w:hAnsiTheme="minorHAnsi" w:cstheme="minorHAnsi"/>
        </w:rPr>
        <w:t>3.</w:t>
      </w:r>
      <w:r w:rsidR="00DD550E" w:rsidRPr="00846820">
        <w:rPr>
          <w:rFonts w:asciiTheme="minorHAnsi" w:hAnsiTheme="minorHAnsi" w:cstheme="minorHAnsi"/>
        </w:rPr>
        <w:t>1</w:t>
      </w:r>
      <w:r w:rsidR="00DD550E" w:rsidRPr="008A3B1E">
        <w:rPr>
          <w:rFonts w:asciiTheme="minorHAnsi" w:hAnsiTheme="minorHAnsi" w:cstheme="minorHAnsi"/>
        </w:rPr>
        <w:t xml:space="preserve">. </w:t>
      </w:r>
    </w:p>
    <w:p w14:paraId="03169370" w14:textId="539F49D8" w:rsidR="00DD550E" w:rsidRPr="008A3B1E" w:rsidRDefault="00301B7F" w:rsidP="00DD550E">
      <w:pPr>
        <w:pStyle w:val="Bodynumbered-Level1"/>
        <w:rPr>
          <w:rFonts w:asciiTheme="minorHAnsi" w:hAnsiTheme="minorHAnsi" w:cstheme="minorHAnsi"/>
        </w:rPr>
      </w:pPr>
      <w:r w:rsidRPr="008A3B1E">
        <w:rPr>
          <w:rFonts w:asciiTheme="minorHAnsi" w:hAnsiTheme="minorHAnsi" w:cstheme="minorHAnsi"/>
        </w:rPr>
        <w:t>6</w:t>
      </w:r>
      <w:r w:rsidR="00C845AF" w:rsidRPr="008A3B1E">
        <w:rPr>
          <w:rFonts w:asciiTheme="minorHAnsi" w:hAnsiTheme="minorHAnsi" w:cstheme="minorHAnsi"/>
        </w:rPr>
        <w:t>.9</w:t>
      </w:r>
      <w:r w:rsidR="00DD550E" w:rsidRPr="008A3B1E">
        <w:rPr>
          <w:rFonts w:asciiTheme="minorHAnsi" w:hAnsiTheme="minorHAnsi" w:cstheme="minorHAnsi"/>
        </w:rPr>
        <w:tab/>
        <w:t>For a Public Interest Premises solution, factors considered in the overall value for money assessment include, but are not limited to:</w:t>
      </w:r>
    </w:p>
    <w:p w14:paraId="03169371" w14:textId="18674FEB" w:rsidR="00DD550E" w:rsidRPr="00DD550E" w:rsidRDefault="00DD550E" w:rsidP="00B51701">
      <w:pPr>
        <w:pStyle w:val="Bodynumbered-Level3"/>
        <w:spacing w:before="120" w:after="120"/>
        <w:ind w:left="1355" w:hanging="646"/>
        <w:rPr>
          <w:rFonts w:asciiTheme="minorHAnsi" w:hAnsiTheme="minorHAnsi" w:cstheme="minorHAnsi"/>
        </w:rPr>
      </w:pPr>
      <w:r w:rsidRPr="008A3B1E">
        <w:rPr>
          <w:rFonts w:asciiTheme="minorHAnsi" w:hAnsiTheme="minorHAnsi" w:cstheme="minorHAnsi"/>
        </w:rPr>
        <w:t>(a)</w:t>
      </w:r>
      <w:r w:rsidRPr="008A3B1E">
        <w:rPr>
          <w:rFonts w:asciiTheme="minorHAnsi" w:hAnsiTheme="minorHAnsi" w:cstheme="minorHAnsi"/>
        </w:rPr>
        <w:tab/>
        <w:t>the cost to the Commonwealth per weighted square kilometre of new handheld coverage using the Assessment Fo</w:t>
      </w:r>
      <w:r w:rsidR="00682EDA" w:rsidRPr="008A3B1E">
        <w:rPr>
          <w:rFonts w:asciiTheme="minorHAnsi" w:hAnsiTheme="minorHAnsi" w:cstheme="minorHAnsi"/>
        </w:rPr>
        <w:t>r</w:t>
      </w:r>
      <w:r w:rsidRPr="008A3B1E">
        <w:rPr>
          <w:rFonts w:asciiTheme="minorHAnsi" w:hAnsiTheme="minorHAnsi" w:cstheme="minorHAnsi"/>
        </w:rPr>
        <w:t xml:space="preserve">mula in </w:t>
      </w:r>
      <w:r w:rsidRPr="00846820">
        <w:rPr>
          <w:rFonts w:asciiTheme="minorHAnsi" w:hAnsiTheme="minorHAnsi" w:cstheme="minorHAnsi"/>
        </w:rPr>
        <w:t xml:space="preserve">section </w:t>
      </w:r>
      <w:r w:rsidR="0093223F" w:rsidRPr="00846820">
        <w:rPr>
          <w:rFonts w:asciiTheme="minorHAnsi" w:hAnsiTheme="minorHAnsi" w:cstheme="minorHAnsi"/>
        </w:rPr>
        <w:t>6.</w:t>
      </w:r>
      <w:r w:rsidRPr="00846820">
        <w:rPr>
          <w:rFonts w:asciiTheme="minorHAnsi" w:hAnsiTheme="minorHAnsi" w:cstheme="minorHAnsi"/>
        </w:rPr>
        <w:t>1</w:t>
      </w:r>
      <w:r w:rsidRPr="008A3B1E">
        <w:rPr>
          <w:rFonts w:asciiTheme="minorHAnsi" w:hAnsiTheme="minorHAnsi" w:cstheme="minorHAnsi"/>
        </w:rPr>
        <w:t>.</w:t>
      </w:r>
    </w:p>
    <w:p w14:paraId="03169372" w14:textId="77777777" w:rsidR="00DD550E" w:rsidRPr="00DD550E" w:rsidRDefault="00DD550E" w:rsidP="00B51701">
      <w:pPr>
        <w:pStyle w:val="Bodynumbered-Level3"/>
        <w:spacing w:before="120" w:after="120"/>
        <w:ind w:left="1355" w:hanging="646"/>
        <w:rPr>
          <w:rFonts w:asciiTheme="minorHAnsi" w:hAnsiTheme="minorHAnsi" w:cstheme="minorHAnsi"/>
        </w:rPr>
      </w:pPr>
      <w:r w:rsidRPr="00DD550E">
        <w:rPr>
          <w:rFonts w:asciiTheme="minorHAnsi" w:hAnsiTheme="minorHAnsi" w:cstheme="minorHAnsi"/>
        </w:rPr>
        <w:t>(b)</w:t>
      </w:r>
      <w:r w:rsidRPr="00DD550E">
        <w:rPr>
          <w:rFonts w:asciiTheme="minorHAnsi" w:hAnsiTheme="minorHAnsi" w:cstheme="minorHAnsi"/>
        </w:rPr>
        <w:tab/>
        <w:t>the amount of new external antenna coverage (km2), number of premises to receive new external antenna coverage and amount of major rail and/or road transport routes to receive new external antenna coverage (km2).</w:t>
      </w:r>
    </w:p>
    <w:p w14:paraId="03169373" w14:textId="640F5C79" w:rsidR="008517E6" w:rsidRDefault="00301B7F" w:rsidP="00301B7F">
      <w:pPr>
        <w:pStyle w:val="Bodynumbered-Level1"/>
        <w:rPr>
          <w:rFonts w:asciiTheme="minorHAnsi" w:hAnsiTheme="minorHAnsi" w:cstheme="minorHAnsi"/>
        </w:rPr>
      </w:pPr>
      <w:r>
        <w:rPr>
          <w:rFonts w:asciiTheme="minorHAnsi" w:hAnsiTheme="minorHAnsi" w:cstheme="minorHAnsi"/>
        </w:rPr>
        <w:t>6</w:t>
      </w:r>
      <w:r w:rsidR="00C845AF">
        <w:rPr>
          <w:rFonts w:asciiTheme="minorHAnsi" w:hAnsiTheme="minorHAnsi" w:cstheme="minorHAnsi"/>
        </w:rPr>
        <w:t>.10</w:t>
      </w:r>
      <w:r w:rsidR="00DD550E" w:rsidRPr="00DD550E">
        <w:rPr>
          <w:rFonts w:asciiTheme="minorHAnsi" w:hAnsiTheme="minorHAnsi" w:cstheme="minorHAnsi"/>
        </w:rPr>
        <w:t xml:space="preserve"> </w:t>
      </w:r>
      <w:r w:rsidR="00DD550E" w:rsidRPr="00DD550E">
        <w:rPr>
          <w:rFonts w:asciiTheme="minorHAnsi" w:hAnsiTheme="minorHAnsi" w:cstheme="minorHAnsi"/>
        </w:rPr>
        <w:tab/>
        <w:t xml:space="preserve">Based on the overarching value for money assessment, the Department reserves the right to recommend funding one or more Proposed Solutions for Public Interest Premises which were lower ranked against the Assessment Criteria </w:t>
      </w:r>
      <w:r w:rsidR="007C46F7">
        <w:rPr>
          <w:rFonts w:asciiTheme="minorHAnsi" w:hAnsiTheme="minorHAnsi" w:cstheme="minorHAnsi"/>
        </w:rPr>
        <w:t>than other Proposed Solutions.</w:t>
      </w:r>
    </w:p>
    <w:p w14:paraId="03169374" w14:textId="77777777" w:rsidR="00340616" w:rsidRPr="00B72EE8" w:rsidRDefault="00340616" w:rsidP="00A632E3">
      <w:pPr>
        <w:pStyle w:val="Heading1Numbered"/>
      </w:pPr>
      <w:bookmarkStart w:id="97" w:name="_Toc421777611"/>
      <w:bookmarkStart w:id="98" w:name="_Toc467773965"/>
      <w:bookmarkStart w:id="99" w:name="_Toc523411624"/>
      <w:bookmarkStart w:id="100" w:name="_Toc421777601"/>
      <w:r>
        <w:t>The grant application p</w:t>
      </w:r>
      <w:r w:rsidRPr="00B72EE8">
        <w:t>rocess</w:t>
      </w:r>
      <w:bookmarkEnd w:id="97"/>
      <w:bookmarkEnd w:id="98"/>
      <w:bookmarkEnd w:id="99"/>
    </w:p>
    <w:p w14:paraId="319D1E96" w14:textId="3CAFABBD" w:rsidR="00A27228" w:rsidRPr="00C845AF" w:rsidRDefault="00A27228" w:rsidP="005E232C">
      <w:pPr>
        <w:pStyle w:val="BodyText1"/>
        <w:spacing w:before="240" w:after="240"/>
        <w:rPr>
          <w:rFonts w:asciiTheme="minorHAnsi" w:hAnsiTheme="minorHAnsi" w:cstheme="minorHAnsi"/>
          <w:u w:val="single"/>
        </w:rPr>
      </w:pPr>
      <w:r w:rsidRPr="00C845AF">
        <w:rPr>
          <w:rFonts w:asciiTheme="minorHAnsi" w:hAnsiTheme="minorHAnsi" w:cstheme="minorHAnsi"/>
          <w:u w:val="single"/>
        </w:rPr>
        <w:t>Application process timing</w:t>
      </w:r>
    </w:p>
    <w:p w14:paraId="3669B730" w14:textId="01ECC208" w:rsidR="00301B7F" w:rsidRDefault="00A27228" w:rsidP="00CF030F">
      <w:pPr>
        <w:spacing w:before="240" w:after="240"/>
      </w:pPr>
      <w:r>
        <w:t xml:space="preserve">The Program will be implemented in ten key stages. A summary of each stage and </w:t>
      </w:r>
      <w:r w:rsidR="00301B7F">
        <w:t>indicative</w:t>
      </w:r>
      <w:r>
        <w:t xml:space="preserve"> timing is provided below.</w:t>
      </w:r>
    </w:p>
    <w:tbl>
      <w:tblPr>
        <w:tblStyle w:val="GridTable1Light"/>
        <w:tblW w:w="0" w:type="auto"/>
        <w:tblLook w:val="04A0" w:firstRow="1" w:lastRow="0" w:firstColumn="1" w:lastColumn="0" w:noHBand="0" w:noVBand="1"/>
      </w:tblPr>
      <w:tblGrid>
        <w:gridCol w:w="988"/>
        <w:gridCol w:w="5811"/>
        <w:gridCol w:w="2261"/>
      </w:tblGrid>
      <w:tr w:rsidR="004458AB" w14:paraId="493D518B" w14:textId="77777777" w:rsidTr="000133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 w:type="dxa"/>
          </w:tcPr>
          <w:p w14:paraId="7D9D65E7" w14:textId="7B0DB476" w:rsidR="004458AB" w:rsidRPr="00CF030F" w:rsidRDefault="004458AB" w:rsidP="0016049E">
            <w:pPr>
              <w:spacing w:before="0" w:after="0" w:line="240" w:lineRule="auto"/>
            </w:pPr>
            <w:r w:rsidRPr="00CF030F">
              <w:t>Stage</w:t>
            </w:r>
          </w:p>
        </w:tc>
        <w:tc>
          <w:tcPr>
            <w:tcW w:w="5811" w:type="dxa"/>
          </w:tcPr>
          <w:p w14:paraId="1A5B4EE6" w14:textId="57D1097A" w:rsidR="004458AB" w:rsidRPr="00CF030F" w:rsidRDefault="004458AB" w:rsidP="0016049E">
            <w:pPr>
              <w:spacing w:before="0" w:after="0" w:line="240" w:lineRule="auto"/>
              <w:cnfStyle w:val="100000000000" w:firstRow="1" w:lastRow="0" w:firstColumn="0" w:lastColumn="0" w:oddVBand="0" w:evenVBand="0" w:oddHBand="0" w:evenHBand="0" w:firstRowFirstColumn="0" w:firstRowLastColumn="0" w:lastRowFirstColumn="0" w:lastRowLastColumn="0"/>
            </w:pPr>
            <w:r w:rsidRPr="00CF030F">
              <w:t>Activity</w:t>
            </w:r>
          </w:p>
        </w:tc>
        <w:tc>
          <w:tcPr>
            <w:tcW w:w="2261" w:type="dxa"/>
          </w:tcPr>
          <w:p w14:paraId="3BEE8A52" w14:textId="09657BD8" w:rsidR="004458AB" w:rsidRPr="00CF030F" w:rsidRDefault="004458AB" w:rsidP="0016049E">
            <w:pPr>
              <w:spacing w:before="0" w:after="0" w:line="240" w:lineRule="auto"/>
              <w:cnfStyle w:val="100000000000" w:firstRow="1" w:lastRow="0" w:firstColumn="0" w:lastColumn="0" w:oddVBand="0" w:evenVBand="0" w:oddHBand="0" w:evenHBand="0" w:firstRowFirstColumn="0" w:firstRowLastColumn="0" w:lastRowFirstColumn="0" w:lastRowLastColumn="0"/>
            </w:pPr>
            <w:r w:rsidRPr="00CF030F">
              <w:t>Timing</w:t>
            </w:r>
          </w:p>
        </w:tc>
      </w:tr>
      <w:tr w:rsidR="004458AB" w14:paraId="4CE3B1CF" w14:textId="77777777" w:rsidTr="0016049E">
        <w:tc>
          <w:tcPr>
            <w:cnfStyle w:val="001000000000" w:firstRow="0" w:lastRow="0" w:firstColumn="1" w:lastColumn="0" w:oddVBand="0" w:evenVBand="0" w:oddHBand="0" w:evenHBand="0" w:firstRowFirstColumn="0" w:firstRowLastColumn="0" w:lastRowFirstColumn="0" w:lastRowLastColumn="0"/>
            <w:tcW w:w="988" w:type="dxa"/>
          </w:tcPr>
          <w:p w14:paraId="506E0E99" w14:textId="2030006A" w:rsidR="004458AB" w:rsidRDefault="004458AB" w:rsidP="0016049E">
            <w:pPr>
              <w:spacing w:before="0" w:after="0" w:line="240" w:lineRule="auto"/>
              <w:jc w:val="center"/>
            </w:pPr>
            <w:r>
              <w:t>1</w:t>
            </w:r>
          </w:p>
        </w:tc>
        <w:tc>
          <w:tcPr>
            <w:tcW w:w="5811" w:type="dxa"/>
          </w:tcPr>
          <w:p w14:paraId="693683D2" w14:textId="77777777" w:rsidR="004458AB" w:rsidRDefault="004458AB" w:rsidP="0016049E">
            <w:pPr>
              <w:spacing w:before="0" w:after="0" w:line="240" w:lineRule="auto"/>
              <w:cnfStyle w:val="000000000000" w:firstRow="0" w:lastRow="0" w:firstColumn="0" w:lastColumn="0" w:oddVBand="0" w:evenVBand="0" w:oddHBand="0" w:evenHBand="0" w:firstRowFirstColumn="0" w:firstRowLastColumn="0" w:lastRowFirstColumn="0" w:lastRowLastColumn="0"/>
              <w:rPr>
                <w:b/>
              </w:rPr>
            </w:pPr>
            <w:r w:rsidRPr="004458AB">
              <w:rPr>
                <w:b/>
              </w:rPr>
              <w:t>Release of Guidelines and call for Applications</w:t>
            </w:r>
          </w:p>
          <w:p w14:paraId="602F4F93" w14:textId="77777777" w:rsidR="0016049E" w:rsidRPr="004458AB" w:rsidRDefault="0016049E" w:rsidP="0016049E">
            <w:pPr>
              <w:spacing w:before="0" w:after="0" w:line="240" w:lineRule="auto"/>
              <w:cnfStyle w:val="000000000000" w:firstRow="0" w:lastRow="0" w:firstColumn="0" w:lastColumn="0" w:oddVBand="0" w:evenVBand="0" w:oddHBand="0" w:evenHBand="0" w:firstRowFirstColumn="0" w:firstRowLastColumn="0" w:lastRowFirstColumn="0" w:lastRowLastColumn="0"/>
              <w:rPr>
                <w:b/>
              </w:rPr>
            </w:pPr>
          </w:p>
          <w:p w14:paraId="2932D9E7" w14:textId="2F5F5C8B" w:rsidR="004458AB" w:rsidRDefault="004458AB" w:rsidP="0016049E">
            <w:pPr>
              <w:spacing w:before="0" w:after="0" w:line="240" w:lineRule="auto"/>
              <w:cnfStyle w:val="000000000000" w:firstRow="0" w:lastRow="0" w:firstColumn="0" w:lastColumn="0" w:oddVBand="0" w:evenVBand="0" w:oddHBand="0" w:evenHBand="0" w:firstRowFirstColumn="0" w:firstRowLastColumn="0" w:lastRowFirstColumn="0" w:lastRowLastColumn="0"/>
            </w:pPr>
            <w:r w:rsidRPr="004458AB">
              <w:t>At the same time as releasing these Guidelines, the Government will issue a call for applications from eligible applicants for funding under Round 4 of the Program.</w:t>
            </w:r>
          </w:p>
        </w:tc>
        <w:tc>
          <w:tcPr>
            <w:tcW w:w="2261" w:type="dxa"/>
          </w:tcPr>
          <w:p w14:paraId="1EDE2FFD" w14:textId="3E34A984" w:rsidR="004458AB" w:rsidRDefault="008A5CDB" w:rsidP="005F3663">
            <w:pPr>
              <w:spacing w:before="0" w:after="0" w:line="240" w:lineRule="auto"/>
              <w:cnfStyle w:val="000000000000" w:firstRow="0" w:lastRow="0" w:firstColumn="0" w:lastColumn="0" w:oddVBand="0" w:evenVBand="0" w:oddHBand="0" w:evenHBand="0" w:firstRowFirstColumn="0" w:firstRowLastColumn="0" w:lastRowFirstColumn="0" w:lastRowLastColumn="0"/>
            </w:pPr>
            <w:r w:rsidRPr="008A5CDB">
              <w:t>1</w:t>
            </w:r>
            <w:r w:rsidR="005F3663">
              <w:t>5</w:t>
            </w:r>
            <w:r w:rsidR="004458AB" w:rsidRPr="008A5CDB">
              <w:t xml:space="preserve"> </w:t>
            </w:r>
            <w:r w:rsidRPr="008A5CDB">
              <w:t>Oc</w:t>
            </w:r>
            <w:r w:rsidR="004458AB" w:rsidRPr="008A5CDB">
              <w:t>t</w:t>
            </w:r>
            <w:r w:rsidRPr="008A5CDB">
              <w:t>o</w:t>
            </w:r>
            <w:r w:rsidR="004458AB" w:rsidRPr="008A5CDB">
              <w:t>ber 2018</w:t>
            </w:r>
          </w:p>
        </w:tc>
      </w:tr>
      <w:tr w:rsidR="004458AB" w14:paraId="05FF2089" w14:textId="77777777" w:rsidTr="0016049E">
        <w:tc>
          <w:tcPr>
            <w:cnfStyle w:val="001000000000" w:firstRow="0" w:lastRow="0" w:firstColumn="1" w:lastColumn="0" w:oddVBand="0" w:evenVBand="0" w:oddHBand="0" w:evenHBand="0" w:firstRowFirstColumn="0" w:firstRowLastColumn="0" w:lastRowFirstColumn="0" w:lastRowLastColumn="0"/>
            <w:tcW w:w="988" w:type="dxa"/>
          </w:tcPr>
          <w:p w14:paraId="5629352E" w14:textId="6C8CAEA2" w:rsidR="004458AB" w:rsidRDefault="004458AB" w:rsidP="0016049E">
            <w:pPr>
              <w:spacing w:before="0" w:after="0" w:line="240" w:lineRule="auto"/>
              <w:jc w:val="center"/>
            </w:pPr>
            <w:r>
              <w:t>2</w:t>
            </w:r>
          </w:p>
        </w:tc>
        <w:tc>
          <w:tcPr>
            <w:tcW w:w="5811" w:type="dxa"/>
          </w:tcPr>
          <w:p w14:paraId="63FA13B1" w14:textId="77777777" w:rsidR="004458AB" w:rsidRDefault="004458AB" w:rsidP="0016049E">
            <w:pPr>
              <w:spacing w:before="0" w:after="0" w:line="240" w:lineRule="auto"/>
              <w:cnfStyle w:val="000000000000" w:firstRow="0" w:lastRow="0" w:firstColumn="0" w:lastColumn="0" w:oddVBand="0" w:evenVBand="0" w:oddHBand="0" w:evenHBand="0" w:firstRowFirstColumn="0" w:firstRowLastColumn="0" w:lastRowFirstColumn="0" w:lastRowLastColumn="0"/>
              <w:rPr>
                <w:b/>
              </w:rPr>
            </w:pPr>
            <w:r w:rsidRPr="0016049E">
              <w:rPr>
                <w:b/>
              </w:rPr>
              <w:t>Applicant registration</w:t>
            </w:r>
          </w:p>
          <w:p w14:paraId="7AEC8ECD" w14:textId="77777777" w:rsidR="0016049E" w:rsidRPr="0016049E" w:rsidRDefault="0016049E" w:rsidP="0016049E">
            <w:pPr>
              <w:spacing w:before="0" w:after="0" w:line="240" w:lineRule="auto"/>
              <w:cnfStyle w:val="000000000000" w:firstRow="0" w:lastRow="0" w:firstColumn="0" w:lastColumn="0" w:oddVBand="0" w:evenVBand="0" w:oddHBand="0" w:evenHBand="0" w:firstRowFirstColumn="0" w:firstRowLastColumn="0" w:lastRowFirstColumn="0" w:lastRowLastColumn="0"/>
              <w:rPr>
                <w:b/>
              </w:rPr>
            </w:pPr>
          </w:p>
          <w:p w14:paraId="32FA7056" w14:textId="77777777" w:rsidR="004458AB" w:rsidRDefault="004458AB" w:rsidP="0016049E">
            <w:pPr>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Organisations wishing to apply for funding under Round 4 must contact the Department to register as a potential applicant within one week following release of these Guidelines in order to obtain access to the application documentation. Eligible organisations who registered under previous rounds and who are interested in participating in this round are required to register for Round 4 (Previous registrations will not be valid for the purposes of this round). </w:t>
            </w:r>
          </w:p>
          <w:p w14:paraId="120C930C" w14:textId="77777777" w:rsidR="0016049E" w:rsidRDefault="0016049E" w:rsidP="0016049E">
            <w:pPr>
              <w:spacing w:before="0" w:after="0" w:line="240" w:lineRule="auto"/>
              <w:cnfStyle w:val="000000000000" w:firstRow="0" w:lastRow="0" w:firstColumn="0" w:lastColumn="0" w:oddVBand="0" w:evenVBand="0" w:oddHBand="0" w:evenHBand="0" w:firstRowFirstColumn="0" w:firstRowLastColumn="0" w:lastRowFirstColumn="0" w:lastRowLastColumn="0"/>
            </w:pPr>
          </w:p>
          <w:p w14:paraId="4CB46B82" w14:textId="77777777" w:rsidR="004458AB" w:rsidRDefault="004458AB" w:rsidP="0016049E">
            <w:pPr>
              <w:spacing w:before="0" w:after="0" w:line="240" w:lineRule="auto"/>
              <w:cnfStyle w:val="000000000000" w:firstRow="0" w:lastRow="0" w:firstColumn="0" w:lastColumn="0" w:oddVBand="0" w:evenVBand="0" w:oddHBand="0" w:evenHBand="0" w:firstRowFirstColumn="0" w:firstRowLastColumn="0" w:lastRowFirstColumn="0" w:lastRowLastColumn="0"/>
            </w:pPr>
            <w:r>
              <w:lastRenderedPageBreak/>
              <w:t xml:space="preserve">Organisations can register their interest with the Department by emailing </w:t>
            </w:r>
            <w:r w:rsidRPr="0016049E">
              <w:rPr>
                <w:b/>
              </w:rPr>
              <w:t>mobilecoverage@communications.gov.au</w:t>
            </w:r>
            <w:r>
              <w:t xml:space="preserve"> and providing the following information:</w:t>
            </w:r>
          </w:p>
          <w:p w14:paraId="408D3304" w14:textId="77777777" w:rsidR="004458AB" w:rsidRDefault="004458AB" w:rsidP="0016049E">
            <w:pPr>
              <w:spacing w:before="0" w:after="0" w:line="240" w:lineRule="auto"/>
              <w:cnfStyle w:val="000000000000" w:firstRow="0" w:lastRow="0" w:firstColumn="0" w:lastColumn="0" w:oddVBand="0" w:evenVBand="0" w:oddHBand="0" w:evenHBand="0" w:firstRowFirstColumn="0" w:firstRowLastColumn="0" w:lastRowFirstColumn="0" w:lastRowLastColumn="0"/>
            </w:pPr>
            <w:r>
              <w:t>(a)</w:t>
            </w:r>
            <w:r>
              <w:tab/>
              <w:t>Organisation name;</w:t>
            </w:r>
          </w:p>
          <w:p w14:paraId="03EB03AA" w14:textId="77777777" w:rsidR="004458AB" w:rsidRDefault="004458AB" w:rsidP="0016049E">
            <w:pPr>
              <w:spacing w:before="0" w:after="0" w:line="240" w:lineRule="auto"/>
              <w:cnfStyle w:val="000000000000" w:firstRow="0" w:lastRow="0" w:firstColumn="0" w:lastColumn="0" w:oddVBand="0" w:evenVBand="0" w:oddHBand="0" w:evenHBand="0" w:firstRowFirstColumn="0" w:firstRowLastColumn="0" w:lastRowFirstColumn="0" w:lastRowLastColumn="0"/>
            </w:pPr>
            <w:r>
              <w:t>(b)</w:t>
            </w:r>
            <w:r>
              <w:tab/>
              <w:t>Contact name;</w:t>
            </w:r>
          </w:p>
          <w:p w14:paraId="69F830C0" w14:textId="77777777" w:rsidR="004458AB" w:rsidRDefault="004458AB" w:rsidP="0016049E">
            <w:pPr>
              <w:spacing w:before="0" w:after="0" w:line="240" w:lineRule="auto"/>
              <w:cnfStyle w:val="000000000000" w:firstRow="0" w:lastRow="0" w:firstColumn="0" w:lastColumn="0" w:oddVBand="0" w:evenVBand="0" w:oddHBand="0" w:evenHBand="0" w:firstRowFirstColumn="0" w:firstRowLastColumn="0" w:lastRowFirstColumn="0" w:lastRowLastColumn="0"/>
            </w:pPr>
            <w:r>
              <w:t>(c)</w:t>
            </w:r>
            <w:r>
              <w:tab/>
              <w:t>Contact phone number; and</w:t>
            </w:r>
          </w:p>
          <w:p w14:paraId="71732517" w14:textId="77777777" w:rsidR="004458AB" w:rsidRDefault="004458AB" w:rsidP="0016049E">
            <w:pPr>
              <w:spacing w:before="0" w:after="0" w:line="240" w:lineRule="auto"/>
              <w:cnfStyle w:val="000000000000" w:firstRow="0" w:lastRow="0" w:firstColumn="0" w:lastColumn="0" w:oddVBand="0" w:evenVBand="0" w:oddHBand="0" w:evenHBand="0" w:firstRowFirstColumn="0" w:firstRowLastColumn="0" w:lastRowFirstColumn="0" w:lastRowLastColumn="0"/>
            </w:pPr>
            <w:r>
              <w:t>(d)</w:t>
            </w:r>
            <w:r>
              <w:tab/>
              <w:t>Contact email address.</w:t>
            </w:r>
          </w:p>
          <w:p w14:paraId="0771E245" w14:textId="77777777" w:rsidR="0016049E" w:rsidRDefault="0016049E" w:rsidP="0016049E">
            <w:pPr>
              <w:spacing w:before="0" w:after="0" w:line="240" w:lineRule="auto"/>
              <w:cnfStyle w:val="000000000000" w:firstRow="0" w:lastRow="0" w:firstColumn="0" w:lastColumn="0" w:oddVBand="0" w:evenVBand="0" w:oddHBand="0" w:evenHBand="0" w:firstRowFirstColumn="0" w:firstRowLastColumn="0" w:lastRowFirstColumn="0" w:lastRowLastColumn="0"/>
            </w:pPr>
          </w:p>
          <w:p w14:paraId="6962E069" w14:textId="77777777" w:rsidR="004458AB" w:rsidRDefault="004458AB" w:rsidP="0016049E">
            <w:pPr>
              <w:spacing w:before="0" w:after="0" w:line="240" w:lineRule="auto"/>
              <w:cnfStyle w:val="000000000000" w:firstRow="0" w:lastRow="0" w:firstColumn="0" w:lastColumn="0" w:oddVBand="0" w:evenVBand="0" w:oddHBand="0" w:evenHBand="0" w:firstRowFirstColumn="0" w:firstRowLastColumn="0" w:lastRowFirstColumn="0" w:lastRowLastColumn="0"/>
            </w:pPr>
            <w:r>
              <w:t>The Department will contact organisations that register their interest as potential applicants.</w:t>
            </w:r>
          </w:p>
          <w:p w14:paraId="3702194E" w14:textId="77777777" w:rsidR="0016049E" w:rsidRDefault="0016049E" w:rsidP="0016049E">
            <w:pPr>
              <w:spacing w:before="0" w:after="0" w:line="240" w:lineRule="auto"/>
              <w:cnfStyle w:val="000000000000" w:firstRow="0" w:lastRow="0" w:firstColumn="0" w:lastColumn="0" w:oddVBand="0" w:evenVBand="0" w:oddHBand="0" w:evenHBand="0" w:firstRowFirstColumn="0" w:firstRowLastColumn="0" w:lastRowFirstColumn="0" w:lastRowLastColumn="0"/>
            </w:pPr>
          </w:p>
          <w:p w14:paraId="05E9FD88" w14:textId="4E71B9F2" w:rsidR="004458AB" w:rsidRDefault="004458AB" w:rsidP="0016049E">
            <w:pPr>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Following registration, the Department may contact registered organisations during the application period to negotiate and agree Terms of the draft Grant Agreement, in addition to the Negotiation of Grant Agreements period </w:t>
            </w:r>
            <w:r w:rsidRPr="008A3B1E">
              <w:t xml:space="preserve">at </w:t>
            </w:r>
            <w:r w:rsidRPr="00846820">
              <w:t xml:space="preserve">section </w:t>
            </w:r>
            <w:r w:rsidR="0093223F" w:rsidRPr="00846820">
              <w:t xml:space="preserve">7, stage </w:t>
            </w:r>
            <w:r w:rsidRPr="00846820">
              <w:t>6</w:t>
            </w:r>
            <w:r w:rsidRPr="008A3B1E">
              <w:t>.</w:t>
            </w:r>
          </w:p>
        </w:tc>
        <w:tc>
          <w:tcPr>
            <w:tcW w:w="2261" w:type="dxa"/>
          </w:tcPr>
          <w:p w14:paraId="7CAFF962" w14:textId="1CC18EA7" w:rsidR="004458AB" w:rsidRDefault="004458AB" w:rsidP="005F3663">
            <w:pPr>
              <w:spacing w:before="0" w:after="0" w:line="240" w:lineRule="auto"/>
              <w:cnfStyle w:val="000000000000" w:firstRow="0" w:lastRow="0" w:firstColumn="0" w:lastColumn="0" w:oddVBand="0" w:evenVBand="0" w:oddHBand="0" w:evenHBand="0" w:firstRowFirstColumn="0" w:firstRowLastColumn="0" w:lastRowFirstColumn="0" w:lastRowLastColumn="0"/>
            </w:pPr>
            <w:r w:rsidRPr="004458AB">
              <w:lastRenderedPageBreak/>
              <w:t xml:space="preserve">Registration due by </w:t>
            </w:r>
            <w:r w:rsidR="005F3663">
              <w:t>22</w:t>
            </w:r>
            <w:r w:rsidRPr="008A5CDB">
              <w:t xml:space="preserve"> </w:t>
            </w:r>
            <w:r w:rsidR="008A5CDB" w:rsidRPr="008A5CDB">
              <w:t>Octo</w:t>
            </w:r>
            <w:r w:rsidRPr="008A5CDB">
              <w:t>ber 2018 (</w:t>
            </w:r>
            <w:r w:rsidRPr="004458AB">
              <w:t>1</w:t>
            </w:r>
            <w:r w:rsidR="008A5CDB">
              <w:t> </w:t>
            </w:r>
            <w:r w:rsidRPr="004458AB">
              <w:t xml:space="preserve">week after </w:t>
            </w:r>
            <w:r w:rsidR="009D2F66">
              <w:t>opening</w:t>
            </w:r>
            <w:r w:rsidRPr="004458AB">
              <w:t>)</w:t>
            </w:r>
          </w:p>
        </w:tc>
      </w:tr>
      <w:tr w:rsidR="004458AB" w14:paraId="0AF8E941" w14:textId="77777777" w:rsidTr="0016049E">
        <w:tc>
          <w:tcPr>
            <w:cnfStyle w:val="001000000000" w:firstRow="0" w:lastRow="0" w:firstColumn="1" w:lastColumn="0" w:oddVBand="0" w:evenVBand="0" w:oddHBand="0" w:evenHBand="0" w:firstRowFirstColumn="0" w:firstRowLastColumn="0" w:lastRowFirstColumn="0" w:lastRowLastColumn="0"/>
            <w:tcW w:w="988" w:type="dxa"/>
          </w:tcPr>
          <w:p w14:paraId="278FEC08" w14:textId="75E2FC2D" w:rsidR="004458AB" w:rsidRDefault="004458AB" w:rsidP="0016049E">
            <w:pPr>
              <w:spacing w:before="0" w:after="0" w:line="240" w:lineRule="auto"/>
              <w:jc w:val="center"/>
            </w:pPr>
            <w:r>
              <w:t>3</w:t>
            </w:r>
          </w:p>
        </w:tc>
        <w:tc>
          <w:tcPr>
            <w:tcW w:w="5811" w:type="dxa"/>
          </w:tcPr>
          <w:p w14:paraId="38EECC34" w14:textId="77777777" w:rsidR="004458AB" w:rsidRPr="0016049E" w:rsidRDefault="004458AB" w:rsidP="0016049E">
            <w:pPr>
              <w:spacing w:before="0" w:after="0" w:line="240" w:lineRule="auto"/>
              <w:cnfStyle w:val="000000000000" w:firstRow="0" w:lastRow="0" w:firstColumn="0" w:lastColumn="0" w:oddVBand="0" w:evenVBand="0" w:oddHBand="0" w:evenHBand="0" w:firstRowFirstColumn="0" w:firstRowLastColumn="0" w:lastRowFirstColumn="0" w:lastRowLastColumn="0"/>
              <w:rPr>
                <w:b/>
              </w:rPr>
            </w:pPr>
            <w:r w:rsidRPr="0016049E">
              <w:rPr>
                <w:b/>
              </w:rPr>
              <w:t>Pre-application documentation</w:t>
            </w:r>
          </w:p>
          <w:p w14:paraId="66918D91" w14:textId="77777777" w:rsidR="0016049E" w:rsidRDefault="0016049E" w:rsidP="0016049E">
            <w:pPr>
              <w:spacing w:before="0" w:after="0" w:line="240" w:lineRule="auto"/>
              <w:cnfStyle w:val="000000000000" w:firstRow="0" w:lastRow="0" w:firstColumn="0" w:lastColumn="0" w:oddVBand="0" w:evenVBand="0" w:oddHBand="0" w:evenHBand="0" w:firstRowFirstColumn="0" w:firstRowLastColumn="0" w:lastRowFirstColumn="0" w:lastRowLastColumn="0"/>
            </w:pPr>
          </w:p>
          <w:p w14:paraId="2B58E96D" w14:textId="77777777" w:rsidR="004458AB" w:rsidRDefault="004458AB" w:rsidP="0016049E">
            <w:pPr>
              <w:spacing w:before="0" w:after="0" w:line="240" w:lineRule="auto"/>
              <w:cnfStyle w:val="000000000000" w:firstRow="0" w:lastRow="0" w:firstColumn="0" w:lastColumn="0" w:oddVBand="0" w:evenVBand="0" w:oddHBand="0" w:evenHBand="0" w:firstRowFirstColumn="0" w:firstRowLastColumn="0" w:lastRowFirstColumn="0" w:lastRowLastColumn="0"/>
            </w:pPr>
            <w:r>
              <w:t>The application documentation outlines the requirements on potential applicants prior to submitting an application for funding.</w:t>
            </w:r>
          </w:p>
          <w:p w14:paraId="78F0D168" w14:textId="77777777" w:rsidR="0016049E" w:rsidRDefault="0016049E" w:rsidP="0016049E">
            <w:pPr>
              <w:spacing w:before="0" w:after="0" w:line="240" w:lineRule="auto"/>
              <w:cnfStyle w:val="000000000000" w:firstRow="0" w:lastRow="0" w:firstColumn="0" w:lastColumn="0" w:oddVBand="0" w:evenVBand="0" w:oddHBand="0" w:evenHBand="0" w:firstRowFirstColumn="0" w:firstRowLastColumn="0" w:lastRowFirstColumn="0" w:lastRowLastColumn="0"/>
            </w:pPr>
          </w:p>
          <w:p w14:paraId="575EB497" w14:textId="0CFFC5FB" w:rsidR="004458AB" w:rsidRDefault="004458AB" w:rsidP="0016049E">
            <w:pPr>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Each applicant must submit their </w:t>
            </w:r>
            <w:proofErr w:type="spellStart"/>
            <w:r>
              <w:t>publically</w:t>
            </w:r>
            <w:proofErr w:type="spellEnd"/>
            <w:r>
              <w:t xml:space="preserve"> available coverage maps (incorporating, where relevant, all base stations funded under all rounds of the Program including rounds 1, 2 and the Priority Locations round, regardless of the stage of construction) ahead of submitting their application for funding.</w:t>
            </w:r>
          </w:p>
        </w:tc>
        <w:tc>
          <w:tcPr>
            <w:tcW w:w="2261" w:type="dxa"/>
          </w:tcPr>
          <w:p w14:paraId="6742DBD8" w14:textId="01112080" w:rsidR="004458AB" w:rsidRDefault="004458AB" w:rsidP="005F3663">
            <w:pPr>
              <w:spacing w:before="0" w:after="0" w:line="240" w:lineRule="auto"/>
              <w:cnfStyle w:val="000000000000" w:firstRow="0" w:lastRow="0" w:firstColumn="0" w:lastColumn="0" w:oddVBand="0" w:evenVBand="0" w:oddHBand="0" w:evenHBand="0" w:firstRowFirstColumn="0" w:firstRowLastColumn="0" w:lastRowFirstColumn="0" w:lastRowLastColumn="0"/>
            </w:pPr>
            <w:r w:rsidRPr="004458AB">
              <w:t xml:space="preserve">Pre-application documentation due by </w:t>
            </w:r>
            <w:r w:rsidR="008A5CDB" w:rsidRPr="008A5CDB">
              <w:t>2</w:t>
            </w:r>
            <w:r w:rsidR="005F3663">
              <w:t>9</w:t>
            </w:r>
            <w:r w:rsidRPr="008A5CDB">
              <w:t xml:space="preserve"> October 2018</w:t>
            </w:r>
            <w:r w:rsidRPr="004458AB">
              <w:t xml:space="preserve"> (2 weeks after </w:t>
            </w:r>
            <w:r w:rsidR="009D2F66">
              <w:t>opening</w:t>
            </w:r>
            <w:r w:rsidRPr="004458AB">
              <w:t>)</w:t>
            </w:r>
          </w:p>
        </w:tc>
      </w:tr>
      <w:tr w:rsidR="004458AB" w14:paraId="619CE96C" w14:textId="77777777" w:rsidTr="0016049E">
        <w:tc>
          <w:tcPr>
            <w:cnfStyle w:val="001000000000" w:firstRow="0" w:lastRow="0" w:firstColumn="1" w:lastColumn="0" w:oddVBand="0" w:evenVBand="0" w:oddHBand="0" w:evenHBand="0" w:firstRowFirstColumn="0" w:firstRowLastColumn="0" w:lastRowFirstColumn="0" w:lastRowLastColumn="0"/>
            <w:tcW w:w="988" w:type="dxa"/>
          </w:tcPr>
          <w:p w14:paraId="0A1918CA" w14:textId="1FF13798" w:rsidR="004458AB" w:rsidRDefault="004458AB" w:rsidP="0016049E">
            <w:pPr>
              <w:spacing w:before="0" w:after="0" w:line="240" w:lineRule="auto"/>
              <w:jc w:val="center"/>
            </w:pPr>
            <w:r>
              <w:t>4</w:t>
            </w:r>
          </w:p>
        </w:tc>
        <w:tc>
          <w:tcPr>
            <w:tcW w:w="5811" w:type="dxa"/>
          </w:tcPr>
          <w:p w14:paraId="5C338C39" w14:textId="77777777" w:rsidR="004458AB" w:rsidRPr="0016049E" w:rsidRDefault="004458AB" w:rsidP="0016049E">
            <w:pPr>
              <w:spacing w:before="0" w:after="0" w:line="240" w:lineRule="auto"/>
              <w:cnfStyle w:val="000000000000" w:firstRow="0" w:lastRow="0" w:firstColumn="0" w:lastColumn="0" w:oddVBand="0" w:evenVBand="0" w:oddHBand="0" w:evenHBand="0" w:firstRowFirstColumn="0" w:firstRowLastColumn="0" w:lastRowFirstColumn="0" w:lastRowLastColumn="0"/>
              <w:rPr>
                <w:b/>
              </w:rPr>
            </w:pPr>
            <w:r w:rsidRPr="0016049E">
              <w:rPr>
                <w:b/>
              </w:rPr>
              <w:t>Preparing and submitting applications</w:t>
            </w:r>
          </w:p>
          <w:p w14:paraId="499E8BE6" w14:textId="77777777" w:rsidR="0016049E" w:rsidRDefault="0016049E" w:rsidP="0016049E">
            <w:pPr>
              <w:spacing w:before="0" w:after="0" w:line="240" w:lineRule="auto"/>
              <w:cnfStyle w:val="000000000000" w:firstRow="0" w:lastRow="0" w:firstColumn="0" w:lastColumn="0" w:oddVBand="0" w:evenVBand="0" w:oddHBand="0" w:evenHBand="0" w:firstRowFirstColumn="0" w:firstRowLastColumn="0" w:lastRowFirstColumn="0" w:lastRowLastColumn="0"/>
            </w:pPr>
          </w:p>
          <w:p w14:paraId="16FEAE37" w14:textId="77777777" w:rsidR="004458AB" w:rsidRDefault="004458AB" w:rsidP="0016049E">
            <w:pPr>
              <w:spacing w:before="0" w:after="0" w:line="240" w:lineRule="auto"/>
              <w:cnfStyle w:val="000000000000" w:firstRow="0" w:lastRow="0" w:firstColumn="0" w:lastColumn="0" w:oddVBand="0" w:evenVBand="0" w:oddHBand="0" w:evenHBand="0" w:firstRowFirstColumn="0" w:firstRowLastColumn="0" w:lastRowFirstColumn="0" w:lastRowLastColumn="0"/>
            </w:pPr>
            <w:r>
              <w:t>The application documentation describes in detail the Program requirements, and outlines the terms and conditions under which Commonwealth funding is to be made available.</w:t>
            </w:r>
          </w:p>
          <w:p w14:paraId="6269DFFA" w14:textId="77777777" w:rsidR="0016049E" w:rsidRDefault="0016049E" w:rsidP="0016049E">
            <w:pPr>
              <w:spacing w:before="0" w:after="0" w:line="240" w:lineRule="auto"/>
              <w:cnfStyle w:val="000000000000" w:firstRow="0" w:lastRow="0" w:firstColumn="0" w:lastColumn="0" w:oddVBand="0" w:evenVBand="0" w:oddHBand="0" w:evenHBand="0" w:firstRowFirstColumn="0" w:firstRowLastColumn="0" w:lastRowFirstColumn="0" w:lastRowLastColumn="0"/>
            </w:pPr>
          </w:p>
          <w:p w14:paraId="436E23DC" w14:textId="7BF74F01" w:rsidR="004458AB" w:rsidRPr="008A3B1E" w:rsidRDefault="004458AB" w:rsidP="0016049E">
            <w:pPr>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Each applicant must complete the Assessment Tool (AT) for each Proposed Solution for which it is seeking funding, specifying in each case the information set out in </w:t>
            </w:r>
            <w:r w:rsidRPr="00846820">
              <w:t xml:space="preserve">section </w:t>
            </w:r>
            <w:r w:rsidR="0093223F" w:rsidRPr="00846820">
              <w:t>7</w:t>
            </w:r>
            <w:r w:rsidRPr="00846820">
              <w:t>.3.2.</w:t>
            </w:r>
          </w:p>
          <w:p w14:paraId="12C26977" w14:textId="77777777" w:rsidR="0016049E" w:rsidRPr="008A3B1E" w:rsidRDefault="0016049E" w:rsidP="0016049E">
            <w:pPr>
              <w:spacing w:before="0" w:after="0" w:line="240" w:lineRule="auto"/>
              <w:cnfStyle w:val="000000000000" w:firstRow="0" w:lastRow="0" w:firstColumn="0" w:lastColumn="0" w:oddVBand="0" w:evenVBand="0" w:oddHBand="0" w:evenHBand="0" w:firstRowFirstColumn="0" w:firstRowLastColumn="0" w:lastRowFirstColumn="0" w:lastRowLastColumn="0"/>
            </w:pPr>
          </w:p>
          <w:p w14:paraId="73628B61" w14:textId="3C5B54E0" w:rsidR="004458AB" w:rsidRDefault="004458AB" w:rsidP="0016049E">
            <w:pPr>
              <w:spacing w:before="0" w:after="0" w:line="240" w:lineRule="auto"/>
              <w:cnfStyle w:val="000000000000" w:firstRow="0" w:lastRow="0" w:firstColumn="0" w:lastColumn="0" w:oddVBand="0" w:evenVBand="0" w:oddHBand="0" w:evenHBand="0" w:firstRowFirstColumn="0" w:firstRowLastColumn="0" w:lastRowFirstColumn="0" w:lastRowLastColumn="0"/>
            </w:pPr>
            <w:r w:rsidRPr="008A3B1E">
              <w:t xml:space="preserve">The completed AT must include data on the level of coverage that each Proposed Solution will achieve in terms of area. For Macro and Small Cell solutions mapping data must be provided to indicate the area to be covered by handheld coverage meeting the required service standards set out at </w:t>
            </w:r>
            <w:r w:rsidRPr="00846820">
              <w:t xml:space="preserve">section </w:t>
            </w:r>
            <w:r w:rsidR="0093223F" w:rsidRPr="00846820">
              <w:t>3.2.3</w:t>
            </w:r>
            <w:r w:rsidRPr="008A3B1E">
              <w:t>. For</w:t>
            </w:r>
            <w:r>
              <w:t xml:space="preserve"> reporting and value for money assessment purposes the application should also indicate the area of external antenna coverage to be provided, the length of additional </w:t>
            </w:r>
            <w:r>
              <w:lastRenderedPageBreak/>
              <w:t xml:space="preserve">coverage of major transport routes (via external antenna coverage) and additional premises covered (via handheld coverage), as </w:t>
            </w:r>
            <w:r w:rsidRPr="008A3B1E">
              <w:t xml:space="preserve">per </w:t>
            </w:r>
            <w:r w:rsidRPr="00846820">
              <w:t xml:space="preserve">section </w:t>
            </w:r>
            <w:r w:rsidR="0093223F" w:rsidRPr="00846820">
              <w:t>3.2.3</w:t>
            </w:r>
            <w:r w:rsidRPr="00846820">
              <w:t>.</w:t>
            </w:r>
          </w:p>
          <w:p w14:paraId="4754C66F" w14:textId="77777777" w:rsidR="0016049E" w:rsidRDefault="0016049E" w:rsidP="0016049E">
            <w:pPr>
              <w:spacing w:before="0" w:after="0" w:line="240" w:lineRule="auto"/>
              <w:cnfStyle w:val="000000000000" w:firstRow="0" w:lastRow="0" w:firstColumn="0" w:lastColumn="0" w:oddVBand="0" w:evenVBand="0" w:oddHBand="0" w:evenHBand="0" w:firstRowFirstColumn="0" w:firstRowLastColumn="0" w:lastRowFirstColumn="0" w:lastRowLastColumn="0"/>
            </w:pPr>
          </w:p>
          <w:p w14:paraId="7FD8BD5E" w14:textId="5CC074D0" w:rsidR="004458AB" w:rsidRDefault="004458AB" w:rsidP="009110EE">
            <w:pPr>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Applicants may seek all or part of </w:t>
            </w:r>
            <w:r w:rsidR="009110EE">
              <w:t>up to</w:t>
            </w:r>
            <w:r>
              <w:t xml:space="preserve"> $2</w:t>
            </w:r>
            <w:r w:rsidR="009110EE">
              <w:t xml:space="preserve">5 </w:t>
            </w:r>
            <w:r>
              <w:t>million (GST exclusive) funding available through the Program.</w:t>
            </w:r>
          </w:p>
        </w:tc>
        <w:tc>
          <w:tcPr>
            <w:tcW w:w="2261" w:type="dxa"/>
          </w:tcPr>
          <w:p w14:paraId="38E5C3FF" w14:textId="0BD4CA48" w:rsidR="004458AB" w:rsidRDefault="004458AB" w:rsidP="005F3663">
            <w:pPr>
              <w:spacing w:before="0" w:after="0" w:line="240" w:lineRule="auto"/>
              <w:cnfStyle w:val="000000000000" w:firstRow="0" w:lastRow="0" w:firstColumn="0" w:lastColumn="0" w:oddVBand="0" w:evenVBand="0" w:oddHBand="0" w:evenHBand="0" w:firstRowFirstColumn="0" w:firstRowLastColumn="0" w:lastRowFirstColumn="0" w:lastRowLastColumn="0"/>
            </w:pPr>
            <w:r w:rsidRPr="004458AB">
              <w:lastRenderedPageBreak/>
              <w:t xml:space="preserve">Applications due by </w:t>
            </w:r>
            <w:r w:rsidR="005F3663">
              <w:t>10</w:t>
            </w:r>
            <w:r w:rsidR="008A5CDB" w:rsidRPr="008A5CDB">
              <w:t xml:space="preserve"> Dece</w:t>
            </w:r>
            <w:r w:rsidR="00AA03F4" w:rsidRPr="008A5CDB">
              <w:t>mber</w:t>
            </w:r>
            <w:r w:rsidRPr="008A5CDB">
              <w:t xml:space="preserve"> 2018</w:t>
            </w:r>
            <w:r w:rsidRPr="004458AB">
              <w:t xml:space="preserve"> (</w:t>
            </w:r>
            <w:r w:rsidR="00AA03F4">
              <w:t>8</w:t>
            </w:r>
            <w:r w:rsidR="008A5CDB">
              <w:t> </w:t>
            </w:r>
            <w:r w:rsidRPr="004458AB">
              <w:t xml:space="preserve">weeks after </w:t>
            </w:r>
            <w:r w:rsidR="009D2F66">
              <w:t>opening</w:t>
            </w:r>
            <w:r w:rsidRPr="004458AB">
              <w:t>)</w:t>
            </w:r>
          </w:p>
        </w:tc>
      </w:tr>
      <w:tr w:rsidR="004458AB" w14:paraId="3B253EE5" w14:textId="77777777" w:rsidTr="0016049E">
        <w:tc>
          <w:tcPr>
            <w:cnfStyle w:val="001000000000" w:firstRow="0" w:lastRow="0" w:firstColumn="1" w:lastColumn="0" w:oddVBand="0" w:evenVBand="0" w:oddHBand="0" w:evenHBand="0" w:firstRowFirstColumn="0" w:firstRowLastColumn="0" w:lastRowFirstColumn="0" w:lastRowLastColumn="0"/>
            <w:tcW w:w="988" w:type="dxa"/>
          </w:tcPr>
          <w:p w14:paraId="5BB3C1A1" w14:textId="03EE95C5" w:rsidR="004458AB" w:rsidRDefault="004458AB" w:rsidP="0016049E">
            <w:pPr>
              <w:spacing w:before="0" w:after="0" w:line="240" w:lineRule="auto"/>
              <w:jc w:val="center"/>
            </w:pPr>
            <w:r>
              <w:t>5</w:t>
            </w:r>
          </w:p>
        </w:tc>
        <w:tc>
          <w:tcPr>
            <w:tcW w:w="5811" w:type="dxa"/>
          </w:tcPr>
          <w:p w14:paraId="03D17B9F" w14:textId="77777777" w:rsidR="004458AB" w:rsidRPr="0016049E" w:rsidRDefault="004458AB" w:rsidP="0016049E">
            <w:pPr>
              <w:spacing w:before="0" w:after="0" w:line="240" w:lineRule="auto"/>
              <w:cnfStyle w:val="000000000000" w:firstRow="0" w:lastRow="0" w:firstColumn="0" w:lastColumn="0" w:oddVBand="0" w:evenVBand="0" w:oddHBand="0" w:evenHBand="0" w:firstRowFirstColumn="0" w:firstRowLastColumn="0" w:lastRowFirstColumn="0" w:lastRowLastColumn="0"/>
              <w:rPr>
                <w:b/>
              </w:rPr>
            </w:pPr>
            <w:r w:rsidRPr="0016049E">
              <w:rPr>
                <w:b/>
              </w:rPr>
              <w:t>Assessment of Applications</w:t>
            </w:r>
          </w:p>
          <w:p w14:paraId="1A4D5FC0" w14:textId="77777777" w:rsidR="0016049E" w:rsidRDefault="0016049E" w:rsidP="0016049E">
            <w:pPr>
              <w:spacing w:before="0" w:after="0" w:line="240" w:lineRule="auto"/>
              <w:cnfStyle w:val="000000000000" w:firstRow="0" w:lastRow="0" w:firstColumn="0" w:lastColumn="0" w:oddVBand="0" w:evenVBand="0" w:oddHBand="0" w:evenHBand="0" w:firstRowFirstColumn="0" w:firstRowLastColumn="0" w:lastRowFirstColumn="0" w:lastRowLastColumn="0"/>
            </w:pPr>
          </w:p>
          <w:p w14:paraId="798320FA" w14:textId="7833C014" w:rsidR="004458AB" w:rsidRDefault="004458AB" w:rsidP="0016049E">
            <w:pPr>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The Department will assess all eligible applications received by the closing date and time to determine which Proposed Solutions are to be </w:t>
            </w:r>
            <w:r w:rsidRPr="008A3B1E">
              <w:t xml:space="preserve">recommended for Program funding using the processes outlined in </w:t>
            </w:r>
            <w:r w:rsidRPr="00846820">
              <w:t xml:space="preserve">section </w:t>
            </w:r>
            <w:r w:rsidR="0093223F" w:rsidRPr="00846820">
              <w:t>5</w:t>
            </w:r>
            <w:r w:rsidRPr="00846820">
              <w:t>.</w:t>
            </w:r>
            <w:r>
              <w:t xml:space="preserve"> </w:t>
            </w:r>
          </w:p>
          <w:p w14:paraId="4B186B0C" w14:textId="77777777" w:rsidR="0016049E" w:rsidRDefault="0016049E" w:rsidP="0016049E">
            <w:pPr>
              <w:spacing w:before="0" w:after="0" w:line="240" w:lineRule="auto"/>
              <w:cnfStyle w:val="000000000000" w:firstRow="0" w:lastRow="0" w:firstColumn="0" w:lastColumn="0" w:oddVBand="0" w:evenVBand="0" w:oddHBand="0" w:evenHBand="0" w:firstRowFirstColumn="0" w:firstRowLastColumn="0" w:lastRowFirstColumn="0" w:lastRowLastColumn="0"/>
            </w:pPr>
          </w:p>
          <w:p w14:paraId="3695154D" w14:textId="77777777" w:rsidR="004458AB" w:rsidRDefault="004458AB" w:rsidP="0016049E">
            <w:pPr>
              <w:spacing w:before="0" w:after="0" w:line="240" w:lineRule="auto"/>
              <w:cnfStyle w:val="000000000000" w:firstRow="0" w:lastRow="0" w:firstColumn="0" w:lastColumn="0" w:oddVBand="0" w:evenVBand="0" w:oddHBand="0" w:evenHBand="0" w:firstRowFirstColumn="0" w:firstRowLastColumn="0" w:lastRowFirstColumn="0" w:lastRowLastColumn="0"/>
            </w:pPr>
            <w:r>
              <w:t>An expert engineering firm in the mobile telecommunications industry, as appointed by the Department, will test coverage claims.</w:t>
            </w:r>
          </w:p>
          <w:p w14:paraId="255F10E8" w14:textId="77777777" w:rsidR="0016049E" w:rsidRDefault="0016049E" w:rsidP="0016049E">
            <w:pPr>
              <w:spacing w:before="0" w:after="0" w:line="240" w:lineRule="auto"/>
              <w:cnfStyle w:val="000000000000" w:firstRow="0" w:lastRow="0" w:firstColumn="0" w:lastColumn="0" w:oddVBand="0" w:evenVBand="0" w:oddHBand="0" w:evenHBand="0" w:firstRowFirstColumn="0" w:firstRowLastColumn="0" w:lastRowFirstColumn="0" w:lastRowLastColumn="0"/>
            </w:pPr>
          </w:p>
          <w:p w14:paraId="1A181ED3" w14:textId="105EF5D4" w:rsidR="004458AB" w:rsidRDefault="004458AB" w:rsidP="0016049E">
            <w:pPr>
              <w:spacing w:before="0" w:after="0" w:line="240" w:lineRule="auto"/>
              <w:cnfStyle w:val="000000000000" w:firstRow="0" w:lastRow="0" w:firstColumn="0" w:lastColumn="0" w:oddVBand="0" w:evenVBand="0" w:oddHBand="0" w:evenHBand="0" w:firstRowFirstColumn="0" w:firstRowLastColumn="0" w:lastRowFirstColumn="0" w:lastRowLastColumn="0"/>
            </w:pPr>
            <w:r>
              <w:t>The Proposed Solutions recommended for funding through the assessment process will be included on the Merit List provided to the Decision Maker.</w:t>
            </w:r>
          </w:p>
        </w:tc>
        <w:tc>
          <w:tcPr>
            <w:tcW w:w="2261" w:type="dxa"/>
          </w:tcPr>
          <w:p w14:paraId="2A633642" w14:textId="2D1A7146" w:rsidR="004458AB" w:rsidRDefault="008A5CDB" w:rsidP="008A5CDB">
            <w:pPr>
              <w:spacing w:before="0" w:after="0" w:line="240" w:lineRule="auto"/>
              <w:cnfStyle w:val="000000000000" w:firstRow="0" w:lastRow="0" w:firstColumn="0" w:lastColumn="0" w:oddVBand="0" w:evenVBand="0" w:oddHBand="0" w:evenHBand="0" w:firstRowFirstColumn="0" w:firstRowLastColumn="0" w:lastRowFirstColumn="0" w:lastRowLastColumn="0"/>
            </w:pPr>
            <w:r w:rsidRPr="008A5CDB">
              <w:t>December</w:t>
            </w:r>
            <w:r w:rsidR="00AA03F4" w:rsidRPr="008A5CDB">
              <w:t xml:space="preserve"> 2018</w:t>
            </w:r>
            <w:r w:rsidR="004458AB" w:rsidRPr="008A5CDB">
              <w:t xml:space="preserve">- </w:t>
            </w:r>
            <w:r w:rsidR="00AA03F4" w:rsidRPr="008A5CDB">
              <w:t xml:space="preserve">January </w:t>
            </w:r>
            <w:r w:rsidR="004458AB" w:rsidRPr="008A5CDB">
              <w:t>201</w:t>
            </w:r>
            <w:r w:rsidR="00AA03F4" w:rsidRPr="008A5CDB">
              <w:t>9</w:t>
            </w:r>
            <w:r w:rsidR="004458AB" w:rsidRPr="004458AB">
              <w:t xml:space="preserve"> (7</w:t>
            </w:r>
            <w:r>
              <w:t> </w:t>
            </w:r>
            <w:r w:rsidR="004458AB" w:rsidRPr="004458AB">
              <w:t>weeks)</w:t>
            </w:r>
          </w:p>
        </w:tc>
      </w:tr>
      <w:tr w:rsidR="004458AB" w14:paraId="6DE09EE4" w14:textId="77777777" w:rsidTr="0016049E">
        <w:tc>
          <w:tcPr>
            <w:cnfStyle w:val="001000000000" w:firstRow="0" w:lastRow="0" w:firstColumn="1" w:lastColumn="0" w:oddVBand="0" w:evenVBand="0" w:oddHBand="0" w:evenHBand="0" w:firstRowFirstColumn="0" w:firstRowLastColumn="0" w:lastRowFirstColumn="0" w:lastRowLastColumn="0"/>
            <w:tcW w:w="988" w:type="dxa"/>
          </w:tcPr>
          <w:p w14:paraId="1EEAA485" w14:textId="72F447FB" w:rsidR="004458AB" w:rsidRDefault="004458AB" w:rsidP="0016049E">
            <w:pPr>
              <w:spacing w:before="0" w:after="0" w:line="240" w:lineRule="auto"/>
              <w:jc w:val="center"/>
            </w:pPr>
            <w:r>
              <w:t>6</w:t>
            </w:r>
          </w:p>
        </w:tc>
        <w:tc>
          <w:tcPr>
            <w:tcW w:w="5811" w:type="dxa"/>
          </w:tcPr>
          <w:p w14:paraId="124C2798" w14:textId="77777777" w:rsidR="004458AB" w:rsidRPr="0016049E" w:rsidRDefault="004458AB" w:rsidP="0016049E">
            <w:pPr>
              <w:spacing w:before="0" w:after="0" w:line="240" w:lineRule="auto"/>
              <w:cnfStyle w:val="000000000000" w:firstRow="0" w:lastRow="0" w:firstColumn="0" w:lastColumn="0" w:oddVBand="0" w:evenVBand="0" w:oddHBand="0" w:evenHBand="0" w:firstRowFirstColumn="0" w:firstRowLastColumn="0" w:lastRowFirstColumn="0" w:lastRowLastColumn="0"/>
              <w:rPr>
                <w:b/>
              </w:rPr>
            </w:pPr>
            <w:r w:rsidRPr="0016049E">
              <w:rPr>
                <w:b/>
              </w:rPr>
              <w:t>Negotiation of Grant Agreements</w:t>
            </w:r>
          </w:p>
          <w:p w14:paraId="3ED8FF8D" w14:textId="77777777" w:rsidR="0016049E" w:rsidRDefault="0016049E" w:rsidP="0016049E">
            <w:pPr>
              <w:spacing w:before="0" w:after="0" w:line="240" w:lineRule="auto"/>
              <w:cnfStyle w:val="000000000000" w:firstRow="0" w:lastRow="0" w:firstColumn="0" w:lastColumn="0" w:oddVBand="0" w:evenVBand="0" w:oddHBand="0" w:evenHBand="0" w:firstRowFirstColumn="0" w:firstRowLastColumn="0" w:lastRowFirstColumn="0" w:lastRowLastColumn="0"/>
            </w:pPr>
          </w:p>
          <w:p w14:paraId="31AD45B7" w14:textId="14F2AA3C" w:rsidR="004458AB" w:rsidRDefault="004458AB" w:rsidP="0016049E">
            <w:pPr>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Where an applicant requests an amendment to the draft Grant Agreement which is not acceptable to the Commonwealth, the Department will seek to negotiate with the applicant in parallel with the Assessment of Applications </w:t>
            </w:r>
            <w:r w:rsidRPr="008A3B1E">
              <w:t xml:space="preserve">period at </w:t>
            </w:r>
            <w:r w:rsidRPr="00846820">
              <w:t xml:space="preserve">section </w:t>
            </w:r>
            <w:r w:rsidR="0093223F" w:rsidRPr="00846820">
              <w:t xml:space="preserve">7, stage </w:t>
            </w:r>
            <w:r w:rsidRPr="00846820">
              <w:t>5.</w:t>
            </w:r>
          </w:p>
          <w:p w14:paraId="25D09C1E" w14:textId="77777777" w:rsidR="0016049E" w:rsidRDefault="0016049E" w:rsidP="0016049E">
            <w:pPr>
              <w:spacing w:before="0" w:after="0" w:line="240" w:lineRule="auto"/>
              <w:cnfStyle w:val="000000000000" w:firstRow="0" w:lastRow="0" w:firstColumn="0" w:lastColumn="0" w:oddVBand="0" w:evenVBand="0" w:oddHBand="0" w:evenHBand="0" w:firstRowFirstColumn="0" w:firstRowLastColumn="0" w:lastRowFirstColumn="0" w:lastRowLastColumn="0"/>
            </w:pPr>
          </w:p>
          <w:p w14:paraId="2AB6472D" w14:textId="5F583BD2" w:rsidR="004458AB" w:rsidRDefault="004458AB" w:rsidP="0016049E">
            <w:pPr>
              <w:spacing w:before="0" w:after="0" w:line="240" w:lineRule="auto"/>
              <w:cnfStyle w:val="000000000000" w:firstRow="0" w:lastRow="0" w:firstColumn="0" w:lastColumn="0" w:oddVBand="0" w:evenVBand="0" w:oddHBand="0" w:evenHBand="0" w:firstRowFirstColumn="0" w:firstRowLastColumn="0" w:lastRowFirstColumn="0" w:lastRowLastColumn="0"/>
            </w:pPr>
            <w:r>
              <w:t>Any of the Proposed Solutions contained within an application will not be recommended for funding unless the applicant has reached agreement with the Commonwealth on the terms of the Grant Agreement.</w:t>
            </w:r>
          </w:p>
        </w:tc>
        <w:tc>
          <w:tcPr>
            <w:tcW w:w="2261" w:type="dxa"/>
          </w:tcPr>
          <w:p w14:paraId="2DD5606A" w14:textId="3BBC838E" w:rsidR="004458AB" w:rsidRDefault="004458AB" w:rsidP="00AA03F4">
            <w:pPr>
              <w:spacing w:before="0" w:after="0" w:line="240" w:lineRule="auto"/>
              <w:cnfStyle w:val="000000000000" w:firstRow="0" w:lastRow="0" w:firstColumn="0" w:lastColumn="0" w:oddVBand="0" w:evenVBand="0" w:oddHBand="0" w:evenHBand="0" w:firstRowFirstColumn="0" w:firstRowLastColumn="0" w:lastRowFirstColumn="0" w:lastRowLastColumn="0"/>
            </w:pPr>
            <w:r w:rsidRPr="008A5CDB">
              <w:t>December 2018</w:t>
            </w:r>
            <w:r w:rsidR="006E4306">
              <w:t xml:space="preserve"> - </w:t>
            </w:r>
            <w:r w:rsidR="006E4306" w:rsidRPr="008A5CDB">
              <w:t xml:space="preserve">January </w:t>
            </w:r>
            <w:r w:rsidR="006E4306">
              <w:t>2019</w:t>
            </w:r>
          </w:p>
        </w:tc>
      </w:tr>
      <w:tr w:rsidR="004458AB" w14:paraId="24985D0E" w14:textId="77777777" w:rsidTr="0016049E">
        <w:tc>
          <w:tcPr>
            <w:cnfStyle w:val="001000000000" w:firstRow="0" w:lastRow="0" w:firstColumn="1" w:lastColumn="0" w:oddVBand="0" w:evenVBand="0" w:oddHBand="0" w:evenHBand="0" w:firstRowFirstColumn="0" w:firstRowLastColumn="0" w:lastRowFirstColumn="0" w:lastRowLastColumn="0"/>
            <w:tcW w:w="988" w:type="dxa"/>
          </w:tcPr>
          <w:p w14:paraId="5D3C8F9B" w14:textId="207A68D6" w:rsidR="004458AB" w:rsidRDefault="004458AB" w:rsidP="005E232C">
            <w:pPr>
              <w:spacing w:before="0" w:after="0" w:line="240" w:lineRule="auto"/>
              <w:jc w:val="center"/>
            </w:pPr>
            <w:r>
              <w:t>7</w:t>
            </w:r>
          </w:p>
        </w:tc>
        <w:tc>
          <w:tcPr>
            <w:tcW w:w="5811" w:type="dxa"/>
          </w:tcPr>
          <w:p w14:paraId="443D8F9A" w14:textId="77777777" w:rsidR="004458AB" w:rsidRDefault="004458AB" w:rsidP="0016049E">
            <w:pPr>
              <w:spacing w:before="0" w:after="0" w:line="240" w:lineRule="auto"/>
              <w:cnfStyle w:val="000000000000" w:firstRow="0" w:lastRow="0" w:firstColumn="0" w:lastColumn="0" w:oddVBand="0" w:evenVBand="0" w:oddHBand="0" w:evenHBand="0" w:firstRowFirstColumn="0" w:firstRowLastColumn="0" w:lastRowFirstColumn="0" w:lastRowLastColumn="0"/>
              <w:rPr>
                <w:b/>
              </w:rPr>
            </w:pPr>
            <w:r w:rsidRPr="004458AB">
              <w:rPr>
                <w:b/>
              </w:rPr>
              <w:t>Grantees advised of outcomes and funding arrangements finalised</w:t>
            </w:r>
          </w:p>
          <w:p w14:paraId="4C534677" w14:textId="77777777" w:rsidR="005E232C" w:rsidRPr="004458AB" w:rsidRDefault="005E232C" w:rsidP="0016049E">
            <w:pPr>
              <w:spacing w:before="0" w:after="0" w:line="240" w:lineRule="auto"/>
              <w:cnfStyle w:val="000000000000" w:firstRow="0" w:lastRow="0" w:firstColumn="0" w:lastColumn="0" w:oddVBand="0" w:evenVBand="0" w:oddHBand="0" w:evenHBand="0" w:firstRowFirstColumn="0" w:firstRowLastColumn="0" w:lastRowFirstColumn="0" w:lastRowLastColumn="0"/>
              <w:rPr>
                <w:b/>
              </w:rPr>
            </w:pPr>
          </w:p>
          <w:p w14:paraId="4581534C" w14:textId="0B55CDFB" w:rsidR="004458AB" w:rsidRDefault="004458AB" w:rsidP="0016049E">
            <w:pPr>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The Department will notify each applicant of the Proposed Solutions included in their application which are included on the Decision Maker’s </w:t>
            </w:r>
            <w:r w:rsidR="0016049E">
              <w:t xml:space="preserve">List. Extracts of the Decision </w:t>
            </w:r>
            <w:r>
              <w:t>Maker’s List will also be provided to other relevant stakeholders.</w:t>
            </w:r>
          </w:p>
          <w:p w14:paraId="75CBD3EC" w14:textId="77777777" w:rsidR="0016049E" w:rsidRDefault="0016049E" w:rsidP="0016049E">
            <w:pPr>
              <w:spacing w:before="0" w:after="0" w:line="240" w:lineRule="auto"/>
              <w:cnfStyle w:val="000000000000" w:firstRow="0" w:lastRow="0" w:firstColumn="0" w:lastColumn="0" w:oddVBand="0" w:evenVBand="0" w:oddHBand="0" w:evenHBand="0" w:firstRowFirstColumn="0" w:firstRowLastColumn="0" w:lastRowFirstColumn="0" w:lastRowLastColumn="0"/>
            </w:pPr>
          </w:p>
          <w:p w14:paraId="0D65716A" w14:textId="77777777" w:rsidR="004458AB" w:rsidRDefault="004458AB" w:rsidP="0016049E">
            <w:pPr>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Each successful Applicant must enter into a legally binding Grant Agreement with the Commonwealth prior to the Government’s announcement of successful locations and Grantees. </w:t>
            </w:r>
          </w:p>
          <w:p w14:paraId="73232737" w14:textId="77777777" w:rsidR="0016049E" w:rsidRDefault="0016049E" w:rsidP="0016049E">
            <w:pPr>
              <w:spacing w:before="0" w:after="0" w:line="240" w:lineRule="auto"/>
              <w:cnfStyle w:val="000000000000" w:firstRow="0" w:lastRow="0" w:firstColumn="0" w:lastColumn="0" w:oddVBand="0" w:evenVBand="0" w:oddHBand="0" w:evenHBand="0" w:firstRowFirstColumn="0" w:firstRowLastColumn="0" w:lastRowFirstColumn="0" w:lastRowLastColumn="0"/>
            </w:pPr>
          </w:p>
          <w:p w14:paraId="07BCAB14" w14:textId="77777777" w:rsidR="004458AB" w:rsidRDefault="004458AB" w:rsidP="0016049E">
            <w:pPr>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The Grantee’s participation in the Program becomes effective from the date of execution of the Grant Agreement by the Commonwealth. Shortly after execution of the Grant Agreement, the Grantee’s details </w:t>
            </w:r>
            <w:r>
              <w:lastRenderedPageBreak/>
              <w:t>and amount of funding awarded will be made available on GrantConnect in accordance with the Commonwealth’s grant reporting requirements.</w:t>
            </w:r>
          </w:p>
          <w:p w14:paraId="6FB0F7E6" w14:textId="77777777" w:rsidR="0016049E" w:rsidRDefault="0016049E" w:rsidP="0016049E">
            <w:pPr>
              <w:spacing w:before="0" w:after="0" w:line="240" w:lineRule="auto"/>
              <w:cnfStyle w:val="000000000000" w:firstRow="0" w:lastRow="0" w:firstColumn="0" w:lastColumn="0" w:oddVBand="0" w:evenVBand="0" w:oddHBand="0" w:evenHBand="0" w:firstRowFirstColumn="0" w:firstRowLastColumn="0" w:lastRowFirstColumn="0" w:lastRowLastColumn="0"/>
            </w:pPr>
          </w:p>
          <w:p w14:paraId="775E1408" w14:textId="6BFBE140" w:rsidR="004458AB" w:rsidRDefault="004458AB" w:rsidP="0016049E">
            <w:pPr>
              <w:spacing w:before="0" w:after="0" w:line="240" w:lineRule="auto"/>
              <w:cnfStyle w:val="000000000000" w:firstRow="0" w:lastRow="0" w:firstColumn="0" w:lastColumn="0" w:oddVBand="0" w:evenVBand="0" w:oddHBand="0" w:evenHBand="0" w:firstRowFirstColumn="0" w:firstRowLastColumn="0" w:lastRowFirstColumn="0" w:lastRowLastColumn="0"/>
            </w:pPr>
            <w:r>
              <w:t>Where a Proposed Solution includes a financial co-contribution from a State or Territory government, the Grantee must finalise the commercial agreement governing the terms and conditions of the State/Territory’s financial contribution directly with the relevant jurisdiction.</w:t>
            </w:r>
          </w:p>
        </w:tc>
        <w:tc>
          <w:tcPr>
            <w:tcW w:w="2261" w:type="dxa"/>
          </w:tcPr>
          <w:p w14:paraId="6F33783B" w14:textId="468D4EAB" w:rsidR="004458AB" w:rsidRDefault="00AA03F4" w:rsidP="0016049E">
            <w:pPr>
              <w:spacing w:before="0" w:after="0" w:line="240" w:lineRule="auto"/>
              <w:cnfStyle w:val="000000000000" w:firstRow="0" w:lastRow="0" w:firstColumn="0" w:lastColumn="0" w:oddVBand="0" w:evenVBand="0" w:oddHBand="0" w:evenHBand="0" w:firstRowFirstColumn="0" w:firstRowLastColumn="0" w:lastRowFirstColumn="0" w:lastRowLastColumn="0"/>
            </w:pPr>
            <w:r w:rsidRPr="008A5CDB">
              <w:lastRenderedPageBreak/>
              <w:t xml:space="preserve">January </w:t>
            </w:r>
            <w:r w:rsidR="006E4306">
              <w:t>2019</w:t>
            </w:r>
          </w:p>
        </w:tc>
      </w:tr>
      <w:tr w:rsidR="004458AB" w14:paraId="14241839" w14:textId="77777777" w:rsidTr="008A5CDB">
        <w:tc>
          <w:tcPr>
            <w:cnfStyle w:val="001000000000" w:firstRow="0" w:lastRow="0" w:firstColumn="1" w:lastColumn="0" w:oddVBand="0" w:evenVBand="0" w:oddHBand="0" w:evenHBand="0" w:firstRowFirstColumn="0" w:firstRowLastColumn="0" w:lastRowFirstColumn="0" w:lastRowLastColumn="0"/>
            <w:tcW w:w="988" w:type="dxa"/>
          </w:tcPr>
          <w:p w14:paraId="1534B8F1" w14:textId="1AA2EA65" w:rsidR="004458AB" w:rsidRDefault="004458AB" w:rsidP="005E232C">
            <w:pPr>
              <w:spacing w:before="0" w:after="0" w:line="240" w:lineRule="auto"/>
              <w:jc w:val="center"/>
            </w:pPr>
            <w:r>
              <w:t>8</w:t>
            </w:r>
          </w:p>
        </w:tc>
        <w:tc>
          <w:tcPr>
            <w:tcW w:w="5811" w:type="dxa"/>
          </w:tcPr>
          <w:p w14:paraId="322D3385" w14:textId="77777777" w:rsidR="004458AB" w:rsidRPr="0016049E" w:rsidRDefault="004458AB" w:rsidP="0016049E">
            <w:pPr>
              <w:spacing w:before="0" w:after="0" w:line="240" w:lineRule="auto"/>
              <w:cnfStyle w:val="000000000000" w:firstRow="0" w:lastRow="0" w:firstColumn="0" w:lastColumn="0" w:oddVBand="0" w:evenVBand="0" w:oddHBand="0" w:evenHBand="0" w:firstRowFirstColumn="0" w:firstRowLastColumn="0" w:lastRowFirstColumn="0" w:lastRowLastColumn="0"/>
              <w:rPr>
                <w:b/>
              </w:rPr>
            </w:pPr>
            <w:r w:rsidRPr="0016049E">
              <w:rPr>
                <w:b/>
              </w:rPr>
              <w:t>Grantees and locations announced</w:t>
            </w:r>
          </w:p>
          <w:p w14:paraId="1CB53B4F" w14:textId="77777777" w:rsidR="0016049E" w:rsidRDefault="0016049E" w:rsidP="0016049E">
            <w:pPr>
              <w:spacing w:before="0" w:after="0" w:line="240" w:lineRule="auto"/>
              <w:cnfStyle w:val="000000000000" w:firstRow="0" w:lastRow="0" w:firstColumn="0" w:lastColumn="0" w:oddVBand="0" w:evenVBand="0" w:oddHBand="0" w:evenHBand="0" w:firstRowFirstColumn="0" w:firstRowLastColumn="0" w:lastRowFirstColumn="0" w:lastRowLastColumn="0"/>
            </w:pPr>
          </w:p>
          <w:p w14:paraId="22A7B577" w14:textId="6CF2295B" w:rsidR="004458AB" w:rsidRDefault="004458AB" w:rsidP="00A00044">
            <w:pPr>
              <w:spacing w:before="0" w:after="0" w:line="240" w:lineRule="auto"/>
              <w:cnfStyle w:val="000000000000" w:firstRow="0" w:lastRow="0" w:firstColumn="0" w:lastColumn="0" w:oddVBand="0" w:evenVBand="0" w:oddHBand="0" w:evenHBand="0" w:firstRowFirstColumn="0" w:firstRowLastColumn="0" w:lastRowFirstColumn="0" w:lastRowLastColumn="0"/>
            </w:pPr>
            <w:r w:rsidRPr="004458AB">
              <w:t xml:space="preserve">The locations of Funded Solutions and Grantees are expected to be announced by the Government in </w:t>
            </w:r>
            <w:r w:rsidR="00421272">
              <w:t>January</w:t>
            </w:r>
            <w:r w:rsidRPr="004458AB">
              <w:t xml:space="preserve"> 201</w:t>
            </w:r>
            <w:r w:rsidR="00A00044">
              <w:t>9</w:t>
            </w:r>
            <w:r w:rsidRPr="004458AB">
              <w:t>. The outcomes of this process and grant outcomes will be published on GrantConnect.</w:t>
            </w:r>
          </w:p>
        </w:tc>
        <w:tc>
          <w:tcPr>
            <w:tcW w:w="2261" w:type="dxa"/>
            <w:shd w:val="clear" w:color="auto" w:fill="auto"/>
          </w:tcPr>
          <w:p w14:paraId="16E96DC0" w14:textId="7D60E9B5" w:rsidR="004458AB" w:rsidRDefault="00AA03F4" w:rsidP="009D2F66">
            <w:pPr>
              <w:spacing w:before="0" w:after="0" w:line="240" w:lineRule="auto"/>
              <w:cnfStyle w:val="000000000000" w:firstRow="0" w:lastRow="0" w:firstColumn="0" w:lastColumn="0" w:oddVBand="0" w:evenVBand="0" w:oddHBand="0" w:evenHBand="0" w:firstRowFirstColumn="0" w:firstRowLastColumn="0" w:lastRowFirstColumn="0" w:lastRowLastColumn="0"/>
            </w:pPr>
            <w:r w:rsidRPr="008A5CDB">
              <w:t xml:space="preserve">January </w:t>
            </w:r>
            <w:r w:rsidR="009D2F66" w:rsidRPr="008A5CDB">
              <w:t>201</w:t>
            </w:r>
            <w:r w:rsidR="009D2F66">
              <w:t>9</w:t>
            </w:r>
          </w:p>
        </w:tc>
      </w:tr>
      <w:tr w:rsidR="004458AB" w14:paraId="7E715BC0" w14:textId="77777777" w:rsidTr="0016049E">
        <w:tc>
          <w:tcPr>
            <w:cnfStyle w:val="001000000000" w:firstRow="0" w:lastRow="0" w:firstColumn="1" w:lastColumn="0" w:oddVBand="0" w:evenVBand="0" w:oddHBand="0" w:evenHBand="0" w:firstRowFirstColumn="0" w:firstRowLastColumn="0" w:lastRowFirstColumn="0" w:lastRowLastColumn="0"/>
            <w:tcW w:w="988" w:type="dxa"/>
          </w:tcPr>
          <w:p w14:paraId="7B9FD391" w14:textId="7706E38E" w:rsidR="004458AB" w:rsidRDefault="004458AB" w:rsidP="005E232C">
            <w:pPr>
              <w:spacing w:before="0" w:after="0" w:line="240" w:lineRule="auto"/>
              <w:jc w:val="center"/>
            </w:pPr>
            <w:r>
              <w:t>9</w:t>
            </w:r>
          </w:p>
        </w:tc>
        <w:tc>
          <w:tcPr>
            <w:tcW w:w="5811" w:type="dxa"/>
          </w:tcPr>
          <w:p w14:paraId="60D72A25" w14:textId="77777777" w:rsidR="004458AB" w:rsidRPr="0016049E" w:rsidRDefault="004458AB" w:rsidP="0016049E">
            <w:pPr>
              <w:spacing w:before="0" w:after="0" w:line="240" w:lineRule="auto"/>
              <w:cnfStyle w:val="000000000000" w:firstRow="0" w:lastRow="0" w:firstColumn="0" w:lastColumn="0" w:oddVBand="0" w:evenVBand="0" w:oddHBand="0" w:evenHBand="0" w:firstRowFirstColumn="0" w:firstRowLastColumn="0" w:lastRowFirstColumn="0" w:lastRowLastColumn="0"/>
              <w:rPr>
                <w:b/>
              </w:rPr>
            </w:pPr>
            <w:r w:rsidRPr="0016049E">
              <w:rPr>
                <w:b/>
              </w:rPr>
              <w:t>Co-location negotiations</w:t>
            </w:r>
          </w:p>
          <w:p w14:paraId="53F297C5" w14:textId="77777777" w:rsidR="0016049E" w:rsidRDefault="0016049E" w:rsidP="0016049E">
            <w:pPr>
              <w:spacing w:before="0" w:after="0" w:line="240" w:lineRule="auto"/>
              <w:cnfStyle w:val="000000000000" w:firstRow="0" w:lastRow="0" w:firstColumn="0" w:lastColumn="0" w:oddVBand="0" w:evenVBand="0" w:oddHBand="0" w:evenHBand="0" w:firstRowFirstColumn="0" w:firstRowLastColumn="0" w:lastRowFirstColumn="0" w:lastRowLastColumn="0"/>
            </w:pPr>
          </w:p>
          <w:p w14:paraId="3D845537" w14:textId="5439EED3" w:rsidR="004458AB" w:rsidRDefault="004458AB">
            <w:pPr>
              <w:spacing w:before="0" w:after="0" w:line="240" w:lineRule="auto"/>
              <w:cnfStyle w:val="000000000000" w:firstRow="0" w:lastRow="0" w:firstColumn="0" w:lastColumn="0" w:oddVBand="0" w:evenVBand="0" w:oddHBand="0" w:evenHBand="0" w:firstRowFirstColumn="0" w:firstRowLastColumn="0" w:lastRowFirstColumn="0" w:lastRowLastColumn="0"/>
            </w:pPr>
            <w:r w:rsidRPr="004458AB">
              <w:t xml:space="preserve">Grantees will notify other MNOs of the opportunity to co-locate on Funded Solutions, and to participate in the </w:t>
            </w:r>
            <w:r w:rsidRPr="008A3B1E">
              <w:t xml:space="preserve">detailed design phase using the process set out in </w:t>
            </w:r>
            <w:r w:rsidRPr="00846820">
              <w:t xml:space="preserve">section </w:t>
            </w:r>
            <w:r w:rsidR="0093223F" w:rsidRPr="00846820">
              <w:t>3.2.9 to 3.2.20</w:t>
            </w:r>
            <w:r w:rsidRPr="008A3B1E">
              <w:t>.</w:t>
            </w:r>
          </w:p>
        </w:tc>
        <w:tc>
          <w:tcPr>
            <w:tcW w:w="2261" w:type="dxa"/>
          </w:tcPr>
          <w:p w14:paraId="18C5FC6B" w14:textId="55EDD7AC" w:rsidR="004458AB" w:rsidRDefault="0016049E" w:rsidP="0016049E">
            <w:pPr>
              <w:spacing w:before="0" w:after="0" w:line="240" w:lineRule="auto"/>
              <w:cnfStyle w:val="000000000000" w:firstRow="0" w:lastRow="0" w:firstColumn="0" w:lastColumn="0" w:oddVBand="0" w:evenVBand="0" w:oddHBand="0" w:evenHBand="0" w:firstRowFirstColumn="0" w:firstRowLastColumn="0" w:lastRowFirstColumn="0" w:lastRowLastColumn="0"/>
            </w:pPr>
            <w:r w:rsidRPr="008A5CDB">
              <w:t>F</w:t>
            </w:r>
            <w:r w:rsidR="004458AB" w:rsidRPr="008A5CDB">
              <w:t>rom January 2019</w:t>
            </w:r>
          </w:p>
        </w:tc>
      </w:tr>
      <w:tr w:rsidR="004458AB" w14:paraId="43973396" w14:textId="77777777" w:rsidTr="0016049E">
        <w:tc>
          <w:tcPr>
            <w:cnfStyle w:val="001000000000" w:firstRow="0" w:lastRow="0" w:firstColumn="1" w:lastColumn="0" w:oddVBand="0" w:evenVBand="0" w:oddHBand="0" w:evenHBand="0" w:firstRowFirstColumn="0" w:firstRowLastColumn="0" w:lastRowFirstColumn="0" w:lastRowLastColumn="0"/>
            <w:tcW w:w="988" w:type="dxa"/>
          </w:tcPr>
          <w:p w14:paraId="218C7CD2" w14:textId="5E54A7A2" w:rsidR="004458AB" w:rsidRDefault="004458AB" w:rsidP="005E232C">
            <w:pPr>
              <w:spacing w:before="0" w:after="0" w:line="240" w:lineRule="auto"/>
              <w:jc w:val="center"/>
            </w:pPr>
            <w:r>
              <w:t>10</w:t>
            </w:r>
          </w:p>
        </w:tc>
        <w:tc>
          <w:tcPr>
            <w:tcW w:w="5811" w:type="dxa"/>
          </w:tcPr>
          <w:p w14:paraId="35BDBE4E" w14:textId="77777777" w:rsidR="004458AB" w:rsidRPr="008A5CDB" w:rsidRDefault="0016049E" w:rsidP="0016049E">
            <w:pPr>
              <w:spacing w:before="0" w:after="0" w:line="240" w:lineRule="auto"/>
              <w:cnfStyle w:val="000000000000" w:firstRow="0" w:lastRow="0" w:firstColumn="0" w:lastColumn="0" w:oddVBand="0" w:evenVBand="0" w:oddHBand="0" w:evenHBand="0" w:firstRowFirstColumn="0" w:firstRowLastColumn="0" w:lastRowFirstColumn="0" w:lastRowLastColumn="0"/>
              <w:rPr>
                <w:b/>
              </w:rPr>
            </w:pPr>
            <w:r w:rsidRPr="008A5CDB">
              <w:rPr>
                <w:b/>
              </w:rPr>
              <w:t>Date of Rollout Completion</w:t>
            </w:r>
          </w:p>
          <w:p w14:paraId="7FD61BB9" w14:textId="77777777" w:rsidR="0016049E" w:rsidRPr="008A5CDB" w:rsidRDefault="0016049E" w:rsidP="0016049E">
            <w:pPr>
              <w:spacing w:before="0" w:after="0" w:line="240" w:lineRule="auto"/>
              <w:cnfStyle w:val="000000000000" w:firstRow="0" w:lastRow="0" w:firstColumn="0" w:lastColumn="0" w:oddVBand="0" w:evenVBand="0" w:oddHBand="0" w:evenHBand="0" w:firstRowFirstColumn="0" w:firstRowLastColumn="0" w:lastRowFirstColumn="0" w:lastRowLastColumn="0"/>
            </w:pPr>
          </w:p>
          <w:p w14:paraId="259D4C72" w14:textId="75387C5B" w:rsidR="0016049E" w:rsidRPr="008A5CDB" w:rsidRDefault="0016049E" w:rsidP="0016049E">
            <w:pPr>
              <w:spacing w:before="0" w:after="0" w:line="240" w:lineRule="auto"/>
              <w:cnfStyle w:val="000000000000" w:firstRow="0" w:lastRow="0" w:firstColumn="0" w:lastColumn="0" w:oddVBand="0" w:evenVBand="0" w:oddHBand="0" w:evenHBand="0" w:firstRowFirstColumn="0" w:firstRowLastColumn="0" w:lastRowFirstColumn="0" w:lastRowLastColumn="0"/>
            </w:pPr>
            <w:r w:rsidRPr="008A5CDB">
              <w:t>Grantees will be expected to complete the rollout of all Funded Solutions by 30 June 2020 (</w:t>
            </w:r>
            <w:r w:rsidRPr="008A5CDB">
              <w:rPr>
                <w:b/>
              </w:rPr>
              <w:t>Date of Rollout Completion</w:t>
            </w:r>
            <w:r w:rsidRPr="008A5CDB">
              <w:t>). The Date of Rollout Completion will be agreed in the Grant Agreement.</w:t>
            </w:r>
          </w:p>
        </w:tc>
        <w:tc>
          <w:tcPr>
            <w:tcW w:w="2261" w:type="dxa"/>
          </w:tcPr>
          <w:p w14:paraId="1E8A882F" w14:textId="55718A5E" w:rsidR="004458AB" w:rsidRPr="008A5CDB" w:rsidRDefault="0016049E" w:rsidP="0016049E">
            <w:pPr>
              <w:spacing w:before="0" w:after="0" w:line="240" w:lineRule="auto"/>
              <w:cnfStyle w:val="000000000000" w:firstRow="0" w:lastRow="0" w:firstColumn="0" w:lastColumn="0" w:oddVBand="0" w:evenVBand="0" w:oddHBand="0" w:evenHBand="0" w:firstRowFirstColumn="0" w:firstRowLastColumn="0" w:lastRowFirstColumn="0" w:lastRowLastColumn="0"/>
            </w:pPr>
            <w:r w:rsidRPr="008A5CDB">
              <w:t>30 June 2020</w:t>
            </w:r>
          </w:p>
        </w:tc>
      </w:tr>
    </w:tbl>
    <w:p w14:paraId="0DA8B511" w14:textId="722B1FB4" w:rsidR="0016049E" w:rsidRPr="0016049E" w:rsidRDefault="0016049E" w:rsidP="00087F4A">
      <w:pPr>
        <w:pStyle w:val="Heading2Numbered"/>
        <w:numPr>
          <w:ilvl w:val="1"/>
          <w:numId w:val="42"/>
        </w:numPr>
      </w:pPr>
      <w:bookmarkStart w:id="101" w:name="_Toc434092400"/>
      <w:bookmarkStart w:id="102" w:name="_Toc434093410"/>
      <w:bookmarkStart w:id="103" w:name="_Toc434093552"/>
      <w:bookmarkStart w:id="104" w:name="_Toc434225274"/>
      <w:bookmarkStart w:id="105" w:name="_Toc434228397"/>
      <w:bookmarkStart w:id="106" w:name="_Toc434841088"/>
      <w:bookmarkStart w:id="107" w:name="_Toc435080428"/>
      <w:bookmarkStart w:id="108" w:name="_Toc434092402"/>
      <w:bookmarkStart w:id="109" w:name="_Toc434093412"/>
      <w:bookmarkStart w:id="110" w:name="_Toc434093554"/>
      <w:bookmarkStart w:id="111" w:name="_Toc434225276"/>
      <w:bookmarkStart w:id="112" w:name="_Toc434228399"/>
      <w:bookmarkStart w:id="113" w:name="_Toc434841090"/>
      <w:bookmarkStart w:id="114" w:name="_Toc435080430"/>
      <w:bookmarkStart w:id="115" w:name="_Toc434092403"/>
      <w:bookmarkStart w:id="116" w:name="_Toc434093413"/>
      <w:bookmarkStart w:id="117" w:name="_Toc434093555"/>
      <w:bookmarkStart w:id="118" w:name="_Toc434225277"/>
      <w:bookmarkStart w:id="119" w:name="_Toc434228400"/>
      <w:bookmarkStart w:id="120" w:name="_Toc434841091"/>
      <w:bookmarkStart w:id="121" w:name="_Toc435080431"/>
      <w:bookmarkStart w:id="122" w:name="_Toc434092404"/>
      <w:bookmarkStart w:id="123" w:name="_Toc434093414"/>
      <w:bookmarkStart w:id="124" w:name="_Toc434093556"/>
      <w:bookmarkStart w:id="125" w:name="_Toc434225278"/>
      <w:bookmarkStart w:id="126" w:name="_Toc434228401"/>
      <w:bookmarkStart w:id="127" w:name="_Toc434841092"/>
      <w:bookmarkStart w:id="128" w:name="_Toc435080432"/>
      <w:bookmarkStart w:id="129" w:name="_Toc386620978"/>
      <w:bookmarkStart w:id="130" w:name="_Toc386620979"/>
      <w:bookmarkStart w:id="131" w:name="_Toc52341162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t>Applicant registration</w:t>
      </w:r>
      <w:bookmarkEnd w:id="131"/>
    </w:p>
    <w:p w14:paraId="03169376" w14:textId="7B6C3971" w:rsidR="00DD550E" w:rsidRPr="001D3040" w:rsidRDefault="00301B7F" w:rsidP="001D3040">
      <w:pPr>
        <w:pStyle w:val="Bodynumbered-Level1"/>
        <w:rPr>
          <w:rFonts w:asciiTheme="minorHAnsi" w:hAnsiTheme="minorHAnsi" w:cstheme="minorHAnsi"/>
        </w:rPr>
      </w:pPr>
      <w:r>
        <w:rPr>
          <w:rFonts w:asciiTheme="minorHAnsi" w:hAnsiTheme="minorHAnsi" w:cstheme="minorHAnsi"/>
        </w:rPr>
        <w:t>7</w:t>
      </w:r>
      <w:r w:rsidR="00C845AF">
        <w:rPr>
          <w:rFonts w:asciiTheme="minorHAnsi" w:hAnsiTheme="minorHAnsi" w:cstheme="minorHAnsi"/>
        </w:rPr>
        <w:t>.1</w:t>
      </w:r>
      <w:r w:rsidR="0016049E">
        <w:rPr>
          <w:rFonts w:asciiTheme="minorHAnsi" w:hAnsiTheme="minorHAnsi" w:cstheme="minorHAnsi"/>
        </w:rPr>
        <w:t>.</w:t>
      </w:r>
      <w:r w:rsidR="001D3040" w:rsidRPr="001D3040">
        <w:rPr>
          <w:rFonts w:asciiTheme="minorHAnsi" w:hAnsiTheme="minorHAnsi" w:cstheme="minorHAnsi"/>
        </w:rPr>
        <w:t>1</w:t>
      </w:r>
      <w:r w:rsidR="001D3040" w:rsidRPr="001D3040">
        <w:rPr>
          <w:rFonts w:asciiTheme="minorHAnsi" w:hAnsiTheme="minorHAnsi" w:cstheme="minorHAnsi"/>
        </w:rPr>
        <w:tab/>
        <w:t>Potential applicants must register their interest with the Department and sign a Non</w:t>
      </w:r>
      <w:r w:rsidR="001D3040" w:rsidRPr="001D3040">
        <w:rPr>
          <w:rFonts w:asciiTheme="minorHAnsi" w:hAnsiTheme="minorHAnsi" w:cstheme="minorHAnsi"/>
        </w:rPr>
        <w:noBreakHyphen/>
        <w:t>Disclosure Agreement prior to being granted access to the Program documentation for this round.</w:t>
      </w:r>
    </w:p>
    <w:p w14:paraId="3C0C2E35" w14:textId="4A9BDA9A" w:rsidR="00B51701" w:rsidRPr="009C2179" w:rsidRDefault="009C2179" w:rsidP="00087F4A">
      <w:pPr>
        <w:pStyle w:val="Heading2Numbered"/>
        <w:numPr>
          <w:ilvl w:val="1"/>
          <w:numId w:val="42"/>
        </w:numPr>
      </w:pPr>
      <w:bookmarkStart w:id="132" w:name="_Toc523411626"/>
      <w:r>
        <w:t>Pre-application lodgement</w:t>
      </w:r>
      <w:bookmarkEnd w:id="132"/>
    </w:p>
    <w:p w14:paraId="03169378" w14:textId="57352B9D" w:rsidR="001D3040" w:rsidRPr="001D3040" w:rsidRDefault="00301B7F" w:rsidP="001D3040">
      <w:pPr>
        <w:pStyle w:val="Bodynumbered-Level1"/>
        <w:rPr>
          <w:rFonts w:asciiTheme="minorHAnsi" w:hAnsiTheme="minorHAnsi" w:cstheme="minorHAnsi"/>
        </w:rPr>
      </w:pPr>
      <w:r>
        <w:rPr>
          <w:rFonts w:asciiTheme="minorHAnsi" w:hAnsiTheme="minorHAnsi" w:cstheme="minorHAnsi"/>
        </w:rPr>
        <w:t>7</w:t>
      </w:r>
      <w:r w:rsidR="009C2179">
        <w:rPr>
          <w:rFonts w:asciiTheme="minorHAnsi" w:hAnsiTheme="minorHAnsi" w:cstheme="minorHAnsi"/>
        </w:rPr>
        <w:t>.2.1</w:t>
      </w:r>
      <w:r w:rsidR="001D3040" w:rsidRPr="001D3040">
        <w:rPr>
          <w:rFonts w:asciiTheme="minorHAnsi" w:hAnsiTheme="minorHAnsi" w:cstheme="minorHAnsi"/>
        </w:rPr>
        <w:tab/>
        <w:t xml:space="preserve">MNOs who have registered as potential applicants and intend to submit applications for funding under this round must first submit their existing </w:t>
      </w:r>
      <w:r w:rsidR="001D3040" w:rsidRPr="005F3663">
        <w:rPr>
          <w:rFonts w:asciiTheme="minorHAnsi" w:hAnsiTheme="minorHAnsi" w:cstheme="minorHAnsi"/>
        </w:rPr>
        <w:t>3G HSPA+ and 4G</w:t>
      </w:r>
      <w:r w:rsidR="001D3040" w:rsidRPr="00B910BA">
        <w:rPr>
          <w:rFonts w:asciiTheme="minorHAnsi" w:hAnsiTheme="minorHAnsi" w:cstheme="minorHAnsi"/>
        </w:rPr>
        <w:t xml:space="preserve"> </w:t>
      </w:r>
      <w:r w:rsidR="001D3040" w:rsidRPr="001D3040">
        <w:rPr>
          <w:rFonts w:asciiTheme="minorHAnsi" w:hAnsiTheme="minorHAnsi" w:cstheme="minorHAnsi"/>
        </w:rPr>
        <w:t>coverage information, incorporating the coverage from base stations which were funded under rounds 1 and 2 and the Priority Locations Round (where relevant).</w:t>
      </w:r>
    </w:p>
    <w:p w14:paraId="03169379" w14:textId="64ED26DD" w:rsidR="001D3040" w:rsidRPr="001D3040" w:rsidRDefault="00301B7F" w:rsidP="001D3040">
      <w:pPr>
        <w:pStyle w:val="Bodynumbered-Level1"/>
        <w:rPr>
          <w:rFonts w:asciiTheme="minorHAnsi" w:hAnsiTheme="minorHAnsi" w:cstheme="minorHAnsi"/>
        </w:rPr>
      </w:pPr>
      <w:r>
        <w:rPr>
          <w:rFonts w:asciiTheme="minorHAnsi" w:hAnsiTheme="minorHAnsi" w:cstheme="minorHAnsi"/>
        </w:rPr>
        <w:t>7</w:t>
      </w:r>
      <w:r w:rsidR="00C845AF">
        <w:rPr>
          <w:rFonts w:asciiTheme="minorHAnsi" w:hAnsiTheme="minorHAnsi" w:cstheme="minorHAnsi"/>
        </w:rPr>
        <w:t>.</w:t>
      </w:r>
      <w:r w:rsidR="009C2179">
        <w:rPr>
          <w:rFonts w:asciiTheme="minorHAnsi" w:hAnsiTheme="minorHAnsi" w:cstheme="minorHAnsi"/>
        </w:rPr>
        <w:t>2.2</w:t>
      </w:r>
      <w:r w:rsidR="001D3040" w:rsidRPr="001D3040">
        <w:rPr>
          <w:rFonts w:asciiTheme="minorHAnsi" w:hAnsiTheme="minorHAnsi" w:cstheme="minorHAnsi"/>
        </w:rPr>
        <w:tab/>
        <w:t xml:space="preserve">Existing coverage information required </w:t>
      </w:r>
      <w:r w:rsidR="001D3040" w:rsidRPr="008A3B1E">
        <w:rPr>
          <w:rFonts w:asciiTheme="minorHAnsi" w:hAnsiTheme="minorHAnsi" w:cstheme="minorHAnsi"/>
        </w:rPr>
        <w:t xml:space="preserve">at </w:t>
      </w:r>
      <w:r w:rsidR="001D3040" w:rsidRPr="00846820">
        <w:rPr>
          <w:rFonts w:asciiTheme="minorHAnsi" w:hAnsiTheme="minorHAnsi" w:cstheme="minorHAnsi"/>
        </w:rPr>
        <w:t xml:space="preserve">section </w:t>
      </w:r>
      <w:r w:rsidR="0093223F" w:rsidRPr="00846820">
        <w:rPr>
          <w:rFonts w:asciiTheme="minorHAnsi" w:hAnsiTheme="minorHAnsi" w:cstheme="minorHAnsi"/>
        </w:rPr>
        <w:t>7</w:t>
      </w:r>
      <w:r w:rsidR="001D3040" w:rsidRPr="00846820">
        <w:rPr>
          <w:rFonts w:asciiTheme="minorHAnsi" w:hAnsiTheme="minorHAnsi" w:cstheme="minorHAnsi"/>
        </w:rPr>
        <w:t>.2.1</w:t>
      </w:r>
      <w:r w:rsidR="001D3040" w:rsidRPr="008A3B1E">
        <w:rPr>
          <w:rFonts w:asciiTheme="minorHAnsi" w:hAnsiTheme="minorHAnsi" w:cstheme="minorHAnsi"/>
        </w:rPr>
        <w:t xml:space="preserve"> must</w:t>
      </w:r>
      <w:r w:rsidR="001D3040" w:rsidRPr="001D3040">
        <w:rPr>
          <w:rFonts w:asciiTheme="minorHAnsi" w:hAnsiTheme="minorHAnsi" w:cstheme="minorHAnsi"/>
        </w:rPr>
        <w:t xml:space="preserve"> be submitted to the Department by no later than</w:t>
      </w:r>
      <w:r w:rsidR="001D3040" w:rsidRPr="001D3040">
        <w:rPr>
          <w:rFonts w:asciiTheme="minorHAnsi" w:hAnsiTheme="minorHAnsi" w:cstheme="minorHAnsi"/>
          <w:b/>
        </w:rPr>
        <w:t xml:space="preserve"> 5pm (Canberra time</w:t>
      </w:r>
      <w:r w:rsidR="001D3040" w:rsidRPr="008A5CDB">
        <w:rPr>
          <w:rFonts w:asciiTheme="minorHAnsi" w:hAnsiTheme="minorHAnsi" w:cstheme="minorHAnsi"/>
          <w:b/>
        </w:rPr>
        <w:t xml:space="preserve">), </w:t>
      </w:r>
      <w:r w:rsidR="005F3663">
        <w:rPr>
          <w:rFonts w:asciiTheme="minorHAnsi" w:hAnsiTheme="minorHAnsi" w:cstheme="minorHAnsi"/>
          <w:b/>
        </w:rPr>
        <w:t>Mon</w:t>
      </w:r>
      <w:r w:rsidR="008A5CDB">
        <w:rPr>
          <w:rFonts w:asciiTheme="minorHAnsi" w:hAnsiTheme="minorHAnsi" w:cstheme="minorHAnsi"/>
          <w:b/>
        </w:rPr>
        <w:t>day</w:t>
      </w:r>
      <w:r w:rsidR="001D3040" w:rsidRPr="008A5CDB">
        <w:rPr>
          <w:rFonts w:asciiTheme="minorHAnsi" w:hAnsiTheme="minorHAnsi" w:cstheme="minorHAnsi"/>
          <w:b/>
        </w:rPr>
        <w:t xml:space="preserve"> </w:t>
      </w:r>
      <w:r w:rsidR="00A57300">
        <w:rPr>
          <w:rFonts w:asciiTheme="minorHAnsi" w:hAnsiTheme="minorHAnsi" w:cstheme="minorHAnsi"/>
          <w:b/>
        </w:rPr>
        <w:t>29</w:t>
      </w:r>
      <w:r w:rsidR="001D3040" w:rsidRPr="008A5CDB">
        <w:rPr>
          <w:rFonts w:asciiTheme="minorHAnsi" w:hAnsiTheme="minorHAnsi" w:cstheme="minorHAnsi"/>
          <w:b/>
        </w:rPr>
        <w:t xml:space="preserve"> </w:t>
      </w:r>
      <w:r w:rsidR="00A57300">
        <w:rPr>
          <w:rFonts w:asciiTheme="minorHAnsi" w:hAnsiTheme="minorHAnsi" w:cstheme="minorHAnsi"/>
          <w:b/>
        </w:rPr>
        <w:t>Octo</w:t>
      </w:r>
      <w:r w:rsidR="00AA03F4" w:rsidRPr="008A5CDB">
        <w:rPr>
          <w:rFonts w:asciiTheme="minorHAnsi" w:hAnsiTheme="minorHAnsi" w:cstheme="minorHAnsi"/>
          <w:b/>
        </w:rPr>
        <w:t xml:space="preserve">ber </w:t>
      </w:r>
      <w:r w:rsidR="001D3040" w:rsidRPr="008A5CDB">
        <w:rPr>
          <w:rFonts w:asciiTheme="minorHAnsi" w:hAnsiTheme="minorHAnsi" w:cstheme="minorHAnsi"/>
          <w:b/>
        </w:rPr>
        <w:t>2018</w:t>
      </w:r>
      <w:r w:rsidR="001D3040" w:rsidRPr="008A5CDB">
        <w:rPr>
          <w:rFonts w:asciiTheme="minorHAnsi" w:hAnsiTheme="minorHAnsi" w:cstheme="minorHAnsi"/>
        </w:rPr>
        <w:t>.</w:t>
      </w:r>
      <w:r w:rsidR="001D3040" w:rsidRPr="001D3040">
        <w:rPr>
          <w:rFonts w:asciiTheme="minorHAnsi" w:hAnsiTheme="minorHAnsi" w:cstheme="minorHAnsi"/>
        </w:rPr>
        <w:t xml:space="preserve"> The Department may, at its absolute discretion, accept mobile coverage information submitted by MNOs after this date. </w:t>
      </w:r>
    </w:p>
    <w:p w14:paraId="0316937A" w14:textId="2F4D30B1" w:rsidR="001D3040" w:rsidRPr="001D3040" w:rsidRDefault="00301B7F" w:rsidP="001D3040">
      <w:pPr>
        <w:pStyle w:val="Bodynumbered-Level1"/>
        <w:rPr>
          <w:rFonts w:asciiTheme="minorHAnsi" w:hAnsiTheme="minorHAnsi" w:cstheme="minorHAnsi"/>
        </w:rPr>
      </w:pPr>
      <w:r>
        <w:rPr>
          <w:rFonts w:asciiTheme="minorHAnsi" w:hAnsiTheme="minorHAnsi" w:cstheme="minorHAnsi"/>
        </w:rPr>
        <w:lastRenderedPageBreak/>
        <w:t>7</w:t>
      </w:r>
      <w:r w:rsidR="00C845AF">
        <w:rPr>
          <w:rFonts w:asciiTheme="minorHAnsi" w:hAnsiTheme="minorHAnsi" w:cstheme="minorHAnsi"/>
        </w:rPr>
        <w:t>.</w:t>
      </w:r>
      <w:r w:rsidR="009C2179">
        <w:rPr>
          <w:rFonts w:asciiTheme="minorHAnsi" w:hAnsiTheme="minorHAnsi" w:cstheme="minorHAnsi"/>
        </w:rPr>
        <w:t>2.3</w:t>
      </w:r>
      <w:r w:rsidR="001D3040" w:rsidRPr="001D3040">
        <w:rPr>
          <w:rFonts w:asciiTheme="minorHAnsi" w:hAnsiTheme="minorHAnsi" w:cstheme="minorHAnsi"/>
        </w:rPr>
        <w:tab/>
        <w:t xml:space="preserve">The existing coverage information required in accordance </w:t>
      </w:r>
      <w:r w:rsidR="001D3040" w:rsidRPr="008A3B1E">
        <w:rPr>
          <w:rFonts w:asciiTheme="minorHAnsi" w:hAnsiTheme="minorHAnsi" w:cstheme="minorHAnsi"/>
        </w:rPr>
        <w:t xml:space="preserve">with </w:t>
      </w:r>
      <w:r w:rsidR="001D3040" w:rsidRPr="00846820">
        <w:rPr>
          <w:rFonts w:asciiTheme="minorHAnsi" w:hAnsiTheme="minorHAnsi" w:cstheme="minorHAnsi"/>
        </w:rPr>
        <w:t xml:space="preserve">section </w:t>
      </w:r>
      <w:r w:rsidR="0093223F" w:rsidRPr="00846820">
        <w:rPr>
          <w:rFonts w:asciiTheme="minorHAnsi" w:hAnsiTheme="minorHAnsi" w:cstheme="minorHAnsi"/>
        </w:rPr>
        <w:t>7</w:t>
      </w:r>
      <w:r w:rsidR="001D3040" w:rsidRPr="00846820">
        <w:rPr>
          <w:rFonts w:asciiTheme="minorHAnsi" w:hAnsiTheme="minorHAnsi" w:cstheme="minorHAnsi"/>
        </w:rPr>
        <w:t>.2.1</w:t>
      </w:r>
      <w:r w:rsidR="001D3040" w:rsidRPr="008A3B1E">
        <w:rPr>
          <w:rFonts w:asciiTheme="minorHAnsi" w:hAnsiTheme="minorHAnsi" w:cstheme="minorHAnsi"/>
        </w:rPr>
        <w:t xml:space="preserve"> must</w:t>
      </w:r>
      <w:r w:rsidR="001D3040" w:rsidRPr="001D3040">
        <w:rPr>
          <w:rFonts w:asciiTheme="minorHAnsi" w:hAnsiTheme="minorHAnsi" w:cstheme="minorHAnsi"/>
        </w:rPr>
        <w:t xml:space="preserve"> be supplied as per the predictive coverage modelling standards which underpin the </w:t>
      </w:r>
      <w:proofErr w:type="spellStart"/>
      <w:r w:rsidR="001D3040" w:rsidRPr="001D3040">
        <w:rPr>
          <w:rFonts w:asciiTheme="minorHAnsi" w:hAnsiTheme="minorHAnsi" w:cstheme="minorHAnsi"/>
        </w:rPr>
        <w:t>publically</w:t>
      </w:r>
      <w:proofErr w:type="spellEnd"/>
      <w:r w:rsidR="001D3040" w:rsidRPr="001D3040">
        <w:rPr>
          <w:rFonts w:asciiTheme="minorHAnsi" w:hAnsiTheme="minorHAnsi" w:cstheme="minorHAnsi"/>
        </w:rPr>
        <w:t xml:space="preserve"> available coverage maps on the MNOs website, and must not be prepared based on the coverage modelling standard </w:t>
      </w:r>
      <w:r w:rsidR="001D3040" w:rsidRPr="008A3B1E">
        <w:rPr>
          <w:rFonts w:asciiTheme="minorHAnsi" w:hAnsiTheme="minorHAnsi" w:cstheme="minorHAnsi"/>
        </w:rPr>
        <w:t xml:space="preserve">outlined at </w:t>
      </w:r>
      <w:r w:rsidR="001D3040" w:rsidRPr="00846820">
        <w:rPr>
          <w:rFonts w:asciiTheme="minorHAnsi" w:hAnsiTheme="minorHAnsi" w:cstheme="minorHAnsi"/>
        </w:rPr>
        <w:t xml:space="preserve">section </w:t>
      </w:r>
      <w:r w:rsidR="0093223F" w:rsidRPr="00846820">
        <w:rPr>
          <w:rFonts w:asciiTheme="minorHAnsi" w:hAnsiTheme="minorHAnsi" w:cstheme="minorHAnsi"/>
        </w:rPr>
        <w:t>3.2.3</w:t>
      </w:r>
      <w:r w:rsidR="001D3040" w:rsidRPr="008A3B1E">
        <w:rPr>
          <w:rFonts w:asciiTheme="minorHAnsi" w:hAnsiTheme="minorHAnsi" w:cstheme="minorHAnsi"/>
        </w:rPr>
        <w:t>.</w:t>
      </w:r>
    </w:p>
    <w:p w14:paraId="0316937B" w14:textId="3F51D277" w:rsidR="001D3040" w:rsidRPr="001D3040" w:rsidRDefault="00301B7F" w:rsidP="001D3040">
      <w:pPr>
        <w:pStyle w:val="Bodynumbered-Level1"/>
        <w:rPr>
          <w:rFonts w:asciiTheme="minorHAnsi" w:hAnsiTheme="minorHAnsi" w:cstheme="minorHAnsi"/>
        </w:rPr>
      </w:pPr>
      <w:r>
        <w:rPr>
          <w:rFonts w:asciiTheme="minorHAnsi" w:hAnsiTheme="minorHAnsi" w:cstheme="minorHAnsi"/>
        </w:rPr>
        <w:t>7</w:t>
      </w:r>
      <w:r w:rsidR="009C2179">
        <w:rPr>
          <w:rFonts w:asciiTheme="minorHAnsi" w:hAnsiTheme="minorHAnsi" w:cstheme="minorHAnsi"/>
        </w:rPr>
        <w:t>.2.4</w:t>
      </w:r>
      <w:r w:rsidR="001D3040" w:rsidRPr="001D3040">
        <w:rPr>
          <w:rFonts w:asciiTheme="minorHAnsi" w:hAnsiTheme="minorHAnsi" w:cstheme="minorHAnsi"/>
        </w:rPr>
        <w:tab/>
        <w:t xml:space="preserve">Pre-application information can be submitted by either of the methods </w:t>
      </w:r>
      <w:r w:rsidR="001D3040" w:rsidRPr="008A3B1E">
        <w:rPr>
          <w:rFonts w:asciiTheme="minorHAnsi" w:hAnsiTheme="minorHAnsi" w:cstheme="minorHAnsi"/>
        </w:rPr>
        <w:t xml:space="preserve">outlined at </w:t>
      </w:r>
      <w:r w:rsidR="001D3040" w:rsidRPr="00846820">
        <w:rPr>
          <w:rFonts w:asciiTheme="minorHAnsi" w:hAnsiTheme="minorHAnsi" w:cstheme="minorHAnsi"/>
        </w:rPr>
        <w:t xml:space="preserve">section </w:t>
      </w:r>
      <w:r w:rsidR="0093223F" w:rsidRPr="00846820">
        <w:rPr>
          <w:rFonts w:asciiTheme="minorHAnsi" w:hAnsiTheme="minorHAnsi" w:cstheme="minorHAnsi"/>
        </w:rPr>
        <w:t>7</w:t>
      </w:r>
      <w:r w:rsidR="001D3040" w:rsidRPr="00846820">
        <w:rPr>
          <w:rFonts w:asciiTheme="minorHAnsi" w:hAnsiTheme="minorHAnsi" w:cstheme="minorHAnsi"/>
        </w:rPr>
        <w:t>.3</w:t>
      </w:r>
      <w:r w:rsidR="001D3040" w:rsidRPr="008A3B1E">
        <w:rPr>
          <w:rFonts w:asciiTheme="minorHAnsi" w:hAnsiTheme="minorHAnsi" w:cstheme="minorHAnsi"/>
        </w:rPr>
        <w:t>.</w:t>
      </w:r>
      <w:r w:rsidR="001D3040" w:rsidRPr="001D3040">
        <w:rPr>
          <w:rFonts w:asciiTheme="minorHAnsi" w:hAnsiTheme="minorHAnsi" w:cstheme="minorHAnsi"/>
        </w:rPr>
        <w:t xml:space="preserve"> </w:t>
      </w:r>
    </w:p>
    <w:p w14:paraId="2A3430E0" w14:textId="5496EEB9" w:rsidR="009C2179" w:rsidRPr="009C2179" w:rsidRDefault="009C2179" w:rsidP="00087F4A">
      <w:pPr>
        <w:pStyle w:val="Heading2Numbered"/>
        <w:numPr>
          <w:ilvl w:val="1"/>
          <w:numId w:val="42"/>
        </w:numPr>
      </w:pPr>
      <w:bookmarkStart w:id="133" w:name="_Toc523411627"/>
      <w:r>
        <w:t>Completing and lodging an application</w:t>
      </w:r>
      <w:bookmarkEnd w:id="133"/>
    </w:p>
    <w:p w14:paraId="0316937D" w14:textId="506F31A1" w:rsidR="001D3040" w:rsidRPr="001D3040" w:rsidRDefault="00301B7F" w:rsidP="001D3040">
      <w:pPr>
        <w:pStyle w:val="Bodynumbered-Level1"/>
        <w:rPr>
          <w:rFonts w:asciiTheme="minorHAnsi" w:hAnsiTheme="minorHAnsi" w:cstheme="minorHAnsi"/>
        </w:rPr>
      </w:pPr>
      <w:r>
        <w:rPr>
          <w:rFonts w:asciiTheme="minorHAnsi" w:hAnsiTheme="minorHAnsi" w:cstheme="minorHAnsi"/>
        </w:rPr>
        <w:t>7</w:t>
      </w:r>
      <w:r w:rsidR="009C2179">
        <w:rPr>
          <w:rFonts w:asciiTheme="minorHAnsi" w:hAnsiTheme="minorHAnsi" w:cstheme="minorHAnsi"/>
        </w:rPr>
        <w:t>.3.1</w:t>
      </w:r>
      <w:r w:rsidR="001D3040" w:rsidRPr="001D3040">
        <w:rPr>
          <w:rFonts w:asciiTheme="minorHAnsi" w:hAnsiTheme="minorHAnsi" w:cstheme="minorHAnsi"/>
        </w:rPr>
        <w:tab/>
        <w:t>Applications for funding must be lodged using t</w:t>
      </w:r>
      <w:r w:rsidR="00C845AF">
        <w:rPr>
          <w:rFonts w:asciiTheme="minorHAnsi" w:hAnsiTheme="minorHAnsi" w:cstheme="minorHAnsi"/>
        </w:rPr>
        <w:t>he Application Pack provided a</w:t>
      </w:r>
      <w:r w:rsidR="00057324">
        <w:rPr>
          <w:rFonts w:asciiTheme="minorHAnsi" w:hAnsiTheme="minorHAnsi" w:cstheme="minorHAnsi"/>
        </w:rPr>
        <w:t xml:space="preserve">t </w:t>
      </w:r>
      <w:r w:rsidR="00414D4D" w:rsidRPr="00983610">
        <w:rPr>
          <w:rFonts w:asciiTheme="minorHAnsi" w:hAnsiTheme="minorHAnsi" w:cstheme="minorHAnsi"/>
        </w:rPr>
        <w:t>Appendix</w:t>
      </w:r>
      <w:r w:rsidR="00EF0E2F" w:rsidRPr="00983610">
        <w:rPr>
          <w:rFonts w:asciiTheme="minorHAnsi" w:hAnsiTheme="minorHAnsi" w:cstheme="minorHAnsi"/>
        </w:rPr>
        <w:t xml:space="preserve"> B</w:t>
      </w:r>
      <w:r w:rsidR="00414D4D">
        <w:rPr>
          <w:rFonts w:asciiTheme="minorHAnsi" w:hAnsiTheme="minorHAnsi" w:cstheme="minorHAnsi"/>
        </w:rPr>
        <w:t xml:space="preserve"> of these Guidelines.</w:t>
      </w:r>
    </w:p>
    <w:p w14:paraId="0316937E" w14:textId="2ABC489A" w:rsidR="001D3040" w:rsidRPr="001D3040" w:rsidRDefault="00301B7F" w:rsidP="001D3040">
      <w:pPr>
        <w:pStyle w:val="Bodynumbered-Level1"/>
        <w:spacing w:after="120"/>
        <w:rPr>
          <w:rFonts w:asciiTheme="minorHAnsi" w:hAnsiTheme="minorHAnsi" w:cstheme="minorHAnsi"/>
        </w:rPr>
      </w:pPr>
      <w:r>
        <w:rPr>
          <w:rFonts w:asciiTheme="minorHAnsi" w:hAnsiTheme="minorHAnsi" w:cstheme="minorHAnsi"/>
        </w:rPr>
        <w:t>7</w:t>
      </w:r>
      <w:r w:rsidR="009C2179">
        <w:rPr>
          <w:rFonts w:asciiTheme="minorHAnsi" w:hAnsiTheme="minorHAnsi" w:cstheme="minorHAnsi"/>
        </w:rPr>
        <w:t>.3.2</w:t>
      </w:r>
      <w:r w:rsidR="001D3040" w:rsidRPr="001D3040">
        <w:rPr>
          <w:rFonts w:asciiTheme="minorHAnsi" w:hAnsiTheme="minorHAnsi" w:cstheme="minorHAnsi"/>
        </w:rPr>
        <w:tab/>
        <w:t>To seek funding under the Program, applicants must complete the Assessment Tool (AT) from the Application Pack to provide information for each Proposed Solution for which it is seeking funding, specifying in each case:</w:t>
      </w:r>
    </w:p>
    <w:p w14:paraId="0316937F" w14:textId="77777777" w:rsidR="001D3040" w:rsidRPr="001D3040" w:rsidRDefault="001D3040" w:rsidP="00B51701">
      <w:pPr>
        <w:pStyle w:val="Bodynumbered-Level3"/>
        <w:spacing w:before="120" w:after="120"/>
        <w:ind w:left="1276" w:hanging="567"/>
        <w:rPr>
          <w:rFonts w:asciiTheme="minorHAnsi" w:hAnsiTheme="minorHAnsi" w:cstheme="minorHAnsi"/>
        </w:rPr>
      </w:pPr>
      <w:r w:rsidRPr="001D3040">
        <w:rPr>
          <w:rFonts w:asciiTheme="minorHAnsi" w:hAnsiTheme="minorHAnsi" w:cstheme="minorHAnsi"/>
        </w:rPr>
        <w:t>(a)</w:t>
      </w:r>
      <w:r w:rsidRPr="001D3040">
        <w:rPr>
          <w:rFonts w:asciiTheme="minorHAnsi" w:hAnsiTheme="minorHAnsi" w:cstheme="minorHAnsi"/>
        </w:rPr>
        <w:tab/>
        <w:t>the location;</w:t>
      </w:r>
    </w:p>
    <w:p w14:paraId="03169380" w14:textId="77777777" w:rsidR="001D3040" w:rsidRPr="001D3040" w:rsidRDefault="001D3040" w:rsidP="00B51701">
      <w:pPr>
        <w:pStyle w:val="Bodynumbered-Level3"/>
        <w:spacing w:before="120" w:after="120"/>
        <w:ind w:left="1276" w:hanging="567"/>
        <w:rPr>
          <w:rFonts w:asciiTheme="minorHAnsi" w:hAnsiTheme="minorHAnsi" w:cstheme="minorHAnsi"/>
        </w:rPr>
      </w:pPr>
      <w:r w:rsidRPr="001D3040">
        <w:rPr>
          <w:rFonts w:asciiTheme="minorHAnsi" w:hAnsiTheme="minorHAnsi" w:cstheme="minorHAnsi"/>
        </w:rPr>
        <w:t>(b)</w:t>
      </w:r>
      <w:r w:rsidRPr="001D3040">
        <w:rPr>
          <w:rFonts w:asciiTheme="minorHAnsi" w:hAnsiTheme="minorHAnsi" w:cstheme="minorHAnsi"/>
        </w:rPr>
        <w:tab/>
        <w:t>the total estimated all-up capital cost of construction (GST inclusive), including, if required, Backhaul and power;</w:t>
      </w:r>
    </w:p>
    <w:p w14:paraId="03169381" w14:textId="77777777" w:rsidR="001D3040" w:rsidRPr="001D3040" w:rsidRDefault="001D3040" w:rsidP="00B51701">
      <w:pPr>
        <w:pStyle w:val="Bodynumbered-Level3"/>
        <w:spacing w:before="120" w:after="120"/>
        <w:ind w:left="1276" w:hanging="567"/>
        <w:rPr>
          <w:rFonts w:asciiTheme="minorHAnsi" w:hAnsiTheme="minorHAnsi" w:cstheme="minorHAnsi"/>
        </w:rPr>
      </w:pPr>
      <w:r w:rsidRPr="001D3040">
        <w:rPr>
          <w:rFonts w:asciiTheme="minorHAnsi" w:hAnsiTheme="minorHAnsi" w:cstheme="minorHAnsi"/>
        </w:rPr>
        <w:t>(c)</w:t>
      </w:r>
      <w:r w:rsidRPr="001D3040">
        <w:rPr>
          <w:rFonts w:asciiTheme="minorHAnsi" w:hAnsiTheme="minorHAnsi" w:cstheme="minorHAnsi"/>
        </w:rPr>
        <w:tab/>
        <w:t>the amount of co-contribution (GST inclusive) being provided by the applicant;</w:t>
      </w:r>
    </w:p>
    <w:p w14:paraId="03169382" w14:textId="4103E2BE" w:rsidR="001D3040" w:rsidRPr="001D3040" w:rsidRDefault="001D3040" w:rsidP="00B51701">
      <w:pPr>
        <w:pStyle w:val="Bodynumbered-Level3"/>
        <w:spacing w:before="120" w:after="120"/>
        <w:ind w:left="1276" w:hanging="567"/>
        <w:rPr>
          <w:rFonts w:asciiTheme="minorHAnsi" w:hAnsiTheme="minorHAnsi" w:cstheme="minorHAnsi"/>
        </w:rPr>
      </w:pPr>
      <w:r w:rsidRPr="001D3040">
        <w:rPr>
          <w:rFonts w:asciiTheme="minorHAnsi" w:hAnsiTheme="minorHAnsi" w:cstheme="minorHAnsi"/>
        </w:rPr>
        <w:t>(d)</w:t>
      </w:r>
      <w:r w:rsidRPr="001D3040">
        <w:rPr>
          <w:rFonts w:asciiTheme="minorHAnsi" w:hAnsiTheme="minorHAnsi" w:cstheme="minorHAnsi"/>
        </w:rPr>
        <w:tab/>
        <w:t>the amount of Commonwealth co-contribution sought under the Program – capped at $500 000 (GST inclusive) per Proposed Solution (</w:t>
      </w:r>
      <w:r w:rsidRPr="008A3B1E">
        <w:rPr>
          <w:rFonts w:asciiTheme="minorHAnsi" w:hAnsiTheme="minorHAnsi" w:cstheme="minorHAnsi"/>
        </w:rPr>
        <w:t xml:space="preserve">subject to </w:t>
      </w:r>
      <w:r w:rsidRPr="00846820">
        <w:rPr>
          <w:rFonts w:asciiTheme="minorHAnsi" w:hAnsiTheme="minorHAnsi" w:cstheme="minorHAnsi"/>
        </w:rPr>
        <w:t>section 2.2</w:t>
      </w:r>
      <w:r w:rsidRPr="008A3B1E">
        <w:rPr>
          <w:rFonts w:asciiTheme="minorHAnsi" w:hAnsiTheme="minorHAnsi" w:cstheme="minorHAnsi"/>
        </w:rPr>
        <w:t>);</w:t>
      </w:r>
    </w:p>
    <w:p w14:paraId="03169383" w14:textId="77777777" w:rsidR="001D3040" w:rsidRPr="001D3040" w:rsidRDefault="001D3040" w:rsidP="00B51701">
      <w:pPr>
        <w:pStyle w:val="Bodynumbered-Level3"/>
        <w:spacing w:before="120" w:after="120"/>
        <w:ind w:left="1276" w:hanging="567"/>
        <w:rPr>
          <w:rFonts w:asciiTheme="minorHAnsi" w:hAnsiTheme="minorHAnsi" w:cstheme="minorHAnsi"/>
        </w:rPr>
      </w:pPr>
      <w:r w:rsidRPr="001D3040">
        <w:rPr>
          <w:rFonts w:asciiTheme="minorHAnsi" w:hAnsiTheme="minorHAnsi" w:cstheme="minorHAnsi"/>
        </w:rPr>
        <w:t>(e)</w:t>
      </w:r>
      <w:r w:rsidRPr="001D3040">
        <w:rPr>
          <w:rFonts w:asciiTheme="minorHAnsi" w:hAnsiTheme="minorHAnsi" w:cstheme="minorHAnsi"/>
        </w:rPr>
        <w:tab/>
        <w:t>the amount (if any) of co-contributions (GST inclusive) to be received from third parties such as State, Territory or local governments, local communities, or NBN Co or any combination of these, and any specific requirements or conditions tied to the co-contributions (for information purposes);</w:t>
      </w:r>
    </w:p>
    <w:p w14:paraId="03169384" w14:textId="77777777" w:rsidR="001D3040" w:rsidRPr="001D3040" w:rsidRDefault="001D3040" w:rsidP="00B51701">
      <w:pPr>
        <w:pStyle w:val="Bodynumbered-Level3"/>
        <w:spacing w:before="120" w:after="120"/>
        <w:ind w:left="1276" w:hanging="567"/>
        <w:rPr>
          <w:rFonts w:asciiTheme="minorHAnsi" w:hAnsiTheme="minorHAnsi" w:cstheme="minorHAnsi"/>
        </w:rPr>
      </w:pPr>
      <w:r w:rsidRPr="001D3040">
        <w:rPr>
          <w:rFonts w:asciiTheme="minorHAnsi" w:hAnsiTheme="minorHAnsi" w:cstheme="minorHAnsi"/>
        </w:rPr>
        <w:t>(f)</w:t>
      </w:r>
      <w:r w:rsidRPr="001D3040">
        <w:rPr>
          <w:rFonts w:asciiTheme="minorHAnsi" w:hAnsiTheme="minorHAnsi" w:cstheme="minorHAnsi"/>
        </w:rPr>
        <w:tab/>
        <w:t>the extent to which it meets the assessment criteria;</w:t>
      </w:r>
    </w:p>
    <w:p w14:paraId="03169385" w14:textId="63D4B1AE" w:rsidR="001D3040" w:rsidRPr="001D3040" w:rsidRDefault="001D3040" w:rsidP="00B51701">
      <w:pPr>
        <w:pStyle w:val="Bodynumbered-Level3"/>
        <w:spacing w:before="120" w:after="120"/>
        <w:ind w:left="1276" w:hanging="567"/>
        <w:rPr>
          <w:rFonts w:asciiTheme="minorHAnsi" w:hAnsiTheme="minorHAnsi" w:cstheme="minorHAnsi"/>
        </w:rPr>
      </w:pPr>
      <w:r w:rsidRPr="001D3040">
        <w:rPr>
          <w:rFonts w:asciiTheme="minorHAnsi" w:hAnsiTheme="minorHAnsi" w:cstheme="minorHAnsi"/>
        </w:rPr>
        <w:t>(g)</w:t>
      </w:r>
      <w:r w:rsidRPr="001D3040">
        <w:rPr>
          <w:rFonts w:asciiTheme="minorHAnsi" w:hAnsiTheme="minorHAnsi" w:cstheme="minorHAnsi"/>
        </w:rPr>
        <w:tab/>
        <w:t>whether the Proposed Solution is dependent on the construction of one or more of the applicant’s other Proposed Solutions, including explaining the specific dependencies; and</w:t>
      </w:r>
    </w:p>
    <w:p w14:paraId="03169386" w14:textId="214C2297" w:rsidR="001D3040" w:rsidRPr="001D3040" w:rsidRDefault="001D3040" w:rsidP="00B51701">
      <w:pPr>
        <w:pStyle w:val="Bodynumbered-Level3"/>
        <w:spacing w:before="120" w:after="120"/>
        <w:ind w:left="1276" w:hanging="567"/>
        <w:rPr>
          <w:rFonts w:asciiTheme="minorHAnsi" w:hAnsiTheme="minorHAnsi" w:cstheme="minorHAnsi"/>
        </w:rPr>
      </w:pPr>
      <w:r w:rsidRPr="001D3040">
        <w:rPr>
          <w:rFonts w:asciiTheme="minorHAnsi" w:hAnsiTheme="minorHAnsi" w:cstheme="minorHAnsi"/>
        </w:rPr>
        <w:t>(h)</w:t>
      </w:r>
      <w:r w:rsidRPr="001D3040">
        <w:rPr>
          <w:rFonts w:asciiTheme="minorHAnsi" w:hAnsiTheme="minorHAnsi" w:cstheme="minorHAnsi"/>
        </w:rPr>
        <w:tab/>
        <w:t xml:space="preserve">predictive coverage mapping data for each Mobile Coverage Proposed Solution (as </w:t>
      </w:r>
      <w:r w:rsidRPr="008A3B1E">
        <w:rPr>
          <w:rFonts w:asciiTheme="minorHAnsi" w:hAnsiTheme="minorHAnsi" w:cstheme="minorHAnsi"/>
        </w:rPr>
        <w:t xml:space="preserve">per </w:t>
      </w:r>
      <w:r w:rsidRPr="00846820">
        <w:rPr>
          <w:rFonts w:asciiTheme="minorHAnsi" w:hAnsiTheme="minorHAnsi" w:cstheme="minorHAnsi"/>
        </w:rPr>
        <w:t xml:space="preserve">section </w:t>
      </w:r>
      <w:r w:rsidR="0061186D" w:rsidRPr="00846820">
        <w:rPr>
          <w:rFonts w:asciiTheme="minorHAnsi" w:hAnsiTheme="minorHAnsi" w:cstheme="minorHAnsi"/>
        </w:rPr>
        <w:t>3.2.3</w:t>
      </w:r>
      <w:r w:rsidRPr="008A3B1E">
        <w:rPr>
          <w:rFonts w:asciiTheme="minorHAnsi" w:hAnsiTheme="minorHAnsi" w:cstheme="minorHAnsi"/>
        </w:rPr>
        <w:t>).</w:t>
      </w:r>
    </w:p>
    <w:p w14:paraId="03169387" w14:textId="00D7CC88" w:rsidR="001D3040" w:rsidRPr="001D3040" w:rsidRDefault="001D3040" w:rsidP="00B51701">
      <w:pPr>
        <w:pStyle w:val="Bodynumbered-Level3"/>
        <w:spacing w:before="120" w:after="120"/>
        <w:ind w:left="1383" w:hanging="646"/>
        <w:rPr>
          <w:rFonts w:asciiTheme="minorHAnsi" w:hAnsiTheme="minorHAnsi" w:cstheme="minorHAnsi"/>
        </w:rPr>
      </w:pPr>
      <w:r w:rsidRPr="001D3040">
        <w:rPr>
          <w:rFonts w:asciiTheme="minorHAnsi" w:hAnsiTheme="minorHAnsi" w:cstheme="minorHAnsi"/>
          <w:b/>
        </w:rPr>
        <w:t>Note:</w:t>
      </w:r>
      <w:r w:rsidRPr="001D3040">
        <w:rPr>
          <w:rFonts w:asciiTheme="minorHAnsi" w:hAnsiTheme="minorHAnsi" w:cstheme="minorHAnsi"/>
          <w:b/>
        </w:rPr>
        <w:tab/>
      </w:r>
      <w:r w:rsidRPr="001D3040">
        <w:rPr>
          <w:rFonts w:asciiTheme="minorHAnsi" w:hAnsiTheme="minorHAnsi" w:cstheme="minorHAnsi"/>
        </w:rPr>
        <w:t xml:space="preserve">The applicant must agree that the predictive coverage mapping data supplied </w:t>
      </w:r>
      <w:r w:rsidRPr="008A3B1E">
        <w:rPr>
          <w:rFonts w:asciiTheme="minorHAnsi" w:hAnsiTheme="minorHAnsi" w:cstheme="minorHAnsi"/>
        </w:rPr>
        <w:t xml:space="preserve">at </w:t>
      </w:r>
      <w:r w:rsidRPr="00846820">
        <w:rPr>
          <w:rFonts w:asciiTheme="minorHAnsi" w:hAnsiTheme="minorHAnsi" w:cstheme="minorHAnsi"/>
        </w:rPr>
        <w:t xml:space="preserve">section </w:t>
      </w:r>
      <w:r w:rsidR="0061186D" w:rsidRPr="00846820">
        <w:rPr>
          <w:rFonts w:asciiTheme="minorHAnsi" w:hAnsiTheme="minorHAnsi" w:cstheme="minorHAnsi"/>
        </w:rPr>
        <w:t>7</w:t>
      </w:r>
      <w:r w:rsidRPr="00846820">
        <w:rPr>
          <w:rFonts w:asciiTheme="minorHAnsi" w:hAnsiTheme="minorHAnsi" w:cstheme="minorHAnsi"/>
        </w:rPr>
        <w:t>.3.2(h)</w:t>
      </w:r>
      <w:r w:rsidRPr="008A3B1E">
        <w:rPr>
          <w:rFonts w:asciiTheme="minorHAnsi" w:hAnsiTheme="minorHAnsi" w:cstheme="minorHAnsi"/>
        </w:rPr>
        <w:t xml:space="preserve"> can</w:t>
      </w:r>
      <w:r w:rsidRPr="001D3040">
        <w:rPr>
          <w:rFonts w:asciiTheme="minorHAnsi" w:hAnsiTheme="minorHAnsi" w:cstheme="minorHAnsi"/>
        </w:rPr>
        <w:t xml:space="preserve"> be used by the Department to prepare promotional material for the Program.</w:t>
      </w:r>
    </w:p>
    <w:p w14:paraId="03169388" w14:textId="6B2BCC27" w:rsidR="001D3040" w:rsidRPr="008A3B1E" w:rsidRDefault="00301B7F" w:rsidP="001D3040">
      <w:pPr>
        <w:pStyle w:val="Bodynumbered-Level1"/>
        <w:rPr>
          <w:rFonts w:asciiTheme="minorHAnsi" w:hAnsiTheme="minorHAnsi" w:cstheme="minorHAnsi"/>
        </w:rPr>
      </w:pPr>
      <w:r>
        <w:rPr>
          <w:rFonts w:asciiTheme="minorHAnsi" w:hAnsiTheme="minorHAnsi" w:cstheme="minorHAnsi"/>
        </w:rPr>
        <w:t>7</w:t>
      </w:r>
      <w:r w:rsidR="009C2179">
        <w:rPr>
          <w:rFonts w:asciiTheme="minorHAnsi" w:hAnsiTheme="minorHAnsi" w:cstheme="minorHAnsi"/>
        </w:rPr>
        <w:t>.3.3</w:t>
      </w:r>
      <w:r w:rsidR="001D3040" w:rsidRPr="001D3040">
        <w:rPr>
          <w:rFonts w:asciiTheme="minorHAnsi" w:hAnsiTheme="minorHAnsi" w:cstheme="minorHAnsi"/>
        </w:rPr>
        <w:tab/>
        <w:t>In addition, applicants must warrant that none of the Proposed Solutions for which Commonwealth funds have been sought were part of their 2018-19 to 2020-21 forward</w:t>
      </w:r>
      <w:r w:rsidR="001D3040" w:rsidRPr="001D3040">
        <w:rPr>
          <w:rFonts w:asciiTheme="minorHAnsi" w:hAnsiTheme="minorHAnsi" w:cstheme="minorHAnsi"/>
        </w:rPr>
        <w:noBreakHyphen/>
        <w:t xml:space="preserve">build network expansion or upgrade </w:t>
      </w:r>
      <w:r w:rsidR="001D3040" w:rsidRPr="008A3B1E">
        <w:rPr>
          <w:rFonts w:asciiTheme="minorHAnsi" w:hAnsiTheme="minorHAnsi" w:cstheme="minorHAnsi"/>
        </w:rPr>
        <w:t>plans (</w:t>
      </w:r>
      <w:r w:rsidR="001D3040" w:rsidRPr="00846820">
        <w:rPr>
          <w:rFonts w:asciiTheme="minorHAnsi" w:hAnsiTheme="minorHAnsi" w:cstheme="minorHAnsi"/>
        </w:rPr>
        <w:t xml:space="preserve">see sections </w:t>
      </w:r>
      <w:r w:rsidR="00391241" w:rsidRPr="00846820">
        <w:rPr>
          <w:rFonts w:asciiTheme="minorHAnsi" w:hAnsiTheme="minorHAnsi" w:cstheme="minorHAnsi"/>
        </w:rPr>
        <w:t>4.1.</w:t>
      </w:r>
      <w:r w:rsidR="001D3040" w:rsidRPr="00846820">
        <w:rPr>
          <w:rFonts w:asciiTheme="minorHAnsi" w:hAnsiTheme="minorHAnsi" w:cstheme="minorHAnsi"/>
        </w:rPr>
        <w:t xml:space="preserve">1(b), </w:t>
      </w:r>
      <w:r w:rsidR="00391241" w:rsidRPr="00846820">
        <w:rPr>
          <w:rFonts w:asciiTheme="minorHAnsi" w:hAnsiTheme="minorHAnsi" w:cstheme="minorHAnsi"/>
        </w:rPr>
        <w:t>4.1.3</w:t>
      </w:r>
      <w:r w:rsidR="001D3040" w:rsidRPr="00846820">
        <w:rPr>
          <w:rFonts w:asciiTheme="minorHAnsi" w:hAnsiTheme="minorHAnsi" w:cstheme="minorHAnsi"/>
        </w:rPr>
        <w:t xml:space="preserve">(a), and </w:t>
      </w:r>
      <w:r w:rsidR="00391241" w:rsidRPr="00846820">
        <w:rPr>
          <w:rFonts w:asciiTheme="minorHAnsi" w:hAnsiTheme="minorHAnsi" w:cstheme="minorHAnsi"/>
        </w:rPr>
        <w:t>4.2.1</w:t>
      </w:r>
      <w:r w:rsidR="001D3040" w:rsidRPr="008A3B1E">
        <w:rPr>
          <w:rFonts w:asciiTheme="minorHAnsi" w:hAnsiTheme="minorHAnsi" w:cstheme="minorHAnsi"/>
        </w:rPr>
        <w:t>).</w:t>
      </w:r>
    </w:p>
    <w:p w14:paraId="03169389" w14:textId="0A43DC19" w:rsidR="001D3040" w:rsidRPr="001D3040" w:rsidRDefault="00301B7F" w:rsidP="001D3040">
      <w:pPr>
        <w:pStyle w:val="Bodynumbered-Level1"/>
        <w:rPr>
          <w:rFonts w:asciiTheme="minorHAnsi" w:hAnsiTheme="minorHAnsi" w:cstheme="minorHAnsi"/>
        </w:rPr>
      </w:pPr>
      <w:r w:rsidRPr="008A3B1E">
        <w:rPr>
          <w:rFonts w:asciiTheme="minorHAnsi" w:hAnsiTheme="minorHAnsi" w:cstheme="minorHAnsi"/>
        </w:rPr>
        <w:t>7</w:t>
      </w:r>
      <w:r w:rsidR="009C2179" w:rsidRPr="008A3B1E">
        <w:rPr>
          <w:rFonts w:asciiTheme="minorHAnsi" w:hAnsiTheme="minorHAnsi" w:cstheme="minorHAnsi"/>
        </w:rPr>
        <w:t>.3.4</w:t>
      </w:r>
      <w:r w:rsidR="001D3040" w:rsidRPr="008A3B1E">
        <w:rPr>
          <w:rFonts w:asciiTheme="minorHAnsi" w:hAnsiTheme="minorHAnsi" w:cstheme="minorHAnsi"/>
        </w:rPr>
        <w:tab/>
        <w:t xml:space="preserve">Subject to </w:t>
      </w:r>
      <w:r w:rsidR="001D3040" w:rsidRPr="00846820">
        <w:rPr>
          <w:rFonts w:asciiTheme="minorHAnsi" w:hAnsiTheme="minorHAnsi" w:cstheme="minorHAnsi"/>
        </w:rPr>
        <w:t xml:space="preserve">section </w:t>
      </w:r>
      <w:r w:rsidR="00391241" w:rsidRPr="00846820">
        <w:rPr>
          <w:rFonts w:asciiTheme="minorHAnsi" w:hAnsiTheme="minorHAnsi" w:cstheme="minorHAnsi"/>
        </w:rPr>
        <w:t>7</w:t>
      </w:r>
      <w:r w:rsidR="001D3040" w:rsidRPr="00846820">
        <w:rPr>
          <w:rFonts w:asciiTheme="minorHAnsi" w:hAnsiTheme="minorHAnsi" w:cstheme="minorHAnsi"/>
        </w:rPr>
        <w:t>.3.4A</w:t>
      </w:r>
      <w:r w:rsidR="001D3040" w:rsidRPr="008A3B1E">
        <w:rPr>
          <w:rFonts w:asciiTheme="minorHAnsi" w:hAnsiTheme="minorHAnsi" w:cstheme="minorHAnsi"/>
        </w:rPr>
        <w:t>, applicants must indicate their</w:t>
      </w:r>
      <w:r w:rsidR="001D3040" w:rsidRPr="001D3040">
        <w:rPr>
          <w:rFonts w:asciiTheme="minorHAnsi" w:hAnsiTheme="minorHAnsi" w:cstheme="minorHAnsi"/>
        </w:rPr>
        <w:t xml:space="preserve"> compliance with the draft </w:t>
      </w:r>
      <w:r w:rsidR="00414D4D">
        <w:rPr>
          <w:rFonts w:asciiTheme="minorHAnsi" w:hAnsiTheme="minorHAnsi" w:cstheme="minorHAnsi"/>
        </w:rPr>
        <w:t>Grant Agreement (at Appendix</w:t>
      </w:r>
      <w:r>
        <w:rPr>
          <w:rFonts w:asciiTheme="minorHAnsi" w:hAnsiTheme="minorHAnsi" w:cstheme="minorHAnsi"/>
        </w:rPr>
        <w:t xml:space="preserve"> A</w:t>
      </w:r>
      <w:r w:rsidR="001D3040" w:rsidRPr="001D3040">
        <w:rPr>
          <w:rFonts w:asciiTheme="minorHAnsi" w:hAnsiTheme="minorHAnsi" w:cstheme="minorHAnsi"/>
        </w:rPr>
        <w:t xml:space="preserve"> of these Guidelines) at the time of submitting their applications. Where the terms of the draft Grant Agreement are not accepted in full, applicants are required to submit a revision marked version of the draft Grant </w:t>
      </w:r>
      <w:r w:rsidR="001D3040" w:rsidRPr="001D3040">
        <w:rPr>
          <w:rFonts w:asciiTheme="minorHAnsi" w:hAnsiTheme="minorHAnsi" w:cstheme="minorHAnsi"/>
        </w:rPr>
        <w:lastRenderedPageBreak/>
        <w:t>Agreement reflecting their proposed drafting, their position and their reasons for requesting the change.</w:t>
      </w:r>
    </w:p>
    <w:p w14:paraId="0316938A" w14:textId="07592B89" w:rsidR="001D3040" w:rsidRPr="001D3040" w:rsidRDefault="00301B7F" w:rsidP="001D3040">
      <w:pPr>
        <w:pStyle w:val="Bodynumbered-Level1"/>
        <w:rPr>
          <w:rFonts w:asciiTheme="minorHAnsi" w:hAnsiTheme="minorHAnsi" w:cstheme="minorHAnsi"/>
        </w:rPr>
      </w:pPr>
      <w:r>
        <w:rPr>
          <w:rFonts w:asciiTheme="minorHAnsi" w:hAnsiTheme="minorHAnsi" w:cstheme="minorHAnsi"/>
        </w:rPr>
        <w:t>7</w:t>
      </w:r>
      <w:r w:rsidR="009C2179">
        <w:rPr>
          <w:rFonts w:asciiTheme="minorHAnsi" w:hAnsiTheme="minorHAnsi" w:cstheme="minorHAnsi"/>
        </w:rPr>
        <w:t>.3.4</w:t>
      </w:r>
      <w:r w:rsidR="001D3040" w:rsidRPr="001D3040">
        <w:rPr>
          <w:rFonts w:asciiTheme="minorHAnsi" w:hAnsiTheme="minorHAnsi" w:cstheme="minorHAnsi"/>
        </w:rPr>
        <w:tab/>
        <w:t>Applicants who have previously agreed a funding agreement with the Commonwealth under the Priority Locations Round of the Program (</w:t>
      </w:r>
      <w:r w:rsidR="001D3040" w:rsidRPr="001D3040">
        <w:rPr>
          <w:rFonts w:asciiTheme="minorHAnsi" w:hAnsiTheme="minorHAnsi" w:cstheme="minorHAnsi"/>
          <w:b/>
        </w:rPr>
        <w:t>Previous Funding Agreement</w:t>
      </w:r>
      <w:r w:rsidR="001D3040" w:rsidRPr="001D3040">
        <w:rPr>
          <w:rFonts w:asciiTheme="minorHAnsi" w:hAnsiTheme="minorHAnsi" w:cstheme="minorHAnsi"/>
        </w:rPr>
        <w:t>) and wish to use that Previous Funding Agreement as the basis for this round’s Grant Agreement must indicate their compliance with the Previous Funding Agreement as amended to reflect the requirements of this round (</w:t>
      </w:r>
      <w:r w:rsidR="001D3040" w:rsidRPr="001D3040">
        <w:rPr>
          <w:rFonts w:asciiTheme="minorHAnsi" w:hAnsiTheme="minorHAnsi" w:cstheme="minorHAnsi"/>
          <w:b/>
        </w:rPr>
        <w:t>Updated Previous Funding Agreement</w:t>
      </w:r>
      <w:r w:rsidR="001D3040" w:rsidRPr="001D3040">
        <w:rPr>
          <w:rFonts w:asciiTheme="minorHAnsi" w:hAnsiTheme="minorHAnsi" w:cstheme="minorHAnsi"/>
        </w:rPr>
        <w:t>) at the time of submitting their applications. Where the terms of the Updated Previous Funding Agreement are not accepted in full, applicants are required to submit a revision marked version of the Updated Previous Funding Agreement reflecting their proposed drafting, their position and their reasons for requesting the change.</w:t>
      </w:r>
    </w:p>
    <w:p w14:paraId="0316938B" w14:textId="685F5C28" w:rsidR="001D3040" w:rsidRPr="008A3B1E" w:rsidRDefault="001D3040" w:rsidP="001D3040">
      <w:pPr>
        <w:pStyle w:val="Bodynumbered-Level3"/>
        <w:ind w:left="1383" w:hanging="646"/>
        <w:rPr>
          <w:rFonts w:asciiTheme="minorHAnsi" w:hAnsiTheme="minorHAnsi" w:cstheme="minorHAnsi"/>
        </w:rPr>
      </w:pPr>
      <w:r w:rsidRPr="001D3040">
        <w:rPr>
          <w:rFonts w:asciiTheme="minorHAnsi" w:hAnsiTheme="minorHAnsi" w:cstheme="minorHAnsi"/>
          <w:b/>
        </w:rPr>
        <w:t>Note:</w:t>
      </w:r>
      <w:r w:rsidRPr="001D3040">
        <w:rPr>
          <w:rFonts w:asciiTheme="minorHAnsi" w:hAnsiTheme="minorHAnsi" w:cstheme="minorHAnsi"/>
        </w:rPr>
        <w:t xml:space="preserve"> </w:t>
      </w:r>
      <w:r w:rsidRPr="001D3040">
        <w:rPr>
          <w:rFonts w:asciiTheme="minorHAnsi" w:hAnsiTheme="minorHAnsi" w:cstheme="minorHAnsi"/>
        </w:rPr>
        <w:tab/>
        <w:t>Following registration, the Department will provide relevant applicants with details of the clauses from their Previous Funding Agreement that will need to be amended to reflect the requirements of this round. These requirements will be drawn from the draft Grant Agr</w:t>
      </w:r>
      <w:r w:rsidR="00414D4D">
        <w:rPr>
          <w:rFonts w:asciiTheme="minorHAnsi" w:hAnsiTheme="minorHAnsi" w:cstheme="minorHAnsi"/>
        </w:rPr>
        <w:t>eement at Appendix</w:t>
      </w:r>
      <w:r w:rsidRPr="001D3040">
        <w:rPr>
          <w:rFonts w:asciiTheme="minorHAnsi" w:hAnsiTheme="minorHAnsi" w:cstheme="minorHAnsi"/>
        </w:rPr>
        <w:t xml:space="preserve"> B to these Guidelines. The Previous Funding Agreement together with these requirements will effectively comprise the Updated Previous Funding Agreement which should be used for the applicant’s </w:t>
      </w:r>
      <w:r w:rsidRPr="008A3B1E">
        <w:rPr>
          <w:rFonts w:asciiTheme="minorHAnsi" w:hAnsiTheme="minorHAnsi" w:cstheme="minorHAnsi"/>
        </w:rPr>
        <w:t xml:space="preserve">compliance statements and to develop the revision-marked version referenced above. </w:t>
      </w:r>
      <w:r w:rsidRPr="00846820">
        <w:rPr>
          <w:rFonts w:asciiTheme="minorHAnsi" w:hAnsiTheme="minorHAnsi" w:cstheme="minorHAnsi"/>
        </w:rPr>
        <w:t xml:space="preserve">Section </w:t>
      </w:r>
      <w:r w:rsidR="00391241" w:rsidRPr="00846820">
        <w:rPr>
          <w:rFonts w:asciiTheme="minorHAnsi" w:hAnsiTheme="minorHAnsi" w:cstheme="minorHAnsi"/>
        </w:rPr>
        <w:t xml:space="preserve">7, stage </w:t>
      </w:r>
      <w:r w:rsidRPr="00846820">
        <w:rPr>
          <w:rFonts w:asciiTheme="minorHAnsi" w:hAnsiTheme="minorHAnsi" w:cstheme="minorHAnsi"/>
        </w:rPr>
        <w:t>6</w:t>
      </w:r>
      <w:r w:rsidRPr="008A3B1E">
        <w:rPr>
          <w:rFonts w:asciiTheme="minorHAnsi" w:hAnsiTheme="minorHAnsi" w:cstheme="minorHAnsi"/>
        </w:rPr>
        <w:t xml:space="preserve"> contains further information about the timing for Grant Agreement negotiations.</w:t>
      </w:r>
    </w:p>
    <w:p w14:paraId="0316938C" w14:textId="406921A6" w:rsidR="001D3040" w:rsidRPr="008A3B1E" w:rsidRDefault="00301B7F" w:rsidP="001D3040">
      <w:pPr>
        <w:pStyle w:val="Bodynumbered-Level1"/>
        <w:rPr>
          <w:rFonts w:asciiTheme="minorHAnsi" w:hAnsiTheme="minorHAnsi" w:cstheme="minorHAnsi"/>
        </w:rPr>
      </w:pPr>
      <w:r w:rsidRPr="008A3B1E">
        <w:rPr>
          <w:rFonts w:asciiTheme="minorHAnsi" w:hAnsiTheme="minorHAnsi" w:cstheme="minorHAnsi"/>
        </w:rPr>
        <w:t>7</w:t>
      </w:r>
      <w:r w:rsidR="009C2179" w:rsidRPr="008A3B1E">
        <w:rPr>
          <w:rFonts w:asciiTheme="minorHAnsi" w:hAnsiTheme="minorHAnsi" w:cstheme="minorHAnsi"/>
        </w:rPr>
        <w:t>.3.5</w:t>
      </w:r>
      <w:r w:rsidR="001D3040" w:rsidRPr="008A3B1E">
        <w:rPr>
          <w:rFonts w:asciiTheme="minorHAnsi" w:hAnsiTheme="minorHAnsi" w:cstheme="minorHAnsi"/>
        </w:rPr>
        <w:tab/>
        <w:t xml:space="preserve">Details for contacting the Department to seek clarification or assistance with any aspects of completing an application are at </w:t>
      </w:r>
      <w:r w:rsidR="001D3040" w:rsidRPr="00846820">
        <w:rPr>
          <w:rFonts w:asciiTheme="minorHAnsi" w:hAnsiTheme="minorHAnsi" w:cstheme="minorHAnsi"/>
        </w:rPr>
        <w:t xml:space="preserve">section </w:t>
      </w:r>
      <w:r w:rsidR="00391241" w:rsidRPr="00846820">
        <w:rPr>
          <w:rFonts w:asciiTheme="minorHAnsi" w:hAnsiTheme="minorHAnsi" w:cstheme="minorHAnsi"/>
        </w:rPr>
        <w:t>7.7</w:t>
      </w:r>
      <w:r w:rsidR="001D3040" w:rsidRPr="008A3B1E">
        <w:rPr>
          <w:rFonts w:asciiTheme="minorHAnsi" w:hAnsiTheme="minorHAnsi" w:cstheme="minorHAnsi"/>
        </w:rPr>
        <w:t xml:space="preserve"> of these Guidelines.</w:t>
      </w:r>
    </w:p>
    <w:p w14:paraId="0316938D" w14:textId="366B2D90" w:rsidR="001D3040" w:rsidRPr="008A3B1E" w:rsidRDefault="00301B7F" w:rsidP="001D3040">
      <w:pPr>
        <w:pStyle w:val="Bodynumbered-Level1"/>
        <w:rPr>
          <w:rFonts w:asciiTheme="minorHAnsi" w:hAnsiTheme="minorHAnsi" w:cstheme="minorHAnsi"/>
        </w:rPr>
      </w:pPr>
      <w:r w:rsidRPr="008A3B1E">
        <w:rPr>
          <w:rFonts w:asciiTheme="minorHAnsi" w:hAnsiTheme="minorHAnsi" w:cstheme="minorHAnsi"/>
        </w:rPr>
        <w:t>7</w:t>
      </w:r>
      <w:r w:rsidR="009C2179" w:rsidRPr="008A3B1E">
        <w:rPr>
          <w:rFonts w:asciiTheme="minorHAnsi" w:hAnsiTheme="minorHAnsi" w:cstheme="minorHAnsi"/>
        </w:rPr>
        <w:t>.3.6</w:t>
      </w:r>
      <w:r w:rsidR="001D3040" w:rsidRPr="008A3B1E">
        <w:rPr>
          <w:rFonts w:asciiTheme="minorHAnsi" w:hAnsiTheme="minorHAnsi" w:cstheme="minorHAnsi"/>
        </w:rPr>
        <w:tab/>
        <w:t xml:space="preserve">Applications can be lodged using </w:t>
      </w:r>
      <w:proofErr w:type="spellStart"/>
      <w:r w:rsidR="001D3040" w:rsidRPr="008A3B1E">
        <w:rPr>
          <w:rFonts w:asciiTheme="minorHAnsi" w:hAnsiTheme="minorHAnsi" w:cstheme="minorHAnsi"/>
        </w:rPr>
        <w:t>Govdex</w:t>
      </w:r>
      <w:proofErr w:type="spellEnd"/>
      <w:r w:rsidR="001D3040" w:rsidRPr="008A3B1E">
        <w:rPr>
          <w:rFonts w:asciiTheme="minorHAnsi" w:hAnsiTheme="minorHAnsi" w:cstheme="minorHAnsi"/>
        </w:rPr>
        <w:t xml:space="preserve">, the </w:t>
      </w:r>
      <w:r w:rsidR="001D3040" w:rsidRPr="009D2F66">
        <w:rPr>
          <w:rFonts w:asciiTheme="minorHAnsi" w:hAnsiTheme="minorHAnsi" w:cstheme="minorHAnsi"/>
        </w:rPr>
        <w:t>Australian Government’s</w:t>
      </w:r>
      <w:r w:rsidR="001D3040" w:rsidRPr="008A3B1E">
        <w:rPr>
          <w:rFonts w:asciiTheme="minorHAnsi" w:hAnsiTheme="minorHAnsi" w:cstheme="minorHAnsi"/>
        </w:rPr>
        <w:t xml:space="preserve"> secure online document sharing and project management system. Potential applicants will be provided with information about lodging applications using </w:t>
      </w:r>
      <w:proofErr w:type="spellStart"/>
      <w:r w:rsidR="001D3040" w:rsidRPr="008A3B1E">
        <w:rPr>
          <w:rFonts w:asciiTheme="minorHAnsi" w:hAnsiTheme="minorHAnsi" w:cstheme="minorHAnsi"/>
        </w:rPr>
        <w:t>Govdex</w:t>
      </w:r>
      <w:proofErr w:type="spellEnd"/>
      <w:r w:rsidR="001D3040" w:rsidRPr="008A3B1E">
        <w:rPr>
          <w:rFonts w:asciiTheme="minorHAnsi" w:hAnsiTheme="minorHAnsi" w:cstheme="minorHAnsi"/>
        </w:rPr>
        <w:t xml:space="preserve"> upon registering as a potential applicant for Round 4.</w:t>
      </w:r>
    </w:p>
    <w:p w14:paraId="0316938E" w14:textId="39D8DE9B" w:rsidR="001D3040" w:rsidRPr="008A3B1E" w:rsidRDefault="00301B7F" w:rsidP="001D3040">
      <w:pPr>
        <w:pStyle w:val="Bodynumbered-Level1"/>
        <w:rPr>
          <w:rFonts w:asciiTheme="minorHAnsi" w:hAnsiTheme="minorHAnsi" w:cstheme="minorHAnsi"/>
        </w:rPr>
      </w:pPr>
      <w:r w:rsidRPr="008A3B1E">
        <w:rPr>
          <w:rFonts w:asciiTheme="minorHAnsi" w:hAnsiTheme="minorHAnsi" w:cstheme="minorHAnsi"/>
        </w:rPr>
        <w:t>7</w:t>
      </w:r>
      <w:r w:rsidR="009C2179" w:rsidRPr="008A3B1E">
        <w:rPr>
          <w:rFonts w:asciiTheme="minorHAnsi" w:hAnsiTheme="minorHAnsi" w:cstheme="minorHAnsi"/>
        </w:rPr>
        <w:t>.3.7</w:t>
      </w:r>
      <w:r w:rsidR="001D3040" w:rsidRPr="008A3B1E">
        <w:rPr>
          <w:rFonts w:asciiTheme="minorHAnsi" w:hAnsiTheme="minorHAnsi" w:cstheme="minorHAnsi"/>
        </w:rPr>
        <w:tab/>
        <w:t>All electronic files, regardless of transmission method, should be provided in an appropriate Microsoft compatible format. Geo-spatial information such as maps should be provided in either MapInfo TAB or MID/MIF; ESRI Shape; GML; or KML format.</w:t>
      </w:r>
    </w:p>
    <w:p w14:paraId="0316938F" w14:textId="62811EA2" w:rsidR="001D3040" w:rsidRPr="001D3040" w:rsidRDefault="00301B7F" w:rsidP="001D3040">
      <w:pPr>
        <w:pStyle w:val="Bodynumbered-Level1"/>
        <w:rPr>
          <w:rFonts w:asciiTheme="minorHAnsi" w:hAnsiTheme="minorHAnsi" w:cstheme="minorHAnsi"/>
        </w:rPr>
      </w:pPr>
      <w:r w:rsidRPr="008A3B1E">
        <w:rPr>
          <w:rFonts w:asciiTheme="minorHAnsi" w:hAnsiTheme="minorHAnsi" w:cstheme="minorHAnsi"/>
        </w:rPr>
        <w:t>7</w:t>
      </w:r>
      <w:r w:rsidR="009C2179" w:rsidRPr="008A3B1E">
        <w:rPr>
          <w:rFonts w:asciiTheme="minorHAnsi" w:hAnsiTheme="minorHAnsi" w:cstheme="minorHAnsi"/>
        </w:rPr>
        <w:t>.3.8</w:t>
      </w:r>
      <w:r w:rsidR="001D3040" w:rsidRPr="008A3B1E">
        <w:rPr>
          <w:rFonts w:asciiTheme="minorHAnsi" w:hAnsiTheme="minorHAnsi" w:cstheme="minorHAnsi"/>
        </w:rPr>
        <w:tab/>
        <w:t>The Department may also accept applications via hard copy and/or physical electronic media, in addition to electronic applications (</w:t>
      </w:r>
      <w:r w:rsidR="00057324" w:rsidRPr="00846820">
        <w:rPr>
          <w:rFonts w:asciiTheme="minorHAnsi" w:hAnsiTheme="minorHAnsi" w:cstheme="minorHAnsi"/>
        </w:rPr>
        <w:t xml:space="preserve">refer to sections </w:t>
      </w:r>
      <w:r w:rsidR="00391241" w:rsidRPr="00846820">
        <w:rPr>
          <w:rFonts w:asciiTheme="minorHAnsi" w:hAnsiTheme="minorHAnsi" w:cstheme="minorHAnsi"/>
        </w:rPr>
        <w:t>7</w:t>
      </w:r>
      <w:r w:rsidR="00057324" w:rsidRPr="00846820">
        <w:rPr>
          <w:rFonts w:asciiTheme="minorHAnsi" w:hAnsiTheme="minorHAnsi" w:cstheme="minorHAnsi"/>
        </w:rPr>
        <w:t xml:space="preserve">.3.9 and </w:t>
      </w:r>
      <w:r w:rsidR="00391241" w:rsidRPr="00846820">
        <w:rPr>
          <w:rFonts w:asciiTheme="minorHAnsi" w:hAnsiTheme="minorHAnsi" w:cstheme="minorHAnsi"/>
        </w:rPr>
        <w:t>7</w:t>
      </w:r>
      <w:r w:rsidR="001D3040" w:rsidRPr="00846820">
        <w:rPr>
          <w:rFonts w:asciiTheme="minorHAnsi" w:hAnsiTheme="minorHAnsi" w:cstheme="minorHAnsi"/>
        </w:rPr>
        <w:t>.3.10</w:t>
      </w:r>
      <w:r w:rsidR="001D3040" w:rsidRPr="008A3B1E">
        <w:rPr>
          <w:rFonts w:asciiTheme="minorHAnsi" w:hAnsiTheme="minorHAnsi" w:cstheme="minorHAnsi"/>
        </w:rPr>
        <w:t>).</w:t>
      </w:r>
    </w:p>
    <w:p w14:paraId="03169390" w14:textId="3B44C5FF" w:rsidR="001D3040" w:rsidRPr="001D3040" w:rsidRDefault="00301B7F" w:rsidP="001D3040">
      <w:pPr>
        <w:pStyle w:val="Bodynumbered-Level1"/>
        <w:rPr>
          <w:rFonts w:asciiTheme="minorHAnsi" w:hAnsiTheme="minorHAnsi" w:cstheme="minorHAnsi"/>
        </w:rPr>
      </w:pPr>
      <w:r>
        <w:rPr>
          <w:rFonts w:asciiTheme="minorHAnsi" w:hAnsiTheme="minorHAnsi" w:cstheme="minorHAnsi"/>
        </w:rPr>
        <w:t>7</w:t>
      </w:r>
      <w:r w:rsidR="009C2179">
        <w:rPr>
          <w:rFonts w:asciiTheme="minorHAnsi" w:hAnsiTheme="minorHAnsi" w:cstheme="minorHAnsi"/>
        </w:rPr>
        <w:t>.3.9</w:t>
      </w:r>
      <w:r w:rsidR="001D3040" w:rsidRPr="001D3040">
        <w:rPr>
          <w:rFonts w:asciiTheme="minorHAnsi" w:hAnsiTheme="minorHAnsi" w:cstheme="minorHAnsi"/>
        </w:rPr>
        <w:tab/>
        <w:t xml:space="preserve">Should applicants wish to submit hard copy documents, applicants should provide the original hard copy plus three copies (unbound). The original document should be marked ‘Original’, and be signed and dated. The copies should be numbered sequentially and marked ‘Copy 1’, ‘Copy 2’ and ‘Copy 3’. Where hard copy documents are submitted, applicants must provide electronic copies of geo-spatial information via physical electronic media or via </w:t>
      </w:r>
      <w:proofErr w:type="spellStart"/>
      <w:r w:rsidR="001D3040" w:rsidRPr="001D3040">
        <w:rPr>
          <w:rFonts w:asciiTheme="minorHAnsi" w:hAnsiTheme="minorHAnsi" w:cstheme="minorHAnsi"/>
        </w:rPr>
        <w:t>Govdex</w:t>
      </w:r>
      <w:proofErr w:type="spellEnd"/>
      <w:r w:rsidR="001D3040" w:rsidRPr="001D3040">
        <w:rPr>
          <w:rFonts w:asciiTheme="minorHAnsi" w:hAnsiTheme="minorHAnsi" w:cstheme="minorHAnsi"/>
        </w:rPr>
        <w:t>.</w:t>
      </w:r>
    </w:p>
    <w:p w14:paraId="03169391" w14:textId="58BB2A64" w:rsidR="001D3040" w:rsidRPr="001D3040" w:rsidRDefault="00301B7F" w:rsidP="001D3040">
      <w:pPr>
        <w:pStyle w:val="Bodynumbered-Level1"/>
        <w:rPr>
          <w:rFonts w:asciiTheme="minorHAnsi" w:hAnsiTheme="minorHAnsi" w:cstheme="minorHAnsi"/>
        </w:rPr>
      </w:pPr>
      <w:r>
        <w:rPr>
          <w:rFonts w:asciiTheme="minorHAnsi" w:hAnsiTheme="minorHAnsi" w:cstheme="minorHAnsi"/>
        </w:rPr>
        <w:t>7</w:t>
      </w:r>
      <w:r w:rsidR="009C2179">
        <w:rPr>
          <w:rFonts w:asciiTheme="minorHAnsi" w:hAnsiTheme="minorHAnsi" w:cstheme="minorHAnsi"/>
        </w:rPr>
        <w:t>.3.10</w:t>
      </w:r>
      <w:r w:rsidR="001D3040" w:rsidRPr="001D3040">
        <w:rPr>
          <w:rFonts w:asciiTheme="minorHAnsi" w:hAnsiTheme="minorHAnsi" w:cstheme="minorHAnsi"/>
        </w:rPr>
        <w:tab/>
        <w:t xml:space="preserve">Where physical electronic media is to be provided, such as CD-ROM, DVD-ROM or USB stick, the media must be PC-formatted. Applicants should include an index of all electronic documents on the physical electronic media. </w:t>
      </w:r>
    </w:p>
    <w:p w14:paraId="03169392" w14:textId="0BAA6F45" w:rsidR="001D3040" w:rsidRPr="001D3040" w:rsidRDefault="00301B7F" w:rsidP="001D3040">
      <w:pPr>
        <w:pStyle w:val="Bodynumbered-Level1"/>
        <w:rPr>
          <w:rFonts w:asciiTheme="minorHAnsi" w:hAnsiTheme="minorHAnsi" w:cstheme="minorHAnsi"/>
        </w:rPr>
      </w:pPr>
      <w:r>
        <w:rPr>
          <w:rFonts w:asciiTheme="minorHAnsi" w:hAnsiTheme="minorHAnsi" w:cstheme="minorHAnsi"/>
        </w:rPr>
        <w:lastRenderedPageBreak/>
        <w:t>7</w:t>
      </w:r>
      <w:r w:rsidR="009C2179">
        <w:rPr>
          <w:rFonts w:asciiTheme="minorHAnsi" w:hAnsiTheme="minorHAnsi" w:cstheme="minorHAnsi"/>
        </w:rPr>
        <w:t>.3.11</w:t>
      </w:r>
      <w:r w:rsidR="001D3040" w:rsidRPr="001D3040">
        <w:rPr>
          <w:rFonts w:asciiTheme="minorHAnsi" w:hAnsiTheme="minorHAnsi" w:cstheme="minorHAnsi"/>
        </w:rPr>
        <w:tab/>
        <w:t xml:space="preserve">Submissions provided in hard copy and physical electronic </w:t>
      </w:r>
      <w:r w:rsidR="001D3040" w:rsidRPr="008A3B1E">
        <w:rPr>
          <w:rFonts w:asciiTheme="minorHAnsi" w:hAnsiTheme="minorHAnsi" w:cstheme="minorHAnsi"/>
        </w:rPr>
        <w:t>media formats should be delivered via registered post or by hand prior to the closing date (</w:t>
      </w:r>
      <w:r w:rsidR="001D3040" w:rsidRPr="00846820">
        <w:rPr>
          <w:rFonts w:asciiTheme="minorHAnsi" w:hAnsiTheme="minorHAnsi" w:cstheme="minorHAnsi"/>
        </w:rPr>
        <w:t xml:space="preserve">see sections </w:t>
      </w:r>
      <w:r w:rsidR="00391241" w:rsidRPr="00846820">
        <w:rPr>
          <w:rFonts w:asciiTheme="minorHAnsi" w:hAnsiTheme="minorHAnsi" w:cstheme="minorHAnsi"/>
        </w:rPr>
        <w:t>7</w:t>
      </w:r>
      <w:r w:rsidR="001D3040" w:rsidRPr="00846820">
        <w:rPr>
          <w:rFonts w:asciiTheme="minorHAnsi" w:hAnsiTheme="minorHAnsi" w:cstheme="minorHAnsi"/>
        </w:rPr>
        <w:t xml:space="preserve">.3.12 and </w:t>
      </w:r>
      <w:r w:rsidR="00391241" w:rsidRPr="00846820">
        <w:rPr>
          <w:rFonts w:asciiTheme="minorHAnsi" w:hAnsiTheme="minorHAnsi" w:cstheme="minorHAnsi"/>
        </w:rPr>
        <w:t>7</w:t>
      </w:r>
      <w:r w:rsidR="001D3040" w:rsidRPr="00846820">
        <w:rPr>
          <w:rFonts w:asciiTheme="minorHAnsi" w:hAnsiTheme="minorHAnsi" w:cstheme="minorHAnsi"/>
        </w:rPr>
        <w:t>.4.1)</w:t>
      </w:r>
      <w:r w:rsidR="001D3040" w:rsidRPr="008A3B1E">
        <w:rPr>
          <w:rFonts w:asciiTheme="minorHAnsi" w:hAnsiTheme="minorHAnsi" w:cstheme="minorHAnsi"/>
        </w:rPr>
        <w:t>.</w:t>
      </w:r>
    </w:p>
    <w:p w14:paraId="03169393" w14:textId="43681B4C" w:rsidR="001D3040" w:rsidRPr="001D3040" w:rsidRDefault="00301B7F" w:rsidP="001D3040">
      <w:pPr>
        <w:pStyle w:val="Bodynumbered-Level1"/>
        <w:spacing w:after="120"/>
        <w:rPr>
          <w:rFonts w:asciiTheme="minorHAnsi" w:hAnsiTheme="minorHAnsi" w:cstheme="minorHAnsi"/>
        </w:rPr>
      </w:pPr>
      <w:r>
        <w:rPr>
          <w:rFonts w:asciiTheme="minorHAnsi" w:hAnsiTheme="minorHAnsi" w:cstheme="minorHAnsi"/>
        </w:rPr>
        <w:t>7</w:t>
      </w:r>
      <w:r w:rsidR="009C2179">
        <w:rPr>
          <w:rFonts w:asciiTheme="minorHAnsi" w:hAnsiTheme="minorHAnsi" w:cstheme="minorHAnsi"/>
        </w:rPr>
        <w:t>.3.12</w:t>
      </w:r>
      <w:r w:rsidR="001D3040" w:rsidRPr="001D3040">
        <w:rPr>
          <w:rFonts w:asciiTheme="minorHAnsi" w:hAnsiTheme="minorHAnsi" w:cstheme="minorHAnsi"/>
        </w:rPr>
        <w:tab/>
        <w:t>Applications are to be addressed and delivered to:</w:t>
      </w:r>
    </w:p>
    <w:p w14:paraId="03169394" w14:textId="77777777" w:rsidR="001D3040" w:rsidRPr="001D3040" w:rsidRDefault="001D3040" w:rsidP="001D3040">
      <w:pPr>
        <w:pStyle w:val="Bodynumbered-Level1"/>
        <w:spacing w:before="120"/>
        <w:ind w:hanging="11"/>
        <w:rPr>
          <w:rFonts w:asciiTheme="minorHAnsi" w:hAnsiTheme="minorHAnsi" w:cstheme="minorHAnsi"/>
        </w:rPr>
      </w:pPr>
      <w:r w:rsidRPr="001D3040">
        <w:rPr>
          <w:rFonts w:asciiTheme="minorHAnsi" w:hAnsiTheme="minorHAnsi" w:cstheme="minorHAnsi"/>
        </w:rPr>
        <w:t xml:space="preserve">Director, Mobile Black Spot Program (Round 4) </w:t>
      </w:r>
      <w:r w:rsidRPr="001D3040">
        <w:rPr>
          <w:rFonts w:asciiTheme="minorHAnsi" w:hAnsiTheme="minorHAnsi" w:cstheme="minorHAnsi"/>
        </w:rPr>
        <w:br/>
        <w:t>Department of Communications and the Arts</w:t>
      </w:r>
      <w:r w:rsidRPr="001D3040">
        <w:rPr>
          <w:rFonts w:asciiTheme="minorHAnsi" w:hAnsiTheme="minorHAnsi" w:cstheme="minorHAnsi"/>
        </w:rPr>
        <w:br/>
        <w:t xml:space="preserve">GPO Box 2154 </w:t>
      </w:r>
      <w:r w:rsidRPr="001D3040">
        <w:rPr>
          <w:rFonts w:asciiTheme="minorHAnsi" w:hAnsiTheme="minorHAnsi" w:cstheme="minorHAnsi"/>
        </w:rPr>
        <w:br/>
      </w:r>
      <w:proofErr w:type="gramStart"/>
      <w:r w:rsidRPr="001D3040">
        <w:rPr>
          <w:rFonts w:asciiTheme="minorHAnsi" w:hAnsiTheme="minorHAnsi" w:cstheme="minorHAnsi"/>
        </w:rPr>
        <w:t>CANBERRA  ACT</w:t>
      </w:r>
      <w:proofErr w:type="gramEnd"/>
      <w:r w:rsidRPr="001D3040">
        <w:rPr>
          <w:rFonts w:asciiTheme="minorHAnsi" w:hAnsiTheme="minorHAnsi" w:cstheme="minorHAnsi"/>
        </w:rPr>
        <w:t xml:space="preserve">  2601</w:t>
      </w:r>
    </w:p>
    <w:p w14:paraId="03169395" w14:textId="78DF1E3E" w:rsidR="001D3040" w:rsidRPr="001D3040" w:rsidRDefault="00301B7F" w:rsidP="001D3040">
      <w:pPr>
        <w:pStyle w:val="Bodynumbered-Level1"/>
        <w:rPr>
          <w:rFonts w:asciiTheme="minorHAnsi" w:hAnsiTheme="minorHAnsi" w:cstheme="minorHAnsi"/>
        </w:rPr>
      </w:pPr>
      <w:r>
        <w:rPr>
          <w:rFonts w:asciiTheme="minorHAnsi" w:hAnsiTheme="minorHAnsi" w:cstheme="minorHAnsi"/>
        </w:rPr>
        <w:t>7</w:t>
      </w:r>
      <w:r w:rsidR="009C2179">
        <w:rPr>
          <w:rFonts w:asciiTheme="minorHAnsi" w:hAnsiTheme="minorHAnsi" w:cstheme="minorHAnsi"/>
        </w:rPr>
        <w:t>.3.13</w:t>
      </w:r>
      <w:r w:rsidR="001D3040" w:rsidRPr="001D3040">
        <w:rPr>
          <w:rFonts w:asciiTheme="minorHAnsi" w:hAnsiTheme="minorHAnsi" w:cstheme="minorHAnsi"/>
        </w:rPr>
        <w:tab/>
        <w:t>The Department will acknowledge receipt of all applications by email to the nominated contact officer.</w:t>
      </w:r>
    </w:p>
    <w:p w14:paraId="2298306E" w14:textId="4BF0A8AC" w:rsidR="009C2179" w:rsidRPr="009C2179" w:rsidRDefault="009C2179" w:rsidP="00087F4A">
      <w:pPr>
        <w:pStyle w:val="Heading2Numbered"/>
        <w:numPr>
          <w:ilvl w:val="1"/>
          <w:numId w:val="42"/>
        </w:numPr>
      </w:pPr>
      <w:bookmarkStart w:id="134" w:name="_Toc523411628"/>
      <w:r>
        <w:t>Closing date for funding applications</w:t>
      </w:r>
      <w:bookmarkEnd w:id="134"/>
    </w:p>
    <w:p w14:paraId="03169397" w14:textId="0C8FD5ED" w:rsidR="001D3040" w:rsidRPr="001D3040" w:rsidRDefault="00057324" w:rsidP="001D3040">
      <w:pPr>
        <w:pStyle w:val="Bodynumbered-Level1"/>
        <w:rPr>
          <w:rFonts w:asciiTheme="minorHAnsi" w:hAnsiTheme="minorHAnsi" w:cstheme="minorHAnsi"/>
        </w:rPr>
      </w:pPr>
      <w:r>
        <w:rPr>
          <w:rFonts w:asciiTheme="minorHAnsi" w:hAnsiTheme="minorHAnsi" w:cstheme="minorHAnsi"/>
        </w:rPr>
        <w:t>7</w:t>
      </w:r>
      <w:r w:rsidR="009C2179">
        <w:rPr>
          <w:rFonts w:asciiTheme="minorHAnsi" w:hAnsiTheme="minorHAnsi" w:cstheme="minorHAnsi"/>
        </w:rPr>
        <w:t>.4.1</w:t>
      </w:r>
      <w:r w:rsidR="001D3040" w:rsidRPr="001D3040">
        <w:rPr>
          <w:rFonts w:asciiTheme="minorHAnsi" w:hAnsiTheme="minorHAnsi" w:cstheme="minorHAnsi"/>
        </w:rPr>
        <w:tab/>
        <w:t xml:space="preserve">The closing date for submitting an application for funding under this round of the Program is </w:t>
      </w:r>
      <w:r w:rsidR="001D3040" w:rsidRPr="001D3040">
        <w:rPr>
          <w:rFonts w:asciiTheme="minorHAnsi" w:hAnsiTheme="minorHAnsi" w:cstheme="minorHAnsi"/>
          <w:b/>
        </w:rPr>
        <w:t xml:space="preserve">5.00pm (Canberra time), </w:t>
      </w:r>
      <w:r w:rsidR="005F3663">
        <w:rPr>
          <w:rFonts w:asciiTheme="minorHAnsi" w:hAnsiTheme="minorHAnsi" w:cstheme="minorHAnsi"/>
          <w:b/>
        </w:rPr>
        <w:t>Mon</w:t>
      </w:r>
      <w:r w:rsidR="008A5CDB" w:rsidRPr="008A5CDB">
        <w:rPr>
          <w:rFonts w:asciiTheme="minorHAnsi" w:hAnsiTheme="minorHAnsi" w:cstheme="minorHAnsi"/>
          <w:b/>
        </w:rPr>
        <w:t>day</w:t>
      </w:r>
      <w:r w:rsidR="001D3040" w:rsidRPr="008A5CDB">
        <w:rPr>
          <w:rFonts w:asciiTheme="minorHAnsi" w:hAnsiTheme="minorHAnsi" w:cstheme="minorHAnsi"/>
          <w:b/>
        </w:rPr>
        <w:t xml:space="preserve"> </w:t>
      </w:r>
      <w:r w:rsidR="005F3663">
        <w:rPr>
          <w:rFonts w:asciiTheme="minorHAnsi" w:hAnsiTheme="minorHAnsi" w:cstheme="minorHAnsi"/>
          <w:b/>
        </w:rPr>
        <w:t>10</w:t>
      </w:r>
      <w:r w:rsidR="001D3040" w:rsidRPr="008A5CDB">
        <w:rPr>
          <w:rFonts w:asciiTheme="minorHAnsi" w:hAnsiTheme="minorHAnsi" w:cstheme="minorHAnsi"/>
          <w:b/>
        </w:rPr>
        <w:t xml:space="preserve"> </w:t>
      </w:r>
      <w:r w:rsidR="008A5CDB" w:rsidRPr="008A5CDB">
        <w:rPr>
          <w:rFonts w:asciiTheme="minorHAnsi" w:hAnsiTheme="minorHAnsi" w:cstheme="minorHAnsi"/>
          <w:b/>
        </w:rPr>
        <w:t>Dec</w:t>
      </w:r>
      <w:r w:rsidR="00AA03F4" w:rsidRPr="008A5CDB">
        <w:rPr>
          <w:rFonts w:asciiTheme="minorHAnsi" w:hAnsiTheme="minorHAnsi" w:cstheme="minorHAnsi"/>
          <w:b/>
        </w:rPr>
        <w:t xml:space="preserve">ember </w:t>
      </w:r>
      <w:r w:rsidR="001D3040" w:rsidRPr="008A5CDB">
        <w:rPr>
          <w:rFonts w:asciiTheme="minorHAnsi" w:hAnsiTheme="minorHAnsi" w:cstheme="minorHAnsi"/>
          <w:b/>
        </w:rPr>
        <w:t>2018.</w:t>
      </w:r>
    </w:p>
    <w:p w14:paraId="0186697A" w14:textId="2223CDD5" w:rsidR="009C2179" w:rsidRPr="009C2179" w:rsidRDefault="009C2179" w:rsidP="00087F4A">
      <w:pPr>
        <w:pStyle w:val="Heading2Numbered"/>
        <w:numPr>
          <w:ilvl w:val="1"/>
          <w:numId w:val="42"/>
        </w:numPr>
      </w:pPr>
      <w:bookmarkStart w:id="135" w:name="_Toc523411629"/>
      <w:r>
        <w:t>Late applications</w:t>
      </w:r>
      <w:bookmarkEnd w:id="135"/>
    </w:p>
    <w:p w14:paraId="03169399" w14:textId="21708F88" w:rsidR="001D3040" w:rsidRDefault="00057324" w:rsidP="007C46F7">
      <w:pPr>
        <w:pStyle w:val="Bodynumbered-Level1"/>
        <w:rPr>
          <w:rFonts w:asciiTheme="minorHAnsi" w:hAnsiTheme="minorHAnsi" w:cstheme="minorHAnsi"/>
        </w:rPr>
      </w:pPr>
      <w:r>
        <w:rPr>
          <w:rFonts w:asciiTheme="minorHAnsi" w:hAnsiTheme="minorHAnsi" w:cstheme="minorHAnsi"/>
        </w:rPr>
        <w:t>7</w:t>
      </w:r>
      <w:r w:rsidR="009C2179">
        <w:rPr>
          <w:rFonts w:asciiTheme="minorHAnsi" w:hAnsiTheme="minorHAnsi" w:cstheme="minorHAnsi"/>
        </w:rPr>
        <w:t>.5.1</w:t>
      </w:r>
      <w:r w:rsidR="001D3040" w:rsidRPr="001D3040">
        <w:rPr>
          <w:rFonts w:asciiTheme="minorHAnsi" w:hAnsiTheme="minorHAnsi" w:cstheme="minorHAnsi"/>
        </w:rPr>
        <w:tab/>
        <w:t>Any decision by the Department on whether or not to accept a late application to the ass</w:t>
      </w:r>
      <w:r w:rsidR="007C46F7">
        <w:rPr>
          <w:rFonts w:asciiTheme="minorHAnsi" w:hAnsiTheme="minorHAnsi" w:cstheme="minorHAnsi"/>
        </w:rPr>
        <w:t>essment process shall be final.</w:t>
      </w:r>
    </w:p>
    <w:p w14:paraId="6F3D65A0" w14:textId="6429FEA4" w:rsidR="009C2179" w:rsidRPr="009C2179" w:rsidRDefault="009C2179" w:rsidP="00087F4A">
      <w:pPr>
        <w:pStyle w:val="Heading2Numbered"/>
        <w:numPr>
          <w:ilvl w:val="1"/>
          <w:numId w:val="42"/>
        </w:numPr>
      </w:pPr>
      <w:bookmarkStart w:id="136" w:name="_Toc523411630"/>
      <w:r>
        <w:t>Further information about the application</w:t>
      </w:r>
      <w:bookmarkEnd w:id="136"/>
    </w:p>
    <w:p w14:paraId="0316939B" w14:textId="5EBCAF1F" w:rsidR="007569D6" w:rsidRPr="007569D6" w:rsidRDefault="00057324" w:rsidP="007569D6">
      <w:pPr>
        <w:pStyle w:val="Bodynumbered-Level1"/>
        <w:spacing w:after="120"/>
        <w:rPr>
          <w:rFonts w:asciiTheme="minorHAnsi" w:hAnsiTheme="minorHAnsi" w:cstheme="minorHAnsi"/>
        </w:rPr>
      </w:pPr>
      <w:bookmarkStart w:id="137" w:name="OLE_LINK5"/>
      <w:bookmarkStart w:id="138" w:name="OLE_LINK6"/>
      <w:r>
        <w:rPr>
          <w:rFonts w:asciiTheme="minorHAnsi" w:hAnsiTheme="minorHAnsi" w:cstheme="minorHAnsi"/>
        </w:rPr>
        <w:t>7</w:t>
      </w:r>
      <w:r w:rsidR="009C2179">
        <w:rPr>
          <w:rFonts w:asciiTheme="minorHAnsi" w:hAnsiTheme="minorHAnsi" w:cstheme="minorHAnsi"/>
        </w:rPr>
        <w:t>.6.1</w:t>
      </w:r>
      <w:r w:rsidR="007569D6" w:rsidRPr="007569D6">
        <w:rPr>
          <w:rFonts w:asciiTheme="minorHAnsi" w:hAnsiTheme="minorHAnsi" w:cstheme="minorHAnsi"/>
        </w:rPr>
        <w:tab/>
        <w:t>At any time during the due diligence assessment or the assessment proper, the Department may:</w:t>
      </w:r>
    </w:p>
    <w:p w14:paraId="0316939C" w14:textId="77777777" w:rsidR="007569D6" w:rsidRPr="007569D6" w:rsidRDefault="007569D6" w:rsidP="003B36C5">
      <w:pPr>
        <w:pStyle w:val="Bodynumbered-Level3"/>
        <w:spacing w:before="120" w:after="120"/>
        <w:ind w:left="1355" w:hanging="646"/>
        <w:rPr>
          <w:rFonts w:asciiTheme="minorHAnsi" w:hAnsiTheme="minorHAnsi" w:cstheme="minorHAnsi"/>
        </w:rPr>
      </w:pPr>
      <w:r w:rsidRPr="007569D6">
        <w:rPr>
          <w:rFonts w:asciiTheme="minorHAnsi" w:hAnsiTheme="minorHAnsi" w:cstheme="minorHAnsi"/>
        </w:rPr>
        <w:t>(a)</w:t>
      </w:r>
      <w:r w:rsidRPr="007569D6">
        <w:rPr>
          <w:rFonts w:asciiTheme="minorHAnsi" w:hAnsiTheme="minorHAnsi" w:cstheme="minorHAnsi"/>
        </w:rPr>
        <w:tab/>
        <w:t>contact applicants to check information that may be ambiguous or unclear;</w:t>
      </w:r>
    </w:p>
    <w:p w14:paraId="0316939D" w14:textId="77777777" w:rsidR="007569D6" w:rsidRPr="007569D6" w:rsidRDefault="007569D6" w:rsidP="003B36C5">
      <w:pPr>
        <w:pStyle w:val="Bodynumbered-Level3"/>
        <w:spacing w:before="120" w:after="120"/>
        <w:ind w:left="1355" w:hanging="646"/>
        <w:rPr>
          <w:rFonts w:asciiTheme="minorHAnsi" w:hAnsiTheme="minorHAnsi" w:cstheme="minorHAnsi"/>
        </w:rPr>
      </w:pPr>
      <w:r w:rsidRPr="007569D6">
        <w:rPr>
          <w:rFonts w:asciiTheme="minorHAnsi" w:hAnsiTheme="minorHAnsi" w:cstheme="minorHAnsi"/>
        </w:rPr>
        <w:t>(b)</w:t>
      </w:r>
      <w:r w:rsidRPr="007569D6">
        <w:rPr>
          <w:rFonts w:asciiTheme="minorHAnsi" w:hAnsiTheme="minorHAnsi" w:cstheme="minorHAnsi"/>
        </w:rPr>
        <w:tab/>
        <w:t>seek either additional information or seek clarification of certain information to assist its assessment of applications; and/or</w:t>
      </w:r>
    </w:p>
    <w:p w14:paraId="031693BB" w14:textId="456AF844" w:rsidR="00DD550E" w:rsidRPr="00A27228" w:rsidRDefault="007569D6" w:rsidP="003B36C5">
      <w:pPr>
        <w:pStyle w:val="Bodynumbered-Level3"/>
        <w:spacing w:before="120" w:after="120"/>
        <w:ind w:left="1355" w:hanging="646"/>
        <w:rPr>
          <w:rFonts w:asciiTheme="minorHAnsi" w:hAnsiTheme="minorHAnsi" w:cstheme="minorHAnsi"/>
        </w:rPr>
      </w:pPr>
      <w:r w:rsidRPr="007569D6">
        <w:rPr>
          <w:rFonts w:asciiTheme="minorHAnsi" w:hAnsiTheme="minorHAnsi" w:cstheme="minorHAnsi"/>
        </w:rPr>
        <w:t>(c)</w:t>
      </w:r>
      <w:r w:rsidRPr="007569D6">
        <w:rPr>
          <w:rFonts w:asciiTheme="minorHAnsi" w:hAnsiTheme="minorHAnsi" w:cstheme="minorHAnsi"/>
        </w:rPr>
        <w:tab/>
        <w:t>seek expert advice to verify claims made.</w:t>
      </w:r>
      <w:bookmarkEnd w:id="137"/>
      <w:bookmarkEnd w:id="138"/>
    </w:p>
    <w:p w14:paraId="509B4F3B" w14:textId="1226A7A8" w:rsidR="009C2179" w:rsidRDefault="009C2179" w:rsidP="00087F4A">
      <w:pPr>
        <w:pStyle w:val="Heading2Numbered"/>
        <w:numPr>
          <w:ilvl w:val="1"/>
          <w:numId w:val="42"/>
        </w:numPr>
      </w:pPr>
      <w:bookmarkStart w:id="139" w:name="_Toc523411631"/>
      <w:bookmarkStart w:id="140" w:name="_Toc384307739"/>
      <w:bookmarkStart w:id="141" w:name="_Toc384307810"/>
      <w:bookmarkStart w:id="142" w:name="_Toc389141038"/>
      <w:bookmarkStart w:id="143" w:name="_Toc433641171"/>
      <w:bookmarkStart w:id="144" w:name="_Toc467773972"/>
      <w:bookmarkStart w:id="145" w:name="_Toc421777609"/>
      <w:bookmarkEnd w:id="100"/>
      <w:r>
        <w:t>Questions during the application process</w:t>
      </w:r>
      <w:bookmarkEnd w:id="139"/>
    </w:p>
    <w:p w14:paraId="2FB14A8C" w14:textId="29343E31" w:rsidR="009C2179" w:rsidRPr="009C2179" w:rsidRDefault="009C2179" w:rsidP="009C2179">
      <w:pPr>
        <w:pStyle w:val="Bodynumbered-Level1"/>
        <w:rPr>
          <w:rFonts w:asciiTheme="minorHAnsi" w:hAnsiTheme="minorHAnsi" w:cstheme="minorHAnsi"/>
        </w:rPr>
      </w:pPr>
      <w:r>
        <w:rPr>
          <w:rFonts w:asciiTheme="minorHAnsi" w:hAnsiTheme="minorHAnsi" w:cstheme="minorHAnsi"/>
        </w:rPr>
        <w:t>7.7.1</w:t>
      </w:r>
      <w:r w:rsidRPr="00BB73B5">
        <w:rPr>
          <w:rFonts w:asciiTheme="minorHAnsi" w:hAnsiTheme="minorHAnsi" w:cstheme="minorHAnsi"/>
        </w:rPr>
        <w:tab/>
        <w:t xml:space="preserve">All requests for clarification or determination of the meaning of provisions in these Guidelines should be referred to the Department </w:t>
      </w:r>
      <w:hyperlink r:id="rId16" w:history="1">
        <w:r w:rsidRPr="00BB73B5">
          <w:rPr>
            <w:rFonts w:asciiTheme="minorHAnsi" w:hAnsiTheme="minorHAnsi" w:cstheme="minorHAnsi"/>
          </w:rPr>
          <w:t>by email</w:t>
        </w:r>
      </w:hyperlink>
      <w:r w:rsidRPr="00BB73B5">
        <w:rPr>
          <w:rFonts w:asciiTheme="minorHAnsi" w:hAnsiTheme="minorHAnsi" w:cstheme="minorHAnsi"/>
        </w:rPr>
        <w:t xml:space="preserve"> at </w:t>
      </w:r>
      <w:hyperlink r:id="rId17" w:history="1">
        <w:r w:rsidRPr="009C2179">
          <w:rPr>
            <w:rStyle w:val="Hyperlink"/>
            <w:rFonts w:cstheme="minorHAnsi"/>
            <w:b/>
            <w:u w:val="none"/>
          </w:rPr>
          <w:t>mobilecoverage@communications.gov.au</w:t>
        </w:r>
      </w:hyperlink>
      <w:r>
        <w:rPr>
          <w:rFonts w:asciiTheme="minorHAnsi" w:hAnsiTheme="minorHAnsi" w:cstheme="minorHAnsi"/>
        </w:rPr>
        <w:t xml:space="preserve">. </w:t>
      </w:r>
      <w:r w:rsidRPr="00BB73B5">
        <w:rPr>
          <w:rFonts w:asciiTheme="minorHAnsi" w:hAnsiTheme="minorHAnsi" w:cstheme="minorHAnsi"/>
        </w:rPr>
        <w:t>If an applicant requests clarification of a provision in these Guidelines or a determination on a particular issue, the Department’s written decision on the matter is final. Written decisions may be made publicly available via the Departmen</w:t>
      </w:r>
      <w:r>
        <w:rPr>
          <w:rFonts w:asciiTheme="minorHAnsi" w:hAnsiTheme="minorHAnsi" w:cstheme="minorHAnsi"/>
        </w:rPr>
        <w:t>t’s website, where appropriate.</w:t>
      </w:r>
    </w:p>
    <w:bookmarkEnd w:id="140"/>
    <w:bookmarkEnd w:id="141"/>
    <w:bookmarkEnd w:id="142"/>
    <w:bookmarkEnd w:id="143"/>
    <w:bookmarkEnd w:id="144"/>
    <w:p w14:paraId="031693C9" w14:textId="0331B2D8" w:rsidR="00340616" w:rsidRPr="007C46F7" w:rsidRDefault="00301B7F" w:rsidP="007C46F7">
      <w:pPr>
        <w:pStyle w:val="Bodynumbered-Level1"/>
        <w:rPr>
          <w:rFonts w:asciiTheme="minorHAnsi" w:hAnsiTheme="minorHAnsi" w:cstheme="minorHAnsi"/>
        </w:rPr>
      </w:pPr>
      <w:r w:rsidRPr="009C2179">
        <w:rPr>
          <w:rFonts w:asciiTheme="minorHAnsi" w:hAnsiTheme="minorHAnsi" w:cstheme="minorHAnsi"/>
        </w:rPr>
        <w:t>7</w:t>
      </w:r>
      <w:r w:rsidR="00057324" w:rsidRPr="009C2179">
        <w:rPr>
          <w:rFonts w:asciiTheme="minorHAnsi" w:hAnsiTheme="minorHAnsi" w:cstheme="minorHAnsi"/>
        </w:rPr>
        <w:t>.</w:t>
      </w:r>
      <w:r w:rsidR="009C2179" w:rsidRPr="009C2179">
        <w:rPr>
          <w:rFonts w:asciiTheme="minorHAnsi" w:hAnsiTheme="minorHAnsi" w:cstheme="minorHAnsi"/>
        </w:rPr>
        <w:t>7.2</w:t>
      </w:r>
      <w:r w:rsidR="007C46F7" w:rsidRPr="009C2179">
        <w:rPr>
          <w:rFonts w:asciiTheme="minorHAnsi" w:hAnsiTheme="minorHAnsi" w:cstheme="minorHAnsi"/>
        </w:rPr>
        <w:tab/>
      </w:r>
      <w:r w:rsidR="00340616" w:rsidRPr="009C2179">
        <w:rPr>
          <w:rFonts w:asciiTheme="minorHAnsi" w:hAnsiTheme="minorHAnsi" w:cstheme="minorHAnsi"/>
        </w:rPr>
        <w:t xml:space="preserve">Answers to questions may be posted on </w:t>
      </w:r>
      <w:r w:rsidR="00340616" w:rsidRPr="008A3B1E">
        <w:rPr>
          <w:rFonts w:asciiTheme="minorHAnsi" w:hAnsiTheme="minorHAnsi" w:cstheme="minorHAnsi"/>
        </w:rPr>
        <w:t>GrantConnect</w:t>
      </w:r>
      <w:r w:rsidR="00340616" w:rsidRPr="00846820">
        <w:rPr>
          <w:rFonts w:asciiTheme="minorHAnsi" w:hAnsiTheme="minorHAnsi" w:cstheme="minorHAnsi"/>
        </w:rPr>
        <w:t>.</w:t>
      </w:r>
      <w:r w:rsidR="00340616" w:rsidRPr="009C2179" w:rsidDel="00FA6425">
        <w:rPr>
          <w:rFonts w:asciiTheme="minorHAnsi" w:hAnsiTheme="minorHAnsi" w:cstheme="minorHAnsi"/>
        </w:rPr>
        <w:t xml:space="preserve"> </w:t>
      </w:r>
    </w:p>
    <w:p w14:paraId="031693CE" w14:textId="77777777" w:rsidR="00340616" w:rsidRPr="00B72EE8" w:rsidRDefault="00340616" w:rsidP="0054078D">
      <w:pPr>
        <w:pStyle w:val="Heading1Numbered"/>
      </w:pPr>
      <w:bookmarkStart w:id="146" w:name="_Toc467773974"/>
      <w:bookmarkStart w:id="147" w:name="_Toc523411632"/>
      <w:bookmarkEnd w:id="145"/>
      <w:r>
        <w:lastRenderedPageBreak/>
        <w:t>Assessment of grant ap</w:t>
      </w:r>
      <w:r w:rsidRPr="00B72EE8">
        <w:t>plications</w:t>
      </w:r>
      <w:bookmarkEnd w:id="146"/>
      <w:bookmarkEnd w:id="147"/>
    </w:p>
    <w:p w14:paraId="4B471A40" w14:textId="1BAEB10A" w:rsidR="00FC5F27" w:rsidRDefault="00FC5F27" w:rsidP="00FC5F27">
      <w:pPr>
        <w:pStyle w:val="Heading2Numbered"/>
      </w:pPr>
      <w:bookmarkStart w:id="148" w:name="_Toc523411633"/>
      <w:r>
        <w:t>Who will assess applications?</w:t>
      </w:r>
      <w:bookmarkEnd w:id="148"/>
    </w:p>
    <w:p w14:paraId="2B98B042" w14:textId="3415A947" w:rsidR="00FC5F27" w:rsidRPr="009C2179" w:rsidRDefault="00FC5F27" w:rsidP="00FC5F27">
      <w:pPr>
        <w:pStyle w:val="Bodynumbered-Level1"/>
        <w:rPr>
          <w:rFonts w:asciiTheme="minorHAnsi" w:hAnsiTheme="minorHAnsi" w:cstheme="minorHAnsi"/>
        </w:rPr>
      </w:pPr>
      <w:r w:rsidRPr="009C2179">
        <w:rPr>
          <w:rFonts w:asciiTheme="minorHAnsi" w:hAnsiTheme="minorHAnsi" w:cstheme="minorHAnsi"/>
        </w:rPr>
        <w:t>8.1.1</w:t>
      </w:r>
      <w:r w:rsidRPr="009C2179">
        <w:rPr>
          <w:rFonts w:asciiTheme="minorHAnsi" w:hAnsiTheme="minorHAnsi" w:cstheme="minorHAnsi"/>
        </w:rPr>
        <w:tab/>
        <w:t xml:space="preserve">An assessment committee will assess each application on its merit. </w:t>
      </w:r>
    </w:p>
    <w:p w14:paraId="58D93752" w14:textId="1696F794" w:rsidR="00FC5F27" w:rsidRPr="009C2179" w:rsidRDefault="00FC5F27" w:rsidP="00FC5F27">
      <w:pPr>
        <w:pStyle w:val="Bodynumbered-Level1"/>
        <w:rPr>
          <w:rFonts w:asciiTheme="minorHAnsi" w:hAnsiTheme="minorHAnsi" w:cstheme="minorHAnsi"/>
        </w:rPr>
      </w:pPr>
      <w:r w:rsidRPr="009C2179">
        <w:rPr>
          <w:rFonts w:asciiTheme="minorHAnsi" w:hAnsiTheme="minorHAnsi" w:cstheme="minorHAnsi"/>
        </w:rPr>
        <w:t>8.1.2</w:t>
      </w:r>
      <w:r w:rsidRPr="009C2179">
        <w:rPr>
          <w:rFonts w:asciiTheme="minorHAnsi" w:hAnsiTheme="minorHAnsi" w:cstheme="minorHAnsi"/>
        </w:rPr>
        <w:tab/>
        <w:t xml:space="preserve">External advisors may also be asked to inform the assessment process. Any advisor who is not an Australian Public Servant will be treated as the Commonwealth entity’s staff in accordance with Part 1, section 2.8 of the CGRGs. </w:t>
      </w:r>
    </w:p>
    <w:p w14:paraId="02A6B5FC" w14:textId="2479ED59" w:rsidR="00FC5F27" w:rsidRPr="009C2179" w:rsidRDefault="00FC5F27" w:rsidP="00FC5F27">
      <w:pPr>
        <w:pStyle w:val="Bodynumbered-Level1"/>
        <w:rPr>
          <w:rFonts w:asciiTheme="minorHAnsi" w:hAnsiTheme="minorHAnsi" w:cstheme="minorHAnsi"/>
        </w:rPr>
      </w:pPr>
      <w:r w:rsidRPr="009C2179">
        <w:rPr>
          <w:rFonts w:asciiTheme="minorHAnsi" w:hAnsiTheme="minorHAnsi" w:cstheme="minorHAnsi"/>
        </w:rPr>
        <w:t>8.1.3</w:t>
      </w:r>
      <w:r w:rsidRPr="009C2179">
        <w:rPr>
          <w:rFonts w:asciiTheme="minorHAnsi" w:hAnsiTheme="minorHAnsi" w:cstheme="minorHAnsi"/>
        </w:rPr>
        <w:tab/>
        <w:t xml:space="preserve">The assessment committee may seek information about you or your application. They may do this from within the Commonwealth, even if the sources are not nominated by you as referees. The assessment committee may also consider information about you or your application that is available through the normal course of business. </w:t>
      </w:r>
    </w:p>
    <w:p w14:paraId="7136D8F0" w14:textId="2595D0C1" w:rsidR="00FC5F27" w:rsidRPr="00FC5F27" w:rsidRDefault="00FC5F27" w:rsidP="00FC5F27">
      <w:pPr>
        <w:pStyle w:val="Bodynumbered-Level1"/>
        <w:rPr>
          <w:rFonts w:asciiTheme="minorHAnsi" w:hAnsiTheme="minorHAnsi" w:cstheme="minorHAnsi"/>
        </w:rPr>
      </w:pPr>
      <w:r w:rsidRPr="009C2179">
        <w:rPr>
          <w:rFonts w:asciiTheme="minorHAnsi" w:hAnsiTheme="minorHAnsi" w:cstheme="minorHAnsi"/>
        </w:rPr>
        <w:t>8.1.4</w:t>
      </w:r>
      <w:r w:rsidRPr="009C2179">
        <w:rPr>
          <w:rFonts w:asciiTheme="minorHAnsi" w:hAnsiTheme="minorHAnsi" w:cstheme="minorHAnsi"/>
        </w:rPr>
        <w:tab/>
        <w:t xml:space="preserve">If the selection process identifies unintentional errors in your application, you may be contacted to correct or explain the information. </w:t>
      </w:r>
    </w:p>
    <w:p w14:paraId="276F7BE0" w14:textId="1E3C08DF" w:rsidR="00FC5F27" w:rsidRPr="00FC5F27" w:rsidRDefault="00FC5F27" w:rsidP="00FC5F27">
      <w:pPr>
        <w:pStyle w:val="Heading2Numbered"/>
      </w:pPr>
      <w:bookmarkStart w:id="149" w:name="_Toc523411634"/>
      <w:r>
        <w:t>Who will approve grants?</w:t>
      </w:r>
      <w:bookmarkEnd w:id="149"/>
    </w:p>
    <w:p w14:paraId="031693ED" w14:textId="0E53F16D" w:rsidR="008F66E0" w:rsidRPr="008F66E0" w:rsidRDefault="00301B7F" w:rsidP="008F66E0">
      <w:pPr>
        <w:pStyle w:val="Bodynumbered-Level1"/>
        <w:spacing w:after="120"/>
        <w:rPr>
          <w:rFonts w:asciiTheme="minorHAnsi" w:hAnsiTheme="minorHAnsi" w:cstheme="minorHAnsi"/>
        </w:rPr>
      </w:pPr>
      <w:r>
        <w:rPr>
          <w:rFonts w:asciiTheme="minorHAnsi" w:hAnsiTheme="minorHAnsi" w:cstheme="minorHAnsi"/>
        </w:rPr>
        <w:t>8</w:t>
      </w:r>
      <w:r w:rsidR="00693858">
        <w:rPr>
          <w:rFonts w:asciiTheme="minorHAnsi" w:hAnsiTheme="minorHAnsi" w:cstheme="minorHAnsi"/>
        </w:rPr>
        <w:t>.2</w:t>
      </w:r>
      <w:r w:rsidR="008F66E0" w:rsidRPr="008F66E0">
        <w:rPr>
          <w:rFonts w:asciiTheme="minorHAnsi" w:hAnsiTheme="minorHAnsi" w:cstheme="minorHAnsi"/>
        </w:rPr>
        <w:t>.1</w:t>
      </w:r>
      <w:r w:rsidR="008F66E0" w:rsidRPr="008F66E0">
        <w:rPr>
          <w:rFonts w:asciiTheme="minorHAnsi" w:hAnsiTheme="minorHAnsi" w:cstheme="minorHAnsi"/>
        </w:rPr>
        <w:tab/>
        <w:t>The Decision Maker will review the recommendations set out in the Merit List, and may do one or more of the following:</w:t>
      </w:r>
    </w:p>
    <w:p w14:paraId="031693EE" w14:textId="77777777" w:rsidR="008F66E0" w:rsidRPr="008F66E0" w:rsidRDefault="008F66E0" w:rsidP="00B51701">
      <w:pPr>
        <w:pStyle w:val="Bodynumbered-Level3"/>
        <w:spacing w:before="120" w:after="120"/>
        <w:ind w:left="1355" w:hanging="646"/>
        <w:rPr>
          <w:rFonts w:asciiTheme="minorHAnsi" w:hAnsiTheme="minorHAnsi" w:cstheme="minorHAnsi"/>
        </w:rPr>
      </w:pPr>
      <w:r w:rsidRPr="008F66E0">
        <w:rPr>
          <w:rFonts w:asciiTheme="minorHAnsi" w:hAnsiTheme="minorHAnsi" w:cstheme="minorHAnsi"/>
        </w:rPr>
        <w:t>(a)</w:t>
      </w:r>
      <w:r w:rsidRPr="008F66E0">
        <w:rPr>
          <w:rFonts w:asciiTheme="minorHAnsi" w:hAnsiTheme="minorHAnsi" w:cstheme="minorHAnsi"/>
        </w:rPr>
        <w:tab/>
        <w:t>approve the recommendations;</w:t>
      </w:r>
    </w:p>
    <w:p w14:paraId="031693EF" w14:textId="77777777" w:rsidR="008F66E0" w:rsidRPr="008F66E0" w:rsidRDefault="008F66E0" w:rsidP="00B51701">
      <w:pPr>
        <w:pStyle w:val="Bodynumbered-Level3"/>
        <w:spacing w:before="120" w:after="120"/>
        <w:ind w:left="1355" w:hanging="646"/>
        <w:rPr>
          <w:rFonts w:asciiTheme="minorHAnsi" w:hAnsiTheme="minorHAnsi" w:cstheme="minorHAnsi"/>
        </w:rPr>
      </w:pPr>
      <w:r w:rsidRPr="008F66E0">
        <w:rPr>
          <w:rFonts w:asciiTheme="minorHAnsi" w:hAnsiTheme="minorHAnsi" w:cstheme="minorHAnsi"/>
        </w:rPr>
        <w:t>(b)</w:t>
      </w:r>
      <w:r w:rsidRPr="008F66E0">
        <w:rPr>
          <w:rFonts w:asciiTheme="minorHAnsi" w:hAnsiTheme="minorHAnsi" w:cstheme="minorHAnsi"/>
        </w:rPr>
        <w:tab/>
        <w:t>seek further information from the Department or relevant experts or both; and</w:t>
      </w:r>
    </w:p>
    <w:p w14:paraId="031693F0" w14:textId="13FD1367" w:rsidR="008F66E0" w:rsidRPr="008F66E0" w:rsidRDefault="008F66E0" w:rsidP="00B51701">
      <w:pPr>
        <w:pStyle w:val="Bodynumbered-Level3"/>
        <w:spacing w:before="120" w:after="120"/>
        <w:ind w:left="1355" w:hanging="646"/>
        <w:rPr>
          <w:rFonts w:asciiTheme="minorHAnsi" w:hAnsiTheme="minorHAnsi" w:cstheme="minorHAnsi"/>
        </w:rPr>
      </w:pPr>
      <w:r w:rsidRPr="008F66E0">
        <w:rPr>
          <w:rFonts w:asciiTheme="minorHAnsi" w:hAnsiTheme="minorHAnsi" w:cstheme="minorHAnsi"/>
        </w:rPr>
        <w:t>(c)</w:t>
      </w:r>
      <w:r w:rsidRPr="008F66E0">
        <w:rPr>
          <w:rFonts w:asciiTheme="minorHAnsi" w:hAnsiTheme="minorHAnsi" w:cstheme="minorHAnsi"/>
        </w:rPr>
        <w:tab/>
      </w:r>
      <w:r w:rsidRPr="008A3B1E">
        <w:rPr>
          <w:rFonts w:asciiTheme="minorHAnsi" w:hAnsiTheme="minorHAnsi" w:cstheme="minorHAnsi"/>
        </w:rPr>
        <w:t xml:space="preserve">subject to </w:t>
      </w:r>
      <w:r w:rsidRPr="00846820">
        <w:rPr>
          <w:rFonts w:asciiTheme="minorHAnsi" w:hAnsiTheme="minorHAnsi" w:cstheme="minorHAnsi"/>
        </w:rPr>
        <w:t>section 1</w:t>
      </w:r>
      <w:r w:rsidR="00391241" w:rsidRPr="00846820">
        <w:rPr>
          <w:rFonts w:asciiTheme="minorHAnsi" w:hAnsiTheme="minorHAnsi" w:cstheme="minorHAnsi"/>
        </w:rPr>
        <w:t>3</w:t>
      </w:r>
      <w:r w:rsidRPr="008A3B1E">
        <w:rPr>
          <w:rFonts w:asciiTheme="minorHAnsi" w:hAnsiTheme="minorHAnsi" w:cstheme="minorHAnsi"/>
        </w:rPr>
        <w:t>, make any amendments the Decision Maker deems necessary.</w:t>
      </w:r>
    </w:p>
    <w:p w14:paraId="031693F1" w14:textId="47966FB5" w:rsidR="008F66E0" w:rsidRPr="008F66E0" w:rsidRDefault="00301B7F" w:rsidP="008F66E0">
      <w:pPr>
        <w:pStyle w:val="Bodynumbered-Level1"/>
        <w:rPr>
          <w:rFonts w:asciiTheme="minorHAnsi" w:hAnsiTheme="minorHAnsi" w:cstheme="minorHAnsi"/>
        </w:rPr>
      </w:pPr>
      <w:r>
        <w:rPr>
          <w:rFonts w:asciiTheme="minorHAnsi" w:hAnsiTheme="minorHAnsi" w:cstheme="minorHAnsi"/>
        </w:rPr>
        <w:t>8</w:t>
      </w:r>
      <w:r w:rsidR="00693858">
        <w:rPr>
          <w:rFonts w:asciiTheme="minorHAnsi" w:hAnsiTheme="minorHAnsi" w:cstheme="minorHAnsi"/>
        </w:rPr>
        <w:t>.2</w:t>
      </w:r>
      <w:r w:rsidR="008F66E0" w:rsidRPr="008F66E0">
        <w:rPr>
          <w:rFonts w:asciiTheme="minorHAnsi" w:hAnsiTheme="minorHAnsi" w:cstheme="minorHAnsi"/>
        </w:rPr>
        <w:t>.2</w:t>
      </w:r>
      <w:r w:rsidR="008F66E0" w:rsidRPr="008F66E0">
        <w:rPr>
          <w:rFonts w:asciiTheme="minorHAnsi" w:hAnsiTheme="minorHAnsi" w:cstheme="minorHAnsi"/>
        </w:rPr>
        <w:tab/>
        <w:t>The Department will prepare the list of Funded Solutions (</w:t>
      </w:r>
      <w:r w:rsidR="008F66E0" w:rsidRPr="008F66E0">
        <w:rPr>
          <w:rFonts w:asciiTheme="minorHAnsi" w:hAnsiTheme="minorHAnsi" w:cstheme="minorHAnsi"/>
          <w:b/>
        </w:rPr>
        <w:t>Decision Maker’s List</w:t>
      </w:r>
      <w:r w:rsidR="008F66E0" w:rsidRPr="008F66E0">
        <w:rPr>
          <w:rFonts w:asciiTheme="minorHAnsi" w:hAnsiTheme="minorHAnsi" w:cstheme="minorHAnsi"/>
        </w:rPr>
        <w:t>) based on the requirements and advice from the Decision Maker.</w:t>
      </w:r>
    </w:p>
    <w:p w14:paraId="031693F2" w14:textId="51155DC8" w:rsidR="008F66E0" w:rsidRPr="008F66E0" w:rsidRDefault="00301B7F" w:rsidP="008F66E0">
      <w:pPr>
        <w:pStyle w:val="Bodynumbered-Level1"/>
        <w:rPr>
          <w:rFonts w:asciiTheme="minorHAnsi" w:hAnsiTheme="minorHAnsi" w:cstheme="minorHAnsi"/>
        </w:rPr>
      </w:pPr>
      <w:r>
        <w:rPr>
          <w:rFonts w:asciiTheme="minorHAnsi" w:hAnsiTheme="minorHAnsi" w:cstheme="minorHAnsi"/>
        </w:rPr>
        <w:t>8</w:t>
      </w:r>
      <w:r w:rsidR="00693858">
        <w:rPr>
          <w:rFonts w:asciiTheme="minorHAnsi" w:hAnsiTheme="minorHAnsi" w:cstheme="minorHAnsi"/>
        </w:rPr>
        <w:t>.2</w:t>
      </w:r>
      <w:r w:rsidR="008F66E0" w:rsidRPr="008F66E0">
        <w:rPr>
          <w:rFonts w:asciiTheme="minorHAnsi" w:hAnsiTheme="minorHAnsi" w:cstheme="minorHAnsi"/>
        </w:rPr>
        <w:t>.3</w:t>
      </w:r>
      <w:r w:rsidR="008F66E0" w:rsidRPr="008F66E0">
        <w:rPr>
          <w:rFonts w:asciiTheme="minorHAnsi" w:hAnsiTheme="minorHAnsi" w:cstheme="minorHAnsi"/>
        </w:rPr>
        <w:tab/>
        <w:t>The Decision Maker will have the final decision on all applications for funding.</w:t>
      </w:r>
    </w:p>
    <w:p w14:paraId="031693F3" w14:textId="77777777" w:rsidR="00DD550E" w:rsidRDefault="00340616" w:rsidP="00DD550E">
      <w:pPr>
        <w:pStyle w:val="Heading1Numbered"/>
      </w:pPr>
      <w:bookmarkStart w:id="150" w:name="_Toc467773977"/>
      <w:bookmarkStart w:id="151" w:name="_Toc523411635"/>
      <w:r w:rsidRPr="00B72EE8">
        <w:t>Notification of application outcomes</w:t>
      </w:r>
      <w:bookmarkEnd w:id="150"/>
      <w:bookmarkEnd w:id="151"/>
    </w:p>
    <w:p w14:paraId="08697C5A" w14:textId="0F8C2FE5" w:rsidR="00FB43D5" w:rsidRPr="009C2179" w:rsidRDefault="00FB43D5" w:rsidP="00FB43D5">
      <w:r w:rsidRPr="009C2179">
        <w:t xml:space="preserve">You will be advised of the outcomes of your application in writing, following a decision by the Decision Maker. If you are successful, you will also be advised about any specific conditions attached to the grant. </w:t>
      </w:r>
    </w:p>
    <w:p w14:paraId="31226512" w14:textId="4C52D793" w:rsidR="00FB43D5" w:rsidRPr="00FB43D5" w:rsidRDefault="00FB43D5" w:rsidP="00FB43D5">
      <w:r w:rsidRPr="009C2179">
        <w:t>If you are unsuccessful</w:t>
      </w:r>
      <w:r w:rsidR="001F1E61">
        <w:t>,</w:t>
      </w:r>
      <w:r w:rsidRPr="009C2179">
        <w:t xml:space="preserve"> </w:t>
      </w:r>
      <w:proofErr w:type="gramStart"/>
      <w:r w:rsidRPr="009C2179">
        <w:t>We</w:t>
      </w:r>
      <w:proofErr w:type="gramEnd"/>
      <w:r w:rsidRPr="009C2179">
        <w:t xml:space="preserve"> will notify you in writing and give you an opportunity to discuss the outcome.</w:t>
      </w:r>
    </w:p>
    <w:p w14:paraId="031693F4" w14:textId="77777777" w:rsidR="00340616" w:rsidRPr="00B72EE8" w:rsidRDefault="00340616" w:rsidP="0054078D">
      <w:pPr>
        <w:pStyle w:val="Heading2Numbered"/>
      </w:pPr>
      <w:bookmarkStart w:id="152" w:name="_Toc467773978"/>
      <w:bookmarkStart w:id="153" w:name="_Toc523411636"/>
      <w:r w:rsidRPr="00B72EE8">
        <w:lastRenderedPageBreak/>
        <w:t xml:space="preserve">Feedback on </w:t>
      </w:r>
      <w:r>
        <w:t xml:space="preserve">your </w:t>
      </w:r>
      <w:r w:rsidRPr="00B72EE8">
        <w:t>application</w:t>
      </w:r>
      <w:bookmarkEnd w:id="152"/>
      <w:bookmarkEnd w:id="153"/>
    </w:p>
    <w:p w14:paraId="031693F5" w14:textId="237D13A0" w:rsidR="00340616" w:rsidRPr="001D3040" w:rsidRDefault="00301B7F" w:rsidP="001D3040">
      <w:pPr>
        <w:pStyle w:val="Bodynumbered-Level1"/>
        <w:rPr>
          <w:rFonts w:asciiTheme="minorHAnsi" w:hAnsiTheme="minorHAnsi" w:cstheme="minorHAnsi"/>
        </w:rPr>
      </w:pPr>
      <w:r w:rsidRPr="009C2179">
        <w:rPr>
          <w:rFonts w:asciiTheme="minorHAnsi" w:hAnsiTheme="minorHAnsi" w:cstheme="minorHAnsi"/>
        </w:rPr>
        <w:t>9</w:t>
      </w:r>
      <w:r w:rsidR="001D3040" w:rsidRPr="009C2179">
        <w:rPr>
          <w:rFonts w:asciiTheme="minorHAnsi" w:hAnsiTheme="minorHAnsi" w:cstheme="minorHAnsi"/>
        </w:rPr>
        <w:t>.1.1</w:t>
      </w:r>
      <w:r w:rsidR="001D3040" w:rsidRPr="009C2179">
        <w:rPr>
          <w:rFonts w:asciiTheme="minorHAnsi" w:hAnsiTheme="minorHAnsi" w:cstheme="minorHAnsi"/>
        </w:rPr>
        <w:tab/>
        <w:t xml:space="preserve">If you are unsuccessful, you may ask for feedback from the Department within </w:t>
      </w:r>
      <w:r w:rsidR="008A5CDB" w:rsidRPr="008A5CDB">
        <w:rPr>
          <w:rFonts w:asciiTheme="minorHAnsi" w:hAnsiTheme="minorHAnsi" w:cstheme="minorHAnsi"/>
        </w:rPr>
        <w:t>14 </w:t>
      </w:r>
      <w:r w:rsidR="001D3040" w:rsidRPr="008A5CDB">
        <w:rPr>
          <w:rFonts w:asciiTheme="minorHAnsi" w:hAnsiTheme="minorHAnsi" w:cstheme="minorHAnsi"/>
        </w:rPr>
        <w:t>days of being</w:t>
      </w:r>
      <w:r w:rsidR="001D3040" w:rsidRPr="009C2179">
        <w:rPr>
          <w:rFonts w:asciiTheme="minorHAnsi" w:hAnsiTheme="minorHAnsi" w:cstheme="minorHAnsi"/>
        </w:rPr>
        <w:t xml:space="preserve"> advised of the outcome. The Department will give written feedback </w:t>
      </w:r>
      <w:r w:rsidR="001D3040" w:rsidRPr="008A5CDB">
        <w:rPr>
          <w:rFonts w:asciiTheme="minorHAnsi" w:hAnsiTheme="minorHAnsi" w:cstheme="minorHAnsi"/>
        </w:rPr>
        <w:t>within one month of feedback</w:t>
      </w:r>
      <w:r w:rsidR="001D3040" w:rsidRPr="009C2179">
        <w:rPr>
          <w:rFonts w:asciiTheme="minorHAnsi" w:hAnsiTheme="minorHAnsi" w:cstheme="minorHAnsi"/>
        </w:rPr>
        <w:t xml:space="preserve"> being requested.</w:t>
      </w:r>
    </w:p>
    <w:p w14:paraId="031693F6" w14:textId="77777777" w:rsidR="00340616" w:rsidRDefault="00340616" w:rsidP="0054078D">
      <w:pPr>
        <w:pStyle w:val="Heading1Numbered"/>
      </w:pPr>
      <w:bookmarkStart w:id="154" w:name="_Toc421777622"/>
      <w:bookmarkStart w:id="155" w:name="_Toc433641183"/>
      <w:r>
        <w:t xml:space="preserve"> </w:t>
      </w:r>
      <w:bookmarkStart w:id="156" w:name="_Toc467773979"/>
      <w:bookmarkStart w:id="157" w:name="_Toc523411637"/>
      <w:r>
        <w:t>Successful grant applications</w:t>
      </w:r>
      <w:bookmarkEnd w:id="156"/>
      <w:bookmarkEnd w:id="157"/>
    </w:p>
    <w:p w14:paraId="031693F7" w14:textId="77777777" w:rsidR="00340616" w:rsidRDefault="00340616" w:rsidP="0054078D">
      <w:pPr>
        <w:pStyle w:val="Heading2Numbered"/>
      </w:pPr>
      <w:bookmarkStart w:id="158" w:name="_Toc467773980"/>
      <w:bookmarkStart w:id="159" w:name="_Toc523411638"/>
      <w:r>
        <w:t xml:space="preserve">The </w:t>
      </w:r>
      <w:r w:rsidRPr="0054078D">
        <w:t>grant agreement</w:t>
      </w:r>
      <w:bookmarkEnd w:id="158"/>
      <w:bookmarkEnd w:id="159"/>
    </w:p>
    <w:bookmarkEnd w:id="154"/>
    <w:bookmarkEnd w:id="155"/>
    <w:p w14:paraId="031693F8" w14:textId="56A18E33" w:rsidR="00033278" w:rsidRPr="008A3B1E" w:rsidRDefault="00301B7F" w:rsidP="00033278">
      <w:pPr>
        <w:pStyle w:val="Bodynumbered-Level1"/>
        <w:rPr>
          <w:rFonts w:asciiTheme="minorHAnsi" w:hAnsiTheme="minorHAnsi" w:cstheme="minorHAnsi"/>
        </w:rPr>
      </w:pPr>
      <w:r>
        <w:rPr>
          <w:rFonts w:asciiTheme="minorHAnsi" w:hAnsiTheme="minorHAnsi" w:cstheme="minorHAnsi"/>
        </w:rPr>
        <w:t>10</w:t>
      </w:r>
      <w:r w:rsidR="00033278" w:rsidRPr="00033278">
        <w:rPr>
          <w:rFonts w:asciiTheme="minorHAnsi" w:hAnsiTheme="minorHAnsi" w:cstheme="minorHAnsi"/>
        </w:rPr>
        <w:t>.1.1</w:t>
      </w:r>
      <w:r w:rsidR="00033278" w:rsidRPr="00033278">
        <w:rPr>
          <w:rFonts w:asciiTheme="minorHAnsi" w:hAnsiTheme="minorHAnsi" w:cstheme="minorHAnsi"/>
        </w:rPr>
        <w:tab/>
        <w:t xml:space="preserve">Each </w:t>
      </w:r>
      <w:r w:rsidR="00033278" w:rsidRPr="005F3663">
        <w:rPr>
          <w:rFonts w:asciiTheme="minorHAnsi" w:hAnsiTheme="minorHAnsi" w:cstheme="minorHAnsi"/>
        </w:rPr>
        <w:t>Grantee</w:t>
      </w:r>
      <w:r w:rsidR="00033278" w:rsidRPr="00033278">
        <w:rPr>
          <w:rFonts w:asciiTheme="minorHAnsi" w:hAnsiTheme="minorHAnsi" w:cstheme="minorHAnsi"/>
        </w:rPr>
        <w:t xml:space="preserve"> will be required to enter into a Grant Agreement with the Commonwealth prior to the Government’s announcement of successful Grantees and locations to receive funding (</w:t>
      </w:r>
      <w:r w:rsidR="00033278" w:rsidRPr="008A3B1E">
        <w:rPr>
          <w:rFonts w:asciiTheme="minorHAnsi" w:hAnsiTheme="minorHAnsi" w:cstheme="minorHAnsi"/>
        </w:rPr>
        <w:t xml:space="preserve">see </w:t>
      </w:r>
      <w:r w:rsidR="00033278" w:rsidRPr="00846820">
        <w:rPr>
          <w:rFonts w:asciiTheme="minorHAnsi" w:hAnsiTheme="minorHAnsi" w:cstheme="minorHAnsi"/>
        </w:rPr>
        <w:t xml:space="preserve">section </w:t>
      </w:r>
      <w:r w:rsidR="00391241" w:rsidRPr="00846820">
        <w:rPr>
          <w:rFonts w:asciiTheme="minorHAnsi" w:hAnsiTheme="minorHAnsi" w:cstheme="minorHAnsi"/>
        </w:rPr>
        <w:t>7</w:t>
      </w:r>
      <w:r w:rsidR="00033278" w:rsidRPr="008A3B1E">
        <w:rPr>
          <w:rFonts w:asciiTheme="minorHAnsi" w:hAnsiTheme="minorHAnsi" w:cstheme="minorHAnsi"/>
        </w:rPr>
        <w:t xml:space="preserve">). </w:t>
      </w:r>
    </w:p>
    <w:p w14:paraId="031693F9" w14:textId="4EE80966" w:rsidR="00033278" w:rsidRPr="008A3B1E" w:rsidRDefault="00301B7F" w:rsidP="00033278">
      <w:pPr>
        <w:pStyle w:val="Bodynumbered-Level1"/>
        <w:rPr>
          <w:rFonts w:asciiTheme="minorHAnsi" w:hAnsiTheme="minorHAnsi" w:cstheme="minorHAnsi"/>
        </w:rPr>
      </w:pPr>
      <w:r w:rsidRPr="008A3B1E">
        <w:rPr>
          <w:rFonts w:asciiTheme="minorHAnsi" w:hAnsiTheme="minorHAnsi" w:cstheme="minorHAnsi"/>
        </w:rPr>
        <w:t>10</w:t>
      </w:r>
      <w:r w:rsidR="00033278" w:rsidRPr="008A3B1E">
        <w:rPr>
          <w:rFonts w:asciiTheme="minorHAnsi" w:hAnsiTheme="minorHAnsi" w:cstheme="minorHAnsi"/>
        </w:rPr>
        <w:t>.1.2</w:t>
      </w:r>
      <w:r w:rsidR="00033278" w:rsidRPr="008A3B1E">
        <w:rPr>
          <w:rFonts w:asciiTheme="minorHAnsi" w:hAnsiTheme="minorHAnsi" w:cstheme="minorHAnsi"/>
        </w:rPr>
        <w:tab/>
        <w:t>A draft Gr</w:t>
      </w:r>
      <w:r w:rsidR="00A27228" w:rsidRPr="008A3B1E">
        <w:rPr>
          <w:rFonts w:asciiTheme="minorHAnsi" w:hAnsiTheme="minorHAnsi" w:cstheme="minorHAnsi"/>
        </w:rPr>
        <w:t xml:space="preserve">ant Agreement is at </w:t>
      </w:r>
      <w:r w:rsidR="00414D4D" w:rsidRPr="00846820">
        <w:rPr>
          <w:rFonts w:asciiTheme="minorHAnsi" w:hAnsiTheme="minorHAnsi" w:cstheme="minorHAnsi"/>
        </w:rPr>
        <w:t>Appendix</w:t>
      </w:r>
      <w:r w:rsidR="00A27228" w:rsidRPr="00846820">
        <w:rPr>
          <w:rFonts w:asciiTheme="minorHAnsi" w:hAnsiTheme="minorHAnsi" w:cstheme="minorHAnsi"/>
        </w:rPr>
        <w:t xml:space="preserve"> A</w:t>
      </w:r>
      <w:r w:rsidR="00033278" w:rsidRPr="008A3B1E">
        <w:rPr>
          <w:rFonts w:asciiTheme="minorHAnsi" w:hAnsiTheme="minorHAnsi" w:cstheme="minorHAnsi"/>
        </w:rPr>
        <w:t xml:space="preserve"> of these Guidelines. </w:t>
      </w:r>
    </w:p>
    <w:p w14:paraId="031693FA" w14:textId="5599F78F" w:rsidR="00033278" w:rsidRPr="008A3B1E" w:rsidRDefault="00301B7F" w:rsidP="00033278">
      <w:pPr>
        <w:pStyle w:val="Bodynumbered-Level1"/>
        <w:rPr>
          <w:rFonts w:asciiTheme="minorHAnsi" w:hAnsiTheme="minorHAnsi" w:cstheme="minorHAnsi"/>
        </w:rPr>
      </w:pPr>
      <w:r w:rsidRPr="008A3B1E">
        <w:rPr>
          <w:rFonts w:asciiTheme="minorHAnsi" w:hAnsiTheme="minorHAnsi" w:cstheme="minorHAnsi"/>
        </w:rPr>
        <w:t>10</w:t>
      </w:r>
      <w:r w:rsidR="00033278" w:rsidRPr="008A3B1E">
        <w:rPr>
          <w:rFonts w:asciiTheme="minorHAnsi" w:hAnsiTheme="minorHAnsi" w:cstheme="minorHAnsi"/>
        </w:rPr>
        <w:t>.1.3</w:t>
      </w:r>
      <w:r w:rsidR="00033278" w:rsidRPr="008A3B1E">
        <w:rPr>
          <w:rFonts w:asciiTheme="minorHAnsi" w:hAnsiTheme="minorHAnsi" w:cstheme="minorHAnsi"/>
        </w:rPr>
        <w:tab/>
        <w:t>Each Grant Agreement will set out the Grantee’s obligations in respect of the roll</w:t>
      </w:r>
      <w:r w:rsidR="00033278" w:rsidRPr="008A3B1E">
        <w:rPr>
          <w:rFonts w:asciiTheme="minorHAnsi" w:hAnsiTheme="minorHAnsi" w:cstheme="minorHAnsi"/>
        </w:rPr>
        <w:noBreakHyphen/>
        <w:t>out, co</w:t>
      </w:r>
      <w:r w:rsidR="00033278" w:rsidRPr="008A3B1E">
        <w:rPr>
          <w:rFonts w:asciiTheme="minorHAnsi" w:hAnsiTheme="minorHAnsi" w:cstheme="minorHAnsi"/>
        </w:rPr>
        <w:noBreakHyphen/>
        <w:t xml:space="preserve">location and open access terms and service terms for each </w:t>
      </w:r>
      <w:r w:rsidR="00033278" w:rsidRPr="005F3663">
        <w:rPr>
          <w:rFonts w:asciiTheme="minorHAnsi" w:hAnsiTheme="minorHAnsi" w:cstheme="minorHAnsi"/>
        </w:rPr>
        <w:t>Funded Solution</w:t>
      </w:r>
      <w:r w:rsidR="00033278" w:rsidRPr="008A3B1E">
        <w:rPr>
          <w:rFonts w:asciiTheme="minorHAnsi" w:hAnsiTheme="minorHAnsi" w:cstheme="minorHAnsi"/>
        </w:rPr>
        <w:t>.</w:t>
      </w:r>
    </w:p>
    <w:p w14:paraId="031693FB" w14:textId="0ED91E1C" w:rsidR="00033278" w:rsidRPr="002070B7" w:rsidRDefault="00301B7F" w:rsidP="00033278">
      <w:pPr>
        <w:pStyle w:val="Bodynumbered-Level1"/>
        <w:rPr>
          <w:rFonts w:asciiTheme="minorHAnsi" w:hAnsiTheme="minorHAnsi" w:cstheme="minorHAnsi"/>
        </w:rPr>
      </w:pPr>
      <w:r w:rsidRPr="008A3B1E">
        <w:rPr>
          <w:rFonts w:asciiTheme="minorHAnsi" w:hAnsiTheme="minorHAnsi" w:cstheme="minorHAnsi"/>
        </w:rPr>
        <w:t>10</w:t>
      </w:r>
      <w:r w:rsidR="00033278" w:rsidRPr="008A3B1E">
        <w:rPr>
          <w:rFonts w:asciiTheme="minorHAnsi" w:hAnsiTheme="minorHAnsi" w:cstheme="minorHAnsi"/>
        </w:rPr>
        <w:t>.1.4</w:t>
      </w:r>
      <w:r w:rsidR="00033278" w:rsidRPr="008A3B1E">
        <w:rPr>
          <w:rFonts w:asciiTheme="minorHAnsi" w:hAnsiTheme="minorHAnsi" w:cstheme="minorHAnsi"/>
        </w:rPr>
        <w:tab/>
        <w:t xml:space="preserve">For existing participants in the Program, the Commonwealth agrees that the basis for this round Grant Agreement could be the executed Priority Location agreements as more fully described in </w:t>
      </w:r>
      <w:r w:rsidR="00033278" w:rsidRPr="00846820">
        <w:rPr>
          <w:rFonts w:asciiTheme="minorHAnsi" w:hAnsiTheme="minorHAnsi" w:cstheme="minorHAnsi"/>
        </w:rPr>
        <w:t xml:space="preserve">section </w:t>
      </w:r>
      <w:r w:rsidR="00391241" w:rsidRPr="00846820">
        <w:rPr>
          <w:rFonts w:asciiTheme="minorHAnsi" w:hAnsiTheme="minorHAnsi" w:cstheme="minorHAnsi"/>
        </w:rPr>
        <w:t>7</w:t>
      </w:r>
      <w:r w:rsidR="00033278" w:rsidRPr="00846820">
        <w:rPr>
          <w:rFonts w:asciiTheme="minorHAnsi" w:hAnsiTheme="minorHAnsi" w:cstheme="minorHAnsi"/>
        </w:rPr>
        <w:t>.3.4A.</w:t>
      </w:r>
    </w:p>
    <w:p w14:paraId="7C310015" w14:textId="78426486" w:rsidR="000E3F38" w:rsidRPr="00BB73B5" w:rsidRDefault="00340616" w:rsidP="000E3F38">
      <w:pPr>
        <w:pStyle w:val="Heading2Numbered"/>
      </w:pPr>
      <w:bookmarkStart w:id="160" w:name="_Toc451936378"/>
      <w:bookmarkStart w:id="161" w:name="_Toc467773982"/>
      <w:bookmarkStart w:id="162" w:name="_Toc523411639"/>
      <w:r>
        <w:t>Grant agreement</w:t>
      </w:r>
      <w:r w:rsidRPr="009E7919">
        <w:t xml:space="preserve"> variations</w:t>
      </w:r>
      <w:bookmarkEnd w:id="160"/>
      <w:bookmarkEnd w:id="161"/>
      <w:bookmarkEnd w:id="162"/>
    </w:p>
    <w:p w14:paraId="7EDD25D4" w14:textId="000D1737" w:rsidR="000E3F38" w:rsidRPr="00BB73B5" w:rsidRDefault="000E3F38" w:rsidP="000E3F38">
      <w:pPr>
        <w:pStyle w:val="Bodynumbered-Level1"/>
        <w:rPr>
          <w:rFonts w:asciiTheme="minorHAnsi" w:hAnsiTheme="minorHAnsi" w:cstheme="minorHAnsi"/>
        </w:rPr>
      </w:pPr>
      <w:r>
        <w:rPr>
          <w:rFonts w:asciiTheme="minorHAnsi" w:hAnsiTheme="minorHAnsi" w:cstheme="minorHAnsi"/>
        </w:rPr>
        <w:t>10.2</w:t>
      </w:r>
      <w:r w:rsidRPr="00BB73B5">
        <w:rPr>
          <w:rFonts w:asciiTheme="minorHAnsi" w:hAnsiTheme="minorHAnsi" w:cstheme="minorHAnsi"/>
        </w:rPr>
        <w:t>.1</w:t>
      </w:r>
      <w:r w:rsidRPr="00BB73B5">
        <w:rPr>
          <w:rFonts w:asciiTheme="minorHAnsi" w:hAnsiTheme="minorHAnsi" w:cstheme="minorHAnsi"/>
        </w:rPr>
        <w:tab/>
        <w:t>The Government reserves the right to terminate or vary Round 4 of the Program (including via variation of these Guidelines) at its discretion, at any time, for any reason, including without limitation, in the light of changes to Government policy.</w:t>
      </w:r>
    </w:p>
    <w:p w14:paraId="05012E21" w14:textId="1A3C281B" w:rsidR="000E3F38" w:rsidRPr="00BB73B5" w:rsidRDefault="000E3F38" w:rsidP="000E3F38">
      <w:pPr>
        <w:pStyle w:val="Bodynumbered-Level1"/>
        <w:rPr>
          <w:rFonts w:asciiTheme="minorHAnsi" w:hAnsiTheme="minorHAnsi" w:cstheme="minorHAnsi"/>
        </w:rPr>
      </w:pPr>
      <w:r>
        <w:rPr>
          <w:rFonts w:asciiTheme="minorHAnsi" w:hAnsiTheme="minorHAnsi" w:cstheme="minorHAnsi"/>
        </w:rPr>
        <w:t>10.2</w:t>
      </w:r>
      <w:r w:rsidRPr="00BB73B5">
        <w:rPr>
          <w:rFonts w:asciiTheme="minorHAnsi" w:hAnsiTheme="minorHAnsi" w:cstheme="minorHAnsi"/>
        </w:rPr>
        <w:t>.2</w:t>
      </w:r>
      <w:r w:rsidRPr="00BB73B5">
        <w:rPr>
          <w:rFonts w:asciiTheme="minorHAnsi" w:hAnsiTheme="minorHAnsi" w:cstheme="minorHAnsi"/>
        </w:rPr>
        <w:tab/>
        <w:t>If the Government determines that these Guidelines require amendment prior to the date for which funding applications are due to be submitted to the Department, potential applicants will be advised of the revised or new Guidelines in a timely manner, including any resultant extension that may be applied to the application period. Any amendments and resultant extensions will be published on the Department</w:t>
      </w:r>
      <w:r w:rsidR="009D2F66">
        <w:rPr>
          <w:rFonts w:asciiTheme="minorHAnsi" w:hAnsiTheme="minorHAnsi" w:cstheme="minorHAnsi"/>
        </w:rPr>
        <w:t>’s</w:t>
      </w:r>
      <w:r w:rsidRPr="00BB73B5">
        <w:rPr>
          <w:rFonts w:asciiTheme="minorHAnsi" w:hAnsiTheme="minorHAnsi" w:cstheme="minorHAnsi"/>
        </w:rPr>
        <w:t xml:space="preserve"> website.</w:t>
      </w:r>
    </w:p>
    <w:p w14:paraId="1953620F" w14:textId="2124F247" w:rsidR="000E3F38" w:rsidRPr="00BB73B5" w:rsidRDefault="000E3F38" w:rsidP="000E3F38">
      <w:pPr>
        <w:pStyle w:val="Bodynumbered-Level1"/>
        <w:rPr>
          <w:rFonts w:asciiTheme="minorHAnsi" w:hAnsiTheme="minorHAnsi" w:cstheme="minorHAnsi"/>
        </w:rPr>
      </w:pPr>
      <w:r>
        <w:rPr>
          <w:rFonts w:asciiTheme="minorHAnsi" w:hAnsiTheme="minorHAnsi" w:cstheme="minorHAnsi"/>
        </w:rPr>
        <w:t>10.2</w:t>
      </w:r>
      <w:r w:rsidRPr="00BB73B5">
        <w:rPr>
          <w:rFonts w:asciiTheme="minorHAnsi" w:hAnsiTheme="minorHAnsi" w:cstheme="minorHAnsi"/>
        </w:rPr>
        <w:t>.3</w:t>
      </w:r>
      <w:r w:rsidRPr="00BB73B5">
        <w:rPr>
          <w:rFonts w:asciiTheme="minorHAnsi" w:hAnsiTheme="minorHAnsi" w:cstheme="minorHAnsi"/>
        </w:rPr>
        <w:tab/>
        <w:t>If the Government determines that these Guidelines require amendment following the date for which funding applications are due to be submitted to the Department (for example, if the applications received do not achieve the Program objectives), the revised or new Guidelines will clearly identify the extent, if any, to which the amended criteria will be applied to existing applications, and/or whether applicants will have the opportunity to re-submit an application based upon the revised criteria, and/or whether any new applicants will be considered. In this event, existing applicants will be notified in writing and via the Department’s website and the revised Guidelines will be published on The Department’s website.</w:t>
      </w:r>
    </w:p>
    <w:p w14:paraId="2EE5AA86" w14:textId="63598375" w:rsidR="000E3F38" w:rsidRPr="00BB73B5" w:rsidRDefault="000E3F38" w:rsidP="000E3F38">
      <w:pPr>
        <w:pStyle w:val="Bodynumbered-Level1"/>
        <w:rPr>
          <w:rFonts w:asciiTheme="minorHAnsi" w:hAnsiTheme="minorHAnsi" w:cstheme="minorHAnsi"/>
        </w:rPr>
      </w:pPr>
      <w:r>
        <w:rPr>
          <w:rFonts w:asciiTheme="minorHAnsi" w:hAnsiTheme="minorHAnsi" w:cstheme="minorHAnsi"/>
        </w:rPr>
        <w:t>10.2</w:t>
      </w:r>
      <w:r w:rsidRPr="00BB73B5">
        <w:rPr>
          <w:rFonts w:asciiTheme="minorHAnsi" w:hAnsiTheme="minorHAnsi" w:cstheme="minorHAnsi"/>
        </w:rPr>
        <w:t>.4</w:t>
      </w:r>
      <w:r w:rsidRPr="00BB73B5">
        <w:rPr>
          <w:rFonts w:asciiTheme="minorHAnsi" w:hAnsiTheme="minorHAnsi" w:cstheme="minorHAnsi"/>
        </w:rPr>
        <w:tab/>
        <w:t xml:space="preserve">Except to the extent to give effect to </w:t>
      </w:r>
      <w:r w:rsidRPr="008A3B1E">
        <w:rPr>
          <w:rFonts w:asciiTheme="minorHAnsi" w:hAnsiTheme="minorHAnsi" w:cstheme="minorHAnsi"/>
        </w:rPr>
        <w:t xml:space="preserve">this in </w:t>
      </w:r>
      <w:r w:rsidR="00391241" w:rsidRPr="00846820">
        <w:rPr>
          <w:rFonts w:asciiTheme="minorHAnsi" w:hAnsiTheme="minorHAnsi" w:cstheme="minorHAnsi"/>
        </w:rPr>
        <w:t>section 13</w:t>
      </w:r>
      <w:r w:rsidRPr="008A3B1E">
        <w:rPr>
          <w:rFonts w:asciiTheme="minorHAnsi" w:hAnsiTheme="minorHAnsi" w:cstheme="minorHAnsi"/>
        </w:rPr>
        <w:t>, an</w:t>
      </w:r>
      <w:r w:rsidRPr="00BB73B5">
        <w:rPr>
          <w:rFonts w:asciiTheme="minorHAnsi" w:hAnsiTheme="minorHAnsi" w:cstheme="minorHAnsi"/>
        </w:rPr>
        <w:t xml:space="preserve"> organisation </w:t>
      </w:r>
      <w:proofErr w:type="gramStart"/>
      <w:r w:rsidRPr="00BB73B5">
        <w:rPr>
          <w:rFonts w:asciiTheme="minorHAnsi" w:hAnsiTheme="minorHAnsi" w:cstheme="minorHAnsi"/>
        </w:rPr>
        <w:t>submitting an application</w:t>
      </w:r>
      <w:proofErr w:type="gramEnd"/>
      <w:r w:rsidRPr="00BB73B5">
        <w:rPr>
          <w:rFonts w:asciiTheme="minorHAnsi" w:hAnsiTheme="minorHAnsi" w:cstheme="minorHAnsi"/>
        </w:rPr>
        <w:t xml:space="preserve"> acknowledges that neither these Guidelines, nor any application, give rise </w:t>
      </w:r>
      <w:r w:rsidRPr="00BB73B5">
        <w:rPr>
          <w:rFonts w:asciiTheme="minorHAnsi" w:hAnsiTheme="minorHAnsi" w:cstheme="minorHAnsi"/>
        </w:rPr>
        <w:lastRenderedPageBreak/>
        <w:t>to a binding agreement or any other binding legal arrangement or legal relationship between the applicant and the Commonwealth. There is no binding agreement on any party until a Grant Agreement is executed by the Commonwealth and the Grantee.</w:t>
      </w:r>
    </w:p>
    <w:p w14:paraId="0316941C" w14:textId="77777777" w:rsidR="00340616" w:rsidRDefault="00340616" w:rsidP="0054078D">
      <w:pPr>
        <w:pStyle w:val="Heading1Numbered"/>
      </w:pPr>
      <w:bookmarkStart w:id="163" w:name="_Toc467773983"/>
      <w:bookmarkStart w:id="164" w:name="_Toc523411640"/>
      <w:r w:rsidRPr="001607E9">
        <w:t>Announcement</w:t>
      </w:r>
      <w:r>
        <w:t xml:space="preserve"> of grants</w:t>
      </w:r>
      <w:bookmarkEnd w:id="163"/>
      <w:bookmarkEnd w:id="164"/>
    </w:p>
    <w:p w14:paraId="0316941D" w14:textId="5C63B861" w:rsidR="00340616" w:rsidRPr="002070B7" w:rsidRDefault="00301B7F" w:rsidP="002070B7">
      <w:pPr>
        <w:pStyle w:val="Bodynumbered-Level1"/>
        <w:rPr>
          <w:rFonts w:asciiTheme="minorHAnsi" w:hAnsiTheme="minorHAnsi" w:cstheme="minorHAnsi"/>
        </w:rPr>
      </w:pPr>
      <w:r w:rsidRPr="000E3F38">
        <w:rPr>
          <w:rFonts w:asciiTheme="minorHAnsi" w:hAnsiTheme="minorHAnsi" w:cstheme="minorHAnsi"/>
        </w:rPr>
        <w:t>11</w:t>
      </w:r>
      <w:r w:rsidR="002070B7" w:rsidRPr="000E3F38">
        <w:rPr>
          <w:rFonts w:asciiTheme="minorHAnsi" w:hAnsiTheme="minorHAnsi" w:cstheme="minorHAnsi"/>
        </w:rPr>
        <w:t>.1</w:t>
      </w:r>
      <w:r w:rsidR="002070B7" w:rsidRPr="000E3F38">
        <w:rPr>
          <w:rFonts w:asciiTheme="minorHAnsi" w:hAnsiTheme="minorHAnsi" w:cstheme="minorHAnsi"/>
        </w:rPr>
        <w:tab/>
      </w:r>
      <w:r w:rsidR="00340616" w:rsidRPr="000E3F38">
        <w:rPr>
          <w:rFonts w:asciiTheme="minorHAnsi" w:hAnsiTheme="minorHAnsi" w:cstheme="minorHAnsi"/>
        </w:rPr>
        <w:t xml:space="preserve">If successful, your grant will be listed on the GrantConnect website </w:t>
      </w:r>
      <w:r w:rsidR="00A57300">
        <w:rPr>
          <w:rFonts w:asciiTheme="minorHAnsi" w:hAnsiTheme="minorHAnsi" w:cstheme="minorHAnsi"/>
        </w:rPr>
        <w:t>21 calendar</w:t>
      </w:r>
      <w:r w:rsidR="00340616" w:rsidRPr="000E3F38">
        <w:rPr>
          <w:rFonts w:asciiTheme="minorHAnsi" w:hAnsiTheme="minorHAnsi" w:cstheme="minorHAnsi"/>
        </w:rPr>
        <w:t xml:space="preserve"> days after the </w:t>
      </w:r>
      <w:r w:rsidR="00FB43D5" w:rsidRPr="000E3F38">
        <w:rPr>
          <w:rFonts w:asciiTheme="minorHAnsi" w:hAnsiTheme="minorHAnsi" w:cstheme="minorHAnsi"/>
        </w:rPr>
        <w:t>date of effect</w:t>
      </w:r>
      <w:r w:rsidR="00340616" w:rsidRPr="000E3F38">
        <w:rPr>
          <w:rFonts w:asciiTheme="minorHAnsi" w:hAnsiTheme="minorHAnsi" w:cstheme="minorHAnsi"/>
        </w:rPr>
        <w:t xml:space="preserve"> as required by Section 5.3 of the </w:t>
      </w:r>
      <w:r w:rsidR="00340616" w:rsidRPr="005F3663">
        <w:rPr>
          <w:rFonts w:asciiTheme="minorHAnsi" w:hAnsiTheme="minorHAnsi" w:cstheme="minorHAnsi"/>
        </w:rPr>
        <w:t>CGRGs</w:t>
      </w:r>
      <w:r w:rsidR="00340616" w:rsidRPr="000E3F38">
        <w:rPr>
          <w:rFonts w:asciiTheme="minorHAnsi" w:hAnsiTheme="minorHAnsi" w:cstheme="minorHAnsi"/>
          <w:i/>
        </w:rPr>
        <w:t xml:space="preserve">. </w:t>
      </w:r>
    </w:p>
    <w:p w14:paraId="0316941E" w14:textId="77777777" w:rsidR="00340616" w:rsidRPr="00B72EE8" w:rsidRDefault="00340616" w:rsidP="0054078D">
      <w:pPr>
        <w:pStyle w:val="Heading1Numbered"/>
      </w:pPr>
      <w:bookmarkStart w:id="165" w:name="_Toc421777623"/>
      <w:bookmarkStart w:id="166" w:name="_Toc467773984"/>
      <w:bookmarkStart w:id="167" w:name="_Toc523411641"/>
      <w:r w:rsidRPr="00B72EE8">
        <w:t xml:space="preserve">Delivery of </w:t>
      </w:r>
      <w:r>
        <w:t>g</w:t>
      </w:r>
      <w:r w:rsidRPr="00B72EE8">
        <w:t>rant</w:t>
      </w:r>
      <w:r>
        <w:t xml:space="preserve"> activities</w:t>
      </w:r>
      <w:bookmarkEnd w:id="165"/>
      <w:bookmarkEnd w:id="166"/>
      <w:bookmarkEnd w:id="167"/>
    </w:p>
    <w:p w14:paraId="0316941F" w14:textId="77777777" w:rsidR="00340616" w:rsidRPr="000E3F38" w:rsidDel="00D505A5" w:rsidRDefault="00340616" w:rsidP="0054078D">
      <w:pPr>
        <w:pStyle w:val="Heading2Numbered"/>
      </w:pPr>
      <w:bookmarkStart w:id="168" w:name="_Toc421777624"/>
      <w:bookmarkStart w:id="169" w:name="_Toc433641185"/>
      <w:bookmarkStart w:id="170" w:name="_Toc467773985"/>
      <w:bookmarkStart w:id="171" w:name="_Toc523411642"/>
      <w:r w:rsidRPr="000E3F38">
        <w:t>Your</w:t>
      </w:r>
      <w:r w:rsidRPr="000E3F38" w:rsidDel="00D505A5">
        <w:t xml:space="preserve"> responsibilities</w:t>
      </w:r>
      <w:bookmarkEnd w:id="168"/>
      <w:bookmarkEnd w:id="169"/>
      <w:bookmarkEnd w:id="170"/>
      <w:bookmarkEnd w:id="171"/>
    </w:p>
    <w:p w14:paraId="6CF307A6" w14:textId="25BB98E0" w:rsidR="000E3F38" w:rsidRDefault="000E3F38" w:rsidP="000E3F38">
      <w:pPr>
        <w:pStyle w:val="Bodynumbered-Level1"/>
        <w:rPr>
          <w:rFonts w:asciiTheme="minorHAnsi" w:hAnsiTheme="minorHAnsi" w:cstheme="minorHAnsi"/>
        </w:rPr>
      </w:pPr>
      <w:r>
        <w:rPr>
          <w:rFonts w:asciiTheme="minorHAnsi" w:hAnsiTheme="minorHAnsi" w:cstheme="minorHAnsi"/>
        </w:rPr>
        <w:t>12.1.1</w:t>
      </w:r>
      <w:r w:rsidRPr="000E3F38">
        <w:rPr>
          <w:rFonts w:asciiTheme="minorHAnsi" w:hAnsiTheme="minorHAnsi" w:cstheme="minorHAnsi"/>
        </w:rPr>
        <w:tab/>
        <w:t xml:space="preserve">Grantees will meet the terms and conditions set out in the grant agreement. </w:t>
      </w:r>
    </w:p>
    <w:p w14:paraId="6A2B73B5" w14:textId="47759F67" w:rsidR="00057324" w:rsidRPr="00F4512E" w:rsidRDefault="000E3F38" w:rsidP="00057324">
      <w:pPr>
        <w:pStyle w:val="Bodynumbered-Level1"/>
        <w:rPr>
          <w:rFonts w:asciiTheme="minorHAnsi" w:hAnsiTheme="minorHAnsi" w:cstheme="minorHAnsi"/>
        </w:rPr>
      </w:pPr>
      <w:r>
        <w:rPr>
          <w:rFonts w:asciiTheme="minorHAnsi" w:hAnsiTheme="minorHAnsi" w:cstheme="minorHAnsi"/>
        </w:rPr>
        <w:t>12.1.2</w:t>
      </w:r>
      <w:r w:rsidR="00057324" w:rsidRPr="00F4512E">
        <w:rPr>
          <w:rFonts w:asciiTheme="minorHAnsi" w:hAnsiTheme="minorHAnsi" w:cstheme="minorHAnsi"/>
        </w:rPr>
        <w:tab/>
        <w:t xml:space="preserve">Grantees will need to establish </w:t>
      </w:r>
      <w:r w:rsidR="00057324" w:rsidRPr="00F4512E">
        <w:rPr>
          <w:rFonts w:asciiTheme="minorHAnsi" w:hAnsiTheme="minorHAnsi" w:cstheme="minorHAnsi"/>
          <w:b/>
        </w:rPr>
        <w:t>Baseline Data</w:t>
      </w:r>
      <w:r w:rsidR="00057324" w:rsidRPr="00F4512E">
        <w:rPr>
          <w:rFonts w:asciiTheme="minorHAnsi" w:hAnsiTheme="minorHAnsi" w:cstheme="minorHAnsi"/>
        </w:rPr>
        <w:t xml:space="preserve"> for measuring project and Program progress. This Baseline Data will be provided by the applicant in their application, which will subsequently form the basis of project progress reports.</w:t>
      </w:r>
    </w:p>
    <w:p w14:paraId="262D272D" w14:textId="31EAA8FF" w:rsidR="00057324" w:rsidRPr="00F4512E" w:rsidRDefault="000E3F38" w:rsidP="00057324">
      <w:pPr>
        <w:pStyle w:val="Bodynumbered-Level1"/>
        <w:rPr>
          <w:rFonts w:asciiTheme="minorHAnsi" w:hAnsiTheme="minorHAnsi" w:cstheme="minorHAnsi"/>
        </w:rPr>
      </w:pPr>
      <w:r>
        <w:rPr>
          <w:rFonts w:asciiTheme="minorHAnsi" w:hAnsiTheme="minorHAnsi" w:cstheme="minorHAnsi"/>
        </w:rPr>
        <w:t>12.1.3</w:t>
      </w:r>
      <w:r w:rsidR="00057324" w:rsidRPr="00F4512E">
        <w:rPr>
          <w:rFonts w:asciiTheme="minorHAnsi" w:hAnsiTheme="minorHAnsi" w:cstheme="minorHAnsi"/>
        </w:rPr>
        <w:tab/>
        <w:t xml:space="preserve">Grantees will be required to maintain a publicly available online database for the construction phase of the Program, as specified in the Grant Agreements, which will include information regarding the status and progress of Funded Solutions. </w:t>
      </w:r>
    </w:p>
    <w:p w14:paraId="3DD0AA59" w14:textId="36FE640B" w:rsidR="00057324" w:rsidRPr="00F4512E" w:rsidRDefault="000E3F38" w:rsidP="00057324">
      <w:pPr>
        <w:pStyle w:val="Bodynumbered-Level1"/>
        <w:rPr>
          <w:rFonts w:asciiTheme="minorHAnsi" w:hAnsiTheme="minorHAnsi" w:cstheme="minorHAnsi"/>
        </w:rPr>
      </w:pPr>
      <w:r>
        <w:rPr>
          <w:rFonts w:asciiTheme="minorHAnsi" w:hAnsiTheme="minorHAnsi" w:cstheme="minorHAnsi"/>
        </w:rPr>
        <w:t>12.1.4</w:t>
      </w:r>
      <w:r w:rsidR="00057324" w:rsidRPr="00F4512E">
        <w:rPr>
          <w:rFonts w:asciiTheme="minorHAnsi" w:hAnsiTheme="minorHAnsi" w:cstheme="minorHAnsi"/>
        </w:rPr>
        <w:tab/>
        <w:t>Grantees will be required to provide and maintain a Stakeholder Engagement Plan for the rollout of the Program, including relevant details for each Funded Solution. The Plan will be included in the Funding Agreement and should cover:</w:t>
      </w:r>
    </w:p>
    <w:p w14:paraId="0923F459" w14:textId="6A4832D9" w:rsidR="00057324" w:rsidRPr="00F4512E" w:rsidRDefault="00057324" w:rsidP="00087F4A">
      <w:pPr>
        <w:pStyle w:val="Bodynumbered-Level3"/>
        <w:numPr>
          <w:ilvl w:val="0"/>
          <w:numId w:val="40"/>
        </w:numPr>
        <w:spacing w:before="120" w:after="120"/>
        <w:ind w:left="1276" w:hanging="567"/>
        <w:rPr>
          <w:rFonts w:asciiTheme="minorHAnsi" w:hAnsiTheme="minorHAnsi" w:cstheme="minorHAnsi"/>
        </w:rPr>
      </w:pPr>
      <w:r w:rsidRPr="00F4512E">
        <w:rPr>
          <w:rFonts w:asciiTheme="minorHAnsi" w:hAnsiTheme="minorHAnsi" w:cstheme="minorHAnsi"/>
        </w:rPr>
        <w:t>Communication activities with relevant stakeholders including the local community, local councils,</w:t>
      </w:r>
      <w:r w:rsidR="009A0B30">
        <w:rPr>
          <w:rFonts w:asciiTheme="minorHAnsi" w:hAnsiTheme="minorHAnsi" w:cstheme="minorHAnsi"/>
        </w:rPr>
        <w:t xml:space="preserve"> authorities responsible for funded Public Interest Premises solutions (e.g. educational authorities)</w:t>
      </w:r>
      <w:r w:rsidR="005A1DEE">
        <w:rPr>
          <w:rFonts w:asciiTheme="minorHAnsi" w:hAnsiTheme="minorHAnsi" w:cstheme="minorHAnsi"/>
        </w:rPr>
        <w:t xml:space="preserve"> and S</w:t>
      </w:r>
      <w:r w:rsidRPr="00F4512E">
        <w:rPr>
          <w:rFonts w:asciiTheme="minorHAnsi" w:hAnsiTheme="minorHAnsi" w:cstheme="minorHAnsi"/>
        </w:rPr>
        <w:t>tate and federal members of parliament.</w:t>
      </w:r>
    </w:p>
    <w:p w14:paraId="15A62C41" w14:textId="75E57F62" w:rsidR="00057324" w:rsidRPr="000E3F38" w:rsidRDefault="00057324" w:rsidP="00087F4A">
      <w:pPr>
        <w:pStyle w:val="Bodynumbered-Level3"/>
        <w:numPr>
          <w:ilvl w:val="0"/>
          <w:numId w:val="40"/>
        </w:numPr>
        <w:spacing w:before="120" w:after="120"/>
        <w:ind w:left="1276" w:hanging="567"/>
        <w:rPr>
          <w:rFonts w:asciiTheme="minorHAnsi" w:hAnsiTheme="minorHAnsi" w:cstheme="minorHAnsi"/>
        </w:rPr>
      </w:pPr>
      <w:r w:rsidRPr="00F4512E">
        <w:rPr>
          <w:rFonts w:asciiTheme="minorHAnsi" w:hAnsiTheme="minorHAnsi" w:cstheme="minorHAnsi"/>
        </w:rPr>
        <w:t>Communication of updates to the community regarding any changes to the rollout of the Funded Solution (e.g. timing, location, expected coverage outcomes).</w:t>
      </w:r>
    </w:p>
    <w:p w14:paraId="0316942A" w14:textId="77777777" w:rsidR="00340616" w:rsidRPr="000E3F38" w:rsidRDefault="0079780C" w:rsidP="00726710">
      <w:pPr>
        <w:pStyle w:val="Heading2Numbered"/>
        <w:rPr>
          <w:color w:val="auto"/>
        </w:rPr>
      </w:pPr>
      <w:bookmarkStart w:id="172" w:name="_Toc420671454"/>
      <w:bookmarkStart w:id="173" w:name="_Toc433641186"/>
      <w:bookmarkStart w:id="174" w:name="_Toc467773986"/>
      <w:bookmarkStart w:id="175" w:name="_Toc523411643"/>
      <w:r w:rsidRPr="000E3F38">
        <w:rPr>
          <w:color w:val="auto"/>
        </w:rPr>
        <w:t>The Department’s</w:t>
      </w:r>
      <w:r w:rsidR="00340616" w:rsidRPr="000E3F38">
        <w:rPr>
          <w:color w:val="auto"/>
        </w:rPr>
        <w:t xml:space="preserve"> responsibilities</w:t>
      </w:r>
      <w:bookmarkEnd w:id="172"/>
      <w:bookmarkEnd w:id="173"/>
      <w:bookmarkEnd w:id="174"/>
      <w:bookmarkEnd w:id="175"/>
    </w:p>
    <w:p w14:paraId="348DEFF4" w14:textId="4072AA7A" w:rsidR="000E3F38" w:rsidRPr="00F4512E" w:rsidRDefault="00301B7F" w:rsidP="000E3F38">
      <w:pPr>
        <w:pStyle w:val="Bodynumbered-Level1"/>
        <w:rPr>
          <w:rFonts w:asciiTheme="minorHAnsi" w:hAnsiTheme="minorHAnsi" w:cstheme="minorHAnsi"/>
        </w:rPr>
      </w:pPr>
      <w:r>
        <w:rPr>
          <w:rFonts w:asciiTheme="minorHAnsi" w:hAnsiTheme="minorHAnsi" w:cstheme="minorHAnsi"/>
        </w:rPr>
        <w:t>12</w:t>
      </w:r>
      <w:r w:rsidR="002070B7" w:rsidRPr="002070B7">
        <w:rPr>
          <w:rFonts w:asciiTheme="minorHAnsi" w:hAnsiTheme="minorHAnsi" w:cstheme="minorHAnsi"/>
        </w:rPr>
        <w:t>.2.</w:t>
      </w:r>
      <w:r w:rsidR="002070B7">
        <w:rPr>
          <w:rFonts w:asciiTheme="minorHAnsi" w:hAnsiTheme="minorHAnsi" w:cstheme="minorHAnsi"/>
        </w:rPr>
        <w:t>1</w:t>
      </w:r>
      <w:r w:rsidR="002070B7" w:rsidRPr="002070B7">
        <w:rPr>
          <w:rFonts w:asciiTheme="minorHAnsi" w:hAnsiTheme="minorHAnsi" w:cstheme="minorHAnsi"/>
        </w:rPr>
        <w:tab/>
      </w:r>
      <w:r w:rsidR="00340616" w:rsidRPr="002070B7">
        <w:rPr>
          <w:rFonts w:asciiTheme="minorHAnsi" w:hAnsiTheme="minorHAnsi" w:cstheme="minorHAnsi"/>
        </w:rPr>
        <w:t xml:space="preserve">The </w:t>
      </w:r>
      <w:r w:rsidR="002070B7" w:rsidRPr="002070B7">
        <w:rPr>
          <w:rFonts w:asciiTheme="minorHAnsi" w:hAnsiTheme="minorHAnsi" w:cstheme="minorHAnsi"/>
        </w:rPr>
        <w:t xml:space="preserve">Department </w:t>
      </w:r>
      <w:r w:rsidR="00340616" w:rsidRPr="002070B7">
        <w:rPr>
          <w:rFonts w:asciiTheme="minorHAnsi" w:hAnsiTheme="minorHAnsi" w:cstheme="minorHAnsi"/>
        </w:rPr>
        <w:t>will:</w:t>
      </w:r>
    </w:p>
    <w:p w14:paraId="443B432D" w14:textId="6FD6DEE4" w:rsidR="000E3F38" w:rsidRDefault="000E3F38" w:rsidP="00087F4A">
      <w:pPr>
        <w:pStyle w:val="Bodynumbered-Level3"/>
        <w:numPr>
          <w:ilvl w:val="0"/>
          <w:numId w:val="43"/>
        </w:numPr>
        <w:spacing w:before="120" w:after="120"/>
        <w:ind w:left="1276" w:hanging="567"/>
        <w:rPr>
          <w:rFonts w:asciiTheme="minorHAnsi" w:hAnsiTheme="minorHAnsi" w:cstheme="minorHAnsi"/>
        </w:rPr>
      </w:pPr>
      <w:r>
        <w:rPr>
          <w:rFonts w:asciiTheme="minorHAnsi" w:hAnsiTheme="minorHAnsi" w:cstheme="minorHAnsi"/>
        </w:rPr>
        <w:t>Meet the terms and conditions set out in the grant agreement;</w:t>
      </w:r>
    </w:p>
    <w:p w14:paraId="3DB1FA29" w14:textId="3B18F892" w:rsidR="000E3F38" w:rsidRDefault="000E3F38" w:rsidP="00087F4A">
      <w:pPr>
        <w:pStyle w:val="Bodynumbered-Level3"/>
        <w:numPr>
          <w:ilvl w:val="0"/>
          <w:numId w:val="43"/>
        </w:numPr>
        <w:spacing w:before="120" w:after="120"/>
        <w:ind w:left="1276" w:hanging="567"/>
        <w:rPr>
          <w:rFonts w:asciiTheme="minorHAnsi" w:hAnsiTheme="minorHAnsi" w:cstheme="minorHAnsi"/>
        </w:rPr>
      </w:pPr>
      <w:r>
        <w:rPr>
          <w:rFonts w:asciiTheme="minorHAnsi" w:hAnsiTheme="minorHAnsi" w:cstheme="minorHAnsi"/>
        </w:rPr>
        <w:t>Provide timely administration of the grant;</w:t>
      </w:r>
    </w:p>
    <w:p w14:paraId="0316942B" w14:textId="7D312A2C" w:rsidR="00340616" w:rsidRPr="000E3F38" w:rsidRDefault="000E3F38" w:rsidP="00087F4A">
      <w:pPr>
        <w:pStyle w:val="Bodynumbered-Level3"/>
        <w:numPr>
          <w:ilvl w:val="0"/>
          <w:numId w:val="43"/>
        </w:numPr>
        <w:spacing w:before="120" w:after="120"/>
        <w:ind w:left="1276" w:hanging="567"/>
        <w:rPr>
          <w:rFonts w:asciiTheme="minorHAnsi" w:hAnsiTheme="minorHAnsi" w:cstheme="minorHAnsi"/>
        </w:rPr>
      </w:pPr>
      <w:r>
        <w:rPr>
          <w:rFonts w:asciiTheme="minorHAnsi" w:hAnsiTheme="minorHAnsi" w:cstheme="minorHAnsi"/>
        </w:rPr>
        <w:t>Evaluate the grantee’s performance.</w:t>
      </w:r>
    </w:p>
    <w:p w14:paraId="0316942F" w14:textId="39A4C3BD" w:rsidR="00340616" w:rsidRPr="002070B7" w:rsidRDefault="00301B7F" w:rsidP="002070B7">
      <w:pPr>
        <w:pStyle w:val="Bodynumbered-Level1"/>
        <w:rPr>
          <w:rFonts w:asciiTheme="minorHAnsi" w:hAnsiTheme="minorHAnsi" w:cstheme="minorHAnsi"/>
        </w:rPr>
      </w:pPr>
      <w:r>
        <w:rPr>
          <w:rFonts w:asciiTheme="minorHAnsi" w:hAnsiTheme="minorHAnsi" w:cstheme="minorHAnsi"/>
        </w:rPr>
        <w:t>12</w:t>
      </w:r>
      <w:r w:rsidR="002070B7">
        <w:rPr>
          <w:rFonts w:asciiTheme="minorHAnsi" w:hAnsiTheme="minorHAnsi" w:cstheme="minorHAnsi"/>
        </w:rPr>
        <w:t>.2.2</w:t>
      </w:r>
      <w:r w:rsidR="002070B7" w:rsidRPr="002070B7">
        <w:rPr>
          <w:rFonts w:asciiTheme="minorHAnsi" w:hAnsiTheme="minorHAnsi" w:cstheme="minorHAnsi"/>
        </w:rPr>
        <w:tab/>
      </w:r>
      <w:r w:rsidR="00340616" w:rsidRPr="002070B7">
        <w:rPr>
          <w:rFonts w:asciiTheme="minorHAnsi" w:hAnsiTheme="minorHAnsi" w:cstheme="minorHAnsi"/>
        </w:rPr>
        <w:t xml:space="preserve">We will monitor the progress of your project by assessing reports you submit and may conduct site visits to confirm details of your reports if necessary. Occasionally we </w:t>
      </w:r>
      <w:r w:rsidR="00340616" w:rsidRPr="002070B7">
        <w:rPr>
          <w:rFonts w:asciiTheme="minorHAnsi" w:hAnsiTheme="minorHAnsi" w:cstheme="minorHAnsi"/>
        </w:rPr>
        <w:lastRenderedPageBreak/>
        <w:t xml:space="preserve">may need to re-examine claims, seek further information or request an independent audit of claims and payments. </w:t>
      </w:r>
    </w:p>
    <w:p w14:paraId="03169430" w14:textId="77777777" w:rsidR="00340616" w:rsidRPr="000E3F38" w:rsidRDefault="00340616" w:rsidP="0054078D">
      <w:pPr>
        <w:pStyle w:val="Heading2Numbered"/>
      </w:pPr>
      <w:bookmarkStart w:id="176" w:name="_Toc421777626"/>
      <w:bookmarkStart w:id="177" w:name="_Toc467773987"/>
      <w:bookmarkStart w:id="178" w:name="_Toc523411644"/>
      <w:bookmarkStart w:id="179" w:name="_Toc433641188"/>
      <w:r w:rsidRPr="000E3F38">
        <w:t>Grant payments</w:t>
      </w:r>
      <w:bookmarkEnd w:id="176"/>
      <w:r w:rsidRPr="000E3F38">
        <w:t xml:space="preserve"> and GST</w:t>
      </w:r>
      <w:bookmarkEnd w:id="177"/>
      <w:bookmarkEnd w:id="178"/>
      <w:r w:rsidRPr="000E3F38">
        <w:t xml:space="preserve"> </w:t>
      </w:r>
      <w:bookmarkEnd w:id="179"/>
    </w:p>
    <w:p w14:paraId="03169431" w14:textId="622BC5E2" w:rsidR="002070B7" w:rsidRDefault="00301B7F" w:rsidP="002070B7">
      <w:pPr>
        <w:suppressAutoHyphens w:val="0"/>
        <w:spacing w:before="240" w:after="240" w:line="240" w:lineRule="auto"/>
        <w:ind w:left="720" w:hanging="720"/>
      </w:pPr>
      <w:r>
        <w:rPr>
          <w:rFonts w:eastAsia="Calibri" w:cstheme="minorHAnsi"/>
        </w:rPr>
        <w:t>12</w:t>
      </w:r>
      <w:r w:rsidR="002070B7">
        <w:rPr>
          <w:rFonts w:eastAsia="Calibri" w:cstheme="minorHAnsi"/>
        </w:rPr>
        <w:t>.3.1</w:t>
      </w:r>
      <w:r w:rsidR="002070B7" w:rsidRPr="00985511">
        <w:rPr>
          <w:rFonts w:eastAsia="Calibri" w:cstheme="minorHAnsi"/>
        </w:rPr>
        <w:tab/>
      </w:r>
      <w:r w:rsidR="002070B7">
        <w:t>P</w:t>
      </w:r>
      <w:r w:rsidR="002070B7" w:rsidRPr="00B72EE8">
        <w:t xml:space="preserve">ayments </w:t>
      </w:r>
      <w:r w:rsidR="002070B7">
        <w:t xml:space="preserve">will be made as set out in </w:t>
      </w:r>
      <w:r w:rsidR="002070B7" w:rsidRPr="00B72EE8">
        <w:t>the</w:t>
      </w:r>
      <w:r w:rsidR="002070B7">
        <w:t xml:space="preserve"> grant agreement</w:t>
      </w:r>
      <w:r w:rsidR="002070B7" w:rsidRPr="00726710">
        <w:rPr>
          <w:color w:val="745B00" w:themeColor="accent3" w:themeShade="80"/>
        </w:rPr>
        <w:t xml:space="preserve">. </w:t>
      </w:r>
    </w:p>
    <w:p w14:paraId="03169438" w14:textId="77777777" w:rsidR="00340616" w:rsidRPr="00B72EE8" w:rsidRDefault="00340616" w:rsidP="0054078D">
      <w:pPr>
        <w:pStyle w:val="Heading2Numbered"/>
      </w:pPr>
      <w:bookmarkStart w:id="180" w:name="_Toc421777629"/>
      <w:bookmarkStart w:id="181" w:name="_Toc467773988"/>
      <w:bookmarkStart w:id="182" w:name="_Toc523411645"/>
      <w:r>
        <w:t>E</w:t>
      </w:r>
      <w:r w:rsidRPr="00B72EE8">
        <w:t>valuation</w:t>
      </w:r>
      <w:bookmarkEnd w:id="180"/>
      <w:bookmarkEnd w:id="181"/>
      <w:bookmarkEnd w:id="182"/>
    </w:p>
    <w:p w14:paraId="03169439" w14:textId="40F900D1" w:rsidR="002070B7" w:rsidRPr="00DE3325" w:rsidRDefault="00301B7F" w:rsidP="002070B7">
      <w:pPr>
        <w:suppressAutoHyphens w:val="0"/>
        <w:spacing w:before="240" w:after="240" w:line="240" w:lineRule="auto"/>
        <w:ind w:left="720" w:hanging="720"/>
      </w:pPr>
      <w:r>
        <w:rPr>
          <w:rFonts w:eastAsia="Calibri" w:cstheme="minorHAnsi"/>
        </w:rPr>
        <w:t>12</w:t>
      </w:r>
      <w:r w:rsidR="002070B7">
        <w:rPr>
          <w:rFonts w:eastAsia="Calibri" w:cstheme="minorHAnsi"/>
        </w:rPr>
        <w:t>.4.1</w:t>
      </w:r>
      <w:r w:rsidR="002070B7" w:rsidRPr="00985511">
        <w:rPr>
          <w:rFonts w:eastAsia="Calibri" w:cstheme="minorHAnsi"/>
        </w:rPr>
        <w:tab/>
      </w:r>
      <w:r w:rsidR="00ED2933">
        <w:t xml:space="preserve">The </w:t>
      </w:r>
      <w:r w:rsidR="002070B7">
        <w:t xml:space="preserve">Program </w:t>
      </w:r>
      <w:r w:rsidR="00ED2933">
        <w:t>will be evaluated by the Department against</w:t>
      </w:r>
      <w:r w:rsidR="002070B7">
        <w:t xml:space="preserve"> key performance indicators </w:t>
      </w:r>
      <w:r w:rsidR="009776BC">
        <w:t xml:space="preserve">(KPIs) as agreed with each </w:t>
      </w:r>
      <w:r w:rsidR="009776BC" w:rsidRPr="005F3663">
        <w:t>Grantee</w:t>
      </w:r>
      <w:r w:rsidR="009776BC">
        <w:t>. The Department will use the KPIs to</w:t>
      </w:r>
      <w:r w:rsidR="002070B7" w:rsidRPr="002070B7">
        <w:t xml:space="preserve"> </w:t>
      </w:r>
      <w:r w:rsidR="002070B7">
        <w:t xml:space="preserve">monitor, measure and report on progress, outputs, outcomes and benefits of the Program. </w:t>
      </w:r>
    </w:p>
    <w:p w14:paraId="0316943A" w14:textId="6E56F762" w:rsidR="002070B7" w:rsidRDefault="00301B7F" w:rsidP="009776BC">
      <w:pPr>
        <w:suppressAutoHyphens w:val="0"/>
        <w:spacing w:before="240" w:after="240" w:line="240" w:lineRule="auto"/>
        <w:ind w:left="720" w:hanging="720"/>
      </w:pPr>
      <w:r>
        <w:rPr>
          <w:rFonts w:eastAsia="Calibri" w:cstheme="minorHAnsi"/>
        </w:rPr>
        <w:t>12</w:t>
      </w:r>
      <w:r w:rsidR="009776BC">
        <w:rPr>
          <w:rFonts w:eastAsia="Calibri" w:cstheme="minorHAnsi"/>
        </w:rPr>
        <w:t>.4.2</w:t>
      </w:r>
      <w:r w:rsidR="009776BC" w:rsidRPr="00985511">
        <w:rPr>
          <w:rFonts w:eastAsia="Calibri" w:cstheme="minorHAnsi"/>
        </w:rPr>
        <w:tab/>
      </w:r>
      <w:r w:rsidR="009776BC">
        <w:t>Grantees will be required to participate in Program reviews and evaluations.</w:t>
      </w:r>
    </w:p>
    <w:p w14:paraId="12597F48" w14:textId="03587013" w:rsidR="00BB73B5" w:rsidRDefault="00340616" w:rsidP="0054078D">
      <w:pPr>
        <w:pStyle w:val="Heading1Numbered"/>
      </w:pPr>
      <w:bookmarkStart w:id="183" w:name="_Toc467773990"/>
      <w:bookmarkStart w:id="184" w:name="_Toc523411646"/>
      <w:bookmarkStart w:id="185" w:name="_Toc421777631"/>
      <w:r w:rsidRPr="00B72EE8">
        <w:t>Pr</w:t>
      </w:r>
      <w:bookmarkEnd w:id="183"/>
      <w:r w:rsidR="00BB73B5">
        <w:t>ocess Terms</w:t>
      </w:r>
      <w:bookmarkEnd w:id="184"/>
    </w:p>
    <w:p w14:paraId="30AD4C64" w14:textId="75E381B6" w:rsidR="00BB73B5" w:rsidRPr="00BB73B5" w:rsidRDefault="00BB73B5" w:rsidP="00087F4A">
      <w:pPr>
        <w:pStyle w:val="Heading2Numbered"/>
        <w:numPr>
          <w:ilvl w:val="1"/>
          <w:numId w:val="41"/>
        </w:numPr>
      </w:pPr>
      <w:bookmarkStart w:id="186" w:name="_Toc523411647"/>
      <w:r>
        <w:t>Accountability and probity</w:t>
      </w:r>
      <w:bookmarkEnd w:id="186"/>
    </w:p>
    <w:bookmarkEnd w:id="185"/>
    <w:p w14:paraId="56DF244A" w14:textId="17A025D0" w:rsidR="00BB73B5" w:rsidRPr="00BB73B5" w:rsidRDefault="00BB73B5" w:rsidP="00BB73B5">
      <w:pPr>
        <w:pStyle w:val="Bodynumbered-Level1"/>
        <w:rPr>
          <w:rFonts w:asciiTheme="minorHAnsi" w:hAnsiTheme="minorHAnsi" w:cstheme="minorHAnsi"/>
        </w:rPr>
      </w:pPr>
      <w:r w:rsidRPr="00BB73B5">
        <w:rPr>
          <w:rFonts w:asciiTheme="minorHAnsi" w:hAnsiTheme="minorHAnsi" w:cstheme="minorHAnsi"/>
        </w:rPr>
        <w:t>13.1.1</w:t>
      </w:r>
      <w:r w:rsidRPr="00BB73B5">
        <w:rPr>
          <w:rFonts w:asciiTheme="minorHAnsi" w:hAnsiTheme="minorHAnsi" w:cstheme="minorHAnsi"/>
        </w:rPr>
        <w:tab/>
        <w:t>The Department is committed to ensuring that the process for selecting and approving Funded Solutions under the Program is fair and in accordance with these Guidelines.</w:t>
      </w:r>
    </w:p>
    <w:p w14:paraId="498000C0" w14:textId="10DB664F" w:rsidR="00BB73B5" w:rsidRPr="00BB73B5" w:rsidRDefault="00BB73B5" w:rsidP="00BB73B5">
      <w:pPr>
        <w:pStyle w:val="Bodynumbered-Level1"/>
        <w:spacing w:after="120"/>
        <w:rPr>
          <w:rFonts w:asciiTheme="minorHAnsi" w:hAnsiTheme="minorHAnsi" w:cstheme="minorHAnsi"/>
        </w:rPr>
      </w:pPr>
      <w:r w:rsidRPr="00BB73B5">
        <w:rPr>
          <w:rFonts w:asciiTheme="minorHAnsi" w:hAnsiTheme="minorHAnsi" w:cstheme="minorHAnsi"/>
        </w:rPr>
        <w:t>13.1.2</w:t>
      </w:r>
      <w:r w:rsidRPr="00BB73B5">
        <w:rPr>
          <w:rFonts w:asciiTheme="minorHAnsi" w:hAnsiTheme="minorHAnsi" w:cstheme="minorHAnsi"/>
        </w:rPr>
        <w:tab/>
        <w:t xml:space="preserve">The Department, as a non-corporate Commonwealth entity under </w:t>
      </w:r>
      <w:r w:rsidRPr="00BB73B5">
        <w:rPr>
          <w:rFonts w:asciiTheme="minorHAnsi" w:hAnsiTheme="minorHAnsi" w:cstheme="minorHAnsi"/>
          <w:i/>
        </w:rPr>
        <w:t xml:space="preserve">the Public Governance, Performance and Accountability Act 2013 </w:t>
      </w:r>
      <w:r w:rsidRPr="00BB73B5">
        <w:rPr>
          <w:rFonts w:asciiTheme="minorHAnsi" w:hAnsiTheme="minorHAnsi" w:cstheme="minorHAnsi"/>
        </w:rPr>
        <w:t>(the PGPA Act), in relation to its investment in the Program, must comply with:</w:t>
      </w:r>
    </w:p>
    <w:p w14:paraId="4EA9A5BC" w14:textId="77777777" w:rsidR="00BB73B5" w:rsidRPr="00BB73B5" w:rsidRDefault="00BB73B5" w:rsidP="00BB73B5">
      <w:pPr>
        <w:pStyle w:val="Bodynumbered-Level3"/>
        <w:spacing w:before="120" w:after="120"/>
        <w:ind w:left="1355" w:hanging="646"/>
        <w:rPr>
          <w:rFonts w:asciiTheme="minorHAnsi" w:hAnsiTheme="minorHAnsi" w:cstheme="minorHAnsi"/>
        </w:rPr>
      </w:pPr>
      <w:r w:rsidRPr="00BB73B5">
        <w:rPr>
          <w:rFonts w:asciiTheme="minorHAnsi" w:hAnsiTheme="minorHAnsi" w:cstheme="minorHAnsi"/>
        </w:rPr>
        <w:t>(a)</w:t>
      </w:r>
      <w:r w:rsidRPr="00BB73B5">
        <w:rPr>
          <w:rFonts w:asciiTheme="minorHAnsi" w:hAnsiTheme="minorHAnsi" w:cstheme="minorHAnsi"/>
        </w:rPr>
        <w:tab/>
        <w:t>the various duties set out in section 15 of the PGPA Act including: to promote the proper use and management of public resources for which the Department is responsible; promote the achievement of the purposes of the Department; and promote the financial sustainability of the Department;</w:t>
      </w:r>
    </w:p>
    <w:p w14:paraId="5D47EAEC" w14:textId="77777777" w:rsidR="00BB73B5" w:rsidRPr="00BB73B5" w:rsidRDefault="00BB73B5" w:rsidP="00BB73B5">
      <w:pPr>
        <w:pStyle w:val="Bodynumbered-Level3"/>
        <w:spacing w:before="120" w:after="120"/>
        <w:ind w:left="1355" w:hanging="646"/>
        <w:rPr>
          <w:rFonts w:asciiTheme="minorHAnsi" w:hAnsiTheme="minorHAnsi" w:cstheme="minorHAnsi"/>
        </w:rPr>
      </w:pPr>
      <w:r w:rsidRPr="00BB73B5">
        <w:rPr>
          <w:rFonts w:asciiTheme="minorHAnsi" w:hAnsiTheme="minorHAnsi" w:cstheme="minorHAnsi"/>
        </w:rPr>
        <w:t>(b)</w:t>
      </w:r>
      <w:r w:rsidRPr="00BB73B5">
        <w:rPr>
          <w:rFonts w:asciiTheme="minorHAnsi" w:hAnsiTheme="minorHAnsi" w:cstheme="minorHAnsi"/>
        </w:rPr>
        <w:tab/>
        <w:t>section 16 of the PGPA Act which requires the Department to establish and maintain appropriate systems of risk oversight and management and an appropriate system of internal controls;</w:t>
      </w:r>
    </w:p>
    <w:p w14:paraId="2B0C4078" w14:textId="77777777" w:rsidR="00BB73B5" w:rsidRDefault="00BB73B5" w:rsidP="00BB73B5">
      <w:pPr>
        <w:pStyle w:val="Bodynumbered-Level3"/>
        <w:spacing w:before="120" w:after="120"/>
        <w:ind w:left="1355" w:hanging="646"/>
        <w:rPr>
          <w:rFonts w:asciiTheme="minorHAnsi" w:hAnsiTheme="minorHAnsi" w:cstheme="minorHAnsi"/>
        </w:rPr>
      </w:pPr>
      <w:r w:rsidRPr="00BB73B5">
        <w:rPr>
          <w:rFonts w:asciiTheme="minorHAnsi" w:hAnsiTheme="minorHAnsi" w:cstheme="minorHAnsi"/>
        </w:rPr>
        <w:t>(c)</w:t>
      </w:r>
      <w:r w:rsidRPr="00BB73B5">
        <w:rPr>
          <w:rFonts w:asciiTheme="minorHAnsi" w:hAnsiTheme="minorHAnsi" w:cstheme="minorHAnsi"/>
        </w:rPr>
        <w:tab/>
        <w:t xml:space="preserve">the </w:t>
      </w:r>
      <w:r w:rsidRPr="00BB73B5">
        <w:rPr>
          <w:rFonts w:asciiTheme="minorHAnsi" w:hAnsiTheme="minorHAnsi" w:cstheme="minorHAnsi"/>
          <w:i/>
        </w:rPr>
        <w:t>Commonwealth Grants Rules and Guidelines</w:t>
      </w:r>
      <w:r w:rsidRPr="00BB73B5">
        <w:rPr>
          <w:rFonts w:asciiTheme="minorHAnsi" w:hAnsiTheme="minorHAnsi" w:cstheme="minorHAnsi"/>
        </w:rPr>
        <w:t>, which establish the overarching Commonwealth grant policy framework and articulate the expectations for the Department (including but not limited to a range of probity and reporting requirements).</w:t>
      </w:r>
    </w:p>
    <w:p w14:paraId="5E5B4D9B" w14:textId="77777777" w:rsidR="00CF030F" w:rsidRPr="00BB73B5" w:rsidRDefault="00CF030F" w:rsidP="00CF030F">
      <w:pPr>
        <w:pStyle w:val="Heading2Numbered"/>
        <w:numPr>
          <w:ilvl w:val="1"/>
          <w:numId w:val="46"/>
        </w:numPr>
      </w:pPr>
      <w:bookmarkStart w:id="187" w:name="_Toc523411649"/>
      <w:r>
        <w:t>Complaints process</w:t>
      </w:r>
      <w:bookmarkEnd w:id="187"/>
    </w:p>
    <w:p w14:paraId="6FBD2EB7" w14:textId="130B90D2" w:rsidR="00CF030F" w:rsidRPr="00983610" w:rsidRDefault="00CF030F" w:rsidP="00CF030F">
      <w:pPr>
        <w:pStyle w:val="Bodynumbered-Level1"/>
        <w:rPr>
          <w:rFonts w:asciiTheme="minorHAnsi" w:hAnsiTheme="minorHAnsi" w:cstheme="minorHAnsi"/>
        </w:rPr>
      </w:pPr>
      <w:r>
        <w:rPr>
          <w:rFonts w:asciiTheme="minorHAnsi" w:hAnsiTheme="minorHAnsi" w:cstheme="minorHAnsi"/>
        </w:rPr>
        <w:t>13.2.1</w:t>
      </w:r>
      <w:r w:rsidRPr="00983610">
        <w:rPr>
          <w:rFonts w:asciiTheme="minorHAnsi" w:hAnsiTheme="minorHAnsi" w:cstheme="minorHAnsi"/>
        </w:rPr>
        <w:tab/>
        <w:t xml:space="preserve">An applicant wishing to seek a review of the decision relating to its application for the Program should contact the Department by email at </w:t>
      </w:r>
      <w:hyperlink r:id="rId18" w:history="1">
        <w:r w:rsidRPr="00983610">
          <w:rPr>
            <w:rStyle w:val="Hyperlink"/>
            <w:rFonts w:cstheme="minorHAnsi"/>
            <w:b/>
            <w:u w:val="none"/>
          </w:rPr>
          <w:t>mobilecoverage@communications.gov.au</w:t>
        </w:r>
      </w:hyperlink>
      <w:r w:rsidRPr="00983610">
        <w:rPr>
          <w:rFonts w:asciiTheme="minorHAnsi" w:hAnsiTheme="minorHAnsi" w:cstheme="minorHAnsi"/>
        </w:rPr>
        <w:t xml:space="preserve"> within two weeks of the issue of notification of the decision. The Department will review that decision internally and notify the applicant(s) of the outcome of the review.</w:t>
      </w:r>
    </w:p>
    <w:p w14:paraId="47B6028A" w14:textId="3F0FEEE9" w:rsidR="00CF030F" w:rsidRPr="00983610" w:rsidRDefault="00CF030F" w:rsidP="00CF030F">
      <w:pPr>
        <w:pStyle w:val="Bodynumbered-Level1"/>
        <w:spacing w:after="120"/>
        <w:rPr>
          <w:rFonts w:asciiTheme="minorHAnsi" w:hAnsiTheme="minorHAnsi" w:cstheme="minorHAnsi"/>
        </w:rPr>
      </w:pPr>
      <w:r>
        <w:rPr>
          <w:rFonts w:asciiTheme="minorHAnsi" w:hAnsiTheme="minorHAnsi" w:cstheme="minorHAnsi"/>
        </w:rPr>
        <w:lastRenderedPageBreak/>
        <w:t>13.2.2</w:t>
      </w:r>
      <w:r w:rsidRPr="00983610">
        <w:rPr>
          <w:rFonts w:asciiTheme="minorHAnsi" w:hAnsiTheme="minorHAnsi" w:cstheme="minorHAnsi"/>
        </w:rPr>
        <w:tab/>
        <w:t>An applicant that is dissatisfied with the review may contact:</w:t>
      </w:r>
    </w:p>
    <w:p w14:paraId="2C8C3CE1" w14:textId="77777777" w:rsidR="00CF030F" w:rsidRPr="00983610" w:rsidRDefault="00CF030F" w:rsidP="00CF030F">
      <w:pPr>
        <w:pStyle w:val="Bodynumbered-Level1"/>
        <w:spacing w:before="120"/>
        <w:ind w:hanging="11"/>
        <w:rPr>
          <w:rFonts w:asciiTheme="minorHAnsi" w:hAnsiTheme="minorHAnsi" w:cstheme="minorHAnsi"/>
        </w:rPr>
      </w:pPr>
      <w:r w:rsidRPr="00983610">
        <w:rPr>
          <w:rFonts w:asciiTheme="minorHAnsi" w:hAnsiTheme="minorHAnsi" w:cstheme="minorHAnsi"/>
        </w:rPr>
        <w:t>The Commonwealth Ombudsman</w:t>
      </w:r>
      <w:r w:rsidRPr="00983610">
        <w:rPr>
          <w:rFonts w:asciiTheme="minorHAnsi" w:hAnsiTheme="minorHAnsi" w:cstheme="minorHAnsi"/>
        </w:rPr>
        <w:br/>
        <w:t>GPO Box 442</w:t>
      </w:r>
      <w:r w:rsidRPr="00983610">
        <w:rPr>
          <w:rFonts w:asciiTheme="minorHAnsi" w:hAnsiTheme="minorHAnsi" w:cstheme="minorHAnsi"/>
        </w:rPr>
        <w:br/>
      </w:r>
      <w:proofErr w:type="gramStart"/>
      <w:r w:rsidRPr="00983610">
        <w:rPr>
          <w:rFonts w:asciiTheme="minorHAnsi" w:hAnsiTheme="minorHAnsi" w:cstheme="minorHAnsi"/>
        </w:rPr>
        <w:t>Canberra  ACT</w:t>
      </w:r>
      <w:proofErr w:type="gramEnd"/>
      <w:r w:rsidRPr="00983610">
        <w:rPr>
          <w:rFonts w:asciiTheme="minorHAnsi" w:hAnsiTheme="minorHAnsi" w:cstheme="minorHAnsi"/>
        </w:rPr>
        <w:t xml:space="preserve">  2601</w:t>
      </w:r>
      <w:r w:rsidRPr="00983610">
        <w:rPr>
          <w:rFonts w:asciiTheme="minorHAnsi" w:hAnsiTheme="minorHAnsi" w:cstheme="minorHAnsi"/>
        </w:rPr>
        <w:br/>
        <w:t>Telephone: 02 6276 0111</w:t>
      </w:r>
      <w:r w:rsidRPr="00983610">
        <w:rPr>
          <w:rFonts w:asciiTheme="minorHAnsi" w:hAnsiTheme="minorHAnsi" w:cstheme="minorHAnsi"/>
        </w:rPr>
        <w:br/>
        <w:t>Toll free: 1300 362 072</w:t>
      </w:r>
      <w:r w:rsidRPr="00983610">
        <w:rPr>
          <w:rFonts w:asciiTheme="minorHAnsi" w:hAnsiTheme="minorHAnsi" w:cstheme="minorHAnsi"/>
        </w:rPr>
        <w:br/>
      </w:r>
      <w:r w:rsidRPr="00983610">
        <w:rPr>
          <w:rFonts w:asciiTheme="minorHAnsi" w:hAnsiTheme="minorHAnsi" w:cstheme="minorHAnsi"/>
          <w:color w:val="000000"/>
        </w:rPr>
        <w:t xml:space="preserve">Website: </w:t>
      </w:r>
      <w:hyperlink r:id="rId19" w:history="1">
        <w:r w:rsidRPr="00983610">
          <w:rPr>
            <w:rStyle w:val="Hyperlink"/>
            <w:rFonts w:cstheme="minorHAnsi"/>
          </w:rPr>
          <w:t>www.ombudsman.gov.au</w:t>
        </w:r>
      </w:hyperlink>
    </w:p>
    <w:p w14:paraId="48ACE67E" w14:textId="4EA578A9" w:rsidR="00CF030F" w:rsidRPr="00BB73B5" w:rsidRDefault="00CF030F" w:rsidP="00CF030F">
      <w:pPr>
        <w:pStyle w:val="Bodynumbered-Level1"/>
        <w:rPr>
          <w:rFonts w:asciiTheme="minorHAnsi" w:hAnsiTheme="minorHAnsi" w:cstheme="minorHAnsi"/>
        </w:rPr>
      </w:pPr>
      <w:r>
        <w:rPr>
          <w:rFonts w:asciiTheme="minorHAnsi" w:hAnsiTheme="minorHAnsi" w:cstheme="minorHAnsi"/>
        </w:rPr>
        <w:t>13.2.3</w:t>
      </w:r>
      <w:r w:rsidRPr="00983610">
        <w:rPr>
          <w:rFonts w:asciiTheme="minorHAnsi" w:hAnsiTheme="minorHAnsi" w:cstheme="minorHAnsi"/>
        </w:rPr>
        <w:tab/>
        <w:t>Applicants should note that the Commonwealth Ombudsman can only review the Program’s assessment processes, not any specific funding decision, under the Program.</w:t>
      </w:r>
    </w:p>
    <w:p w14:paraId="3D81419F" w14:textId="0D3B84DE" w:rsidR="00BB73B5" w:rsidRPr="00BB73B5" w:rsidRDefault="00BB73B5" w:rsidP="00087F4A">
      <w:pPr>
        <w:pStyle w:val="Heading2Numbered"/>
        <w:numPr>
          <w:ilvl w:val="1"/>
          <w:numId w:val="41"/>
        </w:numPr>
      </w:pPr>
      <w:bookmarkStart w:id="188" w:name="_Toc414983585"/>
      <w:bookmarkStart w:id="189" w:name="_Toc414984002"/>
      <w:bookmarkStart w:id="190" w:name="_Toc414984762"/>
      <w:bookmarkStart w:id="191" w:name="_Toc414984856"/>
      <w:bookmarkStart w:id="192" w:name="_Toc414984960"/>
      <w:bookmarkStart w:id="193" w:name="_Toc414985063"/>
      <w:bookmarkStart w:id="194" w:name="_Toc414985166"/>
      <w:bookmarkStart w:id="195" w:name="_Toc414985268"/>
      <w:bookmarkStart w:id="196" w:name="_Toc523411648"/>
      <w:bookmarkStart w:id="197" w:name="_Toc421777632"/>
      <w:bookmarkStart w:id="198" w:name="_Toc467773991"/>
      <w:bookmarkEnd w:id="188"/>
      <w:bookmarkEnd w:id="189"/>
      <w:bookmarkEnd w:id="190"/>
      <w:bookmarkEnd w:id="191"/>
      <w:bookmarkEnd w:id="192"/>
      <w:bookmarkEnd w:id="193"/>
      <w:bookmarkEnd w:id="194"/>
      <w:bookmarkEnd w:id="195"/>
      <w:r>
        <w:t>Costs</w:t>
      </w:r>
      <w:bookmarkEnd w:id="196"/>
    </w:p>
    <w:p w14:paraId="207823C9" w14:textId="08669D93" w:rsidR="00BB73B5" w:rsidRDefault="00CF030F" w:rsidP="00BB73B5">
      <w:pPr>
        <w:pStyle w:val="Bodynumbered-Level1"/>
        <w:rPr>
          <w:rFonts w:asciiTheme="minorHAnsi" w:hAnsiTheme="minorHAnsi" w:cstheme="minorHAnsi"/>
        </w:rPr>
      </w:pPr>
      <w:r>
        <w:rPr>
          <w:rFonts w:asciiTheme="minorHAnsi" w:hAnsiTheme="minorHAnsi" w:cstheme="minorHAnsi"/>
        </w:rPr>
        <w:t>13.3</w:t>
      </w:r>
      <w:r w:rsidR="00BB73B5" w:rsidRPr="00BB73B5">
        <w:rPr>
          <w:rFonts w:asciiTheme="minorHAnsi" w:hAnsiTheme="minorHAnsi" w:cstheme="minorHAnsi"/>
        </w:rPr>
        <w:t>.1</w:t>
      </w:r>
      <w:r w:rsidR="00BB73B5" w:rsidRPr="00BB73B5">
        <w:rPr>
          <w:rFonts w:asciiTheme="minorHAnsi" w:hAnsiTheme="minorHAnsi" w:cstheme="minorHAnsi"/>
        </w:rPr>
        <w:tab/>
        <w:t>The Department will not in any circumstances meet any costs or expenses incurred by an applicant in connection with their application. Applicants must bear their own costs and expenses associated with the application and assessment process, and the preparation, negotiation and execution of the Grant Agreement and of other documentation.</w:t>
      </w:r>
    </w:p>
    <w:p w14:paraId="231654C2" w14:textId="7BC642B4" w:rsidR="00BB73B5" w:rsidRPr="00BB73B5" w:rsidRDefault="00BB73B5" w:rsidP="00087F4A">
      <w:pPr>
        <w:pStyle w:val="Heading2Numbered"/>
        <w:numPr>
          <w:ilvl w:val="1"/>
          <w:numId w:val="41"/>
        </w:numPr>
      </w:pPr>
      <w:bookmarkStart w:id="199" w:name="_Toc523411650"/>
      <w:r>
        <w:t>Background checks</w:t>
      </w:r>
      <w:bookmarkEnd w:id="199"/>
    </w:p>
    <w:p w14:paraId="661992BC" w14:textId="6910D4B1" w:rsidR="00BB73B5" w:rsidRPr="00BB73B5" w:rsidRDefault="00BB73B5" w:rsidP="00BB73B5">
      <w:pPr>
        <w:pStyle w:val="Bodynumbered-Level1"/>
        <w:rPr>
          <w:rFonts w:asciiTheme="minorHAnsi" w:hAnsiTheme="minorHAnsi" w:cstheme="minorHAnsi"/>
        </w:rPr>
      </w:pPr>
      <w:r>
        <w:rPr>
          <w:rFonts w:asciiTheme="minorHAnsi" w:hAnsiTheme="minorHAnsi" w:cstheme="minorHAnsi"/>
        </w:rPr>
        <w:t>13</w:t>
      </w:r>
      <w:r w:rsidR="00087F4A">
        <w:rPr>
          <w:rFonts w:asciiTheme="minorHAnsi" w:hAnsiTheme="minorHAnsi" w:cstheme="minorHAnsi"/>
        </w:rPr>
        <w:t>.</w:t>
      </w:r>
      <w:r w:rsidR="00983610">
        <w:rPr>
          <w:rFonts w:asciiTheme="minorHAnsi" w:hAnsiTheme="minorHAnsi" w:cstheme="minorHAnsi"/>
        </w:rPr>
        <w:t>4</w:t>
      </w:r>
      <w:r w:rsidRPr="00BB73B5">
        <w:rPr>
          <w:rFonts w:asciiTheme="minorHAnsi" w:hAnsiTheme="minorHAnsi" w:cstheme="minorHAnsi"/>
        </w:rPr>
        <w:t>.1</w:t>
      </w:r>
      <w:r w:rsidRPr="00BB73B5">
        <w:rPr>
          <w:rFonts w:asciiTheme="minorHAnsi" w:hAnsiTheme="minorHAnsi" w:cstheme="minorHAnsi"/>
        </w:rPr>
        <w:tab/>
        <w:t>The Department may undertake checks on organisations submitting an application for the Program (including the applicant’s personnel). It may also undertake consultations with other relevant third parties regarding any application. The Department may also conduct checks to obtain any relevant information not disclosed in an application.</w:t>
      </w:r>
    </w:p>
    <w:p w14:paraId="7E1F1C6C" w14:textId="11F396DA" w:rsidR="00BB73B5" w:rsidRPr="00BB73B5" w:rsidRDefault="00BB73B5" w:rsidP="00BB73B5">
      <w:pPr>
        <w:pStyle w:val="Bodynumbered-Level1"/>
        <w:spacing w:after="120"/>
        <w:rPr>
          <w:rFonts w:asciiTheme="minorHAnsi" w:hAnsiTheme="minorHAnsi" w:cstheme="minorHAnsi"/>
        </w:rPr>
      </w:pPr>
      <w:r w:rsidRPr="00BB73B5">
        <w:rPr>
          <w:rFonts w:asciiTheme="minorHAnsi" w:hAnsiTheme="minorHAnsi" w:cstheme="minorHAnsi"/>
        </w:rPr>
        <w:t>1</w:t>
      </w:r>
      <w:r>
        <w:rPr>
          <w:rFonts w:asciiTheme="minorHAnsi" w:hAnsiTheme="minorHAnsi" w:cstheme="minorHAnsi"/>
        </w:rPr>
        <w:t>3</w:t>
      </w:r>
      <w:r w:rsidR="00087F4A">
        <w:rPr>
          <w:rFonts w:asciiTheme="minorHAnsi" w:hAnsiTheme="minorHAnsi" w:cstheme="minorHAnsi"/>
        </w:rPr>
        <w:t>.</w:t>
      </w:r>
      <w:r w:rsidR="00983610">
        <w:rPr>
          <w:rFonts w:asciiTheme="minorHAnsi" w:hAnsiTheme="minorHAnsi" w:cstheme="minorHAnsi"/>
        </w:rPr>
        <w:t>4</w:t>
      </w:r>
      <w:r w:rsidRPr="00BB73B5">
        <w:rPr>
          <w:rFonts w:asciiTheme="minorHAnsi" w:hAnsiTheme="minorHAnsi" w:cstheme="minorHAnsi"/>
        </w:rPr>
        <w:t>.2</w:t>
      </w:r>
      <w:r w:rsidRPr="00BB73B5">
        <w:rPr>
          <w:rFonts w:asciiTheme="minorHAnsi" w:hAnsiTheme="minorHAnsi" w:cstheme="minorHAnsi"/>
        </w:rPr>
        <w:tab/>
        <w:t>The Department reserves the right to use information from:</w:t>
      </w:r>
    </w:p>
    <w:p w14:paraId="0A924B2E" w14:textId="77777777" w:rsidR="00BB73B5" w:rsidRPr="00BB73B5" w:rsidRDefault="00BB73B5" w:rsidP="00BB73B5">
      <w:pPr>
        <w:pStyle w:val="Bodynumbered-Level3"/>
        <w:spacing w:before="120" w:after="120"/>
        <w:ind w:left="1276" w:hanging="567"/>
        <w:rPr>
          <w:rFonts w:asciiTheme="minorHAnsi" w:hAnsiTheme="minorHAnsi" w:cstheme="minorHAnsi"/>
        </w:rPr>
      </w:pPr>
      <w:r w:rsidRPr="00BB73B5">
        <w:rPr>
          <w:rFonts w:asciiTheme="minorHAnsi" w:hAnsiTheme="minorHAnsi" w:cstheme="minorHAnsi"/>
        </w:rPr>
        <w:t>(a)</w:t>
      </w:r>
      <w:r w:rsidRPr="00BB73B5">
        <w:rPr>
          <w:rFonts w:asciiTheme="minorHAnsi" w:hAnsiTheme="minorHAnsi" w:cstheme="minorHAnsi"/>
        </w:rPr>
        <w:tab/>
        <w:t>the Department’s databases;</w:t>
      </w:r>
    </w:p>
    <w:p w14:paraId="295AE593" w14:textId="77777777" w:rsidR="00BB73B5" w:rsidRPr="00BB73B5" w:rsidRDefault="00BB73B5" w:rsidP="00BB73B5">
      <w:pPr>
        <w:pStyle w:val="Bodynumbered-Level3"/>
        <w:spacing w:before="120" w:after="120"/>
        <w:ind w:left="1276" w:hanging="567"/>
        <w:rPr>
          <w:rFonts w:asciiTheme="minorHAnsi" w:hAnsiTheme="minorHAnsi" w:cstheme="minorHAnsi"/>
        </w:rPr>
      </w:pPr>
      <w:r w:rsidRPr="00BB73B5">
        <w:rPr>
          <w:rFonts w:asciiTheme="minorHAnsi" w:hAnsiTheme="minorHAnsi" w:cstheme="minorHAnsi"/>
        </w:rPr>
        <w:t>(b)</w:t>
      </w:r>
      <w:r w:rsidRPr="00BB73B5">
        <w:rPr>
          <w:rFonts w:asciiTheme="minorHAnsi" w:hAnsiTheme="minorHAnsi" w:cstheme="minorHAnsi"/>
        </w:rPr>
        <w:tab/>
        <w:t>other Government agencies, such as the Australian Taxation Office and Australian Securities and Investments Commission;</w:t>
      </w:r>
    </w:p>
    <w:p w14:paraId="1F260548" w14:textId="77777777" w:rsidR="00BB73B5" w:rsidRPr="00BB73B5" w:rsidRDefault="00BB73B5" w:rsidP="00BB73B5">
      <w:pPr>
        <w:pStyle w:val="Bodynumbered-Level3"/>
        <w:spacing w:before="120" w:after="120"/>
        <w:ind w:left="1276" w:hanging="567"/>
        <w:rPr>
          <w:rFonts w:asciiTheme="minorHAnsi" w:hAnsiTheme="minorHAnsi" w:cstheme="minorHAnsi"/>
        </w:rPr>
      </w:pPr>
      <w:r w:rsidRPr="00BB73B5">
        <w:rPr>
          <w:rFonts w:asciiTheme="minorHAnsi" w:hAnsiTheme="minorHAnsi" w:cstheme="minorHAnsi"/>
        </w:rPr>
        <w:t>(c)</w:t>
      </w:r>
      <w:r w:rsidRPr="00BB73B5">
        <w:rPr>
          <w:rFonts w:asciiTheme="minorHAnsi" w:hAnsiTheme="minorHAnsi" w:cstheme="minorHAnsi"/>
        </w:rPr>
        <w:tab/>
        <w:t>State or Territory agencies;</w:t>
      </w:r>
    </w:p>
    <w:p w14:paraId="10A55C92" w14:textId="77777777" w:rsidR="00BB73B5" w:rsidRPr="00BB73B5" w:rsidRDefault="00BB73B5" w:rsidP="00BB73B5">
      <w:pPr>
        <w:pStyle w:val="Bodynumbered-Level3"/>
        <w:spacing w:before="120" w:after="120"/>
        <w:ind w:left="1276" w:hanging="567"/>
        <w:rPr>
          <w:rFonts w:asciiTheme="minorHAnsi" w:hAnsiTheme="minorHAnsi" w:cstheme="minorHAnsi"/>
        </w:rPr>
      </w:pPr>
      <w:r w:rsidRPr="00BB73B5">
        <w:rPr>
          <w:rFonts w:asciiTheme="minorHAnsi" w:hAnsiTheme="minorHAnsi" w:cstheme="minorHAnsi"/>
        </w:rPr>
        <w:t>(d)</w:t>
      </w:r>
      <w:r w:rsidRPr="00BB73B5">
        <w:rPr>
          <w:rFonts w:asciiTheme="minorHAnsi" w:hAnsiTheme="minorHAnsi" w:cstheme="minorHAnsi"/>
        </w:rPr>
        <w:tab/>
        <w:t>law enforcement agencies;</w:t>
      </w:r>
    </w:p>
    <w:p w14:paraId="32DD1678" w14:textId="77777777" w:rsidR="00BB73B5" w:rsidRPr="00BB73B5" w:rsidRDefault="00BB73B5" w:rsidP="00BB73B5">
      <w:pPr>
        <w:pStyle w:val="Bodynumbered-Level3"/>
        <w:spacing w:before="120" w:after="120"/>
        <w:ind w:left="1276" w:hanging="567"/>
        <w:rPr>
          <w:rFonts w:asciiTheme="minorHAnsi" w:hAnsiTheme="minorHAnsi" w:cstheme="minorHAnsi"/>
        </w:rPr>
      </w:pPr>
      <w:r w:rsidRPr="00BB73B5">
        <w:rPr>
          <w:rFonts w:asciiTheme="minorHAnsi" w:hAnsiTheme="minorHAnsi" w:cstheme="minorHAnsi"/>
        </w:rPr>
        <w:t>(e)</w:t>
      </w:r>
      <w:r w:rsidRPr="00BB73B5">
        <w:rPr>
          <w:rFonts w:asciiTheme="minorHAnsi" w:hAnsiTheme="minorHAnsi" w:cstheme="minorHAnsi"/>
        </w:rPr>
        <w:tab/>
        <w:t>credit reference agencies;</w:t>
      </w:r>
    </w:p>
    <w:p w14:paraId="66B3D3BB" w14:textId="77777777" w:rsidR="00BB73B5" w:rsidRPr="00BB73B5" w:rsidRDefault="00BB73B5" w:rsidP="00BB73B5">
      <w:pPr>
        <w:pStyle w:val="Bodynumbered-Level3"/>
        <w:spacing w:before="120" w:after="120"/>
        <w:ind w:left="1276" w:hanging="567"/>
        <w:rPr>
          <w:rFonts w:asciiTheme="minorHAnsi" w:hAnsiTheme="minorHAnsi" w:cstheme="minorHAnsi"/>
        </w:rPr>
      </w:pPr>
      <w:r w:rsidRPr="00BB73B5">
        <w:rPr>
          <w:rFonts w:asciiTheme="minorHAnsi" w:hAnsiTheme="minorHAnsi" w:cstheme="minorHAnsi"/>
        </w:rPr>
        <w:t>(f)</w:t>
      </w:r>
      <w:r w:rsidRPr="00BB73B5">
        <w:rPr>
          <w:rFonts w:asciiTheme="minorHAnsi" w:hAnsiTheme="minorHAnsi" w:cstheme="minorHAnsi"/>
        </w:rPr>
        <w:tab/>
        <w:t>courts or tribunals; and</w:t>
      </w:r>
    </w:p>
    <w:p w14:paraId="1BCE9A7B" w14:textId="77777777" w:rsidR="00BB73B5" w:rsidRPr="00BB73B5" w:rsidRDefault="00BB73B5" w:rsidP="00BB73B5">
      <w:pPr>
        <w:pStyle w:val="Bodynumbered-Level3"/>
        <w:spacing w:before="120" w:after="120"/>
        <w:ind w:left="1276" w:hanging="567"/>
        <w:rPr>
          <w:rFonts w:asciiTheme="minorHAnsi" w:hAnsiTheme="minorHAnsi" w:cstheme="minorHAnsi"/>
        </w:rPr>
      </w:pPr>
      <w:r w:rsidRPr="00BB73B5">
        <w:rPr>
          <w:rFonts w:asciiTheme="minorHAnsi" w:hAnsiTheme="minorHAnsi" w:cstheme="minorHAnsi"/>
        </w:rPr>
        <w:t>(g)</w:t>
      </w:r>
      <w:r w:rsidRPr="00BB73B5">
        <w:rPr>
          <w:rFonts w:asciiTheme="minorHAnsi" w:hAnsiTheme="minorHAnsi" w:cstheme="minorHAnsi"/>
        </w:rPr>
        <w:tab/>
        <w:t>any other appropriate organisation or person reasonably required as part of these checks.</w:t>
      </w:r>
    </w:p>
    <w:p w14:paraId="38BF3373" w14:textId="361EA23F" w:rsidR="00BB73B5" w:rsidRPr="00BB73B5" w:rsidRDefault="00BB73B5" w:rsidP="00087F4A">
      <w:pPr>
        <w:pStyle w:val="Heading2Numbered"/>
        <w:numPr>
          <w:ilvl w:val="1"/>
          <w:numId w:val="41"/>
        </w:numPr>
      </w:pPr>
      <w:bookmarkStart w:id="200" w:name="_Toc523411651"/>
      <w:r>
        <w:t>Confidentiality</w:t>
      </w:r>
      <w:bookmarkEnd w:id="200"/>
    </w:p>
    <w:p w14:paraId="05823F5A" w14:textId="6E1084E0" w:rsidR="00BB73B5" w:rsidRPr="00BB73B5" w:rsidRDefault="00BB73B5" w:rsidP="00BB73B5">
      <w:pPr>
        <w:pStyle w:val="Bodynumbered-Level1"/>
        <w:rPr>
          <w:rFonts w:asciiTheme="minorHAnsi" w:hAnsiTheme="minorHAnsi" w:cstheme="minorHAnsi"/>
        </w:rPr>
      </w:pPr>
      <w:r>
        <w:rPr>
          <w:rFonts w:asciiTheme="minorHAnsi" w:hAnsiTheme="minorHAnsi" w:cstheme="minorHAnsi"/>
        </w:rPr>
        <w:t>13</w:t>
      </w:r>
      <w:r w:rsidR="00087F4A">
        <w:rPr>
          <w:rFonts w:asciiTheme="minorHAnsi" w:hAnsiTheme="minorHAnsi" w:cstheme="minorHAnsi"/>
        </w:rPr>
        <w:t>.</w:t>
      </w:r>
      <w:r w:rsidR="00983610">
        <w:rPr>
          <w:rFonts w:asciiTheme="minorHAnsi" w:hAnsiTheme="minorHAnsi" w:cstheme="minorHAnsi"/>
        </w:rPr>
        <w:t>5</w:t>
      </w:r>
      <w:r w:rsidRPr="00BB73B5">
        <w:rPr>
          <w:rFonts w:asciiTheme="minorHAnsi" w:hAnsiTheme="minorHAnsi" w:cstheme="minorHAnsi"/>
        </w:rPr>
        <w:t>.1</w:t>
      </w:r>
      <w:r w:rsidRPr="00BB73B5">
        <w:rPr>
          <w:rFonts w:asciiTheme="minorHAnsi" w:hAnsiTheme="minorHAnsi" w:cstheme="minorHAnsi"/>
        </w:rPr>
        <w:tab/>
        <w:t xml:space="preserve">The Department will treat any of the applicant’s commercially sensitive information provided in the applicant’s application as </w:t>
      </w:r>
      <w:r w:rsidRPr="00BB73B5">
        <w:rPr>
          <w:rFonts w:asciiTheme="minorHAnsi" w:hAnsiTheme="minorHAnsi" w:cstheme="minorHAnsi"/>
          <w:b/>
        </w:rPr>
        <w:t>confidential information</w:t>
      </w:r>
      <w:r w:rsidRPr="00BB73B5">
        <w:rPr>
          <w:rFonts w:asciiTheme="minorHAnsi" w:hAnsiTheme="minorHAnsi" w:cstheme="minorHAnsi"/>
        </w:rPr>
        <w:t xml:space="preserve"> provided that information is designated as confidential information (Applicant Confidential Information).</w:t>
      </w:r>
    </w:p>
    <w:p w14:paraId="70C50C80" w14:textId="101181B7" w:rsidR="00BB73B5" w:rsidRPr="00BB73B5" w:rsidRDefault="00BB73B5" w:rsidP="00BB73B5">
      <w:pPr>
        <w:pStyle w:val="Bodynumbered-Level1"/>
        <w:spacing w:after="120"/>
        <w:rPr>
          <w:rFonts w:asciiTheme="minorHAnsi" w:hAnsiTheme="minorHAnsi" w:cstheme="minorHAnsi"/>
        </w:rPr>
      </w:pPr>
      <w:r>
        <w:rPr>
          <w:rFonts w:asciiTheme="minorHAnsi" w:hAnsiTheme="minorHAnsi" w:cstheme="minorHAnsi"/>
        </w:rPr>
        <w:lastRenderedPageBreak/>
        <w:t>13</w:t>
      </w:r>
      <w:r w:rsidR="00087F4A">
        <w:rPr>
          <w:rFonts w:asciiTheme="minorHAnsi" w:hAnsiTheme="minorHAnsi" w:cstheme="minorHAnsi"/>
        </w:rPr>
        <w:t>.</w:t>
      </w:r>
      <w:r w:rsidR="00983610">
        <w:rPr>
          <w:rFonts w:asciiTheme="minorHAnsi" w:hAnsiTheme="minorHAnsi" w:cstheme="minorHAnsi"/>
        </w:rPr>
        <w:t>5</w:t>
      </w:r>
      <w:r w:rsidRPr="00BB73B5">
        <w:rPr>
          <w:rFonts w:asciiTheme="minorHAnsi" w:hAnsiTheme="minorHAnsi" w:cstheme="minorHAnsi"/>
        </w:rPr>
        <w:t>.2</w:t>
      </w:r>
      <w:r w:rsidRPr="00BB73B5">
        <w:rPr>
          <w:rFonts w:asciiTheme="minorHAnsi" w:hAnsiTheme="minorHAnsi" w:cstheme="minorHAnsi"/>
        </w:rPr>
        <w:tab/>
        <w:t>The Department’s confidentiality obligation does not apply to the extent any Applicant Confidential Information is:</w:t>
      </w:r>
    </w:p>
    <w:p w14:paraId="527D7C2A" w14:textId="77777777" w:rsidR="00BB73B5" w:rsidRPr="00BB73B5" w:rsidRDefault="00BB73B5" w:rsidP="004D0522">
      <w:pPr>
        <w:pStyle w:val="Bodynumbered-Level3"/>
        <w:spacing w:before="120" w:after="120"/>
        <w:ind w:left="1355" w:hanging="646"/>
        <w:rPr>
          <w:rFonts w:asciiTheme="minorHAnsi" w:hAnsiTheme="minorHAnsi" w:cstheme="minorHAnsi"/>
        </w:rPr>
      </w:pPr>
      <w:r w:rsidRPr="00BB73B5">
        <w:rPr>
          <w:rFonts w:asciiTheme="minorHAnsi" w:hAnsiTheme="minorHAnsi" w:cstheme="minorHAnsi"/>
        </w:rPr>
        <w:t>(a)</w:t>
      </w:r>
      <w:r w:rsidRPr="00BB73B5">
        <w:rPr>
          <w:rFonts w:asciiTheme="minorHAnsi" w:hAnsiTheme="minorHAnsi" w:cstheme="minorHAnsi"/>
        </w:rPr>
        <w:tab/>
        <w:t>authorised or required by law to be disclosed;</w:t>
      </w:r>
    </w:p>
    <w:p w14:paraId="3311463A" w14:textId="77777777" w:rsidR="00BB73B5" w:rsidRPr="00BB73B5" w:rsidRDefault="00BB73B5" w:rsidP="004D0522">
      <w:pPr>
        <w:pStyle w:val="Bodynumbered-Level3"/>
        <w:spacing w:before="120" w:after="120"/>
        <w:ind w:left="1355" w:hanging="646"/>
        <w:rPr>
          <w:rFonts w:asciiTheme="minorHAnsi" w:hAnsiTheme="minorHAnsi" w:cstheme="minorHAnsi"/>
        </w:rPr>
      </w:pPr>
      <w:r w:rsidRPr="00BB73B5">
        <w:rPr>
          <w:rFonts w:asciiTheme="minorHAnsi" w:hAnsiTheme="minorHAnsi" w:cstheme="minorHAnsi"/>
        </w:rPr>
        <w:t>(b)</w:t>
      </w:r>
      <w:r w:rsidRPr="00BB73B5">
        <w:rPr>
          <w:rFonts w:asciiTheme="minorHAnsi" w:hAnsiTheme="minorHAnsi" w:cstheme="minorHAnsi"/>
        </w:rPr>
        <w:tab/>
        <w:t>disclosed by the Department to its advisers, officers, employees, or other agencies’ officers or employees, for the purpose of evaluating the applicant’s application and during any Grant Agreement negotiations;</w:t>
      </w:r>
    </w:p>
    <w:p w14:paraId="38BFF949" w14:textId="77777777" w:rsidR="00BB73B5" w:rsidRPr="00BB73B5" w:rsidRDefault="00BB73B5" w:rsidP="004D0522">
      <w:pPr>
        <w:pStyle w:val="Bodynumbered-Level3"/>
        <w:spacing w:before="120" w:after="120"/>
        <w:ind w:left="1355" w:hanging="646"/>
        <w:rPr>
          <w:rFonts w:asciiTheme="minorHAnsi" w:hAnsiTheme="minorHAnsi" w:cstheme="minorHAnsi"/>
        </w:rPr>
      </w:pPr>
      <w:r w:rsidRPr="00BB73B5">
        <w:rPr>
          <w:rFonts w:asciiTheme="minorHAnsi" w:hAnsiTheme="minorHAnsi" w:cstheme="minorHAnsi"/>
        </w:rPr>
        <w:t>(c)</w:t>
      </w:r>
      <w:r w:rsidRPr="00BB73B5">
        <w:rPr>
          <w:rFonts w:asciiTheme="minorHAnsi" w:hAnsiTheme="minorHAnsi" w:cstheme="minorHAnsi"/>
        </w:rPr>
        <w:tab/>
        <w:t>disclosed by the Department in response to a request by a house or a committee of the Parliament of Australia, or a house or a committee of the Parliament of a state or territory;</w:t>
      </w:r>
    </w:p>
    <w:p w14:paraId="37CB33AC" w14:textId="77777777" w:rsidR="00BB73B5" w:rsidRPr="00BB73B5" w:rsidRDefault="00BB73B5" w:rsidP="004D0522">
      <w:pPr>
        <w:pStyle w:val="Bodynumbered-Level3"/>
        <w:spacing w:before="120" w:after="120"/>
        <w:ind w:left="1355" w:hanging="646"/>
        <w:rPr>
          <w:rFonts w:asciiTheme="minorHAnsi" w:hAnsiTheme="minorHAnsi" w:cstheme="minorHAnsi"/>
        </w:rPr>
      </w:pPr>
      <w:r w:rsidRPr="00BB73B5">
        <w:rPr>
          <w:rFonts w:asciiTheme="minorHAnsi" w:hAnsiTheme="minorHAnsi" w:cstheme="minorHAnsi"/>
        </w:rPr>
        <w:t>(d)</w:t>
      </w:r>
      <w:r w:rsidRPr="00BB73B5">
        <w:rPr>
          <w:rFonts w:asciiTheme="minorHAnsi" w:hAnsiTheme="minorHAnsi" w:cstheme="minorHAnsi"/>
        </w:rPr>
        <w:tab/>
        <w:t>disclosed by the Department to its responsible Minister or the Auditor-General;</w:t>
      </w:r>
    </w:p>
    <w:p w14:paraId="098A1246" w14:textId="77777777" w:rsidR="00BB73B5" w:rsidRPr="00BB73B5" w:rsidRDefault="00BB73B5" w:rsidP="004D0522">
      <w:pPr>
        <w:pStyle w:val="Bodynumbered-Level3"/>
        <w:spacing w:before="120" w:after="120"/>
        <w:ind w:left="1355" w:hanging="646"/>
        <w:rPr>
          <w:rFonts w:asciiTheme="minorHAnsi" w:hAnsiTheme="minorHAnsi" w:cstheme="minorHAnsi"/>
        </w:rPr>
      </w:pPr>
      <w:r w:rsidRPr="00BB73B5">
        <w:rPr>
          <w:rFonts w:asciiTheme="minorHAnsi" w:hAnsiTheme="minorHAnsi" w:cstheme="minorHAnsi"/>
        </w:rPr>
        <w:t>(e)</w:t>
      </w:r>
      <w:r w:rsidRPr="00BB73B5">
        <w:rPr>
          <w:rFonts w:asciiTheme="minorHAnsi" w:hAnsiTheme="minorHAnsi" w:cstheme="minorHAnsi"/>
        </w:rPr>
        <w:tab/>
        <w:t>shared by the Commonwealth within the Commonwealth’s entity (for example, another Commonwealth agency), where this serves the Commonwealth’s legitimate interests;</w:t>
      </w:r>
    </w:p>
    <w:p w14:paraId="10EBB12B" w14:textId="77777777" w:rsidR="00BB73B5" w:rsidRPr="00BB73B5" w:rsidRDefault="00BB73B5" w:rsidP="004D0522">
      <w:pPr>
        <w:pStyle w:val="Bodynumbered-Level3"/>
        <w:spacing w:before="120" w:after="120"/>
        <w:ind w:left="1355" w:hanging="646"/>
        <w:rPr>
          <w:rFonts w:asciiTheme="minorHAnsi" w:hAnsiTheme="minorHAnsi" w:cstheme="minorHAnsi"/>
        </w:rPr>
      </w:pPr>
      <w:r w:rsidRPr="00BB73B5">
        <w:rPr>
          <w:rFonts w:asciiTheme="minorHAnsi" w:hAnsiTheme="minorHAnsi" w:cstheme="minorHAnsi"/>
        </w:rPr>
        <w:t>(f)</w:t>
      </w:r>
      <w:r w:rsidRPr="00BB73B5">
        <w:rPr>
          <w:rFonts w:asciiTheme="minorHAnsi" w:hAnsiTheme="minorHAnsi" w:cstheme="minorHAnsi"/>
        </w:rPr>
        <w:tab/>
        <w:t>disclosed to the Department’s officers to enable the effective management or auditing of the Program; or</w:t>
      </w:r>
    </w:p>
    <w:p w14:paraId="3CF878C4" w14:textId="77777777" w:rsidR="00BB73B5" w:rsidRPr="00BB73B5" w:rsidRDefault="00BB73B5" w:rsidP="004D0522">
      <w:pPr>
        <w:pStyle w:val="Bodynumbered-Level3"/>
        <w:spacing w:before="120" w:after="120"/>
        <w:ind w:left="1355" w:hanging="646"/>
        <w:rPr>
          <w:rFonts w:asciiTheme="minorHAnsi" w:hAnsiTheme="minorHAnsi" w:cstheme="minorHAnsi"/>
        </w:rPr>
      </w:pPr>
      <w:r w:rsidRPr="00BB73B5">
        <w:rPr>
          <w:rFonts w:asciiTheme="minorHAnsi" w:hAnsiTheme="minorHAnsi" w:cstheme="minorHAnsi"/>
        </w:rPr>
        <w:t>(g)</w:t>
      </w:r>
      <w:r w:rsidRPr="00BB73B5">
        <w:rPr>
          <w:rFonts w:asciiTheme="minorHAnsi" w:hAnsiTheme="minorHAnsi" w:cstheme="minorHAnsi"/>
        </w:rPr>
        <w:tab/>
        <w:t>in the public domain otherwise than due to a breach of the Department’s confidentiality obligation.</w:t>
      </w:r>
    </w:p>
    <w:p w14:paraId="233DCF3F" w14:textId="674C74D8" w:rsidR="00BB73B5" w:rsidRPr="00BB73B5" w:rsidRDefault="00BB73B5" w:rsidP="00BB73B5">
      <w:pPr>
        <w:pStyle w:val="Bodynumbered-Level1"/>
        <w:rPr>
          <w:rFonts w:asciiTheme="minorHAnsi" w:hAnsiTheme="minorHAnsi" w:cstheme="minorHAnsi"/>
        </w:rPr>
      </w:pPr>
      <w:r>
        <w:rPr>
          <w:rFonts w:asciiTheme="minorHAnsi" w:hAnsiTheme="minorHAnsi" w:cstheme="minorHAnsi"/>
        </w:rPr>
        <w:t>13</w:t>
      </w:r>
      <w:r w:rsidR="00087F4A">
        <w:rPr>
          <w:rFonts w:asciiTheme="minorHAnsi" w:hAnsiTheme="minorHAnsi" w:cstheme="minorHAnsi"/>
        </w:rPr>
        <w:t>.</w:t>
      </w:r>
      <w:r w:rsidR="00983610">
        <w:rPr>
          <w:rFonts w:asciiTheme="minorHAnsi" w:hAnsiTheme="minorHAnsi" w:cstheme="minorHAnsi"/>
        </w:rPr>
        <w:t>5</w:t>
      </w:r>
      <w:r w:rsidRPr="00BB73B5">
        <w:rPr>
          <w:rFonts w:asciiTheme="minorHAnsi" w:hAnsiTheme="minorHAnsi" w:cstheme="minorHAnsi"/>
        </w:rPr>
        <w:t>.3</w:t>
      </w:r>
      <w:r w:rsidRPr="00BB73B5">
        <w:rPr>
          <w:rFonts w:asciiTheme="minorHAnsi" w:hAnsiTheme="minorHAnsi" w:cstheme="minorHAnsi"/>
        </w:rPr>
        <w:tab/>
        <w:t>The applicant will treat any information provided by the Department as confidential information provided that information is designated as confidential information. (</w:t>
      </w:r>
      <w:r w:rsidRPr="00BB73B5">
        <w:rPr>
          <w:rFonts w:asciiTheme="minorHAnsi" w:hAnsiTheme="minorHAnsi" w:cstheme="minorHAnsi"/>
          <w:b/>
        </w:rPr>
        <w:t>Commonwealth Confidential Information</w:t>
      </w:r>
      <w:r w:rsidRPr="00BB73B5">
        <w:rPr>
          <w:rFonts w:asciiTheme="minorHAnsi" w:hAnsiTheme="minorHAnsi" w:cstheme="minorHAnsi"/>
        </w:rPr>
        <w:t>).</w:t>
      </w:r>
    </w:p>
    <w:p w14:paraId="154467C6" w14:textId="7A16D8FE" w:rsidR="00BB73B5" w:rsidRPr="00BB73B5" w:rsidRDefault="00BB73B5" w:rsidP="00BB73B5">
      <w:pPr>
        <w:pStyle w:val="Bodynumbered-Level1"/>
        <w:spacing w:after="120"/>
        <w:rPr>
          <w:rFonts w:asciiTheme="minorHAnsi" w:hAnsiTheme="minorHAnsi" w:cstheme="minorHAnsi"/>
        </w:rPr>
      </w:pPr>
      <w:r>
        <w:rPr>
          <w:rFonts w:asciiTheme="minorHAnsi" w:hAnsiTheme="minorHAnsi" w:cstheme="minorHAnsi"/>
        </w:rPr>
        <w:t>13</w:t>
      </w:r>
      <w:r w:rsidR="00087F4A">
        <w:rPr>
          <w:rFonts w:asciiTheme="minorHAnsi" w:hAnsiTheme="minorHAnsi" w:cstheme="minorHAnsi"/>
        </w:rPr>
        <w:t>.</w:t>
      </w:r>
      <w:r w:rsidR="00983610">
        <w:rPr>
          <w:rFonts w:asciiTheme="minorHAnsi" w:hAnsiTheme="minorHAnsi" w:cstheme="minorHAnsi"/>
        </w:rPr>
        <w:t>5</w:t>
      </w:r>
      <w:r w:rsidRPr="00BB73B5">
        <w:rPr>
          <w:rFonts w:asciiTheme="minorHAnsi" w:hAnsiTheme="minorHAnsi" w:cstheme="minorHAnsi"/>
        </w:rPr>
        <w:t>.4</w:t>
      </w:r>
      <w:r w:rsidRPr="00BB73B5">
        <w:rPr>
          <w:rFonts w:asciiTheme="minorHAnsi" w:hAnsiTheme="minorHAnsi" w:cstheme="minorHAnsi"/>
        </w:rPr>
        <w:tab/>
        <w:t>The applicant’s confidentiality obligation does not apply to the extent any Commonwealth Confidential Information is:</w:t>
      </w:r>
    </w:p>
    <w:p w14:paraId="7C4DE022" w14:textId="77777777" w:rsidR="00BB73B5" w:rsidRPr="00BB73B5" w:rsidRDefault="00BB73B5" w:rsidP="00BB73B5">
      <w:pPr>
        <w:pStyle w:val="Bodynumbered-Level3"/>
        <w:spacing w:before="120" w:after="120"/>
        <w:ind w:left="1355" w:hanging="646"/>
        <w:rPr>
          <w:rFonts w:asciiTheme="minorHAnsi" w:hAnsiTheme="minorHAnsi" w:cstheme="minorHAnsi"/>
        </w:rPr>
      </w:pPr>
      <w:r w:rsidRPr="00BB73B5">
        <w:rPr>
          <w:rFonts w:asciiTheme="minorHAnsi" w:hAnsiTheme="minorHAnsi" w:cstheme="minorHAnsi"/>
        </w:rPr>
        <w:t>(a)</w:t>
      </w:r>
      <w:r w:rsidRPr="00BB73B5">
        <w:rPr>
          <w:rFonts w:asciiTheme="minorHAnsi" w:hAnsiTheme="minorHAnsi" w:cstheme="minorHAnsi"/>
        </w:rPr>
        <w:tab/>
        <w:t>authorised or required by law to be disclosed; or</w:t>
      </w:r>
    </w:p>
    <w:p w14:paraId="529C63F3" w14:textId="77777777" w:rsidR="00BB73B5" w:rsidRPr="00BB73B5" w:rsidRDefault="00BB73B5" w:rsidP="00BB73B5">
      <w:pPr>
        <w:pStyle w:val="Bodynumbered-Level3"/>
        <w:spacing w:before="120" w:after="120"/>
        <w:ind w:left="1355" w:hanging="646"/>
        <w:rPr>
          <w:rFonts w:asciiTheme="minorHAnsi" w:hAnsiTheme="minorHAnsi" w:cstheme="minorHAnsi"/>
        </w:rPr>
      </w:pPr>
      <w:r w:rsidRPr="00BB73B5">
        <w:rPr>
          <w:rFonts w:asciiTheme="minorHAnsi" w:hAnsiTheme="minorHAnsi" w:cstheme="minorHAnsi"/>
        </w:rPr>
        <w:t>(b)</w:t>
      </w:r>
      <w:r w:rsidRPr="00BB73B5">
        <w:rPr>
          <w:rFonts w:asciiTheme="minorHAnsi" w:hAnsiTheme="minorHAnsi" w:cstheme="minorHAnsi"/>
        </w:rPr>
        <w:tab/>
        <w:t>in the public domain otherwise than due to a breach of the applicant’s confidentiality obligation.</w:t>
      </w:r>
    </w:p>
    <w:p w14:paraId="54B334D2" w14:textId="71E49988" w:rsidR="00BB73B5" w:rsidRPr="00BB73B5" w:rsidRDefault="00BB73B5" w:rsidP="00BB73B5">
      <w:pPr>
        <w:pStyle w:val="Bodynumbered-Level1"/>
        <w:rPr>
          <w:rFonts w:asciiTheme="minorHAnsi" w:hAnsiTheme="minorHAnsi" w:cstheme="minorHAnsi"/>
        </w:rPr>
      </w:pPr>
      <w:r>
        <w:rPr>
          <w:rFonts w:asciiTheme="minorHAnsi" w:hAnsiTheme="minorHAnsi" w:cstheme="minorHAnsi"/>
        </w:rPr>
        <w:t>13</w:t>
      </w:r>
      <w:r w:rsidR="00087F4A">
        <w:rPr>
          <w:rFonts w:asciiTheme="minorHAnsi" w:hAnsiTheme="minorHAnsi" w:cstheme="minorHAnsi"/>
        </w:rPr>
        <w:t>.</w:t>
      </w:r>
      <w:r w:rsidR="00983610">
        <w:rPr>
          <w:rFonts w:asciiTheme="minorHAnsi" w:hAnsiTheme="minorHAnsi" w:cstheme="minorHAnsi"/>
        </w:rPr>
        <w:t>5</w:t>
      </w:r>
      <w:r w:rsidRPr="00BB73B5">
        <w:rPr>
          <w:rFonts w:asciiTheme="minorHAnsi" w:hAnsiTheme="minorHAnsi" w:cstheme="minorHAnsi"/>
        </w:rPr>
        <w:t>.5</w:t>
      </w:r>
      <w:r w:rsidRPr="00BB73B5">
        <w:rPr>
          <w:rFonts w:asciiTheme="minorHAnsi" w:hAnsiTheme="minorHAnsi" w:cstheme="minorHAnsi"/>
        </w:rPr>
        <w:tab/>
        <w:t>The Department may share with State or Territory governments (on a confidential basis) any or all information contained in applications which it considers relevant to the respective jurisdiction based on the location of the Proposed Solution(s), including costings for Proposed Solutions that are not successful in receiving funding through the Program.</w:t>
      </w:r>
    </w:p>
    <w:p w14:paraId="613C8AF2" w14:textId="29CDD410" w:rsidR="00BB73B5" w:rsidRPr="00BB73B5" w:rsidRDefault="00BB73B5" w:rsidP="00087F4A">
      <w:pPr>
        <w:pStyle w:val="Heading2Numbered"/>
        <w:numPr>
          <w:ilvl w:val="1"/>
          <w:numId w:val="41"/>
        </w:numPr>
      </w:pPr>
      <w:bookmarkStart w:id="201" w:name="_Toc523411652"/>
      <w:r>
        <w:t>Intellectual Property rights</w:t>
      </w:r>
      <w:bookmarkEnd w:id="201"/>
    </w:p>
    <w:p w14:paraId="7F42ACF3" w14:textId="47C1AA8C" w:rsidR="00BB73B5" w:rsidRPr="00BB73B5" w:rsidRDefault="00087F4A" w:rsidP="00BB73B5">
      <w:pPr>
        <w:pStyle w:val="Bodynumbered-Level1"/>
        <w:spacing w:after="120"/>
        <w:rPr>
          <w:rFonts w:asciiTheme="minorHAnsi" w:hAnsiTheme="minorHAnsi" w:cstheme="minorHAnsi"/>
        </w:rPr>
      </w:pPr>
      <w:r>
        <w:rPr>
          <w:rFonts w:asciiTheme="minorHAnsi" w:hAnsiTheme="minorHAnsi" w:cstheme="minorHAnsi"/>
        </w:rPr>
        <w:t>13.</w:t>
      </w:r>
      <w:r w:rsidR="00983610">
        <w:rPr>
          <w:rFonts w:asciiTheme="minorHAnsi" w:hAnsiTheme="minorHAnsi" w:cstheme="minorHAnsi"/>
        </w:rPr>
        <w:t>6</w:t>
      </w:r>
      <w:r w:rsidR="00BB73B5" w:rsidRPr="00BB73B5">
        <w:rPr>
          <w:rFonts w:asciiTheme="minorHAnsi" w:hAnsiTheme="minorHAnsi" w:cstheme="minorHAnsi"/>
        </w:rPr>
        <w:t>.1</w:t>
      </w:r>
      <w:r w:rsidR="00BB73B5" w:rsidRPr="00BB73B5">
        <w:rPr>
          <w:rFonts w:asciiTheme="minorHAnsi" w:hAnsiTheme="minorHAnsi" w:cstheme="minorHAnsi"/>
        </w:rPr>
        <w:tab/>
        <w:t>By submitting an application under the Program, to the extent the applicant’s application contains:</w:t>
      </w:r>
    </w:p>
    <w:p w14:paraId="3BF1DFD0" w14:textId="77777777" w:rsidR="00BB73B5" w:rsidRPr="00BB73B5" w:rsidRDefault="00BB73B5" w:rsidP="00BB73B5">
      <w:pPr>
        <w:pStyle w:val="Bodynumbered-Level3"/>
        <w:spacing w:before="120" w:after="120"/>
        <w:ind w:left="1355" w:hanging="646"/>
        <w:rPr>
          <w:rFonts w:asciiTheme="minorHAnsi" w:hAnsiTheme="minorHAnsi" w:cstheme="minorHAnsi"/>
        </w:rPr>
      </w:pPr>
      <w:r w:rsidRPr="00BB73B5">
        <w:rPr>
          <w:rFonts w:asciiTheme="minorHAnsi" w:hAnsiTheme="minorHAnsi" w:cstheme="minorHAnsi"/>
        </w:rPr>
        <w:t>(a)</w:t>
      </w:r>
      <w:r w:rsidRPr="00BB73B5">
        <w:rPr>
          <w:rFonts w:asciiTheme="minorHAnsi" w:hAnsiTheme="minorHAnsi" w:cstheme="minorHAnsi"/>
        </w:rPr>
        <w:tab/>
        <w:t xml:space="preserve">its </w:t>
      </w:r>
      <w:r w:rsidRPr="00BB73B5">
        <w:rPr>
          <w:rFonts w:asciiTheme="minorHAnsi" w:hAnsiTheme="minorHAnsi" w:cstheme="minorHAnsi"/>
          <w:b/>
        </w:rPr>
        <w:t>Intellectual Property</w:t>
      </w:r>
      <w:r w:rsidRPr="00BB73B5">
        <w:rPr>
          <w:rFonts w:asciiTheme="minorHAnsi" w:hAnsiTheme="minorHAnsi" w:cstheme="minorHAnsi"/>
        </w:rPr>
        <w:t>; or</w:t>
      </w:r>
    </w:p>
    <w:p w14:paraId="4923FA04" w14:textId="77777777" w:rsidR="00BB73B5" w:rsidRPr="00BB73B5" w:rsidRDefault="00BB73B5" w:rsidP="00BB73B5">
      <w:pPr>
        <w:pStyle w:val="Bodynumbered-Level3"/>
        <w:spacing w:before="120" w:after="120"/>
        <w:ind w:left="1355" w:hanging="646"/>
        <w:rPr>
          <w:rFonts w:asciiTheme="minorHAnsi" w:hAnsiTheme="minorHAnsi" w:cstheme="minorHAnsi"/>
        </w:rPr>
      </w:pPr>
      <w:r w:rsidRPr="00BB73B5">
        <w:rPr>
          <w:rFonts w:asciiTheme="minorHAnsi" w:hAnsiTheme="minorHAnsi" w:cstheme="minorHAnsi"/>
        </w:rPr>
        <w:t>(b)</w:t>
      </w:r>
      <w:r w:rsidRPr="00BB73B5">
        <w:rPr>
          <w:rFonts w:asciiTheme="minorHAnsi" w:hAnsiTheme="minorHAnsi" w:cstheme="minorHAnsi"/>
        </w:rPr>
        <w:tab/>
        <w:t>a third party’s Intellectual Property,</w:t>
      </w:r>
    </w:p>
    <w:p w14:paraId="043B41ED" w14:textId="77777777" w:rsidR="00BB73B5" w:rsidRPr="00BB73B5" w:rsidRDefault="00BB73B5" w:rsidP="00BB73B5">
      <w:pPr>
        <w:pStyle w:val="Bodynumbered-Level1"/>
        <w:spacing w:before="120"/>
        <w:ind w:hanging="11"/>
        <w:rPr>
          <w:rFonts w:asciiTheme="minorHAnsi" w:hAnsiTheme="minorHAnsi" w:cstheme="minorHAnsi"/>
        </w:rPr>
      </w:pPr>
      <w:r w:rsidRPr="00BB73B5">
        <w:rPr>
          <w:rFonts w:asciiTheme="minorHAnsi" w:hAnsiTheme="minorHAnsi" w:cstheme="minorHAnsi"/>
        </w:rPr>
        <w:t xml:space="preserve">the applicant grants (or will procure for) the Commonwealth a permanent, irrevocable, royalty-free, worldwide, non-exclusive licence (including a right of sublicense) to use, reproduce, adapt, and communicate the applicant’s Intellectual Property contained in its application under the Program provided the use, reproduction, adaptation, or </w:t>
      </w:r>
      <w:r w:rsidRPr="00BB73B5">
        <w:rPr>
          <w:rFonts w:asciiTheme="minorHAnsi" w:hAnsiTheme="minorHAnsi" w:cstheme="minorHAnsi"/>
        </w:rPr>
        <w:lastRenderedPageBreak/>
        <w:t>communication is in connection with any assessment processes under, or the evaluation of, or promotion of the Program.</w:t>
      </w:r>
    </w:p>
    <w:p w14:paraId="705CC5BC" w14:textId="530E559D" w:rsidR="00BB73B5" w:rsidRPr="00BB73B5" w:rsidRDefault="00087F4A" w:rsidP="00BB73B5">
      <w:pPr>
        <w:pStyle w:val="Bodynumbered-Level1"/>
        <w:rPr>
          <w:rFonts w:asciiTheme="minorHAnsi" w:hAnsiTheme="minorHAnsi" w:cstheme="minorHAnsi"/>
        </w:rPr>
      </w:pPr>
      <w:r>
        <w:rPr>
          <w:rFonts w:asciiTheme="minorHAnsi" w:hAnsiTheme="minorHAnsi" w:cstheme="minorHAnsi"/>
        </w:rPr>
        <w:t>13.</w:t>
      </w:r>
      <w:r w:rsidR="00983610">
        <w:rPr>
          <w:rFonts w:asciiTheme="minorHAnsi" w:hAnsiTheme="minorHAnsi" w:cstheme="minorHAnsi"/>
        </w:rPr>
        <w:t>6</w:t>
      </w:r>
      <w:r w:rsidR="00BB73B5" w:rsidRPr="00BB73B5">
        <w:rPr>
          <w:rFonts w:asciiTheme="minorHAnsi" w:hAnsiTheme="minorHAnsi" w:cstheme="minorHAnsi"/>
        </w:rPr>
        <w:t>.2</w:t>
      </w:r>
      <w:r w:rsidR="00BB73B5" w:rsidRPr="00BB73B5">
        <w:rPr>
          <w:rFonts w:asciiTheme="minorHAnsi" w:hAnsiTheme="minorHAnsi" w:cstheme="minorHAnsi"/>
        </w:rPr>
        <w:tab/>
        <w:t>Any licence granted to the Commonwealth in relation to Intellectual Property rights does not include a right to exploit the Intellectual Property for commercial purposes.</w:t>
      </w:r>
    </w:p>
    <w:p w14:paraId="6ACB7D61" w14:textId="061F84DD" w:rsidR="00BB73B5" w:rsidRDefault="00BB73B5" w:rsidP="00087F4A">
      <w:pPr>
        <w:pStyle w:val="Heading2Numbered"/>
        <w:numPr>
          <w:ilvl w:val="1"/>
          <w:numId w:val="41"/>
        </w:numPr>
      </w:pPr>
      <w:bookmarkStart w:id="202" w:name="_Toc523411653"/>
      <w:r>
        <w:t>Privacy of individuals</w:t>
      </w:r>
      <w:bookmarkEnd w:id="202"/>
    </w:p>
    <w:p w14:paraId="6609D101" w14:textId="04270801" w:rsidR="00BB73B5" w:rsidRPr="00BB73B5" w:rsidRDefault="00BB73B5" w:rsidP="00BB73B5">
      <w:pPr>
        <w:pStyle w:val="Bodynumbered-Level1"/>
        <w:rPr>
          <w:rFonts w:asciiTheme="minorHAnsi" w:hAnsiTheme="minorHAnsi" w:cstheme="minorHAnsi"/>
        </w:rPr>
      </w:pPr>
      <w:r>
        <w:rPr>
          <w:rFonts w:asciiTheme="minorHAnsi" w:hAnsiTheme="minorHAnsi" w:cstheme="minorHAnsi"/>
        </w:rPr>
        <w:t>13</w:t>
      </w:r>
      <w:r w:rsidR="00087F4A">
        <w:rPr>
          <w:rFonts w:asciiTheme="minorHAnsi" w:hAnsiTheme="minorHAnsi" w:cstheme="minorHAnsi"/>
        </w:rPr>
        <w:t>.</w:t>
      </w:r>
      <w:r w:rsidR="00983610">
        <w:rPr>
          <w:rFonts w:asciiTheme="minorHAnsi" w:hAnsiTheme="minorHAnsi" w:cstheme="minorHAnsi"/>
        </w:rPr>
        <w:t>7</w:t>
      </w:r>
      <w:r w:rsidRPr="00BB73B5">
        <w:rPr>
          <w:rFonts w:asciiTheme="minorHAnsi" w:hAnsiTheme="minorHAnsi" w:cstheme="minorHAnsi"/>
        </w:rPr>
        <w:t>.1</w:t>
      </w:r>
      <w:r w:rsidRPr="00BB73B5">
        <w:rPr>
          <w:rFonts w:asciiTheme="minorHAnsi" w:hAnsiTheme="minorHAnsi" w:cstheme="minorHAnsi"/>
        </w:rPr>
        <w:tab/>
        <w:t xml:space="preserve">The Department is covered by </w:t>
      </w:r>
      <w:r w:rsidRPr="00BB73B5">
        <w:rPr>
          <w:rFonts w:asciiTheme="minorHAnsi" w:hAnsiTheme="minorHAnsi" w:cstheme="minorHAnsi"/>
          <w:i/>
        </w:rPr>
        <w:t>the Privacy Act 1988</w:t>
      </w:r>
      <w:r w:rsidRPr="00BB73B5">
        <w:rPr>
          <w:rFonts w:asciiTheme="minorHAnsi" w:hAnsiTheme="minorHAnsi" w:cstheme="minorHAnsi"/>
        </w:rPr>
        <w:t xml:space="preserve"> (the Privacy Act). The Privacy Act contains 13 Australian Privacy Principles (the APPs) which governs how the Department collects, uses and discloses personal and sensitive information, and how individuals can access and correct records containing their personal or sensitive information.</w:t>
      </w:r>
    </w:p>
    <w:p w14:paraId="21A40422" w14:textId="648A5926" w:rsidR="00BB73B5" w:rsidRPr="00BB73B5" w:rsidRDefault="00BB73B5" w:rsidP="00BB73B5">
      <w:pPr>
        <w:pStyle w:val="Bodynumbered-Level1"/>
        <w:rPr>
          <w:rFonts w:asciiTheme="minorHAnsi" w:hAnsiTheme="minorHAnsi" w:cstheme="minorHAnsi"/>
        </w:rPr>
      </w:pPr>
      <w:r>
        <w:rPr>
          <w:rFonts w:asciiTheme="minorHAnsi" w:hAnsiTheme="minorHAnsi" w:cstheme="minorHAnsi"/>
        </w:rPr>
        <w:t>13</w:t>
      </w:r>
      <w:r w:rsidR="00087F4A">
        <w:rPr>
          <w:rFonts w:asciiTheme="minorHAnsi" w:hAnsiTheme="minorHAnsi" w:cstheme="minorHAnsi"/>
        </w:rPr>
        <w:t>.</w:t>
      </w:r>
      <w:r w:rsidR="00983610">
        <w:rPr>
          <w:rFonts w:asciiTheme="minorHAnsi" w:hAnsiTheme="minorHAnsi" w:cstheme="minorHAnsi"/>
        </w:rPr>
        <w:t>7</w:t>
      </w:r>
      <w:r w:rsidRPr="00BB73B5">
        <w:rPr>
          <w:rFonts w:asciiTheme="minorHAnsi" w:hAnsiTheme="minorHAnsi" w:cstheme="minorHAnsi"/>
        </w:rPr>
        <w:t>.2</w:t>
      </w:r>
      <w:r w:rsidRPr="00BB73B5">
        <w:rPr>
          <w:rFonts w:asciiTheme="minorHAnsi" w:hAnsiTheme="minorHAnsi" w:cstheme="minorHAnsi"/>
        </w:rPr>
        <w:tab/>
        <w:t>The Department is committed to protecting personal information appropriately. If individuals within the applying organisation wish to deal with the Department anonymously or by using a pseudonym, it should advise the Departmental contact officer for the Program or contact the Department’s Privacy Officer (see details below).</w:t>
      </w:r>
    </w:p>
    <w:p w14:paraId="11EBECFF" w14:textId="5691F7E4" w:rsidR="00BB73B5" w:rsidRDefault="00BB73B5" w:rsidP="00087F4A">
      <w:pPr>
        <w:pStyle w:val="Heading2Numbered"/>
        <w:numPr>
          <w:ilvl w:val="1"/>
          <w:numId w:val="41"/>
        </w:numPr>
      </w:pPr>
      <w:bookmarkStart w:id="203" w:name="_Toc523411654"/>
      <w:r>
        <w:t>Personal information to be collected by the Department</w:t>
      </w:r>
      <w:bookmarkEnd w:id="203"/>
    </w:p>
    <w:p w14:paraId="567AAAB6" w14:textId="6FE9446D" w:rsidR="00BB73B5" w:rsidRPr="00BB73B5" w:rsidRDefault="00BB73B5" w:rsidP="00BB73B5">
      <w:pPr>
        <w:pStyle w:val="Bodynumbered-Level1"/>
        <w:rPr>
          <w:rFonts w:asciiTheme="minorHAnsi" w:hAnsiTheme="minorHAnsi" w:cstheme="minorHAnsi"/>
        </w:rPr>
      </w:pPr>
      <w:r>
        <w:rPr>
          <w:rFonts w:asciiTheme="minorHAnsi" w:hAnsiTheme="minorHAnsi" w:cstheme="minorHAnsi"/>
        </w:rPr>
        <w:t>13</w:t>
      </w:r>
      <w:r w:rsidR="00087F4A">
        <w:rPr>
          <w:rFonts w:asciiTheme="minorHAnsi" w:hAnsiTheme="minorHAnsi" w:cstheme="minorHAnsi"/>
        </w:rPr>
        <w:t>.</w:t>
      </w:r>
      <w:r w:rsidR="00983610">
        <w:rPr>
          <w:rFonts w:asciiTheme="minorHAnsi" w:hAnsiTheme="minorHAnsi" w:cstheme="minorHAnsi"/>
        </w:rPr>
        <w:t>8</w:t>
      </w:r>
      <w:r w:rsidRPr="00BB73B5">
        <w:rPr>
          <w:rFonts w:asciiTheme="minorHAnsi" w:hAnsiTheme="minorHAnsi" w:cstheme="minorHAnsi"/>
        </w:rPr>
        <w:t>.1</w:t>
      </w:r>
      <w:r w:rsidRPr="00BB73B5">
        <w:rPr>
          <w:rFonts w:asciiTheme="minorHAnsi" w:hAnsiTheme="minorHAnsi" w:cstheme="minorHAnsi"/>
        </w:rPr>
        <w:tab/>
        <w:t>The Department may collect personal information in the applicant’s application and this may include names, and contain details and other personal information, which the applicant (or its personnel) has supplied to the Department in its application under the Program.</w:t>
      </w:r>
    </w:p>
    <w:p w14:paraId="3AF3F8F6" w14:textId="35F72F03" w:rsidR="00BB73B5" w:rsidRPr="00BB73B5" w:rsidRDefault="00BB73B5" w:rsidP="00BB73B5">
      <w:pPr>
        <w:pStyle w:val="Bodynumbered-Level1"/>
        <w:rPr>
          <w:rFonts w:asciiTheme="minorHAnsi" w:hAnsiTheme="minorHAnsi" w:cstheme="minorHAnsi"/>
        </w:rPr>
      </w:pPr>
      <w:r>
        <w:rPr>
          <w:rFonts w:asciiTheme="minorHAnsi" w:hAnsiTheme="minorHAnsi" w:cstheme="minorHAnsi"/>
        </w:rPr>
        <w:t>13</w:t>
      </w:r>
      <w:r w:rsidR="00087F4A">
        <w:rPr>
          <w:rFonts w:asciiTheme="minorHAnsi" w:hAnsiTheme="minorHAnsi" w:cstheme="minorHAnsi"/>
        </w:rPr>
        <w:t>.</w:t>
      </w:r>
      <w:r w:rsidR="00983610">
        <w:rPr>
          <w:rFonts w:asciiTheme="minorHAnsi" w:hAnsiTheme="minorHAnsi" w:cstheme="minorHAnsi"/>
        </w:rPr>
        <w:t>8</w:t>
      </w:r>
      <w:r w:rsidRPr="00BB73B5">
        <w:rPr>
          <w:rFonts w:asciiTheme="minorHAnsi" w:hAnsiTheme="minorHAnsi" w:cstheme="minorHAnsi"/>
        </w:rPr>
        <w:t>.2</w:t>
      </w:r>
      <w:r w:rsidRPr="00BB73B5">
        <w:rPr>
          <w:rFonts w:asciiTheme="minorHAnsi" w:hAnsiTheme="minorHAnsi" w:cstheme="minorHAnsi"/>
        </w:rPr>
        <w:tab/>
        <w:t>By providing the Department with personal information in the applicant’s application under the Program, the applicant (and its named personnel) consents to the Department collecting, using and disclosing that personal information in accordance with these Guidelines and for the purposes of the Program.</w:t>
      </w:r>
    </w:p>
    <w:p w14:paraId="4351F7A4" w14:textId="3E7A3485" w:rsidR="00140935" w:rsidRDefault="00BB73B5" w:rsidP="00087F4A">
      <w:pPr>
        <w:pStyle w:val="Bodynumbered-Level1"/>
        <w:rPr>
          <w:rFonts w:asciiTheme="minorHAnsi" w:hAnsiTheme="minorHAnsi" w:cstheme="minorHAnsi"/>
        </w:rPr>
      </w:pPr>
      <w:r w:rsidRPr="00BB73B5">
        <w:rPr>
          <w:rFonts w:asciiTheme="minorHAnsi" w:hAnsiTheme="minorHAnsi" w:cstheme="minorHAnsi"/>
        </w:rPr>
        <w:t>1</w:t>
      </w:r>
      <w:r>
        <w:rPr>
          <w:rFonts w:asciiTheme="minorHAnsi" w:hAnsiTheme="minorHAnsi" w:cstheme="minorHAnsi"/>
        </w:rPr>
        <w:t>3</w:t>
      </w:r>
      <w:r w:rsidR="00087F4A">
        <w:rPr>
          <w:rFonts w:asciiTheme="minorHAnsi" w:hAnsiTheme="minorHAnsi" w:cstheme="minorHAnsi"/>
        </w:rPr>
        <w:t>.</w:t>
      </w:r>
      <w:r w:rsidR="00983610">
        <w:rPr>
          <w:rFonts w:asciiTheme="minorHAnsi" w:hAnsiTheme="minorHAnsi" w:cstheme="minorHAnsi"/>
        </w:rPr>
        <w:t>8</w:t>
      </w:r>
      <w:r w:rsidRPr="00BB73B5">
        <w:rPr>
          <w:rFonts w:asciiTheme="minorHAnsi" w:hAnsiTheme="minorHAnsi" w:cstheme="minorHAnsi"/>
        </w:rPr>
        <w:t>.3</w:t>
      </w:r>
      <w:r w:rsidRPr="00BB73B5">
        <w:rPr>
          <w:rFonts w:asciiTheme="minorHAnsi" w:hAnsiTheme="minorHAnsi" w:cstheme="minorHAnsi"/>
        </w:rPr>
        <w:tab/>
        <w:t>If the applicant (or its personnel) does not consent to the Department's collection, use and disclosure of the personal information contained in its application under the Program, in accordance with these Guidelines, the applicant acknowledges that this may mean that the Department may not be able to progress or assess the application further for funding under the Program and that the application may be set aside under the assessment process.</w:t>
      </w:r>
    </w:p>
    <w:p w14:paraId="21B13026" w14:textId="5B904977" w:rsidR="000746F9" w:rsidRPr="000746F9" w:rsidRDefault="000746F9" w:rsidP="00087F4A">
      <w:pPr>
        <w:pStyle w:val="Heading2Numbered"/>
        <w:numPr>
          <w:ilvl w:val="1"/>
          <w:numId w:val="41"/>
        </w:numPr>
      </w:pPr>
      <w:bookmarkStart w:id="204" w:name="_Toc523411655"/>
      <w:r>
        <w:t>Purpose for which the Department will use and disclose personal information</w:t>
      </w:r>
      <w:bookmarkEnd w:id="204"/>
    </w:p>
    <w:p w14:paraId="0AB8BFCB" w14:textId="1832597D" w:rsidR="000746F9" w:rsidRPr="000746F9" w:rsidRDefault="00087F4A" w:rsidP="000746F9">
      <w:pPr>
        <w:pStyle w:val="Bodynumbered-Level1"/>
        <w:rPr>
          <w:rFonts w:asciiTheme="minorHAnsi" w:hAnsiTheme="minorHAnsi" w:cstheme="minorHAnsi"/>
        </w:rPr>
      </w:pPr>
      <w:r>
        <w:rPr>
          <w:rFonts w:asciiTheme="minorHAnsi" w:hAnsiTheme="minorHAnsi" w:cstheme="minorHAnsi"/>
        </w:rPr>
        <w:t>13.</w:t>
      </w:r>
      <w:r w:rsidR="00983610">
        <w:rPr>
          <w:rFonts w:asciiTheme="minorHAnsi" w:hAnsiTheme="minorHAnsi" w:cstheme="minorHAnsi"/>
        </w:rPr>
        <w:t>9</w:t>
      </w:r>
      <w:r>
        <w:rPr>
          <w:rFonts w:asciiTheme="minorHAnsi" w:hAnsiTheme="minorHAnsi" w:cstheme="minorHAnsi"/>
        </w:rPr>
        <w:t>.1</w:t>
      </w:r>
      <w:r>
        <w:rPr>
          <w:rFonts w:asciiTheme="minorHAnsi" w:hAnsiTheme="minorHAnsi" w:cstheme="minorHAnsi"/>
        </w:rPr>
        <w:tab/>
      </w:r>
      <w:r w:rsidR="000746F9" w:rsidRPr="000746F9">
        <w:rPr>
          <w:rFonts w:asciiTheme="minorHAnsi" w:hAnsiTheme="minorHAnsi" w:cstheme="minorHAnsi"/>
        </w:rPr>
        <w:t xml:space="preserve">By submitting an application, the applicant acknowledges that the Department may collect personal information from the applicant (and its personnel) contained in its application for the purpose of carrying out the activities and functions of the Department related to the Program. In order to carry out its functions and activities connected to the Program, the Department may use the collected personal </w:t>
      </w:r>
      <w:r w:rsidR="000746F9" w:rsidRPr="000746F9">
        <w:rPr>
          <w:rFonts w:asciiTheme="minorHAnsi" w:hAnsiTheme="minorHAnsi" w:cstheme="minorHAnsi"/>
        </w:rPr>
        <w:lastRenderedPageBreak/>
        <w:t>information for the purpose of any assessment processes under, or the evaluation of, the Program.</w:t>
      </w:r>
    </w:p>
    <w:p w14:paraId="6CA27807" w14:textId="5CBA520E" w:rsidR="000746F9" w:rsidRPr="000746F9" w:rsidRDefault="00087F4A" w:rsidP="000746F9">
      <w:pPr>
        <w:pStyle w:val="Bodynumbered-Level1"/>
        <w:rPr>
          <w:rFonts w:asciiTheme="minorHAnsi" w:hAnsiTheme="minorHAnsi" w:cstheme="minorHAnsi"/>
        </w:rPr>
      </w:pPr>
      <w:r>
        <w:rPr>
          <w:rFonts w:asciiTheme="minorHAnsi" w:hAnsiTheme="minorHAnsi" w:cstheme="minorHAnsi"/>
        </w:rPr>
        <w:t>13.</w:t>
      </w:r>
      <w:r w:rsidR="00983610">
        <w:rPr>
          <w:rFonts w:asciiTheme="minorHAnsi" w:hAnsiTheme="minorHAnsi" w:cstheme="minorHAnsi"/>
        </w:rPr>
        <w:t>9</w:t>
      </w:r>
      <w:r w:rsidR="000746F9" w:rsidRPr="000746F9">
        <w:rPr>
          <w:rFonts w:asciiTheme="minorHAnsi" w:hAnsiTheme="minorHAnsi" w:cstheme="minorHAnsi"/>
        </w:rPr>
        <w:t>.2</w:t>
      </w:r>
      <w:r>
        <w:rPr>
          <w:rFonts w:asciiTheme="minorHAnsi" w:hAnsiTheme="minorHAnsi" w:cstheme="minorHAnsi"/>
        </w:rPr>
        <w:tab/>
      </w:r>
      <w:r w:rsidR="000746F9" w:rsidRPr="000746F9">
        <w:rPr>
          <w:rFonts w:asciiTheme="minorHAnsi" w:hAnsiTheme="minorHAnsi" w:cstheme="minorHAnsi"/>
        </w:rPr>
        <w:t>Further, in order to carry out its functions and activities connected to the Program, including (without limitation) assessment and evaluation functions, the Department may also disclose the collected personal information to other Commonwealth, State or Territory agencies.</w:t>
      </w:r>
    </w:p>
    <w:p w14:paraId="2FE3A7F8" w14:textId="33A63994" w:rsidR="000746F9" w:rsidRPr="000746F9" w:rsidRDefault="00087F4A" w:rsidP="000746F9">
      <w:pPr>
        <w:pStyle w:val="Bodynumbered-Level1"/>
        <w:spacing w:after="120"/>
        <w:rPr>
          <w:rFonts w:asciiTheme="minorHAnsi" w:hAnsiTheme="minorHAnsi" w:cstheme="minorHAnsi"/>
        </w:rPr>
      </w:pPr>
      <w:r>
        <w:rPr>
          <w:rFonts w:asciiTheme="minorHAnsi" w:hAnsiTheme="minorHAnsi" w:cstheme="minorHAnsi"/>
        </w:rPr>
        <w:t>13.</w:t>
      </w:r>
      <w:r w:rsidR="00983610">
        <w:rPr>
          <w:rFonts w:asciiTheme="minorHAnsi" w:hAnsiTheme="minorHAnsi" w:cstheme="minorHAnsi"/>
        </w:rPr>
        <w:t>9</w:t>
      </w:r>
      <w:r w:rsidR="000746F9" w:rsidRPr="000746F9">
        <w:rPr>
          <w:rFonts w:asciiTheme="minorHAnsi" w:hAnsiTheme="minorHAnsi" w:cstheme="minorHAnsi"/>
        </w:rPr>
        <w:t>.3</w:t>
      </w:r>
      <w:r>
        <w:rPr>
          <w:rFonts w:asciiTheme="minorHAnsi" w:hAnsiTheme="minorHAnsi" w:cstheme="minorHAnsi"/>
        </w:rPr>
        <w:tab/>
      </w:r>
      <w:r w:rsidR="000746F9" w:rsidRPr="000746F9">
        <w:rPr>
          <w:rFonts w:asciiTheme="minorHAnsi" w:hAnsiTheme="minorHAnsi" w:cstheme="minorHAnsi"/>
        </w:rPr>
        <w:t>The Department will use the personal information collected from the applicant for the primary purpose for which it was collected. The Department may use or disclose this personal information for another purpose (i.e. secondary purpose) if:</w:t>
      </w:r>
    </w:p>
    <w:p w14:paraId="4BAF9FA6" w14:textId="77777777" w:rsidR="000746F9" w:rsidRPr="000746F9" w:rsidRDefault="000746F9" w:rsidP="004D0522">
      <w:pPr>
        <w:pStyle w:val="Bodynumbered-Level3"/>
        <w:spacing w:before="120" w:after="120"/>
        <w:ind w:left="1355" w:hanging="646"/>
        <w:rPr>
          <w:rFonts w:asciiTheme="minorHAnsi" w:hAnsiTheme="minorHAnsi" w:cstheme="minorHAnsi"/>
        </w:rPr>
      </w:pPr>
      <w:r w:rsidRPr="000746F9">
        <w:rPr>
          <w:rFonts w:asciiTheme="minorHAnsi" w:hAnsiTheme="minorHAnsi" w:cstheme="minorHAnsi"/>
        </w:rPr>
        <w:t>(a)</w:t>
      </w:r>
      <w:r w:rsidRPr="000746F9">
        <w:rPr>
          <w:rFonts w:asciiTheme="minorHAnsi" w:hAnsiTheme="minorHAnsi" w:cstheme="minorHAnsi"/>
        </w:rPr>
        <w:tab/>
        <w:t xml:space="preserve">the applicant reasonably </w:t>
      </w:r>
      <w:proofErr w:type="gramStart"/>
      <w:r w:rsidRPr="000746F9">
        <w:rPr>
          <w:rFonts w:asciiTheme="minorHAnsi" w:hAnsiTheme="minorHAnsi" w:cstheme="minorHAnsi"/>
        </w:rPr>
        <w:t>expect</w:t>
      </w:r>
      <w:proofErr w:type="gramEnd"/>
      <w:r w:rsidRPr="000746F9">
        <w:rPr>
          <w:rFonts w:asciiTheme="minorHAnsi" w:hAnsiTheme="minorHAnsi" w:cstheme="minorHAnsi"/>
        </w:rPr>
        <w:t xml:space="preserve"> the information to be used for the secondary purpose;</w:t>
      </w:r>
    </w:p>
    <w:p w14:paraId="2B8C72E1" w14:textId="77777777" w:rsidR="000746F9" w:rsidRPr="000746F9" w:rsidRDefault="000746F9" w:rsidP="004D0522">
      <w:pPr>
        <w:pStyle w:val="Bodynumbered-Level3"/>
        <w:spacing w:before="120" w:after="120"/>
        <w:ind w:left="1355" w:hanging="646"/>
        <w:rPr>
          <w:rFonts w:asciiTheme="minorHAnsi" w:hAnsiTheme="minorHAnsi" w:cstheme="minorHAnsi"/>
        </w:rPr>
      </w:pPr>
      <w:r w:rsidRPr="000746F9">
        <w:rPr>
          <w:rFonts w:asciiTheme="minorHAnsi" w:hAnsiTheme="minorHAnsi" w:cstheme="minorHAnsi"/>
        </w:rPr>
        <w:t>(b)</w:t>
      </w:r>
      <w:r w:rsidRPr="000746F9">
        <w:rPr>
          <w:rFonts w:asciiTheme="minorHAnsi" w:hAnsiTheme="minorHAnsi" w:cstheme="minorHAnsi"/>
        </w:rPr>
        <w:tab/>
        <w:t>it is required or authorised by law or a permitted general situation exists under the Privacy Act;</w:t>
      </w:r>
    </w:p>
    <w:p w14:paraId="461FF7D5" w14:textId="77777777" w:rsidR="000746F9" w:rsidRPr="000746F9" w:rsidRDefault="000746F9" w:rsidP="004D0522">
      <w:pPr>
        <w:pStyle w:val="Bodynumbered-Level3"/>
        <w:spacing w:before="120" w:after="120"/>
        <w:ind w:left="1355" w:hanging="646"/>
        <w:rPr>
          <w:rFonts w:asciiTheme="minorHAnsi" w:hAnsiTheme="minorHAnsi" w:cstheme="minorHAnsi"/>
        </w:rPr>
      </w:pPr>
      <w:r w:rsidRPr="000746F9">
        <w:rPr>
          <w:rFonts w:asciiTheme="minorHAnsi" w:hAnsiTheme="minorHAnsi" w:cstheme="minorHAnsi"/>
        </w:rPr>
        <w:t>(c)</w:t>
      </w:r>
      <w:r w:rsidRPr="000746F9">
        <w:rPr>
          <w:rFonts w:asciiTheme="minorHAnsi" w:hAnsiTheme="minorHAnsi" w:cstheme="minorHAnsi"/>
        </w:rPr>
        <w:tab/>
        <w:t>the applicant gives the Department permission; or</w:t>
      </w:r>
    </w:p>
    <w:p w14:paraId="732C6F5A" w14:textId="2FF00F31" w:rsidR="000746F9" w:rsidRDefault="000746F9" w:rsidP="004D0522">
      <w:pPr>
        <w:pStyle w:val="Bodynumbered-Level3"/>
        <w:spacing w:before="120" w:after="120"/>
        <w:ind w:left="1355" w:hanging="646"/>
        <w:rPr>
          <w:rFonts w:asciiTheme="minorHAnsi" w:hAnsiTheme="minorHAnsi" w:cstheme="minorHAnsi"/>
        </w:rPr>
      </w:pPr>
      <w:r w:rsidRPr="000746F9">
        <w:rPr>
          <w:rFonts w:asciiTheme="minorHAnsi" w:hAnsiTheme="minorHAnsi" w:cstheme="minorHAnsi"/>
        </w:rPr>
        <w:t>(d)</w:t>
      </w:r>
      <w:r w:rsidRPr="000746F9">
        <w:rPr>
          <w:rFonts w:asciiTheme="minorHAnsi" w:hAnsiTheme="minorHAnsi" w:cstheme="minorHAnsi"/>
        </w:rPr>
        <w:tab/>
        <w:t>the Department reasonably believes the use or disclosure is reasonably necessary for one or more enforcement related activities conducted by, or on behalf of, an enforcement body.</w:t>
      </w:r>
    </w:p>
    <w:p w14:paraId="2AF5E62D" w14:textId="388424C9" w:rsidR="00140935" w:rsidRDefault="00707DAA" w:rsidP="00707DAA">
      <w:pPr>
        <w:pStyle w:val="Heading2Numbered"/>
        <w:numPr>
          <w:ilvl w:val="0"/>
          <w:numId w:val="0"/>
        </w:numPr>
        <w:ind w:left="567" w:hanging="567"/>
      </w:pPr>
      <w:bookmarkStart w:id="205" w:name="_Toc523411656"/>
      <w:r>
        <w:t xml:space="preserve">13.10 </w:t>
      </w:r>
      <w:r w:rsidR="00CF030F">
        <w:t xml:space="preserve">The </w:t>
      </w:r>
      <w:r w:rsidR="00087F4A">
        <w:t>Department’s contact point for privacy matters</w:t>
      </w:r>
      <w:bookmarkEnd w:id="205"/>
    </w:p>
    <w:p w14:paraId="13494EA2" w14:textId="30966C34" w:rsidR="00140935" w:rsidRPr="00140935" w:rsidRDefault="00087F4A" w:rsidP="00140935">
      <w:pPr>
        <w:pStyle w:val="Bodynumbered-Level1"/>
        <w:rPr>
          <w:rFonts w:asciiTheme="minorHAnsi" w:hAnsiTheme="minorHAnsi" w:cstheme="minorHAnsi"/>
        </w:rPr>
      </w:pPr>
      <w:r>
        <w:rPr>
          <w:rFonts w:asciiTheme="minorHAnsi" w:hAnsiTheme="minorHAnsi" w:cstheme="minorHAnsi"/>
        </w:rPr>
        <w:t>13.</w:t>
      </w:r>
      <w:r w:rsidR="00983610">
        <w:rPr>
          <w:rFonts w:asciiTheme="minorHAnsi" w:hAnsiTheme="minorHAnsi" w:cstheme="minorHAnsi"/>
        </w:rPr>
        <w:t>10</w:t>
      </w:r>
      <w:r w:rsidR="00140935" w:rsidRPr="00140935">
        <w:rPr>
          <w:rFonts w:asciiTheme="minorHAnsi" w:hAnsiTheme="minorHAnsi" w:cstheme="minorHAnsi"/>
        </w:rPr>
        <w:t xml:space="preserve">.1For further information about how the Department is committed to protecting personal information appropriately in accordance with the APPs, see the Department’s APP Privacy Policy on its website at </w:t>
      </w:r>
      <w:hyperlink r:id="rId20" w:history="1">
        <w:r w:rsidR="00140935" w:rsidRPr="00140935">
          <w:rPr>
            <w:rStyle w:val="Hyperlink"/>
            <w:rFonts w:cstheme="minorHAnsi"/>
          </w:rPr>
          <w:t>www.communications.gov.au/privacy</w:t>
        </w:r>
      </w:hyperlink>
    </w:p>
    <w:p w14:paraId="7E5A6740" w14:textId="6F29B31A" w:rsidR="00140935" w:rsidRPr="00140935" w:rsidRDefault="00087F4A" w:rsidP="00140935">
      <w:pPr>
        <w:pStyle w:val="Bodynumbered-Level1"/>
        <w:spacing w:after="120"/>
        <w:rPr>
          <w:rFonts w:asciiTheme="minorHAnsi" w:hAnsiTheme="minorHAnsi" w:cstheme="minorHAnsi"/>
        </w:rPr>
      </w:pPr>
      <w:r>
        <w:rPr>
          <w:rFonts w:asciiTheme="minorHAnsi" w:hAnsiTheme="minorHAnsi" w:cstheme="minorHAnsi"/>
        </w:rPr>
        <w:t>13.</w:t>
      </w:r>
      <w:r w:rsidR="00983610">
        <w:rPr>
          <w:rFonts w:asciiTheme="minorHAnsi" w:hAnsiTheme="minorHAnsi" w:cstheme="minorHAnsi"/>
        </w:rPr>
        <w:t>10</w:t>
      </w:r>
      <w:r w:rsidR="00140935" w:rsidRPr="00140935">
        <w:rPr>
          <w:rFonts w:asciiTheme="minorHAnsi" w:hAnsiTheme="minorHAnsi" w:cstheme="minorHAnsi"/>
        </w:rPr>
        <w:t xml:space="preserve">.2For further information about the Department's handling of personal information, contact the Department’s </w:t>
      </w:r>
      <w:hyperlink r:id="rId21" w:history="1">
        <w:r w:rsidR="00140935" w:rsidRPr="00140935">
          <w:rPr>
            <w:rFonts w:asciiTheme="minorHAnsi" w:hAnsiTheme="minorHAnsi" w:cstheme="minorHAnsi"/>
          </w:rPr>
          <w:t>Privacy</w:t>
        </w:r>
      </w:hyperlink>
      <w:r w:rsidR="00140935" w:rsidRPr="00140935">
        <w:rPr>
          <w:rFonts w:asciiTheme="minorHAnsi" w:hAnsiTheme="minorHAnsi" w:cstheme="minorHAnsi"/>
        </w:rPr>
        <w:t xml:space="preserve"> Officer by sending an email to </w:t>
      </w:r>
      <w:hyperlink r:id="rId22" w:history="1">
        <w:r w:rsidR="00140935" w:rsidRPr="00087F4A">
          <w:rPr>
            <w:rStyle w:val="Hyperlink"/>
            <w:rFonts w:cstheme="minorHAnsi"/>
            <w:b/>
            <w:u w:val="none"/>
          </w:rPr>
          <w:t>privacy@communications.gov.au</w:t>
        </w:r>
      </w:hyperlink>
      <w:r w:rsidR="00140935" w:rsidRPr="00140935">
        <w:rPr>
          <w:rFonts w:asciiTheme="minorHAnsi" w:hAnsiTheme="minorHAnsi" w:cstheme="minorHAnsi"/>
        </w:rPr>
        <w:t xml:space="preserve"> or by writing to the Department at the following address:</w:t>
      </w:r>
    </w:p>
    <w:p w14:paraId="6D38109C" w14:textId="77777777" w:rsidR="00140935" w:rsidRPr="00140935" w:rsidRDefault="00140935" w:rsidP="00140935">
      <w:pPr>
        <w:pStyle w:val="Bodynumbered-Level1"/>
        <w:spacing w:before="120"/>
        <w:ind w:hanging="11"/>
        <w:rPr>
          <w:rFonts w:asciiTheme="minorHAnsi" w:hAnsiTheme="minorHAnsi" w:cstheme="minorHAnsi"/>
        </w:rPr>
      </w:pPr>
      <w:r w:rsidRPr="00140935">
        <w:rPr>
          <w:rFonts w:asciiTheme="minorHAnsi" w:hAnsiTheme="minorHAnsi" w:cstheme="minorHAnsi"/>
        </w:rPr>
        <w:t>Privacy Officer</w:t>
      </w:r>
      <w:r w:rsidRPr="00140935">
        <w:rPr>
          <w:rFonts w:asciiTheme="minorHAnsi" w:hAnsiTheme="minorHAnsi" w:cstheme="minorHAnsi"/>
        </w:rPr>
        <w:br/>
        <w:t>Department of Communications and the Arts</w:t>
      </w:r>
      <w:r w:rsidRPr="00140935">
        <w:rPr>
          <w:rFonts w:asciiTheme="minorHAnsi" w:hAnsiTheme="minorHAnsi" w:cstheme="minorHAnsi"/>
        </w:rPr>
        <w:br/>
        <w:t>GPO Box 2154</w:t>
      </w:r>
      <w:r w:rsidRPr="00140935">
        <w:rPr>
          <w:rFonts w:asciiTheme="minorHAnsi" w:hAnsiTheme="minorHAnsi" w:cstheme="minorHAnsi"/>
        </w:rPr>
        <w:br/>
      </w:r>
      <w:proofErr w:type="gramStart"/>
      <w:r w:rsidRPr="00140935">
        <w:rPr>
          <w:rFonts w:asciiTheme="minorHAnsi" w:hAnsiTheme="minorHAnsi" w:cstheme="minorHAnsi"/>
        </w:rPr>
        <w:t>CANBERRA  ACT</w:t>
      </w:r>
      <w:proofErr w:type="gramEnd"/>
      <w:r w:rsidRPr="00140935">
        <w:rPr>
          <w:rFonts w:asciiTheme="minorHAnsi" w:hAnsiTheme="minorHAnsi" w:cstheme="minorHAnsi"/>
        </w:rPr>
        <w:t xml:space="preserve">  2601</w:t>
      </w:r>
    </w:p>
    <w:p w14:paraId="6735BABA" w14:textId="0A38B0F0" w:rsidR="00140935" w:rsidRDefault="00087F4A" w:rsidP="00087F4A">
      <w:pPr>
        <w:pStyle w:val="Bodynumbered-Level1"/>
        <w:rPr>
          <w:rStyle w:val="Hyperlink"/>
          <w:rFonts w:cstheme="minorHAnsi"/>
        </w:rPr>
      </w:pPr>
      <w:bookmarkStart w:id="206" w:name="_Toc388963739"/>
      <w:bookmarkStart w:id="207" w:name="_Toc389122777"/>
      <w:bookmarkStart w:id="208" w:name="_Toc388963740"/>
      <w:bookmarkStart w:id="209" w:name="_Toc389122778"/>
      <w:bookmarkStart w:id="210" w:name="_Toc388963741"/>
      <w:bookmarkStart w:id="211" w:name="_Toc389122779"/>
      <w:bookmarkStart w:id="212" w:name="_Toc388963742"/>
      <w:bookmarkStart w:id="213" w:name="_Toc389122780"/>
      <w:bookmarkStart w:id="214" w:name="_Toc388963743"/>
      <w:bookmarkStart w:id="215" w:name="_Toc389122781"/>
      <w:bookmarkStart w:id="216" w:name="_Toc388963744"/>
      <w:bookmarkStart w:id="217" w:name="_Toc389122782"/>
      <w:bookmarkStart w:id="218" w:name="_Toc388963745"/>
      <w:bookmarkStart w:id="219" w:name="_Toc389122783"/>
      <w:bookmarkStart w:id="220" w:name="_Toc388963746"/>
      <w:bookmarkStart w:id="221" w:name="_Toc389122784"/>
      <w:bookmarkStart w:id="222" w:name="_Toc388963747"/>
      <w:bookmarkStart w:id="223" w:name="_Toc389122785"/>
      <w:bookmarkStart w:id="224" w:name="_Toc388963748"/>
      <w:bookmarkStart w:id="225" w:name="_Toc389122786"/>
      <w:bookmarkStart w:id="226" w:name="_Toc388963749"/>
      <w:bookmarkStart w:id="227" w:name="_Toc389122787"/>
      <w:bookmarkStart w:id="228" w:name="_Toc388963750"/>
      <w:bookmarkStart w:id="229" w:name="_Toc389122788"/>
      <w:bookmarkStart w:id="230" w:name="_Toc388963751"/>
      <w:bookmarkStart w:id="231" w:name="_Toc389122789"/>
      <w:bookmarkStart w:id="232" w:name="_Toc388963752"/>
      <w:bookmarkStart w:id="233" w:name="_Toc389122790"/>
      <w:bookmarkStart w:id="234" w:name="_Toc388963753"/>
      <w:bookmarkStart w:id="235" w:name="_Toc389122791"/>
      <w:bookmarkStart w:id="236" w:name="_Toc388963754"/>
      <w:bookmarkStart w:id="237" w:name="_Toc389122792"/>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Pr>
          <w:rFonts w:asciiTheme="minorHAnsi" w:hAnsiTheme="minorHAnsi" w:cstheme="minorHAnsi"/>
        </w:rPr>
        <w:t>13.</w:t>
      </w:r>
      <w:r w:rsidR="00983610">
        <w:rPr>
          <w:rFonts w:asciiTheme="minorHAnsi" w:hAnsiTheme="minorHAnsi" w:cstheme="minorHAnsi"/>
        </w:rPr>
        <w:t>10</w:t>
      </w:r>
      <w:r w:rsidR="00140935" w:rsidRPr="00140935">
        <w:rPr>
          <w:rFonts w:asciiTheme="minorHAnsi" w:hAnsiTheme="minorHAnsi" w:cstheme="minorHAnsi"/>
        </w:rPr>
        <w:t xml:space="preserve">.3General information about the Privacy Act and the APPs can also be found on the Office of the Australian Information Commissioner's website at </w:t>
      </w:r>
      <w:hyperlink r:id="rId23" w:history="1">
        <w:r w:rsidR="00140935" w:rsidRPr="00140935">
          <w:rPr>
            <w:rStyle w:val="Hyperlink"/>
            <w:rFonts w:cstheme="minorHAnsi"/>
          </w:rPr>
          <w:t>www.oaic.gov.au</w:t>
        </w:r>
      </w:hyperlink>
      <w:r>
        <w:rPr>
          <w:rStyle w:val="Hyperlink"/>
          <w:rFonts w:cstheme="minorHAnsi"/>
        </w:rPr>
        <w:t>.</w:t>
      </w:r>
    </w:p>
    <w:p w14:paraId="310FB4E8" w14:textId="4FF2E693" w:rsidR="00087F4A" w:rsidRPr="00087F4A" w:rsidRDefault="00707DAA" w:rsidP="00707DAA">
      <w:pPr>
        <w:pStyle w:val="Heading2Numbered"/>
        <w:numPr>
          <w:ilvl w:val="0"/>
          <w:numId w:val="0"/>
        </w:numPr>
        <w:ind w:left="567" w:hanging="567"/>
      </w:pPr>
      <w:bookmarkStart w:id="238" w:name="_Toc523411657"/>
      <w:r>
        <w:t xml:space="preserve">13.11 </w:t>
      </w:r>
      <w:r w:rsidR="00087F4A">
        <w:t>Exclusion of liabilities</w:t>
      </w:r>
      <w:bookmarkEnd w:id="238"/>
    </w:p>
    <w:p w14:paraId="387522FE" w14:textId="717889F7" w:rsidR="00140935" w:rsidRPr="00140935" w:rsidRDefault="00140935" w:rsidP="00140935">
      <w:pPr>
        <w:pStyle w:val="Bodynumbered-Level1"/>
        <w:spacing w:after="120"/>
        <w:rPr>
          <w:rFonts w:asciiTheme="minorHAnsi" w:hAnsiTheme="minorHAnsi" w:cstheme="minorHAnsi"/>
        </w:rPr>
      </w:pPr>
      <w:r>
        <w:rPr>
          <w:rFonts w:asciiTheme="minorHAnsi" w:hAnsiTheme="minorHAnsi" w:cstheme="minorHAnsi"/>
        </w:rPr>
        <w:t>13</w:t>
      </w:r>
      <w:r w:rsidR="00087F4A">
        <w:rPr>
          <w:rFonts w:asciiTheme="minorHAnsi" w:hAnsiTheme="minorHAnsi" w:cstheme="minorHAnsi"/>
        </w:rPr>
        <w:t>.1</w:t>
      </w:r>
      <w:r w:rsidR="00983610">
        <w:rPr>
          <w:rFonts w:asciiTheme="minorHAnsi" w:hAnsiTheme="minorHAnsi" w:cstheme="minorHAnsi"/>
        </w:rPr>
        <w:t>1</w:t>
      </w:r>
      <w:r w:rsidR="00087F4A">
        <w:rPr>
          <w:rFonts w:asciiTheme="minorHAnsi" w:hAnsiTheme="minorHAnsi" w:cstheme="minorHAnsi"/>
        </w:rPr>
        <w:t>.1</w:t>
      </w:r>
      <w:r w:rsidRPr="00140935">
        <w:rPr>
          <w:rFonts w:asciiTheme="minorHAnsi" w:hAnsiTheme="minorHAnsi" w:cstheme="minorHAnsi"/>
        </w:rPr>
        <w:t xml:space="preserve">The Department is not liable to applicants on the basis of a process contract (express or implied), promissory estoppel, equitable, </w:t>
      </w:r>
      <w:proofErr w:type="spellStart"/>
      <w:r w:rsidRPr="00140935">
        <w:rPr>
          <w:rFonts w:asciiTheme="minorHAnsi" w:hAnsiTheme="minorHAnsi" w:cstheme="minorHAnsi"/>
        </w:rPr>
        <w:t>restitutionary</w:t>
      </w:r>
      <w:proofErr w:type="spellEnd"/>
      <w:r w:rsidRPr="00140935">
        <w:rPr>
          <w:rFonts w:asciiTheme="minorHAnsi" w:hAnsiTheme="minorHAnsi" w:cstheme="minorHAnsi"/>
        </w:rPr>
        <w:t>, contractual or quasi</w:t>
      </w:r>
      <w:r w:rsidRPr="00140935">
        <w:rPr>
          <w:rFonts w:asciiTheme="minorHAnsi" w:hAnsiTheme="minorHAnsi" w:cstheme="minorHAnsi"/>
        </w:rPr>
        <w:noBreakHyphen/>
        <w:t>contractual grounds, in relation to the selection process, including without limitation, when the Department:</w:t>
      </w:r>
    </w:p>
    <w:p w14:paraId="00CC404C" w14:textId="77777777" w:rsidR="00140935" w:rsidRPr="00140935" w:rsidRDefault="00140935" w:rsidP="004D0522">
      <w:pPr>
        <w:pStyle w:val="Bodynumbered-Level3"/>
        <w:spacing w:before="120" w:after="120"/>
        <w:ind w:left="1355" w:hanging="646"/>
        <w:rPr>
          <w:rFonts w:asciiTheme="minorHAnsi" w:hAnsiTheme="minorHAnsi" w:cstheme="minorHAnsi"/>
        </w:rPr>
      </w:pPr>
      <w:r w:rsidRPr="00140935">
        <w:rPr>
          <w:rFonts w:asciiTheme="minorHAnsi" w:hAnsiTheme="minorHAnsi" w:cstheme="minorHAnsi"/>
        </w:rPr>
        <w:t>(a)</w:t>
      </w:r>
      <w:r w:rsidRPr="00140935">
        <w:rPr>
          <w:rFonts w:asciiTheme="minorHAnsi" w:hAnsiTheme="minorHAnsi" w:cstheme="minorHAnsi"/>
        </w:rPr>
        <w:tab/>
        <w:t>varies or terminates all or any part of the selection process or any negotiations;</w:t>
      </w:r>
    </w:p>
    <w:p w14:paraId="36CB44CE" w14:textId="77777777" w:rsidR="00140935" w:rsidRPr="00140935" w:rsidRDefault="00140935" w:rsidP="004D0522">
      <w:pPr>
        <w:pStyle w:val="Bodynumbered-Level3"/>
        <w:spacing w:before="120" w:after="120"/>
        <w:ind w:left="1355" w:hanging="646"/>
        <w:rPr>
          <w:rFonts w:asciiTheme="minorHAnsi" w:hAnsiTheme="minorHAnsi" w:cstheme="minorHAnsi"/>
        </w:rPr>
      </w:pPr>
      <w:r w:rsidRPr="00140935">
        <w:rPr>
          <w:rFonts w:asciiTheme="minorHAnsi" w:hAnsiTheme="minorHAnsi" w:cstheme="minorHAnsi"/>
        </w:rPr>
        <w:lastRenderedPageBreak/>
        <w:t>(b)</w:t>
      </w:r>
      <w:r w:rsidRPr="00140935">
        <w:rPr>
          <w:rFonts w:asciiTheme="minorHAnsi" w:hAnsiTheme="minorHAnsi" w:cstheme="minorHAnsi"/>
        </w:rPr>
        <w:tab/>
        <w:t>decides not to fund any or all of the activities sought through the selection process;</w:t>
      </w:r>
    </w:p>
    <w:p w14:paraId="2F1B5839" w14:textId="77777777" w:rsidR="00140935" w:rsidRPr="00140935" w:rsidRDefault="00140935" w:rsidP="004D0522">
      <w:pPr>
        <w:pStyle w:val="Bodynumbered-Level3"/>
        <w:spacing w:before="120" w:after="120"/>
        <w:ind w:left="1355" w:hanging="646"/>
        <w:rPr>
          <w:rFonts w:asciiTheme="minorHAnsi" w:hAnsiTheme="minorHAnsi" w:cstheme="minorHAnsi"/>
        </w:rPr>
      </w:pPr>
      <w:r w:rsidRPr="00140935">
        <w:rPr>
          <w:rFonts w:asciiTheme="minorHAnsi" w:hAnsiTheme="minorHAnsi" w:cstheme="minorHAnsi"/>
        </w:rPr>
        <w:t>(c)</w:t>
      </w:r>
      <w:r w:rsidRPr="00140935">
        <w:rPr>
          <w:rFonts w:asciiTheme="minorHAnsi" w:hAnsiTheme="minorHAnsi" w:cstheme="minorHAnsi"/>
        </w:rPr>
        <w:tab/>
        <w:t>varies the selection process; or</w:t>
      </w:r>
    </w:p>
    <w:p w14:paraId="3301D96A" w14:textId="7B58666D" w:rsidR="00140935" w:rsidRPr="00140935" w:rsidRDefault="00140935" w:rsidP="004D0522">
      <w:pPr>
        <w:pStyle w:val="Bodynumbered-Level3"/>
        <w:spacing w:before="120" w:after="120"/>
        <w:ind w:left="1355" w:hanging="646"/>
        <w:rPr>
          <w:rFonts w:asciiTheme="minorHAnsi" w:hAnsiTheme="minorHAnsi" w:cstheme="minorHAnsi"/>
        </w:rPr>
      </w:pPr>
      <w:r w:rsidRPr="00140935">
        <w:rPr>
          <w:rFonts w:asciiTheme="minorHAnsi" w:hAnsiTheme="minorHAnsi" w:cstheme="minorHAnsi"/>
        </w:rPr>
        <w:t>(d)</w:t>
      </w:r>
      <w:r w:rsidRPr="00140935">
        <w:rPr>
          <w:rFonts w:asciiTheme="minorHAnsi" w:hAnsiTheme="minorHAnsi" w:cstheme="minorHAnsi"/>
        </w:rPr>
        <w:tab/>
        <w:t>exercises or fails to exercise any of its other rights under, or in relation to, these Guidelines.</w:t>
      </w:r>
    </w:p>
    <w:p w14:paraId="7D7C653A" w14:textId="1CD3881F" w:rsidR="00140935" w:rsidRDefault="00707DAA" w:rsidP="00707DAA">
      <w:pPr>
        <w:pStyle w:val="Heading2Numbered"/>
        <w:numPr>
          <w:ilvl w:val="0"/>
          <w:numId w:val="0"/>
        </w:numPr>
        <w:ind w:left="567" w:hanging="567"/>
      </w:pPr>
      <w:bookmarkStart w:id="239" w:name="_Toc523411658"/>
      <w:r>
        <w:t xml:space="preserve">13.12 </w:t>
      </w:r>
      <w:r w:rsidR="00140935">
        <w:t>Disclaimer</w:t>
      </w:r>
      <w:bookmarkEnd w:id="239"/>
    </w:p>
    <w:p w14:paraId="226CAB11" w14:textId="1D449824" w:rsidR="00140935" w:rsidRPr="00140935" w:rsidRDefault="00087F4A" w:rsidP="00140935">
      <w:pPr>
        <w:pStyle w:val="Bodynumbered-Level1"/>
        <w:spacing w:after="120"/>
        <w:rPr>
          <w:rFonts w:asciiTheme="minorHAnsi" w:hAnsiTheme="minorHAnsi" w:cstheme="minorHAnsi"/>
        </w:rPr>
      </w:pPr>
      <w:r>
        <w:rPr>
          <w:rFonts w:asciiTheme="minorHAnsi" w:hAnsiTheme="minorHAnsi" w:cstheme="minorHAnsi"/>
        </w:rPr>
        <w:t>13.1</w:t>
      </w:r>
      <w:r w:rsidR="00983610">
        <w:rPr>
          <w:rFonts w:asciiTheme="minorHAnsi" w:hAnsiTheme="minorHAnsi" w:cstheme="minorHAnsi"/>
        </w:rPr>
        <w:t>2</w:t>
      </w:r>
      <w:r w:rsidR="00140935" w:rsidRPr="00140935">
        <w:rPr>
          <w:rFonts w:asciiTheme="minorHAnsi" w:hAnsiTheme="minorHAnsi" w:cstheme="minorHAnsi"/>
        </w:rPr>
        <w:t>.1The Commonwealth, the Department and its officers, employees, agents and advisors:</w:t>
      </w:r>
    </w:p>
    <w:p w14:paraId="3DEB68FE" w14:textId="77777777" w:rsidR="00140935" w:rsidRPr="00140935" w:rsidRDefault="00140935" w:rsidP="004D0522">
      <w:pPr>
        <w:pStyle w:val="Bodynumbered-Level3"/>
        <w:spacing w:before="120" w:after="120"/>
        <w:ind w:left="1355" w:hanging="646"/>
        <w:rPr>
          <w:rFonts w:asciiTheme="minorHAnsi" w:hAnsiTheme="minorHAnsi" w:cstheme="minorHAnsi"/>
        </w:rPr>
      </w:pPr>
      <w:r w:rsidRPr="00140935">
        <w:rPr>
          <w:rFonts w:asciiTheme="minorHAnsi" w:hAnsiTheme="minorHAnsi" w:cstheme="minorHAnsi"/>
        </w:rPr>
        <w:t>(a)</w:t>
      </w:r>
      <w:r w:rsidRPr="00140935">
        <w:rPr>
          <w:rFonts w:asciiTheme="minorHAnsi" w:hAnsiTheme="minorHAnsi" w:cstheme="minorHAnsi"/>
        </w:rPr>
        <w:tab/>
        <w:t>are not, and will not be, responsible or liable for the accuracy or completeness of any information in or provided in connection with these Guidelines and associated forms;</w:t>
      </w:r>
    </w:p>
    <w:p w14:paraId="0B27AC7F" w14:textId="77777777" w:rsidR="00140935" w:rsidRPr="00140935" w:rsidRDefault="00140935" w:rsidP="004D0522">
      <w:pPr>
        <w:pStyle w:val="Bodynumbered-Level3"/>
        <w:spacing w:before="120" w:after="120"/>
        <w:ind w:left="1355" w:hanging="646"/>
        <w:rPr>
          <w:rFonts w:asciiTheme="minorHAnsi" w:hAnsiTheme="minorHAnsi" w:cstheme="minorHAnsi"/>
        </w:rPr>
      </w:pPr>
      <w:r w:rsidRPr="00140935">
        <w:rPr>
          <w:rFonts w:asciiTheme="minorHAnsi" w:hAnsiTheme="minorHAnsi" w:cstheme="minorHAnsi"/>
        </w:rPr>
        <w:t>(b)</w:t>
      </w:r>
      <w:r w:rsidRPr="00140935">
        <w:rPr>
          <w:rFonts w:asciiTheme="minorHAnsi" w:hAnsiTheme="minorHAnsi" w:cstheme="minorHAnsi"/>
        </w:rPr>
        <w:tab/>
        <w:t>make no express or implied representation or warranty that any statement as to future matters will prove correct;</w:t>
      </w:r>
    </w:p>
    <w:p w14:paraId="0C113DE9" w14:textId="77777777" w:rsidR="00140935" w:rsidRPr="00140935" w:rsidRDefault="00140935" w:rsidP="004D0522">
      <w:pPr>
        <w:pStyle w:val="Bodynumbered-Level3"/>
        <w:spacing w:before="120" w:after="120"/>
        <w:ind w:left="1355" w:hanging="646"/>
        <w:rPr>
          <w:rFonts w:asciiTheme="minorHAnsi" w:hAnsiTheme="minorHAnsi" w:cstheme="minorHAnsi"/>
        </w:rPr>
      </w:pPr>
      <w:r w:rsidRPr="00140935">
        <w:rPr>
          <w:rFonts w:asciiTheme="minorHAnsi" w:hAnsiTheme="minorHAnsi" w:cstheme="minorHAnsi"/>
        </w:rPr>
        <w:t>(c)</w:t>
      </w:r>
      <w:r w:rsidRPr="00140935">
        <w:rPr>
          <w:rFonts w:asciiTheme="minorHAnsi" w:hAnsiTheme="minorHAnsi" w:cstheme="minorHAnsi"/>
        </w:rPr>
        <w:tab/>
        <w:t>disclaim any and all liability arising from any information provided to the applicants, including, without limitation, errors in, or omissions contained in, that information;</w:t>
      </w:r>
    </w:p>
    <w:p w14:paraId="0C80C8D9" w14:textId="77777777" w:rsidR="00140935" w:rsidRPr="00140935" w:rsidRDefault="00140935" w:rsidP="004D0522">
      <w:pPr>
        <w:pStyle w:val="Bodynumbered-Level3"/>
        <w:spacing w:before="120" w:after="120"/>
        <w:ind w:left="1355" w:hanging="646"/>
        <w:rPr>
          <w:rFonts w:asciiTheme="minorHAnsi" w:hAnsiTheme="minorHAnsi" w:cstheme="minorHAnsi"/>
        </w:rPr>
      </w:pPr>
      <w:r w:rsidRPr="00140935">
        <w:rPr>
          <w:rFonts w:asciiTheme="minorHAnsi" w:hAnsiTheme="minorHAnsi" w:cstheme="minorHAnsi"/>
        </w:rPr>
        <w:t>(d)</w:t>
      </w:r>
      <w:r w:rsidRPr="00140935">
        <w:rPr>
          <w:rFonts w:asciiTheme="minorHAnsi" w:hAnsiTheme="minorHAnsi" w:cstheme="minorHAnsi"/>
        </w:rPr>
        <w:tab/>
        <w:t>except so far as liability under any statute cannot be excluded, accept no responsibility arising in any way from errors or omissions contained in any information in these Guidelines and associated forms; and</w:t>
      </w:r>
    </w:p>
    <w:p w14:paraId="095E5EDC" w14:textId="3A11138D" w:rsidR="00140935" w:rsidRPr="00140935" w:rsidRDefault="00140935" w:rsidP="004D0522">
      <w:pPr>
        <w:pStyle w:val="Bodynumbered-Level3"/>
        <w:spacing w:before="120" w:after="120"/>
        <w:ind w:left="1355" w:hanging="646"/>
        <w:rPr>
          <w:rFonts w:asciiTheme="minorHAnsi" w:hAnsiTheme="minorHAnsi" w:cstheme="minorHAnsi"/>
        </w:rPr>
      </w:pPr>
      <w:r w:rsidRPr="00140935">
        <w:rPr>
          <w:rFonts w:asciiTheme="minorHAnsi" w:hAnsiTheme="minorHAnsi" w:cstheme="minorHAnsi"/>
        </w:rPr>
        <w:t>(e)</w:t>
      </w:r>
      <w:r w:rsidRPr="00140935">
        <w:rPr>
          <w:rFonts w:asciiTheme="minorHAnsi" w:hAnsiTheme="minorHAnsi" w:cstheme="minorHAnsi"/>
        </w:rPr>
        <w:tab/>
        <w:t>accept no liability for any loss or damage suffered by any person as a result of that person, or any other person, placing reliance on the contents of these Guidelines and associated forms, or any other information provided by the Department.</w:t>
      </w:r>
    </w:p>
    <w:p w14:paraId="4158D6C2" w14:textId="43ABE300" w:rsidR="00140935" w:rsidRDefault="00707DAA" w:rsidP="00707DAA">
      <w:pPr>
        <w:pStyle w:val="Heading2Numbered"/>
        <w:numPr>
          <w:ilvl w:val="0"/>
          <w:numId w:val="0"/>
        </w:numPr>
        <w:ind w:left="567" w:hanging="567"/>
      </w:pPr>
      <w:bookmarkStart w:id="240" w:name="_Toc523411659"/>
      <w:r>
        <w:t xml:space="preserve">13.13 </w:t>
      </w:r>
      <w:r w:rsidR="00087F4A">
        <w:t>Fraud prevention</w:t>
      </w:r>
      <w:bookmarkEnd w:id="240"/>
    </w:p>
    <w:p w14:paraId="1E29CC46" w14:textId="0FE0E809" w:rsidR="00140935" w:rsidRPr="00140935" w:rsidRDefault="00140935" w:rsidP="00140935">
      <w:pPr>
        <w:pStyle w:val="Bodynumbered-Level1"/>
        <w:rPr>
          <w:rFonts w:asciiTheme="minorHAnsi" w:hAnsiTheme="minorHAnsi" w:cstheme="minorHAnsi"/>
        </w:rPr>
      </w:pPr>
      <w:r>
        <w:rPr>
          <w:rFonts w:asciiTheme="minorHAnsi" w:hAnsiTheme="minorHAnsi" w:cstheme="minorHAnsi"/>
        </w:rPr>
        <w:t>13</w:t>
      </w:r>
      <w:r w:rsidR="00087F4A">
        <w:rPr>
          <w:rFonts w:asciiTheme="minorHAnsi" w:hAnsiTheme="minorHAnsi" w:cstheme="minorHAnsi"/>
        </w:rPr>
        <w:t>.1</w:t>
      </w:r>
      <w:r w:rsidR="00983610">
        <w:rPr>
          <w:rFonts w:asciiTheme="minorHAnsi" w:hAnsiTheme="minorHAnsi" w:cstheme="minorHAnsi"/>
        </w:rPr>
        <w:t>3</w:t>
      </w:r>
      <w:r w:rsidRPr="00140935">
        <w:rPr>
          <w:rFonts w:asciiTheme="minorHAnsi" w:hAnsiTheme="minorHAnsi" w:cstheme="minorHAnsi"/>
        </w:rPr>
        <w:t>.1The Department is committed to the Commonwealth Fraud Control Guidelines. Applicants should familiarise themselves with the Department’s Fraud Control Policy Statement (which can be provided upon request). This also underpins their respective fraud and risk minimisation responsibilities when dealing with the Department.</w:t>
      </w:r>
    </w:p>
    <w:p w14:paraId="4251C2B3" w14:textId="263D610C" w:rsidR="00BB73B5" w:rsidRDefault="00140935" w:rsidP="00140935">
      <w:pPr>
        <w:pStyle w:val="Bodynumbered-Level1"/>
        <w:rPr>
          <w:rFonts w:asciiTheme="minorHAnsi" w:hAnsiTheme="minorHAnsi" w:cstheme="minorHAnsi"/>
        </w:rPr>
      </w:pPr>
      <w:r>
        <w:rPr>
          <w:rFonts w:asciiTheme="minorHAnsi" w:hAnsiTheme="minorHAnsi" w:cstheme="minorHAnsi"/>
        </w:rPr>
        <w:t>13</w:t>
      </w:r>
      <w:r w:rsidR="00087F4A">
        <w:rPr>
          <w:rFonts w:asciiTheme="minorHAnsi" w:hAnsiTheme="minorHAnsi" w:cstheme="minorHAnsi"/>
        </w:rPr>
        <w:t>.1</w:t>
      </w:r>
      <w:r w:rsidR="00983610">
        <w:rPr>
          <w:rFonts w:asciiTheme="minorHAnsi" w:hAnsiTheme="minorHAnsi" w:cstheme="minorHAnsi"/>
        </w:rPr>
        <w:t>3</w:t>
      </w:r>
      <w:r w:rsidRPr="00140935">
        <w:rPr>
          <w:rFonts w:asciiTheme="minorHAnsi" w:hAnsiTheme="minorHAnsi" w:cstheme="minorHAnsi"/>
        </w:rPr>
        <w:t>.2Giving false or misleading information is a serious offence under the</w:t>
      </w:r>
      <w:r w:rsidRPr="00140935">
        <w:rPr>
          <w:rFonts w:asciiTheme="minorHAnsi" w:hAnsiTheme="minorHAnsi" w:cstheme="minorHAnsi"/>
          <w:i/>
        </w:rPr>
        <w:t xml:space="preserve"> Commonwealth Criminal Code Act 1995</w:t>
      </w:r>
      <w:r w:rsidRPr="00140935">
        <w:rPr>
          <w:rFonts w:asciiTheme="minorHAnsi" w:hAnsiTheme="minorHAnsi" w:cstheme="minorHAnsi"/>
        </w:rPr>
        <w:t>.</w:t>
      </w:r>
    </w:p>
    <w:p w14:paraId="0316947F" w14:textId="77777777" w:rsidR="00340616" w:rsidRPr="00B72EE8" w:rsidRDefault="00340616" w:rsidP="0054078D">
      <w:pPr>
        <w:pStyle w:val="Heading1Numbered"/>
      </w:pPr>
      <w:bookmarkStart w:id="241" w:name="_Toc421777637"/>
      <w:bookmarkStart w:id="242" w:name="_Toc467773995"/>
      <w:bookmarkStart w:id="243" w:name="_Toc523411660"/>
      <w:bookmarkEnd w:id="197"/>
      <w:bookmarkEnd w:id="198"/>
      <w:r w:rsidRPr="00B72EE8">
        <w:t>Consultation</w:t>
      </w:r>
      <w:bookmarkEnd w:id="241"/>
      <w:bookmarkEnd w:id="242"/>
      <w:bookmarkEnd w:id="243"/>
    </w:p>
    <w:p w14:paraId="03169482" w14:textId="2D600E45" w:rsidR="00340616" w:rsidRPr="00983610" w:rsidRDefault="00983610" w:rsidP="00983610">
      <w:pPr>
        <w:pStyle w:val="Bodynumbered-Level1"/>
        <w:rPr>
          <w:rFonts w:asciiTheme="minorHAnsi" w:hAnsiTheme="minorHAnsi" w:cstheme="minorHAnsi"/>
        </w:rPr>
      </w:pPr>
      <w:r w:rsidRPr="00983610">
        <w:rPr>
          <w:rFonts w:asciiTheme="minorHAnsi" w:hAnsiTheme="minorHAnsi" w:cstheme="minorHAnsi"/>
        </w:rPr>
        <w:t>14.1</w:t>
      </w:r>
      <w:r w:rsidRPr="00983610">
        <w:rPr>
          <w:rFonts w:asciiTheme="minorHAnsi" w:hAnsiTheme="minorHAnsi" w:cstheme="minorHAnsi"/>
        </w:rPr>
        <w:tab/>
      </w:r>
      <w:r w:rsidR="007569D6" w:rsidRPr="00983610">
        <w:rPr>
          <w:rFonts w:asciiTheme="minorHAnsi" w:hAnsiTheme="minorHAnsi" w:cstheme="minorHAnsi"/>
        </w:rPr>
        <w:t xml:space="preserve">The Department consulted the mobile network operators, states and territories and relevant federal agencies on the draft guidelines. </w:t>
      </w:r>
      <w:r w:rsidR="00340616" w:rsidRPr="00983610">
        <w:rPr>
          <w:rFonts w:asciiTheme="minorHAnsi" w:hAnsiTheme="minorHAnsi" w:cstheme="minorHAnsi"/>
          <w:highlight w:val="cyan"/>
        </w:rPr>
        <w:br w:type="page"/>
      </w:r>
    </w:p>
    <w:p w14:paraId="03169483" w14:textId="77777777" w:rsidR="00340616" w:rsidRPr="00087F4A" w:rsidRDefault="00340616" w:rsidP="0054078D">
      <w:pPr>
        <w:pStyle w:val="Heading1Numbered"/>
      </w:pPr>
      <w:bookmarkStart w:id="244" w:name="_Toc467773996"/>
      <w:bookmarkStart w:id="245" w:name="_Toc523411661"/>
      <w:r w:rsidRPr="00087F4A">
        <w:lastRenderedPageBreak/>
        <w:t>Glossary</w:t>
      </w:r>
      <w:bookmarkEnd w:id="244"/>
      <w:bookmarkEnd w:id="245"/>
    </w:p>
    <w:tbl>
      <w:tblPr>
        <w:tblStyle w:val="TableGrid1"/>
        <w:tblW w:w="0" w:type="auto"/>
        <w:tblInd w:w="108" w:type="dxa"/>
        <w:tblLook w:val="04A0" w:firstRow="1" w:lastRow="0" w:firstColumn="1" w:lastColumn="0" w:noHBand="0" w:noVBand="1"/>
      </w:tblPr>
      <w:tblGrid>
        <w:gridCol w:w="2513"/>
        <w:gridCol w:w="6395"/>
      </w:tblGrid>
      <w:tr w:rsidR="00731673" w:rsidRPr="001B21A4" w14:paraId="03169486" w14:textId="77777777" w:rsidTr="008A7B96">
        <w:tc>
          <w:tcPr>
            <w:tcW w:w="2513" w:type="dxa"/>
          </w:tcPr>
          <w:p w14:paraId="03169484" w14:textId="77777777" w:rsidR="00731673" w:rsidRPr="00731673" w:rsidRDefault="00731673" w:rsidP="008A7B96">
            <w:pPr>
              <w:tabs>
                <w:tab w:val="left" w:pos="2835"/>
              </w:tabs>
              <w:spacing w:after="120"/>
              <w:rPr>
                <w:b/>
              </w:rPr>
            </w:pPr>
            <w:r w:rsidRPr="00731673">
              <w:rPr>
                <w:b/>
              </w:rPr>
              <w:t>Term</w:t>
            </w:r>
          </w:p>
        </w:tc>
        <w:tc>
          <w:tcPr>
            <w:tcW w:w="6395" w:type="dxa"/>
          </w:tcPr>
          <w:p w14:paraId="03169485" w14:textId="77777777" w:rsidR="00731673" w:rsidRPr="00731673" w:rsidRDefault="00731673" w:rsidP="008A7B96">
            <w:pPr>
              <w:tabs>
                <w:tab w:val="left" w:pos="2835"/>
              </w:tabs>
              <w:spacing w:after="120"/>
              <w:rPr>
                <w:b/>
              </w:rPr>
            </w:pPr>
            <w:r w:rsidRPr="00731673">
              <w:rPr>
                <w:b/>
              </w:rPr>
              <w:t>Definition</w:t>
            </w:r>
          </w:p>
        </w:tc>
      </w:tr>
      <w:tr w:rsidR="009776BC" w:rsidRPr="001B21A4" w14:paraId="03169489" w14:textId="77777777" w:rsidTr="008A7B96">
        <w:tc>
          <w:tcPr>
            <w:tcW w:w="2513" w:type="dxa"/>
          </w:tcPr>
          <w:p w14:paraId="03169487" w14:textId="77777777" w:rsidR="009776BC" w:rsidRPr="00731673" w:rsidRDefault="009776BC" w:rsidP="008A7B96">
            <w:pPr>
              <w:tabs>
                <w:tab w:val="left" w:pos="2835"/>
              </w:tabs>
              <w:spacing w:after="120"/>
            </w:pPr>
            <w:r w:rsidRPr="00731673">
              <w:t>3G HSPA+</w:t>
            </w:r>
          </w:p>
        </w:tc>
        <w:tc>
          <w:tcPr>
            <w:tcW w:w="6395" w:type="dxa"/>
          </w:tcPr>
          <w:p w14:paraId="03169488" w14:textId="77777777" w:rsidR="009776BC" w:rsidRPr="00731673" w:rsidRDefault="009776BC" w:rsidP="008A7B96">
            <w:pPr>
              <w:tabs>
                <w:tab w:val="left" w:pos="2835"/>
              </w:tabs>
              <w:spacing w:after="120"/>
              <w:rPr>
                <w:rFonts w:cs="Arial"/>
                <w:lang w:eastAsia="en-AU"/>
              </w:rPr>
            </w:pPr>
            <w:r w:rsidRPr="00731673">
              <w:t xml:space="preserve">Third generation mobile telecommunications service with the wireless broadband standard protocol known as the Evolved </w:t>
            </w:r>
            <w:proofErr w:type="gramStart"/>
            <w:r w:rsidRPr="00731673">
              <w:t>High Speed</w:t>
            </w:r>
            <w:proofErr w:type="gramEnd"/>
            <w:r w:rsidRPr="00731673">
              <w:t xml:space="preserve"> Packet Data Access or HSPA+.</w:t>
            </w:r>
          </w:p>
        </w:tc>
      </w:tr>
      <w:tr w:rsidR="009776BC" w:rsidRPr="001B21A4" w14:paraId="0316948C" w14:textId="77777777" w:rsidTr="008A7B96">
        <w:tc>
          <w:tcPr>
            <w:tcW w:w="2513" w:type="dxa"/>
          </w:tcPr>
          <w:p w14:paraId="0316948A" w14:textId="77777777" w:rsidR="009776BC" w:rsidRPr="00731673" w:rsidRDefault="009776BC" w:rsidP="008A7B96">
            <w:pPr>
              <w:tabs>
                <w:tab w:val="left" w:pos="2835"/>
              </w:tabs>
              <w:spacing w:after="120"/>
            </w:pPr>
            <w:r w:rsidRPr="00731673">
              <w:t>4G</w:t>
            </w:r>
          </w:p>
        </w:tc>
        <w:tc>
          <w:tcPr>
            <w:tcW w:w="6395" w:type="dxa"/>
          </w:tcPr>
          <w:p w14:paraId="0316948B" w14:textId="77777777" w:rsidR="009776BC" w:rsidRPr="00731673" w:rsidRDefault="009776BC" w:rsidP="008A7B96">
            <w:pPr>
              <w:tabs>
                <w:tab w:val="left" w:pos="2835"/>
              </w:tabs>
              <w:spacing w:after="120"/>
              <w:rPr>
                <w:rFonts w:cs="Arial"/>
                <w:lang w:eastAsia="en-AU"/>
              </w:rPr>
            </w:pPr>
            <w:r w:rsidRPr="00731673">
              <w:t>Fourth generation mobile telecommunications service.</w:t>
            </w:r>
          </w:p>
        </w:tc>
      </w:tr>
      <w:tr w:rsidR="009776BC" w:rsidRPr="001B21A4" w14:paraId="0316948F" w14:textId="77777777" w:rsidTr="008A7B96">
        <w:tc>
          <w:tcPr>
            <w:tcW w:w="2513" w:type="dxa"/>
          </w:tcPr>
          <w:p w14:paraId="0316948D" w14:textId="77777777" w:rsidR="009776BC" w:rsidRPr="00731673" w:rsidRDefault="009776BC" w:rsidP="008A7B96">
            <w:pPr>
              <w:tabs>
                <w:tab w:val="left" w:pos="2835"/>
              </w:tabs>
              <w:spacing w:after="120"/>
            </w:pPr>
            <w:r w:rsidRPr="00731673">
              <w:t>Assessment Formula</w:t>
            </w:r>
          </w:p>
        </w:tc>
        <w:tc>
          <w:tcPr>
            <w:tcW w:w="6395" w:type="dxa"/>
          </w:tcPr>
          <w:p w14:paraId="0316948E" w14:textId="7F2D1F68" w:rsidR="009776BC" w:rsidRPr="008A3B1E" w:rsidRDefault="009776BC">
            <w:pPr>
              <w:tabs>
                <w:tab w:val="left" w:pos="2835"/>
              </w:tabs>
              <w:spacing w:after="120"/>
              <w:rPr>
                <w:rFonts w:cs="Arial"/>
                <w:lang w:eastAsia="en-AU"/>
              </w:rPr>
            </w:pPr>
            <w:r w:rsidRPr="008A3B1E">
              <w:t xml:space="preserve">The assessment formula the Department will use to assess applications as set out in </w:t>
            </w:r>
            <w:r w:rsidRPr="00846820">
              <w:t xml:space="preserve">section </w:t>
            </w:r>
            <w:r w:rsidR="00391241" w:rsidRPr="00846820">
              <w:t>6</w:t>
            </w:r>
            <w:r w:rsidRPr="00846820">
              <w:t>.</w:t>
            </w:r>
          </w:p>
        </w:tc>
      </w:tr>
      <w:tr w:rsidR="009776BC" w:rsidRPr="001B21A4" w14:paraId="03169492" w14:textId="77777777" w:rsidTr="008A7B96">
        <w:tc>
          <w:tcPr>
            <w:tcW w:w="2513" w:type="dxa"/>
          </w:tcPr>
          <w:p w14:paraId="03169490" w14:textId="77777777" w:rsidR="009776BC" w:rsidRPr="00731673" w:rsidRDefault="009776BC" w:rsidP="008A7B96">
            <w:pPr>
              <w:tabs>
                <w:tab w:val="left" w:pos="2835"/>
              </w:tabs>
              <w:spacing w:after="120"/>
            </w:pPr>
            <w:r w:rsidRPr="00731673">
              <w:t>Backhaul</w:t>
            </w:r>
          </w:p>
        </w:tc>
        <w:tc>
          <w:tcPr>
            <w:tcW w:w="6395" w:type="dxa"/>
          </w:tcPr>
          <w:p w14:paraId="03169491" w14:textId="77777777" w:rsidR="009776BC" w:rsidRPr="008A3B1E" w:rsidRDefault="009776BC" w:rsidP="008A7B96">
            <w:pPr>
              <w:tabs>
                <w:tab w:val="left" w:pos="2835"/>
              </w:tabs>
              <w:spacing w:after="120"/>
              <w:rPr>
                <w:rFonts w:cs="Arial"/>
                <w:lang w:eastAsia="en-AU"/>
              </w:rPr>
            </w:pPr>
            <w:r w:rsidRPr="008A3B1E">
              <w:t>A link between the core or backbone of a network and sub</w:t>
            </w:r>
            <w:r w:rsidRPr="008A3B1E">
              <w:noBreakHyphen/>
              <w:t>networks, transporting data from a series of disparate locations to a more centralised location.</w:t>
            </w:r>
          </w:p>
        </w:tc>
      </w:tr>
      <w:tr w:rsidR="009776BC" w:rsidRPr="001B21A4" w14:paraId="03169495" w14:textId="77777777" w:rsidTr="008A7B96">
        <w:tc>
          <w:tcPr>
            <w:tcW w:w="2513" w:type="dxa"/>
          </w:tcPr>
          <w:p w14:paraId="03169493" w14:textId="77777777" w:rsidR="009776BC" w:rsidRPr="00731673" w:rsidRDefault="009776BC" w:rsidP="008A7B96">
            <w:pPr>
              <w:tabs>
                <w:tab w:val="left" w:pos="2835"/>
              </w:tabs>
              <w:spacing w:after="120"/>
            </w:pPr>
            <w:r w:rsidRPr="00731673">
              <w:t>Baseline Data</w:t>
            </w:r>
          </w:p>
        </w:tc>
        <w:tc>
          <w:tcPr>
            <w:tcW w:w="6395" w:type="dxa"/>
          </w:tcPr>
          <w:p w14:paraId="03169494" w14:textId="7C1502DB" w:rsidR="009776BC" w:rsidRPr="008A3B1E" w:rsidRDefault="009776BC">
            <w:pPr>
              <w:tabs>
                <w:tab w:val="left" w:pos="2835"/>
              </w:tabs>
              <w:spacing w:after="120"/>
              <w:rPr>
                <w:rFonts w:cs="Arial"/>
                <w:lang w:eastAsia="en-AU"/>
              </w:rPr>
            </w:pPr>
            <w:r w:rsidRPr="008A3B1E">
              <w:t>The applicants</w:t>
            </w:r>
            <w:bookmarkStart w:id="246" w:name="_GoBack"/>
            <w:r w:rsidRPr="008A3B1E">
              <w:t xml:space="preserve"> </w:t>
            </w:r>
            <w:bookmarkEnd w:id="246"/>
            <w:r w:rsidRPr="008A3B1E">
              <w:t xml:space="preserve">existing coverage and the amount of new coverage which each Funded Solution would provide will be used as the mobile coverage baseline data for </w:t>
            </w:r>
            <w:r w:rsidRPr="00846820">
              <w:t xml:space="preserve">section </w:t>
            </w:r>
            <w:r w:rsidR="00391241" w:rsidRPr="00846820">
              <w:t>12.1.2</w:t>
            </w:r>
            <w:r w:rsidRPr="008A3B1E">
              <w:t xml:space="preserve">. </w:t>
            </w:r>
          </w:p>
        </w:tc>
      </w:tr>
      <w:tr w:rsidR="008F54E5" w:rsidRPr="001B21A4" w14:paraId="4E0101BE" w14:textId="77777777" w:rsidTr="008A7B96">
        <w:tc>
          <w:tcPr>
            <w:tcW w:w="2513" w:type="dxa"/>
          </w:tcPr>
          <w:p w14:paraId="530447FC" w14:textId="0611209D" w:rsidR="008F54E5" w:rsidRPr="00731673" w:rsidRDefault="008F54E5" w:rsidP="008A7B96">
            <w:pPr>
              <w:tabs>
                <w:tab w:val="left" w:pos="2835"/>
              </w:tabs>
              <w:spacing w:after="120"/>
            </w:pPr>
            <w:r>
              <w:t>Broadband data services</w:t>
            </w:r>
          </w:p>
        </w:tc>
        <w:tc>
          <w:tcPr>
            <w:tcW w:w="6395" w:type="dxa"/>
          </w:tcPr>
          <w:p w14:paraId="664A5DE5" w14:textId="546371C9" w:rsidR="008F54E5" w:rsidRPr="008A3B1E" w:rsidRDefault="008F54E5" w:rsidP="008F54E5">
            <w:pPr>
              <w:tabs>
                <w:tab w:val="left" w:pos="2835"/>
              </w:tabs>
              <w:spacing w:after="120"/>
            </w:pPr>
            <w:r w:rsidRPr="008A3B1E">
              <w:t>Mobile broadband data services that permit end users to access internet and like services from their 3G HSPA+ or 4G mobile device.</w:t>
            </w:r>
          </w:p>
        </w:tc>
      </w:tr>
      <w:tr w:rsidR="009776BC" w:rsidRPr="001B21A4" w14:paraId="03169498" w14:textId="77777777" w:rsidTr="008A7B96">
        <w:tc>
          <w:tcPr>
            <w:tcW w:w="2513" w:type="dxa"/>
          </w:tcPr>
          <w:p w14:paraId="03169496" w14:textId="77777777" w:rsidR="009776BC" w:rsidRPr="00731673" w:rsidRDefault="009776BC" w:rsidP="008A7B96">
            <w:pPr>
              <w:tabs>
                <w:tab w:val="left" w:pos="2835"/>
              </w:tabs>
              <w:spacing w:after="120"/>
            </w:pPr>
            <w:r w:rsidRPr="00731673">
              <w:t>Building MNO</w:t>
            </w:r>
          </w:p>
        </w:tc>
        <w:tc>
          <w:tcPr>
            <w:tcW w:w="6395" w:type="dxa"/>
          </w:tcPr>
          <w:p w14:paraId="03169497" w14:textId="0A40C55B" w:rsidR="009776BC" w:rsidRPr="008A3B1E" w:rsidRDefault="009776BC">
            <w:pPr>
              <w:tabs>
                <w:tab w:val="left" w:pos="2835"/>
              </w:tabs>
              <w:spacing w:after="120"/>
              <w:rPr>
                <w:rFonts w:cs="Arial"/>
                <w:lang w:eastAsia="en-AU"/>
              </w:rPr>
            </w:pPr>
            <w:r w:rsidRPr="008A3B1E">
              <w:t xml:space="preserve">Has the meaning given in </w:t>
            </w:r>
            <w:r w:rsidRPr="00846820">
              <w:t xml:space="preserve">section </w:t>
            </w:r>
            <w:r w:rsidR="00391241" w:rsidRPr="00846820">
              <w:t>3.2.21</w:t>
            </w:r>
            <w:r w:rsidRPr="00846820">
              <w:t>.</w:t>
            </w:r>
            <w:r w:rsidRPr="008A3B1E">
              <w:t xml:space="preserve"> </w:t>
            </w:r>
          </w:p>
        </w:tc>
      </w:tr>
      <w:tr w:rsidR="009776BC" w:rsidRPr="001B21A4" w14:paraId="0316949B" w14:textId="77777777" w:rsidTr="008A7B96">
        <w:tc>
          <w:tcPr>
            <w:tcW w:w="2513" w:type="dxa"/>
          </w:tcPr>
          <w:p w14:paraId="03169499" w14:textId="77777777" w:rsidR="009776BC" w:rsidRPr="00731673" w:rsidRDefault="009776BC" w:rsidP="008A7B96">
            <w:pPr>
              <w:tabs>
                <w:tab w:val="left" w:pos="2835"/>
              </w:tabs>
              <w:spacing w:after="120"/>
            </w:pPr>
            <w:r w:rsidRPr="00731673">
              <w:t>Co-locating MNO</w:t>
            </w:r>
          </w:p>
        </w:tc>
        <w:tc>
          <w:tcPr>
            <w:tcW w:w="6395" w:type="dxa"/>
          </w:tcPr>
          <w:p w14:paraId="0316949A" w14:textId="71DFE968" w:rsidR="009776BC" w:rsidRPr="008A3B1E" w:rsidRDefault="009776BC" w:rsidP="008A7B96">
            <w:pPr>
              <w:tabs>
                <w:tab w:val="left" w:pos="2835"/>
              </w:tabs>
              <w:spacing w:after="120"/>
              <w:rPr>
                <w:rFonts w:cs="Arial"/>
                <w:lang w:eastAsia="en-AU"/>
              </w:rPr>
            </w:pPr>
            <w:r w:rsidRPr="008A3B1E">
              <w:t xml:space="preserve">Has the meaning given in </w:t>
            </w:r>
            <w:r w:rsidRPr="00846820">
              <w:t xml:space="preserve">section </w:t>
            </w:r>
            <w:r w:rsidR="00391241" w:rsidRPr="00846820">
              <w:t>3.2.21</w:t>
            </w:r>
            <w:r w:rsidRPr="00846820">
              <w:t>.</w:t>
            </w:r>
          </w:p>
        </w:tc>
      </w:tr>
      <w:tr w:rsidR="009776BC" w:rsidRPr="001B21A4" w14:paraId="0316949E" w14:textId="77777777" w:rsidTr="008A7B96">
        <w:tc>
          <w:tcPr>
            <w:tcW w:w="2513" w:type="dxa"/>
          </w:tcPr>
          <w:p w14:paraId="0316949C" w14:textId="77777777" w:rsidR="009776BC" w:rsidRPr="00731673" w:rsidRDefault="009776BC" w:rsidP="008A7B96">
            <w:pPr>
              <w:tabs>
                <w:tab w:val="left" w:pos="2835"/>
              </w:tabs>
              <w:spacing w:after="120"/>
            </w:pPr>
            <w:r w:rsidRPr="00731673">
              <w:t>Confidential Information</w:t>
            </w:r>
          </w:p>
        </w:tc>
        <w:tc>
          <w:tcPr>
            <w:tcW w:w="6395" w:type="dxa"/>
          </w:tcPr>
          <w:p w14:paraId="0316949D" w14:textId="360A2136" w:rsidR="009776BC" w:rsidRPr="008A3B1E" w:rsidRDefault="009776BC" w:rsidP="008A7B96">
            <w:pPr>
              <w:tabs>
                <w:tab w:val="left" w:pos="2835"/>
              </w:tabs>
              <w:spacing w:after="120"/>
              <w:rPr>
                <w:rFonts w:cs="Arial"/>
                <w:lang w:eastAsia="en-AU"/>
              </w:rPr>
            </w:pPr>
            <w:r w:rsidRPr="008A3B1E">
              <w:t xml:space="preserve">Has the meaning given in </w:t>
            </w:r>
            <w:r w:rsidRPr="00846820">
              <w:t xml:space="preserve">section </w:t>
            </w:r>
            <w:r w:rsidR="00391241" w:rsidRPr="00846820">
              <w:t>13.5.1</w:t>
            </w:r>
            <w:r w:rsidRPr="00846820">
              <w:t>.</w:t>
            </w:r>
          </w:p>
        </w:tc>
      </w:tr>
      <w:tr w:rsidR="009776BC" w:rsidRPr="001B21A4" w14:paraId="031694A1" w14:textId="77777777" w:rsidTr="008A7B96">
        <w:tc>
          <w:tcPr>
            <w:tcW w:w="2513" w:type="dxa"/>
          </w:tcPr>
          <w:p w14:paraId="0316949F" w14:textId="77777777" w:rsidR="009776BC" w:rsidRPr="00731673" w:rsidRDefault="009776BC" w:rsidP="008A7B96">
            <w:pPr>
              <w:tabs>
                <w:tab w:val="left" w:pos="2835"/>
              </w:tabs>
              <w:spacing w:after="120"/>
            </w:pPr>
            <w:r w:rsidRPr="00731673">
              <w:t>Date of Rollout Completion</w:t>
            </w:r>
          </w:p>
        </w:tc>
        <w:tc>
          <w:tcPr>
            <w:tcW w:w="6395" w:type="dxa"/>
          </w:tcPr>
          <w:p w14:paraId="031694A0" w14:textId="3DA8D3C8" w:rsidR="009776BC" w:rsidRPr="008A3B1E" w:rsidRDefault="009776BC" w:rsidP="008A7B96">
            <w:pPr>
              <w:tabs>
                <w:tab w:val="left" w:pos="2835"/>
              </w:tabs>
              <w:spacing w:after="120"/>
              <w:rPr>
                <w:rFonts w:cs="Arial"/>
                <w:lang w:eastAsia="en-AU"/>
              </w:rPr>
            </w:pPr>
            <w:r w:rsidRPr="008A3B1E">
              <w:t xml:space="preserve">Has the meaning given in </w:t>
            </w:r>
            <w:r w:rsidRPr="00846820">
              <w:t xml:space="preserve">section </w:t>
            </w:r>
            <w:r w:rsidR="00391241" w:rsidRPr="00846820">
              <w:t>7, stage 10</w:t>
            </w:r>
            <w:r w:rsidRPr="00846820">
              <w:t>.</w:t>
            </w:r>
          </w:p>
        </w:tc>
      </w:tr>
      <w:tr w:rsidR="009776BC" w:rsidRPr="001B21A4" w14:paraId="031694A4" w14:textId="77777777" w:rsidTr="008A7B96">
        <w:tc>
          <w:tcPr>
            <w:tcW w:w="2513" w:type="dxa"/>
          </w:tcPr>
          <w:p w14:paraId="031694A2" w14:textId="77777777" w:rsidR="009776BC" w:rsidRPr="00731673" w:rsidRDefault="009776BC" w:rsidP="008A7B96">
            <w:pPr>
              <w:tabs>
                <w:tab w:val="left" w:pos="2835"/>
              </w:tabs>
              <w:spacing w:after="120"/>
            </w:pPr>
            <w:r w:rsidRPr="00731673">
              <w:t>Decision Maker</w:t>
            </w:r>
          </w:p>
        </w:tc>
        <w:tc>
          <w:tcPr>
            <w:tcW w:w="6395" w:type="dxa"/>
          </w:tcPr>
          <w:p w14:paraId="031694A3" w14:textId="3FCD714A" w:rsidR="009776BC" w:rsidRPr="00731673" w:rsidRDefault="009776BC" w:rsidP="00EF0E2F">
            <w:pPr>
              <w:tabs>
                <w:tab w:val="left" w:pos="2835"/>
              </w:tabs>
              <w:spacing w:after="120"/>
              <w:rPr>
                <w:rFonts w:cs="Arial"/>
                <w:lang w:eastAsia="en-AU"/>
              </w:rPr>
            </w:pPr>
            <w:r w:rsidRPr="008A5CDB">
              <w:t xml:space="preserve">The Minister for Regional </w:t>
            </w:r>
            <w:r w:rsidR="00EF0E2F" w:rsidRPr="008A5CDB">
              <w:t>Services.</w:t>
            </w:r>
          </w:p>
        </w:tc>
      </w:tr>
      <w:tr w:rsidR="009776BC" w:rsidRPr="001B21A4" w14:paraId="031694A7" w14:textId="77777777" w:rsidTr="008A7B96">
        <w:tc>
          <w:tcPr>
            <w:tcW w:w="2513" w:type="dxa"/>
          </w:tcPr>
          <w:p w14:paraId="031694A5" w14:textId="77777777" w:rsidR="009776BC" w:rsidRPr="00731673" w:rsidRDefault="009776BC" w:rsidP="008A7B96">
            <w:pPr>
              <w:tabs>
                <w:tab w:val="left" w:pos="2835"/>
              </w:tabs>
              <w:spacing w:after="120"/>
            </w:pPr>
            <w:r w:rsidRPr="00731673">
              <w:t>Decision Maker’s List</w:t>
            </w:r>
          </w:p>
        </w:tc>
        <w:tc>
          <w:tcPr>
            <w:tcW w:w="6395" w:type="dxa"/>
          </w:tcPr>
          <w:p w14:paraId="031694A6" w14:textId="10D17E38" w:rsidR="009776BC" w:rsidRPr="008A3B1E" w:rsidRDefault="009776BC" w:rsidP="008A7B96">
            <w:pPr>
              <w:tabs>
                <w:tab w:val="left" w:pos="2835"/>
              </w:tabs>
              <w:spacing w:after="120"/>
              <w:rPr>
                <w:rFonts w:cs="Arial"/>
                <w:lang w:eastAsia="en-AU"/>
              </w:rPr>
            </w:pPr>
            <w:r w:rsidRPr="008A3B1E">
              <w:t xml:space="preserve">Has the meaning given in </w:t>
            </w:r>
            <w:r w:rsidRPr="00846820">
              <w:t xml:space="preserve">section </w:t>
            </w:r>
            <w:r w:rsidR="00391241" w:rsidRPr="00846820">
              <w:t>8.2.2</w:t>
            </w:r>
            <w:r w:rsidRPr="00846820">
              <w:t>.</w:t>
            </w:r>
          </w:p>
        </w:tc>
      </w:tr>
      <w:tr w:rsidR="009776BC" w:rsidRPr="001B21A4" w14:paraId="031694AA" w14:textId="77777777" w:rsidTr="008A7B96">
        <w:tc>
          <w:tcPr>
            <w:tcW w:w="2513" w:type="dxa"/>
          </w:tcPr>
          <w:p w14:paraId="031694A8" w14:textId="77777777" w:rsidR="009776BC" w:rsidRPr="00731673" w:rsidRDefault="009776BC" w:rsidP="008A7B96">
            <w:pPr>
              <w:tabs>
                <w:tab w:val="left" w:pos="2835"/>
              </w:tabs>
              <w:spacing w:after="120"/>
            </w:pPr>
            <w:r w:rsidRPr="00731673">
              <w:t>Department</w:t>
            </w:r>
          </w:p>
        </w:tc>
        <w:tc>
          <w:tcPr>
            <w:tcW w:w="6395" w:type="dxa"/>
          </w:tcPr>
          <w:p w14:paraId="031694A9" w14:textId="4FE3E6A9" w:rsidR="009776BC" w:rsidRPr="008A3B1E" w:rsidRDefault="009776BC" w:rsidP="008A7B96">
            <w:pPr>
              <w:tabs>
                <w:tab w:val="left" w:pos="2835"/>
              </w:tabs>
              <w:spacing w:after="120"/>
              <w:rPr>
                <w:rFonts w:cs="Arial"/>
                <w:lang w:eastAsia="en-AU"/>
              </w:rPr>
            </w:pPr>
            <w:r w:rsidRPr="008A3B1E">
              <w:t xml:space="preserve">Has the meaning given in </w:t>
            </w:r>
            <w:r w:rsidRPr="00846820">
              <w:t>section 1.1.</w:t>
            </w:r>
            <w:r w:rsidR="00391241" w:rsidRPr="00846820">
              <w:t>3</w:t>
            </w:r>
            <w:r w:rsidRPr="00846820">
              <w:t>.</w:t>
            </w:r>
          </w:p>
        </w:tc>
      </w:tr>
      <w:tr w:rsidR="009776BC" w:rsidRPr="001B21A4" w14:paraId="031694AD" w14:textId="77777777" w:rsidTr="008A7B96">
        <w:tc>
          <w:tcPr>
            <w:tcW w:w="2513" w:type="dxa"/>
          </w:tcPr>
          <w:p w14:paraId="031694AB" w14:textId="77777777" w:rsidR="009776BC" w:rsidRPr="00731673" w:rsidRDefault="009776BC" w:rsidP="008A7B96">
            <w:pPr>
              <w:tabs>
                <w:tab w:val="left" w:pos="2835"/>
              </w:tabs>
              <w:spacing w:after="120"/>
            </w:pPr>
            <w:r w:rsidRPr="00731673">
              <w:t>External Antenna Coverage</w:t>
            </w:r>
          </w:p>
        </w:tc>
        <w:tc>
          <w:tcPr>
            <w:tcW w:w="6395" w:type="dxa"/>
          </w:tcPr>
          <w:p w14:paraId="031694AC" w14:textId="7514C3B3" w:rsidR="009776BC" w:rsidRPr="00731673" w:rsidRDefault="00CD523B" w:rsidP="00CD523B">
            <w:pPr>
              <w:tabs>
                <w:tab w:val="left" w:pos="2835"/>
              </w:tabs>
              <w:spacing w:after="120"/>
              <w:rPr>
                <w:rFonts w:cs="Arial"/>
                <w:lang w:eastAsia="en-AU"/>
              </w:rPr>
            </w:pPr>
            <w:r>
              <w:t>C</w:t>
            </w:r>
            <w:r w:rsidR="009776BC" w:rsidRPr="00731673">
              <w:t xml:space="preserve">overage which can be obtained using an external antenna attached to a handheld mobile device, as determined in accordance with the </w:t>
            </w:r>
            <w:proofErr w:type="spellStart"/>
            <w:r w:rsidR="009776BC" w:rsidRPr="00731673">
              <w:t>publically</w:t>
            </w:r>
            <w:proofErr w:type="spellEnd"/>
            <w:r w:rsidR="009776BC" w:rsidRPr="00731673">
              <w:t xml:space="preserve"> available mobile coverage maps </w:t>
            </w:r>
            <w:r w:rsidR="009776BC" w:rsidRPr="00731673">
              <w:lastRenderedPageBreak/>
              <w:t>from all MNOs, and the external antenna coverage which will be delivered under rounds 1 and 2 and the Priority Locations round of the Program.</w:t>
            </w:r>
          </w:p>
        </w:tc>
      </w:tr>
      <w:tr w:rsidR="009776BC" w:rsidRPr="001B21A4" w14:paraId="031694B0" w14:textId="77777777" w:rsidTr="008A7B96">
        <w:tc>
          <w:tcPr>
            <w:tcW w:w="2513" w:type="dxa"/>
          </w:tcPr>
          <w:p w14:paraId="031694AE" w14:textId="77777777" w:rsidR="009776BC" w:rsidRPr="00731673" w:rsidRDefault="009776BC" w:rsidP="008A7B96">
            <w:pPr>
              <w:tabs>
                <w:tab w:val="left" w:pos="2835"/>
              </w:tabs>
              <w:spacing w:after="120"/>
            </w:pPr>
            <w:r w:rsidRPr="00731673">
              <w:lastRenderedPageBreak/>
              <w:t>Funded Solution</w:t>
            </w:r>
          </w:p>
        </w:tc>
        <w:tc>
          <w:tcPr>
            <w:tcW w:w="6395" w:type="dxa"/>
          </w:tcPr>
          <w:p w14:paraId="031694AF" w14:textId="77777777" w:rsidR="009776BC" w:rsidRPr="00731673" w:rsidRDefault="009776BC" w:rsidP="008A7B96">
            <w:pPr>
              <w:tabs>
                <w:tab w:val="left" w:pos="2835"/>
              </w:tabs>
              <w:spacing w:after="120"/>
              <w:rPr>
                <w:rFonts w:cs="Arial"/>
                <w:lang w:eastAsia="en-AU"/>
              </w:rPr>
            </w:pPr>
            <w:r w:rsidRPr="00731673">
              <w:t>Mobile network infrastructure selected for funding under Round 4 of the Program.</w:t>
            </w:r>
          </w:p>
        </w:tc>
      </w:tr>
      <w:tr w:rsidR="009776BC" w:rsidRPr="001B21A4" w14:paraId="031694B3" w14:textId="77777777" w:rsidTr="008A7B96">
        <w:tc>
          <w:tcPr>
            <w:tcW w:w="2513" w:type="dxa"/>
          </w:tcPr>
          <w:p w14:paraId="031694B1" w14:textId="77777777" w:rsidR="009776BC" w:rsidRPr="00731673" w:rsidRDefault="009776BC" w:rsidP="008A7B96">
            <w:pPr>
              <w:tabs>
                <w:tab w:val="left" w:pos="2835"/>
              </w:tabs>
              <w:spacing w:after="120"/>
            </w:pPr>
            <w:r w:rsidRPr="00731673">
              <w:t>Grant Agreement</w:t>
            </w:r>
          </w:p>
        </w:tc>
        <w:tc>
          <w:tcPr>
            <w:tcW w:w="6395" w:type="dxa"/>
          </w:tcPr>
          <w:p w14:paraId="031694B2" w14:textId="77777777" w:rsidR="009776BC" w:rsidRPr="00731673" w:rsidRDefault="009776BC" w:rsidP="008A7B96">
            <w:pPr>
              <w:tabs>
                <w:tab w:val="left" w:pos="2835"/>
              </w:tabs>
              <w:spacing w:after="120"/>
              <w:rPr>
                <w:rFonts w:cs="Arial"/>
                <w:lang w:eastAsia="en-AU"/>
              </w:rPr>
            </w:pPr>
            <w:r w:rsidRPr="00731673">
              <w:t>A document with contractual effect specifying the responsibilities of Grantees and the Commonwealth under the Program.</w:t>
            </w:r>
          </w:p>
        </w:tc>
      </w:tr>
      <w:tr w:rsidR="009776BC" w:rsidRPr="001B21A4" w14:paraId="031694B6" w14:textId="77777777" w:rsidTr="008A7B96">
        <w:tc>
          <w:tcPr>
            <w:tcW w:w="2513" w:type="dxa"/>
          </w:tcPr>
          <w:p w14:paraId="031694B4" w14:textId="77777777" w:rsidR="009776BC" w:rsidRPr="00731673" w:rsidRDefault="009776BC" w:rsidP="008A7B96">
            <w:pPr>
              <w:tabs>
                <w:tab w:val="left" w:pos="2835"/>
              </w:tabs>
              <w:spacing w:after="120"/>
            </w:pPr>
            <w:r w:rsidRPr="00731673">
              <w:t>GrantConnect</w:t>
            </w:r>
          </w:p>
        </w:tc>
        <w:tc>
          <w:tcPr>
            <w:tcW w:w="6395" w:type="dxa"/>
          </w:tcPr>
          <w:p w14:paraId="031694B5" w14:textId="77777777" w:rsidR="009776BC" w:rsidRPr="00731673" w:rsidRDefault="009776BC" w:rsidP="008A7B96">
            <w:pPr>
              <w:tabs>
                <w:tab w:val="left" w:pos="2835"/>
              </w:tabs>
              <w:spacing w:after="120"/>
              <w:rPr>
                <w:rFonts w:cs="Arial"/>
                <w:lang w:eastAsia="en-AU"/>
              </w:rPr>
            </w:pPr>
            <w:r w:rsidRPr="00731673">
              <w:t xml:space="preserve">GrantConnect is the </w:t>
            </w:r>
            <w:r w:rsidRPr="009D2F66">
              <w:t>Australian Government’s</w:t>
            </w:r>
            <w:r w:rsidRPr="00731673">
              <w:t xml:space="preserve"> whole-of-government grants information system, which centralises the publication and reporting of Commonwealth grants in accordance with the </w:t>
            </w:r>
            <w:r w:rsidRPr="00731673">
              <w:rPr>
                <w:i/>
              </w:rPr>
              <w:t>Commonwealth Grants Rules and Guidelines 2017.</w:t>
            </w:r>
          </w:p>
        </w:tc>
      </w:tr>
      <w:tr w:rsidR="009776BC" w:rsidRPr="001B21A4" w14:paraId="031694B9" w14:textId="77777777" w:rsidTr="008A7B96">
        <w:tc>
          <w:tcPr>
            <w:tcW w:w="2513" w:type="dxa"/>
          </w:tcPr>
          <w:p w14:paraId="031694B7" w14:textId="77777777" w:rsidR="009776BC" w:rsidRPr="00731673" w:rsidRDefault="009776BC" w:rsidP="008A7B96">
            <w:pPr>
              <w:tabs>
                <w:tab w:val="left" w:pos="2835"/>
              </w:tabs>
              <w:spacing w:after="120"/>
            </w:pPr>
            <w:r w:rsidRPr="00731673">
              <w:t>Grantee</w:t>
            </w:r>
          </w:p>
        </w:tc>
        <w:tc>
          <w:tcPr>
            <w:tcW w:w="6395" w:type="dxa"/>
          </w:tcPr>
          <w:p w14:paraId="031694B8" w14:textId="77777777" w:rsidR="009776BC" w:rsidRPr="00731673" w:rsidRDefault="009776BC" w:rsidP="008A7B96">
            <w:pPr>
              <w:tabs>
                <w:tab w:val="left" w:pos="2835"/>
              </w:tabs>
              <w:spacing w:after="120"/>
              <w:rPr>
                <w:rFonts w:cs="Arial"/>
                <w:lang w:eastAsia="en-AU"/>
              </w:rPr>
            </w:pPr>
            <w:r w:rsidRPr="00731673">
              <w:t>An applicant who has been successful in obtaining funding under the Program.</w:t>
            </w:r>
          </w:p>
        </w:tc>
      </w:tr>
      <w:tr w:rsidR="009776BC" w:rsidRPr="001B21A4" w14:paraId="031694BC" w14:textId="77777777" w:rsidTr="008A7B96">
        <w:tc>
          <w:tcPr>
            <w:tcW w:w="2513" w:type="dxa"/>
          </w:tcPr>
          <w:p w14:paraId="031694BA" w14:textId="77777777" w:rsidR="009776BC" w:rsidRPr="00731673" w:rsidRDefault="009776BC" w:rsidP="008A7B96">
            <w:pPr>
              <w:tabs>
                <w:tab w:val="left" w:pos="2835"/>
              </w:tabs>
              <w:spacing w:after="120"/>
            </w:pPr>
            <w:r w:rsidRPr="00731673">
              <w:t>Handheld Coverage</w:t>
            </w:r>
          </w:p>
        </w:tc>
        <w:tc>
          <w:tcPr>
            <w:tcW w:w="6395" w:type="dxa"/>
          </w:tcPr>
          <w:p w14:paraId="031694BB" w14:textId="38A48FDB" w:rsidR="009776BC" w:rsidRPr="00731673" w:rsidRDefault="00CD523B" w:rsidP="00C51380">
            <w:pPr>
              <w:tabs>
                <w:tab w:val="left" w:pos="2835"/>
              </w:tabs>
              <w:spacing w:after="120"/>
              <w:rPr>
                <w:rFonts w:cs="Arial"/>
                <w:lang w:eastAsia="en-AU"/>
              </w:rPr>
            </w:pPr>
            <w:r>
              <w:t>C</w:t>
            </w:r>
            <w:r w:rsidR="009776BC" w:rsidRPr="00731673">
              <w:t xml:space="preserve">overage which can be obtained with a handheld mobile device as determined in accordance with the </w:t>
            </w:r>
            <w:proofErr w:type="spellStart"/>
            <w:r w:rsidR="009776BC" w:rsidRPr="00731673">
              <w:t>publically</w:t>
            </w:r>
            <w:proofErr w:type="spellEnd"/>
            <w:r w:rsidR="009776BC" w:rsidRPr="00731673">
              <w:t xml:space="preserve"> available mobile coverage maps from all MNOs, and the handheld coverage which will be delivered under rounds 1 and 2 and the Priority Locations round of the Program.</w:t>
            </w:r>
          </w:p>
        </w:tc>
      </w:tr>
      <w:tr w:rsidR="009776BC" w:rsidRPr="001B21A4" w14:paraId="031694C2" w14:textId="77777777" w:rsidTr="008A7B96">
        <w:tc>
          <w:tcPr>
            <w:tcW w:w="2513" w:type="dxa"/>
          </w:tcPr>
          <w:p w14:paraId="031694BD" w14:textId="77777777" w:rsidR="009776BC" w:rsidRPr="00731673" w:rsidRDefault="009776BC" w:rsidP="008A7B96">
            <w:pPr>
              <w:tabs>
                <w:tab w:val="left" w:pos="2835"/>
              </w:tabs>
              <w:spacing w:after="120"/>
            </w:pPr>
            <w:r w:rsidRPr="00731673">
              <w:t>Intellectual Property</w:t>
            </w:r>
          </w:p>
        </w:tc>
        <w:tc>
          <w:tcPr>
            <w:tcW w:w="6395" w:type="dxa"/>
          </w:tcPr>
          <w:p w14:paraId="031694BE" w14:textId="77777777" w:rsidR="009776BC" w:rsidRPr="00731673" w:rsidRDefault="009776BC" w:rsidP="008A7B96">
            <w:pPr>
              <w:pStyle w:val="Tabletext1"/>
              <w:rPr>
                <w:rFonts w:asciiTheme="minorHAnsi" w:hAnsiTheme="minorHAnsi" w:cstheme="minorHAnsi"/>
                <w:sz w:val="22"/>
              </w:rPr>
            </w:pPr>
            <w:r w:rsidRPr="00731673">
              <w:rPr>
                <w:rFonts w:asciiTheme="minorHAnsi" w:hAnsiTheme="minorHAnsi" w:cstheme="minorHAnsi"/>
                <w:sz w:val="22"/>
              </w:rPr>
              <w:t>Includes:</w:t>
            </w:r>
          </w:p>
          <w:p w14:paraId="031694BF" w14:textId="77777777" w:rsidR="009776BC" w:rsidRPr="00731673" w:rsidRDefault="009776BC" w:rsidP="008A7B96">
            <w:pPr>
              <w:pStyle w:val="Tabletext1"/>
              <w:rPr>
                <w:rFonts w:asciiTheme="minorHAnsi" w:hAnsiTheme="minorHAnsi" w:cstheme="minorHAnsi"/>
                <w:sz w:val="22"/>
              </w:rPr>
            </w:pPr>
            <w:r w:rsidRPr="00731673">
              <w:rPr>
                <w:rFonts w:asciiTheme="minorHAnsi" w:hAnsiTheme="minorHAnsi" w:cstheme="minorHAnsi"/>
                <w:sz w:val="22"/>
              </w:rPr>
              <w:t>(a) all copyright (including rights in relation to phonograms and broadcasts);</w:t>
            </w:r>
          </w:p>
          <w:p w14:paraId="031694C0" w14:textId="77777777" w:rsidR="009776BC" w:rsidRPr="00731673" w:rsidRDefault="009776BC" w:rsidP="008A7B96">
            <w:pPr>
              <w:pStyle w:val="Tabletext1"/>
              <w:rPr>
                <w:rFonts w:asciiTheme="minorHAnsi" w:hAnsiTheme="minorHAnsi" w:cstheme="minorHAnsi"/>
                <w:sz w:val="22"/>
              </w:rPr>
            </w:pPr>
            <w:r w:rsidRPr="00731673">
              <w:rPr>
                <w:rFonts w:asciiTheme="minorHAnsi" w:hAnsiTheme="minorHAnsi" w:cstheme="minorHAnsi"/>
                <w:sz w:val="22"/>
              </w:rPr>
              <w:t>(b) all rights in relation to inventions, plant varieties, trademarks (including service marks), designs, circuit layouts; and</w:t>
            </w:r>
          </w:p>
          <w:p w14:paraId="031694C1" w14:textId="77777777" w:rsidR="009776BC" w:rsidRPr="00731673" w:rsidRDefault="009776BC" w:rsidP="009D2F66">
            <w:pPr>
              <w:pStyle w:val="Tabletext1"/>
              <w:rPr>
                <w:rFonts w:cs="Arial"/>
              </w:rPr>
            </w:pPr>
            <w:r w:rsidRPr="009D2F66">
              <w:rPr>
                <w:rFonts w:asciiTheme="minorHAnsi" w:hAnsiTheme="minorHAnsi" w:cstheme="minorHAnsi"/>
                <w:sz w:val="22"/>
              </w:rPr>
              <w:t>(c) all other rights resulting from intellectual activity in th</w:t>
            </w:r>
            <w:r w:rsidRPr="00731673">
              <w:rPr>
                <w:rFonts w:cstheme="minorHAnsi"/>
              </w:rPr>
              <w:t>e industrial, scientific, literary or artistic fields.</w:t>
            </w:r>
          </w:p>
        </w:tc>
      </w:tr>
      <w:tr w:rsidR="009776BC" w:rsidRPr="001B21A4" w14:paraId="031694C5" w14:textId="77777777" w:rsidTr="008A7B96">
        <w:tc>
          <w:tcPr>
            <w:tcW w:w="2513" w:type="dxa"/>
          </w:tcPr>
          <w:p w14:paraId="031694C3" w14:textId="77777777" w:rsidR="009776BC" w:rsidRPr="00731673" w:rsidRDefault="009776BC" w:rsidP="008A7B96">
            <w:pPr>
              <w:tabs>
                <w:tab w:val="left" w:pos="2835"/>
              </w:tabs>
              <w:spacing w:after="120"/>
            </w:pPr>
            <w:r w:rsidRPr="00731673">
              <w:t>Ineligible Areas</w:t>
            </w:r>
          </w:p>
        </w:tc>
        <w:tc>
          <w:tcPr>
            <w:tcW w:w="6395" w:type="dxa"/>
          </w:tcPr>
          <w:p w14:paraId="031694C4" w14:textId="77777777" w:rsidR="009776BC" w:rsidRPr="00731673" w:rsidRDefault="009776BC" w:rsidP="008A7B96">
            <w:pPr>
              <w:tabs>
                <w:tab w:val="left" w:pos="2835"/>
              </w:tabs>
              <w:spacing w:after="120"/>
              <w:rPr>
                <w:rFonts w:cs="Arial"/>
                <w:lang w:eastAsia="en-AU"/>
              </w:rPr>
            </w:pPr>
            <w:r w:rsidRPr="00731673">
              <w:t>The Urban Centres and Localities geographical units classified by the Australian Bureau of Statistics as ‘Major Urban’, i.e. with a population of 100,000 or more. The Department will provide map overlays showing Ineligible Areas to eligible applicants (upon request).</w:t>
            </w:r>
          </w:p>
        </w:tc>
      </w:tr>
      <w:tr w:rsidR="009776BC" w:rsidRPr="001B21A4" w14:paraId="031694C8" w14:textId="77777777" w:rsidTr="008A7B96">
        <w:tc>
          <w:tcPr>
            <w:tcW w:w="2513" w:type="dxa"/>
          </w:tcPr>
          <w:p w14:paraId="031694C6" w14:textId="77777777" w:rsidR="009776BC" w:rsidRPr="00731673" w:rsidRDefault="009776BC" w:rsidP="008A7B96">
            <w:pPr>
              <w:tabs>
                <w:tab w:val="left" w:pos="2835"/>
              </w:tabs>
              <w:spacing w:after="120"/>
            </w:pPr>
            <w:proofErr w:type="spellStart"/>
            <w:r w:rsidRPr="00731673">
              <w:t>Macrocell</w:t>
            </w:r>
            <w:proofErr w:type="spellEnd"/>
          </w:p>
        </w:tc>
        <w:tc>
          <w:tcPr>
            <w:tcW w:w="6395" w:type="dxa"/>
          </w:tcPr>
          <w:p w14:paraId="031694C7" w14:textId="77777777" w:rsidR="009776BC" w:rsidRPr="00731673" w:rsidRDefault="009776BC" w:rsidP="008A7B96">
            <w:pPr>
              <w:tabs>
                <w:tab w:val="left" w:pos="2835"/>
              </w:tabs>
              <w:spacing w:after="120"/>
            </w:pPr>
            <w:r w:rsidRPr="00731673">
              <w:t>The widest range of cell sizes used in a mobile phone network served by a mobile base station, often used in rural areas and along highways. Generally providing larger coverage than microcells, with a typical power output of tens of watts.</w:t>
            </w:r>
          </w:p>
        </w:tc>
      </w:tr>
      <w:tr w:rsidR="009776BC" w:rsidRPr="001B21A4" w14:paraId="031694CB" w14:textId="77777777" w:rsidTr="008A7B96">
        <w:tc>
          <w:tcPr>
            <w:tcW w:w="2513" w:type="dxa"/>
          </w:tcPr>
          <w:p w14:paraId="031694C9" w14:textId="77777777" w:rsidR="009776BC" w:rsidRPr="00731673" w:rsidRDefault="009776BC" w:rsidP="008A7B96">
            <w:pPr>
              <w:tabs>
                <w:tab w:val="left" w:pos="2835"/>
              </w:tabs>
              <w:spacing w:after="120"/>
            </w:pPr>
            <w:r w:rsidRPr="00731673">
              <w:lastRenderedPageBreak/>
              <w:t>Merit List</w:t>
            </w:r>
          </w:p>
        </w:tc>
        <w:tc>
          <w:tcPr>
            <w:tcW w:w="6395" w:type="dxa"/>
          </w:tcPr>
          <w:p w14:paraId="031694CA" w14:textId="77777777" w:rsidR="009776BC" w:rsidRPr="00731673" w:rsidRDefault="009776BC" w:rsidP="008A7B96">
            <w:pPr>
              <w:tabs>
                <w:tab w:val="left" w:pos="2835"/>
              </w:tabs>
              <w:spacing w:after="120"/>
            </w:pPr>
            <w:r w:rsidRPr="00731673">
              <w:t>The list of Proposed Solutions that the Department will recommend to the Decision Maker when the assessment process is completed.</w:t>
            </w:r>
          </w:p>
        </w:tc>
      </w:tr>
      <w:tr w:rsidR="009776BC" w:rsidRPr="001B21A4" w14:paraId="031694CE" w14:textId="77777777" w:rsidTr="008A7B96">
        <w:tc>
          <w:tcPr>
            <w:tcW w:w="2513" w:type="dxa"/>
          </w:tcPr>
          <w:p w14:paraId="031694CC" w14:textId="77777777" w:rsidR="009776BC" w:rsidRPr="00731673" w:rsidRDefault="009776BC" w:rsidP="008A7B96">
            <w:pPr>
              <w:tabs>
                <w:tab w:val="left" w:pos="2835"/>
              </w:tabs>
              <w:spacing w:after="120"/>
            </w:pPr>
            <w:r w:rsidRPr="00731673">
              <w:t>Mobile Coverage Draft Merit List</w:t>
            </w:r>
          </w:p>
        </w:tc>
        <w:tc>
          <w:tcPr>
            <w:tcW w:w="6395" w:type="dxa"/>
          </w:tcPr>
          <w:p w14:paraId="031694CD" w14:textId="1C2F98B5" w:rsidR="009776BC" w:rsidRPr="008A3B1E" w:rsidRDefault="009776BC">
            <w:pPr>
              <w:tabs>
                <w:tab w:val="left" w:pos="2835"/>
              </w:tabs>
              <w:spacing w:after="120"/>
            </w:pPr>
            <w:r w:rsidRPr="008A3B1E">
              <w:t xml:space="preserve">Has the meaning given in </w:t>
            </w:r>
            <w:r w:rsidRPr="00846820">
              <w:t xml:space="preserve">section </w:t>
            </w:r>
            <w:r w:rsidR="00391241" w:rsidRPr="00846820">
              <w:t>5.5</w:t>
            </w:r>
            <w:r w:rsidRPr="00846820">
              <w:t>.</w:t>
            </w:r>
          </w:p>
        </w:tc>
      </w:tr>
      <w:tr w:rsidR="009776BC" w:rsidRPr="001B21A4" w14:paraId="031694D1" w14:textId="77777777" w:rsidTr="008A7B96">
        <w:tc>
          <w:tcPr>
            <w:tcW w:w="2513" w:type="dxa"/>
          </w:tcPr>
          <w:p w14:paraId="031694CF" w14:textId="77777777" w:rsidR="009776BC" w:rsidRPr="00731673" w:rsidRDefault="009776BC" w:rsidP="008A7B96">
            <w:pPr>
              <w:tabs>
                <w:tab w:val="left" w:pos="2835"/>
              </w:tabs>
              <w:spacing w:after="120"/>
            </w:pPr>
            <w:r w:rsidRPr="00731673">
              <w:t>Mobile Network Infrastructure Provider or MNIP</w:t>
            </w:r>
          </w:p>
        </w:tc>
        <w:tc>
          <w:tcPr>
            <w:tcW w:w="6395" w:type="dxa"/>
          </w:tcPr>
          <w:p w14:paraId="031694D0" w14:textId="69020A8E" w:rsidR="009776BC" w:rsidRPr="008A3B1E" w:rsidRDefault="009776BC" w:rsidP="008A7B96">
            <w:pPr>
              <w:tabs>
                <w:tab w:val="left" w:pos="2835"/>
              </w:tabs>
              <w:spacing w:after="120"/>
            </w:pPr>
            <w:r w:rsidRPr="008A3B1E">
              <w:t xml:space="preserve">Has the meaning given in </w:t>
            </w:r>
            <w:r w:rsidRPr="00846820">
              <w:t>section</w:t>
            </w:r>
            <w:r w:rsidR="00391241" w:rsidRPr="00846820">
              <w:t xml:space="preserve"> 3.1.3</w:t>
            </w:r>
            <w:r w:rsidRPr="00846820">
              <w:t>.</w:t>
            </w:r>
          </w:p>
        </w:tc>
      </w:tr>
      <w:tr w:rsidR="009776BC" w:rsidRPr="001B21A4" w14:paraId="031694D4" w14:textId="77777777" w:rsidTr="008A7B96">
        <w:tc>
          <w:tcPr>
            <w:tcW w:w="2513" w:type="dxa"/>
          </w:tcPr>
          <w:p w14:paraId="031694D2" w14:textId="77777777" w:rsidR="009776BC" w:rsidRPr="00731673" w:rsidRDefault="009776BC" w:rsidP="008A7B96">
            <w:pPr>
              <w:tabs>
                <w:tab w:val="left" w:pos="2835"/>
              </w:tabs>
              <w:spacing w:after="120"/>
            </w:pPr>
            <w:r w:rsidRPr="00731673">
              <w:t>Mobile Network Operator or MNO</w:t>
            </w:r>
          </w:p>
        </w:tc>
        <w:tc>
          <w:tcPr>
            <w:tcW w:w="6395" w:type="dxa"/>
          </w:tcPr>
          <w:p w14:paraId="031694D3" w14:textId="0E5BC946" w:rsidR="009776BC" w:rsidRPr="008A3B1E" w:rsidRDefault="009776BC" w:rsidP="008A7B96">
            <w:pPr>
              <w:tabs>
                <w:tab w:val="left" w:pos="2835"/>
              </w:tabs>
              <w:spacing w:after="120"/>
            </w:pPr>
            <w:r w:rsidRPr="008A3B1E">
              <w:t xml:space="preserve">Has the meaning given in </w:t>
            </w:r>
            <w:r w:rsidRPr="00846820">
              <w:t xml:space="preserve">section </w:t>
            </w:r>
            <w:r w:rsidR="00391241" w:rsidRPr="00846820">
              <w:t>3.1.2</w:t>
            </w:r>
            <w:r w:rsidRPr="00846820">
              <w:t>.</w:t>
            </w:r>
          </w:p>
        </w:tc>
      </w:tr>
      <w:tr w:rsidR="009776BC" w:rsidRPr="001B21A4" w14:paraId="031694D7" w14:textId="77777777" w:rsidTr="008A7B96">
        <w:tc>
          <w:tcPr>
            <w:tcW w:w="2513" w:type="dxa"/>
          </w:tcPr>
          <w:p w14:paraId="031694D5" w14:textId="77777777" w:rsidR="009776BC" w:rsidRPr="00731673" w:rsidRDefault="009776BC" w:rsidP="008A7B96">
            <w:pPr>
              <w:tabs>
                <w:tab w:val="left" w:pos="2835"/>
              </w:tabs>
              <w:spacing w:after="120"/>
            </w:pPr>
            <w:r w:rsidRPr="00731673">
              <w:t>National Broadband Network or NBN</w:t>
            </w:r>
          </w:p>
        </w:tc>
        <w:tc>
          <w:tcPr>
            <w:tcW w:w="6395" w:type="dxa"/>
          </w:tcPr>
          <w:p w14:paraId="031694D6" w14:textId="77777777" w:rsidR="009776BC" w:rsidRPr="008A3B1E" w:rsidRDefault="009776BC" w:rsidP="008A7B96">
            <w:pPr>
              <w:tabs>
                <w:tab w:val="left" w:pos="2835"/>
              </w:tabs>
              <w:spacing w:after="120"/>
            </w:pPr>
            <w:r w:rsidRPr="008A3B1E">
              <w:t xml:space="preserve">The national wholesale-only, open access telecommunications network that is being built by, or in conjunction with, NBN Co (including any existing network incorporated into the NBN). </w:t>
            </w:r>
          </w:p>
        </w:tc>
      </w:tr>
      <w:tr w:rsidR="009776BC" w:rsidRPr="001B21A4" w14:paraId="031694DA" w14:textId="77777777" w:rsidTr="008A7B96">
        <w:tc>
          <w:tcPr>
            <w:tcW w:w="2513" w:type="dxa"/>
          </w:tcPr>
          <w:p w14:paraId="031694D8" w14:textId="77777777" w:rsidR="009776BC" w:rsidRPr="00731673" w:rsidRDefault="009776BC" w:rsidP="008A7B96">
            <w:pPr>
              <w:tabs>
                <w:tab w:val="left" w:pos="2835"/>
              </w:tabs>
              <w:spacing w:after="120"/>
            </w:pPr>
            <w:r w:rsidRPr="00731673">
              <w:t>NBN Co</w:t>
            </w:r>
          </w:p>
        </w:tc>
        <w:tc>
          <w:tcPr>
            <w:tcW w:w="6395" w:type="dxa"/>
          </w:tcPr>
          <w:p w14:paraId="031694D9" w14:textId="77777777" w:rsidR="009776BC" w:rsidRPr="008A3B1E" w:rsidRDefault="009776BC" w:rsidP="008A7B96">
            <w:pPr>
              <w:tabs>
                <w:tab w:val="left" w:pos="2835"/>
              </w:tabs>
              <w:spacing w:after="120"/>
            </w:pPr>
            <w:r w:rsidRPr="008A3B1E">
              <w:t xml:space="preserve">NBN Co Limited ACN 136 533 </w:t>
            </w:r>
            <w:proofErr w:type="gramStart"/>
            <w:r w:rsidRPr="008A3B1E">
              <w:t>741  ABN</w:t>
            </w:r>
            <w:proofErr w:type="gramEnd"/>
            <w:r w:rsidRPr="008A3B1E">
              <w:t xml:space="preserve"> 86 136 533 741.</w:t>
            </w:r>
          </w:p>
        </w:tc>
      </w:tr>
      <w:tr w:rsidR="009776BC" w:rsidRPr="001B21A4" w14:paraId="031694DD" w14:textId="77777777" w:rsidTr="008A7B96">
        <w:tc>
          <w:tcPr>
            <w:tcW w:w="2513" w:type="dxa"/>
          </w:tcPr>
          <w:p w14:paraId="031694DB" w14:textId="77777777" w:rsidR="009776BC" w:rsidRPr="00731673" w:rsidRDefault="009776BC" w:rsidP="008A7B96">
            <w:pPr>
              <w:tabs>
                <w:tab w:val="left" w:pos="2835"/>
              </w:tabs>
              <w:spacing w:after="120"/>
            </w:pPr>
            <w:r w:rsidRPr="00731673">
              <w:t>Program</w:t>
            </w:r>
          </w:p>
        </w:tc>
        <w:tc>
          <w:tcPr>
            <w:tcW w:w="6395" w:type="dxa"/>
          </w:tcPr>
          <w:p w14:paraId="031694DC" w14:textId="77777777" w:rsidR="009776BC" w:rsidRPr="008A3B1E" w:rsidRDefault="009776BC" w:rsidP="008A7B96">
            <w:pPr>
              <w:tabs>
                <w:tab w:val="left" w:pos="2835"/>
              </w:tabs>
              <w:spacing w:after="120"/>
            </w:pPr>
            <w:r w:rsidRPr="008A3B1E">
              <w:t xml:space="preserve">Has the meaning given in section </w:t>
            </w:r>
            <w:r w:rsidRPr="00846820">
              <w:t>1.1.1.</w:t>
            </w:r>
          </w:p>
        </w:tc>
      </w:tr>
      <w:tr w:rsidR="009776BC" w:rsidRPr="001B21A4" w14:paraId="031694E0" w14:textId="77777777" w:rsidTr="008A7B96">
        <w:tc>
          <w:tcPr>
            <w:tcW w:w="2513" w:type="dxa"/>
          </w:tcPr>
          <w:p w14:paraId="031694DE" w14:textId="77777777" w:rsidR="009776BC" w:rsidRPr="00731673" w:rsidRDefault="009776BC" w:rsidP="008A7B96">
            <w:pPr>
              <w:tabs>
                <w:tab w:val="left" w:pos="2835"/>
              </w:tabs>
              <w:spacing w:after="120"/>
            </w:pPr>
            <w:r w:rsidRPr="00731673">
              <w:t>Proposed Solution</w:t>
            </w:r>
          </w:p>
        </w:tc>
        <w:tc>
          <w:tcPr>
            <w:tcW w:w="6395" w:type="dxa"/>
          </w:tcPr>
          <w:p w14:paraId="031694DF" w14:textId="77777777" w:rsidR="009776BC" w:rsidRPr="008A3B1E" w:rsidRDefault="009776BC" w:rsidP="008A7B96">
            <w:pPr>
              <w:tabs>
                <w:tab w:val="left" w:pos="2835"/>
              </w:tabs>
              <w:spacing w:after="120"/>
            </w:pPr>
            <w:r w:rsidRPr="008A3B1E">
              <w:t>Infrastructure for which an applicant has sought funding under Round 4 of the Program.</w:t>
            </w:r>
          </w:p>
        </w:tc>
      </w:tr>
      <w:tr w:rsidR="009776BC" w:rsidRPr="001B21A4" w14:paraId="031694E3" w14:textId="77777777" w:rsidTr="008A7B96">
        <w:tc>
          <w:tcPr>
            <w:tcW w:w="2513" w:type="dxa"/>
          </w:tcPr>
          <w:p w14:paraId="031694E1" w14:textId="77777777" w:rsidR="009776BC" w:rsidRPr="00731673" w:rsidRDefault="009776BC" w:rsidP="008A7B96">
            <w:pPr>
              <w:tabs>
                <w:tab w:val="left" w:pos="2835"/>
              </w:tabs>
              <w:spacing w:after="120"/>
            </w:pPr>
            <w:r w:rsidRPr="00731673">
              <w:t>Public Interest Premises</w:t>
            </w:r>
          </w:p>
        </w:tc>
        <w:tc>
          <w:tcPr>
            <w:tcW w:w="6395" w:type="dxa"/>
          </w:tcPr>
          <w:p w14:paraId="031694E2" w14:textId="63EFB9ED" w:rsidR="009776BC" w:rsidRPr="008A3B1E" w:rsidRDefault="009776BC">
            <w:pPr>
              <w:tabs>
                <w:tab w:val="left" w:pos="2835"/>
              </w:tabs>
              <w:spacing w:after="120"/>
            </w:pPr>
            <w:r w:rsidRPr="008A3B1E">
              <w:t xml:space="preserve">Has the meaning given in </w:t>
            </w:r>
            <w:r w:rsidRPr="00846820">
              <w:t xml:space="preserve">section </w:t>
            </w:r>
            <w:r w:rsidR="00391241" w:rsidRPr="00846820">
              <w:t>4.1.4</w:t>
            </w:r>
            <w:r w:rsidRPr="00846820">
              <w:t>.</w:t>
            </w:r>
          </w:p>
        </w:tc>
      </w:tr>
      <w:tr w:rsidR="009776BC" w:rsidRPr="001B21A4" w14:paraId="031694E6" w14:textId="77777777" w:rsidTr="008A7B96">
        <w:tc>
          <w:tcPr>
            <w:tcW w:w="2513" w:type="dxa"/>
          </w:tcPr>
          <w:p w14:paraId="031694E4" w14:textId="77777777" w:rsidR="009776BC" w:rsidRPr="00731673" w:rsidRDefault="009776BC" w:rsidP="008A7B96">
            <w:pPr>
              <w:tabs>
                <w:tab w:val="left" w:pos="2835"/>
              </w:tabs>
              <w:spacing w:after="120"/>
            </w:pPr>
            <w:r w:rsidRPr="00731673">
              <w:t>Public Interest Premises Draft Merit List</w:t>
            </w:r>
          </w:p>
        </w:tc>
        <w:tc>
          <w:tcPr>
            <w:tcW w:w="6395" w:type="dxa"/>
          </w:tcPr>
          <w:p w14:paraId="031694E5" w14:textId="7EBCA49E" w:rsidR="009776BC" w:rsidRPr="008A3B1E" w:rsidRDefault="009776BC">
            <w:pPr>
              <w:tabs>
                <w:tab w:val="left" w:pos="2835"/>
              </w:tabs>
              <w:spacing w:after="120"/>
            </w:pPr>
            <w:r w:rsidRPr="008A3B1E">
              <w:t xml:space="preserve">Has the meaning given in </w:t>
            </w:r>
            <w:r w:rsidRPr="00846820">
              <w:t xml:space="preserve">section </w:t>
            </w:r>
            <w:r w:rsidR="00391241" w:rsidRPr="00846820">
              <w:t>5.6</w:t>
            </w:r>
            <w:r w:rsidR="00DF3E7E" w:rsidRPr="008A3B1E">
              <w:t>.</w:t>
            </w:r>
          </w:p>
        </w:tc>
      </w:tr>
      <w:tr w:rsidR="009776BC" w:rsidRPr="001B21A4" w14:paraId="031694EC" w14:textId="77777777" w:rsidTr="008A7B96">
        <w:tc>
          <w:tcPr>
            <w:tcW w:w="2513" w:type="dxa"/>
          </w:tcPr>
          <w:p w14:paraId="031694EA" w14:textId="77777777" w:rsidR="009776BC" w:rsidRPr="00731673" w:rsidRDefault="009776BC" w:rsidP="008A7B96">
            <w:pPr>
              <w:tabs>
                <w:tab w:val="left" w:pos="2835"/>
              </w:tabs>
              <w:spacing w:after="120"/>
            </w:pPr>
            <w:r w:rsidRPr="00731673">
              <w:t>Secondary Public Interest Premises Draft Merit List</w:t>
            </w:r>
          </w:p>
        </w:tc>
        <w:tc>
          <w:tcPr>
            <w:tcW w:w="6395" w:type="dxa"/>
          </w:tcPr>
          <w:p w14:paraId="031694EB" w14:textId="0A58B9A9" w:rsidR="009776BC" w:rsidRPr="008A3B1E" w:rsidRDefault="009776BC">
            <w:pPr>
              <w:tabs>
                <w:tab w:val="left" w:pos="2835"/>
              </w:tabs>
              <w:spacing w:after="120"/>
            </w:pPr>
            <w:r w:rsidRPr="008A3B1E">
              <w:t xml:space="preserve">Has the meaning given in </w:t>
            </w:r>
            <w:r w:rsidRPr="00846820">
              <w:t xml:space="preserve">section </w:t>
            </w:r>
            <w:r w:rsidR="00391241" w:rsidRPr="00846820">
              <w:t>5.7</w:t>
            </w:r>
            <w:r w:rsidRPr="00846820">
              <w:t>.</w:t>
            </w:r>
          </w:p>
        </w:tc>
      </w:tr>
      <w:tr w:rsidR="009776BC" w:rsidRPr="001B21A4" w14:paraId="031694EF" w14:textId="77777777" w:rsidTr="008A7B96">
        <w:tc>
          <w:tcPr>
            <w:tcW w:w="2513" w:type="dxa"/>
          </w:tcPr>
          <w:p w14:paraId="031694ED" w14:textId="77777777" w:rsidR="009776BC" w:rsidRPr="00731673" w:rsidRDefault="009776BC" w:rsidP="008A7B96">
            <w:pPr>
              <w:tabs>
                <w:tab w:val="left" w:pos="2835"/>
              </w:tabs>
              <w:spacing w:after="120"/>
            </w:pPr>
            <w:r w:rsidRPr="00731673">
              <w:t>Secondary Mobile Coverage Draft Merit List</w:t>
            </w:r>
          </w:p>
        </w:tc>
        <w:tc>
          <w:tcPr>
            <w:tcW w:w="6395" w:type="dxa"/>
          </w:tcPr>
          <w:p w14:paraId="031694EE" w14:textId="08D749E3" w:rsidR="009776BC" w:rsidRPr="008A3B1E" w:rsidRDefault="009776BC">
            <w:pPr>
              <w:tabs>
                <w:tab w:val="left" w:pos="2835"/>
              </w:tabs>
              <w:spacing w:after="120"/>
            </w:pPr>
            <w:r w:rsidRPr="008A3B1E">
              <w:t xml:space="preserve">Has the meaning given in </w:t>
            </w:r>
            <w:r w:rsidRPr="00846820">
              <w:t xml:space="preserve">section </w:t>
            </w:r>
            <w:r w:rsidR="00391241" w:rsidRPr="00846820">
              <w:t>5.7</w:t>
            </w:r>
            <w:r w:rsidRPr="00846820">
              <w:t>.</w:t>
            </w:r>
          </w:p>
        </w:tc>
      </w:tr>
      <w:tr w:rsidR="009776BC" w:rsidRPr="001B21A4" w14:paraId="031694F2" w14:textId="77777777" w:rsidTr="008A7B96">
        <w:tc>
          <w:tcPr>
            <w:tcW w:w="2513" w:type="dxa"/>
          </w:tcPr>
          <w:p w14:paraId="031694F0" w14:textId="77777777" w:rsidR="009776BC" w:rsidRPr="00731673" w:rsidRDefault="009776BC" w:rsidP="008A7B96">
            <w:pPr>
              <w:tabs>
                <w:tab w:val="left" w:pos="2835"/>
              </w:tabs>
              <w:spacing w:after="120"/>
            </w:pPr>
            <w:r w:rsidRPr="00731673">
              <w:t>Small Cell</w:t>
            </w:r>
          </w:p>
        </w:tc>
        <w:tc>
          <w:tcPr>
            <w:tcW w:w="6395" w:type="dxa"/>
          </w:tcPr>
          <w:p w14:paraId="031694F1" w14:textId="463A3380" w:rsidR="009776BC" w:rsidRPr="00731673" w:rsidRDefault="009776BC" w:rsidP="008A7B96">
            <w:pPr>
              <w:tabs>
                <w:tab w:val="left" w:pos="2835"/>
              </w:tabs>
              <w:spacing w:after="120"/>
            </w:pPr>
            <w:r w:rsidRPr="00731673">
              <w:t>A ‘small cell’ in a mobile phone network, with a typical range less than two kilometres. Often used to add network capacity in areas of dense population</w:t>
            </w:r>
            <w:r w:rsidR="00AB627B">
              <w:t xml:space="preserve"> or very remote locations,</w:t>
            </w:r>
            <w:r w:rsidRPr="00731673">
              <w:t xml:space="preserve"> utilising power control to limit coverage area.</w:t>
            </w:r>
          </w:p>
        </w:tc>
      </w:tr>
    </w:tbl>
    <w:p w14:paraId="031694F5" w14:textId="77777777" w:rsidR="00340616" w:rsidRPr="00160F84" w:rsidRDefault="00160F84" w:rsidP="00340616">
      <w:pPr>
        <w:pStyle w:val="Heading2"/>
        <w:spacing w:before="240"/>
        <w:ind w:left="360" w:hanging="360"/>
        <w:rPr>
          <w:color w:val="auto"/>
          <w:sz w:val="40"/>
        </w:rPr>
      </w:pPr>
      <w:bookmarkStart w:id="247" w:name="_Toc467773997"/>
      <w:bookmarkStart w:id="248" w:name="_Toc523411662"/>
      <w:r w:rsidRPr="00160F84">
        <w:rPr>
          <w:color w:val="auto"/>
          <w:sz w:val="40"/>
        </w:rPr>
        <w:lastRenderedPageBreak/>
        <w:t>Appendix A</w:t>
      </w:r>
      <w:r w:rsidR="00340616" w:rsidRPr="00160F84">
        <w:rPr>
          <w:color w:val="auto"/>
          <w:sz w:val="40"/>
        </w:rPr>
        <w:t xml:space="preserve">: </w:t>
      </w:r>
      <w:bookmarkEnd w:id="247"/>
      <w:r w:rsidRPr="00160F84">
        <w:rPr>
          <w:color w:val="auto"/>
          <w:sz w:val="40"/>
        </w:rPr>
        <w:t>Draft Grant Agreement</w:t>
      </w:r>
      <w:bookmarkEnd w:id="248"/>
    </w:p>
    <w:p w14:paraId="031694F6" w14:textId="41D68B85" w:rsidR="00160F84" w:rsidRDefault="00160F84" w:rsidP="00160F84">
      <w:pPr>
        <w:tabs>
          <w:tab w:val="left" w:pos="2835"/>
        </w:tabs>
        <w:spacing w:after="120"/>
      </w:pPr>
      <w:r w:rsidRPr="00160F84">
        <w:t xml:space="preserve">The Department will provide a draft Grant Agreement to organisations that have registered as an eligible applicant for </w:t>
      </w:r>
      <w:r w:rsidRPr="008A3B1E">
        <w:t xml:space="preserve">funding under Round 4 of the Program. Information on registering as an eligible applicant is available at </w:t>
      </w:r>
      <w:r w:rsidRPr="00846820">
        <w:t xml:space="preserve">section </w:t>
      </w:r>
      <w:r w:rsidR="00391241" w:rsidRPr="00846820">
        <w:t xml:space="preserve">7, stage </w:t>
      </w:r>
      <w:r w:rsidRPr="00846820">
        <w:t>2</w:t>
      </w:r>
      <w:r w:rsidRPr="008A3B1E">
        <w:t xml:space="preserve"> of these</w:t>
      </w:r>
      <w:r w:rsidRPr="00160F84">
        <w:t xml:space="preserve"> Guidelines.</w:t>
      </w:r>
    </w:p>
    <w:p w14:paraId="031694F7" w14:textId="77777777" w:rsidR="00160F84" w:rsidRDefault="00160F84">
      <w:pPr>
        <w:suppressAutoHyphens w:val="0"/>
        <w:spacing w:before="0" w:after="120" w:line="440" w:lineRule="atLeast"/>
      </w:pPr>
      <w:r>
        <w:br w:type="page"/>
      </w:r>
    </w:p>
    <w:p w14:paraId="031694F8" w14:textId="77777777" w:rsidR="00160F84" w:rsidRPr="00160F84" w:rsidRDefault="00160F84" w:rsidP="00160F84">
      <w:pPr>
        <w:pStyle w:val="Heading2"/>
        <w:spacing w:before="240"/>
        <w:ind w:left="360" w:hanging="360"/>
        <w:rPr>
          <w:color w:val="auto"/>
          <w:sz w:val="40"/>
        </w:rPr>
      </w:pPr>
      <w:bookmarkStart w:id="249" w:name="_Toc523411663"/>
      <w:r w:rsidRPr="00160F84">
        <w:rPr>
          <w:color w:val="auto"/>
          <w:sz w:val="40"/>
        </w:rPr>
        <w:lastRenderedPageBreak/>
        <w:t xml:space="preserve">Appendix B: </w:t>
      </w:r>
      <w:r>
        <w:rPr>
          <w:color w:val="auto"/>
          <w:sz w:val="40"/>
        </w:rPr>
        <w:t>Application Pack</w:t>
      </w:r>
      <w:bookmarkEnd w:id="249"/>
    </w:p>
    <w:p w14:paraId="031694F9" w14:textId="1C003AC3" w:rsidR="00160F84" w:rsidRDefault="00160F84" w:rsidP="00160F84">
      <w:r w:rsidRPr="00160F84">
        <w:t xml:space="preserve">The Department of Communications and the Arts will provide an Application Pack to organisations that have registered as an eligible applicant for </w:t>
      </w:r>
      <w:r w:rsidRPr="008A3B1E">
        <w:t xml:space="preserve">funding under this round of the Program. Information on registering as a potential applicant is available at </w:t>
      </w:r>
      <w:r w:rsidR="00391241" w:rsidRPr="00846820">
        <w:t>section 7, stage 2</w:t>
      </w:r>
      <w:r w:rsidR="00391241" w:rsidRPr="008A3B1E">
        <w:t xml:space="preserve"> </w:t>
      </w:r>
      <w:r w:rsidRPr="008A3B1E">
        <w:t>of these Guidelines.</w:t>
      </w:r>
      <w:r w:rsidRPr="00160F84">
        <w:t xml:space="preserve"> </w:t>
      </w:r>
    </w:p>
    <w:p w14:paraId="031694FA" w14:textId="23ABD390" w:rsidR="00117E70" w:rsidRDefault="00160F84" w:rsidP="00117E70">
      <w:pPr>
        <w:pStyle w:val="Heading2"/>
        <w:spacing w:before="240"/>
        <w:ind w:left="360" w:hanging="360"/>
        <w:rPr>
          <w:color w:val="auto"/>
          <w:sz w:val="40"/>
        </w:rPr>
      </w:pPr>
      <w:r>
        <w:br w:type="page"/>
      </w:r>
      <w:bookmarkStart w:id="250" w:name="_Toc523411664"/>
      <w:r w:rsidR="00117E70" w:rsidRPr="00160F84">
        <w:rPr>
          <w:color w:val="auto"/>
          <w:sz w:val="40"/>
        </w:rPr>
        <w:lastRenderedPageBreak/>
        <w:t xml:space="preserve">Appendix </w:t>
      </w:r>
      <w:r w:rsidR="00117E70">
        <w:rPr>
          <w:color w:val="auto"/>
          <w:sz w:val="40"/>
        </w:rPr>
        <w:t>C</w:t>
      </w:r>
      <w:r w:rsidR="00117E70" w:rsidRPr="00160F84">
        <w:rPr>
          <w:color w:val="auto"/>
          <w:sz w:val="40"/>
        </w:rPr>
        <w:t xml:space="preserve">: </w:t>
      </w:r>
      <w:r w:rsidR="00117E70">
        <w:rPr>
          <w:color w:val="auto"/>
          <w:sz w:val="40"/>
        </w:rPr>
        <w:t>State, Territory, Local Government and NBN Co contacts</w:t>
      </w:r>
      <w:bookmarkEnd w:id="250"/>
    </w:p>
    <w:p w14:paraId="031694FB" w14:textId="20806DE9" w:rsidR="00117E70" w:rsidRPr="00117E70" w:rsidRDefault="00117E70" w:rsidP="00117E70">
      <w:r w:rsidRPr="00117E70">
        <w:t xml:space="preserve">On request, the Department will provide State, Territory, Local Government and NBN Co contact details to organisations that have registered as an eligible applicant for funding under this round of the Program. Information on registering as a potential applicant is available at </w:t>
      </w:r>
      <w:r w:rsidR="00391241" w:rsidRPr="00846820">
        <w:t>section 7, stage 2</w:t>
      </w:r>
      <w:r w:rsidR="00391241" w:rsidRPr="008A3B1E">
        <w:t xml:space="preserve"> </w:t>
      </w:r>
      <w:r w:rsidRPr="008A3B1E">
        <w:t>of these</w:t>
      </w:r>
      <w:r w:rsidRPr="00117E70">
        <w:t xml:space="preserve"> Guidelines.</w:t>
      </w:r>
    </w:p>
    <w:p w14:paraId="031694FC" w14:textId="77777777" w:rsidR="007A25F0" w:rsidRPr="00AF2050" w:rsidRDefault="007A25F0" w:rsidP="00117E70">
      <w:pPr>
        <w:suppressAutoHyphens w:val="0"/>
        <w:spacing w:before="0" w:after="120" w:line="440" w:lineRule="atLeast"/>
      </w:pPr>
    </w:p>
    <w:sectPr w:rsidR="007A25F0" w:rsidRPr="00AF2050" w:rsidSect="005A41E0">
      <w:headerReference w:type="default" r:id="rId24"/>
      <w:footerReference w:type="default" r:id="rId25"/>
      <w:headerReference w:type="first" r:id="rId26"/>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D9E84" w14:textId="77777777" w:rsidR="005A1DEE" w:rsidRDefault="005A1DEE" w:rsidP="00EF4574">
      <w:pPr>
        <w:spacing w:before="0" w:after="0" w:line="240" w:lineRule="auto"/>
      </w:pPr>
      <w:r>
        <w:separator/>
      </w:r>
    </w:p>
    <w:p w14:paraId="4C26DAD6" w14:textId="77777777" w:rsidR="005A1DEE" w:rsidRDefault="005A1DEE"/>
  </w:endnote>
  <w:endnote w:type="continuationSeparator" w:id="0">
    <w:p w14:paraId="43A75BDD" w14:textId="77777777" w:rsidR="005A1DEE" w:rsidRDefault="005A1DEE" w:rsidP="00EF4574">
      <w:pPr>
        <w:spacing w:before="0" w:after="0" w:line="240" w:lineRule="auto"/>
      </w:pPr>
      <w:r>
        <w:continuationSeparator/>
      </w:r>
    </w:p>
    <w:p w14:paraId="067C00E9" w14:textId="77777777" w:rsidR="005A1DEE" w:rsidRDefault="005A1DEE"/>
  </w:endnote>
  <w:endnote w:type="continuationNotice" w:id="1">
    <w:p w14:paraId="3BA969FE" w14:textId="77777777" w:rsidR="005A1DEE" w:rsidRDefault="005A1DE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69509" w14:textId="0A26AF46" w:rsidR="005A1DEE" w:rsidRDefault="00A57300" w:rsidP="005970EA">
    <w:pPr>
      <w:pStyle w:val="Footer"/>
      <w:rPr>
        <w:noProof/>
      </w:rPr>
    </w:pPr>
    <w:r>
      <w:t>Octo</w:t>
    </w:r>
    <w:r w:rsidR="005A1DEE">
      <w:t>ber 2018</w:t>
    </w:r>
    <w:r w:rsidR="005A1DEE">
      <w:tab/>
    </w:r>
    <w:r w:rsidR="005A1DEE">
      <w:tab/>
    </w:r>
    <w:r w:rsidR="005A1DEE">
      <w:fldChar w:fldCharType="begin"/>
    </w:r>
    <w:r w:rsidR="005A1DEE">
      <w:instrText xml:space="preserve"> PAGE   \* MERGEFORMAT </w:instrText>
    </w:r>
    <w:r w:rsidR="005A1DEE">
      <w:fldChar w:fldCharType="separate"/>
    </w:r>
    <w:r w:rsidR="00A00044">
      <w:rPr>
        <w:noProof/>
      </w:rPr>
      <w:t>26</w:t>
    </w:r>
    <w:r w:rsidR="005A1DEE">
      <w:rPr>
        <w:noProof/>
      </w:rPr>
      <w:fldChar w:fldCharType="end"/>
    </w:r>
  </w:p>
  <w:p w14:paraId="0316950A" w14:textId="77777777" w:rsidR="005A1DEE" w:rsidRDefault="005A1DEE" w:rsidP="005970E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8881A" w14:textId="77777777" w:rsidR="005A1DEE" w:rsidRDefault="005A1DEE" w:rsidP="0020122A">
      <w:pPr>
        <w:pStyle w:val="FootnoteSeparator"/>
      </w:pPr>
    </w:p>
  </w:footnote>
  <w:footnote w:type="continuationSeparator" w:id="0">
    <w:p w14:paraId="63377104" w14:textId="77777777" w:rsidR="005A1DEE" w:rsidRDefault="005A1DEE" w:rsidP="00EF4574">
      <w:pPr>
        <w:spacing w:before="0" w:after="0" w:line="240" w:lineRule="auto"/>
      </w:pPr>
      <w:r>
        <w:continuationSeparator/>
      </w:r>
    </w:p>
    <w:p w14:paraId="60F79FFC" w14:textId="77777777" w:rsidR="005A1DEE" w:rsidRDefault="005A1DEE"/>
  </w:footnote>
  <w:footnote w:type="continuationNotice" w:id="1">
    <w:p w14:paraId="2C3872DD" w14:textId="77777777" w:rsidR="005A1DEE" w:rsidRDefault="005A1DE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69508" w14:textId="77777777" w:rsidR="005A1DEE" w:rsidRPr="000A6A8B" w:rsidRDefault="005A1DEE"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6950B" w14:textId="77777777" w:rsidR="005A1DEE" w:rsidRDefault="005A1DEE"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C398C"/>
    <w:multiLevelType w:val="hybridMultilevel"/>
    <w:tmpl w:val="E6587922"/>
    <w:lvl w:ilvl="0" w:tplc="C09EDDA0">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 w15:restartNumberingAfterBreak="0">
    <w:nsid w:val="095240EE"/>
    <w:multiLevelType w:val="hybridMultilevel"/>
    <w:tmpl w:val="E6587922"/>
    <w:lvl w:ilvl="0" w:tplc="C09EDDA0">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EF3350C"/>
    <w:multiLevelType w:val="hybridMultilevel"/>
    <w:tmpl w:val="D1D67ED2"/>
    <w:lvl w:ilvl="0" w:tplc="C09EDDA0">
      <w:start w:val="1"/>
      <w:numFmt w:val="lowerLetter"/>
      <w:lvlText w:val="(%1)"/>
      <w:lvlJc w:val="left"/>
      <w:pPr>
        <w:ind w:left="1272" w:hanging="555"/>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 w15:restartNumberingAfterBreak="0">
    <w:nsid w:val="0F932585"/>
    <w:multiLevelType w:val="hybridMultilevel"/>
    <w:tmpl w:val="A4B2F0B4"/>
    <w:lvl w:ilvl="0" w:tplc="C03C6EC4">
      <w:start w:val="1"/>
      <w:numFmt w:val="lowerLetter"/>
      <w:lvlText w:val="(%1)"/>
      <w:lvlJc w:val="left"/>
      <w:pPr>
        <w:ind w:left="1353" w:hanging="360"/>
      </w:pPr>
      <w:rPr>
        <w:rFonts w:hint="default"/>
        <w:sz w:val="22"/>
        <w:szCs w:val="22"/>
      </w:rPr>
    </w:lvl>
    <w:lvl w:ilvl="1" w:tplc="0C09001B">
      <w:start w:val="1"/>
      <w:numFmt w:val="lowerRoman"/>
      <w:lvlText w:val="%2."/>
      <w:lvlJc w:val="righ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5" w15:restartNumberingAfterBreak="0">
    <w:nsid w:val="155F19AD"/>
    <w:multiLevelType w:val="multilevel"/>
    <w:tmpl w:val="46C8CDDE"/>
    <w:numStyleLink w:val="BulletsList"/>
  </w:abstractNum>
  <w:abstractNum w:abstractNumId="6" w15:restartNumberingAfterBreak="0">
    <w:nsid w:val="171535B7"/>
    <w:multiLevelType w:val="hybridMultilevel"/>
    <w:tmpl w:val="E6587922"/>
    <w:lvl w:ilvl="0" w:tplc="C09EDDA0">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7"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8"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DE62BE2"/>
    <w:multiLevelType w:val="hybridMultilevel"/>
    <w:tmpl w:val="A22C1D44"/>
    <w:lvl w:ilvl="0" w:tplc="0C09001B">
      <w:start w:val="1"/>
      <w:numFmt w:val="lowerRoman"/>
      <w:lvlText w:val="%1."/>
      <w:lvlJc w:val="right"/>
      <w:pPr>
        <w:ind w:left="2073"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8558F6"/>
    <w:multiLevelType w:val="hybridMultilevel"/>
    <w:tmpl w:val="288A9D6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22D8694B"/>
    <w:multiLevelType w:val="hybridMultilevel"/>
    <w:tmpl w:val="E6587922"/>
    <w:lvl w:ilvl="0" w:tplc="C09EDDA0">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15:restartNumberingAfterBreak="0">
    <w:nsid w:val="262F25C3"/>
    <w:multiLevelType w:val="hybridMultilevel"/>
    <w:tmpl w:val="E6587922"/>
    <w:lvl w:ilvl="0" w:tplc="C09EDDA0">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9875A1A"/>
    <w:multiLevelType w:val="hybridMultilevel"/>
    <w:tmpl w:val="E6587922"/>
    <w:lvl w:ilvl="0" w:tplc="C09EDDA0">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15:restartNumberingAfterBreak="0">
    <w:nsid w:val="2A1822B3"/>
    <w:multiLevelType w:val="hybridMultilevel"/>
    <w:tmpl w:val="A22C1D44"/>
    <w:lvl w:ilvl="0" w:tplc="0C09001B">
      <w:start w:val="1"/>
      <w:numFmt w:val="lowerRoman"/>
      <w:lvlText w:val="%1."/>
      <w:lvlJc w:val="right"/>
      <w:pPr>
        <w:ind w:left="2073"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34E56D78"/>
    <w:multiLevelType w:val="hybridMultilevel"/>
    <w:tmpl w:val="E6587922"/>
    <w:lvl w:ilvl="0" w:tplc="C09EDDA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E9B71E3"/>
    <w:multiLevelType w:val="hybridMultilevel"/>
    <w:tmpl w:val="A22C1D44"/>
    <w:lvl w:ilvl="0" w:tplc="0C09001B">
      <w:start w:val="1"/>
      <w:numFmt w:val="lowerRoman"/>
      <w:lvlText w:val="%1."/>
      <w:lvlJc w:val="right"/>
      <w:pPr>
        <w:ind w:left="2073"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0CA3858"/>
    <w:multiLevelType w:val="hybridMultilevel"/>
    <w:tmpl w:val="A22C1D44"/>
    <w:lvl w:ilvl="0" w:tplc="0C09001B">
      <w:start w:val="1"/>
      <w:numFmt w:val="lowerRoman"/>
      <w:lvlText w:val="%1."/>
      <w:lvlJc w:val="right"/>
      <w:pPr>
        <w:ind w:left="2073"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2C64CF"/>
    <w:multiLevelType w:val="hybridMultilevel"/>
    <w:tmpl w:val="E6587922"/>
    <w:lvl w:ilvl="0" w:tplc="C09EDDA0">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2" w15:restartNumberingAfterBreak="0">
    <w:nsid w:val="4EFD096B"/>
    <w:multiLevelType w:val="hybridMultilevel"/>
    <w:tmpl w:val="1706A108"/>
    <w:lvl w:ilvl="0" w:tplc="C09EDDA0">
      <w:start w:val="1"/>
      <w:numFmt w:val="lowerLetter"/>
      <w:lvlText w:val="(%1)"/>
      <w:lvlJc w:val="left"/>
      <w:pPr>
        <w:ind w:left="1418" w:hanging="360"/>
      </w:pPr>
      <w:rPr>
        <w:rFonts w:hint="default"/>
      </w:rPr>
    </w:lvl>
    <w:lvl w:ilvl="1" w:tplc="0C090019">
      <w:start w:val="1"/>
      <w:numFmt w:val="lowerLetter"/>
      <w:lvlText w:val="%2."/>
      <w:lvlJc w:val="left"/>
      <w:pPr>
        <w:ind w:left="2138" w:hanging="360"/>
      </w:pPr>
    </w:lvl>
    <w:lvl w:ilvl="2" w:tplc="0C09001B">
      <w:start w:val="1"/>
      <w:numFmt w:val="lowerRoman"/>
      <w:lvlText w:val="%3."/>
      <w:lvlJc w:val="right"/>
      <w:pPr>
        <w:ind w:left="2858" w:hanging="180"/>
      </w:pPr>
    </w:lvl>
    <w:lvl w:ilvl="3" w:tplc="0C09000F">
      <w:start w:val="1"/>
      <w:numFmt w:val="decimal"/>
      <w:lvlText w:val="%4."/>
      <w:lvlJc w:val="left"/>
      <w:pPr>
        <w:ind w:left="3578" w:hanging="360"/>
      </w:pPr>
    </w:lvl>
    <w:lvl w:ilvl="4" w:tplc="0C090017">
      <w:start w:val="1"/>
      <w:numFmt w:val="lowerLetter"/>
      <w:lvlText w:val="%5)"/>
      <w:lvlJc w:val="left"/>
      <w:pPr>
        <w:ind w:left="4298" w:hanging="360"/>
      </w:pPr>
    </w:lvl>
    <w:lvl w:ilvl="5" w:tplc="0C09001B" w:tentative="1">
      <w:start w:val="1"/>
      <w:numFmt w:val="lowerRoman"/>
      <w:lvlText w:val="%6."/>
      <w:lvlJc w:val="right"/>
      <w:pPr>
        <w:ind w:left="5018" w:hanging="180"/>
      </w:pPr>
    </w:lvl>
    <w:lvl w:ilvl="6" w:tplc="0C09000F" w:tentative="1">
      <w:start w:val="1"/>
      <w:numFmt w:val="decimal"/>
      <w:lvlText w:val="%7."/>
      <w:lvlJc w:val="left"/>
      <w:pPr>
        <w:ind w:left="5738" w:hanging="360"/>
      </w:pPr>
    </w:lvl>
    <w:lvl w:ilvl="7" w:tplc="0C090019" w:tentative="1">
      <w:start w:val="1"/>
      <w:numFmt w:val="lowerLetter"/>
      <w:lvlText w:val="%8."/>
      <w:lvlJc w:val="left"/>
      <w:pPr>
        <w:ind w:left="6458" w:hanging="360"/>
      </w:pPr>
    </w:lvl>
    <w:lvl w:ilvl="8" w:tplc="0C09001B" w:tentative="1">
      <w:start w:val="1"/>
      <w:numFmt w:val="lowerRoman"/>
      <w:lvlText w:val="%9."/>
      <w:lvlJc w:val="right"/>
      <w:pPr>
        <w:ind w:left="7178" w:hanging="180"/>
      </w:pPr>
    </w:lvl>
  </w:abstractNum>
  <w:abstractNum w:abstractNumId="23"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4"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9C4EEB"/>
    <w:multiLevelType w:val="hybridMultilevel"/>
    <w:tmpl w:val="E6587922"/>
    <w:lvl w:ilvl="0" w:tplc="C09EDDA0">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5AAD57C0"/>
    <w:multiLevelType w:val="hybridMultilevel"/>
    <w:tmpl w:val="A22C1D44"/>
    <w:lvl w:ilvl="0" w:tplc="0C09001B">
      <w:start w:val="1"/>
      <w:numFmt w:val="lowerRoman"/>
      <w:lvlText w:val="%1."/>
      <w:lvlJc w:val="right"/>
      <w:pPr>
        <w:ind w:left="2073"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C5C7D47"/>
    <w:multiLevelType w:val="hybridMultilevel"/>
    <w:tmpl w:val="E6587922"/>
    <w:lvl w:ilvl="0" w:tplc="C09EDDA0">
      <w:start w:val="1"/>
      <w:numFmt w:val="lowerLetter"/>
      <w:lvlText w:val="(%1)"/>
      <w:lvlJc w:val="left"/>
      <w:pPr>
        <w:ind w:left="688" w:hanging="360"/>
      </w:pPr>
      <w:rPr>
        <w:rFonts w:hint="default"/>
      </w:rPr>
    </w:lvl>
    <w:lvl w:ilvl="1" w:tplc="0C090019" w:tentative="1">
      <w:start w:val="1"/>
      <w:numFmt w:val="lowerLetter"/>
      <w:lvlText w:val="%2."/>
      <w:lvlJc w:val="left"/>
      <w:pPr>
        <w:ind w:left="1408" w:hanging="360"/>
      </w:pPr>
    </w:lvl>
    <w:lvl w:ilvl="2" w:tplc="0C09001B" w:tentative="1">
      <w:start w:val="1"/>
      <w:numFmt w:val="lowerRoman"/>
      <w:lvlText w:val="%3."/>
      <w:lvlJc w:val="right"/>
      <w:pPr>
        <w:ind w:left="2128" w:hanging="180"/>
      </w:pPr>
    </w:lvl>
    <w:lvl w:ilvl="3" w:tplc="0C09000F" w:tentative="1">
      <w:start w:val="1"/>
      <w:numFmt w:val="decimal"/>
      <w:lvlText w:val="%4."/>
      <w:lvlJc w:val="left"/>
      <w:pPr>
        <w:ind w:left="2848" w:hanging="360"/>
      </w:pPr>
    </w:lvl>
    <w:lvl w:ilvl="4" w:tplc="0C090019" w:tentative="1">
      <w:start w:val="1"/>
      <w:numFmt w:val="lowerLetter"/>
      <w:lvlText w:val="%5."/>
      <w:lvlJc w:val="left"/>
      <w:pPr>
        <w:ind w:left="3568" w:hanging="360"/>
      </w:pPr>
    </w:lvl>
    <w:lvl w:ilvl="5" w:tplc="0C09001B" w:tentative="1">
      <w:start w:val="1"/>
      <w:numFmt w:val="lowerRoman"/>
      <w:lvlText w:val="%6."/>
      <w:lvlJc w:val="right"/>
      <w:pPr>
        <w:ind w:left="4288" w:hanging="180"/>
      </w:pPr>
    </w:lvl>
    <w:lvl w:ilvl="6" w:tplc="0C09000F" w:tentative="1">
      <w:start w:val="1"/>
      <w:numFmt w:val="decimal"/>
      <w:lvlText w:val="%7."/>
      <w:lvlJc w:val="left"/>
      <w:pPr>
        <w:ind w:left="5008" w:hanging="360"/>
      </w:pPr>
    </w:lvl>
    <w:lvl w:ilvl="7" w:tplc="0C090019" w:tentative="1">
      <w:start w:val="1"/>
      <w:numFmt w:val="lowerLetter"/>
      <w:lvlText w:val="%8."/>
      <w:lvlJc w:val="left"/>
      <w:pPr>
        <w:ind w:left="5728" w:hanging="360"/>
      </w:pPr>
    </w:lvl>
    <w:lvl w:ilvl="8" w:tplc="0C09001B" w:tentative="1">
      <w:start w:val="1"/>
      <w:numFmt w:val="lowerRoman"/>
      <w:lvlText w:val="%9."/>
      <w:lvlJc w:val="right"/>
      <w:pPr>
        <w:ind w:left="6448" w:hanging="180"/>
      </w:pPr>
    </w:lvl>
  </w:abstractNum>
  <w:abstractNum w:abstractNumId="2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64AB4732"/>
    <w:multiLevelType w:val="hybridMultilevel"/>
    <w:tmpl w:val="E6587922"/>
    <w:lvl w:ilvl="0" w:tplc="C09EDDA0">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1"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32" w15:restartNumberingAfterBreak="0">
    <w:nsid w:val="706C3696"/>
    <w:multiLevelType w:val="hybridMultilevel"/>
    <w:tmpl w:val="E6587922"/>
    <w:lvl w:ilvl="0" w:tplc="C09EDDA0">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3" w15:restartNumberingAfterBreak="0">
    <w:nsid w:val="727E28C3"/>
    <w:multiLevelType w:val="hybridMultilevel"/>
    <w:tmpl w:val="E6587922"/>
    <w:lvl w:ilvl="0" w:tplc="C09EDDA0">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4" w15:restartNumberingAfterBreak="0">
    <w:nsid w:val="73107305"/>
    <w:multiLevelType w:val="multilevel"/>
    <w:tmpl w:val="46C8CD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bullet"/>
      <w:lvlText w:val=""/>
      <w:lvlJc w:val="left"/>
      <w:pPr>
        <w:ind w:left="1136" w:hanging="284"/>
      </w:pPr>
      <w:rPr>
        <w:rFonts w:ascii="Symbol" w:hAnsi="Symbol"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5" w15:restartNumberingAfterBreak="0">
    <w:nsid w:val="74552594"/>
    <w:multiLevelType w:val="hybridMultilevel"/>
    <w:tmpl w:val="E6587922"/>
    <w:lvl w:ilvl="0" w:tplc="C09EDDA0">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6" w15:restartNumberingAfterBreak="0">
    <w:nsid w:val="76334FD9"/>
    <w:multiLevelType w:val="hybridMultilevel"/>
    <w:tmpl w:val="A22C1D44"/>
    <w:lvl w:ilvl="0" w:tplc="0C09001B">
      <w:start w:val="1"/>
      <w:numFmt w:val="lowerRoman"/>
      <w:lvlText w:val="%1."/>
      <w:lvlJc w:val="right"/>
      <w:pPr>
        <w:ind w:left="2073"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C7F5674"/>
    <w:multiLevelType w:val="hybridMultilevel"/>
    <w:tmpl w:val="E6587922"/>
    <w:lvl w:ilvl="0" w:tplc="C09EDDA0">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8" w15:restartNumberingAfterBreak="0">
    <w:nsid w:val="7E50144A"/>
    <w:multiLevelType w:val="hybridMultilevel"/>
    <w:tmpl w:val="33B64012"/>
    <w:lvl w:ilvl="0" w:tplc="0C090017">
      <w:start w:val="1"/>
      <w:numFmt w:val="lowerLetter"/>
      <w:lvlText w:val="%1)"/>
      <w:lvlJc w:val="left"/>
      <w:pPr>
        <w:ind w:left="720" w:hanging="360"/>
      </w:pPr>
    </w:lvl>
    <w:lvl w:ilvl="1" w:tplc="C09EDDA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F9E2111"/>
    <w:multiLevelType w:val="hybridMultilevel"/>
    <w:tmpl w:val="E6587922"/>
    <w:lvl w:ilvl="0" w:tplc="C09EDDA0">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num w:numId="1">
    <w:abstractNumId w:val="34"/>
  </w:num>
  <w:num w:numId="2">
    <w:abstractNumId w:val="2"/>
  </w:num>
  <w:num w:numId="3">
    <w:abstractNumId w:val="17"/>
  </w:num>
  <w:num w:numId="4">
    <w:abstractNumId w:val="26"/>
  </w:num>
  <w:num w:numId="5">
    <w:abstractNumId w:val="29"/>
  </w:num>
  <w:num w:numId="6">
    <w:abstractNumId w:val="7"/>
  </w:num>
  <w:num w:numId="7">
    <w:abstractNumId w:val="8"/>
  </w:num>
  <w:num w:numId="8">
    <w:abstractNumId w:val="13"/>
  </w:num>
  <w:num w:numId="9">
    <w:abstractNumId w:val="24"/>
  </w:num>
  <w:num w:numId="10">
    <w:abstractNumId w:val="31"/>
  </w:num>
  <w:num w:numId="11">
    <w:abstractNumId w:val="23"/>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2">
    <w:abstractNumId w:val="14"/>
  </w:num>
  <w:num w:numId="13">
    <w:abstractNumId w:val="23"/>
  </w:num>
  <w:num w:numId="14">
    <w:abstractNumId w:val="28"/>
  </w:num>
  <w:num w:numId="15">
    <w:abstractNumId w:val="3"/>
  </w:num>
  <w:num w:numId="16">
    <w:abstractNumId w:val="1"/>
  </w:num>
  <w:num w:numId="17">
    <w:abstractNumId w:val="4"/>
  </w:num>
  <w:num w:numId="18">
    <w:abstractNumId w:val="19"/>
  </w:num>
  <w:num w:numId="19">
    <w:abstractNumId w:val="27"/>
  </w:num>
  <w:num w:numId="20">
    <w:abstractNumId w:val="36"/>
  </w:num>
  <w:num w:numId="21">
    <w:abstractNumId w:val="9"/>
  </w:num>
  <w:num w:numId="22">
    <w:abstractNumId w:val="20"/>
  </w:num>
  <w:num w:numId="23">
    <w:abstractNumId w:val="37"/>
  </w:num>
  <w:num w:numId="24">
    <w:abstractNumId w:val="32"/>
  </w:num>
  <w:num w:numId="25">
    <w:abstractNumId w:val="12"/>
  </w:num>
  <w:num w:numId="26">
    <w:abstractNumId w:val="11"/>
  </w:num>
  <w:num w:numId="27">
    <w:abstractNumId w:val="30"/>
  </w:num>
  <w:num w:numId="28">
    <w:abstractNumId w:val="0"/>
  </w:num>
  <w:num w:numId="29">
    <w:abstractNumId w:val="25"/>
  </w:num>
  <w:num w:numId="30">
    <w:abstractNumId w:val="6"/>
  </w:num>
  <w:num w:numId="31">
    <w:abstractNumId w:val="16"/>
  </w:num>
  <w:num w:numId="32">
    <w:abstractNumId w:val="33"/>
  </w:num>
  <w:num w:numId="33">
    <w:abstractNumId w:val="15"/>
  </w:num>
  <w:num w:numId="34">
    <w:abstractNumId w:val="39"/>
  </w:num>
  <w:num w:numId="35">
    <w:abstractNumId w:val="10"/>
  </w:num>
  <w:num w:numId="36">
    <w:abstractNumId w:val="5"/>
  </w:num>
  <w:num w:numId="37">
    <w:abstractNumId w:val="38"/>
  </w:num>
  <w:num w:numId="38">
    <w:abstractNumId w:val="22"/>
  </w:num>
  <w:num w:numId="39">
    <w:abstractNumId w:val="18"/>
  </w:num>
  <w:num w:numId="40">
    <w:abstractNumId w:val="21"/>
  </w:num>
  <w:num w:numId="41">
    <w:abstractNumId w:val="17"/>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17"/>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5">
    <w:abstractNumId w:val="17"/>
    <w:lvlOverride w:ilvl="0">
      <w:startOverride w:val="13"/>
      <w:lvl w:ilvl="0">
        <w:start w:val="13"/>
        <w:numFmt w:val="decimal"/>
        <w:pStyle w:val="Heading1Numbered"/>
        <w:lvlText w:val="%1."/>
        <w:lvlJc w:val="left"/>
        <w:pPr>
          <w:ind w:left="567" w:hanging="567"/>
        </w:pPr>
        <w:rPr>
          <w:rFonts w:hint="default"/>
        </w:rPr>
      </w:lvl>
    </w:lvlOverride>
    <w:lvlOverride w:ilvl="1">
      <w:startOverride w:val="13"/>
      <w:lvl w:ilvl="1">
        <w:start w:val="13"/>
        <w:numFmt w:val="decimal"/>
        <w:pStyle w:val="Heading2Numbered"/>
        <w:lvlText w:val="%1.%2"/>
        <w:lvlJc w:val="left"/>
        <w:pPr>
          <w:ind w:left="567" w:hanging="567"/>
        </w:pPr>
        <w:rPr>
          <w:rFonts w:hint="default"/>
        </w:rPr>
      </w:lvl>
    </w:lvlOverride>
  </w:num>
  <w:num w:numId="46">
    <w:abstractNumId w:val="17"/>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13324"/>
    <w:rsid w:val="000211B2"/>
    <w:rsid w:val="0002782F"/>
    <w:rsid w:val="00033278"/>
    <w:rsid w:val="00045933"/>
    <w:rsid w:val="00047CEA"/>
    <w:rsid w:val="00050D65"/>
    <w:rsid w:val="00054E4D"/>
    <w:rsid w:val="00057324"/>
    <w:rsid w:val="00060073"/>
    <w:rsid w:val="000603C7"/>
    <w:rsid w:val="00071A7A"/>
    <w:rsid w:val="000746F9"/>
    <w:rsid w:val="000829F4"/>
    <w:rsid w:val="00087F4A"/>
    <w:rsid w:val="000A271A"/>
    <w:rsid w:val="000A4B30"/>
    <w:rsid w:val="000A6A8B"/>
    <w:rsid w:val="000C2A48"/>
    <w:rsid w:val="000C5F75"/>
    <w:rsid w:val="000C74F1"/>
    <w:rsid w:val="000D1707"/>
    <w:rsid w:val="000D2962"/>
    <w:rsid w:val="000D53C5"/>
    <w:rsid w:val="000D60B1"/>
    <w:rsid w:val="000D79CA"/>
    <w:rsid w:val="000E3F38"/>
    <w:rsid w:val="00103A95"/>
    <w:rsid w:val="001145EB"/>
    <w:rsid w:val="00117E70"/>
    <w:rsid w:val="00135427"/>
    <w:rsid w:val="00136530"/>
    <w:rsid w:val="00140935"/>
    <w:rsid w:val="001541EA"/>
    <w:rsid w:val="00155903"/>
    <w:rsid w:val="0016049E"/>
    <w:rsid w:val="00160F84"/>
    <w:rsid w:val="001612A4"/>
    <w:rsid w:val="00171223"/>
    <w:rsid w:val="00173FA3"/>
    <w:rsid w:val="001777FE"/>
    <w:rsid w:val="00182CEF"/>
    <w:rsid w:val="001B3E97"/>
    <w:rsid w:val="001D3040"/>
    <w:rsid w:val="001D7EB4"/>
    <w:rsid w:val="001E1DC0"/>
    <w:rsid w:val="001F1E61"/>
    <w:rsid w:val="001F6504"/>
    <w:rsid w:val="001F714A"/>
    <w:rsid w:val="00200637"/>
    <w:rsid w:val="0020122A"/>
    <w:rsid w:val="002070B7"/>
    <w:rsid w:val="00224D7B"/>
    <w:rsid w:val="00234789"/>
    <w:rsid w:val="00235C6C"/>
    <w:rsid w:val="00241945"/>
    <w:rsid w:val="00276A8A"/>
    <w:rsid w:val="00276F5E"/>
    <w:rsid w:val="0028602A"/>
    <w:rsid w:val="002B0C2A"/>
    <w:rsid w:val="002C7BB1"/>
    <w:rsid w:val="00301144"/>
    <w:rsid w:val="00301B7F"/>
    <w:rsid w:val="003142DD"/>
    <w:rsid w:val="003148B7"/>
    <w:rsid w:val="003158C3"/>
    <w:rsid w:val="003274CD"/>
    <w:rsid w:val="00340616"/>
    <w:rsid w:val="0035119D"/>
    <w:rsid w:val="00352ABC"/>
    <w:rsid w:val="00361A22"/>
    <w:rsid w:val="00391241"/>
    <w:rsid w:val="003A71C5"/>
    <w:rsid w:val="003B36C5"/>
    <w:rsid w:val="003B3A6B"/>
    <w:rsid w:val="003B436D"/>
    <w:rsid w:val="003B4F12"/>
    <w:rsid w:val="003C5EFB"/>
    <w:rsid w:val="00414D4D"/>
    <w:rsid w:val="00421272"/>
    <w:rsid w:val="00423F31"/>
    <w:rsid w:val="00431899"/>
    <w:rsid w:val="004458AB"/>
    <w:rsid w:val="00463CDA"/>
    <w:rsid w:val="00486804"/>
    <w:rsid w:val="00496769"/>
    <w:rsid w:val="004B3775"/>
    <w:rsid w:val="004C2A06"/>
    <w:rsid w:val="004D0522"/>
    <w:rsid w:val="004E058F"/>
    <w:rsid w:val="004E3B87"/>
    <w:rsid w:val="00510921"/>
    <w:rsid w:val="00510AD3"/>
    <w:rsid w:val="00513348"/>
    <w:rsid w:val="00533B5D"/>
    <w:rsid w:val="0054078D"/>
    <w:rsid w:val="0054723D"/>
    <w:rsid w:val="005570E8"/>
    <w:rsid w:val="00571802"/>
    <w:rsid w:val="00573A36"/>
    <w:rsid w:val="00581177"/>
    <w:rsid w:val="00591D3D"/>
    <w:rsid w:val="00594357"/>
    <w:rsid w:val="005970EA"/>
    <w:rsid w:val="005A1DEE"/>
    <w:rsid w:val="005A41E0"/>
    <w:rsid w:val="005B7FC4"/>
    <w:rsid w:val="005C37F0"/>
    <w:rsid w:val="005D00E1"/>
    <w:rsid w:val="005D2D36"/>
    <w:rsid w:val="005E0682"/>
    <w:rsid w:val="005E232C"/>
    <w:rsid w:val="005F0104"/>
    <w:rsid w:val="005F171A"/>
    <w:rsid w:val="005F3663"/>
    <w:rsid w:val="00601A6E"/>
    <w:rsid w:val="0061186D"/>
    <w:rsid w:val="006134EA"/>
    <w:rsid w:val="00623BA1"/>
    <w:rsid w:val="006250AA"/>
    <w:rsid w:val="006346BC"/>
    <w:rsid w:val="006354E0"/>
    <w:rsid w:val="006539C9"/>
    <w:rsid w:val="00656ED3"/>
    <w:rsid w:val="00664534"/>
    <w:rsid w:val="00666291"/>
    <w:rsid w:val="0066652A"/>
    <w:rsid w:val="00677EBF"/>
    <w:rsid w:val="00682167"/>
    <w:rsid w:val="00682EDA"/>
    <w:rsid w:val="00693858"/>
    <w:rsid w:val="00694DF9"/>
    <w:rsid w:val="006C1D3C"/>
    <w:rsid w:val="006C42AF"/>
    <w:rsid w:val="006C4DD1"/>
    <w:rsid w:val="006D09CC"/>
    <w:rsid w:val="006D54D1"/>
    <w:rsid w:val="006E4306"/>
    <w:rsid w:val="006F28D0"/>
    <w:rsid w:val="00703681"/>
    <w:rsid w:val="00704222"/>
    <w:rsid w:val="00707DAA"/>
    <w:rsid w:val="00711D8E"/>
    <w:rsid w:val="00712672"/>
    <w:rsid w:val="00726710"/>
    <w:rsid w:val="00731673"/>
    <w:rsid w:val="00734E3F"/>
    <w:rsid w:val="00736985"/>
    <w:rsid w:val="00737A13"/>
    <w:rsid w:val="00742D00"/>
    <w:rsid w:val="00746416"/>
    <w:rsid w:val="007569D6"/>
    <w:rsid w:val="007822E9"/>
    <w:rsid w:val="00794773"/>
    <w:rsid w:val="0079780C"/>
    <w:rsid w:val="00797B57"/>
    <w:rsid w:val="007A25F0"/>
    <w:rsid w:val="007A736D"/>
    <w:rsid w:val="007B6200"/>
    <w:rsid w:val="007C46F7"/>
    <w:rsid w:val="00801B9F"/>
    <w:rsid w:val="00826762"/>
    <w:rsid w:val="00827106"/>
    <w:rsid w:val="008277C7"/>
    <w:rsid w:val="00827830"/>
    <w:rsid w:val="00846820"/>
    <w:rsid w:val="008517E6"/>
    <w:rsid w:val="00851ACB"/>
    <w:rsid w:val="00880B3F"/>
    <w:rsid w:val="008937FD"/>
    <w:rsid w:val="008974C6"/>
    <w:rsid w:val="008A3B1E"/>
    <w:rsid w:val="008A5CDB"/>
    <w:rsid w:val="008A7B96"/>
    <w:rsid w:val="008B354A"/>
    <w:rsid w:val="008B62C7"/>
    <w:rsid w:val="008D3E67"/>
    <w:rsid w:val="008D4A99"/>
    <w:rsid w:val="008E2331"/>
    <w:rsid w:val="008F54E5"/>
    <w:rsid w:val="008F66E0"/>
    <w:rsid w:val="009110EE"/>
    <w:rsid w:val="00924C54"/>
    <w:rsid w:val="0093223F"/>
    <w:rsid w:val="00934587"/>
    <w:rsid w:val="00943028"/>
    <w:rsid w:val="009525F4"/>
    <w:rsid w:val="00954431"/>
    <w:rsid w:val="009776BC"/>
    <w:rsid w:val="00983610"/>
    <w:rsid w:val="009A0B30"/>
    <w:rsid w:val="009A2DA7"/>
    <w:rsid w:val="009B03AD"/>
    <w:rsid w:val="009B4D3B"/>
    <w:rsid w:val="009C2179"/>
    <w:rsid w:val="009D2F66"/>
    <w:rsid w:val="009D7407"/>
    <w:rsid w:val="009E0866"/>
    <w:rsid w:val="009E2228"/>
    <w:rsid w:val="009F488C"/>
    <w:rsid w:val="009F5A49"/>
    <w:rsid w:val="00A00044"/>
    <w:rsid w:val="00A10CD3"/>
    <w:rsid w:val="00A20E8E"/>
    <w:rsid w:val="00A24A62"/>
    <w:rsid w:val="00A27228"/>
    <w:rsid w:val="00A273B1"/>
    <w:rsid w:val="00A31C9F"/>
    <w:rsid w:val="00A57300"/>
    <w:rsid w:val="00A632E3"/>
    <w:rsid w:val="00A63517"/>
    <w:rsid w:val="00A668C8"/>
    <w:rsid w:val="00A97C9C"/>
    <w:rsid w:val="00AA03F4"/>
    <w:rsid w:val="00AB19CF"/>
    <w:rsid w:val="00AB2F67"/>
    <w:rsid w:val="00AB627B"/>
    <w:rsid w:val="00AC164A"/>
    <w:rsid w:val="00AD5203"/>
    <w:rsid w:val="00AF2050"/>
    <w:rsid w:val="00AF5520"/>
    <w:rsid w:val="00B00D4C"/>
    <w:rsid w:val="00B51026"/>
    <w:rsid w:val="00B51701"/>
    <w:rsid w:val="00B73848"/>
    <w:rsid w:val="00B81E0D"/>
    <w:rsid w:val="00B910BA"/>
    <w:rsid w:val="00BB1F5B"/>
    <w:rsid w:val="00BB2405"/>
    <w:rsid w:val="00BB26C5"/>
    <w:rsid w:val="00BB73B5"/>
    <w:rsid w:val="00BC7098"/>
    <w:rsid w:val="00BC7D3E"/>
    <w:rsid w:val="00BE0F17"/>
    <w:rsid w:val="00BF2DF8"/>
    <w:rsid w:val="00BF4DE6"/>
    <w:rsid w:val="00C036F6"/>
    <w:rsid w:val="00C1021C"/>
    <w:rsid w:val="00C16283"/>
    <w:rsid w:val="00C26A93"/>
    <w:rsid w:val="00C30C47"/>
    <w:rsid w:val="00C42CDE"/>
    <w:rsid w:val="00C51380"/>
    <w:rsid w:val="00C73861"/>
    <w:rsid w:val="00C81347"/>
    <w:rsid w:val="00C836BC"/>
    <w:rsid w:val="00C845AF"/>
    <w:rsid w:val="00C84B6C"/>
    <w:rsid w:val="00C966CD"/>
    <w:rsid w:val="00CA37B1"/>
    <w:rsid w:val="00CB1959"/>
    <w:rsid w:val="00CC2AA4"/>
    <w:rsid w:val="00CC7054"/>
    <w:rsid w:val="00CD523B"/>
    <w:rsid w:val="00CF030F"/>
    <w:rsid w:val="00D0296C"/>
    <w:rsid w:val="00D22869"/>
    <w:rsid w:val="00D30F7E"/>
    <w:rsid w:val="00D46D82"/>
    <w:rsid w:val="00D81F15"/>
    <w:rsid w:val="00D93C58"/>
    <w:rsid w:val="00DB0937"/>
    <w:rsid w:val="00DB6D69"/>
    <w:rsid w:val="00DC430B"/>
    <w:rsid w:val="00DC7660"/>
    <w:rsid w:val="00DD550E"/>
    <w:rsid w:val="00DE24FA"/>
    <w:rsid w:val="00DE3434"/>
    <w:rsid w:val="00DE3E90"/>
    <w:rsid w:val="00DF25F7"/>
    <w:rsid w:val="00DF3E7E"/>
    <w:rsid w:val="00E131A1"/>
    <w:rsid w:val="00E357B7"/>
    <w:rsid w:val="00E44E21"/>
    <w:rsid w:val="00E53800"/>
    <w:rsid w:val="00E6081F"/>
    <w:rsid w:val="00E71B07"/>
    <w:rsid w:val="00E770DE"/>
    <w:rsid w:val="00EA04B2"/>
    <w:rsid w:val="00EA20F3"/>
    <w:rsid w:val="00EA4635"/>
    <w:rsid w:val="00ED2933"/>
    <w:rsid w:val="00ED43D1"/>
    <w:rsid w:val="00EE0992"/>
    <w:rsid w:val="00EE2B1C"/>
    <w:rsid w:val="00EE4EE1"/>
    <w:rsid w:val="00EF0E2F"/>
    <w:rsid w:val="00EF4574"/>
    <w:rsid w:val="00F010A9"/>
    <w:rsid w:val="00F0749F"/>
    <w:rsid w:val="00F1668A"/>
    <w:rsid w:val="00F2684E"/>
    <w:rsid w:val="00F27418"/>
    <w:rsid w:val="00F43EFC"/>
    <w:rsid w:val="00F4512E"/>
    <w:rsid w:val="00F5043E"/>
    <w:rsid w:val="00F550AC"/>
    <w:rsid w:val="00F628DD"/>
    <w:rsid w:val="00F729EF"/>
    <w:rsid w:val="00F77B13"/>
    <w:rsid w:val="00F77CAE"/>
    <w:rsid w:val="00F9094C"/>
    <w:rsid w:val="00F96BB9"/>
    <w:rsid w:val="00FB43D5"/>
    <w:rsid w:val="00FB44AA"/>
    <w:rsid w:val="00FC30CC"/>
    <w:rsid w:val="00FC5F27"/>
    <w:rsid w:val="00FE4A55"/>
    <w:rsid w:val="00FE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31691C3"/>
  <w15:docId w15:val="{9B3D9A84-8831-4BE1-A87C-A2E0FB43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36"/>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7"/>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8"/>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9"/>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0"/>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2"/>
      </w:numPr>
    </w:pPr>
  </w:style>
  <w:style w:type="paragraph" w:customStyle="1" w:styleId="Bullets2ndindent">
    <w:name w:val="Bullets (2nd indent)"/>
    <w:basedOn w:val="BodyText1"/>
    <w:rsid w:val="00340616"/>
    <w:pPr>
      <w:numPr>
        <w:ilvl w:val="1"/>
        <w:numId w:val="12"/>
      </w:numPr>
    </w:pPr>
  </w:style>
  <w:style w:type="numbering" w:customStyle="1" w:styleId="Bullets">
    <w:name w:val="Bullets"/>
    <w:basedOn w:val="NoList"/>
    <w:uiPriority w:val="99"/>
    <w:rsid w:val="00340616"/>
    <w:pPr>
      <w:numPr>
        <w:numId w:val="12"/>
      </w:numPr>
    </w:pPr>
  </w:style>
  <w:style w:type="paragraph" w:customStyle="1" w:styleId="Figuretitle">
    <w:name w:val="Figure title"/>
    <w:basedOn w:val="Heading2"/>
    <w:next w:val="BodyText1"/>
    <w:rsid w:val="00340616"/>
    <w:pPr>
      <w:keepNext w:val="0"/>
      <w:keepLines w:val="0"/>
      <w:numPr>
        <w:ilvl w:val="6"/>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2"/>
      </w:numPr>
    </w:pPr>
  </w:style>
  <w:style w:type="numbering" w:customStyle="1" w:styleId="Numbers">
    <w:name w:val="Numbers"/>
    <w:basedOn w:val="NoList"/>
    <w:rsid w:val="00340616"/>
    <w:pPr>
      <w:numPr>
        <w:numId w:val="13"/>
      </w:numPr>
    </w:pPr>
  </w:style>
  <w:style w:type="paragraph" w:customStyle="1" w:styleId="Bulletslast2ndindent">
    <w:name w:val="Bullets last (2nd indent)"/>
    <w:basedOn w:val="BodyText1"/>
    <w:rsid w:val="00340616"/>
    <w:pPr>
      <w:numPr>
        <w:ilvl w:val="3"/>
        <w:numId w:val="12"/>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2"/>
      </w:numPr>
    </w:pPr>
  </w:style>
  <w:style w:type="paragraph" w:customStyle="1" w:styleId="Tablebullets1stindent">
    <w:name w:val="Table bullets (1st indent)"/>
    <w:basedOn w:val="Tablebodytext"/>
    <w:qFormat/>
    <w:rsid w:val="00340616"/>
    <w:pPr>
      <w:numPr>
        <w:ilvl w:val="5"/>
        <w:numId w:val="12"/>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1"/>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1"/>
      </w:numPr>
    </w:pPr>
  </w:style>
  <w:style w:type="paragraph" w:customStyle="1" w:styleId="Numberedpara2ndindent">
    <w:name w:val="Numbered para (2nd indent)"/>
    <w:basedOn w:val="BodyText1"/>
    <w:rsid w:val="00340616"/>
    <w:pPr>
      <w:numPr>
        <w:ilvl w:val="4"/>
        <w:numId w:val="11"/>
      </w:numPr>
    </w:pPr>
  </w:style>
  <w:style w:type="paragraph" w:customStyle="1" w:styleId="Numberedpara3rdindent">
    <w:name w:val="Numbered para (3rd indent)"/>
    <w:basedOn w:val="BodyText1"/>
    <w:rsid w:val="00340616"/>
    <w:pPr>
      <w:numPr>
        <w:ilvl w:val="5"/>
        <w:numId w:val="11"/>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paragraph" w:customStyle="1" w:styleId="Bodynumbered-Level1">
    <w:name w:val="Body numbered - Level 1"/>
    <w:basedOn w:val="BodyText"/>
    <w:uiPriority w:val="1"/>
    <w:qFormat/>
    <w:rsid w:val="00DC7660"/>
    <w:pPr>
      <w:suppressAutoHyphens w:val="0"/>
      <w:spacing w:before="240" w:after="240" w:line="240" w:lineRule="auto"/>
      <w:ind w:left="720" w:hanging="720"/>
    </w:pPr>
    <w:rPr>
      <w:rFonts w:ascii="Calibri" w:eastAsia="Calibri" w:hAnsi="Calibri" w:cs="Times New Roman"/>
    </w:rPr>
  </w:style>
  <w:style w:type="paragraph" w:styleId="BodyText">
    <w:name w:val="Body Text"/>
    <w:basedOn w:val="Normal"/>
    <w:link w:val="BodyTextChar"/>
    <w:uiPriority w:val="99"/>
    <w:semiHidden/>
    <w:unhideWhenUsed/>
    <w:rsid w:val="00DC7660"/>
    <w:pPr>
      <w:spacing w:after="120"/>
    </w:pPr>
  </w:style>
  <w:style w:type="character" w:customStyle="1" w:styleId="BodyTextChar">
    <w:name w:val="Body Text Char"/>
    <w:basedOn w:val="DefaultParagraphFont"/>
    <w:link w:val="BodyText"/>
    <w:uiPriority w:val="99"/>
    <w:semiHidden/>
    <w:rsid w:val="00DC7660"/>
  </w:style>
  <w:style w:type="paragraph" w:customStyle="1" w:styleId="Bodynumbered-Level3">
    <w:name w:val="Body numbered - Level 3"/>
    <w:basedOn w:val="Bodynumbered-Level1"/>
    <w:uiPriority w:val="1"/>
    <w:qFormat/>
    <w:rsid w:val="00C26A93"/>
    <w:pPr>
      <w:ind w:left="1353" w:hanging="360"/>
    </w:pPr>
  </w:style>
  <w:style w:type="table" w:customStyle="1" w:styleId="TableGrid1">
    <w:name w:val="Table Grid1"/>
    <w:basedOn w:val="TableNormal"/>
    <w:next w:val="TableGrid"/>
    <w:uiPriority w:val="99"/>
    <w:rsid w:val="00977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 text"/>
    <w:basedOn w:val="Normal"/>
    <w:uiPriority w:val="12"/>
    <w:qFormat/>
    <w:rsid w:val="009776BC"/>
    <w:pPr>
      <w:suppressAutoHyphens w:val="0"/>
      <w:spacing w:before="60" w:line="240" w:lineRule="auto"/>
    </w:pPr>
    <w:rPr>
      <w:rFonts w:ascii="Calibri" w:eastAsia="Calibri" w:hAnsi="Calibri" w:cs="Calibri"/>
      <w:sz w:val="24"/>
      <w:szCs w:val="24"/>
      <w:lang w:eastAsia="en-AU"/>
    </w:rPr>
  </w:style>
  <w:style w:type="table" w:styleId="GridTable1Light">
    <w:name w:val="Grid Table 1 Light"/>
    <w:basedOn w:val="TableNormal"/>
    <w:uiPriority w:val="46"/>
    <w:rsid w:val="001604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1F1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oclark.INTERNAL\AppData\Local\Microsoft\Windows\INetCache\Content.Outlook\34FYMXIL\mobilecoverage@communications.gov.au" TargetMode="External"/><Relationship Id="rId18" Type="http://schemas.openxmlformats.org/officeDocument/2006/relationships/hyperlink" Target="mailto:mobilecoverage@communications.gov.au"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clientservice@communications.gov.au" TargetMode="External"/><Relationship Id="rId7" Type="http://schemas.openxmlformats.org/officeDocument/2006/relationships/settings" Target="settings.xml"/><Relationship Id="rId12" Type="http://schemas.openxmlformats.org/officeDocument/2006/relationships/hyperlink" Target="http://www.communications.gov.au/mbsp" TargetMode="External"/><Relationship Id="rId17" Type="http://schemas.openxmlformats.org/officeDocument/2006/relationships/hyperlink" Target="mailto:mobilecoverage@communications.gov.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obilecoverage@communications.gov.au" TargetMode="External"/><Relationship Id="rId20" Type="http://schemas.openxmlformats.org/officeDocument/2006/relationships/hyperlink" Target="http://www.communications.gov.au/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bilecoverage@communications.gov.au"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communications.gov.au/mbsp" TargetMode="External"/><Relationship Id="rId23" Type="http://schemas.openxmlformats.org/officeDocument/2006/relationships/hyperlink" Target="http://www.oaic.gov.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ombudsman.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inance.gov.au/sites/default/files/commonwealth-grants-rules-and-guidelines-July2014.pdf" TargetMode="External"/><Relationship Id="rId22" Type="http://schemas.openxmlformats.org/officeDocument/2006/relationships/hyperlink" Target="mailto:ogc@communications.gov.au" TargetMode="External"/><Relationship Id="rId27" Type="http://schemas.openxmlformats.org/officeDocument/2006/relationships/fontTable" Target="fontTable.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DCB3A883BEBA44BD6E0F06A895F5DD" ma:contentTypeVersion="0" ma:contentTypeDescription="Create a new document." ma:contentTypeScope="" ma:versionID="4c3cd52ef98959e5a1c5416855cba1b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366D9-B626-4AAF-BF16-49C1211293E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7052E6D-8B11-40F9-9A67-9FB9B295A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53DA22F-A692-4552-96E0-7BF812D5E0EE}">
  <ds:schemaRefs>
    <ds:schemaRef ds:uri="http://schemas.microsoft.com/sharepoint/v3/contenttype/forms"/>
  </ds:schemaRefs>
</ds:datastoreItem>
</file>

<file path=customXml/itemProps4.xml><?xml version="1.0" encoding="utf-8"?>
<ds:datastoreItem xmlns:ds="http://schemas.openxmlformats.org/officeDocument/2006/customXml" ds:itemID="{D22B845E-8205-453A-9E84-EFAE166A9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15062</Words>
  <Characters>80283</Characters>
  <Application>Microsoft Office Word</Application>
  <DocSecurity>0</DocSecurity>
  <Lines>3211</Lines>
  <Paragraphs>1616</Paragraphs>
  <ScaleCrop>false</ScaleCrop>
  <HeadingPairs>
    <vt:vector size="2" baseType="variant">
      <vt:variant>
        <vt:lpstr>Title</vt:lpstr>
      </vt:variant>
      <vt:variant>
        <vt:i4>1</vt:i4>
      </vt:variant>
    </vt:vector>
  </HeadingPairs>
  <TitlesOfParts>
    <vt:vector size="1" baseType="lpstr">
      <vt:lpstr>Round 4 guidelines - final draft for Minister approval -7 October 2018.docx</vt:lpstr>
    </vt:vector>
  </TitlesOfParts>
  <Company/>
  <LinksUpToDate>false</LinksUpToDate>
  <CharactersWithSpaces>93729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 4 guidelines - final draft for Minister approval -7 October 2018.docx</dc:title>
  <dc:subject/>
  <dc:creator>Ben</dc:creator>
  <cp:keywords/>
  <dc:description/>
  <cp:lastModifiedBy>Stewart-Fitzpatrick, Nicole</cp:lastModifiedBy>
  <cp:revision>3</cp:revision>
  <cp:lastPrinted>2018-09-07T02:29:00Z</cp:lastPrinted>
  <dcterms:created xsi:type="dcterms:W3CDTF">2024-02-01T03:03:00Z</dcterms:created>
  <dcterms:modified xsi:type="dcterms:W3CDTF">2024-02-01T03:06:00Z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0x010100DDDCB3A883BEBA44BD6E0F06A895F5DD</vt:lpwstr>
  </property>
  <property fmtid="{D5CDD505-2E9C-101B-9397-08002B2CF9AE}" pid="3" name="TrimRevisionNumber">
    <vt:i4>20</vt:i4>
  </property>
</Properties>
</file>